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502A" w14:textId="77777777" w:rsidR="00385606" w:rsidRPr="0085314B" w:rsidRDefault="00385606" w:rsidP="6B6A7D98">
      <w:pPr>
        <w:pStyle w:val="NoSpacing"/>
        <w:ind w:left="-720" w:right="-604"/>
        <w:jc w:val="center"/>
        <w:rPr>
          <w:rFonts w:ascii="Cambria" w:hAnsi="Cambria"/>
          <w:b/>
          <w:bCs/>
          <w:color w:val="000000"/>
          <w:sz w:val="20"/>
          <w:szCs w:val="20"/>
          <w:lang w:val="es-ES"/>
        </w:rPr>
      </w:pPr>
    </w:p>
    <w:p w14:paraId="50B322D0" w14:textId="77777777" w:rsidR="00385606" w:rsidRPr="0085314B" w:rsidRDefault="00385606" w:rsidP="6B6A7D98">
      <w:pPr>
        <w:pStyle w:val="NoSpacing"/>
        <w:ind w:left="-720" w:right="-604"/>
        <w:jc w:val="center"/>
        <w:rPr>
          <w:rFonts w:ascii="Cambria" w:hAnsi="Cambria"/>
          <w:b/>
          <w:bCs/>
          <w:color w:val="000000"/>
          <w:sz w:val="20"/>
          <w:szCs w:val="20"/>
          <w:lang w:val="es-ES"/>
        </w:rPr>
      </w:pPr>
      <w:r w:rsidRPr="6B6A7D98">
        <w:rPr>
          <w:rFonts w:ascii="Cambria" w:hAnsi="Cambria"/>
          <w:b/>
          <w:bCs/>
          <w:color w:val="000000" w:themeColor="text1"/>
          <w:sz w:val="20"/>
          <w:szCs w:val="20"/>
          <w:lang w:val="es-ES"/>
        </w:rPr>
        <w:t xml:space="preserve">FICHA DE SEGUIMIENTO DEL INFORME Nº </w:t>
      </w:r>
      <w:r w:rsidRPr="6B6A7D98">
        <w:rPr>
          <w:rFonts w:ascii="Cambria" w:hAnsi="Cambria" w:cs="Calibri"/>
          <w:b/>
          <w:bCs/>
          <w:color w:val="000000" w:themeColor="text1"/>
          <w:sz w:val="20"/>
          <w:szCs w:val="20"/>
          <w:lang w:val="es-ES"/>
        </w:rPr>
        <w:t>69/06</w:t>
      </w:r>
    </w:p>
    <w:p w14:paraId="034B7150" w14:textId="77777777" w:rsidR="00385606" w:rsidRPr="0085314B" w:rsidRDefault="00385606" w:rsidP="6B6A7D98">
      <w:pPr>
        <w:pStyle w:val="NoSpacing"/>
        <w:ind w:left="-720" w:right="-604"/>
        <w:jc w:val="center"/>
        <w:rPr>
          <w:rFonts w:ascii="Cambria" w:hAnsi="Cambria"/>
          <w:b/>
          <w:bCs/>
          <w:color w:val="000000"/>
          <w:sz w:val="20"/>
          <w:szCs w:val="20"/>
          <w:lang w:val="es-ES"/>
        </w:rPr>
      </w:pPr>
      <w:r w:rsidRPr="6B6A7D98">
        <w:rPr>
          <w:rFonts w:ascii="Cambria" w:hAnsi="Cambria"/>
          <w:b/>
          <w:bCs/>
          <w:color w:val="000000" w:themeColor="text1"/>
          <w:sz w:val="20"/>
          <w:szCs w:val="20"/>
          <w:lang w:val="es-ES"/>
        </w:rPr>
        <w:t>CASO 11.171</w:t>
      </w:r>
    </w:p>
    <w:p w14:paraId="0046C52F" w14:textId="77777777" w:rsidR="00385606" w:rsidRPr="0085314B" w:rsidRDefault="00385606" w:rsidP="6B6A7D98">
      <w:pPr>
        <w:pStyle w:val="NoSpacing"/>
        <w:ind w:left="-720" w:right="-604"/>
        <w:jc w:val="center"/>
        <w:rPr>
          <w:rFonts w:ascii="Cambria" w:hAnsi="Cambria"/>
          <w:b/>
          <w:bCs/>
          <w:color w:val="000000"/>
          <w:sz w:val="20"/>
          <w:szCs w:val="20"/>
          <w:lang w:val="es-ES"/>
        </w:rPr>
      </w:pPr>
      <w:r w:rsidRPr="6B6A7D98">
        <w:rPr>
          <w:rFonts w:ascii="Cambria" w:hAnsi="Cambria"/>
          <w:b/>
          <w:bCs/>
          <w:color w:val="000000" w:themeColor="text1"/>
          <w:sz w:val="20"/>
          <w:szCs w:val="20"/>
          <w:lang w:val="es-ES"/>
        </w:rPr>
        <w:t>TOMAS LARES CIPRIANO</w:t>
      </w:r>
    </w:p>
    <w:p w14:paraId="36075B9E" w14:textId="77777777" w:rsidR="00385606" w:rsidRPr="0085314B" w:rsidRDefault="00385606" w:rsidP="6B6A7D98">
      <w:pPr>
        <w:pStyle w:val="NoSpacing"/>
        <w:ind w:left="-720" w:right="-604"/>
        <w:jc w:val="center"/>
        <w:rPr>
          <w:rFonts w:ascii="Cambria" w:hAnsi="Cambria"/>
          <w:b/>
          <w:bCs/>
          <w:color w:val="000000"/>
          <w:sz w:val="20"/>
          <w:szCs w:val="20"/>
          <w:lang w:val="es-ES"/>
        </w:rPr>
      </w:pPr>
      <w:r w:rsidRPr="6B6A7D98">
        <w:rPr>
          <w:rFonts w:ascii="Cambria" w:hAnsi="Cambria"/>
          <w:b/>
          <w:bCs/>
          <w:color w:val="000000" w:themeColor="text1"/>
          <w:sz w:val="20"/>
          <w:szCs w:val="20"/>
          <w:lang w:val="es-ES"/>
        </w:rPr>
        <w:t>(GUATEMALA)</w:t>
      </w:r>
    </w:p>
    <w:p w14:paraId="53528812" w14:textId="77777777" w:rsidR="00385606" w:rsidRPr="0085314B" w:rsidRDefault="00385606" w:rsidP="6B6A7D98">
      <w:pPr>
        <w:ind w:left="1077"/>
        <w:rPr>
          <w:rFonts w:ascii="Cambria" w:hAnsi="Cambria" w:cs="Calibri Light"/>
          <w:b/>
          <w:bCs/>
          <w:color w:val="000000"/>
          <w:sz w:val="20"/>
          <w:szCs w:val="20"/>
          <w:lang w:val="es-ES"/>
        </w:rPr>
      </w:pPr>
    </w:p>
    <w:p w14:paraId="203AF5A7" w14:textId="77777777" w:rsidR="00385606" w:rsidRPr="0085314B" w:rsidRDefault="00385606" w:rsidP="6B6A7D98">
      <w:pPr>
        <w:numPr>
          <w:ilvl w:val="0"/>
          <w:numId w:val="2"/>
        </w:numPr>
        <w:ind w:left="1440"/>
        <w:rPr>
          <w:rFonts w:ascii="Cambria" w:hAnsi="Cambria" w:cs="Calibri Light"/>
          <w:b/>
          <w:bCs/>
          <w:color w:val="000000"/>
          <w:sz w:val="20"/>
          <w:szCs w:val="20"/>
          <w:lang w:val="es-ES"/>
        </w:rPr>
      </w:pPr>
      <w:r w:rsidRPr="6B6A7D98">
        <w:rPr>
          <w:rFonts w:ascii="Cambria" w:hAnsi="Cambria" w:cs="Calibri Light"/>
          <w:b/>
          <w:bCs/>
          <w:color w:val="000000" w:themeColor="text1"/>
          <w:sz w:val="20"/>
          <w:szCs w:val="20"/>
          <w:lang w:val="es-ES"/>
        </w:rPr>
        <w:t xml:space="preserve">Resumen del caso </w:t>
      </w:r>
    </w:p>
    <w:p w14:paraId="10EEDCB7" w14:textId="77777777" w:rsidR="00385606" w:rsidRPr="0085314B" w:rsidRDefault="00385606" w:rsidP="6B6A7D98">
      <w:pPr>
        <w:ind w:left="1077"/>
        <w:rPr>
          <w:rFonts w:ascii="Cambria" w:hAnsi="Cambria" w:cs="Calibri Light"/>
          <w:b/>
          <w:bCs/>
          <w:color w:val="000000"/>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385606" w:rsidRPr="00A849F5" w14:paraId="1C6B5A19" w14:textId="77777777" w:rsidTr="6B6A7D98">
        <w:trPr>
          <w:jc w:val="center"/>
        </w:trPr>
        <w:tc>
          <w:tcPr>
            <w:tcW w:w="9409" w:type="dxa"/>
            <w:shd w:val="clear" w:color="auto" w:fill="F2F2F2" w:themeFill="background1" w:themeFillShade="F2"/>
          </w:tcPr>
          <w:p w14:paraId="3696122D" w14:textId="77777777" w:rsidR="00385606" w:rsidRPr="0085314B" w:rsidRDefault="00385606" w:rsidP="008711AF">
            <w:pPr>
              <w:pStyle w:val="NoSpacing"/>
              <w:spacing w:before="120"/>
              <w:jc w:val="both"/>
              <w:rPr>
                <w:rFonts w:ascii="Cambria" w:hAnsi="Cambria"/>
                <w:color w:val="000000"/>
                <w:sz w:val="20"/>
                <w:szCs w:val="20"/>
                <w:lang w:val="es-ES"/>
              </w:rPr>
            </w:pPr>
            <w:r w:rsidRPr="6B6A7D98">
              <w:rPr>
                <w:rFonts w:ascii="Cambria" w:hAnsi="Cambria"/>
                <w:b/>
                <w:bCs/>
                <w:color w:val="000000" w:themeColor="text1"/>
                <w:sz w:val="20"/>
                <w:szCs w:val="20"/>
                <w:lang w:val="es-ES"/>
              </w:rPr>
              <w:t>Víctima (s):</w:t>
            </w:r>
            <w:r w:rsidRPr="6B6A7D98">
              <w:rPr>
                <w:rFonts w:ascii="Cambria" w:hAnsi="Cambria"/>
                <w:color w:val="000000" w:themeColor="text1"/>
                <w:sz w:val="20"/>
                <w:szCs w:val="20"/>
                <w:lang w:val="es-ES"/>
              </w:rPr>
              <w:t xml:space="preserve"> Tomas Lares Cipriano</w:t>
            </w:r>
          </w:p>
          <w:p w14:paraId="36441CF1" w14:textId="77777777" w:rsidR="00385606" w:rsidRPr="0085314B" w:rsidRDefault="00385606" w:rsidP="008711AF">
            <w:pPr>
              <w:pStyle w:val="NoSpacing"/>
              <w:jc w:val="both"/>
              <w:rPr>
                <w:rFonts w:ascii="Cambria" w:hAnsi="Cambria"/>
                <w:color w:val="000000"/>
                <w:sz w:val="20"/>
                <w:szCs w:val="20"/>
                <w:lang w:val="es-ES"/>
              </w:rPr>
            </w:pPr>
            <w:r w:rsidRPr="6B6A7D98">
              <w:rPr>
                <w:rFonts w:ascii="Cambria" w:hAnsi="Cambria"/>
                <w:b/>
                <w:bCs/>
                <w:color w:val="000000" w:themeColor="text1"/>
                <w:sz w:val="20"/>
                <w:szCs w:val="20"/>
                <w:lang w:val="es-ES"/>
              </w:rPr>
              <w:t>Peticionario (s):</w:t>
            </w:r>
            <w:r w:rsidRPr="6B6A7D98">
              <w:rPr>
                <w:rFonts w:ascii="Cambria" w:hAnsi="Cambria"/>
                <w:color w:val="000000" w:themeColor="text1"/>
                <w:sz w:val="20"/>
                <w:szCs w:val="20"/>
                <w:lang w:val="es-ES"/>
              </w:rPr>
              <w:t xml:space="preserve"> Global Rights</w:t>
            </w:r>
          </w:p>
          <w:p w14:paraId="6E172629" w14:textId="77777777" w:rsidR="00385606" w:rsidRPr="0085314B" w:rsidRDefault="00385606" w:rsidP="008711AF">
            <w:pPr>
              <w:pStyle w:val="NoSpacing"/>
              <w:jc w:val="both"/>
              <w:rPr>
                <w:rFonts w:ascii="Cambria" w:hAnsi="Cambria"/>
                <w:color w:val="000000"/>
                <w:sz w:val="20"/>
                <w:szCs w:val="20"/>
                <w:lang w:val="es-ES"/>
              </w:rPr>
            </w:pPr>
            <w:r w:rsidRPr="6B6A7D98">
              <w:rPr>
                <w:rFonts w:ascii="Cambria" w:hAnsi="Cambria"/>
                <w:b/>
                <w:bCs/>
                <w:color w:val="000000" w:themeColor="text1"/>
                <w:sz w:val="20"/>
                <w:szCs w:val="20"/>
                <w:lang w:val="es-ES"/>
              </w:rPr>
              <w:t>Estado:</w:t>
            </w:r>
            <w:r w:rsidRPr="6B6A7D98">
              <w:rPr>
                <w:rFonts w:ascii="Cambria" w:hAnsi="Cambria"/>
                <w:color w:val="000000" w:themeColor="text1"/>
                <w:sz w:val="20"/>
                <w:szCs w:val="20"/>
                <w:lang w:val="es-ES"/>
              </w:rPr>
              <w:t xml:space="preserve"> Guatemala</w:t>
            </w:r>
          </w:p>
          <w:p w14:paraId="091FE038" w14:textId="77777777" w:rsidR="00385606" w:rsidRPr="0085314B" w:rsidRDefault="00385606" w:rsidP="008711AF">
            <w:pPr>
              <w:pStyle w:val="NoSpacing"/>
              <w:jc w:val="both"/>
              <w:rPr>
                <w:rFonts w:ascii="Cambria" w:hAnsi="Cambria"/>
                <w:color w:val="000000"/>
                <w:sz w:val="20"/>
                <w:szCs w:val="20"/>
                <w:lang w:val="es-ES"/>
              </w:rPr>
            </w:pPr>
            <w:r w:rsidRPr="6B6A7D98">
              <w:rPr>
                <w:rFonts w:ascii="Cambria" w:hAnsi="Cambria"/>
                <w:b/>
                <w:bCs/>
                <w:color w:val="000000" w:themeColor="text1"/>
                <w:sz w:val="20"/>
                <w:szCs w:val="20"/>
                <w:lang w:val="es-ES"/>
              </w:rPr>
              <w:t xml:space="preserve">Informe de Fondo Nº: </w:t>
            </w:r>
            <w:hyperlink r:id="rId11">
              <w:r w:rsidRPr="6B6A7D98">
                <w:rPr>
                  <w:rStyle w:val="Hyperlink"/>
                  <w:rFonts w:ascii="Cambria" w:hAnsi="Cambria"/>
                  <w:color w:val="000000" w:themeColor="text1"/>
                  <w:sz w:val="20"/>
                  <w:szCs w:val="20"/>
                  <w:lang w:val="es-ES"/>
                </w:rPr>
                <w:t>69/06</w:t>
              </w:r>
            </w:hyperlink>
            <w:r w:rsidRPr="6B6A7D98">
              <w:rPr>
                <w:rFonts w:ascii="Cambria" w:hAnsi="Cambria"/>
                <w:color w:val="000000" w:themeColor="text1"/>
                <w:sz w:val="20"/>
                <w:szCs w:val="20"/>
                <w:lang w:val="es-ES"/>
              </w:rPr>
              <w:t>, publicado el 21 de octubre de 2006</w:t>
            </w:r>
          </w:p>
          <w:p w14:paraId="26E9786C" w14:textId="77777777" w:rsidR="00385606" w:rsidRPr="0085314B" w:rsidRDefault="00385606" w:rsidP="008711AF">
            <w:pPr>
              <w:pStyle w:val="NoSpacing"/>
              <w:jc w:val="both"/>
              <w:rPr>
                <w:rFonts w:ascii="Cambria" w:hAnsi="Cambria"/>
                <w:color w:val="000000"/>
                <w:sz w:val="20"/>
                <w:szCs w:val="20"/>
                <w:lang w:val="es-ES"/>
              </w:rPr>
            </w:pPr>
            <w:r w:rsidRPr="6B6A7D98">
              <w:rPr>
                <w:rFonts w:ascii="Cambria" w:hAnsi="Cambria"/>
                <w:b/>
                <w:bCs/>
                <w:color w:val="000000" w:themeColor="text1"/>
                <w:sz w:val="20"/>
                <w:szCs w:val="20"/>
                <w:lang w:val="es-ES"/>
              </w:rPr>
              <w:t xml:space="preserve">Informe de Admisibilidad Nº: </w:t>
            </w:r>
            <w:hyperlink r:id="rId12">
              <w:r w:rsidRPr="6B6A7D98">
                <w:rPr>
                  <w:rStyle w:val="Hyperlink"/>
                  <w:rFonts w:ascii="Cambria" w:hAnsi="Cambria"/>
                  <w:color w:val="000000" w:themeColor="text1"/>
                  <w:sz w:val="20"/>
                  <w:szCs w:val="20"/>
                  <w:lang w:val="es-ES"/>
                </w:rPr>
                <w:t>13/02</w:t>
              </w:r>
            </w:hyperlink>
            <w:r w:rsidRPr="6B6A7D98">
              <w:rPr>
                <w:rFonts w:ascii="Cambria" w:hAnsi="Cambria"/>
                <w:color w:val="000000" w:themeColor="text1"/>
                <w:sz w:val="20"/>
                <w:szCs w:val="20"/>
                <w:lang w:val="es-ES"/>
              </w:rPr>
              <w:t>, publicado el 27 de febrero de 2002</w:t>
            </w:r>
          </w:p>
          <w:p w14:paraId="65BD83ED" w14:textId="77777777" w:rsidR="00385606" w:rsidRPr="0085314B" w:rsidRDefault="00385606" w:rsidP="008711AF">
            <w:pPr>
              <w:spacing w:after="120"/>
              <w:jc w:val="both"/>
              <w:rPr>
                <w:rFonts w:ascii="Cambria" w:hAnsi="Cambria"/>
                <w:color w:val="000000"/>
                <w:sz w:val="20"/>
                <w:szCs w:val="20"/>
                <w:lang w:val="es-ES"/>
              </w:rPr>
            </w:pPr>
            <w:r w:rsidRPr="6B6A7D98">
              <w:rPr>
                <w:rFonts w:ascii="Cambria" w:hAnsi="Cambria"/>
                <w:b/>
                <w:bCs/>
                <w:color w:val="000000" w:themeColor="text1"/>
                <w:sz w:val="20"/>
                <w:szCs w:val="20"/>
                <w:lang w:val="es-ES"/>
              </w:rPr>
              <w:t>Temas:</w:t>
            </w:r>
            <w:r w:rsidRPr="6B6A7D98">
              <w:rPr>
                <w:rFonts w:ascii="Cambria" w:hAnsi="Cambria"/>
                <w:color w:val="000000" w:themeColor="text1"/>
                <w:sz w:val="20"/>
                <w:szCs w:val="20"/>
                <w:lang w:val="es-ES"/>
              </w:rPr>
              <w:t xml:space="preserve"> Derecho a la Vida / Derecho a la Integridad Personal / Garantías Judiciales / Protección Judicial / </w:t>
            </w:r>
            <w:r w:rsidRPr="6B6A7D98">
              <w:rPr>
                <w:rFonts w:ascii="Cambria" w:eastAsia="Times New Roman" w:hAnsi="Cambria"/>
                <w:color w:val="000000" w:themeColor="text1"/>
                <w:sz w:val="20"/>
                <w:szCs w:val="20"/>
                <w:lang w:val="es-MX" w:eastAsia="es-MX"/>
              </w:rPr>
              <w:t>Investigación y Debida Diligencia / Tortura, Tratos Crueles, Inhumanos y/o Degradantes</w:t>
            </w:r>
          </w:p>
          <w:p w14:paraId="327AF9E2" w14:textId="77777777" w:rsidR="00385606" w:rsidRPr="0085314B" w:rsidRDefault="00385606" w:rsidP="008711AF">
            <w:pPr>
              <w:spacing w:after="120"/>
              <w:jc w:val="both"/>
              <w:rPr>
                <w:rFonts w:ascii="Cambria" w:hAnsi="Cambria"/>
                <w:color w:val="000000"/>
                <w:sz w:val="20"/>
                <w:szCs w:val="20"/>
                <w:lang w:val="es-ES" w:eastAsia="pt-BR"/>
              </w:rPr>
            </w:pPr>
            <w:r w:rsidRPr="6B6A7D98">
              <w:rPr>
                <w:rFonts w:ascii="Cambria" w:hAnsi="Cambria"/>
                <w:b/>
                <w:bCs/>
                <w:color w:val="000000" w:themeColor="text1"/>
                <w:sz w:val="20"/>
                <w:szCs w:val="20"/>
                <w:lang w:val="es-ES"/>
              </w:rPr>
              <w:t>Hechos:</w:t>
            </w:r>
            <w:r w:rsidRPr="6B6A7D98">
              <w:rPr>
                <w:rFonts w:ascii="Cambria" w:hAnsi="Cambria"/>
                <w:color w:val="000000" w:themeColor="text1"/>
                <w:sz w:val="20"/>
                <w:szCs w:val="20"/>
                <w:lang w:val="es-ES"/>
              </w:rPr>
              <w:t xml:space="preserve"> El 19 de febrero de 1993, </w:t>
            </w:r>
            <w:r w:rsidRPr="6B6A7D98">
              <w:rPr>
                <w:rFonts w:ascii="Cambria" w:hAnsi="Cambria"/>
                <w:color w:val="000000" w:themeColor="text1"/>
                <w:sz w:val="20"/>
                <w:szCs w:val="20"/>
                <w:lang w:val="es-ES" w:eastAsia="pt-BR"/>
              </w:rPr>
              <w:t>tres mil miembros originarios de varios cantones de la cabecera municipal de Joyabaj, departamento del Quiché, incluido el señor Tomás Lares Cipriano, presentaron ante diversas autoridades civiles su renuncia a los comités voluntarios de autodefensa</w:t>
            </w:r>
            <w:bookmarkStart w:id="0" w:name="_ftnref2"/>
            <w:bookmarkEnd w:id="0"/>
            <w:r w:rsidRPr="6B6A7D98">
              <w:rPr>
                <w:rFonts w:ascii="Cambria" w:hAnsi="Cambria"/>
                <w:color w:val="000000" w:themeColor="text1"/>
                <w:sz w:val="20"/>
                <w:szCs w:val="20"/>
                <w:lang w:val="es-ES" w:eastAsia="pt-BR"/>
              </w:rPr>
              <w:t>. El 26 de marzo del mismo año se presentaron a la Oficina de Derechos Humanos del Arzobispado de Guatemala los señores Tomás Lares Cipriano, Diego Lares, Marcos Ambrosio Sacarías, Manuel Ambrosio Sacarías y Domingo Gutiérrez a informar sobre las amenazas proferidas en su contra por parte de miembros de las patrullas de autodefensa civil del municipio de Joyabaj como respuesta a la renuncia a los comités de autodefensa. El 30 de abril, aproximadamente a las 11:30 horas, según un comunicado del Comité de Unidad Campesina (CUC), Tomás Lares Cipriano “fue emboscado y cobardemente asesinado con 6 balazos (2 balas en la mano izquierda, 1 bala en el pecho, 1 bala entre los ojos, 1 bala en la cabeza) le cortaron la oreja derecha y le quebraron la cabeza y se la cortaron”</w:t>
            </w:r>
            <w:bookmarkStart w:id="1" w:name="_ftnref3"/>
            <w:bookmarkEnd w:id="1"/>
            <w:r w:rsidRPr="6B6A7D98">
              <w:rPr>
                <w:rFonts w:ascii="Cambria" w:hAnsi="Cambria"/>
                <w:color w:val="000000" w:themeColor="text1"/>
                <w:sz w:val="20"/>
                <w:szCs w:val="20"/>
                <w:lang w:val="es-ES" w:eastAsia="pt-BR"/>
              </w:rPr>
              <w:t xml:space="preserve">.  </w:t>
            </w:r>
          </w:p>
          <w:p w14:paraId="32D12453" w14:textId="77777777" w:rsidR="00385606" w:rsidRPr="0085314B" w:rsidRDefault="00385606" w:rsidP="008711AF">
            <w:pPr>
              <w:pStyle w:val="NoSpacing"/>
              <w:jc w:val="both"/>
              <w:rPr>
                <w:rFonts w:ascii="Cambria" w:hAnsi="Cambria"/>
                <w:color w:val="000000"/>
                <w:sz w:val="20"/>
                <w:szCs w:val="20"/>
                <w:lang w:val="es-ES"/>
              </w:rPr>
            </w:pPr>
            <w:r w:rsidRPr="6B6A7D98">
              <w:rPr>
                <w:rFonts w:ascii="Cambria" w:hAnsi="Cambria"/>
                <w:b/>
                <w:bCs/>
                <w:color w:val="000000" w:themeColor="text1"/>
                <w:sz w:val="20"/>
                <w:szCs w:val="20"/>
                <w:lang w:val="es-ES"/>
              </w:rPr>
              <w:t>Derechos violados:</w:t>
            </w:r>
            <w:r w:rsidRPr="6B6A7D98">
              <w:rPr>
                <w:rFonts w:ascii="Cambria" w:hAnsi="Cambria"/>
                <w:color w:val="000000" w:themeColor="text1"/>
                <w:sz w:val="20"/>
                <w:szCs w:val="20"/>
                <w:lang w:val="es-ES"/>
              </w:rPr>
              <w:t xml:space="preserve"> La Comisión concluyó que el Estado es responsable de la violación del derecho humano a la vida de conformidad con el artículo 4 de la Convención Americana, en relación con el artículo 1.1 de dicho instrumento, por la ejecución extrajudicial realizada por agentes del Estado el día 3 de abril de 1993, en perjuicio de Tomas Lares Cipriano. Que el Estado de Guatemala es responsable de la violación de los derechos humanos a la integridad personal, a las garantías judiciales y a la protección judicial, de conformidad con los artículos 5, 8 y 25 de la Convención Americana, en relación con el artículo 1.1 de dicho instrumento, por los hechos ocurridos el 3 de abril de 1993 y sus consecuencias de impunidad, en perjuicio de Tomas Lares Cipriano y sus familiares. Concluyó que el Estado no ha cumplido con las obligaciones de respeto de los derechos humanos y garantías impuestas por el artículo 1.1 de la Convención Americana. </w:t>
            </w:r>
          </w:p>
        </w:tc>
      </w:tr>
    </w:tbl>
    <w:p w14:paraId="5D6C31AB" w14:textId="77777777" w:rsidR="00385606" w:rsidRPr="0085314B" w:rsidRDefault="00385606" w:rsidP="00385606">
      <w:pPr>
        <w:ind w:left="180"/>
        <w:rPr>
          <w:rFonts w:ascii="Cambria" w:hAnsi="Cambria"/>
          <w:color w:val="000000"/>
          <w:sz w:val="20"/>
          <w:szCs w:val="20"/>
          <w:lang w:val="es-ES"/>
        </w:rPr>
      </w:pPr>
    </w:p>
    <w:p w14:paraId="1ABA5CFE" w14:textId="77777777" w:rsidR="00385606" w:rsidRPr="0085314B" w:rsidRDefault="00385606" w:rsidP="6B6A7D98">
      <w:pPr>
        <w:numPr>
          <w:ilvl w:val="0"/>
          <w:numId w:val="2"/>
        </w:numPr>
        <w:ind w:left="1440"/>
        <w:jc w:val="both"/>
        <w:rPr>
          <w:rFonts w:ascii="Cambria" w:hAnsi="Cambria" w:cs="Calibri Light"/>
          <w:b/>
          <w:bCs/>
          <w:color w:val="000000"/>
          <w:sz w:val="20"/>
          <w:szCs w:val="20"/>
          <w:lang w:val="es-ES"/>
        </w:rPr>
      </w:pPr>
      <w:r w:rsidRPr="6B6A7D98">
        <w:rPr>
          <w:rFonts w:ascii="Cambria" w:hAnsi="Cambria" w:cs="Calibri Light"/>
          <w:b/>
          <w:bCs/>
          <w:color w:val="000000" w:themeColor="text1"/>
          <w:sz w:val="20"/>
          <w:szCs w:val="20"/>
          <w:lang w:val="es-ES"/>
        </w:rPr>
        <w:t xml:space="preserve">Recomendaciones </w:t>
      </w:r>
    </w:p>
    <w:p w14:paraId="7A8E3704" w14:textId="77777777" w:rsidR="00385606" w:rsidRPr="0085314B" w:rsidRDefault="00385606" w:rsidP="00385606">
      <w:pPr>
        <w:ind w:left="1080"/>
        <w:jc w:val="both"/>
        <w:rPr>
          <w:rFonts w:ascii="Cambria" w:hAnsi="Cambria" w:cs="Calibri Light"/>
          <w:color w:val="000000"/>
          <w:sz w:val="20"/>
          <w:szCs w:val="20"/>
          <w:lang w:val="es-ES"/>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2250"/>
      </w:tblGrid>
      <w:tr w:rsidR="00385606" w:rsidRPr="00A849F5" w14:paraId="6B6F6DE3" w14:textId="77777777" w:rsidTr="6B6A7D98">
        <w:trPr>
          <w:trHeight w:val="116"/>
        </w:trPr>
        <w:tc>
          <w:tcPr>
            <w:tcW w:w="7200" w:type="dxa"/>
            <w:shd w:val="clear" w:color="auto" w:fill="auto"/>
            <w:vAlign w:val="center"/>
          </w:tcPr>
          <w:p w14:paraId="3CE17DE1" w14:textId="77777777" w:rsidR="00385606" w:rsidRPr="0085314B" w:rsidRDefault="00385606" w:rsidP="6B6A7D98">
            <w:pPr>
              <w:jc w:val="center"/>
              <w:rPr>
                <w:rFonts w:ascii="Cambria" w:hAnsi="Cambria" w:cs="Calibri Light"/>
                <w:b/>
                <w:bCs/>
                <w:color w:val="000000"/>
                <w:sz w:val="18"/>
                <w:szCs w:val="18"/>
                <w:lang w:val="es-ES"/>
              </w:rPr>
            </w:pPr>
            <w:r w:rsidRPr="6B6A7D98">
              <w:rPr>
                <w:rFonts w:ascii="Cambria" w:hAnsi="Cambria" w:cs="Calibri Light"/>
                <w:b/>
                <w:bCs/>
                <w:color w:val="000000" w:themeColor="text1"/>
                <w:sz w:val="18"/>
                <w:szCs w:val="18"/>
                <w:lang w:val="es-ES"/>
              </w:rPr>
              <w:t>Recomendaciones</w:t>
            </w:r>
          </w:p>
        </w:tc>
        <w:tc>
          <w:tcPr>
            <w:tcW w:w="2250" w:type="dxa"/>
            <w:shd w:val="clear" w:color="auto" w:fill="auto"/>
            <w:vAlign w:val="center"/>
          </w:tcPr>
          <w:p w14:paraId="31A6EA18" w14:textId="23535F28" w:rsidR="00385606" w:rsidRPr="0085314B" w:rsidRDefault="00385606" w:rsidP="3B2815A4">
            <w:pPr>
              <w:jc w:val="center"/>
              <w:rPr>
                <w:rFonts w:ascii="Cambria" w:hAnsi="Cambria" w:cs="Calibri Light"/>
                <w:b/>
                <w:bCs/>
                <w:color w:val="000000"/>
                <w:sz w:val="18"/>
                <w:szCs w:val="18"/>
                <w:lang w:val="es-ES"/>
              </w:rPr>
            </w:pPr>
            <w:r w:rsidRPr="6B6A7D98">
              <w:rPr>
                <w:rFonts w:ascii="Cambria" w:hAnsi="Cambria" w:cs="Calibri Light"/>
                <w:b/>
                <w:bCs/>
                <w:color w:val="000000" w:themeColor="text1"/>
                <w:sz w:val="18"/>
                <w:szCs w:val="18"/>
                <w:lang w:val="es-ES"/>
              </w:rPr>
              <w:t>Estado de cumplimiento en el 20</w:t>
            </w:r>
            <w:r w:rsidR="6110453A" w:rsidRPr="6B6A7D98">
              <w:rPr>
                <w:rFonts w:ascii="Cambria" w:hAnsi="Cambria" w:cs="Calibri Light"/>
                <w:b/>
                <w:bCs/>
                <w:color w:val="000000" w:themeColor="text1"/>
                <w:sz w:val="18"/>
                <w:szCs w:val="18"/>
                <w:lang w:val="es-ES"/>
              </w:rPr>
              <w:t>2</w:t>
            </w:r>
            <w:r w:rsidR="000B49A7" w:rsidRPr="6B6A7D98">
              <w:rPr>
                <w:rFonts w:ascii="Cambria" w:hAnsi="Cambria" w:cs="Calibri Light"/>
                <w:b/>
                <w:bCs/>
                <w:color w:val="000000" w:themeColor="text1"/>
                <w:sz w:val="18"/>
                <w:szCs w:val="18"/>
                <w:lang w:val="es-ES"/>
              </w:rPr>
              <w:t>2</w:t>
            </w:r>
          </w:p>
        </w:tc>
      </w:tr>
      <w:tr w:rsidR="00385606" w:rsidRPr="0085314B" w14:paraId="22C23838" w14:textId="77777777" w:rsidTr="6B6A7D98">
        <w:trPr>
          <w:trHeight w:val="641"/>
        </w:trPr>
        <w:tc>
          <w:tcPr>
            <w:tcW w:w="7200" w:type="dxa"/>
            <w:shd w:val="clear" w:color="auto" w:fill="auto"/>
            <w:vAlign w:val="center"/>
          </w:tcPr>
          <w:p w14:paraId="2CD78F22" w14:textId="77777777" w:rsidR="00385606" w:rsidRPr="0085314B" w:rsidRDefault="00385606" w:rsidP="008711AF">
            <w:pPr>
              <w:jc w:val="both"/>
              <w:rPr>
                <w:rFonts w:ascii="Cambria" w:hAnsi="Cambria"/>
                <w:color w:val="000000"/>
                <w:sz w:val="18"/>
                <w:szCs w:val="18"/>
                <w:lang w:val="es-ES"/>
              </w:rPr>
            </w:pPr>
            <w:r w:rsidRPr="6B6A7D98">
              <w:rPr>
                <w:rFonts w:ascii="Cambria" w:hAnsi="Cambria"/>
                <w:color w:val="000000" w:themeColor="text1"/>
                <w:sz w:val="18"/>
                <w:szCs w:val="18"/>
                <w:lang w:val="es-ES"/>
              </w:rPr>
              <w:t>1. Realizar una investigación de manera completa, imparcial y efectiva de los hechos denunciados a fin de juzgar y sancionar a todos los responsables, materiales e intelectuales, de las violaciones a los derechos humanos cometidas en perjuicio de Tomas Lares Cipriano y sus familiares.</w:t>
            </w:r>
          </w:p>
        </w:tc>
        <w:tc>
          <w:tcPr>
            <w:tcW w:w="2250" w:type="dxa"/>
            <w:shd w:val="clear" w:color="auto" w:fill="auto"/>
            <w:vAlign w:val="center"/>
          </w:tcPr>
          <w:p w14:paraId="649AD3F5" w14:textId="77777777" w:rsidR="00385606" w:rsidRPr="0085314B" w:rsidRDefault="00385606" w:rsidP="008711AF">
            <w:pPr>
              <w:jc w:val="center"/>
              <w:rPr>
                <w:rFonts w:ascii="Cambria" w:hAnsi="Cambria"/>
                <w:color w:val="000000"/>
                <w:sz w:val="18"/>
                <w:szCs w:val="18"/>
                <w:lang w:val="es-ES"/>
              </w:rPr>
            </w:pPr>
            <w:r w:rsidRPr="6B6A7D98">
              <w:rPr>
                <w:rFonts w:ascii="Cambria" w:hAnsi="Cambria"/>
                <w:color w:val="000000" w:themeColor="text1"/>
                <w:sz w:val="18"/>
                <w:szCs w:val="18"/>
                <w:lang w:val="es-ES"/>
              </w:rPr>
              <w:t>Cumplimiento parcial</w:t>
            </w:r>
          </w:p>
        </w:tc>
      </w:tr>
      <w:tr w:rsidR="00385606" w:rsidRPr="0085314B" w14:paraId="771EA3D4" w14:textId="77777777" w:rsidTr="6B6A7D98">
        <w:trPr>
          <w:trHeight w:val="288"/>
        </w:trPr>
        <w:tc>
          <w:tcPr>
            <w:tcW w:w="7200" w:type="dxa"/>
            <w:shd w:val="clear" w:color="auto" w:fill="auto"/>
            <w:vAlign w:val="center"/>
          </w:tcPr>
          <w:p w14:paraId="0FF38A7F" w14:textId="77777777" w:rsidR="00385606" w:rsidRPr="0085314B" w:rsidRDefault="00385606" w:rsidP="008711AF">
            <w:pPr>
              <w:jc w:val="both"/>
              <w:rPr>
                <w:rFonts w:ascii="Cambria" w:hAnsi="Cambria"/>
                <w:color w:val="000000"/>
                <w:sz w:val="18"/>
                <w:szCs w:val="18"/>
                <w:lang w:val="es-ES"/>
              </w:rPr>
            </w:pPr>
            <w:r w:rsidRPr="6B6A7D98">
              <w:rPr>
                <w:rFonts w:ascii="Cambria" w:hAnsi="Cambria"/>
                <w:color w:val="000000" w:themeColor="text1"/>
                <w:sz w:val="18"/>
                <w:szCs w:val="18"/>
                <w:lang w:val="es-ES"/>
              </w:rPr>
              <w:t>2. Reparar las consecuencias de la violación de los derechos enunciados conforme a lo establecido en el párrafo 128 del presente informe.</w:t>
            </w:r>
          </w:p>
        </w:tc>
        <w:tc>
          <w:tcPr>
            <w:tcW w:w="2250" w:type="dxa"/>
            <w:shd w:val="clear" w:color="auto" w:fill="auto"/>
            <w:vAlign w:val="center"/>
          </w:tcPr>
          <w:p w14:paraId="0D14EEED" w14:textId="77777777" w:rsidR="00385606" w:rsidRPr="0085314B" w:rsidRDefault="00385606" w:rsidP="008711AF">
            <w:pPr>
              <w:jc w:val="center"/>
              <w:rPr>
                <w:rFonts w:ascii="Cambria" w:hAnsi="Cambria"/>
                <w:color w:val="000000"/>
                <w:sz w:val="18"/>
                <w:szCs w:val="18"/>
                <w:lang w:val="es-ES"/>
              </w:rPr>
            </w:pPr>
            <w:r w:rsidRPr="6B6A7D98">
              <w:rPr>
                <w:rFonts w:ascii="Cambria" w:hAnsi="Cambria"/>
                <w:color w:val="000000" w:themeColor="text1"/>
                <w:sz w:val="18"/>
                <w:szCs w:val="18"/>
                <w:lang w:val="es-ES"/>
              </w:rPr>
              <w:t>Pendiente de cumplimiento</w:t>
            </w:r>
          </w:p>
        </w:tc>
      </w:tr>
      <w:tr w:rsidR="00385606" w:rsidRPr="0085314B" w14:paraId="68C9BD2F" w14:textId="77777777" w:rsidTr="6B6A7D98">
        <w:trPr>
          <w:trHeight w:val="255"/>
        </w:trPr>
        <w:tc>
          <w:tcPr>
            <w:tcW w:w="7200" w:type="dxa"/>
            <w:shd w:val="clear" w:color="auto" w:fill="auto"/>
            <w:vAlign w:val="center"/>
          </w:tcPr>
          <w:p w14:paraId="6D8002E2" w14:textId="77777777" w:rsidR="00385606" w:rsidRPr="0085314B" w:rsidRDefault="00385606" w:rsidP="008711AF">
            <w:pPr>
              <w:jc w:val="both"/>
              <w:rPr>
                <w:rFonts w:ascii="Cambria" w:hAnsi="Cambria"/>
                <w:color w:val="000000"/>
                <w:sz w:val="18"/>
                <w:szCs w:val="18"/>
                <w:lang w:val="es-ES"/>
              </w:rPr>
            </w:pPr>
            <w:r w:rsidRPr="6B6A7D98">
              <w:rPr>
                <w:rFonts w:ascii="Cambria" w:hAnsi="Cambria"/>
                <w:color w:val="000000" w:themeColor="text1"/>
                <w:sz w:val="18"/>
                <w:szCs w:val="18"/>
                <w:lang w:val="es-ES"/>
              </w:rPr>
              <w:t>3. Evitar el resurgimiento de las Patrullas de Autodefensa Civil.</w:t>
            </w:r>
          </w:p>
        </w:tc>
        <w:tc>
          <w:tcPr>
            <w:tcW w:w="2250" w:type="dxa"/>
            <w:shd w:val="clear" w:color="auto" w:fill="auto"/>
            <w:vAlign w:val="center"/>
          </w:tcPr>
          <w:p w14:paraId="62FB9681" w14:textId="77777777" w:rsidR="00385606" w:rsidRPr="0085314B" w:rsidRDefault="00385606" w:rsidP="008711AF">
            <w:pPr>
              <w:jc w:val="center"/>
              <w:rPr>
                <w:rFonts w:ascii="Cambria" w:hAnsi="Cambria"/>
                <w:color w:val="000000"/>
                <w:sz w:val="18"/>
                <w:szCs w:val="18"/>
                <w:lang w:val="es-ES"/>
              </w:rPr>
            </w:pPr>
            <w:r w:rsidRPr="0085314B">
              <w:rPr>
                <w:rFonts w:ascii="Cambria" w:hAnsi="Cambria"/>
                <w:color w:val="000000"/>
                <w:sz w:val="18"/>
                <w:szCs w:val="18"/>
                <w:lang w:val="es-ES"/>
              </w:rPr>
              <w:t>Cumplimiento total</w:t>
            </w:r>
            <w:r w:rsidRPr="6B6A7D98">
              <w:rPr>
                <w:rStyle w:val="FootnoteReference"/>
                <w:rFonts w:ascii="Cambria" w:eastAsia="Cambria" w:hAnsi="Cambria" w:cs="Cambria"/>
                <w:color w:val="000000"/>
                <w:sz w:val="18"/>
                <w:szCs w:val="18"/>
                <w:lang w:val="es-ES"/>
              </w:rPr>
              <w:footnoteReference w:id="1"/>
            </w:r>
          </w:p>
        </w:tc>
      </w:tr>
      <w:tr w:rsidR="00385606" w:rsidRPr="0085314B" w14:paraId="0EFB27BA" w14:textId="77777777" w:rsidTr="6B6A7D98">
        <w:trPr>
          <w:trHeight w:val="421"/>
        </w:trPr>
        <w:tc>
          <w:tcPr>
            <w:tcW w:w="7200" w:type="dxa"/>
            <w:shd w:val="clear" w:color="auto" w:fill="auto"/>
            <w:vAlign w:val="center"/>
          </w:tcPr>
          <w:p w14:paraId="1E6BAA9D" w14:textId="77777777" w:rsidR="00385606" w:rsidRPr="0085314B" w:rsidRDefault="00385606" w:rsidP="008711AF">
            <w:pPr>
              <w:jc w:val="both"/>
              <w:rPr>
                <w:rFonts w:ascii="Cambria" w:hAnsi="Cambria"/>
                <w:color w:val="000000"/>
                <w:sz w:val="18"/>
                <w:szCs w:val="18"/>
                <w:lang w:val="es-ES"/>
              </w:rPr>
            </w:pPr>
            <w:r w:rsidRPr="6B6A7D98">
              <w:rPr>
                <w:rFonts w:ascii="Cambria" w:hAnsi="Cambria"/>
                <w:color w:val="000000" w:themeColor="text1"/>
                <w:sz w:val="18"/>
                <w:szCs w:val="18"/>
                <w:lang w:val="es-ES"/>
              </w:rPr>
              <w:t xml:space="preserve">4. </w:t>
            </w:r>
            <w:bookmarkStart w:id="2" w:name="_Hlk90456883"/>
            <w:r w:rsidRPr="6B6A7D98">
              <w:rPr>
                <w:rFonts w:ascii="Cambria" w:hAnsi="Cambria"/>
                <w:color w:val="000000" w:themeColor="text1"/>
                <w:sz w:val="18"/>
                <w:szCs w:val="18"/>
                <w:lang w:val="es-ES"/>
              </w:rPr>
              <w:t>Adoptar las medidas necesarias para evitar que en el futuro se produzcan hechos similares, conforme al deber de prevención y garantía de los derechos fundamentales reconocidos en la Convención Americana</w:t>
            </w:r>
            <w:bookmarkEnd w:id="2"/>
            <w:r w:rsidRPr="6B6A7D98">
              <w:rPr>
                <w:rFonts w:ascii="Cambria" w:hAnsi="Cambria"/>
                <w:color w:val="000000" w:themeColor="text1"/>
                <w:sz w:val="18"/>
                <w:szCs w:val="18"/>
                <w:lang w:val="es-ES"/>
              </w:rPr>
              <w:t xml:space="preserve">. </w:t>
            </w:r>
          </w:p>
        </w:tc>
        <w:tc>
          <w:tcPr>
            <w:tcW w:w="2250" w:type="dxa"/>
            <w:shd w:val="clear" w:color="auto" w:fill="auto"/>
            <w:vAlign w:val="center"/>
          </w:tcPr>
          <w:p w14:paraId="237D0A26" w14:textId="77777777" w:rsidR="00385606" w:rsidRPr="0085314B" w:rsidRDefault="00385606" w:rsidP="008711AF">
            <w:pPr>
              <w:jc w:val="center"/>
              <w:rPr>
                <w:rFonts w:ascii="Cambria" w:hAnsi="Cambria"/>
                <w:color w:val="000000"/>
                <w:sz w:val="18"/>
                <w:szCs w:val="18"/>
                <w:lang w:val="es-ES"/>
              </w:rPr>
            </w:pPr>
            <w:r w:rsidRPr="6B6A7D98">
              <w:rPr>
                <w:rFonts w:ascii="Cambria" w:hAnsi="Cambria"/>
                <w:color w:val="000000" w:themeColor="text1"/>
                <w:sz w:val="18"/>
                <w:szCs w:val="18"/>
                <w:lang w:val="es-ES"/>
              </w:rPr>
              <w:t>Cumplimiento parcial sustancial</w:t>
            </w:r>
          </w:p>
        </w:tc>
      </w:tr>
    </w:tbl>
    <w:p w14:paraId="542FCED4" w14:textId="77777777" w:rsidR="00385606" w:rsidRPr="0085314B" w:rsidRDefault="00385606" w:rsidP="00385606">
      <w:pPr>
        <w:pStyle w:val="ListParagraph"/>
        <w:ind w:left="0"/>
        <w:jc w:val="both"/>
        <w:rPr>
          <w:rFonts w:ascii="Cambria" w:hAnsi="Cambria" w:cs="Calibri Light"/>
          <w:color w:val="000000"/>
          <w:sz w:val="20"/>
          <w:szCs w:val="20"/>
          <w:lang w:val="es-ES"/>
        </w:rPr>
      </w:pPr>
    </w:p>
    <w:p w14:paraId="491E8710" w14:textId="77777777" w:rsidR="00385606" w:rsidRPr="0085314B" w:rsidRDefault="00385606" w:rsidP="6B6A7D98">
      <w:pPr>
        <w:pStyle w:val="ListParagraph"/>
        <w:numPr>
          <w:ilvl w:val="0"/>
          <w:numId w:val="2"/>
        </w:numPr>
        <w:ind w:left="1440"/>
        <w:jc w:val="both"/>
        <w:rPr>
          <w:rFonts w:ascii="Cambria" w:hAnsi="Cambria" w:cs="Calibri Light"/>
          <w:b/>
          <w:bCs/>
          <w:color w:val="000000"/>
          <w:sz w:val="20"/>
          <w:szCs w:val="20"/>
          <w:lang w:val="es-ES"/>
        </w:rPr>
      </w:pPr>
      <w:r w:rsidRPr="6B6A7D98">
        <w:rPr>
          <w:rFonts w:ascii="Cambria" w:hAnsi="Cambria"/>
          <w:b/>
          <w:bCs/>
          <w:color w:val="000000" w:themeColor="text1"/>
          <w:sz w:val="20"/>
          <w:szCs w:val="20"/>
          <w:lang w:val="es-ES"/>
        </w:rPr>
        <w:t>Actividad Procesal</w:t>
      </w:r>
    </w:p>
    <w:p w14:paraId="333047CE" w14:textId="77777777" w:rsidR="00385606" w:rsidRPr="0085314B" w:rsidRDefault="00385606" w:rsidP="00385606">
      <w:pPr>
        <w:pStyle w:val="NoSpacing"/>
        <w:jc w:val="both"/>
        <w:rPr>
          <w:rFonts w:ascii="Cambria" w:hAnsi="Cambria" w:cs="Cambria"/>
          <w:color w:val="000000"/>
          <w:sz w:val="20"/>
          <w:szCs w:val="20"/>
          <w:lang w:val="es-ES" w:eastAsia="pt-BR"/>
        </w:rPr>
      </w:pPr>
      <w:bookmarkStart w:id="3" w:name="_Hlk89377200"/>
    </w:p>
    <w:p w14:paraId="4C6C2857" w14:textId="1B895F79" w:rsidR="00385606" w:rsidRPr="0085314B" w:rsidRDefault="060AE94F" w:rsidP="6B6A7D98">
      <w:pPr>
        <w:pStyle w:val="NoSpacing"/>
        <w:numPr>
          <w:ilvl w:val="0"/>
          <w:numId w:val="17"/>
        </w:numPr>
        <w:ind w:left="720" w:hanging="360"/>
        <w:jc w:val="both"/>
        <w:rPr>
          <w:rFonts w:ascii="Cambria" w:hAnsi="Cambria" w:cs="Cambria"/>
          <w:color w:val="000000" w:themeColor="text1"/>
          <w:sz w:val="20"/>
          <w:szCs w:val="20"/>
          <w:lang w:val="es-ES" w:eastAsia="pt-BR"/>
        </w:rPr>
      </w:pPr>
      <w:r w:rsidRPr="6B6A7D98">
        <w:rPr>
          <w:rFonts w:ascii="Cambria" w:hAnsi="Cambria" w:cs="Calibri Light"/>
          <w:color w:val="000000" w:themeColor="text1"/>
          <w:sz w:val="20"/>
          <w:szCs w:val="20"/>
          <w:lang w:val="es-ES"/>
        </w:rPr>
        <w:t xml:space="preserve">El 1 de abril de 2022, el Estado proporcionó a la CIDH información relativa al seguimiento del presente caso. </w:t>
      </w:r>
    </w:p>
    <w:p w14:paraId="6413F2FA" w14:textId="24337E73" w:rsidR="00385606" w:rsidRPr="0085314B" w:rsidRDefault="00385606" w:rsidP="6B6A7D98">
      <w:pPr>
        <w:pStyle w:val="NoSpacing"/>
        <w:jc w:val="both"/>
        <w:rPr>
          <w:rFonts w:ascii="Cambria" w:hAnsi="Cambria" w:cs="Cambria"/>
          <w:color w:val="000000" w:themeColor="text1"/>
          <w:sz w:val="20"/>
          <w:szCs w:val="20"/>
          <w:lang w:val="es-ES" w:eastAsia="pt-BR"/>
        </w:rPr>
      </w:pPr>
    </w:p>
    <w:p w14:paraId="5E3F7F41" w14:textId="6B6985A9" w:rsidR="00385606" w:rsidRPr="0085314B" w:rsidRDefault="00385606" w:rsidP="6B6A7D98">
      <w:pPr>
        <w:pStyle w:val="NoSpacing"/>
        <w:numPr>
          <w:ilvl w:val="0"/>
          <w:numId w:val="17"/>
        </w:numPr>
        <w:ind w:left="720" w:hanging="360"/>
        <w:jc w:val="both"/>
        <w:rPr>
          <w:rFonts w:ascii="Cambria" w:hAnsi="Cambria" w:cs="Cambria"/>
          <w:color w:val="000000" w:themeColor="text1"/>
          <w:sz w:val="20"/>
          <w:szCs w:val="20"/>
          <w:lang w:val="es-ES" w:eastAsia="pt-BR"/>
        </w:rPr>
      </w:pPr>
      <w:r w:rsidRPr="6B6A7D98">
        <w:rPr>
          <w:rFonts w:ascii="Cambria" w:hAnsi="Cambria" w:cs="Calibri Light"/>
          <w:color w:val="000000" w:themeColor="text1"/>
          <w:sz w:val="20"/>
          <w:szCs w:val="20"/>
          <w:lang w:val="es-ES"/>
        </w:rPr>
        <w:t xml:space="preserve">En </w:t>
      </w:r>
      <w:r w:rsidR="1FA3AE0A" w:rsidRPr="6B6A7D98">
        <w:rPr>
          <w:rFonts w:ascii="Cambria" w:eastAsia="Cambria" w:hAnsi="Cambria" w:cs="Cambria"/>
          <w:color w:val="000000" w:themeColor="text1"/>
          <w:sz w:val="20"/>
          <w:szCs w:val="20"/>
          <w:lang w:val="es-ES"/>
        </w:rPr>
        <w:t>2022</w:t>
      </w:r>
      <w:r w:rsidR="000B49A7" w:rsidRPr="6B6A7D98">
        <w:rPr>
          <w:rFonts w:ascii="Cambria" w:eastAsia="Cambria" w:hAnsi="Cambria" w:cs="Cambria"/>
          <w:color w:val="000000" w:themeColor="text1"/>
          <w:sz w:val="20"/>
          <w:szCs w:val="20"/>
          <w:lang w:val="es-ES"/>
        </w:rPr>
        <w:t xml:space="preserve">, </w:t>
      </w:r>
      <w:r w:rsidRPr="6B6A7D98">
        <w:rPr>
          <w:rFonts w:ascii="Cambria" w:hAnsi="Cambria" w:cs="Calibri Light"/>
          <w:color w:val="000000" w:themeColor="text1"/>
          <w:sz w:val="20"/>
          <w:szCs w:val="20"/>
          <w:lang w:val="es-ES"/>
        </w:rPr>
        <w:t xml:space="preserve">la CIDH solicitó al Estado remitir información actualizada sobre el cumplimiento de las recomendaciones emitidas en el Informe de Fondo No. 69/06 el </w:t>
      </w:r>
      <w:r w:rsidR="023D4957" w:rsidRPr="6B6A7D98">
        <w:rPr>
          <w:rFonts w:ascii="Cambria" w:hAnsi="Cambria" w:cs="Calibri Light"/>
          <w:color w:val="000000" w:themeColor="text1"/>
          <w:sz w:val="20"/>
          <w:szCs w:val="20"/>
          <w:lang w:val="es-ES"/>
        </w:rPr>
        <w:t>30</w:t>
      </w:r>
      <w:r w:rsidRPr="6B6A7D98">
        <w:rPr>
          <w:rFonts w:ascii="Cambria" w:hAnsi="Cambria" w:cs="Calibri Light"/>
          <w:color w:val="000000" w:themeColor="text1"/>
          <w:sz w:val="20"/>
          <w:szCs w:val="20"/>
          <w:lang w:val="es-ES"/>
        </w:rPr>
        <w:t xml:space="preserve"> de agosto. El </w:t>
      </w:r>
      <w:r w:rsidR="3B194345" w:rsidRPr="6B6A7D98">
        <w:rPr>
          <w:rFonts w:ascii="Cambria" w:eastAsia="Cambria" w:hAnsi="Cambria" w:cs="Cambria"/>
          <w:color w:val="000000" w:themeColor="text1"/>
          <w:sz w:val="20"/>
          <w:szCs w:val="20"/>
          <w:lang w:val="es-ES"/>
        </w:rPr>
        <w:t>30 de septiembre de 2022</w:t>
      </w:r>
      <w:r w:rsidRPr="6B6A7D98">
        <w:rPr>
          <w:rFonts w:ascii="Cambria" w:hAnsi="Cambria" w:cs="Calibri Light"/>
          <w:color w:val="000000" w:themeColor="text1"/>
          <w:sz w:val="20"/>
          <w:szCs w:val="20"/>
          <w:lang w:val="es-ES"/>
        </w:rPr>
        <w:t xml:space="preserve">, el Estado presentó dicha información a la Comisión. </w:t>
      </w:r>
    </w:p>
    <w:p w14:paraId="4501BD26" w14:textId="77777777" w:rsidR="00385606" w:rsidRPr="0085314B" w:rsidRDefault="00385606" w:rsidP="6B6A7D98">
      <w:pPr>
        <w:pStyle w:val="NoSpacing"/>
        <w:jc w:val="both"/>
        <w:rPr>
          <w:rFonts w:ascii="Cambria" w:hAnsi="Cambria" w:cs="Cambria"/>
          <w:color w:val="000000" w:themeColor="text1"/>
          <w:sz w:val="20"/>
          <w:szCs w:val="20"/>
          <w:lang w:val="es-ES" w:eastAsia="pt-BR"/>
        </w:rPr>
      </w:pPr>
    </w:p>
    <w:p w14:paraId="6EC24127" w14:textId="08271C0D" w:rsidR="00385606" w:rsidRPr="0085314B" w:rsidRDefault="00385606" w:rsidP="6B6A7D98">
      <w:pPr>
        <w:pStyle w:val="NoSpacing"/>
        <w:numPr>
          <w:ilvl w:val="0"/>
          <w:numId w:val="17"/>
        </w:numPr>
        <w:ind w:left="720" w:hanging="360"/>
        <w:jc w:val="both"/>
        <w:rPr>
          <w:rFonts w:ascii="Cambria" w:hAnsi="Cambria" w:cs="Cambria"/>
          <w:color w:val="000000" w:themeColor="text1"/>
          <w:sz w:val="20"/>
          <w:szCs w:val="20"/>
          <w:lang w:val="es-ES" w:eastAsia="pt-BR"/>
        </w:rPr>
      </w:pPr>
      <w:r w:rsidRPr="6B6A7D98">
        <w:rPr>
          <w:rFonts w:ascii="Cambria" w:hAnsi="Cambria" w:cs="Calibri Light"/>
          <w:color w:val="000000" w:themeColor="text1"/>
          <w:sz w:val="20"/>
          <w:szCs w:val="20"/>
          <w:lang w:val="es-ES"/>
        </w:rPr>
        <w:t xml:space="preserve">El </w:t>
      </w:r>
      <w:r w:rsidR="3C20E801" w:rsidRPr="6B6A7D98">
        <w:rPr>
          <w:rFonts w:ascii="Cambria" w:hAnsi="Cambria" w:cs="Calibri Light"/>
          <w:color w:val="000000" w:themeColor="text1"/>
          <w:sz w:val="20"/>
          <w:szCs w:val="20"/>
          <w:lang w:val="es-ES"/>
        </w:rPr>
        <w:t>30 de agosto de 2022</w:t>
      </w:r>
      <w:r w:rsidR="000B49A7" w:rsidRPr="6B6A7D98">
        <w:rPr>
          <w:rFonts w:ascii="Cambria" w:eastAsia="Cambria" w:hAnsi="Cambria" w:cs="Cambria"/>
          <w:color w:val="000000" w:themeColor="text1"/>
          <w:sz w:val="20"/>
          <w:szCs w:val="20"/>
          <w:lang w:val="es-ES"/>
        </w:rPr>
        <w:t>,</w:t>
      </w:r>
      <w:r w:rsidR="5AAE25B2" w:rsidRPr="6B6A7D98">
        <w:rPr>
          <w:rFonts w:ascii="Cambria" w:eastAsia="Cambria" w:hAnsi="Cambria" w:cs="Cambria"/>
          <w:color w:val="000000" w:themeColor="text1"/>
          <w:sz w:val="20"/>
          <w:szCs w:val="20"/>
          <w:lang w:val="es-ES"/>
        </w:rPr>
        <w:t xml:space="preserve"> </w:t>
      </w:r>
      <w:r w:rsidRPr="6B6A7D98">
        <w:rPr>
          <w:rFonts w:ascii="Cambria" w:hAnsi="Cambria" w:cs="Calibri Light"/>
          <w:color w:val="000000" w:themeColor="text1"/>
          <w:sz w:val="20"/>
          <w:szCs w:val="20"/>
          <w:lang w:val="es-ES"/>
        </w:rPr>
        <w:t>la CIDH solicitó a la parte peticionaria remitir información actualizada sobre el cumplimiento de las recomendaciones emitidas en el Informe de Fondo No. 69/06.</w:t>
      </w:r>
      <w:bookmarkEnd w:id="3"/>
      <w:r w:rsidRPr="6B6A7D98">
        <w:rPr>
          <w:rFonts w:ascii="Cambria" w:hAnsi="Cambria" w:cs="Cambria"/>
          <w:color w:val="000000" w:themeColor="text1"/>
          <w:sz w:val="20"/>
          <w:szCs w:val="20"/>
          <w:lang w:val="es-ES" w:eastAsia="pt-BR"/>
        </w:rPr>
        <w:t xml:space="preserve"> </w:t>
      </w:r>
      <w:r w:rsidRPr="6B6A7D98">
        <w:rPr>
          <w:rFonts w:ascii="Cambria" w:hAnsi="Cambria" w:cs="Calibri Light"/>
          <w:color w:val="000000" w:themeColor="text1"/>
          <w:sz w:val="20"/>
          <w:szCs w:val="20"/>
          <w:lang w:val="es-ES"/>
        </w:rPr>
        <w:t xml:space="preserve">A la fecha de cierre de este informe, la Comisión no había recibido dicha información. </w:t>
      </w:r>
    </w:p>
    <w:p w14:paraId="2D4A7A04" w14:textId="77777777" w:rsidR="00385606" w:rsidRPr="0085314B" w:rsidRDefault="00385606" w:rsidP="00385606">
      <w:pPr>
        <w:jc w:val="both"/>
        <w:rPr>
          <w:rFonts w:ascii="Cambria" w:hAnsi="Cambria" w:cs="Calibri Light"/>
          <w:color w:val="000000"/>
          <w:sz w:val="20"/>
          <w:szCs w:val="20"/>
          <w:lang w:val="es-ES"/>
        </w:rPr>
      </w:pPr>
    </w:p>
    <w:p w14:paraId="1D37C73E" w14:textId="77777777" w:rsidR="00385606" w:rsidRPr="0085314B" w:rsidRDefault="00385606" w:rsidP="6B6A7D98">
      <w:pPr>
        <w:pStyle w:val="ListParagraph"/>
        <w:numPr>
          <w:ilvl w:val="0"/>
          <w:numId w:val="2"/>
        </w:numPr>
        <w:ind w:left="1440"/>
        <w:jc w:val="both"/>
        <w:rPr>
          <w:rFonts w:ascii="Cambria" w:hAnsi="Cambria" w:cs="Calibri Light"/>
          <w:b/>
          <w:bCs/>
          <w:color w:val="000000"/>
          <w:sz w:val="20"/>
          <w:szCs w:val="20"/>
          <w:lang w:val="es-ES"/>
        </w:rPr>
      </w:pPr>
      <w:r w:rsidRPr="6B6A7D98">
        <w:rPr>
          <w:rFonts w:ascii="Cambria" w:hAnsi="Cambria" w:cs="Calibri Light"/>
          <w:b/>
          <w:bCs/>
          <w:color w:val="000000" w:themeColor="text1"/>
          <w:sz w:val="20"/>
          <w:szCs w:val="20"/>
          <w:lang w:val="es-ES"/>
        </w:rPr>
        <w:t>Análisis relativo a la información proporcionada</w:t>
      </w:r>
    </w:p>
    <w:p w14:paraId="7FE35C8D" w14:textId="77777777" w:rsidR="00385606" w:rsidRPr="0085314B" w:rsidRDefault="00385606" w:rsidP="00385606">
      <w:pPr>
        <w:jc w:val="both"/>
        <w:rPr>
          <w:rFonts w:ascii="Cambria" w:hAnsi="Cambria" w:cs="Calibri Light"/>
          <w:color w:val="000000"/>
          <w:sz w:val="20"/>
          <w:szCs w:val="20"/>
          <w:lang w:val="es-ES"/>
        </w:rPr>
      </w:pPr>
    </w:p>
    <w:p w14:paraId="506294EB" w14:textId="54DD61B2" w:rsidR="00385606" w:rsidRPr="0085314B" w:rsidRDefault="00385606" w:rsidP="6B6A7D98">
      <w:pPr>
        <w:numPr>
          <w:ilvl w:val="0"/>
          <w:numId w:val="17"/>
        </w:numPr>
        <w:pBdr>
          <w:top w:val="nil"/>
          <w:left w:val="nil"/>
          <w:bottom w:val="nil"/>
          <w:right w:val="nil"/>
          <w:between w:val="nil"/>
          <w:bar w:val="nil"/>
        </w:pBdr>
        <w:ind w:left="720" w:hanging="360"/>
        <w:jc w:val="both"/>
        <w:rPr>
          <w:rFonts w:ascii="Cambria" w:eastAsia="Cambria" w:hAnsi="Cambria" w:cs="Cambria"/>
          <w:color w:val="000000" w:themeColor="text1"/>
          <w:sz w:val="20"/>
          <w:szCs w:val="20"/>
          <w:lang w:val="es-ES"/>
        </w:rPr>
      </w:pPr>
      <w:r w:rsidRPr="6B6A7D98">
        <w:rPr>
          <w:rFonts w:ascii="Cambria" w:eastAsia="Cambria" w:hAnsi="Cambria" w:cs="Cambria"/>
          <w:color w:val="000000" w:themeColor="text1"/>
          <w:sz w:val="20"/>
          <w:szCs w:val="20"/>
          <w:lang w:val="es-ES"/>
        </w:rPr>
        <w:t>La Comisión considera que la información proporcionada por el Estado en 202</w:t>
      </w:r>
      <w:r w:rsidR="52146653" w:rsidRPr="6B6A7D98">
        <w:rPr>
          <w:rFonts w:ascii="Cambria" w:eastAsia="Cambria" w:hAnsi="Cambria" w:cs="Cambria"/>
          <w:color w:val="000000" w:themeColor="text1"/>
          <w:sz w:val="20"/>
          <w:szCs w:val="20"/>
          <w:lang w:val="es-ES"/>
        </w:rPr>
        <w:t>2</w:t>
      </w:r>
      <w:r w:rsidRPr="6B6A7D98">
        <w:rPr>
          <w:rFonts w:ascii="Cambria" w:eastAsia="Cambria" w:hAnsi="Cambria" w:cs="Cambria"/>
          <w:color w:val="000000" w:themeColor="text1"/>
          <w:sz w:val="20"/>
          <w:szCs w:val="20"/>
          <w:lang w:val="es-ES"/>
        </w:rPr>
        <w:t xml:space="preserve"> es relevante sobre </w:t>
      </w:r>
      <w:r w:rsidR="4318ED70" w:rsidRPr="6B6A7D98">
        <w:rPr>
          <w:rFonts w:ascii="Cambria" w:eastAsia="Cambria" w:hAnsi="Cambria" w:cs="Cambria"/>
          <w:color w:val="000000" w:themeColor="text1"/>
          <w:sz w:val="20"/>
          <w:szCs w:val="20"/>
          <w:lang w:val="es-ES"/>
        </w:rPr>
        <w:t xml:space="preserve">el seguimiento de </w:t>
      </w:r>
      <w:r w:rsidRPr="6B6A7D98">
        <w:rPr>
          <w:rFonts w:ascii="Cambria" w:eastAsia="Cambria" w:hAnsi="Cambria" w:cs="Cambria"/>
          <w:color w:val="000000" w:themeColor="text1"/>
          <w:sz w:val="20"/>
          <w:szCs w:val="20"/>
          <w:lang w:val="es-ES"/>
        </w:rPr>
        <w:t>al menos una de las recomendaciones emitidas en el Informe Nº 69/06.</w:t>
      </w:r>
    </w:p>
    <w:p w14:paraId="6D38ED7A" w14:textId="476F8AFA" w:rsidR="3B2815A4" w:rsidRDefault="3B2815A4" w:rsidP="6B6A7D98">
      <w:pPr>
        <w:pBdr>
          <w:top w:val="nil"/>
          <w:left w:val="nil"/>
          <w:bottom w:val="nil"/>
          <w:right w:val="nil"/>
          <w:between w:val="nil"/>
          <w:bar w:val="nil"/>
        </w:pBdr>
        <w:jc w:val="both"/>
        <w:rPr>
          <w:rFonts w:ascii="Cambria" w:eastAsia="Cambria" w:hAnsi="Cambria" w:cs="Cambria"/>
          <w:color w:val="000000" w:themeColor="text1"/>
          <w:sz w:val="20"/>
          <w:szCs w:val="20"/>
          <w:lang w:val="es-ES"/>
        </w:rPr>
      </w:pPr>
    </w:p>
    <w:p w14:paraId="4C2DCC2B" w14:textId="05F63CF9" w:rsidR="1FBA06C8" w:rsidRDefault="1FBA06C8" w:rsidP="6B6A7D98">
      <w:pPr>
        <w:numPr>
          <w:ilvl w:val="0"/>
          <w:numId w:val="17"/>
        </w:numPr>
        <w:pBdr>
          <w:top w:val="nil"/>
          <w:left w:val="nil"/>
          <w:bottom w:val="nil"/>
          <w:right w:val="nil"/>
          <w:between w:val="nil"/>
          <w:bar w:val="nil"/>
        </w:pBdr>
        <w:ind w:left="720" w:hanging="360"/>
        <w:jc w:val="both"/>
        <w:rPr>
          <w:rFonts w:ascii="Cambria" w:hAnsi="Cambria" w:cs="Cambria"/>
          <w:color w:val="000000" w:themeColor="text1"/>
          <w:sz w:val="20"/>
          <w:szCs w:val="20"/>
          <w:lang w:val="es-ES" w:eastAsia="pt-BR"/>
        </w:rPr>
      </w:pPr>
      <w:r w:rsidRPr="6B6A7D98">
        <w:rPr>
          <w:rFonts w:ascii="Cambria" w:hAnsi="Cambria" w:cs="Calibri Light"/>
          <w:color w:val="000000" w:themeColor="text1"/>
          <w:sz w:val="20"/>
          <w:szCs w:val="20"/>
          <w:lang w:val="es-ES"/>
        </w:rPr>
        <w:t>La Comisión observa con preocupación que la parte peticionaria no ha presentado esta información desde la publicación del informe de fondo.</w:t>
      </w:r>
    </w:p>
    <w:p w14:paraId="70F7D369" w14:textId="77777777" w:rsidR="00385606" w:rsidRPr="0085314B" w:rsidRDefault="00385606" w:rsidP="00385606">
      <w:pPr>
        <w:jc w:val="both"/>
        <w:rPr>
          <w:rFonts w:ascii="Cambria" w:hAnsi="Cambria" w:cs="Calibri Light"/>
          <w:color w:val="000000"/>
          <w:sz w:val="20"/>
          <w:szCs w:val="20"/>
          <w:lang w:val="es-ES"/>
        </w:rPr>
      </w:pPr>
    </w:p>
    <w:p w14:paraId="6E764D64" w14:textId="72243AB3" w:rsidR="00385606" w:rsidRPr="0085314B" w:rsidRDefault="00385606" w:rsidP="6B6A7D98">
      <w:pPr>
        <w:pStyle w:val="ListParagraph"/>
        <w:numPr>
          <w:ilvl w:val="0"/>
          <w:numId w:val="2"/>
        </w:numPr>
        <w:ind w:left="1440"/>
        <w:jc w:val="both"/>
        <w:rPr>
          <w:rFonts w:ascii="Cambria" w:hAnsi="Cambria" w:cs="Calibri Light"/>
          <w:b/>
          <w:bCs/>
          <w:color w:val="000000"/>
          <w:sz w:val="20"/>
          <w:szCs w:val="20"/>
          <w:lang w:val="es-ES"/>
        </w:rPr>
      </w:pPr>
      <w:r w:rsidRPr="6B6A7D98">
        <w:rPr>
          <w:rFonts w:ascii="Cambria" w:hAnsi="Cambria" w:cs="Calibri Light"/>
          <w:b/>
          <w:bCs/>
          <w:color w:val="000000"/>
          <w:sz w:val="20"/>
          <w:szCs w:val="20"/>
          <w:lang w:val="es-ES"/>
        </w:rPr>
        <w:t>Análisis del cumplimiento de las recomendaciones</w:t>
      </w:r>
      <w:r w:rsidR="000B49A7" w:rsidRPr="6B6A7D98">
        <w:rPr>
          <w:rStyle w:val="FootnoteReference"/>
          <w:rFonts w:ascii="Cambria" w:hAnsi="Cambria" w:cs="Calibri Light"/>
          <w:b/>
          <w:bCs/>
          <w:color w:val="000000"/>
          <w:sz w:val="20"/>
          <w:szCs w:val="20"/>
          <w:lang w:val="es-ES"/>
        </w:rPr>
        <w:footnoteReference w:id="2"/>
      </w:r>
    </w:p>
    <w:p w14:paraId="4B83E50C" w14:textId="77777777" w:rsidR="00385606" w:rsidRPr="0085314B" w:rsidRDefault="00385606" w:rsidP="00385606">
      <w:pPr>
        <w:jc w:val="both"/>
        <w:rPr>
          <w:rFonts w:ascii="Cambria" w:hAnsi="Cambria" w:cs="Calibri Light"/>
          <w:color w:val="000000"/>
          <w:sz w:val="20"/>
          <w:szCs w:val="20"/>
          <w:lang w:val="es-ES"/>
        </w:rPr>
      </w:pPr>
    </w:p>
    <w:p w14:paraId="64ECB5C0" w14:textId="51F772CF" w:rsidR="00385606" w:rsidRPr="00A849F5" w:rsidRDefault="00385606" w:rsidP="6B6A7D98">
      <w:pPr>
        <w:numPr>
          <w:ilvl w:val="0"/>
          <w:numId w:val="17"/>
        </w:numPr>
        <w:spacing w:after="200"/>
        <w:ind w:left="720" w:hanging="360"/>
        <w:jc w:val="both"/>
        <w:rPr>
          <w:rFonts w:ascii="Cambria" w:hAnsi="Cambria" w:cs="Calibri Light"/>
          <w:color w:val="000000" w:themeColor="text1"/>
          <w:sz w:val="20"/>
          <w:szCs w:val="20"/>
          <w:lang w:val="es-ES"/>
        </w:rPr>
      </w:pPr>
      <w:r w:rsidRPr="6B6A7D98">
        <w:rPr>
          <w:rFonts w:ascii="Cambria" w:hAnsi="Cambria" w:cs="Calibri Light"/>
          <w:b/>
          <w:bCs/>
          <w:color w:val="000000" w:themeColor="text1"/>
          <w:sz w:val="20"/>
          <w:szCs w:val="20"/>
          <w:lang w:val="es-ES"/>
        </w:rPr>
        <w:t xml:space="preserve">En relación con la recomendación primera, </w:t>
      </w:r>
      <w:r w:rsidRPr="6B6A7D98">
        <w:rPr>
          <w:rFonts w:ascii="Cambria" w:hAnsi="Cambria" w:cs="Calibri Light"/>
          <w:color w:val="000000" w:themeColor="text1"/>
          <w:sz w:val="20"/>
          <w:szCs w:val="20"/>
          <w:lang w:val="es-ES"/>
        </w:rPr>
        <w:t>durante el 2019, el Estado de Guatemala reiteró lo que ya había comunicado a la CIDH en años anteriores. Particularmente señaló que en lo que corresponde al proceso penal, éste había sido tramitado hasta llegar a sentencia de primera instancia el 3 de mayo de 1993. El 5 de noviembre de 1996, el Tribunal de Sentencia del Quiche condenó a 28 años de prisión al señor Santos Chic Us. Además, dentro de esta causa estaría pendiente de hacer efectiva las órdenes de captura que fueron emitidas contra otras personas, así como dilucidar su responsabilidad penal. Respecto de este punto, el Estado expuso que, en agosto de 2019, la Fiscalía Distrital de Quiche del Ministerio Público habría llevado a cabo diligencias tendientes a hacer efectivas las órdenes de captura en contra de Diego Granillo Juárez, Santos Tzit y Gaspar López. El Estado sostuvo que solicitaría la colaboración del Ministerio de la Defensa Nacional de Guatemala y del Comité Voluntario de Defensa Civil.</w:t>
      </w:r>
      <w:r w:rsidR="00A849F5" w:rsidRPr="6B6A7D98">
        <w:rPr>
          <w:rFonts w:ascii="Cambria" w:hAnsi="Cambria" w:cs="Calibri Light"/>
          <w:color w:val="000000" w:themeColor="text1"/>
          <w:sz w:val="20"/>
          <w:szCs w:val="20"/>
          <w:lang w:val="es-ES"/>
        </w:rPr>
        <w:t xml:space="preserve"> </w:t>
      </w:r>
      <w:r w:rsidRPr="6B6A7D98">
        <w:rPr>
          <w:rFonts w:ascii="Cambria" w:hAnsi="Cambria" w:cs="Calibri Light"/>
          <w:color w:val="000000" w:themeColor="text1"/>
          <w:sz w:val="20"/>
          <w:szCs w:val="20"/>
          <w:lang w:val="es-ES"/>
        </w:rPr>
        <w:t xml:space="preserve">En 2021, el Estado indicó que el Ministerio Público ha realizado diversas diligencias para identificar a las personas responsables de estos hechos. Al respecto, el Estado se refirió a cinco diligencias realizadas el año pasado. En relación con estas diligencias, el Registro Nacional de las Personas informó que una de las personas sindicadas falleció en 1998, por lo que operará la extinción de la responsabilidad penal. El Ministerio Público continuó con diligencias de investigación para localizar a los demás sindicados. Asimismo, indicó que se comunicó con una familiar de la víctima quien afirmó no tener interés en el seguimiento del caso. </w:t>
      </w:r>
    </w:p>
    <w:p w14:paraId="26155659" w14:textId="6979E43A" w:rsidR="32C6E554" w:rsidRDefault="32C6E554" w:rsidP="6B6A7D98">
      <w:pPr>
        <w:numPr>
          <w:ilvl w:val="0"/>
          <w:numId w:val="17"/>
        </w:numPr>
        <w:spacing w:after="200"/>
        <w:ind w:left="720" w:hanging="360"/>
        <w:jc w:val="both"/>
        <w:rPr>
          <w:rFonts w:ascii="Cambria" w:hAnsi="Cambria" w:cs="Calibri Light"/>
          <w:color w:val="000000" w:themeColor="text1"/>
          <w:sz w:val="20"/>
          <w:szCs w:val="20"/>
          <w:lang w:val="es-ES"/>
        </w:rPr>
      </w:pPr>
      <w:r w:rsidRPr="6B6A7D98">
        <w:rPr>
          <w:rFonts w:ascii="Cambria" w:hAnsi="Cambria" w:cs="Calibri Light"/>
          <w:color w:val="000000" w:themeColor="text1"/>
          <w:sz w:val="20"/>
          <w:szCs w:val="20"/>
          <w:lang w:val="es-ES"/>
        </w:rPr>
        <w:t xml:space="preserve">En 2022, el Estado manifestó que continuaba realizando las diligencias de investigación sobre los hechos del presente caso y para dar con el paradero de los presuntos responsables. </w:t>
      </w:r>
    </w:p>
    <w:p w14:paraId="68057BDC" w14:textId="7F529764" w:rsidR="00385606" w:rsidRPr="0085314B" w:rsidRDefault="00385606" w:rsidP="6B6A7D98">
      <w:pPr>
        <w:numPr>
          <w:ilvl w:val="0"/>
          <w:numId w:val="17"/>
        </w:numPr>
        <w:ind w:left="720" w:hanging="360"/>
        <w:jc w:val="both"/>
        <w:rPr>
          <w:rFonts w:ascii="Cambria" w:hAnsi="Cambria" w:cs="Calibri Light"/>
          <w:color w:val="000000" w:themeColor="text1"/>
          <w:sz w:val="20"/>
          <w:szCs w:val="20"/>
          <w:lang w:val="es-ES"/>
        </w:rPr>
      </w:pPr>
      <w:r w:rsidRPr="6B6A7D98">
        <w:rPr>
          <w:rFonts w:ascii="Cambria" w:hAnsi="Cambria" w:cs="Calibri Light"/>
          <w:color w:val="000000" w:themeColor="text1"/>
          <w:sz w:val="20"/>
          <w:szCs w:val="20"/>
          <w:lang w:val="es-ES"/>
        </w:rPr>
        <w:t>La Comisión valora la información proporcionada por el Estado respecto a las diligencias de investigación reportadas en 202</w:t>
      </w:r>
      <w:r w:rsidR="5B130912" w:rsidRPr="6B6A7D98">
        <w:rPr>
          <w:rFonts w:ascii="Cambria" w:hAnsi="Cambria" w:cs="Calibri Light"/>
          <w:color w:val="000000" w:themeColor="text1"/>
          <w:sz w:val="20"/>
          <w:szCs w:val="20"/>
          <w:lang w:val="es-ES"/>
        </w:rPr>
        <w:t>1 y 2022</w:t>
      </w:r>
      <w:r w:rsidRPr="6B6A7D98">
        <w:rPr>
          <w:rFonts w:ascii="Cambria" w:hAnsi="Cambria" w:cs="Calibri Light"/>
          <w:color w:val="000000" w:themeColor="text1"/>
          <w:sz w:val="20"/>
          <w:szCs w:val="20"/>
          <w:lang w:val="es-ES"/>
        </w:rPr>
        <w:t xml:space="preserve"> dirigidas a dar con el paradero de los responsables por los hechos del presente caso. Al respecto, la Comisión invita al Estado a continuar las diligencias necesarias para juzgar y sancionar a todas las personas responsables por estos hechos. Al respecto, </w:t>
      </w:r>
      <w:r w:rsidRPr="6B6A7D98">
        <w:rPr>
          <w:rFonts w:ascii="Cambria" w:hAnsi="Cambria" w:cs="Arial"/>
          <w:color w:val="000000" w:themeColor="text1"/>
          <w:sz w:val="20"/>
          <w:szCs w:val="20"/>
          <w:lang w:val="es-ES"/>
        </w:rPr>
        <w:t>la CIDH recuerda que el deber de investigar debe cumplirse con seriedad y no como una simple formalidad condenada de antemano a ser infructuosa, y debe tener un sentido y ser asumida por los Estados como un deber jurídico propio y no como una simple gestión de intereses particulares, que dependa de la iniciativa procesal de la víctima o de sus familiares o de la aportación privada de elementos probatorios, sin que la autoridad pública busque efectivamente la verdad”</w:t>
      </w:r>
      <w:r w:rsidRPr="6B6A7D98">
        <w:rPr>
          <w:rStyle w:val="FootnoteReference"/>
          <w:rFonts w:ascii="Cambria" w:hAnsi="Cambria" w:cs="Arial"/>
          <w:color w:val="000000" w:themeColor="text1"/>
          <w:sz w:val="20"/>
          <w:szCs w:val="20"/>
          <w:lang w:val="es-ES"/>
        </w:rPr>
        <w:footnoteReference w:id="3"/>
      </w:r>
      <w:r w:rsidRPr="6B6A7D98">
        <w:rPr>
          <w:rFonts w:ascii="Cambria" w:hAnsi="Cambria" w:cs="Arial"/>
          <w:color w:val="000000" w:themeColor="text1"/>
          <w:sz w:val="20"/>
          <w:szCs w:val="20"/>
          <w:lang w:val="es-ES"/>
        </w:rPr>
        <w:t xml:space="preserve">. </w:t>
      </w:r>
      <w:r w:rsidRPr="6B6A7D98">
        <w:rPr>
          <w:rFonts w:ascii="Cambria" w:hAnsi="Cambria" w:cs="Calibri Light"/>
          <w:color w:val="000000" w:themeColor="text1"/>
          <w:sz w:val="20"/>
          <w:szCs w:val="20"/>
          <w:lang w:val="es-ES"/>
        </w:rPr>
        <w:t xml:space="preserve">Por lo anterior, la CIDH considera que la recomendación 1 ha sido cumplida parcialmente.  </w:t>
      </w:r>
    </w:p>
    <w:p w14:paraId="356DA374" w14:textId="77777777" w:rsidR="00385606" w:rsidRPr="0085314B" w:rsidRDefault="00385606" w:rsidP="00385606">
      <w:pPr>
        <w:ind w:left="720"/>
        <w:jc w:val="both"/>
        <w:rPr>
          <w:rFonts w:ascii="Cambria" w:hAnsi="Cambria" w:cs="Calibri Light"/>
          <w:color w:val="000000"/>
          <w:sz w:val="20"/>
          <w:szCs w:val="20"/>
          <w:lang w:val="es-ES"/>
        </w:rPr>
      </w:pPr>
    </w:p>
    <w:p w14:paraId="4A246EA2" w14:textId="77777777" w:rsidR="00385606" w:rsidRPr="0085314B" w:rsidRDefault="00385606">
      <w:pPr>
        <w:numPr>
          <w:ilvl w:val="0"/>
          <w:numId w:val="17"/>
        </w:numPr>
        <w:ind w:left="720" w:hanging="360"/>
        <w:jc w:val="both"/>
        <w:rPr>
          <w:rFonts w:ascii="Cambria" w:hAnsi="Cambria" w:cs="Calibri Light"/>
          <w:color w:val="000000"/>
          <w:sz w:val="20"/>
          <w:szCs w:val="20"/>
          <w:lang w:val="es-ES"/>
        </w:rPr>
      </w:pPr>
      <w:r w:rsidRPr="6B6A7D98">
        <w:rPr>
          <w:rFonts w:ascii="Cambria" w:hAnsi="Cambria" w:cs="Calibri Light"/>
          <w:b/>
          <w:bCs/>
          <w:color w:val="000000" w:themeColor="text1"/>
          <w:sz w:val="20"/>
          <w:szCs w:val="20"/>
          <w:lang w:val="es-ES"/>
        </w:rPr>
        <w:t xml:space="preserve">En relación con la recomendación 2, </w:t>
      </w:r>
      <w:r w:rsidRPr="6B6A7D98">
        <w:rPr>
          <w:rFonts w:ascii="Cambria" w:hAnsi="Cambria" w:cs="Calibri Light"/>
          <w:color w:val="000000" w:themeColor="text1"/>
          <w:sz w:val="20"/>
          <w:szCs w:val="20"/>
          <w:lang w:val="es-ES"/>
        </w:rPr>
        <w:t>el Estado de Guatemala reiteró la solicitud expresada en años anteriores sobre el cierre definitivo del caso debido a la falta de interés de los familiares de la víctima para continuar con el caso. Lo anterior, con base en el comunicado de prensa 150/16 de la CIDH, publicado el 18 de octubre de 2016. Además, el Estado informó que el Coordinador Regional de la Comisión Presidencial Coordinadora de la Política del Ejecutivo en Materia de Derechos Humanos (COPREDH) visitó por primera vez al hijo mayor de la víctima, Juan Lares Ambrosio, en 2007 y, posteriormente, realizó otras tres visitas en las cuáles el señor Lares Ambrosio no cambió de opinión sobre recibir una reparación, en particular, expresó “que él y su familia no estaban interesados en recibir ninguna ayuda económica o de proyectos de cualquier tipo, por lo que agradecía la visita y el interés de llegar a una solución amistosa, además manifestó que uno de los consejos de su finado padre fue que no se involucraban en cosas negativas y mucho menos recibir dinero o cualquier otra cosa, a cambio de algo y que sólo Dios castigará”.</w:t>
      </w:r>
    </w:p>
    <w:p w14:paraId="347DA7AB" w14:textId="67905723" w:rsidR="3B2815A4" w:rsidRDefault="3B2815A4" w:rsidP="3B2815A4">
      <w:pPr>
        <w:jc w:val="both"/>
        <w:rPr>
          <w:rFonts w:ascii="Cambria" w:hAnsi="Cambria" w:cs="Calibri Light"/>
          <w:color w:val="000000" w:themeColor="text1"/>
          <w:sz w:val="20"/>
          <w:szCs w:val="20"/>
          <w:lang w:val="es-ES"/>
        </w:rPr>
      </w:pPr>
    </w:p>
    <w:p w14:paraId="5407EF1F" w14:textId="4D718A1C" w:rsidR="433202E8" w:rsidRDefault="433202E8" w:rsidP="6B6A7D98">
      <w:pPr>
        <w:numPr>
          <w:ilvl w:val="0"/>
          <w:numId w:val="17"/>
        </w:numPr>
        <w:ind w:left="720" w:hanging="360"/>
        <w:jc w:val="both"/>
        <w:rPr>
          <w:rFonts w:ascii="Cambria" w:hAnsi="Cambria" w:cs="Calibri Light"/>
          <w:color w:val="000000" w:themeColor="text1"/>
          <w:sz w:val="20"/>
          <w:szCs w:val="20"/>
          <w:lang w:val="es-ES"/>
        </w:rPr>
      </w:pPr>
      <w:r w:rsidRPr="6B6A7D98">
        <w:rPr>
          <w:rFonts w:ascii="Cambria" w:hAnsi="Cambria" w:cs="Calibri Light"/>
          <w:color w:val="000000" w:themeColor="text1"/>
          <w:sz w:val="20"/>
          <w:szCs w:val="20"/>
          <w:lang w:val="es-ES"/>
        </w:rPr>
        <w:t>En 2022, el Estado informó que el 21 de febrero de 2022, COPADEH se acercó al hijo de la víctima del caso</w:t>
      </w:r>
      <w:r w:rsidR="5A2E1FBE" w:rsidRPr="6B6A7D98">
        <w:rPr>
          <w:rFonts w:ascii="Cambria" w:hAnsi="Cambria" w:cs="Calibri Light"/>
          <w:color w:val="000000" w:themeColor="text1"/>
          <w:sz w:val="20"/>
          <w:szCs w:val="20"/>
          <w:lang w:val="es-ES"/>
        </w:rPr>
        <w:t>, quien</w:t>
      </w:r>
      <w:r w:rsidRPr="6B6A7D98">
        <w:rPr>
          <w:rFonts w:ascii="Cambria" w:hAnsi="Cambria" w:cs="Calibri Light"/>
          <w:color w:val="000000" w:themeColor="text1"/>
          <w:sz w:val="20"/>
          <w:szCs w:val="20"/>
          <w:lang w:val="es-ES"/>
        </w:rPr>
        <w:t xml:space="preserve"> renunció </w:t>
      </w:r>
      <w:r w:rsidR="3D4F9EA6" w:rsidRPr="6B6A7D98">
        <w:rPr>
          <w:rFonts w:ascii="Cambria" w:hAnsi="Cambria" w:cs="Calibri Light"/>
          <w:color w:val="000000" w:themeColor="text1"/>
          <w:sz w:val="20"/>
          <w:szCs w:val="20"/>
          <w:lang w:val="es-ES"/>
        </w:rPr>
        <w:t xml:space="preserve">a ser reparado económicamente. </w:t>
      </w:r>
      <w:r w:rsidRPr="6B6A7D98">
        <w:rPr>
          <w:rFonts w:ascii="Cambria" w:hAnsi="Cambria" w:cs="Calibri Light"/>
          <w:color w:val="000000" w:themeColor="text1"/>
          <w:sz w:val="20"/>
          <w:szCs w:val="20"/>
          <w:lang w:val="es-ES"/>
        </w:rPr>
        <w:t xml:space="preserve"> </w:t>
      </w:r>
    </w:p>
    <w:p w14:paraId="2E3FFCB2" w14:textId="77777777" w:rsidR="00385606" w:rsidRPr="0085314B" w:rsidRDefault="00385606" w:rsidP="6B6A7D98">
      <w:pPr>
        <w:shd w:val="clear" w:color="auto" w:fill="FFFFFF" w:themeFill="background1"/>
        <w:jc w:val="both"/>
        <w:rPr>
          <w:rFonts w:ascii="Cambria" w:hAnsi="Cambria" w:cs="Calibri Light"/>
          <w:color w:val="000000" w:themeColor="text1"/>
          <w:sz w:val="20"/>
          <w:szCs w:val="20"/>
          <w:lang w:val="es-ES"/>
        </w:rPr>
      </w:pPr>
    </w:p>
    <w:p w14:paraId="63FCBAD3" w14:textId="0C9757EA" w:rsidR="00385606" w:rsidRPr="0085314B" w:rsidRDefault="7CF1A1AB" w:rsidP="6B6A7D98">
      <w:pPr>
        <w:numPr>
          <w:ilvl w:val="0"/>
          <w:numId w:val="17"/>
        </w:numPr>
        <w:shd w:val="clear" w:color="auto" w:fill="FFFFFF" w:themeFill="background1"/>
        <w:ind w:left="720" w:hanging="360"/>
        <w:jc w:val="both"/>
        <w:rPr>
          <w:rFonts w:ascii="Cambria" w:hAnsi="Cambria" w:cs="Calibri Light"/>
          <w:color w:val="000000" w:themeColor="text1"/>
          <w:sz w:val="20"/>
          <w:szCs w:val="20"/>
          <w:lang w:val="es-ES"/>
        </w:rPr>
      </w:pPr>
      <w:r w:rsidRPr="6B6A7D98">
        <w:rPr>
          <w:rFonts w:ascii="Cambria" w:hAnsi="Cambria" w:cs="Calibri Light"/>
          <w:color w:val="000000" w:themeColor="text1"/>
          <w:sz w:val="20"/>
          <w:szCs w:val="20"/>
          <w:lang w:val="es-ES"/>
        </w:rPr>
        <w:t xml:space="preserve">La Comisión valora la información proporcionada por el Estado sobre el acercamiento con el hijo de la víctima. Considerando su derecho a la reparación integral, la CIDH permanecerá atenta a cualquier cambio en su posición respecto a recibir una indemnización o cualquier otra medida, incluyendo satisfacción o rehabilitación. </w:t>
      </w:r>
    </w:p>
    <w:p w14:paraId="1FD171D5" w14:textId="20FDE41D" w:rsidR="3B2815A4" w:rsidRDefault="3B2815A4" w:rsidP="3B2815A4">
      <w:pPr>
        <w:shd w:val="clear" w:color="auto" w:fill="FFFFFF" w:themeFill="background1"/>
        <w:jc w:val="both"/>
        <w:rPr>
          <w:rFonts w:ascii="Cambria" w:hAnsi="Cambria" w:cs="Calibri Light"/>
          <w:color w:val="000000" w:themeColor="text1"/>
          <w:sz w:val="20"/>
          <w:szCs w:val="20"/>
          <w:lang w:val="es-ES"/>
        </w:rPr>
      </w:pPr>
    </w:p>
    <w:p w14:paraId="71980EE9" w14:textId="77777777" w:rsidR="00385606" w:rsidRPr="0085314B" w:rsidRDefault="00385606" w:rsidP="6B6A7D98">
      <w:pPr>
        <w:numPr>
          <w:ilvl w:val="0"/>
          <w:numId w:val="17"/>
        </w:numPr>
        <w:shd w:val="clear" w:color="auto" w:fill="FFFFFF" w:themeFill="background1"/>
        <w:ind w:left="720" w:hanging="360"/>
        <w:jc w:val="both"/>
        <w:rPr>
          <w:rFonts w:ascii="Cambria" w:hAnsi="Cambria" w:cs="Calibri Light"/>
          <w:color w:val="000000"/>
          <w:sz w:val="20"/>
          <w:szCs w:val="20"/>
          <w:lang w:val="es-ES"/>
        </w:rPr>
      </w:pPr>
      <w:r w:rsidRPr="6B6A7D98">
        <w:rPr>
          <w:rFonts w:ascii="Cambria" w:hAnsi="Cambria" w:cs="Cambria"/>
          <w:b/>
          <w:bCs/>
          <w:color w:val="000000" w:themeColor="text1"/>
          <w:sz w:val="20"/>
          <w:szCs w:val="20"/>
          <w:lang w:val="es-ES" w:eastAsia="pt-BR"/>
        </w:rPr>
        <w:t>En relación con la Recomendación número 4</w:t>
      </w:r>
      <w:r w:rsidRPr="6B6A7D98">
        <w:rPr>
          <w:rFonts w:ascii="Cambria" w:hAnsi="Cambria" w:cs="Cambria"/>
          <w:color w:val="000000" w:themeColor="text1"/>
          <w:sz w:val="20"/>
          <w:szCs w:val="20"/>
          <w:lang w:val="es-ES" w:eastAsia="pt-BR"/>
        </w:rPr>
        <w:t>, en 2019, el Estado reiteró información proporcionada en años anteriores sobre la implementación de medidas de prevención relacionadas con seguridad y justicia, entre las que destaca el Decreto</w:t>
      </w:r>
      <w:r w:rsidRPr="6B6A7D98">
        <w:rPr>
          <w:rFonts w:ascii="Cambria" w:hAnsi="Cambria" w:cs="Calibri Light"/>
          <w:color w:val="000000" w:themeColor="text1"/>
          <w:sz w:val="20"/>
          <w:szCs w:val="20"/>
          <w:lang w:val="es-ES"/>
        </w:rPr>
        <w:t xml:space="preserve"> Nº</w:t>
      </w:r>
      <w:r w:rsidRPr="6B6A7D98">
        <w:rPr>
          <w:rFonts w:ascii="Cambria" w:hAnsi="Cambria" w:cs="Cambria"/>
          <w:color w:val="000000" w:themeColor="text1"/>
          <w:sz w:val="20"/>
          <w:szCs w:val="20"/>
          <w:lang w:val="es-ES" w:eastAsia="pt-BR"/>
        </w:rPr>
        <w:t xml:space="preserve"> 21-2006 Ley Contra la Delincuencia Organizada; Ley del Fortalecimiento a la Persecución Penal mediante Decreto</w:t>
      </w:r>
      <w:r w:rsidRPr="6B6A7D98">
        <w:rPr>
          <w:rFonts w:ascii="Cambria" w:hAnsi="Cambria" w:cs="Calibri Light"/>
          <w:color w:val="000000" w:themeColor="text1"/>
          <w:sz w:val="20"/>
          <w:szCs w:val="20"/>
          <w:lang w:val="es-ES"/>
        </w:rPr>
        <w:t xml:space="preserve"> Nº</w:t>
      </w:r>
      <w:r w:rsidRPr="6B6A7D98">
        <w:rPr>
          <w:rFonts w:ascii="Cambria" w:hAnsi="Cambria" w:cs="Cambria"/>
          <w:color w:val="000000" w:themeColor="text1"/>
          <w:sz w:val="20"/>
          <w:szCs w:val="20"/>
          <w:lang w:val="es-ES" w:eastAsia="pt-BR"/>
        </w:rPr>
        <w:t xml:space="preserve"> 17-2009; Decreto</w:t>
      </w:r>
      <w:r w:rsidRPr="6B6A7D98">
        <w:rPr>
          <w:rFonts w:ascii="Cambria" w:hAnsi="Cambria" w:cs="Calibri Light"/>
          <w:color w:val="000000" w:themeColor="text1"/>
          <w:sz w:val="20"/>
          <w:szCs w:val="20"/>
          <w:lang w:val="es-ES"/>
        </w:rPr>
        <w:t xml:space="preserve"> Nº </w:t>
      </w:r>
      <w:r w:rsidRPr="6B6A7D98">
        <w:rPr>
          <w:rFonts w:ascii="Cambria" w:hAnsi="Cambria" w:cs="Cambria"/>
          <w:color w:val="000000" w:themeColor="text1"/>
          <w:sz w:val="20"/>
          <w:szCs w:val="20"/>
          <w:lang w:val="es-ES" w:eastAsia="pt-BR"/>
        </w:rPr>
        <w:t>40-2010, que permite la creación del Mecanismo Nacional de Prevención de la Tortura y otros Tratos o Penas Crueles, Inhumanos o Degradantes; Acuerdo Gobernativo 197-2012, que crea el Gabinete Específico por la Seguridad, la Justicia y la Paz; Decreto 3-2012, que aprueba el Estatuto de Roma de la Corte Penal Internacional; Decreto</w:t>
      </w:r>
      <w:r w:rsidRPr="6B6A7D98">
        <w:rPr>
          <w:rFonts w:ascii="Cambria" w:hAnsi="Cambria" w:cs="Calibri Light"/>
          <w:color w:val="000000" w:themeColor="text1"/>
          <w:sz w:val="20"/>
          <w:szCs w:val="20"/>
          <w:lang w:val="es-ES"/>
        </w:rPr>
        <w:t xml:space="preserve"> Nº</w:t>
      </w:r>
      <w:r w:rsidRPr="6B6A7D98">
        <w:rPr>
          <w:rFonts w:ascii="Cambria" w:hAnsi="Cambria" w:cs="Cambria"/>
          <w:color w:val="000000" w:themeColor="text1"/>
          <w:sz w:val="20"/>
          <w:szCs w:val="20"/>
          <w:lang w:val="es-ES" w:eastAsia="pt-BR"/>
        </w:rPr>
        <w:t xml:space="preserve"> 5-2012, que aprueba Reformas al Decreto 28-2010 Ley del Sistema de Alerta Alba-Keneth; Decreto </w:t>
      </w:r>
      <w:r w:rsidRPr="6B6A7D98">
        <w:rPr>
          <w:rFonts w:ascii="Cambria" w:hAnsi="Cambria" w:cs="Calibri Light"/>
          <w:color w:val="000000" w:themeColor="text1"/>
          <w:sz w:val="20"/>
          <w:szCs w:val="20"/>
          <w:lang w:val="es-ES"/>
        </w:rPr>
        <w:t xml:space="preserve">Nº </w:t>
      </w:r>
      <w:r w:rsidRPr="6B6A7D98">
        <w:rPr>
          <w:rFonts w:ascii="Cambria" w:hAnsi="Cambria" w:cs="Cambria"/>
          <w:color w:val="000000" w:themeColor="text1"/>
          <w:sz w:val="20"/>
          <w:szCs w:val="20"/>
          <w:lang w:val="es-ES" w:eastAsia="pt-BR"/>
        </w:rPr>
        <w:t xml:space="preserve">15-2012, Ley de la Dirección General de Investigación Criminal; Decreto </w:t>
      </w:r>
      <w:r w:rsidRPr="6B6A7D98">
        <w:rPr>
          <w:rFonts w:ascii="Cambria" w:hAnsi="Cambria" w:cs="Calibri Light"/>
          <w:color w:val="000000" w:themeColor="text1"/>
          <w:sz w:val="20"/>
          <w:szCs w:val="20"/>
          <w:lang w:val="es-ES"/>
        </w:rPr>
        <w:t xml:space="preserve">Nº </w:t>
      </w:r>
      <w:r w:rsidRPr="6B6A7D98">
        <w:rPr>
          <w:rFonts w:ascii="Cambria" w:hAnsi="Cambria" w:cs="Cambria"/>
          <w:color w:val="000000" w:themeColor="text1"/>
          <w:sz w:val="20"/>
          <w:szCs w:val="20"/>
          <w:lang w:val="es-ES" w:eastAsia="pt-BR"/>
        </w:rPr>
        <w:t xml:space="preserve">31-2012 Ley Contra la Corrupción; Decreto </w:t>
      </w:r>
      <w:r w:rsidRPr="6B6A7D98">
        <w:rPr>
          <w:rFonts w:ascii="Cambria" w:hAnsi="Cambria" w:cs="Calibri Light"/>
          <w:color w:val="000000" w:themeColor="text1"/>
          <w:sz w:val="20"/>
          <w:szCs w:val="20"/>
          <w:lang w:val="es-ES"/>
        </w:rPr>
        <w:t xml:space="preserve">Nº </w:t>
      </w:r>
      <w:r w:rsidRPr="6B6A7D98">
        <w:rPr>
          <w:rFonts w:ascii="Cambria" w:hAnsi="Cambria" w:cs="Cambria"/>
          <w:color w:val="000000" w:themeColor="text1"/>
          <w:sz w:val="20"/>
          <w:szCs w:val="20"/>
          <w:lang w:val="es-ES" w:eastAsia="pt-BR"/>
        </w:rPr>
        <w:t xml:space="preserve">9-2016 Ley de Búsqueda Inmediata de Mujeres Desaparecidas. En 2020, el Estado no remitió información respecto al cumplimiento de esta recomendación, tras informar que, debido a la pandemia por COVID-19, se declaró Estado de Calamidad Pública, provocando una ralentización en las actividades de la administración pública. </w:t>
      </w:r>
    </w:p>
    <w:p w14:paraId="7180EDD0" w14:textId="77777777" w:rsidR="00385606" w:rsidRPr="0085314B" w:rsidRDefault="00385606" w:rsidP="6B6A7D98">
      <w:pPr>
        <w:shd w:val="clear" w:color="auto" w:fill="FFFFFF" w:themeFill="background1"/>
        <w:ind w:left="720"/>
        <w:jc w:val="both"/>
        <w:rPr>
          <w:rFonts w:ascii="Cambria" w:hAnsi="Cambria" w:cs="Calibri Light"/>
          <w:color w:val="000000"/>
          <w:sz w:val="20"/>
          <w:szCs w:val="20"/>
          <w:lang w:val="es-ES"/>
        </w:rPr>
      </w:pPr>
    </w:p>
    <w:p w14:paraId="7A30376D" w14:textId="77777777" w:rsidR="00385606" w:rsidRPr="0085314B" w:rsidRDefault="00385606" w:rsidP="3B2815A4">
      <w:pPr>
        <w:numPr>
          <w:ilvl w:val="0"/>
          <w:numId w:val="17"/>
        </w:numPr>
        <w:shd w:val="clear" w:color="auto" w:fill="FFFFFF" w:themeFill="background1"/>
        <w:ind w:left="720" w:hanging="360"/>
        <w:jc w:val="both"/>
        <w:rPr>
          <w:rFonts w:ascii="Cambria" w:hAnsi="Cambria" w:cs="Calibri Light"/>
          <w:color w:val="000000"/>
          <w:sz w:val="20"/>
          <w:szCs w:val="20"/>
          <w:lang w:val="es-ES"/>
        </w:rPr>
      </w:pPr>
      <w:r w:rsidRPr="6B6A7D98">
        <w:rPr>
          <w:rFonts w:ascii="Cambria" w:hAnsi="Cambria" w:cs="Calibri Light"/>
          <w:color w:val="000000" w:themeColor="text1"/>
          <w:sz w:val="20"/>
          <w:szCs w:val="20"/>
          <w:lang w:val="es-ES"/>
        </w:rPr>
        <w:t xml:space="preserve">En 2021, </w:t>
      </w:r>
      <w:r w:rsidRPr="6B6A7D98">
        <w:rPr>
          <w:rFonts w:ascii="Cambria" w:hAnsi="Cambria"/>
          <w:color w:val="000000" w:themeColor="text1"/>
          <w:sz w:val="20"/>
          <w:szCs w:val="20"/>
          <w:lang w:val="es-US"/>
        </w:rPr>
        <w:t>el Estado señaló que el Ministerio de Gobernación -a través de la Policía Nacional Civil- cuenta con políticas e instrumentos de actuación para que las operaciones policiales sean respetuosas de los derechos humanos. Al respecto, enlistó y describió el contenido de las siguientes 7 políticas: (i) Política Nacional de Prevención de la Violencia y el Delito de Seguridad Ciudadana y Convivencia Pacífica 2014-2034; (ii) Estrategia Nacional de Prevención de la Violencia y el Delito 2017-2027; (iii) Programa de Estudios, curso básico de especialización de prevención del delitos; (iv) Programa de Estudios, curso básico de formación de agente de policía; (v) Plan de Capacitación – Fortalecimiento de Competencias en operaciones policiales, aplicación de los derechos humanos y fundamentos jurídicos para la protección de las personas y actuación policial; (vi) Manual de Procedimientos Oficina de Derechos Humanos y Oficina de Equidad de Género; (vii) Orden General No. 20-2014 – integración de la Policía Nacional Civil al Sistema de Participación Ciudadana a través de las Comisiones de Prevención de la Violencia y el Delito.</w:t>
      </w:r>
    </w:p>
    <w:p w14:paraId="1A536D6F" w14:textId="73A22922" w:rsidR="3B2815A4" w:rsidRDefault="3B2815A4" w:rsidP="3B2815A4">
      <w:pPr>
        <w:shd w:val="clear" w:color="auto" w:fill="FFFFFF" w:themeFill="background1"/>
        <w:jc w:val="both"/>
        <w:rPr>
          <w:rFonts w:ascii="Cambria" w:hAnsi="Cambria" w:cs="Calibri Light"/>
          <w:color w:val="000000" w:themeColor="text1"/>
          <w:sz w:val="20"/>
          <w:szCs w:val="20"/>
          <w:lang w:val="es-ES"/>
        </w:rPr>
      </w:pPr>
    </w:p>
    <w:p w14:paraId="605C9814" w14:textId="66FC8234" w:rsidR="345286C7" w:rsidRDefault="345286C7" w:rsidP="6B6A7D98">
      <w:pPr>
        <w:numPr>
          <w:ilvl w:val="0"/>
          <w:numId w:val="17"/>
        </w:numPr>
        <w:shd w:val="clear" w:color="auto" w:fill="FFFFFF" w:themeFill="background1"/>
        <w:ind w:left="720" w:hanging="360"/>
        <w:jc w:val="both"/>
        <w:rPr>
          <w:rFonts w:ascii="Cambria" w:hAnsi="Cambria" w:cs="Calibri Light"/>
          <w:color w:val="000000" w:themeColor="text1"/>
          <w:sz w:val="20"/>
          <w:szCs w:val="20"/>
          <w:lang w:val="es-ES"/>
        </w:rPr>
      </w:pPr>
      <w:r w:rsidRPr="6B6A7D98">
        <w:rPr>
          <w:rFonts w:ascii="Cambria" w:hAnsi="Cambria" w:cs="Calibri Light"/>
          <w:color w:val="000000" w:themeColor="text1"/>
          <w:sz w:val="20"/>
          <w:szCs w:val="20"/>
          <w:lang w:val="es-ES"/>
        </w:rPr>
        <w:t>En 2022, además de reiterar alguna de la información proporcionada en el 2021, el Estado informó sobre algunas acciones del primer semestre de 2022 sobre prevención del delito y acciones para garantizar los derechos fundam</w:t>
      </w:r>
      <w:r w:rsidR="61CD40F6" w:rsidRPr="6B6A7D98">
        <w:rPr>
          <w:rFonts w:ascii="Cambria" w:hAnsi="Cambria" w:cs="Calibri Light"/>
          <w:color w:val="000000" w:themeColor="text1"/>
          <w:sz w:val="20"/>
          <w:szCs w:val="20"/>
          <w:lang w:val="es-ES"/>
        </w:rPr>
        <w:t xml:space="preserve">entales. Para esto, la Subdirección General de Prevención del Delito de la Policía informó sobre la Política Nacional de </w:t>
      </w:r>
      <w:r w:rsidR="20722628" w:rsidRPr="6B6A7D98">
        <w:rPr>
          <w:rFonts w:ascii="Cambria" w:hAnsi="Cambria" w:cs="Calibri Light"/>
          <w:color w:val="000000" w:themeColor="text1"/>
          <w:sz w:val="20"/>
          <w:szCs w:val="20"/>
          <w:lang w:val="es-ES"/>
        </w:rPr>
        <w:t>Prevención de la Violencia y el Delito, Seguridad Ciudadana y Convivencia Pacífica y la Estrategia Nacional de Prevención de la Violencia y el Delito, explicando sus ejes de funcionamiento</w:t>
      </w:r>
      <w:r w:rsidR="3802E78E" w:rsidRPr="6B6A7D98">
        <w:rPr>
          <w:rFonts w:ascii="Cambria" w:hAnsi="Cambria" w:cs="Calibri Light"/>
          <w:color w:val="000000" w:themeColor="text1"/>
          <w:sz w:val="20"/>
          <w:szCs w:val="20"/>
          <w:lang w:val="es-ES"/>
        </w:rPr>
        <w:t>. Asimismo, el Estado manifestó que se ha implementado el Plan Estratégico de Segundo Nivel 22 24 (Modelo Policial de Seguridad Integral Comunitaria - MOPSIC), con una visió</w:t>
      </w:r>
      <w:r w:rsidR="7041365B" w:rsidRPr="6B6A7D98">
        <w:rPr>
          <w:rFonts w:ascii="Cambria" w:hAnsi="Cambria" w:cs="Calibri Light"/>
          <w:color w:val="000000" w:themeColor="text1"/>
          <w:sz w:val="20"/>
          <w:szCs w:val="20"/>
          <w:lang w:val="es-ES"/>
        </w:rPr>
        <w:t xml:space="preserve">n comunitaria del servicio policial. El Estado también se refirió a los objetivos de estas medidas, incluida la disminución de la criminalidad y violencia. </w:t>
      </w:r>
    </w:p>
    <w:p w14:paraId="26CB3BF9" w14:textId="77777777" w:rsidR="00385606" w:rsidRPr="0085314B" w:rsidRDefault="00385606" w:rsidP="6B6A7D98">
      <w:pPr>
        <w:shd w:val="clear" w:color="auto" w:fill="FFFFFF" w:themeFill="background1"/>
        <w:ind w:left="720"/>
        <w:jc w:val="both"/>
        <w:rPr>
          <w:rFonts w:ascii="Cambria" w:hAnsi="Cambria" w:cs="Calibri Light"/>
          <w:color w:val="000000"/>
          <w:sz w:val="20"/>
          <w:szCs w:val="20"/>
          <w:lang w:val="es-ES"/>
        </w:rPr>
      </w:pPr>
    </w:p>
    <w:p w14:paraId="5DC87E2C" w14:textId="03E7D2DB" w:rsidR="00385606" w:rsidRPr="0085314B" w:rsidRDefault="00385606" w:rsidP="6B6A7D98">
      <w:pPr>
        <w:numPr>
          <w:ilvl w:val="0"/>
          <w:numId w:val="17"/>
        </w:numPr>
        <w:ind w:left="720" w:hanging="360"/>
        <w:jc w:val="both"/>
        <w:rPr>
          <w:rFonts w:ascii="Cambria" w:eastAsia="Times New Roman" w:hAnsi="Cambria"/>
          <w:color w:val="000000" w:themeColor="text1"/>
          <w:sz w:val="20"/>
          <w:szCs w:val="20"/>
          <w:lang w:val="es-US"/>
        </w:rPr>
      </w:pPr>
      <w:r w:rsidRPr="6B6A7D98">
        <w:rPr>
          <w:rFonts w:ascii="Cambria" w:hAnsi="Cambria" w:cs="Calibri Light"/>
          <w:color w:val="000000" w:themeColor="text1"/>
          <w:sz w:val="20"/>
          <w:szCs w:val="20"/>
          <w:lang w:val="es-ES"/>
        </w:rPr>
        <w:t>La CIDH</w:t>
      </w:r>
      <w:r w:rsidR="72D02A8E" w:rsidRPr="6B6A7D98">
        <w:rPr>
          <w:rFonts w:ascii="Cambria" w:hAnsi="Cambria" w:cs="Calibri Light"/>
          <w:color w:val="000000" w:themeColor="text1"/>
          <w:sz w:val="20"/>
          <w:szCs w:val="20"/>
          <w:lang w:val="es-ES"/>
        </w:rPr>
        <w:t xml:space="preserve"> ha tomado atenta nota de la información proporcionada por el Estado en cuanto a las medidas policiales adoptadas para la prevención del delito y la violencia y agradece los detalles en torno a la implementación de estas acciones. Al respecto, la CIDH considera que estas medidas están dirigidas al cumplimiento de esta recomendación. Asimismo, </w:t>
      </w:r>
      <w:r w:rsidR="19D61540" w:rsidRPr="6B6A7D98">
        <w:rPr>
          <w:rFonts w:ascii="Cambria" w:hAnsi="Cambria" w:cs="Calibri Light"/>
          <w:color w:val="000000" w:themeColor="text1"/>
          <w:sz w:val="20"/>
          <w:szCs w:val="20"/>
          <w:lang w:val="es-ES"/>
        </w:rPr>
        <w:t>enfatiza en</w:t>
      </w:r>
      <w:r w:rsidR="72D02A8E" w:rsidRPr="6B6A7D98">
        <w:rPr>
          <w:rFonts w:ascii="Cambria" w:hAnsi="Cambria" w:cs="Calibri Light"/>
          <w:color w:val="000000" w:themeColor="text1"/>
          <w:sz w:val="20"/>
          <w:szCs w:val="20"/>
          <w:lang w:val="es-ES"/>
        </w:rPr>
        <w:t xml:space="preserve"> que esta re</w:t>
      </w:r>
      <w:r w:rsidR="31750FC0" w:rsidRPr="6B6A7D98">
        <w:rPr>
          <w:rFonts w:ascii="Cambria" w:hAnsi="Cambria" w:cs="Calibri Light"/>
          <w:color w:val="000000" w:themeColor="text1"/>
          <w:sz w:val="20"/>
          <w:szCs w:val="20"/>
          <w:lang w:val="es-ES"/>
        </w:rPr>
        <w:t>comendación enfatiza en los resultados de las medidas adoptadas, al señalar que se deben realizar todas las acciones necesarias para evitar la repetición de hechos similares a este caso</w:t>
      </w:r>
      <w:r w:rsidR="094854C2" w:rsidRPr="6B6A7D98">
        <w:rPr>
          <w:rFonts w:ascii="Cambria" w:hAnsi="Cambria" w:cs="Calibri Light"/>
          <w:color w:val="000000" w:themeColor="text1"/>
          <w:sz w:val="20"/>
          <w:szCs w:val="20"/>
          <w:lang w:val="es-ES"/>
        </w:rPr>
        <w:t>. En este sentido, la Comisión</w:t>
      </w:r>
      <w:r w:rsidR="31750FC0" w:rsidRPr="6B6A7D98">
        <w:rPr>
          <w:rFonts w:ascii="Cambria" w:hAnsi="Cambria" w:cs="Calibri Light"/>
          <w:color w:val="000000" w:themeColor="text1"/>
          <w:sz w:val="20"/>
          <w:szCs w:val="20"/>
          <w:lang w:val="es-ES"/>
        </w:rPr>
        <w:t xml:space="preserve"> hace una invitación al Estado a proporcionar información en torno a los resultados y la evaluación de las medidas adoptadas</w:t>
      </w:r>
      <w:r w:rsidR="6187153C" w:rsidRPr="6B6A7D98">
        <w:rPr>
          <w:rFonts w:ascii="Cambria" w:hAnsi="Cambria" w:cs="Calibri Light"/>
          <w:color w:val="000000" w:themeColor="text1"/>
          <w:sz w:val="20"/>
          <w:szCs w:val="20"/>
          <w:lang w:val="es-ES"/>
        </w:rPr>
        <w:t xml:space="preserve"> y reportadas</w:t>
      </w:r>
      <w:r w:rsidR="31750FC0" w:rsidRPr="6B6A7D98">
        <w:rPr>
          <w:rFonts w:ascii="Cambria" w:hAnsi="Cambria" w:cs="Calibri Light"/>
          <w:color w:val="000000" w:themeColor="text1"/>
          <w:sz w:val="20"/>
          <w:szCs w:val="20"/>
          <w:lang w:val="es-ES"/>
        </w:rPr>
        <w:t xml:space="preserve">, con la finalidad de evaluar su efectividad. </w:t>
      </w:r>
      <w:r w:rsidR="0E8E4E80" w:rsidRPr="6B6A7D98">
        <w:rPr>
          <w:rFonts w:ascii="Cambria" w:hAnsi="Cambria" w:cs="Calibri Light"/>
          <w:color w:val="000000" w:themeColor="text1"/>
          <w:sz w:val="20"/>
          <w:szCs w:val="20"/>
          <w:lang w:val="es-ES"/>
        </w:rPr>
        <w:t xml:space="preserve">En el entretanto, </w:t>
      </w:r>
      <w:r w:rsidRPr="6B6A7D98">
        <w:rPr>
          <w:rFonts w:ascii="Cambria" w:eastAsia="Times New Roman" w:hAnsi="Cambria"/>
          <w:color w:val="000000" w:themeColor="text1"/>
          <w:sz w:val="20"/>
          <w:szCs w:val="20"/>
          <w:lang w:val="es-US"/>
        </w:rPr>
        <w:t>la Comisión considera que esta recomendación continúa cumplida a nivel parcial sustancial.</w:t>
      </w:r>
    </w:p>
    <w:p w14:paraId="6F9D3918" w14:textId="77777777" w:rsidR="00385606" w:rsidRPr="0085314B" w:rsidRDefault="00385606" w:rsidP="00385606">
      <w:pPr>
        <w:rPr>
          <w:rFonts w:ascii="Cambria" w:hAnsi="Cambria"/>
          <w:color w:val="000000"/>
          <w:sz w:val="20"/>
          <w:szCs w:val="20"/>
          <w:lang w:val="es-ES"/>
        </w:rPr>
      </w:pPr>
    </w:p>
    <w:p w14:paraId="7DA4491F" w14:textId="77777777" w:rsidR="00385606" w:rsidRPr="0085314B" w:rsidRDefault="00385606" w:rsidP="6B6A7D98">
      <w:pPr>
        <w:pStyle w:val="ListParagraph"/>
        <w:numPr>
          <w:ilvl w:val="0"/>
          <w:numId w:val="2"/>
        </w:numPr>
        <w:ind w:left="1440"/>
        <w:jc w:val="both"/>
        <w:rPr>
          <w:rFonts w:ascii="Cambria" w:hAnsi="Cambria" w:cs="Calibri Light"/>
          <w:b/>
          <w:bCs/>
          <w:color w:val="000000"/>
          <w:sz w:val="20"/>
          <w:szCs w:val="20"/>
          <w:lang w:val="es-ES"/>
        </w:rPr>
      </w:pPr>
      <w:r w:rsidRPr="6B6A7D98">
        <w:rPr>
          <w:rFonts w:ascii="Cambria" w:hAnsi="Cambria" w:cs="Calibri Light"/>
          <w:b/>
          <w:bCs/>
          <w:color w:val="000000" w:themeColor="text1"/>
          <w:sz w:val="20"/>
          <w:szCs w:val="20"/>
          <w:lang w:val="es-ES"/>
        </w:rPr>
        <w:t xml:space="preserve">Nivel del cumplimiento del caso </w:t>
      </w:r>
    </w:p>
    <w:p w14:paraId="229630C3" w14:textId="77777777" w:rsidR="00385606" w:rsidRPr="0085314B" w:rsidRDefault="00385606" w:rsidP="00385606">
      <w:pPr>
        <w:jc w:val="both"/>
        <w:rPr>
          <w:rFonts w:ascii="Cambria" w:hAnsi="Cambria" w:cs="Calibri Light"/>
          <w:color w:val="000000"/>
          <w:sz w:val="20"/>
          <w:szCs w:val="20"/>
          <w:lang w:val="es-ES"/>
        </w:rPr>
      </w:pPr>
    </w:p>
    <w:p w14:paraId="76D95E1C" w14:textId="77777777" w:rsidR="00385606" w:rsidRPr="0085314B" w:rsidRDefault="00385606">
      <w:pPr>
        <w:numPr>
          <w:ilvl w:val="0"/>
          <w:numId w:val="17"/>
        </w:numPr>
        <w:ind w:left="720" w:hanging="360"/>
        <w:jc w:val="both"/>
        <w:rPr>
          <w:rFonts w:ascii="Cambria" w:hAnsi="Cambria" w:cs="Calibri Light"/>
          <w:color w:val="000000"/>
          <w:sz w:val="20"/>
          <w:szCs w:val="20"/>
          <w:lang w:val="es-ES"/>
        </w:rPr>
      </w:pPr>
      <w:r w:rsidRPr="6B6A7D98">
        <w:rPr>
          <w:rFonts w:ascii="Cambria" w:hAnsi="Cambria" w:cs="Calibri Light"/>
          <w:color w:val="000000" w:themeColor="text1"/>
          <w:sz w:val="20"/>
          <w:szCs w:val="20"/>
          <w:lang w:val="es-ES"/>
        </w:rPr>
        <w:t>Por todo anterior, la Comisión concluye que el caso se encuentra parcialmente cumplido. La CIDH seguirá supervisando el cumplimiento de las Recomendaciones 1, 2 y 4. Además, llama al Estado de Guatemala a realizar los esfuerzos necesarios para contactar a los representantes de las víctimas del presente caso y a avanzar en las gestiones necesarias para dar cumplimiento a las recomendaciones formuladas por la CIDH en su Informe de Fondo Nº 69/06.</w:t>
      </w:r>
    </w:p>
    <w:p w14:paraId="0BFC5DFF" w14:textId="77777777" w:rsidR="00385606" w:rsidRPr="0085314B" w:rsidRDefault="00385606" w:rsidP="6B6A7D98">
      <w:pPr>
        <w:pStyle w:val="ListParagraph"/>
        <w:ind w:left="1080"/>
        <w:jc w:val="both"/>
        <w:rPr>
          <w:rFonts w:ascii="Cambria" w:hAnsi="Cambria" w:cs="Calibri Light"/>
          <w:b/>
          <w:bCs/>
          <w:color w:val="000000"/>
          <w:sz w:val="20"/>
          <w:szCs w:val="20"/>
          <w:lang w:val="es-ES"/>
        </w:rPr>
      </w:pPr>
    </w:p>
    <w:p w14:paraId="6BAEC2FF" w14:textId="77777777" w:rsidR="00385606" w:rsidRPr="0085314B" w:rsidRDefault="00385606" w:rsidP="6B6A7D98">
      <w:pPr>
        <w:pStyle w:val="ListParagraph"/>
        <w:numPr>
          <w:ilvl w:val="0"/>
          <w:numId w:val="2"/>
        </w:numPr>
        <w:ind w:left="1440"/>
        <w:jc w:val="both"/>
        <w:rPr>
          <w:rFonts w:ascii="Cambria" w:hAnsi="Cambria" w:cs="Calibri Light"/>
          <w:b/>
          <w:bCs/>
          <w:color w:val="000000"/>
          <w:sz w:val="20"/>
          <w:szCs w:val="20"/>
          <w:lang w:val="es-ES"/>
        </w:rPr>
      </w:pPr>
      <w:r w:rsidRPr="6B6A7D98">
        <w:rPr>
          <w:rFonts w:ascii="Cambria" w:hAnsi="Cambria" w:cs="Calibri Light"/>
          <w:b/>
          <w:bCs/>
          <w:color w:val="000000" w:themeColor="text1"/>
          <w:sz w:val="20"/>
          <w:szCs w:val="20"/>
          <w:lang w:val="es-ES"/>
        </w:rPr>
        <w:t xml:space="preserve">Resultados individuales y estructurales del caso </w:t>
      </w:r>
    </w:p>
    <w:p w14:paraId="2A7B95CB" w14:textId="77777777" w:rsidR="00385606" w:rsidRPr="0085314B" w:rsidRDefault="00385606" w:rsidP="6B6A7D98">
      <w:pPr>
        <w:jc w:val="both"/>
        <w:rPr>
          <w:rFonts w:ascii="Cambria" w:hAnsi="Cambria" w:cs="Calibri Light"/>
          <w:b/>
          <w:bCs/>
          <w:color w:val="000000"/>
          <w:sz w:val="20"/>
          <w:szCs w:val="20"/>
          <w:lang w:val="es-ES"/>
        </w:rPr>
      </w:pPr>
    </w:p>
    <w:p w14:paraId="622E489D" w14:textId="77777777" w:rsidR="00385606" w:rsidRPr="0085314B" w:rsidRDefault="00385606">
      <w:pPr>
        <w:numPr>
          <w:ilvl w:val="0"/>
          <w:numId w:val="17"/>
        </w:numPr>
        <w:ind w:left="720" w:hanging="360"/>
        <w:jc w:val="both"/>
        <w:rPr>
          <w:rFonts w:ascii="Cambria" w:hAnsi="Cambria" w:cs="Calibri"/>
          <w:color w:val="000000"/>
          <w:sz w:val="20"/>
          <w:szCs w:val="20"/>
          <w:lang w:val="es-ES"/>
        </w:rPr>
      </w:pPr>
      <w:r w:rsidRPr="6B6A7D98">
        <w:rPr>
          <w:rFonts w:ascii="Cambria" w:hAnsi="Cambria" w:cs="Calibri Light"/>
          <w:color w:val="000000" w:themeColor="text1"/>
          <w:sz w:val="20"/>
          <w:szCs w:val="20"/>
          <w:lang w:val="es-ES"/>
        </w:rPr>
        <w:t>En esta sección se destacan los resultados individuales y estructurales del caso informados por las partes.</w:t>
      </w:r>
    </w:p>
    <w:p w14:paraId="24A48DE5" w14:textId="77777777" w:rsidR="00385606" w:rsidRPr="0085314B" w:rsidRDefault="00385606" w:rsidP="6B6A7D98">
      <w:pPr>
        <w:jc w:val="both"/>
        <w:rPr>
          <w:rFonts w:ascii="Cambria" w:hAnsi="Cambria" w:cs="Calibri Light"/>
          <w:b/>
          <w:bCs/>
          <w:color w:val="000000"/>
          <w:sz w:val="20"/>
          <w:szCs w:val="20"/>
          <w:lang w:val="es-ES"/>
        </w:rPr>
      </w:pPr>
    </w:p>
    <w:p w14:paraId="57E46262" w14:textId="77777777" w:rsidR="00385606" w:rsidRPr="0085314B" w:rsidRDefault="00385606" w:rsidP="6B6A7D98">
      <w:pPr>
        <w:pStyle w:val="ListParagraph"/>
        <w:numPr>
          <w:ilvl w:val="0"/>
          <w:numId w:val="3"/>
        </w:numPr>
        <w:ind w:left="1440" w:hanging="720"/>
        <w:jc w:val="both"/>
        <w:rPr>
          <w:rFonts w:ascii="Cambria" w:hAnsi="Cambria" w:cs="Calibri Light"/>
          <w:b/>
          <w:bCs/>
          <w:color w:val="000000"/>
          <w:sz w:val="20"/>
          <w:szCs w:val="20"/>
          <w:lang w:val="es-ES"/>
        </w:rPr>
      </w:pPr>
      <w:r w:rsidRPr="6B6A7D98">
        <w:rPr>
          <w:rFonts w:ascii="Cambria" w:hAnsi="Cambria" w:cs="Calibri Light"/>
          <w:b/>
          <w:bCs/>
          <w:color w:val="000000" w:themeColor="text1"/>
          <w:sz w:val="20"/>
          <w:szCs w:val="20"/>
          <w:lang w:val="es-ES"/>
        </w:rPr>
        <w:t>Resultados individuales del caso</w:t>
      </w:r>
    </w:p>
    <w:p w14:paraId="6F9F1B6C" w14:textId="77777777" w:rsidR="00385606" w:rsidRPr="0085314B" w:rsidRDefault="00385606" w:rsidP="6B6A7D98">
      <w:pPr>
        <w:jc w:val="both"/>
        <w:rPr>
          <w:rFonts w:ascii="Cambria" w:hAnsi="Cambria" w:cs="Calibri Light"/>
          <w:b/>
          <w:bCs/>
          <w:color w:val="000000"/>
          <w:sz w:val="20"/>
          <w:szCs w:val="20"/>
          <w:lang w:val="es-ES"/>
        </w:rPr>
      </w:pPr>
    </w:p>
    <w:p w14:paraId="45EBE58F" w14:textId="77777777" w:rsidR="00385606" w:rsidRPr="0085314B" w:rsidRDefault="00385606" w:rsidP="6B6A7D98">
      <w:pPr>
        <w:jc w:val="both"/>
        <w:rPr>
          <w:rFonts w:ascii="Cambria" w:hAnsi="Cambria" w:cs="Calibri Light"/>
          <w:i/>
          <w:iCs/>
          <w:color w:val="000000"/>
          <w:sz w:val="20"/>
          <w:szCs w:val="20"/>
          <w:lang w:val="es-ES"/>
        </w:rPr>
      </w:pPr>
      <w:r w:rsidRPr="6B6A7D98">
        <w:rPr>
          <w:rFonts w:ascii="Cambria" w:hAnsi="Cambria" w:cs="Calibri Light"/>
          <w:i/>
          <w:iCs/>
          <w:color w:val="000000" w:themeColor="text1"/>
          <w:sz w:val="20"/>
          <w:szCs w:val="20"/>
          <w:lang w:val="es-ES"/>
        </w:rPr>
        <w:t xml:space="preserve">Medidas en verdad y justicia </w:t>
      </w:r>
    </w:p>
    <w:p w14:paraId="05D28B60" w14:textId="77777777" w:rsidR="00385606" w:rsidRPr="0085314B" w:rsidRDefault="00385606">
      <w:pPr>
        <w:numPr>
          <w:ilvl w:val="0"/>
          <w:numId w:val="19"/>
        </w:numPr>
        <w:jc w:val="both"/>
        <w:rPr>
          <w:rFonts w:ascii="Cambria" w:hAnsi="Cambria" w:cs="Calibri Light"/>
          <w:color w:val="000000"/>
          <w:sz w:val="20"/>
          <w:szCs w:val="20"/>
          <w:lang w:val="es-ES"/>
        </w:rPr>
      </w:pPr>
      <w:r w:rsidRPr="6B6A7D98">
        <w:rPr>
          <w:rFonts w:ascii="Cambria" w:hAnsi="Cambria" w:cs="Calibri Light"/>
          <w:color w:val="000000" w:themeColor="text1"/>
          <w:sz w:val="20"/>
          <w:szCs w:val="20"/>
          <w:lang w:val="es-ES"/>
        </w:rPr>
        <w:t>El 5 de noviembre de 1996 el Tribunal de Sentencia del Quiché dictó sentencia contra el señor Santos Chich Us por los hechos del caso.</w:t>
      </w:r>
    </w:p>
    <w:p w14:paraId="79398EFB" w14:textId="77777777" w:rsidR="00385606" w:rsidRPr="0085314B" w:rsidRDefault="00385606" w:rsidP="00385606">
      <w:pPr>
        <w:ind w:left="720"/>
        <w:jc w:val="both"/>
        <w:rPr>
          <w:rFonts w:ascii="Cambria" w:hAnsi="Cambria" w:cs="Calibri Light"/>
          <w:color w:val="000000"/>
          <w:sz w:val="20"/>
          <w:szCs w:val="20"/>
          <w:lang w:val="es-ES"/>
        </w:rPr>
      </w:pPr>
    </w:p>
    <w:p w14:paraId="302F1A5C" w14:textId="77777777" w:rsidR="00385606" w:rsidRPr="0085314B" w:rsidRDefault="00385606" w:rsidP="6B6A7D98">
      <w:pPr>
        <w:pStyle w:val="ListParagraph"/>
        <w:numPr>
          <w:ilvl w:val="0"/>
          <w:numId w:val="3"/>
        </w:numPr>
        <w:ind w:left="1440" w:hanging="720"/>
        <w:jc w:val="both"/>
        <w:rPr>
          <w:rFonts w:ascii="Cambria" w:hAnsi="Cambria" w:cs="Calibri Light"/>
          <w:b/>
          <w:bCs/>
          <w:color w:val="000000"/>
          <w:sz w:val="20"/>
          <w:szCs w:val="20"/>
          <w:lang w:val="es-ES"/>
        </w:rPr>
      </w:pPr>
      <w:r w:rsidRPr="6B6A7D98">
        <w:rPr>
          <w:rFonts w:ascii="Cambria" w:hAnsi="Cambria" w:cs="Calibri Light"/>
          <w:b/>
          <w:bCs/>
          <w:color w:val="000000" w:themeColor="text1"/>
          <w:sz w:val="20"/>
          <w:szCs w:val="20"/>
          <w:lang w:val="es-ES"/>
        </w:rPr>
        <w:t>Resultados estructurales del caso</w:t>
      </w:r>
    </w:p>
    <w:p w14:paraId="1A1319E9" w14:textId="77777777" w:rsidR="00385606" w:rsidRPr="0085314B" w:rsidRDefault="00385606" w:rsidP="00385606">
      <w:pPr>
        <w:pStyle w:val="ListParagraph"/>
        <w:ind w:left="0"/>
        <w:jc w:val="both"/>
        <w:rPr>
          <w:rFonts w:ascii="Cambria" w:hAnsi="Cambria" w:cs="Cambria"/>
          <w:color w:val="000000"/>
          <w:sz w:val="20"/>
          <w:szCs w:val="20"/>
          <w:lang w:val="es-ES" w:eastAsia="pt-BR"/>
        </w:rPr>
      </w:pPr>
    </w:p>
    <w:p w14:paraId="69D5B4FE" w14:textId="77777777" w:rsidR="00385606" w:rsidRPr="0085314B" w:rsidRDefault="00385606" w:rsidP="00385606">
      <w:pPr>
        <w:jc w:val="both"/>
        <w:rPr>
          <w:rFonts w:ascii="Cambria" w:hAnsi="Cambria"/>
          <w:color w:val="000000"/>
          <w:sz w:val="20"/>
          <w:szCs w:val="20"/>
          <w:lang w:val="es-ES"/>
        </w:rPr>
      </w:pPr>
      <w:r w:rsidRPr="6B6A7D98">
        <w:rPr>
          <w:rFonts w:ascii="Cambria" w:hAnsi="Cambria"/>
          <w:i/>
          <w:iCs/>
          <w:color w:val="000000" w:themeColor="text1"/>
          <w:sz w:val="20"/>
          <w:szCs w:val="20"/>
          <w:lang w:val="es-ES"/>
        </w:rPr>
        <w:t>Legislación/Normativa</w:t>
      </w:r>
      <w:r w:rsidRPr="6B6A7D98">
        <w:rPr>
          <w:rFonts w:ascii="Cambria" w:hAnsi="Cambria"/>
          <w:color w:val="000000" w:themeColor="text1"/>
          <w:sz w:val="20"/>
          <w:szCs w:val="20"/>
          <w:lang w:val="es-ES"/>
        </w:rPr>
        <w:t xml:space="preserve"> </w:t>
      </w:r>
    </w:p>
    <w:p w14:paraId="468D5AB3" w14:textId="77777777" w:rsidR="00385606" w:rsidRPr="0085314B" w:rsidRDefault="00385606">
      <w:pPr>
        <w:numPr>
          <w:ilvl w:val="0"/>
          <w:numId w:val="18"/>
        </w:numPr>
        <w:jc w:val="both"/>
        <w:rPr>
          <w:rFonts w:ascii="Cambria" w:hAnsi="Cambria" w:cs="Calibri Light"/>
          <w:color w:val="000000"/>
          <w:sz w:val="20"/>
          <w:szCs w:val="20"/>
          <w:lang w:val="es-ES"/>
        </w:rPr>
      </w:pPr>
      <w:r w:rsidRPr="6B6A7D98">
        <w:rPr>
          <w:rFonts w:ascii="Cambria" w:hAnsi="Cambria" w:cs="Calibri Light"/>
          <w:color w:val="000000" w:themeColor="text1"/>
          <w:sz w:val="20"/>
          <w:szCs w:val="20"/>
          <w:lang w:val="es-ES"/>
        </w:rPr>
        <w:t>El Decreto Nº 143-96 del Congreso de la República de Guatemala de fecha 28 de noviembre de 1996 que disuelve las patrullas de autodefensa civil</w:t>
      </w:r>
    </w:p>
    <w:p w14:paraId="37DD6A7B" w14:textId="77777777" w:rsidR="00385606" w:rsidRPr="0085314B" w:rsidRDefault="00385606">
      <w:pPr>
        <w:pStyle w:val="ListParagraph"/>
        <w:numPr>
          <w:ilvl w:val="0"/>
          <w:numId w:val="18"/>
        </w:numPr>
        <w:jc w:val="both"/>
        <w:rPr>
          <w:rFonts w:ascii="Cambria" w:hAnsi="Cambria"/>
          <w:color w:val="000000"/>
          <w:sz w:val="20"/>
          <w:szCs w:val="20"/>
          <w:lang w:val="es-ES"/>
        </w:rPr>
      </w:pPr>
      <w:r w:rsidRPr="6B6A7D98">
        <w:rPr>
          <w:rFonts w:ascii="Cambria" w:hAnsi="Cambria" w:cs="Cambria"/>
          <w:color w:val="000000" w:themeColor="text1"/>
          <w:sz w:val="20"/>
          <w:szCs w:val="20"/>
          <w:lang w:val="es-ES" w:eastAsia="pt-BR"/>
        </w:rPr>
        <w:t xml:space="preserve">Decreto </w:t>
      </w:r>
      <w:r w:rsidRPr="6B6A7D98">
        <w:rPr>
          <w:rFonts w:ascii="Cambria" w:hAnsi="Cambria" w:cs="Calibri Light"/>
          <w:color w:val="000000" w:themeColor="text1"/>
          <w:sz w:val="20"/>
          <w:szCs w:val="20"/>
          <w:lang w:val="es-ES"/>
        </w:rPr>
        <w:t xml:space="preserve">Nº </w:t>
      </w:r>
      <w:r w:rsidRPr="6B6A7D98">
        <w:rPr>
          <w:rFonts w:ascii="Cambria" w:hAnsi="Cambria" w:cs="Cambria"/>
          <w:color w:val="000000" w:themeColor="text1"/>
          <w:sz w:val="20"/>
          <w:szCs w:val="20"/>
          <w:lang w:val="es-ES" w:eastAsia="pt-BR"/>
        </w:rPr>
        <w:t>21-2006 Ley Contra la Delincuencia Organizada.</w:t>
      </w:r>
    </w:p>
    <w:p w14:paraId="444AC846" w14:textId="77777777" w:rsidR="00385606" w:rsidRPr="0085314B" w:rsidRDefault="00385606">
      <w:pPr>
        <w:pStyle w:val="ListParagraph"/>
        <w:numPr>
          <w:ilvl w:val="0"/>
          <w:numId w:val="18"/>
        </w:numPr>
        <w:jc w:val="both"/>
        <w:rPr>
          <w:rFonts w:ascii="Cambria" w:hAnsi="Cambria"/>
          <w:color w:val="000000"/>
          <w:sz w:val="20"/>
          <w:szCs w:val="20"/>
          <w:lang w:val="es-ES"/>
        </w:rPr>
      </w:pPr>
      <w:r w:rsidRPr="6B6A7D98">
        <w:rPr>
          <w:rFonts w:ascii="Cambria" w:hAnsi="Cambria" w:cs="Cambria"/>
          <w:color w:val="000000" w:themeColor="text1"/>
          <w:sz w:val="20"/>
          <w:szCs w:val="20"/>
          <w:lang w:val="es-ES" w:eastAsia="pt-BR"/>
        </w:rPr>
        <w:t xml:space="preserve">Ley del Fortalecimiento a la Persecución Penal mediante Decreto </w:t>
      </w:r>
      <w:r w:rsidRPr="6B6A7D98">
        <w:rPr>
          <w:rFonts w:ascii="Cambria" w:hAnsi="Cambria" w:cs="Calibri Light"/>
          <w:color w:val="000000" w:themeColor="text1"/>
          <w:sz w:val="20"/>
          <w:szCs w:val="20"/>
          <w:lang w:val="es-ES"/>
        </w:rPr>
        <w:t xml:space="preserve">Nº </w:t>
      </w:r>
      <w:r w:rsidRPr="6B6A7D98">
        <w:rPr>
          <w:rFonts w:ascii="Cambria" w:hAnsi="Cambria" w:cs="Cambria"/>
          <w:color w:val="000000" w:themeColor="text1"/>
          <w:sz w:val="20"/>
          <w:szCs w:val="20"/>
          <w:lang w:val="es-ES" w:eastAsia="pt-BR"/>
        </w:rPr>
        <w:t xml:space="preserve">17-2009. </w:t>
      </w:r>
    </w:p>
    <w:p w14:paraId="03F20C3C" w14:textId="77777777" w:rsidR="00385606" w:rsidRPr="0085314B" w:rsidRDefault="00385606">
      <w:pPr>
        <w:pStyle w:val="ListParagraph"/>
        <w:numPr>
          <w:ilvl w:val="0"/>
          <w:numId w:val="18"/>
        </w:numPr>
        <w:jc w:val="both"/>
        <w:rPr>
          <w:rFonts w:ascii="Cambria" w:hAnsi="Cambria"/>
          <w:color w:val="000000"/>
          <w:sz w:val="20"/>
          <w:szCs w:val="20"/>
          <w:lang w:val="es-ES"/>
        </w:rPr>
      </w:pPr>
      <w:r w:rsidRPr="6B6A7D98">
        <w:rPr>
          <w:rFonts w:ascii="Cambria" w:hAnsi="Cambria" w:cs="Cambria"/>
          <w:color w:val="000000" w:themeColor="text1"/>
          <w:sz w:val="20"/>
          <w:szCs w:val="20"/>
          <w:lang w:val="es-ES" w:eastAsia="pt-BR"/>
        </w:rPr>
        <w:t xml:space="preserve">Decreto </w:t>
      </w:r>
      <w:r w:rsidRPr="6B6A7D98">
        <w:rPr>
          <w:rFonts w:ascii="Cambria" w:hAnsi="Cambria" w:cs="Calibri Light"/>
          <w:color w:val="000000" w:themeColor="text1"/>
          <w:sz w:val="20"/>
          <w:szCs w:val="20"/>
          <w:lang w:val="es-ES"/>
        </w:rPr>
        <w:t xml:space="preserve">Nº </w:t>
      </w:r>
      <w:r w:rsidRPr="6B6A7D98">
        <w:rPr>
          <w:rFonts w:ascii="Cambria" w:hAnsi="Cambria" w:cs="Cambria"/>
          <w:color w:val="000000" w:themeColor="text1"/>
          <w:sz w:val="20"/>
          <w:szCs w:val="20"/>
          <w:lang w:val="es-ES" w:eastAsia="pt-BR"/>
        </w:rPr>
        <w:t>40-2010, que permite la creación del Mecanismo Nacional de Prevención de la Tortura y otros Tratos o Penas Crueles, Inhumanos o Degradantes.</w:t>
      </w:r>
    </w:p>
    <w:p w14:paraId="77CC155D" w14:textId="77777777" w:rsidR="00385606" w:rsidRPr="0085314B" w:rsidRDefault="00385606">
      <w:pPr>
        <w:pStyle w:val="ListParagraph"/>
        <w:numPr>
          <w:ilvl w:val="0"/>
          <w:numId w:val="18"/>
        </w:numPr>
        <w:jc w:val="both"/>
        <w:rPr>
          <w:rFonts w:ascii="Cambria" w:hAnsi="Cambria"/>
          <w:color w:val="000000"/>
          <w:sz w:val="20"/>
          <w:szCs w:val="20"/>
          <w:lang w:val="es-ES"/>
        </w:rPr>
      </w:pPr>
      <w:r w:rsidRPr="6B6A7D98">
        <w:rPr>
          <w:rFonts w:ascii="Cambria" w:hAnsi="Cambria" w:cs="Cambria"/>
          <w:color w:val="000000" w:themeColor="text1"/>
          <w:sz w:val="20"/>
          <w:szCs w:val="20"/>
          <w:lang w:val="es-ES" w:eastAsia="pt-BR"/>
        </w:rPr>
        <w:t xml:space="preserve">Acuerdo Gobernativo 197-2012, que crea el Gabinete Específico por la Seguridad, la Justicia y la Paz; </w:t>
      </w:r>
    </w:p>
    <w:p w14:paraId="6B5C7A22" w14:textId="77777777" w:rsidR="00385606" w:rsidRPr="0085314B" w:rsidRDefault="00385606">
      <w:pPr>
        <w:pStyle w:val="ListParagraph"/>
        <w:numPr>
          <w:ilvl w:val="0"/>
          <w:numId w:val="18"/>
        </w:numPr>
        <w:jc w:val="both"/>
        <w:rPr>
          <w:rFonts w:ascii="Cambria" w:hAnsi="Cambria"/>
          <w:color w:val="000000"/>
          <w:sz w:val="20"/>
          <w:szCs w:val="20"/>
          <w:lang w:val="es-ES"/>
        </w:rPr>
      </w:pPr>
      <w:r w:rsidRPr="6B6A7D98">
        <w:rPr>
          <w:rFonts w:ascii="Cambria" w:hAnsi="Cambria" w:cs="Cambria"/>
          <w:color w:val="000000" w:themeColor="text1"/>
          <w:sz w:val="20"/>
          <w:szCs w:val="20"/>
          <w:lang w:val="es-ES" w:eastAsia="pt-BR"/>
        </w:rPr>
        <w:t>Decreto</w:t>
      </w:r>
      <w:r w:rsidRPr="6B6A7D98">
        <w:rPr>
          <w:rFonts w:ascii="Cambria" w:hAnsi="Cambria" w:cs="Calibri Light"/>
          <w:color w:val="000000" w:themeColor="text1"/>
          <w:sz w:val="20"/>
          <w:szCs w:val="20"/>
          <w:lang w:val="es-ES"/>
        </w:rPr>
        <w:t xml:space="preserve"> Nº</w:t>
      </w:r>
      <w:r w:rsidRPr="6B6A7D98">
        <w:rPr>
          <w:rFonts w:ascii="Cambria" w:hAnsi="Cambria" w:cs="Cambria"/>
          <w:color w:val="000000" w:themeColor="text1"/>
          <w:sz w:val="20"/>
          <w:szCs w:val="20"/>
          <w:lang w:val="es-ES" w:eastAsia="pt-BR"/>
        </w:rPr>
        <w:t xml:space="preserve"> 3-2012, que aprueba el Estatuto de Roma de la Corte Penal Internacional.</w:t>
      </w:r>
    </w:p>
    <w:p w14:paraId="55C6532D" w14:textId="77777777" w:rsidR="00385606" w:rsidRPr="0085314B" w:rsidRDefault="00385606">
      <w:pPr>
        <w:pStyle w:val="ListParagraph"/>
        <w:numPr>
          <w:ilvl w:val="0"/>
          <w:numId w:val="18"/>
        </w:numPr>
        <w:jc w:val="both"/>
        <w:rPr>
          <w:rFonts w:ascii="Cambria" w:hAnsi="Cambria"/>
          <w:color w:val="000000"/>
          <w:sz w:val="20"/>
          <w:szCs w:val="20"/>
          <w:lang w:val="es-ES"/>
        </w:rPr>
      </w:pPr>
      <w:r w:rsidRPr="6B6A7D98">
        <w:rPr>
          <w:rFonts w:ascii="Cambria" w:hAnsi="Cambria" w:cs="Cambria"/>
          <w:color w:val="000000" w:themeColor="text1"/>
          <w:sz w:val="20"/>
          <w:szCs w:val="20"/>
          <w:lang w:val="es-ES" w:eastAsia="pt-BR"/>
        </w:rPr>
        <w:t xml:space="preserve">Decreto </w:t>
      </w:r>
      <w:r w:rsidRPr="6B6A7D98">
        <w:rPr>
          <w:rFonts w:ascii="Cambria" w:hAnsi="Cambria" w:cs="Calibri Light"/>
          <w:color w:val="000000" w:themeColor="text1"/>
          <w:sz w:val="20"/>
          <w:szCs w:val="20"/>
          <w:lang w:val="es-ES"/>
        </w:rPr>
        <w:t xml:space="preserve">Nº </w:t>
      </w:r>
      <w:r w:rsidRPr="6B6A7D98">
        <w:rPr>
          <w:rFonts w:ascii="Cambria" w:hAnsi="Cambria" w:cs="Cambria"/>
          <w:color w:val="000000" w:themeColor="text1"/>
          <w:sz w:val="20"/>
          <w:szCs w:val="20"/>
          <w:lang w:val="es-ES" w:eastAsia="pt-BR"/>
        </w:rPr>
        <w:t xml:space="preserve">5-2012, que aprueba Reformas al Decreto 28-2010 Ley del Sistema de Alerta Alba-Keneth. </w:t>
      </w:r>
    </w:p>
    <w:p w14:paraId="3471C3AF" w14:textId="77777777" w:rsidR="00385606" w:rsidRPr="0085314B" w:rsidRDefault="00385606">
      <w:pPr>
        <w:pStyle w:val="ListParagraph"/>
        <w:numPr>
          <w:ilvl w:val="0"/>
          <w:numId w:val="18"/>
        </w:numPr>
        <w:jc w:val="both"/>
        <w:rPr>
          <w:rFonts w:ascii="Cambria" w:hAnsi="Cambria"/>
          <w:color w:val="000000"/>
          <w:sz w:val="20"/>
          <w:szCs w:val="20"/>
          <w:lang w:val="es-ES"/>
        </w:rPr>
      </w:pPr>
      <w:r w:rsidRPr="6B6A7D98">
        <w:rPr>
          <w:rFonts w:ascii="Cambria" w:hAnsi="Cambria" w:cs="Cambria"/>
          <w:color w:val="000000" w:themeColor="text1"/>
          <w:sz w:val="20"/>
          <w:szCs w:val="20"/>
          <w:lang w:val="es-ES" w:eastAsia="pt-BR"/>
        </w:rPr>
        <w:t xml:space="preserve">Decreto </w:t>
      </w:r>
      <w:r w:rsidRPr="6B6A7D98">
        <w:rPr>
          <w:rFonts w:ascii="Cambria" w:hAnsi="Cambria" w:cs="Calibri Light"/>
          <w:color w:val="000000" w:themeColor="text1"/>
          <w:sz w:val="20"/>
          <w:szCs w:val="20"/>
          <w:lang w:val="es-ES"/>
        </w:rPr>
        <w:t xml:space="preserve">Nº </w:t>
      </w:r>
      <w:r w:rsidRPr="6B6A7D98">
        <w:rPr>
          <w:rFonts w:ascii="Cambria" w:hAnsi="Cambria" w:cs="Cambria"/>
          <w:color w:val="000000" w:themeColor="text1"/>
          <w:sz w:val="20"/>
          <w:szCs w:val="20"/>
          <w:lang w:val="es-ES" w:eastAsia="pt-BR"/>
        </w:rPr>
        <w:t>15-2012, Ley de la Dirección General de Investigación Criminal; Decreto 31-2012 Ley Contra la Corrupción.</w:t>
      </w:r>
    </w:p>
    <w:p w14:paraId="0B6CDE5A" w14:textId="77777777" w:rsidR="00385606" w:rsidRPr="0085314B" w:rsidRDefault="00385606">
      <w:pPr>
        <w:pStyle w:val="ListParagraph"/>
        <w:numPr>
          <w:ilvl w:val="0"/>
          <w:numId w:val="18"/>
        </w:numPr>
        <w:jc w:val="both"/>
        <w:rPr>
          <w:rFonts w:ascii="Cambria" w:hAnsi="Cambria"/>
          <w:color w:val="000000"/>
          <w:sz w:val="20"/>
          <w:szCs w:val="20"/>
          <w:lang w:val="es-ES"/>
        </w:rPr>
      </w:pPr>
      <w:r w:rsidRPr="6B6A7D98">
        <w:rPr>
          <w:rFonts w:ascii="Cambria" w:hAnsi="Cambria" w:cs="Cambria"/>
          <w:color w:val="000000" w:themeColor="text1"/>
          <w:sz w:val="20"/>
          <w:szCs w:val="20"/>
          <w:lang w:val="es-ES" w:eastAsia="pt-BR"/>
        </w:rPr>
        <w:t xml:space="preserve">Decreto </w:t>
      </w:r>
      <w:r w:rsidRPr="6B6A7D98">
        <w:rPr>
          <w:rFonts w:ascii="Cambria" w:hAnsi="Cambria" w:cs="Calibri Light"/>
          <w:color w:val="000000" w:themeColor="text1"/>
          <w:sz w:val="20"/>
          <w:szCs w:val="20"/>
          <w:lang w:val="es-ES"/>
        </w:rPr>
        <w:t xml:space="preserve">Nº </w:t>
      </w:r>
      <w:r w:rsidRPr="6B6A7D98">
        <w:rPr>
          <w:rFonts w:ascii="Cambria" w:hAnsi="Cambria" w:cs="Cambria"/>
          <w:color w:val="000000" w:themeColor="text1"/>
          <w:sz w:val="20"/>
          <w:szCs w:val="20"/>
          <w:lang w:val="es-ES" w:eastAsia="pt-BR"/>
        </w:rPr>
        <w:t>9-2016 Ley de Búsqueda Inmediata de Mujeres Desaparecidas.</w:t>
      </w:r>
    </w:p>
    <w:p w14:paraId="6A9AEB00" w14:textId="77777777" w:rsidR="00385606" w:rsidRPr="0085314B" w:rsidRDefault="00385606" w:rsidP="00385606">
      <w:pPr>
        <w:pStyle w:val="ListParagraph"/>
        <w:ind w:left="0"/>
        <w:jc w:val="both"/>
        <w:rPr>
          <w:rFonts w:ascii="Cambria" w:hAnsi="Cambria" w:cs="Cambria"/>
          <w:color w:val="000000"/>
          <w:sz w:val="20"/>
          <w:szCs w:val="20"/>
          <w:lang w:val="es-ES" w:eastAsia="pt-BR"/>
        </w:rPr>
      </w:pPr>
    </w:p>
    <w:p w14:paraId="543643B4" w14:textId="77777777" w:rsidR="00385606" w:rsidRPr="0085314B" w:rsidRDefault="00385606" w:rsidP="6B6A7D98">
      <w:pPr>
        <w:jc w:val="both"/>
        <w:rPr>
          <w:rFonts w:ascii="Cambria" w:eastAsia="Times New Roman" w:hAnsi="Cambria"/>
          <w:i/>
          <w:iCs/>
          <w:color w:val="000000"/>
          <w:sz w:val="20"/>
          <w:szCs w:val="20"/>
          <w:lang w:val="es-ES"/>
        </w:rPr>
      </w:pPr>
      <w:r w:rsidRPr="6B6A7D98">
        <w:rPr>
          <w:rFonts w:ascii="Cambria" w:eastAsia="Times New Roman" w:hAnsi="Cambria"/>
          <w:i/>
          <w:iCs/>
          <w:color w:val="000000" w:themeColor="text1"/>
          <w:sz w:val="20"/>
          <w:szCs w:val="20"/>
          <w:lang w:val="es-ES"/>
        </w:rPr>
        <w:t>Políticas públicas</w:t>
      </w:r>
    </w:p>
    <w:p w14:paraId="40D02F06" w14:textId="77777777" w:rsidR="00385606" w:rsidRPr="0085314B" w:rsidRDefault="00385606">
      <w:pPr>
        <w:numPr>
          <w:ilvl w:val="0"/>
          <w:numId w:val="20"/>
        </w:numPr>
        <w:ind w:left="720" w:hanging="360"/>
        <w:jc w:val="both"/>
        <w:rPr>
          <w:rFonts w:ascii="Cambria" w:eastAsia="Times New Roman" w:hAnsi="Cambria"/>
          <w:color w:val="000000"/>
          <w:sz w:val="20"/>
          <w:szCs w:val="20"/>
          <w:lang w:val="es-US"/>
        </w:rPr>
      </w:pPr>
      <w:r w:rsidRPr="6B6A7D98">
        <w:rPr>
          <w:rFonts w:ascii="Cambria" w:eastAsia="Times New Roman" w:hAnsi="Cambria"/>
          <w:color w:val="000000" w:themeColor="text1"/>
          <w:sz w:val="20"/>
          <w:szCs w:val="20"/>
          <w:lang w:val="es-US"/>
        </w:rPr>
        <w:t>Política Nacional de Prevención de la Violencia y el Delito de Seguridad Ciudadana y Convivencia Pacífica 2014-2034, que introduce un enfoque de prevención de la violencia que transforme integralmente los enfoques tradicionales de seguridad y que permita la participación de la población en el marco de la seguridad ciudadana y la convivencia pacífica. Está dirigida a superar las debilidades del Estado en seguridad integral y dirigida a involucrar a las alianzas de las comunidades locales urbanas y rurales, las organizaciones no gubernamentales y organizaciones de la sociedad civil, el sector privado, cooperación nacional e internacional, bajo el enfoque de los derechos humanos.</w:t>
      </w:r>
    </w:p>
    <w:p w14:paraId="0DA8E2D5" w14:textId="77777777" w:rsidR="00385606" w:rsidRPr="0085314B" w:rsidRDefault="00385606">
      <w:pPr>
        <w:numPr>
          <w:ilvl w:val="0"/>
          <w:numId w:val="20"/>
        </w:numPr>
        <w:ind w:left="720" w:hanging="360"/>
        <w:jc w:val="both"/>
        <w:rPr>
          <w:rFonts w:ascii="Cambria" w:eastAsia="Times New Roman" w:hAnsi="Cambria"/>
          <w:color w:val="000000"/>
          <w:sz w:val="20"/>
          <w:szCs w:val="20"/>
          <w:lang w:val="es-ES"/>
        </w:rPr>
      </w:pPr>
      <w:r w:rsidRPr="6B6A7D98">
        <w:rPr>
          <w:rFonts w:ascii="Cambria" w:eastAsia="Times New Roman" w:hAnsi="Cambria"/>
          <w:color w:val="000000" w:themeColor="text1"/>
          <w:sz w:val="20"/>
          <w:szCs w:val="20"/>
          <w:lang w:val="es-US"/>
        </w:rPr>
        <w:t>Estrategia Nacional de Prevención de la Violencia y el Delito 2017-2027, que pretende la participación de todos los actores de la vida nacional, incluyendo sociedad civil.</w:t>
      </w:r>
    </w:p>
    <w:p w14:paraId="2312BD34" w14:textId="77777777" w:rsidR="00385606" w:rsidRPr="0085314B" w:rsidRDefault="00385606">
      <w:pPr>
        <w:numPr>
          <w:ilvl w:val="0"/>
          <w:numId w:val="20"/>
        </w:numPr>
        <w:ind w:left="720" w:hanging="360"/>
        <w:jc w:val="both"/>
        <w:rPr>
          <w:rFonts w:ascii="Cambria" w:eastAsia="Times New Roman" w:hAnsi="Cambria"/>
          <w:color w:val="000000"/>
          <w:sz w:val="20"/>
          <w:szCs w:val="20"/>
          <w:lang w:val="es-ES"/>
        </w:rPr>
      </w:pPr>
      <w:r w:rsidRPr="6B6A7D98">
        <w:rPr>
          <w:rFonts w:ascii="Cambria" w:eastAsia="Times New Roman" w:hAnsi="Cambria"/>
          <w:color w:val="000000" w:themeColor="text1"/>
          <w:sz w:val="20"/>
          <w:szCs w:val="20"/>
          <w:lang w:val="es-US"/>
        </w:rPr>
        <w:t xml:space="preserve">Programa de Estudios, curso básico de especialización de prevención de delitos, dirigido al personal de la carrera policial de la PCN. </w:t>
      </w:r>
    </w:p>
    <w:p w14:paraId="20F133BB" w14:textId="77777777" w:rsidR="00385606" w:rsidRPr="0085314B" w:rsidRDefault="00385606">
      <w:pPr>
        <w:numPr>
          <w:ilvl w:val="0"/>
          <w:numId w:val="20"/>
        </w:numPr>
        <w:ind w:left="720" w:hanging="360"/>
        <w:jc w:val="both"/>
        <w:rPr>
          <w:rFonts w:ascii="Cambria" w:eastAsia="Times New Roman" w:hAnsi="Cambria"/>
          <w:color w:val="000000"/>
          <w:sz w:val="20"/>
          <w:szCs w:val="20"/>
          <w:lang w:val="es-ES"/>
        </w:rPr>
      </w:pPr>
      <w:r w:rsidRPr="6B6A7D98">
        <w:rPr>
          <w:rFonts w:ascii="Cambria" w:eastAsia="Times New Roman" w:hAnsi="Cambria"/>
          <w:color w:val="000000" w:themeColor="text1"/>
          <w:sz w:val="20"/>
          <w:szCs w:val="20"/>
          <w:lang w:val="es-US"/>
        </w:rPr>
        <w:t xml:space="preserve">Programa de Estudios, curso básico de formación de agente de policía, que establece una formación en un marco que incluye el respeto de los derechos humanos y la solución pacífica de conflictos. </w:t>
      </w:r>
    </w:p>
    <w:p w14:paraId="605A5D7B" w14:textId="77777777" w:rsidR="00385606" w:rsidRPr="0085314B" w:rsidRDefault="00385606">
      <w:pPr>
        <w:numPr>
          <w:ilvl w:val="0"/>
          <w:numId w:val="20"/>
        </w:numPr>
        <w:ind w:left="720" w:hanging="360"/>
        <w:jc w:val="both"/>
        <w:rPr>
          <w:rFonts w:ascii="Cambria" w:eastAsia="Times New Roman" w:hAnsi="Cambria"/>
          <w:color w:val="000000"/>
          <w:sz w:val="20"/>
          <w:szCs w:val="20"/>
          <w:lang w:val="es-ES"/>
        </w:rPr>
      </w:pPr>
      <w:r w:rsidRPr="6B6A7D98">
        <w:rPr>
          <w:rFonts w:ascii="Cambria" w:eastAsia="Times New Roman" w:hAnsi="Cambria"/>
          <w:color w:val="000000" w:themeColor="text1"/>
          <w:sz w:val="20"/>
          <w:szCs w:val="20"/>
          <w:lang w:val="es-US"/>
        </w:rPr>
        <w:t>Plan de Capacitación – Fortalecimiento de Competencias en operaciones policiales, aplicación de los derechos humanos y fundamentos jurídicos para la protección de las personas y actuación policial, que capacita a la Policía Nacional Civil para ejecutar operaciones y actuaciones basadas en distintos instrumentos internacionales en materia de derechos humanos que vinculan a Guatemala.</w:t>
      </w:r>
    </w:p>
    <w:p w14:paraId="05C11BA4" w14:textId="77777777" w:rsidR="00385606" w:rsidRPr="0085314B" w:rsidRDefault="00385606">
      <w:pPr>
        <w:numPr>
          <w:ilvl w:val="0"/>
          <w:numId w:val="20"/>
        </w:numPr>
        <w:ind w:left="720" w:hanging="360"/>
        <w:jc w:val="both"/>
        <w:rPr>
          <w:rFonts w:ascii="Cambria" w:eastAsia="Times New Roman" w:hAnsi="Cambria"/>
          <w:color w:val="000000"/>
          <w:sz w:val="20"/>
          <w:szCs w:val="20"/>
          <w:lang w:val="es-ES"/>
        </w:rPr>
      </w:pPr>
      <w:r w:rsidRPr="6B6A7D98">
        <w:rPr>
          <w:rFonts w:ascii="Cambria" w:eastAsia="Times New Roman" w:hAnsi="Cambria"/>
          <w:color w:val="000000" w:themeColor="text1"/>
          <w:sz w:val="20"/>
          <w:szCs w:val="20"/>
          <w:lang w:val="es-US"/>
        </w:rPr>
        <w:t xml:space="preserve">Manual de Procedimientos Oficina de Derechos Humanos y Oficina de Equidad de Género creado por el MINGOB, a través de la PCN, que permite tener un mejor control sobre los agentes de la PCN y que cuenta con un procedimiento especial de recepción de denuncias. </w:t>
      </w:r>
    </w:p>
    <w:p w14:paraId="5C4E21E4" w14:textId="77777777" w:rsidR="00385606" w:rsidRPr="0085314B" w:rsidRDefault="00385606">
      <w:pPr>
        <w:numPr>
          <w:ilvl w:val="0"/>
          <w:numId w:val="20"/>
        </w:numPr>
        <w:ind w:left="720" w:hanging="360"/>
        <w:jc w:val="both"/>
        <w:rPr>
          <w:rFonts w:ascii="Cambria" w:eastAsia="Times New Roman" w:hAnsi="Cambria"/>
          <w:color w:val="000000"/>
          <w:sz w:val="20"/>
          <w:szCs w:val="20"/>
          <w:lang w:val="es-ES"/>
        </w:rPr>
      </w:pPr>
      <w:r w:rsidRPr="6B6A7D98">
        <w:rPr>
          <w:rFonts w:ascii="Cambria" w:eastAsia="Times New Roman" w:hAnsi="Cambria"/>
          <w:color w:val="000000" w:themeColor="text1"/>
          <w:sz w:val="20"/>
          <w:szCs w:val="20"/>
          <w:lang w:val="es-US"/>
        </w:rPr>
        <w:t xml:space="preserve">Orden General No. 20-2014 – integración de la Policía Nacional Civil al Sistema de Participación Ciudadana a través de las Comisiones de Prevención de la Violencia y el Delito. Estas comisiones son organizaciones comunitarias que promueven asociación entre estas y la PCN con espacios de participación ciudadana y como aliados de la comunidad. </w:t>
      </w:r>
    </w:p>
    <w:p w14:paraId="564735D0" w14:textId="4E53C04D" w:rsidR="4417771D" w:rsidRDefault="4417771D" w:rsidP="6B6A7D98">
      <w:pPr>
        <w:numPr>
          <w:ilvl w:val="0"/>
          <w:numId w:val="20"/>
        </w:numPr>
        <w:ind w:left="720" w:hanging="360"/>
        <w:jc w:val="both"/>
        <w:rPr>
          <w:rFonts w:ascii="Cambria" w:hAnsi="Cambria" w:cs="Calibri Light"/>
          <w:color w:val="000000" w:themeColor="text1"/>
          <w:sz w:val="20"/>
          <w:szCs w:val="20"/>
          <w:lang w:val="es-ES"/>
        </w:rPr>
      </w:pPr>
      <w:r w:rsidRPr="6B6A7D98">
        <w:rPr>
          <w:rFonts w:ascii="Cambria" w:hAnsi="Cambria" w:cs="Calibri Light"/>
          <w:color w:val="000000" w:themeColor="text1"/>
          <w:sz w:val="20"/>
          <w:szCs w:val="20"/>
          <w:lang w:val="es-ES"/>
        </w:rPr>
        <w:t>Política Nacional de Prevención de la Violencia y el Delito, Seguridad Ciudadana y Convivencia Pacífica de la Policía</w:t>
      </w:r>
    </w:p>
    <w:p w14:paraId="00D2C404" w14:textId="66BD0C70" w:rsidR="4417771D" w:rsidRDefault="4417771D" w:rsidP="6B6A7D98">
      <w:pPr>
        <w:numPr>
          <w:ilvl w:val="0"/>
          <w:numId w:val="20"/>
        </w:numPr>
        <w:ind w:left="720" w:hanging="360"/>
        <w:jc w:val="both"/>
        <w:rPr>
          <w:rFonts w:ascii="Cambria" w:hAnsi="Cambria" w:cs="Calibri Light"/>
          <w:color w:val="000000" w:themeColor="text1"/>
          <w:sz w:val="20"/>
          <w:szCs w:val="20"/>
          <w:lang w:val="es-ES"/>
        </w:rPr>
      </w:pPr>
      <w:r w:rsidRPr="6B6A7D98">
        <w:rPr>
          <w:rFonts w:ascii="Cambria" w:hAnsi="Cambria" w:cs="Calibri Light"/>
          <w:color w:val="000000" w:themeColor="text1"/>
          <w:sz w:val="20"/>
          <w:szCs w:val="20"/>
          <w:lang w:val="es-ES"/>
        </w:rPr>
        <w:t>Estrategia Nacional de Prevención de la Violencia y el Delito</w:t>
      </w:r>
    </w:p>
    <w:p w14:paraId="3C771453" w14:textId="77777777" w:rsidR="00385606" w:rsidRPr="0085314B" w:rsidRDefault="00385606" w:rsidP="00385606">
      <w:pPr>
        <w:pStyle w:val="ListParagraph"/>
        <w:ind w:left="0"/>
        <w:jc w:val="both"/>
        <w:rPr>
          <w:rFonts w:ascii="Cambria" w:hAnsi="Cambria"/>
          <w:color w:val="000000"/>
          <w:sz w:val="20"/>
          <w:szCs w:val="20"/>
          <w:lang w:val="es-ES"/>
        </w:rPr>
      </w:pPr>
    </w:p>
    <w:p w14:paraId="6CD4079C" w14:textId="3FE3F841" w:rsidR="3B2815A4" w:rsidRDefault="3B2815A4" w:rsidP="3B2815A4">
      <w:pPr>
        <w:pStyle w:val="ListParagraph"/>
        <w:ind w:left="0"/>
        <w:jc w:val="both"/>
        <w:rPr>
          <w:rFonts w:ascii="Cambria" w:hAnsi="Cambria"/>
          <w:color w:val="000000" w:themeColor="text1"/>
          <w:sz w:val="20"/>
          <w:szCs w:val="20"/>
          <w:lang w:val="es-ES"/>
        </w:rPr>
      </w:pPr>
    </w:p>
    <w:p w14:paraId="45B26099" w14:textId="77777777" w:rsidR="00BD17B0" w:rsidRPr="00385606" w:rsidRDefault="00BD17B0" w:rsidP="6B6A7D98">
      <w:pPr>
        <w:rPr>
          <w:color w:val="000000" w:themeColor="text1"/>
          <w:lang w:val="es-ES"/>
        </w:rPr>
      </w:pPr>
    </w:p>
    <w:sectPr w:rsidR="00BD17B0" w:rsidRPr="00385606" w:rsidSect="00566CD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C712" w14:textId="77777777" w:rsidR="004F337C" w:rsidRDefault="004F337C" w:rsidP="00672733">
      <w:r>
        <w:separator/>
      </w:r>
    </w:p>
  </w:endnote>
  <w:endnote w:type="continuationSeparator" w:id="0">
    <w:p w14:paraId="6AC970AE" w14:textId="77777777" w:rsidR="004F337C" w:rsidRDefault="004F337C"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F50D" w14:textId="77777777" w:rsidR="00A80674" w:rsidRDefault="00A80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4D8815E6"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C320" w14:textId="77777777" w:rsidR="00A80674" w:rsidRDefault="00A8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6F4B1" w14:textId="77777777" w:rsidR="004F337C" w:rsidRDefault="004F337C" w:rsidP="00672733">
      <w:r>
        <w:separator/>
      </w:r>
    </w:p>
  </w:footnote>
  <w:footnote w:type="continuationSeparator" w:id="0">
    <w:p w14:paraId="57B4DD9D" w14:textId="77777777" w:rsidR="004F337C" w:rsidRDefault="004F337C" w:rsidP="00672733">
      <w:r>
        <w:continuationSeparator/>
      </w:r>
    </w:p>
  </w:footnote>
  <w:footnote w:id="1">
    <w:p w14:paraId="3F538E97" w14:textId="77777777" w:rsidR="00385606" w:rsidRPr="0085314B" w:rsidRDefault="00385606" w:rsidP="00385606">
      <w:pPr>
        <w:pStyle w:val="FootnoteText"/>
        <w:spacing w:line="360" w:lineRule="auto"/>
        <w:ind w:firstLine="720"/>
        <w:jc w:val="both"/>
        <w:rPr>
          <w:rFonts w:ascii="Cambria" w:hAnsi="Cambria"/>
          <w:color w:val="000000"/>
          <w:sz w:val="16"/>
          <w:szCs w:val="16"/>
          <w:lang w:val="es-MX"/>
        </w:rPr>
      </w:pPr>
      <w:r w:rsidRPr="0085314B">
        <w:rPr>
          <w:rStyle w:val="FootnoteReference"/>
          <w:rFonts w:ascii="Cambria" w:hAnsi="Cambria"/>
          <w:color w:val="000000"/>
          <w:sz w:val="16"/>
          <w:szCs w:val="16"/>
        </w:rPr>
        <w:footnoteRef/>
      </w:r>
      <w:r w:rsidRPr="0085314B">
        <w:rPr>
          <w:rFonts w:ascii="Cambria" w:hAnsi="Cambria"/>
          <w:color w:val="000000"/>
          <w:sz w:val="16"/>
          <w:szCs w:val="16"/>
          <w:lang w:val="es-MX"/>
        </w:rPr>
        <w:t xml:space="preserve"> </w:t>
      </w:r>
      <w:r w:rsidRPr="0085314B">
        <w:rPr>
          <w:rFonts w:ascii="Cambria" w:eastAsia="Cambria" w:hAnsi="Cambria" w:cs="Cambria"/>
          <w:color w:val="000000"/>
          <w:sz w:val="16"/>
          <w:szCs w:val="16"/>
          <w:lang w:val="es-ES_tradnl"/>
        </w:rPr>
        <w:t xml:space="preserve">CIDH, Informe Anual 2019, </w:t>
      </w:r>
      <w:hyperlink r:id="rId1" w:history="1">
        <w:r w:rsidRPr="0085314B">
          <w:rPr>
            <w:rStyle w:val="Hyperlink"/>
            <w:rFonts w:ascii="Cambria" w:eastAsia="Cambria" w:hAnsi="Cambria" w:cs="Cambria"/>
            <w:color w:val="000000"/>
            <w:sz w:val="16"/>
            <w:szCs w:val="16"/>
            <w:lang w:val="es-ES_tradnl"/>
          </w:rPr>
          <w:t>Capítulo II, Sección E: Estado del cumplimiento de las recomendaciones de la CIDH</w:t>
        </w:r>
      </w:hyperlink>
      <w:r w:rsidRPr="0085314B">
        <w:rPr>
          <w:rFonts w:ascii="Cambria" w:eastAsia="Cambria" w:hAnsi="Cambria" w:cs="Cambria"/>
          <w:color w:val="000000"/>
          <w:sz w:val="16"/>
          <w:szCs w:val="16"/>
          <w:lang w:val="es-ES_tradnl"/>
        </w:rPr>
        <w:t xml:space="preserve">, </w:t>
      </w:r>
      <w:hyperlink r:id="rId2" w:history="1">
        <w:r w:rsidRPr="0085314B">
          <w:rPr>
            <w:rStyle w:val="Hyperlink"/>
            <w:rFonts w:ascii="Cambria" w:eastAsia="Cambria" w:hAnsi="Cambria" w:cs="Cambria"/>
            <w:color w:val="000000"/>
            <w:sz w:val="16"/>
            <w:szCs w:val="16"/>
            <w:lang w:val="es-ES_tradnl"/>
          </w:rPr>
          <w:t>Ficha de Seguimiento, Caso 11.171</w:t>
        </w:r>
      </w:hyperlink>
      <w:r w:rsidRPr="0085314B">
        <w:rPr>
          <w:rFonts w:ascii="Cambria" w:eastAsia="Cambria" w:hAnsi="Cambria" w:cs="Cambria"/>
          <w:color w:val="000000"/>
          <w:sz w:val="16"/>
          <w:szCs w:val="16"/>
          <w:lang w:val="es-ES_tradnl"/>
        </w:rPr>
        <w:t>, Informe 69/06, Tomás Lares Cipriano (Guatemala), pár. 15.</w:t>
      </w:r>
    </w:p>
  </w:footnote>
  <w:footnote w:id="2">
    <w:p w14:paraId="72ECD7BD" w14:textId="3CD04602" w:rsidR="000B49A7" w:rsidRPr="000B49A7" w:rsidRDefault="000B49A7" w:rsidP="000B49A7">
      <w:pPr>
        <w:pStyle w:val="FootnoteText"/>
        <w:ind w:firstLine="720"/>
        <w:rPr>
          <w:lang w:val="es-ES"/>
        </w:rPr>
      </w:pPr>
      <w:r>
        <w:rPr>
          <w:rStyle w:val="FootnoteReference"/>
        </w:rPr>
        <w:footnoteRef/>
      </w:r>
      <w:r w:rsidRPr="000B49A7">
        <w:rPr>
          <w:lang w:val="es-ES"/>
        </w:rPr>
        <w:t xml:space="preserve"> </w:t>
      </w:r>
      <w:r>
        <w:rPr>
          <w:rFonts w:ascii="Cambria" w:hAnsi="Cambria"/>
          <w:sz w:val="16"/>
          <w:szCs w:val="16"/>
          <w:lang w:val="es-ES"/>
        </w:rPr>
        <w:t xml:space="preserve">La </w:t>
      </w:r>
      <w:r w:rsidRPr="006650C1">
        <w:rPr>
          <w:rFonts w:ascii="Cambria" w:hAnsi="Cambria"/>
          <w:sz w:val="16"/>
          <w:szCs w:val="16"/>
          <w:lang w:val="es-ES"/>
        </w:rPr>
        <w:t xml:space="preserve">información detallada de los avances en el cumplimiento de las recomendaciones en los años anteriores se encuentra disponible en el </w:t>
      </w:r>
      <w:hyperlink r:id="rId3" w:history="1">
        <w:r w:rsidRPr="006650C1">
          <w:rPr>
            <w:rStyle w:val="Hyperlink"/>
            <w:rFonts w:ascii="Cambria" w:hAnsi="Cambria"/>
            <w:sz w:val="16"/>
            <w:szCs w:val="16"/>
            <w:lang w:val="es-ES"/>
          </w:rPr>
          <w:t>Informe Anual 2021.</w:t>
        </w:r>
      </w:hyperlink>
    </w:p>
  </w:footnote>
  <w:footnote w:id="3">
    <w:p w14:paraId="039219EA" w14:textId="77777777" w:rsidR="00385606" w:rsidRPr="0085314B" w:rsidRDefault="00385606" w:rsidP="00385606">
      <w:pPr>
        <w:pStyle w:val="FootnoteText"/>
        <w:spacing w:after="120"/>
        <w:ind w:firstLine="720"/>
        <w:jc w:val="both"/>
        <w:rPr>
          <w:rFonts w:ascii="Cambria" w:hAnsi="Cambria"/>
          <w:color w:val="000000"/>
          <w:sz w:val="16"/>
          <w:szCs w:val="16"/>
          <w:lang w:val="es-US"/>
        </w:rPr>
      </w:pPr>
      <w:r w:rsidRPr="0085314B">
        <w:rPr>
          <w:rStyle w:val="FootnoteReference"/>
          <w:rFonts w:ascii="Cambria" w:hAnsi="Cambria"/>
          <w:color w:val="000000"/>
          <w:sz w:val="16"/>
          <w:szCs w:val="16"/>
        </w:rPr>
        <w:footnoteRef/>
      </w:r>
      <w:r w:rsidRPr="0085314B">
        <w:rPr>
          <w:rFonts w:ascii="Cambria" w:hAnsi="Cambria"/>
          <w:color w:val="000000"/>
          <w:sz w:val="16"/>
          <w:szCs w:val="16"/>
          <w:lang w:val="es-US"/>
        </w:rPr>
        <w:t xml:space="preserve"> Corte IDH. </w:t>
      </w:r>
      <w:hyperlink r:id="rId4" w:history="1">
        <w:r w:rsidRPr="0085314B">
          <w:rPr>
            <w:rStyle w:val="Hyperlink"/>
            <w:rFonts w:ascii="Cambria" w:hAnsi="Cambria"/>
            <w:color w:val="000000"/>
            <w:sz w:val="16"/>
            <w:szCs w:val="16"/>
            <w:lang w:val="es-US"/>
          </w:rPr>
          <w:t>Caso Albán Cornejo y otros. Vs. Ecuador. Sentencia de 22 de noviembre de 2007</w:t>
        </w:r>
      </w:hyperlink>
      <w:r w:rsidRPr="0085314B">
        <w:rPr>
          <w:rFonts w:ascii="Cambria" w:hAnsi="Cambria"/>
          <w:color w:val="000000"/>
          <w:sz w:val="16"/>
          <w:szCs w:val="16"/>
          <w:lang w:val="es-US"/>
        </w:rPr>
        <w:t>. Serie C No. 171, párr. 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2E29" w14:textId="77777777" w:rsidR="00A80674" w:rsidRDefault="00A80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0FD930B4">
          <wp:extent cx="1361022" cy="313189"/>
          <wp:effectExtent l="0" t="0" r="0" b="4445"/>
          <wp:docPr id="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1361022" cy="313189"/>
                  </a:xfrm>
                  <a:prstGeom prst="rect">
                    <a:avLst/>
                  </a:prstGeom>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pt,13.7pt" to="483.7pt,13.7pt" w14:anchorId="1742F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70528"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71552"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5pt,13.2pt" to="483.65pt,13.2pt" w14:anchorId="213A0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02E"/>
    <w:multiLevelType w:val="hybridMultilevel"/>
    <w:tmpl w:val="8CFE891A"/>
    <w:styleLink w:val="EstiloImportado6"/>
    <w:lvl w:ilvl="0" w:tplc="1DB6185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B0A9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3638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A653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B457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F005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61AD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ACC1E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E01B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5F43BC"/>
    <w:multiLevelType w:val="hybridMultilevel"/>
    <w:tmpl w:val="6E7C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536C5"/>
    <w:multiLevelType w:val="hybridMultilevel"/>
    <w:tmpl w:val="A0E2B0B4"/>
    <w:styleLink w:val="EstiloImportado13"/>
    <w:lvl w:ilvl="0" w:tplc="69F2C392">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08E4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8B8B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421CA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227BB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C0632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20F7C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0C67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703F1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8617E3"/>
    <w:multiLevelType w:val="hybridMultilevel"/>
    <w:tmpl w:val="43C8A4B8"/>
    <w:styleLink w:val="EstiloImportado4"/>
    <w:lvl w:ilvl="0" w:tplc="C714DE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48DF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CC00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72E6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EA2F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D8BC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8251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C6C7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70F3E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EB15D2"/>
    <w:multiLevelType w:val="hybridMultilevel"/>
    <w:tmpl w:val="8B3CF3C6"/>
    <w:styleLink w:val="EstiloImportado12"/>
    <w:lvl w:ilvl="0" w:tplc="8EC2544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1EBB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A8B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02080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D610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1A2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C29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A17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8675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ABF5AA9"/>
    <w:multiLevelType w:val="hybridMultilevel"/>
    <w:tmpl w:val="9FD8D202"/>
    <w:lvl w:ilvl="0" w:tplc="3B1C0D9E">
      <w:start w:val="1"/>
      <w:numFmt w:val="decimal"/>
      <w:lvlText w:val="%1."/>
      <w:lvlJc w:val="left"/>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E60B5"/>
    <w:multiLevelType w:val="hybridMultilevel"/>
    <w:tmpl w:val="B5262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11EE5"/>
    <w:multiLevelType w:val="hybridMultilevel"/>
    <w:tmpl w:val="FAE25F6E"/>
    <w:styleLink w:val="EstiloImportado1"/>
    <w:lvl w:ilvl="0" w:tplc="6CF442EA">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E0817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88063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2879F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64406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28715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54008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DC68A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4A58F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B3A1337"/>
    <w:multiLevelType w:val="hybridMultilevel"/>
    <w:tmpl w:val="D51C4C5A"/>
    <w:styleLink w:val="EstiloImportado10"/>
    <w:lvl w:ilvl="0" w:tplc="AD16B0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F228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CC92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92F7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B842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0075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FE31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745B1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5E03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D7D588E"/>
    <w:multiLevelType w:val="hybridMultilevel"/>
    <w:tmpl w:val="1870F31C"/>
    <w:styleLink w:val="EstiloImportado11"/>
    <w:lvl w:ilvl="0" w:tplc="0B203B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6078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5271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1AFB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C8B0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5235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623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74E3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D2E2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1A67CE8"/>
    <w:multiLevelType w:val="hybridMultilevel"/>
    <w:tmpl w:val="4338331A"/>
    <w:styleLink w:val="EstiloImportado5"/>
    <w:lvl w:ilvl="0" w:tplc="CD3C17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4A78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0A5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9406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38BB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40C8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EE90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4019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BEF4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3C41D46"/>
    <w:multiLevelType w:val="hybridMultilevel"/>
    <w:tmpl w:val="731C7952"/>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38734A80"/>
    <w:multiLevelType w:val="hybridMultilevel"/>
    <w:tmpl w:val="B476C0C8"/>
    <w:styleLink w:val="EstiloImportado8"/>
    <w:lvl w:ilvl="0" w:tplc="33B065C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8E4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BCDC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72D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E2D6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CE781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E8453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00736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41A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C6054CB"/>
    <w:multiLevelType w:val="hybridMultilevel"/>
    <w:tmpl w:val="4D8A0BA4"/>
    <w:styleLink w:val="EstiloImportado9"/>
    <w:lvl w:ilvl="0" w:tplc="E2DEFD32">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CCBF1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E69E4A">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969C5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F6266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A0ED3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D4A99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4CB58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E48FF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2000377"/>
    <w:multiLevelType w:val="hybridMultilevel"/>
    <w:tmpl w:val="2322560C"/>
    <w:styleLink w:val="EstiloImportado2"/>
    <w:lvl w:ilvl="0" w:tplc="5D8C3A7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ACECF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00F43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E006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B2381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3CDB1A">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E2CCEC">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288F5E">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E2BE4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3D1475E"/>
    <w:multiLevelType w:val="hybridMultilevel"/>
    <w:tmpl w:val="3184DEE2"/>
    <w:styleLink w:val="EstiloImportado14"/>
    <w:lvl w:ilvl="0" w:tplc="39EEE538">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56B8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26396E">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5E4DD8">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AC8F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81EA6">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42D068">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4CF3D6">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A4896">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4D41D9D"/>
    <w:multiLevelType w:val="hybridMultilevel"/>
    <w:tmpl w:val="816CA44A"/>
    <w:styleLink w:val="EstiloImportado3"/>
    <w:lvl w:ilvl="0" w:tplc="27E49E38">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22F35E">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763B6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9005C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0A509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869AA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88B6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9C586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A4227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42619"/>
    <w:multiLevelType w:val="hybridMultilevel"/>
    <w:tmpl w:val="8F1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2161"/>
    <w:multiLevelType w:val="multilevel"/>
    <w:tmpl w:val="789C81F6"/>
    <w:lvl w:ilvl="0">
      <w:start w:val="1"/>
      <w:numFmt w:val="decimal"/>
      <w:pStyle w:val="PrrafodeSentencia"/>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1339174">
    <w:abstractNumId w:val="19"/>
  </w:num>
  <w:num w:numId="2" w16cid:durableId="501088521">
    <w:abstractNumId w:val="17"/>
  </w:num>
  <w:num w:numId="3" w16cid:durableId="3678775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5761841">
    <w:abstractNumId w:val="7"/>
  </w:num>
  <w:num w:numId="5" w16cid:durableId="2094278479">
    <w:abstractNumId w:val="12"/>
  </w:num>
  <w:num w:numId="6" w16cid:durableId="95566963">
    <w:abstractNumId w:val="13"/>
  </w:num>
  <w:num w:numId="7" w16cid:durableId="550575146">
    <w:abstractNumId w:val="8"/>
  </w:num>
  <w:num w:numId="8" w16cid:durableId="341977111">
    <w:abstractNumId w:val="9"/>
  </w:num>
  <w:num w:numId="9" w16cid:durableId="682978638">
    <w:abstractNumId w:val="4"/>
  </w:num>
  <w:num w:numId="10" w16cid:durableId="295337589">
    <w:abstractNumId w:val="2"/>
  </w:num>
  <w:num w:numId="11" w16cid:durableId="979530532">
    <w:abstractNumId w:val="15"/>
  </w:num>
  <w:num w:numId="12" w16cid:durableId="719019872">
    <w:abstractNumId w:val="14"/>
  </w:num>
  <w:num w:numId="13" w16cid:durableId="1658262887">
    <w:abstractNumId w:val="16"/>
  </w:num>
  <w:num w:numId="14" w16cid:durableId="1822765797">
    <w:abstractNumId w:val="3"/>
  </w:num>
  <w:num w:numId="15" w16cid:durableId="1948387008">
    <w:abstractNumId w:val="10"/>
  </w:num>
  <w:num w:numId="16" w16cid:durableId="1972400627">
    <w:abstractNumId w:val="0"/>
  </w:num>
  <w:num w:numId="17" w16cid:durableId="466627599">
    <w:abstractNumId w:val="5"/>
  </w:num>
  <w:num w:numId="18" w16cid:durableId="1863468794">
    <w:abstractNumId w:val="1"/>
  </w:num>
  <w:num w:numId="19" w16cid:durableId="520827090">
    <w:abstractNumId w:val="18"/>
  </w:num>
  <w:num w:numId="20" w16cid:durableId="799807099">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16E65"/>
    <w:rsid w:val="00045E5E"/>
    <w:rsid w:val="00055F2F"/>
    <w:rsid w:val="000B49A7"/>
    <w:rsid w:val="000B5E1D"/>
    <w:rsid w:val="00100470"/>
    <w:rsid w:val="00105B23"/>
    <w:rsid w:val="00181DA0"/>
    <w:rsid w:val="00207BE4"/>
    <w:rsid w:val="00210AA7"/>
    <w:rsid w:val="00216335"/>
    <w:rsid w:val="002248FB"/>
    <w:rsid w:val="00234E64"/>
    <w:rsid w:val="002367AF"/>
    <w:rsid w:val="00322720"/>
    <w:rsid w:val="003459FB"/>
    <w:rsid w:val="00385606"/>
    <w:rsid w:val="0040245C"/>
    <w:rsid w:val="004032A6"/>
    <w:rsid w:val="00453115"/>
    <w:rsid w:val="004758C9"/>
    <w:rsid w:val="00480226"/>
    <w:rsid w:val="0048723C"/>
    <w:rsid w:val="004A05BC"/>
    <w:rsid w:val="004C0D57"/>
    <w:rsid w:val="004F337C"/>
    <w:rsid w:val="00500FDE"/>
    <w:rsid w:val="00534090"/>
    <w:rsid w:val="00566CD0"/>
    <w:rsid w:val="005933F2"/>
    <w:rsid w:val="00637ED3"/>
    <w:rsid w:val="006638E5"/>
    <w:rsid w:val="00672733"/>
    <w:rsid w:val="006B1F24"/>
    <w:rsid w:val="006B2F87"/>
    <w:rsid w:val="006F7917"/>
    <w:rsid w:val="00723AED"/>
    <w:rsid w:val="007461EE"/>
    <w:rsid w:val="007513EC"/>
    <w:rsid w:val="00755422"/>
    <w:rsid w:val="007C4DCE"/>
    <w:rsid w:val="00811E0E"/>
    <w:rsid w:val="008463D3"/>
    <w:rsid w:val="00847CA9"/>
    <w:rsid w:val="00876944"/>
    <w:rsid w:val="008818B0"/>
    <w:rsid w:val="008861D6"/>
    <w:rsid w:val="00892BB2"/>
    <w:rsid w:val="008E4E2E"/>
    <w:rsid w:val="008F66B6"/>
    <w:rsid w:val="00A10B67"/>
    <w:rsid w:val="00A80674"/>
    <w:rsid w:val="00A849F5"/>
    <w:rsid w:val="00A90E7A"/>
    <w:rsid w:val="00AB41A3"/>
    <w:rsid w:val="00AB5F3B"/>
    <w:rsid w:val="00AC6BE9"/>
    <w:rsid w:val="00AD535F"/>
    <w:rsid w:val="00AE2642"/>
    <w:rsid w:val="00AE2CF8"/>
    <w:rsid w:val="00B806FF"/>
    <w:rsid w:val="00BA48EE"/>
    <w:rsid w:val="00BD17B0"/>
    <w:rsid w:val="00BD5D48"/>
    <w:rsid w:val="00BF3AAA"/>
    <w:rsid w:val="00BF7A78"/>
    <w:rsid w:val="00C110DE"/>
    <w:rsid w:val="00C80BDA"/>
    <w:rsid w:val="00D56DC4"/>
    <w:rsid w:val="00D61AFC"/>
    <w:rsid w:val="00D709EC"/>
    <w:rsid w:val="00E042FE"/>
    <w:rsid w:val="00E15B37"/>
    <w:rsid w:val="00E516AB"/>
    <w:rsid w:val="00E61D71"/>
    <w:rsid w:val="00E90CB3"/>
    <w:rsid w:val="00EA0262"/>
    <w:rsid w:val="00EC61E3"/>
    <w:rsid w:val="00ED0AAA"/>
    <w:rsid w:val="00ED1EBA"/>
    <w:rsid w:val="00F41E7E"/>
    <w:rsid w:val="00F4406C"/>
    <w:rsid w:val="00F93C75"/>
    <w:rsid w:val="00FE10E0"/>
    <w:rsid w:val="0215CC29"/>
    <w:rsid w:val="023D4957"/>
    <w:rsid w:val="04F96634"/>
    <w:rsid w:val="060AE94F"/>
    <w:rsid w:val="094854C2"/>
    <w:rsid w:val="09A98CC8"/>
    <w:rsid w:val="0E8E4E80"/>
    <w:rsid w:val="11EAC242"/>
    <w:rsid w:val="1594BD17"/>
    <w:rsid w:val="15FCC12C"/>
    <w:rsid w:val="19D61540"/>
    <w:rsid w:val="1A682E3A"/>
    <w:rsid w:val="1DD1EBEA"/>
    <w:rsid w:val="1FA3AE0A"/>
    <w:rsid w:val="1FBA06C8"/>
    <w:rsid w:val="20722628"/>
    <w:rsid w:val="31750FC0"/>
    <w:rsid w:val="32C6E554"/>
    <w:rsid w:val="345286C7"/>
    <w:rsid w:val="3802E78E"/>
    <w:rsid w:val="39868E5F"/>
    <w:rsid w:val="3B194345"/>
    <w:rsid w:val="3B2815A4"/>
    <w:rsid w:val="3C20E801"/>
    <w:rsid w:val="3D4F9EA6"/>
    <w:rsid w:val="3D9D847C"/>
    <w:rsid w:val="3FCC9107"/>
    <w:rsid w:val="4230BA70"/>
    <w:rsid w:val="4318ED70"/>
    <w:rsid w:val="433202E8"/>
    <w:rsid w:val="43B42CBD"/>
    <w:rsid w:val="4417771D"/>
    <w:rsid w:val="4972A904"/>
    <w:rsid w:val="4BBE7459"/>
    <w:rsid w:val="4D5B0F03"/>
    <w:rsid w:val="4EF6151B"/>
    <w:rsid w:val="4F200783"/>
    <w:rsid w:val="52146653"/>
    <w:rsid w:val="5A2069AE"/>
    <w:rsid w:val="5A2E1FBE"/>
    <w:rsid w:val="5AAE25B2"/>
    <w:rsid w:val="5B130912"/>
    <w:rsid w:val="5FFFFBD8"/>
    <w:rsid w:val="6110453A"/>
    <w:rsid w:val="6187153C"/>
    <w:rsid w:val="619BCC39"/>
    <w:rsid w:val="61CD40F6"/>
    <w:rsid w:val="697557AD"/>
    <w:rsid w:val="6B6A7D98"/>
    <w:rsid w:val="6CACF86F"/>
    <w:rsid w:val="6E48C8D0"/>
    <w:rsid w:val="7041365B"/>
    <w:rsid w:val="72D02A8E"/>
    <w:rsid w:val="74393BC2"/>
    <w:rsid w:val="7CF1A1AB"/>
    <w:rsid w:val="7D016EBE"/>
    <w:rsid w:val="7F6F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5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qForma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uiPriority w:val="99"/>
    <w:rsid w:val="00C80BDA"/>
    <w:pPr>
      <w:spacing w:after="160" w:line="240" w:lineRule="exact"/>
    </w:pPr>
    <w:rPr>
      <w:vertAlign w:val="superscript"/>
    </w:rPr>
  </w:style>
  <w:style w:type="paragraph" w:customStyle="1" w:styleId="PrrafodeSentencia">
    <w:name w:val="*. Párrafo de Sentencia"/>
    <w:basedOn w:val="Normal"/>
    <w:next w:val="Normal"/>
    <w:rsid w:val="00C80BDA"/>
    <w:pPr>
      <w:numPr>
        <w:numId w:val="1"/>
      </w:numPr>
      <w:tabs>
        <w:tab w:val="left" w:pos="567"/>
      </w:tabs>
      <w:ind w:left="0" w:firstLine="0"/>
      <w:jc w:val="both"/>
    </w:pPr>
    <w:rPr>
      <w:rFonts w:ascii="Verdana" w:eastAsia="Batang" w:hAnsi="Verdana" w:cs="Times New Roman"/>
      <w:spacing w:val="-4"/>
      <w:sz w:val="20"/>
      <w:szCs w:val="22"/>
      <w:lang w:val="es-CR" w:eastAsia="es-MX"/>
    </w:rPr>
  </w:style>
  <w:style w:type="character" w:styleId="Hyperlink">
    <w:name w:val="Hyperlink"/>
    <w:uiPriority w:val="99"/>
    <w:unhideWhenUsed/>
    <w:rsid w:val="006B2F87"/>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6B2F87"/>
  </w:style>
  <w:style w:type="paragraph" w:customStyle="1" w:styleId="Default">
    <w:name w:val="Default"/>
    <w:rsid w:val="006B2F87"/>
    <w:pPr>
      <w:autoSpaceDE w:val="0"/>
      <w:autoSpaceDN w:val="0"/>
      <w:adjustRightInd w:val="0"/>
    </w:pPr>
    <w:rPr>
      <w:rFonts w:ascii="Cambria" w:eastAsia="Calibri" w:hAnsi="Cambria" w:cs="Cambria"/>
      <w:color w:val="000000"/>
      <w:lang w:val="pt-BR" w:eastAsia="pt-BR"/>
    </w:rPr>
  </w:style>
  <w:style w:type="paragraph" w:styleId="NoSpacing">
    <w:name w:val="No Spacing"/>
    <w:link w:val="NoSpacingChar"/>
    <w:uiPriority w:val="1"/>
    <w:qFormat/>
    <w:rsid w:val="00BA48EE"/>
    <w:rPr>
      <w:rFonts w:ascii="Calibri" w:eastAsia="Calibri" w:hAnsi="Calibri" w:cs="Times New Roman"/>
      <w:sz w:val="22"/>
      <w:szCs w:val="22"/>
      <w:lang w:val="pt-BR"/>
    </w:rPr>
  </w:style>
  <w:style w:type="paragraph" w:customStyle="1" w:styleId="MediumGrid21">
    <w:name w:val="Medium Grid 21"/>
    <w:uiPriority w:val="1"/>
    <w:qFormat/>
    <w:rsid w:val="004A05BC"/>
    <w:rPr>
      <w:rFonts w:ascii="Calibri" w:eastAsia="Calibri" w:hAnsi="Calibri" w:cs="Times New Roman"/>
      <w:sz w:val="22"/>
      <w:szCs w:val="22"/>
      <w:lang w:val="pt-BR"/>
    </w:rPr>
  </w:style>
  <w:style w:type="character" w:styleId="FollowedHyperlink">
    <w:name w:val="FollowedHyperlink"/>
    <w:uiPriority w:val="99"/>
    <w:semiHidden/>
    <w:unhideWhenUsed/>
    <w:rsid w:val="004A05BC"/>
    <w:rPr>
      <w:color w:val="800080"/>
      <w:u w:val="single"/>
    </w:rPr>
  </w:style>
  <w:style w:type="character" w:styleId="CommentReference">
    <w:name w:val="annotation reference"/>
    <w:uiPriority w:val="99"/>
    <w:semiHidden/>
    <w:unhideWhenUsed/>
    <w:rsid w:val="004A05BC"/>
    <w:rPr>
      <w:sz w:val="16"/>
      <w:szCs w:val="16"/>
    </w:rPr>
  </w:style>
  <w:style w:type="paragraph" w:styleId="CommentText">
    <w:name w:val="annotation text"/>
    <w:basedOn w:val="Normal"/>
    <w:link w:val="CommentTextChar"/>
    <w:uiPriority w:val="99"/>
    <w:unhideWhenUsed/>
    <w:rsid w:val="004A05BC"/>
    <w:pPr>
      <w:spacing w:after="200" w:line="276" w:lineRule="auto"/>
    </w:pPr>
    <w:rPr>
      <w:rFonts w:ascii="Calibri" w:eastAsia="Calibri" w:hAnsi="Calibri" w:cs="Times New Roman"/>
      <w:sz w:val="20"/>
      <w:szCs w:val="20"/>
      <w:lang w:val="pt-BR"/>
    </w:rPr>
  </w:style>
  <w:style w:type="character" w:customStyle="1" w:styleId="CommentTextChar">
    <w:name w:val="Comment Text Char"/>
    <w:basedOn w:val="DefaultParagraphFont"/>
    <w:link w:val="CommentText"/>
    <w:uiPriority w:val="99"/>
    <w:rsid w:val="004A05BC"/>
    <w:rPr>
      <w:rFonts w:ascii="Calibri" w:eastAsia="Calibri" w:hAnsi="Calibri" w:cs="Times New Roman"/>
      <w:sz w:val="20"/>
      <w:szCs w:val="20"/>
      <w:lang w:val="pt-BR"/>
    </w:rPr>
  </w:style>
  <w:style w:type="paragraph" w:styleId="CommentSubject">
    <w:name w:val="annotation subject"/>
    <w:basedOn w:val="CommentText"/>
    <w:next w:val="CommentText"/>
    <w:link w:val="CommentSubjectChar"/>
    <w:uiPriority w:val="99"/>
    <w:semiHidden/>
    <w:unhideWhenUsed/>
    <w:rsid w:val="004A05BC"/>
    <w:rPr>
      <w:b/>
      <w:bCs/>
    </w:rPr>
  </w:style>
  <w:style w:type="character" w:customStyle="1" w:styleId="CommentSubjectChar">
    <w:name w:val="Comment Subject Char"/>
    <w:basedOn w:val="CommentTextChar"/>
    <w:link w:val="CommentSubject"/>
    <w:uiPriority w:val="99"/>
    <w:semiHidden/>
    <w:rsid w:val="004A05BC"/>
    <w:rPr>
      <w:rFonts w:ascii="Calibri" w:eastAsia="Calibri" w:hAnsi="Calibri" w:cs="Times New Roman"/>
      <w:b/>
      <w:bCs/>
      <w:sz w:val="20"/>
      <w:szCs w:val="20"/>
      <w:lang w:val="pt-BR"/>
    </w:rPr>
  </w:style>
  <w:style w:type="paragraph" w:styleId="BalloonText">
    <w:name w:val="Balloon Text"/>
    <w:basedOn w:val="Normal"/>
    <w:link w:val="BalloonTextChar"/>
    <w:uiPriority w:val="99"/>
    <w:semiHidden/>
    <w:unhideWhenUsed/>
    <w:rsid w:val="004A05BC"/>
    <w:rPr>
      <w:rFonts w:ascii="Segoe UI" w:eastAsia="Calibri" w:hAnsi="Segoe UI" w:cs="Segoe UI"/>
      <w:sz w:val="18"/>
      <w:szCs w:val="18"/>
      <w:lang w:val="pt-BR"/>
    </w:rPr>
  </w:style>
  <w:style w:type="character" w:customStyle="1" w:styleId="BalloonTextChar">
    <w:name w:val="Balloon Text Char"/>
    <w:basedOn w:val="DefaultParagraphFont"/>
    <w:link w:val="BalloonText"/>
    <w:uiPriority w:val="99"/>
    <w:semiHidden/>
    <w:rsid w:val="004A05BC"/>
    <w:rPr>
      <w:rFonts w:ascii="Segoe UI" w:eastAsia="Calibri" w:hAnsi="Segoe UI" w:cs="Segoe UI"/>
      <w:sz w:val="18"/>
      <w:szCs w:val="18"/>
      <w:lang w:val="pt-BR"/>
    </w:rPr>
  </w:style>
  <w:style w:type="paragraph" w:styleId="HTMLPreformatted">
    <w:name w:val="HTML Preformatted"/>
    <w:basedOn w:val="Normal"/>
    <w:link w:val="HTMLPreformattedChar"/>
    <w:uiPriority w:val="99"/>
    <w:semiHidden/>
    <w:unhideWhenUsed/>
    <w:rsid w:val="004A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05BC"/>
    <w:rPr>
      <w:rFonts w:ascii="Courier New" w:eastAsia="Times New Roman" w:hAnsi="Courier New" w:cs="Courier New"/>
      <w:sz w:val="20"/>
      <w:szCs w:val="20"/>
    </w:rPr>
  </w:style>
  <w:style w:type="character" w:customStyle="1" w:styleId="y2iqfc">
    <w:name w:val="y2iqfc"/>
    <w:basedOn w:val="DefaultParagraphFont"/>
    <w:rsid w:val="004A05BC"/>
  </w:style>
  <w:style w:type="character" w:customStyle="1" w:styleId="NoSpacingChar">
    <w:name w:val="No Spacing Char"/>
    <w:link w:val="NoSpacing"/>
    <w:uiPriority w:val="1"/>
    <w:rsid w:val="00C110DE"/>
    <w:rPr>
      <w:rFonts w:ascii="Calibri" w:eastAsia="Calibri" w:hAnsi="Calibri" w:cs="Times New Roman"/>
      <w:sz w:val="22"/>
      <w:szCs w:val="22"/>
      <w:lang w:val="pt-BR"/>
    </w:rPr>
  </w:style>
  <w:style w:type="paragraph" w:customStyle="1" w:styleId="footnotetext0">
    <w:name w:val="footnote text0"/>
    <w:basedOn w:val="Normal"/>
    <w:link w:val="FootnoteTextChar1"/>
    <w:uiPriority w:val="99"/>
    <w:semiHidden/>
    <w:unhideWhenUsed/>
    <w:rsid w:val="00C110DE"/>
    <w:pPr>
      <w:suppressAutoHyphens/>
      <w:ind w:leftChars="-1" w:left="-1" w:hangingChars="1" w:hanging="1"/>
      <w:textDirection w:val="btLr"/>
      <w:textAlignment w:val="top"/>
      <w:outlineLvl w:val="0"/>
    </w:pPr>
    <w:rPr>
      <w:rFonts w:ascii="Calibri" w:eastAsia="Calibri" w:hAnsi="Calibri" w:cs="Calibri"/>
      <w:position w:val="-1"/>
      <w:sz w:val="20"/>
      <w:szCs w:val="20"/>
      <w:lang w:val="pt-BR"/>
    </w:rPr>
  </w:style>
  <w:style w:type="character" w:customStyle="1" w:styleId="FootnoteTextChar1">
    <w:name w:val="Footnote Text Char1"/>
    <w:link w:val="footnotetext0"/>
    <w:uiPriority w:val="99"/>
    <w:semiHidden/>
    <w:rsid w:val="00C110DE"/>
    <w:rPr>
      <w:rFonts w:ascii="Calibri" w:eastAsia="Calibri" w:hAnsi="Calibri" w:cs="Calibri"/>
      <w:position w:val="-1"/>
      <w:sz w:val="20"/>
      <w:szCs w:val="20"/>
      <w:lang w:val="pt-BR"/>
    </w:rPr>
  </w:style>
  <w:style w:type="character" w:customStyle="1" w:styleId="footnotereference0">
    <w:name w:val="footnote reference0"/>
    <w:uiPriority w:val="99"/>
    <w:semiHidden/>
    <w:unhideWhenUsed/>
    <w:rsid w:val="00C110DE"/>
    <w:rPr>
      <w:vertAlign w:val="superscript"/>
    </w:rPr>
  </w:style>
  <w:style w:type="paragraph" w:styleId="NormalWeb">
    <w:name w:val="Normal (Web)"/>
    <w:basedOn w:val="Normal"/>
    <w:uiPriority w:val="99"/>
    <w:unhideWhenUsed/>
    <w:rsid w:val="004C0D57"/>
    <w:pPr>
      <w:spacing w:before="100" w:beforeAutospacing="1" w:after="100" w:afterAutospacing="1"/>
    </w:pPr>
    <w:rPr>
      <w:rFonts w:ascii="Times New Roman" w:eastAsia="Times New Roman" w:hAnsi="Times New Roman" w:cs="Times New Roman"/>
    </w:rPr>
  </w:style>
  <w:style w:type="character" w:styleId="UnresolvedMention">
    <w:name w:val="Unresolved Mention"/>
    <w:uiPriority w:val="99"/>
    <w:semiHidden/>
    <w:unhideWhenUsed/>
    <w:rsid w:val="004C0D57"/>
    <w:rPr>
      <w:color w:val="605E5C"/>
      <w:shd w:val="clear" w:color="auto" w:fill="E1DFDD"/>
    </w:rPr>
  </w:style>
  <w:style w:type="character" w:customStyle="1" w:styleId="normaltextrun">
    <w:name w:val="normaltextrun"/>
    <w:basedOn w:val="DefaultParagraphFont"/>
    <w:rsid w:val="00AB5F3B"/>
  </w:style>
  <w:style w:type="character" w:customStyle="1" w:styleId="eop">
    <w:name w:val="eop"/>
    <w:basedOn w:val="DefaultParagraphFont"/>
    <w:rsid w:val="00AB5F3B"/>
  </w:style>
  <w:style w:type="paragraph" w:styleId="EndnoteText">
    <w:name w:val="endnote text"/>
    <w:basedOn w:val="Normal"/>
    <w:link w:val="EndnoteTextChar"/>
    <w:semiHidden/>
    <w:rsid w:val="00AB41A3"/>
    <w:pPr>
      <w:spacing w:before="100" w:beforeAutospacing="1" w:after="100" w:afterAutospacing="1"/>
    </w:pPr>
    <w:rPr>
      <w:rFonts w:ascii="Times New Roman" w:eastAsia="Times New Roman" w:hAnsi="Times New Roman" w:cs="Times New Roman"/>
      <w:lang w:val="pt-BR" w:eastAsia="pt-BR"/>
    </w:rPr>
  </w:style>
  <w:style w:type="character" w:customStyle="1" w:styleId="EndnoteTextChar">
    <w:name w:val="Endnote Text Char"/>
    <w:basedOn w:val="DefaultParagraphFont"/>
    <w:link w:val="EndnoteText"/>
    <w:semiHidden/>
    <w:rsid w:val="00AB41A3"/>
    <w:rPr>
      <w:rFonts w:ascii="Times New Roman" w:eastAsia="Times New Roman" w:hAnsi="Times New Roman" w:cs="Times New Roman"/>
      <w:lang w:val="pt-BR" w:eastAsia="pt-BR"/>
    </w:rPr>
  </w:style>
  <w:style w:type="paragraph" w:customStyle="1" w:styleId="CabealhoeRodap">
    <w:name w:val="Cabeçalho e Rodapé"/>
    <w:rsid w:val="006F7917"/>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s-MX" w:eastAsia="es-MX"/>
    </w:rPr>
  </w:style>
  <w:style w:type="numbering" w:customStyle="1" w:styleId="EstiloImportado1">
    <w:name w:val="Estilo Importado 1"/>
    <w:rsid w:val="006F7917"/>
    <w:pPr>
      <w:numPr>
        <w:numId w:val="4"/>
      </w:numPr>
    </w:pPr>
  </w:style>
  <w:style w:type="character" w:customStyle="1" w:styleId="Link">
    <w:name w:val="Link"/>
    <w:rsid w:val="006F7917"/>
    <w:rPr>
      <w:color w:val="0000FF"/>
      <w:u w:val="single" w:color="0000FF"/>
    </w:rPr>
  </w:style>
  <w:style w:type="character" w:customStyle="1" w:styleId="Hyperlink0">
    <w:name w:val="Hyperlink.0"/>
    <w:rsid w:val="006F7917"/>
    <w:rPr>
      <w:color w:val="17365D"/>
      <w:u w:val="single" w:color="17365D"/>
      <w:lang w:val="es-ES_tradnl"/>
    </w:rPr>
  </w:style>
  <w:style w:type="paragraph" w:customStyle="1" w:styleId="Padro">
    <w:name w:val="Padrão"/>
    <w:rsid w:val="006F7917"/>
    <w:pPr>
      <w:pBdr>
        <w:top w:val="nil"/>
        <w:left w:val="nil"/>
        <w:bottom w:val="nil"/>
        <w:right w:val="nil"/>
        <w:between w:val="nil"/>
        <w:bar w:val="nil"/>
      </w:pBdr>
    </w:pPr>
    <w:rPr>
      <w:rFonts w:ascii="Helvetica Neue" w:eastAsia="Helvetica Neue" w:hAnsi="Helvetica Neue" w:cs="Helvetica Neue"/>
      <w:color w:val="000000"/>
      <w:sz w:val="22"/>
      <w:szCs w:val="22"/>
      <w:bdr w:val="nil"/>
      <w:lang w:val="es-MX" w:eastAsia="es-MX"/>
    </w:rPr>
  </w:style>
  <w:style w:type="numbering" w:customStyle="1" w:styleId="EstiloImportado8">
    <w:name w:val="Estilo Importado 8"/>
    <w:rsid w:val="006F7917"/>
    <w:pPr>
      <w:numPr>
        <w:numId w:val="5"/>
      </w:numPr>
    </w:pPr>
  </w:style>
  <w:style w:type="character" w:customStyle="1" w:styleId="Hyperlink1">
    <w:name w:val="Hyperlink.1"/>
    <w:rsid w:val="006F7917"/>
    <w:rPr>
      <w:rFonts w:ascii="Cambria" w:eastAsia="Cambria" w:hAnsi="Cambria" w:cs="Cambria"/>
      <w:color w:val="000000"/>
      <w:sz w:val="16"/>
      <w:szCs w:val="16"/>
      <w:u w:val="single" w:color="000000"/>
      <w:lang w:val="es-ES_tradnl"/>
    </w:rPr>
  </w:style>
  <w:style w:type="numbering" w:customStyle="1" w:styleId="EstiloImportado9">
    <w:name w:val="Estilo Importado 9"/>
    <w:rsid w:val="006F7917"/>
    <w:pPr>
      <w:numPr>
        <w:numId w:val="6"/>
      </w:numPr>
    </w:pPr>
  </w:style>
  <w:style w:type="numbering" w:customStyle="1" w:styleId="EstiloImportado10">
    <w:name w:val="Estilo Importado 10"/>
    <w:rsid w:val="006F7917"/>
    <w:pPr>
      <w:numPr>
        <w:numId w:val="7"/>
      </w:numPr>
    </w:pPr>
  </w:style>
  <w:style w:type="numbering" w:customStyle="1" w:styleId="EstiloImportado11">
    <w:name w:val="Estilo Importado 11"/>
    <w:rsid w:val="006F7917"/>
    <w:pPr>
      <w:numPr>
        <w:numId w:val="8"/>
      </w:numPr>
    </w:pPr>
  </w:style>
  <w:style w:type="character" w:customStyle="1" w:styleId="Hyperlink3">
    <w:name w:val="Hyperlink.3"/>
    <w:rsid w:val="006F7917"/>
    <w:rPr>
      <w:rFonts w:ascii="Cambria" w:eastAsia="Cambria" w:hAnsi="Cambria" w:cs="Cambria"/>
      <w:color w:val="FF0000"/>
      <w:sz w:val="16"/>
      <w:szCs w:val="16"/>
      <w:u w:val="single" w:color="FF0000"/>
      <w:lang w:val="es-ES_tradnl"/>
    </w:rPr>
  </w:style>
  <w:style w:type="character" w:customStyle="1" w:styleId="UnresolvedMention1">
    <w:name w:val="Unresolved Mention1"/>
    <w:uiPriority w:val="99"/>
    <w:semiHidden/>
    <w:unhideWhenUsed/>
    <w:rsid w:val="006F7917"/>
    <w:rPr>
      <w:color w:val="605E5C"/>
      <w:shd w:val="clear" w:color="auto" w:fill="E1DFDD"/>
    </w:rPr>
  </w:style>
  <w:style w:type="numbering" w:customStyle="1" w:styleId="EstiloImportado12">
    <w:name w:val="Estilo Importado 12"/>
    <w:rsid w:val="006F7917"/>
    <w:pPr>
      <w:numPr>
        <w:numId w:val="9"/>
      </w:numPr>
    </w:pPr>
  </w:style>
  <w:style w:type="numbering" w:customStyle="1" w:styleId="EstiloImportado13">
    <w:name w:val="Estilo Importado 13"/>
    <w:rsid w:val="006F7917"/>
    <w:pPr>
      <w:numPr>
        <w:numId w:val="10"/>
      </w:numPr>
    </w:pPr>
  </w:style>
  <w:style w:type="numbering" w:customStyle="1" w:styleId="EstiloImportado14">
    <w:name w:val="Estilo Importado 14"/>
    <w:rsid w:val="006F7917"/>
    <w:pPr>
      <w:numPr>
        <w:numId w:val="11"/>
      </w:numPr>
    </w:pPr>
  </w:style>
  <w:style w:type="character" w:customStyle="1" w:styleId="st1">
    <w:name w:val="st1"/>
    <w:rsid w:val="006F7917"/>
  </w:style>
  <w:style w:type="paragraph" w:styleId="Revision">
    <w:name w:val="Revision"/>
    <w:hidden/>
    <w:uiPriority w:val="99"/>
    <w:semiHidden/>
    <w:rsid w:val="006F7917"/>
    <w:rPr>
      <w:rFonts w:ascii="Calibri" w:eastAsia="Calibri" w:hAnsi="Calibri" w:cs="Calibri"/>
      <w:color w:val="000000"/>
      <w:sz w:val="22"/>
      <w:szCs w:val="22"/>
      <w:u w:color="000000"/>
      <w:bdr w:val="nil"/>
      <w:lang w:val="pt-PT"/>
    </w:rPr>
  </w:style>
  <w:style w:type="paragraph" w:customStyle="1" w:styleId="Corpo">
    <w:name w:val="Corpo"/>
    <w:rsid w:val="006F791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_tradnl" w:eastAsia="es-MX"/>
    </w:rPr>
  </w:style>
  <w:style w:type="numbering" w:customStyle="1" w:styleId="EstiloImportado2">
    <w:name w:val="Estilo Importado 2"/>
    <w:rsid w:val="006F7917"/>
    <w:pPr>
      <w:numPr>
        <w:numId w:val="12"/>
      </w:numPr>
    </w:pPr>
  </w:style>
  <w:style w:type="numbering" w:customStyle="1" w:styleId="EstiloImportado3">
    <w:name w:val="Estilo Importado 3"/>
    <w:rsid w:val="006F7917"/>
    <w:pPr>
      <w:numPr>
        <w:numId w:val="13"/>
      </w:numPr>
    </w:pPr>
  </w:style>
  <w:style w:type="numbering" w:customStyle="1" w:styleId="EstiloImportado4">
    <w:name w:val="Estilo Importado 4"/>
    <w:rsid w:val="006F7917"/>
    <w:pPr>
      <w:numPr>
        <w:numId w:val="14"/>
      </w:numPr>
    </w:pPr>
  </w:style>
  <w:style w:type="numbering" w:customStyle="1" w:styleId="EstiloImportado5">
    <w:name w:val="Estilo Importado 5"/>
    <w:rsid w:val="006F7917"/>
    <w:pPr>
      <w:numPr>
        <w:numId w:val="15"/>
      </w:numPr>
    </w:pPr>
  </w:style>
  <w:style w:type="numbering" w:customStyle="1" w:styleId="EstiloImportado6">
    <w:name w:val="Estilo Importado 6"/>
    <w:rsid w:val="006F7917"/>
    <w:pPr>
      <w:numPr>
        <w:numId w:val="16"/>
      </w:numPr>
    </w:pPr>
  </w:style>
  <w:style w:type="paragraph" w:styleId="BlockText">
    <w:name w:val="Block Text"/>
    <w:basedOn w:val="Normal"/>
    <w:uiPriority w:val="99"/>
    <w:rsid w:val="006F7917"/>
    <w:pPr>
      <w:spacing w:before="100" w:beforeAutospacing="1" w:after="100" w:afterAutospacing="1"/>
    </w:pPr>
    <w:rPr>
      <w:rFonts w:ascii="Times New Roman" w:eastAsia="MS Mincho" w:hAnsi="Times New Roman" w:cs="Times New Roman"/>
    </w:rPr>
  </w:style>
  <w:style w:type="character" w:customStyle="1" w:styleId="Hyperlink2">
    <w:name w:val="Hyperlink.2"/>
    <w:rsid w:val="00755422"/>
    <w:rPr>
      <w:rFonts w:ascii="Cambria" w:eastAsia="Cambria" w:hAnsi="Cambria" w:cs="Cambria"/>
      <w:color w:val="000000"/>
      <w:sz w:val="16"/>
      <w:szCs w:val="16"/>
      <w:u w:val="single"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dh.oas.org/annualrep/2002sp/Guatemala.11171.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dh.oas.org/annualrep/2006sp/Guatemala11171sp.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ocs/anual/2021/capitulos/IA2021cap2-es.pdf" TargetMode="External"/><Relationship Id="rId2" Type="http://schemas.openxmlformats.org/officeDocument/2006/relationships/hyperlink" Target="http://www.oas.org/es/cidh/docs/anual/2019/docs/IA2019cap2.g.ga11.171-es.doc" TargetMode="External"/><Relationship Id="rId1" Type="http://schemas.openxmlformats.org/officeDocument/2006/relationships/hyperlink" Target="http://www.oas.org/es/cidh/docs/anual/2019/docs/IA2019cap2-es.pdf" TargetMode="External"/><Relationship Id="rId4" Type="http://schemas.openxmlformats.org/officeDocument/2006/relationships/hyperlink" Target="http://www.corteidh.or.cr/docs/casos/articulos/seriec_171_esp.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6845A-FA30-43F3-A6F6-5490015DF105}">
  <ds:schemaRefs>
    <ds:schemaRef ds:uri="http://schemas.microsoft.com/sharepoint/v3/contenttype/forms"/>
  </ds:schemaRefs>
</ds:datastoreItem>
</file>

<file path=customXml/itemProps2.xml><?xml version="1.0" encoding="utf-8"?>
<ds:datastoreItem xmlns:ds="http://schemas.openxmlformats.org/officeDocument/2006/customXml" ds:itemID="{5DE65D1E-4D0C-40E3-B8B2-F1B54A15E7B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customXml/itemProps4.xml><?xml version="1.0" encoding="utf-8"?>
<ds:datastoreItem xmlns:ds="http://schemas.openxmlformats.org/officeDocument/2006/customXml" ds:itemID="{8705A9B3-6790-490F-A797-3386296A4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2595</Words>
  <Characters>14798</Characters>
  <Application>Microsoft Office Word</Application>
  <DocSecurity>0</DocSecurity>
  <Lines>123</Lines>
  <Paragraphs>34</Paragraphs>
  <ScaleCrop>false</ScaleCrop>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2023-03-28T19:01:00Z</dcterms:created>
  <dcterms:modified xsi:type="dcterms:W3CDTF">2023-03-28T19:01:00Z</dcterms:modified>
</cp:coreProperties>
</file>