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E64A" w14:textId="77777777" w:rsidR="00100470" w:rsidRDefault="00100470" w:rsidP="70BFFA36">
      <w:pPr>
        <w:pBdr>
          <w:top w:val="nil"/>
          <w:left w:val="nil"/>
          <w:bottom w:val="nil"/>
          <w:right w:val="nil"/>
          <w:between w:val="nil"/>
        </w:pBdr>
        <w:ind w:right="-270" w:hanging="2"/>
        <w:jc w:val="center"/>
        <w:rPr>
          <w:rFonts w:ascii="Cambria" w:eastAsia="Cambria" w:hAnsi="Cambria" w:cs="Cambria"/>
          <w:color w:val="000000"/>
        </w:rPr>
      </w:pPr>
    </w:p>
    <w:p w14:paraId="7C77B02C" w14:textId="77777777" w:rsidR="00100470" w:rsidRPr="00675AE5" w:rsidRDefault="00100470" w:rsidP="70BFFA36">
      <w:pPr>
        <w:pBdr>
          <w:top w:val="nil"/>
          <w:left w:val="nil"/>
          <w:bottom w:val="nil"/>
          <w:right w:val="nil"/>
          <w:between w:val="nil"/>
        </w:pBdr>
        <w:ind w:right="-270" w:hanging="2"/>
        <w:jc w:val="center"/>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 xml:space="preserve">FICHA DE SEGUIMIENTO DEL INFORME Nº 68/06 </w:t>
      </w:r>
    </w:p>
    <w:p w14:paraId="16AE7B9A" w14:textId="77777777" w:rsidR="00100470" w:rsidRPr="00675AE5" w:rsidRDefault="00100470" w:rsidP="70BFFA36">
      <w:pPr>
        <w:pBdr>
          <w:top w:val="nil"/>
          <w:left w:val="nil"/>
          <w:bottom w:val="nil"/>
          <w:right w:val="nil"/>
          <w:between w:val="nil"/>
        </w:pBdr>
        <w:ind w:right="-270" w:hanging="2"/>
        <w:jc w:val="center"/>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CASO 12.477</w:t>
      </w:r>
    </w:p>
    <w:p w14:paraId="3EC880E9" w14:textId="77777777" w:rsidR="00100470" w:rsidRPr="00675AE5" w:rsidRDefault="00100470" w:rsidP="70BFFA36">
      <w:pPr>
        <w:pBdr>
          <w:top w:val="nil"/>
          <w:left w:val="nil"/>
          <w:bottom w:val="nil"/>
          <w:right w:val="nil"/>
          <w:between w:val="nil"/>
        </w:pBdr>
        <w:ind w:right="-270" w:hanging="2"/>
        <w:jc w:val="center"/>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LORENZO ENRIQUE COPELLO CASTILLO Y OTROS</w:t>
      </w:r>
    </w:p>
    <w:p w14:paraId="2D064CCD" w14:textId="77777777" w:rsidR="00100470" w:rsidRDefault="00100470" w:rsidP="70BFFA36">
      <w:pPr>
        <w:pBdr>
          <w:top w:val="nil"/>
          <w:left w:val="nil"/>
          <w:bottom w:val="nil"/>
          <w:right w:val="nil"/>
          <w:between w:val="nil"/>
        </w:pBdr>
        <w:ind w:right="-270" w:hanging="2"/>
        <w:jc w:val="center"/>
        <w:rPr>
          <w:rFonts w:ascii="Cambria" w:eastAsia="Cambria" w:hAnsi="Cambria" w:cs="Cambria"/>
          <w:color w:val="000000"/>
          <w:sz w:val="20"/>
          <w:szCs w:val="20"/>
        </w:rPr>
      </w:pPr>
      <w:r w:rsidRPr="70BFFA36">
        <w:rPr>
          <w:rFonts w:ascii="Cambria" w:eastAsia="Cambria" w:hAnsi="Cambria" w:cs="Cambria"/>
          <w:b/>
          <w:bCs/>
          <w:color w:val="000000" w:themeColor="text1"/>
          <w:sz w:val="20"/>
          <w:szCs w:val="20"/>
        </w:rPr>
        <w:t>(Cuba)</w:t>
      </w:r>
    </w:p>
    <w:p w14:paraId="65BD2C5D" w14:textId="77777777" w:rsidR="00100470" w:rsidRDefault="00100470" w:rsidP="70BFFA36">
      <w:pPr>
        <w:pBdr>
          <w:top w:val="nil"/>
          <w:left w:val="nil"/>
          <w:bottom w:val="nil"/>
          <w:right w:val="nil"/>
          <w:between w:val="nil"/>
        </w:pBdr>
        <w:ind w:hanging="2"/>
        <w:jc w:val="center"/>
        <w:rPr>
          <w:rFonts w:ascii="Cambria" w:eastAsia="Cambria" w:hAnsi="Cambria" w:cs="Cambria"/>
          <w:color w:val="000000"/>
          <w:sz w:val="20"/>
          <w:szCs w:val="20"/>
        </w:rPr>
      </w:pPr>
    </w:p>
    <w:p w14:paraId="255BC819" w14:textId="77777777" w:rsidR="00100470" w:rsidRDefault="00100470">
      <w:pPr>
        <w:numPr>
          <w:ilvl w:val="0"/>
          <w:numId w:val="16"/>
        </w:numPr>
        <w:suppressAutoHyphens/>
        <w:ind w:leftChars="-1" w:left="0" w:hangingChars="1" w:hanging="2"/>
        <w:textDirection w:val="btLr"/>
        <w:textAlignment w:val="top"/>
        <w:outlineLvl w:val="0"/>
        <w:rPr>
          <w:rFonts w:ascii="Cambria" w:eastAsia="Cambria" w:hAnsi="Cambria" w:cs="Cambria"/>
          <w:color w:val="000000"/>
          <w:sz w:val="20"/>
          <w:szCs w:val="20"/>
        </w:rPr>
      </w:pPr>
      <w:r w:rsidRPr="70BFFA36">
        <w:rPr>
          <w:rFonts w:ascii="Cambria" w:eastAsia="Cambria" w:hAnsi="Cambria" w:cs="Cambria"/>
          <w:b/>
          <w:bCs/>
          <w:color w:val="000000" w:themeColor="text1"/>
          <w:sz w:val="20"/>
          <w:szCs w:val="20"/>
        </w:rPr>
        <w:t xml:space="preserve">Resumen del caso </w:t>
      </w:r>
    </w:p>
    <w:p w14:paraId="4D183887" w14:textId="77777777" w:rsidR="00100470" w:rsidRDefault="00100470" w:rsidP="00100470">
      <w:pPr>
        <w:ind w:hanging="2"/>
        <w:rPr>
          <w:rFonts w:ascii="Cambria" w:eastAsia="Cambria" w:hAnsi="Cambria" w:cs="Cambria"/>
          <w:color w:val="000000"/>
          <w:sz w:val="20"/>
          <w:szCs w:val="20"/>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00470" w:rsidRPr="00881705" w14:paraId="73AA5DD0" w14:textId="77777777" w:rsidTr="70BFFA36">
        <w:trPr>
          <w:jc w:val="center"/>
        </w:trPr>
        <w:tc>
          <w:tcPr>
            <w:tcW w:w="9576" w:type="dxa"/>
            <w:shd w:val="clear" w:color="auto" w:fill="F2F2F2" w:themeFill="background1" w:themeFillShade="F2"/>
          </w:tcPr>
          <w:p w14:paraId="353D7DE4" w14:textId="77777777" w:rsidR="00100470" w:rsidRPr="00675AE5" w:rsidRDefault="00100470" w:rsidP="70BFFA36">
            <w:pPr>
              <w:pBdr>
                <w:top w:val="nil"/>
                <w:left w:val="nil"/>
                <w:bottom w:val="nil"/>
                <w:right w:val="nil"/>
                <w:between w:val="nil"/>
              </w:pBdr>
              <w:spacing w:before="120"/>
              <w:ind w:hanging="2"/>
              <w:jc w:val="both"/>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Víctima (s):</w:t>
            </w:r>
            <w:r w:rsidRPr="70BFFA36">
              <w:rPr>
                <w:rFonts w:ascii="Cambria" w:eastAsia="Cambria" w:hAnsi="Cambria" w:cs="Cambria"/>
                <w:color w:val="000000" w:themeColor="text1"/>
                <w:sz w:val="20"/>
                <w:szCs w:val="20"/>
                <w:lang w:val="es-ES"/>
              </w:rPr>
              <w:t xml:space="preserve"> Lorenzo Enrique Copello Castillo, Bárbaro Leodán Sevilla García y Jorge Luis Martíbez Isaac</w:t>
            </w:r>
          </w:p>
          <w:p w14:paraId="13136E6B" w14:textId="77777777" w:rsidR="00100470" w:rsidRPr="00675AE5" w:rsidRDefault="00100470" w:rsidP="70BFFA36">
            <w:pPr>
              <w:pBdr>
                <w:top w:val="nil"/>
                <w:left w:val="nil"/>
                <w:bottom w:val="nil"/>
                <w:right w:val="nil"/>
                <w:between w:val="nil"/>
              </w:pBdr>
              <w:ind w:hanging="2"/>
              <w:jc w:val="both"/>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 xml:space="preserve">Peticionario (s): </w:t>
            </w:r>
            <w:r w:rsidRPr="70BFFA36">
              <w:rPr>
                <w:rFonts w:ascii="Cambria" w:eastAsia="Cambria" w:hAnsi="Cambria" w:cs="Cambria"/>
                <w:color w:val="000000" w:themeColor="text1"/>
                <w:sz w:val="20"/>
                <w:szCs w:val="20"/>
                <w:lang w:val="es-ES"/>
              </w:rPr>
              <w:t>Claudio Grossman  y Jennifer de Laurentiis</w:t>
            </w:r>
          </w:p>
          <w:p w14:paraId="6B7FC97F" w14:textId="77777777" w:rsidR="00100470" w:rsidRPr="00675AE5" w:rsidRDefault="00100470" w:rsidP="70BFFA36">
            <w:pPr>
              <w:pBdr>
                <w:top w:val="nil"/>
                <w:left w:val="nil"/>
                <w:bottom w:val="nil"/>
                <w:right w:val="nil"/>
                <w:between w:val="nil"/>
              </w:pBdr>
              <w:ind w:hanging="2"/>
              <w:jc w:val="both"/>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Estado:</w:t>
            </w:r>
            <w:r w:rsidRPr="70BFFA36">
              <w:rPr>
                <w:rFonts w:ascii="Cambria" w:eastAsia="Cambria" w:hAnsi="Cambria" w:cs="Cambria"/>
                <w:color w:val="000000" w:themeColor="text1"/>
                <w:sz w:val="20"/>
                <w:szCs w:val="20"/>
                <w:lang w:val="es-ES"/>
              </w:rPr>
              <w:t xml:space="preserve"> Cuba</w:t>
            </w:r>
          </w:p>
          <w:p w14:paraId="20620A0B" w14:textId="77777777" w:rsidR="00100470" w:rsidRPr="00675AE5" w:rsidRDefault="00100470" w:rsidP="70BFFA36">
            <w:pPr>
              <w:pBdr>
                <w:top w:val="nil"/>
                <w:left w:val="nil"/>
                <w:bottom w:val="nil"/>
                <w:right w:val="nil"/>
                <w:between w:val="nil"/>
              </w:pBdr>
              <w:ind w:hanging="2"/>
              <w:jc w:val="both"/>
              <w:rPr>
                <w:rFonts w:ascii="Cambria" w:eastAsia="Cambria" w:hAnsi="Cambria" w:cs="Cambria"/>
                <w:color w:val="000000"/>
                <w:sz w:val="20"/>
                <w:szCs w:val="20"/>
                <w:lang w:val="es-ES"/>
              </w:rPr>
            </w:pPr>
            <w:bookmarkStart w:id="0" w:name="_heading=h.gjdgxs"/>
            <w:bookmarkEnd w:id="0"/>
            <w:r w:rsidRPr="70BFFA36">
              <w:rPr>
                <w:rFonts w:ascii="Cambria" w:eastAsia="Cambria" w:hAnsi="Cambria" w:cs="Cambria"/>
                <w:b/>
                <w:bCs/>
                <w:color w:val="000000" w:themeColor="text1"/>
                <w:sz w:val="20"/>
                <w:szCs w:val="20"/>
                <w:lang w:val="es-ES"/>
              </w:rPr>
              <w:t xml:space="preserve">Informe de Fondo Nº: </w:t>
            </w:r>
            <w:hyperlink r:id="rId11">
              <w:r w:rsidRPr="70BFFA36">
                <w:rPr>
                  <w:rFonts w:ascii="Cambria" w:eastAsia="Cambria" w:hAnsi="Cambria" w:cs="Cambria"/>
                  <w:color w:val="000000" w:themeColor="text1"/>
                  <w:sz w:val="20"/>
                  <w:szCs w:val="20"/>
                  <w:u w:val="single"/>
                  <w:lang w:val="es-ES"/>
                </w:rPr>
                <w:t>68/06</w:t>
              </w:r>
            </w:hyperlink>
            <w:r w:rsidRPr="70BFFA36">
              <w:rPr>
                <w:rFonts w:ascii="Cambria" w:eastAsia="Cambria" w:hAnsi="Cambria" w:cs="Cambria"/>
                <w:color w:val="000000" w:themeColor="text1"/>
                <w:sz w:val="20"/>
                <w:szCs w:val="20"/>
                <w:lang w:val="es-ES"/>
              </w:rPr>
              <w:t xml:space="preserve">, publicado el 21 de octubre de 2006 </w:t>
            </w:r>
          </w:p>
          <w:p w14:paraId="6C281A0A" w14:textId="77777777" w:rsidR="00100470" w:rsidRPr="00675AE5" w:rsidRDefault="00100470" w:rsidP="70BFFA36">
            <w:pPr>
              <w:pBdr>
                <w:top w:val="nil"/>
                <w:left w:val="nil"/>
                <w:bottom w:val="nil"/>
                <w:right w:val="nil"/>
                <w:between w:val="nil"/>
              </w:pBdr>
              <w:ind w:hanging="2"/>
              <w:jc w:val="both"/>
              <w:rPr>
                <w:rFonts w:ascii="Cambria" w:eastAsia="Cambria" w:hAnsi="Cambria" w:cs="Cambria"/>
                <w:color w:val="000000"/>
                <w:sz w:val="20"/>
                <w:szCs w:val="20"/>
                <w:lang w:val="es-ES"/>
              </w:rPr>
            </w:pPr>
            <w:bookmarkStart w:id="1" w:name="_heading=h.30j0zll"/>
            <w:bookmarkEnd w:id="1"/>
            <w:r w:rsidRPr="70BFFA36">
              <w:rPr>
                <w:rFonts w:ascii="Cambria" w:eastAsia="Cambria" w:hAnsi="Cambria" w:cs="Cambria"/>
                <w:b/>
                <w:bCs/>
                <w:color w:val="000000" w:themeColor="text1"/>
                <w:sz w:val="20"/>
                <w:szCs w:val="20"/>
                <w:lang w:val="es-ES"/>
              </w:rPr>
              <w:t xml:space="preserve">Informe de Admisibilidad Nº: </w:t>
            </w:r>
            <w:hyperlink r:id="rId12">
              <w:r w:rsidRPr="70BFFA36">
                <w:rPr>
                  <w:rFonts w:ascii="Cambria" w:eastAsia="Cambria" w:hAnsi="Cambria" w:cs="Cambria"/>
                  <w:color w:val="000000" w:themeColor="text1"/>
                  <w:sz w:val="20"/>
                  <w:szCs w:val="20"/>
                  <w:u w:val="single"/>
                  <w:lang w:val="es-ES"/>
                </w:rPr>
                <w:t>58/04</w:t>
              </w:r>
            </w:hyperlink>
            <w:r w:rsidRPr="70BFFA36">
              <w:rPr>
                <w:rFonts w:ascii="Cambria" w:eastAsia="Cambria" w:hAnsi="Cambria" w:cs="Cambria"/>
                <w:color w:val="000000" w:themeColor="text1"/>
                <w:sz w:val="20"/>
                <w:szCs w:val="20"/>
                <w:lang w:val="es-ES"/>
              </w:rPr>
              <w:t>, publicado el 14 de octubre de 2004</w:t>
            </w:r>
          </w:p>
          <w:p w14:paraId="597BEDDD" w14:textId="77777777" w:rsidR="00100470" w:rsidRPr="00675AE5" w:rsidRDefault="00100470" w:rsidP="70BFFA36">
            <w:pPr>
              <w:pBdr>
                <w:top w:val="nil"/>
                <w:left w:val="nil"/>
                <w:bottom w:val="nil"/>
                <w:right w:val="nil"/>
                <w:between w:val="nil"/>
              </w:pBdr>
              <w:spacing w:after="120"/>
              <w:ind w:hanging="2"/>
              <w:jc w:val="both"/>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 xml:space="preserve">Temas: </w:t>
            </w:r>
            <w:r w:rsidRPr="70BFFA36">
              <w:rPr>
                <w:rFonts w:ascii="Cambria" w:eastAsia="Cambria" w:hAnsi="Cambria" w:cs="Cambria"/>
                <w:color w:val="000000" w:themeColor="text1"/>
                <w:sz w:val="20"/>
                <w:szCs w:val="20"/>
                <w:lang w:val="es-ES"/>
              </w:rPr>
              <w:t>Derecho a la Vida /</w:t>
            </w:r>
            <w:r w:rsidRPr="70BFFA36">
              <w:rPr>
                <w:rFonts w:ascii="Cambria" w:eastAsia="Cambria" w:hAnsi="Cambria" w:cs="Cambria"/>
                <w:b/>
                <w:bCs/>
                <w:color w:val="000000" w:themeColor="text1"/>
                <w:sz w:val="20"/>
                <w:szCs w:val="20"/>
                <w:lang w:val="es-ES"/>
              </w:rPr>
              <w:t xml:space="preserve"> </w:t>
            </w:r>
            <w:r w:rsidRPr="70BFFA36">
              <w:rPr>
                <w:rFonts w:ascii="Cambria" w:eastAsia="Cambria" w:hAnsi="Cambria" w:cs="Cambria"/>
                <w:color w:val="000000" w:themeColor="text1"/>
                <w:sz w:val="20"/>
                <w:szCs w:val="20"/>
                <w:lang w:val="es-ES"/>
              </w:rPr>
              <w:t xml:space="preserve">Derecho a la Libertad Personal / Garantías Judiciales/ Protección Judicial / Pena de Muerte </w:t>
            </w:r>
          </w:p>
          <w:p w14:paraId="0261176C" w14:textId="77777777" w:rsidR="00100470" w:rsidRPr="00675AE5" w:rsidRDefault="00100470" w:rsidP="70BFFA36">
            <w:pPr>
              <w:pBdr>
                <w:top w:val="nil"/>
                <w:left w:val="nil"/>
                <w:bottom w:val="nil"/>
                <w:right w:val="nil"/>
                <w:between w:val="nil"/>
              </w:pBdr>
              <w:spacing w:after="120"/>
              <w:ind w:hanging="2"/>
              <w:jc w:val="both"/>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Hechos:</w:t>
            </w:r>
            <w:r w:rsidRPr="70BFFA36">
              <w:rPr>
                <w:rFonts w:ascii="Cambria" w:eastAsia="Cambria" w:hAnsi="Cambria" w:cs="Cambria"/>
                <w:color w:val="000000" w:themeColor="text1"/>
                <w:sz w:val="20"/>
                <w:szCs w:val="20"/>
                <w:lang w:val="es-ES"/>
              </w:rPr>
              <w:t xml:space="preserve"> Lorenzo Enrique Copello Castillo, Bárbaro Leodán Sevilla García y Jorge Luis Martínez Isaac fueron juzgados por la Sala de los Delitos contra la Seguridad del Estado del Tribunal Popular de la Ciudad de La Habana. El Tribunal habría aplicado el procedimiento de “juicio sumarísimo” previsto por los artículos 479 y 480 de la Ley de Procedimiento Penal. Los juicios se llevaron a cabo del 5 al 8 de abril de 2003 y las presuntas víctimas fueron condenadas a muerte y fusiladas por violación a la “Ley Cubana contra Actos de Terrorismo”, de diciembre de 2001.</w:t>
            </w:r>
          </w:p>
          <w:p w14:paraId="61CC3F6F" w14:textId="77777777" w:rsidR="00100470" w:rsidRPr="00077D58" w:rsidRDefault="00100470" w:rsidP="70BFFA36">
            <w:pPr>
              <w:pBdr>
                <w:top w:val="nil"/>
                <w:left w:val="nil"/>
                <w:bottom w:val="nil"/>
                <w:right w:val="nil"/>
                <w:between w:val="nil"/>
              </w:pBdr>
              <w:spacing w:after="120"/>
              <w:ind w:hanging="2"/>
              <w:jc w:val="both"/>
              <w:rPr>
                <w:rFonts w:ascii="Cambria" w:eastAsia="Cambria" w:hAnsi="Cambria" w:cs="Cambria"/>
                <w:color w:val="000000"/>
                <w:sz w:val="20"/>
                <w:szCs w:val="20"/>
                <w:lang w:val="es-ES"/>
              </w:rPr>
            </w:pPr>
            <w:r w:rsidRPr="1674A28A">
              <w:rPr>
                <w:rFonts w:ascii="Cambria" w:eastAsia="Cambria" w:hAnsi="Cambria" w:cs="Cambria"/>
                <w:b/>
                <w:bCs/>
                <w:color w:val="000000"/>
                <w:sz w:val="20"/>
                <w:szCs w:val="20"/>
                <w:lang w:val="es-ES"/>
              </w:rPr>
              <w:t>Derechos violados:</w:t>
            </w:r>
            <w:r w:rsidRPr="00675AE5">
              <w:rPr>
                <w:rFonts w:ascii="Cambria" w:eastAsia="Cambria" w:hAnsi="Cambria" w:cs="Cambria"/>
                <w:color w:val="000000"/>
                <w:sz w:val="20"/>
                <w:szCs w:val="20"/>
                <w:lang w:val="es-ES"/>
              </w:rPr>
              <w:t xml:space="preserve"> La Comisión, concluyó que el Estado es responsable de violar los artículos XVIII y XXVI de la Declaración Americana en perjuicio de los señores Lorenzo Enrique Copello Castillo, Bárbaro Leodán Sevilla García y Jorge Luis Martínez Isaac por no haberles proporcionado un juicio justo. </w:t>
            </w:r>
            <w:r w:rsidRPr="00077D58">
              <w:rPr>
                <w:rFonts w:ascii="Cambria" w:eastAsia="Cambria" w:hAnsi="Cambria" w:cs="Cambria"/>
                <w:color w:val="000000"/>
                <w:sz w:val="20"/>
                <w:szCs w:val="20"/>
                <w:lang w:val="es-ES"/>
              </w:rPr>
              <w:t>El Estado es responsable de violar el artículo I de la Declaración Americana, en perjuicio de los señores Lorenzo Enrique Copello Castillo, Bárbaro Leodán Sevilla García y Jorge Luis Martínez Isaac, por ejecutarlos en virtud de una sentencia dictada dentro de un procedimiento que no contó con las debidas garantías de protección.</w:t>
            </w:r>
            <w:r>
              <w:rPr>
                <w:rFonts w:ascii="Cambria" w:eastAsia="Cambria" w:hAnsi="Cambria" w:cs="Cambria"/>
                <w:color w:val="000000"/>
                <w:sz w:val="20"/>
                <w:szCs w:val="20"/>
                <w:vertAlign w:val="superscript"/>
              </w:rPr>
              <w:footnoteReference w:id="1"/>
            </w:r>
            <w:r w:rsidRPr="00077D58">
              <w:rPr>
                <w:rFonts w:ascii="Cambria" w:eastAsia="Cambria" w:hAnsi="Cambria" w:cs="Cambria"/>
                <w:color w:val="000000"/>
                <w:sz w:val="20"/>
                <w:szCs w:val="20"/>
                <w:lang w:val="es-ES"/>
              </w:rPr>
              <w:t xml:space="preserve">  </w:t>
            </w:r>
          </w:p>
        </w:tc>
      </w:tr>
    </w:tbl>
    <w:p w14:paraId="69DDF942" w14:textId="77777777" w:rsidR="00100470" w:rsidRPr="00077D58" w:rsidRDefault="00100470" w:rsidP="00100470">
      <w:pPr>
        <w:ind w:hanging="2"/>
        <w:rPr>
          <w:rFonts w:ascii="Cambria" w:eastAsia="Cambria" w:hAnsi="Cambria" w:cs="Cambria"/>
          <w:color w:val="000000"/>
          <w:sz w:val="20"/>
          <w:szCs w:val="20"/>
          <w:lang w:val="es-ES"/>
        </w:rPr>
      </w:pPr>
    </w:p>
    <w:p w14:paraId="03B04D32" w14:textId="77777777" w:rsidR="00100470" w:rsidRDefault="00100470">
      <w:pPr>
        <w:numPr>
          <w:ilvl w:val="0"/>
          <w:numId w:val="16"/>
        </w:numPr>
        <w:suppressAutoHyphens/>
        <w:ind w:leftChars="-1" w:left="0" w:hangingChars="1" w:hanging="2"/>
        <w:jc w:val="both"/>
        <w:textDirection w:val="btLr"/>
        <w:textAlignment w:val="top"/>
        <w:outlineLvl w:val="0"/>
        <w:rPr>
          <w:rFonts w:ascii="Cambria" w:eastAsia="Cambria" w:hAnsi="Cambria" w:cs="Cambria"/>
          <w:color w:val="000000"/>
          <w:sz w:val="20"/>
          <w:szCs w:val="20"/>
        </w:rPr>
      </w:pPr>
      <w:r w:rsidRPr="70BFFA36">
        <w:rPr>
          <w:rFonts w:ascii="Cambria" w:eastAsia="Cambria" w:hAnsi="Cambria" w:cs="Cambria"/>
          <w:b/>
          <w:bCs/>
          <w:color w:val="000000" w:themeColor="text1"/>
          <w:sz w:val="20"/>
          <w:szCs w:val="20"/>
        </w:rPr>
        <w:t xml:space="preserve">Recomendaciones </w:t>
      </w:r>
    </w:p>
    <w:p w14:paraId="1D8E2014" w14:textId="77777777" w:rsidR="00100470" w:rsidRDefault="00100470" w:rsidP="00100470">
      <w:pPr>
        <w:ind w:hanging="2"/>
        <w:jc w:val="both"/>
        <w:rPr>
          <w:rFonts w:ascii="Cambria" w:eastAsia="Cambria" w:hAnsi="Cambria" w:cs="Cambria"/>
          <w:color w:val="000000"/>
          <w:sz w:val="20"/>
          <w:szCs w:val="20"/>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0"/>
        <w:gridCol w:w="2250"/>
      </w:tblGrid>
      <w:tr w:rsidR="00100470" w:rsidRPr="00881705" w14:paraId="7F680436" w14:textId="77777777" w:rsidTr="70BFFA36">
        <w:tc>
          <w:tcPr>
            <w:tcW w:w="7290" w:type="dxa"/>
            <w:vAlign w:val="center"/>
          </w:tcPr>
          <w:p w14:paraId="7071597B" w14:textId="77777777" w:rsidR="00100470" w:rsidRDefault="00100470" w:rsidP="008711AF">
            <w:pPr>
              <w:ind w:hanging="2"/>
              <w:jc w:val="center"/>
              <w:rPr>
                <w:rFonts w:ascii="Cambria" w:eastAsia="Cambria" w:hAnsi="Cambria" w:cs="Cambria"/>
                <w:color w:val="000000"/>
                <w:sz w:val="18"/>
                <w:szCs w:val="18"/>
              </w:rPr>
            </w:pPr>
            <w:r w:rsidRPr="70BFFA36">
              <w:rPr>
                <w:rFonts w:ascii="Cambria" w:eastAsia="Cambria" w:hAnsi="Cambria" w:cs="Cambria"/>
                <w:b/>
                <w:bCs/>
                <w:color w:val="000000" w:themeColor="text1"/>
                <w:sz w:val="18"/>
                <w:szCs w:val="18"/>
              </w:rPr>
              <w:t>Recomendaciones</w:t>
            </w:r>
          </w:p>
        </w:tc>
        <w:tc>
          <w:tcPr>
            <w:tcW w:w="2250" w:type="dxa"/>
            <w:vAlign w:val="center"/>
          </w:tcPr>
          <w:p w14:paraId="4782C90E" w14:textId="7FF63D26" w:rsidR="00100470" w:rsidRPr="00077D58" w:rsidRDefault="00100470" w:rsidP="008711AF">
            <w:pPr>
              <w:ind w:hanging="2"/>
              <w:jc w:val="center"/>
              <w:rPr>
                <w:rFonts w:ascii="Cambria" w:eastAsia="Cambria" w:hAnsi="Cambria" w:cs="Cambria"/>
                <w:color w:val="000000"/>
                <w:sz w:val="18"/>
                <w:szCs w:val="18"/>
                <w:lang w:val="es-ES"/>
              </w:rPr>
            </w:pPr>
            <w:r w:rsidRPr="70BFFA36">
              <w:rPr>
                <w:rFonts w:ascii="Cambria" w:eastAsia="Cambria" w:hAnsi="Cambria" w:cs="Cambria"/>
                <w:b/>
                <w:bCs/>
                <w:color w:val="000000" w:themeColor="text1"/>
                <w:sz w:val="18"/>
                <w:szCs w:val="18"/>
                <w:lang w:val="es-ES"/>
              </w:rPr>
              <w:t>Estado de cumplimiento en el 202</w:t>
            </w:r>
            <w:r w:rsidR="00C4681A" w:rsidRPr="70BFFA36">
              <w:rPr>
                <w:rFonts w:ascii="Cambria" w:eastAsia="Cambria" w:hAnsi="Cambria" w:cs="Cambria"/>
                <w:b/>
                <w:bCs/>
                <w:color w:val="000000" w:themeColor="text1"/>
                <w:sz w:val="18"/>
                <w:szCs w:val="18"/>
                <w:lang w:val="es-CO"/>
              </w:rPr>
              <w:t>2</w:t>
            </w:r>
          </w:p>
        </w:tc>
      </w:tr>
      <w:tr w:rsidR="00100470" w14:paraId="1E265C3A" w14:textId="77777777" w:rsidTr="70BFFA36">
        <w:tc>
          <w:tcPr>
            <w:tcW w:w="7290" w:type="dxa"/>
            <w:vAlign w:val="center"/>
          </w:tcPr>
          <w:p w14:paraId="54767B8F" w14:textId="77777777" w:rsidR="00100470" w:rsidRPr="00077D58" w:rsidRDefault="00100470" w:rsidP="70BFFA36">
            <w:pPr>
              <w:pBdr>
                <w:top w:val="nil"/>
                <w:left w:val="nil"/>
                <w:bottom w:val="nil"/>
                <w:right w:val="nil"/>
                <w:between w:val="nil"/>
              </w:pBdr>
              <w:ind w:hanging="2"/>
              <w:jc w:val="both"/>
              <w:rPr>
                <w:rFonts w:ascii="Cambria" w:eastAsia="Cambria" w:hAnsi="Cambria" w:cs="Cambria"/>
                <w:color w:val="000000"/>
                <w:sz w:val="18"/>
                <w:szCs w:val="18"/>
                <w:lang w:val="es-ES"/>
              </w:rPr>
            </w:pPr>
            <w:r w:rsidRPr="70BFFA36">
              <w:rPr>
                <w:rFonts w:ascii="Cambria" w:eastAsia="Cambria" w:hAnsi="Cambria" w:cs="Cambria"/>
                <w:color w:val="000000" w:themeColor="text1"/>
                <w:sz w:val="18"/>
                <w:szCs w:val="18"/>
                <w:lang w:val="es-ES"/>
              </w:rPr>
              <w:t>1. Adoptar las medidas necesarias para adecuar las leyes, procedimientos y prácticas a las normas internacionales sobre derechos humanos. En particular, la Comisión recomienda al Estado de Cuba reformar la legislación penal con el objeto de asegurar el derecho de justicia y el derecho de proceso regular, así como iniciar un proceso de reforma a su Constitución Política con miras a asegurar la independencia del Poder Judicial.</w:t>
            </w:r>
          </w:p>
        </w:tc>
        <w:tc>
          <w:tcPr>
            <w:tcW w:w="2250" w:type="dxa"/>
            <w:vAlign w:val="center"/>
          </w:tcPr>
          <w:p w14:paraId="606F052C" w14:textId="77777777" w:rsidR="00100470" w:rsidRDefault="00100470" w:rsidP="008711AF">
            <w:pPr>
              <w:ind w:hanging="2"/>
              <w:jc w:val="center"/>
              <w:rPr>
                <w:rFonts w:ascii="Cambria" w:eastAsia="Cambria" w:hAnsi="Cambria" w:cs="Cambria"/>
                <w:color w:val="000000"/>
                <w:sz w:val="18"/>
                <w:szCs w:val="18"/>
              </w:rPr>
            </w:pPr>
            <w:r w:rsidRPr="70BFFA36">
              <w:rPr>
                <w:rFonts w:ascii="Cambria" w:eastAsia="Cambria" w:hAnsi="Cambria" w:cs="Cambria"/>
                <w:color w:val="000000" w:themeColor="text1"/>
                <w:sz w:val="18"/>
                <w:szCs w:val="18"/>
              </w:rPr>
              <w:t>Pendiente de cumplimiento</w:t>
            </w:r>
          </w:p>
        </w:tc>
      </w:tr>
      <w:tr w:rsidR="00100470" w14:paraId="27189676" w14:textId="77777777" w:rsidTr="70BFFA36">
        <w:tc>
          <w:tcPr>
            <w:tcW w:w="7290" w:type="dxa"/>
            <w:vAlign w:val="center"/>
          </w:tcPr>
          <w:p w14:paraId="40ACDE7C" w14:textId="77777777" w:rsidR="00100470" w:rsidRPr="00077D58" w:rsidRDefault="00100470" w:rsidP="70BFFA36">
            <w:pPr>
              <w:pBdr>
                <w:top w:val="nil"/>
                <w:left w:val="nil"/>
                <w:bottom w:val="nil"/>
                <w:right w:val="nil"/>
                <w:between w:val="nil"/>
              </w:pBdr>
              <w:ind w:hanging="2"/>
              <w:jc w:val="both"/>
              <w:rPr>
                <w:rFonts w:ascii="Cambria" w:eastAsia="Cambria" w:hAnsi="Cambria" w:cs="Cambria"/>
                <w:color w:val="000000"/>
                <w:sz w:val="18"/>
                <w:szCs w:val="18"/>
                <w:lang w:val="es-ES"/>
              </w:rPr>
            </w:pPr>
            <w:r w:rsidRPr="70BFFA36">
              <w:rPr>
                <w:rFonts w:ascii="Cambria" w:eastAsia="Cambria" w:hAnsi="Cambria" w:cs="Cambria"/>
                <w:color w:val="000000" w:themeColor="text1"/>
                <w:sz w:val="18"/>
                <w:szCs w:val="18"/>
                <w:lang w:val="es-ES"/>
              </w:rPr>
              <w:t>2. Reparar a los familiares de las víctimas por el daño material e inmaterial sufrido en virtud de las violaciones a la Declaración Americana aquí establecidas.</w:t>
            </w:r>
          </w:p>
        </w:tc>
        <w:tc>
          <w:tcPr>
            <w:tcW w:w="2250" w:type="dxa"/>
            <w:vAlign w:val="center"/>
          </w:tcPr>
          <w:p w14:paraId="42E0047A" w14:textId="77777777" w:rsidR="00100470" w:rsidRDefault="00100470" w:rsidP="008711AF">
            <w:pPr>
              <w:ind w:hanging="2"/>
              <w:jc w:val="center"/>
              <w:rPr>
                <w:rFonts w:ascii="Cambria" w:eastAsia="Cambria" w:hAnsi="Cambria" w:cs="Cambria"/>
                <w:color w:val="000000"/>
                <w:sz w:val="18"/>
                <w:szCs w:val="18"/>
              </w:rPr>
            </w:pPr>
            <w:r w:rsidRPr="70BFFA36">
              <w:rPr>
                <w:rFonts w:ascii="Cambria" w:eastAsia="Cambria" w:hAnsi="Cambria" w:cs="Cambria"/>
                <w:color w:val="000000" w:themeColor="text1"/>
                <w:sz w:val="18"/>
                <w:szCs w:val="18"/>
              </w:rPr>
              <w:t>Pendiente de cumplimiento</w:t>
            </w:r>
          </w:p>
        </w:tc>
      </w:tr>
      <w:tr w:rsidR="00100470" w14:paraId="0BF4734A" w14:textId="77777777" w:rsidTr="70BFFA36">
        <w:tc>
          <w:tcPr>
            <w:tcW w:w="7290" w:type="dxa"/>
            <w:vAlign w:val="center"/>
          </w:tcPr>
          <w:p w14:paraId="7550F40C" w14:textId="77777777" w:rsidR="00100470" w:rsidRPr="00077D58" w:rsidRDefault="00100470" w:rsidP="70BFFA36">
            <w:pPr>
              <w:pBdr>
                <w:top w:val="nil"/>
                <w:left w:val="nil"/>
                <w:bottom w:val="nil"/>
                <w:right w:val="nil"/>
                <w:between w:val="nil"/>
              </w:pBdr>
              <w:ind w:hanging="2"/>
              <w:jc w:val="both"/>
              <w:rPr>
                <w:rFonts w:ascii="Cambria" w:eastAsia="Cambria" w:hAnsi="Cambria" w:cs="Cambria"/>
                <w:color w:val="000000"/>
                <w:sz w:val="18"/>
                <w:szCs w:val="18"/>
                <w:lang w:val="es-ES"/>
              </w:rPr>
            </w:pPr>
            <w:r w:rsidRPr="70BFFA36">
              <w:rPr>
                <w:rFonts w:ascii="Cambria" w:eastAsia="Cambria" w:hAnsi="Cambria" w:cs="Cambria"/>
                <w:color w:val="000000" w:themeColor="text1"/>
                <w:sz w:val="18"/>
                <w:szCs w:val="18"/>
                <w:lang w:val="es-ES"/>
              </w:rPr>
              <w:t>3. Adoptar las medidas necesarias para evitar que hechos similares vuelvan a cometerse, de conformidad con el deber del Estado de respetar y garantizar los derechos humanos.</w:t>
            </w:r>
          </w:p>
        </w:tc>
        <w:tc>
          <w:tcPr>
            <w:tcW w:w="2250" w:type="dxa"/>
            <w:vAlign w:val="center"/>
          </w:tcPr>
          <w:p w14:paraId="3DAF5FA1" w14:textId="77777777" w:rsidR="00100470" w:rsidRDefault="00100470" w:rsidP="008711AF">
            <w:pPr>
              <w:ind w:hanging="2"/>
              <w:jc w:val="center"/>
              <w:rPr>
                <w:rFonts w:ascii="Cambria" w:eastAsia="Cambria" w:hAnsi="Cambria" w:cs="Cambria"/>
                <w:color w:val="000000"/>
                <w:sz w:val="18"/>
                <w:szCs w:val="18"/>
              </w:rPr>
            </w:pPr>
            <w:r w:rsidRPr="70BFFA36">
              <w:rPr>
                <w:rFonts w:ascii="Cambria" w:eastAsia="Cambria" w:hAnsi="Cambria" w:cs="Cambria"/>
                <w:color w:val="000000" w:themeColor="text1"/>
                <w:sz w:val="18"/>
                <w:szCs w:val="18"/>
              </w:rPr>
              <w:t>Pendiente de cumplimiento</w:t>
            </w:r>
          </w:p>
        </w:tc>
      </w:tr>
    </w:tbl>
    <w:p w14:paraId="3BF7A285" w14:textId="77777777" w:rsidR="00100470" w:rsidRDefault="00100470" w:rsidP="00100470">
      <w:pPr>
        <w:ind w:hanging="2"/>
        <w:jc w:val="both"/>
        <w:rPr>
          <w:rFonts w:ascii="Cambria" w:eastAsia="Cambria" w:hAnsi="Cambria" w:cs="Cambria"/>
          <w:color w:val="000000"/>
          <w:sz w:val="20"/>
          <w:szCs w:val="20"/>
        </w:rPr>
      </w:pPr>
    </w:p>
    <w:p w14:paraId="43B90CC8" w14:textId="77777777" w:rsidR="00881705" w:rsidRPr="00DE4C30" w:rsidRDefault="00881705" w:rsidP="70BFFA36">
      <w:pPr>
        <w:numPr>
          <w:ilvl w:val="0"/>
          <w:numId w:val="18"/>
        </w:numPr>
        <w:pBdr>
          <w:top w:val="nil"/>
          <w:left w:val="nil"/>
          <w:bottom w:val="nil"/>
          <w:right w:val="nil"/>
          <w:between w:val="nil"/>
        </w:pBdr>
        <w:suppressAutoHyphens/>
        <w:ind w:leftChars="-1" w:left="0" w:hangingChars="1" w:hanging="2"/>
        <w:jc w:val="both"/>
        <w:textDirection w:val="btLr"/>
        <w:textAlignment w:val="top"/>
        <w:outlineLvl w:val="0"/>
        <w:rPr>
          <w:color w:val="000000" w:themeColor="text1"/>
          <w:lang w:val="es-US"/>
        </w:rPr>
      </w:pPr>
      <w:r w:rsidRPr="70BFFA36">
        <w:rPr>
          <w:rFonts w:ascii="Cambria" w:eastAsia="Cambria" w:hAnsi="Cambria" w:cs="Cambria"/>
          <w:b/>
          <w:bCs/>
          <w:color w:val="000000" w:themeColor="text1"/>
          <w:sz w:val="20"/>
          <w:szCs w:val="20"/>
        </w:rPr>
        <w:t>Actividad Procesal</w:t>
      </w:r>
    </w:p>
    <w:p w14:paraId="2D2C3338" w14:textId="77777777" w:rsidR="00881705" w:rsidRPr="00DE4C30" w:rsidRDefault="00881705" w:rsidP="70BFFA36">
      <w:pPr>
        <w:pBdr>
          <w:top w:val="nil"/>
          <w:left w:val="nil"/>
          <w:bottom w:val="nil"/>
          <w:right w:val="nil"/>
          <w:between w:val="nil"/>
        </w:pBdr>
        <w:suppressAutoHyphens/>
        <w:jc w:val="both"/>
        <w:textDirection w:val="btLr"/>
        <w:textAlignment w:val="top"/>
        <w:outlineLvl w:val="0"/>
        <w:rPr>
          <w:color w:val="000000" w:themeColor="text1"/>
          <w:lang w:val="es-US"/>
        </w:rPr>
      </w:pPr>
    </w:p>
    <w:p w14:paraId="3AEDE0B3" w14:textId="1F668CA7" w:rsidR="00881705" w:rsidRDefault="00881705" w:rsidP="70BFFA36">
      <w:pPr>
        <w:pStyle w:val="ListParagraph"/>
        <w:numPr>
          <w:ilvl w:val="3"/>
          <w:numId w:val="18"/>
        </w:numPr>
        <w:ind w:left="0" w:firstLine="720"/>
        <w:jc w:val="both"/>
        <w:rPr>
          <w:rFonts w:ascii="Cambria" w:eastAsia="Cambria" w:hAnsi="Cambria" w:cs="Cambria"/>
          <w:color w:val="000000" w:themeColor="text1"/>
          <w:sz w:val="20"/>
          <w:szCs w:val="20"/>
          <w:lang w:val="es-US"/>
        </w:rPr>
      </w:pPr>
      <w:bookmarkStart w:id="2" w:name="_Hlk122944747"/>
      <w:r w:rsidRPr="70BFFA36">
        <w:rPr>
          <w:rFonts w:ascii="Cambria" w:eastAsia="Cambria" w:hAnsi="Cambria" w:cs="Cambria"/>
          <w:color w:val="000000" w:themeColor="text1"/>
          <w:sz w:val="20"/>
          <w:szCs w:val="20"/>
          <w:lang w:val="es-US"/>
        </w:rPr>
        <w:t xml:space="preserve">En 2022, la CIDH solicitó información actualizada a ambas partes sobre el cumplimiento de las recomendaciones el 26 de agosto.  A la fecha de cierre de este informe, la Comisión no había recibido dicha información de ninguna de las partes. </w:t>
      </w:r>
      <w:bookmarkEnd w:id="2"/>
    </w:p>
    <w:p w14:paraId="3C2EA3EE" w14:textId="77777777" w:rsidR="00881705" w:rsidRPr="00881705" w:rsidRDefault="00881705" w:rsidP="70BFFA36">
      <w:pPr>
        <w:pStyle w:val="ListParagraph"/>
        <w:jc w:val="both"/>
        <w:rPr>
          <w:rFonts w:ascii="Cambria" w:eastAsia="Cambria" w:hAnsi="Cambria" w:cs="Cambria"/>
          <w:color w:val="000000" w:themeColor="text1"/>
          <w:sz w:val="20"/>
          <w:szCs w:val="20"/>
          <w:lang w:val="es-US"/>
        </w:rPr>
      </w:pPr>
    </w:p>
    <w:p w14:paraId="52D218DB" w14:textId="77777777" w:rsidR="00881705" w:rsidRPr="00DE4C30" w:rsidRDefault="00881705" w:rsidP="70BFFA36">
      <w:pPr>
        <w:numPr>
          <w:ilvl w:val="0"/>
          <w:numId w:val="18"/>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themeColor="text1"/>
          <w:sz w:val="20"/>
          <w:szCs w:val="20"/>
          <w:lang w:val="es-US"/>
        </w:rPr>
      </w:pPr>
      <w:r w:rsidRPr="70BFFA36">
        <w:rPr>
          <w:rFonts w:ascii="Cambria" w:eastAsia="Cambria" w:hAnsi="Cambria" w:cs="Cambria"/>
          <w:b/>
          <w:bCs/>
          <w:color w:val="000000" w:themeColor="text1"/>
          <w:sz w:val="20"/>
          <w:szCs w:val="20"/>
          <w:lang w:val="es-US"/>
        </w:rPr>
        <w:t>Análisis relativo a la información proporcionada</w:t>
      </w:r>
    </w:p>
    <w:p w14:paraId="61105DA0" w14:textId="77777777" w:rsidR="00881705" w:rsidRPr="00DE4C30" w:rsidRDefault="00881705" w:rsidP="70BFFA36">
      <w:pPr>
        <w:pStyle w:val="ListParagraph"/>
        <w:jc w:val="both"/>
        <w:rPr>
          <w:rFonts w:ascii="Cambria" w:eastAsia="Cambria" w:hAnsi="Cambria" w:cs="Cambria"/>
          <w:color w:val="000000" w:themeColor="text1"/>
          <w:sz w:val="20"/>
          <w:szCs w:val="20"/>
          <w:lang w:val="es-US"/>
        </w:rPr>
      </w:pPr>
    </w:p>
    <w:p w14:paraId="4BE4BBAF" w14:textId="1CDC334B" w:rsidR="00881705" w:rsidRPr="00DE4C30" w:rsidRDefault="00881705" w:rsidP="70BFFA36">
      <w:pPr>
        <w:pStyle w:val="ListParagraph"/>
        <w:numPr>
          <w:ilvl w:val="0"/>
          <w:numId w:val="19"/>
        </w:numPr>
        <w:ind w:left="0" w:firstLine="720"/>
        <w:jc w:val="both"/>
        <w:rPr>
          <w:rFonts w:ascii="Cambria" w:eastAsia="Cambria" w:hAnsi="Cambria" w:cs="Cambria"/>
          <w:color w:val="000000" w:themeColor="text1"/>
          <w:sz w:val="20"/>
          <w:szCs w:val="20"/>
          <w:lang w:val="es-US"/>
        </w:rPr>
      </w:pPr>
      <w:r w:rsidRPr="70BFFA36">
        <w:rPr>
          <w:rFonts w:ascii="Cambria" w:eastAsia="Cambria" w:hAnsi="Cambria" w:cs="Cambria"/>
          <w:color w:val="000000" w:themeColor="text1"/>
          <w:sz w:val="20"/>
          <w:szCs w:val="20"/>
          <w:lang w:val="es-US"/>
        </w:rPr>
        <w:t xml:space="preserve">Ante la ausencia de información actualizada sobre el nivel de cumplimiento de las recomendaciones, la CIDH reitera, a continuación, el análisis del cumplimiento y las conclusiones realizadas en su Informe Anual 2020 y 2021. </w:t>
      </w:r>
    </w:p>
    <w:p w14:paraId="7F785EFC" w14:textId="77777777" w:rsidR="00100470" w:rsidRPr="00881705" w:rsidRDefault="00100470" w:rsidP="00100470">
      <w:pPr>
        <w:jc w:val="both"/>
        <w:rPr>
          <w:rFonts w:ascii="Cambria" w:eastAsia="Cambria" w:hAnsi="Cambria" w:cs="Cambria"/>
          <w:color w:val="000000"/>
          <w:sz w:val="20"/>
          <w:szCs w:val="20"/>
          <w:lang w:val="es-US"/>
        </w:rPr>
      </w:pPr>
    </w:p>
    <w:p w14:paraId="47E0D777" w14:textId="613C379F" w:rsidR="00100470" w:rsidRPr="00077D58" w:rsidRDefault="00100470" w:rsidP="70BFFA36">
      <w:pPr>
        <w:numPr>
          <w:ilvl w:val="0"/>
          <w:numId w:val="16"/>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lang w:val="es-ES"/>
        </w:rPr>
      </w:pPr>
      <w:r w:rsidRPr="1674A28A">
        <w:rPr>
          <w:rFonts w:ascii="Cambria" w:eastAsia="Cambria" w:hAnsi="Cambria" w:cs="Cambria"/>
          <w:b/>
          <w:bCs/>
          <w:color w:val="000000" w:themeColor="text1"/>
          <w:sz w:val="20"/>
          <w:szCs w:val="20"/>
          <w:lang w:val="es-ES"/>
        </w:rPr>
        <w:t>Análisis del cumplimiento de las recomendaciones</w:t>
      </w:r>
      <w:r w:rsidR="00C4681A">
        <w:rPr>
          <w:rStyle w:val="FootnoteReference"/>
          <w:rFonts w:ascii="Cambria" w:eastAsia="Cambria" w:hAnsi="Cambria" w:cs="Cambria"/>
          <w:b/>
          <w:bCs/>
          <w:color w:val="000000" w:themeColor="text1"/>
          <w:sz w:val="20"/>
          <w:szCs w:val="20"/>
          <w:lang w:val="es-ES"/>
        </w:rPr>
        <w:footnoteReference w:id="2"/>
      </w:r>
    </w:p>
    <w:p w14:paraId="17B6DC0E" w14:textId="77777777" w:rsidR="00100470" w:rsidRPr="00077D58" w:rsidRDefault="00100470" w:rsidP="00100470">
      <w:pPr>
        <w:ind w:hanging="2"/>
        <w:jc w:val="both"/>
        <w:rPr>
          <w:rFonts w:ascii="Cambria" w:eastAsia="Cambria" w:hAnsi="Cambria" w:cs="Cambria"/>
          <w:color w:val="000000"/>
          <w:sz w:val="20"/>
          <w:szCs w:val="20"/>
          <w:lang w:val="es-ES"/>
        </w:rPr>
      </w:pPr>
    </w:p>
    <w:p w14:paraId="5D24C72C" w14:textId="1F84E529" w:rsidR="00100470" w:rsidRPr="00881705" w:rsidRDefault="00100470" w:rsidP="00881705">
      <w:pPr>
        <w:pStyle w:val="ListParagraph"/>
        <w:numPr>
          <w:ilvl w:val="0"/>
          <w:numId w:val="19"/>
        </w:numPr>
        <w:suppressAutoHyphens/>
        <w:ind w:left="0" w:firstLine="720"/>
        <w:jc w:val="both"/>
        <w:textDirection w:val="btLr"/>
        <w:textAlignment w:val="top"/>
        <w:outlineLvl w:val="0"/>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En relación con las recomendaciones 1, 2, y 3</w:t>
      </w:r>
      <w:r w:rsidRPr="70BFFA36">
        <w:rPr>
          <w:rFonts w:ascii="Cambria" w:eastAsia="Cambria" w:hAnsi="Cambria" w:cs="Cambria"/>
          <w:color w:val="000000" w:themeColor="text1"/>
          <w:sz w:val="20"/>
          <w:szCs w:val="20"/>
          <w:lang w:val="es-ES"/>
        </w:rPr>
        <w:t xml:space="preserve">, en 2020, los peticionarios comunicaron que a la fecha el Estado no ha adoptado ninguna medida en relación con las recomendaciones contenidas en el Informe Nº 68/06. </w:t>
      </w:r>
    </w:p>
    <w:p w14:paraId="66F9C4C4" w14:textId="77777777" w:rsidR="00100470" w:rsidRPr="00077D58" w:rsidRDefault="00100470" w:rsidP="00100470">
      <w:pPr>
        <w:ind w:hanging="2"/>
        <w:jc w:val="both"/>
        <w:rPr>
          <w:rFonts w:ascii="Cambria" w:eastAsia="Cambria" w:hAnsi="Cambria" w:cs="Cambria"/>
          <w:color w:val="000000"/>
          <w:sz w:val="20"/>
          <w:szCs w:val="20"/>
          <w:lang w:val="es-ES"/>
        </w:rPr>
      </w:pPr>
    </w:p>
    <w:p w14:paraId="16FE6E9E" w14:textId="77777777" w:rsidR="00100470" w:rsidRDefault="00100470" w:rsidP="70BFFA36">
      <w:pPr>
        <w:numPr>
          <w:ilvl w:val="0"/>
          <w:numId w:val="16"/>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rPr>
      </w:pPr>
      <w:r w:rsidRPr="70BFFA36">
        <w:rPr>
          <w:rFonts w:ascii="Cambria" w:eastAsia="Cambria" w:hAnsi="Cambria" w:cs="Cambria"/>
          <w:b/>
          <w:bCs/>
          <w:color w:val="000000" w:themeColor="text1"/>
          <w:sz w:val="20"/>
          <w:szCs w:val="20"/>
        </w:rPr>
        <w:t xml:space="preserve">Nivel del cumplimiento del caso </w:t>
      </w:r>
    </w:p>
    <w:p w14:paraId="39E66DF4" w14:textId="77777777" w:rsidR="00100470" w:rsidRDefault="00100470" w:rsidP="00100470">
      <w:pPr>
        <w:ind w:hanging="2"/>
        <w:jc w:val="both"/>
        <w:rPr>
          <w:rFonts w:ascii="Cambria" w:eastAsia="Cambria" w:hAnsi="Cambria" w:cs="Cambria"/>
          <w:color w:val="000000"/>
          <w:sz w:val="20"/>
          <w:szCs w:val="20"/>
        </w:rPr>
      </w:pPr>
    </w:p>
    <w:p w14:paraId="5814F937" w14:textId="62F91B27" w:rsidR="00100470" w:rsidRPr="00881705" w:rsidRDefault="00100470" w:rsidP="00881705">
      <w:pPr>
        <w:pStyle w:val="ListParagraph"/>
        <w:numPr>
          <w:ilvl w:val="0"/>
          <w:numId w:val="19"/>
        </w:numPr>
        <w:suppressAutoHyphens/>
        <w:ind w:left="0" w:firstLine="810"/>
        <w:jc w:val="both"/>
        <w:textDirection w:val="btLr"/>
        <w:textAlignment w:val="top"/>
        <w:outlineLvl w:val="0"/>
        <w:rPr>
          <w:rFonts w:ascii="Cambria" w:eastAsia="Cambria" w:hAnsi="Cambria" w:cs="Cambria"/>
          <w:color w:val="000000"/>
          <w:sz w:val="20"/>
          <w:szCs w:val="20"/>
          <w:lang w:val="es-CO"/>
        </w:rPr>
      </w:pPr>
      <w:r w:rsidRPr="70BFFA36">
        <w:rPr>
          <w:rFonts w:ascii="Cambria" w:eastAsia="Cambria" w:hAnsi="Cambria" w:cs="Cambria"/>
          <w:color w:val="000000" w:themeColor="text1"/>
          <w:sz w:val="20"/>
          <w:szCs w:val="20"/>
          <w:lang w:val="es-ES"/>
        </w:rPr>
        <w:t xml:space="preserve">Por lo anterior, la CIDH concluye que el nivel de cumplimiento del caso es pendiente de cumplimiento. </w:t>
      </w:r>
      <w:r w:rsidRPr="70BFFA36">
        <w:rPr>
          <w:rFonts w:ascii="Cambria" w:eastAsia="Cambria" w:hAnsi="Cambria" w:cs="Cambria"/>
          <w:color w:val="000000" w:themeColor="text1"/>
          <w:sz w:val="20"/>
          <w:szCs w:val="20"/>
          <w:lang w:val="es-CO"/>
        </w:rPr>
        <w:t xml:space="preserve">En consecuencia, la Comisión seguirá supervisando las recomendaciones 1, 2 y 3. </w:t>
      </w:r>
    </w:p>
    <w:p w14:paraId="37A98913" w14:textId="77777777" w:rsidR="00100470" w:rsidRPr="00881705" w:rsidRDefault="00100470" w:rsidP="00881705">
      <w:pPr>
        <w:ind w:firstLine="810"/>
        <w:jc w:val="both"/>
        <w:rPr>
          <w:rFonts w:ascii="Cambria" w:eastAsia="Cambria" w:hAnsi="Cambria" w:cs="Cambria"/>
          <w:color w:val="000000"/>
          <w:sz w:val="20"/>
          <w:szCs w:val="20"/>
          <w:lang w:val="es-CO"/>
        </w:rPr>
      </w:pPr>
    </w:p>
    <w:p w14:paraId="7DFC6C6C" w14:textId="77777777" w:rsidR="00100470" w:rsidRPr="00077D58" w:rsidRDefault="00100470" w:rsidP="00881705">
      <w:pPr>
        <w:numPr>
          <w:ilvl w:val="0"/>
          <w:numId w:val="19"/>
        </w:numPr>
        <w:suppressAutoHyphens/>
        <w:ind w:leftChars="-1" w:left="-2" w:firstLineChars="360" w:firstLine="720"/>
        <w:jc w:val="both"/>
        <w:textDirection w:val="btLr"/>
        <w:textAlignment w:val="top"/>
        <w:outlineLvl w:val="0"/>
        <w:rPr>
          <w:rFonts w:ascii="Cambria" w:eastAsia="Cambria" w:hAnsi="Cambria" w:cs="Cambria"/>
          <w:color w:val="000000"/>
          <w:sz w:val="20"/>
          <w:szCs w:val="20"/>
          <w:lang w:val="es-ES"/>
        </w:rPr>
      </w:pPr>
      <w:r w:rsidRPr="70BFFA36">
        <w:rPr>
          <w:rFonts w:ascii="Cambria" w:eastAsia="Cambria" w:hAnsi="Cambria" w:cs="Cambria"/>
          <w:color w:val="000000" w:themeColor="text1"/>
          <w:sz w:val="20"/>
          <w:szCs w:val="20"/>
          <w:lang w:val="es-ES"/>
        </w:rPr>
        <w:t>La CIDH llama al Estado de Cuba a presentar información actualizada sobre las acciones adelantadas para cumplir con las recomendaciones emitidas en el Informe de Fondo Nº 68/06.</w:t>
      </w:r>
    </w:p>
    <w:p w14:paraId="57D87939" w14:textId="77777777" w:rsidR="00100470" w:rsidRPr="00077D58" w:rsidRDefault="00100470" w:rsidP="70BFFA36">
      <w:pPr>
        <w:ind w:leftChars="-1" w:left="-2" w:firstLineChars="360" w:firstLine="720"/>
        <w:jc w:val="both"/>
        <w:rPr>
          <w:rFonts w:ascii="Cambria" w:eastAsia="Cambria" w:hAnsi="Cambria" w:cs="Cambria"/>
          <w:color w:val="000000" w:themeColor="text1"/>
          <w:sz w:val="20"/>
          <w:szCs w:val="20"/>
          <w:lang w:val="es-ES"/>
        </w:rPr>
      </w:pPr>
    </w:p>
    <w:sdt>
      <w:sdtPr>
        <w:tag w:val="goog_rdk_14"/>
        <w:id w:val="1282459035"/>
      </w:sdtPr>
      <w:sdtEndPr/>
      <w:sdtContent>
        <w:p w14:paraId="26AF61A4" w14:textId="77777777" w:rsidR="00100470" w:rsidRPr="00077D58" w:rsidRDefault="00EE08A2" w:rsidP="00881705">
          <w:pPr>
            <w:numPr>
              <w:ilvl w:val="0"/>
              <w:numId w:val="19"/>
            </w:numPr>
            <w:suppressAutoHyphens/>
            <w:ind w:leftChars="-1" w:left="-2" w:firstLineChars="300" w:firstLine="720"/>
            <w:jc w:val="both"/>
            <w:textDirection w:val="btLr"/>
            <w:textAlignment w:val="top"/>
            <w:outlineLvl w:val="0"/>
            <w:rPr>
              <w:rFonts w:ascii="Cambria" w:eastAsia="Cambria" w:hAnsi="Cambria" w:cs="Cambria"/>
              <w:color w:val="000000"/>
              <w:sz w:val="20"/>
              <w:szCs w:val="20"/>
              <w:lang w:val="es-ES"/>
            </w:rPr>
          </w:pPr>
          <w:sdt>
            <w:sdtPr>
              <w:tag w:val="goog_rdk_12"/>
              <w:id w:val="1566426503"/>
              <w:placeholder>
                <w:docPart w:val="F859D8A44FF8D441B2D8622879463F58"/>
              </w:placeholder>
            </w:sdtPr>
            <w:sdtEndPr/>
            <w:sdtContent>
              <w:r w:rsidR="00100470" w:rsidRPr="70BFFA36">
                <w:rPr>
                  <w:rFonts w:ascii="Cambria" w:eastAsia="Cambria" w:hAnsi="Cambria" w:cs="Cambria"/>
                  <w:color w:val="000000" w:themeColor="text1"/>
                  <w:sz w:val="20"/>
                  <w:szCs w:val="20"/>
                  <w:lang w:val="es-ES"/>
                </w:rPr>
                <w:t>La Comisión, al Informe del 2021, insta al Estado adoptar las acciones necesarias para cumplir con las recomendaciones emitidas en el Informe de Fondo Nº 68/06, y proporcionar información actualizada y detallada sobre dichas acciones a la CIDH.</w:t>
              </w:r>
            </w:sdtContent>
          </w:sdt>
          <w:sdt>
            <w:sdtPr>
              <w:tag w:val="goog_rdk_13"/>
              <w:id w:val="1053087027"/>
              <w:placeholder>
                <w:docPart w:val="F859D8A44FF8D441B2D8622879463F58"/>
              </w:placeholder>
              <w:showingPlcHdr/>
            </w:sdtPr>
            <w:sdtEndPr/>
            <w:sdtContent/>
          </w:sdt>
        </w:p>
      </w:sdtContent>
    </w:sdt>
    <w:p w14:paraId="31419391" w14:textId="77777777" w:rsidR="00100470" w:rsidRPr="00077D58" w:rsidRDefault="00100470" w:rsidP="00100470">
      <w:pPr>
        <w:ind w:hanging="2"/>
        <w:rPr>
          <w:rFonts w:ascii="Cambria" w:eastAsia="Cambria" w:hAnsi="Cambria" w:cs="Cambria"/>
          <w:color w:val="000000"/>
          <w:sz w:val="20"/>
          <w:szCs w:val="20"/>
          <w:lang w:val="es-ES"/>
        </w:rPr>
      </w:pPr>
    </w:p>
    <w:p w14:paraId="3BC6E3FD" w14:textId="77777777" w:rsidR="00100470" w:rsidRPr="00077D58" w:rsidRDefault="00100470" w:rsidP="70BFFA36">
      <w:pPr>
        <w:numPr>
          <w:ilvl w:val="0"/>
          <w:numId w:val="16"/>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lang w:val="es-ES"/>
        </w:rPr>
      </w:pPr>
      <w:r w:rsidRPr="70BFFA36">
        <w:rPr>
          <w:rFonts w:ascii="Cambria" w:eastAsia="Cambria" w:hAnsi="Cambria" w:cs="Cambria"/>
          <w:b/>
          <w:bCs/>
          <w:color w:val="000000" w:themeColor="text1"/>
          <w:sz w:val="20"/>
          <w:szCs w:val="20"/>
          <w:lang w:val="es-ES"/>
        </w:rPr>
        <w:t xml:space="preserve">Resultados individuales y estructurales del caso </w:t>
      </w:r>
    </w:p>
    <w:p w14:paraId="5825313B" w14:textId="77777777" w:rsidR="00100470" w:rsidRPr="00077D58" w:rsidRDefault="00100470" w:rsidP="00100470">
      <w:pPr>
        <w:ind w:hanging="2"/>
        <w:jc w:val="both"/>
        <w:rPr>
          <w:rFonts w:ascii="Cambria" w:eastAsia="Cambria" w:hAnsi="Cambria" w:cs="Cambria"/>
          <w:color w:val="000000"/>
          <w:sz w:val="20"/>
          <w:szCs w:val="20"/>
          <w:lang w:val="es-ES"/>
        </w:rPr>
      </w:pPr>
    </w:p>
    <w:p w14:paraId="25DE99D9" w14:textId="77777777" w:rsidR="00100470" w:rsidRPr="00077D58" w:rsidRDefault="00100470" w:rsidP="70BFFA36">
      <w:pPr>
        <w:numPr>
          <w:ilvl w:val="0"/>
          <w:numId w:val="19"/>
        </w:numPr>
        <w:pBdr>
          <w:top w:val="nil"/>
          <w:left w:val="nil"/>
          <w:bottom w:val="nil"/>
          <w:right w:val="nil"/>
          <w:between w:val="nil"/>
        </w:pBdr>
        <w:suppressAutoHyphens/>
        <w:ind w:leftChars="-1" w:left="0" w:hangingChars="1" w:hanging="2"/>
        <w:jc w:val="both"/>
        <w:textDirection w:val="btLr"/>
        <w:textAlignment w:val="top"/>
        <w:outlineLvl w:val="0"/>
        <w:rPr>
          <w:rFonts w:ascii="Cambria" w:eastAsia="Cambria" w:hAnsi="Cambria" w:cs="Cambria"/>
          <w:color w:val="000000"/>
          <w:sz w:val="20"/>
          <w:szCs w:val="20"/>
          <w:lang w:val="es-ES"/>
        </w:rPr>
      </w:pPr>
      <w:r w:rsidRPr="70BFFA36">
        <w:rPr>
          <w:rFonts w:ascii="Cambria" w:eastAsia="Cambria" w:hAnsi="Cambria" w:cs="Cambria"/>
          <w:color w:val="000000" w:themeColor="text1"/>
          <w:sz w:val="20"/>
          <w:szCs w:val="20"/>
          <w:lang w:val="es-ES"/>
        </w:rPr>
        <w:t xml:space="preserve">Dado que este caso está pendiente de cumplimiento, no hay resultados individuales o estructurales informados por las partes. </w:t>
      </w:r>
    </w:p>
    <w:p w14:paraId="67C0E582" w14:textId="77777777" w:rsidR="00100470" w:rsidRPr="00077D58" w:rsidRDefault="00100470" w:rsidP="00100470">
      <w:pPr>
        <w:ind w:hanging="2"/>
        <w:rPr>
          <w:rFonts w:ascii="Cambria" w:eastAsia="Cambria" w:hAnsi="Cambria" w:cs="Cambria"/>
          <w:color w:val="000000"/>
          <w:sz w:val="20"/>
          <w:szCs w:val="20"/>
          <w:lang w:val="es-ES"/>
        </w:rPr>
      </w:pPr>
    </w:p>
    <w:p w14:paraId="6E319799" w14:textId="77777777" w:rsidR="00100470" w:rsidRPr="00077D58" w:rsidRDefault="00100470" w:rsidP="00100470">
      <w:pPr>
        <w:ind w:hanging="2"/>
        <w:rPr>
          <w:rFonts w:ascii="Cambria" w:eastAsia="Cambria" w:hAnsi="Cambria" w:cs="Cambria"/>
          <w:color w:val="000000"/>
          <w:sz w:val="20"/>
          <w:szCs w:val="20"/>
          <w:lang w:val="es-ES"/>
        </w:rPr>
      </w:pPr>
    </w:p>
    <w:p w14:paraId="7F91AD95" w14:textId="77777777" w:rsidR="00100470" w:rsidRPr="00077D58" w:rsidRDefault="00100470" w:rsidP="00100470">
      <w:pPr>
        <w:ind w:hanging="2"/>
        <w:rPr>
          <w:rFonts w:ascii="Cambria" w:eastAsia="Cambria" w:hAnsi="Cambria" w:cs="Cambria"/>
          <w:color w:val="000000"/>
          <w:sz w:val="20"/>
          <w:szCs w:val="20"/>
          <w:lang w:val="es-ES"/>
        </w:rPr>
      </w:pPr>
    </w:p>
    <w:p w14:paraId="12BD27A4" w14:textId="77777777" w:rsidR="00100470" w:rsidRPr="00077D58" w:rsidRDefault="00100470" w:rsidP="70BFFA36">
      <w:pPr>
        <w:rPr>
          <w:color w:val="000000" w:themeColor="text1"/>
          <w:lang w:val="es-ES"/>
        </w:rPr>
      </w:pPr>
    </w:p>
    <w:p w14:paraId="45B26099" w14:textId="77777777" w:rsidR="00BD17B0" w:rsidRPr="00100470" w:rsidRDefault="00BD17B0" w:rsidP="70BFFA36">
      <w:pPr>
        <w:rPr>
          <w:color w:val="000000" w:themeColor="text1"/>
          <w:lang w:val="es-ES"/>
        </w:rPr>
      </w:pPr>
    </w:p>
    <w:sectPr w:rsidR="00BD17B0" w:rsidRPr="00100470" w:rsidSect="00566CD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1213" w14:textId="77777777" w:rsidR="008B0077" w:rsidRDefault="008B0077" w:rsidP="00672733">
      <w:r>
        <w:separator/>
      </w:r>
    </w:p>
  </w:endnote>
  <w:endnote w:type="continuationSeparator" w:id="0">
    <w:p w14:paraId="13D0A5C2" w14:textId="77777777" w:rsidR="008B0077" w:rsidRDefault="008B0077"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50D" w14:textId="77777777" w:rsidR="00A80674" w:rsidRDefault="00A80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EA0262">
      <w:rPr>
        <w:caps/>
        <w:noProof/>
        <w:color w:val="000000" w:themeColor="text1"/>
        <w:sz w:val="20"/>
        <w:szCs w:val="20"/>
      </w:rPr>
      <w:t>2</w:t>
    </w:r>
    <w:r w:rsidRPr="00E516AB">
      <w:rPr>
        <w:caps/>
        <w:noProof/>
        <w:color w:val="000000" w:themeColor="text1"/>
        <w:sz w:val="20"/>
        <w:szCs w:val="20"/>
      </w:rPr>
      <w:fldChar w:fldCharType="end"/>
    </w:r>
  </w:p>
  <w:p w14:paraId="51A13522" w14:textId="77777777" w:rsidR="00E516AB" w:rsidRDefault="00E51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C320" w14:textId="77777777" w:rsidR="00A80674" w:rsidRDefault="00A8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9FF4" w14:textId="77777777" w:rsidR="008B0077" w:rsidRDefault="008B0077" w:rsidP="00672733">
      <w:r>
        <w:separator/>
      </w:r>
    </w:p>
  </w:footnote>
  <w:footnote w:type="continuationSeparator" w:id="0">
    <w:p w14:paraId="6E762154" w14:textId="77777777" w:rsidR="008B0077" w:rsidRDefault="008B0077" w:rsidP="00672733">
      <w:r>
        <w:continuationSeparator/>
      </w:r>
    </w:p>
  </w:footnote>
  <w:footnote w:id="1">
    <w:p w14:paraId="7DA67173" w14:textId="77777777" w:rsidR="00100470" w:rsidRPr="00881705" w:rsidRDefault="00100470" w:rsidP="00100470">
      <w:pPr>
        <w:pBdr>
          <w:top w:val="nil"/>
          <w:left w:val="nil"/>
          <w:bottom w:val="nil"/>
          <w:right w:val="nil"/>
          <w:between w:val="nil"/>
        </w:pBdr>
        <w:spacing w:after="120"/>
        <w:ind w:hanging="2"/>
        <w:jc w:val="both"/>
        <w:rPr>
          <w:rFonts w:ascii="Cambria" w:eastAsia="Cambria" w:hAnsi="Cambria" w:cs="Cambria"/>
          <w:color w:val="000000"/>
          <w:sz w:val="16"/>
          <w:szCs w:val="16"/>
          <w:lang w:val="es-CO"/>
        </w:rPr>
      </w:pPr>
      <w:r>
        <w:rPr>
          <w:vertAlign w:val="superscript"/>
        </w:rPr>
        <w:footnoteRef/>
      </w:r>
      <w:r w:rsidRPr="00077D58">
        <w:rPr>
          <w:rFonts w:ascii="Cambria" w:eastAsia="Cambria" w:hAnsi="Cambria" w:cs="Cambria"/>
          <w:color w:val="000000"/>
          <w:sz w:val="16"/>
          <w:szCs w:val="16"/>
          <w:lang w:val="es-ES"/>
        </w:rPr>
        <w:t xml:space="preserve"> CIDH, Caso 12.477, </w:t>
      </w:r>
      <w:hyperlink r:id="rId1">
        <w:r w:rsidRPr="00077D58">
          <w:rPr>
            <w:rFonts w:ascii="Cambria" w:eastAsia="Cambria" w:hAnsi="Cambria" w:cs="Cambria"/>
            <w:color w:val="000000"/>
            <w:sz w:val="16"/>
            <w:szCs w:val="16"/>
            <w:u w:val="single"/>
            <w:lang w:val="es-ES"/>
          </w:rPr>
          <w:t>Informe de Fondo No. 68/06, Lorenzo Enrique Copello Castillo y otros (Cuba)</w:t>
        </w:r>
      </w:hyperlink>
      <w:r w:rsidRPr="00077D58">
        <w:rPr>
          <w:rFonts w:ascii="Cambria" w:eastAsia="Cambria" w:hAnsi="Cambria" w:cs="Cambria"/>
          <w:color w:val="000000"/>
          <w:sz w:val="16"/>
          <w:szCs w:val="16"/>
          <w:lang w:val="es-ES"/>
        </w:rPr>
        <w:t xml:space="preserve">, párr. </w:t>
      </w:r>
      <w:r w:rsidRPr="00881705">
        <w:rPr>
          <w:rFonts w:ascii="Cambria" w:eastAsia="Cambria" w:hAnsi="Cambria" w:cs="Cambria"/>
          <w:color w:val="000000"/>
          <w:sz w:val="16"/>
          <w:szCs w:val="16"/>
          <w:lang w:val="es-CO"/>
        </w:rPr>
        <w:t>123.</w:t>
      </w:r>
    </w:p>
  </w:footnote>
  <w:footnote w:id="2">
    <w:p w14:paraId="5E2EBCE8" w14:textId="294BF739" w:rsidR="00C4681A" w:rsidRPr="00C4681A" w:rsidRDefault="00C4681A">
      <w:pPr>
        <w:pStyle w:val="FootnoteText"/>
        <w:rPr>
          <w:lang w:val="es-ES"/>
        </w:rPr>
      </w:pPr>
      <w:r>
        <w:rPr>
          <w:rStyle w:val="FootnoteReference"/>
        </w:rPr>
        <w:footnoteRef/>
      </w:r>
      <w:r w:rsidRPr="00C4681A">
        <w:rPr>
          <w:lang w:val="es-ES"/>
        </w:rPr>
        <w:t xml:space="preserve"> </w:t>
      </w:r>
      <w:r w:rsidRPr="006650C1">
        <w:rPr>
          <w:rFonts w:ascii="Cambria" w:hAnsi="Cambria"/>
          <w:sz w:val="16"/>
          <w:szCs w:val="16"/>
          <w:lang w:val="es-ES"/>
        </w:rPr>
        <w:t xml:space="preserve">La información detallada de los avances en el cumplimiento de las recomendaciones en los años anteriores se encuentra disponible en el </w:t>
      </w:r>
      <w:hyperlink r:id="rId2" w:history="1">
        <w:r w:rsidRPr="006650C1">
          <w:rPr>
            <w:rStyle w:val="Hyperlink"/>
            <w:rFonts w:ascii="Cambria" w:hAnsi="Cambria"/>
            <w:sz w:val="16"/>
            <w:szCs w:val="16"/>
            <w:lang w:val="es-ES"/>
          </w:rPr>
          <w:t>Informe Anual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2E29" w14:textId="77777777" w:rsidR="00A80674" w:rsidRDefault="00A80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0FD930B4">
          <wp:extent cx="1361022" cy="313189"/>
          <wp:effectExtent l="0" t="0" r="0" b="4445"/>
          <wp:docPr id="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1361022" cy="313189"/>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pt,13.7pt" to="483.7pt,13.7pt" w14:anchorId="1742F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BF621C4">
                          <wp:extent cx="2022371" cy="4653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
                                    <a:extLst>
                                      <a:ext uri="{28A0092B-C50C-407E-A947-70E740481C1C}">
                                        <a14:useLocalDpi xmlns:a14="http://schemas.microsoft.com/office/drawing/2010/main" val="0"/>
                                      </a:ext>
                                    </a:extLst>
                                  </a:blip>
                                  <a:stretch>
                                    <a:fillRect/>
                                  </a:stretch>
                                </pic:blipFill>
                                <pic:spPr>
                                  <a:xfrm>
                                    <a:off x="0" y="0"/>
                                    <a:ext cx="2022371" cy="46537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272727 [2749]" strokeweight="1.25pt" from="-.45pt,13.2pt" to="483.65pt,13.2pt" w14:anchorId="213A0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897"/>
    <w:multiLevelType w:val="hybridMultilevel"/>
    <w:tmpl w:val="C7E4FD9C"/>
    <w:lvl w:ilvl="0" w:tplc="33D27DD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C202E"/>
    <w:multiLevelType w:val="hybridMultilevel"/>
    <w:tmpl w:val="8CFE891A"/>
    <w:styleLink w:val="EstiloImportado6"/>
    <w:lvl w:ilvl="0" w:tplc="1DB618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B0A9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3638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653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B457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005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61A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CC1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E01B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8536C5"/>
    <w:multiLevelType w:val="hybridMultilevel"/>
    <w:tmpl w:val="A0E2B0B4"/>
    <w:styleLink w:val="EstiloImportado13"/>
    <w:lvl w:ilvl="0" w:tplc="69F2C392">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08E4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8B8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421C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227B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063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20F7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C6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703F1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8617E3"/>
    <w:multiLevelType w:val="hybridMultilevel"/>
    <w:tmpl w:val="43C8A4B8"/>
    <w:styleLink w:val="EstiloImportado4"/>
    <w:lvl w:ilvl="0" w:tplc="C714DE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48DF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CC0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2E6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EA2F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D8BC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251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C6C7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70F3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EB15D2"/>
    <w:multiLevelType w:val="hybridMultilevel"/>
    <w:tmpl w:val="8B3CF3C6"/>
    <w:styleLink w:val="EstiloImportado12"/>
    <w:lvl w:ilvl="0" w:tplc="8EC254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EBB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A8B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208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D610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1A2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C29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BA17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8675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3C783D"/>
    <w:multiLevelType w:val="multilevel"/>
    <w:tmpl w:val="C8A4E01C"/>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6B11EE5"/>
    <w:multiLevelType w:val="hybridMultilevel"/>
    <w:tmpl w:val="FAE25F6E"/>
    <w:styleLink w:val="EstiloImportado1"/>
    <w:lvl w:ilvl="0" w:tplc="6CF442E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0817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806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879F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64406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28715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54008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C68A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4A58F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3A1337"/>
    <w:multiLevelType w:val="hybridMultilevel"/>
    <w:tmpl w:val="D51C4C5A"/>
    <w:styleLink w:val="EstiloImportado10"/>
    <w:lvl w:ilvl="0" w:tplc="AD16B0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228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CC92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92F7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B842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007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E31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45B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5E03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7D588E"/>
    <w:multiLevelType w:val="hybridMultilevel"/>
    <w:tmpl w:val="1870F31C"/>
    <w:styleLink w:val="EstiloImportado11"/>
    <w:lvl w:ilvl="0" w:tplc="0B203B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7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5271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1AFB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C8B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5235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623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74E3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D2E2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A67CE8"/>
    <w:multiLevelType w:val="hybridMultilevel"/>
    <w:tmpl w:val="4338331A"/>
    <w:styleLink w:val="EstiloImportado5"/>
    <w:lvl w:ilvl="0" w:tplc="CD3C17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4A78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30A5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9406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38BB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0C8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EE90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4019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BEF4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1EC72BD"/>
    <w:multiLevelType w:val="multilevel"/>
    <w:tmpl w:val="0E9CBFDA"/>
    <w:lvl w:ilvl="0">
      <w:start w:val="1"/>
      <w:numFmt w:val="upperRoman"/>
      <w:lvlText w:val="%1."/>
      <w:lvlJc w:val="left"/>
      <w:pPr>
        <w:ind w:left="722" w:hanging="360"/>
      </w:pPr>
      <w:rPr>
        <w:rFonts w:ascii="Cambria" w:hAnsi="Cambria" w:hint="default"/>
        <w:b/>
        <w:bCs/>
        <w:sz w:val="20"/>
        <w:szCs w:val="20"/>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11" w15:restartNumberingAfterBreak="0">
    <w:nsid w:val="38734A80"/>
    <w:multiLevelType w:val="hybridMultilevel"/>
    <w:tmpl w:val="B476C0C8"/>
    <w:styleLink w:val="EstiloImportado8"/>
    <w:lvl w:ilvl="0" w:tplc="33B065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8E4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BCDC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72D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E2D6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E78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845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0073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41A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C6054CB"/>
    <w:multiLevelType w:val="hybridMultilevel"/>
    <w:tmpl w:val="4D8A0BA4"/>
    <w:styleLink w:val="EstiloImportado9"/>
    <w:lvl w:ilvl="0" w:tplc="E2DEFD32">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CBF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69E4A">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969C5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F6266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A0ED3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D4A99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CB58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E48F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000377"/>
    <w:multiLevelType w:val="hybridMultilevel"/>
    <w:tmpl w:val="2322560C"/>
    <w:styleLink w:val="EstiloImportado2"/>
    <w:lvl w:ilvl="0" w:tplc="5D8C3A7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ACECF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00F43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E006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B2381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3CDB1A">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2CCEC">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88F5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2BE4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3D1475E"/>
    <w:multiLevelType w:val="hybridMultilevel"/>
    <w:tmpl w:val="3184DEE2"/>
    <w:styleLink w:val="EstiloImportado14"/>
    <w:lvl w:ilvl="0" w:tplc="39EEE53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56B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26396E">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5E4DD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AC8F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81EA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42D068">
      <w:start w:val="1"/>
      <w:numFmt w:val="bullet"/>
      <w:lvlText w:val="·"/>
      <w:lvlJc w:val="left"/>
      <w:rPr>
        <w:rFonts w:ascii="Symbol" w:eastAsia="Symbol" w:hAnsi="Symbol" w:cs="Symbol"/>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4CF3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4A4896">
      <w:start w:val="1"/>
      <w:numFmt w:val="bullet"/>
      <w:lvlText w:val="▪"/>
      <w:lvlJc w:val="left"/>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D41D9D"/>
    <w:multiLevelType w:val="hybridMultilevel"/>
    <w:tmpl w:val="816CA44A"/>
    <w:styleLink w:val="EstiloImportado3"/>
    <w:lvl w:ilvl="0" w:tplc="27E49E38">
      <w:start w:val="1"/>
      <w:numFmt w:val="upp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22F35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763B6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9005C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0A509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869AA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8B6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9C58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4227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297672C"/>
    <w:multiLevelType w:val="hybridMultilevel"/>
    <w:tmpl w:val="CC845EF4"/>
    <w:lvl w:ilvl="0" w:tplc="269202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507CF"/>
    <w:multiLevelType w:val="multilevel"/>
    <w:tmpl w:val="7E26F41E"/>
    <w:lvl w:ilvl="0">
      <w:start w:val="1"/>
      <w:numFmt w:val="decimal"/>
      <w:lvlText w:val="%1."/>
      <w:lvlJc w:val="left"/>
      <w:pPr>
        <w:ind w:left="720" w:hanging="360"/>
      </w:pPr>
      <w:rPr>
        <w:rFonts w:ascii="Cambria" w:hAnsi="Cambria" w:hint="default"/>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D422161"/>
    <w:multiLevelType w:val="multilevel"/>
    <w:tmpl w:val="789C81F6"/>
    <w:lvl w:ilvl="0">
      <w:start w:val="1"/>
      <w:numFmt w:val="decimal"/>
      <w:pStyle w:val="PrrafodeSentenci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339174">
    <w:abstractNumId w:val="18"/>
  </w:num>
  <w:num w:numId="2" w16cid:durableId="745761841">
    <w:abstractNumId w:val="6"/>
  </w:num>
  <w:num w:numId="3" w16cid:durableId="2094278479">
    <w:abstractNumId w:val="11"/>
  </w:num>
  <w:num w:numId="4" w16cid:durableId="95566963">
    <w:abstractNumId w:val="12"/>
  </w:num>
  <w:num w:numId="5" w16cid:durableId="550575146">
    <w:abstractNumId w:val="7"/>
  </w:num>
  <w:num w:numId="6" w16cid:durableId="341977111">
    <w:abstractNumId w:val="8"/>
  </w:num>
  <w:num w:numId="7" w16cid:durableId="682978638">
    <w:abstractNumId w:val="4"/>
  </w:num>
  <w:num w:numId="8" w16cid:durableId="295337589">
    <w:abstractNumId w:val="2"/>
  </w:num>
  <w:num w:numId="9" w16cid:durableId="979530532">
    <w:abstractNumId w:val="14"/>
  </w:num>
  <w:num w:numId="10" w16cid:durableId="719019872">
    <w:abstractNumId w:val="13"/>
  </w:num>
  <w:num w:numId="11" w16cid:durableId="1658262887">
    <w:abstractNumId w:val="15"/>
  </w:num>
  <w:num w:numId="12" w16cid:durableId="1822765797">
    <w:abstractNumId w:val="3"/>
  </w:num>
  <w:num w:numId="13" w16cid:durableId="1948387008">
    <w:abstractNumId w:val="9"/>
  </w:num>
  <w:num w:numId="14" w16cid:durableId="1972400627">
    <w:abstractNumId w:val="1"/>
  </w:num>
  <w:num w:numId="15" w16cid:durableId="1247181033">
    <w:abstractNumId w:val="17"/>
  </w:num>
  <w:num w:numId="16" w16cid:durableId="1350447721">
    <w:abstractNumId w:val="5"/>
  </w:num>
  <w:num w:numId="17" w16cid:durableId="1040474260">
    <w:abstractNumId w:val="16"/>
  </w:num>
  <w:num w:numId="18" w16cid:durableId="688485518">
    <w:abstractNumId w:val="10"/>
  </w:num>
  <w:num w:numId="19" w16cid:durableId="9469353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55F2F"/>
    <w:rsid w:val="000B5E1D"/>
    <w:rsid w:val="00100470"/>
    <w:rsid w:val="00105B23"/>
    <w:rsid w:val="00181DA0"/>
    <w:rsid w:val="00207BE4"/>
    <w:rsid w:val="00210AA7"/>
    <w:rsid w:val="00216335"/>
    <w:rsid w:val="002248FB"/>
    <w:rsid w:val="00234E64"/>
    <w:rsid w:val="002367AF"/>
    <w:rsid w:val="00322720"/>
    <w:rsid w:val="0040245C"/>
    <w:rsid w:val="00453115"/>
    <w:rsid w:val="004758C9"/>
    <w:rsid w:val="0048723C"/>
    <w:rsid w:val="004A05BC"/>
    <w:rsid w:val="004C0D57"/>
    <w:rsid w:val="00500FDE"/>
    <w:rsid w:val="00534090"/>
    <w:rsid w:val="00566CD0"/>
    <w:rsid w:val="005933F2"/>
    <w:rsid w:val="006216F3"/>
    <w:rsid w:val="00637ED3"/>
    <w:rsid w:val="006638E5"/>
    <w:rsid w:val="00672733"/>
    <w:rsid w:val="006B1F24"/>
    <w:rsid w:val="006B2F87"/>
    <w:rsid w:val="006F7917"/>
    <w:rsid w:val="00723AED"/>
    <w:rsid w:val="007513EC"/>
    <w:rsid w:val="00755422"/>
    <w:rsid w:val="007C4DCE"/>
    <w:rsid w:val="00811E0E"/>
    <w:rsid w:val="008463D3"/>
    <w:rsid w:val="00847CA9"/>
    <w:rsid w:val="00881705"/>
    <w:rsid w:val="008818B0"/>
    <w:rsid w:val="008861D6"/>
    <w:rsid w:val="008B0077"/>
    <w:rsid w:val="008F66B6"/>
    <w:rsid w:val="00A10B67"/>
    <w:rsid w:val="00A80674"/>
    <w:rsid w:val="00A90E7A"/>
    <w:rsid w:val="00AB41A3"/>
    <w:rsid w:val="00AB5F3B"/>
    <w:rsid w:val="00AC6BE9"/>
    <w:rsid w:val="00AD535F"/>
    <w:rsid w:val="00AE2642"/>
    <w:rsid w:val="00AE2CF8"/>
    <w:rsid w:val="00BA48EE"/>
    <w:rsid w:val="00BD17B0"/>
    <w:rsid w:val="00BD5D48"/>
    <w:rsid w:val="00BF3AAA"/>
    <w:rsid w:val="00BF7A78"/>
    <w:rsid w:val="00C110DE"/>
    <w:rsid w:val="00C4681A"/>
    <w:rsid w:val="00C80BDA"/>
    <w:rsid w:val="00D56DC4"/>
    <w:rsid w:val="00E042FE"/>
    <w:rsid w:val="00E15B37"/>
    <w:rsid w:val="00E516AB"/>
    <w:rsid w:val="00E61D71"/>
    <w:rsid w:val="00E90CB3"/>
    <w:rsid w:val="00EA0262"/>
    <w:rsid w:val="00EC61E3"/>
    <w:rsid w:val="00ED0AAA"/>
    <w:rsid w:val="00ED1EBA"/>
    <w:rsid w:val="00EE08A2"/>
    <w:rsid w:val="00F41E7E"/>
    <w:rsid w:val="00F4406C"/>
    <w:rsid w:val="00FC22D8"/>
    <w:rsid w:val="00FE10E0"/>
    <w:rsid w:val="70BFF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5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C80BDA"/>
    <w:pPr>
      <w:spacing w:after="160" w:line="240" w:lineRule="exact"/>
    </w:pPr>
    <w:rPr>
      <w:vertAlign w:val="superscript"/>
    </w:rPr>
  </w:style>
  <w:style w:type="paragraph" w:customStyle="1" w:styleId="PrrafodeSentencia">
    <w:name w:val="*. Párrafo de Sentencia"/>
    <w:basedOn w:val="Normal"/>
    <w:next w:val="Normal"/>
    <w:rsid w:val="00C80BDA"/>
    <w:pPr>
      <w:numPr>
        <w:numId w:val="1"/>
      </w:numPr>
      <w:tabs>
        <w:tab w:val="left" w:pos="567"/>
      </w:tabs>
      <w:ind w:left="0" w:firstLine="0"/>
      <w:jc w:val="both"/>
    </w:pPr>
    <w:rPr>
      <w:rFonts w:ascii="Verdana" w:eastAsia="Batang" w:hAnsi="Verdana" w:cs="Times New Roman"/>
      <w:spacing w:val="-4"/>
      <w:sz w:val="20"/>
      <w:szCs w:val="22"/>
      <w:lang w:val="es-CR" w:eastAsia="es-MX"/>
    </w:rPr>
  </w:style>
  <w:style w:type="character" w:styleId="Hyperlink">
    <w:name w:val="Hyperlink"/>
    <w:unhideWhenUsed/>
    <w:rsid w:val="006B2F87"/>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6B2F87"/>
  </w:style>
  <w:style w:type="paragraph" w:customStyle="1" w:styleId="Default">
    <w:name w:val="Default"/>
    <w:rsid w:val="006B2F87"/>
    <w:pPr>
      <w:autoSpaceDE w:val="0"/>
      <w:autoSpaceDN w:val="0"/>
      <w:adjustRightInd w:val="0"/>
    </w:pPr>
    <w:rPr>
      <w:rFonts w:ascii="Cambria" w:eastAsia="Calibri" w:hAnsi="Cambria" w:cs="Cambria"/>
      <w:color w:val="000000"/>
      <w:lang w:val="pt-BR" w:eastAsia="pt-BR"/>
    </w:rPr>
  </w:style>
  <w:style w:type="paragraph" w:styleId="NoSpacing">
    <w:name w:val="No Spacing"/>
    <w:link w:val="NoSpacingChar"/>
    <w:qFormat/>
    <w:rsid w:val="00BA48EE"/>
    <w:rPr>
      <w:rFonts w:ascii="Calibri" w:eastAsia="Calibri" w:hAnsi="Calibri" w:cs="Times New Roman"/>
      <w:sz w:val="22"/>
      <w:szCs w:val="22"/>
      <w:lang w:val="pt-BR"/>
    </w:rPr>
  </w:style>
  <w:style w:type="paragraph" w:customStyle="1" w:styleId="MediumGrid21">
    <w:name w:val="Medium Grid 21"/>
    <w:uiPriority w:val="1"/>
    <w:qFormat/>
    <w:rsid w:val="004A05BC"/>
    <w:rPr>
      <w:rFonts w:ascii="Calibri" w:eastAsia="Calibri" w:hAnsi="Calibri" w:cs="Times New Roman"/>
      <w:sz w:val="22"/>
      <w:szCs w:val="22"/>
      <w:lang w:val="pt-BR"/>
    </w:rPr>
  </w:style>
  <w:style w:type="character" w:styleId="FollowedHyperlink">
    <w:name w:val="FollowedHyperlink"/>
    <w:uiPriority w:val="99"/>
    <w:semiHidden/>
    <w:unhideWhenUsed/>
    <w:rsid w:val="004A05BC"/>
    <w:rPr>
      <w:color w:val="800080"/>
      <w:u w:val="single"/>
    </w:rPr>
  </w:style>
  <w:style w:type="character" w:styleId="CommentReference">
    <w:name w:val="annotation reference"/>
    <w:uiPriority w:val="99"/>
    <w:semiHidden/>
    <w:unhideWhenUsed/>
    <w:rsid w:val="004A05BC"/>
    <w:rPr>
      <w:sz w:val="16"/>
      <w:szCs w:val="16"/>
    </w:rPr>
  </w:style>
  <w:style w:type="paragraph" w:styleId="CommentText">
    <w:name w:val="annotation text"/>
    <w:basedOn w:val="Normal"/>
    <w:link w:val="CommentTextChar"/>
    <w:uiPriority w:val="99"/>
    <w:unhideWhenUsed/>
    <w:rsid w:val="004A05BC"/>
    <w:pPr>
      <w:spacing w:after="200" w:line="276" w:lineRule="auto"/>
    </w:pPr>
    <w:rPr>
      <w:rFonts w:ascii="Calibri" w:eastAsia="Calibri" w:hAnsi="Calibri" w:cs="Times New Roman"/>
      <w:sz w:val="20"/>
      <w:szCs w:val="20"/>
      <w:lang w:val="pt-BR"/>
    </w:rPr>
  </w:style>
  <w:style w:type="character" w:customStyle="1" w:styleId="CommentTextChar">
    <w:name w:val="Comment Text Char"/>
    <w:basedOn w:val="DefaultParagraphFont"/>
    <w:link w:val="CommentText"/>
    <w:uiPriority w:val="99"/>
    <w:rsid w:val="004A05BC"/>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4A05BC"/>
    <w:rPr>
      <w:b/>
      <w:bCs/>
    </w:rPr>
  </w:style>
  <w:style w:type="character" w:customStyle="1" w:styleId="CommentSubjectChar">
    <w:name w:val="Comment Subject Char"/>
    <w:basedOn w:val="CommentTextChar"/>
    <w:link w:val="CommentSubject"/>
    <w:uiPriority w:val="99"/>
    <w:semiHidden/>
    <w:rsid w:val="004A05BC"/>
    <w:rPr>
      <w:rFonts w:ascii="Calibri" w:eastAsia="Calibri" w:hAnsi="Calibri" w:cs="Times New Roman"/>
      <w:b/>
      <w:bCs/>
      <w:sz w:val="20"/>
      <w:szCs w:val="20"/>
      <w:lang w:val="pt-BR"/>
    </w:rPr>
  </w:style>
  <w:style w:type="paragraph" w:styleId="BalloonText">
    <w:name w:val="Balloon Text"/>
    <w:basedOn w:val="Normal"/>
    <w:link w:val="BalloonTextChar"/>
    <w:uiPriority w:val="99"/>
    <w:semiHidden/>
    <w:unhideWhenUsed/>
    <w:rsid w:val="004A05BC"/>
    <w:rPr>
      <w:rFonts w:ascii="Segoe UI" w:eastAsia="Calibri" w:hAnsi="Segoe UI" w:cs="Segoe UI"/>
      <w:sz w:val="18"/>
      <w:szCs w:val="18"/>
      <w:lang w:val="pt-BR"/>
    </w:rPr>
  </w:style>
  <w:style w:type="character" w:customStyle="1" w:styleId="BalloonTextChar">
    <w:name w:val="Balloon Text Char"/>
    <w:basedOn w:val="DefaultParagraphFont"/>
    <w:link w:val="BalloonText"/>
    <w:uiPriority w:val="99"/>
    <w:semiHidden/>
    <w:rsid w:val="004A05BC"/>
    <w:rPr>
      <w:rFonts w:ascii="Segoe UI" w:eastAsia="Calibri" w:hAnsi="Segoe UI" w:cs="Segoe UI"/>
      <w:sz w:val="18"/>
      <w:szCs w:val="18"/>
      <w:lang w:val="pt-BR"/>
    </w:rPr>
  </w:style>
  <w:style w:type="paragraph" w:styleId="HTMLPreformatted">
    <w:name w:val="HTML Preformatted"/>
    <w:basedOn w:val="Normal"/>
    <w:link w:val="HTMLPreformattedChar"/>
    <w:uiPriority w:val="99"/>
    <w:semiHidden/>
    <w:unhideWhenUsed/>
    <w:rsid w:val="004A0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05BC"/>
    <w:rPr>
      <w:rFonts w:ascii="Courier New" w:eastAsia="Times New Roman" w:hAnsi="Courier New" w:cs="Courier New"/>
      <w:sz w:val="20"/>
      <w:szCs w:val="20"/>
    </w:rPr>
  </w:style>
  <w:style w:type="character" w:customStyle="1" w:styleId="y2iqfc">
    <w:name w:val="y2iqfc"/>
    <w:basedOn w:val="DefaultParagraphFont"/>
    <w:rsid w:val="004A05BC"/>
  </w:style>
  <w:style w:type="character" w:customStyle="1" w:styleId="NoSpacingChar">
    <w:name w:val="No Spacing Char"/>
    <w:link w:val="NoSpacing"/>
    <w:uiPriority w:val="1"/>
    <w:rsid w:val="00C110DE"/>
    <w:rPr>
      <w:rFonts w:ascii="Calibri" w:eastAsia="Calibri" w:hAnsi="Calibri" w:cs="Times New Roman"/>
      <w:sz w:val="22"/>
      <w:szCs w:val="22"/>
      <w:lang w:val="pt-BR"/>
    </w:rPr>
  </w:style>
  <w:style w:type="paragraph" w:customStyle="1" w:styleId="footnotetext0">
    <w:name w:val="footnote text0"/>
    <w:basedOn w:val="Normal"/>
    <w:link w:val="FootnoteTextChar1"/>
    <w:uiPriority w:val="99"/>
    <w:semiHidden/>
    <w:unhideWhenUsed/>
    <w:rsid w:val="00C110DE"/>
    <w:pPr>
      <w:suppressAutoHyphens/>
      <w:ind w:leftChars="-1" w:left="-1" w:hangingChars="1" w:hanging="1"/>
      <w:textDirection w:val="btLr"/>
      <w:textAlignment w:val="top"/>
      <w:outlineLvl w:val="0"/>
    </w:pPr>
    <w:rPr>
      <w:rFonts w:ascii="Calibri" w:eastAsia="Calibri" w:hAnsi="Calibri" w:cs="Calibri"/>
      <w:position w:val="-1"/>
      <w:sz w:val="20"/>
      <w:szCs w:val="20"/>
      <w:lang w:val="pt-BR"/>
    </w:rPr>
  </w:style>
  <w:style w:type="character" w:customStyle="1" w:styleId="FootnoteTextChar1">
    <w:name w:val="Footnote Text Char1"/>
    <w:link w:val="footnotetext0"/>
    <w:uiPriority w:val="99"/>
    <w:semiHidden/>
    <w:rsid w:val="00C110DE"/>
    <w:rPr>
      <w:rFonts w:ascii="Calibri" w:eastAsia="Calibri" w:hAnsi="Calibri" w:cs="Calibri"/>
      <w:position w:val="-1"/>
      <w:sz w:val="20"/>
      <w:szCs w:val="20"/>
      <w:lang w:val="pt-BR"/>
    </w:rPr>
  </w:style>
  <w:style w:type="character" w:customStyle="1" w:styleId="footnotereference0">
    <w:name w:val="footnote reference0"/>
    <w:uiPriority w:val="99"/>
    <w:semiHidden/>
    <w:unhideWhenUsed/>
    <w:rsid w:val="00C110DE"/>
    <w:rPr>
      <w:vertAlign w:val="superscript"/>
    </w:rPr>
  </w:style>
  <w:style w:type="paragraph" w:styleId="NormalWeb">
    <w:name w:val="Normal (Web)"/>
    <w:basedOn w:val="Normal"/>
    <w:uiPriority w:val="99"/>
    <w:unhideWhenUsed/>
    <w:rsid w:val="004C0D57"/>
    <w:pPr>
      <w:spacing w:before="100" w:beforeAutospacing="1" w:after="100" w:afterAutospacing="1"/>
    </w:pPr>
    <w:rPr>
      <w:rFonts w:ascii="Times New Roman" w:eastAsia="Times New Roman" w:hAnsi="Times New Roman" w:cs="Times New Roman"/>
    </w:rPr>
  </w:style>
  <w:style w:type="character" w:styleId="UnresolvedMention">
    <w:name w:val="Unresolved Mention"/>
    <w:uiPriority w:val="99"/>
    <w:semiHidden/>
    <w:unhideWhenUsed/>
    <w:rsid w:val="004C0D57"/>
    <w:rPr>
      <w:color w:val="605E5C"/>
      <w:shd w:val="clear" w:color="auto" w:fill="E1DFDD"/>
    </w:rPr>
  </w:style>
  <w:style w:type="character" w:customStyle="1" w:styleId="normaltextrun">
    <w:name w:val="normaltextrun"/>
    <w:basedOn w:val="DefaultParagraphFont"/>
    <w:rsid w:val="00AB5F3B"/>
  </w:style>
  <w:style w:type="character" w:customStyle="1" w:styleId="eop">
    <w:name w:val="eop"/>
    <w:basedOn w:val="DefaultParagraphFont"/>
    <w:rsid w:val="00AB5F3B"/>
  </w:style>
  <w:style w:type="paragraph" w:styleId="EndnoteText">
    <w:name w:val="endnote text"/>
    <w:basedOn w:val="Normal"/>
    <w:link w:val="EndnoteTextChar"/>
    <w:semiHidden/>
    <w:rsid w:val="00AB41A3"/>
    <w:pPr>
      <w:spacing w:before="100" w:beforeAutospacing="1" w:after="100" w:afterAutospacing="1"/>
    </w:pPr>
    <w:rPr>
      <w:rFonts w:ascii="Times New Roman" w:eastAsia="Times New Roman" w:hAnsi="Times New Roman" w:cs="Times New Roman"/>
      <w:lang w:val="pt-BR" w:eastAsia="pt-BR"/>
    </w:rPr>
  </w:style>
  <w:style w:type="character" w:customStyle="1" w:styleId="EndnoteTextChar">
    <w:name w:val="Endnote Text Char"/>
    <w:basedOn w:val="DefaultParagraphFont"/>
    <w:link w:val="EndnoteText"/>
    <w:semiHidden/>
    <w:rsid w:val="00AB41A3"/>
    <w:rPr>
      <w:rFonts w:ascii="Times New Roman" w:eastAsia="Times New Roman" w:hAnsi="Times New Roman" w:cs="Times New Roman"/>
      <w:lang w:val="pt-BR" w:eastAsia="pt-BR"/>
    </w:rPr>
  </w:style>
  <w:style w:type="paragraph" w:customStyle="1" w:styleId="CabealhoeRodap">
    <w:name w:val="Cabeçalho e Rodapé"/>
    <w:rsid w:val="006F7917"/>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numbering" w:customStyle="1" w:styleId="EstiloImportado1">
    <w:name w:val="Estilo Importado 1"/>
    <w:rsid w:val="006F7917"/>
    <w:pPr>
      <w:numPr>
        <w:numId w:val="2"/>
      </w:numPr>
    </w:pPr>
  </w:style>
  <w:style w:type="character" w:customStyle="1" w:styleId="Link">
    <w:name w:val="Link"/>
    <w:rsid w:val="006F7917"/>
    <w:rPr>
      <w:color w:val="0000FF"/>
      <w:u w:val="single" w:color="0000FF"/>
    </w:rPr>
  </w:style>
  <w:style w:type="character" w:customStyle="1" w:styleId="Hyperlink0">
    <w:name w:val="Hyperlink.0"/>
    <w:rsid w:val="006F7917"/>
    <w:rPr>
      <w:color w:val="17365D"/>
      <w:u w:val="single" w:color="17365D"/>
      <w:lang w:val="es-ES_tradnl"/>
    </w:rPr>
  </w:style>
  <w:style w:type="paragraph" w:customStyle="1" w:styleId="Padro">
    <w:name w:val="Padrão"/>
    <w:rsid w:val="006F7917"/>
    <w:pPr>
      <w:pBdr>
        <w:top w:val="nil"/>
        <w:left w:val="nil"/>
        <w:bottom w:val="nil"/>
        <w:right w:val="nil"/>
        <w:between w:val="nil"/>
        <w:bar w:val="nil"/>
      </w:pBdr>
    </w:pPr>
    <w:rPr>
      <w:rFonts w:ascii="Helvetica Neue" w:eastAsia="Helvetica Neue" w:hAnsi="Helvetica Neue" w:cs="Helvetica Neue"/>
      <w:color w:val="000000"/>
      <w:sz w:val="22"/>
      <w:szCs w:val="22"/>
      <w:bdr w:val="nil"/>
      <w:lang w:val="es-MX" w:eastAsia="es-MX"/>
    </w:rPr>
  </w:style>
  <w:style w:type="numbering" w:customStyle="1" w:styleId="EstiloImportado8">
    <w:name w:val="Estilo Importado 8"/>
    <w:rsid w:val="006F7917"/>
    <w:pPr>
      <w:numPr>
        <w:numId w:val="3"/>
      </w:numPr>
    </w:pPr>
  </w:style>
  <w:style w:type="character" w:customStyle="1" w:styleId="Hyperlink1">
    <w:name w:val="Hyperlink.1"/>
    <w:rsid w:val="006F7917"/>
    <w:rPr>
      <w:rFonts w:ascii="Cambria" w:eastAsia="Cambria" w:hAnsi="Cambria" w:cs="Cambria"/>
      <w:color w:val="000000"/>
      <w:sz w:val="16"/>
      <w:szCs w:val="16"/>
      <w:u w:val="single" w:color="000000"/>
      <w:lang w:val="es-ES_tradnl"/>
    </w:rPr>
  </w:style>
  <w:style w:type="numbering" w:customStyle="1" w:styleId="EstiloImportado9">
    <w:name w:val="Estilo Importado 9"/>
    <w:rsid w:val="006F7917"/>
    <w:pPr>
      <w:numPr>
        <w:numId w:val="4"/>
      </w:numPr>
    </w:pPr>
  </w:style>
  <w:style w:type="numbering" w:customStyle="1" w:styleId="EstiloImportado10">
    <w:name w:val="Estilo Importado 10"/>
    <w:rsid w:val="006F7917"/>
    <w:pPr>
      <w:numPr>
        <w:numId w:val="5"/>
      </w:numPr>
    </w:pPr>
  </w:style>
  <w:style w:type="numbering" w:customStyle="1" w:styleId="EstiloImportado11">
    <w:name w:val="Estilo Importado 11"/>
    <w:rsid w:val="006F7917"/>
    <w:pPr>
      <w:numPr>
        <w:numId w:val="6"/>
      </w:numPr>
    </w:pPr>
  </w:style>
  <w:style w:type="character" w:customStyle="1" w:styleId="Hyperlink3">
    <w:name w:val="Hyperlink.3"/>
    <w:rsid w:val="006F7917"/>
    <w:rPr>
      <w:rFonts w:ascii="Cambria" w:eastAsia="Cambria" w:hAnsi="Cambria" w:cs="Cambria"/>
      <w:color w:val="FF0000"/>
      <w:sz w:val="16"/>
      <w:szCs w:val="16"/>
      <w:u w:val="single" w:color="FF0000"/>
      <w:lang w:val="es-ES_tradnl"/>
    </w:rPr>
  </w:style>
  <w:style w:type="character" w:customStyle="1" w:styleId="UnresolvedMention1">
    <w:name w:val="Unresolved Mention1"/>
    <w:uiPriority w:val="99"/>
    <w:semiHidden/>
    <w:unhideWhenUsed/>
    <w:rsid w:val="006F7917"/>
    <w:rPr>
      <w:color w:val="605E5C"/>
      <w:shd w:val="clear" w:color="auto" w:fill="E1DFDD"/>
    </w:rPr>
  </w:style>
  <w:style w:type="numbering" w:customStyle="1" w:styleId="EstiloImportado12">
    <w:name w:val="Estilo Importado 12"/>
    <w:rsid w:val="006F7917"/>
    <w:pPr>
      <w:numPr>
        <w:numId w:val="7"/>
      </w:numPr>
    </w:pPr>
  </w:style>
  <w:style w:type="numbering" w:customStyle="1" w:styleId="EstiloImportado13">
    <w:name w:val="Estilo Importado 13"/>
    <w:rsid w:val="006F7917"/>
    <w:pPr>
      <w:numPr>
        <w:numId w:val="8"/>
      </w:numPr>
    </w:pPr>
  </w:style>
  <w:style w:type="numbering" w:customStyle="1" w:styleId="EstiloImportado14">
    <w:name w:val="Estilo Importado 14"/>
    <w:rsid w:val="006F7917"/>
    <w:pPr>
      <w:numPr>
        <w:numId w:val="9"/>
      </w:numPr>
    </w:pPr>
  </w:style>
  <w:style w:type="character" w:customStyle="1" w:styleId="st1">
    <w:name w:val="st1"/>
    <w:rsid w:val="006F7917"/>
  </w:style>
  <w:style w:type="paragraph" w:styleId="Revision">
    <w:name w:val="Revision"/>
    <w:hidden/>
    <w:uiPriority w:val="99"/>
    <w:semiHidden/>
    <w:rsid w:val="006F7917"/>
    <w:rPr>
      <w:rFonts w:ascii="Calibri" w:eastAsia="Calibri" w:hAnsi="Calibri" w:cs="Calibri"/>
      <w:color w:val="000000"/>
      <w:sz w:val="22"/>
      <w:szCs w:val="22"/>
      <w:u w:color="000000"/>
      <w:bdr w:val="nil"/>
      <w:lang w:val="pt-PT"/>
    </w:rPr>
  </w:style>
  <w:style w:type="paragraph" w:customStyle="1" w:styleId="Corpo">
    <w:name w:val="Corpo"/>
    <w:rsid w:val="006F791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ES_tradnl" w:eastAsia="es-MX"/>
    </w:rPr>
  </w:style>
  <w:style w:type="numbering" w:customStyle="1" w:styleId="EstiloImportado2">
    <w:name w:val="Estilo Importado 2"/>
    <w:rsid w:val="006F7917"/>
    <w:pPr>
      <w:numPr>
        <w:numId w:val="10"/>
      </w:numPr>
    </w:pPr>
  </w:style>
  <w:style w:type="numbering" w:customStyle="1" w:styleId="EstiloImportado3">
    <w:name w:val="Estilo Importado 3"/>
    <w:rsid w:val="006F7917"/>
    <w:pPr>
      <w:numPr>
        <w:numId w:val="11"/>
      </w:numPr>
    </w:pPr>
  </w:style>
  <w:style w:type="numbering" w:customStyle="1" w:styleId="EstiloImportado4">
    <w:name w:val="Estilo Importado 4"/>
    <w:rsid w:val="006F7917"/>
    <w:pPr>
      <w:numPr>
        <w:numId w:val="12"/>
      </w:numPr>
    </w:pPr>
  </w:style>
  <w:style w:type="numbering" w:customStyle="1" w:styleId="EstiloImportado5">
    <w:name w:val="Estilo Importado 5"/>
    <w:rsid w:val="006F7917"/>
    <w:pPr>
      <w:numPr>
        <w:numId w:val="13"/>
      </w:numPr>
    </w:pPr>
  </w:style>
  <w:style w:type="numbering" w:customStyle="1" w:styleId="EstiloImportado6">
    <w:name w:val="Estilo Importado 6"/>
    <w:rsid w:val="006F7917"/>
    <w:pPr>
      <w:numPr>
        <w:numId w:val="14"/>
      </w:numPr>
    </w:pPr>
  </w:style>
  <w:style w:type="paragraph" w:styleId="BlockText">
    <w:name w:val="Block Text"/>
    <w:basedOn w:val="Normal"/>
    <w:uiPriority w:val="99"/>
    <w:rsid w:val="006F7917"/>
    <w:pPr>
      <w:spacing w:before="100" w:beforeAutospacing="1" w:after="100" w:afterAutospacing="1"/>
    </w:pPr>
    <w:rPr>
      <w:rFonts w:ascii="Times New Roman" w:eastAsia="MS Mincho" w:hAnsi="Times New Roman" w:cs="Times New Roman"/>
    </w:rPr>
  </w:style>
  <w:style w:type="character" w:customStyle="1" w:styleId="Hyperlink2">
    <w:name w:val="Hyperlink.2"/>
    <w:rsid w:val="00755422"/>
    <w:rPr>
      <w:rFonts w:ascii="Cambria" w:eastAsia="Cambria" w:hAnsi="Cambria" w:cs="Cambria"/>
      <w:color w:val="000000"/>
      <w:sz w:val="16"/>
      <w:szCs w:val="16"/>
      <w:u w:val="single"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idh.oas.org/annualrep/2004sp/Cuba.844.03.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dh.oas.org/annualrep/2006sp/Cuba12477sp.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idh/docs/anual/2021/capitulos/IA2021cap2-es.pdf" TargetMode="External"/><Relationship Id="rId1" Type="http://schemas.openxmlformats.org/officeDocument/2006/relationships/hyperlink" Target="http://www.cidh.oas.org/annualrep/2006sp/Cuba12477sp.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59D8A44FF8D441B2D8622879463F58"/>
        <w:category>
          <w:name w:val="General"/>
          <w:gallery w:val="placeholder"/>
        </w:category>
        <w:types>
          <w:type w:val="bbPlcHdr"/>
        </w:types>
        <w:behaviors>
          <w:behavior w:val="content"/>
        </w:behaviors>
        <w:guid w:val="{41375344-6A18-614D-ACC9-CB099B659D56}"/>
      </w:docPartPr>
      <w:docPartBody>
        <w:p w:rsidR="000D2285" w:rsidRDefault="000D22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A6"/>
    <w:rsid w:val="000D2285"/>
    <w:rsid w:val="004C26A6"/>
    <w:rsid w:val="006F6AEE"/>
    <w:rsid w:val="00F8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customXml/itemProps2.xml><?xml version="1.0" encoding="utf-8"?>
<ds:datastoreItem xmlns:ds="http://schemas.openxmlformats.org/officeDocument/2006/customXml" ds:itemID="{1D3E9CF8-4677-4329-B03C-D090947F5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6845A-FA30-43F3-A6F6-5490015DF105}">
  <ds:schemaRefs>
    <ds:schemaRef ds:uri="http://schemas.microsoft.com/sharepoint/v3/contenttype/forms"/>
  </ds:schemaRefs>
</ds:datastoreItem>
</file>

<file path=customXml/itemProps4.xml><?xml version="1.0" encoding="utf-8"?>
<ds:datastoreItem xmlns:ds="http://schemas.openxmlformats.org/officeDocument/2006/customXml" ds:itemID="{5DE65D1E-4D0C-40E3-B8B2-F1B54A15E7B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2023-03-28T18:58:00Z</dcterms:created>
  <dcterms:modified xsi:type="dcterms:W3CDTF">2023-03-28T18:58:00Z</dcterms:modified>
</cp:coreProperties>
</file>