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865F" w14:textId="77777777" w:rsidR="0059342F" w:rsidRPr="00F22F03" w:rsidRDefault="0059342F" w:rsidP="614F74A4">
      <w:pPr>
        <w:jc w:val="center"/>
        <w:rPr>
          <w:color w:val="000000" w:themeColor="text1"/>
          <w:sz w:val="20"/>
          <w:szCs w:val="20"/>
          <w:lang w:val="es-ES"/>
        </w:rPr>
      </w:pPr>
      <w:r w:rsidRPr="614F74A4">
        <w:rPr>
          <w:rFonts w:ascii="Cambria" w:eastAsia="Cambria" w:hAnsi="Cambria" w:cs="Cambria"/>
          <w:b/>
          <w:bCs/>
          <w:color w:val="000000" w:themeColor="text1"/>
          <w:sz w:val="20"/>
          <w:szCs w:val="20"/>
          <w:lang w:val="es-ES"/>
        </w:rPr>
        <w:t>FICHA DE SEGUIMIENTO DEL INFORME Nº 268/21</w:t>
      </w:r>
    </w:p>
    <w:p w14:paraId="0D37D045" w14:textId="77777777" w:rsidR="0059342F" w:rsidRPr="00F22F03" w:rsidRDefault="0059342F" w:rsidP="614F74A4">
      <w:pPr>
        <w:jc w:val="center"/>
        <w:rPr>
          <w:rFonts w:ascii="Cambria" w:eastAsia="Cambria" w:hAnsi="Cambria" w:cs="Cambria"/>
          <w:b/>
          <w:bCs/>
          <w:color w:val="000000" w:themeColor="text1"/>
          <w:sz w:val="20"/>
          <w:szCs w:val="20"/>
          <w:lang w:val="es-ES"/>
        </w:rPr>
      </w:pPr>
      <w:r w:rsidRPr="614F74A4">
        <w:rPr>
          <w:rFonts w:ascii="Cambria" w:eastAsia="Cambria" w:hAnsi="Cambria" w:cs="Cambria"/>
          <w:b/>
          <w:bCs/>
          <w:color w:val="000000" w:themeColor="text1"/>
          <w:sz w:val="20"/>
          <w:szCs w:val="20"/>
          <w:lang w:val="es-ES"/>
        </w:rPr>
        <w:t>CASO 12.681</w:t>
      </w:r>
    </w:p>
    <w:p w14:paraId="313D8DCE" w14:textId="77777777" w:rsidR="0059342F" w:rsidRPr="00F22F03" w:rsidRDefault="0059342F" w:rsidP="614F74A4">
      <w:pPr>
        <w:jc w:val="center"/>
        <w:rPr>
          <w:rFonts w:ascii="Cambria" w:eastAsia="Cambria" w:hAnsi="Cambria" w:cs="Cambria"/>
          <w:b/>
          <w:bCs/>
          <w:color w:val="000000" w:themeColor="text1"/>
          <w:sz w:val="20"/>
          <w:szCs w:val="20"/>
          <w:lang w:val="es-ES"/>
        </w:rPr>
      </w:pPr>
      <w:r w:rsidRPr="614F74A4">
        <w:rPr>
          <w:rFonts w:ascii="Cambria" w:eastAsia="Cambria" w:hAnsi="Cambria" w:cs="Cambria"/>
          <w:b/>
          <w:bCs/>
          <w:color w:val="000000" w:themeColor="text1"/>
          <w:sz w:val="20"/>
          <w:szCs w:val="20"/>
          <w:lang w:val="es-ES"/>
        </w:rPr>
        <w:t>MARCOS ALEJANDRO MARTÍN</w:t>
      </w:r>
    </w:p>
    <w:p w14:paraId="2175EE28" w14:textId="77777777" w:rsidR="0059342F" w:rsidRPr="00F22F03" w:rsidRDefault="0059342F" w:rsidP="614F74A4">
      <w:pPr>
        <w:jc w:val="center"/>
        <w:rPr>
          <w:rFonts w:ascii="Cambria" w:eastAsia="Cambria" w:hAnsi="Cambria" w:cs="Cambria"/>
          <w:b/>
          <w:bCs/>
          <w:color w:val="000000" w:themeColor="text1"/>
          <w:sz w:val="20"/>
          <w:szCs w:val="20"/>
          <w:lang w:val="es-ES"/>
        </w:rPr>
      </w:pPr>
      <w:r w:rsidRPr="614F74A4">
        <w:rPr>
          <w:rFonts w:ascii="Cambria" w:eastAsia="Cambria" w:hAnsi="Cambria" w:cs="Cambria"/>
          <w:b/>
          <w:bCs/>
          <w:color w:val="000000" w:themeColor="text1"/>
          <w:sz w:val="20"/>
          <w:szCs w:val="20"/>
          <w:lang w:val="es-ES"/>
        </w:rPr>
        <w:t>(Argentina)</w:t>
      </w:r>
    </w:p>
    <w:p w14:paraId="443E3199" w14:textId="77777777" w:rsidR="0059342F" w:rsidRPr="00F22F03" w:rsidRDefault="0059342F" w:rsidP="614F74A4">
      <w:pPr>
        <w:jc w:val="both"/>
        <w:rPr>
          <w:rFonts w:ascii="Cambria" w:eastAsia="Cambria" w:hAnsi="Cambria" w:cs="Cambria"/>
          <w:b/>
          <w:bCs/>
          <w:color w:val="000000" w:themeColor="text1"/>
          <w:sz w:val="20"/>
          <w:szCs w:val="20"/>
          <w:lang w:val="es-ES"/>
        </w:rPr>
      </w:pPr>
    </w:p>
    <w:p w14:paraId="210195D9" w14:textId="77777777" w:rsidR="0059342F" w:rsidRPr="00F22F03" w:rsidRDefault="0059342F" w:rsidP="614F74A4">
      <w:pPr>
        <w:numPr>
          <w:ilvl w:val="0"/>
          <w:numId w:val="17"/>
        </w:numPr>
        <w:ind w:left="1440"/>
        <w:jc w:val="both"/>
        <w:rPr>
          <w:rFonts w:ascii="Cambria" w:eastAsia="Cambria" w:hAnsi="Cambria" w:cs="Cambria"/>
          <w:b/>
          <w:bCs/>
          <w:color w:val="000000" w:themeColor="text1"/>
          <w:sz w:val="20"/>
          <w:szCs w:val="20"/>
        </w:rPr>
      </w:pPr>
      <w:r w:rsidRPr="614F74A4">
        <w:rPr>
          <w:rFonts w:ascii="Cambria" w:eastAsia="Cambria" w:hAnsi="Cambria" w:cs="Cambria"/>
          <w:b/>
          <w:bCs/>
          <w:color w:val="000000" w:themeColor="text1"/>
          <w:sz w:val="20"/>
          <w:szCs w:val="20"/>
        </w:rPr>
        <w:t xml:space="preserve">Resumen del caso </w:t>
      </w:r>
    </w:p>
    <w:p w14:paraId="54DE6273" w14:textId="77777777" w:rsidR="0059342F" w:rsidRPr="00F22F03" w:rsidRDefault="0059342F" w:rsidP="614F74A4">
      <w:pPr>
        <w:ind w:left="1080"/>
        <w:jc w:val="both"/>
        <w:rPr>
          <w:rFonts w:ascii="Cambria" w:eastAsia="Cambria" w:hAnsi="Cambria" w:cs="Cambria"/>
          <w:b/>
          <w:bCs/>
          <w:color w:val="000000" w:themeColor="text1"/>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22F03" w:rsidRPr="00F22F03" w14:paraId="4B8EAF25" w14:textId="77777777" w:rsidTr="614F74A4">
        <w:trPr>
          <w:trHeight w:val="4805"/>
          <w:jc w:val="center"/>
        </w:trPr>
        <w:tc>
          <w:tcPr>
            <w:tcW w:w="9350" w:type="dxa"/>
            <w:shd w:val="clear" w:color="auto" w:fill="F2F2F2" w:themeFill="background1" w:themeFillShade="F2"/>
          </w:tcPr>
          <w:p w14:paraId="7273AD97" w14:textId="10388652" w:rsidR="0059342F" w:rsidRPr="00270EB6" w:rsidRDefault="0059342F" w:rsidP="614F74A4">
            <w:pPr>
              <w:spacing w:before="120"/>
              <w:jc w:val="both"/>
              <w:rPr>
                <w:rFonts w:ascii="Cambria" w:eastAsia="Cambria" w:hAnsi="Cambria" w:cs="Cambria"/>
                <w:color w:val="000000" w:themeColor="text1"/>
                <w:sz w:val="20"/>
                <w:szCs w:val="20"/>
                <w:lang w:val="pt-BR"/>
              </w:rPr>
            </w:pPr>
            <w:r w:rsidRPr="614F74A4">
              <w:rPr>
                <w:rFonts w:ascii="Cambria" w:eastAsia="Cambria" w:hAnsi="Cambria" w:cs="Cambria"/>
                <w:b/>
                <w:bCs/>
                <w:color w:val="000000" w:themeColor="text1"/>
                <w:sz w:val="20"/>
                <w:szCs w:val="20"/>
                <w:lang w:val="pt-BR"/>
              </w:rPr>
              <w:t xml:space="preserve">Víctima(s): </w:t>
            </w:r>
            <w:r w:rsidR="00270EB6" w:rsidRPr="614F74A4">
              <w:rPr>
                <w:rFonts w:ascii="Cambria" w:eastAsia="Cambria" w:hAnsi="Cambria" w:cs="Cambria"/>
                <w:color w:val="000000" w:themeColor="text1"/>
                <w:sz w:val="20"/>
                <w:szCs w:val="20"/>
                <w:lang w:val="pt-BR"/>
              </w:rPr>
              <w:t>Marcos Alejandro Martín</w:t>
            </w:r>
          </w:p>
          <w:p w14:paraId="5AD77590" w14:textId="4AD0A779" w:rsidR="0059342F" w:rsidRPr="00F22F03" w:rsidRDefault="0059342F" w:rsidP="614F74A4">
            <w:pPr>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Peticionario(s):</w:t>
            </w:r>
            <w:r w:rsidRPr="614F74A4">
              <w:rPr>
                <w:rFonts w:ascii="Cambria" w:eastAsia="Cambria" w:hAnsi="Cambria" w:cs="Cambria"/>
                <w:color w:val="000000" w:themeColor="text1"/>
                <w:sz w:val="20"/>
                <w:szCs w:val="20"/>
                <w:lang w:val="es-ES"/>
              </w:rPr>
              <w:t xml:space="preserve"> Defensor</w:t>
            </w:r>
            <w:r w:rsidR="00270EB6" w:rsidRPr="614F74A4">
              <w:rPr>
                <w:rFonts w:ascii="Cambria" w:eastAsia="Cambria" w:hAnsi="Cambria" w:cs="Cambria"/>
                <w:color w:val="000000" w:themeColor="text1"/>
                <w:sz w:val="20"/>
                <w:szCs w:val="20"/>
                <w:lang w:val="es-ES"/>
              </w:rPr>
              <w:t>í</w:t>
            </w:r>
            <w:r w:rsidRPr="614F74A4">
              <w:rPr>
                <w:rFonts w:ascii="Cambria" w:eastAsia="Cambria" w:hAnsi="Cambria" w:cs="Cambria"/>
                <w:color w:val="000000" w:themeColor="text1"/>
                <w:sz w:val="20"/>
                <w:szCs w:val="20"/>
                <w:lang w:val="es-ES"/>
              </w:rPr>
              <w:t>a General de la Nación</w:t>
            </w:r>
          </w:p>
          <w:p w14:paraId="16C5EAF5" w14:textId="77777777" w:rsidR="0059342F" w:rsidRPr="00F22F03" w:rsidRDefault="0059342F" w:rsidP="614F74A4">
            <w:pPr>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 xml:space="preserve">Estado: </w:t>
            </w:r>
            <w:r w:rsidRPr="614F74A4">
              <w:rPr>
                <w:rFonts w:ascii="Cambria" w:eastAsia="Cambria" w:hAnsi="Cambria" w:cs="Cambria"/>
                <w:color w:val="000000" w:themeColor="text1"/>
                <w:sz w:val="20"/>
                <w:szCs w:val="20"/>
                <w:lang w:val="es-ES"/>
              </w:rPr>
              <w:t>Argentina</w:t>
            </w:r>
          </w:p>
          <w:p w14:paraId="41D38415" w14:textId="1AA29CBB" w:rsidR="0059342F" w:rsidRPr="00F22F03" w:rsidRDefault="0059342F" w:rsidP="614F74A4">
            <w:pPr>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 xml:space="preserve">Informe de Fondo Nº: </w:t>
            </w:r>
            <w:hyperlink r:id="rId11">
              <w:r w:rsidR="00F22F03" w:rsidRPr="614F74A4">
                <w:rPr>
                  <w:rStyle w:val="Hyperlink"/>
                  <w:rFonts w:ascii="Cambria" w:eastAsia="Cambria" w:hAnsi="Cambria" w:cs="Cambria"/>
                  <w:color w:val="000000" w:themeColor="text1"/>
                  <w:sz w:val="20"/>
                  <w:szCs w:val="20"/>
                  <w:lang w:val="es-ES"/>
                </w:rPr>
                <w:t>268</w:t>
              </w:r>
              <w:r w:rsidRPr="614F74A4">
                <w:rPr>
                  <w:rStyle w:val="Hyperlink"/>
                  <w:rFonts w:ascii="Cambria" w:eastAsia="Cambria" w:hAnsi="Cambria" w:cs="Cambria"/>
                  <w:color w:val="000000" w:themeColor="text1"/>
                  <w:sz w:val="20"/>
                  <w:szCs w:val="20"/>
                  <w:lang w:val="es-ES"/>
                </w:rPr>
                <w:t>/</w:t>
              </w:r>
              <w:r w:rsidR="00F22F03" w:rsidRPr="614F74A4">
                <w:rPr>
                  <w:rStyle w:val="Hyperlink"/>
                  <w:rFonts w:ascii="Cambria" w:eastAsia="Cambria" w:hAnsi="Cambria" w:cs="Cambria"/>
                  <w:color w:val="000000" w:themeColor="text1"/>
                  <w:sz w:val="20"/>
                  <w:szCs w:val="20"/>
                  <w:lang w:val="es-ES"/>
                </w:rPr>
                <w:t>21</w:t>
              </w:r>
            </w:hyperlink>
            <w:r w:rsidRPr="614F74A4">
              <w:rPr>
                <w:rFonts w:ascii="Cambria" w:eastAsia="Cambria" w:hAnsi="Cambria" w:cs="Cambria"/>
                <w:color w:val="000000" w:themeColor="text1"/>
                <w:sz w:val="20"/>
                <w:szCs w:val="20"/>
                <w:lang w:val="es-ES"/>
              </w:rPr>
              <w:t xml:space="preserve">, publicado el 5 de </w:t>
            </w:r>
            <w:r w:rsidR="00F22F03" w:rsidRPr="614F74A4">
              <w:rPr>
                <w:rFonts w:ascii="Cambria" w:eastAsia="Cambria" w:hAnsi="Cambria" w:cs="Cambria"/>
                <w:color w:val="000000" w:themeColor="text1"/>
                <w:sz w:val="20"/>
                <w:szCs w:val="20"/>
                <w:lang w:val="es-ES"/>
              </w:rPr>
              <w:t>octubre de 2021</w:t>
            </w:r>
          </w:p>
          <w:p w14:paraId="6A7EF39E" w14:textId="53CEF0AA" w:rsidR="0059342F" w:rsidRDefault="0059342F" w:rsidP="614F74A4">
            <w:pPr>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 xml:space="preserve">Informe de admisibilidad: </w:t>
            </w:r>
            <w:r w:rsidRPr="614F74A4">
              <w:rPr>
                <w:rFonts w:ascii="Cambria" w:eastAsia="Cambria" w:hAnsi="Cambria" w:cs="Cambria"/>
                <w:color w:val="000000" w:themeColor="text1"/>
                <w:sz w:val="20"/>
                <w:szCs w:val="20"/>
                <w:lang w:val="es-ES"/>
              </w:rPr>
              <w:t>79/08, publicado el 17 de octubre de 2008</w:t>
            </w:r>
          </w:p>
          <w:p w14:paraId="44F39428" w14:textId="11B08A3E" w:rsidR="00AD7FF8" w:rsidRPr="00F22F03" w:rsidRDefault="00AD7FF8" w:rsidP="614F74A4">
            <w:pPr>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Acuerdo de Cumplimiento:</w:t>
            </w:r>
            <w:r w:rsidRPr="614F74A4">
              <w:rPr>
                <w:rFonts w:ascii="Cambria" w:eastAsia="Cambria" w:hAnsi="Cambria" w:cs="Cambria"/>
                <w:color w:val="000000" w:themeColor="text1"/>
                <w:sz w:val="20"/>
                <w:szCs w:val="20"/>
                <w:lang w:val="es-ES"/>
              </w:rPr>
              <w:t xml:space="preserve"> Suscrito el 12 de </w:t>
            </w:r>
            <w:r w:rsidR="00084557" w:rsidRPr="614F74A4">
              <w:rPr>
                <w:rFonts w:ascii="Cambria" w:eastAsia="Cambria" w:hAnsi="Cambria" w:cs="Cambria"/>
                <w:color w:val="000000" w:themeColor="text1"/>
                <w:sz w:val="20"/>
                <w:szCs w:val="20"/>
                <w:lang w:val="es-ES"/>
              </w:rPr>
              <w:t>junio</w:t>
            </w:r>
            <w:r w:rsidRPr="614F74A4">
              <w:rPr>
                <w:rFonts w:ascii="Cambria" w:eastAsia="Cambria" w:hAnsi="Cambria" w:cs="Cambria"/>
                <w:color w:val="000000" w:themeColor="text1"/>
                <w:sz w:val="20"/>
                <w:szCs w:val="20"/>
                <w:lang w:val="es-ES"/>
              </w:rPr>
              <w:t xml:space="preserve"> de 2018.</w:t>
            </w:r>
          </w:p>
          <w:p w14:paraId="2354D402" w14:textId="77777777" w:rsidR="0059342F" w:rsidRPr="003F39B3" w:rsidRDefault="0059342F" w:rsidP="614F74A4">
            <w:pPr>
              <w:jc w:val="both"/>
              <w:rPr>
                <w:rFonts w:ascii="Cambria" w:eastAsia="Cambria" w:hAnsi="Cambria" w:cs="Cambria"/>
                <w:color w:val="000000" w:themeColor="text1"/>
                <w:sz w:val="20"/>
                <w:szCs w:val="20"/>
                <w:lang w:val="es-ES"/>
              </w:rPr>
            </w:pPr>
          </w:p>
          <w:p w14:paraId="085621E1" w14:textId="70DA1A50" w:rsidR="0059342F" w:rsidRPr="003F39B3" w:rsidRDefault="0059342F" w:rsidP="614F74A4">
            <w:pPr>
              <w:spacing w:after="120"/>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Temas:</w:t>
            </w:r>
            <w:r w:rsidR="003F39B3" w:rsidRPr="614F74A4">
              <w:rPr>
                <w:rFonts w:ascii="Cambria" w:eastAsia="Cambria" w:hAnsi="Cambria" w:cs="Cambria"/>
                <w:b/>
                <w:bCs/>
                <w:color w:val="000000" w:themeColor="text1"/>
                <w:sz w:val="20"/>
                <w:szCs w:val="20"/>
                <w:lang w:val="es-ES"/>
              </w:rPr>
              <w:t xml:space="preserve"> </w:t>
            </w:r>
            <w:r w:rsidR="003F39B3" w:rsidRPr="614F74A4">
              <w:rPr>
                <w:rFonts w:ascii="Cambria" w:hAnsi="Cambria"/>
                <w:color w:val="000000" w:themeColor="text1"/>
                <w:sz w:val="20"/>
                <w:szCs w:val="20"/>
                <w:lang w:val="es-VE"/>
              </w:rPr>
              <w:t xml:space="preserve">Garantías judiciales / </w:t>
            </w:r>
            <w:r w:rsidR="003F39B3" w:rsidRPr="614F74A4">
              <w:rPr>
                <w:rFonts w:ascii="Cambria" w:eastAsia="Times New Roman" w:hAnsi="Cambria" w:cs="Arial"/>
                <w:color w:val="000000" w:themeColor="text1"/>
                <w:sz w:val="20"/>
                <w:szCs w:val="20"/>
                <w:lang w:val="es-CO"/>
              </w:rPr>
              <w:t>Presunción de Inocencia / Protección Judicial</w:t>
            </w:r>
            <w:r w:rsidR="003F39B3" w:rsidRPr="614F74A4">
              <w:rPr>
                <w:rFonts w:ascii="Cambria" w:hAnsi="Cambria"/>
                <w:color w:val="000000" w:themeColor="text1"/>
                <w:sz w:val="20"/>
                <w:szCs w:val="20"/>
                <w:lang w:val="es-VE"/>
              </w:rPr>
              <w:t xml:space="preserve"> / </w:t>
            </w:r>
            <w:r w:rsidR="003F39B3" w:rsidRPr="614F74A4">
              <w:rPr>
                <w:rFonts w:ascii="Cambria" w:eastAsia="Times New Roman" w:hAnsi="Cambria" w:cs="Arial"/>
                <w:color w:val="000000" w:themeColor="text1"/>
                <w:sz w:val="20"/>
                <w:szCs w:val="20"/>
                <w:lang w:val="es-CO"/>
              </w:rPr>
              <w:t>Derecho a la Libertad Personal / Detención Arbitraria</w:t>
            </w:r>
          </w:p>
          <w:p w14:paraId="6B5E5D59" w14:textId="7011F15A" w:rsidR="0059342F" w:rsidRPr="00F22F03" w:rsidRDefault="0059342F" w:rsidP="614F74A4">
            <w:pPr>
              <w:pBdr>
                <w:top w:val="nil"/>
                <w:left w:val="nil"/>
                <w:bottom w:val="nil"/>
                <w:right w:val="nil"/>
                <w:between w:val="nil"/>
              </w:pBdr>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Hechos:</w:t>
            </w:r>
            <w:r w:rsidRPr="614F74A4">
              <w:rPr>
                <w:rFonts w:ascii="Cambria" w:eastAsia="Cambria" w:hAnsi="Cambria" w:cs="Cambria"/>
                <w:color w:val="000000" w:themeColor="text1"/>
                <w:sz w:val="20"/>
                <w:szCs w:val="20"/>
                <w:lang w:val="es-ES"/>
              </w:rPr>
              <w:t xml:space="preserve"> Este caso</w:t>
            </w:r>
            <w:r w:rsidR="00F22F03" w:rsidRPr="614F74A4">
              <w:rPr>
                <w:rFonts w:ascii="Cambria" w:eastAsia="Cambria" w:hAnsi="Cambria" w:cs="Cambria"/>
                <w:color w:val="000000" w:themeColor="text1"/>
                <w:sz w:val="20"/>
                <w:szCs w:val="20"/>
                <w:lang w:val="es-ES"/>
              </w:rPr>
              <w:t xml:space="preserve"> se</w:t>
            </w:r>
            <w:r w:rsidRPr="614F74A4">
              <w:rPr>
                <w:rFonts w:ascii="Cambria" w:eastAsia="Cambria" w:hAnsi="Cambria" w:cs="Cambria"/>
                <w:color w:val="000000" w:themeColor="text1"/>
                <w:sz w:val="20"/>
                <w:szCs w:val="20"/>
                <w:lang w:val="es-ES"/>
              </w:rPr>
              <w:t xml:space="preserve"> refiere a las violaciones de los derechos humanos del Sr. Marcos Alejandro Martín, en el marco del proceso penal seguido en su contra. </w:t>
            </w:r>
            <w:r w:rsidR="00F22F03" w:rsidRPr="614F74A4">
              <w:rPr>
                <w:rFonts w:ascii="Cambria" w:eastAsia="Cambria" w:hAnsi="Cambria" w:cs="Cambria"/>
                <w:color w:val="000000" w:themeColor="text1"/>
                <w:sz w:val="20"/>
                <w:szCs w:val="20"/>
                <w:lang w:val="es-ES"/>
              </w:rPr>
              <w:t xml:space="preserve">La CIDH conoció las alegaciones según las cuales </w:t>
            </w:r>
            <w:r w:rsidRPr="614F74A4">
              <w:rPr>
                <w:rFonts w:ascii="Cambria" w:eastAsia="Cambria" w:hAnsi="Cambria" w:cs="Cambria"/>
                <w:color w:val="000000" w:themeColor="text1"/>
                <w:sz w:val="20"/>
                <w:szCs w:val="20"/>
                <w:lang w:val="es-ES"/>
              </w:rPr>
              <w:t xml:space="preserve">la sentencia condenatoria </w:t>
            </w:r>
            <w:r w:rsidR="00F22F03" w:rsidRPr="614F74A4">
              <w:rPr>
                <w:rFonts w:ascii="Cambria" w:eastAsia="Cambria" w:hAnsi="Cambria" w:cs="Cambria"/>
                <w:color w:val="000000" w:themeColor="text1"/>
                <w:sz w:val="20"/>
                <w:szCs w:val="20"/>
                <w:lang w:val="es-ES"/>
              </w:rPr>
              <w:t>del</w:t>
            </w:r>
            <w:r w:rsidRPr="614F74A4">
              <w:rPr>
                <w:rFonts w:ascii="Cambria" w:eastAsia="Cambria" w:hAnsi="Cambria" w:cs="Cambria"/>
                <w:color w:val="000000" w:themeColor="text1"/>
                <w:sz w:val="20"/>
                <w:szCs w:val="20"/>
                <w:lang w:val="es-ES"/>
              </w:rPr>
              <w:t xml:space="preserve"> proceso </w:t>
            </w:r>
            <w:r w:rsidR="00F22F03" w:rsidRPr="614F74A4">
              <w:rPr>
                <w:rFonts w:ascii="Cambria" w:eastAsia="Cambria" w:hAnsi="Cambria" w:cs="Cambria"/>
                <w:color w:val="000000" w:themeColor="text1"/>
                <w:sz w:val="20"/>
                <w:szCs w:val="20"/>
                <w:lang w:val="es-ES"/>
              </w:rPr>
              <w:t>contra el Sr. Marcos Alejandro Martín fue</w:t>
            </w:r>
            <w:r w:rsidRPr="614F74A4">
              <w:rPr>
                <w:rFonts w:ascii="Cambria" w:eastAsia="Cambria" w:hAnsi="Cambria" w:cs="Cambria"/>
                <w:color w:val="000000" w:themeColor="text1"/>
                <w:sz w:val="20"/>
                <w:szCs w:val="20"/>
                <w:lang w:val="es-ES"/>
              </w:rPr>
              <w:t xml:space="preserve"> arbitraria al haberse tomado en cuenta como evidencia sustancial una declaración rendida en la etapa de instrucción e incorporada en la audiencia pública por lectura</w:t>
            </w:r>
            <w:r w:rsidR="00F22F03" w:rsidRPr="614F74A4">
              <w:rPr>
                <w:rFonts w:ascii="Cambria" w:eastAsia="Cambria" w:hAnsi="Cambria" w:cs="Cambria"/>
                <w:color w:val="000000" w:themeColor="text1"/>
                <w:sz w:val="20"/>
                <w:szCs w:val="20"/>
                <w:lang w:val="es-ES"/>
              </w:rPr>
              <w:t>,</w:t>
            </w:r>
            <w:r w:rsidRPr="614F74A4">
              <w:rPr>
                <w:rFonts w:ascii="Cambria" w:eastAsia="Cambria" w:hAnsi="Cambria" w:cs="Cambria"/>
                <w:color w:val="000000" w:themeColor="text1"/>
                <w:sz w:val="20"/>
                <w:szCs w:val="20"/>
                <w:lang w:val="es-ES"/>
              </w:rPr>
              <w:t xml:space="preserve"> sin control previo de la defensa</w:t>
            </w:r>
            <w:r w:rsidR="00F22F03" w:rsidRPr="614F74A4">
              <w:rPr>
                <w:rFonts w:ascii="Cambria" w:eastAsia="Cambria" w:hAnsi="Cambria" w:cs="Cambria"/>
                <w:color w:val="000000" w:themeColor="text1"/>
                <w:sz w:val="20"/>
                <w:szCs w:val="20"/>
                <w:lang w:val="es-ES"/>
              </w:rPr>
              <w:t>; al haberse violado</w:t>
            </w:r>
            <w:r w:rsidRPr="614F74A4">
              <w:rPr>
                <w:rFonts w:ascii="Cambria" w:eastAsia="Cambria" w:hAnsi="Cambria" w:cs="Cambria"/>
                <w:color w:val="000000" w:themeColor="text1"/>
                <w:sz w:val="20"/>
                <w:szCs w:val="20"/>
                <w:lang w:val="es-ES"/>
              </w:rPr>
              <w:t xml:space="preserve"> el derecho a recurrir el fallo condenatorio. </w:t>
            </w:r>
            <w:r w:rsidR="00F22F03" w:rsidRPr="614F74A4">
              <w:rPr>
                <w:rFonts w:ascii="Cambria" w:eastAsia="Cambria" w:hAnsi="Cambria" w:cs="Cambria"/>
                <w:color w:val="000000" w:themeColor="text1"/>
                <w:sz w:val="20"/>
                <w:szCs w:val="20"/>
                <w:lang w:val="es-ES"/>
              </w:rPr>
              <w:t xml:space="preserve">Asimismo, la Comisión conoció que </w:t>
            </w:r>
            <w:r w:rsidRPr="614F74A4">
              <w:rPr>
                <w:rFonts w:ascii="Cambria" w:eastAsia="Cambria" w:hAnsi="Cambria" w:cs="Cambria"/>
                <w:color w:val="000000" w:themeColor="text1"/>
                <w:sz w:val="20"/>
                <w:szCs w:val="20"/>
                <w:lang w:val="es-ES"/>
              </w:rPr>
              <w:t>la privación de libertad del señor Martín</w:t>
            </w:r>
            <w:r w:rsidR="00F22F03" w:rsidRPr="614F74A4">
              <w:rPr>
                <w:rFonts w:ascii="Cambria" w:eastAsia="Cambria" w:hAnsi="Cambria" w:cs="Cambria"/>
                <w:color w:val="000000" w:themeColor="text1"/>
                <w:sz w:val="20"/>
                <w:szCs w:val="20"/>
                <w:lang w:val="es-ES"/>
              </w:rPr>
              <w:t xml:space="preserve"> en el marco del proceso penal en su contra fue</w:t>
            </w:r>
            <w:r w:rsidRPr="614F74A4">
              <w:rPr>
                <w:rFonts w:ascii="Cambria" w:eastAsia="Cambria" w:hAnsi="Cambria" w:cs="Cambria"/>
                <w:color w:val="000000" w:themeColor="text1"/>
                <w:sz w:val="20"/>
                <w:szCs w:val="20"/>
                <w:lang w:val="es-ES"/>
              </w:rPr>
              <w:t xml:space="preserve"> arbitraria.</w:t>
            </w:r>
          </w:p>
          <w:p w14:paraId="1E300A68" w14:textId="77777777" w:rsidR="0059342F" w:rsidRPr="00F22F03" w:rsidRDefault="0059342F" w:rsidP="614F74A4">
            <w:pPr>
              <w:pBdr>
                <w:top w:val="nil"/>
                <w:left w:val="nil"/>
                <w:bottom w:val="nil"/>
                <w:right w:val="nil"/>
                <w:between w:val="nil"/>
              </w:pBdr>
              <w:jc w:val="both"/>
              <w:rPr>
                <w:rFonts w:ascii="Cambria" w:eastAsia="Cambria" w:hAnsi="Cambria" w:cs="Cambria"/>
                <w:color w:val="000000" w:themeColor="text1"/>
                <w:sz w:val="20"/>
                <w:szCs w:val="20"/>
                <w:lang w:val="es-ES"/>
              </w:rPr>
            </w:pPr>
          </w:p>
          <w:p w14:paraId="340C00FD" w14:textId="24BA210A" w:rsidR="0059342F" w:rsidRPr="00F22F03" w:rsidRDefault="0059342F" w:rsidP="614F74A4">
            <w:pPr>
              <w:pBdr>
                <w:top w:val="nil"/>
                <w:left w:val="nil"/>
                <w:bottom w:val="nil"/>
                <w:right w:val="nil"/>
                <w:between w:val="nil"/>
              </w:pBdr>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 xml:space="preserve">Derechos violados: </w:t>
            </w:r>
            <w:r w:rsidR="005F195F" w:rsidRPr="614F74A4">
              <w:rPr>
                <w:rFonts w:ascii="Cambria" w:eastAsia="Cambria" w:hAnsi="Cambria" w:cs="Cambria"/>
                <w:color w:val="000000" w:themeColor="text1"/>
                <w:sz w:val="20"/>
                <w:szCs w:val="20"/>
                <w:lang w:val="es-ES"/>
              </w:rPr>
              <w:t>L</w:t>
            </w:r>
            <w:r w:rsidRPr="614F74A4">
              <w:rPr>
                <w:rFonts w:ascii="Cambria" w:eastAsia="Cambria" w:hAnsi="Cambria" w:cs="Cambria"/>
                <w:color w:val="000000" w:themeColor="text1"/>
                <w:sz w:val="20"/>
                <w:szCs w:val="20"/>
                <w:lang w:val="es-ES"/>
              </w:rPr>
              <w:t>a Comisión concluy</w:t>
            </w:r>
            <w:r w:rsidR="005F195F" w:rsidRPr="614F74A4">
              <w:rPr>
                <w:rFonts w:ascii="Cambria" w:eastAsia="Cambria" w:hAnsi="Cambria" w:cs="Cambria"/>
                <w:color w:val="000000" w:themeColor="text1"/>
                <w:sz w:val="20"/>
                <w:szCs w:val="20"/>
                <w:lang w:val="es-ES"/>
              </w:rPr>
              <w:t>ó</w:t>
            </w:r>
            <w:r w:rsidRPr="614F74A4">
              <w:rPr>
                <w:rFonts w:ascii="Cambria" w:eastAsia="Cambria" w:hAnsi="Cambria" w:cs="Cambria"/>
                <w:color w:val="000000" w:themeColor="text1"/>
                <w:sz w:val="20"/>
                <w:szCs w:val="20"/>
                <w:lang w:val="es-ES"/>
              </w:rPr>
              <w:t xml:space="preserve"> que el Estado de Argentina es responsable por la violación del derecho de defensa, el principio de presunción de inocencia, el derecho de interrogar testigos, el derecho a contar con decisiones debidamente motivadas, el derecho a recurrir el fallo y el derecho a la protección judicial, establecidos en los artículos 8.1, 8.2, 8.2 c), 8.2 f), 8.2 h) y 25.1 de la Convención Americana, en relación con el artículo 1.1 del mismo instrumento, en perjuicio de Marcos Alejandro Martín.</w:t>
            </w:r>
          </w:p>
        </w:tc>
      </w:tr>
    </w:tbl>
    <w:p w14:paraId="3BE1F1FD" w14:textId="77777777" w:rsidR="0059342F" w:rsidRPr="00F22F03" w:rsidRDefault="0059342F" w:rsidP="614F74A4">
      <w:pPr>
        <w:ind w:left="180"/>
        <w:jc w:val="both"/>
        <w:rPr>
          <w:rFonts w:ascii="Cambria" w:eastAsia="Cambria" w:hAnsi="Cambria" w:cs="Cambria"/>
          <w:color w:val="000000" w:themeColor="text1"/>
          <w:sz w:val="20"/>
          <w:szCs w:val="20"/>
          <w:lang w:val="es-ES"/>
        </w:rPr>
      </w:pPr>
    </w:p>
    <w:p w14:paraId="660D3EB1" w14:textId="77777777" w:rsidR="0059342F" w:rsidRPr="00F22F03" w:rsidRDefault="0059342F" w:rsidP="614F74A4">
      <w:pPr>
        <w:numPr>
          <w:ilvl w:val="0"/>
          <w:numId w:val="17"/>
        </w:numPr>
        <w:ind w:left="1440"/>
        <w:jc w:val="both"/>
        <w:rPr>
          <w:rFonts w:ascii="Cambria" w:eastAsia="Cambria" w:hAnsi="Cambria" w:cs="Cambria"/>
          <w:b/>
          <w:bCs/>
          <w:color w:val="000000" w:themeColor="text1"/>
          <w:sz w:val="20"/>
          <w:szCs w:val="20"/>
        </w:rPr>
      </w:pPr>
      <w:r w:rsidRPr="614F74A4">
        <w:rPr>
          <w:rFonts w:ascii="Cambria" w:eastAsia="Cambria" w:hAnsi="Cambria" w:cs="Cambria"/>
          <w:b/>
          <w:bCs/>
          <w:color w:val="000000" w:themeColor="text1"/>
          <w:sz w:val="20"/>
          <w:szCs w:val="20"/>
        </w:rPr>
        <w:t>Recomendaciones</w:t>
      </w:r>
    </w:p>
    <w:p w14:paraId="252AE697" w14:textId="77777777" w:rsidR="0059342F" w:rsidRPr="00F22F03" w:rsidRDefault="0059342F" w:rsidP="614F74A4">
      <w:pPr>
        <w:ind w:left="1080"/>
        <w:jc w:val="both"/>
        <w:rPr>
          <w:rFonts w:ascii="Cambria" w:eastAsia="Cambria" w:hAnsi="Cambria" w:cs="Cambria"/>
          <w:b/>
          <w:bCs/>
          <w:color w:val="000000" w:themeColor="text1"/>
          <w:sz w:val="20"/>
          <w:szCs w:val="20"/>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7"/>
        <w:gridCol w:w="2135"/>
      </w:tblGrid>
      <w:tr w:rsidR="00F22F03" w:rsidRPr="00F22F03" w14:paraId="0745BB99" w14:textId="77777777" w:rsidTr="614F74A4">
        <w:tc>
          <w:tcPr>
            <w:tcW w:w="7197" w:type="dxa"/>
            <w:shd w:val="clear" w:color="auto" w:fill="auto"/>
            <w:vAlign w:val="center"/>
          </w:tcPr>
          <w:p w14:paraId="79DD03F9" w14:textId="77777777" w:rsidR="0059342F" w:rsidRPr="00F22F03" w:rsidRDefault="0059342F" w:rsidP="614F74A4">
            <w:pPr>
              <w:jc w:val="center"/>
              <w:rPr>
                <w:rFonts w:ascii="Cambria" w:eastAsia="Cambria" w:hAnsi="Cambria" w:cs="Cambria"/>
                <w:b/>
                <w:bCs/>
                <w:color w:val="000000" w:themeColor="text1"/>
                <w:sz w:val="18"/>
                <w:szCs w:val="18"/>
              </w:rPr>
            </w:pPr>
            <w:r w:rsidRPr="614F74A4">
              <w:rPr>
                <w:rFonts w:ascii="Cambria" w:eastAsia="Cambria" w:hAnsi="Cambria" w:cs="Cambria"/>
                <w:b/>
                <w:bCs/>
                <w:color w:val="000000" w:themeColor="text1"/>
                <w:sz w:val="18"/>
                <w:szCs w:val="18"/>
              </w:rPr>
              <w:t>Recomendaciones</w:t>
            </w:r>
          </w:p>
        </w:tc>
        <w:tc>
          <w:tcPr>
            <w:tcW w:w="2135" w:type="dxa"/>
            <w:shd w:val="clear" w:color="auto" w:fill="auto"/>
          </w:tcPr>
          <w:p w14:paraId="2EEE4E7C" w14:textId="6C792279" w:rsidR="0059342F" w:rsidRPr="00F22F03" w:rsidRDefault="0059342F" w:rsidP="614F74A4">
            <w:pPr>
              <w:jc w:val="center"/>
              <w:rPr>
                <w:rFonts w:ascii="Cambria" w:eastAsia="Cambria" w:hAnsi="Cambria" w:cs="Cambria"/>
                <w:b/>
                <w:bCs/>
                <w:color w:val="000000" w:themeColor="text1"/>
                <w:sz w:val="18"/>
                <w:szCs w:val="18"/>
              </w:rPr>
            </w:pPr>
            <w:r w:rsidRPr="614F74A4">
              <w:rPr>
                <w:rFonts w:ascii="Cambria" w:eastAsia="Cambria" w:hAnsi="Cambria" w:cs="Cambria"/>
                <w:b/>
                <w:bCs/>
                <w:color w:val="000000" w:themeColor="text1"/>
                <w:sz w:val="18"/>
                <w:szCs w:val="18"/>
              </w:rPr>
              <w:t>Estado de cumplimiento en 202</w:t>
            </w:r>
            <w:r w:rsidR="00F22F03" w:rsidRPr="614F74A4">
              <w:rPr>
                <w:rFonts w:ascii="Cambria" w:eastAsia="Cambria" w:hAnsi="Cambria" w:cs="Cambria"/>
                <w:b/>
                <w:bCs/>
                <w:color w:val="000000" w:themeColor="text1"/>
                <w:sz w:val="18"/>
                <w:szCs w:val="18"/>
              </w:rPr>
              <w:t>2</w:t>
            </w:r>
          </w:p>
        </w:tc>
      </w:tr>
      <w:tr w:rsidR="00F22F03" w:rsidRPr="00F22F03" w14:paraId="4E7D92E4" w14:textId="77777777" w:rsidTr="614F74A4">
        <w:tc>
          <w:tcPr>
            <w:tcW w:w="7197" w:type="dxa"/>
            <w:shd w:val="clear" w:color="auto" w:fill="auto"/>
          </w:tcPr>
          <w:p w14:paraId="193A9A2D" w14:textId="77777777" w:rsidR="0059342F" w:rsidRPr="002D3925" w:rsidRDefault="0059342F" w:rsidP="614F74A4">
            <w:pPr>
              <w:ind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1. Adoptar las medidas necesarias para dejar sin efectos la condena en contra de Marcos Alejandro Martín.</w:t>
            </w:r>
          </w:p>
        </w:tc>
        <w:tc>
          <w:tcPr>
            <w:tcW w:w="2135" w:type="dxa"/>
            <w:shd w:val="clear" w:color="auto" w:fill="auto"/>
            <w:vAlign w:val="center"/>
          </w:tcPr>
          <w:p w14:paraId="78396FA9" w14:textId="5EFC10D1" w:rsidR="0059342F" w:rsidRPr="002D3925" w:rsidRDefault="008D0833" w:rsidP="614F74A4">
            <w:pPr>
              <w:jc w:val="center"/>
              <w:rPr>
                <w:rFonts w:ascii="Cambria" w:eastAsia="Cambria" w:hAnsi="Cambria" w:cs="Cambria"/>
                <w:color w:val="000000" w:themeColor="text1"/>
                <w:sz w:val="18"/>
                <w:szCs w:val="18"/>
              </w:rPr>
            </w:pPr>
            <w:r w:rsidRPr="614F74A4">
              <w:rPr>
                <w:rFonts w:ascii="Cambria" w:eastAsia="Cambria" w:hAnsi="Cambria" w:cs="Cambria"/>
                <w:color w:val="000000" w:themeColor="text1"/>
                <w:sz w:val="18"/>
                <w:szCs w:val="18"/>
              </w:rPr>
              <w:t>Cumplimiento total</w:t>
            </w:r>
          </w:p>
        </w:tc>
      </w:tr>
      <w:tr w:rsidR="00084557" w:rsidRPr="00F22F03" w14:paraId="217D9F43" w14:textId="77777777" w:rsidTr="614F74A4">
        <w:tc>
          <w:tcPr>
            <w:tcW w:w="7197" w:type="dxa"/>
            <w:shd w:val="clear" w:color="auto" w:fill="auto"/>
          </w:tcPr>
          <w:p w14:paraId="42790F44" w14:textId="77777777" w:rsidR="0059342F" w:rsidRPr="002D3925" w:rsidRDefault="0059342F" w:rsidP="614F74A4">
            <w:pPr>
              <w:ind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2. Reparar integralmente las violaciones de derechos humanos declaradas en el presente informe tanto en el aspecto material como inmaterial. Para ello, el Estado deberá adoptar medidas de compensación económica y satisfacción en favor de la víctima.</w:t>
            </w:r>
          </w:p>
        </w:tc>
        <w:tc>
          <w:tcPr>
            <w:tcW w:w="2135" w:type="dxa"/>
            <w:shd w:val="clear" w:color="auto" w:fill="auto"/>
            <w:vAlign w:val="center"/>
          </w:tcPr>
          <w:p w14:paraId="394B86C2" w14:textId="0E734870" w:rsidR="0059342F" w:rsidRPr="002D3925" w:rsidRDefault="008D0833" w:rsidP="614F74A4">
            <w:pPr>
              <w:jc w:val="center"/>
              <w:rPr>
                <w:rFonts w:ascii="Cambria" w:eastAsia="Cambria" w:hAnsi="Cambria" w:cs="Cambria"/>
                <w:color w:val="000000" w:themeColor="text1"/>
                <w:sz w:val="18"/>
                <w:szCs w:val="18"/>
              </w:rPr>
            </w:pPr>
            <w:r w:rsidRPr="614F74A4">
              <w:rPr>
                <w:rFonts w:ascii="Cambria" w:eastAsia="Cambria" w:hAnsi="Cambria" w:cs="Cambria"/>
                <w:color w:val="000000" w:themeColor="text1"/>
                <w:sz w:val="18"/>
                <w:szCs w:val="18"/>
              </w:rPr>
              <w:t>Cumplimiento total</w:t>
            </w:r>
          </w:p>
        </w:tc>
      </w:tr>
      <w:tr w:rsidR="00084557" w:rsidRPr="00084557" w14:paraId="73CD43AF" w14:textId="77777777" w:rsidTr="614F74A4">
        <w:tc>
          <w:tcPr>
            <w:tcW w:w="9332" w:type="dxa"/>
            <w:gridSpan w:val="2"/>
            <w:shd w:val="clear" w:color="auto" w:fill="auto"/>
          </w:tcPr>
          <w:p w14:paraId="39FE81FB" w14:textId="121C7499" w:rsidR="00084557" w:rsidRPr="00084557" w:rsidRDefault="00084557" w:rsidP="614F74A4">
            <w:pPr>
              <w:rPr>
                <w:rFonts w:ascii="Cambria" w:eastAsia="Cambria" w:hAnsi="Cambria" w:cs="Cambria"/>
                <w:b/>
                <w:bCs/>
                <w:color w:val="000000" w:themeColor="text1"/>
                <w:sz w:val="18"/>
                <w:szCs w:val="18"/>
                <w:lang w:val="es-CO"/>
              </w:rPr>
            </w:pPr>
            <w:r w:rsidRPr="614F74A4">
              <w:rPr>
                <w:rFonts w:ascii="Cambria" w:eastAsia="Cambria" w:hAnsi="Cambria" w:cs="Cambria"/>
                <w:b/>
                <w:bCs/>
                <w:color w:val="000000" w:themeColor="text1"/>
                <w:sz w:val="18"/>
                <w:szCs w:val="18"/>
                <w:lang w:val="es-CO"/>
              </w:rPr>
              <w:t>Acuerdo de cumplimiento</w:t>
            </w:r>
          </w:p>
        </w:tc>
      </w:tr>
      <w:tr w:rsidR="00084557" w:rsidRPr="00084557" w14:paraId="3794216D" w14:textId="77777777" w:rsidTr="614F74A4">
        <w:tc>
          <w:tcPr>
            <w:tcW w:w="7197" w:type="dxa"/>
            <w:shd w:val="clear" w:color="auto" w:fill="auto"/>
          </w:tcPr>
          <w:p w14:paraId="72DD1129" w14:textId="77777777" w:rsidR="00CB4B3F" w:rsidRDefault="00CB4B3F" w:rsidP="614F74A4">
            <w:pPr>
              <w:pStyle w:val="ListParagraph"/>
              <w:ind w:left="681" w:right="88"/>
              <w:jc w:val="both"/>
              <w:rPr>
                <w:rFonts w:ascii="Cambria" w:eastAsia="Cambria" w:hAnsi="Cambria" w:cs="Cambria"/>
                <w:color w:val="000000" w:themeColor="text1"/>
                <w:sz w:val="18"/>
                <w:szCs w:val="18"/>
                <w:lang w:val="es-ES"/>
              </w:rPr>
            </w:pPr>
          </w:p>
          <w:p w14:paraId="7CA09976" w14:textId="3DF77821" w:rsidR="00084557" w:rsidRDefault="00084557" w:rsidP="614F74A4">
            <w:pPr>
              <w:pStyle w:val="ListParagraph"/>
              <w:numPr>
                <w:ilvl w:val="0"/>
                <w:numId w:val="26"/>
              </w:numPr>
              <w:ind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Medidas de reparación no pecuniaria</w:t>
            </w:r>
            <w:r w:rsidR="41D97A31" w:rsidRPr="614F74A4">
              <w:rPr>
                <w:rFonts w:ascii="Cambria" w:eastAsia="Cambria" w:hAnsi="Cambria" w:cs="Cambria"/>
                <w:color w:val="000000" w:themeColor="text1"/>
                <w:sz w:val="18"/>
                <w:szCs w:val="18"/>
                <w:lang w:val="es-ES"/>
              </w:rPr>
              <w:t xml:space="preserve">: </w:t>
            </w:r>
          </w:p>
          <w:p w14:paraId="59C85DE8" w14:textId="77777777" w:rsidR="00CB4B3F" w:rsidRDefault="00CB4B3F" w:rsidP="614F74A4">
            <w:pPr>
              <w:pStyle w:val="ListParagraph"/>
              <w:ind w:left="681" w:right="88"/>
              <w:jc w:val="both"/>
              <w:rPr>
                <w:rFonts w:ascii="Cambria" w:eastAsia="Cambria" w:hAnsi="Cambria" w:cs="Cambria"/>
                <w:color w:val="000000" w:themeColor="text1"/>
                <w:sz w:val="18"/>
                <w:szCs w:val="18"/>
                <w:lang w:val="es-ES"/>
              </w:rPr>
            </w:pPr>
          </w:p>
          <w:p w14:paraId="67240EF9" w14:textId="6D5F447D" w:rsidR="00084557" w:rsidRDefault="00084557" w:rsidP="614F74A4">
            <w:pPr>
              <w:pStyle w:val="ListParagraph"/>
              <w:numPr>
                <w:ilvl w:val="3"/>
                <w:numId w:val="17"/>
              </w:numPr>
              <w:ind w:left="321"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 xml:space="preserve">El Estado argentino se compromete a dar publicidad al presente acuerdo en el “Boletín Oficial de la República Argentina” y en un diario de alcance nacional mediante una gacetilla de prensa, cuyo texto será consensuado previamente con el peticionario y sus representantes. </w:t>
            </w:r>
          </w:p>
          <w:p w14:paraId="0834A4BC" w14:textId="5CA7F86B" w:rsidR="00CB4B3F" w:rsidRPr="00084557" w:rsidRDefault="00CB4B3F" w:rsidP="614F74A4">
            <w:pPr>
              <w:pStyle w:val="ListParagraph"/>
              <w:ind w:left="321" w:right="88"/>
              <w:jc w:val="both"/>
              <w:rPr>
                <w:rFonts w:ascii="Cambria" w:eastAsia="Cambria" w:hAnsi="Cambria" w:cs="Cambria"/>
                <w:color w:val="000000" w:themeColor="text1"/>
                <w:sz w:val="18"/>
                <w:szCs w:val="18"/>
                <w:lang w:val="es-ES"/>
              </w:rPr>
            </w:pPr>
          </w:p>
        </w:tc>
        <w:tc>
          <w:tcPr>
            <w:tcW w:w="2135" w:type="dxa"/>
            <w:shd w:val="clear" w:color="auto" w:fill="auto"/>
            <w:vAlign w:val="center"/>
          </w:tcPr>
          <w:p w14:paraId="66A08827" w14:textId="3468323B" w:rsidR="00084557" w:rsidRPr="00084557" w:rsidRDefault="41D97A31" w:rsidP="614F74A4">
            <w:pPr>
              <w:jc w:val="center"/>
              <w:rPr>
                <w:rFonts w:ascii="Cambria" w:eastAsia="Cambria" w:hAnsi="Cambria" w:cs="Cambria"/>
                <w:color w:val="000000" w:themeColor="text1"/>
                <w:sz w:val="18"/>
                <w:szCs w:val="18"/>
                <w:lang w:val="es-CO"/>
              </w:rPr>
            </w:pPr>
            <w:r w:rsidRPr="614F74A4">
              <w:rPr>
                <w:rFonts w:ascii="Cambria" w:eastAsia="Cambria" w:hAnsi="Cambria" w:cs="Cambria"/>
                <w:color w:val="000000" w:themeColor="text1"/>
                <w:sz w:val="18"/>
                <w:szCs w:val="18"/>
              </w:rPr>
              <w:t>Cumplimiento total</w:t>
            </w:r>
            <w:r w:rsidR="006819E6" w:rsidRPr="614F74A4">
              <w:rPr>
                <w:rStyle w:val="FootnoteReference"/>
                <w:rFonts w:ascii="Cambria" w:eastAsia="Cambria" w:hAnsi="Cambria" w:cs="Cambria"/>
                <w:color w:val="000000" w:themeColor="text1"/>
                <w:sz w:val="18"/>
                <w:szCs w:val="18"/>
              </w:rPr>
              <w:footnoteReference w:id="1"/>
            </w:r>
          </w:p>
        </w:tc>
      </w:tr>
      <w:tr w:rsidR="00DE1365" w:rsidRPr="00084557" w14:paraId="26D6AC46" w14:textId="77777777" w:rsidTr="614F74A4">
        <w:tc>
          <w:tcPr>
            <w:tcW w:w="7197" w:type="dxa"/>
            <w:shd w:val="clear" w:color="auto" w:fill="auto"/>
          </w:tcPr>
          <w:p w14:paraId="5FBF6FB1" w14:textId="77777777" w:rsidR="00DE1365" w:rsidRDefault="00DE1365" w:rsidP="614F74A4">
            <w:pPr>
              <w:pStyle w:val="ListParagraph"/>
              <w:ind w:left="681" w:right="88"/>
              <w:jc w:val="both"/>
              <w:rPr>
                <w:rFonts w:ascii="Cambria" w:eastAsia="Cambria" w:hAnsi="Cambria" w:cs="Cambria"/>
                <w:color w:val="000000" w:themeColor="text1"/>
                <w:sz w:val="18"/>
                <w:szCs w:val="18"/>
                <w:lang w:val="es-ES"/>
              </w:rPr>
            </w:pPr>
          </w:p>
          <w:p w14:paraId="5F61970B" w14:textId="39146DA7" w:rsidR="00DE1365" w:rsidRDefault="7DA75C83" w:rsidP="614F74A4">
            <w:pPr>
              <w:pStyle w:val="ListParagraph"/>
              <w:numPr>
                <w:ilvl w:val="0"/>
                <w:numId w:val="29"/>
              </w:numPr>
              <w:ind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 xml:space="preserve">Medidas de reparación no pecuniaria: </w:t>
            </w:r>
          </w:p>
          <w:p w14:paraId="2844C6C1" w14:textId="77777777" w:rsidR="00DE1365" w:rsidRDefault="00DE1365" w:rsidP="614F74A4">
            <w:pPr>
              <w:pStyle w:val="ListParagraph"/>
              <w:ind w:left="321" w:right="88"/>
              <w:jc w:val="both"/>
              <w:rPr>
                <w:rFonts w:ascii="Cambria" w:eastAsia="Cambria" w:hAnsi="Cambria" w:cs="Cambria"/>
                <w:color w:val="000000" w:themeColor="text1"/>
                <w:sz w:val="18"/>
                <w:szCs w:val="18"/>
                <w:lang w:val="es-ES"/>
              </w:rPr>
            </w:pPr>
          </w:p>
          <w:p w14:paraId="718993F5" w14:textId="43D8A6F6" w:rsidR="00DE1365" w:rsidRDefault="7DA75C83" w:rsidP="614F74A4">
            <w:pPr>
              <w:pStyle w:val="ListParagraph"/>
              <w:numPr>
                <w:ilvl w:val="3"/>
                <w:numId w:val="17"/>
              </w:numPr>
              <w:ind w:left="321"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El Estado se compromete a poner en conocimiento de las autoridades judiciales que intervinieron en el caso, lo conclui</w:t>
            </w:r>
            <w:r w:rsidR="1B0DF4A9" w:rsidRPr="614F74A4">
              <w:rPr>
                <w:rFonts w:ascii="Cambria" w:eastAsia="Cambria" w:hAnsi="Cambria" w:cs="Cambria"/>
                <w:color w:val="000000" w:themeColor="text1"/>
                <w:sz w:val="18"/>
                <w:szCs w:val="18"/>
                <w:lang w:val="es-ES"/>
              </w:rPr>
              <w:t>do</w:t>
            </w:r>
            <w:r w:rsidRPr="614F74A4">
              <w:rPr>
                <w:rFonts w:ascii="Cambria" w:eastAsia="Cambria" w:hAnsi="Cambria" w:cs="Cambria"/>
                <w:color w:val="000000" w:themeColor="text1"/>
                <w:sz w:val="18"/>
                <w:szCs w:val="18"/>
                <w:lang w:val="es-ES"/>
              </w:rPr>
              <w:t xml:space="preserve"> por la CIDH respecto del proceso seguido contra el señor Marcos Alejandro Martín.</w:t>
            </w:r>
          </w:p>
          <w:p w14:paraId="77B3241F" w14:textId="77777777" w:rsidR="00DE1365" w:rsidRPr="00DE1365" w:rsidRDefault="00DE1365" w:rsidP="614F74A4">
            <w:pPr>
              <w:ind w:right="88"/>
              <w:jc w:val="both"/>
              <w:rPr>
                <w:rFonts w:ascii="Cambria" w:eastAsia="Cambria" w:hAnsi="Cambria" w:cs="Cambria"/>
                <w:color w:val="000000" w:themeColor="text1"/>
                <w:sz w:val="18"/>
                <w:szCs w:val="18"/>
                <w:lang w:val="es-ES"/>
              </w:rPr>
            </w:pPr>
          </w:p>
        </w:tc>
        <w:tc>
          <w:tcPr>
            <w:tcW w:w="2135" w:type="dxa"/>
            <w:shd w:val="clear" w:color="auto" w:fill="auto"/>
            <w:vAlign w:val="center"/>
          </w:tcPr>
          <w:p w14:paraId="0440104F" w14:textId="77777777" w:rsidR="00DE1365" w:rsidRDefault="00DE1365" w:rsidP="614F74A4">
            <w:pPr>
              <w:jc w:val="center"/>
              <w:rPr>
                <w:rFonts w:ascii="Cambria" w:eastAsia="Cambria" w:hAnsi="Cambria" w:cs="Cambria"/>
                <w:color w:val="000000" w:themeColor="text1"/>
                <w:sz w:val="18"/>
                <w:szCs w:val="18"/>
                <w:lang w:val="es-CO"/>
              </w:rPr>
            </w:pPr>
          </w:p>
          <w:p w14:paraId="6C6171AB" w14:textId="77777777" w:rsidR="006819E6" w:rsidRDefault="006819E6" w:rsidP="614F74A4">
            <w:pPr>
              <w:jc w:val="center"/>
              <w:rPr>
                <w:rFonts w:ascii="Cambria" w:eastAsia="Cambria" w:hAnsi="Cambria" w:cs="Cambria"/>
                <w:color w:val="000000" w:themeColor="text1"/>
                <w:sz w:val="18"/>
                <w:szCs w:val="18"/>
                <w:lang w:val="es-CO"/>
              </w:rPr>
            </w:pPr>
          </w:p>
          <w:p w14:paraId="2E7DB006" w14:textId="6989F3F8" w:rsidR="006819E6" w:rsidRPr="00DE1365" w:rsidRDefault="1B0DF4A9" w:rsidP="614F74A4">
            <w:pPr>
              <w:jc w:val="center"/>
              <w:rPr>
                <w:rFonts w:ascii="Cambria" w:eastAsia="Cambria" w:hAnsi="Cambria" w:cs="Cambria"/>
                <w:color w:val="000000" w:themeColor="text1"/>
                <w:sz w:val="18"/>
                <w:szCs w:val="18"/>
                <w:lang w:val="es-CO"/>
              </w:rPr>
            </w:pPr>
            <w:r w:rsidRPr="614F74A4">
              <w:rPr>
                <w:rFonts w:ascii="Cambria" w:eastAsia="Cambria" w:hAnsi="Cambria" w:cs="Cambria"/>
                <w:color w:val="000000" w:themeColor="text1"/>
                <w:sz w:val="18"/>
                <w:szCs w:val="18"/>
                <w:lang w:val="es-CO"/>
              </w:rPr>
              <w:t>Cumplimiento total</w:t>
            </w:r>
          </w:p>
        </w:tc>
      </w:tr>
      <w:tr w:rsidR="00DE1365" w:rsidRPr="00084557" w14:paraId="3FCD8463" w14:textId="77777777" w:rsidTr="614F74A4">
        <w:tc>
          <w:tcPr>
            <w:tcW w:w="7197" w:type="dxa"/>
            <w:shd w:val="clear" w:color="auto" w:fill="auto"/>
          </w:tcPr>
          <w:p w14:paraId="1E91750D" w14:textId="552B31B5" w:rsidR="00DE1365" w:rsidRDefault="00DE1365" w:rsidP="614F74A4">
            <w:pPr>
              <w:pStyle w:val="ListParagraph"/>
              <w:ind w:left="321" w:right="88"/>
              <w:jc w:val="both"/>
              <w:rPr>
                <w:rFonts w:ascii="Cambria" w:eastAsia="Cambria" w:hAnsi="Cambria" w:cs="Cambria"/>
                <w:color w:val="000000" w:themeColor="text1"/>
                <w:sz w:val="18"/>
                <w:szCs w:val="18"/>
                <w:lang w:val="es-ES"/>
              </w:rPr>
            </w:pPr>
          </w:p>
          <w:p w14:paraId="38A447AB" w14:textId="77777777" w:rsidR="00DE1365" w:rsidRDefault="7DA75C83" w:rsidP="614F74A4">
            <w:pPr>
              <w:pStyle w:val="ListParagraph"/>
              <w:numPr>
                <w:ilvl w:val="0"/>
                <w:numId w:val="30"/>
              </w:numPr>
              <w:ind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 xml:space="preserve">Medidas de reparación no pecuniaria: </w:t>
            </w:r>
          </w:p>
          <w:p w14:paraId="4C05112A" w14:textId="77777777" w:rsidR="00DE1365" w:rsidRPr="00DE1365" w:rsidRDefault="00DE1365" w:rsidP="614F74A4">
            <w:pPr>
              <w:rPr>
                <w:rFonts w:ascii="Cambria" w:eastAsia="Cambria" w:hAnsi="Cambria" w:cs="Cambria"/>
                <w:color w:val="000000" w:themeColor="text1"/>
                <w:sz w:val="18"/>
                <w:szCs w:val="18"/>
                <w:lang w:val="es-ES"/>
              </w:rPr>
            </w:pPr>
          </w:p>
          <w:p w14:paraId="7970455B" w14:textId="77777777" w:rsidR="00DE1365" w:rsidRDefault="7DA75C83" w:rsidP="614F74A4">
            <w:pPr>
              <w:pStyle w:val="ListParagraph"/>
              <w:numPr>
                <w:ilvl w:val="3"/>
                <w:numId w:val="17"/>
              </w:numPr>
              <w:ind w:left="321"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 xml:space="preserve">El Estado se compromete a, en caso de ser su voluntad, prestar asistencia médica y/o psicológica al señor Marcos Alejandro Martín y a adoptar medidas de reinserción social en el ámbito educativo y/o de capacitación formal en el radio geográfico de la ciudad autónoma de Buenos Aires y/o del Gran Buenos Aires. </w:t>
            </w:r>
          </w:p>
          <w:p w14:paraId="7D19E98E" w14:textId="77777777" w:rsidR="00DE1365" w:rsidRPr="00DE1365" w:rsidRDefault="00DE1365" w:rsidP="614F74A4">
            <w:pPr>
              <w:ind w:right="88"/>
              <w:jc w:val="both"/>
              <w:rPr>
                <w:rFonts w:ascii="Cambria" w:eastAsia="Cambria" w:hAnsi="Cambria" w:cs="Cambria"/>
                <w:color w:val="000000" w:themeColor="text1"/>
                <w:sz w:val="18"/>
                <w:szCs w:val="18"/>
                <w:lang w:val="es-ES"/>
              </w:rPr>
            </w:pPr>
          </w:p>
        </w:tc>
        <w:tc>
          <w:tcPr>
            <w:tcW w:w="2135" w:type="dxa"/>
            <w:shd w:val="clear" w:color="auto" w:fill="auto"/>
            <w:vAlign w:val="center"/>
          </w:tcPr>
          <w:p w14:paraId="6621F554" w14:textId="6A52076B" w:rsidR="00DE1365" w:rsidRPr="00DE1365" w:rsidRDefault="1B0DF4A9" w:rsidP="614F74A4">
            <w:pPr>
              <w:jc w:val="center"/>
              <w:rPr>
                <w:rFonts w:ascii="Cambria" w:eastAsia="Cambria" w:hAnsi="Cambria" w:cs="Cambria"/>
                <w:color w:val="000000" w:themeColor="text1"/>
                <w:sz w:val="18"/>
                <w:szCs w:val="18"/>
                <w:lang w:val="es-CO"/>
              </w:rPr>
            </w:pPr>
            <w:r w:rsidRPr="614F74A4">
              <w:rPr>
                <w:rFonts w:ascii="Cambria" w:eastAsia="Cambria" w:hAnsi="Cambria" w:cs="Cambria"/>
                <w:color w:val="000000" w:themeColor="text1"/>
                <w:sz w:val="18"/>
                <w:szCs w:val="18"/>
                <w:lang w:val="es-CO"/>
              </w:rPr>
              <w:t>Cumplimiento total</w:t>
            </w:r>
          </w:p>
        </w:tc>
      </w:tr>
      <w:tr w:rsidR="00DE1365" w:rsidRPr="00084557" w14:paraId="4A1D1C7D" w14:textId="77777777" w:rsidTr="614F74A4">
        <w:tc>
          <w:tcPr>
            <w:tcW w:w="7197" w:type="dxa"/>
            <w:shd w:val="clear" w:color="auto" w:fill="auto"/>
          </w:tcPr>
          <w:p w14:paraId="1B701B9F" w14:textId="77777777" w:rsidR="00DE1365" w:rsidRPr="00DE1365" w:rsidRDefault="00DE1365" w:rsidP="614F74A4">
            <w:pPr>
              <w:pStyle w:val="ListParagraph"/>
              <w:ind w:left="321" w:right="88"/>
              <w:jc w:val="both"/>
              <w:rPr>
                <w:rFonts w:ascii="Cambria" w:eastAsia="Cambria" w:hAnsi="Cambria" w:cs="Cambria"/>
                <w:color w:val="000000" w:themeColor="text1"/>
                <w:sz w:val="18"/>
                <w:szCs w:val="18"/>
                <w:lang w:val="es-ES"/>
              </w:rPr>
            </w:pPr>
          </w:p>
          <w:p w14:paraId="180F918C" w14:textId="77777777" w:rsidR="00DE1365" w:rsidRPr="00DE1365" w:rsidRDefault="7DA75C83" w:rsidP="614F74A4">
            <w:pPr>
              <w:pStyle w:val="ListParagraph"/>
              <w:numPr>
                <w:ilvl w:val="0"/>
                <w:numId w:val="31"/>
              </w:numPr>
              <w:ind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 xml:space="preserve">Medidas de reparación no pecuniaria: </w:t>
            </w:r>
          </w:p>
          <w:p w14:paraId="2E93CB88" w14:textId="77777777" w:rsidR="00DE1365" w:rsidRPr="00DE1365" w:rsidRDefault="00DE1365" w:rsidP="614F74A4">
            <w:pPr>
              <w:rPr>
                <w:rFonts w:ascii="Cambria" w:eastAsia="Cambria" w:hAnsi="Cambria" w:cs="Cambria"/>
                <w:color w:val="000000" w:themeColor="text1"/>
                <w:sz w:val="18"/>
                <w:szCs w:val="18"/>
                <w:lang w:val="es-ES"/>
              </w:rPr>
            </w:pPr>
          </w:p>
          <w:p w14:paraId="76F3E483" w14:textId="77777777" w:rsidR="00DE1365" w:rsidRPr="00DE1365" w:rsidRDefault="7DA75C83" w:rsidP="614F74A4">
            <w:pPr>
              <w:pStyle w:val="ListParagraph"/>
              <w:numPr>
                <w:ilvl w:val="3"/>
                <w:numId w:val="17"/>
              </w:numPr>
              <w:ind w:left="321"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No obstante haber sido informado por el Juzgado interviniente que la caducidad del registro de la pena impuesta a Marcos Alejandro Martín operó el 29 de agosto de 2013 y que ni el Registro Federal de Reincidencia ni la Policía Federal Argentina informan dicha condena, por lo que la sentencia emitida en su oportunidad carece de efectos en la actualidad, el Estado se compromete a comunicar dicha circunstancia y la existencia del informe art. 51 de la CIDH que adopte la CIDH en el presente caso, a todos los juzgados que indique el peticionario.</w:t>
            </w:r>
          </w:p>
          <w:p w14:paraId="0D781DE2" w14:textId="77777777" w:rsidR="00DE1365" w:rsidRPr="00DE1365" w:rsidRDefault="00DE1365" w:rsidP="614F74A4">
            <w:pPr>
              <w:pStyle w:val="ListParagraph"/>
              <w:ind w:left="681" w:right="88"/>
              <w:jc w:val="both"/>
              <w:rPr>
                <w:rFonts w:ascii="Cambria" w:eastAsia="Cambria" w:hAnsi="Cambria" w:cs="Cambria"/>
                <w:color w:val="000000" w:themeColor="text1"/>
                <w:sz w:val="18"/>
                <w:szCs w:val="18"/>
                <w:lang w:val="es-ES"/>
              </w:rPr>
            </w:pPr>
          </w:p>
        </w:tc>
        <w:tc>
          <w:tcPr>
            <w:tcW w:w="2135" w:type="dxa"/>
            <w:shd w:val="clear" w:color="auto" w:fill="auto"/>
            <w:vAlign w:val="center"/>
          </w:tcPr>
          <w:p w14:paraId="541F26B7" w14:textId="706AF528" w:rsidR="00DE1365" w:rsidRPr="00DE1365" w:rsidRDefault="1B0DF4A9" w:rsidP="614F74A4">
            <w:pPr>
              <w:jc w:val="center"/>
              <w:rPr>
                <w:rFonts w:ascii="Cambria" w:eastAsia="Cambria" w:hAnsi="Cambria" w:cs="Cambria"/>
                <w:color w:val="000000" w:themeColor="text1"/>
                <w:sz w:val="18"/>
                <w:szCs w:val="18"/>
                <w:lang w:val="es-CO"/>
              </w:rPr>
            </w:pPr>
            <w:r w:rsidRPr="614F74A4">
              <w:rPr>
                <w:rFonts w:ascii="Cambria" w:eastAsia="Cambria" w:hAnsi="Cambria" w:cs="Cambria"/>
                <w:color w:val="000000" w:themeColor="text1"/>
                <w:sz w:val="18"/>
                <w:szCs w:val="18"/>
                <w:lang w:val="es-CO"/>
              </w:rPr>
              <w:t>Cumplimiento total</w:t>
            </w:r>
          </w:p>
        </w:tc>
      </w:tr>
      <w:tr w:rsidR="00084557" w:rsidRPr="00084557" w14:paraId="6A53F330" w14:textId="77777777" w:rsidTr="614F74A4">
        <w:tc>
          <w:tcPr>
            <w:tcW w:w="7197" w:type="dxa"/>
            <w:shd w:val="clear" w:color="auto" w:fill="auto"/>
          </w:tcPr>
          <w:p w14:paraId="4EDA7DB4" w14:textId="09034459" w:rsidR="00CB4B3F" w:rsidRPr="00DE1365" w:rsidRDefault="41D97A31" w:rsidP="614F74A4">
            <w:pPr>
              <w:pStyle w:val="ListParagraph"/>
              <w:numPr>
                <w:ilvl w:val="0"/>
                <w:numId w:val="31"/>
              </w:numPr>
              <w:ind w:right="88"/>
              <w:jc w:val="both"/>
              <w:rPr>
                <w:rFonts w:ascii="Cambria" w:eastAsia="Cambria" w:hAnsi="Cambria" w:cs="Cambria"/>
                <w:color w:val="000000" w:themeColor="text1"/>
                <w:sz w:val="18"/>
                <w:szCs w:val="18"/>
                <w:lang w:val="es-ES"/>
              </w:rPr>
            </w:pPr>
            <w:r w:rsidRPr="614F74A4">
              <w:rPr>
                <w:rFonts w:ascii="Cambria" w:eastAsia="Cambria" w:hAnsi="Cambria" w:cs="Cambria"/>
                <w:color w:val="000000" w:themeColor="text1"/>
                <w:sz w:val="18"/>
                <w:szCs w:val="18"/>
                <w:lang w:val="es-ES"/>
              </w:rPr>
              <w:t xml:space="preserve">Medidas de reparación pecuniaria: </w:t>
            </w:r>
          </w:p>
          <w:p w14:paraId="55D499D7" w14:textId="77777777" w:rsidR="00DE1365" w:rsidRPr="00DE1365" w:rsidRDefault="00DE1365" w:rsidP="614F74A4">
            <w:pPr>
              <w:spacing w:after="160" w:line="259" w:lineRule="auto"/>
              <w:jc w:val="both"/>
              <w:rPr>
                <w:rFonts w:ascii="Cambria" w:hAnsi="Cambria"/>
                <w:color w:val="000000" w:themeColor="text1"/>
                <w:sz w:val="18"/>
                <w:szCs w:val="18"/>
                <w:lang w:val="es-ES"/>
              </w:rPr>
            </w:pPr>
          </w:p>
          <w:p w14:paraId="1FACB9DA" w14:textId="1634BE1D" w:rsidR="00DE1365" w:rsidRPr="00DE1365" w:rsidRDefault="7DA75C83" w:rsidP="614F74A4">
            <w:pPr>
              <w:pStyle w:val="ListParagraph"/>
              <w:numPr>
                <w:ilvl w:val="6"/>
                <w:numId w:val="31"/>
              </w:numPr>
              <w:spacing w:after="160" w:line="259" w:lineRule="auto"/>
              <w:ind w:left="325" w:hanging="325"/>
              <w:jc w:val="both"/>
              <w:rPr>
                <w:rFonts w:ascii="Cambria" w:hAnsi="Cambria"/>
                <w:color w:val="000000" w:themeColor="text1"/>
                <w:sz w:val="18"/>
                <w:szCs w:val="18"/>
                <w:lang w:val="es-CO"/>
              </w:rPr>
            </w:pPr>
            <w:r w:rsidRPr="614F74A4">
              <w:rPr>
                <w:rFonts w:ascii="Cambria" w:hAnsi="Cambria"/>
                <w:color w:val="000000" w:themeColor="text1"/>
                <w:sz w:val="18"/>
                <w:szCs w:val="18"/>
                <w:lang w:val="es-MX"/>
              </w:rPr>
              <w:t xml:space="preserve">Las partes convienen constituir un </w:t>
            </w:r>
            <w:r w:rsidR="390C613D" w:rsidRPr="614F74A4">
              <w:rPr>
                <w:rFonts w:ascii="Cambria" w:hAnsi="Cambria"/>
                <w:color w:val="000000" w:themeColor="text1"/>
                <w:sz w:val="18"/>
                <w:szCs w:val="18"/>
                <w:lang w:val="es-MX"/>
              </w:rPr>
              <w:t>T</w:t>
            </w:r>
            <w:r w:rsidRPr="614F74A4">
              <w:rPr>
                <w:rFonts w:ascii="Cambria" w:hAnsi="Cambria"/>
                <w:color w:val="000000" w:themeColor="text1"/>
                <w:sz w:val="18"/>
                <w:szCs w:val="18"/>
                <w:lang w:val="es-MX"/>
              </w:rPr>
              <w:t xml:space="preserve">ribunal </w:t>
            </w:r>
            <w:r w:rsidR="390C613D" w:rsidRPr="614F74A4">
              <w:rPr>
                <w:rFonts w:ascii="Cambria" w:hAnsi="Cambria"/>
                <w:color w:val="000000" w:themeColor="text1"/>
                <w:sz w:val="18"/>
                <w:szCs w:val="18"/>
                <w:lang w:val="es-MX"/>
              </w:rPr>
              <w:t>A</w:t>
            </w:r>
            <w:r w:rsidRPr="614F74A4">
              <w:rPr>
                <w:rFonts w:ascii="Cambria" w:hAnsi="Cambria"/>
                <w:color w:val="000000" w:themeColor="text1"/>
                <w:sz w:val="18"/>
                <w:szCs w:val="18"/>
                <w:lang w:val="es-MX"/>
              </w:rPr>
              <w:t xml:space="preserve">rbitral </w:t>
            </w:r>
            <w:r w:rsidRPr="614F74A4">
              <w:rPr>
                <w:rFonts w:ascii="Cambria" w:hAnsi="Cambria"/>
                <w:i/>
                <w:iCs/>
                <w:color w:val="000000" w:themeColor="text1"/>
                <w:sz w:val="18"/>
                <w:szCs w:val="18"/>
                <w:lang w:val="es-MX"/>
              </w:rPr>
              <w:t>ad hoc</w:t>
            </w:r>
            <w:r w:rsidR="390C613D" w:rsidRPr="614F74A4">
              <w:rPr>
                <w:rFonts w:ascii="Cambria" w:hAnsi="Cambria"/>
                <w:i/>
                <w:iCs/>
                <w:color w:val="000000" w:themeColor="text1"/>
                <w:sz w:val="18"/>
                <w:szCs w:val="18"/>
                <w:lang w:val="es-MX"/>
              </w:rPr>
              <w:t>,</w:t>
            </w:r>
            <w:r w:rsidRPr="614F74A4">
              <w:rPr>
                <w:rFonts w:ascii="Cambria" w:hAnsi="Cambria"/>
                <w:color w:val="000000" w:themeColor="text1"/>
                <w:sz w:val="18"/>
                <w:szCs w:val="18"/>
                <w:lang w:val="es-MX"/>
              </w:rPr>
              <w:t xml:space="preserve"> a efectos que determin</w:t>
            </w:r>
            <w:r w:rsidR="390C613D" w:rsidRPr="614F74A4">
              <w:rPr>
                <w:rFonts w:ascii="Cambria" w:hAnsi="Cambria"/>
                <w:color w:val="000000" w:themeColor="text1"/>
                <w:sz w:val="18"/>
                <w:szCs w:val="18"/>
                <w:lang w:val="es-MX"/>
              </w:rPr>
              <w:t>e</w:t>
            </w:r>
            <w:r w:rsidRPr="614F74A4">
              <w:rPr>
                <w:rFonts w:ascii="Cambria" w:hAnsi="Cambria"/>
                <w:color w:val="000000" w:themeColor="text1"/>
                <w:sz w:val="18"/>
                <w:szCs w:val="18"/>
                <w:lang w:val="es-MX"/>
              </w:rPr>
              <w:t xml:space="preserve"> el monto de las reparaciones pecuniarias debidas al peticionario, conforme a los derechos cuya violación ha sido declarada por la </w:t>
            </w:r>
            <w:r w:rsidR="390C613D" w:rsidRPr="614F74A4">
              <w:rPr>
                <w:rFonts w:ascii="Cambria" w:hAnsi="Cambria"/>
                <w:color w:val="000000" w:themeColor="text1"/>
                <w:sz w:val="18"/>
                <w:szCs w:val="18"/>
                <w:lang w:val="es-MX"/>
              </w:rPr>
              <w:t>CIDH,</w:t>
            </w:r>
            <w:r w:rsidRPr="614F74A4">
              <w:rPr>
                <w:rFonts w:ascii="Cambria" w:hAnsi="Cambria"/>
                <w:color w:val="000000" w:themeColor="text1"/>
                <w:sz w:val="18"/>
                <w:szCs w:val="18"/>
                <w:lang w:val="es-MX"/>
              </w:rPr>
              <w:t xml:space="preserve"> de acuerdo con los estándares internacionales que sean aplicables sobre la base de los términos establecidos en el informe de la </w:t>
            </w:r>
            <w:r w:rsidR="390C613D" w:rsidRPr="614F74A4">
              <w:rPr>
                <w:rFonts w:ascii="Cambria" w:hAnsi="Cambria"/>
                <w:color w:val="000000" w:themeColor="text1"/>
                <w:sz w:val="18"/>
                <w:szCs w:val="18"/>
                <w:lang w:val="es-MX"/>
              </w:rPr>
              <w:t>CIDH No. 95/17</w:t>
            </w:r>
            <w:r w:rsidRPr="614F74A4">
              <w:rPr>
                <w:rFonts w:ascii="Cambria" w:hAnsi="Cambria"/>
                <w:color w:val="000000" w:themeColor="text1"/>
                <w:sz w:val="18"/>
                <w:szCs w:val="18"/>
                <w:lang w:val="es-MX"/>
              </w:rPr>
              <w:t>.</w:t>
            </w:r>
          </w:p>
          <w:p w14:paraId="6841FFA8" w14:textId="41C302D1" w:rsidR="00DE1365" w:rsidRPr="00DE1365" w:rsidRDefault="390C613D" w:rsidP="614F74A4">
            <w:pPr>
              <w:pStyle w:val="ListParagraph"/>
              <w:numPr>
                <w:ilvl w:val="6"/>
                <w:numId w:val="31"/>
              </w:numPr>
              <w:spacing w:after="160" w:line="259" w:lineRule="auto"/>
              <w:ind w:left="325" w:hanging="325"/>
              <w:jc w:val="both"/>
              <w:rPr>
                <w:rFonts w:ascii="Cambria" w:hAnsi="Cambria"/>
                <w:color w:val="000000" w:themeColor="text1"/>
                <w:sz w:val="18"/>
                <w:szCs w:val="18"/>
                <w:lang w:val="es-CO"/>
              </w:rPr>
            </w:pPr>
            <w:r w:rsidRPr="614F74A4">
              <w:rPr>
                <w:rFonts w:ascii="Cambria" w:hAnsi="Cambria"/>
                <w:color w:val="000000" w:themeColor="text1"/>
                <w:sz w:val="18"/>
                <w:szCs w:val="18"/>
                <w:lang w:val="es-CO"/>
              </w:rPr>
              <w:t>E</w:t>
            </w:r>
            <w:r w:rsidR="7DA75C83" w:rsidRPr="614F74A4">
              <w:rPr>
                <w:rFonts w:ascii="Cambria" w:hAnsi="Cambria"/>
                <w:color w:val="000000" w:themeColor="text1"/>
                <w:sz w:val="18"/>
                <w:szCs w:val="18"/>
                <w:lang w:val="es-MX"/>
              </w:rPr>
              <w:t>l tribunal estará integrado por 3 expertos independientes</w:t>
            </w:r>
            <w:r w:rsidRPr="614F74A4">
              <w:rPr>
                <w:rFonts w:ascii="Cambria" w:hAnsi="Cambria"/>
                <w:color w:val="000000" w:themeColor="text1"/>
                <w:sz w:val="18"/>
                <w:szCs w:val="18"/>
                <w:lang w:val="es-MX"/>
              </w:rPr>
              <w:t>,</w:t>
            </w:r>
            <w:r w:rsidR="7DA75C83" w:rsidRPr="614F74A4">
              <w:rPr>
                <w:rFonts w:ascii="Cambria" w:hAnsi="Cambria"/>
                <w:color w:val="000000" w:themeColor="text1"/>
                <w:sz w:val="18"/>
                <w:szCs w:val="18"/>
                <w:lang w:val="es-MX"/>
              </w:rPr>
              <w:t xml:space="preserve"> de reconocida versación en materia de derechos humanos y alta calidad moral</w:t>
            </w:r>
            <w:r w:rsidRPr="614F74A4">
              <w:rPr>
                <w:rFonts w:ascii="Cambria" w:hAnsi="Cambria"/>
                <w:color w:val="000000" w:themeColor="text1"/>
                <w:sz w:val="18"/>
                <w:szCs w:val="18"/>
                <w:lang w:val="es-MX"/>
              </w:rPr>
              <w:t>,</w:t>
            </w:r>
            <w:r w:rsidR="7DA75C83" w:rsidRPr="614F74A4">
              <w:rPr>
                <w:rFonts w:ascii="Cambria" w:hAnsi="Cambria"/>
                <w:color w:val="000000" w:themeColor="text1"/>
                <w:sz w:val="18"/>
                <w:szCs w:val="18"/>
                <w:lang w:val="es-MX"/>
              </w:rPr>
              <w:t xml:space="preserve"> uno designado a propuesta del peticionario</w:t>
            </w:r>
            <w:r w:rsidRPr="614F74A4">
              <w:rPr>
                <w:rFonts w:ascii="Cambria" w:hAnsi="Cambria"/>
                <w:color w:val="000000" w:themeColor="text1"/>
                <w:sz w:val="18"/>
                <w:szCs w:val="18"/>
                <w:lang w:val="es-MX"/>
              </w:rPr>
              <w:t>,</w:t>
            </w:r>
            <w:r w:rsidR="7DA75C83" w:rsidRPr="614F74A4">
              <w:rPr>
                <w:rFonts w:ascii="Cambria" w:hAnsi="Cambria"/>
                <w:color w:val="000000" w:themeColor="text1"/>
                <w:sz w:val="18"/>
                <w:szCs w:val="18"/>
                <w:lang w:val="es-MX"/>
              </w:rPr>
              <w:t xml:space="preserve"> el segundo a propuesta del </w:t>
            </w:r>
            <w:r w:rsidRPr="614F74A4">
              <w:rPr>
                <w:rFonts w:ascii="Cambria" w:hAnsi="Cambria"/>
                <w:color w:val="000000" w:themeColor="text1"/>
                <w:sz w:val="18"/>
                <w:szCs w:val="18"/>
                <w:lang w:val="es-MX"/>
              </w:rPr>
              <w:t>E</w:t>
            </w:r>
            <w:r w:rsidR="7DA75C83" w:rsidRPr="614F74A4">
              <w:rPr>
                <w:rFonts w:ascii="Cambria" w:hAnsi="Cambria"/>
                <w:color w:val="000000" w:themeColor="text1"/>
                <w:sz w:val="18"/>
                <w:szCs w:val="18"/>
                <w:lang w:val="es-MX"/>
              </w:rPr>
              <w:t xml:space="preserve">stado y el tercero a propuesta de los </w:t>
            </w:r>
            <w:r w:rsidRPr="614F74A4">
              <w:rPr>
                <w:rFonts w:ascii="Cambria" w:hAnsi="Cambria"/>
                <w:color w:val="000000" w:themeColor="text1"/>
                <w:sz w:val="18"/>
                <w:szCs w:val="18"/>
                <w:lang w:val="es-MX"/>
              </w:rPr>
              <w:t>dos</w:t>
            </w:r>
            <w:r w:rsidR="7DA75C83" w:rsidRPr="614F74A4">
              <w:rPr>
                <w:rFonts w:ascii="Cambria" w:hAnsi="Cambria"/>
                <w:color w:val="000000" w:themeColor="text1"/>
                <w:sz w:val="18"/>
                <w:szCs w:val="18"/>
                <w:lang w:val="es-MX"/>
              </w:rPr>
              <w:t xml:space="preserve"> expertos designados por las partes</w:t>
            </w:r>
            <w:r w:rsidRPr="614F74A4">
              <w:rPr>
                <w:rFonts w:ascii="Cambria" w:hAnsi="Cambria"/>
                <w:color w:val="000000" w:themeColor="text1"/>
                <w:sz w:val="18"/>
                <w:szCs w:val="18"/>
                <w:lang w:val="es-MX"/>
              </w:rPr>
              <w:t>.</w:t>
            </w:r>
            <w:r w:rsidR="7DA75C83" w:rsidRPr="614F74A4">
              <w:rPr>
                <w:rFonts w:ascii="Cambria" w:hAnsi="Cambria"/>
                <w:color w:val="000000" w:themeColor="text1"/>
                <w:sz w:val="18"/>
                <w:szCs w:val="18"/>
                <w:lang w:val="es-MX"/>
              </w:rPr>
              <w:t xml:space="preserve"> </w:t>
            </w:r>
            <w:r w:rsidRPr="614F74A4">
              <w:rPr>
                <w:rFonts w:ascii="Cambria" w:hAnsi="Cambria"/>
                <w:color w:val="000000" w:themeColor="text1"/>
                <w:sz w:val="18"/>
                <w:szCs w:val="18"/>
                <w:lang w:val="es-MX"/>
              </w:rPr>
              <w:t>L</w:t>
            </w:r>
            <w:r w:rsidR="7DA75C83" w:rsidRPr="614F74A4">
              <w:rPr>
                <w:rFonts w:ascii="Cambria" w:hAnsi="Cambria"/>
                <w:color w:val="000000" w:themeColor="text1"/>
                <w:sz w:val="18"/>
                <w:szCs w:val="18"/>
                <w:lang w:val="es-MX"/>
              </w:rPr>
              <w:t xml:space="preserve">os expertos actuarán </w:t>
            </w:r>
            <w:r w:rsidR="7DA75C83" w:rsidRPr="614F74A4">
              <w:rPr>
                <w:rFonts w:ascii="Cambria" w:hAnsi="Cambria"/>
                <w:i/>
                <w:iCs/>
                <w:color w:val="000000" w:themeColor="text1"/>
                <w:sz w:val="18"/>
                <w:szCs w:val="18"/>
                <w:lang w:val="es-MX"/>
              </w:rPr>
              <w:t xml:space="preserve">ad honorem </w:t>
            </w:r>
            <w:r w:rsidR="7DA75C83" w:rsidRPr="614F74A4">
              <w:rPr>
                <w:rFonts w:ascii="Cambria" w:hAnsi="Cambria"/>
                <w:color w:val="000000" w:themeColor="text1"/>
                <w:sz w:val="18"/>
                <w:szCs w:val="18"/>
                <w:lang w:val="es-MX"/>
              </w:rPr>
              <w:t>en sus funciones.</w:t>
            </w:r>
          </w:p>
          <w:p w14:paraId="65A3A1F2" w14:textId="13D12424" w:rsidR="00DE1365" w:rsidRPr="00DE1365" w:rsidRDefault="7DA75C83" w:rsidP="614F74A4">
            <w:pPr>
              <w:pStyle w:val="ListParagraph"/>
              <w:numPr>
                <w:ilvl w:val="6"/>
                <w:numId w:val="31"/>
              </w:numPr>
              <w:spacing w:after="160" w:line="259" w:lineRule="auto"/>
              <w:ind w:left="325" w:hanging="325"/>
              <w:jc w:val="both"/>
              <w:rPr>
                <w:rFonts w:ascii="Cambria" w:hAnsi="Cambria"/>
                <w:color w:val="000000" w:themeColor="text1"/>
                <w:sz w:val="18"/>
                <w:szCs w:val="18"/>
                <w:lang w:val="es-CO"/>
              </w:rPr>
            </w:pPr>
            <w:r w:rsidRPr="614F74A4">
              <w:rPr>
                <w:rFonts w:ascii="Cambria" w:hAnsi="Cambria"/>
                <w:color w:val="000000" w:themeColor="text1"/>
                <w:sz w:val="18"/>
                <w:szCs w:val="18"/>
                <w:lang w:val="es-MX"/>
              </w:rPr>
              <w:t xml:space="preserve">A efectos de integrar el </w:t>
            </w:r>
            <w:r w:rsidR="26204A4E" w:rsidRPr="614F74A4">
              <w:rPr>
                <w:rFonts w:ascii="Cambria" w:hAnsi="Cambria"/>
                <w:color w:val="000000" w:themeColor="text1"/>
                <w:sz w:val="18"/>
                <w:szCs w:val="18"/>
                <w:lang w:val="es-MX"/>
              </w:rPr>
              <w:t>T</w:t>
            </w:r>
            <w:r w:rsidRPr="614F74A4">
              <w:rPr>
                <w:rFonts w:ascii="Cambria" w:hAnsi="Cambria"/>
                <w:color w:val="000000" w:themeColor="text1"/>
                <w:sz w:val="18"/>
                <w:szCs w:val="18"/>
                <w:lang w:val="es-MX"/>
              </w:rPr>
              <w:t xml:space="preserve">ribunal </w:t>
            </w:r>
            <w:r w:rsidR="26204A4E" w:rsidRPr="614F74A4">
              <w:rPr>
                <w:rFonts w:ascii="Cambria" w:hAnsi="Cambria"/>
                <w:color w:val="000000" w:themeColor="text1"/>
                <w:sz w:val="18"/>
                <w:szCs w:val="18"/>
                <w:lang w:val="es-MX"/>
              </w:rPr>
              <w:t>A</w:t>
            </w:r>
            <w:r w:rsidRPr="614F74A4">
              <w:rPr>
                <w:rFonts w:ascii="Cambria" w:hAnsi="Cambria"/>
                <w:color w:val="000000" w:themeColor="text1"/>
                <w:sz w:val="18"/>
                <w:szCs w:val="18"/>
                <w:lang w:val="es-MX"/>
              </w:rPr>
              <w:t>rbitral</w:t>
            </w:r>
            <w:r w:rsidR="26204A4E" w:rsidRPr="614F74A4">
              <w:rPr>
                <w:rFonts w:ascii="Cambria" w:hAnsi="Cambria"/>
                <w:color w:val="000000" w:themeColor="text1"/>
                <w:sz w:val="18"/>
                <w:szCs w:val="18"/>
                <w:lang w:val="es-MX"/>
              </w:rPr>
              <w:t>,</w:t>
            </w:r>
            <w:r w:rsidRPr="614F74A4">
              <w:rPr>
                <w:rFonts w:ascii="Cambria" w:hAnsi="Cambria"/>
                <w:color w:val="000000" w:themeColor="text1"/>
                <w:sz w:val="18"/>
                <w:szCs w:val="18"/>
                <w:lang w:val="es-MX"/>
              </w:rPr>
              <w:t xml:space="preserve"> las partes remitirán a la contraparte el </w:t>
            </w:r>
            <w:r w:rsidRPr="614F74A4">
              <w:rPr>
                <w:rFonts w:ascii="Cambria" w:hAnsi="Cambria"/>
                <w:i/>
                <w:iCs/>
                <w:color w:val="000000" w:themeColor="text1"/>
                <w:sz w:val="18"/>
                <w:szCs w:val="18"/>
                <w:lang w:val="es-MX"/>
              </w:rPr>
              <w:t>currículum vitae</w:t>
            </w:r>
            <w:r w:rsidRPr="614F74A4">
              <w:rPr>
                <w:rFonts w:ascii="Cambria" w:hAnsi="Cambria"/>
                <w:color w:val="000000" w:themeColor="text1"/>
                <w:sz w:val="18"/>
                <w:szCs w:val="18"/>
                <w:lang w:val="es-MX"/>
              </w:rPr>
              <w:t xml:space="preserve"> del experto propuesto</w:t>
            </w:r>
            <w:r w:rsidR="4E5FCF03" w:rsidRPr="614F74A4">
              <w:rPr>
                <w:rFonts w:ascii="Cambria" w:hAnsi="Cambria"/>
                <w:color w:val="000000" w:themeColor="text1"/>
                <w:sz w:val="18"/>
                <w:szCs w:val="18"/>
                <w:lang w:val="es-MX"/>
              </w:rPr>
              <w:t>,</w:t>
            </w:r>
            <w:r w:rsidRPr="614F74A4">
              <w:rPr>
                <w:rFonts w:ascii="Cambria" w:hAnsi="Cambria"/>
                <w:color w:val="000000" w:themeColor="text1"/>
                <w:sz w:val="18"/>
                <w:szCs w:val="18"/>
                <w:lang w:val="es-MX"/>
              </w:rPr>
              <w:t xml:space="preserve"> a fin que ésta pueda formular las objeciones que considere corresponder de conformidad con los requisitos requeridos en el párrafo 2 precedente.</w:t>
            </w:r>
          </w:p>
          <w:p w14:paraId="54FE6B14" w14:textId="26D8C389" w:rsidR="00DE1365" w:rsidRPr="00DE1365" w:rsidRDefault="4E5FCF03" w:rsidP="614F74A4">
            <w:pPr>
              <w:pStyle w:val="ListParagraph"/>
              <w:numPr>
                <w:ilvl w:val="6"/>
                <w:numId w:val="31"/>
              </w:numPr>
              <w:spacing w:after="160" w:line="259" w:lineRule="auto"/>
              <w:ind w:left="325" w:hanging="325"/>
              <w:jc w:val="both"/>
              <w:rPr>
                <w:rFonts w:ascii="Cambria" w:hAnsi="Cambria"/>
                <w:color w:val="000000" w:themeColor="text1"/>
                <w:sz w:val="18"/>
                <w:szCs w:val="18"/>
                <w:lang w:val="es-CO"/>
              </w:rPr>
            </w:pPr>
            <w:r w:rsidRPr="614F74A4">
              <w:rPr>
                <w:rFonts w:ascii="Cambria" w:hAnsi="Cambria"/>
                <w:color w:val="000000" w:themeColor="text1"/>
                <w:sz w:val="18"/>
                <w:szCs w:val="18"/>
                <w:lang w:val="es-MX"/>
              </w:rPr>
              <w:t>E</w:t>
            </w:r>
            <w:r w:rsidR="7DA75C83" w:rsidRPr="614F74A4">
              <w:rPr>
                <w:rFonts w:ascii="Cambria" w:hAnsi="Cambria"/>
                <w:color w:val="000000" w:themeColor="text1"/>
                <w:sz w:val="18"/>
                <w:szCs w:val="18"/>
                <w:lang w:val="es-MX"/>
              </w:rPr>
              <w:t>n tanto y en cuanto a las partes no hayan formulado objeciones a los expertos propuestos</w:t>
            </w:r>
            <w:r w:rsidRPr="614F74A4">
              <w:rPr>
                <w:rFonts w:ascii="Cambria" w:hAnsi="Cambria"/>
                <w:color w:val="000000" w:themeColor="text1"/>
                <w:sz w:val="18"/>
                <w:szCs w:val="18"/>
                <w:lang w:val="es-MX"/>
              </w:rPr>
              <w:t xml:space="preserve">, </w:t>
            </w:r>
            <w:r w:rsidR="7DA75C83" w:rsidRPr="614F74A4">
              <w:rPr>
                <w:rFonts w:ascii="Cambria" w:hAnsi="Cambria"/>
                <w:color w:val="000000" w:themeColor="text1"/>
                <w:sz w:val="18"/>
                <w:szCs w:val="18"/>
                <w:lang w:val="es-MX"/>
              </w:rPr>
              <w:t xml:space="preserve">el </w:t>
            </w:r>
            <w:r w:rsidRPr="614F74A4">
              <w:rPr>
                <w:rFonts w:ascii="Cambria" w:hAnsi="Cambria"/>
                <w:color w:val="000000" w:themeColor="text1"/>
                <w:sz w:val="18"/>
                <w:szCs w:val="18"/>
                <w:lang w:val="es-MX"/>
              </w:rPr>
              <w:t>T</w:t>
            </w:r>
            <w:r w:rsidR="7DA75C83" w:rsidRPr="614F74A4">
              <w:rPr>
                <w:rFonts w:ascii="Cambria" w:hAnsi="Cambria"/>
                <w:color w:val="000000" w:themeColor="text1"/>
                <w:sz w:val="18"/>
                <w:szCs w:val="18"/>
                <w:lang w:val="es-MX"/>
              </w:rPr>
              <w:t>ribunal deberá estar integrado</w:t>
            </w:r>
            <w:r w:rsidRPr="614F74A4">
              <w:rPr>
                <w:rFonts w:ascii="Cambria" w:hAnsi="Cambria"/>
                <w:color w:val="000000" w:themeColor="text1"/>
                <w:sz w:val="18"/>
                <w:szCs w:val="18"/>
                <w:lang w:val="es-MX"/>
              </w:rPr>
              <w:t xml:space="preserve">, </w:t>
            </w:r>
            <w:r w:rsidR="7DA75C83" w:rsidRPr="614F74A4">
              <w:rPr>
                <w:rFonts w:ascii="Cambria" w:hAnsi="Cambria"/>
                <w:color w:val="000000" w:themeColor="text1"/>
                <w:sz w:val="18"/>
                <w:szCs w:val="18"/>
                <w:lang w:val="es-MX"/>
              </w:rPr>
              <w:t>a más tardar coma dentro de los 30 días siguientes a la adopción del presente acuerdo por decreto del poder ejecutivo nacional</w:t>
            </w:r>
            <w:r w:rsidRPr="614F74A4">
              <w:rPr>
                <w:rFonts w:ascii="Cambria" w:hAnsi="Cambria"/>
                <w:color w:val="000000" w:themeColor="text1"/>
                <w:sz w:val="18"/>
                <w:szCs w:val="18"/>
                <w:lang w:val="es-MX"/>
              </w:rPr>
              <w:t>. E</w:t>
            </w:r>
            <w:r w:rsidR="7DA75C83" w:rsidRPr="614F74A4">
              <w:rPr>
                <w:rFonts w:ascii="Cambria" w:hAnsi="Cambria"/>
                <w:color w:val="000000" w:themeColor="text1"/>
                <w:sz w:val="18"/>
                <w:szCs w:val="18"/>
                <w:lang w:val="es-MX"/>
              </w:rPr>
              <w:t>n caso de objeciones el plazo se prorrogará de conformidad.</w:t>
            </w:r>
          </w:p>
          <w:p w14:paraId="163F6742" w14:textId="3649BDCE" w:rsidR="00DE1365" w:rsidRPr="00DE1365" w:rsidRDefault="7DA75C83" w:rsidP="614F74A4">
            <w:pPr>
              <w:pStyle w:val="ListParagraph"/>
              <w:numPr>
                <w:ilvl w:val="6"/>
                <w:numId w:val="31"/>
              </w:numPr>
              <w:spacing w:after="160" w:line="259" w:lineRule="auto"/>
              <w:ind w:left="325" w:hanging="325"/>
              <w:jc w:val="both"/>
              <w:rPr>
                <w:rFonts w:ascii="Cambria" w:hAnsi="Cambria"/>
                <w:color w:val="000000" w:themeColor="text1"/>
                <w:sz w:val="18"/>
                <w:szCs w:val="18"/>
                <w:lang w:val="es-CO"/>
              </w:rPr>
            </w:pPr>
            <w:r w:rsidRPr="614F74A4">
              <w:rPr>
                <w:rFonts w:ascii="Cambria" w:hAnsi="Cambria"/>
                <w:color w:val="000000" w:themeColor="text1"/>
                <w:sz w:val="18"/>
                <w:szCs w:val="18"/>
                <w:lang w:val="es-MX"/>
              </w:rPr>
              <w:t xml:space="preserve">El procedimiento a aplicar por el </w:t>
            </w:r>
            <w:r w:rsidR="4E5FCF03" w:rsidRPr="614F74A4">
              <w:rPr>
                <w:rFonts w:ascii="Cambria" w:hAnsi="Cambria"/>
                <w:color w:val="000000" w:themeColor="text1"/>
                <w:sz w:val="18"/>
                <w:szCs w:val="18"/>
                <w:lang w:val="es-MX"/>
              </w:rPr>
              <w:t>T</w:t>
            </w:r>
            <w:r w:rsidRPr="614F74A4">
              <w:rPr>
                <w:rFonts w:ascii="Cambria" w:hAnsi="Cambria"/>
                <w:color w:val="000000" w:themeColor="text1"/>
                <w:sz w:val="18"/>
                <w:szCs w:val="18"/>
                <w:lang w:val="es-MX"/>
              </w:rPr>
              <w:t xml:space="preserve">ribunal </w:t>
            </w:r>
            <w:r w:rsidR="4E5FCF03" w:rsidRPr="614F74A4">
              <w:rPr>
                <w:rFonts w:ascii="Cambria" w:hAnsi="Cambria"/>
                <w:color w:val="000000" w:themeColor="text1"/>
                <w:sz w:val="18"/>
                <w:szCs w:val="18"/>
                <w:lang w:val="es-MX"/>
              </w:rPr>
              <w:t>A</w:t>
            </w:r>
            <w:r w:rsidRPr="614F74A4">
              <w:rPr>
                <w:rFonts w:ascii="Cambria" w:hAnsi="Cambria"/>
                <w:color w:val="000000" w:themeColor="text1"/>
                <w:sz w:val="18"/>
                <w:szCs w:val="18"/>
                <w:lang w:val="es-MX"/>
              </w:rPr>
              <w:t>rbitral será definido entre las partes, quienes redactarán su reglamento</w:t>
            </w:r>
            <w:r w:rsidR="4E5FCF03" w:rsidRPr="614F74A4">
              <w:rPr>
                <w:rFonts w:ascii="Cambria" w:hAnsi="Cambria"/>
                <w:color w:val="000000" w:themeColor="text1"/>
                <w:sz w:val="18"/>
                <w:szCs w:val="18"/>
                <w:lang w:val="es-MX"/>
              </w:rPr>
              <w:t>.</w:t>
            </w:r>
            <w:r w:rsidRPr="614F74A4">
              <w:rPr>
                <w:rFonts w:ascii="Cambria" w:hAnsi="Cambria"/>
                <w:color w:val="000000" w:themeColor="text1"/>
                <w:sz w:val="18"/>
                <w:szCs w:val="18"/>
                <w:lang w:val="es-MX"/>
              </w:rPr>
              <w:t xml:space="preserve"> </w:t>
            </w:r>
            <w:r w:rsidR="4E5FCF03" w:rsidRPr="614F74A4">
              <w:rPr>
                <w:rFonts w:ascii="Cambria" w:hAnsi="Cambria"/>
                <w:color w:val="000000" w:themeColor="text1"/>
                <w:sz w:val="18"/>
                <w:szCs w:val="18"/>
                <w:lang w:val="es-MX"/>
              </w:rPr>
              <w:t>L</w:t>
            </w:r>
            <w:r w:rsidRPr="614F74A4">
              <w:rPr>
                <w:rFonts w:ascii="Cambria" w:hAnsi="Cambria"/>
                <w:color w:val="000000" w:themeColor="text1"/>
                <w:sz w:val="18"/>
                <w:szCs w:val="18"/>
                <w:lang w:val="es-MX"/>
              </w:rPr>
              <w:t xml:space="preserve">os costos que demande la actuación del </w:t>
            </w:r>
            <w:r w:rsidR="4E5FCF03" w:rsidRPr="614F74A4">
              <w:rPr>
                <w:rFonts w:ascii="Cambria" w:hAnsi="Cambria"/>
                <w:color w:val="000000" w:themeColor="text1"/>
                <w:sz w:val="18"/>
                <w:szCs w:val="18"/>
                <w:lang w:val="es-MX"/>
              </w:rPr>
              <w:t>T</w:t>
            </w:r>
            <w:r w:rsidRPr="614F74A4">
              <w:rPr>
                <w:rFonts w:ascii="Cambria" w:hAnsi="Cambria"/>
                <w:color w:val="000000" w:themeColor="text1"/>
                <w:sz w:val="18"/>
                <w:szCs w:val="18"/>
                <w:lang w:val="es-MX"/>
              </w:rPr>
              <w:t xml:space="preserve">ribunal serán solventados por el </w:t>
            </w:r>
            <w:r w:rsidR="4E5FCF03" w:rsidRPr="614F74A4">
              <w:rPr>
                <w:rFonts w:ascii="Cambria" w:hAnsi="Cambria"/>
                <w:color w:val="000000" w:themeColor="text1"/>
                <w:sz w:val="18"/>
                <w:szCs w:val="18"/>
                <w:lang w:val="es-MX"/>
              </w:rPr>
              <w:t>E</w:t>
            </w:r>
            <w:r w:rsidRPr="614F74A4">
              <w:rPr>
                <w:rFonts w:ascii="Cambria" w:hAnsi="Cambria"/>
                <w:color w:val="000000" w:themeColor="text1"/>
                <w:sz w:val="18"/>
                <w:szCs w:val="18"/>
                <w:lang w:val="es-MX"/>
              </w:rPr>
              <w:t xml:space="preserve">stado, sin perjuicio de lo ya indicado con relación al carácter </w:t>
            </w:r>
            <w:r w:rsidRPr="614F74A4">
              <w:rPr>
                <w:rFonts w:ascii="Cambria" w:hAnsi="Cambria"/>
                <w:i/>
                <w:iCs/>
                <w:color w:val="000000" w:themeColor="text1"/>
                <w:sz w:val="18"/>
                <w:szCs w:val="18"/>
                <w:lang w:val="es-MX"/>
              </w:rPr>
              <w:t>ad honorem</w:t>
            </w:r>
            <w:r w:rsidRPr="614F74A4">
              <w:rPr>
                <w:rFonts w:ascii="Cambria" w:hAnsi="Cambria"/>
                <w:color w:val="000000" w:themeColor="text1"/>
                <w:sz w:val="18"/>
                <w:szCs w:val="18"/>
                <w:lang w:val="es-MX"/>
              </w:rPr>
              <w:t xml:space="preserve"> de la labor de sus integrantes.</w:t>
            </w:r>
          </w:p>
          <w:p w14:paraId="158F0791" w14:textId="17C48667" w:rsidR="00DE1365" w:rsidRPr="00DE1365" w:rsidRDefault="7DA75C83" w:rsidP="614F74A4">
            <w:pPr>
              <w:pStyle w:val="ListParagraph"/>
              <w:numPr>
                <w:ilvl w:val="6"/>
                <w:numId w:val="31"/>
              </w:numPr>
              <w:spacing w:after="160" w:line="259" w:lineRule="auto"/>
              <w:ind w:left="325" w:hanging="325"/>
              <w:jc w:val="both"/>
              <w:rPr>
                <w:rFonts w:ascii="Cambria" w:hAnsi="Cambria"/>
                <w:color w:val="000000" w:themeColor="text1"/>
                <w:sz w:val="18"/>
                <w:szCs w:val="18"/>
                <w:lang w:val="es-CO"/>
              </w:rPr>
            </w:pPr>
            <w:r w:rsidRPr="614F74A4">
              <w:rPr>
                <w:rFonts w:ascii="Cambria" w:hAnsi="Cambria"/>
                <w:color w:val="000000" w:themeColor="text1"/>
                <w:sz w:val="18"/>
                <w:szCs w:val="18"/>
                <w:lang w:val="es-MX"/>
              </w:rPr>
              <w:t xml:space="preserve">El laudo del </w:t>
            </w:r>
            <w:r w:rsidR="4E5FCF03" w:rsidRPr="614F74A4">
              <w:rPr>
                <w:rFonts w:ascii="Cambria" w:hAnsi="Cambria"/>
                <w:color w:val="000000" w:themeColor="text1"/>
                <w:sz w:val="18"/>
                <w:szCs w:val="18"/>
                <w:lang w:val="es-MX"/>
              </w:rPr>
              <w:t>T</w:t>
            </w:r>
            <w:r w:rsidRPr="614F74A4">
              <w:rPr>
                <w:rFonts w:ascii="Cambria" w:hAnsi="Cambria"/>
                <w:color w:val="000000" w:themeColor="text1"/>
                <w:sz w:val="18"/>
                <w:szCs w:val="18"/>
                <w:lang w:val="es-MX"/>
              </w:rPr>
              <w:t>ribunal</w:t>
            </w:r>
            <w:r w:rsidR="4E5FCF03" w:rsidRPr="614F74A4">
              <w:rPr>
                <w:rFonts w:ascii="Cambria" w:hAnsi="Cambria"/>
                <w:color w:val="000000" w:themeColor="text1"/>
                <w:sz w:val="18"/>
                <w:szCs w:val="18"/>
                <w:lang w:val="es-MX"/>
              </w:rPr>
              <w:t xml:space="preserve"> A</w:t>
            </w:r>
            <w:r w:rsidRPr="614F74A4">
              <w:rPr>
                <w:rFonts w:ascii="Cambria" w:hAnsi="Cambria"/>
                <w:color w:val="000000" w:themeColor="text1"/>
                <w:sz w:val="18"/>
                <w:szCs w:val="18"/>
                <w:lang w:val="es-MX"/>
              </w:rPr>
              <w:t xml:space="preserve">rbitral será definitivo e irrecurrible. El mismo deberá contener el monto y la modalidad de las reparaciones pecuniarias acordadas, debiendo ser sometido a la evaluación de la </w:t>
            </w:r>
            <w:r w:rsidR="4E5FCF03" w:rsidRPr="614F74A4">
              <w:rPr>
                <w:rFonts w:ascii="Cambria" w:hAnsi="Cambria"/>
                <w:color w:val="000000" w:themeColor="text1"/>
                <w:sz w:val="18"/>
                <w:szCs w:val="18"/>
                <w:lang w:val="es-MX"/>
              </w:rPr>
              <w:t>C</w:t>
            </w:r>
            <w:r w:rsidRPr="614F74A4">
              <w:rPr>
                <w:rFonts w:ascii="Cambria" w:hAnsi="Cambria"/>
                <w:color w:val="000000" w:themeColor="text1"/>
                <w:sz w:val="18"/>
                <w:szCs w:val="18"/>
                <w:lang w:val="es-MX"/>
              </w:rPr>
              <w:t>omisión</w:t>
            </w:r>
            <w:r w:rsidR="4E5FCF03" w:rsidRPr="614F74A4">
              <w:rPr>
                <w:rFonts w:ascii="Cambria" w:hAnsi="Cambria"/>
                <w:color w:val="000000" w:themeColor="text1"/>
                <w:sz w:val="18"/>
                <w:szCs w:val="18"/>
                <w:lang w:val="es-MX"/>
              </w:rPr>
              <w:t xml:space="preserve"> I</w:t>
            </w:r>
            <w:r w:rsidRPr="614F74A4">
              <w:rPr>
                <w:rFonts w:ascii="Cambria" w:hAnsi="Cambria"/>
                <w:color w:val="000000" w:themeColor="text1"/>
                <w:sz w:val="18"/>
                <w:szCs w:val="18"/>
                <w:lang w:val="es-MX"/>
              </w:rPr>
              <w:t xml:space="preserve">nteramericana de </w:t>
            </w:r>
            <w:r w:rsidR="4E5FCF03" w:rsidRPr="614F74A4">
              <w:rPr>
                <w:rFonts w:ascii="Cambria" w:hAnsi="Cambria"/>
                <w:color w:val="000000" w:themeColor="text1"/>
                <w:sz w:val="18"/>
                <w:szCs w:val="18"/>
                <w:lang w:val="es-MX"/>
              </w:rPr>
              <w:t>D</w:t>
            </w:r>
            <w:r w:rsidRPr="614F74A4">
              <w:rPr>
                <w:rFonts w:ascii="Cambria" w:hAnsi="Cambria"/>
                <w:color w:val="000000" w:themeColor="text1"/>
                <w:sz w:val="18"/>
                <w:szCs w:val="18"/>
                <w:lang w:val="es-MX"/>
              </w:rPr>
              <w:t xml:space="preserve">erechos </w:t>
            </w:r>
            <w:r w:rsidR="4E5FCF03" w:rsidRPr="614F74A4">
              <w:rPr>
                <w:rFonts w:ascii="Cambria" w:hAnsi="Cambria"/>
                <w:color w:val="000000" w:themeColor="text1"/>
                <w:sz w:val="18"/>
                <w:szCs w:val="18"/>
                <w:lang w:val="es-MX"/>
              </w:rPr>
              <w:t>H</w:t>
            </w:r>
            <w:r w:rsidRPr="614F74A4">
              <w:rPr>
                <w:rFonts w:ascii="Cambria" w:hAnsi="Cambria"/>
                <w:color w:val="000000" w:themeColor="text1"/>
                <w:sz w:val="18"/>
                <w:szCs w:val="18"/>
                <w:lang w:val="es-MX"/>
              </w:rPr>
              <w:t>umanos en el marco del proceso de seguimiento del cumplimiento del acuerdo</w:t>
            </w:r>
            <w:r w:rsidR="4E5FCF03" w:rsidRPr="614F74A4">
              <w:rPr>
                <w:rFonts w:ascii="Cambria" w:hAnsi="Cambria"/>
                <w:color w:val="000000" w:themeColor="text1"/>
                <w:sz w:val="18"/>
                <w:szCs w:val="18"/>
                <w:lang w:val="es-MX"/>
              </w:rPr>
              <w:t xml:space="preserve">, </w:t>
            </w:r>
            <w:r w:rsidRPr="614F74A4">
              <w:rPr>
                <w:rFonts w:ascii="Cambria" w:hAnsi="Cambria"/>
                <w:color w:val="000000" w:themeColor="text1"/>
                <w:sz w:val="18"/>
                <w:szCs w:val="18"/>
                <w:lang w:val="es-MX"/>
              </w:rPr>
              <w:t>con el objeto de verificar que el mismo se ajusta a los parámetros internacionales aplicables.</w:t>
            </w:r>
          </w:p>
          <w:p w14:paraId="57009A01" w14:textId="2B6E8798" w:rsidR="00DE1365" w:rsidRPr="00DE1365" w:rsidRDefault="4E5FCF03" w:rsidP="614F74A4">
            <w:pPr>
              <w:pStyle w:val="ListParagraph"/>
              <w:numPr>
                <w:ilvl w:val="6"/>
                <w:numId w:val="31"/>
              </w:numPr>
              <w:spacing w:after="160" w:line="259" w:lineRule="auto"/>
              <w:ind w:left="325" w:hanging="325"/>
              <w:jc w:val="both"/>
              <w:rPr>
                <w:rFonts w:ascii="Cambria" w:hAnsi="Cambria"/>
                <w:color w:val="000000" w:themeColor="text1"/>
                <w:sz w:val="18"/>
                <w:szCs w:val="18"/>
                <w:lang w:val="es-CO"/>
              </w:rPr>
            </w:pPr>
            <w:r w:rsidRPr="614F74A4">
              <w:rPr>
                <w:rFonts w:ascii="Cambria" w:hAnsi="Cambria"/>
                <w:color w:val="000000" w:themeColor="text1"/>
                <w:sz w:val="18"/>
                <w:szCs w:val="18"/>
                <w:lang w:val="es-CO"/>
              </w:rPr>
              <w:t>Las</w:t>
            </w:r>
            <w:r w:rsidR="7DA75C83" w:rsidRPr="614F74A4">
              <w:rPr>
                <w:rFonts w:ascii="Cambria" w:hAnsi="Cambria"/>
                <w:color w:val="000000" w:themeColor="text1"/>
                <w:sz w:val="18"/>
                <w:szCs w:val="18"/>
                <w:lang w:val="es-MX"/>
              </w:rPr>
              <w:t xml:space="preserve"> reparaciones pecuniarias fijadas en el laudo arbitral serán pagadas dentro del plazo y de acuerdo a las modalidades que el </w:t>
            </w:r>
            <w:r w:rsidRPr="614F74A4">
              <w:rPr>
                <w:rFonts w:ascii="Cambria" w:hAnsi="Cambria"/>
                <w:color w:val="000000" w:themeColor="text1"/>
                <w:sz w:val="18"/>
                <w:szCs w:val="18"/>
                <w:lang w:val="es-MX"/>
              </w:rPr>
              <w:t>T</w:t>
            </w:r>
            <w:r w:rsidR="7DA75C83" w:rsidRPr="614F74A4">
              <w:rPr>
                <w:rFonts w:ascii="Cambria" w:hAnsi="Cambria"/>
                <w:color w:val="000000" w:themeColor="text1"/>
                <w:sz w:val="18"/>
                <w:szCs w:val="18"/>
                <w:lang w:val="es-MX"/>
              </w:rPr>
              <w:t xml:space="preserve">ribunal </w:t>
            </w:r>
            <w:r w:rsidRPr="614F74A4">
              <w:rPr>
                <w:rFonts w:ascii="Cambria" w:hAnsi="Cambria"/>
                <w:color w:val="000000" w:themeColor="text1"/>
                <w:sz w:val="18"/>
                <w:szCs w:val="18"/>
                <w:lang w:val="es-MX"/>
              </w:rPr>
              <w:t>A</w:t>
            </w:r>
            <w:r w:rsidR="7DA75C83" w:rsidRPr="614F74A4">
              <w:rPr>
                <w:rFonts w:ascii="Cambria" w:hAnsi="Cambria"/>
                <w:color w:val="000000" w:themeColor="text1"/>
                <w:sz w:val="18"/>
                <w:szCs w:val="18"/>
                <w:lang w:val="es-MX"/>
              </w:rPr>
              <w:t>rbitral determine</w:t>
            </w:r>
            <w:r w:rsidRPr="614F74A4">
              <w:rPr>
                <w:rFonts w:ascii="Cambria" w:hAnsi="Cambria"/>
                <w:color w:val="000000" w:themeColor="text1"/>
                <w:sz w:val="18"/>
                <w:szCs w:val="18"/>
                <w:lang w:val="es-MX"/>
              </w:rPr>
              <w:t xml:space="preserve">, </w:t>
            </w:r>
            <w:r w:rsidR="7DA75C83" w:rsidRPr="614F74A4">
              <w:rPr>
                <w:rFonts w:ascii="Cambria" w:hAnsi="Cambria"/>
                <w:color w:val="000000" w:themeColor="text1"/>
                <w:sz w:val="18"/>
                <w:szCs w:val="18"/>
                <w:lang w:val="es-MX"/>
              </w:rPr>
              <w:t xml:space="preserve">de conformidad con los criterios establecidos en la jurisprudencia de la </w:t>
            </w:r>
            <w:r w:rsidRPr="614F74A4">
              <w:rPr>
                <w:rFonts w:ascii="Cambria" w:hAnsi="Cambria"/>
                <w:color w:val="000000" w:themeColor="text1"/>
                <w:sz w:val="18"/>
                <w:szCs w:val="18"/>
                <w:lang w:val="es-MX"/>
              </w:rPr>
              <w:t>C</w:t>
            </w:r>
            <w:r w:rsidR="7DA75C83" w:rsidRPr="614F74A4">
              <w:rPr>
                <w:rFonts w:ascii="Cambria" w:hAnsi="Cambria"/>
                <w:color w:val="000000" w:themeColor="text1"/>
                <w:sz w:val="18"/>
                <w:szCs w:val="18"/>
                <w:lang w:val="es-MX"/>
              </w:rPr>
              <w:t xml:space="preserve">orte </w:t>
            </w:r>
            <w:r w:rsidRPr="614F74A4">
              <w:rPr>
                <w:rFonts w:ascii="Cambria" w:hAnsi="Cambria"/>
                <w:color w:val="000000" w:themeColor="text1"/>
                <w:sz w:val="18"/>
                <w:szCs w:val="18"/>
                <w:lang w:val="es-MX"/>
              </w:rPr>
              <w:t>I</w:t>
            </w:r>
            <w:r w:rsidR="7DA75C83" w:rsidRPr="614F74A4">
              <w:rPr>
                <w:rFonts w:ascii="Cambria" w:hAnsi="Cambria"/>
                <w:color w:val="000000" w:themeColor="text1"/>
                <w:sz w:val="18"/>
                <w:szCs w:val="18"/>
                <w:lang w:val="es-MX"/>
              </w:rPr>
              <w:t xml:space="preserve">nteramericana de </w:t>
            </w:r>
            <w:r w:rsidRPr="614F74A4">
              <w:rPr>
                <w:rFonts w:ascii="Cambria" w:hAnsi="Cambria"/>
                <w:color w:val="000000" w:themeColor="text1"/>
                <w:sz w:val="18"/>
                <w:szCs w:val="18"/>
                <w:lang w:val="es-MX"/>
              </w:rPr>
              <w:t>D</w:t>
            </w:r>
            <w:r w:rsidR="7DA75C83" w:rsidRPr="614F74A4">
              <w:rPr>
                <w:rFonts w:ascii="Cambria" w:hAnsi="Cambria"/>
                <w:color w:val="000000" w:themeColor="text1"/>
                <w:sz w:val="18"/>
                <w:szCs w:val="18"/>
                <w:lang w:val="es-MX"/>
              </w:rPr>
              <w:t xml:space="preserve">erechos </w:t>
            </w:r>
            <w:r w:rsidRPr="614F74A4">
              <w:rPr>
                <w:rFonts w:ascii="Cambria" w:hAnsi="Cambria"/>
                <w:color w:val="000000" w:themeColor="text1"/>
                <w:sz w:val="18"/>
                <w:szCs w:val="18"/>
                <w:lang w:val="es-MX"/>
              </w:rPr>
              <w:t>H</w:t>
            </w:r>
            <w:r w:rsidR="7DA75C83" w:rsidRPr="614F74A4">
              <w:rPr>
                <w:rFonts w:ascii="Cambria" w:hAnsi="Cambria"/>
                <w:color w:val="000000" w:themeColor="text1"/>
                <w:sz w:val="18"/>
                <w:szCs w:val="18"/>
                <w:lang w:val="es-MX"/>
              </w:rPr>
              <w:t>umanos.</w:t>
            </w:r>
          </w:p>
          <w:p w14:paraId="5FD20E3A" w14:textId="79461923" w:rsidR="00084557" w:rsidRPr="00D633B2" w:rsidRDefault="7DA75C83" w:rsidP="614F74A4">
            <w:pPr>
              <w:pStyle w:val="ListParagraph"/>
              <w:numPr>
                <w:ilvl w:val="6"/>
                <w:numId w:val="31"/>
              </w:numPr>
              <w:spacing w:after="160" w:line="259" w:lineRule="auto"/>
              <w:ind w:left="325" w:hanging="325"/>
              <w:jc w:val="both"/>
              <w:rPr>
                <w:rFonts w:ascii="Cambria" w:hAnsi="Cambria"/>
                <w:color w:val="000000" w:themeColor="text1"/>
                <w:sz w:val="18"/>
                <w:szCs w:val="18"/>
                <w:lang w:val="es-CO"/>
              </w:rPr>
            </w:pPr>
            <w:r w:rsidRPr="614F74A4">
              <w:rPr>
                <w:rFonts w:ascii="Cambria" w:hAnsi="Cambria"/>
                <w:color w:val="000000" w:themeColor="text1"/>
                <w:sz w:val="18"/>
                <w:szCs w:val="18"/>
                <w:lang w:val="es-MX"/>
              </w:rPr>
              <w:t xml:space="preserve">Una vez aprobado el presente acuerdo por </w:t>
            </w:r>
            <w:r w:rsidR="4E5FCF03" w:rsidRPr="614F74A4">
              <w:rPr>
                <w:rFonts w:ascii="Cambria" w:hAnsi="Cambria"/>
                <w:color w:val="000000" w:themeColor="text1"/>
                <w:sz w:val="18"/>
                <w:szCs w:val="18"/>
                <w:lang w:val="es-MX"/>
              </w:rPr>
              <w:t>D</w:t>
            </w:r>
            <w:r w:rsidRPr="614F74A4">
              <w:rPr>
                <w:rFonts w:ascii="Cambria" w:hAnsi="Cambria"/>
                <w:color w:val="000000" w:themeColor="text1"/>
                <w:sz w:val="18"/>
                <w:szCs w:val="18"/>
                <w:lang w:val="es-MX"/>
              </w:rPr>
              <w:t xml:space="preserve">ecreto del </w:t>
            </w:r>
            <w:r w:rsidR="4E5FCF03" w:rsidRPr="614F74A4">
              <w:rPr>
                <w:rFonts w:ascii="Cambria" w:hAnsi="Cambria"/>
                <w:color w:val="000000" w:themeColor="text1"/>
                <w:sz w:val="18"/>
                <w:szCs w:val="18"/>
                <w:lang w:val="es-MX"/>
              </w:rPr>
              <w:t>P</w:t>
            </w:r>
            <w:r w:rsidRPr="614F74A4">
              <w:rPr>
                <w:rFonts w:ascii="Cambria" w:hAnsi="Cambria"/>
                <w:color w:val="000000" w:themeColor="text1"/>
                <w:sz w:val="18"/>
                <w:szCs w:val="18"/>
                <w:lang w:val="es-MX"/>
              </w:rPr>
              <w:t xml:space="preserve">oder </w:t>
            </w:r>
            <w:r w:rsidR="4E5FCF03" w:rsidRPr="614F74A4">
              <w:rPr>
                <w:rFonts w:ascii="Cambria" w:hAnsi="Cambria"/>
                <w:color w:val="000000" w:themeColor="text1"/>
                <w:sz w:val="18"/>
                <w:szCs w:val="18"/>
                <w:lang w:val="es-MX"/>
              </w:rPr>
              <w:t>E</w:t>
            </w:r>
            <w:r w:rsidRPr="614F74A4">
              <w:rPr>
                <w:rFonts w:ascii="Cambria" w:hAnsi="Cambria"/>
                <w:color w:val="000000" w:themeColor="text1"/>
                <w:sz w:val="18"/>
                <w:szCs w:val="18"/>
                <w:lang w:val="es-MX"/>
              </w:rPr>
              <w:t xml:space="preserve">jecutivo </w:t>
            </w:r>
            <w:r w:rsidR="4E5FCF03" w:rsidRPr="614F74A4">
              <w:rPr>
                <w:rFonts w:ascii="Cambria" w:hAnsi="Cambria"/>
                <w:color w:val="000000" w:themeColor="text1"/>
                <w:sz w:val="18"/>
                <w:szCs w:val="18"/>
                <w:lang w:val="es-MX"/>
              </w:rPr>
              <w:t>N</w:t>
            </w:r>
            <w:r w:rsidRPr="614F74A4">
              <w:rPr>
                <w:rFonts w:ascii="Cambria" w:hAnsi="Cambria"/>
                <w:color w:val="000000" w:themeColor="text1"/>
                <w:sz w:val="18"/>
                <w:szCs w:val="18"/>
                <w:lang w:val="es-MX"/>
              </w:rPr>
              <w:t>acional</w:t>
            </w:r>
            <w:r w:rsidR="4E5FCF03" w:rsidRPr="614F74A4">
              <w:rPr>
                <w:rFonts w:ascii="Cambria" w:hAnsi="Cambria"/>
                <w:color w:val="000000" w:themeColor="text1"/>
                <w:sz w:val="18"/>
                <w:szCs w:val="18"/>
                <w:lang w:val="es-MX"/>
              </w:rPr>
              <w:t xml:space="preserve">, </w:t>
            </w:r>
            <w:r w:rsidRPr="614F74A4">
              <w:rPr>
                <w:rFonts w:ascii="Cambria" w:hAnsi="Cambria"/>
                <w:color w:val="000000" w:themeColor="text1"/>
                <w:sz w:val="18"/>
                <w:szCs w:val="18"/>
                <w:lang w:val="es-MX"/>
              </w:rPr>
              <w:t>el peticionario renuncia</w:t>
            </w:r>
            <w:r w:rsidR="4E5FCF03" w:rsidRPr="614F74A4">
              <w:rPr>
                <w:rFonts w:ascii="Cambria" w:hAnsi="Cambria"/>
                <w:color w:val="000000" w:themeColor="text1"/>
                <w:sz w:val="18"/>
                <w:szCs w:val="18"/>
                <w:lang w:val="es-MX"/>
              </w:rPr>
              <w:t xml:space="preserve">, </w:t>
            </w:r>
            <w:r w:rsidRPr="614F74A4">
              <w:rPr>
                <w:rFonts w:ascii="Cambria" w:hAnsi="Cambria"/>
                <w:color w:val="000000" w:themeColor="text1"/>
                <w:sz w:val="18"/>
                <w:szCs w:val="18"/>
                <w:lang w:val="es-MX"/>
              </w:rPr>
              <w:t>de manera definitiva e irrevocable</w:t>
            </w:r>
            <w:r w:rsidR="4E5FCF03" w:rsidRPr="614F74A4">
              <w:rPr>
                <w:rFonts w:ascii="Cambria" w:hAnsi="Cambria"/>
                <w:color w:val="000000" w:themeColor="text1"/>
                <w:sz w:val="18"/>
                <w:szCs w:val="18"/>
                <w:lang w:val="es-MX"/>
              </w:rPr>
              <w:t xml:space="preserve">, </w:t>
            </w:r>
            <w:r w:rsidRPr="614F74A4">
              <w:rPr>
                <w:rFonts w:ascii="Cambria" w:hAnsi="Cambria"/>
                <w:color w:val="000000" w:themeColor="text1"/>
                <w:sz w:val="18"/>
                <w:szCs w:val="18"/>
                <w:lang w:val="es-MX"/>
              </w:rPr>
              <w:t xml:space="preserve">a iniciar cualquier otro reclamo de naturaleza pecuniaria o no pecuniaria contra el </w:t>
            </w:r>
            <w:r w:rsidR="4E5FCF03" w:rsidRPr="614F74A4">
              <w:rPr>
                <w:rFonts w:ascii="Cambria" w:hAnsi="Cambria"/>
                <w:color w:val="000000" w:themeColor="text1"/>
                <w:sz w:val="18"/>
                <w:szCs w:val="18"/>
                <w:lang w:val="es-MX"/>
              </w:rPr>
              <w:t>e</w:t>
            </w:r>
            <w:r w:rsidRPr="614F74A4">
              <w:rPr>
                <w:rFonts w:ascii="Cambria" w:hAnsi="Cambria"/>
                <w:color w:val="000000" w:themeColor="text1"/>
                <w:sz w:val="18"/>
                <w:szCs w:val="18"/>
                <w:lang w:val="es-MX"/>
              </w:rPr>
              <w:t>stado en relación con los hechos que motivaron el presente caso</w:t>
            </w:r>
            <w:r w:rsidR="4E5FCF03" w:rsidRPr="614F74A4">
              <w:rPr>
                <w:rFonts w:ascii="Cambria" w:hAnsi="Cambria"/>
                <w:color w:val="000000" w:themeColor="text1"/>
                <w:sz w:val="18"/>
                <w:szCs w:val="18"/>
                <w:lang w:val="es-MX"/>
              </w:rPr>
              <w:t>. Es</w:t>
            </w:r>
            <w:r w:rsidRPr="614F74A4">
              <w:rPr>
                <w:rFonts w:ascii="Cambria" w:hAnsi="Cambria"/>
                <w:color w:val="000000" w:themeColor="text1"/>
                <w:sz w:val="18"/>
                <w:szCs w:val="18"/>
                <w:lang w:val="es-MX"/>
              </w:rPr>
              <w:t>ta renuncia no afectará el derecho del peticionario de llevar adelante todas las actividades vinculadas al seguimiento y supervisión del cumplimiento de este acuerdo por parte de la comisión</w:t>
            </w:r>
            <w:r w:rsidR="4E5FCF03" w:rsidRPr="614F74A4">
              <w:rPr>
                <w:rFonts w:ascii="Cambria" w:hAnsi="Cambria"/>
                <w:color w:val="000000" w:themeColor="text1"/>
                <w:sz w:val="18"/>
                <w:szCs w:val="18"/>
                <w:lang w:val="es-MX"/>
              </w:rPr>
              <w:t xml:space="preserve">, </w:t>
            </w:r>
            <w:r w:rsidRPr="614F74A4">
              <w:rPr>
                <w:rFonts w:ascii="Cambria" w:hAnsi="Cambria"/>
                <w:color w:val="000000" w:themeColor="text1"/>
                <w:sz w:val="18"/>
                <w:szCs w:val="18"/>
                <w:lang w:val="es-MX"/>
              </w:rPr>
              <w:t>ni su derecho a reclamar su accionar en la jurisdicción nacional o internacional por el incumplimiento de los compromisos asumidos</w:t>
            </w:r>
            <w:r w:rsidR="4E5FCF03" w:rsidRPr="614F74A4">
              <w:rPr>
                <w:rFonts w:ascii="Cambria" w:hAnsi="Cambria"/>
                <w:color w:val="000000" w:themeColor="text1"/>
                <w:sz w:val="18"/>
                <w:szCs w:val="18"/>
                <w:lang w:val="es-MX"/>
              </w:rPr>
              <w:t>. T</w:t>
            </w:r>
            <w:r w:rsidRPr="614F74A4">
              <w:rPr>
                <w:rFonts w:ascii="Cambria" w:hAnsi="Cambria"/>
                <w:color w:val="000000" w:themeColor="text1"/>
                <w:sz w:val="18"/>
                <w:szCs w:val="18"/>
                <w:lang w:val="es-MX"/>
              </w:rPr>
              <w:t xml:space="preserve">ampoco alcanzará cualquier eventual acción de revisión </w:t>
            </w:r>
            <w:r w:rsidR="31F41DB9" w:rsidRPr="614F74A4">
              <w:rPr>
                <w:rFonts w:ascii="Cambria" w:hAnsi="Cambria"/>
                <w:color w:val="000000" w:themeColor="text1"/>
                <w:sz w:val="18"/>
                <w:szCs w:val="18"/>
                <w:lang w:val="es-MX"/>
              </w:rPr>
              <w:t>que</w:t>
            </w:r>
            <w:r w:rsidRPr="614F74A4">
              <w:rPr>
                <w:rFonts w:ascii="Cambria" w:hAnsi="Cambria"/>
                <w:color w:val="000000" w:themeColor="text1"/>
                <w:sz w:val="18"/>
                <w:szCs w:val="18"/>
                <w:lang w:val="es-MX"/>
              </w:rPr>
              <w:t xml:space="preserve"> el señor Marcos Alejandro </w:t>
            </w:r>
            <w:r w:rsidR="4E5FCF03" w:rsidRPr="614F74A4">
              <w:rPr>
                <w:rFonts w:ascii="Cambria" w:hAnsi="Cambria"/>
                <w:color w:val="000000" w:themeColor="text1"/>
                <w:sz w:val="18"/>
                <w:szCs w:val="18"/>
                <w:lang w:val="es-MX"/>
              </w:rPr>
              <w:t>M</w:t>
            </w:r>
            <w:r w:rsidRPr="614F74A4">
              <w:rPr>
                <w:rFonts w:ascii="Cambria" w:hAnsi="Cambria"/>
                <w:color w:val="000000" w:themeColor="text1"/>
                <w:sz w:val="18"/>
                <w:szCs w:val="18"/>
                <w:lang w:val="es-MX"/>
              </w:rPr>
              <w:t xml:space="preserve">artín pudiera articular en el ámbito jurisdiccional contra la sentencia condenatoria que de acuerdo con la recomendación contenida en el </w:t>
            </w:r>
            <w:r w:rsidR="31F41DB9" w:rsidRPr="614F74A4">
              <w:rPr>
                <w:rFonts w:ascii="Cambria" w:hAnsi="Cambria"/>
                <w:color w:val="000000" w:themeColor="text1"/>
                <w:sz w:val="18"/>
                <w:szCs w:val="18"/>
                <w:lang w:val="es-MX"/>
              </w:rPr>
              <w:t>I</w:t>
            </w:r>
            <w:r w:rsidRPr="614F74A4">
              <w:rPr>
                <w:rFonts w:ascii="Cambria" w:hAnsi="Cambria"/>
                <w:color w:val="000000" w:themeColor="text1"/>
                <w:sz w:val="18"/>
                <w:szCs w:val="18"/>
                <w:lang w:val="es-MX"/>
              </w:rPr>
              <w:t xml:space="preserve">nforme </w:t>
            </w:r>
            <w:r w:rsidR="31F41DB9" w:rsidRPr="614F74A4">
              <w:rPr>
                <w:rFonts w:ascii="Cambria" w:hAnsi="Cambria"/>
                <w:color w:val="000000" w:themeColor="text1"/>
                <w:sz w:val="18"/>
                <w:szCs w:val="18"/>
                <w:lang w:val="es-MX"/>
              </w:rPr>
              <w:t>No.</w:t>
            </w:r>
            <w:r w:rsidRPr="614F74A4">
              <w:rPr>
                <w:rFonts w:ascii="Cambria" w:hAnsi="Cambria"/>
                <w:color w:val="000000" w:themeColor="text1"/>
                <w:sz w:val="18"/>
                <w:szCs w:val="18"/>
                <w:lang w:val="es-MX"/>
              </w:rPr>
              <w:t xml:space="preserve"> 95</w:t>
            </w:r>
            <w:r w:rsidR="31F41DB9" w:rsidRPr="614F74A4">
              <w:rPr>
                <w:rFonts w:ascii="Cambria" w:hAnsi="Cambria"/>
                <w:color w:val="000000" w:themeColor="text1"/>
                <w:sz w:val="18"/>
                <w:szCs w:val="18"/>
                <w:lang w:val="es-MX"/>
              </w:rPr>
              <w:t>/</w:t>
            </w:r>
            <w:r w:rsidRPr="614F74A4">
              <w:rPr>
                <w:rFonts w:ascii="Cambria" w:hAnsi="Cambria"/>
                <w:color w:val="000000" w:themeColor="text1"/>
                <w:sz w:val="18"/>
                <w:szCs w:val="18"/>
                <w:lang w:val="es-MX"/>
              </w:rPr>
              <w:t>17 debe ser dejada sin efectos.</w:t>
            </w:r>
          </w:p>
        </w:tc>
        <w:tc>
          <w:tcPr>
            <w:tcW w:w="2135" w:type="dxa"/>
            <w:shd w:val="clear" w:color="auto" w:fill="auto"/>
            <w:vAlign w:val="center"/>
          </w:tcPr>
          <w:p w14:paraId="1878B8BD" w14:textId="4FCA0836" w:rsidR="00084557" w:rsidRPr="00DE1365" w:rsidRDefault="41D97A31" w:rsidP="614F74A4">
            <w:pPr>
              <w:jc w:val="center"/>
              <w:rPr>
                <w:rFonts w:ascii="Cambria" w:eastAsia="Cambria" w:hAnsi="Cambria" w:cs="Cambria"/>
                <w:color w:val="000000" w:themeColor="text1"/>
                <w:sz w:val="18"/>
                <w:szCs w:val="18"/>
                <w:lang w:val="es-CO"/>
              </w:rPr>
            </w:pPr>
            <w:r w:rsidRPr="614F74A4">
              <w:rPr>
                <w:rFonts w:ascii="Cambria" w:eastAsia="Cambria" w:hAnsi="Cambria" w:cs="Cambria"/>
                <w:color w:val="000000" w:themeColor="text1"/>
                <w:sz w:val="18"/>
                <w:szCs w:val="18"/>
              </w:rPr>
              <w:t>Cumplimiento total</w:t>
            </w:r>
          </w:p>
        </w:tc>
      </w:tr>
    </w:tbl>
    <w:p w14:paraId="35FB253A" w14:textId="77777777" w:rsidR="00A62645" w:rsidRPr="00A62645" w:rsidRDefault="00A62645" w:rsidP="614F74A4">
      <w:pPr>
        <w:jc w:val="both"/>
        <w:rPr>
          <w:rFonts w:ascii="Cambria" w:eastAsia="Cambria" w:hAnsi="Cambria" w:cs="Cambria"/>
          <w:b/>
          <w:bCs/>
          <w:color w:val="000000" w:themeColor="text1"/>
          <w:lang w:val="es-CO"/>
        </w:rPr>
      </w:pPr>
    </w:p>
    <w:p w14:paraId="01F6D042" w14:textId="77777777" w:rsidR="0059342F" w:rsidRPr="00F22F03" w:rsidRDefault="0059342F" w:rsidP="614F74A4">
      <w:pPr>
        <w:numPr>
          <w:ilvl w:val="0"/>
          <w:numId w:val="27"/>
        </w:numPr>
        <w:pBdr>
          <w:top w:val="nil"/>
          <w:left w:val="nil"/>
          <w:bottom w:val="nil"/>
          <w:right w:val="nil"/>
          <w:between w:val="nil"/>
        </w:pBdr>
        <w:ind w:left="0" w:firstLine="720"/>
        <w:jc w:val="both"/>
        <w:rPr>
          <w:rFonts w:ascii="Cambria" w:eastAsia="Cambria" w:hAnsi="Cambria" w:cs="Cambria"/>
          <w:b/>
          <w:bCs/>
          <w:color w:val="000000" w:themeColor="text1"/>
          <w:sz w:val="20"/>
          <w:szCs w:val="20"/>
        </w:rPr>
      </w:pPr>
      <w:r w:rsidRPr="614F74A4">
        <w:rPr>
          <w:rFonts w:ascii="Cambria" w:eastAsia="Cambria" w:hAnsi="Cambria" w:cs="Cambria"/>
          <w:b/>
          <w:bCs/>
          <w:color w:val="000000" w:themeColor="text1"/>
          <w:sz w:val="20"/>
          <w:szCs w:val="20"/>
        </w:rPr>
        <w:t>Actividad procesal</w:t>
      </w:r>
    </w:p>
    <w:p w14:paraId="74A034A3" w14:textId="77777777" w:rsidR="0059342F" w:rsidRPr="00F22F03" w:rsidRDefault="0059342F" w:rsidP="614F74A4">
      <w:pPr>
        <w:ind w:firstLine="720"/>
        <w:jc w:val="both"/>
        <w:rPr>
          <w:rFonts w:ascii="Cambria" w:eastAsia="Cambria" w:hAnsi="Cambria" w:cs="Cambria"/>
          <w:color w:val="000000" w:themeColor="text1"/>
          <w:sz w:val="20"/>
          <w:szCs w:val="20"/>
        </w:rPr>
      </w:pPr>
    </w:p>
    <w:p w14:paraId="4956019D" w14:textId="14777320" w:rsidR="0059342F" w:rsidRPr="00F22F03" w:rsidRDefault="00F22F03" w:rsidP="614F74A4">
      <w:pPr>
        <w:pStyle w:val="ListParagraph"/>
        <w:numPr>
          <w:ilvl w:val="3"/>
          <w:numId w:val="27"/>
        </w:numPr>
        <w:ind w:left="0" w:firstLine="720"/>
        <w:jc w:val="both"/>
        <w:rPr>
          <w:rFonts w:ascii="Cambria" w:eastAsia="Cambria" w:hAnsi="Cambria" w:cs="Cambria"/>
          <w:color w:val="000000" w:themeColor="text1"/>
          <w:sz w:val="20"/>
          <w:szCs w:val="20"/>
          <w:lang w:val="es-ES"/>
        </w:rPr>
      </w:pPr>
      <w:r w:rsidRPr="614F74A4">
        <w:rPr>
          <w:rFonts w:ascii="Cambria" w:eastAsia="Cambria" w:hAnsi="Cambria" w:cs="Cambria"/>
          <w:color w:val="000000" w:themeColor="text1"/>
          <w:sz w:val="20"/>
          <w:szCs w:val="20"/>
          <w:lang w:val="es-ES"/>
        </w:rPr>
        <w:t xml:space="preserve">En 2022, la CIDH solicitó información al Estado sobre el cumplimiento de las recomendaciones el 25 de agosto. </w:t>
      </w:r>
      <w:r w:rsidR="00DA7B3C" w:rsidRPr="614F74A4">
        <w:rPr>
          <w:rFonts w:ascii="Cambria" w:eastAsia="Cambria" w:hAnsi="Cambria" w:cs="Cambria"/>
          <w:color w:val="000000" w:themeColor="text1"/>
          <w:sz w:val="20"/>
          <w:szCs w:val="20"/>
          <w:lang w:val="es-ES"/>
        </w:rPr>
        <w:t xml:space="preserve">El Estado solicitó una prórroga para responder a la solicitud el 23 de septiembre y proporcionó esta información </w:t>
      </w:r>
      <w:r w:rsidR="00AD7FF8" w:rsidRPr="614F74A4">
        <w:rPr>
          <w:rFonts w:ascii="Cambria" w:eastAsia="Cambria" w:hAnsi="Cambria" w:cs="Cambria"/>
          <w:color w:val="000000" w:themeColor="text1"/>
          <w:sz w:val="20"/>
          <w:szCs w:val="20"/>
          <w:lang w:val="es-ES"/>
        </w:rPr>
        <w:t>los días</w:t>
      </w:r>
      <w:r w:rsidR="00DA7B3C" w:rsidRPr="614F74A4">
        <w:rPr>
          <w:rFonts w:ascii="Cambria" w:eastAsia="Cambria" w:hAnsi="Cambria" w:cs="Cambria"/>
          <w:color w:val="000000" w:themeColor="text1"/>
          <w:sz w:val="20"/>
          <w:szCs w:val="20"/>
          <w:lang w:val="es-ES"/>
        </w:rPr>
        <w:t xml:space="preserve"> 7</w:t>
      </w:r>
      <w:r w:rsidR="00AD7FF8" w:rsidRPr="614F74A4">
        <w:rPr>
          <w:rFonts w:ascii="Cambria" w:eastAsia="Cambria" w:hAnsi="Cambria" w:cs="Cambria"/>
          <w:color w:val="000000" w:themeColor="text1"/>
          <w:sz w:val="20"/>
          <w:szCs w:val="20"/>
          <w:lang w:val="es-ES"/>
        </w:rPr>
        <w:t xml:space="preserve"> y 31</w:t>
      </w:r>
      <w:r w:rsidR="00DA7B3C" w:rsidRPr="614F74A4">
        <w:rPr>
          <w:rFonts w:ascii="Cambria" w:eastAsia="Cambria" w:hAnsi="Cambria" w:cs="Cambria"/>
          <w:color w:val="000000" w:themeColor="text1"/>
          <w:sz w:val="20"/>
          <w:szCs w:val="20"/>
          <w:lang w:val="es-ES"/>
        </w:rPr>
        <w:t xml:space="preserve"> de octubre de 2022. </w:t>
      </w:r>
    </w:p>
    <w:p w14:paraId="5E34CDAC" w14:textId="77777777" w:rsidR="00F22F03" w:rsidRPr="00F22F03" w:rsidRDefault="00F22F03" w:rsidP="614F74A4">
      <w:pPr>
        <w:pStyle w:val="ListParagraph"/>
        <w:jc w:val="both"/>
        <w:rPr>
          <w:rFonts w:ascii="Cambria" w:eastAsia="Cambria" w:hAnsi="Cambria" w:cs="Cambria"/>
          <w:color w:val="000000" w:themeColor="text1"/>
          <w:sz w:val="20"/>
          <w:szCs w:val="20"/>
          <w:lang w:val="es-ES"/>
        </w:rPr>
      </w:pPr>
    </w:p>
    <w:p w14:paraId="300ED7AF" w14:textId="5E154078" w:rsidR="00F22F03" w:rsidRPr="00F22F03" w:rsidRDefault="00F22F03" w:rsidP="614F74A4">
      <w:pPr>
        <w:pStyle w:val="ListParagraph"/>
        <w:numPr>
          <w:ilvl w:val="3"/>
          <w:numId w:val="27"/>
        </w:numPr>
        <w:ind w:left="0" w:firstLine="720"/>
        <w:jc w:val="both"/>
        <w:rPr>
          <w:rFonts w:ascii="Cambria" w:eastAsia="Cambria" w:hAnsi="Cambria" w:cs="Cambria"/>
          <w:color w:val="000000" w:themeColor="text1"/>
          <w:sz w:val="20"/>
          <w:szCs w:val="20"/>
          <w:lang w:val="es-ES"/>
        </w:rPr>
      </w:pPr>
      <w:r w:rsidRPr="614F74A4">
        <w:rPr>
          <w:rFonts w:ascii="Cambria" w:eastAsia="Cambria" w:hAnsi="Cambria" w:cs="Cambria"/>
          <w:color w:val="000000" w:themeColor="text1"/>
          <w:sz w:val="20"/>
          <w:szCs w:val="20"/>
          <w:lang w:val="es-ES"/>
        </w:rPr>
        <w:t xml:space="preserve">La CIDH solicitó información </w:t>
      </w:r>
      <w:r w:rsidR="00DA7B3C" w:rsidRPr="614F74A4">
        <w:rPr>
          <w:rFonts w:ascii="Cambria" w:eastAsia="Cambria" w:hAnsi="Cambria" w:cs="Cambria"/>
          <w:color w:val="000000" w:themeColor="text1"/>
          <w:sz w:val="20"/>
          <w:szCs w:val="20"/>
          <w:lang w:val="es-ES"/>
        </w:rPr>
        <w:t>a la parte peticionaria</w:t>
      </w:r>
      <w:r w:rsidRPr="614F74A4">
        <w:rPr>
          <w:rFonts w:ascii="Cambria" w:eastAsia="Cambria" w:hAnsi="Cambria" w:cs="Cambria"/>
          <w:color w:val="000000" w:themeColor="text1"/>
          <w:sz w:val="20"/>
          <w:szCs w:val="20"/>
          <w:lang w:val="es-ES"/>
        </w:rPr>
        <w:t xml:space="preserve"> sobre el cumplimiento de las recomendaciones el 25 de agosto de 2022</w:t>
      </w:r>
      <w:r w:rsidR="00DA7B3C" w:rsidRPr="614F74A4">
        <w:rPr>
          <w:rFonts w:ascii="Cambria" w:eastAsia="Cambria" w:hAnsi="Cambria" w:cs="Cambria"/>
          <w:color w:val="000000" w:themeColor="text1"/>
          <w:sz w:val="20"/>
          <w:szCs w:val="20"/>
          <w:lang w:val="es-ES"/>
        </w:rPr>
        <w:t xml:space="preserve"> y la parte peticionaria proporcionó esta información el 22 de septiembre de 2022.</w:t>
      </w:r>
    </w:p>
    <w:p w14:paraId="5FF5A390" w14:textId="77777777" w:rsidR="002D3925" w:rsidRDefault="002D3925" w:rsidP="614F74A4">
      <w:pPr>
        <w:jc w:val="both"/>
        <w:rPr>
          <w:rFonts w:ascii="Cambria" w:hAnsi="Cambria" w:cs="Calibri Light"/>
          <w:color w:val="000000"/>
          <w:sz w:val="20"/>
          <w:szCs w:val="20"/>
          <w:lang w:val="es-ES"/>
        </w:rPr>
      </w:pPr>
    </w:p>
    <w:p w14:paraId="73FF342D" w14:textId="13DC1DA6" w:rsidR="00AD7FF8" w:rsidRPr="00AD7FF8" w:rsidRDefault="00AD7FF8" w:rsidP="614F74A4">
      <w:pPr>
        <w:pStyle w:val="ListParagraph"/>
        <w:numPr>
          <w:ilvl w:val="0"/>
          <w:numId w:val="27"/>
        </w:numPr>
        <w:ind w:left="0" w:firstLine="720"/>
        <w:jc w:val="both"/>
        <w:rPr>
          <w:rFonts w:ascii="Cambria" w:hAnsi="Cambria" w:cs="Calibri Light"/>
          <w:b/>
          <w:bCs/>
          <w:color w:val="000000" w:themeColor="text1"/>
          <w:sz w:val="20"/>
          <w:szCs w:val="20"/>
          <w:lang w:val="es-ES"/>
        </w:rPr>
      </w:pPr>
      <w:r w:rsidRPr="614F74A4">
        <w:rPr>
          <w:rFonts w:ascii="Cambria" w:hAnsi="Cambria" w:cs="Calibri Light"/>
          <w:b/>
          <w:bCs/>
          <w:color w:val="000000" w:themeColor="text1"/>
          <w:sz w:val="20"/>
          <w:szCs w:val="20"/>
          <w:lang w:val="es-ES"/>
        </w:rPr>
        <w:t>Análisis relativo a la información proporcionada</w:t>
      </w:r>
    </w:p>
    <w:p w14:paraId="20818E52" w14:textId="77777777" w:rsidR="00AD7FF8" w:rsidRPr="00AD7FF8" w:rsidRDefault="00AD7FF8" w:rsidP="614F74A4">
      <w:pPr>
        <w:ind w:firstLine="720"/>
        <w:jc w:val="both"/>
        <w:rPr>
          <w:rFonts w:ascii="Cambria" w:hAnsi="Cambria" w:cs="Calibri Light"/>
          <w:color w:val="000000" w:themeColor="text1"/>
          <w:sz w:val="20"/>
          <w:szCs w:val="20"/>
          <w:lang w:val="es-ES"/>
        </w:rPr>
      </w:pPr>
    </w:p>
    <w:p w14:paraId="40CAC6FD" w14:textId="2DF12FAC" w:rsidR="00BD17B0" w:rsidRPr="00AD7FF8" w:rsidRDefault="00AD7FF8" w:rsidP="614F74A4">
      <w:pPr>
        <w:pStyle w:val="ListParagraph"/>
        <w:numPr>
          <w:ilvl w:val="0"/>
          <w:numId w:val="21"/>
        </w:numPr>
        <w:tabs>
          <w:tab w:val="left" w:pos="720"/>
        </w:tabs>
        <w:ind w:left="0" w:firstLine="720"/>
        <w:jc w:val="both"/>
        <w:rPr>
          <w:color w:val="000000" w:themeColor="text1"/>
          <w:sz w:val="20"/>
          <w:szCs w:val="20"/>
          <w:lang w:val="es-ES"/>
        </w:rPr>
      </w:pPr>
      <w:r w:rsidRPr="614F74A4">
        <w:rPr>
          <w:rFonts w:ascii="Cambria" w:hAnsi="Cambria" w:cs="Calibri Light"/>
          <w:color w:val="000000" w:themeColor="text1"/>
          <w:sz w:val="20"/>
          <w:szCs w:val="20"/>
          <w:lang w:val="es-ES"/>
        </w:rPr>
        <w:t xml:space="preserve">La Comisión considera que la información proporcionada por las partes en 2022 es relevante para actualizar el seguimiento del caso puesto que se refiere a medidas de cumplimiento de al menos una de las recomendaciones incluidas en el Informe de Fondo Nº 268/21. </w:t>
      </w:r>
    </w:p>
    <w:p w14:paraId="18BEAA2F" w14:textId="77777777" w:rsidR="00AD7FF8" w:rsidRPr="00AD7FF8" w:rsidRDefault="00AD7FF8" w:rsidP="614F74A4">
      <w:pPr>
        <w:pStyle w:val="ListParagraph"/>
        <w:tabs>
          <w:tab w:val="left" w:pos="720"/>
        </w:tabs>
        <w:jc w:val="both"/>
        <w:rPr>
          <w:color w:val="000000" w:themeColor="text1"/>
          <w:sz w:val="20"/>
          <w:szCs w:val="20"/>
          <w:lang w:val="es-ES"/>
        </w:rPr>
      </w:pPr>
    </w:p>
    <w:p w14:paraId="68B2C9B6" w14:textId="690A488D" w:rsidR="00AD7FF8" w:rsidRPr="00AD7FF8" w:rsidRDefault="00AD7FF8" w:rsidP="614F74A4">
      <w:pPr>
        <w:pStyle w:val="ListParagraph"/>
        <w:numPr>
          <w:ilvl w:val="0"/>
          <w:numId w:val="27"/>
        </w:numPr>
        <w:tabs>
          <w:tab w:val="left" w:pos="720"/>
        </w:tabs>
        <w:ind w:hanging="360"/>
        <w:jc w:val="both"/>
        <w:rPr>
          <w:color w:val="000000" w:themeColor="text1"/>
          <w:sz w:val="20"/>
          <w:szCs w:val="20"/>
          <w:lang w:val="es-ES"/>
        </w:rPr>
      </w:pPr>
      <w:r w:rsidRPr="614F74A4">
        <w:rPr>
          <w:rFonts w:ascii="Cambria" w:hAnsi="Cambria" w:cs="Calibri Light"/>
          <w:b/>
          <w:bCs/>
          <w:color w:val="000000" w:themeColor="text1"/>
          <w:sz w:val="20"/>
          <w:szCs w:val="20"/>
          <w:lang w:val="es-US"/>
        </w:rPr>
        <w:t>Análisis del cumplimiento de las recomendaciones</w:t>
      </w:r>
    </w:p>
    <w:p w14:paraId="521E0DDD" w14:textId="6606AA9A" w:rsidR="00BD17B0" w:rsidRPr="00AD7FF8" w:rsidRDefault="00BD17B0" w:rsidP="614F74A4">
      <w:pPr>
        <w:rPr>
          <w:rFonts w:ascii="Cambria" w:hAnsi="Cambria"/>
          <w:b/>
          <w:bCs/>
          <w:color w:val="000000" w:themeColor="text1"/>
          <w:sz w:val="20"/>
          <w:szCs w:val="20"/>
          <w:lang w:val="es-ES"/>
        </w:rPr>
      </w:pPr>
    </w:p>
    <w:p w14:paraId="235934C7" w14:textId="0E3FDCE5" w:rsidR="008D0833" w:rsidRDefault="00AD7FF8" w:rsidP="614F74A4">
      <w:pPr>
        <w:pStyle w:val="ListParagraph"/>
        <w:numPr>
          <w:ilvl w:val="0"/>
          <w:numId w:val="21"/>
        </w:numPr>
        <w:ind w:left="0" w:firstLine="720"/>
        <w:jc w:val="both"/>
        <w:rPr>
          <w:rFonts w:ascii="Cambria" w:hAnsi="Cambria"/>
          <w:color w:val="000000" w:themeColor="text1"/>
          <w:sz w:val="20"/>
          <w:szCs w:val="20"/>
          <w:lang w:val="es-CO"/>
        </w:rPr>
      </w:pPr>
      <w:r w:rsidRPr="614F74A4">
        <w:rPr>
          <w:rFonts w:ascii="Cambria" w:hAnsi="Cambria"/>
          <w:b/>
          <w:bCs/>
          <w:color w:val="000000" w:themeColor="text1"/>
          <w:sz w:val="20"/>
          <w:szCs w:val="20"/>
          <w:lang w:val="es-ES"/>
        </w:rPr>
        <w:t>Respecto de la primera recomendación</w:t>
      </w:r>
      <w:r w:rsidRPr="614F74A4">
        <w:rPr>
          <w:rFonts w:ascii="Cambria" w:hAnsi="Cambria"/>
          <w:color w:val="000000" w:themeColor="text1"/>
          <w:sz w:val="20"/>
          <w:szCs w:val="20"/>
          <w:lang w:val="es-ES"/>
        </w:rPr>
        <w:t xml:space="preserve">, </w:t>
      </w:r>
      <w:r w:rsidR="00A62645" w:rsidRPr="614F74A4">
        <w:rPr>
          <w:rFonts w:ascii="Cambria" w:hAnsi="Cambria"/>
          <w:color w:val="000000" w:themeColor="text1"/>
          <w:sz w:val="20"/>
          <w:szCs w:val="20"/>
          <w:lang w:val="es-ES"/>
        </w:rPr>
        <w:t xml:space="preserve">desde antes de la publicación del informe de fondo, el Estado </w:t>
      </w:r>
      <w:r w:rsidR="00A62645" w:rsidRPr="614F74A4">
        <w:rPr>
          <w:rFonts w:ascii="Cambria" w:hAnsi="Cambria"/>
          <w:color w:val="000000" w:themeColor="text1"/>
          <w:sz w:val="20"/>
          <w:szCs w:val="20"/>
          <w:lang w:val="es-CO"/>
        </w:rPr>
        <w:t xml:space="preserve">informó que el registro de la condena impuesta a la víctima caducó y que ni el Registro Nacional de Reincidencia ni la Policía Federal Argentina tienen registros sobre dicha condena. Agregó que, sin perjuicio de ello, se compromete a comunicar a cualquier juzgado que indique la parte peticionaria que se deje sin efectos la condena a la víctima. </w:t>
      </w:r>
      <w:r w:rsidR="0016357E" w:rsidRPr="614F74A4">
        <w:rPr>
          <w:rFonts w:ascii="Cambria" w:hAnsi="Cambria"/>
          <w:color w:val="000000" w:themeColor="text1"/>
          <w:sz w:val="20"/>
          <w:szCs w:val="20"/>
          <w:lang w:val="es-CO"/>
        </w:rPr>
        <w:t xml:space="preserve">En 2022, el Estado solicitó declarar el cumplimiento total de esta recomendación luego de señalar que la Cámara Nacional de Apelaciones en lo Criminal y Correccional de la Capital Federal y la Cámara Nacional de Casación en lo Criminal y Correccional difundieron el informe de fondo de este caso ante los tribunales de sus respectivas jurisdicciones. </w:t>
      </w:r>
    </w:p>
    <w:p w14:paraId="35F00C63" w14:textId="77777777" w:rsidR="008D0833" w:rsidRDefault="008D0833" w:rsidP="614F74A4">
      <w:pPr>
        <w:pStyle w:val="ListParagraph"/>
        <w:jc w:val="both"/>
        <w:rPr>
          <w:rFonts w:ascii="Cambria" w:hAnsi="Cambria"/>
          <w:color w:val="000000" w:themeColor="text1"/>
          <w:sz w:val="20"/>
          <w:szCs w:val="20"/>
          <w:lang w:val="es-CO"/>
        </w:rPr>
      </w:pPr>
    </w:p>
    <w:p w14:paraId="3FB3C290" w14:textId="345B047C" w:rsidR="00A62645" w:rsidRDefault="008D0833" w:rsidP="614F74A4">
      <w:pPr>
        <w:pStyle w:val="ListParagraph"/>
        <w:numPr>
          <w:ilvl w:val="0"/>
          <w:numId w:val="21"/>
        </w:numPr>
        <w:ind w:left="0" w:firstLine="720"/>
        <w:jc w:val="both"/>
        <w:rPr>
          <w:rFonts w:ascii="Cambria" w:hAnsi="Cambria"/>
          <w:color w:val="000000" w:themeColor="text1"/>
          <w:sz w:val="20"/>
          <w:szCs w:val="20"/>
          <w:lang w:val="es-CO"/>
        </w:rPr>
      </w:pPr>
      <w:r w:rsidRPr="614F74A4">
        <w:rPr>
          <w:rFonts w:ascii="Cambria" w:hAnsi="Cambria"/>
          <w:color w:val="000000" w:themeColor="text1"/>
          <w:sz w:val="20"/>
          <w:szCs w:val="20"/>
          <w:lang w:val="es-CO"/>
        </w:rPr>
        <w:t>En 2022, la parte peticionaria</w:t>
      </w:r>
      <w:r w:rsidR="00EA5368" w:rsidRPr="614F74A4">
        <w:rPr>
          <w:rFonts w:ascii="Cambria" w:hAnsi="Cambria"/>
          <w:color w:val="000000" w:themeColor="text1"/>
          <w:sz w:val="20"/>
          <w:szCs w:val="20"/>
          <w:lang w:val="es-CO"/>
        </w:rPr>
        <w:t xml:space="preserve"> confirmó que el Estado comunicó la publicación del presente informe de fondo al fuero penal nacional para que los juzgados y cámaras conocieran el caso, incluso los que intervinieron en su juzgamiento interno. </w:t>
      </w:r>
    </w:p>
    <w:p w14:paraId="6A32664E" w14:textId="77777777" w:rsidR="00EA5368" w:rsidRPr="00EA5368" w:rsidRDefault="00EA5368" w:rsidP="614F74A4">
      <w:pPr>
        <w:pStyle w:val="ListParagraph"/>
        <w:rPr>
          <w:rFonts w:ascii="Cambria" w:hAnsi="Cambria"/>
          <w:color w:val="000000" w:themeColor="text1"/>
          <w:sz w:val="20"/>
          <w:szCs w:val="20"/>
          <w:lang w:val="es-CO"/>
        </w:rPr>
      </w:pPr>
    </w:p>
    <w:p w14:paraId="22C7E895" w14:textId="18AB5862" w:rsidR="00EA5368" w:rsidRDefault="00EA5368" w:rsidP="614F74A4">
      <w:pPr>
        <w:pStyle w:val="ListParagraph"/>
        <w:numPr>
          <w:ilvl w:val="0"/>
          <w:numId w:val="21"/>
        </w:numPr>
        <w:ind w:left="0" w:firstLine="720"/>
        <w:jc w:val="both"/>
        <w:rPr>
          <w:rFonts w:ascii="Cambria" w:hAnsi="Cambria"/>
          <w:color w:val="000000" w:themeColor="text1"/>
          <w:sz w:val="20"/>
          <w:szCs w:val="20"/>
          <w:lang w:val="es-CO"/>
        </w:rPr>
      </w:pPr>
      <w:r w:rsidRPr="614F74A4">
        <w:rPr>
          <w:rFonts w:ascii="Cambria" w:hAnsi="Cambria"/>
          <w:color w:val="000000" w:themeColor="text1"/>
          <w:sz w:val="20"/>
          <w:szCs w:val="20"/>
          <w:lang w:val="es-CO"/>
        </w:rPr>
        <w:t>La CIDH agradece la información proporcionada</w:t>
      </w:r>
      <w:r w:rsidR="007434E8" w:rsidRPr="614F74A4">
        <w:rPr>
          <w:rFonts w:ascii="Cambria" w:hAnsi="Cambria"/>
          <w:color w:val="000000" w:themeColor="text1"/>
          <w:sz w:val="20"/>
          <w:szCs w:val="20"/>
          <w:lang w:val="es-CO"/>
        </w:rPr>
        <w:t>. Asimismo, considera que las cláusulas A2 y A4 han sido totalmente cumplidas</w:t>
      </w:r>
      <w:r w:rsidR="00DD4AB9" w:rsidRPr="614F74A4">
        <w:rPr>
          <w:rFonts w:ascii="Cambria" w:hAnsi="Cambria"/>
          <w:color w:val="000000" w:themeColor="text1"/>
          <w:sz w:val="20"/>
          <w:szCs w:val="20"/>
          <w:lang w:val="es-CO"/>
        </w:rPr>
        <w:t>, relacionadas con el seguimiento de esta recomendación</w:t>
      </w:r>
      <w:r w:rsidR="007434E8" w:rsidRPr="614F74A4">
        <w:rPr>
          <w:rFonts w:ascii="Cambria" w:hAnsi="Cambria"/>
          <w:color w:val="000000" w:themeColor="text1"/>
          <w:sz w:val="20"/>
          <w:szCs w:val="20"/>
          <w:lang w:val="es-CO"/>
        </w:rPr>
        <w:t xml:space="preserve">. En este sentido, la Comisión determina que la recomendación 1 </w:t>
      </w:r>
      <w:r w:rsidRPr="614F74A4">
        <w:rPr>
          <w:rFonts w:ascii="Cambria" w:hAnsi="Cambria"/>
          <w:color w:val="000000" w:themeColor="text1"/>
          <w:sz w:val="20"/>
          <w:szCs w:val="20"/>
          <w:lang w:val="es-CO"/>
        </w:rPr>
        <w:t xml:space="preserve">ha sido </w:t>
      </w:r>
      <w:r w:rsidRPr="614F74A4">
        <w:rPr>
          <w:rFonts w:ascii="Cambria" w:hAnsi="Cambria"/>
          <w:b/>
          <w:bCs/>
          <w:color w:val="000000" w:themeColor="text1"/>
          <w:sz w:val="20"/>
          <w:szCs w:val="20"/>
          <w:lang w:val="es-CO"/>
        </w:rPr>
        <w:t>totalmente cumplida</w:t>
      </w:r>
      <w:r w:rsidRPr="614F74A4">
        <w:rPr>
          <w:rFonts w:ascii="Cambria" w:hAnsi="Cambria"/>
          <w:color w:val="000000" w:themeColor="text1"/>
          <w:sz w:val="20"/>
          <w:szCs w:val="20"/>
          <w:lang w:val="es-CO"/>
        </w:rPr>
        <w:t xml:space="preserve">. </w:t>
      </w:r>
    </w:p>
    <w:p w14:paraId="405D1A35" w14:textId="77777777" w:rsidR="00A62645" w:rsidRPr="006E5E07" w:rsidRDefault="00A62645" w:rsidP="614F74A4">
      <w:pPr>
        <w:pStyle w:val="ListParagraph"/>
        <w:jc w:val="both"/>
        <w:rPr>
          <w:rFonts w:ascii="Cambria" w:hAnsi="Cambria"/>
          <w:b/>
          <w:bCs/>
          <w:color w:val="000000" w:themeColor="text1"/>
          <w:sz w:val="20"/>
          <w:szCs w:val="20"/>
          <w:lang w:val="es-CO"/>
        </w:rPr>
      </w:pPr>
    </w:p>
    <w:p w14:paraId="0A001136" w14:textId="585B3425" w:rsidR="00EA5368" w:rsidRPr="00EA5368" w:rsidRDefault="00A62645" w:rsidP="614F74A4">
      <w:pPr>
        <w:pStyle w:val="ListParagraph"/>
        <w:numPr>
          <w:ilvl w:val="0"/>
          <w:numId w:val="21"/>
        </w:numPr>
        <w:ind w:left="0" w:firstLine="720"/>
        <w:jc w:val="both"/>
        <w:rPr>
          <w:rFonts w:ascii="Cambria" w:hAnsi="Cambria"/>
          <w:b/>
          <w:bCs/>
          <w:color w:val="000000" w:themeColor="text1"/>
          <w:sz w:val="20"/>
          <w:szCs w:val="20"/>
          <w:lang w:val="es-ES"/>
        </w:rPr>
      </w:pPr>
      <w:r w:rsidRPr="614F74A4">
        <w:rPr>
          <w:rFonts w:ascii="Cambria" w:hAnsi="Cambria"/>
          <w:b/>
          <w:bCs/>
          <w:color w:val="000000" w:themeColor="text1"/>
          <w:sz w:val="20"/>
          <w:szCs w:val="20"/>
          <w:lang w:val="es-CO"/>
        </w:rPr>
        <w:t xml:space="preserve">Respecto de la segunda recomendación, </w:t>
      </w:r>
      <w:r w:rsidR="002D3925" w:rsidRPr="614F74A4">
        <w:rPr>
          <w:rFonts w:ascii="Cambria" w:hAnsi="Cambria"/>
          <w:color w:val="000000" w:themeColor="text1"/>
          <w:sz w:val="20"/>
          <w:szCs w:val="20"/>
          <w:lang w:val="es-CO"/>
        </w:rPr>
        <w:t xml:space="preserve">desde antes de la publicación del informe de fondo, </w:t>
      </w:r>
      <w:r w:rsidRPr="614F74A4">
        <w:rPr>
          <w:rFonts w:ascii="Cambria" w:hAnsi="Cambria"/>
          <w:color w:val="000000" w:themeColor="text1"/>
          <w:sz w:val="20"/>
          <w:szCs w:val="20"/>
          <w:lang w:val="es-CO"/>
        </w:rPr>
        <w:t>el Estado informó que e</w:t>
      </w:r>
      <w:r w:rsidR="00AD7FF8" w:rsidRPr="614F74A4">
        <w:rPr>
          <w:rFonts w:ascii="Cambria" w:hAnsi="Cambria"/>
          <w:color w:val="000000" w:themeColor="text1"/>
          <w:sz w:val="20"/>
          <w:szCs w:val="20"/>
          <w:lang w:val="es-CO"/>
        </w:rPr>
        <w:t>l</w:t>
      </w:r>
      <w:r w:rsidR="002D3925" w:rsidRPr="614F74A4">
        <w:rPr>
          <w:rFonts w:ascii="Cambria" w:hAnsi="Cambria"/>
          <w:color w:val="000000" w:themeColor="text1"/>
          <w:sz w:val="20"/>
          <w:szCs w:val="20"/>
          <w:lang w:val="es-CO"/>
        </w:rPr>
        <w:t xml:space="preserve"> 7 de septiembre de 2021 el Tribunal Arbitral Ad Hoc constituido para realizar el pago en el presente caso emitió su laudo arbitral </w:t>
      </w:r>
      <w:r w:rsidR="00AD7FF8" w:rsidRPr="614F74A4">
        <w:rPr>
          <w:rFonts w:ascii="Cambria" w:hAnsi="Cambria"/>
          <w:color w:val="000000" w:themeColor="text1"/>
          <w:sz w:val="20"/>
          <w:szCs w:val="20"/>
          <w:lang w:val="es-CO"/>
        </w:rPr>
        <w:t>el 7 de septiembre de 2021</w:t>
      </w:r>
      <w:r w:rsidR="002D3925" w:rsidRPr="614F74A4">
        <w:rPr>
          <w:rFonts w:ascii="Cambria" w:hAnsi="Cambria"/>
          <w:color w:val="000000" w:themeColor="text1"/>
          <w:sz w:val="20"/>
          <w:szCs w:val="20"/>
          <w:lang w:val="es-CO"/>
        </w:rPr>
        <w:t xml:space="preserve"> fijando las indemnizaciones que deberá pagar a la víctima por daño material e inmaterial y reintegro de costas y gastos. </w:t>
      </w:r>
      <w:r w:rsidR="007434E8" w:rsidRPr="614F74A4">
        <w:rPr>
          <w:rFonts w:ascii="Cambria" w:hAnsi="Cambria"/>
          <w:color w:val="000000" w:themeColor="text1"/>
          <w:sz w:val="20"/>
          <w:szCs w:val="20"/>
          <w:lang w:val="es-CO"/>
        </w:rPr>
        <w:t>Posteriormente, durante el 2022, i</w:t>
      </w:r>
      <w:r w:rsidR="0016357E" w:rsidRPr="614F74A4">
        <w:rPr>
          <w:rFonts w:ascii="Cambria" w:hAnsi="Cambria"/>
          <w:color w:val="000000" w:themeColor="text1"/>
          <w:sz w:val="20"/>
          <w:szCs w:val="20"/>
          <w:lang w:val="es-CO"/>
        </w:rPr>
        <w:t>ndicó que el 23 de diciembre de 2021, se concretó el pago de la indemnización ordenada por el Tribunal Arbitral a la víctima.</w:t>
      </w:r>
      <w:r w:rsidR="00DD4AB9" w:rsidRPr="614F74A4">
        <w:rPr>
          <w:rFonts w:ascii="Cambria" w:hAnsi="Cambria"/>
          <w:color w:val="000000" w:themeColor="text1"/>
          <w:sz w:val="20"/>
          <w:szCs w:val="20"/>
          <w:lang w:val="es-CO"/>
        </w:rPr>
        <w:t xml:space="preserve"> Asimismo, el Estado indicó que, en cuanto a asistencia médica, psicológica y social, en 2022, se coordinaron con la representación de la víctima distintos turnos médicos y que no hubo requerimientos de atención psicológica ni capacitaciones formales.</w:t>
      </w:r>
    </w:p>
    <w:p w14:paraId="3FA10A00" w14:textId="77777777" w:rsidR="00EA5368" w:rsidRPr="00EA5368" w:rsidRDefault="00EA5368" w:rsidP="614F74A4">
      <w:pPr>
        <w:pStyle w:val="ListParagraph"/>
        <w:rPr>
          <w:rFonts w:ascii="Cambria" w:hAnsi="Cambria"/>
          <w:color w:val="000000" w:themeColor="text1"/>
          <w:sz w:val="20"/>
          <w:szCs w:val="20"/>
          <w:lang w:val="es-CO"/>
        </w:rPr>
      </w:pPr>
    </w:p>
    <w:p w14:paraId="715D049D" w14:textId="72C96CAC" w:rsidR="00EA5368" w:rsidRPr="00EA5368" w:rsidRDefault="00EA5368" w:rsidP="614F74A4">
      <w:pPr>
        <w:pStyle w:val="ListParagraph"/>
        <w:numPr>
          <w:ilvl w:val="0"/>
          <w:numId w:val="21"/>
        </w:numPr>
        <w:ind w:left="0" w:firstLine="720"/>
        <w:jc w:val="both"/>
        <w:rPr>
          <w:rFonts w:ascii="Cambria" w:hAnsi="Cambria"/>
          <w:b/>
          <w:bCs/>
          <w:color w:val="000000" w:themeColor="text1"/>
          <w:sz w:val="20"/>
          <w:szCs w:val="20"/>
          <w:lang w:val="es-ES"/>
        </w:rPr>
      </w:pPr>
      <w:r w:rsidRPr="614F74A4">
        <w:rPr>
          <w:rFonts w:ascii="Cambria" w:hAnsi="Cambria"/>
          <w:color w:val="000000" w:themeColor="text1"/>
          <w:sz w:val="20"/>
          <w:szCs w:val="20"/>
          <w:lang w:val="es-CO"/>
        </w:rPr>
        <w:t>En 2022, la parte peticionaria confirmó que, el 27 de diciembre de 2021, la víctima del caso acreditó haber recibido el pago por la indemnización ordenada por el Tribunal Arbitral, de manera oportuna. Indicó que este pago significó un reconocimiento a los hechos padecidos por la víctima, una importante contribución al fortalecimiento del Sistema Interamericano y un aporte trascendente a la situación familiar de la víctima.  La parte peticionaria también confirmó la prestación de algunos turnos médicos a favor de la víctima y confirmó que no hubo solicitud de requerimientos para asistencia psicológica o capacitación formal.</w:t>
      </w:r>
    </w:p>
    <w:p w14:paraId="1886E9A2" w14:textId="77777777" w:rsidR="00EA5368" w:rsidRPr="00EA5368" w:rsidRDefault="00EA5368" w:rsidP="614F74A4">
      <w:pPr>
        <w:pStyle w:val="ListParagraph"/>
        <w:rPr>
          <w:rFonts w:ascii="Cambria" w:hAnsi="Cambria"/>
          <w:color w:val="000000" w:themeColor="text1"/>
          <w:sz w:val="20"/>
          <w:szCs w:val="20"/>
          <w:lang w:val="es-CO"/>
        </w:rPr>
      </w:pPr>
    </w:p>
    <w:p w14:paraId="24A0B2C5" w14:textId="793403FE" w:rsidR="00BD17B0" w:rsidRPr="00F22F03" w:rsidRDefault="00EA5368" w:rsidP="614F74A4">
      <w:pPr>
        <w:pStyle w:val="ListParagraph"/>
        <w:numPr>
          <w:ilvl w:val="0"/>
          <w:numId w:val="21"/>
        </w:numPr>
        <w:ind w:left="0" w:firstLine="720"/>
        <w:jc w:val="both"/>
        <w:rPr>
          <w:rFonts w:ascii="Cambria" w:hAnsi="Cambria"/>
          <w:b/>
          <w:bCs/>
          <w:color w:val="000000" w:themeColor="text1"/>
          <w:sz w:val="20"/>
          <w:szCs w:val="20"/>
          <w:lang w:val="es-ES"/>
        </w:rPr>
      </w:pPr>
      <w:r w:rsidRPr="614F74A4">
        <w:rPr>
          <w:rFonts w:ascii="Cambria" w:hAnsi="Cambria"/>
          <w:color w:val="000000" w:themeColor="text1"/>
          <w:sz w:val="20"/>
          <w:szCs w:val="20"/>
          <w:lang w:val="es-CO"/>
        </w:rPr>
        <w:t xml:space="preserve">La CIDH valora muy positivamente que el Estado haya cumplido, de manera oportuna, el pago ordenado por el Tribunal Arbitral. </w:t>
      </w:r>
      <w:r w:rsidR="00DD4AB9" w:rsidRPr="614F74A4">
        <w:rPr>
          <w:rFonts w:ascii="Cambria" w:hAnsi="Cambria"/>
          <w:color w:val="000000" w:themeColor="text1"/>
          <w:sz w:val="20"/>
          <w:szCs w:val="20"/>
          <w:lang w:val="es-CO"/>
        </w:rPr>
        <w:t xml:space="preserve">Asimismo, reconoce que según la información proporcionada por el Estado y confirmada por la parte peticionaria, se ha prestado la asistencia médica solicitada por la víctima y que esta última decidió no acceder a servicios de atención psicológica ni a asistencia en materia de capacitación. </w:t>
      </w:r>
      <w:r w:rsidRPr="614F74A4">
        <w:rPr>
          <w:rFonts w:ascii="Cambria" w:hAnsi="Cambria"/>
          <w:color w:val="000000" w:themeColor="text1"/>
          <w:sz w:val="20"/>
          <w:szCs w:val="20"/>
          <w:lang w:val="es-CO"/>
        </w:rPr>
        <w:t>En este sentido, confirma que</w:t>
      </w:r>
      <w:r w:rsidR="00DD4AB9" w:rsidRPr="614F74A4">
        <w:rPr>
          <w:rFonts w:ascii="Cambria" w:hAnsi="Cambria"/>
          <w:color w:val="000000" w:themeColor="text1"/>
          <w:sz w:val="20"/>
          <w:szCs w:val="20"/>
          <w:lang w:val="es-CO"/>
        </w:rPr>
        <w:t xml:space="preserve"> la cláusula A3 del acuerdo de cumplimiento fue totalmente cumplida. Además, de manera integral, la segunda</w:t>
      </w:r>
      <w:r w:rsidRPr="614F74A4">
        <w:rPr>
          <w:rFonts w:ascii="Cambria" w:hAnsi="Cambria"/>
          <w:color w:val="000000" w:themeColor="text1"/>
          <w:sz w:val="20"/>
          <w:szCs w:val="20"/>
          <w:lang w:val="es-CO"/>
        </w:rPr>
        <w:t xml:space="preserve"> recomendación </w:t>
      </w:r>
      <w:r w:rsidR="00DD4AB9" w:rsidRPr="614F74A4">
        <w:rPr>
          <w:rFonts w:ascii="Cambria" w:hAnsi="Cambria"/>
          <w:color w:val="000000" w:themeColor="text1"/>
          <w:sz w:val="20"/>
          <w:szCs w:val="20"/>
          <w:lang w:val="es-CO"/>
        </w:rPr>
        <w:t xml:space="preserve">también </w:t>
      </w:r>
      <w:r w:rsidRPr="614F74A4">
        <w:rPr>
          <w:rFonts w:ascii="Cambria" w:hAnsi="Cambria"/>
          <w:color w:val="000000" w:themeColor="text1"/>
          <w:sz w:val="20"/>
          <w:szCs w:val="20"/>
          <w:lang w:val="es-CO"/>
        </w:rPr>
        <w:t xml:space="preserve">ha sido </w:t>
      </w:r>
      <w:r w:rsidRPr="614F74A4">
        <w:rPr>
          <w:rFonts w:ascii="Cambria" w:hAnsi="Cambria"/>
          <w:b/>
          <w:bCs/>
          <w:color w:val="000000" w:themeColor="text1"/>
          <w:sz w:val="20"/>
          <w:szCs w:val="20"/>
          <w:lang w:val="es-CO"/>
        </w:rPr>
        <w:t>totalmente cumplida</w:t>
      </w:r>
      <w:r w:rsidRPr="614F74A4">
        <w:rPr>
          <w:rFonts w:ascii="Cambria" w:hAnsi="Cambria"/>
          <w:color w:val="000000" w:themeColor="text1"/>
          <w:sz w:val="20"/>
          <w:szCs w:val="20"/>
          <w:lang w:val="es-CO"/>
        </w:rPr>
        <w:t>.</w:t>
      </w:r>
      <w:r w:rsidR="0016357E" w:rsidRPr="614F74A4">
        <w:rPr>
          <w:rFonts w:ascii="Cambria" w:hAnsi="Cambria"/>
          <w:color w:val="000000" w:themeColor="text1"/>
          <w:sz w:val="20"/>
          <w:szCs w:val="20"/>
          <w:lang w:val="es-CO"/>
        </w:rPr>
        <w:t xml:space="preserve"> </w:t>
      </w:r>
    </w:p>
    <w:p w14:paraId="76D1D0B8" w14:textId="35B7ECFC" w:rsidR="00BD17B0" w:rsidRPr="00F22F03" w:rsidRDefault="00BD17B0" w:rsidP="614F74A4">
      <w:pPr>
        <w:rPr>
          <w:color w:val="000000" w:themeColor="text1"/>
          <w:sz w:val="20"/>
          <w:szCs w:val="20"/>
          <w:lang w:val="es-ES"/>
        </w:rPr>
      </w:pPr>
    </w:p>
    <w:p w14:paraId="6E6DCF18" w14:textId="2B07A677" w:rsidR="00BD17B0" w:rsidRPr="00F22F03" w:rsidRDefault="3A0CA600" w:rsidP="614F74A4">
      <w:pPr>
        <w:pStyle w:val="ListParagraph"/>
        <w:numPr>
          <w:ilvl w:val="0"/>
          <w:numId w:val="9"/>
        </w:numPr>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 xml:space="preserve">Nivel del cumplimiento del caso </w:t>
      </w:r>
    </w:p>
    <w:p w14:paraId="54D96B94" w14:textId="69F3AB51" w:rsidR="00BD17B0" w:rsidRPr="00F22F03" w:rsidRDefault="00BD17B0" w:rsidP="614F74A4">
      <w:pPr>
        <w:ind w:firstLine="720"/>
        <w:jc w:val="both"/>
        <w:rPr>
          <w:rFonts w:ascii="Cambria" w:eastAsia="Cambria" w:hAnsi="Cambria" w:cs="Cambria"/>
          <w:color w:val="000000" w:themeColor="text1"/>
          <w:sz w:val="20"/>
          <w:szCs w:val="20"/>
          <w:lang w:val="es-ES"/>
        </w:rPr>
      </w:pPr>
    </w:p>
    <w:p w14:paraId="6A4575C1" w14:textId="7A3DDEFE" w:rsidR="3A0CA600" w:rsidRDefault="3A0CA600" w:rsidP="614F74A4">
      <w:pPr>
        <w:pStyle w:val="ListParagraph"/>
        <w:numPr>
          <w:ilvl w:val="0"/>
          <w:numId w:val="21"/>
        </w:numPr>
        <w:spacing w:after="200" w:line="276" w:lineRule="auto"/>
        <w:ind w:left="-90" w:firstLine="810"/>
        <w:jc w:val="both"/>
        <w:rPr>
          <w:rFonts w:ascii="Cambria" w:eastAsia="Cambria" w:hAnsi="Cambria" w:cs="Cambria"/>
          <w:color w:val="000000" w:themeColor="text1"/>
          <w:sz w:val="20"/>
          <w:szCs w:val="20"/>
          <w:lang w:val="es-ES"/>
        </w:rPr>
      </w:pPr>
      <w:r w:rsidRPr="614F74A4">
        <w:rPr>
          <w:rFonts w:ascii="Cambria" w:eastAsia="Cambria" w:hAnsi="Cambria" w:cs="Cambria"/>
          <w:color w:val="000000" w:themeColor="text1"/>
          <w:sz w:val="20"/>
          <w:szCs w:val="20"/>
          <w:lang w:val="es-ES"/>
        </w:rPr>
        <w:t>Por lo anterior, la Comisión concluye que el nivel de cumplimiento del caso es total.</w:t>
      </w:r>
    </w:p>
    <w:p w14:paraId="3CC44289" w14:textId="069DF044" w:rsidR="614F74A4" w:rsidRDefault="614F74A4" w:rsidP="614F74A4">
      <w:pPr>
        <w:spacing w:after="200" w:line="276" w:lineRule="auto"/>
        <w:jc w:val="both"/>
        <w:rPr>
          <w:rFonts w:ascii="Cambria" w:eastAsia="Cambria" w:hAnsi="Cambria" w:cs="Cambria"/>
          <w:color w:val="000000" w:themeColor="text1"/>
          <w:sz w:val="20"/>
          <w:szCs w:val="20"/>
          <w:lang w:val="es-ES"/>
        </w:rPr>
      </w:pPr>
    </w:p>
    <w:p w14:paraId="6AE9B36E" w14:textId="0ABB342A" w:rsidR="00BD17B0" w:rsidRPr="00F22F03" w:rsidRDefault="3A0CA600" w:rsidP="614F74A4">
      <w:pPr>
        <w:pStyle w:val="ListParagraph"/>
        <w:numPr>
          <w:ilvl w:val="0"/>
          <w:numId w:val="7"/>
        </w:numPr>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 xml:space="preserve">Resultados individuales y estructurales del caso </w:t>
      </w:r>
    </w:p>
    <w:p w14:paraId="5A2B4D3D" w14:textId="462871B1" w:rsidR="00BD17B0" w:rsidRPr="00F22F03" w:rsidRDefault="00BD17B0" w:rsidP="614F74A4">
      <w:pPr>
        <w:jc w:val="both"/>
        <w:rPr>
          <w:rFonts w:ascii="Cambria" w:eastAsia="Cambria" w:hAnsi="Cambria" w:cs="Cambria"/>
          <w:color w:val="000000" w:themeColor="text1"/>
          <w:sz w:val="20"/>
          <w:szCs w:val="20"/>
          <w:lang w:val="es-ES"/>
        </w:rPr>
      </w:pPr>
    </w:p>
    <w:p w14:paraId="177E0EF7" w14:textId="271D30C9" w:rsidR="00BD17B0" w:rsidRPr="00F22F03" w:rsidRDefault="3A0CA600" w:rsidP="614F74A4">
      <w:pPr>
        <w:pStyle w:val="ListParagraph"/>
        <w:numPr>
          <w:ilvl w:val="0"/>
          <w:numId w:val="21"/>
        </w:numPr>
        <w:spacing w:after="200" w:line="276" w:lineRule="auto"/>
        <w:ind w:left="0" w:firstLine="630"/>
        <w:jc w:val="both"/>
        <w:rPr>
          <w:rFonts w:ascii="Cambria" w:eastAsia="Cambria" w:hAnsi="Cambria" w:cs="Cambria"/>
          <w:color w:val="000000" w:themeColor="text1"/>
          <w:sz w:val="20"/>
          <w:szCs w:val="20"/>
          <w:lang w:val="es-ES"/>
        </w:rPr>
      </w:pPr>
      <w:r w:rsidRPr="614F74A4">
        <w:rPr>
          <w:rFonts w:ascii="Cambria" w:eastAsia="Cambria" w:hAnsi="Cambria" w:cs="Cambria"/>
          <w:color w:val="000000" w:themeColor="text1"/>
          <w:sz w:val="20"/>
          <w:szCs w:val="20"/>
          <w:lang w:val="es-ES"/>
        </w:rPr>
        <w:t xml:space="preserve">En esta sección se destacan los resultados individuales y estructurales del caso informados por las partes. </w:t>
      </w:r>
    </w:p>
    <w:p w14:paraId="1E64C3CC" w14:textId="3D76077C" w:rsidR="00BD17B0" w:rsidRPr="00F22F03" w:rsidRDefault="3A0CA600" w:rsidP="614F74A4">
      <w:pPr>
        <w:pStyle w:val="ListParagraph"/>
        <w:numPr>
          <w:ilvl w:val="0"/>
          <w:numId w:val="6"/>
        </w:numPr>
        <w:jc w:val="both"/>
        <w:rPr>
          <w:rFonts w:ascii="Cambria" w:eastAsia="Cambria" w:hAnsi="Cambria" w:cs="Cambria"/>
          <w:color w:val="000000" w:themeColor="text1"/>
          <w:sz w:val="20"/>
          <w:szCs w:val="20"/>
          <w:lang w:val="es-ES"/>
        </w:rPr>
      </w:pPr>
      <w:r w:rsidRPr="614F74A4">
        <w:rPr>
          <w:rFonts w:ascii="Cambria" w:eastAsia="Cambria" w:hAnsi="Cambria" w:cs="Cambria"/>
          <w:b/>
          <w:bCs/>
          <w:color w:val="000000" w:themeColor="text1"/>
          <w:sz w:val="20"/>
          <w:szCs w:val="20"/>
          <w:lang w:val="es-ES"/>
        </w:rPr>
        <w:t>Resultados individuales del caso</w:t>
      </w:r>
    </w:p>
    <w:p w14:paraId="3D6B28BB" w14:textId="15C0B643" w:rsidR="00BD17B0" w:rsidRPr="00F22F03" w:rsidRDefault="00BD17B0" w:rsidP="614F74A4">
      <w:pPr>
        <w:tabs>
          <w:tab w:val="left" w:pos="1440"/>
        </w:tabs>
        <w:jc w:val="both"/>
        <w:rPr>
          <w:rFonts w:ascii="Cambria" w:eastAsia="Cambria" w:hAnsi="Cambria" w:cs="Cambria"/>
          <w:color w:val="000000" w:themeColor="text1"/>
          <w:sz w:val="20"/>
          <w:szCs w:val="20"/>
          <w:lang w:val="es-ES"/>
        </w:rPr>
      </w:pPr>
    </w:p>
    <w:p w14:paraId="7610D3D4" w14:textId="5BD140A5" w:rsidR="00BD17B0" w:rsidRPr="00F22F03" w:rsidRDefault="3A0CA600" w:rsidP="614F74A4">
      <w:pPr>
        <w:pStyle w:val="Corpo"/>
        <w:spacing w:after="0" w:line="240" w:lineRule="auto"/>
        <w:jc w:val="both"/>
        <w:rPr>
          <w:rFonts w:ascii="Cambria" w:eastAsia="Cambria" w:hAnsi="Cambria" w:cs="Cambria"/>
          <w:sz w:val="20"/>
          <w:szCs w:val="20"/>
        </w:rPr>
      </w:pPr>
      <w:r w:rsidRPr="614F74A4">
        <w:rPr>
          <w:rFonts w:ascii="Cambria" w:eastAsia="Cambria" w:hAnsi="Cambria" w:cs="Cambria"/>
          <w:i/>
          <w:iCs/>
          <w:sz w:val="20"/>
          <w:szCs w:val="20"/>
        </w:rPr>
        <w:t xml:space="preserve">Medidas de compensación pecuniaria </w:t>
      </w:r>
    </w:p>
    <w:p w14:paraId="4A5D960B" w14:textId="4B59F5D4" w:rsidR="00BD17B0" w:rsidRPr="00F22F03" w:rsidRDefault="3A0CA600" w:rsidP="614F74A4">
      <w:pPr>
        <w:pStyle w:val="ListParagraph"/>
        <w:numPr>
          <w:ilvl w:val="0"/>
          <w:numId w:val="4"/>
        </w:numPr>
        <w:jc w:val="both"/>
        <w:rPr>
          <w:rFonts w:ascii="Cambria" w:eastAsia="Cambria" w:hAnsi="Cambria" w:cs="Cambria"/>
          <w:color w:val="000000" w:themeColor="text1"/>
          <w:sz w:val="20"/>
          <w:szCs w:val="20"/>
          <w:lang w:val="es-ES"/>
        </w:rPr>
      </w:pPr>
      <w:r w:rsidRPr="614F74A4">
        <w:rPr>
          <w:rFonts w:ascii="Cambria" w:eastAsia="Cambria" w:hAnsi="Cambria" w:cs="Cambria"/>
          <w:color w:val="000000" w:themeColor="text1"/>
          <w:sz w:val="20"/>
          <w:szCs w:val="20"/>
          <w:lang w:val="es-ES"/>
        </w:rPr>
        <w:t xml:space="preserve">Indemnización pagada </w:t>
      </w:r>
      <w:r w:rsidR="3D470DBF" w:rsidRPr="614F74A4">
        <w:rPr>
          <w:rFonts w:ascii="Cambria" w:eastAsia="Cambria" w:hAnsi="Cambria" w:cs="Cambria"/>
          <w:color w:val="000000" w:themeColor="text1"/>
          <w:sz w:val="20"/>
          <w:szCs w:val="20"/>
          <w:lang w:val="es-ES"/>
        </w:rPr>
        <w:t xml:space="preserve">el 23 de diciembre de 2021, de acuerdo con los montos establecidos por el Tribunal Arbitral mediante el Laudo Arbitral del 7 de septiembre de 2021. </w:t>
      </w:r>
    </w:p>
    <w:p w14:paraId="41984512" w14:textId="1A4EF639" w:rsidR="00BD17B0" w:rsidRPr="00F22F03" w:rsidRDefault="00BD17B0" w:rsidP="614F74A4">
      <w:pPr>
        <w:ind w:left="720"/>
        <w:jc w:val="both"/>
        <w:rPr>
          <w:rFonts w:ascii="Cambria" w:eastAsia="Cambria" w:hAnsi="Cambria" w:cs="Cambria"/>
          <w:color w:val="000000" w:themeColor="text1"/>
          <w:sz w:val="20"/>
          <w:szCs w:val="20"/>
          <w:lang w:val="es-ES"/>
        </w:rPr>
      </w:pPr>
    </w:p>
    <w:p w14:paraId="4D9ED77F" w14:textId="6049DCF0" w:rsidR="00BD17B0" w:rsidRPr="00F22F03" w:rsidRDefault="3A0CA600" w:rsidP="614F74A4">
      <w:pPr>
        <w:pStyle w:val="Corpo"/>
        <w:spacing w:after="0" w:line="240" w:lineRule="auto"/>
        <w:jc w:val="both"/>
        <w:rPr>
          <w:rFonts w:ascii="Cambria" w:eastAsia="Cambria" w:hAnsi="Cambria" w:cs="Cambria"/>
          <w:sz w:val="20"/>
          <w:szCs w:val="20"/>
        </w:rPr>
      </w:pPr>
      <w:r w:rsidRPr="614F74A4">
        <w:rPr>
          <w:rFonts w:ascii="Cambria" w:eastAsia="Cambria" w:hAnsi="Cambria" w:cs="Cambria"/>
          <w:i/>
          <w:iCs/>
          <w:sz w:val="20"/>
          <w:szCs w:val="20"/>
        </w:rPr>
        <w:t>Medidas de satisfacción</w:t>
      </w:r>
    </w:p>
    <w:p w14:paraId="6F34DCE9" w14:textId="4306E150" w:rsidR="00BD17B0" w:rsidRPr="00F22F03" w:rsidRDefault="51ABA080" w:rsidP="614F74A4">
      <w:pPr>
        <w:pStyle w:val="ListParagraph"/>
        <w:numPr>
          <w:ilvl w:val="0"/>
          <w:numId w:val="4"/>
        </w:numPr>
        <w:jc w:val="both"/>
        <w:rPr>
          <w:rFonts w:ascii="Cambria" w:eastAsia="Cambria" w:hAnsi="Cambria" w:cs="Cambria"/>
          <w:color w:val="000000" w:themeColor="text1"/>
          <w:sz w:val="20"/>
          <w:szCs w:val="20"/>
          <w:lang w:val="es-ES"/>
        </w:rPr>
      </w:pPr>
      <w:r w:rsidRPr="614F74A4">
        <w:rPr>
          <w:rFonts w:ascii="Cambria" w:eastAsia="Cambria" w:hAnsi="Cambria" w:cs="Cambria"/>
          <w:color w:val="000000" w:themeColor="text1"/>
          <w:sz w:val="20"/>
          <w:szCs w:val="20"/>
          <w:lang w:val="es-ES"/>
        </w:rPr>
        <w:t>Publicidad al Acuerdo de Cumplimiento en el “Boletín Oficial de la República Argentina” y en un diario de alcance nacional.</w:t>
      </w:r>
    </w:p>
    <w:p w14:paraId="1ECFF70C" w14:textId="54F33781" w:rsidR="00BD17B0" w:rsidRPr="00F22F03" w:rsidRDefault="51ABA080" w:rsidP="614F74A4">
      <w:pPr>
        <w:pStyle w:val="ListParagraph"/>
        <w:numPr>
          <w:ilvl w:val="0"/>
          <w:numId w:val="4"/>
        </w:numPr>
        <w:jc w:val="both"/>
        <w:rPr>
          <w:rFonts w:ascii="Cambria" w:eastAsia="Cambria" w:hAnsi="Cambria" w:cs="Cambria"/>
          <w:color w:val="000000" w:themeColor="text1"/>
          <w:sz w:val="20"/>
          <w:szCs w:val="20"/>
          <w:lang w:val="es-ES"/>
        </w:rPr>
      </w:pPr>
      <w:r w:rsidRPr="614F74A4">
        <w:rPr>
          <w:rFonts w:ascii="Cambria" w:eastAsia="Cambria" w:hAnsi="Cambria" w:cs="Cambria"/>
          <w:color w:val="000000" w:themeColor="text1"/>
          <w:sz w:val="20"/>
          <w:szCs w:val="20"/>
          <w:lang w:val="es-ES"/>
        </w:rPr>
        <w:t xml:space="preserve">Difusión el Informe de Fondo con las autoridades judiciales intervinientes en el caso y a los demás juzgados indicados por la parte peticionaria. </w:t>
      </w:r>
    </w:p>
    <w:p w14:paraId="1A7D10F4" w14:textId="471B105A" w:rsidR="00BD17B0" w:rsidRPr="00F22F03" w:rsidRDefault="00BD17B0" w:rsidP="614F74A4">
      <w:pPr>
        <w:ind w:left="720"/>
        <w:jc w:val="both"/>
        <w:rPr>
          <w:rFonts w:ascii="Cambria" w:eastAsia="Cambria" w:hAnsi="Cambria" w:cs="Cambria"/>
          <w:color w:val="000000" w:themeColor="text1"/>
          <w:sz w:val="20"/>
          <w:szCs w:val="20"/>
          <w:lang w:val="es-ES"/>
        </w:rPr>
      </w:pPr>
    </w:p>
    <w:p w14:paraId="3737405B" w14:textId="7D50C231" w:rsidR="00BD17B0" w:rsidRPr="00F22F03" w:rsidRDefault="3A0CA600" w:rsidP="614F74A4">
      <w:pPr>
        <w:jc w:val="both"/>
        <w:rPr>
          <w:rFonts w:ascii="Cambria" w:eastAsia="Cambria" w:hAnsi="Cambria" w:cs="Cambria"/>
          <w:color w:val="000000" w:themeColor="text1"/>
          <w:sz w:val="20"/>
          <w:szCs w:val="20"/>
          <w:lang w:val="es-ES"/>
        </w:rPr>
      </w:pPr>
      <w:r w:rsidRPr="614F74A4">
        <w:rPr>
          <w:rFonts w:ascii="Cambria" w:eastAsia="Cambria" w:hAnsi="Cambria" w:cs="Cambria"/>
          <w:i/>
          <w:iCs/>
          <w:color w:val="000000" w:themeColor="text1"/>
          <w:sz w:val="20"/>
          <w:szCs w:val="20"/>
          <w:lang w:val="es-ES"/>
        </w:rPr>
        <w:t>Medidas de rehabilitación</w:t>
      </w:r>
    </w:p>
    <w:p w14:paraId="5A31A02A" w14:textId="7B8CA806" w:rsidR="00BD17B0" w:rsidRPr="00F22F03" w:rsidRDefault="3A1ADF1A" w:rsidP="614F74A4">
      <w:pPr>
        <w:pStyle w:val="ListParagraph"/>
        <w:numPr>
          <w:ilvl w:val="0"/>
          <w:numId w:val="3"/>
        </w:numPr>
        <w:spacing w:line="259" w:lineRule="auto"/>
        <w:jc w:val="both"/>
        <w:rPr>
          <w:rFonts w:ascii="Cambria" w:eastAsia="Cambria" w:hAnsi="Cambria" w:cs="Cambria"/>
          <w:color w:val="000000" w:themeColor="text1"/>
          <w:sz w:val="20"/>
          <w:szCs w:val="20"/>
          <w:lang w:val="es-ES"/>
        </w:rPr>
      </w:pPr>
      <w:r w:rsidRPr="614F74A4">
        <w:rPr>
          <w:rFonts w:ascii="Cambria" w:eastAsia="Cambria" w:hAnsi="Cambria" w:cs="Cambria"/>
          <w:color w:val="000000" w:themeColor="text1"/>
          <w:sz w:val="20"/>
          <w:szCs w:val="20"/>
          <w:lang w:val="es-ES"/>
        </w:rPr>
        <w:t xml:space="preserve">Garantía de servicios médicos a la víctima. </w:t>
      </w:r>
    </w:p>
    <w:p w14:paraId="1D06DCD8" w14:textId="2B52FA59" w:rsidR="00BD17B0" w:rsidRPr="00F22F03" w:rsidRDefault="00BD17B0" w:rsidP="614F74A4">
      <w:pPr>
        <w:rPr>
          <w:color w:val="000000" w:themeColor="text1"/>
          <w:sz w:val="20"/>
          <w:szCs w:val="20"/>
          <w:lang w:val="es-ES"/>
        </w:rPr>
      </w:pPr>
    </w:p>
    <w:p w14:paraId="295B04CC" w14:textId="23D3BF22" w:rsidR="00BD17B0" w:rsidRPr="00F22F03" w:rsidRDefault="00BD17B0" w:rsidP="614F74A4">
      <w:pPr>
        <w:rPr>
          <w:color w:val="000000" w:themeColor="text1"/>
          <w:sz w:val="20"/>
          <w:szCs w:val="20"/>
          <w:lang w:val="es-ES"/>
        </w:rPr>
      </w:pPr>
    </w:p>
    <w:p w14:paraId="0D583799" w14:textId="0C599D8F" w:rsidR="00BD17B0" w:rsidRPr="00F22F03" w:rsidRDefault="00BD17B0" w:rsidP="614F74A4">
      <w:pPr>
        <w:rPr>
          <w:color w:val="000000" w:themeColor="text1"/>
          <w:sz w:val="20"/>
          <w:szCs w:val="20"/>
          <w:lang w:val="es-ES"/>
        </w:rPr>
      </w:pPr>
    </w:p>
    <w:p w14:paraId="517B49A7" w14:textId="6CB995BD" w:rsidR="00BD17B0" w:rsidRPr="00F22F03" w:rsidRDefault="00BD17B0" w:rsidP="614F74A4">
      <w:pPr>
        <w:rPr>
          <w:color w:val="000000" w:themeColor="text1"/>
          <w:sz w:val="20"/>
          <w:szCs w:val="20"/>
          <w:lang w:val="es-ES"/>
        </w:rPr>
      </w:pPr>
    </w:p>
    <w:p w14:paraId="45B26099" w14:textId="77777777" w:rsidR="00BD17B0" w:rsidRPr="00F22F03" w:rsidRDefault="00BD17B0" w:rsidP="614F74A4">
      <w:pPr>
        <w:rPr>
          <w:color w:val="000000" w:themeColor="text1"/>
          <w:sz w:val="20"/>
          <w:szCs w:val="20"/>
          <w:lang w:val="es-ES"/>
        </w:rPr>
      </w:pPr>
    </w:p>
    <w:sectPr w:rsidR="00BD17B0" w:rsidRPr="00F22F03"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FD66" w14:textId="77777777" w:rsidR="00A55596" w:rsidRDefault="00A55596" w:rsidP="00672733">
      <w:r>
        <w:separator/>
      </w:r>
    </w:p>
  </w:endnote>
  <w:endnote w:type="continuationSeparator" w:id="0">
    <w:p w14:paraId="5ADCC15C" w14:textId="77777777" w:rsidR="00A55596" w:rsidRDefault="00A5559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17BD" w14:textId="77777777" w:rsidR="00A55596" w:rsidRDefault="00A55596" w:rsidP="00672733">
      <w:r>
        <w:separator/>
      </w:r>
    </w:p>
  </w:footnote>
  <w:footnote w:type="continuationSeparator" w:id="0">
    <w:p w14:paraId="3A7C0C27" w14:textId="77777777" w:rsidR="00A55596" w:rsidRDefault="00A55596" w:rsidP="00672733">
      <w:r>
        <w:continuationSeparator/>
      </w:r>
    </w:p>
  </w:footnote>
  <w:footnote w:id="1">
    <w:p w14:paraId="1C5BD009" w14:textId="443B5D3E" w:rsidR="006819E6" w:rsidRPr="007434E8" w:rsidRDefault="006819E6" w:rsidP="007434E8">
      <w:pPr>
        <w:pStyle w:val="FootnoteText"/>
        <w:ind w:firstLine="360"/>
        <w:rPr>
          <w:rFonts w:ascii="Cambria" w:hAnsi="Cambria"/>
          <w:sz w:val="16"/>
          <w:szCs w:val="16"/>
          <w:lang w:val="es-CO"/>
        </w:rPr>
      </w:pPr>
      <w:r w:rsidRPr="007434E8">
        <w:rPr>
          <w:rStyle w:val="FootnoteReference"/>
          <w:rFonts w:ascii="Cambria" w:hAnsi="Cambria"/>
          <w:color w:val="FF0000"/>
          <w:sz w:val="16"/>
          <w:szCs w:val="16"/>
        </w:rPr>
        <w:footnoteRef/>
      </w:r>
      <w:r w:rsidRPr="007434E8">
        <w:rPr>
          <w:rFonts w:ascii="Cambria" w:hAnsi="Cambria"/>
          <w:color w:val="FF0000"/>
          <w:sz w:val="16"/>
          <w:szCs w:val="16"/>
          <w:lang w:val="es-CO"/>
        </w:rPr>
        <w:t xml:space="preserve"> Cumplido desde antes de la publicación del presente informe. CIDH, </w:t>
      </w:r>
      <w:hyperlink r:id="rId1" w:history="1">
        <w:r w:rsidRPr="007434E8">
          <w:rPr>
            <w:rStyle w:val="Hyperlink"/>
            <w:rFonts w:ascii="Cambria" w:hAnsi="Cambria"/>
            <w:color w:val="FF0000"/>
            <w:sz w:val="16"/>
            <w:szCs w:val="16"/>
            <w:lang w:val="es-CO"/>
          </w:rPr>
          <w:t>Informe de Fondo No. 268/21</w:t>
        </w:r>
      </w:hyperlink>
      <w:r w:rsidRPr="007434E8">
        <w:rPr>
          <w:rFonts w:ascii="Cambria" w:hAnsi="Cambria"/>
          <w:color w:val="FF0000"/>
          <w:sz w:val="16"/>
          <w:szCs w:val="16"/>
          <w:lang w:val="es-CO"/>
        </w:rPr>
        <w:t xml:space="preserve">, párr. 58.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96"/>
    <w:multiLevelType w:val="multilevel"/>
    <w:tmpl w:val="7CC0748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B2F68"/>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2" w15:restartNumberingAfterBreak="0">
    <w:nsid w:val="02C74AA2"/>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3" w15:restartNumberingAfterBreak="0">
    <w:nsid w:val="070A37D1"/>
    <w:multiLevelType w:val="hybridMultilevel"/>
    <w:tmpl w:val="750E1C2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6945F4"/>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5"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E130A"/>
    <w:multiLevelType w:val="multilevel"/>
    <w:tmpl w:val="F7F4DE1A"/>
    <w:lvl w:ilvl="0">
      <w:start w:val="1"/>
      <w:numFmt w:val="upperRoman"/>
      <w:lvlText w:val="%1."/>
      <w:lvlJc w:val="left"/>
      <w:pPr>
        <w:ind w:left="1080" w:hanging="720"/>
      </w:pPr>
      <w:rPr>
        <w:rFonts w:ascii="Cambria" w:hAnsi="Cambria"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15B7B"/>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8"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1C6865B7"/>
    <w:multiLevelType w:val="hybridMultilevel"/>
    <w:tmpl w:val="750E1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33627"/>
    <w:multiLevelType w:val="hybridMultilevel"/>
    <w:tmpl w:val="7766F6BE"/>
    <w:lvl w:ilvl="0" w:tplc="9C8C4022">
      <w:start w:val="1"/>
      <w:numFmt w:val="bullet"/>
      <w:lvlText w:val=""/>
      <w:lvlJc w:val="left"/>
      <w:pPr>
        <w:ind w:left="720" w:hanging="360"/>
      </w:pPr>
      <w:rPr>
        <w:rFonts w:ascii="Symbol" w:hAnsi="Symbol" w:hint="default"/>
      </w:rPr>
    </w:lvl>
    <w:lvl w:ilvl="1" w:tplc="E96439D2">
      <w:start w:val="1"/>
      <w:numFmt w:val="bullet"/>
      <w:lvlText w:val="o"/>
      <w:lvlJc w:val="left"/>
      <w:pPr>
        <w:ind w:left="1440" w:hanging="360"/>
      </w:pPr>
      <w:rPr>
        <w:rFonts w:ascii="Courier New" w:hAnsi="Courier New" w:hint="default"/>
      </w:rPr>
    </w:lvl>
    <w:lvl w:ilvl="2" w:tplc="AB6CD57A">
      <w:start w:val="1"/>
      <w:numFmt w:val="bullet"/>
      <w:lvlText w:val=""/>
      <w:lvlJc w:val="left"/>
      <w:pPr>
        <w:ind w:left="2160" w:hanging="360"/>
      </w:pPr>
      <w:rPr>
        <w:rFonts w:ascii="Wingdings" w:hAnsi="Wingdings" w:hint="default"/>
      </w:rPr>
    </w:lvl>
    <w:lvl w:ilvl="3" w:tplc="2174AD68">
      <w:start w:val="1"/>
      <w:numFmt w:val="bullet"/>
      <w:lvlText w:val=""/>
      <w:lvlJc w:val="left"/>
      <w:pPr>
        <w:ind w:left="2880" w:hanging="360"/>
      </w:pPr>
      <w:rPr>
        <w:rFonts w:ascii="Symbol" w:hAnsi="Symbol" w:hint="default"/>
      </w:rPr>
    </w:lvl>
    <w:lvl w:ilvl="4" w:tplc="14A444EE">
      <w:start w:val="1"/>
      <w:numFmt w:val="bullet"/>
      <w:lvlText w:val="o"/>
      <w:lvlJc w:val="left"/>
      <w:pPr>
        <w:ind w:left="3600" w:hanging="360"/>
      </w:pPr>
      <w:rPr>
        <w:rFonts w:ascii="Courier New" w:hAnsi="Courier New" w:hint="default"/>
      </w:rPr>
    </w:lvl>
    <w:lvl w:ilvl="5" w:tplc="F4FCF07C">
      <w:start w:val="1"/>
      <w:numFmt w:val="bullet"/>
      <w:lvlText w:val=""/>
      <w:lvlJc w:val="left"/>
      <w:pPr>
        <w:ind w:left="4320" w:hanging="360"/>
      </w:pPr>
      <w:rPr>
        <w:rFonts w:ascii="Wingdings" w:hAnsi="Wingdings" w:hint="default"/>
      </w:rPr>
    </w:lvl>
    <w:lvl w:ilvl="6" w:tplc="6F627D62">
      <w:start w:val="1"/>
      <w:numFmt w:val="bullet"/>
      <w:lvlText w:val=""/>
      <w:lvlJc w:val="left"/>
      <w:pPr>
        <w:ind w:left="5040" w:hanging="360"/>
      </w:pPr>
      <w:rPr>
        <w:rFonts w:ascii="Symbol" w:hAnsi="Symbol" w:hint="default"/>
      </w:rPr>
    </w:lvl>
    <w:lvl w:ilvl="7" w:tplc="AB823414">
      <w:start w:val="1"/>
      <w:numFmt w:val="bullet"/>
      <w:lvlText w:val="o"/>
      <w:lvlJc w:val="left"/>
      <w:pPr>
        <w:ind w:left="5760" w:hanging="360"/>
      </w:pPr>
      <w:rPr>
        <w:rFonts w:ascii="Courier New" w:hAnsi="Courier New" w:hint="default"/>
      </w:rPr>
    </w:lvl>
    <w:lvl w:ilvl="8" w:tplc="5E10265A">
      <w:start w:val="1"/>
      <w:numFmt w:val="bullet"/>
      <w:lvlText w:val=""/>
      <w:lvlJc w:val="left"/>
      <w:pPr>
        <w:ind w:left="6480" w:hanging="360"/>
      </w:pPr>
      <w:rPr>
        <w:rFonts w:ascii="Wingdings" w:hAnsi="Wingdings" w:hint="default"/>
      </w:rPr>
    </w:lvl>
  </w:abstractNum>
  <w:abstractNum w:abstractNumId="12" w15:restartNumberingAfterBreak="0">
    <w:nsid w:val="2054427D"/>
    <w:multiLevelType w:val="hybridMultilevel"/>
    <w:tmpl w:val="C28CFB18"/>
    <w:lvl w:ilvl="0" w:tplc="683C43A0">
      <w:start w:val="1"/>
      <w:numFmt w:val="bullet"/>
      <w:lvlText w:val="·"/>
      <w:lvlJc w:val="left"/>
      <w:pPr>
        <w:ind w:left="720" w:hanging="360"/>
      </w:pPr>
      <w:rPr>
        <w:rFonts w:ascii="Symbol" w:hAnsi="Symbol" w:hint="default"/>
      </w:rPr>
    </w:lvl>
    <w:lvl w:ilvl="1" w:tplc="DB002DD6">
      <w:start w:val="1"/>
      <w:numFmt w:val="bullet"/>
      <w:lvlText w:val="o"/>
      <w:lvlJc w:val="left"/>
      <w:pPr>
        <w:ind w:left="1440" w:hanging="360"/>
      </w:pPr>
      <w:rPr>
        <w:rFonts w:ascii="Courier New" w:hAnsi="Courier New" w:hint="default"/>
      </w:rPr>
    </w:lvl>
    <w:lvl w:ilvl="2" w:tplc="F028F54A">
      <w:start w:val="1"/>
      <w:numFmt w:val="bullet"/>
      <w:lvlText w:val=""/>
      <w:lvlJc w:val="left"/>
      <w:pPr>
        <w:ind w:left="2160" w:hanging="360"/>
      </w:pPr>
      <w:rPr>
        <w:rFonts w:ascii="Wingdings" w:hAnsi="Wingdings" w:hint="default"/>
      </w:rPr>
    </w:lvl>
    <w:lvl w:ilvl="3" w:tplc="B20A9606">
      <w:start w:val="1"/>
      <w:numFmt w:val="bullet"/>
      <w:lvlText w:val=""/>
      <w:lvlJc w:val="left"/>
      <w:pPr>
        <w:ind w:left="2880" w:hanging="360"/>
      </w:pPr>
      <w:rPr>
        <w:rFonts w:ascii="Symbol" w:hAnsi="Symbol" w:hint="default"/>
      </w:rPr>
    </w:lvl>
    <w:lvl w:ilvl="4" w:tplc="12B629AE">
      <w:start w:val="1"/>
      <w:numFmt w:val="bullet"/>
      <w:lvlText w:val="o"/>
      <w:lvlJc w:val="left"/>
      <w:pPr>
        <w:ind w:left="3600" w:hanging="360"/>
      </w:pPr>
      <w:rPr>
        <w:rFonts w:ascii="Courier New" w:hAnsi="Courier New" w:hint="default"/>
      </w:rPr>
    </w:lvl>
    <w:lvl w:ilvl="5" w:tplc="65B8DF7C">
      <w:start w:val="1"/>
      <w:numFmt w:val="bullet"/>
      <w:lvlText w:val=""/>
      <w:lvlJc w:val="left"/>
      <w:pPr>
        <w:ind w:left="4320" w:hanging="360"/>
      </w:pPr>
      <w:rPr>
        <w:rFonts w:ascii="Wingdings" w:hAnsi="Wingdings" w:hint="default"/>
      </w:rPr>
    </w:lvl>
    <w:lvl w:ilvl="6" w:tplc="3CFE2DDC">
      <w:start w:val="1"/>
      <w:numFmt w:val="bullet"/>
      <w:lvlText w:val=""/>
      <w:lvlJc w:val="left"/>
      <w:pPr>
        <w:ind w:left="5040" w:hanging="360"/>
      </w:pPr>
      <w:rPr>
        <w:rFonts w:ascii="Symbol" w:hAnsi="Symbol" w:hint="default"/>
      </w:rPr>
    </w:lvl>
    <w:lvl w:ilvl="7" w:tplc="9642CF32">
      <w:start w:val="1"/>
      <w:numFmt w:val="bullet"/>
      <w:lvlText w:val="o"/>
      <w:lvlJc w:val="left"/>
      <w:pPr>
        <w:ind w:left="5760" w:hanging="360"/>
      </w:pPr>
      <w:rPr>
        <w:rFonts w:ascii="Courier New" w:hAnsi="Courier New" w:hint="default"/>
      </w:rPr>
    </w:lvl>
    <w:lvl w:ilvl="8" w:tplc="71E4AEF0">
      <w:start w:val="1"/>
      <w:numFmt w:val="bullet"/>
      <w:lvlText w:val=""/>
      <w:lvlJc w:val="left"/>
      <w:pPr>
        <w:ind w:left="6480" w:hanging="360"/>
      </w:pPr>
      <w:rPr>
        <w:rFonts w:ascii="Wingdings" w:hAnsi="Wingdings" w:hint="default"/>
      </w:rPr>
    </w:lvl>
  </w:abstractNum>
  <w:abstractNum w:abstractNumId="13" w15:restartNumberingAfterBreak="0">
    <w:nsid w:val="21F72DCD"/>
    <w:multiLevelType w:val="hybridMultilevel"/>
    <w:tmpl w:val="654C8500"/>
    <w:lvl w:ilvl="0" w:tplc="BC70AB98">
      <w:start w:val="2"/>
      <w:numFmt w:val="upperLetter"/>
      <w:lvlText w:val="%1."/>
      <w:lvlJc w:val="left"/>
      <w:pPr>
        <w:ind w:left="720" w:hanging="360"/>
      </w:pPr>
      <w:rPr>
        <w:rFonts w:ascii="Cambria" w:hAnsi="Cambria" w:hint="default"/>
      </w:rPr>
    </w:lvl>
    <w:lvl w:ilvl="1" w:tplc="779E6B4C">
      <w:start w:val="1"/>
      <w:numFmt w:val="lowerLetter"/>
      <w:lvlText w:val="%2."/>
      <w:lvlJc w:val="left"/>
      <w:pPr>
        <w:ind w:left="1440" w:hanging="360"/>
      </w:pPr>
    </w:lvl>
    <w:lvl w:ilvl="2" w:tplc="B478CE0C">
      <w:start w:val="1"/>
      <w:numFmt w:val="lowerRoman"/>
      <w:lvlText w:val="%3."/>
      <w:lvlJc w:val="right"/>
      <w:pPr>
        <w:ind w:left="2160" w:hanging="180"/>
      </w:pPr>
    </w:lvl>
    <w:lvl w:ilvl="3" w:tplc="184A1DBE">
      <w:start w:val="1"/>
      <w:numFmt w:val="decimal"/>
      <w:lvlText w:val="%4."/>
      <w:lvlJc w:val="left"/>
      <w:pPr>
        <w:ind w:left="2880" w:hanging="360"/>
      </w:pPr>
    </w:lvl>
    <w:lvl w:ilvl="4" w:tplc="889C2E94">
      <w:start w:val="1"/>
      <w:numFmt w:val="lowerLetter"/>
      <w:lvlText w:val="%5."/>
      <w:lvlJc w:val="left"/>
      <w:pPr>
        <w:ind w:left="3600" w:hanging="360"/>
      </w:pPr>
    </w:lvl>
    <w:lvl w:ilvl="5" w:tplc="3D0EAE56">
      <w:start w:val="1"/>
      <w:numFmt w:val="lowerRoman"/>
      <w:lvlText w:val="%6."/>
      <w:lvlJc w:val="right"/>
      <w:pPr>
        <w:ind w:left="4320" w:hanging="180"/>
      </w:pPr>
    </w:lvl>
    <w:lvl w:ilvl="6" w:tplc="B9BAB1F0">
      <w:start w:val="1"/>
      <w:numFmt w:val="decimal"/>
      <w:lvlText w:val="%7."/>
      <w:lvlJc w:val="left"/>
      <w:pPr>
        <w:ind w:left="5040" w:hanging="360"/>
      </w:pPr>
    </w:lvl>
    <w:lvl w:ilvl="7" w:tplc="C9CE82E0">
      <w:start w:val="1"/>
      <w:numFmt w:val="lowerLetter"/>
      <w:lvlText w:val="%8."/>
      <w:lvlJc w:val="left"/>
      <w:pPr>
        <w:ind w:left="5760" w:hanging="360"/>
      </w:pPr>
    </w:lvl>
    <w:lvl w:ilvl="8" w:tplc="70783202">
      <w:start w:val="1"/>
      <w:numFmt w:val="lowerRoman"/>
      <w:lvlText w:val="%9."/>
      <w:lvlJc w:val="right"/>
      <w:pPr>
        <w:ind w:left="6480" w:hanging="180"/>
      </w:pPr>
    </w:lvl>
  </w:abstractNum>
  <w:abstractNum w:abstractNumId="1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15:restartNumberingAfterBreak="0">
    <w:nsid w:val="26AFB051"/>
    <w:multiLevelType w:val="hybridMultilevel"/>
    <w:tmpl w:val="83503836"/>
    <w:lvl w:ilvl="0" w:tplc="C9E4C9F8">
      <w:start w:val="6"/>
      <w:numFmt w:val="upperRoman"/>
      <w:lvlText w:val="%1."/>
      <w:lvlJc w:val="left"/>
      <w:pPr>
        <w:ind w:left="720" w:hanging="360"/>
      </w:pPr>
      <w:rPr>
        <w:rFonts w:ascii="Cambria" w:hAnsi="Cambria" w:hint="default"/>
      </w:rPr>
    </w:lvl>
    <w:lvl w:ilvl="1" w:tplc="B2389B86">
      <w:start w:val="1"/>
      <w:numFmt w:val="lowerLetter"/>
      <w:lvlText w:val="%2."/>
      <w:lvlJc w:val="left"/>
      <w:pPr>
        <w:ind w:left="1440" w:hanging="360"/>
      </w:pPr>
    </w:lvl>
    <w:lvl w:ilvl="2" w:tplc="D862DB30">
      <w:start w:val="1"/>
      <w:numFmt w:val="lowerRoman"/>
      <w:lvlText w:val="%3."/>
      <w:lvlJc w:val="right"/>
      <w:pPr>
        <w:ind w:left="2160" w:hanging="180"/>
      </w:pPr>
    </w:lvl>
    <w:lvl w:ilvl="3" w:tplc="3AC85534">
      <w:start w:val="1"/>
      <w:numFmt w:val="decimal"/>
      <w:lvlText w:val="%4."/>
      <w:lvlJc w:val="left"/>
      <w:pPr>
        <w:ind w:left="2880" w:hanging="360"/>
      </w:pPr>
    </w:lvl>
    <w:lvl w:ilvl="4" w:tplc="0ECE385C">
      <w:start w:val="1"/>
      <w:numFmt w:val="lowerLetter"/>
      <w:lvlText w:val="%5."/>
      <w:lvlJc w:val="left"/>
      <w:pPr>
        <w:ind w:left="3600" w:hanging="360"/>
      </w:pPr>
    </w:lvl>
    <w:lvl w:ilvl="5" w:tplc="ADF41EFA">
      <w:start w:val="1"/>
      <w:numFmt w:val="lowerRoman"/>
      <w:lvlText w:val="%6."/>
      <w:lvlJc w:val="right"/>
      <w:pPr>
        <w:ind w:left="4320" w:hanging="180"/>
      </w:pPr>
    </w:lvl>
    <w:lvl w:ilvl="6" w:tplc="DAFC9980">
      <w:start w:val="1"/>
      <w:numFmt w:val="decimal"/>
      <w:lvlText w:val="%7."/>
      <w:lvlJc w:val="left"/>
      <w:pPr>
        <w:ind w:left="5040" w:hanging="360"/>
      </w:pPr>
    </w:lvl>
    <w:lvl w:ilvl="7" w:tplc="5492EF42">
      <w:start w:val="1"/>
      <w:numFmt w:val="lowerLetter"/>
      <w:lvlText w:val="%8."/>
      <w:lvlJc w:val="left"/>
      <w:pPr>
        <w:ind w:left="5760" w:hanging="360"/>
      </w:pPr>
    </w:lvl>
    <w:lvl w:ilvl="8" w:tplc="5EB26040">
      <w:start w:val="1"/>
      <w:numFmt w:val="lowerRoman"/>
      <w:lvlText w:val="%9."/>
      <w:lvlJc w:val="right"/>
      <w:pPr>
        <w:ind w:left="6480" w:hanging="180"/>
      </w:pPr>
    </w:lvl>
  </w:abstractNum>
  <w:abstractNum w:abstractNumId="16" w15:restartNumberingAfterBreak="0">
    <w:nsid w:val="2AA2B329"/>
    <w:multiLevelType w:val="hybridMultilevel"/>
    <w:tmpl w:val="688AD97A"/>
    <w:lvl w:ilvl="0" w:tplc="CD5AA8EC">
      <w:start w:val="1"/>
      <w:numFmt w:val="bullet"/>
      <w:lvlText w:val="·"/>
      <w:lvlJc w:val="left"/>
      <w:pPr>
        <w:ind w:left="720" w:hanging="360"/>
      </w:pPr>
      <w:rPr>
        <w:rFonts w:ascii="Symbol" w:hAnsi="Symbol" w:hint="default"/>
      </w:rPr>
    </w:lvl>
    <w:lvl w:ilvl="1" w:tplc="DA56A4C8">
      <w:start w:val="1"/>
      <w:numFmt w:val="bullet"/>
      <w:lvlText w:val="o"/>
      <w:lvlJc w:val="left"/>
      <w:pPr>
        <w:ind w:left="1440" w:hanging="360"/>
      </w:pPr>
      <w:rPr>
        <w:rFonts w:ascii="Courier New" w:hAnsi="Courier New" w:hint="default"/>
      </w:rPr>
    </w:lvl>
    <w:lvl w:ilvl="2" w:tplc="FD5083D8">
      <w:start w:val="1"/>
      <w:numFmt w:val="bullet"/>
      <w:lvlText w:val=""/>
      <w:lvlJc w:val="left"/>
      <w:pPr>
        <w:ind w:left="2160" w:hanging="360"/>
      </w:pPr>
      <w:rPr>
        <w:rFonts w:ascii="Wingdings" w:hAnsi="Wingdings" w:hint="default"/>
      </w:rPr>
    </w:lvl>
    <w:lvl w:ilvl="3" w:tplc="60EE153A">
      <w:start w:val="1"/>
      <w:numFmt w:val="bullet"/>
      <w:lvlText w:val=""/>
      <w:lvlJc w:val="left"/>
      <w:pPr>
        <w:ind w:left="2880" w:hanging="360"/>
      </w:pPr>
      <w:rPr>
        <w:rFonts w:ascii="Symbol" w:hAnsi="Symbol" w:hint="default"/>
      </w:rPr>
    </w:lvl>
    <w:lvl w:ilvl="4" w:tplc="BAD28C1E">
      <w:start w:val="1"/>
      <w:numFmt w:val="bullet"/>
      <w:lvlText w:val="o"/>
      <w:lvlJc w:val="left"/>
      <w:pPr>
        <w:ind w:left="3600" w:hanging="360"/>
      </w:pPr>
      <w:rPr>
        <w:rFonts w:ascii="Courier New" w:hAnsi="Courier New" w:hint="default"/>
      </w:rPr>
    </w:lvl>
    <w:lvl w:ilvl="5" w:tplc="0680CDD2">
      <w:start w:val="1"/>
      <w:numFmt w:val="bullet"/>
      <w:lvlText w:val=""/>
      <w:lvlJc w:val="left"/>
      <w:pPr>
        <w:ind w:left="4320" w:hanging="360"/>
      </w:pPr>
      <w:rPr>
        <w:rFonts w:ascii="Wingdings" w:hAnsi="Wingdings" w:hint="default"/>
      </w:rPr>
    </w:lvl>
    <w:lvl w:ilvl="6" w:tplc="8BF8269A">
      <w:start w:val="1"/>
      <w:numFmt w:val="bullet"/>
      <w:lvlText w:val=""/>
      <w:lvlJc w:val="left"/>
      <w:pPr>
        <w:ind w:left="5040" w:hanging="360"/>
      </w:pPr>
      <w:rPr>
        <w:rFonts w:ascii="Symbol" w:hAnsi="Symbol" w:hint="default"/>
      </w:rPr>
    </w:lvl>
    <w:lvl w:ilvl="7" w:tplc="35682822">
      <w:start w:val="1"/>
      <w:numFmt w:val="bullet"/>
      <w:lvlText w:val="o"/>
      <w:lvlJc w:val="left"/>
      <w:pPr>
        <w:ind w:left="5760" w:hanging="360"/>
      </w:pPr>
      <w:rPr>
        <w:rFonts w:ascii="Courier New" w:hAnsi="Courier New" w:hint="default"/>
      </w:rPr>
    </w:lvl>
    <w:lvl w:ilvl="8" w:tplc="F01ABFB4">
      <w:start w:val="1"/>
      <w:numFmt w:val="bullet"/>
      <w:lvlText w:val=""/>
      <w:lvlJc w:val="left"/>
      <w:pPr>
        <w:ind w:left="6480" w:hanging="360"/>
      </w:pPr>
      <w:rPr>
        <w:rFonts w:ascii="Wingdings" w:hAnsi="Wingdings" w:hint="default"/>
      </w:rPr>
    </w:lvl>
  </w:abstractNum>
  <w:abstractNum w:abstractNumId="17" w15:restartNumberingAfterBreak="0">
    <w:nsid w:val="2B3D75D5"/>
    <w:multiLevelType w:val="hybridMultilevel"/>
    <w:tmpl w:val="0E30BE0E"/>
    <w:lvl w:ilvl="0" w:tplc="C1267B0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0700874"/>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19" w15:restartNumberingAfterBreak="0">
    <w:nsid w:val="3473621D"/>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20" w15:restartNumberingAfterBreak="0">
    <w:nsid w:val="3A8A04DC"/>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21" w15:restartNumberingAfterBreak="0">
    <w:nsid w:val="3C79415F"/>
    <w:multiLevelType w:val="hybridMultilevel"/>
    <w:tmpl w:val="83A49090"/>
    <w:lvl w:ilvl="0" w:tplc="FE78D31C">
      <w:start w:val="1"/>
      <w:numFmt w:val="upperLetter"/>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22" w15:restartNumberingAfterBreak="0">
    <w:nsid w:val="3C990863"/>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2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504709F7"/>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25" w15:restartNumberingAfterBreak="0">
    <w:nsid w:val="505E828A"/>
    <w:multiLevelType w:val="hybridMultilevel"/>
    <w:tmpl w:val="9DE4CC9E"/>
    <w:lvl w:ilvl="0" w:tplc="4FDE7CEC">
      <w:start w:val="7"/>
      <w:numFmt w:val="upperRoman"/>
      <w:lvlText w:val="%1."/>
      <w:lvlJc w:val="left"/>
      <w:pPr>
        <w:ind w:left="720" w:hanging="360"/>
      </w:pPr>
      <w:rPr>
        <w:rFonts w:ascii="Cambria" w:hAnsi="Cambria" w:hint="default"/>
      </w:rPr>
    </w:lvl>
    <w:lvl w:ilvl="1" w:tplc="F7841194">
      <w:start w:val="1"/>
      <w:numFmt w:val="lowerLetter"/>
      <w:lvlText w:val="%2."/>
      <w:lvlJc w:val="left"/>
      <w:pPr>
        <w:ind w:left="1440" w:hanging="360"/>
      </w:pPr>
    </w:lvl>
    <w:lvl w:ilvl="2" w:tplc="9C72723C">
      <w:start w:val="1"/>
      <w:numFmt w:val="lowerRoman"/>
      <w:lvlText w:val="%3."/>
      <w:lvlJc w:val="right"/>
      <w:pPr>
        <w:ind w:left="2160" w:hanging="180"/>
      </w:pPr>
    </w:lvl>
    <w:lvl w:ilvl="3" w:tplc="E504833E">
      <w:start w:val="1"/>
      <w:numFmt w:val="decimal"/>
      <w:lvlText w:val="%4."/>
      <w:lvlJc w:val="left"/>
      <w:pPr>
        <w:ind w:left="2880" w:hanging="360"/>
      </w:pPr>
    </w:lvl>
    <w:lvl w:ilvl="4" w:tplc="4C604FF2">
      <w:start w:val="1"/>
      <w:numFmt w:val="lowerLetter"/>
      <w:lvlText w:val="%5."/>
      <w:lvlJc w:val="left"/>
      <w:pPr>
        <w:ind w:left="3600" w:hanging="360"/>
      </w:pPr>
    </w:lvl>
    <w:lvl w:ilvl="5" w:tplc="59F44916">
      <w:start w:val="1"/>
      <w:numFmt w:val="lowerRoman"/>
      <w:lvlText w:val="%6."/>
      <w:lvlJc w:val="right"/>
      <w:pPr>
        <w:ind w:left="4320" w:hanging="180"/>
      </w:pPr>
    </w:lvl>
    <w:lvl w:ilvl="6" w:tplc="4D7E6F08">
      <w:start w:val="1"/>
      <w:numFmt w:val="decimal"/>
      <w:lvlText w:val="%7."/>
      <w:lvlJc w:val="left"/>
      <w:pPr>
        <w:ind w:left="5040" w:hanging="360"/>
      </w:pPr>
    </w:lvl>
    <w:lvl w:ilvl="7" w:tplc="E6446EE8">
      <w:start w:val="1"/>
      <w:numFmt w:val="lowerLetter"/>
      <w:lvlText w:val="%8."/>
      <w:lvlJc w:val="left"/>
      <w:pPr>
        <w:ind w:left="5760" w:hanging="360"/>
      </w:pPr>
    </w:lvl>
    <w:lvl w:ilvl="8" w:tplc="26A83F6A">
      <w:start w:val="1"/>
      <w:numFmt w:val="lowerRoman"/>
      <w:lvlText w:val="%9."/>
      <w:lvlJc w:val="right"/>
      <w:pPr>
        <w:ind w:left="6480" w:hanging="180"/>
      </w:pPr>
    </w:lvl>
  </w:abstractNum>
  <w:abstractNum w:abstractNumId="26" w15:restartNumberingAfterBreak="0">
    <w:nsid w:val="51236F60"/>
    <w:multiLevelType w:val="multilevel"/>
    <w:tmpl w:val="F7F4DE1A"/>
    <w:lvl w:ilvl="0">
      <w:start w:val="1"/>
      <w:numFmt w:val="upperRoman"/>
      <w:lvlText w:val="%1."/>
      <w:lvlJc w:val="left"/>
      <w:pPr>
        <w:ind w:left="1080" w:hanging="720"/>
      </w:pPr>
      <w:rPr>
        <w:rFonts w:ascii="Cambria" w:hAnsi="Cambria"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47156B"/>
    <w:multiLevelType w:val="hybridMultilevel"/>
    <w:tmpl w:val="750E1C2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7A6B21"/>
    <w:multiLevelType w:val="hybridMultilevel"/>
    <w:tmpl w:val="750E1C2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0F5AA0"/>
    <w:multiLevelType w:val="hybridMultilevel"/>
    <w:tmpl w:val="D33ADF40"/>
    <w:lvl w:ilvl="0" w:tplc="24705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A7D0C"/>
    <w:multiLevelType w:val="hybridMultilevel"/>
    <w:tmpl w:val="3A6A3F86"/>
    <w:lvl w:ilvl="0" w:tplc="3DAAEC7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105B4"/>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33" w15:restartNumberingAfterBreak="0">
    <w:nsid w:val="73820409"/>
    <w:multiLevelType w:val="hybridMultilevel"/>
    <w:tmpl w:val="33F2325A"/>
    <w:lvl w:ilvl="0" w:tplc="122A1518">
      <w:start w:val="3"/>
      <w:numFmt w:val="decimal"/>
      <w:lvlText w:val="%1."/>
      <w:lvlJc w:val="left"/>
      <w:pPr>
        <w:ind w:left="1080" w:hanging="360"/>
      </w:pPr>
      <w:rPr>
        <w:rFonts w:ascii="Cambria" w:hAnsi="Cambria"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1D947E"/>
    <w:multiLevelType w:val="hybridMultilevel"/>
    <w:tmpl w:val="230A7B30"/>
    <w:lvl w:ilvl="0" w:tplc="6C06B622">
      <w:start w:val="1"/>
      <w:numFmt w:val="decimal"/>
      <w:lvlText w:val="%1."/>
      <w:lvlJc w:val="left"/>
      <w:pPr>
        <w:ind w:left="720" w:hanging="360"/>
      </w:pPr>
    </w:lvl>
    <w:lvl w:ilvl="1" w:tplc="D8AE1B2E">
      <w:start w:val="1"/>
      <w:numFmt w:val="lowerLetter"/>
      <w:lvlText w:val="%2."/>
      <w:lvlJc w:val="left"/>
      <w:pPr>
        <w:ind w:left="1440" w:hanging="360"/>
      </w:pPr>
    </w:lvl>
    <w:lvl w:ilvl="2" w:tplc="2D2C7B64">
      <w:start w:val="1"/>
      <w:numFmt w:val="lowerRoman"/>
      <w:lvlText w:val="%3."/>
      <w:lvlJc w:val="right"/>
      <w:pPr>
        <w:ind w:left="2160" w:hanging="180"/>
      </w:pPr>
    </w:lvl>
    <w:lvl w:ilvl="3" w:tplc="3C504A2E">
      <w:start w:val="1"/>
      <w:numFmt w:val="decimal"/>
      <w:lvlText w:val="%4."/>
      <w:lvlJc w:val="left"/>
      <w:pPr>
        <w:ind w:left="2880" w:hanging="360"/>
      </w:pPr>
    </w:lvl>
    <w:lvl w:ilvl="4" w:tplc="56B4B708">
      <w:start w:val="1"/>
      <w:numFmt w:val="lowerLetter"/>
      <w:lvlText w:val="%5."/>
      <w:lvlJc w:val="left"/>
      <w:pPr>
        <w:ind w:left="3600" w:hanging="360"/>
      </w:pPr>
    </w:lvl>
    <w:lvl w:ilvl="5" w:tplc="3CB8DDB0">
      <w:start w:val="1"/>
      <w:numFmt w:val="lowerRoman"/>
      <w:lvlText w:val="%6."/>
      <w:lvlJc w:val="right"/>
      <w:pPr>
        <w:ind w:left="4320" w:hanging="180"/>
      </w:pPr>
    </w:lvl>
    <w:lvl w:ilvl="6" w:tplc="55EA7A4A">
      <w:start w:val="1"/>
      <w:numFmt w:val="decimal"/>
      <w:lvlText w:val="%7."/>
      <w:lvlJc w:val="left"/>
      <w:pPr>
        <w:ind w:left="5040" w:hanging="360"/>
      </w:pPr>
    </w:lvl>
    <w:lvl w:ilvl="7" w:tplc="ED349562">
      <w:start w:val="1"/>
      <w:numFmt w:val="lowerLetter"/>
      <w:lvlText w:val="%8."/>
      <w:lvlJc w:val="left"/>
      <w:pPr>
        <w:ind w:left="5760" w:hanging="360"/>
      </w:pPr>
    </w:lvl>
    <w:lvl w:ilvl="8" w:tplc="6A32968A">
      <w:start w:val="1"/>
      <w:numFmt w:val="lowerRoman"/>
      <w:lvlText w:val="%9."/>
      <w:lvlJc w:val="right"/>
      <w:pPr>
        <w:ind w:left="6480" w:hanging="180"/>
      </w:pPr>
    </w:lvl>
  </w:abstractNum>
  <w:abstractNum w:abstractNumId="35" w15:restartNumberingAfterBreak="0">
    <w:nsid w:val="76249253"/>
    <w:multiLevelType w:val="hybridMultilevel"/>
    <w:tmpl w:val="5F8255A8"/>
    <w:lvl w:ilvl="0" w:tplc="7AC0BA42">
      <w:start w:val="1"/>
      <w:numFmt w:val="bullet"/>
      <w:lvlText w:val="·"/>
      <w:lvlJc w:val="left"/>
      <w:pPr>
        <w:ind w:left="720" w:hanging="360"/>
      </w:pPr>
      <w:rPr>
        <w:rFonts w:ascii="Symbol" w:hAnsi="Symbol" w:hint="default"/>
      </w:rPr>
    </w:lvl>
    <w:lvl w:ilvl="1" w:tplc="F8162952">
      <w:start w:val="1"/>
      <w:numFmt w:val="bullet"/>
      <w:lvlText w:val="o"/>
      <w:lvlJc w:val="left"/>
      <w:pPr>
        <w:ind w:left="1440" w:hanging="360"/>
      </w:pPr>
      <w:rPr>
        <w:rFonts w:ascii="Courier New" w:hAnsi="Courier New" w:hint="default"/>
      </w:rPr>
    </w:lvl>
    <w:lvl w:ilvl="2" w:tplc="72E2DE34">
      <w:start w:val="1"/>
      <w:numFmt w:val="bullet"/>
      <w:lvlText w:val=""/>
      <w:lvlJc w:val="left"/>
      <w:pPr>
        <w:ind w:left="2160" w:hanging="360"/>
      </w:pPr>
      <w:rPr>
        <w:rFonts w:ascii="Wingdings" w:hAnsi="Wingdings" w:hint="default"/>
      </w:rPr>
    </w:lvl>
    <w:lvl w:ilvl="3" w:tplc="29120992">
      <w:start w:val="1"/>
      <w:numFmt w:val="bullet"/>
      <w:lvlText w:val=""/>
      <w:lvlJc w:val="left"/>
      <w:pPr>
        <w:ind w:left="2880" w:hanging="360"/>
      </w:pPr>
      <w:rPr>
        <w:rFonts w:ascii="Symbol" w:hAnsi="Symbol" w:hint="default"/>
      </w:rPr>
    </w:lvl>
    <w:lvl w:ilvl="4" w:tplc="914C97CA">
      <w:start w:val="1"/>
      <w:numFmt w:val="bullet"/>
      <w:lvlText w:val="o"/>
      <w:lvlJc w:val="left"/>
      <w:pPr>
        <w:ind w:left="3600" w:hanging="360"/>
      </w:pPr>
      <w:rPr>
        <w:rFonts w:ascii="Courier New" w:hAnsi="Courier New" w:hint="default"/>
      </w:rPr>
    </w:lvl>
    <w:lvl w:ilvl="5" w:tplc="C8EC94C0">
      <w:start w:val="1"/>
      <w:numFmt w:val="bullet"/>
      <w:lvlText w:val=""/>
      <w:lvlJc w:val="left"/>
      <w:pPr>
        <w:ind w:left="4320" w:hanging="360"/>
      </w:pPr>
      <w:rPr>
        <w:rFonts w:ascii="Wingdings" w:hAnsi="Wingdings" w:hint="default"/>
      </w:rPr>
    </w:lvl>
    <w:lvl w:ilvl="6" w:tplc="280CD494">
      <w:start w:val="1"/>
      <w:numFmt w:val="bullet"/>
      <w:lvlText w:val=""/>
      <w:lvlJc w:val="left"/>
      <w:pPr>
        <w:ind w:left="5040" w:hanging="360"/>
      </w:pPr>
      <w:rPr>
        <w:rFonts w:ascii="Symbol" w:hAnsi="Symbol" w:hint="default"/>
      </w:rPr>
    </w:lvl>
    <w:lvl w:ilvl="7" w:tplc="C5887452">
      <w:start w:val="1"/>
      <w:numFmt w:val="bullet"/>
      <w:lvlText w:val="o"/>
      <w:lvlJc w:val="left"/>
      <w:pPr>
        <w:ind w:left="5760" w:hanging="360"/>
      </w:pPr>
      <w:rPr>
        <w:rFonts w:ascii="Courier New" w:hAnsi="Courier New" w:hint="default"/>
      </w:rPr>
    </w:lvl>
    <w:lvl w:ilvl="8" w:tplc="CFF6AB2E">
      <w:start w:val="1"/>
      <w:numFmt w:val="bullet"/>
      <w:lvlText w:val=""/>
      <w:lvlJc w:val="left"/>
      <w:pPr>
        <w:ind w:left="6480" w:hanging="360"/>
      </w:pPr>
      <w:rPr>
        <w:rFonts w:ascii="Wingdings" w:hAnsi="Wingdings" w:hint="default"/>
      </w:rPr>
    </w:lvl>
  </w:abstractNum>
  <w:abstractNum w:abstractNumId="36" w15:restartNumberingAfterBreak="0">
    <w:nsid w:val="78E00A47"/>
    <w:multiLevelType w:val="hybridMultilevel"/>
    <w:tmpl w:val="4D320452"/>
    <w:lvl w:ilvl="0" w:tplc="C348336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7C04047C"/>
    <w:multiLevelType w:val="hybridMultilevel"/>
    <w:tmpl w:val="83A49090"/>
    <w:lvl w:ilvl="0" w:tplc="FFFFFFFF">
      <w:start w:val="1"/>
      <w:numFmt w:val="upperLetter"/>
      <w:lvlText w:val="%1."/>
      <w:lvlJc w:val="left"/>
      <w:pPr>
        <w:ind w:left="681" w:hanging="360"/>
      </w:pPr>
      <w:rPr>
        <w:rFonts w:hint="default"/>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3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9" w15:restartNumberingAfterBreak="0">
    <w:nsid w:val="7DB9DD27"/>
    <w:multiLevelType w:val="hybridMultilevel"/>
    <w:tmpl w:val="3F8416CC"/>
    <w:lvl w:ilvl="0" w:tplc="03AC1BE8">
      <w:start w:val="1"/>
      <w:numFmt w:val="upperLetter"/>
      <w:lvlText w:val="%1."/>
      <w:lvlJc w:val="left"/>
      <w:pPr>
        <w:ind w:left="720" w:hanging="360"/>
      </w:pPr>
      <w:rPr>
        <w:rFonts w:ascii="Cambria" w:hAnsi="Cambria" w:hint="default"/>
      </w:rPr>
    </w:lvl>
    <w:lvl w:ilvl="1" w:tplc="FAE6D146">
      <w:start w:val="1"/>
      <w:numFmt w:val="lowerLetter"/>
      <w:lvlText w:val="%2."/>
      <w:lvlJc w:val="left"/>
      <w:pPr>
        <w:ind w:left="1440" w:hanging="360"/>
      </w:pPr>
    </w:lvl>
    <w:lvl w:ilvl="2" w:tplc="E44AA68C">
      <w:start w:val="1"/>
      <w:numFmt w:val="lowerRoman"/>
      <w:lvlText w:val="%3."/>
      <w:lvlJc w:val="right"/>
      <w:pPr>
        <w:ind w:left="2160" w:hanging="180"/>
      </w:pPr>
    </w:lvl>
    <w:lvl w:ilvl="3" w:tplc="CF92D4EC">
      <w:start w:val="1"/>
      <w:numFmt w:val="decimal"/>
      <w:lvlText w:val="%4."/>
      <w:lvlJc w:val="left"/>
      <w:pPr>
        <w:ind w:left="2880" w:hanging="360"/>
      </w:pPr>
    </w:lvl>
    <w:lvl w:ilvl="4" w:tplc="F1AE2D74">
      <w:start w:val="1"/>
      <w:numFmt w:val="lowerLetter"/>
      <w:lvlText w:val="%5."/>
      <w:lvlJc w:val="left"/>
      <w:pPr>
        <w:ind w:left="3600" w:hanging="360"/>
      </w:pPr>
    </w:lvl>
    <w:lvl w:ilvl="5" w:tplc="3A9CFC0C">
      <w:start w:val="1"/>
      <w:numFmt w:val="lowerRoman"/>
      <w:lvlText w:val="%6."/>
      <w:lvlJc w:val="right"/>
      <w:pPr>
        <w:ind w:left="4320" w:hanging="180"/>
      </w:pPr>
    </w:lvl>
    <w:lvl w:ilvl="6" w:tplc="2190F130">
      <w:start w:val="1"/>
      <w:numFmt w:val="decimal"/>
      <w:lvlText w:val="%7."/>
      <w:lvlJc w:val="left"/>
      <w:pPr>
        <w:ind w:left="5040" w:hanging="360"/>
      </w:pPr>
    </w:lvl>
    <w:lvl w:ilvl="7" w:tplc="73B2FE90">
      <w:start w:val="1"/>
      <w:numFmt w:val="lowerLetter"/>
      <w:lvlText w:val="%8."/>
      <w:lvlJc w:val="left"/>
      <w:pPr>
        <w:ind w:left="5760" w:hanging="360"/>
      </w:pPr>
    </w:lvl>
    <w:lvl w:ilvl="8" w:tplc="72A6A2EA">
      <w:start w:val="1"/>
      <w:numFmt w:val="lowerRoman"/>
      <w:lvlText w:val="%9."/>
      <w:lvlJc w:val="right"/>
      <w:pPr>
        <w:ind w:left="6480" w:hanging="180"/>
      </w:pPr>
    </w:lvl>
  </w:abstractNum>
  <w:num w:numId="1" w16cid:durableId="339937968">
    <w:abstractNumId w:val="12"/>
  </w:num>
  <w:num w:numId="2" w16cid:durableId="1472403989">
    <w:abstractNumId w:val="13"/>
  </w:num>
  <w:num w:numId="3" w16cid:durableId="1068268354">
    <w:abstractNumId w:val="11"/>
  </w:num>
  <w:num w:numId="4" w16cid:durableId="1568111524">
    <w:abstractNumId w:val="16"/>
  </w:num>
  <w:num w:numId="5" w16cid:durableId="244145264">
    <w:abstractNumId w:val="35"/>
  </w:num>
  <w:num w:numId="6" w16cid:durableId="345447009">
    <w:abstractNumId w:val="39"/>
  </w:num>
  <w:num w:numId="7" w16cid:durableId="243075811">
    <w:abstractNumId w:val="25"/>
  </w:num>
  <w:num w:numId="8" w16cid:durableId="370616977">
    <w:abstractNumId w:val="34"/>
  </w:num>
  <w:num w:numId="9" w16cid:durableId="213127642">
    <w:abstractNumId w:val="15"/>
  </w:num>
  <w:num w:numId="10" w16cid:durableId="1712607694">
    <w:abstractNumId w:val="23"/>
  </w:num>
  <w:num w:numId="11" w16cid:durableId="426849189">
    <w:abstractNumId w:val="38"/>
  </w:num>
  <w:num w:numId="12" w16cid:durableId="978146478">
    <w:abstractNumId w:val="28"/>
  </w:num>
  <w:num w:numId="13" w16cid:durableId="446504039">
    <w:abstractNumId w:val="9"/>
  </w:num>
  <w:num w:numId="14" w16cid:durableId="2048992643">
    <w:abstractNumId w:val="8"/>
  </w:num>
  <w:num w:numId="15" w16cid:durableId="491221110">
    <w:abstractNumId w:val="14"/>
  </w:num>
  <w:num w:numId="16" w16cid:durableId="1982153750">
    <w:abstractNumId w:val="5"/>
  </w:num>
  <w:num w:numId="17" w16cid:durableId="1306013148">
    <w:abstractNumId w:val="6"/>
  </w:num>
  <w:num w:numId="18" w16cid:durableId="323121058">
    <w:abstractNumId w:val="0"/>
  </w:num>
  <w:num w:numId="19" w16cid:durableId="957108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62725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8801267">
    <w:abstractNumId w:val="33"/>
  </w:num>
  <w:num w:numId="22" w16cid:durableId="1040664822">
    <w:abstractNumId w:val="10"/>
  </w:num>
  <w:num w:numId="23" w16cid:durableId="231814607">
    <w:abstractNumId w:val="29"/>
  </w:num>
  <w:num w:numId="24" w16cid:durableId="1463302028">
    <w:abstractNumId w:val="27"/>
  </w:num>
  <w:num w:numId="25" w16cid:durableId="127014227">
    <w:abstractNumId w:val="3"/>
  </w:num>
  <w:num w:numId="26" w16cid:durableId="913274370">
    <w:abstractNumId w:val="21"/>
  </w:num>
  <w:num w:numId="27" w16cid:durableId="1927156258">
    <w:abstractNumId w:val="26"/>
  </w:num>
  <w:num w:numId="28" w16cid:durableId="1802921425">
    <w:abstractNumId w:val="1"/>
  </w:num>
  <w:num w:numId="29" w16cid:durableId="2009668624">
    <w:abstractNumId w:val="22"/>
  </w:num>
  <w:num w:numId="30" w16cid:durableId="681980294">
    <w:abstractNumId w:val="20"/>
  </w:num>
  <w:num w:numId="31" w16cid:durableId="1961763456">
    <w:abstractNumId w:val="4"/>
  </w:num>
  <w:num w:numId="32" w16cid:durableId="2123724896">
    <w:abstractNumId w:val="32"/>
  </w:num>
  <w:num w:numId="33" w16cid:durableId="905651867">
    <w:abstractNumId w:val="7"/>
  </w:num>
  <w:num w:numId="34" w16cid:durableId="1837065848">
    <w:abstractNumId w:val="18"/>
  </w:num>
  <w:num w:numId="35" w16cid:durableId="1779368827">
    <w:abstractNumId w:val="24"/>
  </w:num>
  <w:num w:numId="36" w16cid:durableId="754084106">
    <w:abstractNumId w:val="19"/>
  </w:num>
  <w:num w:numId="37" w16cid:durableId="1610890746">
    <w:abstractNumId w:val="2"/>
  </w:num>
  <w:num w:numId="38" w16cid:durableId="1172599437">
    <w:abstractNumId w:val="37"/>
  </w:num>
  <w:num w:numId="39" w16cid:durableId="1619213760">
    <w:abstractNumId w:val="31"/>
  </w:num>
  <w:num w:numId="40" w16cid:durableId="6090527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84557"/>
    <w:rsid w:val="000B26E8"/>
    <w:rsid w:val="000B5E1D"/>
    <w:rsid w:val="00105B23"/>
    <w:rsid w:val="00126899"/>
    <w:rsid w:val="0016357E"/>
    <w:rsid w:val="00181DA0"/>
    <w:rsid w:val="002248FB"/>
    <w:rsid w:val="00234E64"/>
    <w:rsid w:val="00270EB6"/>
    <w:rsid w:val="002D3925"/>
    <w:rsid w:val="00322720"/>
    <w:rsid w:val="003D7ED9"/>
    <w:rsid w:val="003F39B3"/>
    <w:rsid w:val="00453115"/>
    <w:rsid w:val="004758C9"/>
    <w:rsid w:val="0048723C"/>
    <w:rsid w:val="00500FDE"/>
    <w:rsid w:val="00557D35"/>
    <w:rsid w:val="00566CD0"/>
    <w:rsid w:val="0059342F"/>
    <w:rsid w:val="005F195F"/>
    <w:rsid w:val="00637ED3"/>
    <w:rsid w:val="006638E5"/>
    <w:rsid w:val="00672733"/>
    <w:rsid w:val="006819E6"/>
    <w:rsid w:val="006B1F24"/>
    <w:rsid w:val="006E5E07"/>
    <w:rsid w:val="007434E8"/>
    <w:rsid w:val="007C4DCE"/>
    <w:rsid w:val="008463D3"/>
    <w:rsid w:val="008818B0"/>
    <w:rsid w:val="008861D6"/>
    <w:rsid w:val="008D0833"/>
    <w:rsid w:val="00A55596"/>
    <w:rsid w:val="00A62645"/>
    <w:rsid w:val="00A80674"/>
    <w:rsid w:val="00AD7FF8"/>
    <w:rsid w:val="00AE2642"/>
    <w:rsid w:val="00BD17B0"/>
    <w:rsid w:val="00BF7A78"/>
    <w:rsid w:val="00CB4B3F"/>
    <w:rsid w:val="00CD3486"/>
    <w:rsid w:val="00D56DC4"/>
    <w:rsid w:val="00D633B2"/>
    <w:rsid w:val="00DA7B3C"/>
    <w:rsid w:val="00DD4AB9"/>
    <w:rsid w:val="00DE1365"/>
    <w:rsid w:val="00E042FE"/>
    <w:rsid w:val="00E516AB"/>
    <w:rsid w:val="00E90CB3"/>
    <w:rsid w:val="00EA0262"/>
    <w:rsid w:val="00EA5368"/>
    <w:rsid w:val="00EC61E3"/>
    <w:rsid w:val="00ED0AAA"/>
    <w:rsid w:val="00ED1EBA"/>
    <w:rsid w:val="00F22F03"/>
    <w:rsid w:val="00F41E7E"/>
    <w:rsid w:val="19F827DC"/>
    <w:rsid w:val="1B0DF4A9"/>
    <w:rsid w:val="26204A4E"/>
    <w:rsid w:val="2C9DDEFA"/>
    <w:rsid w:val="31F41DB9"/>
    <w:rsid w:val="348FC882"/>
    <w:rsid w:val="390C613D"/>
    <w:rsid w:val="3A0CA600"/>
    <w:rsid w:val="3A1ADF1A"/>
    <w:rsid w:val="3D470DBF"/>
    <w:rsid w:val="41D97A31"/>
    <w:rsid w:val="4649AA33"/>
    <w:rsid w:val="4CA579D1"/>
    <w:rsid w:val="4E5FCF03"/>
    <w:rsid w:val="51ABA080"/>
    <w:rsid w:val="51C9E54B"/>
    <w:rsid w:val="614F74A4"/>
    <w:rsid w:val="6418EB9B"/>
    <w:rsid w:val="68D33461"/>
    <w:rsid w:val="7DA7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unhideWhenUsed/>
    <w:rsid w:val="00F22F03"/>
    <w:rPr>
      <w:color w:val="0563C1" w:themeColor="hyperlink"/>
      <w:u w:val="single"/>
    </w:rPr>
  </w:style>
  <w:style w:type="character" w:styleId="UnresolvedMention">
    <w:name w:val="Unresolved Mention"/>
    <w:basedOn w:val="DefaultParagraphFont"/>
    <w:uiPriority w:val="99"/>
    <w:semiHidden/>
    <w:unhideWhenUsed/>
    <w:rsid w:val="00F22F03"/>
    <w:rPr>
      <w:color w:val="605E5C"/>
      <w:shd w:val="clear" w:color="auto" w:fill="E1DFDD"/>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AD7FF8"/>
  </w:style>
  <w:style w:type="paragraph" w:customStyle="1" w:styleId="Corpo">
    <w:name w:val="Corpo"/>
    <w:basedOn w:val="Normal"/>
    <w:uiPriority w:val="1"/>
    <w:rsid w:val="68D33461"/>
    <w:pPr>
      <w:spacing w:after="200" w:line="276" w:lineRule="auto"/>
    </w:pPr>
    <w:rPr>
      <w:rFonts w:ascii="Calibri" w:eastAsia="Calibri" w:hAnsi="Calibri" w:cs="Calibri"/>
      <w:color w:val="000000" w:themeColor="text1"/>
      <w:sz w:val="22"/>
      <w:szCs w:val="22"/>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ARPU12.681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1/ARPU12.681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39ABDEF7-A932-49E1-9576-A88A53D1E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2023-03-28T18:53:00Z</dcterms:created>
  <dcterms:modified xsi:type="dcterms:W3CDTF">2023-03-28T18:53:00Z</dcterms:modified>
</cp:coreProperties>
</file>