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CD67" w14:textId="77777777" w:rsidR="00311917" w:rsidRPr="00787730" w:rsidRDefault="00311917" w:rsidP="00311917">
      <w:pPr>
        <w:pStyle w:val="Header"/>
        <w:jc w:val="center"/>
        <w:rPr>
          <w:rFonts w:ascii="Cambria" w:hAnsi="Cambria"/>
          <w:sz w:val="20"/>
          <w:szCs w:val="20"/>
          <w:lang w:val="es-ES"/>
        </w:rPr>
      </w:pPr>
      <w:r w:rsidRPr="1DFA3710">
        <w:rPr>
          <w:rFonts w:ascii="Cambria" w:hAnsi="Cambria"/>
          <w:b/>
          <w:bCs/>
          <w:sz w:val="20"/>
          <w:szCs w:val="20"/>
          <w:lang w:val="es-ES"/>
        </w:rPr>
        <w:t>FICHA DE SEGUIMIENTO DEL INFORME Nº 51/01</w:t>
      </w:r>
    </w:p>
    <w:p w14:paraId="7C8FB8F6" w14:textId="77777777" w:rsidR="00311917" w:rsidRPr="00787730" w:rsidRDefault="00311917" w:rsidP="00311917">
      <w:pPr>
        <w:jc w:val="center"/>
        <w:rPr>
          <w:rFonts w:ascii="Cambria" w:hAnsi="Cambria"/>
          <w:b/>
          <w:bCs/>
          <w:sz w:val="20"/>
          <w:szCs w:val="20"/>
          <w:lang w:val="es-ES"/>
        </w:rPr>
      </w:pPr>
      <w:r w:rsidRPr="1DFA3710">
        <w:rPr>
          <w:rFonts w:ascii="Cambria" w:hAnsi="Cambria"/>
          <w:b/>
          <w:bCs/>
          <w:sz w:val="20"/>
          <w:szCs w:val="20"/>
          <w:lang w:val="es-ES"/>
        </w:rPr>
        <w:t>CASO 9.903</w:t>
      </w:r>
    </w:p>
    <w:p w14:paraId="30B7BFB0" w14:textId="77777777" w:rsidR="00311917" w:rsidRPr="00787730" w:rsidRDefault="00311917" w:rsidP="00311917">
      <w:pPr>
        <w:jc w:val="center"/>
        <w:rPr>
          <w:rFonts w:ascii="Cambria" w:hAnsi="Cambria"/>
          <w:b/>
          <w:bCs/>
          <w:sz w:val="20"/>
          <w:szCs w:val="20"/>
          <w:lang w:val="es-ES"/>
        </w:rPr>
      </w:pPr>
      <w:r w:rsidRPr="1DFA3710">
        <w:rPr>
          <w:rFonts w:ascii="Cambria" w:hAnsi="Cambria"/>
          <w:b/>
          <w:bCs/>
          <w:sz w:val="20"/>
          <w:szCs w:val="20"/>
          <w:lang w:val="es-ES"/>
        </w:rPr>
        <w:t xml:space="preserve">RAFAEL FERRER MAZORRA Y OTROS </w:t>
      </w:r>
    </w:p>
    <w:p w14:paraId="14418268" w14:textId="77777777" w:rsidR="00311917" w:rsidRPr="00787730" w:rsidRDefault="00311917" w:rsidP="00311917">
      <w:pPr>
        <w:jc w:val="center"/>
        <w:rPr>
          <w:rFonts w:ascii="Cambria" w:hAnsi="Cambria"/>
          <w:b/>
          <w:bCs/>
          <w:sz w:val="20"/>
          <w:szCs w:val="20"/>
          <w:lang w:val="es-ES"/>
        </w:rPr>
      </w:pPr>
      <w:r w:rsidRPr="1DFA3710">
        <w:rPr>
          <w:rFonts w:ascii="Cambria" w:hAnsi="Cambria"/>
          <w:b/>
          <w:bCs/>
          <w:sz w:val="20"/>
          <w:szCs w:val="20"/>
          <w:lang w:val="es-ES"/>
        </w:rPr>
        <w:t>(Estados Unidos)</w:t>
      </w:r>
    </w:p>
    <w:p w14:paraId="30347D7D" w14:textId="77777777" w:rsidR="00311917" w:rsidRPr="00787730" w:rsidRDefault="00311917" w:rsidP="00311917">
      <w:pPr>
        <w:jc w:val="both"/>
        <w:rPr>
          <w:rFonts w:ascii="Cambria" w:hAnsi="Cambria"/>
          <w:sz w:val="20"/>
          <w:szCs w:val="20"/>
          <w:lang w:val="es-ES"/>
        </w:rPr>
      </w:pPr>
    </w:p>
    <w:p w14:paraId="68BEF69B" w14:textId="77777777" w:rsidR="00311917" w:rsidRPr="00787730" w:rsidRDefault="00311917" w:rsidP="00311917">
      <w:pPr>
        <w:numPr>
          <w:ilvl w:val="0"/>
          <w:numId w:val="11"/>
        </w:numPr>
        <w:ind w:left="1440" w:hanging="720"/>
        <w:jc w:val="both"/>
        <w:rPr>
          <w:rFonts w:ascii="Cambria" w:hAnsi="Cambria" w:cs="Calibri Light"/>
          <w:b/>
          <w:bCs/>
          <w:sz w:val="20"/>
          <w:szCs w:val="20"/>
          <w:lang w:val="es-ES"/>
        </w:rPr>
      </w:pPr>
      <w:r w:rsidRPr="1DFA3710">
        <w:rPr>
          <w:rFonts w:ascii="Cambria" w:hAnsi="Cambria" w:cs="Calibri Light"/>
          <w:b/>
          <w:bCs/>
          <w:sz w:val="20"/>
          <w:szCs w:val="20"/>
          <w:lang w:val="es-ES"/>
        </w:rPr>
        <w:t xml:space="preserve">Resumen del Caso </w:t>
      </w:r>
    </w:p>
    <w:p w14:paraId="01077C1E" w14:textId="77777777" w:rsidR="00311917" w:rsidRPr="00787730" w:rsidRDefault="00311917" w:rsidP="00311917">
      <w:pPr>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311917" w:rsidRPr="009E7AA7" w14:paraId="26FF35A0" w14:textId="77777777" w:rsidTr="007D5860">
        <w:trPr>
          <w:jc w:val="center"/>
        </w:trPr>
        <w:tc>
          <w:tcPr>
            <w:tcW w:w="9576" w:type="dxa"/>
            <w:shd w:val="clear" w:color="auto" w:fill="F2F2F2" w:themeFill="background1" w:themeFillShade="F2"/>
          </w:tcPr>
          <w:p w14:paraId="17313C47" w14:textId="77777777" w:rsidR="00311917" w:rsidRPr="00787730" w:rsidRDefault="00311917" w:rsidP="007D5860">
            <w:pPr>
              <w:spacing w:before="120"/>
              <w:jc w:val="both"/>
              <w:rPr>
                <w:rFonts w:ascii="Cambria" w:hAnsi="Cambria"/>
                <w:sz w:val="20"/>
                <w:szCs w:val="20"/>
                <w:lang w:val="es-ES"/>
              </w:rPr>
            </w:pPr>
            <w:r w:rsidRPr="1DFA3710">
              <w:rPr>
                <w:rFonts w:ascii="Cambria" w:hAnsi="Cambria"/>
                <w:b/>
                <w:bCs/>
                <w:sz w:val="20"/>
                <w:szCs w:val="20"/>
                <w:lang w:val="es-ES"/>
              </w:rPr>
              <w:t xml:space="preserve">Víctima (s): </w:t>
            </w:r>
            <w:r w:rsidRPr="1DFA3710">
              <w:rPr>
                <w:rFonts w:ascii="Cambria" w:hAnsi="Cambria"/>
                <w:sz w:val="20"/>
                <w:szCs w:val="20"/>
                <w:lang w:val="es-ES"/>
              </w:rPr>
              <w:t xml:space="preserve">335 personas  </w:t>
            </w:r>
          </w:p>
          <w:p w14:paraId="56E23E2B" w14:textId="77777777" w:rsidR="00311917" w:rsidRPr="00787730" w:rsidRDefault="00311917" w:rsidP="007D5860">
            <w:pPr>
              <w:jc w:val="both"/>
              <w:rPr>
                <w:rFonts w:ascii="Cambria" w:hAnsi="Cambria"/>
                <w:b/>
                <w:bCs/>
                <w:sz w:val="20"/>
                <w:szCs w:val="20"/>
                <w:lang w:val="es-ES"/>
              </w:rPr>
            </w:pPr>
            <w:r w:rsidRPr="1DFA3710">
              <w:rPr>
                <w:rFonts w:ascii="Cambria" w:hAnsi="Cambria"/>
                <w:b/>
                <w:bCs/>
                <w:sz w:val="20"/>
                <w:szCs w:val="20"/>
                <w:lang w:val="es-ES"/>
              </w:rPr>
              <w:t>Peticionario (s):</w:t>
            </w:r>
            <w:r w:rsidRPr="1DFA3710">
              <w:rPr>
                <w:rFonts w:ascii="Cambria" w:hAnsi="Cambria"/>
                <w:sz w:val="20"/>
                <w:szCs w:val="20"/>
                <w:lang w:val="es-ES"/>
              </w:rPr>
              <w:t xml:space="preserve"> Robert T. Smith</w:t>
            </w:r>
          </w:p>
          <w:p w14:paraId="4077DCD0" w14:textId="77777777" w:rsidR="00311917" w:rsidRPr="00787730" w:rsidRDefault="00311917" w:rsidP="007D5860">
            <w:pPr>
              <w:jc w:val="both"/>
              <w:rPr>
                <w:rFonts w:ascii="Cambria" w:hAnsi="Cambria"/>
                <w:sz w:val="20"/>
                <w:szCs w:val="20"/>
                <w:lang w:val="es-ES"/>
              </w:rPr>
            </w:pPr>
            <w:r w:rsidRPr="1DFA3710">
              <w:rPr>
                <w:rFonts w:ascii="Cambria" w:hAnsi="Cambria"/>
                <w:b/>
                <w:bCs/>
                <w:sz w:val="20"/>
                <w:szCs w:val="20"/>
                <w:lang w:val="es-ES"/>
              </w:rPr>
              <w:t>Estado:</w:t>
            </w:r>
            <w:r w:rsidRPr="1DFA3710">
              <w:rPr>
                <w:rFonts w:ascii="Cambria" w:hAnsi="Cambria"/>
                <w:sz w:val="20"/>
                <w:szCs w:val="20"/>
                <w:lang w:val="es-ES"/>
              </w:rPr>
              <w:t xml:space="preserve"> Estados Unidos</w:t>
            </w:r>
          </w:p>
          <w:p w14:paraId="515EE9FC" w14:textId="77777777" w:rsidR="00311917" w:rsidRPr="00787730" w:rsidRDefault="00311917" w:rsidP="007D5860">
            <w:pPr>
              <w:jc w:val="both"/>
              <w:rPr>
                <w:rFonts w:ascii="Cambria" w:hAnsi="Cambria"/>
                <w:sz w:val="20"/>
                <w:szCs w:val="20"/>
                <w:lang w:val="es-ES"/>
              </w:rPr>
            </w:pPr>
            <w:r w:rsidRPr="1DFA3710">
              <w:rPr>
                <w:rFonts w:ascii="Cambria" w:hAnsi="Cambria"/>
                <w:b/>
                <w:bCs/>
                <w:sz w:val="20"/>
                <w:szCs w:val="20"/>
                <w:lang w:val="es-ES"/>
              </w:rPr>
              <w:t xml:space="preserve">Informe de Fondo Nº: </w:t>
            </w:r>
            <w:hyperlink r:id="rId11">
              <w:r w:rsidRPr="1DFA3710">
                <w:rPr>
                  <w:rStyle w:val="Hyperlink"/>
                  <w:rFonts w:ascii="Cambria" w:hAnsi="Cambria"/>
                  <w:sz w:val="20"/>
                  <w:szCs w:val="20"/>
                  <w:lang w:val="es-ES"/>
                </w:rPr>
                <w:t>51/01</w:t>
              </w:r>
            </w:hyperlink>
            <w:r w:rsidRPr="1DFA3710">
              <w:rPr>
                <w:rFonts w:ascii="Cambria" w:hAnsi="Cambria"/>
                <w:sz w:val="20"/>
                <w:szCs w:val="20"/>
                <w:lang w:val="es-ES"/>
              </w:rPr>
              <w:t>, publicado el 4 de abril de 2001 (disponible en inglés)</w:t>
            </w:r>
          </w:p>
          <w:p w14:paraId="41433AE5" w14:textId="77777777" w:rsidR="00311917" w:rsidRPr="00787730" w:rsidRDefault="00311917" w:rsidP="007D5860">
            <w:pPr>
              <w:jc w:val="both"/>
              <w:rPr>
                <w:rFonts w:ascii="Cambria" w:hAnsi="Cambria"/>
                <w:sz w:val="20"/>
                <w:szCs w:val="20"/>
                <w:lang w:val="es-ES"/>
              </w:rPr>
            </w:pPr>
            <w:r w:rsidRPr="1DFA3710">
              <w:rPr>
                <w:rFonts w:ascii="Cambria" w:hAnsi="Cambria"/>
                <w:b/>
                <w:bCs/>
                <w:sz w:val="20"/>
                <w:szCs w:val="20"/>
                <w:lang w:val="es-ES"/>
              </w:rPr>
              <w:t xml:space="preserve">Informe de Admisibilidad: </w:t>
            </w:r>
            <w:r w:rsidRPr="1DFA3710">
              <w:rPr>
                <w:rFonts w:ascii="Cambria" w:hAnsi="Cambria"/>
                <w:sz w:val="20"/>
                <w:szCs w:val="20"/>
                <w:lang w:val="es-ES"/>
              </w:rPr>
              <w:t>Analizado junto con el Informe de Fondo Nº 51/01</w:t>
            </w:r>
          </w:p>
          <w:p w14:paraId="4B372E92" w14:textId="77777777" w:rsidR="00311917" w:rsidRPr="00787730" w:rsidRDefault="00311917" w:rsidP="007D5860">
            <w:pPr>
              <w:spacing w:after="120"/>
              <w:jc w:val="both"/>
              <w:rPr>
                <w:rFonts w:ascii="Cambria" w:hAnsi="Cambria"/>
                <w:b/>
                <w:bCs/>
                <w:sz w:val="20"/>
                <w:szCs w:val="20"/>
                <w:lang w:val="es-ES"/>
              </w:rPr>
            </w:pPr>
            <w:r w:rsidRPr="1DFA3710">
              <w:rPr>
                <w:rFonts w:ascii="Cambria" w:hAnsi="Cambria"/>
                <w:b/>
                <w:bCs/>
                <w:sz w:val="20"/>
                <w:szCs w:val="20"/>
                <w:lang w:val="es-ES"/>
              </w:rPr>
              <w:t xml:space="preserve">Temas: </w:t>
            </w:r>
            <w:r w:rsidRPr="1DFA3710">
              <w:rPr>
                <w:rFonts w:ascii="Cambria" w:hAnsi="Cambria"/>
                <w:sz w:val="20"/>
                <w:szCs w:val="20"/>
                <w:lang w:val="es-ES"/>
              </w:rPr>
              <w:t>Derecho a la Libertad Personal / Igualdad y No Discriminación / Garantías Judiciales / Protección Judicial.</w:t>
            </w:r>
            <w:r w:rsidRPr="1DFA3710">
              <w:rPr>
                <w:rFonts w:ascii="Cambria" w:hAnsi="Cambria"/>
                <w:b/>
                <w:bCs/>
                <w:sz w:val="20"/>
                <w:szCs w:val="20"/>
                <w:lang w:val="es-ES"/>
              </w:rPr>
              <w:t xml:space="preserve"> </w:t>
            </w:r>
          </w:p>
          <w:p w14:paraId="1F02668A" w14:textId="77777777" w:rsidR="00311917" w:rsidRPr="00787730" w:rsidRDefault="00311917" w:rsidP="007D5860">
            <w:pPr>
              <w:spacing w:after="120"/>
              <w:jc w:val="both"/>
              <w:rPr>
                <w:rFonts w:ascii="Cambria" w:hAnsi="Cambria"/>
                <w:b/>
                <w:bCs/>
                <w:sz w:val="20"/>
                <w:szCs w:val="20"/>
                <w:lang w:val="es-ES"/>
              </w:rPr>
            </w:pPr>
            <w:r w:rsidRPr="1DFA3710">
              <w:rPr>
                <w:rFonts w:ascii="Cambria" w:hAnsi="Cambria"/>
                <w:b/>
                <w:bCs/>
                <w:sz w:val="20"/>
                <w:szCs w:val="20"/>
                <w:lang w:val="es-ES"/>
              </w:rPr>
              <w:t xml:space="preserve">Hechos: </w:t>
            </w:r>
            <w:r w:rsidRPr="1DFA3710">
              <w:rPr>
                <w:rFonts w:ascii="Cambria" w:hAnsi="Cambria"/>
                <w:sz w:val="20"/>
                <w:szCs w:val="20"/>
                <w:lang w:val="es-ES"/>
              </w:rPr>
              <w:t>Entre abril y septiembre de 1980, aproximadamente 125,000 personas de nacionalidad cubana llegaron a los Estados Unidos como parte de la “Flotilla de la Libertad” de Mariel. Este caso se refiere a aproximadamente 335 de estas personas quienes, en el momento en que se presentó la petición, estaban todas detenidas por el Estado, algunas desde su llegada en 1980 y otras que, habiendo sido puestas en libertad, posteriormente fueron detenidas por la comisión de delitos o violaciones de los términos de su libertad condicional.</w:t>
            </w:r>
          </w:p>
          <w:p w14:paraId="3A248B42" w14:textId="77777777" w:rsidR="00311917" w:rsidRPr="00787730" w:rsidRDefault="00311917" w:rsidP="007D5860">
            <w:pPr>
              <w:spacing w:after="120"/>
              <w:jc w:val="both"/>
              <w:rPr>
                <w:rFonts w:ascii="Cambria" w:hAnsi="Cambria"/>
                <w:b/>
                <w:bCs/>
                <w:sz w:val="20"/>
                <w:szCs w:val="20"/>
                <w:lang w:val="es-ES"/>
              </w:rPr>
            </w:pPr>
            <w:r w:rsidRPr="1DFA3710">
              <w:rPr>
                <w:rFonts w:ascii="Cambria" w:hAnsi="Cambria"/>
                <w:b/>
                <w:bCs/>
                <w:sz w:val="20"/>
                <w:szCs w:val="20"/>
                <w:lang w:val="es-ES"/>
              </w:rPr>
              <w:t xml:space="preserve">Derechos violados: </w:t>
            </w:r>
            <w:r w:rsidRPr="1DFA3710">
              <w:rPr>
                <w:rFonts w:ascii="Cambria" w:hAnsi="Cambria"/>
                <w:sz w:val="20"/>
                <w:szCs w:val="20"/>
                <w:lang w:val="es-ES"/>
              </w:rPr>
              <w:t>La Comisión concluyó que el Estado era responsable de haber violado los artículos I, II, XVII, XVIII y XXV de la Declaración con respecto a la privación de libertad de los peticionarios.</w:t>
            </w:r>
          </w:p>
        </w:tc>
      </w:tr>
    </w:tbl>
    <w:p w14:paraId="27B8FC04" w14:textId="77777777" w:rsidR="00311917" w:rsidRPr="00787730" w:rsidRDefault="00311917" w:rsidP="00311917">
      <w:pPr>
        <w:ind w:left="180"/>
        <w:jc w:val="both"/>
        <w:rPr>
          <w:rFonts w:ascii="Cambria" w:hAnsi="Cambria"/>
          <w:sz w:val="20"/>
          <w:szCs w:val="20"/>
          <w:lang w:val="es-ES"/>
        </w:rPr>
      </w:pPr>
    </w:p>
    <w:p w14:paraId="7EA8E477" w14:textId="77777777" w:rsidR="00311917" w:rsidRPr="00787730" w:rsidRDefault="00311917" w:rsidP="00311917">
      <w:pPr>
        <w:pStyle w:val="ListParagraph"/>
        <w:numPr>
          <w:ilvl w:val="0"/>
          <w:numId w:val="11"/>
        </w:numPr>
        <w:ind w:left="1440" w:hanging="720"/>
        <w:jc w:val="both"/>
        <w:rPr>
          <w:rFonts w:ascii="Cambria" w:hAnsi="Cambria" w:cs="Calibri Light"/>
          <w:b/>
          <w:bCs/>
          <w:sz w:val="20"/>
          <w:szCs w:val="20"/>
          <w:lang w:val="es-ES"/>
        </w:rPr>
      </w:pPr>
      <w:r w:rsidRPr="1DFA3710">
        <w:rPr>
          <w:rFonts w:ascii="Cambria" w:hAnsi="Cambria" w:cs="Calibri Light"/>
          <w:b/>
          <w:bCs/>
          <w:sz w:val="20"/>
          <w:szCs w:val="20"/>
          <w:lang w:val="es-ES"/>
        </w:rPr>
        <w:t xml:space="preserve">Recomendaciones </w:t>
      </w:r>
    </w:p>
    <w:p w14:paraId="3051A038" w14:textId="77777777" w:rsidR="00311917" w:rsidRPr="00787730" w:rsidRDefault="00311917" w:rsidP="00311917">
      <w:pPr>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8"/>
        <w:gridCol w:w="2224"/>
      </w:tblGrid>
      <w:tr w:rsidR="00311917" w:rsidRPr="009E7AA7" w14:paraId="58F6B9D4" w14:textId="77777777" w:rsidTr="007D5860">
        <w:tc>
          <w:tcPr>
            <w:tcW w:w="7290" w:type="dxa"/>
            <w:shd w:val="clear" w:color="auto" w:fill="auto"/>
            <w:vAlign w:val="center"/>
          </w:tcPr>
          <w:p w14:paraId="467C48E7" w14:textId="77777777" w:rsidR="00311917" w:rsidRPr="00787730" w:rsidRDefault="00311917" w:rsidP="007D5860">
            <w:pPr>
              <w:jc w:val="center"/>
              <w:rPr>
                <w:rFonts w:ascii="Cambria" w:hAnsi="Cambria"/>
                <w:b/>
                <w:bCs/>
                <w:sz w:val="18"/>
                <w:szCs w:val="18"/>
                <w:lang w:val="es-ES"/>
              </w:rPr>
            </w:pPr>
            <w:r w:rsidRPr="1DFA3710">
              <w:rPr>
                <w:rFonts w:ascii="Cambria" w:hAnsi="Cambria"/>
                <w:b/>
                <w:bCs/>
                <w:sz w:val="18"/>
                <w:szCs w:val="18"/>
                <w:lang w:val="es-ES"/>
              </w:rPr>
              <w:t>Recomendaciones</w:t>
            </w:r>
          </w:p>
        </w:tc>
        <w:tc>
          <w:tcPr>
            <w:tcW w:w="2250" w:type="dxa"/>
            <w:shd w:val="clear" w:color="auto" w:fill="auto"/>
            <w:vAlign w:val="center"/>
          </w:tcPr>
          <w:p w14:paraId="2905A77A" w14:textId="0FCD94C4" w:rsidR="00311917" w:rsidRPr="00787730" w:rsidRDefault="00311917" w:rsidP="007D5860">
            <w:pPr>
              <w:jc w:val="center"/>
              <w:rPr>
                <w:rFonts w:ascii="Cambria" w:hAnsi="Cambria"/>
                <w:b/>
                <w:bCs/>
                <w:color w:val="000000" w:themeColor="text1"/>
                <w:sz w:val="18"/>
                <w:szCs w:val="18"/>
                <w:lang w:val="es-ES"/>
              </w:rPr>
            </w:pPr>
            <w:r w:rsidRPr="1DFA3710">
              <w:rPr>
                <w:rFonts w:ascii="Cambria" w:hAnsi="Cambria"/>
                <w:b/>
                <w:bCs/>
                <w:color w:val="000000" w:themeColor="text1"/>
                <w:sz w:val="18"/>
                <w:szCs w:val="18"/>
                <w:lang w:val="es-ES"/>
              </w:rPr>
              <w:t>Estado de cumplimiento en el 202</w:t>
            </w:r>
            <w:r w:rsidR="008C4AF8">
              <w:rPr>
                <w:rFonts w:ascii="Cambria" w:hAnsi="Cambria"/>
                <w:b/>
                <w:bCs/>
                <w:color w:val="000000" w:themeColor="text1"/>
                <w:sz w:val="18"/>
                <w:szCs w:val="18"/>
                <w:lang w:val="es-ES"/>
              </w:rPr>
              <w:t>2</w:t>
            </w:r>
          </w:p>
        </w:tc>
      </w:tr>
      <w:tr w:rsidR="00311917" w:rsidRPr="00787730" w14:paraId="15297117" w14:textId="77777777" w:rsidTr="007D5860">
        <w:tc>
          <w:tcPr>
            <w:tcW w:w="7290" w:type="dxa"/>
            <w:shd w:val="clear" w:color="auto" w:fill="auto"/>
          </w:tcPr>
          <w:p w14:paraId="0C43D0F0" w14:textId="77777777" w:rsidR="00311917" w:rsidRPr="00787730" w:rsidRDefault="00311917" w:rsidP="007D5860">
            <w:pPr>
              <w:jc w:val="both"/>
              <w:rPr>
                <w:rFonts w:ascii="Cambria" w:hAnsi="Cambria"/>
                <w:sz w:val="18"/>
                <w:szCs w:val="18"/>
                <w:lang w:val="es-ES"/>
              </w:rPr>
            </w:pPr>
            <w:r w:rsidRPr="1DFA3710">
              <w:rPr>
                <w:rFonts w:ascii="Cambria" w:hAnsi="Cambria"/>
                <w:sz w:val="18"/>
                <w:szCs w:val="18"/>
                <w:lang w:val="es-ES"/>
              </w:rPr>
              <w:t>1. Que, tan pronto sea posible, convoque revisiones con respecto de todos los peticionarios que permanecen bajo la custodia del Estado, a fin de determinar la legalidad de su detención de acuerdo con las normas aplicables de la Declaración Americana, en particular los artículos I, II, XVII, XVIII y XXV de la Declaración, según se informa en el análisis de la Comisión que consta en el presente informe.</w:t>
            </w:r>
          </w:p>
        </w:tc>
        <w:tc>
          <w:tcPr>
            <w:tcW w:w="2250" w:type="dxa"/>
            <w:shd w:val="clear" w:color="auto" w:fill="auto"/>
            <w:vAlign w:val="center"/>
          </w:tcPr>
          <w:p w14:paraId="20B32F47" w14:textId="77777777" w:rsidR="00311917" w:rsidRPr="009E7AA7" w:rsidRDefault="00311917" w:rsidP="007D5860">
            <w:pPr>
              <w:jc w:val="center"/>
              <w:rPr>
                <w:rFonts w:ascii="Cambria" w:hAnsi="Cambria" w:cs="Calibri Light"/>
                <w:b/>
                <w:bCs/>
                <w:color w:val="000000" w:themeColor="text1"/>
                <w:sz w:val="18"/>
                <w:szCs w:val="18"/>
                <w:lang w:val="es-ES"/>
              </w:rPr>
            </w:pPr>
            <w:r w:rsidRPr="009E7AA7">
              <w:rPr>
                <w:rFonts w:ascii="Cambria" w:hAnsi="Cambria"/>
                <w:color w:val="000000" w:themeColor="text1"/>
                <w:sz w:val="18"/>
                <w:szCs w:val="18"/>
                <w:lang w:val="es-ES"/>
              </w:rPr>
              <w:t>Incumplimiento</w:t>
            </w:r>
          </w:p>
        </w:tc>
      </w:tr>
      <w:tr w:rsidR="00311917" w:rsidRPr="00787730" w14:paraId="1A01B967" w14:textId="77777777" w:rsidTr="007D5860">
        <w:trPr>
          <w:trHeight w:val="1016"/>
        </w:trPr>
        <w:tc>
          <w:tcPr>
            <w:tcW w:w="7290" w:type="dxa"/>
            <w:shd w:val="clear" w:color="auto" w:fill="auto"/>
          </w:tcPr>
          <w:p w14:paraId="71E43EF8" w14:textId="77777777" w:rsidR="00311917" w:rsidRPr="00787730" w:rsidRDefault="00311917" w:rsidP="007D5860">
            <w:pPr>
              <w:jc w:val="both"/>
              <w:rPr>
                <w:rFonts w:ascii="Cambria" w:hAnsi="Cambria"/>
                <w:sz w:val="18"/>
                <w:szCs w:val="18"/>
                <w:lang w:val="es-ES"/>
              </w:rPr>
            </w:pPr>
            <w:r w:rsidRPr="1DFA3710">
              <w:rPr>
                <w:rFonts w:ascii="Cambria" w:hAnsi="Cambria" w:cs="Calibri Light"/>
                <w:sz w:val="18"/>
                <w:szCs w:val="18"/>
                <w:lang w:val="es-ES"/>
              </w:rPr>
              <w:t xml:space="preserve">2. </w:t>
            </w:r>
            <w:r w:rsidRPr="1DFA3710">
              <w:rPr>
                <w:rFonts w:ascii="Cambria" w:hAnsi="Cambria"/>
                <w:sz w:val="18"/>
                <w:szCs w:val="18"/>
                <w:lang w:val="es-ES"/>
              </w:rPr>
              <w:t>Que revise las leyes, procedimientos y prácticas para asegurar que a todos los extranjeros que son detenidos bajo la autoridad y control del Estado, incluidos los extranjeros que las leyes de inmigración del Estado consideren “excluibles”, se les otorgue la plena protección de todos sus derechos establecidos en la Declaración Americana, incluidos en particular los consagrados en los artículos I, II, XVII, XVIII y XXV de la Declaración, según se informa en el análisis de la Comisión que consta en el presente informe.</w:t>
            </w:r>
          </w:p>
        </w:tc>
        <w:tc>
          <w:tcPr>
            <w:tcW w:w="2250" w:type="dxa"/>
            <w:shd w:val="clear" w:color="auto" w:fill="auto"/>
            <w:vAlign w:val="center"/>
          </w:tcPr>
          <w:p w14:paraId="5C509219" w14:textId="77777777" w:rsidR="00311917" w:rsidRPr="009E7AA7" w:rsidRDefault="00311917" w:rsidP="007D5860">
            <w:pPr>
              <w:jc w:val="center"/>
              <w:rPr>
                <w:rFonts w:ascii="Cambria" w:hAnsi="Cambria" w:cs="Calibri Light"/>
                <w:b/>
                <w:bCs/>
                <w:color w:val="000000" w:themeColor="text1"/>
                <w:sz w:val="18"/>
                <w:szCs w:val="18"/>
                <w:lang w:val="es-ES"/>
              </w:rPr>
            </w:pPr>
            <w:r w:rsidRPr="009E7AA7">
              <w:rPr>
                <w:rFonts w:ascii="Cambria" w:hAnsi="Cambria"/>
                <w:color w:val="000000" w:themeColor="text1"/>
                <w:sz w:val="18"/>
                <w:szCs w:val="18"/>
                <w:lang w:val="es-ES"/>
              </w:rPr>
              <w:t>Cumplimiento parcial</w:t>
            </w:r>
          </w:p>
        </w:tc>
      </w:tr>
    </w:tbl>
    <w:p w14:paraId="4F32629C" w14:textId="77777777" w:rsidR="00311917" w:rsidRPr="00787730" w:rsidRDefault="00311917" w:rsidP="00311917">
      <w:pPr>
        <w:jc w:val="both"/>
        <w:rPr>
          <w:rFonts w:ascii="Cambria" w:hAnsi="Cambria" w:cs="Calibri Light"/>
          <w:sz w:val="20"/>
          <w:szCs w:val="20"/>
          <w:lang w:val="es-ES"/>
        </w:rPr>
      </w:pPr>
    </w:p>
    <w:p w14:paraId="5AFDCB5E" w14:textId="77777777" w:rsidR="00311917" w:rsidRPr="00787730" w:rsidRDefault="00311917" w:rsidP="00311917">
      <w:pPr>
        <w:pStyle w:val="ListParagraph"/>
        <w:numPr>
          <w:ilvl w:val="0"/>
          <w:numId w:val="11"/>
        </w:numPr>
        <w:ind w:left="1440" w:hanging="720"/>
        <w:jc w:val="both"/>
        <w:rPr>
          <w:rFonts w:ascii="Cambria" w:hAnsi="Cambria" w:cs="Calibri Light"/>
          <w:b/>
          <w:bCs/>
          <w:sz w:val="20"/>
          <w:szCs w:val="20"/>
          <w:lang w:val="es-ES"/>
        </w:rPr>
      </w:pPr>
      <w:r w:rsidRPr="1DFA3710">
        <w:rPr>
          <w:rFonts w:ascii="Cambria" w:hAnsi="Cambria"/>
          <w:b/>
          <w:bCs/>
          <w:sz w:val="20"/>
          <w:szCs w:val="20"/>
          <w:lang w:val="es-ES"/>
        </w:rPr>
        <w:t>Actividad Procesal</w:t>
      </w:r>
    </w:p>
    <w:p w14:paraId="556FC70A" w14:textId="77777777" w:rsidR="00311917" w:rsidRPr="00787730" w:rsidRDefault="00311917" w:rsidP="00311917">
      <w:pPr>
        <w:jc w:val="both"/>
        <w:rPr>
          <w:rFonts w:ascii="Cambria" w:hAnsi="Cambria" w:cs="Calibri Light"/>
          <w:sz w:val="20"/>
          <w:szCs w:val="20"/>
          <w:lang w:val="es-ES"/>
        </w:rPr>
      </w:pPr>
    </w:p>
    <w:p w14:paraId="3C33A812" w14:textId="050C6E05" w:rsidR="00311917" w:rsidRPr="004F5551" w:rsidRDefault="00311917" w:rsidP="00311917">
      <w:pPr>
        <w:pStyle w:val="ListParagraph"/>
        <w:numPr>
          <w:ilvl w:val="0"/>
          <w:numId w:val="10"/>
        </w:numPr>
        <w:jc w:val="both"/>
        <w:rPr>
          <w:rFonts w:ascii="Cambria" w:hAnsi="Cambria" w:cs="Calibri Light"/>
          <w:color w:val="000000" w:themeColor="text1"/>
          <w:sz w:val="20"/>
          <w:szCs w:val="20"/>
          <w:lang w:val="es-ES"/>
        </w:rPr>
      </w:pPr>
      <w:r w:rsidRPr="1DFA3710">
        <w:rPr>
          <w:rFonts w:ascii="Cambria" w:hAnsi="Cambria" w:cs="Calibri Light"/>
          <w:color w:val="000000" w:themeColor="text1"/>
          <w:sz w:val="20"/>
          <w:szCs w:val="20"/>
          <w:lang w:val="es-ES"/>
        </w:rPr>
        <w:t>En 202</w:t>
      </w:r>
      <w:r w:rsidR="00783E8D">
        <w:rPr>
          <w:rFonts w:ascii="Cambria" w:hAnsi="Cambria" w:cs="Calibri Light"/>
          <w:color w:val="000000" w:themeColor="text1"/>
          <w:sz w:val="20"/>
          <w:szCs w:val="20"/>
          <w:lang w:val="es-ES"/>
        </w:rPr>
        <w:t>2</w:t>
      </w:r>
      <w:r w:rsidRPr="1DFA3710">
        <w:rPr>
          <w:rFonts w:ascii="Cambria" w:hAnsi="Cambria" w:cs="Calibri Light"/>
          <w:color w:val="000000" w:themeColor="text1"/>
          <w:sz w:val="20"/>
          <w:szCs w:val="20"/>
          <w:lang w:val="es-ES"/>
        </w:rPr>
        <w:t xml:space="preserve">, la CIDH solicitó al Estado información actualizada sobre el cumplimiento de recomendaciones el </w:t>
      </w:r>
      <w:r w:rsidR="009E7AA7">
        <w:rPr>
          <w:rFonts w:ascii="Cambria" w:hAnsi="Cambria" w:cs="Calibri Light"/>
          <w:color w:val="000000" w:themeColor="text1"/>
          <w:sz w:val="20"/>
          <w:szCs w:val="20"/>
          <w:lang w:val="es-ES"/>
        </w:rPr>
        <w:t>25</w:t>
      </w:r>
      <w:r w:rsidRPr="1DFA3710">
        <w:rPr>
          <w:rFonts w:ascii="Cambria" w:hAnsi="Cambria" w:cs="Calibri Light"/>
          <w:color w:val="000000" w:themeColor="text1"/>
          <w:sz w:val="20"/>
          <w:szCs w:val="20"/>
          <w:lang w:val="es-ES"/>
        </w:rPr>
        <w:t xml:space="preserve"> de agosto. </w:t>
      </w:r>
      <w:r w:rsidR="009E7AA7">
        <w:rPr>
          <w:rFonts w:ascii="Cambria" w:hAnsi="Cambria" w:cs="Calibri Light"/>
          <w:color w:val="000000" w:themeColor="text1"/>
          <w:sz w:val="20"/>
          <w:szCs w:val="20"/>
          <w:lang w:val="es-ES"/>
        </w:rPr>
        <w:t>A la fecha,</w:t>
      </w:r>
      <w:r w:rsidRPr="1DFA3710">
        <w:rPr>
          <w:rFonts w:ascii="Cambria" w:hAnsi="Cambria" w:cs="Calibri Light"/>
          <w:color w:val="000000" w:themeColor="text1"/>
          <w:sz w:val="20"/>
          <w:szCs w:val="20"/>
          <w:lang w:val="es-ES"/>
        </w:rPr>
        <w:t xml:space="preserve"> </w:t>
      </w:r>
      <w:r w:rsidR="009E7AA7">
        <w:rPr>
          <w:rFonts w:ascii="Cambria" w:hAnsi="Cambria" w:cs="Calibri Light"/>
          <w:color w:val="000000" w:themeColor="text1"/>
          <w:sz w:val="20"/>
          <w:szCs w:val="20"/>
          <w:lang w:val="es-ES"/>
        </w:rPr>
        <w:t>e</w:t>
      </w:r>
      <w:r w:rsidRPr="1DFA3710">
        <w:rPr>
          <w:rFonts w:ascii="Cambria" w:hAnsi="Cambria" w:cs="Calibri Light"/>
          <w:color w:val="000000" w:themeColor="text1"/>
          <w:sz w:val="20"/>
          <w:szCs w:val="20"/>
          <w:lang w:val="es-ES"/>
        </w:rPr>
        <w:t>l Estado</w:t>
      </w:r>
      <w:r w:rsidR="009E7AA7">
        <w:rPr>
          <w:rFonts w:ascii="Cambria" w:hAnsi="Cambria" w:cs="Calibri Light"/>
          <w:color w:val="000000" w:themeColor="text1"/>
          <w:sz w:val="20"/>
          <w:szCs w:val="20"/>
          <w:lang w:val="es-ES"/>
        </w:rPr>
        <w:t xml:space="preserve"> no</w:t>
      </w:r>
      <w:r w:rsidRPr="1DFA3710">
        <w:rPr>
          <w:rFonts w:ascii="Cambria" w:hAnsi="Cambria" w:cs="Calibri Light"/>
          <w:color w:val="000000" w:themeColor="text1"/>
          <w:sz w:val="20"/>
          <w:szCs w:val="20"/>
          <w:lang w:val="es-ES"/>
        </w:rPr>
        <w:t xml:space="preserve"> </w:t>
      </w:r>
      <w:r w:rsidRPr="1DFA3710">
        <w:rPr>
          <w:rFonts w:ascii="Cambria" w:hAnsi="Cambria"/>
          <w:sz w:val="20"/>
          <w:szCs w:val="20"/>
          <w:lang w:val="es-ES"/>
        </w:rPr>
        <w:t xml:space="preserve">presentó dicha información.  </w:t>
      </w:r>
    </w:p>
    <w:p w14:paraId="24C3816C" w14:textId="77777777" w:rsidR="00311917" w:rsidRPr="00787730" w:rsidRDefault="00311917" w:rsidP="00311917">
      <w:pPr>
        <w:ind w:left="720"/>
        <w:jc w:val="both"/>
        <w:rPr>
          <w:rFonts w:ascii="Cambria" w:hAnsi="Cambria" w:cs="Calibri Light"/>
          <w:color w:val="000000" w:themeColor="text1"/>
          <w:sz w:val="20"/>
          <w:szCs w:val="20"/>
          <w:lang w:val="es-ES"/>
        </w:rPr>
      </w:pPr>
    </w:p>
    <w:p w14:paraId="7B48DFA0" w14:textId="528C12C4" w:rsidR="00311917" w:rsidRPr="00787730" w:rsidRDefault="00311917" w:rsidP="00311917">
      <w:pPr>
        <w:numPr>
          <w:ilvl w:val="0"/>
          <w:numId w:val="10"/>
        </w:numPr>
        <w:jc w:val="both"/>
        <w:rPr>
          <w:rFonts w:ascii="Cambria" w:hAnsi="Cambria" w:cs="Calibri Light"/>
          <w:color w:val="000000" w:themeColor="text1"/>
          <w:sz w:val="20"/>
          <w:szCs w:val="20"/>
          <w:lang w:val="es-ES"/>
        </w:rPr>
      </w:pPr>
      <w:r w:rsidRPr="1DFA3710">
        <w:rPr>
          <w:rFonts w:ascii="Cambria" w:hAnsi="Cambria" w:cs="Calibri Light"/>
          <w:color w:val="000000" w:themeColor="text1"/>
          <w:sz w:val="20"/>
          <w:szCs w:val="20"/>
          <w:lang w:val="es-ES"/>
        </w:rPr>
        <w:t xml:space="preserve">La CIDH </w:t>
      </w:r>
      <w:r w:rsidRPr="1DFA3710">
        <w:rPr>
          <w:rFonts w:ascii="Cambria" w:hAnsi="Cambria"/>
          <w:color w:val="000000" w:themeColor="text1"/>
          <w:sz w:val="20"/>
          <w:szCs w:val="20"/>
          <w:lang w:val="es-ES"/>
        </w:rPr>
        <w:t xml:space="preserve">solicitó información actualizada al peticionario sobre el cumplimiento el </w:t>
      </w:r>
      <w:r w:rsidR="009E7AA7">
        <w:rPr>
          <w:rFonts w:ascii="Cambria" w:hAnsi="Cambria"/>
          <w:color w:val="000000" w:themeColor="text1"/>
          <w:sz w:val="20"/>
          <w:szCs w:val="20"/>
          <w:lang w:val="es-ES"/>
        </w:rPr>
        <w:t>25 de agosto</w:t>
      </w:r>
      <w:r w:rsidRPr="1DFA3710">
        <w:rPr>
          <w:rFonts w:ascii="Cambria" w:hAnsi="Cambria"/>
          <w:color w:val="000000" w:themeColor="text1"/>
          <w:sz w:val="20"/>
          <w:szCs w:val="20"/>
          <w:lang w:val="es-ES"/>
        </w:rPr>
        <w:t xml:space="preserve"> de 202</w:t>
      </w:r>
      <w:r w:rsidR="00783E8D">
        <w:rPr>
          <w:rFonts w:ascii="Cambria" w:hAnsi="Cambria"/>
          <w:color w:val="000000" w:themeColor="text1"/>
          <w:sz w:val="20"/>
          <w:szCs w:val="20"/>
          <w:lang w:val="es-ES"/>
        </w:rPr>
        <w:t>2</w:t>
      </w:r>
      <w:r w:rsidRPr="1DFA3710">
        <w:rPr>
          <w:rFonts w:ascii="Cambria" w:hAnsi="Cambria"/>
          <w:color w:val="000000" w:themeColor="text1"/>
          <w:sz w:val="20"/>
          <w:szCs w:val="20"/>
          <w:lang w:val="es-ES"/>
        </w:rPr>
        <w:t>.</w:t>
      </w:r>
      <w:r w:rsidR="006F0A52">
        <w:rPr>
          <w:rFonts w:ascii="Cambria" w:hAnsi="Cambria"/>
          <w:color w:val="000000" w:themeColor="text1"/>
          <w:sz w:val="20"/>
          <w:szCs w:val="20"/>
          <w:lang w:val="es-ES"/>
        </w:rPr>
        <w:t xml:space="preserve"> A la fecha, la parte peticionaria no presentó la información solicitada.</w:t>
      </w:r>
      <w:r w:rsidRPr="1DFA3710">
        <w:rPr>
          <w:rFonts w:ascii="Cambria" w:hAnsi="Cambria"/>
          <w:color w:val="000000" w:themeColor="text1"/>
          <w:sz w:val="20"/>
          <w:szCs w:val="20"/>
          <w:lang w:val="es-ES"/>
        </w:rPr>
        <w:t xml:space="preserve"> </w:t>
      </w:r>
      <w:r w:rsidRPr="1DFA3710">
        <w:rPr>
          <w:rFonts w:ascii="Cambria" w:hAnsi="Cambria" w:cs="Calibri Light"/>
          <w:color w:val="000000" w:themeColor="text1"/>
          <w:sz w:val="20"/>
          <w:szCs w:val="20"/>
          <w:lang w:val="es-ES"/>
        </w:rPr>
        <w:t xml:space="preserve">La CIDH observa con preocupación que el peticionario no ha presentado información sobre las medidas adoptadas para implementar las recomendaciones contenidas en el Informe de Fondo Nº 25/05 desde 2005. </w:t>
      </w:r>
    </w:p>
    <w:p w14:paraId="35B803B2" w14:textId="77777777" w:rsidR="00311917" w:rsidRPr="00787730" w:rsidRDefault="00311917" w:rsidP="00311917">
      <w:pPr>
        <w:pStyle w:val="ListParagraph"/>
        <w:rPr>
          <w:rFonts w:ascii="Cambria" w:hAnsi="Cambria" w:cs="Calibri Light"/>
          <w:sz w:val="20"/>
          <w:szCs w:val="20"/>
          <w:lang w:val="es-ES"/>
        </w:rPr>
      </w:pPr>
    </w:p>
    <w:p w14:paraId="6F72A631" w14:textId="77777777" w:rsidR="00311917" w:rsidRPr="00787730" w:rsidRDefault="00311917" w:rsidP="00311917">
      <w:pPr>
        <w:jc w:val="both"/>
        <w:rPr>
          <w:rFonts w:ascii="Cambria" w:hAnsi="Cambria" w:cs="Calibri Light"/>
          <w:sz w:val="20"/>
          <w:szCs w:val="20"/>
          <w:lang w:val="es-ES"/>
        </w:rPr>
      </w:pPr>
    </w:p>
    <w:p w14:paraId="1C5EA089" w14:textId="77777777" w:rsidR="00311917" w:rsidRPr="00787730" w:rsidRDefault="00311917" w:rsidP="00311917">
      <w:pPr>
        <w:pStyle w:val="ListParagraph"/>
        <w:numPr>
          <w:ilvl w:val="0"/>
          <w:numId w:val="11"/>
        </w:numPr>
        <w:ind w:left="1440" w:hanging="720"/>
        <w:jc w:val="both"/>
        <w:rPr>
          <w:rFonts w:ascii="Cambria" w:hAnsi="Cambria"/>
          <w:b/>
          <w:bCs/>
          <w:sz w:val="20"/>
          <w:szCs w:val="20"/>
          <w:lang w:val="es-ES"/>
        </w:rPr>
      </w:pPr>
      <w:r w:rsidRPr="1DFA3710">
        <w:rPr>
          <w:rFonts w:ascii="Cambria" w:hAnsi="Cambria"/>
          <w:b/>
          <w:bCs/>
          <w:sz w:val="20"/>
          <w:szCs w:val="20"/>
          <w:lang w:val="es-ES"/>
        </w:rPr>
        <w:t>Análisis relativo a la información proporcionada</w:t>
      </w:r>
    </w:p>
    <w:p w14:paraId="205436C0" w14:textId="77777777" w:rsidR="00311917" w:rsidRPr="009E7AA7" w:rsidRDefault="00311917" w:rsidP="009E7AA7">
      <w:pPr>
        <w:rPr>
          <w:rFonts w:ascii="Cambria" w:hAnsi="Cambria" w:cs="Calibri Light"/>
          <w:color w:val="000000" w:themeColor="text1"/>
          <w:sz w:val="20"/>
          <w:szCs w:val="20"/>
          <w:lang w:val="es-ES"/>
        </w:rPr>
      </w:pPr>
    </w:p>
    <w:p w14:paraId="59C532B9" w14:textId="6CFF8293" w:rsidR="00311917" w:rsidRPr="00787730" w:rsidRDefault="00311917" w:rsidP="00311917">
      <w:pPr>
        <w:pStyle w:val="ListParagraph"/>
        <w:numPr>
          <w:ilvl w:val="0"/>
          <w:numId w:val="10"/>
        </w:numPr>
        <w:jc w:val="both"/>
        <w:rPr>
          <w:rFonts w:ascii="Cambria" w:hAnsi="Cambria" w:cs="Calibri Light"/>
          <w:color w:val="000000" w:themeColor="text1"/>
          <w:sz w:val="20"/>
          <w:szCs w:val="20"/>
          <w:lang w:val="es-ES"/>
        </w:rPr>
      </w:pPr>
      <w:r w:rsidRPr="1DFA3710">
        <w:rPr>
          <w:rFonts w:ascii="Cambria" w:hAnsi="Cambria" w:cs="Calibri Light"/>
          <w:color w:val="000000" w:themeColor="text1"/>
          <w:sz w:val="20"/>
          <w:szCs w:val="20"/>
          <w:lang w:val="es-ES"/>
        </w:rPr>
        <w:t>Ante la ausencia de información actualizada sobre el nivel de cumplimiento de las recomendaciones, la CIDH reitera, a continuación, el análisis del cumplimiento y las conclusiones realizadas en su Informe Anual 20</w:t>
      </w:r>
      <w:r w:rsidR="00547393">
        <w:rPr>
          <w:rFonts w:ascii="Cambria" w:hAnsi="Cambria" w:cs="Calibri Light"/>
          <w:color w:val="000000" w:themeColor="text1"/>
          <w:sz w:val="20"/>
          <w:szCs w:val="20"/>
          <w:lang w:val="es-ES"/>
        </w:rPr>
        <w:t>2</w:t>
      </w:r>
      <w:r w:rsidR="009E7AA7">
        <w:rPr>
          <w:rFonts w:ascii="Cambria" w:hAnsi="Cambria" w:cs="Calibri Light"/>
          <w:color w:val="000000" w:themeColor="text1"/>
          <w:sz w:val="20"/>
          <w:szCs w:val="20"/>
          <w:lang w:val="es-ES"/>
        </w:rPr>
        <w:t>1</w:t>
      </w:r>
      <w:r w:rsidRPr="1DFA3710">
        <w:rPr>
          <w:rFonts w:ascii="Cambria" w:hAnsi="Cambria" w:cs="Calibri Light"/>
          <w:color w:val="000000" w:themeColor="text1"/>
          <w:sz w:val="20"/>
          <w:szCs w:val="20"/>
          <w:lang w:val="es-ES"/>
        </w:rPr>
        <w:t>.</w:t>
      </w:r>
    </w:p>
    <w:p w14:paraId="7D37CE47" w14:textId="77777777" w:rsidR="00311917" w:rsidRPr="00787730" w:rsidRDefault="00311917" w:rsidP="00311917">
      <w:pPr>
        <w:jc w:val="both"/>
        <w:rPr>
          <w:rFonts w:ascii="Cambria" w:hAnsi="Cambria" w:cs="Calibri Light"/>
          <w:sz w:val="20"/>
          <w:szCs w:val="20"/>
          <w:lang w:val="es-ES"/>
        </w:rPr>
      </w:pPr>
    </w:p>
    <w:p w14:paraId="60F16949" w14:textId="08EE6141" w:rsidR="00311917" w:rsidRPr="00787730" w:rsidRDefault="00311917" w:rsidP="00311917">
      <w:pPr>
        <w:pStyle w:val="ListParagraph"/>
        <w:numPr>
          <w:ilvl w:val="0"/>
          <w:numId w:val="11"/>
        </w:numPr>
        <w:ind w:left="1440" w:hanging="720"/>
        <w:jc w:val="both"/>
        <w:rPr>
          <w:rFonts w:ascii="Cambria" w:hAnsi="Cambria" w:cs="Calibri Light"/>
          <w:b/>
          <w:bCs/>
          <w:sz w:val="20"/>
          <w:szCs w:val="20"/>
          <w:lang w:val="es-ES"/>
        </w:rPr>
      </w:pPr>
      <w:r w:rsidRPr="1DFA3710">
        <w:rPr>
          <w:rFonts w:ascii="Cambria" w:hAnsi="Cambria" w:cs="Calibri Light"/>
          <w:b/>
          <w:bCs/>
          <w:sz w:val="20"/>
          <w:szCs w:val="20"/>
          <w:lang w:val="es-ES"/>
        </w:rPr>
        <w:t>Análisis del cumplimiento de las recomendaciones</w:t>
      </w:r>
      <w:r w:rsidR="00783E8D">
        <w:rPr>
          <w:rStyle w:val="FootnoteReference"/>
          <w:rFonts w:ascii="Cambria" w:hAnsi="Cambria" w:cs="Calibri Light"/>
          <w:b/>
          <w:bCs/>
          <w:sz w:val="20"/>
          <w:szCs w:val="20"/>
          <w:lang w:val="es-ES"/>
        </w:rPr>
        <w:footnoteReference w:id="1"/>
      </w:r>
    </w:p>
    <w:p w14:paraId="2860FA26" w14:textId="77777777" w:rsidR="00311917" w:rsidRPr="00787730" w:rsidRDefault="00311917" w:rsidP="00311917">
      <w:pPr>
        <w:jc w:val="both"/>
        <w:rPr>
          <w:rFonts w:ascii="Cambria" w:hAnsi="Cambria" w:cs="Calibri Light"/>
          <w:sz w:val="20"/>
          <w:szCs w:val="20"/>
          <w:lang w:val="es-ES"/>
        </w:rPr>
      </w:pPr>
    </w:p>
    <w:p w14:paraId="2B695B79" w14:textId="77777777" w:rsidR="00311917" w:rsidRPr="00787730" w:rsidRDefault="00311917" w:rsidP="00311917">
      <w:pPr>
        <w:pStyle w:val="ListParagraph"/>
        <w:ind w:left="0"/>
        <w:jc w:val="both"/>
        <w:rPr>
          <w:rFonts w:ascii="Cambria" w:hAnsi="Cambria"/>
          <w:color w:val="000000" w:themeColor="text1"/>
          <w:sz w:val="20"/>
          <w:szCs w:val="20"/>
          <w:lang w:val="es-ES"/>
        </w:rPr>
      </w:pPr>
      <w:r w:rsidRPr="1DFA3710">
        <w:rPr>
          <w:rFonts w:ascii="Cambria" w:hAnsi="Cambria"/>
          <w:b/>
          <w:bCs/>
          <w:sz w:val="20"/>
          <w:szCs w:val="20"/>
          <w:lang w:val="es-ES"/>
        </w:rPr>
        <w:t xml:space="preserve"> </w:t>
      </w:r>
      <w:r w:rsidRPr="00787730">
        <w:rPr>
          <w:rFonts w:ascii="Cambria" w:hAnsi="Cambria"/>
          <w:b/>
          <w:sz w:val="20"/>
          <w:szCs w:val="20"/>
          <w:lang w:val="es-ES"/>
        </w:rPr>
        <w:tab/>
      </w:r>
      <w:r w:rsidRPr="00787730">
        <w:rPr>
          <w:rFonts w:ascii="Cambria" w:hAnsi="Cambria"/>
          <w:sz w:val="20"/>
          <w:szCs w:val="20"/>
          <w:lang w:val="es-ES"/>
        </w:rPr>
        <w:t>5.</w:t>
      </w:r>
      <w:r w:rsidRPr="1DFA3710">
        <w:rPr>
          <w:rFonts w:ascii="Cambria" w:hAnsi="Cambria"/>
          <w:b/>
          <w:bCs/>
          <w:sz w:val="20"/>
          <w:szCs w:val="20"/>
          <w:lang w:val="es-ES"/>
        </w:rPr>
        <w:t xml:space="preserve"> </w:t>
      </w:r>
      <w:r w:rsidRPr="00787730">
        <w:rPr>
          <w:rFonts w:ascii="Cambria" w:hAnsi="Cambria"/>
          <w:b/>
          <w:sz w:val="20"/>
          <w:szCs w:val="20"/>
          <w:lang w:val="es-ES"/>
        </w:rPr>
        <w:tab/>
      </w:r>
      <w:r w:rsidRPr="1DFA3710">
        <w:rPr>
          <w:rFonts w:ascii="Cambria" w:hAnsi="Cambria"/>
          <w:b/>
          <w:bCs/>
          <w:sz w:val="20"/>
          <w:szCs w:val="20"/>
          <w:lang w:val="es-ES"/>
        </w:rPr>
        <w:t>En relación con la primera recomendación</w:t>
      </w:r>
      <w:r w:rsidRPr="00787730">
        <w:rPr>
          <w:rFonts w:ascii="Cambria" w:hAnsi="Cambria"/>
          <w:sz w:val="20"/>
          <w:szCs w:val="20"/>
          <w:lang w:val="es-ES"/>
        </w:rPr>
        <w:t>, e</w:t>
      </w:r>
      <w:r w:rsidRPr="00787730">
        <w:rPr>
          <w:rFonts w:ascii="Cambria" w:hAnsi="Cambria" w:cs="Calibri Light"/>
          <w:sz w:val="20"/>
          <w:szCs w:val="20"/>
          <w:lang w:val="es-ES"/>
        </w:rPr>
        <w:t>n 2003, el Estado indicó que no tenía intenciones de observar las recomendaciones de la Comisión</w:t>
      </w:r>
      <w:r w:rsidRPr="00787730">
        <w:rPr>
          <w:rStyle w:val="FootnoteReference"/>
          <w:rFonts w:ascii="Cambria" w:hAnsi="Cambria" w:cs="Calibri Light"/>
          <w:sz w:val="20"/>
          <w:szCs w:val="20"/>
          <w:lang w:val="es-ES"/>
        </w:rPr>
        <w:footnoteReference w:id="2"/>
      </w:r>
      <w:r w:rsidRPr="00787730">
        <w:rPr>
          <w:rFonts w:ascii="Cambria" w:hAnsi="Cambria" w:cs="Calibri Light"/>
          <w:sz w:val="20"/>
          <w:szCs w:val="20"/>
          <w:lang w:val="es-ES"/>
        </w:rPr>
        <w:t xml:space="preserve">. </w:t>
      </w:r>
      <w:r w:rsidRPr="00787730">
        <w:rPr>
          <w:rFonts w:ascii="Cambria" w:hAnsi="Cambria" w:cs="Calibri Light"/>
          <w:color w:val="000000" w:themeColor="text1"/>
          <w:sz w:val="20"/>
          <w:szCs w:val="20"/>
          <w:lang w:val="es-ES"/>
        </w:rPr>
        <w:t>En 2020, el Estado reiteró su posición sin presentar nueva información sobre acciones tomadas para dar cumplimiento a esta recomendación.</w:t>
      </w:r>
    </w:p>
    <w:p w14:paraId="03E6F85E" w14:textId="77777777" w:rsidR="00311917" w:rsidRPr="00787730" w:rsidRDefault="00311917" w:rsidP="00311917">
      <w:pPr>
        <w:pStyle w:val="ListParagraph"/>
        <w:jc w:val="both"/>
        <w:rPr>
          <w:rFonts w:ascii="Cambria" w:hAnsi="Cambria" w:cs="Calibri Light"/>
          <w:sz w:val="20"/>
          <w:szCs w:val="20"/>
          <w:lang w:val="es-ES"/>
        </w:rPr>
      </w:pPr>
    </w:p>
    <w:p w14:paraId="4ED2E598" w14:textId="77777777" w:rsidR="00311917" w:rsidRPr="00787730" w:rsidRDefault="00311917" w:rsidP="00311917">
      <w:pPr>
        <w:pStyle w:val="ListParagraph"/>
        <w:numPr>
          <w:ilvl w:val="0"/>
          <w:numId w:val="12"/>
        </w:numPr>
        <w:jc w:val="both"/>
        <w:rPr>
          <w:rFonts w:ascii="Cambria" w:hAnsi="Cambria" w:cs="Calibri Light"/>
          <w:sz w:val="20"/>
          <w:szCs w:val="20"/>
          <w:lang w:val="es-ES"/>
        </w:rPr>
      </w:pPr>
      <w:r w:rsidRPr="1DFA3710">
        <w:rPr>
          <w:rFonts w:ascii="Cambria" w:hAnsi="Cambria" w:cs="Calibri Light"/>
          <w:sz w:val="20"/>
          <w:szCs w:val="20"/>
          <w:lang w:val="es-ES"/>
        </w:rPr>
        <w:t>En 2005, los peticionarios informaron a la Comisión que no tenían información sobre acciones adoptadas por parte del Estado para cumplir con las recomendaciones en el Informe de Fondo Nº 51/01.</w:t>
      </w:r>
    </w:p>
    <w:p w14:paraId="0BBEE1F2" w14:textId="77777777" w:rsidR="00311917" w:rsidRPr="00787730" w:rsidRDefault="00311917" w:rsidP="00311917">
      <w:pPr>
        <w:pStyle w:val="ListParagraph"/>
        <w:rPr>
          <w:rFonts w:ascii="Cambria" w:hAnsi="Cambria" w:cs="Calibri Light"/>
          <w:sz w:val="20"/>
          <w:szCs w:val="20"/>
          <w:lang w:val="es-ES"/>
        </w:rPr>
      </w:pPr>
    </w:p>
    <w:p w14:paraId="34EEBFB4" w14:textId="77777777" w:rsidR="00311917" w:rsidRPr="00787730" w:rsidRDefault="00311917" w:rsidP="00311917">
      <w:pPr>
        <w:pStyle w:val="ListParagraph"/>
        <w:numPr>
          <w:ilvl w:val="0"/>
          <w:numId w:val="12"/>
        </w:numPr>
        <w:jc w:val="both"/>
        <w:rPr>
          <w:rFonts w:ascii="Cambria" w:hAnsi="Cambria" w:cs="Calibri Light"/>
          <w:sz w:val="20"/>
          <w:szCs w:val="20"/>
          <w:lang w:val="es-ES"/>
        </w:rPr>
      </w:pPr>
      <w:r w:rsidRPr="1DFA3710">
        <w:rPr>
          <w:rFonts w:ascii="Cambria" w:hAnsi="Cambria" w:cs="Calibri Light"/>
          <w:sz w:val="20"/>
          <w:szCs w:val="20"/>
          <w:lang w:val="es-ES"/>
        </w:rPr>
        <w:t>La Comisión observa con preocupación que, después de la publicación del informe de fondo en 2001, el Estado no adoptó medidas para revisar la detención de todas las víctimas que permanecían bajo la custodia del Estado en ese momento. Debido a que han transcurrido 18 años desde la publicación del Informe de Fondo Nº 51/01 y más de 39 años desde la ocurrencia de los hechos que dieron lugar a la petición,</w:t>
      </w:r>
      <w:r w:rsidRPr="1DFA3710">
        <w:rPr>
          <w:rFonts w:ascii="Cambria" w:hAnsi="Cambria" w:cs="Calibri Light"/>
          <w:color w:val="FF0000"/>
          <w:sz w:val="20"/>
          <w:szCs w:val="20"/>
          <w:lang w:val="es-ES"/>
        </w:rPr>
        <w:t xml:space="preserve"> </w:t>
      </w:r>
      <w:r w:rsidRPr="1DFA3710">
        <w:rPr>
          <w:rFonts w:ascii="Cambria" w:hAnsi="Cambria" w:cs="Calibri Light"/>
          <w:color w:val="000000" w:themeColor="text1"/>
          <w:sz w:val="20"/>
          <w:szCs w:val="20"/>
          <w:lang w:val="es-ES"/>
        </w:rPr>
        <w:t>la Comisión considera que el Estado ha incumplido con la Recomendación 1.</w:t>
      </w:r>
    </w:p>
    <w:p w14:paraId="463D3E79" w14:textId="77777777" w:rsidR="00311917" w:rsidRPr="00787730" w:rsidRDefault="00311917" w:rsidP="00311917">
      <w:pPr>
        <w:pStyle w:val="ListParagraph"/>
        <w:rPr>
          <w:rFonts w:ascii="Cambria" w:hAnsi="Cambria"/>
          <w:b/>
          <w:bCs/>
          <w:sz w:val="20"/>
          <w:szCs w:val="20"/>
          <w:lang w:val="es-ES"/>
        </w:rPr>
      </w:pPr>
    </w:p>
    <w:p w14:paraId="4156AD14" w14:textId="4287D479" w:rsidR="00547393" w:rsidRPr="009E7AA7" w:rsidRDefault="00311917" w:rsidP="00311917">
      <w:pPr>
        <w:pStyle w:val="ListParagraph"/>
        <w:numPr>
          <w:ilvl w:val="0"/>
          <w:numId w:val="12"/>
        </w:numPr>
        <w:jc w:val="both"/>
        <w:rPr>
          <w:rFonts w:ascii="Cambria" w:hAnsi="Cambria" w:cs="Calibri Light"/>
          <w:sz w:val="20"/>
          <w:szCs w:val="20"/>
          <w:lang w:val="es-ES"/>
        </w:rPr>
      </w:pPr>
      <w:r w:rsidRPr="1DFA3710">
        <w:rPr>
          <w:rFonts w:ascii="Cambria" w:hAnsi="Cambria"/>
          <w:b/>
          <w:bCs/>
          <w:sz w:val="20"/>
          <w:szCs w:val="20"/>
          <w:lang w:val="es-ES"/>
        </w:rPr>
        <w:t>Respecto de la segunda recomendación</w:t>
      </w:r>
      <w:r w:rsidRPr="00787730">
        <w:rPr>
          <w:rFonts w:ascii="Cambria" w:hAnsi="Cambria"/>
          <w:sz w:val="20"/>
          <w:szCs w:val="20"/>
          <w:lang w:val="es-ES"/>
        </w:rPr>
        <w:t xml:space="preserve">, </w:t>
      </w:r>
      <w:r w:rsidRPr="009E7AA7">
        <w:rPr>
          <w:rFonts w:ascii="Cambria" w:hAnsi="Cambria"/>
          <w:sz w:val="20"/>
          <w:szCs w:val="20"/>
          <w:lang w:val="es-ES"/>
        </w:rPr>
        <w:t>e</w:t>
      </w:r>
      <w:r w:rsidRPr="009E7AA7">
        <w:rPr>
          <w:rFonts w:ascii="Cambria" w:hAnsi="Cambria" w:cs="Calibri Light"/>
          <w:sz w:val="20"/>
          <w:szCs w:val="20"/>
          <w:lang w:val="es-ES"/>
        </w:rPr>
        <w:t xml:space="preserve">n 2005, el Estado informó sobre la decisión de la Corte Suprema de los Estados Unidos, del 15 de enero de 2005, en el caso de </w:t>
      </w:r>
      <w:r w:rsidRPr="009E7AA7">
        <w:rPr>
          <w:rFonts w:ascii="Cambria" w:hAnsi="Cambria" w:cs="Calibri Light"/>
          <w:i/>
          <w:iCs/>
          <w:sz w:val="20"/>
          <w:szCs w:val="20"/>
          <w:lang w:val="es-ES"/>
        </w:rPr>
        <w:t>Clark v. Suarez-Martinez</w:t>
      </w:r>
      <w:r w:rsidRPr="009E7AA7">
        <w:rPr>
          <w:rStyle w:val="FootnoteReference"/>
          <w:rFonts w:ascii="Cambria" w:hAnsi="Cambria" w:cs="Calibri Light"/>
          <w:sz w:val="20"/>
          <w:szCs w:val="20"/>
          <w:lang w:val="es-ES"/>
        </w:rPr>
        <w:footnoteReference w:id="3"/>
      </w:r>
      <w:r w:rsidRPr="009E7AA7">
        <w:rPr>
          <w:rFonts w:ascii="Cambria" w:hAnsi="Cambria" w:cs="Calibri Light"/>
          <w:sz w:val="20"/>
          <w:szCs w:val="20"/>
          <w:lang w:val="es-ES"/>
        </w:rPr>
        <w:t xml:space="preserve">. El Estado explicó que en el caso de </w:t>
      </w:r>
      <w:r w:rsidRPr="009E7AA7">
        <w:rPr>
          <w:rFonts w:ascii="Cambria" w:hAnsi="Cambria" w:cs="Calibri Light"/>
          <w:i/>
          <w:iCs/>
          <w:sz w:val="20"/>
          <w:szCs w:val="20"/>
          <w:lang w:val="es-ES"/>
        </w:rPr>
        <w:t>Clark v. Suarez-Martinez</w:t>
      </w:r>
      <w:r w:rsidRPr="009E7AA7">
        <w:rPr>
          <w:rFonts w:ascii="Cambria" w:hAnsi="Cambria" w:cs="Calibri Light"/>
          <w:sz w:val="20"/>
          <w:szCs w:val="20"/>
          <w:lang w:val="es-ES"/>
        </w:rPr>
        <w:t xml:space="preserve">, </w:t>
      </w:r>
      <w:r w:rsidR="00547393" w:rsidRPr="009E7AA7">
        <w:rPr>
          <w:rFonts w:ascii="Cambria" w:hAnsi="Cambria" w:cs="Calibri Light"/>
          <w:sz w:val="20"/>
          <w:szCs w:val="20"/>
          <w:lang w:val="es-ES"/>
        </w:rPr>
        <w:t xml:space="preserve">se trata de dos personas provenientes de Cuba en 1980 como parte del grupo de la lancha Mariel y fueron dejados en libertad condicional, y no admitidos, en Estados Unidos. Cuando solicitaron la residencia permanente, ambos eran inadmisibles debido a condenas penales en Estados Unidos impuestas después de ser dejados en libertad condicional, habiéndoseles revocado la libertad condicional a ambos, para llevarlos bajo custodia y colocarlos en situación de exclusión o expatriación ante un juez de inmigración. Como que la Ley de Inmigración y Nacionalidad de Estados Unidos, con las enmiendas de 1996, disponía que, al concluir las actuaciones de expatriación, el gobierno deportará al extranjero que haya sido objeto de una determinación de inadmisibilidad o de deportación de Estados Unidos dentro de un plazo de 90 días y que el inciso 1231(a)(6) de la ley también admitía la detención más allá del plazo de 90 días para la deportación en tres circunstancias: si el extranjero es (1) inadmisible, (2) pasible de deportación según disposiciones específicas, o (3) objeto de una determinación de que constituye un riesgo para la comunidad o un riesgo de vuelo. </w:t>
      </w:r>
    </w:p>
    <w:p w14:paraId="353ABB52" w14:textId="77777777" w:rsidR="00547393" w:rsidRPr="009E7AA7" w:rsidRDefault="00547393" w:rsidP="00547393">
      <w:pPr>
        <w:pStyle w:val="ListParagraph"/>
        <w:rPr>
          <w:rFonts w:ascii="Cambria" w:hAnsi="Cambria" w:cs="Calibri Light"/>
          <w:sz w:val="20"/>
          <w:szCs w:val="20"/>
          <w:lang w:val="es-ES"/>
        </w:rPr>
      </w:pPr>
    </w:p>
    <w:p w14:paraId="369278E1" w14:textId="6FEF0916" w:rsidR="00311917" w:rsidRPr="009E7AA7" w:rsidRDefault="00311917" w:rsidP="00311917">
      <w:pPr>
        <w:pStyle w:val="ListParagraph"/>
        <w:numPr>
          <w:ilvl w:val="0"/>
          <w:numId w:val="12"/>
        </w:numPr>
        <w:jc w:val="both"/>
        <w:rPr>
          <w:rFonts w:ascii="Cambria" w:hAnsi="Cambria" w:cs="Calibri Light"/>
          <w:sz w:val="20"/>
          <w:szCs w:val="20"/>
          <w:lang w:val="es-ES"/>
        </w:rPr>
      </w:pPr>
      <w:r w:rsidRPr="009E7AA7">
        <w:rPr>
          <w:rFonts w:ascii="Cambria" w:hAnsi="Cambria" w:cs="Calibri Light"/>
          <w:sz w:val="20"/>
          <w:szCs w:val="20"/>
          <w:lang w:val="es-ES"/>
        </w:rPr>
        <w:t xml:space="preserve">El Estado indicó que tanto el señor Suarez-Martinez como el señor Benitez estuvieron detenidos más allá del plazo de deportación de 90 días y que ambos presentaron un recurso de habeas corpus impugnando la continuidad de su detención. De acuerdo con el Estado, la Corte Suprema de Estados Unidos, al admitir sus peticiones de </w:t>
      </w:r>
      <w:r w:rsidRPr="009E7AA7">
        <w:rPr>
          <w:rFonts w:ascii="Cambria" w:hAnsi="Cambria" w:cs="Calibri Light"/>
          <w:i/>
          <w:iCs/>
          <w:sz w:val="20"/>
          <w:szCs w:val="20"/>
          <w:lang w:val="es-ES"/>
        </w:rPr>
        <w:t>certiorari</w:t>
      </w:r>
      <w:r w:rsidRPr="009E7AA7">
        <w:rPr>
          <w:rFonts w:ascii="Cambria" w:hAnsi="Cambria" w:cs="Calibri Light"/>
          <w:sz w:val="20"/>
          <w:szCs w:val="20"/>
          <w:lang w:val="es-ES"/>
        </w:rPr>
        <w:t xml:space="preserve">, aplicó a los extranjeros inadmisibles como el señor Suarez-Martinez y el señor Benítez, el razonamiento de una decisión anterior de la Corte en el caso de </w:t>
      </w:r>
      <w:r w:rsidRPr="009E7AA7">
        <w:rPr>
          <w:rFonts w:ascii="Cambria" w:hAnsi="Cambria" w:cs="Calibri Light"/>
          <w:i/>
          <w:iCs/>
          <w:sz w:val="20"/>
          <w:szCs w:val="20"/>
          <w:lang w:val="es-ES"/>
        </w:rPr>
        <w:t>Zadvydas v. Davis</w:t>
      </w:r>
      <w:r w:rsidRPr="009E7AA7">
        <w:rPr>
          <w:rStyle w:val="FootnoteReference"/>
          <w:rFonts w:ascii="Cambria" w:hAnsi="Cambria" w:cs="Calibri Light"/>
          <w:sz w:val="20"/>
          <w:szCs w:val="20"/>
          <w:lang w:val="es-ES"/>
        </w:rPr>
        <w:footnoteReference w:id="4"/>
      </w:r>
      <w:r w:rsidRPr="009E7AA7">
        <w:rPr>
          <w:rFonts w:ascii="Cambria" w:hAnsi="Cambria" w:cs="Calibri Light"/>
          <w:sz w:val="20"/>
          <w:szCs w:val="20"/>
          <w:lang w:val="es-ES"/>
        </w:rPr>
        <w:t xml:space="preserve">. En este caso, la Corte Suprema interpretó el inciso 1231(a)(6) de la Ley de Inmigración y Nacionalidad entendiendo que el mismo autoriza la detención de extranjeros anteriormente admitidos como residentes permanentes legítimos sólo por el período que sea “razonablemente necesario” para efectuar su deportación, debido, en parte, a la “grave amenaza constitucional” que, para la Corte, planteaba la detención indefinida de extranjeros que hayan sido admitidos en el país. También de acuerdo con la decisión en </w:t>
      </w:r>
      <w:r w:rsidRPr="009E7AA7">
        <w:rPr>
          <w:rFonts w:ascii="Cambria" w:hAnsi="Cambria" w:cs="Calibri Light"/>
          <w:i/>
          <w:iCs/>
          <w:sz w:val="20"/>
          <w:szCs w:val="20"/>
          <w:lang w:val="es-ES"/>
        </w:rPr>
        <w:t>Zadvydas</w:t>
      </w:r>
      <w:r w:rsidRPr="009E7AA7">
        <w:rPr>
          <w:rFonts w:ascii="Cambria" w:hAnsi="Cambria" w:cs="Calibri Light"/>
          <w:sz w:val="20"/>
          <w:szCs w:val="20"/>
          <w:lang w:val="es-ES"/>
        </w:rPr>
        <w:t>, se presume que el período razonablemente necesario para efectuar la deportación es de seis meses, tras los cuales el extranjero es elegible para la libertad condicional, si puede demostrar que no existen probabilidades significativas de deportación en un futuro razonablemente cercano. En consecuencia, la Corte Suprema sostuvo que debió otorgarse el recurso de habeas corpus al señor Suárez Martínez y al señor Benítez, pues habían permanecido detenidos sustancialmente más de seis meses y su deportación a Cuba no era razonablemente previsible</w:t>
      </w:r>
      <w:r w:rsidRPr="009E7AA7">
        <w:rPr>
          <w:rStyle w:val="FootnoteReference"/>
          <w:rFonts w:ascii="Cambria" w:hAnsi="Cambria" w:cs="Calibri Light"/>
          <w:sz w:val="20"/>
          <w:szCs w:val="20"/>
          <w:lang w:val="es-ES"/>
        </w:rPr>
        <w:footnoteReference w:id="5"/>
      </w:r>
      <w:r w:rsidRPr="009E7AA7">
        <w:rPr>
          <w:rFonts w:ascii="Cambria" w:hAnsi="Cambria" w:cs="Calibri Light"/>
          <w:sz w:val="20"/>
          <w:szCs w:val="20"/>
          <w:lang w:val="es-ES"/>
        </w:rPr>
        <w:t xml:space="preserve">. </w:t>
      </w:r>
    </w:p>
    <w:p w14:paraId="2C34302C" w14:textId="77777777" w:rsidR="00311917" w:rsidRPr="00787730" w:rsidRDefault="00311917" w:rsidP="00311917">
      <w:pPr>
        <w:pStyle w:val="ListParagraph"/>
        <w:jc w:val="both"/>
        <w:rPr>
          <w:rFonts w:ascii="Cambria" w:hAnsi="Cambria" w:cs="Calibri Light"/>
          <w:sz w:val="20"/>
          <w:szCs w:val="20"/>
          <w:lang w:val="es-ES"/>
        </w:rPr>
      </w:pPr>
    </w:p>
    <w:p w14:paraId="6928D90E" w14:textId="77777777" w:rsidR="00311917" w:rsidRPr="00787730" w:rsidRDefault="00311917" w:rsidP="00311917">
      <w:pPr>
        <w:pStyle w:val="ListParagraph"/>
        <w:numPr>
          <w:ilvl w:val="0"/>
          <w:numId w:val="12"/>
        </w:numPr>
        <w:jc w:val="both"/>
        <w:rPr>
          <w:rFonts w:ascii="Cambria" w:hAnsi="Cambria" w:cs="Calibri Light"/>
          <w:sz w:val="20"/>
          <w:szCs w:val="20"/>
          <w:lang w:val="es-ES"/>
        </w:rPr>
      </w:pPr>
      <w:r w:rsidRPr="1DFA3710">
        <w:rPr>
          <w:rFonts w:ascii="Cambria" w:hAnsi="Cambria" w:cs="Calibri Light"/>
          <w:sz w:val="20"/>
          <w:szCs w:val="20"/>
          <w:lang w:val="es-ES"/>
        </w:rPr>
        <w:t>En 2005, los peticionarios informaron a la Comisión que no tenían información sobre acciones adoptadas por parte del Estado para cumplir con las recomendaciones en el Informe de Fondo Nº 51/01</w:t>
      </w:r>
      <w:r w:rsidRPr="1DFA3710">
        <w:rPr>
          <w:rFonts w:ascii="Cambria" w:hAnsi="Cambria"/>
          <w:sz w:val="20"/>
          <w:szCs w:val="20"/>
          <w:lang w:val="es-ES"/>
        </w:rPr>
        <w:t xml:space="preserve">. </w:t>
      </w:r>
    </w:p>
    <w:p w14:paraId="5F1BDC74" w14:textId="77777777" w:rsidR="00311917" w:rsidRPr="00787730" w:rsidRDefault="00311917" w:rsidP="00311917">
      <w:pPr>
        <w:pStyle w:val="ListParagraph"/>
        <w:rPr>
          <w:rFonts w:ascii="Cambria" w:hAnsi="Cambria" w:cs="Calibri Light"/>
          <w:sz w:val="20"/>
          <w:szCs w:val="20"/>
          <w:lang w:val="es-ES"/>
        </w:rPr>
      </w:pPr>
    </w:p>
    <w:p w14:paraId="4AE53D55" w14:textId="77777777" w:rsidR="00311917" w:rsidRPr="00787730" w:rsidRDefault="00311917" w:rsidP="00311917">
      <w:pPr>
        <w:pStyle w:val="ListParagraph"/>
        <w:numPr>
          <w:ilvl w:val="0"/>
          <w:numId w:val="12"/>
        </w:numPr>
        <w:jc w:val="both"/>
        <w:rPr>
          <w:rFonts w:ascii="Cambria" w:hAnsi="Cambria" w:cs="Calibri Light"/>
          <w:color w:val="FF0000"/>
          <w:sz w:val="20"/>
          <w:szCs w:val="20"/>
          <w:lang w:val="es-ES"/>
        </w:rPr>
      </w:pPr>
      <w:r w:rsidRPr="1DFA3710">
        <w:rPr>
          <w:rFonts w:ascii="Cambria" w:hAnsi="Cambria" w:cs="Calibri Light"/>
          <w:sz w:val="20"/>
          <w:szCs w:val="20"/>
          <w:lang w:val="es-ES"/>
        </w:rPr>
        <w:t xml:space="preserve">La Comisión valora la información presentada en años anteriores por el Estado en relación con las decisiones de la Corte Suprema de los Estados Unidos que limitaron el tiempo que las personas extranjeras en proceso de deportación pueden estar detenidas. </w:t>
      </w:r>
      <w:r w:rsidRPr="1DFA3710">
        <w:rPr>
          <w:rFonts w:ascii="Cambria" w:hAnsi="Cambria" w:cs="Calibri Light"/>
          <w:color w:val="000000" w:themeColor="text1"/>
          <w:sz w:val="20"/>
          <w:szCs w:val="20"/>
          <w:lang w:val="es-ES"/>
        </w:rPr>
        <w:t xml:space="preserve">Con base en este resultado, la CIDH considera que la Recomendación 2 se encuentra cumplida parcialmente. </w:t>
      </w:r>
    </w:p>
    <w:p w14:paraId="576ED4FF" w14:textId="77777777" w:rsidR="00311917" w:rsidRPr="00787730" w:rsidRDefault="00311917" w:rsidP="00311917">
      <w:pPr>
        <w:jc w:val="both"/>
        <w:rPr>
          <w:rFonts w:ascii="Cambria" w:hAnsi="Cambria"/>
          <w:color w:val="FF0000"/>
          <w:sz w:val="20"/>
          <w:szCs w:val="20"/>
          <w:lang w:val="es-ES"/>
        </w:rPr>
      </w:pPr>
    </w:p>
    <w:p w14:paraId="51EE22C9" w14:textId="77777777" w:rsidR="00311917" w:rsidRPr="00787730" w:rsidRDefault="00311917" w:rsidP="00311917">
      <w:pPr>
        <w:pStyle w:val="FootnoteText"/>
        <w:numPr>
          <w:ilvl w:val="0"/>
          <w:numId w:val="11"/>
        </w:numPr>
        <w:ind w:left="1440" w:hanging="720"/>
        <w:jc w:val="both"/>
        <w:rPr>
          <w:rFonts w:ascii="Cambria" w:hAnsi="Cambria" w:cs="Calibri Light"/>
          <w:b/>
          <w:bCs/>
          <w:lang w:val="es-ES"/>
        </w:rPr>
      </w:pPr>
      <w:r w:rsidRPr="1DFA3710">
        <w:rPr>
          <w:rFonts w:ascii="Cambria" w:hAnsi="Cambria" w:cs="Calibri Light"/>
          <w:b/>
          <w:bCs/>
          <w:lang w:val="es-ES"/>
        </w:rPr>
        <w:t>Nivel del cumplimiento del caso</w:t>
      </w:r>
    </w:p>
    <w:p w14:paraId="37B9654B" w14:textId="77777777" w:rsidR="00311917" w:rsidRPr="00787730" w:rsidRDefault="00311917" w:rsidP="00311917">
      <w:pPr>
        <w:jc w:val="both"/>
        <w:rPr>
          <w:rFonts w:ascii="Cambria" w:hAnsi="Cambria" w:cs="Calibri Light"/>
          <w:sz w:val="20"/>
          <w:szCs w:val="20"/>
          <w:lang w:val="es-ES"/>
        </w:rPr>
      </w:pPr>
    </w:p>
    <w:p w14:paraId="5E6FB3C7" w14:textId="77777777" w:rsidR="00311917" w:rsidRPr="00787730" w:rsidRDefault="00311917" w:rsidP="00311917">
      <w:pPr>
        <w:pStyle w:val="ListParagraph"/>
        <w:numPr>
          <w:ilvl w:val="0"/>
          <w:numId w:val="12"/>
        </w:numPr>
        <w:jc w:val="both"/>
        <w:rPr>
          <w:rFonts w:ascii="Cambria" w:hAnsi="Cambria" w:cs="Calibri Light"/>
          <w:sz w:val="20"/>
          <w:szCs w:val="20"/>
          <w:lang w:val="es-ES"/>
        </w:rPr>
      </w:pPr>
      <w:r w:rsidRPr="1DFA3710">
        <w:rPr>
          <w:rFonts w:ascii="Cambria" w:hAnsi="Cambria" w:cs="Calibri Light"/>
          <w:sz w:val="20"/>
          <w:szCs w:val="20"/>
          <w:lang w:val="es-ES"/>
        </w:rPr>
        <w:t xml:space="preserve">Por lo anterior, la Comisión concluye que el nivel de cumplimiento del caso es parcial. </w:t>
      </w:r>
      <w:r w:rsidRPr="1DFA3710">
        <w:rPr>
          <w:rFonts w:ascii="Cambria" w:hAnsi="Cambria" w:cs="Calibri Light"/>
          <w:color w:val="000000" w:themeColor="text1"/>
          <w:sz w:val="20"/>
          <w:szCs w:val="20"/>
          <w:lang w:val="es-ES"/>
        </w:rPr>
        <w:t xml:space="preserve">En consecuencia, la CIDH seguirá supervisando el cumplimiento de la Recomendación 2. </w:t>
      </w:r>
    </w:p>
    <w:p w14:paraId="7E50C8B5" w14:textId="77777777" w:rsidR="00311917" w:rsidRPr="00787730" w:rsidRDefault="00311917" w:rsidP="00311917">
      <w:pPr>
        <w:pStyle w:val="ListParagraph"/>
        <w:jc w:val="both"/>
        <w:rPr>
          <w:rFonts w:ascii="Cambria" w:hAnsi="Cambria" w:cs="Calibri Light"/>
          <w:sz w:val="20"/>
          <w:szCs w:val="20"/>
          <w:lang w:val="es-ES"/>
        </w:rPr>
      </w:pPr>
    </w:p>
    <w:p w14:paraId="7C30CBC6" w14:textId="77777777" w:rsidR="00311917" w:rsidRPr="00787730" w:rsidRDefault="00311917" w:rsidP="00311917">
      <w:pPr>
        <w:pStyle w:val="ListParagraph"/>
        <w:numPr>
          <w:ilvl w:val="0"/>
          <w:numId w:val="12"/>
        </w:numPr>
        <w:jc w:val="both"/>
        <w:rPr>
          <w:rFonts w:ascii="Cambria" w:hAnsi="Cambria" w:cs="Calibri Light"/>
          <w:sz w:val="20"/>
          <w:szCs w:val="20"/>
          <w:lang w:val="es-ES"/>
        </w:rPr>
      </w:pPr>
      <w:r w:rsidRPr="1DFA3710">
        <w:rPr>
          <w:rFonts w:ascii="Cambria" w:hAnsi="Cambria" w:cs="Calibri Light"/>
          <w:sz w:val="20"/>
          <w:szCs w:val="20"/>
          <w:lang w:val="es-ES"/>
        </w:rPr>
        <w:t xml:space="preserve">La Comisión insta al Estado a adoptar acciones para implementar </w:t>
      </w:r>
      <w:r w:rsidRPr="1DFA3710">
        <w:rPr>
          <w:rFonts w:ascii="Cambria" w:hAnsi="Cambria" w:cs="Calibri Light"/>
          <w:color w:val="000000" w:themeColor="text1"/>
          <w:sz w:val="20"/>
          <w:szCs w:val="20"/>
          <w:lang w:val="es-ES"/>
        </w:rPr>
        <w:t xml:space="preserve">la segunda recomendación </w:t>
      </w:r>
      <w:r w:rsidRPr="1DFA3710">
        <w:rPr>
          <w:rFonts w:ascii="Cambria" w:hAnsi="Cambria" w:cs="Calibri Light"/>
          <w:sz w:val="20"/>
          <w:szCs w:val="20"/>
          <w:lang w:val="es-ES"/>
        </w:rPr>
        <w:t>emitida en el Informe de Fondo Nº 51/01, y a proporcionarle información detallada y actualizada sobre estas acciones. Al mismo tiempo, la CIDH invita al peticionario a presentar información sobre las medidas adoptadas por parte del Estado para cumplir con la recomendación de la Comisión.</w:t>
      </w:r>
    </w:p>
    <w:p w14:paraId="77066D3A" w14:textId="77777777" w:rsidR="00311917" w:rsidRPr="00787730" w:rsidRDefault="00311917" w:rsidP="00311917">
      <w:pPr>
        <w:jc w:val="both"/>
        <w:rPr>
          <w:rFonts w:ascii="Cambria" w:hAnsi="Cambria"/>
          <w:sz w:val="20"/>
          <w:szCs w:val="20"/>
          <w:lang w:val="es-ES"/>
        </w:rPr>
      </w:pPr>
    </w:p>
    <w:p w14:paraId="4C99457A" w14:textId="77777777" w:rsidR="00311917" w:rsidRPr="00787730" w:rsidRDefault="00311917" w:rsidP="00311917">
      <w:pPr>
        <w:pStyle w:val="ListParagraph"/>
        <w:numPr>
          <w:ilvl w:val="0"/>
          <w:numId w:val="11"/>
        </w:numPr>
        <w:ind w:left="1440" w:hanging="720"/>
        <w:jc w:val="both"/>
        <w:rPr>
          <w:rFonts w:ascii="Cambria" w:hAnsi="Cambria"/>
          <w:b/>
          <w:bCs/>
          <w:sz w:val="20"/>
          <w:szCs w:val="20"/>
          <w:lang w:val="es-ES"/>
        </w:rPr>
      </w:pPr>
      <w:r w:rsidRPr="1DFA3710">
        <w:rPr>
          <w:rFonts w:ascii="Cambria" w:hAnsi="Cambria"/>
          <w:b/>
          <w:bCs/>
          <w:sz w:val="20"/>
          <w:szCs w:val="20"/>
          <w:lang w:val="es-ES"/>
        </w:rPr>
        <w:t>Resultados individuales y estructurales del caso</w:t>
      </w:r>
    </w:p>
    <w:p w14:paraId="2F0B3974" w14:textId="77777777" w:rsidR="00311917" w:rsidRPr="00787730" w:rsidRDefault="00311917" w:rsidP="00311917">
      <w:pPr>
        <w:jc w:val="both"/>
        <w:rPr>
          <w:rFonts w:ascii="Cambria" w:hAnsi="Cambria"/>
          <w:b/>
          <w:bCs/>
          <w:sz w:val="20"/>
          <w:szCs w:val="20"/>
          <w:lang w:val="es-ES"/>
        </w:rPr>
      </w:pPr>
    </w:p>
    <w:p w14:paraId="5CA7F2B4" w14:textId="77777777" w:rsidR="00311917" w:rsidRPr="00787730" w:rsidRDefault="00311917" w:rsidP="00311917">
      <w:pPr>
        <w:pStyle w:val="ListParagraph"/>
        <w:numPr>
          <w:ilvl w:val="0"/>
          <w:numId w:val="12"/>
        </w:numPr>
        <w:jc w:val="both"/>
        <w:rPr>
          <w:rFonts w:ascii="Cambria" w:hAnsi="Cambria" w:cs="Calibri Light"/>
          <w:sz w:val="20"/>
          <w:szCs w:val="20"/>
          <w:lang w:val="es-ES"/>
        </w:rPr>
      </w:pPr>
      <w:r w:rsidRPr="1DFA3710">
        <w:rPr>
          <w:rFonts w:ascii="Cambria" w:hAnsi="Cambria" w:cs="Calibri Light"/>
          <w:sz w:val="20"/>
          <w:szCs w:val="20"/>
          <w:lang w:val="es-ES"/>
        </w:rPr>
        <w:t xml:space="preserve">En esta sección se destacan los resultados individuales y estructurales del caso informados por las partes. </w:t>
      </w:r>
    </w:p>
    <w:p w14:paraId="3216BBE2" w14:textId="77777777" w:rsidR="00311917" w:rsidRPr="00787730" w:rsidRDefault="00311917" w:rsidP="00311917">
      <w:pPr>
        <w:pStyle w:val="ListParagraph"/>
        <w:jc w:val="both"/>
        <w:rPr>
          <w:rFonts w:ascii="Cambria" w:hAnsi="Cambria"/>
          <w:b/>
          <w:bCs/>
          <w:sz w:val="20"/>
          <w:szCs w:val="20"/>
          <w:lang w:val="es-ES"/>
        </w:rPr>
      </w:pPr>
    </w:p>
    <w:p w14:paraId="2D32946F" w14:textId="77777777" w:rsidR="00311917" w:rsidRPr="00787730" w:rsidRDefault="00311917" w:rsidP="00311917">
      <w:pPr>
        <w:pStyle w:val="ListParagraph"/>
        <w:numPr>
          <w:ilvl w:val="0"/>
          <w:numId w:val="8"/>
        </w:numPr>
        <w:ind w:left="1440" w:hanging="720"/>
        <w:jc w:val="both"/>
        <w:rPr>
          <w:rFonts w:ascii="Cambria" w:hAnsi="Cambria"/>
          <w:b/>
          <w:bCs/>
          <w:sz w:val="20"/>
          <w:szCs w:val="20"/>
          <w:lang w:val="es-ES"/>
        </w:rPr>
      </w:pPr>
      <w:r w:rsidRPr="1DFA3710">
        <w:rPr>
          <w:rFonts w:ascii="Cambria" w:hAnsi="Cambria"/>
          <w:b/>
          <w:bCs/>
          <w:sz w:val="20"/>
          <w:szCs w:val="20"/>
          <w:lang w:val="es-ES"/>
        </w:rPr>
        <w:t>Resultados individuales del caso</w:t>
      </w:r>
    </w:p>
    <w:p w14:paraId="08753D2B" w14:textId="77777777" w:rsidR="00311917" w:rsidRPr="00787730" w:rsidRDefault="00311917" w:rsidP="00311917">
      <w:pPr>
        <w:jc w:val="both"/>
        <w:rPr>
          <w:rFonts w:ascii="Cambria" w:hAnsi="Cambria"/>
          <w:b/>
          <w:bCs/>
          <w:sz w:val="20"/>
          <w:szCs w:val="20"/>
          <w:lang w:val="es-ES"/>
        </w:rPr>
      </w:pPr>
    </w:p>
    <w:p w14:paraId="14B8621B" w14:textId="77777777" w:rsidR="00311917" w:rsidRPr="00787730" w:rsidRDefault="00311917" w:rsidP="00311917">
      <w:pPr>
        <w:pStyle w:val="ListParagraph"/>
        <w:numPr>
          <w:ilvl w:val="0"/>
          <w:numId w:val="9"/>
        </w:numPr>
        <w:jc w:val="both"/>
        <w:rPr>
          <w:rFonts w:ascii="Cambria" w:hAnsi="Cambria"/>
          <w:sz w:val="20"/>
          <w:szCs w:val="20"/>
          <w:lang w:val="es-ES"/>
        </w:rPr>
      </w:pPr>
      <w:r w:rsidRPr="1DFA3710">
        <w:rPr>
          <w:rFonts w:ascii="Cambria" w:hAnsi="Cambria"/>
          <w:sz w:val="20"/>
          <w:szCs w:val="20"/>
          <w:lang w:val="es-ES"/>
        </w:rPr>
        <w:t xml:space="preserve">No hay resultados individuales informados por las partes.  </w:t>
      </w:r>
    </w:p>
    <w:p w14:paraId="0098643A" w14:textId="77777777" w:rsidR="00311917" w:rsidRPr="00787730" w:rsidRDefault="00311917" w:rsidP="00311917">
      <w:pPr>
        <w:jc w:val="both"/>
        <w:rPr>
          <w:rFonts w:ascii="Cambria" w:hAnsi="Cambria"/>
          <w:sz w:val="20"/>
          <w:szCs w:val="20"/>
          <w:lang w:val="es-ES"/>
        </w:rPr>
      </w:pPr>
    </w:p>
    <w:p w14:paraId="7149C44F" w14:textId="77777777" w:rsidR="00311917" w:rsidRPr="00787730" w:rsidRDefault="00311917" w:rsidP="00311917">
      <w:pPr>
        <w:pStyle w:val="ListParagraph"/>
        <w:numPr>
          <w:ilvl w:val="0"/>
          <w:numId w:val="8"/>
        </w:numPr>
        <w:ind w:left="1440" w:hanging="720"/>
        <w:jc w:val="both"/>
        <w:rPr>
          <w:rFonts w:ascii="Cambria" w:hAnsi="Cambria"/>
          <w:b/>
          <w:bCs/>
          <w:sz w:val="20"/>
          <w:szCs w:val="20"/>
          <w:lang w:val="es-ES"/>
        </w:rPr>
      </w:pPr>
      <w:r w:rsidRPr="1DFA3710">
        <w:rPr>
          <w:rFonts w:ascii="Cambria" w:hAnsi="Cambria"/>
          <w:b/>
          <w:bCs/>
          <w:sz w:val="20"/>
          <w:szCs w:val="20"/>
          <w:lang w:val="es-ES"/>
        </w:rPr>
        <w:t>Resultados estructurales del caso</w:t>
      </w:r>
    </w:p>
    <w:p w14:paraId="35FCF03B" w14:textId="77777777" w:rsidR="00311917" w:rsidRPr="00787730" w:rsidRDefault="00311917" w:rsidP="00311917">
      <w:pPr>
        <w:jc w:val="both"/>
        <w:rPr>
          <w:rFonts w:ascii="Cambria" w:hAnsi="Cambria"/>
          <w:sz w:val="20"/>
          <w:szCs w:val="20"/>
          <w:lang w:val="es-ES"/>
        </w:rPr>
      </w:pPr>
    </w:p>
    <w:p w14:paraId="4398CB3E" w14:textId="77777777" w:rsidR="00311917" w:rsidRPr="00787730" w:rsidRDefault="00311917" w:rsidP="00311917">
      <w:pPr>
        <w:jc w:val="both"/>
        <w:rPr>
          <w:rFonts w:ascii="Cambria" w:hAnsi="Cambria"/>
          <w:i/>
          <w:iCs/>
          <w:sz w:val="20"/>
          <w:szCs w:val="20"/>
          <w:lang w:val="es-ES"/>
        </w:rPr>
      </w:pPr>
      <w:r w:rsidRPr="1DFA3710">
        <w:rPr>
          <w:rFonts w:ascii="Cambria" w:hAnsi="Cambria"/>
          <w:i/>
          <w:iCs/>
          <w:sz w:val="20"/>
          <w:szCs w:val="20"/>
          <w:lang w:val="es-ES"/>
        </w:rPr>
        <w:t xml:space="preserve">Legislación/Normativa  </w:t>
      </w:r>
    </w:p>
    <w:p w14:paraId="57B9F21F" w14:textId="77777777" w:rsidR="00311917" w:rsidRPr="00787730" w:rsidRDefault="00311917" w:rsidP="00311917">
      <w:pPr>
        <w:pStyle w:val="ListParagraph"/>
        <w:numPr>
          <w:ilvl w:val="0"/>
          <w:numId w:val="9"/>
        </w:numPr>
        <w:spacing w:after="200"/>
        <w:jc w:val="both"/>
        <w:rPr>
          <w:sz w:val="20"/>
          <w:szCs w:val="20"/>
          <w:lang w:val="es-ES"/>
        </w:rPr>
      </w:pPr>
      <w:r w:rsidRPr="1DFA3710">
        <w:rPr>
          <w:rFonts w:ascii="Cambria" w:hAnsi="Cambria"/>
          <w:sz w:val="20"/>
          <w:szCs w:val="20"/>
          <w:lang w:val="es-ES"/>
        </w:rPr>
        <w:t xml:space="preserve">El 15 de enero de 2005, la Corte Suprema de los Estados Unidos falló en el caso </w:t>
      </w:r>
      <w:r w:rsidRPr="1DFA3710">
        <w:rPr>
          <w:rFonts w:ascii="Cambria" w:hAnsi="Cambria"/>
          <w:i/>
          <w:iCs/>
          <w:sz w:val="20"/>
          <w:szCs w:val="20"/>
          <w:lang w:val="es-ES"/>
        </w:rPr>
        <w:t>Clark v. Suárez Martínez</w:t>
      </w:r>
      <w:r w:rsidRPr="1DFA3710">
        <w:rPr>
          <w:rFonts w:ascii="Cambria" w:hAnsi="Cambria"/>
          <w:sz w:val="20"/>
          <w:szCs w:val="20"/>
          <w:lang w:val="es-ES"/>
        </w:rPr>
        <w:t xml:space="preserve"> que las personas extranjeras que se consideran inadmisibles a los Estados Unidos solo pueden ser detenidas después del período de deportación de 90 días si necesario para la deportación; si no se prevé una posible deportación, la persona debe ser puesta en libertad. </w:t>
      </w:r>
    </w:p>
    <w:p w14:paraId="138A7EFC" w14:textId="77777777" w:rsidR="00311917" w:rsidRDefault="00311917" w:rsidP="00311917">
      <w:pPr>
        <w:jc w:val="center"/>
        <w:rPr>
          <w:sz w:val="20"/>
          <w:szCs w:val="20"/>
          <w:lang w:val="es-ES"/>
        </w:rPr>
      </w:pPr>
    </w:p>
    <w:p w14:paraId="4336365B" w14:textId="77777777" w:rsidR="00311917" w:rsidRDefault="00311917" w:rsidP="00311917">
      <w:pPr>
        <w:rPr>
          <w:sz w:val="20"/>
          <w:szCs w:val="20"/>
          <w:lang w:val="es-ES"/>
        </w:rPr>
      </w:pPr>
    </w:p>
    <w:p w14:paraId="2B4EDEE5" w14:textId="5C9D98F5" w:rsidR="008463D3" w:rsidRDefault="008463D3" w:rsidP="007C4DCE">
      <w:pPr>
        <w:rPr>
          <w:sz w:val="20"/>
          <w:szCs w:val="20"/>
          <w:lang w:val="es-ES"/>
        </w:rPr>
      </w:pPr>
    </w:p>
    <w:p w14:paraId="784E82AD" w14:textId="76F80EB2" w:rsidR="000B5E1D" w:rsidRDefault="000B5E1D" w:rsidP="007C4DCE">
      <w:pPr>
        <w:rPr>
          <w:sz w:val="20"/>
          <w:szCs w:val="20"/>
          <w:lang w:val="es-ES"/>
        </w:rPr>
      </w:pPr>
    </w:p>
    <w:p w14:paraId="45B26099" w14:textId="77777777" w:rsidR="00BD17B0" w:rsidRDefault="00BD17B0" w:rsidP="007C4DCE">
      <w:pPr>
        <w:rPr>
          <w:sz w:val="20"/>
          <w:szCs w:val="20"/>
          <w:lang w:val="es-ES"/>
        </w:rPr>
      </w:pPr>
    </w:p>
    <w:sectPr w:rsidR="00BD17B0"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DFF64" w14:textId="77777777" w:rsidR="000E2FCB" w:rsidRDefault="000E2FCB" w:rsidP="00672733">
      <w:r>
        <w:separator/>
      </w:r>
    </w:p>
  </w:endnote>
  <w:endnote w:type="continuationSeparator" w:id="0">
    <w:p w14:paraId="5B4A8B1E" w14:textId="77777777" w:rsidR="000E2FCB" w:rsidRDefault="000E2FCB"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C79E5" w14:textId="77777777" w:rsidR="000E2FCB" w:rsidRDefault="000E2FCB" w:rsidP="00672733">
      <w:r>
        <w:separator/>
      </w:r>
    </w:p>
  </w:footnote>
  <w:footnote w:type="continuationSeparator" w:id="0">
    <w:p w14:paraId="3C134C78" w14:textId="77777777" w:rsidR="000E2FCB" w:rsidRDefault="000E2FCB" w:rsidP="00672733">
      <w:r>
        <w:continuationSeparator/>
      </w:r>
    </w:p>
  </w:footnote>
  <w:footnote w:id="1">
    <w:p w14:paraId="3C15B3C9" w14:textId="6696E3D4" w:rsidR="00783E8D" w:rsidRPr="00783E8D" w:rsidRDefault="00783E8D">
      <w:pPr>
        <w:pStyle w:val="FootnoteText"/>
        <w:rPr>
          <w:rFonts w:ascii="Cambria" w:hAnsi="Cambria"/>
          <w:sz w:val="16"/>
          <w:szCs w:val="16"/>
          <w:lang w:val="es-US"/>
        </w:rPr>
      </w:pPr>
      <w:r w:rsidRPr="00783E8D">
        <w:rPr>
          <w:rStyle w:val="FootnoteReference"/>
          <w:rFonts w:ascii="Cambria" w:hAnsi="Cambria"/>
          <w:sz w:val="16"/>
          <w:szCs w:val="16"/>
        </w:rPr>
        <w:footnoteRef/>
      </w:r>
      <w:r w:rsidRPr="00783E8D">
        <w:rPr>
          <w:rFonts w:ascii="Cambria" w:hAnsi="Cambria"/>
          <w:sz w:val="16"/>
          <w:szCs w:val="16"/>
          <w:lang w:val="es-US"/>
        </w:rPr>
        <w:t xml:space="preserve"> La información detallada de los avances en el cumplimiento de las recomendaciones en los años anteriores, se encuentra disponible en el </w:t>
      </w:r>
      <w:hyperlink r:id="rId1" w:history="1">
        <w:r w:rsidRPr="00783E8D">
          <w:rPr>
            <w:rStyle w:val="Hyperlink"/>
            <w:rFonts w:ascii="Cambria" w:hAnsi="Cambria"/>
            <w:sz w:val="16"/>
            <w:szCs w:val="16"/>
            <w:lang w:val="es-US"/>
          </w:rPr>
          <w:t>Informe Anual 2021</w:t>
        </w:r>
      </w:hyperlink>
      <w:r w:rsidRPr="00783E8D">
        <w:rPr>
          <w:rFonts w:ascii="Cambria" w:hAnsi="Cambria"/>
          <w:sz w:val="16"/>
          <w:szCs w:val="16"/>
          <w:lang w:val="es-US"/>
        </w:rPr>
        <w:t xml:space="preserve">. </w:t>
      </w:r>
    </w:p>
  </w:footnote>
  <w:footnote w:id="2">
    <w:p w14:paraId="11D00C5D" w14:textId="77777777" w:rsidR="00311917" w:rsidRPr="00AB0AF4" w:rsidRDefault="00311917" w:rsidP="00311917">
      <w:pPr>
        <w:pStyle w:val="FootnoteText"/>
        <w:spacing w:after="120"/>
        <w:jc w:val="both"/>
        <w:rPr>
          <w:rFonts w:ascii="Cambria" w:hAnsi="Cambria"/>
          <w:sz w:val="16"/>
          <w:szCs w:val="16"/>
          <w:lang w:val="es-ES"/>
        </w:rPr>
      </w:pPr>
      <w:r w:rsidRPr="00AB0AF4">
        <w:rPr>
          <w:rStyle w:val="FootnoteReference"/>
          <w:rFonts w:ascii="Cambria" w:hAnsi="Cambria"/>
          <w:sz w:val="16"/>
          <w:szCs w:val="16"/>
        </w:rPr>
        <w:footnoteRef/>
      </w:r>
      <w:r w:rsidRPr="00AB0AF4">
        <w:rPr>
          <w:rFonts w:ascii="Cambria" w:hAnsi="Cambria"/>
          <w:sz w:val="16"/>
          <w:szCs w:val="16"/>
          <w:lang w:val="es-ES"/>
        </w:rPr>
        <w:t xml:space="preserve"> CIDH, Informe Anual 2003, </w:t>
      </w:r>
      <w:hyperlink r:id="rId2" w:history="1">
        <w:r w:rsidRPr="00AB0AF4">
          <w:rPr>
            <w:rStyle w:val="Hyperlink"/>
            <w:rFonts w:ascii="Cambria" w:hAnsi="Cambria"/>
            <w:sz w:val="16"/>
            <w:szCs w:val="16"/>
            <w:lang w:val="es-ES"/>
          </w:rPr>
          <w:t>Capítulo III, Sección D: Estado del cumplimiento de las recomendaciones de la CIDH</w:t>
        </w:r>
      </w:hyperlink>
      <w:r w:rsidRPr="00AB0AF4">
        <w:rPr>
          <w:rFonts w:ascii="Cambria" w:hAnsi="Cambria"/>
          <w:sz w:val="16"/>
          <w:szCs w:val="16"/>
          <w:lang w:val="es-ES"/>
        </w:rPr>
        <w:t xml:space="preserve">, párr. 151. </w:t>
      </w:r>
    </w:p>
  </w:footnote>
  <w:footnote w:id="3">
    <w:p w14:paraId="75771450" w14:textId="77777777" w:rsidR="00311917" w:rsidRPr="00AB0AF4" w:rsidRDefault="00311917" w:rsidP="00311917">
      <w:pPr>
        <w:pStyle w:val="FootnoteText"/>
        <w:spacing w:after="120"/>
        <w:jc w:val="both"/>
        <w:rPr>
          <w:rFonts w:ascii="Cambria" w:hAnsi="Cambria"/>
          <w:sz w:val="16"/>
          <w:szCs w:val="16"/>
          <w:lang w:val="es-ES"/>
        </w:rPr>
      </w:pPr>
      <w:r w:rsidRPr="00AB0AF4">
        <w:rPr>
          <w:rStyle w:val="FootnoteReference"/>
          <w:rFonts w:ascii="Cambria" w:hAnsi="Cambria"/>
          <w:sz w:val="16"/>
          <w:szCs w:val="16"/>
        </w:rPr>
        <w:footnoteRef/>
      </w:r>
      <w:r w:rsidRPr="00AB0AF4">
        <w:rPr>
          <w:rFonts w:ascii="Cambria" w:hAnsi="Cambria"/>
          <w:sz w:val="16"/>
          <w:szCs w:val="16"/>
          <w:lang w:val="es-ES"/>
        </w:rPr>
        <w:t xml:space="preserve"> Corte Suprema de los Estados Unidos, </w:t>
      </w:r>
      <w:hyperlink r:id="rId3" w:history="1">
        <w:r w:rsidRPr="00AB0AF4">
          <w:rPr>
            <w:rStyle w:val="Hyperlink"/>
            <w:rFonts w:ascii="Cambria" w:hAnsi="Cambria"/>
            <w:sz w:val="16"/>
            <w:szCs w:val="16"/>
            <w:lang w:val="es-ES"/>
          </w:rPr>
          <w:t>Clark v. Suarez-Martinez</w:t>
        </w:r>
      </w:hyperlink>
      <w:r w:rsidRPr="00AB0AF4">
        <w:rPr>
          <w:rFonts w:ascii="Cambria" w:hAnsi="Cambria"/>
          <w:sz w:val="16"/>
          <w:szCs w:val="16"/>
          <w:lang w:val="es-ES"/>
        </w:rPr>
        <w:t>, 125 S. Ct. 716 (12 de enero de 2005) (2005 WL 50099).</w:t>
      </w:r>
    </w:p>
  </w:footnote>
  <w:footnote w:id="4">
    <w:p w14:paraId="74533AAB" w14:textId="77777777" w:rsidR="00311917" w:rsidRPr="00B2196C" w:rsidRDefault="00311917" w:rsidP="00311917">
      <w:pPr>
        <w:pStyle w:val="FootnoteText"/>
        <w:spacing w:after="120"/>
        <w:jc w:val="both"/>
        <w:rPr>
          <w:lang w:val="es-ES"/>
        </w:rPr>
      </w:pPr>
      <w:r w:rsidRPr="00AB0AF4">
        <w:rPr>
          <w:rStyle w:val="FootnoteReference"/>
          <w:rFonts w:ascii="Cambria" w:hAnsi="Cambria"/>
          <w:sz w:val="16"/>
          <w:szCs w:val="16"/>
        </w:rPr>
        <w:footnoteRef/>
      </w:r>
      <w:r w:rsidRPr="00AB0AF4">
        <w:rPr>
          <w:rFonts w:ascii="Cambria" w:hAnsi="Cambria"/>
          <w:sz w:val="16"/>
          <w:szCs w:val="16"/>
          <w:lang w:val="es-ES"/>
        </w:rPr>
        <w:t xml:space="preserve"> Corte Suprema de los Estados Unidos, </w:t>
      </w:r>
      <w:hyperlink r:id="rId4" w:history="1">
        <w:r w:rsidRPr="00AB0AF4">
          <w:rPr>
            <w:rStyle w:val="Hyperlink"/>
            <w:rFonts w:ascii="Cambria" w:hAnsi="Cambria"/>
            <w:sz w:val="16"/>
            <w:szCs w:val="16"/>
            <w:lang w:val="es-ES"/>
          </w:rPr>
          <w:t>Zadvydas v. Davis</w:t>
        </w:r>
      </w:hyperlink>
      <w:r w:rsidRPr="00AB0AF4">
        <w:rPr>
          <w:rFonts w:ascii="Cambria" w:hAnsi="Cambria"/>
          <w:sz w:val="16"/>
          <w:szCs w:val="16"/>
          <w:lang w:val="es-ES"/>
        </w:rPr>
        <w:t>, 533 U.S. 678 (2001).</w:t>
      </w:r>
    </w:p>
  </w:footnote>
  <w:footnote w:id="5">
    <w:p w14:paraId="37FEAAD5" w14:textId="77777777" w:rsidR="00311917" w:rsidRPr="00B2196C" w:rsidRDefault="00311917" w:rsidP="00311917">
      <w:pPr>
        <w:pStyle w:val="FootnoteText"/>
        <w:spacing w:after="120"/>
        <w:jc w:val="both"/>
        <w:rPr>
          <w:rFonts w:ascii="Cambria" w:hAnsi="Cambria"/>
          <w:sz w:val="16"/>
          <w:szCs w:val="16"/>
          <w:lang w:val="es-ES"/>
        </w:rPr>
      </w:pPr>
      <w:r w:rsidRPr="00B2196C">
        <w:rPr>
          <w:rStyle w:val="FootnoteReference"/>
          <w:rFonts w:ascii="Cambria" w:hAnsi="Cambria"/>
          <w:sz w:val="16"/>
          <w:szCs w:val="16"/>
        </w:rPr>
        <w:footnoteRef/>
      </w:r>
      <w:r w:rsidRPr="00B2196C">
        <w:rPr>
          <w:rFonts w:ascii="Cambria" w:hAnsi="Cambria"/>
          <w:sz w:val="16"/>
          <w:szCs w:val="16"/>
          <w:lang w:val="es-ES"/>
        </w:rPr>
        <w:t xml:space="preserve"> CIDH, Informe Anual 2004, </w:t>
      </w:r>
      <w:hyperlink r:id="rId5" w:history="1">
        <w:r w:rsidRPr="00B2196C">
          <w:rPr>
            <w:rStyle w:val="Hyperlink"/>
            <w:rFonts w:ascii="Cambria" w:hAnsi="Cambria"/>
            <w:sz w:val="16"/>
            <w:szCs w:val="16"/>
            <w:lang w:val="es-ES"/>
          </w:rPr>
          <w:t>Capítulo III, Sección D: Estado del cumplimiento de las recomendaciones de la CIDH</w:t>
        </w:r>
      </w:hyperlink>
      <w:r w:rsidRPr="00B2196C">
        <w:rPr>
          <w:rFonts w:ascii="Cambria" w:hAnsi="Cambria"/>
          <w:sz w:val="16"/>
          <w:szCs w:val="16"/>
          <w:lang w:val="es-ES"/>
        </w:rPr>
        <w:t xml:space="preserve">, párr. 168.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92294D"/>
    <w:multiLevelType w:val="hybridMultilevel"/>
    <w:tmpl w:val="0DCEFB32"/>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412FF0"/>
    <w:multiLevelType w:val="hybridMultilevel"/>
    <w:tmpl w:val="C9067B9A"/>
    <w:lvl w:ilvl="0" w:tplc="4BCC38A6">
      <w:start w:val="6"/>
      <w:numFmt w:val="decimal"/>
      <w:lvlText w:val="%1."/>
      <w:lvlJc w:val="left"/>
      <w:pPr>
        <w:ind w:left="0" w:firstLine="720"/>
      </w:pPr>
      <w:rPr>
        <w:rFonts w:hint="default"/>
        <w:b w:val="0"/>
        <w:color w:val="000000" w:themeColor="text1"/>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78E00A47"/>
    <w:multiLevelType w:val="hybridMultilevel"/>
    <w:tmpl w:val="AE7C49BC"/>
    <w:lvl w:ilvl="0" w:tplc="04160013">
      <w:start w:val="1"/>
      <w:numFmt w:val="upperRoman"/>
      <w:lvlText w:val="%1."/>
      <w:lvlJc w:val="right"/>
      <w:pPr>
        <w:ind w:left="81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994624A"/>
    <w:multiLevelType w:val="hybridMultilevel"/>
    <w:tmpl w:val="8174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5"/>
  </w:num>
  <w:num w:numId="2" w16cid:durableId="426849189">
    <w:abstractNumId w:val="11"/>
  </w:num>
  <w:num w:numId="3" w16cid:durableId="978146478">
    <w:abstractNumId w:val="6"/>
  </w:num>
  <w:num w:numId="4" w16cid:durableId="446504039">
    <w:abstractNumId w:val="3"/>
  </w:num>
  <w:num w:numId="5" w16cid:durableId="2048992643">
    <w:abstractNumId w:val="2"/>
  </w:num>
  <w:num w:numId="6" w16cid:durableId="491221110">
    <w:abstractNumId w:val="4"/>
  </w:num>
  <w:num w:numId="7" w16cid:durableId="1982153750">
    <w:abstractNumId w:val="0"/>
  </w:num>
  <w:num w:numId="8" w16cid:durableId="1389573709">
    <w:abstractNumId w:val="1"/>
  </w:num>
  <w:num w:numId="9" w16cid:durableId="1847669315">
    <w:abstractNumId w:val="10"/>
  </w:num>
  <w:num w:numId="10" w16cid:durableId="1737314620">
    <w:abstractNumId w:val="7"/>
  </w:num>
  <w:num w:numId="11" w16cid:durableId="1027294680">
    <w:abstractNumId w:val="9"/>
  </w:num>
  <w:num w:numId="12" w16cid:durableId="10101066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0E2FCB"/>
    <w:rsid w:val="00105B23"/>
    <w:rsid w:val="00181DA0"/>
    <w:rsid w:val="002248FB"/>
    <w:rsid w:val="00234E64"/>
    <w:rsid w:val="00311917"/>
    <w:rsid w:val="00322720"/>
    <w:rsid w:val="003E5DE6"/>
    <w:rsid w:val="00453115"/>
    <w:rsid w:val="004758C9"/>
    <w:rsid w:val="0048723C"/>
    <w:rsid w:val="00500FDE"/>
    <w:rsid w:val="00547393"/>
    <w:rsid w:val="00566CD0"/>
    <w:rsid w:val="00637ED3"/>
    <w:rsid w:val="006638E5"/>
    <w:rsid w:val="00672733"/>
    <w:rsid w:val="006B1F24"/>
    <w:rsid w:val="006F0A52"/>
    <w:rsid w:val="00783E8D"/>
    <w:rsid w:val="007C4DCE"/>
    <w:rsid w:val="008463D3"/>
    <w:rsid w:val="008515E6"/>
    <w:rsid w:val="008818B0"/>
    <w:rsid w:val="008861D6"/>
    <w:rsid w:val="008C4AF8"/>
    <w:rsid w:val="009E7AA7"/>
    <w:rsid w:val="00A80674"/>
    <w:rsid w:val="00AE2642"/>
    <w:rsid w:val="00BD17B0"/>
    <w:rsid w:val="00BF7A78"/>
    <w:rsid w:val="00C9383A"/>
    <w:rsid w:val="00D56DC4"/>
    <w:rsid w:val="00E01DCF"/>
    <w:rsid w:val="00E042FE"/>
    <w:rsid w:val="00E516AB"/>
    <w:rsid w:val="00E90CB3"/>
    <w:rsid w:val="00EA0262"/>
    <w:rsid w:val="00EC61E3"/>
    <w:rsid w:val="00ED0AAA"/>
    <w:rsid w:val="00ED1EBA"/>
    <w:rsid w:val="00F4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917"/>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311917"/>
    <w:pPr>
      <w:spacing w:after="160" w:line="240" w:lineRule="exact"/>
    </w:pPr>
    <w:rPr>
      <w:vertAlign w:val="superscript"/>
    </w:rPr>
  </w:style>
  <w:style w:type="character" w:styleId="Hyperlink">
    <w:name w:val="Hyperlink"/>
    <w:uiPriority w:val="99"/>
    <w:unhideWhenUsed/>
    <w:rsid w:val="0031191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311917"/>
  </w:style>
  <w:style w:type="character" w:styleId="UnresolvedMention">
    <w:name w:val="Unresolved Mention"/>
    <w:basedOn w:val="DefaultParagraphFont"/>
    <w:uiPriority w:val="99"/>
    <w:semiHidden/>
    <w:unhideWhenUsed/>
    <w:rsid w:val="00783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dh.org/annualrep/2000eng/ChapterIII/Merits/USA9903.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law.cornell.edu/supct/pdf/03-878P.ZO" TargetMode="External"/><Relationship Id="rId2" Type="http://schemas.openxmlformats.org/officeDocument/2006/relationships/hyperlink" Target="http://www.cidh.oas.org/annualrep/2003sp/cap.3f.htm" TargetMode="External"/><Relationship Id="rId1" Type="http://schemas.openxmlformats.org/officeDocument/2006/relationships/hyperlink" Target="https://www.oas.org/es/CIDH/informes/IA.asp?Year=2021" TargetMode="External"/><Relationship Id="rId5" Type="http://schemas.openxmlformats.org/officeDocument/2006/relationships/hyperlink" Target="http://www.cidh.oas.org/annualrep/2004sp/cap.3d.htm" TargetMode="External"/><Relationship Id="rId4" Type="http://schemas.openxmlformats.org/officeDocument/2006/relationships/hyperlink" Target="https://supreme.justia.com/cases/federal/us/533/678/"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21FA5-981E-46E6-9B71-877FAE822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1349</Words>
  <Characters>7691</Characters>
  <Application>Microsoft Office Word</Application>
  <DocSecurity>0</DocSecurity>
  <Lines>64</Lines>
  <Paragraphs>18</Paragraphs>
  <ScaleCrop>false</ScaleCrop>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2023-03-28T18:48:00Z</dcterms:created>
  <dcterms:modified xsi:type="dcterms:W3CDTF">2023-03-28T18:48:00Z</dcterms:modified>
</cp:coreProperties>
</file>