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460A" w14:textId="77777777" w:rsidR="00CB7811" w:rsidRPr="008431F9" w:rsidRDefault="00CB7811" w:rsidP="00CB7811">
      <w:pPr>
        <w:jc w:val="center"/>
        <w:rPr>
          <w:rFonts w:ascii="Cambria" w:hAnsi="Cambria"/>
          <w:b/>
          <w:color w:val="000000" w:themeColor="text1"/>
          <w:sz w:val="20"/>
          <w:szCs w:val="20"/>
          <w:lang w:val="es-ES"/>
        </w:rPr>
      </w:pPr>
    </w:p>
    <w:p w14:paraId="417BE4B2" w14:textId="77777777" w:rsidR="00CB7811" w:rsidRPr="008431F9" w:rsidRDefault="00CB7811" w:rsidP="00CB7811">
      <w:pPr>
        <w:jc w:val="center"/>
        <w:rPr>
          <w:rFonts w:ascii="Cambria" w:hAnsi="Cambria"/>
          <w:b/>
          <w:color w:val="000000" w:themeColor="text1"/>
          <w:sz w:val="20"/>
          <w:szCs w:val="20"/>
          <w:lang w:val="es-ES"/>
        </w:rPr>
      </w:pPr>
      <w:r w:rsidRPr="008431F9">
        <w:rPr>
          <w:rFonts w:ascii="Cambria" w:hAnsi="Cambria"/>
          <w:b/>
          <w:color w:val="000000" w:themeColor="text1"/>
          <w:sz w:val="20"/>
          <w:szCs w:val="20"/>
          <w:lang w:val="es-ES"/>
        </w:rPr>
        <w:t>FICHA DE SEGUIMIENTO DEL INFORME Nº 13/14</w:t>
      </w:r>
    </w:p>
    <w:p w14:paraId="49014C44" w14:textId="77777777" w:rsidR="00CB7811" w:rsidRPr="008431F9" w:rsidRDefault="00CB7811" w:rsidP="00CB7811">
      <w:pPr>
        <w:jc w:val="center"/>
        <w:rPr>
          <w:rFonts w:ascii="Cambria" w:hAnsi="Cambria"/>
          <w:b/>
          <w:color w:val="000000" w:themeColor="text1"/>
          <w:sz w:val="20"/>
          <w:szCs w:val="20"/>
          <w:lang w:val="es-ES"/>
        </w:rPr>
      </w:pPr>
      <w:r w:rsidRPr="008431F9">
        <w:rPr>
          <w:rFonts w:ascii="Cambria" w:hAnsi="Cambria"/>
          <w:b/>
          <w:color w:val="000000" w:themeColor="text1"/>
          <w:sz w:val="20"/>
          <w:szCs w:val="20"/>
          <w:lang w:val="es-ES"/>
        </w:rPr>
        <w:t>CASO 12.422</w:t>
      </w:r>
    </w:p>
    <w:p w14:paraId="51D7B11B" w14:textId="77777777" w:rsidR="00CB7811" w:rsidRPr="008431F9" w:rsidRDefault="00CB7811" w:rsidP="00CB7811">
      <w:pPr>
        <w:jc w:val="center"/>
        <w:rPr>
          <w:rFonts w:ascii="Cambria" w:hAnsi="Cambria"/>
          <w:b/>
          <w:color w:val="000000" w:themeColor="text1"/>
          <w:sz w:val="20"/>
          <w:szCs w:val="20"/>
          <w:lang w:val="es-ES"/>
        </w:rPr>
      </w:pPr>
      <w:r w:rsidRPr="008431F9">
        <w:rPr>
          <w:rFonts w:ascii="Cambria" w:hAnsi="Cambria"/>
          <w:b/>
          <w:color w:val="000000" w:themeColor="text1"/>
          <w:sz w:val="20"/>
          <w:szCs w:val="20"/>
          <w:lang w:val="es-ES"/>
        </w:rPr>
        <w:t xml:space="preserve"> ABU-ALI ABDUR’RAHMAN</w:t>
      </w:r>
    </w:p>
    <w:p w14:paraId="5AB241EF" w14:textId="77777777" w:rsidR="00CB7811" w:rsidRPr="008431F9" w:rsidRDefault="00CB7811" w:rsidP="00CB7811">
      <w:pPr>
        <w:jc w:val="center"/>
        <w:rPr>
          <w:rFonts w:ascii="Cambria" w:hAnsi="Cambria"/>
          <w:b/>
          <w:color w:val="000000" w:themeColor="text1"/>
          <w:sz w:val="20"/>
          <w:szCs w:val="20"/>
          <w:lang w:val="es-ES"/>
        </w:rPr>
      </w:pPr>
      <w:r w:rsidRPr="008431F9">
        <w:rPr>
          <w:rFonts w:ascii="Cambria" w:hAnsi="Cambria"/>
          <w:b/>
          <w:color w:val="000000" w:themeColor="text1"/>
          <w:sz w:val="20"/>
          <w:szCs w:val="20"/>
          <w:lang w:val="es-ES"/>
        </w:rPr>
        <w:t>(Estados Unidos)</w:t>
      </w:r>
    </w:p>
    <w:p w14:paraId="03984199" w14:textId="77777777" w:rsidR="00CB7811" w:rsidRPr="008431F9" w:rsidRDefault="00CB7811" w:rsidP="00CB7811">
      <w:pPr>
        <w:jc w:val="center"/>
        <w:rPr>
          <w:rFonts w:ascii="Cambria" w:hAnsi="Cambria"/>
          <w:color w:val="000000" w:themeColor="text1"/>
          <w:sz w:val="20"/>
          <w:szCs w:val="20"/>
          <w:lang w:val="es-ES"/>
        </w:rPr>
      </w:pPr>
    </w:p>
    <w:p w14:paraId="031940E9" w14:textId="77777777" w:rsidR="00CB7811" w:rsidRPr="008431F9" w:rsidRDefault="00CB7811" w:rsidP="00CB7811">
      <w:pPr>
        <w:numPr>
          <w:ilvl w:val="0"/>
          <w:numId w:val="8"/>
        </w:numPr>
        <w:ind w:left="1440"/>
        <w:rPr>
          <w:rFonts w:ascii="Cambria" w:hAnsi="Cambria" w:cs="Calibri Light"/>
          <w:b/>
          <w:color w:val="000000" w:themeColor="text1"/>
          <w:sz w:val="20"/>
          <w:szCs w:val="20"/>
          <w:lang w:val="es-ES"/>
        </w:rPr>
      </w:pPr>
      <w:r w:rsidRPr="008431F9">
        <w:rPr>
          <w:rFonts w:ascii="Cambria" w:hAnsi="Cambria" w:cs="Calibri Light"/>
          <w:b/>
          <w:color w:val="000000" w:themeColor="text1"/>
          <w:sz w:val="20"/>
          <w:szCs w:val="20"/>
          <w:lang w:val="es-ES"/>
        </w:rPr>
        <w:t xml:space="preserve">Resumen del caso </w:t>
      </w:r>
    </w:p>
    <w:p w14:paraId="7ADBD234" w14:textId="77777777" w:rsidR="00CB7811" w:rsidRPr="008431F9" w:rsidRDefault="00CB7811" w:rsidP="00CB7811">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431F9" w:rsidRPr="008431F9" w14:paraId="42FB3FDB" w14:textId="77777777" w:rsidTr="00C24C23">
        <w:trPr>
          <w:jc w:val="center"/>
        </w:trPr>
        <w:tc>
          <w:tcPr>
            <w:tcW w:w="9576" w:type="dxa"/>
            <w:shd w:val="clear" w:color="auto" w:fill="F2F2F2"/>
          </w:tcPr>
          <w:p w14:paraId="5E1C117F" w14:textId="77777777" w:rsidR="00CB7811" w:rsidRPr="008431F9" w:rsidRDefault="00CB7811" w:rsidP="00C24C23">
            <w:pPr>
              <w:pStyle w:val="Default"/>
              <w:spacing w:before="120"/>
              <w:jc w:val="both"/>
              <w:rPr>
                <w:color w:val="000000" w:themeColor="text1"/>
                <w:sz w:val="20"/>
                <w:szCs w:val="20"/>
                <w:lang w:val="es-ES"/>
              </w:rPr>
            </w:pPr>
            <w:r w:rsidRPr="008431F9">
              <w:rPr>
                <w:b/>
                <w:color w:val="000000" w:themeColor="text1"/>
                <w:sz w:val="20"/>
                <w:szCs w:val="20"/>
                <w:lang w:val="es-ES"/>
              </w:rPr>
              <w:t xml:space="preserve">Víctimas (s): </w:t>
            </w:r>
            <w:r w:rsidRPr="008431F9">
              <w:rPr>
                <w:color w:val="000000" w:themeColor="text1"/>
                <w:sz w:val="20"/>
                <w:szCs w:val="20"/>
                <w:lang w:val="es-ES"/>
              </w:rPr>
              <w:t>Abu-Ali Abdur’Rahman</w:t>
            </w:r>
          </w:p>
          <w:p w14:paraId="75D82899" w14:textId="77777777" w:rsidR="00CB7811" w:rsidRPr="008431F9" w:rsidRDefault="00CB7811" w:rsidP="00C24C23">
            <w:pPr>
              <w:jc w:val="both"/>
              <w:rPr>
                <w:rFonts w:ascii="Cambria" w:hAnsi="Cambria"/>
                <w:b/>
                <w:color w:val="000000" w:themeColor="text1"/>
                <w:sz w:val="20"/>
                <w:szCs w:val="20"/>
              </w:rPr>
            </w:pPr>
            <w:r w:rsidRPr="008431F9">
              <w:rPr>
                <w:rFonts w:ascii="Cambria" w:hAnsi="Cambria"/>
                <w:b/>
                <w:color w:val="000000" w:themeColor="text1"/>
                <w:sz w:val="20"/>
                <w:szCs w:val="20"/>
              </w:rPr>
              <w:t xml:space="preserve">Peticionarios (s): </w:t>
            </w:r>
            <w:r w:rsidRPr="008431F9">
              <w:rPr>
                <w:rFonts w:ascii="Cambria" w:hAnsi="Cambria"/>
                <w:color w:val="000000" w:themeColor="text1"/>
                <w:sz w:val="20"/>
                <w:szCs w:val="20"/>
              </w:rPr>
              <w:t>H.E. (Ed) Miller, Jr. y Bradley A. MacLean</w:t>
            </w:r>
          </w:p>
          <w:p w14:paraId="009A7244" w14:textId="77777777" w:rsidR="00CB7811" w:rsidRPr="008431F9" w:rsidRDefault="00CB7811" w:rsidP="00C24C23">
            <w:pPr>
              <w:jc w:val="both"/>
              <w:rPr>
                <w:rFonts w:ascii="Cambria" w:hAnsi="Cambria"/>
                <w:color w:val="000000" w:themeColor="text1"/>
                <w:sz w:val="20"/>
                <w:szCs w:val="20"/>
                <w:lang w:val="es-ES"/>
              </w:rPr>
            </w:pPr>
            <w:r w:rsidRPr="008431F9">
              <w:rPr>
                <w:rFonts w:ascii="Cambria" w:hAnsi="Cambria"/>
                <w:b/>
                <w:color w:val="000000" w:themeColor="text1"/>
                <w:sz w:val="20"/>
                <w:szCs w:val="20"/>
                <w:lang w:val="es-ES"/>
              </w:rPr>
              <w:t xml:space="preserve">Estado: </w:t>
            </w:r>
            <w:r w:rsidRPr="008431F9">
              <w:rPr>
                <w:rFonts w:ascii="Cambria" w:hAnsi="Cambria"/>
                <w:color w:val="000000" w:themeColor="text1"/>
                <w:sz w:val="20"/>
                <w:szCs w:val="20"/>
                <w:lang w:val="es-ES"/>
              </w:rPr>
              <w:t>Estados Unidos</w:t>
            </w:r>
          </w:p>
          <w:p w14:paraId="401E57C5" w14:textId="77777777" w:rsidR="00CB7811" w:rsidRPr="008431F9" w:rsidRDefault="00CB7811" w:rsidP="00C24C23">
            <w:pPr>
              <w:jc w:val="both"/>
              <w:rPr>
                <w:rFonts w:ascii="Cambria" w:hAnsi="Cambria"/>
                <w:color w:val="000000" w:themeColor="text1"/>
                <w:sz w:val="20"/>
                <w:szCs w:val="20"/>
                <w:lang w:val="es-ES"/>
              </w:rPr>
            </w:pPr>
            <w:r w:rsidRPr="008431F9">
              <w:rPr>
                <w:rFonts w:ascii="Cambria" w:hAnsi="Cambria"/>
                <w:b/>
                <w:color w:val="000000" w:themeColor="text1"/>
                <w:sz w:val="20"/>
                <w:szCs w:val="20"/>
                <w:lang w:val="es-ES"/>
              </w:rPr>
              <w:t xml:space="preserve">Informe de Fondo Nº:  </w:t>
            </w:r>
            <w:hyperlink r:id="rId11" w:history="1">
              <w:r w:rsidRPr="008431F9">
                <w:rPr>
                  <w:rStyle w:val="Hyperlink"/>
                  <w:rFonts w:ascii="Cambria" w:hAnsi="Cambria"/>
                  <w:color w:val="000000" w:themeColor="text1"/>
                  <w:sz w:val="20"/>
                  <w:szCs w:val="20"/>
                  <w:lang w:val="es-ES"/>
                </w:rPr>
                <w:t>13/14</w:t>
              </w:r>
            </w:hyperlink>
            <w:r w:rsidRPr="008431F9">
              <w:rPr>
                <w:rFonts w:ascii="Cambria" w:hAnsi="Cambria"/>
                <w:color w:val="000000" w:themeColor="text1"/>
                <w:sz w:val="20"/>
                <w:szCs w:val="20"/>
                <w:lang w:val="es-ES"/>
              </w:rPr>
              <w:t>, publicado el 2 de abril de 2014</w:t>
            </w:r>
          </w:p>
          <w:p w14:paraId="6719FBD4" w14:textId="77777777" w:rsidR="00CB7811" w:rsidRPr="008431F9" w:rsidRDefault="00CB7811" w:rsidP="00C24C23">
            <w:pPr>
              <w:jc w:val="both"/>
              <w:rPr>
                <w:rFonts w:ascii="Cambria" w:hAnsi="Cambria"/>
                <w:color w:val="000000" w:themeColor="text1"/>
                <w:sz w:val="20"/>
                <w:szCs w:val="20"/>
                <w:lang w:val="es-ES"/>
              </w:rPr>
            </w:pPr>
            <w:r w:rsidRPr="008431F9">
              <w:rPr>
                <w:rFonts w:ascii="Cambria" w:hAnsi="Cambria"/>
                <w:b/>
                <w:color w:val="000000" w:themeColor="text1"/>
                <w:sz w:val="20"/>
                <w:szCs w:val="20"/>
                <w:lang w:val="es-ES"/>
              </w:rPr>
              <w:t xml:space="preserve">Informe de Admisibilidad Nº:  </w:t>
            </w:r>
            <w:hyperlink r:id="rId12" w:history="1">
              <w:r w:rsidRPr="008431F9">
                <w:rPr>
                  <w:rStyle w:val="Hyperlink"/>
                  <w:rFonts w:ascii="Cambria" w:hAnsi="Cambria"/>
                  <w:color w:val="000000" w:themeColor="text1"/>
                  <w:sz w:val="20"/>
                  <w:szCs w:val="20"/>
                  <w:lang w:val="es-ES"/>
                </w:rPr>
                <w:t>39/03</w:t>
              </w:r>
            </w:hyperlink>
            <w:r w:rsidRPr="008431F9">
              <w:rPr>
                <w:rFonts w:ascii="Cambria" w:hAnsi="Cambria"/>
                <w:color w:val="000000" w:themeColor="text1"/>
                <w:sz w:val="20"/>
                <w:szCs w:val="20"/>
                <w:lang w:val="es-ES"/>
              </w:rPr>
              <w:t>, adoptado el 6 de junio de 2003</w:t>
            </w:r>
          </w:p>
          <w:p w14:paraId="6ADEE275" w14:textId="77777777" w:rsidR="00CB7811" w:rsidRPr="008431F9" w:rsidRDefault="00CB7811" w:rsidP="00C24C23">
            <w:pPr>
              <w:jc w:val="both"/>
              <w:rPr>
                <w:rFonts w:ascii="Cambria" w:hAnsi="Cambria"/>
                <w:color w:val="000000" w:themeColor="text1"/>
                <w:sz w:val="20"/>
                <w:szCs w:val="20"/>
                <w:lang w:val="es-ES"/>
              </w:rPr>
            </w:pPr>
            <w:r w:rsidRPr="008431F9">
              <w:rPr>
                <w:rFonts w:ascii="Cambria" w:hAnsi="Cambria"/>
                <w:b/>
                <w:color w:val="000000" w:themeColor="text1"/>
                <w:sz w:val="20"/>
                <w:szCs w:val="20"/>
                <w:lang w:val="es-ES"/>
              </w:rPr>
              <w:t xml:space="preserve">Medidas cautelares: </w:t>
            </w:r>
            <w:hyperlink r:id="rId13" w:history="1">
              <w:r w:rsidRPr="008431F9">
                <w:rPr>
                  <w:rStyle w:val="Hyperlink"/>
                  <w:rFonts w:ascii="Cambria" w:hAnsi="Cambria"/>
                  <w:color w:val="000000" w:themeColor="text1"/>
                  <w:sz w:val="20"/>
                  <w:szCs w:val="20"/>
                  <w:lang w:val="es-ES"/>
                </w:rPr>
                <w:t>otorgadas el 7 de marzo de 2002</w:t>
              </w:r>
            </w:hyperlink>
            <w:r w:rsidRPr="008431F9">
              <w:rPr>
                <w:rFonts w:ascii="Cambria" w:hAnsi="Cambria"/>
                <w:color w:val="000000" w:themeColor="text1"/>
                <w:sz w:val="20"/>
                <w:szCs w:val="20"/>
                <w:lang w:val="es-ES"/>
              </w:rPr>
              <w:t xml:space="preserve"> </w:t>
            </w:r>
          </w:p>
          <w:p w14:paraId="03A298AB" w14:textId="77777777" w:rsidR="00CB7811" w:rsidRPr="008431F9" w:rsidRDefault="00CB7811" w:rsidP="00C24C23">
            <w:pPr>
              <w:spacing w:after="120"/>
              <w:jc w:val="both"/>
              <w:rPr>
                <w:rFonts w:ascii="Cambria" w:hAnsi="Cambria" w:cs="Calibri"/>
                <w:color w:val="000000" w:themeColor="text1"/>
                <w:sz w:val="20"/>
                <w:szCs w:val="20"/>
                <w:lang w:val="es-ES"/>
              </w:rPr>
            </w:pPr>
            <w:r w:rsidRPr="008431F9">
              <w:rPr>
                <w:rFonts w:ascii="Cambria" w:hAnsi="Cambria"/>
                <w:b/>
                <w:color w:val="000000" w:themeColor="text1"/>
                <w:sz w:val="20"/>
                <w:szCs w:val="20"/>
                <w:lang w:val="es-ES"/>
              </w:rPr>
              <w:t xml:space="preserve">Temas: </w:t>
            </w:r>
            <w:r w:rsidRPr="008431F9">
              <w:rPr>
                <w:rFonts w:ascii="Cambria" w:hAnsi="Cambria"/>
                <w:color w:val="000000" w:themeColor="text1"/>
                <w:sz w:val="20"/>
                <w:szCs w:val="20"/>
                <w:lang w:val="es-ES"/>
              </w:rPr>
              <w:t>Pena de Muerte / Derecho a la Vida / Garantías Judiciales / Protección Judicial / Deber de Adoptar Medidas y Disposiciones de Derecho Interno / Derecho a la Libertad Personal.</w:t>
            </w:r>
          </w:p>
          <w:p w14:paraId="0FC79CD5" w14:textId="77777777" w:rsidR="00CB7811" w:rsidRPr="008431F9" w:rsidRDefault="00CB7811" w:rsidP="00C24C23">
            <w:pPr>
              <w:pStyle w:val="Default"/>
              <w:spacing w:after="120"/>
              <w:jc w:val="both"/>
              <w:rPr>
                <w:color w:val="000000" w:themeColor="text1"/>
                <w:sz w:val="20"/>
                <w:szCs w:val="20"/>
                <w:lang w:val="es-ES"/>
              </w:rPr>
            </w:pPr>
            <w:r w:rsidRPr="008431F9">
              <w:rPr>
                <w:b/>
                <w:color w:val="000000" w:themeColor="text1"/>
                <w:sz w:val="20"/>
                <w:szCs w:val="20"/>
                <w:lang w:val="es-ES"/>
              </w:rPr>
              <w:t>Hechos:</w:t>
            </w:r>
            <w:r w:rsidRPr="008431F9">
              <w:rPr>
                <w:color w:val="000000" w:themeColor="text1"/>
                <w:sz w:val="20"/>
                <w:szCs w:val="20"/>
                <w:lang w:val="es-ES"/>
              </w:rPr>
              <w:t xml:space="preserve"> Este caso se refiere a violaciones del derecho al debido proceso de Abu-Ali Abdur’Rahman, ciudadano de Estados Unidos, quien fue condenado a muerte en el estado de Tennessee el 15 de julio de 1987. Dichas violaciones incluyen deficiencias en la imparcialidad del procedimiento penal desarrollado en su contra y en su aptitud para ser ejecutado en vista de su discapacidad mental.</w:t>
            </w:r>
          </w:p>
          <w:p w14:paraId="77D86081" w14:textId="77777777" w:rsidR="00CB7811" w:rsidRPr="008431F9" w:rsidRDefault="00CB7811" w:rsidP="00C24C23">
            <w:pPr>
              <w:pStyle w:val="Default"/>
              <w:spacing w:after="120"/>
              <w:jc w:val="both"/>
              <w:rPr>
                <w:color w:val="000000" w:themeColor="text1"/>
                <w:sz w:val="20"/>
                <w:szCs w:val="20"/>
                <w:lang w:val="es-ES"/>
              </w:rPr>
            </w:pPr>
            <w:r w:rsidRPr="008431F9">
              <w:rPr>
                <w:b/>
                <w:color w:val="000000" w:themeColor="text1"/>
                <w:sz w:val="20"/>
                <w:szCs w:val="20"/>
                <w:lang w:val="es-ES"/>
              </w:rPr>
              <w:t xml:space="preserve">Derechos violados: </w:t>
            </w:r>
            <w:r w:rsidRPr="008431F9">
              <w:rPr>
                <w:color w:val="000000" w:themeColor="text1"/>
                <w:sz w:val="20"/>
                <w:szCs w:val="20"/>
                <w:lang w:val="es-ES"/>
              </w:rPr>
              <w:t>La Comisión Interamericana concluyó que Estados Unidos es responsable de la violación del derecho a la justicia (artículo XVIII) y el derecho al debido proceso (artículo XXVI), garantizados en la Declaración Americana, con respecto a Abu-Ali Abdur’ Rahman. Asimismo, consideró que Estados Unidos cometería una violación grave e irreparable del derecho fundamental a la vida enunciado en el artículo I de la Declaración Americana si procediera a ejecutar al señor Abdur’ Rahman sobre la base de las actuaciones penales descritas en el presente informe.</w:t>
            </w:r>
          </w:p>
        </w:tc>
      </w:tr>
    </w:tbl>
    <w:p w14:paraId="3BCD8C4D" w14:textId="77777777" w:rsidR="00CB7811" w:rsidRPr="008431F9" w:rsidRDefault="00CB7811" w:rsidP="00CB7811">
      <w:pPr>
        <w:ind w:left="180"/>
        <w:rPr>
          <w:rFonts w:ascii="Cambria" w:hAnsi="Cambria"/>
          <w:color w:val="000000" w:themeColor="text1"/>
          <w:sz w:val="20"/>
          <w:szCs w:val="20"/>
          <w:lang w:val="es-ES"/>
        </w:rPr>
      </w:pPr>
    </w:p>
    <w:p w14:paraId="578C3459" w14:textId="77777777" w:rsidR="00CB7811" w:rsidRPr="008431F9" w:rsidRDefault="00CB7811" w:rsidP="00CB7811">
      <w:pPr>
        <w:numPr>
          <w:ilvl w:val="0"/>
          <w:numId w:val="8"/>
        </w:numPr>
        <w:ind w:left="1440"/>
        <w:jc w:val="both"/>
        <w:rPr>
          <w:rFonts w:ascii="Cambria" w:hAnsi="Cambria" w:cs="Calibri Light"/>
          <w:b/>
          <w:color w:val="000000" w:themeColor="text1"/>
          <w:sz w:val="20"/>
          <w:szCs w:val="20"/>
          <w:lang w:val="es-ES"/>
        </w:rPr>
      </w:pPr>
      <w:r w:rsidRPr="008431F9">
        <w:rPr>
          <w:rFonts w:ascii="Cambria" w:hAnsi="Cambria" w:cs="Calibri Light"/>
          <w:b/>
          <w:color w:val="000000" w:themeColor="text1"/>
          <w:sz w:val="20"/>
          <w:szCs w:val="20"/>
          <w:lang w:val="es-ES"/>
        </w:rPr>
        <w:t>Recomendaciones</w:t>
      </w:r>
    </w:p>
    <w:p w14:paraId="38C11406" w14:textId="77777777" w:rsidR="00CB7811" w:rsidRPr="008431F9" w:rsidRDefault="00CB7811" w:rsidP="00CB7811">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8431F9" w:rsidRPr="008431F9" w14:paraId="7360600D" w14:textId="77777777" w:rsidTr="00C24C23">
        <w:tc>
          <w:tcPr>
            <w:tcW w:w="7290" w:type="dxa"/>
            <w:shd w:val="clear" w:color="auto" w:fill="auto"/>
            <w:vAlign w:val="center"/>
          </w:tcPr>
          <w:p w14:paraId="6229EDEA" w14:textId="77777777" w:rsidR="00CB7811" w:rsidRPr="008431F9" w:rsidRDefault="00CB7811" w:rsidP="00C24C23">
            <w:pPr>
              <w:jc w:val="center"/>
              <w:rPr>
                <w:rFonts w:ascii="Cambria" w:hAnsi="Cambria" w:cs="Calibri Light"/>
                <w:b/>
                <w:color w:val="000000" w:themeColor="text1"/>
                <w:sz w:val="18"/>
                <w:szCs w:val="18"/>
                <w:lang w:val="es-ES"/>
              </w:rPr>
            </w:pPr>
            <w:r w:rsidRPr="008431F9">
              <w:rPr>
                <w:rFonts w:ascii="Cambria" w:hAnsi="Cambria" w:cs="Calibri Light"/>
                <w:b/>
                <w:color w:val="000000" w:themeColor="text1"/>
                <w:sz w:val="18"/>
                <w:szCs w:val="18"/>
                <w:lang w:val="es-ES"/>
              </w:rPr>
              <w:t>Recomendaciones</w:t>
            </w:r>
          </w:p>
        </w:tc>
        <w:tc>
          <w:tcPr>
            <w:tcW w:w="2250" w:type="dxa"/>
            <w:shd w:val="clear" w:color="auto" w:fill="auto"/>
            <w:vAlign w:val="center"/>
          </w:tcPr>
          <w:p w14:paraId="7D990BA3" w14:textId="6D91CB9E" w:rsidR="00CB7811" w:rsidRPr="008431F9" w:rsidRDefault="00CB7811" w:rsidP="00C24C23">
            <w:pPr>
              <w:jc w:val="center"/>
              <w:rPr>
                <w:rFonts w:ascii="Cambria" w:hAnsi="Cambria" w:cs="Calibri Light"/>
                <w:b/>
                <w:color w:val="000000" w:themeColor="text1"/>
                <w:sz w:val="18"/>
                <w:szCs w:val="18"/>
                <w:lang w:val="es-ES"/>
              </w:rPr>
            </w:pPr>
            <w:r w:rsidRPr="008431F9">
              <w:rPr>
                <w:rFonts w:ascii="Cambria" w:hAnsi="Cambria" w:cs="Calibri Light"/>
                <w:b/>
                <w:color w:val="000000" w:themeColor="text1"/>
                <w:sz w:val="18"/>
                <w:szCs w:val="18"/>
                <w:lang w:val="es-ES"/>
              </w:rPr>
              <w:t>Estado de cumplimiento en 202</w:t>
            </w:r>
            <w:r w:rsidR="00427A14" w:rsidRPr="008431F9">
              <w:rPr>
                <w:rFonts w:ascii="Cambria" w:hAnsi="Cambria" w:cs="Calibri Light"/>
                <w:b/>
                <w:color w:val="000000" w:themeColor="text1"/>
                <w:sz w:val="18"/>
                <w:szCs w:val="18"/>
                <w:lang w:val="es-ES"/>
              </w:rPr>
              <w:t>2</w:t>
            </w:r>
          </w:p>
        </w:tc>
      </w:tr>
      <w:tr w:rsidR="008431F9" w:rsidRPr="008431F9" w14:paraId="0853F3E4" w14:textId="77777777" w:rsidTr="00C24C23">
        <w:tc>
          <w:tcPr>
            <w:tcW w:w="7290" w:type="dxa"/>
            <w:shd w:val="clear" w:color="auto" w:fill="auto"/>
          </w:tcPr>
          <w:p w14:paraId="5351CC08" w14:textId="77777777" w:rsidR="00CB7811" w:rsidRPr="008431F9" w:rsidRDefault="00CB7811" w:rsidP="00C24C23">
            <w:pPr>
              <w:jc w:val="both"/>
              <w:rPr>
                <w:rFonts w:ascii="Cambria" w:hAnsi="Cambria" w:cs="Calibri"/>
                <w:color w:val="000000" w:themeColor="text1"/>
                <w:sz w:val="18"/>
                <w:szCs w:val="18"/>
                <w:lang w:val="es-ES"/>
              </w:rPr>
            </w:pPr>
            <w:r w:rsidRPr="008431F9">
              <w:rPr>
                <w:rFonts w:ascii="Cambria" w:hAnsi="Cambria" w:cs="Calibri"/>
                <w:color w:val="000000" w:themeColor="text1"/>
                <w:sz w:val="18"/>
                <w:szCs w:val="18"/>
                <w:lang w:val="es-ES"/>
              </w:rPr>
              <w:t xml:space="preserve">1. Proporcione al señor Abdur’ Rahman un recurso efectivo, incluido un nuevo juicio diligenciado conforme a los principios fundamentales del debido proceso o, si ello no fuera posible, que ponga en libertad a dicha persona. </w:t>
            </w:r>
          </w:p>
        </w:tc>
        <w:tc>
          <w:tcPr>
            <w:tcW w:w="2250" w:type="dxa"/>
            <w:shd w:val="clear" w:color="auto" w:fill="auto"/>
            <w:vAlign w:val="center"/>
          </w:tcPr>
          <w:p w14:paraId="040D2BBF" w14:textId="77777777" w:rsidR="00CB7811" w:rsidRPr="008431F9" w:rsidRDefault="00CB7811" w:rsidP="00C24C23">
            <w:pPr>
              <w:jc w:val="center"/>
              <w:rPr>
                <w:rFonts w:ascii="Cambria" w:hAnsi="Cambria" w:cs="Calibri Light"/>
                <w:bCs/>
                <w:color w:val="000000" w:themeColor="text1"/>
                <w:sz w:val="18"/>
                <w:szCs w:val="18"/>
                <w:lang w:val="es-ES"/>
              </w:rPr>
            </w:pPr>
            <w:r w:rsidRPr="008431F9">
              <w:rPr>
                <w:rFonts w:ascii="Cambria" w:hAnsi="Cambria" w:cs="Calibri Light"/>
                <w:bCs/>
                <w:color w:val="000000" w:themeColor="text1"/>
                <w:sz w:val="18"/>
                <w:szCs w:val="18"/>
                <w:lang w:val="es-ES"/>
              </w:rPr>
              <w:t>Cumplimiento Parcial Sustancial</w:t>
            </w:r>
          </w:p>
        </w:tc>
      </w:tr>
      <w:tr w:rsidR="008431F9" w:rsidRPr="008431F9" w14:paraId="22F91265" w14:textId="77777777" w:rsidTr="00C24C23">
        <w:tc>
          <w:tcPr>
            <w:tcW w:w="7290" w:type="dxa"/>
            <w:shd w:val="clear" w:color="auto" w:fill="auto"/>
          </w:tcPr>
          <w:p w14:paraId="17C01978" w14:textId="77777777" w:rsidR="00CB7811" w:rsidRPr="008431F9" w:rsidRDefault="00CB7811" w:rsidP="00C24C23">
            <w:pPr>
              <w:jc w:val="both"/>
              <w:rPr>
                <w:rFonts w:ascii="Cambria" w:hAnsi="Cambria" w:cs="Calibri"/>
                <w:color w:val="000000" w:themeColor="text1"/>
                <w:sz w:val="18"/>
                <w:szCs w:val="18"/>
                <w:lang w:val="es-ES"/>
              </w:rPr>
            </w:pPr>
            <w:r w:rsidRPr="008431F9">
              <w:rPr>
                <w:rFonts w:ascii="Cambria" w:hAnsi="Cambria" w:cs="Calibri"/>
                <w:color w:val="000000" w:themeColor="text1"/>
                <w:sz w:val="18"/>
                <w:szCs w:val="18"/>
                <w:lang w:val="es-ES"/>
              </w:rPr>
              <w:t>2. Revise sus leyes, procedimientos y prácticas a fin de que las personas acusadas de delitos que puedan dar lugar a la pena capital sean juzgadas y, si son declaradas culpables, sean sentenciadas conforme a los derechos establecidos en la Declaración Americana, en cuyo contexto debe proporcionárseles asistencia jurídica competente y efectiva.</w:t>
            </w:r>
          </w:p>
        </w:tc>
        <w:tc>
          <w:tcPr>
            <w:tcW w:w="2250" w:type="dxa"/>
            <w:shd w:val="clear" w:color="auto" w:fill="auto"/>
            <w:vAlign w:val="center"/>
          </w:tcPr>
          <w:p w14:paraId="3F9DC771" w14:textId="77777777" w:rsidR="00CB7811" w:rsidRPr="008431F9" w:rsidRDefault="00CB7811" w:rsidP="00C24C23">
            <w:pPr>
              <w:jc w:val="center"/>
              <w:rPr>
                <w:rFonts w:ascii="Cambria" w:hAnsi="Cambria" w:cs="Calibri Light"/>
                <w:b/>
                <w:color w:val="000000" w:themeColor="text1"/>
                <w:sz w:val="18"/>
                <w:szCs w:val="18"/>
                <w:lang w:val="es-ES"/>
              </w:rPr>
            </w:pPr>
            <w:r w:rsidRPr="008431F9">
              <w:rPr>
                <w:rFonts w:ascii="Cambria" w:hAnsi="Cambria"/>
                <w:color w:val="000000" w:themeColor="text1"/>
                <w:sz w:val="18"/>
                <w:szCs w:val="18"/>
                <w:lang w:val="es-ES"/>
              </w:rPr>
              <w:t>Pendiente de cumplimiento</w:t>
            </w:r>
          </w:p>
        </w:tc>
      </w:tr>
      <w:tr w:rsidR="00CB7811" w:rsidRPr="008431F9" w14:paraId="6F8A7AFF" w14:textId="77777777" w:rsidTr="00C24C23">
        <w:trPr>
          <w:trHeight w:val="809"/>
        </w:trPr>
        <w:tc>
          <w:tcPr>
            <w:tcW w:w="7290" w:type="dxa"/>
            <w:tcBorders>
              <w:top w:val="single" w:sz="4" w:space="0" w:color="auto"/>
              <w:left w:val="single" w:sz="4" w:space="0" w:color="auto"/>
              <w:bottom w:val="single" w:sz="4" w:space="0" w:color="auto"/>
              <w:right w:val="single" w:sz="4" w:space="0" w:color="auto"/>
            </w:tcBorders>
            <w:shd w:val="clear" w:color="auto" w:fill="auto"/>
          </w:tcPr>
          <w:p w14:paraId="48436616" w14:textId="77777777" w:rsidR="00CB7811" w:rsidRPr="008431F9" w:rsidRDefault="00CB7811" w:rsidP="00C24C23">
            <w:pPr>
              <w:pStyle w:val="Default"/>
              <w:jc w:val="both"/>
              <w:rPr>
                <w:rFonts w:cs="Calibri"/>
                <w:color w:val="000000" w:themeColor="text1"/>
                <w:sz w:val="18"/>
                <w:szCs w:val="18"/>
                <w:lang w:val="es-ES"/>
              </w:rPr>
            </w:pPr>
            <w:r w:rsidRPr="008431F9">
              <w:rPr>
                <w:rFonts w:cs="Calibri"/>
                <w:color w:val="000000" w:themeColor="text1"/>
                <w:sz w:val="18"/>
                <w:szCs w:val="18"/>
                <w:lang w:val="es-ES"/>
              </w:rPr>
              <w:t>3. La Comisión reitera asimismo la solicitud que formuló conforme al Artículo 25 de su Reglamento, de que Estados Unidos adopte las medidas necesarias para preservar la vida y la integridad física del señor Abdur’ Rahman mientras se cumplen las actuaciones del caso de autos, incluida la aplicación de las recomendaciones finales de la Comisión.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CB03913" w14:textId="77777777" w:rsidR="00CB7811" w:rsidRPr="008431F9" w:rsidRDefault="00CB7811" w:rsidP="00C24C23">
            <w:pPr>
              <w:jc w:val="center"/>
              <w:rPr>
                <w:rFonts w:ascii="Cambria" w:hAnsi="Cambria"/>
                <w:color w:val="000000" w:themeColor="text1"/>
                <w:sz w:val="18"/>
                <w:szCs w:val="18"/>
                <w:lang w:val="es-ES"/>
              </w:rPr>
            </w:pPr>
            <w:r w:rsidRPr="008431F9">
              <w:rPr>
                <w:rFonts w:ascii="Cambria" w:hAnsi="Cambria"/>
                <w:color w:val="000000" w:themeColor="text1"/>
                <w:sz w:val="18"/>
                <w:szCs w:val="18"/>
                <w:lang w:val="es-ES"/>
              </w:rPr>
              <w:t>Pendiente de cumplimiento</w:t>
            </w:r>
          </w:p>
        </w:tc>
      </w:tr>
    </w:tbl>
    <w:p w14:paraId="2E9D7476" w14:textId="77777777" w:rsidR="00CB7811" w:rsidRPr="008431F9" w:rsidRDefault="00CB7811" w:rsidP="00CB7811">
      <w:pPr>
        <w:jc w:val="both"/>
        <w:rPr>
          <w:rFonts w:ascii="Cambria" w:hAnsi="Cambria" w:cs="Calibri Light"/>
          <w:color w:val="000000" w:themeColor="text1"/>
          <w:sz w:val="20"/>
          <w:szCs w:val="20"/>
          <w:lang w:val="es-ES"/>
        </w:rPr>
      </w:pPr>
    </w:p>
    <w:p w14:paraId="69899507" w14:textId="77777777" w:rsidR="00CB7811" w:rsidRPr="008431F9" w:rsidRDefault="00CB7811" w:rsidP="00CB7811">
      <w:pPr>
        <w:numPr>
          <w:ilvl w:val="0"/>
          <w:numId w:val="8"/>
        </w:numPr>
        <w:ind w:left="1440"/>
        <w:contextualSpacing/>
        <w:jc w:val="both"/>
        <w:rPr>
          <w:rFonts w:ascii="Cambria" w:hAnsi="Cambria" w:cs="Calibri Light"/>
          <w:b/>
          <w:color w:val="000000" w:themeColor="text1"/>
          <w:sz w:val="20"/>
          <w:szCs w:val="20"/>
          <w:lang w:val="es-ES"/>
        </w:rPr>
      </w:pPr>
      <w:r w:rsidRPr="008431F9">
        <w:rPr>
          <w:rFonts w:ascii="Cambria" w:hAnsi="Cambria"/>
          <w:b/>
          <w:color w:val="000000" w:themeColor="text1"/>
          <w:sz w:val="20"/>
          <w:szCs w:val="20"/>
          <w:lang w:val="es-ES"/>
        </w:rPr>
        <w:t xml:space="preserve">Actividad procesal </w:t>
      </w:r>
    </w:p>
    <w:p w14:paraId="4CC4305C" w14:textId="77777777" w:rsidR="00B5086E" w:rsidRPr="008431F9" w:rsidRDefault="00B5086E" w:rsidP="00B5086E">
      <w:pPr>
        <w:rPr>
          <w:rFonts w:ascii="Cambria" w:hAnsi="Cambria" w:cs="Calibri Light"/>
          <w:color w:val="000000" w:themeColor="text1"/>
          <w:sz w:val="20"/>
          <w:szCs w:val="20"/>
          <w:lang w:val="es-ES"/>
        </w:rPr>
      </w:pPr>
      <w:bookmarkStart w:id="0" w:name="_Hlk57239069"/>
      <w:bookmarkStart w:id="1" w:name="_Hlk57247422"/>
    </w:p>
    <w:p w14:paraId="5D312F88" w14:textId="77777777" w:rsidR="00B5086E" w:rsidRPr="008431F9" w:rsidRDefault="00B5086E" w:rsidP="00B5086E">
      <w:pPr>
        <w:pStyle w:val="ListParagraph"/>
        <w:numPr>
          <w:ilvl w:val="0"/>
          <w:numId w:val="11"/>
        </w:numPr>
        <w:jc w:val="both"/>
        <w:rPr>
          <w:rFonts w:ascii="Cambria" w:hAnsi="Cambria" w:cs="Calibri Light"/>
          <w:color w:val="000000" w:themeColor="text1"/>
          <w:sz w:val="20"/>
          <w:szCs w:val="20"/>
          <w:lang w:val="es-ES"/>
        </w:rPr>
      </w:pPr>
      <w:r w:rsidRPr="008431F9">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8431F9">
        <w:rPr>
          <w:rFonts w:ascii="Cambria" w:hAnsi="Cambria"/>
          <w:color w:val="000000" w:themeColor="text1"/>
          <w:sz w:val="20"/>
          <w:szCs w:val="20"/>
          <w:lang w:val="es-ES"/>
        </w:rPr>
        <w:t>la Comisión no había recibido dicha información del Estado</w:t>
      </w:r>
    </w:p>
    <w:p w14:paraId="42F95F8E" w14:textId="77777777" w:rsidR="00B5086E" w:rsidRPr="008431F9" w:rsidRDefault="00B5086E" w:rsidP="00B5086E">
      <w:pPr>
        <w:pStyle w:val="ListParagraph"/>
        <w:rPr>
          <w:rFonts w:ascii="Cambria" w:hAnsi="Cambria" w:cs="Calibri Light"/>
          <w:color w:val="000000" w:themeColor="text1"/>
          <w:sz w:val="20"/>
          <w:szCs w:val="20"/>
          <w:lang w:val="es-ES"/>
        </w:rPr>
      </w:pPr>
    </w:p>
    <w:p w14:paraId="263D1DDF" w14:textId="18EB52A8" w:rsidR="00B5086E" w:rsidRPr="008431F9" w:rsidRDefault="00B5086E" w:rsidP="00B5086E">
      <w:pPr>
        <w:pStyle w:val="ListParagraph"/>
        <w:numPr>
          <w:ilvl w:val="0"/>
          <w:numId w:val="11"/>
        </w:numPr>
        <w:jc w:val="both"/>
        <w:rPr>
          <w:rFonts w:ascii="Cambria" w:hAnsi="Cambria" w:cs="Calibri Light"/>
          <w:color w:val="000000" w:themeColor="text1"/>
          <w:sz w:val="20"/>
          <w:szCs w:val="20"/>
          <w:lang w:val="es-ES"/>
        </w:rPr>
      </w:pPr>
      <w:r w:rsidRPr="008431F9">
        <w:rPr>
          <w:rFonts w:ascii="Cambria" w:hAnsi="Cambria" w:cs="Calibri Light"/>
          <w:color w:val="000000" w:themeColor="text1"/>
          <w:sz w:val="20"/>
          <w:szCs w:val="20"/>
          <w:lang w:val="es-ES"/>
        </w:rPr>
        <w:t xml:space="preserve">La CIDH </w:t>
      </w:r>
      <w:r w:rsidRPr="008431F9">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bookmarkEnd w:id="0"/>
    <w:bookmarkEnd w:id="1"/>
    <w:p w14:paraId="26712E23" w14:textId="77777777" w:rsidR="00CB7811" w:rsidRPr="008431F9" w:rsidRDefault="00CB7811" w:rsidP="00CB7811">
      <w:pPr>
        <w:pStyle w:val="ListParagraph"/>
        <w:rPr>
          <w:rFonts w:ascii="Cambria" w:hAnsi="Cambria" w:cs="Calibri Light"/>
          <w:color w:val="000000" w:themeColor="text1"/>
          <w:sz w:val="20"/>
          <w:szCs w:val="20"/>
          <w:lang w:val="es-ES"/>
        </w:rPr>
      </w:pPr>
    </w:p>
    <w:p w14:paraId="5F03C51D" w14:textId="77777777" w:rsidR="00CB7811" w:rsidRPr="008431F9" w:rsidRDefault="00CB7811" w:rsidP="00CB7811">
      <w:pPr>
        <w:rPr>
          <w:rFonts w:ascii="Cambria" w:hAnsi="Cambria"/>
          <w:color w:val="000000" w:themeColor="text1"/>
          <w:sz w:val="20"/>
          <w:szCs w:val="20"/>
          <w:lang w:val="es-ES"/>
        </w:rPr>
      </w:pPr>
    </w:p>
    <w:p w14:paraId="2EADBF8E" w14:textId="77777777" w:rsidR="00CB7811" w:rsidRPr="008431F9" w:rsidRDefault="00CB7811" w:rsidP="00CB7811">
      <w:pPr>
        <w:numPr>
          <w:ilvl w:val="0"/>
          <w:numId w:val="8"/>
        </w:numPr>
        <w:ind w:left="1440"/>
        <w:contextualSpacing/>
        <w:jc w:val="both"/>
        <w:rPr>
          <w:rFonts w:ascii="Cambria" w:hAnsi="Cambria" w:cs="Calibri Light"/>
          <w:b/>
          <w:color w:val="000000" w:themeColor="text1"/>
          <w:sz w:val="20"/>
          <w:szCs w:val="20"/>
          <w:lang w:val="es-ES"/>
        </w:rPr>
      </w:pPr>
      <w:r w:rsidRPr="008431F9">
        <w:rPr>
          <w:rFonts w:ascii="Cambria" w:hAnsi="Cambria" w:cs="Calibri Light"/>
          <w:b/>
          <w:color w:val="000000" w:themeColor="text1"/>
          <w:sz w:val="20"/>
          <w:szCs w:val="20"/>
          <w:lang w:val="es-ES"/>
        </w:rPr>
        <w:t>Análisis relativo a la información proporcionada</w:t>
      </w:r>
    </w:p>
    <w:p w14:paraId="5A9A7224" w14:textId="77777777" w:rsidR="00CB7811" w:rsidRPr="008431F9" w:rsidRDefault="00CB7811" w:rsidP="00CB7811">
      <w:pPr>
        <w:jc w:val="both"/>
        <w:rPr>
          <w:rFonts w:ascii="Cambria" w:hAnsi="Cambria" w:cs="Calibri Light"/>
          <w:color w:val="000000" w:themeColor="text1"/>
          <w:sz w:val="20"/>
          <w:szCs w:val="20"/>
          <w:lang w:val="es-ES"/>
        </w:rPr>
      </w:pPr>
    </w:p>
    <w:p w14:paraId="56DE8A95" w14:textId="1F685E99" w:rsidR="00B5086E" w:rsidRPr="008431F9" w:rsidRDefault="00B5086E" w:rsidP="00B5086E">
      <w:pPr>
        <w:pStyle w:val="ListParagraph"/>
        <w:numPr>
          <w:ilvl w:val="0"/>
          <w:numId w:val="11"/>
        </w:numPr>
        <w:jc w:val="both"/>
        <w:rPr>
          <w:color w:val="000000" w:themeColor="text1"/>
          <w:sz w:val="20"/>
          <w:szCs w:val="20"/>
          <w:lang w:val="es-ES"/>
        </w:rPr>
      </w:pPr>
      <w:r w:rsidRPr="008431F9">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2021.</w:t>
      </w:r>
    </w:p>
    <w:p w14:paraId="60211222" w14:textId="77777777" w:rsidR="00CB7811" w:rsidRPr="008431F9" w:rsidRDefault="00CB7811" w:rsidP="00CB7811">
      <w:pPr>
        <w:ind w:firstLine="720"/>
        <w:jc w:val="both"/>
        <w:rPr>
          <w:rFonts w:ascii="Cambria" w:hAnsi="Cambria" w:cs="Calibri Light"/>
          <w:color w:val="000000" w:themeColor="text1"/>
          <w:sz w:val="20"/>
          <w:szCs w:val="20"/>
          <w:lang w:val="es-ES"/>
        </w:rPr>
      </w:pPr>
    </w:p>
    <w:p w14:paraId="1283116F" w14:textId="36360B63" w:rsidR="00CB7811" w:rsidRPr="008431F9" w:rsidRDefault="00CB7811" w:rsidP="00CB7811">
      <w:pPr>
        <w:numPr>
          <w:ilvl w:val="0"/>
          <w:numId w:val="8"/>
        </w:numPr>
        <w:ind w:left="1440"/>
        <w:contextualSpacing/>
        <w:jc w:val="both"/>
        <w:rPr>
          <w:rFonts w:ascii="Cambria" w:hAnsi="Cambria" w:cs="Calibri Light"/>
          <w:b/>
          <w:color w:val="000000" w:themeColor="text1"/>
          <w:sz w:val="20"/>
          <w:szCs w:val="20"/>
          <w:lang w:val="es-ES"/>
        </w:rPr>
      </w:pPr>
      <w:r w:rsidRPr="008431F9">
        <w:rPr>
          <w:rFonts w:ascii="Cambria" w:hAnsi="Cambria" w:cs="Calibri Light"/>
          <w:b/>
          <w:color w:val="000000" w:themeColor="text1"/>
          <w:sz w:val="20"/>
          <w:szCs w:val="20"/>
          <w:lang w:val="es-ES"/>
        </w:rPr>
        <w:t>Análisis del cumplimiento de las recomendaciones</w:t>
      </w:r>
      <w:r w:rsidRPr="008431F9">
        <w:rPr>
          <w:rStyle w:val="FootnoteReference"/>
          <w:rFonts w:ascii="Cambria" w:hAnsi="Cambria" w:cs="Calibri Light"/>
          <w:b/>
          <w:bCs/>
          <w:color w:val="000000" w:themeColor="text1"/>
          <w:sz w:val="20"/>
          <w:szCs w:val="20"/>
          <w:lang w:val="es-ES"/>
        </w:rPr>
        <w:footnoteReference w:id="1"/>
      </w:r>
    </w:p>
    <w:p w14:paraId="6E97E085" w14:textId="77777777" w:rsidR="00CB7811" w:rsidRPr="008431F9" w:rsidRDefault="00CB7811" w:rsidP="00CB7811">
      <w:pPr>
        <w:jc w:val="both"/>
        <w:rPr>
          <w:rFonts w:ascii="Cambria" w:hAnsi="Cambria"/>
          <w:color w:val="000000" w:themeColor="text1"/>
          <w:sz w:val="20"/>
          <w:szCs w:val="20"/>
          <w:lang w:val="es-ES"/>
        </w:rPr>
      </w:pPr>
    </w:p>
    <w:p w14:paraId="1EAD935A" w14:textId="7E5BD902" w:rsidR="00CB7811" w:rsidRPr="008431F9" w:rsidRDefault="00CB7811" w:rsidP="00427A14">
      <w:pPr>
        <w:numPr>
          <w:ilvl w:val="0"/>
          <w:numId w:val="11"/>
        </w:numPr>
        <w:contextualSpacing/>
        <w:jc w:val="both"/>
        <w:rPr>
          <w:rFonts w:ascii="Cambria" w:hAnsi="Cambria"/>
          <w:color w:val="000000" w:themeColor="text1"/>
          <w:sz w:val="20"/>
          <w:szCs w:val="20"/>
          <w:lang w:val="es-ES"/>
        </w:rPr>
      </w:pPr>
      <w:r w:rsidRPr="008431F9">
        <w:rPr>
          <w:rFonts w:ascii="Cambria" w:hAnsi="Cambria"/>
          <w:b/>
          <w:color w:val="000000" w:themeColor="text1"/>
          <w:sz w:val="20"/>
          <w:szCs w:val="20"/>
          <w:lang w:val="es-ES"/>
        </w:rPr>
        <w:t>Con relación a la primera recomendación</w:t>
      </w:r>
      <w:r w:rsidRPr="008431F9">
        <w:rPr>
          <w:rFonts w:ascii="Cambria" w:hAnsi="Cambria"/>
          <w:color w:val="000000" w:themeColor="text1"/>
          <w:sz w:val="20"/>
          <w:szCs w:val="20"/>
          <w:lang w:val="es-ES"/>
        </w:rPr>
        <w:t xml:space="preserve">, en 2015, </w:t>
      </w:r>
      <w:r w:rsidRPr="008431F9">
        <w:rPr>
          <w:rFonts w:ascii="Cambria" w:eastAsia="MS Mincho" w:hAnsi="Cambria"/>
          <w:color w:val="000000" w:themeColor="text1"/>
          <w:sz w:val="20"/>
          <w:szCs w:val="20"/>
          <w:lang w:val="es-ES"/>
        </w:rPr>
        <w:t>Estado indicó que el 13 de abril de 2015, la Corte Suprema de Tennessee suspendió la ejecución del señor Rahman que estaba agendada para el 6 de octubre de 2015 mientras las cortes deciden la constitucionalidad del uso de la inyección letal y la silla eléctrica.</w:t>
      </w:r>
      <w:r w:rsidRPr="008431F9">
        <w:rPr>
          <w:rStyle w:val="FootnoteReference"/>
          <w:rFonts w:ascii="Cambria" w:eastAsia="MS Mincho" w:hAnsi="Cambria"/>
          <w:color w:val="000000" w:themeColor="text1"/>
          <w:sz w:val="20"/>
          <w:szCs w:val="20"/>
          <w:lang w:val="es-ES"/>
        </w:rPr>
        <w:footnoteReference w:id="2"/>
      </w:r>
      <w:r w:rsidRPr="008431F9">
        <w:rPr>
          <w:rFonts w:ascii="Cambria" w:hAnsi="Cambria" w:cs="Calibri Light"/>
          <w:color w:val="000000" w:themeColor="text1"/>
          <w:sz w:val="20"/>
          <w:szCs w:val="20"/>
          <w:lang w:val="es-ES"/>
        </w:rPr>
        <w:t xml:space="preserve"> En las cartas remitidas a la Comisión el  2019 y 2020, el Estado informó que no tenía observaciones adicionales con respecto a desarrollos relativos al caso, y remitió a la Comisión a sus memoriales previos en este caso, a sus presentaciones en las audiencias relevantes, y al resto de su correspondencia relevante, reiterando así sus respuestas anteriores</w:t>
      </w:r>
      <w:r w:rsidRPr="008431F9">
        <w:rPr>
          <w:rFonts w:ascii="Cambria" w:hAnsi="Cambria"/>
          <w:color w:val="000000" w:themeColor="text1"/>
          <w:sz w:val="20"/>
          <w:szCs w:val="20"/>
          <w:lang w:val="es-ES"/>
        </w:rPr>
        <w:t>. En 2021 el Estado informó que, el 9 de noviembre de 2021, el Corte Criminal del Condado de Davidson emitió una orden que anuló la condena de Abdur'Rahman en 1987, quien aceptó un acuerdo de culpabilidad negociado entre los fiscales locales. Así, la defensa retiró la pena de muerte como sanción del caso para Abdur'Rahman.</w:t>
      </w:r>
    </w:p>
    <w:p w14:paraId="03FAAB41" w14:textId="77777777" w:rsidR="00CB7811" w:rsidRPr="008431F9" w:rsidRDefault="00CB7811" w:rsidP="00CB7811">
      <w:pPr>
        <w:ind w:firstLine="720"/>
        <w:jc w:val="both"/>
        <w:rPr>
          <w:rFonts w:ascii="Cambria" w:hAnsi="Cambria"/>
          <w:color w:val="000000" w:themeColor="text1"/>
          <w:sz w:val="20"/>
          <w:szCs w:val="20"/>
          <w:lang w:val="es-ES"/>
        </w:rPr>
      </w:pPr>
    </w:p>
    <w:p w14:paraId="4288A1FF" w14:textId="77777777" w:rsidR="00CB7811" w:rsidRPr="008431F9" w:rsidRDefault="00CB7811" w:rsidP="00CB7811">
      <w:pPr>
        <w:numPr>
          <w:ilvl w:val="0"/>
          <w:numId w:val="11"/>
        </w:numPr>
        <w:contextualSpacing/>
        <w:jc w:val="both"/>
        <w:rPr>
          <w:rFonts w:ascii="Cambria" w:hAnsi="Cambria"/>
          <w:color w:val="000000" w:themeColor="text1"/>
          <w:sz w:val="20"/>
          <w:szCs w:val="20"/>
          <w:lang w:val="es-ES"/>
        </w:rPr>
      </w:pPr>
      <w:r w:rsidRPr="008431F9">
        <w:rPr>
          <w:rFonts w:ascii="Cambria" w:hAnsi="Cambria"/>
          <w:color w:val="000000" w:themeColor="text1"/>
          <w:sz w:val="20"/>
          <w:szCs w:val="20"/>
          <w:lang w:val="es-ES"/>
        </w:rPr>
        <w:t xml:space="preserve">En 2019, los peticionarios informaron que la Corte Suprema del estado de Tennessee había inicialmente establecido la fecha de ejecución del señor Abdur’Rahman para el 9 de abril de 2020 y que, recientemente, dicha corte había modificado la fecha de la ejecución para el 16 de abril de 2020. Asimismo, indicaron que el 6 de noviembre de 2018, se había presentado una petición de indulto a nombre del señor Abdur’Rahman ante el gobernador de Tennessee, Bill Haslam, en la cual se le solicitaba que conmutara la pena de muerte del señor Abdur’Rahman a cadena perpetua sin posibilidad de libertad condicional. Al respecto, los peticionarios informaron que al final de la administración del Gobernador Haslam, su abogado les notificó que la solicitud de indulto no sería concedida en ese momento, pero sería pasada al próximo Gobernador, el señor Bill Lee. Según los peticionarios, hasta el momento, el nuevo Gobernador no ha tomado ninguna medida en relación a la solicitud de indulto. Los peticionarios informaron que planean enviar una solicitud de indulto suplementaria al Gobernador Lee antes de que termine el año 2019. </w:t>
      </w:r>
    </w:p>
    <w:p w14:paraId="0EBB951F" w14:textId="77777777" w:rsidR="00CB7811" w:rsidRPr="008431F9" w:rsidRDefault="00CB7811" w:rsidP="00CB7811">
      <w:pPr>
        <w:jc w:val="both"/>
        <w:rPr>
          <w:rFonts w:ascii="Cambria" w:hAnsi="Cambria"/>
          <w:color w:val="000000" w:themeColor="text1"/>
          <w:sz w:val="20"/>
          <w:szCs w:val="20"/>
          <w:lang w:val="es-ES"/>
        </w:rPr>
      </w:pPr>
    </w:p>
    <w:p w14:paraId="4D5485CD" w14:textId="77777777" w:rsidR="00CB7811" w:rsidRPr="008431F9" w:rsidRDefault="00CB7811" w:rsidP="00CB7811">
      <w:pPr>
        <w:numPr>
          <w:ilvl w:val="0"/>
          <w:numId w:val="11"/>
        </w:numPr>
        <w:contextualSpacing/>
        <w:jc w:val="both"/>
        <w:rPr>
          <w:rFonts w:ascii="Cambria" w:hAnsi="Cambria"/>
          <w:color w:val="000000" w:themeColor="text1"/>
          <w:sz w:val="20"/>
          <w:szCs w:val="20"/>
          <w:lang w:val="es-ES"/>
        </w:rPr>
      </w:pPr>
      <w:r w:rsidRPr="008431F9">
        <w:rPr>
          <w:rFonts w:ascii="Cambria" w:hAnsi="Cambria"/>
          <w:color w:val="000000" w:themeColor="text1"/>
          <w:sz w:val="20"/>
          <w:szCs w:val="20"/>
          <w:lang w:val="es-ES"/>
        </w:rPr>
        <w:t>La Comisión valora positivamente la decisión de la Corte Criminal del Condado de Davidson en el sentido de anular la pena de muerte del señor Abdur’Rahman, así como el acuerdo entre los fiscales del caso y la defensa.  Sin perjuicio de lo anterior, no existe información respecto de si este acuerdo supone un nuevo proceso o en su caso, si el señor Abdur'Rahman se encuentra en libertad. La Comisión insta al Estado a remitir información actualizada a este respecto. En tanto, la Comisión considera que la Recomendación 1 tiene un cumplimiento parcial sustancial.</w:t>
      </w:r>
    </w:p>
    <w:p w14:paraId="3E9DE483" w14:textId="77777777" w:rsidR="00CB7811" w:rsidRPr="008431F9" w:rsidRDefault="00CB7811" w:rsidP="00CB7811">
      <w:pPr>
        <w:ind w:left="720"/>
        <w:contextualSpacing/>
        <w:jc w:val="both"/>
        <w:rPr>
          <w:rFonts w:ascii="Cambria" w:hAnsi="Cambria"/>
          <w:color w:val="000000" w:themeColor="text1"/>
          <w:sz w:val="20"/>
          <w:szCs w:val="20"/>
          <w:lang w:val="es-ES"/>
        </w:rPr>
      </w:pPr>
    </w:p>
    <w:p w14:paraId="4A5443AA" w14:textId="77777777" w:rsidR="00CB7811" w:rsidRPr="008431F9" w:rsidRDefault="00CB7811" w:rsidP="00CB7811">
      <w:pPr>
        <w:numPr>
          <w:ilvl w:val="0"/>
          <w:numId w:val="11"/>
        </w:numPr>
        <w:contextualSpacing/>
        <w:jc w:val="both"/>
        <w:rPr>
          <w:rFonts w:ascii="Cambria" w:hAnsi="Cambria"/>
          <w:color w:val="000000" w:themeColor="text1"/>
          <w:sz w:val="20"/>
          <w:szCs w:val="20"/>
          <w:lang w:val="es-ES"/>
        </w:rPr>
      </w:pPr>
      <w:r w:rsidRPr="008431F9">
        <w:rPr>
          <w:rFonts w:ascii="Cambria" w:hAnsi="Cambria"/>
          <w:b/>
          <w:color w:val="000000" w:themeColor="text1"/>
          <w:sz w:val="20"/>
          <w:szCs w:val="20"/>
          <w:lang w:val="es-ES"/>
        </w:rPr>
        <w:t>En relación con la segunda recomendación</w:t>
      </w:r>
      <w:r w:rsidRPr="008431F9">
        <w:rPr>
          <w:rFonts w:ascii="Cambria" w:hAnsi="Cambria"/>
          <w:color w:val="000000" w:themeColor="text1"/>
          <w:sz w:val="20"/>
          <w:szCs w:val="20"/>
          <w:lang w:val="es-ES"/>
        </w:rPr>
        <w:t xml:space="preserve">, en 2020, el Estado </w:t>
      </w:r>
      <w:r w:rsidRPr="008431F9">
        <w:rPr>
          <w:rFonts w:ascii="Cambria" w:eastAsia="MS Mincho" w:hAnsi="Cambria"/>
          <w:color w:val="000000" w:themeColor="text1"/>
          <w:sz w:val="20"/>
          <w:szCs w:val="20"/>
          <w:lang w:val="es-ES"/>
        </w:rPr>
        <w:t>reiteró sus respuestas anteriores sobre este informe de fondo, sin indicar esfuerzo alguno emprendido este año a fin de cumplir con las recomendaciones de la CIDH</w:t>
      </w:r>
      <w:r w:rsidRPr="008431F9">
        <w:rPr>
          <w:rFonts w:ascii="Cambria" w:hAnsi="Cambria"/>
          <w:color w:val="000000" w:themeColor="text1"/>
          <w:sz w:val="20"/>
          <w:szCs w:val="20"/>
          <w:lang w:val="es-ES"/>
        </w:rPr>
        <w:t>.</w:t>
      </w:r>
    </w:p>
    <w:p w14:paraId="1DB4B4F0" w14:textId="77777777" w:rsidR="00CB7811" w:rsidRPr="008431F9" w:rsidRDefault="00CB7811" w:rsidP="00CB7811">
      <w:pPr>
        <w:ind w:firstLine="720"/>
        <w:jc w:val="both"/>
        <w:rPr>
          <w:rFonts w:ascii="Cambria" w:hAnsi="Cambria"/>
          <w:color w:val="000000" w:themeColor="text1"/>
          <w:sz w:val="20"/>
          <w:szCs w:val="20"/>
          <w:lang w:val="es-ES"/>
        </w:rPr>
      </w:pPr>
    </w:p>
    <w:p w14:paraId="388E2F68" w14:textId="77777777" w:rsidR="00CB7811" w:rsidRPr="008431F9" w:rsidRDefault="00CB7811" w:rsidP="00CB7811">
      <w:pPr>
        <w:numPr>
          <w:ilvl w:val="0"/>
          <w:numId w:val="11"/>
        </w:numPr>
        <w:contextualSpacing/>
        <w:jc w:val="both"/>
        <w:rPr>
          <w:rFonts w:ascii="Cambria" w:hAnsi="Cambria"/>
          <w:color w:val="000000" w:themeColor="text1"/>
          <w:sz w:val="20"/>
          <w:szCs w:val="20"/>
          <w:lang w:val="es-ES"/>
        </w:rPr>
      </w:pPr>
      <w:r w:rsidRPr="008431F9">
        <w:rPr>
          <w:rFonts w:ascii="Cambria" w:hAnsi="Cambria"/>
          <w:color w:val="000000" w:themeColor="text1"/>
          <w:sz w:val="20"/>
          <w:szCs w:val="20"/>
          <w:lang w:val="es-ES"/>
        </w:rPr>
        <w:t xml:space="preserve">En 2019, el peticionario informó que ni los Estados Unidos ni el estado de Tennessee habían tomado medidas para cumplir esta recomendación. </w:t>
      </w:r>
    </w:p>
    <w:p w14:paraId="41BD88EA" w14:textId="77777777" w:rsidR="00CB7811" w:rsidRPr="008431F9" w:rsidRDefault="00CB7811" w:rsidP="00CB7811">
      <w:pPr>
        <w:ind w:firstLine="720"/>
        <w:jc w:val="both"/>
        <w:rPr>
          <w:rFonts w:ascii="Cambria" w:hAnsi="Cambria"/>
          <w:color w:val="000000" w:themeColor="text1"/>
          <w:sz w:val="20"/>
          <w:szCs w:val="20"/>
          <w:lang w:val="es-ES"/>
        </w:rPr>
      </w:pPr>
    </w:p>
    <w:p w14:paraId="1F3A5493" w14:textId="77777777" w:rsidR="00CB7811" w:rsidRPr="008431F9" w:rsidRDefault="00CB7811" w:rsidP="00CB7811">
      <w:pPr>
        <w:numPr>
          <w:ilvl w:val="0"/>
          <w:numId w:val="11"/>
        </w:numPr>
        <w:contextualSpacing/>
        <w:jc w:val="both"/>
        <w:rPr>
          <w:rFonts w:ascii="Cambria" w:hAnsi="Cambria"/>
          <w:color w:val="000000" w:themeColor="text1"/>
          <w:sz w:val="20"/>
          <w:szCs w:val="20"/>
          <w:lang w:val="es-ES"/>
        </w:rPr>
      </w:pPr>
      <w:r w:rsidRPr="008431F9">
        <w:rPr>
          <w:rFonts w:ascii="Cambria" w:hAnsi="Cambria"/>
          <w:color w:val="000000" w:themeColor="text1"/>
          <w:sz w:val="20"/>
          <w:szCs w:val="20"/>
          <w:lang w:val="es-ES"/>
        </w:rPr>
        <w:t>La Comisión hace un llamado al Estado a revisar sus leyes, procedimientos y prácticas con el fin de asegurar que las personas acusadas de delitos penados con pena de muerte sean juzgadas y, si son declaradas culpables, sean condenadas de conformidad con los derechos consagrados en la Declaración Americana, incluyendo el derecho a que se les garantice asistencia jurídica competente y efectiva. Por lo anterior, la Comisión concluye que la Recomendación 2 está pendiente de cumplimiento.</w:t>
      </w:r>
    </w:p>
    <w:p w14:paraId="1BCB3D88" w14:textId="77777777" w:rsidR="00CB7811" w:rsidRPr="008431F9" w:rsidRDefault="00CB7811" w:rsidP="00CB7811">
      <w:pPr>
        <w:rPr>
          <w:rFonts w:ascii="Cambria" w:hAnsi="Cambria"/>
          <w:b/>
          <w:color w:val="000000" w:themeColor="text1"/>
          <w:sz w:val="20"/>
          <w:szCs w:val="20"/>
          <w:lang w:val="es-ES"/>
        </w:rPr>
      </w:pPr>
    </w:p>
    <w:p w14:paraId="5F0451BD" w14:textId="77777777" w:rsidR="00CB7811" w:rsidRPr="008431F9" w:rsidRDefault="00CB7811" w:rsidP="00CB7811">
      <w:pPr>
        <w:numPr>
          <w:ilvl w:val="0"/>
          <w:numId w:val="11"/>
        </w:numPr>
        <w:contextualSpacing/>
        <w:jc w:val="both"/>
        <w:rPr>
          <w:rFonts w:ascii="Cambria" w:hAnsi="Cambria"/>
          <w:color w:val="000000" w:themeColor="text1"/>
          <w:sz w:val="20"/>
          <w:szCs w:val="20"/>
          <w:lang w:val="es-ES"/>
        </w:rPr>
      </w:pPr>
      <w:r w:rsidRPr="008431F9">
        <w:rPr>
          <w:rFonts w:ascii="Cambria" w:hAnsi="Cambria"/>
          <w:b/>
          <w:color w:val="000000" w:themeColor="text1"/>
          <w:sz w:val="20"/>
          <w:szCs w:val="20"/>
          <w:lang w:val="es-ES"/>
        </w:rPr>
        <w:t>En relación con la tercera recomendación</w:t>
      </w:r>
      <w:r w:rsidRPr="008431F9">
        <w:rPr>
          <w:rFonts w:ascii="Cambria" w:hAnsi="Cambria"/>
          <w:color w:val="000000" w:themeColor="text1"/>
          <w:sz w:val="20"/>
          <w:szCs w:val="20"/>
          <w:lang w:val="es-ES"/>
        </w:rPr>
        <w:t xml:space="preserve">, en 2020 el Estado </w:t>
      </w:r>
      <w:r w:rsidRPr="008431F9">
        <w:rPr>
          <w:rFonts w:ascii="Cambria" w:eastAsia="MS Mincho" w:hAnsi="Cambria"/>
          <w:color w:val="000000" w:themeColor="text1"/>
          <w:sz w:val="20"/>
          <w:szCs w:val="20"/>
          <w:lang w:val="es-ES"/>
        </w:rPr>
        <w:t>reiteró sus respuestas anteriores sobre este informe de fondo, sin indicar esfuerzo alguno emprendido este año a fin de cumplir con las recomendaciones de la CIDH</w:t>
      </w:r>
      <w:r w:rsidRPr="008431F9">
        <w:rPr>
          <w:rFonts w:ascii="Cambria" w:hAnsi="Cambria"/>
          <w:color w:val="000000" w:themeColor="text1"/>
          <w:sz w:val="20"/>
          <w:szCs w:val="20"/>
          <w:lang w:val="es-ES"/>
        </w:rPr>
        <w:t>.</w:t>
      </w:r>
    </w:p>
    <w:p w14:paraId="43C09681" w14:textId="77777777" w:rsidR="00CB7811" w:rsidRPr="008431F9" w:rsidRDefault="00CB7811" w:rsidP="00CB7811">
      <w:pPr>
        <w:ind w:firstLine="720"/>
        <w:rPr>
          <w:rFonts w:ascii="Cambria" w:hAnsi="Cambria"/>
          <w:color w:val="000000" w:themeColor="text1"/>
          <w:sz w:val="20"/>
          <w:szCs w:val="20"/>
          <w:lang w:val="es-ES"/>
        </w:rPr>
      </w:pPr>
    </w:p>
    <w:p w14:paraId="4E5A9A58" w14:textId="77777777" w:rsidR="00CB7811" w:rsidRPr="008431F9" w:rsidRDefault="00CB7811" w:rsidP="00CB7811">
      <w:pPr>
        <w:numPr>
          <w:ilvl w:val="0"/>
          <w:numId w:val="11"/>
        </w:numPr>
        <w:contextualSpacing/>
        <w:jc w:val="both"/>
        <w:rPr>
          <w:rFonts w:ascii="Cambria" w:hAnsi="Cambria"/>
          <w:color w:val="000000" w:themeColor="text1"/>
          <w:sz w:val="20"/>
          <w:szCs w:val="20"/>
          <w:lang w:val="es-ES"/>
        </w:rPr>
      </w:pPr>
      <w:r w:rsidRPr="008431F9">
        <w:rPr>
          <w:rFonts w:ascii="Cambria" w:hAnsi="Cambria"/>
          <w:color w:val="000000" w:themeColor="text1"/>
          <w:sz w:val="20"/>
          <w:szCs w:val="20"/>
          <w:lang w:val="es-ES"/>
        </w:rPr>
        <w:t>En 2019, el peticionario</w:t>
      </w:r>
      <w:r w:rsidRPr="008431F9">
        <w:rPr>
          <w:rFonts w:ascii="Cambria" w:hAnsi="Cambria" w:cs="Calibri Light"/>
          <w:color w:val="000000" w:themeColor="text1"/>
          <w:sz w:val="20"/>
          <w:szCs w:val="20"/>
          <w:lang w:val="es-ES"/>
        </w:rPr>
        <w:t xml:space="preserve"> </w:t>
      </w:r>
      <w:r w:rsidRPr="008431F9">
        <w:rPr>
          <w:rFonts w:ascii="Cambria" w:hAnsi="Cambria"/>
          <w:color w:val="000000" w:themeColor="text1"/>
          <w:sz w:val="20"/>
          <w:szCs w:val="20"/>
          <w:lang w:val="es-ES"/>
        </w:rPr>
        <w:t xml:space="preserve">informó que se había fijado la fecha de la ejecución del señor Abdur’Rahman para el 16 de abril de 2020. Agregó que ni los Estados Unidos ni el estado de Tennessee habían tomado medida alguna para cumplir las recomendaciones formuladas en el Informe de Fondo Nº 13/14.  </w:t>
      </w:r>
    </w:p>
    <w:p w14:paraId="04E006C0" w14:textId="77777777" w:rsidR="00CB7811" w:rsidRPr="008431F9" w:rsidRDefault="00CB7811" w:rsidP="00CB7811">
      <w:pPr>
        <w:ind w:left="720"/>
        <w:contextualSpacing/>
        <w:jc w:val="both"/>
        <w:rPr>
          <w:rFonts w:ascii="Cambria" w:hAnsi="Cambria"/>
          <w:color w:val="000000" w:themeColor="text1"/>
          <w:sz w:val="20"/>
          <w:szCs w:val="20"/>
          <w:lang w:val="es-ES"/>
        </w:rPr>
      </w:pPr>
    </w:p>
    <w:p w14:paraId="216FB2FE" w14:textId="77777777" w:rsidR="00CB7811" w:rsidRPr="008431F9" w:rsidRDefault="00CB7811" w:rsidP="00CB7811">
      <w:pPr>
        <w:numPr>
          <w:ilvl w:val="0"/>
          <w:numId w:val="11"/>
        </w:numPr>
        <w:contextualSpacing/>
        <w:jc w:val="both"/>
        <w:rPr>
          <w:rFonts w:ascii="Cambria" w:hAnsi="Cambria"/>
          <w:color w:val="000000" w:themeColor="text1"/>
          <w:sz w:val="20"/>
          <w:szCs w:val="20"/>
          <w:lang w:val="es-ES"/>
        </w:rPr>
      </w:pPr>
      <w:r w:rsidRPr="008431F9">
        <w:rPr>
          <w:rFonts w:ascii="Cambria" w:hAnsi="Cambria"/>
          <w:color w:val="000000" w:themeColor="text1"/>
          <w:sz w:val="20"/>
          <w:szCs w:val="20"/>
          <w:lang w:val="es-ES"/>
        </w:rPr>
        <w:t>La Comisión tomó conocimiento, de fuente públicas, que en agosto del 2019, la víctima y el Fiscal de Distrito de Nashville llegaron a un acuerdo, aprobado posteriormente por el Juez Monte Watkins de la Corte Criminal del Condado de Davidson, para conmutar la pena de muerto del señor Abdur’Rahman a tres cadenas perpetuas en prisión.</w:t>
      </w:r>
      <w:r w:rsidRPr="008431F9">
        <w:rPr>
          <w:rStyle w:val="FootnoteReference"/>
          <w:rFonts w:ascii="Cambria" w:hAnsi="Cambria"/>
          <w:color w:val="000000" w:themeColor="text1"/>
          <w:sz w:val="20"/>
          <w:szCs w:val="18"/>
        </w:rPr>
        <w:footnoteReference w:id="3"/>
      </w:r>
      <w:r w:rsidRPr="008431F9">
        <w:rPr>
          <w:rFonts w:ascii="Cambria" w:hAnsi="Cambria"/>
          <w:color w:val="000000" w:themeColor="text1"/>
          <w:sz w:val="20"/>
          <w:szCs w:val="20"/>
          <w:lang w:val="es-ES"/>
        </w:rPr>
        <w:t xml:space="preserve"> La decisión de la corte de juicio fue apelada por el Fiscal General de Tennessee y fue revertida por la Corte Criminal de Apelaciones, colocando a la víctima en la misma posición legal que tenía en la audiencia probatoria del 28 de agosto de 2019.</w:t>
      </w:r>
    </w:p>
    <w:p w14:paraId="55327970" w14:textId="77777777" w:rsidR="00CB7811" w:rsidRPr="008431F9" w:rsidRDefault="00CB7811" w:rsidP="00CB7811">
      <w:pPr>
        <w:ind w:left="720"/>
        <w:contextualSpacing/>
        <w:jc w:val="both"/>
        <w:rPr>
          <w:rFonts w:ascii="Cambria" w:hAnsi="Cambria"/>
          <w:color w:val="000000" w:themeColor="text1"/>
          <w:sz w:val="20"/>
          <w:szCs w:val="20"/>
          <w:lang w:val="es-ES"/>
        </w:rPr>
      </w:pPr>
    </w:p>
    <w:p w14:paraId="0C699C40" w14:textId="77777777" w:rsidR="00CB7811" w:rsidRPr="008431F9" w:rsidRDefault="00CB7811" w:rsidP="00CB7811">
      <w:pPr>
        <w:numPr>
          <w:ilvl w:val="0"/>
          <w:numId w:val="11"/>
        </w:numPr>
        <w:contextualSpacing/>
        <w:jc w:val="both"/>
        <w:rPr>
          <w:rFonts w:ascii="Cambria" w:hAnsi="Cambria"/>
          <w:color w:val="000000" w:themeColor="text1"/>
          <w:sz w:val="20"/>
          <w:szCs w:val="20"/>
          <w:lang w:val="es-ES"/>
        </w:rPr>
      </w:pPr>
      <w:r w:rsidRPr="008431F9">
        <w:rPr>
          <w:rFonts w:ascii="Cambria" w:hAnsi="Cambria"/>
          <w:color w:val="000000" w:themeColor="text1"/>
          <w:sz w:val="20"/>
          <w:szCs w:val="20"/>
          <w:lang w:val="es-ES"/>
        </w:rPr>
        <w:t>La Comisión llama al Estado a adoptar todas las medidas necesarias para garantizar que la ejecución no tenga lugar, mientras las partes concluyen los procedimientos para la nueva presentación del acuerdo de cumplimiento. Por lo tanto, la CIDH continuará supervisando este caso para evaluar en qué medida se celebra el acuerdo y para considerar acciones adicionales asumidas por el Estado para salvaguardar la integridad física de la víctima. Con base a ello, la Comisión considera que la Recomendación 3 está pendiente de cumplimiento.</w:t>
      </w:r>
    </w:p>
    <w:p w14:paraId="4A9BFF91" w14:textId="77777777" w:rsidR="00CB7811" w:rsidRPr="008431F9" w:rsidRDefault="00CB7811" w:rsidP="00CB7811">
      <w:pPr>
        <w:jc w:val="both"/>
        <w:rPr>
          <w:rFonts w:ascii="Cambria" w:hAnsi="Cambria" w:cs="Calibri Light"/>
          <w:color w:val="000000" w:themeColor="text1"/>
          <w:sz w:val="20"/>
          <w:szCs w:val="20"/>
          <w:lang w:val="es-ES"/>
        </w:rPr>
      </w:pPr>
    </w:p>
    <w:p w14:paraId="5DA83FFB" w14:textId="77777777" w:rsidR="00CB7811" w:rsidRPr="008431F9" w:rsidRDefault="00CB7811" w:rsidP="00CB7811">
      <w:pPr>
        <w:numPr>
          <w:ilvl w:val="0"/>
          <w:numId w:val="8"/>
        </w:numPr>
        <w:ind w:left="1440"/>
        <w:contextualSpacing/>
        <w:jc w:val="both"/>
        <w:rPr>
          <w:rFonts w:ascii="Cambria" w:hAnsi="Cambria" w:cs="Calibri Light"/>
          <w:b/>
          <w:color w:val="000000" w:themeColor="text1"/>
          <w:sz w:val="20"/>
          <w:szCs w:val="20"/>
          <w:lang w:val="es-ES"/>
        </w:rPr>
      </w:pPr>
      <w:r w:rsidRPr="008431F9">
        <w:rPr>
          <w:rFonts w:ascii="Cambria" w:hAnsi="Cambria" w:cs="Calibri Light"/>
          <w:b/>
          <w:color w:val="000000" w:themeColor="text1"/>
          <w:sz w:val="20"/>
          <w:szCs w:val="20"/>
          <w:lang w:val="es-ES"/>
        </w:rPr>
        <w:t xml:space="preserve">Nivel de cumplimiento del caso   </w:t>
      </w:r>
    </w:p>
    <w:p w14:paraId="1AAB6604" w14:textId="77777777" w:rsidR="00CB7811" w:rsidRPr="008431F9" w:rsidRDefault="00CB7811" w:rsidP="00CB7811">
      <w:pPr>
        <w:jc w:val="both"/>
        <w:rPr>
          <w:rFonts w:ascii="Cambria" w:hAnsi="Cambria" w:cs="Calibri Light"/>
          <w:color w:val="000000" w:themeColor="text1"/>
          <w:sz w:val="20"/>
          <w:szCs w:val="20"/>
          <w:lang w:val="es-ES"/>
        </w:rPr>
      </w:pPr>
    </w:p>
    <w:p w14:paraId="3C755529" w14:textId="77777777" w:rsidR="00CB7811" w:rsidRPr="008431F9" w:rsidRDefault="00CB7811" w:rsidP="00CB7811">
      <w:pPr>
        <w:numPr>
          <w:ilvl w:val="0"/>
          <w:numId w:val="11"/>
        </w:numPr>
        <w:contextualSpacing/>
        <w:jc w:val="both"/>
        <w:rPr>
          <w:rFonts w:ascii="Cambria" w:hAnsi="Cambria" w:cs="Calibri Light"/>
          <w:color w:val="000000" w:themeColor="text1"/>
          <w:sz w:val="20"/>
          <w:szCs w:val="20"/>
          <w:lang w:val="es-ES"/>
        </w:rPr>
      </w:pPr>
      <w:r w:rsidRPr="008431F9">
        <w:rPr>
          <w:rFonts w:ascii="Cambria" w:hAnsi="Cambria" w:cs="Calibri Light"/>
          <w:color w:val="000000" w:themeColor="text1"/>
          <w:sz w:val="20"/>
          <w:szCs w:val="20"/>
          <w:lang w:val="es-ES"/>
        </w:rPr>
        <w:t xml:space="preserve">La Comisión insta al Estado a que adopte las acciones necesarias para implementar las recomendaciones emitidas en el Informe de Fondo Nº </w:t>
      </w:r>
      <w:r w:rsidRPr="008431F9">
        <w:rPr>
          <w:rFonts w:ascii="Cambria" w:hAnsi="Cambria"/>
          <w:color w:val="000000" w:themeColor="text1"/>
          <w:sz w:val="20"/>
          <w:szCs w:val="20"/>
          <w:lang w:val="es-ES"/>
        </w:rPr>
        <w:t>13/14</w:t>
      </w:r>
      <w:r w:rsidRPr="008431F9">
        <w:rPr>
          <w:rFonts w:ascii="Cambria" w:hAnsi="Cambria" w:cs="Calibri Light"/>
          <w:color w:val="000000" w:themeColor="text1"/>
          <w:sz w:val="20"/>
          <w:szCs w:val="20"/>
          <w:lang w:val="es-ES"/>
        </w:rPr>
        <w:t xml:space="preserve">. Además, la Comisión insta al Estado a presentar información detallada y actualizada sobre dichas acciones. </w:t>
      </w:r>
      <w:r w:rsidRPr="008431F9">
        <w:rPr>
          <w:rFonts w:ascii="Cambria" w:hAnsi="Cambria"/>
          <w:color w:val="000000" w:themeColor="text1"/>
          <w:sz w:val="20"/>
          <w:szCs w:val="20"/>
          <w:lang w:val="es-ES"/>
        </w:rPr>
        <w:t>La Comisión recuerda al Estado que, si lleva a cabo la ejecución del señor Abdur’Rahman, cometería una violación grave e irreparable del derecho básico a la vida reconocido en el artículo I de la Declaración Americana.</w:t>
      </w:r>
    </w:p>
    <w:p w14:paraId="7C50D816" w14:textId="77777777" w:rsidR="00CB7811" w:rsidRPr="008431F9" w:rsidRDefault="00CB7811" w:rsidP="00CB7811">
      <w:pPr>
        <w:ind w:left="720"/>
        <w:contextualSpacing/>
        <w:jc w:val="both"/>
        <w:rPr>
          <w:rFonts w:ascii="Cambria" w:hAnsi="Cambria" w:cs="Calibri Light"/>
          <w:color w:val="000000" w:themeColor="text1"/>
          <w:sz w:val="20"/>
          <w:szCs w:val="20"/>
          <w:lang w:val="es-ES"/>
        </w:rPr>
      </w:pPr>
    </w:p>
    <w:p w14:paraId="447ECE29" w14:textId="46785909" w:rsidR="00CB7811" w:rsidRPr="008431F9" w:rsidRDefault="00CB7811" w:rsidP="00CB7811">
      <w:pPr>
        <w:numPr>
          <w:ilvl w:val="0"/>
          <w:numId w:val="11"/>
        </w:numPr>
        <w:contextualSpacing/>
        <w:jc w:val="both"/>
        <w:rPr>
          <w:rFonts w:ascii="Cambria" w:hAnsi="Cambria" w:cs="Calibri Light"/>
          <w:color w:val="000000" w:themeColor="text1"/>
          <w:sz w:val="20"/>
          <w:szCs w:val="20"/>
          <w:lang w:val="es-ES"/>
        </w:rPr>
      </w:pPr>
      <w:r w:rsidRPr="008431F9">
        <w:rPr>
          <w:rFonts w:ascii="Cambria" w:hAnsi="Cambria" w:cs="Calibri Light"/>
          <w:color w:val="000000" w:themeColor="text1"/>
          <w:sz w:val="20"/>
          <w:szCs w:val="20"/>
          <w:lang w:val="es-ES"/>
        </w:rPr>
        <w:t>En virtud de lo anterior, la CIDH concluye que</w:t>
      </w:r>
      <w:r w:rsidR="00836408" w:rsidRPr="008431F9">
        <w:rPr>
          <w:rFonts w:ascii="Cambria" w:hAnsi="Cambria" w:cs="Calibri Light"/>
          <w:color w:val="000000" w:themeColor="text1"/>
          <w:sz w:val="20"/>
          <w:szCs w:val="20"/>
          <w:lang w:val="es-ES"/>
        </w:rPr>
        <w:t xml:space="preserve"> </w:t>
      </w:r>
      <w:r w:rsidRPr="008431F9">
        <w:rPr>
          <w:rFonts w:ascii="Cambria" w:hAnsi="Cambria"/>
          <w:color w:val="000000" w:themeColor="text1"/>
          <w:sz w:val="20"/>
          <w:szCs w:val="20"/>
          <w:lang w:val="es-ES"/>
        </w:rPr>
        <w:t xml:space="preserve">la recomendación 1 tiene un cumplimiento parcial sustancial y </w:t>
      </w:r>
      <w:r w:rsidRPr="008431F9">
        <w:rPr>
          <w:rFonts w:ascii="Cambria" w:hAnsi="Cambria" w:cs="Calibri Light"/>
          <w:color w:val="000000" w:themeColor="text1"/>
          <w:sz w:val="20"/>
          <w:szCs w:val="20"/>
          <w:lang w:val="es-ES"/>
        </w:rPr>
        <w:t xml:space="preserve">las recomendaciones 2 y 3 están pendientes de cumplimiento. Por consiguiente, la Comisión continuará supervisando el cumplimiento de las Recomendaciones 1, 2, y 3.  </w:t>
      </w:r>
    </w:p>
    <w:p w14:paraId="4FB7D2A3" w14:textId="77777777" w:rsidR="00CB7811" w:rsidRPr="008431F9" w:rsidRDefault="00CB7811" w:rsidP="00CB7811">
      <w:pPr>
        <w:rPr>
          <w:rFonts w:ascii="Cambria" w:hAnsi="Cambria"/>
          <w:color w:val="000000" w:themeColor="text1"/>
          <w:sz w:val="20"/>
          <w:szCs w:val="20"/>
          <w:lang w:val="es-ES"/>
        </w:rPr>
      </w:pPr>
    </w:p>
    <w:p w14:paraId="5A188597" w14:textId="77777777" w:rsidR="00CB7811" w:rsidRPr="008431F9" w:rsidRDefault="00CB7811" w:rsidP="00CB7811">
      <w:pPr>
        <w:numPr>
          <w:ilvl w:val="0"/>
          <w:numId w:val="8"/>
        </w:numPr>
        <w:ind w:left="1440"/>
        <w:contextualSpacing/>
        <w:rPr>
          <w:rFonts w:ascii="Cambria" w:hAnsi="Cambria"/>
          <w:b/>
          <w:color w:val="000000" w:themeColor="text1"/>
          <w:sz w:val="20"/>
          <w:szCs w:val="20"/>
          <w:lang w:val="es-ES"/>
        </w:rPr>
      </w:pPr>
      <w:r w:rsidRPr="008431F9">
        <w:rPr>
          <w:rFonts w:ascii="Cambria" w:hAnsi="Cambria"/>
          <w:b/>
          <w:color w:val="000000" w:themeColor="text1"/>
          <w:sz w:val="20"/>
          <w:szCs w:val="20"/>
          <w:lang w:val="es-ES"/>
        </w:rPr>
        <w:t xml:space="preserve">Resultados individuales y estructurales del caso  </w:t>
      </w:r>
    </w:p>
    <w:p w14:paraId="79C9CB8B" w14:textId="77777777" w:rsidR="00CB7811" w:rsidRPr="008431F9" w:rsidRDefault="00CB7811" w:rsidP="00CB7811">
      <w:pPr>
        <w:rPr>
          <w:rFonts w:ascii="Cambria" w:hAnsi="Cambria"/>
          <w:b/>
          <w:color w:val="000000" w:themeColor="text1"/>
          <w:sz w:val="20"/>
          <w:szCs w:val="20"/>
          <w:lang w:val="es-ES"/>
        </w:rPr>
      </w:pPr>
    </w:p>
    <w:p w14:paraId="4D927D98" w14:textId="77777777" w:rsidR="00CB7811" w:rsidRPr="008431F9" w:rsidRDefault="00CB7811" w:rsidP="00CB7811">
      <w:pPr>
        <w:numPr>
          <w:ilvl w:val="0"/>
          <w:numId w:val="11"/>
        </w:numPr>
        <w:contextualSpacing/>
        <w:jc w:val="both"/>
        <w:rPr>
          <w:rFonts w:ascii="Cambria" w:hAnsi="Cambria"/>
          <w:color w:val="000000" w:themeColor="text1"/>
          <w:sz w:val="20"/>
          <w:szCs w:val="20"/>
          <w:lang w:val="es-ES"/>
        </w:rPr>
      </w:pPr>
      <w:r w:rsidRPr="008431F9">
        <w:rPr>
          <w:rFonts w:ascii="Cambria" w:hAnsi="Cambria"/>
          <w:color w:val="000000" w:themeColor="text1"/>
          <w:sz w:val="20"/>
          <w:szCs w:val="20"/>
          <w:lang w:val="es-ES"/>
        </w:rPr>
        <w:t xml:space="preserve">Dado que el caso sigue pendiente de cumplimiento, no hay resultados individuales o estructurales informados por las partes. </w:t>
      </w:r>
    </w:p>
    <w:p w14:paraId="07E911DB" w14:textId="77777777" w:rsidR="00CB7811" w:rsidRPr="008431F9" w:rsidRDefault="00CB7811" w:rsidP="00CB7811">
      <w:pPr>
        <w:rPr>
          <w:rFonts w:ascii="Cambria" w:hAnsi="Cambria"/>
          <w:color w:val="000000" w:themeColor="text1"/>
          <w:sz w:val="20"/>
          <w:szCs w:val="20"/>
          <w:lang w:val="es-ES"/>
        </w:rPr>
      </w:pPr>
    </w:p>
    <w:p w14:paraId="135EA5AD" w14:textId="77777777" w:rsidR="00CB7811" w:rsidRPr="008431F9" w:rsidRDefault="00CB7811" w:rsidP="00CB7811">
      <w:pPr>
        <w:rPr>
          <w:rFonts w:ascii="Cambria" w:hAnsi="Cambria"/>
          <w:color w:val="000000" w:themeColor="text1"/>
          <w:sz w:val="20"/>
          <w:szCs w:val="20"/>
          <w:lang w:val="es-ES"/>
        </w:rPr>
      </w:pPr>
    </w:p>
    <w:p w14:paraId="31068A48" w14:textId="77777777" w:rsidR="00CB7811" w:rsidRPr="008431F9" w:rsidRDefault="00CB7811" w:rsidP="00CB7811">
      <w:pPr>
        <w:rPr>
          <w:rFonts w:ascii="Cambria" w:hAnsi="Cambria"/>
          <w:color w:val="000000" w:themeColor="text1"/>
          <w:sz w:val="20"/>
          <w:szCs w:val="20"/>
          <w:lang w:val="es-ES"/>
        </w:rPr>
      </w:pPr>
    </w:p>
    <w:p w14:paraId="62F3BAFB" w14:textId="77777777" w:rsidR="00CB7811" w:rsidRPr="008431F9" w:rsidRDefault="00CB7811" w:rsidP="00CB7811">
      <w:pPr>
        <w:rPr>
          <w:color w:val="000000" w:themeColor="text1"/>
          <w:lang w:val="es-ES"/>
        </w:rPr>
      </w:pPr>
    </w:p>
    <w:p w14:paraId="626235A1" w14:textId="77777777" w:rsidR="00CB7811" w:rsidRPr="008431F9" w:rsidRDefault="00CB7811" w:rsidP="00C8456B">
      <w:pPr>
        <w:jc w:val="both"/>
        <w:rPr>
          <w:rFonts w:ascii="Cambria" w:hAnsi="Cambria" w:cs="Calibri Light"/>
          <w:b/>
          <w:color w:val="000000" w:themeColor="text1"/>
          <w:sz w:val="20"/>
          <w:szCs w:val="20"/>
          <w:lang w:val="es-ES"/>
        </w:rPr>
      </w:pPr>
    </w:p>
    <w:p w14:paraId="45B26099" w14:textId="77777777" w:rsidR="00BD17B0" w:rsidRPr="008431F9" w:rsidRDefault="00BD17B0" w:rsidP="007C4DCE">
      <w:pPr>
        <w:rPr>
          <w:color w:val="000000" w:themeColor="text1"/>
          <w:sz w:val="20"/>
          <w:szCs w:val="20"/>
          <w:lang w:val="es-ES"/>
        </w:rPr>
      </w:pPr>
    </w:p>
    <w:sectPr w:rsidR="00BD17B0" w:rsidRPr="008431F9"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86DE" w14:textId="77777777" w:rsidR="00955EAA" w:rsidRDefault="00955EAA" w:rsidP="00672733">
      <w:r>
        <w:separator/>
      </w:r>
    </w:p>
  </w:endnote>
  <w:endnote w:type="continuationSeparator" w:id="0">
    <w:p w14:paraId="08BB204B" w14:textId="77777777" w:rsidR="00955EAA" w:rsidRDefault="00955EA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7ED9" w14:textId="77777777" w:rsidR="00955EAA" w:rsidRDefault="00955EAA" w:rsidP="00672733">
      <w:r>
        <w:separator/>
      </w:r>
    </w:p>
  </w:footnote>
  <w:footnote w:type="continuationSeparator" w:id="0">
    <w:p w14:paraId="4F4F8B0C" w14:textId="77777777" w:rsidR="00955EAA" w:rsidRDefault="00955EAA" w:rsidP="00672733">
      <w:r>
        <w:continuationSeparator/>
      </w:r>
    </w:p>
  </w:footnote>
  <w:footnote w:id="1">
    <w:p w14:paraId="49409C20" w14:textId="77777777" w:rsidR="00CB7811" w:rsidRDefault="00CB7811" w:rsidP="00CB7811">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4EB2586F" w14:textId="77777777" w:rsidR="00CB7811" w:rsidRPr="00DB1FFE" w:rsidRDefault="00CB7811" w:rsidP="00CB7811">
      <w:pPr>
        <w:pStyle w:val="FootnoteText"/>
        <w:jc w:val="both"/>
        <w:rPr>
          <w:rFonts w:ascii="Cambria" w:hAnsi="Cambria"/>
          <w:sz w:val="16"/>
          <w:szCs w:val="16"/>
          <w:lang w:val="es-US"/>
        </w:rPr>
      </w:pPr>
    </w:p>
  </w:footnote>
  <w:footnote w:id="2">
    <w:p w14:paraId="3B590C52" w14:textId="77777777" w:rsidR="00CB7811" w:rsidRPr="007E5D3C" w:rsidRDefault="00CB7811" w:rsidP="00CB7811">
      <w:pPr>
        <w:pStyle w:val="FootnoteText"/>
        <w:ind w:firstLine="708"/>
        <w:rPr>
          <w:rFonts w:ascii="Cambria" w:hAnsi="Cambria"/>
          <w:sz w:val="16"/>
          <w:szCs w:val="16"/>
        </w:rPr>
      </w:pPr>
      <w:r w:rsidRPr="00A125E6">
        <w:rPr>
          <w:rStyle w:val="FootnoteReference"/>
          <w:rFonts w:ascii="Cambria" w:hAnsi="Cambria"/>
          <w:sz w:val="16"/>
          <w:szCs w:val="16"/>
        </w:rPr>
        <w:footnoteRef/>
      </w:r>
      <w:r w:rsidRPr="00A125E6">
        <w:rPr>
          <w:rFonts w:ascii="Cambria" w:hAnsi="Cambria"/>
          <w:sz w:val="16"/>
          <w:szCs w:val="16"/>
          <w:lang w:val="es-US"/>
        </w:rPr>
        <w:t xml:space="preserve"> </w:t>
      </w:r>
      <w:r w:rsidRPr="00A125E6">
        <w:rPr>
          <w:rFonts w:ascii="Cambria" w:hAnsi="Cambria"/>
          <w:sz w:val="16"/>
          <w:szCs w:val="16"/>
          <w:lang w:val="es-ES"/>
        </w:rPr>
        <w:t xml:space="preserve">CIDH, Informe Anual 2017, </w:t>
      </w:r>
      <w:hyperlink r:id="rId2" w:history="1">
        <w:r w:rsidRPr="00A125E6">
          <w:rPr>
            <w:rStyle w:val="Hyperlink"/>
            <w:rFonts w:ascii="Cambria" w:hAnsi="Cambria"/>
            <w:sz w:val="16"/>
            <w:szCs w:val="16"/>
            <w:lang w:val="es-ES"/>
          </w:rPr>
          <w:t>Capítulo II, Sección F: Estado del cumplimiento de las recomendaciones de la CIDH</w:t>
        </w:r>
      </w:hyperlink>
      <w:r w:rsidRPr="00A125E6">
        <w:rPr>
          <w:rFonts w:ascii="Cambria" w:hAnsi="Cambria"/>
          <w:sz w:val="16"/>
          <w:szCs w:val="16"/>
          <w:lang w:val="es-ES"/>
        </w:rPr>
        <w:t xml:space="preserve">, párr. </w:t>
      </w:r>
      <w:r w:rsidRPr="007E5D3C">
        <w:rPr>
          <w:rFonts w:ascii="Cambria" w:hAnsi="Cambria"/>
          <w:sz w:val="16"/>
          <w:szCs w:val="16"/>
        </w:rPr>
        <w:t>1312.</w:t>
      </w:r>
    </w:p>
  </w:footnote>
  <w:footnote w:id="3">
    <w:p w14:paraId="623A7729" w14:textId="77777777" w:rsidR="00CB7811" w:rsidRPr="00FA5E41" w:rsidRDefault="00CB7811" w:rsidP="00CB7811">
      <w:pPr>
        <w:pStyle w:val="FootnoteText"/>
        <w:ind w:left="720"/>
        <w:rPr>
          <w:color w:val="FF0000"/>
        </w:rPr>
      </w:pPr>
      <w:r w:rsidRPr="00A125E6">
        <w:rPr>
          <w:rStyle w:val="FootnoteReference"/>
          <w:sz w:val="16"/>
          <w:szCs w:val="16"/>
        </w:rPr>
        <w:footnoteRef/>
      </w:r>
      <w:r w:rsidRPr="00A125E6">
        <w:t xml:space="preserve"> </w:t>
      </w:r>
      <w:r w:rsidRPr="00A125E6">
        <w:rPr>
          <w:rFonts w:ascii="Cambria" w:hAnsi="Cambria"/>
          <w:sz w:val="16"/>
          <w:szCs w:val="16"/>
        </w:rPr>
        <w:t>Death</w:t>
      </w:r>
      <w:r w:rsidRPr="00A125E6">
        <w:t xml:space="preserve"> </w:t>
      </w:r>
      <w:r w:rsidRPr="00A125E6">
        <w:rPr>
          <w:rFonts w:ascii="Cambria" w:hAnsi="Cambria"/>
          <w:sz w:val="16"/>
          <w:szCs w:val="16"/>
        </w:rPr>
        <w:t xml:space="preserve">Penalty Information Center (DPIC). </w:t>
      </w:r>
      <w:hyperlink r:id="rId3" w:history="1">
        <w:r w:rsidRPr="00A125E6">
          <w:rPr>
            <w:rStyle w:val="Hyperlink"/>
            <w:rFonts w:ascii="Cambria" w:hAnsi="Cambria"/>
            <w:sz w:val="16"/>
            <w:szCs w:val="16"/>
          </w:rPr>
          <w:t>After 32 Years on Death Row, Tennessee Prisoner’s Death Sentence is Vacated for Prosecutorial Misconduct.</w:t>
        </w:r>
      </w:hyperlink>
      <w:r w:rsidRPr="00A125E6">
        <w:rPr>
          <w:rFonts w:ascii="Cambria" w:hAnsi="Cambria"/>
          <w:sz w:val="16"/>
          <w:szCs w:val="16"/>
        </w:rPr>
        <w:t xml:space="preserve"> September 5, 2019. The Tennessean</w:t>
      </w:r>
      <w:hyperlink r:id="rId4" w:history="1">
        <w:r w:rsidRPr="00A125E6">
          <w:rPr>
            <w:rStyle w:val="Hyperlink"/>
            <w:rFonts w:ascii="Cambria" w:hAnsi="Cambria"/>
            <w:sz w:val="16"/>
            <w:szCs w:val="16"/>
          </w:rPr>
          <w:t>. Judge approves deal to remove Tennessee inmate from death row months before execution date.</w:t>
        </w:r>
      </w:hyperlink>
      <w:r w:rsidRPr="00A125E6">
        <w:rPr>
          <w:rFonts w:ascii="Cambria" w:hAnsi="Cambria"/>
          <w:sz w:val="16"/>
          <w:szCs w:val="16"/>
        </w:rPr>
        <w:t xml:space="preserve"> August 30,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0"/>
  </w:num>
  <w:num w:numId="2" w16cid:durableId="426849189">
    <w:abstractNumId w:val="16"/>
  </w:num>
  <w:num w:numId="3" w16cid:durableId="978146478">
    <w:abstractNumId w:val="13"/>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2"/>
  </w:num>
  <w:num w:numId="9" w16cid:durableId="854658852">
    <w:abstractNumId w:val="3"/>
  </w:num>
  <w:num w:numId="10" w16cid:durableId="211579222">
    <w:abstractNumId w:val="15"/>
  </w:num>
  <w:num w:numId="11" w16cid:durableId="1101989703">
    <w:abstractNumId w:val="11"/>
  </w:num>
  <w:num w:numId="12" w16cid:durableId="89592199">
    <w:abstractNumId w:val="0"/>
  </w:num>
  <w:num w:numId="13" w16cid:durableId="1050570664">
    <w:abstractNumId w:val="14"/>
  </w:num>
  <w:num w:numId="14" w16cid:durableId="1651061198">
    <w:abstractNumId w:val="8"/>
  </w:num>
  <w:num w:numId="15" w16cid:durableId="1719283429">
    <w:abstractNumId w:val="4"/>
  </w:num>
  <w:num w:numId="16" w16cid:durableId="1360010262">
    <w:abstractNumId w:val="9"/>
  </w:num>
  <w:num w:numId="17" w16cid:durableId="96516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5AE1"/>
    <w:rsid w:val="00045E5E"/>
    <w:rsid w:val="000B5E1D"/>
    <w:rsid w:val="000D5AD9"/>
    <w:rsid w:val="00105B23"/>
    <w:rsid w:val="00181DA0"/>
    <w:rsid w:val="002248FB"/>
    <w:rsid w:val="00234E64"/>
    <w:rsid w:val="00322720"/>
    <w:rsid w:val="00326C88"/>
    <w:rsid w:val="00356BC9"/>
    <w:rsid w:val="00384DB4"/>
    <w:rsid w:val="003E14FB"/>
    <w:rsid w:val="00427A14"/>
    <w:rsid w:val="00453115"/>
    <w:rsid w:val="004758C9"/>
    <w:rsid w:val="0048723C"/>
    <w:rsid w:val="00500FDE"/>
    <w:rsid w:val="00506416"/>
    <w:rsid w:val="00545223"/>
    <w:rsid w:val="00555D95"/>
    <w:rsid w:val="00566CD0"/>
    <w:rsid w:val="00637ED3"/>
    <w:rsid w:val="006638E5"/>
    <w:rsid w:val="00672733"/>
    <w:rsid w:val="006B1F24"/>
    <w:rsid w:val="00760383"/>
    <w:rsid w:val="007C4DCE"/>
    <w:rsid w:val="007E3B6C"/>
    <w:rsid w:val="00836408"/>
    <w:rsid w:val="008431F9"/>
    <w:rsid w:val="008463D3"/>
    <w:rsid w:val="008818B0"/>
    <w:rsid w:val="008861D6"/>
    <w:rsid w:val="008B1EA9"/>
    <w:rsid w:val="00955EAA"/>
    <w:rsid w:val="00A80674"/>
    <w:rsid w:val="00AE2642"/>
    <w:rsid w:val="00B5086E"/>
    <w:rsid w:val="00B73DB1"/>
    <w:rsid w:val="00BD17B0"/>
    <w:rsid w:val="00BF507E"/>
    <w:rsid w:val="00BF7A78"/>
    <w:rsid w:val="00C8456B"/>
    <w:rsid w:val="00CB7811"/>
    <w:rsid w:val="00CC71C2"/>
    <w:rsid w:val="00CF41DC"/>
    <w:rsid w:val="00D51C1F"/>
    <w:rsid w:val="00D56DC4"/>
    <w:rsid w:val="00E042FE"/>
    <w:rsid w:val="00E23CE7"/>
    <w:rsid w:val="00E516AB"/>
    <w:rsid w:val="00E90CB3"/>
    <w:rsid w:val="00EA0262"/>
    <w:rsid w:val="00EC61E3"/>
    <w:rsid w:val="00ED0AAA"/>
    <w:rsid w:val="00ED1EBA"/>
    <w:rsid w:val="00F30F69"/>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h.org/medidas/2002.sp.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3sp/EEUU.136.02.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4/USPU12422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eathpenaltyinfo.org/news/after-32-years-on-death-row-tennessee-prisoners-death-sentence-is-vacated-for-prosecutorial-misconduct"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s://www.oas.org/es/CIDH/informes/IA.asp?Year=2021" TargetMode="External"/><Relationship Id="rId4" Type="http://schemas.openxmlformats.org/officeDocument/2006/relationships/hyperlink" Target="https://www.tennessean.com/story/news/2019/08/30/tennessee-death-row-inmate-gets-death-sentence-vacated/213694300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0ED0-EF98-4BD9-9264-E6D036A7F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