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917B" w14:textId="77777777" w:rsidR="00B73DB1" w:rsidRPr="00204D7A" w:rsidRDefault="00B73DB1" w:rsidP="00B73DB1">
      <w:pPr>
        <w:pStyle w:val="Header"/>
        <w:jc w:val="center"/>
        <w:rPr>
          <w:rFonts w:ascii="Cambria" w:hAnsi="Cambria"/>
          <w:b/>
          <w:bCs/>
          <w:color w:val="000000" w:themeColor="text1"/>
          <w:sz w:val="20"/>
          <w:szCs w:val="20"/>
          <w:lang w:val="es-ES"/>
        </w:rPr>
      </w:pPr>
    </w:p>
    <w:p w14:paraId="17CDF3BA" w14:textId="77777777" w:rsidR="00B73DB1" w:rsidRPr="00204D7A" w:rsidRDefault="00B73DB1" w:rsidP="00B73DB1">
      <w:pPr>
        <w:pStyle w:val="Header"/>
        <w:jc w:val="center"/>
        <w:rPr>
          <w:rFonts w:ascii="Cambria" w:hAnsi="Cambria"/>
          <w:color w:val="000000" w:themeColor="text1"/>
          <w:sz w:val="20"/>
          <w:szCs w:val="20"/>
          <w:lang w:val="es-ES"/>
        </w:rPr>
      </w:pPr>
      <w:r w:rsidRPr="00204D7A">
        <w:rPr>
          <w:rFonts w:ascii="Cambria" w:hAnsi="Cambria"/>
          <w:b/>
          <w:bCs/>
          <w:color w:val="000000" w:themeColor="text1"/>
          <w:sz w:val="20"/>
          <w:szCs w:val="20"/>
          <w:lang w:val="es-ES"/>
        </w:rPr>
        <w:t>FICHA DE SEGUIMIENTO DEL INFORME Nº 101/03</w:t>
      </w:r>
    </w:p>
    <w:p w14:paraId="530BEA74" w14:textId="77777777" w:rsidR="00B73DB1" w:rsidRPr="00204D7A" w:rsidRDefault="00B73DB1" w:rsidP="00B73DB1">
      <w:pPr>
        <w:jc w:val="center"/>
        <w:rPr>
          <w:rFonts w:ascii="Cambria" w:hAnsi="Cambria"/>
          <w:b/>
          <w:bCs/>
          <w:color w:val="000000" w:themeColor="text1"/>
          <w:sz w:val="20"/>
          <w:szCs w:val="20"/>
          <w:lang w:val="es-ES"/>
        </w:rPr>
      </w:pPr>
      <w:r w:rsidRPr="00204D7A">
        <w:rPr>
          <w:rFonts w:ascii="Cambria" w:hAnsi="Cambria"/>
          <w:b/>
          <w:bCs/>
          <w:color w:val="000000" w:themeColor="text1"/>
          <w:sz w:val="20"/>
          <w:szCs w:val="20"/>
          <w:lang w:val="es-ES"/>
        </w:rPr>
        <w:t>CASO 12.412</w:t>
      </w:r>
    </w:p>
    <w:p w14:paraId="0B2E53B6" w14:textId="77777777" w:rsidR="00B73DB1" w:rsidRPr="00204D7A" w:rsidRDefault="00B73DB1" w:rsidP="00B73DB1">
      <w:pPr>
        <w:jc w:val="center"/>
        <w:rPr>
          <w:rFonts w:ascii="Cambria" w:hAnsi="Cambria"/>
          <w:b/>
          <w:bCs/>
          <w:color w:val="000000" w:themeColor="text1"/>
          <w:sz w:val="20"/>
          <w:szCs w:val="20"/>
          <w:lang w:val="es-ES"/>
        </w:rPr>
      </w:pPr>
      <w:r w:rsidRPr="00204D7A">
        <w:rPr>
          <w:rFonts w:ascii="Cambria" w:hAnsi="Cambria"/>
          <w:b/>
          <w:bCs/>
          <w:color w:val="000000" w:themeColor="text1"/>
          <w:sz w:val="20"/>
          <w:szCs w:val="20"/>
          <w:lang w:val="es-ES"/>
        </w:rPr>
        <w:t>NAPOLEON BEAZLEY</w:t>
      </w:r>
    </w:p>
    <w:p w14:paraId="0B4E325B" w14:textId="77777777" w:rsidR="00B73DB1" w:rsidRPr="00204D7A" w:rsidRDefault="00B73DB1" w:rsidP="00B73DB1">
      <w:pPr>
        <w:jc w:val="center"/>
        <w:rPr>
          <w:rFonts w:ascii="Cambria" w:hAnsi="Cambria"/>
          <w:b/>
          <w:bCs/>
          <w:color w:val="000000" w:themeColor="text1"/>
          <w:sz w:val="20"/>
          <w:szCs w:val="20"/>
          <w:lang w:val="es-ES"/>
        </w:rPr>
      </w:pPr>
      <w:r w:rsidRPr="00204D7A">
        <w:rPr>
          <w:rFonts w:ascii="Cambria" w:hAnsi="Cambria"/>
          <w:b/>
          <w:bCs/>
          <w:color w:val="000000" w:themeColor="text1"/>
          <w:sz w:val="20"/>
          <w:szCs w:val="20"/>
          <w:lang w:val="es-ES"/>
        </w:rPr>
        <w:t>(Estados Unidos)</w:t>
      </w:r>
    </w:p>
    <w:p w14:paraId="51EE7A3D" w14:textId="77777777" w:rsidR="00B73DB1" w:rsidRPr="00204D7A" w:rsidRDefault="00B73DB1" w:rsidP="00B73DB1">
      <w:pPr>
        <w:jc w:val="both"/>
        <w:rPr>
          <w:rFonts w:ascii="Cambria" w:hAnsi="Cambria"/>
          <w:color w:val="000000" w:themeColor="text1"/>
          <w:sz w:val="20"/>
          <w:szCs w:val="20"/>
          <w:lang w:val="es-ES"/>
        </w:rPr>
      </w:pPr>
    </w:p>
    <w:p w14:paraId="44D4644E" w14:textId="77777777" w:rsidR="00B73DB1" w:rsidRPr="00204D7A" w:rsidRDefault="00B73DB1" w:rsidP="00B73DB1">
      <w:pPr>
        <w:numPr>
          <w:ilvl w:val="0"/>
          <w:numId w:val="8"/>
        </w:numPr>
        <w:ind w:left="1440"/>
        <w:rPr>
          <w:rFonts w:ascii="Cambria" w:hAnsi="Cambria" w:cs="Calibri Light"/>
          <w:b/>
          <w:bCs/>
          <w:color w:val="000000" w:themeColor="text1"/>
          <w:sz w:val="20"/>
          <w:szCs w:val="20"/>
          <w:lang w:val="es-ES"/>
        </w:rPr>
      </w:pPr>
      <w:r w:rsidRPr="00204D7A">
        <w:rPr>
          <w:rFonts w:ascii="Cambria" w:hAnsi="Cambria" w:cs="Calibri Light"/>
          <w:b/>
          <w:bCs/>
          <w:color w:val="000000" w:themeColor="text1"/>
          <w:sz w:val="20"/>
          <w:szCs w:val="20"/>
          <w:lang w:val="es-ES"/>
        </w:rPr>
        <w:t xml:space="preserve">Resumen del caso </w:t>
      </w:r>
    </w:p>
    <w:p w14:paraId="2318DEA0" w14:textId="77777777" w:rsidR="00B73DB1" w:rsidRPr="00204D7A" w:rsidRDefault="00B73DB1" w:rsidP="00B73DB1">
      <w:pPr>
        <w:ind w:left="1080"/>
        <w:jc w:val="both"/>
        <w:rPr>
          <w:rFonts w:ascii="Cambria" w:hAnsi="Cambria" w:cs="Calibri Light"/>
          <w:color w:val="000000" w:themeColor="text1"/>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204D7A" w:rsidRPr="00204D7A" w14:paraId="53D39882" w14:textId="77777777" w:rsidTr="00C24C23">
        <w:trPr>
          <w:jc w:val="center"/>
        </w:trPr>
        <w:tc>
          <w:tcPr>
            <w:tcW w:w="9576" w:type="dxa"/>
            <w:shd w:val="clear" w:color="auto" w:fill="F2F2F2" w:themeFill="background1" w:themeFillShade="F2"/>
          </w:tcPr>
          <w:p w14:paraId="0C21753F" w14:textId="77777777" w:rsidR="00B73DB1" w:rsidRPr="00204D7A" w:rsidRDefault="00B73DB1" w:rsidP="00C24C23">
            <w:pPr>
              <w:spacing w:before="120"/>
              <w:jc w:val="both"/>
              <w:rPr>
                <w:rFonts w:ascii="Cambria" w:hAnsi="Cambria"/>
                <w:b/>
                <w:bCs/>
                <w:color w:val="000000" w:themeColor="text1"/>
                <w:sz w:val="20"/>
                <w:szCs w:val="20"/>
                <w:lang w:val="es-ES"/>
              </w:rPr>
            </w:pPr>
            <w:r w:rsidRPr="00204D7A">
              <w:rPr>
                <w:rFonts w:ascii="Cambria" w:hAnsi="Cambria"/>
                <w:b/>
                <w:bCs/>
                <w:color w:val="000000" w:themeColor="text1"/>
                <w:sz w:val="20"/>
                <w:szCs w:val="20"/>
                <w:lang w:val="es-ES"/>
              </w:rPr>
              <w:t xml:space="preserve">Víctima (s): </w:t>
            </w:r>
            <w:r w:rsidRPr="00204D7A">
              <w:rPr>
                <w:rFonts w:ascii="Cambria" w:hAnsi="Cambria"/>
                <w:color w:val="000000" w:themeColor="text1"/>
                <w:sz w:val="20"/>
                <w:szCs w:val="20"/>
                <w:lang w:val="es-ES"/>
              </w:rPr>
              <w:t>Napoleon Beazley</w:t>
            </w:r>
          </w:p>
          <w:p w14:paraId="7A9BB28C" w14:textId="77777777" w:rsidR="00B73DB1" w:rsidRPr="00204D7A" w:rsidRDefault="00B73DB1" w:rsidP="00C24C23">
            <w:pPr>
              <w:jc w:val="both"/>
              <w:rPr>
                <w:rFonts w:ascii="Cambria" w:hAnsi="Cambria"/>
                <w:b/>
                <w:bCs/>
                <w:color w:val="000000" w:themeColor="text1"/>
                <w:sz w:val="20"/>
                <w:szCs w:val="20"/>
              </w:rPr>
            </w:pPr>
            <w:r w:rsidRPr="00204D7A">
              <w:rPr>
                <w:rFonts w:ascii="Cambria" w:hAnsi="Cambria"/>
                <w:b/>
                <w:bCs/>
                <w:color w:val="000000" w:themeColor="text1"/>
                <w:sz w:val="20"/>
                <w:szCs w:val="20"/>
              </w:rPr>
              <w:t>Peticionario (s):</w:t>
            </w:r>
            <w:r w:rsidRPr="00204D7A">
              <w:rPr>
                <w:rFonts w:ascii="Cambria" w:hAnsi="Cambria"/>
                <w:color w:val="000000" w:themeColor="text1"/>
                <w:sz w:val="20"/>
                <w:szCs w:val="20"/>
              </w:rPr>
              <w:t xml:space="preserve"> David Botsford, Walter Long</w:t>
            </w:r>
          </w:p>
          <w:p w14:paraId="421D9BB2" w14:textId="77777777" w:rsidR="00B73DB1" w:rsidRPr="00204D7A" w:rsidRDefault="00B73DB1" w:rsidP="00C24C23">
            <w:pPr>
              <w:jc w:val="both"/>
              <w:rPr>
                <w:rFonts w:ascii="Cambria" w:hAnsi="Cambria"/>
                <w:color w:val="000000" w:themeColor="text1"/>
                <w:sz w:val="20"/>
                <w:szCs w:val="20"/>
                <w:lang w:val="es-ES"/>
              </w:rPr>
            </w:pPr>
            <w:r w:rsidRPr="00204D7A">
              <w:rPr>
                <w:rFonts w:ascii="Cambria" w:hAnsi="Cambria"/>
                <w:b/>
                <w:bCs/>
                <w:color w:val="000000" w:themeColor="text1"/>
                <w:sz w:val="20"/>
                <w:szCs w:val="20"/>
                <w:lang w:val="es-ES"/>
              </w:rPr>
              <w:t xml:space="preserve">Estado: </w:t>
            </w:r>
            <w:r w:rsidRPr="00204D7A">
              <w:rPr>
                <w:rFonts w:ascii="Cambria" w:hAnsi="Cambria"/>
                <w:color w:val="000000" w:themeColor="text1"/>
                <w:sz w:val="20"/>
                <w:szCs w:val="20"/>
                <w:lang w:val="es-ES"/>
              </w:rPr>
              <w:t>Estados Unidos</w:t>
            </w:r>
          </w:p>
          <w:p w14:paraId="04EAD8CE" w14:textId="77777777" w:rsidR="00B73DB1" w:rsidRPr="00204D7A" w:rsidRDefault="00B73DB1" w:rsidP="00C24C23">
            <w:pPr>
              <w:jc w:val="both"/>
              <w:rPr>
                <w:rFonts w:ascii="Cambria" w:hAnsi="Cambria"/>
                <w:color w:val="000000" w:themeColor="text1"/>
                <w:sz w:val="20"/>
                <w:szCs w:val="20"/>
                <w:lang w:val="es-ES"/>
              </w:rPr>
            </w:pPr>
            <w:r w:rsidRPr="00204D7A">
              <w:rPr>
                <w:rFonts w:ascii="Cambria" w:hAnsi="Cambria"/>
                <w:b/>
                <w:bCs/>
                <w:color w:val="000000" w:themeColor="text1"/>
                <w:sz w:val="20"/>
                <w:szCs w:val="20"/>
                <w:lang w:val="es-ES"/>
              </w:rPr>
              <w:t xml:space="preserve">Informe de Fondo Nº: </w:t>
            </w:r>
            <w:hyperlink r:id="rId11">
              <w:r w:rsidRPr="00204D7A">
                <w:rPr>
                  <w:rStyle w:val="Hyperlink"/>
                  <w:rFonts w:ascii="Cambria" w:hAnsi="Cambria"/>
                  <w:color w:val="000000" w:themeColor="text1"/>
                  <w:sz w:val="20"/>
                  <w:szCs w:val="20"/>
                  <w:lang w:val="es-ES"/>
                </w:rPr>
                <w:t>101/03</w:t>
              </w:r>
            </w:hyperlink>
            <w:r w:rsidRPr="00204D7A">
              <w:rPr>
                <w:rFonts w:ascii="Cambria" w:hAnsi="Cambria"/>
                <w:color w:val="000000" w:themeColor="text1"/>
                <w:sz w:val="20"/>
                <w:szCs w:val="20"/>
                <w:lang w:val="es-ES"/>
              </w:rPr>
              <w:t>, publicado el 29 de diciembre de 2003</w:t>
            </w:r>
          </w:p>
          <w:p w14:paraId="408C01D8" w14:textId="77777777" w:rsidR="00B73DB1" w:rsidRPr="00204D7A" w:rsidRDefault="00B73DB1" w:rsidP="00C24C23">
            <w:pPr>
              <w:jc w:val="both"/>
              <w:rPr>
                <w:rFonts w:ascii="Cambria" w:hAnsi="Cambria"/>
                <w:color w:val="000000" w:themeColor="text1"/>
                <w:sz w:val="20"/>
                <w:szCs w:val="20"/>
                <w:lang w:val="es-ES"/>
              </w:rPr>
            </w:pPr>
            <w:r w:rsidRPr="00204D7A">
              <w:rPr>
                <w:rFonts w:ascii="Cambria" w:hAnsi="Cambria"/>
                <w:b/>
                <w:bCs/>
                <w:color w:val="000000" w:themeColor="text1"/>
                <w:sz w:val="20"/>
                <w:szCs w:val="20"/>
                <w:lang w:val="es-ES"/>
              </w:rPr>
              <w:t xml:space="preserve">Informe de Admisibilidad: </w:t>
            </w:r>
            <w:r w:rsidRPr="00204D7A">
              <w:rPr>
                <w:rFonts w:ascii="Cambria" w:hAnsi="Cambria"/>
                <w:color w:val="000000" w:themeColor="text1"/>
                <w:sz w:val="20"/>
                <w:szCs w:val="20"/>
                <w:lang w:val="es-ES"/>
              </w:rPr>
              <w:t>Analizado junto con el Informe de Fondo Nº 101/03</w:t>
            </w:r>
            <w:r w:rsidRPr="00204D7A">
              <w:rPr>
                <w:rFonts w:ascii="Cambria" w:hAnsi="Cambria"/>
                <w:b/>
                <w:bCs/>
                <w:color w:val="000000" w:themeColor="text1"/>
                <w:sz w:val="20"/>
                <w:szCs w:val="20"/>
                <w:lang w:val="es-ES"/>
              </w:rPr>
              <w:t xml:space="preserve"> </w:t>
            </w:r>
          </w:p>
          <w:p w14:paraId="562F9F59" w14:textId="77777777" w:rsidR="00B73DB1" w:rsidRPr="00204D7A" w:rsidRDefault="00B73DB1" w:rsidP="00C24C23">
            <w:pPr>
              <w:jc w:val="both"/>
              <w:rPr>
                <w:rFonts w:ascii="Cambria" w:hAnsi="Cambria"/>
                <w:b/>
                <w:bCs/>
                <w:color w:val="000000" w:themeColor="text1"/>
                <w:sz w:val="20"/>
                <w:szCs w:val="20"/>
                <w:lang w:val="es-ES"/>
              </w:rPr>
            </w:pPr>
            <w:r w:rsidRPr="00204D7A">
              <w:rPr>
                <w:rFonts w:ascii="Cambria" w:hAnsi="Cambria"/>
                <w:b/>
                <w:bCs/>
                <w:color w:val="000000" w:themeColor="text1"/>
                <w:sz w:val="20"/>
                <w:szCs w:val="20"/>
                <w:lang w:val="es-ES"/>
              </w:rPr>
              <w:t xml:space="preserve">Medidas cautelares: </w:t>
            </w:r>
            <w:hyperlink r:id="rId12">
              <w:r w:rsidRPr="00204D7A">
                <w:rPr>
                  <w:rStyle w:val="Hyperlink"/>
                  <w:rFonts w:ascii="Cambria" w:hAnsi="Cambria"/>
                  <w:color w:val="000000" w:themeColor="text1"/>
                  <w:sz w:val="20"/>
                  <w:szCs w:val="20"/>
                  <w:lang w:val="es-ES"/>
                </w:rPr>
                <w:t>Otorgadas el 27 de febrero de 2002</w:t>
              </w:r>
            </w:hyperlink>
            <w:r w:rsidRPr="00204D7A">
              <w:rPr>
                <w:rFonts w:ascii="Cambria" w:hAnsi="Cambria"/>
                <w:b/>
                <w:bCs/>
                <w:color w:val="000000" w:themeColor="text1"/>
                <w:sz w:val="20"/>
                <w:szCs w:val="20"/>
                <w:lang w:val="es-ES"/>
              </w:rPr>
              <w:t xml:space="preserve"> </w:t>
            </w:r>
          </w:p>
          <w:p w14:paraId="7C00F80A" w14:textId="77777777" w:rsidR="00B73DB1" w:rsidRPr="00204D7A" w:rsidRDefault="00B73DB1" w:rsidP="00C24C23">
            <w:pPr>
              <w:spacing w:after="120"/>
              <w:jc w:val="both"/>
              <w:rPr>
                <w:rFonts w:ascii="Cambria" w:hAnsi="Cambria"/>
                <w:b/>
                <w:bCs/>
                <w:color w:val="000000" w:themeColor="text1"/>
                <w:sz w:val="20"/>
                <w:szCs w:val="20"/>
                <w:lang w:val="es-ES"/>
              </w:rPr>
            </w:pPr>
            <w:r w:rsidRPr="00204D7A">
              <w:rPr>
                <w:rFonts w:ascii="Cambria" w:hAnsi="Cambria"/>
                <w:b/>
                <w:bCs/>
                <w:color w:val="000000" w:themeColor="text1"/>
                <w:sz w:val="20"/>
                <w:szCs w:val="20"/>
                <w:lang w:val="es-ES"/>
              </w:rPr>
              <w:t xml:space="preserve">Temas: </w:t>
            </w:r>
            <w:r w:rsidRPr="00204D7A">
              <w:rPr>
                <w:rFonts w:ascii="Cambria" w:hAnsi="Cambria"/>
                <w:color w:val="000000" w:themeColor="text1"/>
                <w:sz w:val="20"/>
                <w:szCs w:val="20"/>
                <w:lang w:val="es-ES"/>
              </w:rPr>
              <w:t>Pena de Muerte / Derecho a la Vida / Garantías Judiciales / Protección Judicial / Deber de Adoptar Medidas y Disposiciones de Derecho Interno / Derechos de Niñas, Niños y Adolescentes / Derecho a la Libertad Personal.</w:t>
            </w:r>
          </w:p>
          <w:p w14:paraId="4C388840" w14:textId="77777777" w:rsidR="00B73DB1" w:rsidRPr="00204D7A" w:rsidRDefault="00B73DB1" w:rsidP="00C24C23">
            <w:pPr>
              <w:spacing w:after="120"/>
              <w:jc w:val="both"/>
              <w:rPr>
                <w:rFonts w:ascii="Cambria" w:hAnsi="Cambria"/>
                <w:color w:val="000000" w:themeColor="text1"/>
                <w:sz w:val="20"/>
                <w:szCs w:val="20"/>
                <w:lang w:val="es-ES"/>
              </w:rPr>
            </w:pPr>
            <w:r w:rsidRPr="00204D7A">
              <w:rPr>
                <w:rFonts w:ascii="Cambria" w:hAnsi="Cambria"/>
                <w:b/>
                <w:bCs/>
                <w:color w:val="000000" w:themeColor="text1"/>
                <w:sz w:val="20"/>
                <w:szCs w:val="20"/>
                <w:lang w:val="es-ES"/>
              </w:rPr>
              <w:t xml:space="preserve">Hechos: </w:t>
            </w:r>
            <w:r w:rsidRPr="00204D7A">
              <w:rPr>
                <w:rFonts w:ascii="Cambria" w:hAnsi="Cambria"/>
                <w:color w:val="000000" w:themeColor="text1"/>
                <w:sz w:val="20"/>
                <w:szCs w:val="20"/>
                <w:lang w:val="es-ES"/>
              </w:rPr>
              <w:t xml:space="preserve">Este caso se refiere a Napoleon Beazley, un joven afroamericano, quien fue sentenciado a muerte en marzo de 1995 en el estado de Texas, Estados Unidos, por un delito que cometió cuando tenía 17 años. El señor Beazley fue ejecutado el 22 de junio de 2000. </w:t>
            </w:r>
          </w:p>
          <w:p w14:paraId="2FCFD964" w14:textId="77777777" w:rsidR="00B73DB1" w:rsidRPr="00204D7A" w:rsidRDefault="00B73DB1" w:rsidP="00C24C23">
            <w:pPr>
              <w:spacing w:after="120"/>
              <w:jc w:val="both"/>
              <w:rPr>
                <w:rFonts w:ascii="Cambria" w:hAnsi="Cambria"/>
                <w:color w:val="000000" w:themeColor="text1"/>
                <w:sz w:val="20"/>
                <w:szCs w:val="20"/>
                <w:lang w:val="es-ES"/>
              </w:rPr>
            </w:pPr>
            <w:r w:rsidRPr="00204D7A">
              <w:rPr>
                <w:rFonts w:ascii="Cambria" w:hAnsi="Cambria"/>
                <w:b/>
                <w:bCs/>
                <w:color w:val="000000" w:themeColor="text1"/>
                <w:sz w:val="20"/>
                <w:szCs w:val="20"/>
                <w:lang w:val="es-ES"/>
              </w:rPr>
              <w:t xml:space="preserve">Derechos violados: </w:t>
            </w:r>
            <w:r w:rsidRPr="00204D7A">
              <w:rPr>
                <w:rFonts w:ascii="Cambria" w:hAnsi="Cambria"/>
                <w:color w:val="000000" w:themeColor="text1"/>
                <w:sz w:val="20"/>
                <w:szCs w:val="20"/>
                <w:lang w:val="es-ES"/>
              </w:rPr>
              <w:t xml:space="preserve">La Comisión concluyó que el Estado era responsable por violaciones de los artículos I, II, VII y XXVI de la Declaración Americana. La Comisión también concluyó que Estado había actuado en contravención de una norma internacional de </w:t>
            </w:r>
            <w:r w:rsidRPr="00204D7A">
              <w:rPr>
                <w:rFonts w:ascii="Cambria" w:hAnsi="Cambria"/>
                <w:i/>
                <w:iCs/>
                <w:color w:val="000000" w:themeColor="text1"/>
                <w:sz w:val="20"/>
                <w:szCs w:val="20"/>
                <w:lang w:val="es-ES"/>
              </w:rPr>
              <w:t>jus cogens</w:t>
            </w:r>
            <w:r w:rsidRPr="00204D7A">
              <w:rPr>
                <w:rFonts w:ascii="Cambria" w:hAnsi="Cambria"/>
                <w:color w:val="000000" w:themeColor="text1"/>
                <w:sz w:val="20"/>
                <w:szCs w:val="20"/>
                <w:lang w:val="es-ES"/>
              </w:rPr>
              <w:t xml:space="preserve"> reflejada en el artículo I de la Declaración Americana, al sentenciar a Napoleón Beazley a la pena de muerte por un delito que cometió cuando tenía 17 años de edad, y al ejecutarlo en virtud de esa sentencia.</w:t>
            </w:r>
          </w:p>
        </w:tc>
      </w:tr>
    </w:tbl>
    <w:p w14:paraId="778EA27E" w14:textId="77777777" w:rsidR="00B73DB1" w:rsidRPr="00204D7A" w:rsidRDefault="00B73DB1" w:rsidP="00B73DB1">
      <w:pPr>
        <w:ind w:left="180"/>
        <w:jc w:val="both"/>
        <w:rPr>
          <w:rFonts w:ascii="Cambria" w:hAnsi="Cambria"/>
          <w:color w:val="000000" w:themeColor="text1"/>
          <w:sz w:val="20"/>
          <w:szCs w:val="20"/>
          <w:lang w:val="es-ES"/>
        </w:rPr>
      </w:pPr>
    </w:p>
    <w:p w14:paraId="35FCB1DD" w14:textId="77777777" w:rsidR="00B73DB1" w:rsidRPr="00204D7A" w:rsidRDefault="00B73DB1" w:rsidP="00B73DB1">
      <w:pPr>
        <w:numPr>
          <w:ilvl w:val="0"/>
          <w:numId w:val="8"/>
        </w:numPr>
        <w:ind w:left="1440"/>
        <w:jc w:val="both"/>
        <w:rPr>
          <w:rFonts w:ascii="Cambria" w:hAnsi="Cambria" w:cs="Calibri Light"/>
          <w:b/>
          <w:bCs/>
          <w:color w:val="000000" w:themeColor="text1"/>
          <w:sz w:val="20"/>
          <w:szCs w:val="20"/>
          <w:lang w:val="es-ES"/>
        </w:rPr>
      </w:pPr>
      <w:r w:rsidRPr="00204D7A">
        <w:rPr>
          <w:rFonts w:ascii="Cambria" w:hAnsi="Cambria" w:cs="Calibri Light"/>
          <w:b/>
          <w:bCs/>
          <w:color w:val="000000" w:themeColor="text1"/>
          <w:sz w:val="20"/>
          <w:szCs w:val="20"/>
          <w:lang w:val="es-ES"/>
        </w:rPr>
        <w:t>Recomendaciones</w:t>
      </w:r>
    </w:p>
    <w:p w14:paraId="3A4028F4" w14:textId="77777777" w:rsidR="00B73DB1" w:rsidRPr="00204D7A" w:rsidRDefault="00B73DB1" w:rsidP="00B73DB1">
      <w:pPr>
        <w:ind w:left="1080"/>
        <w:jc w:val="both"/>
        <w:rPr>
          <w:rFonts w:ascii="Cambria" w:hAnsi="Cambria" w:cs="Calibri Light"/>
          <w:color w:val="000000" w:themeColor="text1"/>
          <w:sz w:val="20"/>
          <w:szCs w:val="20"/>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2222"/>
      </w:tblGrid>
      <w:tr w:rsidR="00204D7A" w:rsidRPr="00204D7A" w14:paraId="50B9C8FC" w14:textId="77777777" w:rsidTr="00C24C23">
        <w:tc>
          <w:tcPr>
            <w:tcW w:w="7290" w:type="dxa"/>
            <w:shd w:val="clear" w:color="auto" w:fill="auto"/>
            <w:vAlign w:val="center"/>
          </w:tcPr>
          <w:p w14:paraId="4A6FDEEC" w14:textId="77777777" w:rsidR="00B73DB1" w:rsidRPr="00204D7A" w:rsidRDefault="00B73DB1" w:rsidP="00C24C23">
            <w:pPr>
              <w:jc w:val="center"/>
              <w:rPr>
                <w:rFonts w:ascii="Cambria" w:hAnsi="Cambria" w:cs="Calibri Light"/>
                <w:b/>
                <w:bCs/>
                <w:color w:val="000000" w:themeColor="text1"/>
                <w:sz w:val="18"/>
                <w:szCs w:val="18"/>
                <w:lang w:val="es-ES"/>
              </w:rPr>
            </w:pPr>
            <w:r w:rsidRPr="00204D7A">
              <w:rPr>
                <w:rFonts w:ascii="Cambria" w:hAnsi="Cambria" w:cs="Calibri Light"/>
                <w:b/>
                <w:bCs/>
                <w:color w:val="000000" w:themeColor="text1"/>
                <w:sz w:val="18"/>
                <w:szCs w:val="18"/>
                <w:lang w:val="es-ES"/>
              </w:rPr>
              <w:t>Recomendaciones</w:t>
            </w:r>
          </w:p>
        </w:tc>
        <w:tc>
          <w:tcPr>
            <w:tcW w:w="2250" w:type="dxa"/>
            <w:shd w:val="clear" w:color="auto" w:fill="auto"/>
            <w:vAlign w:val="center"/>
          </w:tcPr>
          <w:p w14:paraId="40C7EC1C" w14:textId="1D1DC300" w:rsidR="00B73DB1" w:rsidRPr="00204D7A" w:rsidRDefault="00B73DB1" w:rsidP="00C24C23">
            <w:pPr>
              <w:jc w:val="center"/>
              <w:rPr>
                <w:rFonts w:ascii="Cambria" w:hAnsi="Cambria" w:cs="Calibri Light"/>
                <w:b/>
                <w:bCs/>
                <w:color w:val="000000" w:themeColor="text1"/>
                <w:sz w:val="18"/>
                <w:szCs w:val="18"/>
                <w:lang w:val="es-ES"/>
              </w:rPr>
            </w:pPr>
            <w:r w:rsidRPr="00204D7A">
              <w:rPr>
                <w:rFonts w:ascii="Cambria" w:hAnsi="Cambria" w:cs="Calibri Light"/>
                <w:b/>
                <w:bCs/>
                <w:color w:val="000000" w:themeColor="text1"/>
                <w:sz w:val="18"/>
                <w:szCs w:val="18"/>
                <w:lang w:val="es-ES"/>
              </w:rPr>
              <w:t>Estado de cumplimiento en el 2022</w:t>
            </w:r>
          </w:p>
        </w:tc>
      </w:tr>
      <w:tr w:rsidR="00204D7A" w:rsidRPr="00204D7A" w14:paraId="37698E4C" w14:textId="77777777" w:rsidTr="00C24C23">
        <w:tc>
          <w:tcPr>
            <w:tcW w:w="7290" w:type="dxa"/>
            <w:shd w:val="clear" w:color="auto" w:fill="auto"/>
          </w:tcPr>
          <w:p w14:paraId="02604B16" w14:textId="77777777" w:rsidR="00B73DB1" w:rsidRPr="00204D7A" w:rsidRDefault="00B73DB1" w:rsidP="00C24C23">
            <w:pPr>
              <w:jc w:val="both"/>
              <w:rPr>
                <w:rFonts w:ascii="Cambria" w:hAnsi="Cambria"/>
                <w:color w:val="000000" w:themeColor="text1"/>
                <w:sz w:val="18"/>
                <w:szCs w:val="18"/>
                <w:lang w:val="es-ES"/>
              </w:rPr>
            </w:pPr>
            <w:r w:rsidRPr="00204D7A">
              <w:rPr>
                <w:rFonts w:ascii="Cambria" w:hAnsi="Cambria"/>
                <w:color w:val="000000" w:themeColor="text1"/>
                <w:sz w:val="18"/>
                <w:szCs w:val="18"/>
                <w:lang w:val="es-ES"/>
              </w:rPr>
              <w:t>1. Otorgue a los familiares cercanos de Napoleón Beazley una reparación efectiva, que incluya una indemnización.</w:t>
            </w:r>
          </w:p>
        </w:tc>
        <w:tc>
          <w:tcPr>
            <w:tcW w:w="2250" w:type="dxa"/>
            <w:shd w:val="clear" w:color="auto" w:fill="auto"/>
            <w:vAlign w:val="center"/>
          </w:tcPr>
          <w:p w14:paraId="432D2ECF" w14:textId="77777777" w:rsidR="00B73DB1" w:rsidRPr="00204D7A" w:rsidRDefault="00B73DB1" w:rsidP="00C24C23">
            <w:pPr>
              <w:jc w:val="center"/>
              <w:rPr>
                <w:rFonts w:ascii="Cambria" w:hAnsi="Cambria" w:cs="Calibri Light"/>
                <w:b/>
                <w:bCs/>
                <w:color w:val="000000" w:themeColor="text1"/>
                <w:sz w:val="18"/>
                <w:szCs w:val="18"/>
                <w:lang w:val="es-ES"/>
              </w:rPr>
            </w:pPr>
            <w:r w:rsidRPr="00204D7A">
              <w:rPr>
                <w:rFonts w:ascii="Cambria" w:hAnsi="Cambria"/>
                <w:color w:val="000000" w:themeColor="text1"/>
                <w:sz w:val="18"/>
                <w:szCs w:val="18"/>
                <w:lang w:val="es-ES"/>
              </w:rPr>
              <w:t>Pendiente de cumplimiento</w:t>
            </w:r>
          </w:p>
        </w:tc>
      </w:tr>
      <w:tr w:rsidR="00B73DB1" w:rsidRPr="00204D7A" w14:paraId="4C87BEFB" w14:textId="77777777" w:rsidTr="00C24C23">
        <w:tc>
          <w:tcPr>
            <w:tcW w:w="7290" w:type="dxa"/>
            <w:shd w:val="clear" w:color="auto" w:fill="auto"/>
          </w:tcPr>
          <w:p w14:paraId="6784D4F2" w14:textId="77777777" w:rsidR="00B73DB1" w:rsidRPr="00204D7A" w:rsidRDefault="00B73DB1" w:rsidP="00C24C23">
            <w:pPr>
              <w:jc w:val="both"/>
              <w:rPr>
                <w:rFonts w:ascii="Cambria" w:hAnsi="Cambria"/>
                <w:color w:val="000000" w:themeColor="text1"/>
                <w:sz w:val="18"/>
                <w:szCs w:val="18"/>
                <w:lang w:val="es-ES"/>
              </w:rPr>
            </w:pPr>
            <w:r w:rsidRPr="00204D7A">
              <w:rPr>
                <w:rFonts w:ascii="Cambria" w:hAnsi="Cambria"/>
                <w:color w:val="000000" w:themeColor="text1"/>
                <w:sz w:val="18"/>
                <w:szCs w:val="18"/>
                <w:lang w:val="es-ES"/>
              </w:rPr>
              <w:t>2. Revise sus leyes, procedimientos y prácticas para asegurar que no se imponga la pena capital a personas que, en momentos de cometer el delito, tengan menos de 18 años de edad.</w:t>
            </w:r>
          </w:p>
        </w:tc>
        <w:tc>
          <w:tcPr>
            <w:tcW w:w="2250" w:type="dxa"/>
            <w:shd w:val="clear" w:color="auto" w:fill="auto"/>
            <w:vAlign w:val="center"/>
          </w:tcPr>
          <w:p w14:paraId="6DEA31DC" w14:textId="77777777" w:rsidR="00B73DB1" w:rsidRPr="00204D7A" w:rsidRDefault="00B73DB1" w:rsidP="00C24C23">
            <w:pPr>
              <w:jc w:val="center"/>
              <w:rPr>
                <w:rFonts w:ascii="Cambria" w:hAnsi="Cambria" w:cs="Calibri Light"/>
                <w:b/>
                <w:bCs/>
                <w:color w:val="000000" w:themeColor="text1"/>
                <w:sz w:val="18"/>
                <w:szCs w:val="18"/>
                <w:lang w:val="es-ES"/>
              </w:rPr>
            </w:pPr>
            <w:r w:rsidRPr="00204D7A">
              <w:rPr>
                <w:rFonts w:ascii="Cambria" w:hAnsi="Cambria"/>
                <w:color w:val="000000" w:themeColor="text1"/>
                <w:sz w:val="18"/>
                <w:szCs w:val="18"/>
                <w:lang w:val="es-ES"/>
              </w:rPr>
              <w:t>Cumplimiento total</w:t>
            </w:r>
            <w:r w:rsidRPr="00204D7A">
              <w:rPr>
                <w:rStyle w:val="FootnoteReference"/>
                <w:rFonts w:ascii="Cambria" w:hAnsi="Cambria"/>
                <w:color w:val="000000" w:themeColor="text1"/>
                <w:sz w:val="18"/>
                <w:szCs w:val="18"/>
                <w:lang w:val="es-ES"/>
              </w:rPr>
              <w:footnoteReference w:id="1"/>
            </w:r>
          </w:p>
        </w:tc>
      </w:tr>
    </w:tbl>
    <w:p w14:paraId="0EB678FB" w14:textId="77777777" w:rsidR="00B73DB1" w:rsidRPr="00204D7A" w:rsidRDefault="00B73DB1" w:rsidP="00B73DB1">
      <w:pPr>
        <w:jc w:val="both"/>
        <w:rPr>
          <w:rFonts w:ascii="Cambria" w:hAnsi="Cambria" w:cs="Calibri Light"/>
          <w:color w:val="000000" w:themeColor="text1"/>
          <w:sz w:val="20"/>
          <w:szCs w:val="20"/>
          <w:lang w:val="es-ES"/>
        </w:rPr>
      </w:pPr>
    </w:p>
    <w:p w14:paraId="094BE7D7" w14:textId="77777777" w:rsidR="00B73DB1" w:rsidRPr="00204D7A" w:rsidRDefault="00B73DB1" w:rsidP="00B73DB1">
      <w:pPr>
        <w:pStyle w:val="ListParagraph"/>
        <w:numPr>
          <w:ilvl w:val="0"/>
          <w:numId w:val="8"/>
        </w:numPr>
        <w:ind w:left="1440"/>
        <w:jc w:val="both"/>
        <w:rPr>
          <w:rFonts w:ascii="Cambria" w:hAnsi="Cambria" w:cs="Calibri Light"/>
          <w:b/>
          <w:bCs/>
          <w:color w:val="000000" w:themeColor="text1"/>
          <w:sz w:val="20"/>
          <w:szCs w:val="20"/>
          <w:lang w:val="es-ES"/>
        </w:rPr>
      </w:pPr>
      <w:r w:rsidRPr="00204D7A">
        <w:rPr>
          <w:rFonts w:ascii="Cambria" w:hAnsi="Cambria"/>
          <w:b/>
          <w:bCs/>
          <w:color w:val="000000" w:themeColor="text1"/>
          <w:sz w:val="20"/>
          <w:szCs w:val="20"/>
          <w:lang w:val="es-ES"/>
        </w:rPr>
        <w:t>Actividad Procesal</w:t>
      </w:r>
    </w:p>
    <w:p w14:paraId="51D4822D" w14:textId="77777777" w:rsidR="00016CED" w:rsidRPr="00204D7A" w:rsidRDefault="00016CED" w:rsidP="00016CED">
      <w:pPr>
        <w:rPr>
          <w:rFonts w:ascii="Cambria" w:hAnsi="Cambria" w:cs="Calibri Light"/>
          <w:color w:val="000000" w:themeColor="text1"/>
          <w:sz w:val="20"/>
          <w:szCs w:val="20"/>
          <w:lang w:val="es-ES"/>
        </w:rPr>
      </w:pPr>
    </w:p>
    <w:p w14:paraId="033574B2" w14:textId="77777777" w:rsidR="00016CED" w:rsidRPr="00204D7A" w:rsidRDefault="00016CED" w:rsidP="00016CED">
      <w:pPr>
        <w:pStyle w:val="ListParagraph"/>
        <w:numPr>
          <w:ilvl w:val="0"/>
          <w:numId w:val="11"/>
        </w:numPr>
        <w:jc w:val="both"/>
        <w:rPr>
          <w:rFonts w:ascii="Cambria" w:hAnsi="Cambria" w:cs="Calibri Light"/>
          <w:color w:val="000000" w:themeColor="text1"/>
          <w:sz w:val="20"/>
          <w:szCs w:val="20"/>
          <w:lang w:val="es-ES"/>
        </w:rPr>
      </w:pPr>
      <w:r w:rsidRPr="00204D7A">
        <w:rPr>
          <w:rFonts w:ascii="Cambria" w:hAnsi="Cambria" w:cs="Calibri Light"/>
          <w:color w:val="000000" w:themeColor="text1"/>
          <w:sz w:val="20"/>
          <w:szCs w:val="20"/>
          <w:lang w:val="es-ES"/>
        </w:rPr>
        <w:t xml:space="preserve">En 2022, la CIDH solicitó al Estado información actualizada sobre el cumplimiento de recomendaciones el 25 de agosto. A la fecha, el Estado no </w:t>
      </w:r>
      <w:r w:rsidRPr="00204D7A">
        <w:rPr>
          <w:rFonts w:ascii="Cambria" w:hAnsi="Cambria"/>
          <w:color w:val="000000" w:themeColor="text1"/>
          <w:sz w:val="20"/>
          <w:szCs w:val="20"/>
          <w:lang w:val="es-ES"/>
        </w:rPr>
        <w:t xml:space="preserve">presentó dicha información.  </w:t>
      </w:r>
    </w:p>
    <w:p w14:paraId="34CA8484" w14:textId="77777777" w:rsidR="00016CED" w:rsidRPr="00204D7A" w:rsidRDefault="00016CED" w:rsidP="00016CED">
      <w:pPr>
        <w:pStyle w:val="ListParagraph"/>
        <w:rPr>
          <w:rFonts w:ascii="Cambria" w:hAnsi="Cambria" w:cs="Calibri Light"/>
          <w:color w:val="000000" w:themeColor="text1"/>
          <w:sz w:val="20"/>
          <w:szCs w:val="20"/>
          <w:lang w:val="es-ES"/>
        </w:rPr>
      </w:pPr>
    </w:p>
    <w:p w14:paraId="557DAFF7" w14:textId="623A3268" w:rsidR="00016CED" w:rsidRPr="00204D7A" w:rsidRDefault="00016CED" w:rsidP="00016CED">
      <w:pPr>
        <w:pStyle w:val="ListParagraph"/>
        <w:numPr>
          <w:ilvl w:val="0"/>
          <w:numId w:val="11"/>
        </w:numPr>
        <w:jc w:val="both"/>
        <w:rPr>
          <w:rFonts w:ascii="Cambria" w:hAnsi="Cambria" w:cs="Calibri Light"/>
          <w:color w:val="000000" w:themeColor="text1"/>
          <w:sz w:val="20"/>
          <w:szCs w:val="20"/>
          <w:lang w:val="es-ES"/>
        </w:rPr>
      </w:pPr>
      <w:r w:rsidRPr="00204D7A">
        <w:rPr>
          <w:rFonts w:ascii="Cambria" w:hAnsi="Cambria" w:cs="Calibri Light"/>
          <w:color w:val="000000" w:themeColor="text1"/>
          <w:sz w:val="20"/>
          <w:szCs w:val="20"/>
          <w:lang w:val="es-ES"/>
        </w:rPr>
        <w:t xml:space="preserve">La CIDH </w:t>
      </w:r>
      <w:r w:rsidRPr="00204D7A">
        <w:rPr>
          <w:rFonts w:ascii="Cambria" w:hAnsi="Cambria"/>
          <w:color w:val="000000" w:themeColor="text1"/>
          <w:sz w:val="20"/>
          <w:szCs w:val="20"/>
          <w:lang w:val="es-ES"/>
        </w:rPr>
        <w:t>solicitó información actualizada al peticionario sobre el cumplimiento el 25 de agosto de 2022. A la fecha, la parte peticionaria no presentó la información solicitada.</w:t>
      </w:r>
    </w:p>
    <w:p w14:paraId="032ECF0E" w14:textId="77777777" w:rsidR="00B73DB1" w:rsidRPr="00204D7A" w:rsidRDefault="00B73DB1" w:rsidP="00016CED">
      <w:pPr>
        <w:jc w:val="both"/>
        <w:rPr>
          <w:rFonts w:ascii="Cambria" w:hAnsi="Cambria" w:cs="Calibri Light"/>
          <w:color w:val="000000" w:themeColor="text1"/>
          <w:sz w:val="20"/>
          <w:szCs w:val="20"/>
          <w:lang w:val="es-ES"/>
        </w:rPr>
      </w:pPr>
    </w:p>
    <w:p w14:paraId="35C9FC1E" w14:textId="6DACA3BC" w:rsidR="00B73DB1" w:rsidRPr="00204D7A" w:rsidRDefault="00B73DB1" w:rsidP="00B73DB1">
      <w:pPr>
        <w:pStyle w:val="ListParagraph"/>
        <w:numPr>
          <w:ilvl w:val="0"/>
          <w:numId w:val="8"/>
        </w:numPr>
        <w:ind w:left="1440"/>
        <w:jc w:val="both"/>
        <w:rPr>
          <w:rFonts w:ascii="Cambria" w:hAnsi="Cambria" w:cs="Calibri Light"/>
          <w:b/>
          <w:bCs/>
          <w:color w:val="000000" w:themeColor="text1"/>
          <w:sz w:val="20"/>
          <w:szCs w:val="20"/>
          <w:lang w:val="es-ES"/>
        </w:rPr>
      </w:pPr>
      <w:r w:rsidRPr="00204D7A">
        <w:rPr>
          <w:rFonts w:ascii="Cambria" w:hAnsi="Cambria" w:cs="Calibri Light"/>
          <w:b/>
          <w:bCs/>
          <w:color w:val="000000" w:themeColor="text1"/>
          <w:sz w:val="20"/>
          <w:szCs w:val="20"/>
          <w:lang w:val="es-ES"/>
        </w:rPr>
        <w:t>Análisis relativo a la información proporcionada</w:t>
      </w:r>
    </w:p>
    <w:p w14:paraId="131248FA" w14:textId="77777777" w:rsidR="00016CED" w:rsidRPr="00204D7A" w:rsidRDefault="00016CED" w:rsidP="00016CED">
      <w:pPr>
        <w:pStyle w:val="ListParagraph"/>
        <w:ind w:left="1440"/>
        <w:jc w:val="both"/>
        <w:rPr>
          <w:rFonts w:ascii="Cambria" w:hAnsi="Cambria" w:cs="Calibri Light"/>
          <w:b/>
          <w:bCs/>
          <w:color w:val="000000" w:themeColor="text1"/>
          <w:sz w:val="20"/>
          <w:szCs w:val="20"/>
          <w:lang w:val="es-ES"/>
        </w:rPr>
      </w:pPr>
    </w:p>
    <w:p w14:paraId="179B2CB9" w14:textId="3964F8CE" w:rsidR="00B73DB1" w:rsidRPr="00204D7A" w:rsidRDefault="00B73DB1" w:rsidP="00B73DB1">
      <w:pPr>
        <w:pStyle w:val="ListParagraph"/>
        <w:numPr>
          <w:ilvl w:val="0"/>
          <w:numId w:val="11"/>
        </w:numPr>
        <w:jc w:val="both"/>
        <w:rPr>
          <w:color w:val="000000" w:themeColor="text1"/>
          <w:sz w:val="20"/>
          <w:szCs w:val="20"/>
          <w:lang w:val="es-ES"/>
        </w:rPr>
      </w:pPr>
      <w:r w:rsidRPr="00204D7A">
        <w:rPr>
          <w:rFonts w:ascii="Cambria" w:hAnsi="Cambria" w:cs="Calibri Light"/>
          <w:color w:val="000000" w:themeColor="text1"/>
          <w:sz w:val="20"/>
          <w:szCs w:val="20"/>
          <w:lang w:val="es-ES"/>
        </w:rPr>
        <w:t>Ante la ausencia de información actualizada sobre el nivel de cumplimiento de las recomendaciones, la CIDH reitera el análisis del cumplimiento y las conclusiones realizadas en su Informe Anual 202</w:t>
      </w:r>
      <w:r w:rsidR="00E52D25" w:rsidRPr="00204D7A">
        <w:rPr>
          <w:rFonts w:ascii="Cambria" w:hAnsi="Cambria" w:cs="Calibri Light"/>
          <w:color w:val="000000" w:themeColor="text1"/>
          <w:sz w:val="20"/>
          <w:szCs w:val="20"/>
          <w:lang w:val="es-ES"/>
        </w:rPr>
        <w:t>1</w:t>
      </w:r>
      <w:r w:rsidRPr="00204D7A">
        <w:rPr>
          <w:rFonts w:ascii="Cambria" w:hAnsi="Cambria" w:cs="Calibri Light"/>
          <w:color w:val="000000" w:themeColor="text1"/>
          <w:sz w:val="20"/>
          <w:szCs w:val="20"/>
          <w:lang w:val="es-ES"/>
        </w:rPr>
        <w:t>.</w:t>
      </w:r>
    </w:p>
    <w:p w14:paraId="370F75E0" w14:textId="77777777" w:rsidR="00B73DB1" w:rsidRPr="00204D7A" w:rsidRDefault="00B73DB1" w:rsidP="00B73DB1">
      <w:pPr>
        <w:jc w:val="both"/>
        <w:rPr>
          <w:rFonts w:ascii="Cambria" w:hAnsi="Cambria" w:cs="Calibri Light"/>
          <w:color w:val="000000" w:themeColor="text1"/>
          <w:sz w:val="20"/>
          <w:szCs w:val="20"/>
          <w:lang w:val="es-ES"/>
        </w:rPr>
      </w:pPr>
    </w:p>
    <w:p w14:paraId="6729D37C" w14:textId="3286E8A6" w:rsidR="00B73DB1" w:rsidRPr="00204D7A" w:rsidRDefault="00B73DB1" w:rsidP="00B73DB1">
      <w:pPr>
        <w:pStyle w:val="ListParagraph"/>
        <w:numPr>
          <w:ilvl w:val="0"/>
          <w:numId w:val="8"/>
        </w:numPr>
        <w:ind w:left="1440"/>
        <w:jc w:val="both"/>
        <w:rPr>
          <w:rFonts w:ascii="Cambria" w:hAnsi="Cambria" w:cs="Calibri Light"/>
          <w:b/>
          <w:bCs/>
          <w:color w:val="000000" w:themeColor="text1"/>
          <w:sz w:val="20"/>
          <w:szCs w:val="20"/>
          <w:lang w:val="es-ES"/>
        </w:rPr>
      </w:pPr>
      <w:r w:rsidRPr="00204D7A">
        <w:rPr>
          <w:rFonts w:ascii="Cambria" w:hAnsi="Cambria" w:cs="Calibri Light"/>
          <w:b/>
          <w:bCs/>
          <w:color w:val="000000" w:themeColor="text1"/>
          <w:sz w:val="20"/>
          <w:szCs w:val="20"/>
          <w:lang w:val="es-ES"/>
        </w:rPr>
        <w:t>Análisis del cumplimiento de las recomendaciones</w:t>
      </w:r>
      <w:r w:rsidRPr="00204D7A">
        <w:rPr>
          <w:rStyle w:val="FootnoteReference"/>
          <w:rFonts w:ascii="Cambria" w:hAnsi="Cambria" w:cs="Calibri Light"/>
          <w:b/>
          <w:bCs/>
          <w:color w:val="000000" w:themeColor="text1"/>
          <w:sz w:val="20"/>
          <w:szCs w:val="20"/>
          <w:lang w:val="es-ES"/>
        </w:rPr>
        <w:footnoteReference w:id="2"/>
      </w:r>
    </w:p>
    <w:p w14:paraId="4AA33654" w14:textId="77777777" w:rsidR="00B73DB1" w:rsidRPr="00204D7A" w:rsidRDefault="00B73DB1" w:rsidP="00B73DB1">
      <w:pPr>
        <w:pStyle w:val="ListParagraph"/>
        <w:jc w:val="both"/>
        <w:rPr>
          <w:rFonts w:ascii="Cambria" w:hAnsi="Cambria"/>
          <w:color w:val="000000" w:themeColor="text1"/>
          <w:sz w:val="20"/>
          <w:szCs w:val="20"/>
          <w:lang w:val="es-ES"/>
        </w:rPr>
      </w:pPr>
    </w:p>
    <w:p w14:paraId="72681F23" w14:textId="77777777" w:rsidR="00B73DB1" w:rsidRPr="00204D7A" w:rsidRDefault="00B73DB1" w:rsidP="00B73DB1">
      <w:pPr>
        <w:pStyle w:val="ListParagraph"/>
        <w:numPr>
          <w:ilvl w:val="0"/>
          <w:numId w:val="11"/>
        </w:numPr>
        <w:jc w:val="both"/>
        <w:rPr>
          <w:rFonts w:ascii="Cambria" w:hAnsi="Cambria"/>
          <w:color w:val="000000" w:themeColor="text1"/>
          <w:sz w:val="20"/>
          <w:szCs w:val="20"/>
          <w:lang w:val="es-ES"/>
        </w:rPr>
      </w:pPr>
      <w:r w:rsidRPr="00204D7A">
        <w:rPr>
          <w:rFonts w:ascii="Cambria" w:hAnsi="Cambria"/>
          <w:b/>
          <w:bCs/>
          <w:color w:val="000000" w:themeColor="text1"/>
          <w:sz w:val="20"/>
          <w:szCs w:val="20"/>
          <w:lang w:val="es-ES"/>
        </w:rPr>
        <w:t>En relación con la primera recomendación</w:t>
      </w:r>
      <w:r w:rsidRPr="00204D7A">
        <w:rPr>
          <w:rFonts w:ascii="Cambria" w:hAnsi="Cambria"/>
          <w:color w:val="000000" w:themeColor="text1"/>
          <w:sz w:val="20"/>
          <w:szCs w:val="20"/>
          <w:lang w:val="es-ES"/>
        </w:rPr>
        <w:t>, en 2011, el Estado informó que ni su ley interna ni el derecho internacional requieren que se otorguen reparaciones a las familias de las personas cuya ejecución era legal en el momento en que se llevó a cabo</w:t>
      </w:r>
      <w:r w:rsidRPr="00204D7A">
        <w:rPr>
          <w:rStyle w:val="FootnoteReference"/>
          <w:rFonts w:ascii="Cambria" w:hAnsi="Cambria"/>
          <w:color w:val="000000" w:themeColor="text1"/>
          <w:sz w:val="20"/>
          <w:szCs w:val="20"/>
          <w:lang w:val="es-ES"/>
        </w:rPr>
        <w:footnoteReference w:id="3"/>
      </w:r>
      <w:r w:rsidRPr="00204D7A">
        <w:rPr>
          <w:rFonts w:ascii="Cambria" w:hAnsi="Cambria"/>
          <w:color w:val="000000" w:themeColor="text1"/>
          <w:sz w:val="20"/>
          <w:szCs w:val="20"/>
          <w:lang w:val="es-ES"/>
        </w:rPr>
        <w:t xml:space="preserve">. </w:t>
      </w:r>
      <w:r w:rsidRPr="00204D7A">
        <w:rPr>
          <w:rFonts w:ascii="Cambria" w:hAnsi="Cambria" w:cs="Calibri Light"/>
          <w:color w:val="000000" w:themeColor="text1"/>
          <w:sz w:val="20"/>
          <w:szCs w:val="20"/>
          <w:lang w:val="es-ES"/>
        </w:rPr>
        <w:t>En 2020, el Estado reiteró su posición sin presentar nueva información sobre acciones tomadas para dar cumplimiento a esta recomendación.</w:t>
      </w:r>
    </w:p>
    <w:p w14:paraId="1F7F6DC4" w14:textId="77777777" w:rsidR="00B73DB1" w:rsidRPr="00204D7A" w:rsidRDefault="00B73DB1" w:rsidP="00B73DB1">
      <w:pPr>
        <w:pStyle w:val="ListParagraph"/>
        <w:rPr>
          <w:rFonts w:ascii="Cambria" w:hAnsi="Cambria"/>
          <w:color w:val="000000" w:themeColor="text1"/>
          <w:sz w:val="20"/>
          <w:szCs w:val="20"/>
          <w:lang w:val="es-ES"/>
        </w:rPr>
      </w:pPr>
    </w:p>
    <w:p w14:paraId="76A2A8FA" w14:textId="77777777" w:rsidR="00B73DB1" w:rsidRPr="00204D7A" w:rsidRDefault="00B73DB1" w:rsidP="00B73DB1">
      <w:pPr>
        <w:pStyle w:val="ListParagraph"/>
        <w:numPr>
          <w:ilvl w:val="0"/>
          <w:numId w:val="11"/>
        </w:numPr>
        <w:jc w:val="both"/>
        <w:rPr>
          <w:rFonts w:ascii="Cambria" w:hAnsi="Cambria"/>
          <w:color w:val="000000" w:themeColor="text1"/>
          <w:sz w:val="20"/>
          <w:szCs w:val="20"/>
          <w:lang w:val="es-ES"/>
        </w:rPr>
      </w:pPr>
      <w:r w:rsidRPr="00204D7A">
        <w:rPr>
          <w:rFonts w:ascii="Cambria" w:hAnsi="Cambria"/>
          <w:color w:val="000000" w:themeColor="text1"/>
          <w:sz w:val="20"/>
          <w:szCs w:val="20"/>
          <w:lang w:val="es-ES"/>
        </w:rPr>
        <w:t>En 2014, los peticionarios informaron que el Estado no había tomado medidas para brindar una reparación efectiva, incluyendo indemnización, por los daños causados a la familia del señor Beazley mediante su condena a muerte y su ejecución</w:t>
      </w:r>
      <w:r w:rsidRPr="00204D7A">
        <w:rPr>
          <w:rStyle w:val="FootnoteReference"/>
          <w:rFonts w:ascii="Cambria" w:hAnsi="Cambria"/>
          <w:color w:val="000000" w:themeColor="text1"/>
          <w:sz w:val="20"/>
          <w:szCs w:val="20"/>
          <w:lang w:val="es-ES"/>
        </w:rPr>
        <w:footnoteReference w:id="4"/>
      </w:r>
      <w:r w:rsidRPr="00204D7A">
        <w:rPr>
          <w:rFonts w:ascii="Cambria" w:hAnsi="Cambria"/>
          <w:color w:val="000000" w:themeColor="text1"/>
          <w:sz w:val="20"/>
          <w:szCs w:val="20"/>
          <w:lang w:val="es-ES"/>
        </w:rPr>
        <w:t>. Asimismo, indicaron que los padres del señor Beazley tenían problemas de salud debidos probablemente al estrés extremo y la ansiedad que habían padecido por tener a su hijo en el corredor de la muerte durante siete años, a la dramática suspensión de su ejecución en 2001, y a haber tenido que soportar su ejecución en 2002. Los peticionarios destacaron que el gobierno del estado de Texas le debe a la familia Beazley una reparación efectiva, que incluya un pedido de perdón. A la fecha no se ha recibido información actualizada de parte del peticionario sobre este asunto.</w:t>
      </w:r>
    </w:p>
    <w:p w14:paraId="5939888A" w14:textId="77777777" w:rsidR="00B73DB1" w:rsidRPr="00204D7A" w:rsidRDefault="00B73DB1" w:rsidP="00B73DB1">
      <w:pPr>
        <w:pStyle w:val="ListParagraph"/>
        <w:rPr>
          <w:rFonts w:ascii="Cambria" w:hAnsi="Cambria"/>
          <w:color w:val="000000" w:themeColor="text1"/>
          <w:sz w:val="20"/>
          <w:szCs w:val="20"/>
          <w:lang w:val="es-ES"/>
        </w:rPr>
      </w:pPr>
    </w:p>
    <w:p w14:paraId="0F37EA95" w14:textId="77777777" w:rsidR="00B73DB1" w:rsidRPr="00204D7A" w:rsidRDefault="00B73DB1" w:rsidP="00B73DB1">
      <w:pPr>
        <w:pStyle w:val="ListParagraph"/>
        <w:numPr>
          <w:ilvl w:val="0"/>
          <w:numId w:val="11"/>
        </w:numPr>
        <w:jc w:val="both"/>
        <w:rPr>
          <w:rFonts w:ascii="Cambria" w:hAnsi="Cambria" w:cs="Calibri Light"/>
          <w:color w:val="000000" w:themeColor="text1"/>
          <w:sz w:val="20"/>
          <w:szCs w:val="20"/>
          <w:lang w:val="es-ES"/>
        </w:rPr>
      </w:pPr>
      <w:r w:rsidRPr="00204D7A">
        <w:rPr>
          <w:rFonts w:ascii="Cambria" w:hAnsi="Cambria"/>
          <w:color w:val="000000" w:themeColor="text1"/>
          <w:sz w:val="20"/>
          <w:szCs w:val="20"/>
          <w:lang w:val="es-ES"/>
        </w:rPr>
        <w:t>La CIDH recuerda al Estado que, de acuerdo con los principios del derecho internacional, todo incumplimiento de una obligación internacional que ocasione un perjuicio da lugar al deber de reparar dicho perjuicio de manera adecuada</w:t>
      </w:r>
      <w:r w:rsidRPr="00204D7A">
        <w:rPr>
          <w:rStyle w:val="FootnoteReference"/>
          <w:rFonts w:ascii="Cambria" w:hAnsi="Cambria"/>
          <w:color w:val="000000" w:themeColor="text1"/>
          <w:lang w:val="es-ES"/>
        </w:rPr>
        <w:footnoteReference w:id="5"/>
      </w:r>
      <w:r w:rsidRPr="00204D7A">
        <w:rPr>
          <w:rFonts w:ascii="Cambria" w:hAnsi="Cambria"/>
          <w:color w:val="000000" w:themeColor="text1"/>
          <w:sz w:val="20"/>
          <w:szCs w:val="20"/>
          <w:lang w:val="es-ES"/>
        </w:rPr>
        <w:t>. De conformidad con la jurisprudencia del sistema interamericano, las víctimas de violaciones de derechos humanos tienen derecho a recibir una reparación adecuada por el daño sufrido, la cual debe concretarse en medidas individuales para restituir, indemnizar y rehabilitar a la víctima, así como medidas de satisfacción y garantías de no repetición</w:t>
      </w:r>
      <w:r w:rsidRPr="00204D7A">
        <w:rPr>
          <w:rStyle w:val="FootnoteReference"/>
          <w:rFonts w:ascii="Cambria" w:hAnsi="Cambria"/>
          <w:color w:val="000000" w:themeColor="text1"/>
          <w:lang w:val="es-ES"/>
        </w:rPr>
        <w:footnoteReference w:id="6"/>
      </w:r>
      <w:r w:rsidRPr="00204D7A">
        <w:rPr>
          <w:rFonts w:ascii="Cambria" w:hAnsi="Cambria"/>
          <w:color w:val="000000" w:themeColor="text1"/>
          <w:sz w:val="20"/>
          <w:szCs w:val="20"/>
          <w:lang w:val="es-ES"/>
        </w:rPr>
        <w:t>. Además, un Estado no puede recurrir a su derecho interno para modificar esta obligación o hacer caso omiso de ella</w:t>
      </w:r>
      <w:r w:rsidRPr="00204D7A">
        <w:rPr>
          <w:rStyle w:val="FootnoteReference"/>
          <w:rFonts w:ascii="Cambria" w:hAnsi="Cambria"/>
          <w:color w:val="000000" w:themeColor="text1"/>
          <w:lang w:val="es-ES"/>
        </w:rPr>
        <w:footnoteReference w:id="7"/>
      </w:r>
      <w:r w:rsidRPr="00204D7A">
        <w:rPr>
          <w:rFonts w:ascii="Cambria" w:hAnsi="Cambria"/>
          <w:color w:val="000000" w:themeColor="text1"/>
          <w:sz w:val="20"/>
          <w:szCs w:val="20"/>
          <w:lang w:val="es-ES"/>
        </w:rPr>
        <w:t xml:space="preserve">. Por lo anterior, la CIDH considera que la Recomendación 1 se encuentra pendiente de cumplimiento. </w:t>
      </w:r>
    </w:p>
    <w:p w14:paraId="6F2EFE70" w14:textId="77777777" w:rsidR="00B73DB1" w:rsidRPr="00204D7A" w:rsidRDefault="00B73DB1" w:rsidP="00B73DB1">
      <w:pPr>
        <w:pStyle w:val="ListParagraph"/>
        <w:rPr>
          <w:rFonts w:ascii="Cambria" w:hAnsi="Cambria" w:cs="Calibri Light"/>
          <w:color w:val="000000" w:themeColor="text1"/>
          <w:sz w:val="20"/>
          <w:szCs w:val="20"/>
          <w:lang w:val="es-ES"/>
        </w:rPr>
      </w:pPr>
    </w:p>
    <w:p w14:paraId="78E4043F" w14:textId="77777777" w:rsidR="00B73DB1" w:rsidRPr="00204D7A" w:rsidRDefault="00B73DB1" w:rsidP="00B73DB1">
      <w:pPr>
        <w:pStyle w:val="ListParagraph"/>
        <w:numPr>
          <w:ilvl w:val="0"/>
          <w:numId w:val="11"/>
        </w:numPr>
        <w:jc w:val="both"/>
        <w:rPr>
          <w:rFonts w:ascii="Cambria" w:hAnsi="Cambria" w:cs="Calibri Light"/>
          <w:color w:val="000000" w:themeColor="text1"/>
          <w:sz w:val="20"/>
          <w:szCs w:val="20"/>
          <w:lang w:val="es-ES"/>
        </w:rPr>
      </w:pPr>
      <w:r w:rsidRPr="00204D7A">
        <w:rPr>
          <w:rFonts w:ascii="Cambria" w:hAnsi="Cambria" w:cs="Calibri Light"/>
          <w:b/>
          <w:bCs/>
          <w:color w:val="000000" w:themeColor="text1"/>
          <w:sz w:val="20"/>
          <w:szCs w:val="20"/>
          <w:lang w:val="es-ES"/>
        </w:rPr>
        <w:t>En relación con la segunda recomendación,</w:t>
      </w:r>
      <w:r w:rsidRPr="00204D7A">
        <w:rPr>
          <w:rFonts w:ascii="Cambria" w:hAnsi="Cambria" w:cs="Calibri Light"/>
          <w:color w:val="000000" w:themeColor="text1"/>
          <w:sz w:val="20"/>
          <w:szCs w:val="20"/>
          <w:lang w:val="es-ES"/>
        </w:rPr>
        <w:t xml:space="preserve"> con base en la sentencia de la Corte Suprema de 2005 en el caso </w:t>
      </w:r>
      <w:r w:rsidRPr="00204D7A">
        <w:rPr>
          <w:rFonts w:ascii="Cambria" w:hAnsi="Cambria" w:cs="Calibri Light"/>
          <w:i/>
          <w:iCs/>
          <w:color w:val="000000" w:themeColor="text1"/>
          <w:sz w:val="20"/>
          <w:szCs w:val="20"/>
          <w:lang w:val="es-ES"/>
        </w:rPr>
        <w:t>Roper v. Simmons</w:t>
      </w:r>
      <w:r w:rsidRPr="00204D7A">
        <w:rPr>
          <w:rFonts w:ascii="Cambria" w:hAnsi="Cambria" w:cs="Calibri Light"/>
          <w:color w:val="000000" w:themeColor="text1"/>
          <w:sz w:val="20"/>
          <w:szCs w:val="20"/>
          <w:lang w:val="es-ES"/>
        </w:rPr>
        <w:t>, en su Informe Anual de 2006 la CIDH declaró que se le había dado cumplimiento total.</w:t>
      </w:r>
    </w:p>
    <w:p w14:paraId="5E83E4F0" w14:textId="77777777" w:rsidR="00B73DB1" w:rsidRPr="00204D7A" w:rsidRDefault="00B73DB1" w:rsidP="00B73DB1">
      <w:pPr>
        <w:jc w:val="both"/>
        <w:rPr>
          <w:rFonts w:ascii="Cambria" w:hAnsi="Cambria"/>
          <w:color w:val="000000" w:themeColor="text1"/>
          <w:sz w:val="20"/>
          <w:szCs w:val="20"/>
          <w:lang w:val="es-ES"/>
        </w:rPr>
      </w:pPr>
    </w:p>
    <w:p w14:paraId="04F2B55D" w14:textId="77777777" w:rsidR="00B73DB1" w:rsidRPr="00204D7A" w:rsidRDefault="00B73DB1" w:rsidP="00B73DB1">
      <w:pPr>
        <w:pStyle w:val="FootnoteText"/>
        <w:numPr>
          <w:ilvl w:val="0"/>
          <w:numId w:val="8"/>
        </w:numPr>
        <w:ind w:left="1440"/>
        <w:jc w:val="both"/>
        <w:rPr>
          <w:rFonts w:ascii="Cambria" w:hAnsi="Cambria" w:cs="Calibri Light"/>
          <w:b/>
          <w:bCs/>
          <w:color w:val="000000" w:themeColor="text1"/>
          <w:lang w:val="es-ES"/>
        </w:rPr>
      </w:pPr>
      <w:r w:rsidRPr="00204D7A">
        <w:rPr>
          <w:rFonts w:ascii="Cambria" w:hAnsi="Cambria" w:cs="Calibri Light"/>
          <w:b/>
          <w:bCs/>
          <w:color w:val="000000" w:themeColor="text1"/>
          <w:lang w:val="es-ES"/>
        </w:rPr>
        <w:t>Nivel del cumplimiento del caso</w:t>
      </w:r>
    </w:p>
    <w:p w14:paraId="6E247305" w14:textId="77777777" w:rsidR="00B73DB1" w:rsidRPr="00204D7A" w:rsidRDefault="00B73DB1" w:rsidP="00B73DB1">
      <w:pPr>
        <w:jc w:val="both"/>
        <w:rPr>
          <w:rFonts w:ascii="Cambria" w:hAnsi="Cambria" w:cs="Calibri Light"/>
          <w:color w:val="000000" w:themeColor="text1"/>
          <w:sz w:val="20"/>
          <w:szCs w:val="20"/>
          <w:lang w:val="es-ES"/>
        </w:rPr>
      </w:pPr>
    </w:p>
    <w:p w14:paraId="075D768A" w14:textId="77777777" w:rsidR="00B73DB1" w:rsidRPr="00204D7A" w:rsidRDefault="00B73DB1" w:rsidP="00B73DB1">
      <w:pPr>
        <w:pStyle w:val="ListParagraph"/>
        <w:numPr>
          <w:ilvl w:val="0"/>
          <w:numId w:val="11"/>
        </w:numPr>
        <w:jc w:val="both"/>
        <w:rPr>
          <w:rFonts w:ascii="Cambria" w:hAnsi="Cambria" w:cs="Calibri Light"/>
          <w:color w:val="000000" w:themeColor="text1"/>
          <w:sz w:val="20"/>
          <w:szCs w:val="20"/>
          <w:lang w:val="es-ES"/>
        </w:rPr>
      </w:pPr>
      <w:r w:rsidRPr="00204D7A">
        <w:rPr>
          <w:rFonts w:ascii="Cambria" w:hAnsi="Cambria" w:cs="Calibri Light"/>
          <w:color w:val="000000" w:themeColor="text1"/>
          <w:sz w:val="20"/>
          <w:szCs w:val="20"/>
          <w:lang w:val="es-ES"/>
        </w:rPr>
        <w:t xml:space="preserve">Por lo anterior, la Comisión concluye que el nivel de cumplimiento del caso es parcial. En consecuencia, la CIDH seguirá supervisando el cumplimiento de la Recomendación 1. </w:t>
      </w:r>
    </w:p>
    <w:p w14:paraId="27993904" w14:textId="77777777" w:rsidR="00B73DB1" w:rsidRPr="00204D7A" w:rsidRDefault="00B73DB1" w:rsidP="00B73DB1">
      <w:pPr>
        <w:pStyle w:val="ListParagraph"/>
        <w:jc w:val="both"/>
        <w:rPr>
          <w:rFonts w:ascii="Cambria" w:hAnsi="Cambria" w:cs="Calibri Light"/>
          <w:color w:val="000000" w:themeColor="text1"/>
          <w:sz w:val="20"/>
          <w:szCs w:val="20"/>
          <w:lang w:val="es-ES"/>
        </w:rPr>
      </w:pPr>
    </w:p>
    <w:p w14:paraId="3C2D20BA" w14:textId="77777777" w:rsidR="00B73DB1" w:rsidRPr="00204D7A" w:rsidRDefault="00B73DB1" w:rsidP="00B73DB1">
      <w:pPr>
        <w:pStyle w:val="ListParagraph"/>
        <w:numPr>
          <w:ilvl w:val="0"/>
          <w:numId w:val="11"/>
        </w:numPr>
        <w:jc w:val="both"/>
        <w:rPr>
          <w:rFonts w:ascii="Cambria" w:hAnsi="Cambria" w:cs="Calibri Light"/>
          <w:color w:val="000000" w:themeColor="text1"/>
          <w:sz w:val="20"/>
          <w:szCs w:val="20"/>
          <w:lang w:val="es-ES"/>
        </w:rPr>
      </w:pPr>
      <w:r w:rsidRPr="00204D7A">
        <w:rPr>
          <w:rFonts w:ascii="Cambria" w:hAnsi="Cambria" w:cs="Calibri Light"/>
          <w:color w:val="000000" w:themeColor="text1"/>
          <w:sz w:val="20"/>
          <w:szCs w:val="20"/>
          <w:lang w:val="es-ES"/>
        </w:rPr>
        <w:t>La Comisión insta al Estado a adoptar acciones para cumplir con la Recomendación 1, resaltando que este es el único punto pendiente para que haya un cumplimiento total de las recomendaciones emitidas en el Informe de Fondo Nº 101/03. Al mismo tiempo, la CIDH invita a los peticionarios a presentar información sobre las medidas adoptadas por parte del Estado para cumplir con esta recomendación.</w:t>
      </w:r>
    </w:p>
    <w:p w14:paraId="2A4D43FB" w14:textId="77777777" w:rsidR="00B73DB1" w:rsidRPr="00204D7A" w:rsidRDefault="00B73DB1" w:rsidP="00B73DB1">
      <w:pPr>
        <w:jc w:val="both"/>
        <w:rPr>
          <w:rFonts w:ascii="Cambria" w:hAnsi="Cambria"/>
          <w:color w:val="000000" w:themeColor="text1"/>
          <w:sz w:val="20"/>
          <w:szCs w:val="20"/>
          <w:lang w:val="es-ES"/>
        </w:rPr>
      </w:pPr>
    </w:p>
    <w:p w14:paraId="7135C7CD" w14:textId="77777777" w:rsidR="00B73DB1" w:rsidRPr="00204D7A" w:rsidRDefault="00B73DB1" w:rsidP="00B73DB1">
      <w:pPr>
        <w:pStyle w:val="ListParagraph"/>
        <w:numPr>
          <w:ilvl w:val="0"/>
          <w:numId w:val="8"/>
        </w:numPr>
        <w:ind w:left="1440"/>
        <w:jc w:val="both"/>
        <w:rPr>
          <w:rFonts w:ascii="Cambria" w:hAnsi="Cambria"/>
          <w:b/>
          <w:bCs/>
          <w:color w:val="000000" w:themeColor="text1"/>
          <w:sz w:val="20"/>
          <w:szCs w:val="20"/>
          <w:lang w:val="es-ES"/>
        </w:rPr>
      </w:pPr>
      <w:r w:rsidRPr="00204D7A">
        <w:rPr>
          <w:rFonts w:ascii="Cambria" w:hAnsi="Cambria"/>
          <w:b/>
          <w:bCs/>
          <w:color w:val="000000" w:themeColor="text1"/>
          <w:sz w:val="20"/>
          <w:szCs w:val="20"/>
          <w:lang w:val="es-ES"/>
        </w:rPr>
        <w:t>Resultados individuales y estructurales del caso</w:t>
      </w:r>
    </w:p>
    <w:p w14:paraId="373EF896" w14:textId="77777777" w:rsidR="00B73DB1" w:rsidRPr="00204D7A" w:rsidRDefault="00B73DB1" w:rsidP="00B73DB1">
      <w:pPr>
        <w:jc w:val="both"/>
        <w:rPr>
          <w:rFonts w:ascii="Cambria" w:hAnsi="Cambria"/>
          <w:b/>
          <w:bCs/>
          <w:color w:val="000000" w:themeColor="text1"/>
          <w:sz w:val="20"/>
          <w:szCs w:val="20"/>
          <w:lang w:val="es-ES"/>
        </w:rPr>
      </w:pPr>
    </w:p>
    <w:p w14:paraId="05D368BD" w14:textId="77777777" w:rsidR="00B73DB1" w:rsidRPr="00204D7A" w:rsidRDefault="00B73DB1" w:rsidP="00B73DB1">
      <w:pPr>
        <w:pStyle w:val="ListParagraph"/>
        <w:numPr>
          <w:ilvl w:val="0"/>
          <w:numId w:val="11"/>
        </w:numPr>
        <w:jc w:val="both"/>
        <w:rPr>
          <w:rFonts w:ascii="Cambria" w:hAnsi="Cambria"/>
          <w:color w:val="000000" w:themeColor="text1"/>
          <w:sz w:val="20"/>
          <w:szCs w:val="20"/>
          <w:lang w:val="es-ES"/>
        </w:rPr>
      </w:pPr>
      <w:r w:rsidRPr="00204D7A">
        <w:rPr>
          <w:rFonts w:ascii="Cambria" w:hAnsi="Cambria" w:cs="Calibri Light"/>
          <w:color w:val="000000" w:themeColor="text1"/>
          <w:sz w:val="20"/>
          <w:szCs w:val="20"/>
          <w:lang w:val="es-ES"/>
        </w:rPr>
        <w:t xml:space="preserve">En esta sección se destacan los resultados individuales y estructurales del caso informados por las partes. </w:t>
      </w:r>
    </w:p>
    <w:p w14:paraId="1A65D0C3" w14:textId="77777777" w:rsidR="00B73DB1" w:rsidRPr="00204D7A" w:rsidRDefault="00B73DB1" w:rsidP="00B73DB1">
      <w:pPr>
        <w:jc w:val="both"/>
        <w:rPr>
          <w:rFonts w:ascii="Cambria" w:hAnsi="Cambria"/>
          <w:b/>
          <w:bCs/>
          <w:color w:val="000000" w:themeColor="text1"/>
          <w:sz w:val="20"/>
          <w:szCs w:val="20"/>
          <w:lang w:val="es-ES"/>
        </w:rPr>
      </w:pPr>
    </w:p>
    <w:p w14:paraId="4F0681DC" w14:textId="77777777" w:rsidR="00B73DB1" w:rsidRPr="00204D7A" w:rsidRDefault="00B73DB1" w:rsidP="00B73DB1">
      <w:pPr>
        <w:pStyle w:val="ListParagraph"/>
        <w:numPr>
          <w:ilvl w:val="0"/>
          <w:numId w:val="9"/>
        </w:numPr>
        <w:ind w:left="1440" w:hanging="720"/>
        <w:jc w:val="both"/>
        <w:rPr>
          <w:rFonts w:ascii="Cambria" w:hAnsi="Cambria"/>
          <w:b/>
          <w:bCs/>
          <w:color w:val="000000" w:themeColor="text1"/>
          <w:sz w:val="20"/>
          <w:szCs w:val="20"/>
          <w:lang w:val="es-ES"/>
        </w:rPr>
      </w:pPr>
      <w:r w:rsidRPr="00204D7A">
        <w:rPr>
          <w:rFonts w:ascii="Cambria" w:hAnsi="Cambria"/>
          <w:b/>
          <w:bCs/>
          <w:color w:val="000000" w:themeColor="text1"/>
          <w:sz w:val="20"/>
          <w:szCs w:val="20"/>
          <w:lang w:val="es-ES"/>
        </w:rPr>
        <w:t>Resultados individuales del caso</w:t>
      </w:r>
    </w:p>
    <w:p w14:paraId="47B0B787" w14:textId="77777777" w:rsidR="00B73DB1" w:rsidRPr="00204D7A" w:rsidRDefault="00B73DB1" w:rsidP="00B73DB1">
      <w:pPr>
        <w:jc w:val="both"/>
        <w:rPr>
          <w:rFonts w:ascii="Cambria" w:hAnsi="Cambria"/>
          <w:b/>
          <w:bCs/>
          <w:color w:val="000000" w:themeColor="text1"/>
          <w:sz w:val="20"/>
          <w:szCs w:val="20"/>
          <w:lang w:val="es-ES"/>
        </w:rPr>
      </w:pPr>
    </w:p>
    <w:p w14:paraId="617D9161" w14:textId="77777777" w:rsidR="00B73DB1" w:rsidRPr="00204D7A" w:rsidRDefault="00B73DB1" w:rsidP="00B73DB1">
      <w:pPr>
        <w:pStyle w:val="ListParagraph"/>
        <w:numPr>
          <w:ilvl w:val="0"/>
          <w:numId w:val="10"/>
        </w:numPr>
        <w:jc w:val="both"/>
        <w:rPr>
          <w:rFonts w:ascii="Cambria" w:hAnsi="Cambria"/>
          <w:color w:val="000000" w:themeColor="text1"/>
          <w:sz w:val="20"/>
          <w:szCs w:val="20"/>
          <w:lang w:val="es-ES"/>
        </w:rPr>
      </w:pPr>
      <w:r w:rsidRPr="00204D7A">
        <w:rPr>
          <w:rFonts w:ascii="Cambria" w:hAnsi="Cambria"/>
          <w:color w:val="000000" w:themeColor="text1"/>
          <w:sz w:val="20"/>
          <w:szCs w:val="20"/>
          <w:lang w:val="es-ES"/>
        </w:rPr>
        <w:t xml:space="preserve">No hay resultados individuales informados por las partes.  </w:t>
      </w:r>
    </w:p>
    <w:p w14:paraId="293F2030" w14:textId="77777777" w:rsidR="00B73DB1" w:rsidRPr="00204D7A" w:rsidRDefault="00B73DB1" w:rsidP="00B73DB1">
      <w:pPr>
        <w:jc w:val="both"/>
        <w:rPr>
          <w:rFonts w:ascii="Cambria" w:hAnsi="Cambria"/>
          <w:color w:val="000000" w:themeColor="text1"/>
          <w:sz w:val="20"/>
          <w:szCs w:val="20"/>
          <w:lang w:val="es-ES"/>
        </w:rPr>
      </w:pPr>
    </w:p>
    <w:p w14:paraId="75C2A521" w14:textId="77777777" w:rsidR="00B73DB1" w:rsidRPr="00204D7A" w:rsidRDefault="00B73DB1" w:rsidP="00B73DB1">
      <w:pPr>
        <w:pStyle w:val="ListParagraph"/>
        <w:numPr>
          <w:ilvl w:val="0"/>
          <w:numId w:val="9"/>
        </w:numPr>
        <w:ind w:left="1440" w:hanging="720"/>
        <w:jc w:val="both"/>
        <w:rPr>
          <w:rFonts w:ascii="Cambria" w:hAnsi="Cambria"/>
          <w:b/>
          <w:bCs/>
          <w:color w:val="000000" w:themeColor="text1"/>
          <w:sz w:val="20"/>
          <w:szCs w:val="20"/>
          <w:lang w:val="es-ES"/>
        </w:rPr>
      </w:pPr>
      <w:r w:rsidRPr="00204D7A">
        <w:rPr>
          <w:rFonts w:ascii="Cambria" w:hAnsi="Cambria"/>
          <w:b/>
          <w:bCs/>
          <w:color w:val="000000" w:themeColor="text1"/>
          <w:sz w:val="20"/>
          <w:szCs w:val="20"/>
          <w:lang w:val="es-ES"/>
        </w:rPr>
        <w:t>Resultados estructurales del caso</w:t>
      </w:r>
    </w:p>
    <w:p w14:paraId="4745DF12" w14:textId="77777777" w:rsidR="00B73DB1" w:rsidRPr="00204D7A" w:rsidRDefault="00B73DB1" w:rsidP="00B73DB1">
      <w:pPr>
        <w:jc w:val="both"/>
        <w:rPr>
          <w:rFonts w:ascii="Cambria" w:hAnsi="Cambria"/>
          <w:color w:val="000000" w:themeColor="text1"/>
          <w:sz w:val="20"/>
          <w:szCs w:val="20"/>
          <w:lang w:val="es-ES"/>
        </w:rPr>
      </w:pPr>
    </w:p>
    <w:p w14:paraId="5E8B8796" w14:textId="77777777" w:rsidR="00B73DB1" w:rsidRPr="00204D7A" w:rsidRDefault="00B73DB1" w:rsidP="00B73DB1">
      <w:pPr>
        <w:jc w:val="both"/>
        <w:rPr>
          <w:rFonts w:ascii="Cambria" w:hAnsi="Cambria"/>
          <w:i/>
          <w:iCs/>
          <w:color w:val="000000" w:themeColor="text1"/>
          <w:sz w:val="20"/>
          <w:szCs w:val="20"/>
          <w:lang w:val="es-ES"/>
        </w:rPr>
      </w:pPr>
      <w:r w:rsidRPr="00204D7A">
        <w:rPr>
          <w:rFonts w:ascii="Cambria" w:hAnsi="Cambria"/>
          <w:i/>
          <w:iCs/>
          <w:color w:val="000000" w:themeColor="text1"/>
          <w:sz w:val="20"/>
          <w:szCs w:val="20"/>
          <w:lang w:val="es-ES"/>
        </w:rPr>
        <w:t xml:space="preserve">Medidas de No Repetición </w:t>
      </w:r>
    </w:p>
    <w:p w14:paraId="29DD5B5D" w14:textId="77777777" w:rsidR="00B73DB1" w:rsidRPr="00204D7A" w:rsidRDefault="00B73DB1" w:rsidP="00B73DB1">
      <w:pPr>
        <w:pStyle w:val="ListParagraph"/>
        <w:numPr>
          <w:ilvl w:val="0"/>
          <w:numId w:val="10"/>
        </w:numPr>
        <w:jc w:val="both"/>
        <w:rPr>
          <w:rFonts w:ascii="Cambria" w:hAnsi="Cambria"/>
          <w:color w:val="000000" w:themeColor="text1"/>
          <w:sz w:val="20"/>
          <w:szCs w:val="20"/>
          <w:lang w:val="es-ES"/>
        </w:rPr>
      </w:pPr>
      <w:r w:rsidRPr="00204D7A">
        <w:rPr>
          <w:rFonts w:ascii="Cambria" w:hAnsi="Cambria"/>
          <w:color w:val="000000" w:themeColor="text1"/>
          <w:sz w:val="20"/>
          <w:szCs w:val="20"/>
          <w:lang w:val="es-ES"/>
        </w:rPr>
        <w:t xml:space="preserve">El 1 de marzo de 2005 la Corte Suprema de los Estados Unidos decidió en </w:t>
      </w:r>
      <w:r w:rsidRPr="00204D7A">
        <w:rPr>
          <w:rFonts w:ascii="Cambria" w:hAnsi="Cambria"/>
          <w:i/>
          <w:iCs/>
          <w:color w:val="000000" w:themeColor="text1"/>
          <w:sz w:val="20"/>
          <w:szCs w:val="20"/>
          <w:lang w:val="es-ES"/>
        </w:rPr>
        <w:t>Roper v. Simmons</w:t>
      </w:r>
      <w:r w:rsidRPr="00204D7A">
        <w:rPr>
          <w:rFonts w:ascii="Cambria" w:hAnsi="Cambria"/>
          <w:color w:val="000000" w:themeColor="text1"/>
          <w:sz w:val="20"/>
          <w:szCs w:val="20"/>
          <w:lang w:val="es-ES"/>
        </w:rPr>
        <w:t xml:space="preserve"> que imponer la pena de muerte a quienes tuvieran menos de 18 años al momento de cometer el delito viola la Octava y Décimo Cuarta Enmiendas de la Constitución de los Estados Unidos. </w:t>
      </w:r>
    </w:p>
    <w:p w14:paraId="2C06B868" w14:textId="77777777" w:rsidR="00B73DB1" w:rsidRPr="00204D7A" w:rsidRDefault="00B73DB1" w:rsidP="00B73DB1">
      <w:pPr>
        <w:pStyle w:val="ListParagraph"/>
        <w:jc w:val="both"/>
        <w:rPr>
          <w:rFonts w:ascii="Cambria" w:hAnsi="Cambria"/>
          <w:color w:val="000000" w:themeColor="text1"/>
          <w:sz w:val="20"/>
          <w:szCs w:val="20"/>
          <w:lang w:val="es-ES"/>
        </w:rPr>
      </w:pPr>
    </w:p>
    <w:p w14:paraId="18DD3B69" w14:textId="77777777" w:rsidR="00B73DB1" w:rsidRPr="00204D7A" w:rsidRDefault="00B73DB1" w:rsidP="00B73DB1">
      <w:pPr>
        <w:jc w:val="both"/>
        <w:rPr>
          <w:rFonts w:ascii="Cambria" w:hAnsi="Cambria"/>
          <w:color w:val="000000" w:themeColor="text1"/>
          <w:sz w:val="20"/>
          <w:szCs w:val="20"/>
          <w:lang w:val="es-ES"/>
        </w:rPr>
      </w:pPr>
    </w:p>
    <w:p w14:paraId="7A3CE583" w14:textId="77777777" w:rsidR="00B73DB1" w:rsidRPr="00204D7A" w:rsidRDefault="00B73DB1" w:rsidP="00B73DB1">
      <w:pPr>
        <w:jc w:val="both"/>
        <w:rPr>
          <w:rFonts w:ascii="Cambria" w:hAnsi="Cambria"/>
          <w:color w:val="000000" w:themeColor="text1"/>
          <w:sz w:val="20"/>
          <w:szCs w:val="20"/>
          <w:lang w:val="es-ES"/>
        </w:rPr>
      </w:pPr>
    </w:p>
    <w:p w14:paraId="45B26099" w14:textId="77777777" w:rsidR="00BD17B0" w:rsidRPr="00204D7A" w:rsidRDefault="00BD17B0" w:rsidP="007C4DCE">
      <w:pPr>
        <w:rPr>
          <w:color w:val="000000" w:themeColor="text1"/>
          <w:sz w:val="20"/>
          <w:szCs w:val="20"/>
          <w:lang w:val="es-ES"/>
        </w:rPr>
      </w:pPr>
    </w:p>
    <w:sectPr w:rsidR="00BD17B0" w:rsidRPr="00204D7A" w:rsidSect="00566CD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F23B" w14:textId="77777777" w:rsidR="008A179E" w:rsidRDefault="008A179E" w:rsidP="00672733">
      <w:r>
        <w:separator/>
      </w:r>
    </w:p>
  </w:endnote>
  <w:endnote w:type="continuationSeparator" w:id="0">
    <w:p w14:paraId="13A422B4" w14:textId="77777777" w:rsidR="008A179E" w:rsidRDefault="008A179E"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50D" w14:textId="77777777" w:rsidR="00A80674" w:rsidRDefault="00A80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C320" w14:textId="77777777" w:rsidR="00A80674" w:rsidRDefault="00A8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B27D" w14:textId="77777777" w:rsidR="008A179E" w:rsidRDefault="008A179E" w:rsidP="00672733">
      <w:r>
        <w:separator/>
      </w:r>
    </w:p>
  </w:footnote>
  <w:footnote w:type="continuationSeparator" w:id="0">
    <w:p w14:paraId="111E10E5" w14:textId="77777777" w:rsidR="008A179E" w:rsidRDefault="008A179E" w:rsidP="00672733">
      <w:r>
        <w:continuationSeparator/>
      </w:r>
    </w:p>
  </w:footnote>
  <w:footnote w:id="1">
    <w:p w14:paraId="587DAFF0" w14:textId="77777777" w:rsidR="00B73DB1" w:rsidRPr="00355AC3" w:rsidRDefault="00B73DB1" w:rsidP="00B73DB1">
      <w:pPr>
        <w:pStyle w:val="FootnoteText"/>
        <w:spacing w:after="120"/>
        <w:jc w:val="both"/>
        <w:rPr>
          <w:rFonts w:ascii="Cambria" w:hAnsi="Cambria"/>
          <w:sz w:val="16"/>
          <w:szCs w:val="16"/>
          <w:lang w:val="es-ES"/>
        </w:rPr>
      </w:pPr>
      <w:r w:rsidRPr="00004565">
        <w:rPr>
          <w:rStyle w:val="FootnoteReference"/>
          <w:rFonts w:ascii="Cambria" w:hAnsi="Cambria"/>
          <w:sz w:val="16"/>
          <w:szCs w:val="16"/>
        </w:rPr>
        <w:footnoteRef/>
      </w:r>
      <w:r w:rsidRPr="00004565">
        <w:rPr>
          <w:rFonts w:ascii="Cambria" w:hAnsi="Cambria"/>
          <w:sz w:val="16"/>
          <w:szCs w:val="16"/>
          <w:lang w:val="es-ES"/>
        </w:rPr>
        <w:t xml:space="preserve"> CIDH, Informe Anual 2006, </w:t>
      </w:r>
      <w:hyperlink r:id="rId1" w:history="1">
        <w:r w:rsidRPr="00004565">
          <w:rPr>
            <w:rStyle w:val="Hyperlink"/>
            <w:rFonts w:ascii="Cambria" w:hAnsi="Cambria"/>
            <w:sz w:val="16"/>
            <w:szCs w:val="16"/>
            <w:lang w:val="es-ES"/>
          </w:rPr>
          <w:t>Capítulo III, Sección D: Estado del cumplimiento de las recomendaciones de la CIDH</w:t>
        </w:r>
      </w:hyperlink>
      <w:r w:rsidRPr="00004565">
        <w:rPr>
          <w:rFonts w:ascii="Cambria" w:hAnsi="Cambria"/>
          <w:sz w:val="16"/>
          <w:szCs w:val="16"/>
          <w:lang w:val="es-ES"/>
        </w:rPr>
        <w:t xml:space="preserve">, párr. </w:t>
      </w:r>
      <w:r w:rsidRPr="00355AC3">
        <w:rPr>
          <w:rFonts w:ascii="Cambria" w:hAnsi="Cambria"/>
          <w:sz w:val="16"/>
          <w:szCs w:val="16"/>
          <w:lang w:val="es-ES"/>
        </w:rPr>
        <w:t xml:space="preserve">248. </w:t>
      </w:r>
    </w:p>
  </w:footnote>
  <w:footnote w:id="2">
    <w:p w14:paraId="7C98048A" w14:textId="77777777" w:rsidR="00B73DB1" w:rsidRDefault="00B73DB1" w:rsidP="00B73DB1">
      <w:pPr>
        <w:pStyle w:val="FootnoteText"/>
        <w:jc w:val="both"/>
        <w:rPr>
          <w:rFonts w:ascii="Cambria" w:hAnsi="Cambria"/>
          <w:sz w:val="16"/>
          <w:szCs w:val="16"/>
          <w:lang w:val="es-US"/>
        </w:rPr>
      </w:pPr>
      <w:r w:rsidRPr="005614AE">
        <w:rPr>
          <w:rStyle w:val="FootnoteReference"/>
          <w:rFonts w:ascii="Cambria" w:hAnsi="Cambria"/>
          <w:sz w:val="16"/>
          <w:szCs w:val="16"/>
        </w:rPr>
        <w:footnoteRef/>
      </w:r>
      <w:r w:rsidRPr="00DB1FFE">
        <w:rPr>
          <w:rFonts w:ascii="Cambria" w:hAnsi="Cambria"/>
          <w:sz w:val="16"/>
          <w:szCs w:val="16"/>
          <w:lang w:val="es-US"/>
        </w:rPr>
        <w:t xml:space="preserve"> </w:t>
      </w:r>
      <w:r w:rsidRPr="005614AE">
        <w:rPr>
          <w:rFonts w:ascii="Cambria" w:hAnsi="Cambria"/>
          <w:sz w:val="16"/>
          <w:szCs w:val="16"/>
          <w:lang w:val="es-US"/>
        </w:rPr>
        <w:t xml:space="preserve">La información detallada de los avances en el cumplimiento de las recomendaciones en los años anteriores, se encuentra disponible en el </w:t>
      </w:r>
      <w:hyperlink r:id="rId2" w:history="1">
        <w:r w:rsidRPr="005614AE">
          <w:rPr>
            <w:rStyle w:val="Hyperlink"/>
            <w:rFonts w:ascii="Cambria" w:hAnsi="Cambria"/>
            <w:sz w:val="16"/>
            <w:szCs w:val="16"/>
            <w:lang w:val="es-US"/>
          </w:rPr>
          <w:t>Informe Anual 2021</w:t>
        </w:r>
      </w:hyperlink>
      <w:r w:rsidRPr="005614AE">
        <w:rPr>
          <w:rFonts w:ascii="Cambria" w:hAnsi="Cambria"/>
          <w:sz w:val="16"/>
          <w:szCs w:val="16"/>
          <w:lang w:val="es-US"/>
        </w:rPr>
        <w:t>.</w:t>
      </w:r>
    </w:p>
    <w:p w14:paraId="6EF312F9" w14:textId="77777777" w:rsidR="00B73DB1" w:rsidRPr="00DB1FFE" w:rsidRDefault="00B73DB1" w:rsidP="00B73DB1">
      <w:pPr>
        <w:pStyle w:val="FootnoteText"/>
        <w:jc w:val="both"/>
        <w:rPr>
          <w:rFonts w:ascii="Cambria" w:hAnsi="Cambria"/>
          <w:sz w:val="16"/>
          <w:szCs w:val="16"/>
          <w:lang w:val="es-US"/>
        </w:rPr>
      </w:pPr>
    </w:p>
  </w:footnote>
  <w:footnote w:id="3">
    <w:p w14:paraId="68D35F27" w14:textId="77777777" w:rsidR="00B73DB1" w:rsidRPr="005361D5" w:rsidRDefault="00B73DB1" w:rsidP="00B73DB1">
      <w:pPr>
        <w:pStyle w:val="FootnoteText"/>
        <w:spacing w:after="120"/>
        <w:jc w:val="both"/>
        <w:rPr>
          <w:rFonts w:ascii="Cambria" w:hAnsi="Cambria"/>
          <w:sz w:val="16"/>
          <w:szCs w:val="16"/>
          <w:lang w:val="es-ES"/>
        </w:rPr>
      </w:pPr>
      <w:r w:rsidRPr="005361D5">
        <w:rPr>
          <w:rStyle w:val="FootnoteReference"/>
          <w:rFonts w:ascii="Cambria" w:hAnsi="Cambria"/>
          <w:sz w:val="16"/>
          <w:szCs w:val="16"/>
        </w:rPr>
        <w:footnoteRef/>
      </w:r>
      <w:r w:rsidRPr="005361D5">
        <w:rPr>
          <w:rFonts w:ascii="Cambria" w:hAnsi="Cambria"/>
          <w:sz w:val="16"/>
          <w:szCs w:val="16"/>
          <w:lang w:val="es-ES"/>
        </w:rPr>
        <w:t xml:space="preserve"> CIDH, Informe Anual 2011, </w:t>
      </w:r>
      <w:hyperlink r:id="rId3" w:history="1">
        <w:r w:rsidRPr="005361D5">
          <w:rPr>
            <w:rStyle w:val="Hyperlink"/>
            <w:rFonts w:ascii="Cambria" w:hAnsi="Cambria"/>
            <w:sz w:val="16"/>
            <w:szCs w:val="16"/>
            <w:lang w:val="es-ES"/>
          </w:rPr>
          <w:t>Capítulo III, Sección D: Estado del cumplimiento de las recomendaciones de la CIDH</w:t>
        </w:r>
      </w:hyperlink>
      <w:r w:rsidRPr="005361D5">
        <w:rPr>
          <w:rFonts w:ascii="Cambria" w:hAnsi="Cambria"/>
          <w:sz w:val="16"/>
          <w:szCs w:val="16"/>
          <w:lang w:val="es-ES"/>
        </w:rPr>
        <w:t xml:space="preserve">, párr. 628. </w:t>
      </w:r>
    </w:p>
  </w:footnote>
  <w:footnote w:id="4">
    <w:p w14:paraId="0FF65AA0" w14:textId="77777777" w:rsidR="00B73DB1" w:rsidRPr="005361D5" w:rsidRDefault="00B73DB1" w:rsidP="00B73DB1">
      <w:pPr>
        <w:pStyle w:val="FootnoteText"/>
        <w:spacing w:after="120"/>
        <w:jc w:val="both"/>
        <w:rPr>
          <w:rFonts w:ascii="Cambria" w:hAnsi="Cambria"/>
          <w:sz w:val="16"/>
          <w:szCs w:val="16"/>
          <w:lang w:val="es-ES"/>
        </w:rPr>
      </w:pPr>
      <w:r w:rsidRPr="005361D5">
        <w:rPr>
          <w:rStyle w:val="FootnoteReference"/>
          <w:rFonts w:ascii="Cambria" w:hAnsi="Cambria"/>
          <w:sz w:val="16"/>
          <w:szCs w:val="16"/>
        </w:rPr>
        <w:footnoteRef/>
      </w:r>
      <w:r w:rsidRPr="005361D5">
        <w:rPr>
          <w:rFonts w:ascii="Cambria" w:hAnsi="Cambria"/>
          <w:sz w:val="16"/>
          <w:szCs w:val="16"/>
          <w:lang w:val="es-ES"/>
        </w:rPr>
        <w:t xml:space="preserve"> CIDH, Informe Anual 2017, </w:t>
      </w:r>
      <w:hyperlink r:id="rId4" w:history="1">
        <w:r w:rsidRPr="005361D5">
          <w:rPr>
            <w:rStyle w:val="Hyperlink"/>
            <w:rFonts w:ascii="Cambria" w:hAnsi="Cambria"/>
            <w:sz w:val="16"/>
            <w:szCs w:val="16"/>
            <w:lang w:val="es-ES"/>
          </w:rPr>
          <w:t>Capítulo II, Sección F: Estado del cumplimiento de las recomendaciones de la CIDH</w:t>
        </w:r>
      </w:hyperlink>
      <w:r w:rsidRPr="005361D5">
        <w:rPr>
          <w:rFonts w:ascii="Cambria" w:hAnsi="Cambria"/>
          <w:sz w:val="16"/>
          <w:szCs w:val="16"/>
          <w:lang w:val="es-ES"/>
        </w:rPr>
        <w:t xml:space="preserve">, párr. 1213.  </w:t>
      </w:r>
    </w:p>
  </w:footnote>
  <w:footnote w:id="5">
    <w:p w14:paraId="78FF5E79" w14:textId="77777777" w:rsidR="00B73DB1" w:rsidRPr="005361D5" w:rsidRDefault="00B73DB1" w:rsidP="00B73DB1">
      <w:pPr>
        <w:pStyle w:val="FootnoteText"/>
        <w:spacing w:after="120"/>
        <w:jc w:val="both"/>
        <w:rPr>
          <w:rFonts w:ascii="Cambria" w:hAnsi="Cambria"/>
          <w:sz w:val="16"/>
          <w:szCs w:val="16"/>
          <w:lang w:val="es-ES"/>
        </w:rPr>
      </w:pPr>
      <w:r w:rsidRPr="005361D5">
        <w:rPr>
          <w:rStyle w:val="FootnoteReference"/>
          <w:rFonts w:ascii="Cambria" w:hAnsi="Cambria"/>
          <w:sz w:val="16"/>
          <w:szCs w:val="16"/>
          <w:lang w:val="es-ES"/>
        </w:rPr>
        <w:footnoteRef/>
      </w:r>
      <w:r w:rsidRPr="005361D5">
        <w:rPr>
          <w:rFonts w:ascii="Cambria" w:hAnsi="Cambria"/>
          <w:sz w:val="16"/>
          <w:szCs w:val="16"/>
          <w:lang w:val="es-ES"/>
        </w:rPr>
        <w:t xml:space="preserve"> Corte IDH, </w:t>
      </w:r>
      <w:hyperlink r:id="rId5" w:history="1">
        <w:r w:rsidRPr="005361D5">
          <w:rPr>
            <w:rStyle w:val="Hyperlink"/>
            <w:rFonts w:ascii="Cambria" w:hAnsi="Cambria"/>
            <w:sz w:val="16"/>
            <w:szCs w:val="16"/>
            <w:lang w:val="es-ES"/>
          </w:rPr>
          <w:t>Caso La Cantuta Vs. Perú, Sentencia de 29 de noviembre de 2006</w:t>
        </w:r>
      </w:hyperlink>
      <w:r w:rsidRPr="005361D5">
        <w:rPr>
          <w:rFonts w:ascii="Cambria" w:hAnsi="Cambria"/>
          <w:sz w:val="16"/>
          <w:szCs w:val="16"/>
          <w:lang w:val="es-ES"/>
        </w:rPr>
        <w:t xml:space="preserve">. Serie C No. 162, párrs. 199-200. </w:t>
      </w:r>
    </w:p>
  </w:footnote>
  <w:footnote w:id="6">
    <w:p w14:paraId="77D84A8E" w14:textId="77777777" w:rsidR="00B73DB1" w:rsidRPr="005361D5" w:rsidRDefault="00B73DB1" w:rsidP="00B73DB1">
      <w:pPr>
        <w:pStyle w:val="FootnoteText"/>
        <w:spacing w:after="120"/>
        <w:jc w:val="both"/>
        <w:rPr>
          <w:rFonts w:ascii="Cambria" w:hAnsi="Cambria"/>
          <w:sz w:val="16"/>
          <w:szCs w:val="16"/>
          <w:lang w:val="es-ES"/>
        </w:rPr>
      </w:pPr>
      <w:r w:rsidRPr="005361D5">
        <w:rPr>
          <w:rStyle w:val="FootnoteReference"/>
          <w:rFonts w:ascii="Cambria" w:hAnsi="Cambria"/>
          <w:sz w:val="16"/>
          <w:szCs w:val="16"/>
          <w:lang w:val="es-ES"/>
        </w:rPr>
        <w:footnoteRef/>
      </w:r>
      <w:r w:rsidRPr="005361D5">
        <w:rPr>
          <w:rFonts w:ascii="Cambria" w:hAnsi="Cambria"/>
          <w:sz w:val="16"/>
          <w:szCs w:val="16"/>
          <w:lang w:val="es-ES"/>
        </w:rPr>
        <w:t xml:space="preserve"> CIDH</w:t>
      </w:r>
      <w:hyperlink r:id="rId6" w:history="1">
        <w:r w:rsidRPr="00355AC3">
          <w:rPr>
            <w:rStyle w:val="Hyperlink"/>
            <w:rFonts w:ascii="Cambria" w:hAnsi="Cambria"/>
            <w:sz w:val="16"/>
            <w:szCs w:val="16"/>
            <w:lang w:val="es-ES"/>
          </w:rPr>
          <w:t xml:space="preserve">, </w:t>
        </w:r>
        <w:r w:rsidRPr="005361D5">
          <w:rPr>
            <w:rStyle w:val="Hyperlink"/>
            <w:rFonts w:ascii="Cambria" w:hAnsi="Cambria"/>
            <w:sz w:val="16"/>
            <w:szCs w:val="16"/>
            <w:lang w:val="es-ES"/>
          </w:rPr>
          <w:t>Lineamientos principales para una política integral de reparaciones</w:t>
        </w:r>
      </w:hyperlink>
      <w:r w:rsidRPr="005361D5">
        <w:rPr>
          <w:rFonts w:ascii="Cambria" w:hAnsi="Cambria"/>
          <w:sz w:val="16"/>
          <w:szCs w:val="16"/>
          <w:lang w:val="es-ES"/>
        </w:rPr>
        <w:t xml:space="preserve">, 19 de febrero de 2008, OEA/Ser/L/V/II.131, doc. 1, párr. 1; Asamblea General de las Naciones Unidas, </w:t>
      </w:r>
      <w:hyperlink r:id="rId7" w:history="1">
        <w:r w:rsidRPr="005361D5">
          <w:rPr>
            <w:rStyle w:val="Hyperlink"/>
            <w:rFonts w:ascii="Cambria" w:hAnsi="Cambria"/>
            <w:sz w:val="16"/>
            <w:szCs w:val="16"/>
            <w:lang w:val="es-ES"/>
          </w:rPr>
          <w:t>Resolución 60/147. Principios y directrices básicos sobre el derecho de las víctimas de violaciones manifiestas de las normas internacionales de derechos humanos y de violaciones graves del derecho internacional humanitario a interponer recursos y obtener reparaciones</w:t>
        </w:r>
      </w:hyperlink>
      <w:r w:rsidRPr="005361D5">
        <w:rPr>
          <w:rFonts w:ascii="Cambria" w:hAnsi="Cambria"/>
          <w:sz w:val="16"/>
          <w:szCs w:val="16"/>
          <w:lang w:val="es-ES"/>
        </w:rPr>
        <w:t xml:space="preserve">, 16 de diciembre de 2005. </w:t>
      </w:r>
    </w:p>
  </w:footnote>
  <w:footnote w:id="7">
    <w:p w14:paraId="3FB11A81" w14:textId="77777777" w:rsidR="00B73DB1" w:rsidRPr="00216766" w:rsidRDefault="00B73DB1" w:rsidP="00B73DB1">
      <w:pPr>
        <w:pStyle w:val="FootnoteText"/>
        <w:spacing w:after="120"/>
        <w:jc w:val="both"/>
        <w:rPr>
          <w:rFonts w:ascii="Cambria" w:hAnsi="Cambria"/>
          <w:sz w:val="16"/>
          <w:szCs w:val="16"/>
          <w:lang w:val="es-ES"/>
        </w:rPr>
      </w:pPr>
      <w:r w:rsidRPr="005361D5">
        <w:rPr>
          <w:rStyle w:val="FootnoteReference"/>
          <w:rFonts w:ascii="Cambria" w:hAnsi="Cambria"/>
          <w:sz w:val="16"/>
          <w:szCs w:val="16"/>
          <w:lang w:val="es-ES"/>
        </w:rPr>
        <w:footnoteRef/>
      </w:r>
      <w:r w:rsidRPr="00B20922">
        <w:rPr>
          <w:rFonts w:ascii="Cambria" w:hAnsi="Cambria"/>
          <w:sz w:val="16"/>
          <w:szCs w:val="16"/>
          <w:lang w:val="it-IT"/>
        </w:rPr>
        <w:t xml:space="preserve"> Corte IDH, Serie C No. 162, párr. </w:t>
      </w:r>
      <w:r w:rsidRPr="005361D5">
        <w:rPr>
          <w:rFonts w:ascii="Cambria" w:hAnsi="Cambria"/>
          <w:sz w:val="16"/>
          <w:szCs w:val="16"/>
          <w:lang w:val="es-ES"/>
        </w:rPr>
        <w:t>200.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2E29" w14:textId="77777777" w:rsidR="00A80674" w:rsidRDefault="00A8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0FD930B4">
          <wp:extent cx="1361022" cy="313189"/>
          <wp:effectExtent l="0" t="0" r="0" b="4445"/>
          <wp:docPr id="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1361022" cy="313189"/>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742F88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strokecolor="#272727 [2749]" strokeweight="1.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13A03F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15:restartNumberingAfterBreak="0">
    <w:nsid w:val="284775A5"/>
    <w:multiLevelType w:val="hybridMultilevel"/>
    <w:tmpl w:val="9E5CABAE"/>
    <w:lvl w:ilvl="0" w:tplc="88B2BFE6">
      <w:start w:val="1"/>
      <w:numFmt w:val="decimal"/>
      <w:lvlText w:val="%1."/>
      <w:lvlJc w:val="left"/>
      <w:pPr>
        <w:ind w:left="0" w:firstLine="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15:restartNumberingAfterBreak="0">
    <w:nsid w:val="427662E5"/>
    <w:multiLevelType w:val="hybridMultilevel"/>
    <w:tmpl w:val="8A8E021E"/>
    <w:lvl w:ilvl="0" w:tplc="FC120C76">
      <w:start w:val="1"/>
      <w:numFmt w:val="decimal"/>
      <w:lvlText w:val="%1."/>
      <w:lvlJc w:val="left"/>
      <w:pPr>
        <w:ind w:left="0" w:firstLine="72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A07D1"/>
    <w:multiLevelType w:val="hybridMultilevel"/>
    <w:tmpl w:val="EE085A36"/>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16cid:durableId="1712607694">
    <w:abstractNumId w:val="6"/>
  </w:num>
  <w:num w:numId="2" w16cid:durableId="426849189">
    <w:abstractNumId w:val="11"/>
  </w:num>
  <w:num w:numId="3" w16cid:durableId="978146478">
    <w:abstractNumId w:val="9"/>
  </w:num>
  <w:num w:numId="4" w16cid:durableId="446504039">
    <w:abstractNumId w:val="3"/>
  </w:num>
  <w:num w:numId="5" w16cid:durableId="2048992643">
    <w:abstractNumId w:val="2"/>
  </w:num>
  <w:num w:numId="6" w16cid:durableId="491221110">
    <w:abstractNumId w:val="4"/>
  </w:num>
  <w:num w:numId="7" w16cid:durableId="1982153750">
    <w:abstractNumId w:val="0"/>
  </w:num>
  <w:num w:numId="8" w16cid:durableId="1481655037">
    <w:abstractNumId w:val="8"/>
  </w:num>
  <w:num w:numId="9" w16cid:durableId="854658852">
    <w:abstractNumId w:val="1"/>
  </w:num>
  <w:num w:numId="10" w16cid:durableId="211579222">
    <w:abstractNumId w:val="10"/>
  </w:num>
  <w:num w:numId="11" w16cid:durableId="1101989703">
    <w:abstractNumId w:val="7"/>
  </w:num>
  <w:num w:numId="12" w16cid:durableId="196085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16CED"/>
    <w:rsid w:val="00045E5E"/>
    <w:rsid w:val="000B5E1D"/>
    <w:rsid w:val="00105B23"/>
    <w:rsid w:val="00181DA0"/>
    <w:rsid w:val="00204D7A"/>
    <w:rsid w:val="002248FB"/>
    <w:rsid w:val="00234E64"/>
    <w:rsid w:val="00322720"/>
    <w:rsid w:val="00326C88"/>
    <w:rsid w:val="003B38A6"/>
    <w:rsid w:val="003D7BA9"/>
    <w:rsid w:val="00453115"/>
    <w:rsid w:val="004758C9"/>
    <w:rsid w:val="0048723C"/>
    <w:rsid w:val="00500FDE"/>
    <w:rsid w:val="00506416"/>
    <w:rsid w:val="00566CD0"/>
    <w:rsid w:val="00604519"/>
    <w:rsid w:val="00637ED3"/>
    <w:rsid w:val="006638E5"/>
    <w:rsid w:val="00672733"/>
    <w:rsid w:val="006B1F24"/>
    <w:rsid w:val="007C4DCE"/>
    <w:rsid w:val="008463D3"/>
    <w:rsid w:val="008818B0"/>
    <w:rsid w:val="008861D6"/>
    <w:rsid w:val="008A179E"/>
    <w:rsid w:val="00A57A5F"/>
    <w:rsid w:val="00A80674"/>
    <w:rsid w:val="00AE2642"/>
    <w:rsid w:val="00B73DB1"/>
    <w:rsid w:val="00BD17B0"/>
    <w:rsid w:val="00BF7A78"/>
    <w:rsid w:val="00CF41DC"/>
    <w:rsid w:val="00D56DC4"/>
    <w:rsid w:val="00E042FE"/>
    <w:rsid w:val="00E06732"/>
    <w:rsid w:val="00E516AB"/>
    <w:rsid w:val="00E52D25"/>
    <w:rsid w:val="00E90CB3"/>
    <w:rsid w:val="00EA0262"/>
    <w:rsid w:val="00EC61E3"/>
    <w:rsid w:val="00ED0AAA"/>
    <w:rsid w:val="00ED1EBA"/>
    <w:rsid w:val="00F4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B1"/>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B73DB1"/>
    <w:pPr>
      <w:spacing w:after="160" w:line="240" w:lineRule="exact"/>
    </w:pPr>
    <w:rPr>
      <w:vertAlign w:val="superscript"/>
    </w:rPr>
  </w:style>
  <w:style w:type="character" w:styleId="Hyperlink">
    <w:name w:val="Hyperlink"/>
    <w:uiPriority w:val="99"/>
    <w:unhideWhenUsed/>
    <w:rsid w:val="00B73DB1"/>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B73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dh.org/medidas/2002.sp.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dh.oas.org/annualrep/2003sp/EEUU.12412.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ocs/anual/2011/Cap3D.doc" TargetMode="External"/><Relationship Id="rId7" Type="http://schemas.openxmlformats.org/officeDocument/2006/relationships/hyperlink" Target="https://www.ohchr.org/sp/professionalinterest/pages/remedyandreparation.aspx" TargetMode="External"/><Relationship Id="rId2" Type="http://schemas.openxmlformats.org/officeDocument/2006/relationships/hyperlink" Target="https://www.oas.org/es/CIDH/informes/IA.asp?Year=2021" TargetMode="External"/><Relationship Id="rId1" Type="http://schemas.openxmlformats.org/officeDocument/2006/relationships/hyperlink" Target="http://www.cidh.oas.org/annualrep/2006sp/cap3d.2006.sp.htm" TargetMode="External"/><Relationship Id="rId6" Type="http://schemas.openxmlformats.org/officeDocument/2006/relationships/hyperlink" Target="http://www.cidh.org/pdf%20files/Lineamientos%20principales%20para%20una%20pol%C3%ADtica%20integral%20de%20reparaciones.pdf" TargetMode="External"/><Relationship Id="rId5" Type="http://schemas.openxmlformats.org/officeDocument/2006/relationships/hyperlink" Target="http://www.corteidh.or.cr/docs/casos/articulos/seriec_162_esp.pdf" TargetMode="External"/><Relationship Id="rId4" Type="http://schemas.openxmlformats.org/officeDocument/2006/relationships/hyperlink" Target="http://www.oas.org/es/cidh/docs/anual/2017/docs/IA2017cap.2-e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2.xml><?xml version="1.0" encoding="utf-8"?>
<ds:datastoreItem xmlns:ds="http://schemas.openxmlformats.org/officeDocument/2006/customXml" ds:itemID="{5DE65D1E-4D0C-40E3-B8B2-F1B54A15E7B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E706845A-FA30-43F3-A6F6-5490015DF105}">
  <ds:schemaRefs>
    <ds:schemaRef ds:uri="http://schemas.microsoft.com/sharepoint/v3/contenttype/forms"/>
  </ds:schemaRefs>
</ds:datastoreItem>
</file>

<file path=customXml/itemProps4.xml><?xml version="1.0" encoding="utf-8"?>
<ds:datastoreItem xmlns:ds="http://schemas.openxmlformats.org/officeDocument/2006/customXml" ds:itemID="{A6621B79-A406-461D-B40A-643AFD632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2023-03-28T18:49:00Z</dcterms:created>
  <dcterms:modified xsi:type="dcterms:W3CDTF">2023-03-28T18:49:00Z</dcterms:modified>
</cp:coreProperties>
</file>