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D651" w14:textId="104FB78F" w:rsidR="00362B75" w:rsidRPr="003A6121" w:rsidRDefault="00E94AE4" w:rsidP="00362B75">
      <w:pPr>
        <w:tabs>
          <w:tab w:val="left" w:pos="6120"/>
        </w:tabs>
        <w:rPr>
          <w:sz w:val="22"/>
          <w:szCs w:val="22"/>
          <w:lang w:val="en-US"/>
        </w:rPr>
      </w:pPr>
      <w:r w:rsidRPr="003A6121">
        <w:rPr>
          <w:b/>
          <w:sz w:val="22"/>
          <w:szCs w:val="22"/>
          <w:lang w:val="en-US"/>
        </w:rPr>
        <w:t>MEETING OF THE WORKING GROUPS 1 AND 2</w:t>
      </w:r>
      <w:r w:rsidR="00362B75" w:rsidRPr="003A6121">
        <w:rPr>
          <w:sz w:val="22"/>
          <w:szCs w:val="22"/>
          <w:lang w:val="en-US"/>
        </w:rPr>
        <w:tab/>
      </w:r>
      <w:r w:rsidR="00D61969" w:rsidRPr="003A6121">
        <w:rPr>
          <w:snapToGrid w:val="0"/>
          <w:sz w:val="22"/>
          <w:szCs w:val="22"/>
          <w:lang w:val="en-US"/>
        </w:rPr>
        <w:t>OEA/Ser.L/XIX.VI.1</w:t>
      </w:r>
    </w:p>
    <w:p w14:paraId="1AF1CD8D" w14:textId="2D8FB396" w:rsidR="00362B75" w:rsidRPr="004E79FE" w:rsidRDefault="00273E3C" w:rsidP="00362B75">
      <w:pPr>
        <w:tabs>
          <w:tab w:val="left" w:pos="6120"/>
        </w:tabs>
        <w:ind w:right="-1289"/>
        <w:rPr>
          <w:snapToGrid w:val="0"/>
          <w:sz w:val="22"/>
          <w:szCs w:val="22"/>
          <w:lang w:val="en-US"/>
        </w:rPr>
      </w:pPr>
      <w:r w:rsidRPr="003A6121">
        <w:rPr>
          <w:b/>
          <w:spacing w:val="-2"/>
          <w:sz w:val="22"/>
          <w:szCs w:val="22"/>
          <w:lang w:val="en-US"/>
        </w:rPr>
        <w:t>OF THE XXI INTER-AMERICAN CONFERENCE</w:t>
      </w:r>
      <w:r w:rsidR="00362B75" w:rsidRPr="004E79FE">
        <w:rPr>
          <w:sz w:val="22"/>
          <w:szCs w:val="22"/>
          <w:lang w:val="en-US"/>
        </w:rPr>
        <w:tab/>
      </w:r>
      <w:r w:rsidR="000826E7" w:rsidRPr="003A6121">
        <w:rPr>
          <w:snapToGrid w:val="0"/>
          <w:sz w:val="22"/>
          <w:szCs w:val="22"/>
          <w:lang w:val="en-US"/>
        </w:rPr>
        <w:t>CIMT-21/GT1-GT2/doc.</w:t>
      </w:r>
      <w:r w:rsidR="00AC1069" w:rsidRPr="003A6121">
        <w:rPr>
          <w:snapToGrid w:val="0"/>
          <w:sz w:val="22"/>
          <w:szCs w:val="22"/>
          <w:lang w:val="en-US"/>
        </w:rPr>
        <w:t>9</w:t>
      </w:r>
      <w:r w:rsidR="000826E7" w:rsidRPr="003A6121">
        <w:rPr>
          <w:snapToGrid w:val="0"/>
          <w:sz w:val="22"/>
          <w:szCs w:val="22"/>
          <w:lang w:val="en-US"/>
        </w:rPr>
        <w:t>/23</w:t>
      </w:r>
    </w:p>
    <w:p w14:paraId="7A4E8941" w14:textId="5DB18FB9" w:rsidR="00273E3C" w:rsidRPr="003A6121" w:rsidRDefault="003A6121" w:rsidP="00362B75">
      <w:pPr>
        <w:tabs>
          <w:tab w:val="left" w:pos="6120"/>
        </w:tabs>
        <w:ind w:right="-29"/>
        <w:rPr>
          <w:snapToGrid w:val="0"/>
          <w:sz w:val="22"/>
          <w:szCs w:val="22"/>
          <w:lang w:val="en-US"/>
        </w:rPr>
      </w:pPr>
      <w:r w:rsidRPr="003A6121">
        <w:rPr>
          <w:b/>
          <w:spacing w:val="-2"/>
          <w:sz w:val="22"/>
          <w:szCs w:val="22"/>
          <w:lang w:val="en-US"/>
        </w:rPr>
        <w:t>OF MINISTERS</w:t>
      </w:r>
      <w:r w:rsidRPr="003A6121">
        <w:rPr>
          <w:spacing w:val="-2"/>
          <w:sz w:val="22"/>
          <w:szCs w:val="22"/>
          <w:lang w:val="en-US"/>
        </w:rPr>
        <w:t xml:space="preserve"> </w:t>
      </w:r>
      <w:r w:rsidRPr="003A6121">
        <w:rPr>
          <w:b/>
          <w:snapToGrid w:val="0"/>
          <w:sz w:val="22"/>
          <w:szCs w:val="22"/>
          <w:lang w:val="en-US"/>
        </w:rPr>
        <w:t>OF LABOR</w:t>
      </w:r>
      <w:r w:rsidRPr="003A6121">
        <w:rPr>
          <w:b/>
          <w:snapToGrid w:val="0"/>
          <w:sz w:val="22"/>
          <w:szCs w:val="22"/>
          <w:lang w:val="en-US"/>
        </w:rPr>
        <w:tab/>
      </w:r>
      <w:r w:rsidRPr="003A6121">
        <w:rPr>
          <w:snapToGrid w:val="0"/>
          <w:sz w:val="22"/>
          <w:szCs w:val="22"/>
          <w:lang w:val="en-US"/>
        </w:rPr>
        <w:t>17 September 2023</w:t>
      </w:r>
    </w:p>
    <w:p w14:paraId="496751E5" w14:textId="38F8A4EE" w:rsidR="00362B75" w:rsidRPr="003A6121" w:rsidRDefault="00566FA2" w:rsidP="00362B75">
      <w:pPr>
        <w:tabs>
          <w:tab w:val="left" w:pos="6120"/>
        </w:tabs>
        <w:ind w:right="-29"/>
        <w:rPr>
          <w:snapToGrid w:val="0"/>
          <w:sz w:val="22"/>
          <w:szCs w:val="22"/>
          <w:lang w:val="en-US"/>
        </w:rPr>
      </w:pPr>
      <w:r w:rsidRPr="003A6121">
        <w:rPr>
          <w:snapToGrid w:val="0"/>
          <w:sz w:val="22"/>
          <w:szCs w:val="22"/>
          <w:lang w:val="en-US"/>
        </w:rPr>
        <w:t>September 21 - 22, 2023</w:t>
      </w:r>
      <w:r w:rsidR="00362B75" w:rsidRPr="003A6121">
        <w:rPr>
          <w:b/>
          <w:snapToGrid w:val="0"/>
          <w:sz w:val="22"/>
          <w:szCs w:val="22"/>
          <w:lang w:val="en-US"/>
        </w:rPr>
        <w:tab/>
      </w:r>
      <w:r w:rsidR="003A6121" w:rsidRPr="003A6121">
        <w:rPr>
          <w:snapToGrid w:val="0"/>
          <w:sz w:val="22"/>
          <w:szCs w:val="22"/>
          <w:lang w:val="en-US"/>
        </w:rPr>
        <w:t>Orig</w:t>
      </w:r>
      <w:r w:rsidR="003A6121" w:rsidRPr="003A6121">
        <w:rPr>
          <w:sz w:val="22"/>
          <w:szCs w:val="22"/>
          <w:lang w:val="en-US"/>
        </w:rPr>
        <w:t>inal: Spanish</w:t>
      </w:r>
    </w:p>
    <w:p w14:paraId="1BBD9676" w14:textId="35DC2171" w:rsidR="00362B75" w:rsidRPr="003A6121" w:rsidRDefault="00FF2AED" w:rsidP="00362B75">
      <w:pPr>
        <w:tabs>
          <w:tab w:val="left" w:pos="6120"/>
        </w:tabs>
        <w:ind w:right="-29"/>
        <w:rPr>
          <w:sz w:val="22"/>
          <w:szCs w:val="22"/>
          <w:lang w:val="en-US"/>
        </w:rPr>
      </w:pPr>
      <w:r w:rsidRPr="003A6121">
        <w:rPr>
          <w:sz w:val="22"/>
          <w:szCs w:val="22"/>
          <w:lang w:val="en-US"/>
        </w:rPr>
        <w:t>Washington, D.C., United States of America</w:t>
      </w:r>
      <w:r w:rsidR="00362B75" w:rsidRPr="003A6121">
        <w:rPr>
          <w:snapToGrid w:val="0"/>
          <w:sz w:val="22"/>
          <w:szCs w:val="22"/>
          <w:lang w:val="en-US"/>
        </w:rPr>
        <w:tab/>
      </w:r>
    </w:p>
    <w:p w14:paraId="7D9AA4CA" w14:textId="48ED08AB" w:rsidR="00362B75" w:rsidRPr="00B87616" w:rsidRDefault="00362B75" w:rsidP="00582C48">
      <w:pPr>
        <w:pStyle w:val="BodyText"/>
        <w:pBdr>
          <w:bottom w:val="single" w:sz="12" w:space="1" w:color="auto"/>
        </w:pBdr>
        <w:rPr>
          <w:sz w:val="22"/>
          <w:szCs w:val="22"/>
        </w:rPr>
      </w:pPr>
      <w:r w:rsidRPr="00B87616">
        <w:rPr>
          <w:sz w:val="22"/>
          <w:szCs w:val="22"/>
        </w:rPr>
        <w:t xml:space="preserve"> </w:t>
      </w:r>
    </w:p>
    <w:p w14:paraId="17531196" w14:textId="77777777" w:rsidR="00582C48" w:rsidRPr="00B87616" w:rsidRDefault="00582C48" w:rsidP="00362B75">
      <w:pPr>
        <w:jc w:val="center"/>
        <w:rPr>
          <w:sz w:val="22"/>
          <w:szCs w:val="22"/>
          <w:lang w:val="en-US"/>
        </w:rPr>
      </w:pPr>
    </w:p>
    <w:p w14:paraId="4A3D1215" w14:textId="77777777" w:rsidR="001627EB" w:rsidRPr="00B87616" w:rsidRDefault="001627EB" w:rsidP="001627EB">
      <w:pPr>
        <w:jc w:val="center"/>
        <w:rPr>
          <w:sz w:val="22"/>
          <w:szCs w:val="22"/>
          <w:lang w:val="en-US"/>
        </w:rPr>
      </w:pPr>
    </w:p>
    <w:p w14:paraId="20BD32F9" w14:textId="77777777" w:rsidR="001627EB" w:rsidRPr="00B87616" w:rsidRDefault="001627EB" w:rsidP="001627EB">
      <w:pPr>
        <w:jc w:val="center"/>
        <w:rPr>
          <w:sz w:val="22"/>
          <w:szCs w:val="22"/>
          <w:lang w:val="en-US"/>
        </w:rPr>
      </w:pPr>
    </w:p>
    <w:p w14:paraId="19387C04" w14:textId="77777777" w:rsidR="001627EB" w:rsidRPr="00B87616" w:rsidRDefault="001627EB" w:rsidP="001627EB">
      <w:pPr>
        <w:jc w:val="center"/>
        <w:rPr>
          <w:sz w:val="22"/>
          <w:szCs w:val="22"/>
          <w:lang w:val="en-US"/>
        </w:rPr>
      </w:pPr>
    </w:p>
    <w:p w14:paraId="6F999874" w14:textId="77777777" w:rsidR="001627EB" w:rsidRPr="00B87616" w:rsidRDefault="001627EB" w:rsidP="001627EB">
      <w:pPr>
        <w:jc w:val="center"/>
        <w:rPr>
          <w:sz w:val="22"/>
          <w:szCs w:val="22"/>
          <w:lang w:val="en-US"/>
        </w:rPr>
      </w:pPr>
    </w:p>
    <w:p w14:paraId="647FF3B7" w14:textId="77777777" w:rsidR="001627EB" w:rsidRPr="00B87616" w:rsidRDefault="001627EB" w:rsidP="001627EB">
      <w:pPr>
        <w:jc w:val="center"/>
        <w:rPr>
          <w:sz w:val="22"/>
          <w:szCs w:val="22"/>
          <w:lang w:val="en-US"/>
        </w:rPr>
      </w:pPr>
    </w:p>
    <w:p w14:paraId="1FF84915" w14:textId="77777777" w:rsidR="001627EB" w:rsidRPr="00B87616" w:rsidRDefault="001627EB" w:rsidP="001627EB">
      <w:pPr>
        <w:jc w:val="center"/>
        <w:rPr>
          <w:sz w:val="22"/>
          <w:szCs w:val="22"/>
          <w:lang w:val="en-US"/>
        </w:rPr>
      </w:pPr>
    </w:p>
    <w:p w14:paraId="2BF2A00C" w14:textId="77777777" w:rsidR="001627EB" w:rsidRPr="00B87616" w:rsidRDefault="001627EB" w:rsidP="001627EB">
      <w:pPr>
        <w:jc w:val="center"/>
        <w:rPr>
          <w:sz w:val="22"/>
          <w:szCs w:val="22"/>
          <w:lang w:val="en-US"/>
        </w:rPr>
      </w:pPr>
    </w:p>
    <w:p w14:paraId="1B1B01B0" w14:textId="77777777" w:rsidR="001627EB" w:rsidRPr="00B87616" w:rsidRDefault="001627EB" w:rsidP="001627EB">
      <w:pPr>
        <w:jc w:val="center"/>
        <w:rPr>
          <w:sz w:val="22"/>
          <w:szCs w:val="22"/>
          <w:lang w:val="en-US"/>
        </w:rPr>
      </w:pPr>
    </w:p>
    <w:p w14:paraId="3ED4845E" w14:textId="77777777" w:rsidR="001627EB" w:rsidRPr="00B87616" w:rsidRDefault="001627EB" w:rsidP="001627EB">
      <w:pPr>
        <w:jc w:val="center"/>
        <w:rPr>
          <w:sz w:val="22"/>
          <w:szCs w:val="22"/>
          <w:lang w:val="en-US"/>
        </w:rPr>
      </w:pPr>
    </w:p>
    <w:p w14:paraId="27414F8E" w14:textId="77777777" w:rsidR="001627EB" w:rsidRPr="00B87616" w:rsidRDefault="001627EB" w:rsidP="001627EB">
      <w:pPr>
        <w:jc w:val="center"/>
        <w:rPr>
          <w:sz w:val="22"/>
          <w:szCs w:val="22"/>
          <w:lang w:val="en-US"/>
        </w:rPr>
      </w:pPr>
    </w:p>
    <w:p w14:paraId="6F179516" w14:textId="77777777" w:rsidR="001627EB" w:rsidRPr="007D1192" w:rsidRDefault="001627EB" w:rsidP="001627EB">
      <w:pPr>
        <w:jc w:val="center"/>
        <w:rPr>
          <w:b/>
          <w:bCs/>
          <w:sz w:val="22"/>
          <w:szCs w:val="22"/>
          <w:lang w:val="en-US"/>
        </w:rPr>
      </w:pPr>
    </w:p>
    <w:p w14:paraId="2941F6ED" w14:textId="77777777" w:rsidR="007D1192" w:rsidRPr="007D1192" w:rsidRDefault="007D1192" w:rsidP="001627EB">
      <w:pPr>
        <w:jc w:val="center"/>
        <w:rPr>
          <w:b/>
          <w:bCs/>
          <w:sz w:val="22"/>
          <w:szCs w:val="22"/>
          <w:lang w:val="en-US"/>
        </w:rPr>
      </w:pPr>
    </w:p>
    <w:p w14:paraId="4929F82F" w14:textId="77777777" w:rsidR="007D1192" w:rsidRPr="007D1192" w:rsidRDefault="007D1192" w:rsidP="001627EB">
      <w:pPr>
        <w:jc w:val="center"/>
        <w:rPr>
          <w:sz w:val="22"/>
          <w:szCs w:val="22"/>
          <w:lang w:val="en-US"/>
        </w:rPr>
      </w:pPr>
    </w:p>
    <w:p w14:paraId="26462616" w14:textId="77777777" w:rsidR="001627EB" w:rsidRPr="007D1192" w:rsidRDefault="001627EB" w:rsidP="001627EB">
      <w:pPr>
        <w:jc w:val="center"/>
        <w:rPr>
          <w:sz w:val="22"/>
          <w:szCs w:val="22"/>
          <w:lang w:val="en-US"/>
        </w:rPr>
      </w:pPr>
    </w:p>
    <w:p w14:paraId="2FBD1DA3" w14:textId="61ACFB19" w:rsidR="001627EB" w:rsidRPr="00A50042" w:rsidRDefault="001627EB" w:rsidP="001627EB">
      <w:pPr>
        <w:jc w:val="center"/>
        <w:rPr>
          <w:b/>
          <w:sz w:val="22"/>
          <w:szCs w:val="22"/>
          <w:lang w:val="en-US"/>
        </w:rPr>
      </w:pPr>
      <w:r w:rsidRPr="00A50042">
        <w:rPr>
          <w:sz w:val="22"/>
          <w:szCs w:val="22"/>
          <w:lang w:val="en-US"/>
        </w:rPr>
        <w:t xml:space="preserve">FINANCIAL STATUS OF THE INTER-AMERICAN NETWORK FOR LABOR ADMINISTRATION (RIAL) AS OF </w:t>
      </w:r>
      <w:r w:rsidR="00B87616">
        <w:rPr>
          <w:sz w:val="22"/>
          <w:szCs w:val="22"/>
          <w:lang w:val="en-US"/>
        </w:rPr>
        <w:t>SEPTEMBER</w:t>
      </w:r>
      <w:r w:rsidRPr="00A50042">
        <w:rPr>
          <w:sz w:val="22"/>
          <w:szCs w:val="22"/>
          <w:lang w:val="en-US"/>
        </w:rPr>
        <w:t xml:space="preserve"> 202</w:t>
      </w:r>
      <w:r>
        <w:rPr>
          <w:sz w:val="22"/>
          <w:szCs w:val="22"/>
          <w:lang w:val="en-US"/>
        </w:rPr>
        <w:t>3</w:t>
      </w:r>
    </w:p>
    <w:p w14:paraId="6F6B85AD" w14:textId="77777777" w:rsidR="00CE2133" w:rsidRDefault="00CE2133" w:rsidP="00E86F6A">
      <w:pPr>
        <w:jc w:val="center"/>
        <w:rPr>
          <w:sz w:val="22"/>
          <w:szCs w:val="22"/>
          <w:lang w:val="en-US"/>
        </w:rPr>
      </w:pPr>
    </w:p>
    <w:p w14:paraId="48A5060C" w14:textId="77777777" w:rsidR="001627EB" w:rsidRDefault="001627EB" w:rsidP="00E86F6A">
      <w:pPr>
        <w:jc w:val="center"/>
        <w:rPr>
          <w:sz w:val="22"/>
          <w:szCs w:val="22"/>
          <w:lang w:val="en-US"/>
        </w:rPr>
      </w:pPr>
    </w:p>
    <w:p w14:paraId="767D4983" w14:textId="77777777" w:rsidR="001627EB" w:rsidRDefault="001627EB" w:rsidP="00E86F6A">
      <w:pPr>
        <w:jc w:val="center"/>
        <w:rPr>
          <w:sz w:val="22"/>
          <w:szCs w:val="22"/>
          <w:lang w:val="en-US"/>
        </w:rPr>
      </w:pPr>
    </w:p>
    <w:p w14:paraId="03ECA39C" w14:textId="77777777" w:rsidR="001627EB" w:rsidRDefault="001627EB" w:rsidP="00E86F6A">
      <w:pPr>
        <w:jc w:val="center"/>
        <w:rPr>
          <w:sz w:val="22"/>
          <w:szCs w:val="22"/>
          <w:lang w:val="en-US"/>
        </w:rPr>
      </w:pPr>
    </w:p>
    <w:p w14:paraId="3973B507" w14:textId="77777777" w:rsidR="001627EB" w:rsidRDefault="001627EB" w:rsidP="00E86F6A">
      <w:pPr>
        <w:jc w:val="center"/>
        <w:rPr>
          <w:sz w:val="22"/>
          <w:szCs w:val="22"/>
          <w:lang w:val="en-US"/>
        </w:rPr>
      </w:pPr>
    </w:p>
    <w:p w14:paraId="11B7F86F" w14:textId="77777777" w:rsidR="001627EB" w:rsidRDefault="001627EB" w:rsidP="00E86F6A">
      <w:pPr>
        <w:jc w:val="center"/>
        <w:rPr>
          <w:sz w:val="22"/>
          <w:szCs w:val="22"/>
          <w:lang w:val="en-US"/>
        </w:rPr>
      </w:pPr>
    </w:p>
    <w:p w14:paraId="13799D75" w14:textId="77777777" w:rsidR="001627EB" w:rsidRDefault="001627EB" w:rsidP="00E86F6A">
      <w:pPr>
        <w:jc w:val="center"/>
        <w:rPr>
          <w:sz w:val="22"/>
          <w:szCs w:val="22"/>
          <w:lang w:val="en-US"/>
        </w:rPr>
      </w:pPr>
    </w:p>
    <w:p w14:paraId="29D65187" w14:textId="77777777" w:rsidR="001627EB" w:rsidRDefault="001627EB" w:rsidP="00E86F6A">
      <w:pPr>
        <w:jc w:val="center"/>
        <w:rPr>
          <w:sz w:val="22"/>
          <w:szCs w:val="22"/>
          <w:lang w:val="en-US"/>
        </w:rPr>
      </w:pPr>
    </w:p>
    <w:p w14:paraId="5EE7A7AC" w14:textId="77777777" w:rsidR="001627EB" w:rsidRDefault="001627EB" w:rsidP="00E86F6A">
      <w:pPr>
        <w:jc w:val="center"/>
        <w:rPr>
          <w:sz w:val="22"/>
          <w:szCs w:val="22"/>
          <w:lang w:val="en-US"/>
        </w:rPr>
      </w:pPr>
    </w:p>
    <w:p w14:paraId="58F72AD6" w14:textId="77777777" w:rsidR="001627EB" w:rsidRDefault="001627EB" w:rsidP="00E86F6A">
      <w:pPr>
        <w:jc w:val="center"/>
        <w:rPr>
          <w:sz w:val="22"/>
          <w:szCs w:val="22"/>
          <w:lang w:val="en-US"/>
        </w:rPr>
      </w:pPr>
    </w:p>
    <w:p w14:paraId="5395CEB1" w14:textId="77777777" w:rsidR="001627EB" w:rsidRDefault="001627EB" w:rsidP="00E86F6A">
      <w:pPr>
        <w:jc w:val="center"/>
        <w:rPr>
          <w:sz w:val="22"/>
          <w:szCs w:val="22"/>
          <w:lang w:val="en-US"/>
        </w:rPr>
      </w:pPr>
    </w:p>
    <w:p w14:paraId="3C7D12F1" w14:textId="77777777" w:rsidR="001627EB" w:rsidRDefault="001627EB" w:rsidP="00E86F6A">
      <w:pPr>
        <w:jc w:val="center"/>
        <w:rPr>
          <w:sz w:val="22"/>
          <w:szCs w:val="22"/>
          <w:lang w:val="en-US"/>
        </w:rPr>
      </w:pPr>
    </w:p>
    <w:p w14:paraId="0015CD25" w14:textId="77777777" w:rsidR="001627EB" w:rsidRDefault="001627EB" w:rsidP="00E86F6A">
      <w:pPr>
        <w:jc w:val="center"/>
        <w:rPr>
          <w:sz w:val="22"/>
          <w:szCs w:val="22"/>
          <w:lang w:val="en-US"/>
        </w:rPr>
      </w:pPr>
    </w:p>
    <w:p w14:paraId="447B2D06" w14:textId="77777777" w:rsidR="001627EB" w:rsidRDefault="001627EB" w:rsidP="00E86F6A">
      <w:pPr>
        <w:jc w:val="center"/>
        <w:rPr>
          <w:sz w:val="22"/>
          <w:szCs w:val="22"/>
          <w:lang w:val="en-US"/>
        </w:rPr>
      </w:pPr>
    </w:p>
    <w:p w14:paraId="42C357BF" w14:textId="77777777" w:rsidR="001627EB" w:rsidRDefault="001627EB" w:rsidP="00E86F6A">
      <w:pPr>
        <w:jc w:val="center"/>
        <w:rPr>
          <w:sz w:val="22"/>
          <w:szCs w:val="22"/>
          <w:lang w:val="en-US"/>
        </w:rPr>
      </w:pPr>
    </w:p>
    <w:p w14:paraId="2B3B57D1" w14:textId="77777777" w:rsidR="001627EB" w:rsidRDefault="001627EB" w:rsidP="00E86F6A">
      <w:pPr>
        <w:jc w:val="center"/>
        <w:rPr>
          <w:sz w:val="22"/>
          <w:szCs w:val="22"/>
          <w:lang w:val="en-US"/>
        </w:rPr>
      </w:pPr>
    </w:p>
    <w:p w14:paraId="2DA195F8" w14:textId="77777777" w:rsidR="001627EB" w:rsidRDefault="001627EB" w:rsidP="00E86F6A">
      <w:pPr>
        <w:jc w:val="center"/>
        <w:rPr>
          <w:sz w:val="22"/>
          <w:szCs w:val="22"/>
          <w:lang w:val="en-US"/>
        </w:rPr>
      </w:pPr>
    </w:p>
    <w:p w14:paraId="313CC70D" w14:textId="77777777" w:rsidR="001627EB" w:rsidRDefault="001627EB" w:rsidP="00E86F6A">
      <w:pPr>
        <w:jc w:val="center"/>
        <w:rPr>
          <w:sz w:val="22"/>
          <w:szCs w:val="22"/>
          <w:lang w:val="en-US"/>
        </w:rPr>
      </w:pPr>
    </w:p>
    <w:p w14:paraId="20EC9251" w14:textId="77777777" w:rsidR="001627EB" w:rsidRDefault="001627EB" w:rsidP="00E86F6A">
      <w:pPr>
        <w:jc w:val="center"/>
        <w:rPr>
          <w:sz w:val="22"/>
          <w:szCs w:val="22"/>
          <w:lang w:val="en-US"/>
        </w:rPr>
      </w:pPr>
    </w:p>
    <w:p w14:paraId="14B5363F" w14:textId="77777777" w:rsidR="001627EB" w:rsidRDefault="001627EB" w:rsidP="00E86F6A">
      <w:pPr>
        <w:jc w:val="center"/>
        <w:rPr>
          <w:sz w:val="22"/>
          <w:szCs w:val="22"/>
          <w:lang w:val="en-US"/>
        </w:rPr>
      </w:pPr>
    </w:p>
    <w:p w14:paraId="10417FDB" w14:textId="77777777" w:rsidR="001627EB" w:rsidRDefault="001627EB" w:rsidP="00E86F6A">
      <w:pPr>
        <w:jc w:val="center"/>
        <w:rPr>
          <w:sz w:val="22"/>
          <w:szCs w:val="22"/>
          <w:lang w:val="en-US"/>
        </w:rPr>
      </w:pPr>
    </w:p>
    <w:p w14:paraId="1F340886" w14:textId="77777777" w:rsidR="001627EB" w:rsidRDefault="001627EB" w:rsidP="00E86F6A">
      <w:pPr>
        <w:jc w:val="center"/>
        <w:rPr>
          <w:sz w:val="22"/>
          <w:szCs w:val="22"/>
          <w:lang w:val="en-US"/>
        </w:rPr>
      </w:pPr>
    </w:p>
    <w:p w14:paraId="39C34E49" w14:textId="77777777" w:rsidR="001627EB" w:rsidRDefault="001627EB" w:rsidP="00E86F6A">
      <w:pPr>
        <w:jc w:val="center"/>
        <w:rPr>
          <w:sz w:val="22"/>
          <w:szCs w:val="22"/>
          <w:lang w:val="en-US"/>
        </w:rPr>
      </w:pPr>
    </w:p>
    <w:p w14:paraId="34EBDAA6" w14:textId="77777777" w:rsidR="001627EB" w:rsidRDefault="001627EB" w:rsidP="00E86F6A">
      <w:pPr>
        <w:jc w:val="center"/>
        <w:rPr>
          <w:sz w:val="22"/>
          <w:szCs w:val="22"/>
          <w:lang w:val="en-US"/>
        </w:rPr>
      </w:pPr>
    </w:p>
    <w:p w14:paraId="4CF282B3" w14:textId="14ACAFFD" w:rsidR="001627EB" w:rsidRDefault="001627EB" w:rsidP="001627EB">
      <w:pPr>
        <w:rPr>
          <w:sz w:val="22"/>
          <w:szCs w:val="22"/>
          <w:lang w:val="en-US"/>
        </w:rPr>
      </w:pPr>
    </w:p>
    <w:p w14:paraId="36592E14" w14:textId="35DBA79F" w:rsidR="00D5446E" w:rsidRPr="00A50042" w:rsidRDefault="00362B75" w:rsidP="00E86F6A">
      <w:pPr>
        <w:jc w:val="center"/>
        <w:rPr>
          <w:b/>
          <w:sz w:val="22"/>
          <w:szCs w:val="22"/>
          <w:lang w:val="en-US"/>
        </w:rPr>
      </w:pPr>
      <w:r w:rsidRPr="00A50042">
        <w:rPr>
          <w:sz w:val="22"/>
          <w:szCs w:val="22"/>
          <w:lang w:val="en-US"/>
        </w:rPr>
        <w:lastRenderedPageBreak/>
        <w:t>FINANCIAL STATUS OF THE INTER-AMERICAN NETWORK FOR LABOR ADMINISTRATION (RIAL) AS OF JANUARY 202</w:t>
      </w:r>
      <w:r w:rsidR="002D6EC8">
        <w:rPr>
          <w:sz w:val="22"/>
          <w:szCs w:val="22"/>
          <w:lang w:val="en-US"/>
        </w:rPr>
        <w:t>3</w:t>
      </w:r>
    </w:p>
    <w:p w14:paraId="164979D4" w14:textId="77777777" w:rsidR="00D5446E" w:rsidRPr="00A50042" w:rsidRDefault="00D5446E" w:rsidP="00D5446E">
      <w:pPr>
        <w:spacing w:line="250" w:lineRule="exact"/>
        <w:jc w:val="center"/>
        <w:rPr>
          <w:b/>
          <w:sz w:val="22"/>
          <w:szCs w:val="22"/>
          <w:lang w:val="en-US"/>
        </w:rPr>
      </w:pPr>
    </w:p>
    <w:p w14:paraId="1BD37536" w14:textId="5222FA67" w:rsidR="00D5446E" w:rsidRPr="00A50042" w:rsidRDefault="00D5446E" w:rsidP="00D5446E">
      <w:pPr>
        <w:spacing w:line="250" w:lineRule="exact"/>
        <w:jc w:val="center"/>
        <w:rPr>
          <w:sz w:val="22"/>
          <w:szCs w:val="22"/>
          <w:lang w:val="en-US"/>
        </w:rPr>
      </w:pPr>
      <w:r w:rsidRPr="00A50042">
        <w:rPr>
          <w:sz w:val="22"/>
          <w:szCs w:val="22"/>
          <w:lang w:val="en-US"/>
        </w:rPr>
        <w:t xml:space="preserve">(Updated: </w:t>
      </w:r>
      <w:r w:rsidR="00B87616">
        <w:rPr>
          <w:sz w:val="22"/>
          <w:szCs w:val="22"/>
          <w:lang w:val="en-US"/>
        </w:rPr>
        <w:t>September</w:t>
      </w:r>
      <w:r w:rsidRPr="00A50042">
        <w:rPr>
          <w:sz w:val="22"/>
          <w:szCs w:val="22"/>
          <w:lang w:val="en-US"/>
        </w:rPr>
        <w:t xml:space="preserve"> </w:t>
      </w:r>
      <w:r w:rsidR="00B87616">
        <w:rPr>
          <w:sz w:val="22"/>
          <w:szCs w:val="22"/>
          <w:lang w:val="en-US"/>
        </w:rPr>
        <w:t>17</w:t>
      </w:r>
      <w:r w:rsidRPr="00A50042">
        <w:rPr>
          <w:sz w:val="22"/>
          <w:szCs w:val="22"/>
          <w:vertAlign w:val="superscript"/>
          <w:lang w:val="en-US"/>
        </w:rPr>
        <w:t>th</w:t>
      </w:r>
      <w:r w:rsidRPr="00A50042">
        <w:rPr>
          <w:sz w:val="22"/>
          <w:szCs w:val="22"/>
          <w:lang w:val="en-US"/>
        </w:rPr>
        <w:t>, 202</w:t>
      </w:r>
      <w:r w:rsidR="002D6EC8">
        <w:rPr>
          <w:sz w:val="22"/>
          <w:szCs w:val="22"/>
          <w:lang w:val="en-US"/>
        </w:rPr>
        <w:t>3—</w:t>
      </w:r>
      <w:r w:rsidRPr="00A50042">
        <w:rPr>
          <w:sz w:val="22"/>
          <w:szCs w:val="22"/>
          <w:lang w:val="en-US"/>
        </w:rPr>
        <w:t>All</w:t>
      </w:r>
      <w:r w:rsidR="002D6EC8">
        <w:rPr>
          <w:sz w:val="22"/>
          <w:szCs w:val="22"/>
          <w:lang w:val="en-US"/>
        </w:rPr>
        <w:t xml:space="preserve"> </w:t>
      </w:r>
      <w:r w:rsidRPr="00A50042">
        <w:rPr>
          <w:sz w:val="22"/>
          <w:szCs w:val="22"/>
          <w:lang w:val="en-US"/>
        </w:rPr>
        <w:t>monetary figures are in US dollars)</w:t>
      </w:r>
    </w:p>
    <w:p w14:paraId="564DF26F" w14:textId="77777777" w:rsidR="00CE2133" w:rsidRDefault="00CE2133" w:rsidP="00D5446E">
      <w:pPr>
        <w:spacing w:line="250" w:lineRule="exact"/>
        <w:jc w:val="both"/>
        <w:rPr>
          <w:bCs/>
          <w:sz w:val="22"/>
          <w:szCs w:val="22"/>
          <w:lang w:val="en-US"/>
        </w:rPr>
      </w:pPr>
    </w:p>
    <w:p w14:paraId="47D12295" w14:textId="0AF4397C" w:rsidR="00D5446E" w:rsidRPr="00B716CE" w:rsidRDefault="00D5446E" w:rsidP="00D5446E">
      <w:pPr>
        <w:spacing w:line="250" w:lineRule="exact"/>
        <w:jc w:val="both"/>
        <w:rPr>
          <w:b/>
          <w:sz w:val="22"/>
          <w:szCs w:val="22"/>
          <w:lang w:val="en-US"/>
        </w:rPr>
      </w:pPr>
      <w:r w:rsidRPr="00B716CE">
        <w:rPr>
          <w:b/>
          <w:sz w:val="22"/>
          <w:szCs w:val="22"/>
          <w:lang w:val="en-US"/>
        </w:rPr>
        <w:t>CONTENTS</w:t>
      </w:r>
    </w:p>
    <w:p w14:paraId="6947E4EE" w14:textId="77777777" w:rsidR="00221670" w:rsidRPr="00A50042" w:rsidRDefault="00221670" w:rsidP="00D5446E">
      <w:pPr>
        <w:spacing w:line="250" w:lineRule="exact"/>
        <w:jc w:val="both"/>
        <w:rPr>
          <w:b/>
          <w:sz w:val="22"/>
          <w:szCs w:val="22"/>
          <w:lang w:val="en-US"/>
        </w:rPr>
      </w:pPr>
    </w:p>
    <w:p w14:paraId="3D289AA1" w14:textId="1646BA30" w:rsidR="00D5446E" w:rsidRPr="00A50042" w:rsidRDefault="00D5446E" w:rsidP="00D5446E">
      <w:pPr>
        <w:numPr>
          <w:ilvl w:val="0"/>
          <w:numId w:val="1"/>
        </w:numPr>
        <w:tabs>
          <w:tab w:val="clear" w:pos="1080"/>
          <w:tab w:val="num" w:pos="360"/>
        </w:tabs>
        <w:spacing w:line="250" w:lineRule="exact"/>
        <w:ind w:left="360" w:hanging="360"/>
        <w:jc w:val="both"/>
        <w:rPr>
          <w:bCs/>
          <w:sz w:val="22"/>
          <w:szCs w:val="22"/>
          <w:lang w:val="en-US"/>
        </w:rPr>
      </w:pPr>
      <w:r w:rsidRPr="00A50042">
        <w:rPr>
          <w:bCs/>
          <w:sz w:val="22"/>
          <w:szCs w:val="22"/>
          <w:lang w:val="en-US"/>
        </w:rPr>
        <w:t>Summary …………………………………………………………………………………</w:t>
      </w:r>
      <w:r w:rsidR="00A50042">
        <w:rPr>
          <w:bCs/>
          <w:sz w:val="22"/>
          <w:szCs w:val="22"/>
          <w:lang w:val="en-US"/>
        </w:rPr>
        <w:t>…</w:t>
      </w:r>
      <w:r w:rsidR="00B87616">
        <w:rPr>
          <w:bCs/>
          <w:sz w:val="22"/>
          <w:szCs w:val="22"/>
          <w:lang w:val="en-US"/>
        </w:rPr>
        <w:t>.</w:t>
      </w:r>
      <w:r w:rsidRPr="00A50042">
        <w:rPr>
          <w:bCs/>
          <w:sz w:val="22"/>
          <w:szCs w:val="22"/>
          <w:lang w:val="en-US"/>
        </w:rPr>
        <w:tab/>
      </w:r>
      <w:r w:rsidR="003F0927">
        <w:rPr>
          <w:bCs/>
          <w:sz w:val="22"/>
          <w:szCs w:val="22"/>
          <w:lang w:val="en-US"/>
        </w:rPr>
        <w:t>2</w:t>
      </w:r>
    </w:p>
    <w:p w14:paraId="59C0D4F3" w14:textId="18F55190" w:rsidR="00D5446E" w:rsidRPr="00A50042" w:rsidRDefault="00D5446E" w:rsidP="00D5446E">
      <w:pPr>
        <w:numPr>
          <w:ilvl w:val="0"/>
          <w:numId w:val="1"/>
        </w:numPr>
        <w:tabs>
          <w:tab w:val="clear" w:pos="1080"/>
          <w:tab w:val="num" w:pos="360"/>
        </w:tabs>
        <w:spacing w:line="250" w:lineRule="exact"/>
        <w:ind w:left="360" w:hanging="360"/>
        <w:jc w:val="both"/>
        <w:rPr>
          <w:bCs/>
          <w:sz w:val="22"/>
          <w:szCs w:val="22"/>
          <w:lang w:val="en-US"/>
        </w:rPr>
      </w:pPr>
      <w:r w:rsidRPr="00A50042">
        <w:rPr>
          <w:bCs/>
          <w:sz w:val="22"/>
          <w:szCs w:val="22"/>
          <w:lang w:val="en-US"/>
        </w:rPr>
        <w:t>Contributions ………………………………………………………………………………</w:t>
      </w:r>
      <w:r w:rsidR="00A50042">
        <w:rPr>
          <w:bCs/>
          <w:sz w:val="22"/>
          <w:szCs w:val="22"/>
          <w:lang w:val="en-US"/>
        </w:rPr>
        <w:t>.</w:t>
      </w:r>
      <w:r w:rsidR="00B87616">
        <w:rPr>
          <w:bCs/>
          <w:sz w:val="22"/>
          <w:szCs w:val="22"/>
          <w:lang w:val="en-US"/>
        </w:rPr>
        <w:t>.</w:t>
      </w:r>
      <w:r w:rsidRPr="00A50042">
        <w:rPr>
          <w:bCs/>
          <w:sz w:val="22"/>
          <w:szCs w:val="22"/>
          <w:lang w:val="en-US"/>
        </w:rPr>
        <w:tab/>
      </w:r>
      <w:r w:rsidR="003F0927">
        <w:rPr>
          <w:bCs/>
          <w:sz w:val="22"/>
          <w:szCs w:val="22"/>
          <w:lang w:val="en-US"/>
        </w:rPr>
        <w:t>3</w:t>
      </w:r>
    </w:p>
    <w:p w14:paraId="55B64C89" w14:textId="559F2894" w:rsidR="00D5446E" w:rsidRPr="00A50042" w:rsidRDefault="00D5446E" w:rsidP="00D5446E">
      <w:pPr>
        <w:numPr>
          <w:ilvl w:val="0"/>
          <w:numId w:val="1"/>
        </w:numPr>
        <w:tabs>
          <w:tab w:val="clear" w:pos="1080"/>
          <w:tab w:val="num" w:pos="360"/>
        </w:tabs>
        <w:spacing w:line="250" w:lineRule="exact"/>
        <w:ind w:left="360" w:hanging="360"/>
        <w:jc w:val="both"/>
        <w:rPr>
          <w:bCs/>
          <w:sz w:val="22"/>
          <w:szCs w:val="22"/>
          <w:lang w:val="en-US"/>
        </w:rPr>
      </w:pPr>
      <w:r w:rsidRPr="00A50042">
        <w:rPr>
          <w:bCs/>
          <w:sz w:val="22"/>
          <w:szCs w:val="22"/>
          <w:lang w:val="en-US"/>
        </w:rPr>
        <w:t>Expenditures……………………………………………………………………</w:t>
      </w:r>
      <w:r w:rsidR="00A50042">
        <w:rPr>
          <w:bCs/>
          <w:sz w:val="22"/>
          <w:szCs w:val="22"/>
          <w:lang w:val="en-US"/>
        </w:rPr>
        <w:t>…</w:t>
      </w:r>
      <w:r w:rsidRPr="00A50042">
        <w:rPr>
          <w:bCs/>
          <w:sz w:val="22"/>
          <w:szCs w:val="22"/>
          <w:lang w:val="en-US"/>
        </w:rPr>
        <w:t>………</w:t>
      </w:r>
      <w:r w:rsidR="00A50042">
        <w:rPr>
          <w:bCs/>
          <w:sz w:val="22"/>
          <w:szCs w:val="22"/>
          <w:lang w:val="en-US"/>
        </w:rPr>
        <w:t>…</w:t>
      </w:r>
      <w:r w:rsidRPr="00A50042">
        <w:rPr>
          <w:bCs/>
          <w:sz w:val="22"/>
          <w:szCs w:val="22"/>
          <w:lang w:val="en-US"/>
        </w:rPr>
        <w:tab/>
      </w:r>
      <w:r w:rsidR="003F0927">
        <w:rPr>
          <w:bCs/>
          <w:sz w:val="22"/>
          <w:szCs w:val="22"/>
          <w:lang w:val="en-US"/>
        </w:rPr>
        <w:t>5</w:t>
      </w:r>
    </w:p>
    <w:p w14:paraId="4DA310F1" w14:textId="6C33C40F" w:rsidR="00D5446E" w:rsidRPr="00A50042" w:rsidRDefault="00D5446E" w:rsidP="00D5446E">
      <w:pPr>
        <w:numPr>
          <w:ilvl w:val="0"/>
          <w:numId w:val="1"/>
        </w:numPr>
        <w:tabs>
          <w:tab w:val="clear" w:pos="1080"/>
          <w:tab w:val="num" w:pos="360"/>
        </w:tabs>
        <w:spacing w:line="250" w:lineRule="exact"/>
        <w:ind w:left="360" w:hanging="360"/>
        <w:jc w:val="both"/>
        <w:rPr>
          <w:bCs/>
          <w:sz w:val="22"/>
          <w:szCs w:val="22"/>
          <w:lang w:val="en-US"/>
        </w:rPr>
      </w:pPr>
      <w:r w:rsidRPr="00A50042">
        <w:rPr>
          <w:bCs/>
          <w:sz w:val="22"/>
          <w:szCs w:val="22"/>
          <w:lang w:val="en-US"/>
        </w:rPr>
        <w:t xml:space="preserve">Budgeted resources </w:t>
      </w:r>
      <w:r w:rsidR="00791914" w:rsidRPr="00A50042">
        <w:rPr>
          <w:bCs/>
          <w:sz w:val="22"/>
          <w:szCs w:val="22"/>
          <w:lang w:val="en-US"/>
        </w:rPr>
        <w:t>……………………………………</w:t>
      </w:r>
      <w:r w:rsidRPr="00A50042">
        <w:rPr>
          <w:bCs/>
          <w:sz w:val="22"/>
          <w:szCs w:val="22"/>
          <w:lang w:val="en-US"/>
        </w:rPr>
        <w:t>……………………………………</w:t>
      </w:r>
      <w:r w:rsidR="00B87616">
        <w:rPr>
          <w:bCs/>
          <w:sz w:val="22"/>
          <w:szCs w:val="22"/>
          <w:lang w:val="en-US"/>
        </w:rPr>
        <w:t>.</w:t>
      </w:r>
      <w:r w:rsidRPr="00A50042">
        <w:rPr>
          <w:bCs/>
          <w:sz w:val="22"/>
          <w:szCs w:val="22"/>
          <w:lang w:val="en-US"/>
        </w:rPr>
        <w:tab/>
      </w:r>
      <w:r w:rsidR="00B215DD">
        <w:rPr>
          <w:bCs/>
          <w:sz w:val="22"/>
          <w:szCs w:val="22"/>
          <w:lang w:val="en-US"/>
        </w:rPr>
        <w:t>8</w:t>
      </w:r>
    </w:p>
    <w:p w14:paraId="2E4F9908" w14:textId="12DABA8F" w:rsidR="00DC0F89" w:rsidRPr="00C31763" w:rsidRDefault="00D5446E" w:rsidP="00D5446E">
      <w:pPr>
        <w:numPr>
          <w:ilvl w:val="0"/>
          <w:numId w:val="1"/>
        </w:numPr>
        <w:tabs>
          <w:tab w:val="clear" w:pos="1080"/>
          <w:tab w:val="num" w:pos="360"/>
        </w:tabs>
        <w:spacing w:line="250" w:lineRule="exact"/>
        <w:ind w:left="360" w:hanging="360"/>
        <w:jc w:val="both"/>
        <w:rPr>
          <w:bCs/>
          <w:sz w:val="22"/>
          <w:szCs w:val="22"/>
          <w:lang w:val="en-US"/>
        </w:rPr>
      </w:pPr>
      <w:r w:rsidRPr="00A50042">
        <w:rPr>
          <w:bCs/>
          <w:sz w:val="22"/>
          <w:szCs w:val="22"/>
          <w:lang w:val="en-US"/>
        </w:rPr>
        <w:t>Outlook and available resources ……………………………………………………………</w:t>
      </w:r>
      <w:r w:rsidR="00B87616">
        <w:rPr>
          <w:bCs/>
          <w:sz w:val="22"/>
          <w:szCs w:val="22"/>
          <w:lang w:val="en-US"/>
        </w:rPr>
        <w:t>.</w:t>
      </w:r>
      <w:r w:rsidRPr="00A50042">
        <w:rPr>
          <w:bCs/>
          <w:sz w:val="22"/>
          <w:szCs w:val="22"/>
          <w:lang w:val="en-US"/>
        </w:rPr>
        <w:tab/>
      </w:r>
      <w:r w:rsidR="00B215DD">
        <w:rPr>
          <w:bCs/>
          <w:sz w:val="22"/>
          <w:szCs w:val="22"/>
          <w:lang w:val="en-US"/>
        </w:rPr>
        <w:t>8</w:t>
      </w:r>
    </w:p>
    <w:p w14:paraId="06649027" w14:textId="620F2D4C" w:rsidR="00D5446E" w:rsidRDefault="00D5446E" w:rsidP="00D5446E">
      <w:pPr>
        <w:spacing w:line="250" w:lineRule="exact"/>
        <w:jc w:val="both"/>
        <w:rPr>
          <w:bCs/>
          <w:sz w:val="22"/>
          <w:szCs w:val="22"/>
          <w:lang w:val="en-US"/>
        </w:rPr>
      </w:pPr>
      <w:r w:rsidRPr="00A50042">
        <w:rPr>
          <w:bCs/>
          <w:sz w:val="22"/>
          <w:szCs w:val="22"/>
          <w:lang w:val="en-US"/>
        </w:rPr>
        <w:t>Appendix 1 - 2006-2010 Period………………………………………………………………</w:t>
      </w:r>
      <w:r w:rsidR="00A50042">
        <w:rPr>
          <w:bCs/>
          <w:sz w:val="22"/>
          <w:szCs w:val="22"/>
          <w:lang w:val="en-US"/>
        </w:rPr>
        <w:t>….</w:t>
      </w:r>
      <w:r>
        <w:tab/>
      </w:r>
      <w:r w:rsidR="3C543F3E" w:rsidRPr="58A1DAD8">
        <w:rPr>
          <w:sz w:val="22"/>
          <w:szCs w:val="22"/>
          <w:lang w:val="en-US"/>
        </w:rPr>
        <w:t>10</w:t>
      </w:r>
    </w:p>
    <w:p w14:paraId="24261675" w14:textId="30178F21" w:rsidR="0087347E" w:rsidRPr="00A50042" w:rsidRDefault="0087347E" w:rsidP="00D5446E">
      <w:pPr>
        <w:spacing w:line="250" w:lineRule="exact"/>
        <w:jc w:val="both"/>
        <w:rPr>
          <w:bCs/>
          <w:sz w:val="22"/>
          <w:szCs w:val="22"/>
          <w:lang w:val="en-US"/>
        </w:rPr>
      </w:pPr>
      <w:r w:rsidRPr="0087347E">
        <w:rPr>
          <w:bCs/>
          <w:sz w:val="22"/>
          <w:szCs w:val="22"/>
          <w:lang w:val="en-US"/>
        </w:rPr>
        <w:t xml:space="preserve">Appendix 2 – Details of costs by funding source from 2011 to </w:t>
      </w:r>
      <w:r w:rsidR="00B87616">
        <w:rPr>
          <w:bCs/>
          <w:sz w:val="22"/>
          <w:szCs w:val="22"/>
          <w:lang w:val="en-US"/>
        </w:rPr>
        <w:t>September</w:t>
      </w:r>
      <w:r w:rsidRPr="0087347E">
        <w:rPr>
          <w:bCs/>
          <w:sz w:val="22"/>
          <w:szCs w:val="22"/>
          <w:lang w:val="en-US"/>
        </w:rPr>
        <w:t xml:space="preserve"> 202</w:t>
      </w:r>
      <w:r w:rsidR="00B716CE">
        <w:rPr>
          <w:bCs/>
          <w:sz w:val="22"/>
          <w:szCs w:val="22"/>
          <w:lang w:val="en-US"/>
        </w:rPr>
        <w:t>3</w:t>
      </w:r>
      <w:r>
        <w:rPr>
          <w:bCs/>
          <w:sz w:val="22"/>
          <w:szCs w:val="22"/>
          <w:lang w:val="en-US"/>
        </w:rPr>
        <w:t xml:space="preserve"> …</w:t>
      </w:r>
      <w:r w:rsidR="002E4C0B">
        <w:rPr>
          <w:bCs/>
          <w:sz w:val="22"/>
          <w:szCs w:val="22"/>
          <w:lang w:val="en-US"/>
        </w:rPr>
        <w:t>.</w:t>
      </w:r>
      <w:r>
        <w:rPr>
          <w:bCs/>
          <w:sz w:val="22"/>
          <w:szCs w:val="22"/>
          <w:lang w:val="en-US"/>
        </w:rPr>
        <w:t>…………</w:t>
      </w:r>
      <w:r w:rsidR="00B87616">
        <w:rPr>
          <w:bCs/>
          <w:sz w:val="22"/>
          <w:szCs w:val="22"/>
          <w:lang w:val="en-US"/>
        </w:rPr>
        <w:t>…</w:t>
      </w:r>
      <w:r w:rsidRPr="002E4C0B">
        <w:rPr>
          <w:lang w:val="en-US"/>
        </w:rPr>
        <w:tab/>
      </w:r>
      <w:r w:rsidR="042177FF" w:rsidRPr="58A1DAD8">
        <w:rPr>
          <w:sz w:val="22"/>
          <w:szCs w:val="22"/>
          <w:lang w:val="en-US"/>
        </w:rPr>
        <w:t>11</w:t>
      </w:r>
    </w:p>
    <w:p w14:paraId="24CB26AA" w14:textId="72D6A6FA" w:rsidR="00D5446E" w:rsidRDefault="00D5446E">
      <w:pPr>
        <w:rPr>
          <w:sz w:val="22"/>
          <w:szCs w:val="22"/>
          <w:lang w:val="en-US"/>
        </w:rPr>
      </w:pPr>
    </w:p>
    <w:p w14:paraId="31815145" w14:textId="77777777" w:rsidR="00CE2133" w:rsidRPr="00A50042" w:rsidRDefault="00CE2133">
      <w:pPr>
        <w:rPr>
          <w:sz w:val="22"/>
          <w:szCs w:val="22"/>
          <w:lang w:val="en-US"/>
        </w:rPr>
      </w:pPr>
    </w:p>
    <w:p w14:paraId="72C7FB1A" w14:textId="471A1308" w:rsidR="008F0953" w:rsidRPr="007E2BFC" w:rsidRDefault="008F0953" w:rsidP="008F0953">
      <w:pPr>
        <w:spacing w:line="250" w:lineRule="exact"/>
        <w:jc w:val="both"/>
        <w:rPr>
          <w:b/>
          <w:sz w:val="22"/>
          <w:szCs w:val="22"/>
          <w:lang w:val="en-US"/>
        </w:rPr>
      </w:pPr>
      <w:r w:rsidRPr="007E2BFC">
        <w:rPr>
          <w:b/>
          <w:sz w:val="22"/>
          <w:szCs w:val="22"/>
          <w:lang w:val="en-US"/>
        </w:rPr>
        <w:t>I. S</w:t>
      </w:r>
      <w:r w:rsidR="007E2BFC" w:rsidRPr="007E2BFC">
        <w:rPr>
          <w:b/>
          <w:sz w:val="22"/>
          <w:szCs w:val="22"/>
          <w:lang w:val="en-US"/>
        </w:rPr>
        <w:t>ummary</w:t>
      </w:r>
    </w:p>
    <w:p w14:paraId="7CF90EE0" w14:textId="77777777" w:rsidR="008F0953" w:rsidRPr="00A50042" w:rsidRDefault="008F0953" w:rsidP="008F0953">
      <w:pPr>
        <w:spacing w:line="250" w:lineRule="exact"/>
        <w:jc w:val="both"/>
        <w:rPr>
          <w:sz w:val="22"/>
          <w:szCs w:val="22"/>
          <w:lang w:val="en-US"/>
        </w:rPr>
      </w:pPr>
    </w:p>
    <w:p w14:paraId="79BCA015" w14:textId="77777777" w:rsidR="008F0953" w:rsidRPr="00A50042" w:rsidRDefault="008F0953" w:rsidP="008F0953">
      <w:pPr>
        <w:spacing w:line="250" w:lineRule="exact"/>
        <w:jc w:val="both"/>
        <w:rPr>
          <w:sz w:val="22"/>
          <w:szCs w:val="22"/>
          <w:lang w:val="en-US"/>
        </w:rPr>
      </w:pPr>
      <w:r w:rsidRPr="00A50042">
        <w:rPr>
          <w:sz w:val="22"/>
          <w:szCs w:val="22"/>
          <w:lang w:val="en-US"/>
        </w:rPr>
        <w:t xml:space="preserve">The RIAL is currently financed through a Voluntary Contribution Fund, created by a decision of the Inter-American Conference of Ministers of Labor (IACML) and constituted within the OAS since 2011. The Fund receives contributions from the Ministries of Labor, according to their availability and financial capacities, at any time of the year; the minimum contribution is US $5,000. </w:t>
      </w:r>
    </w:p>
    <w:p w14:paraId="54563772" w14:textId="77777777" w:rsidR="008F0953" w:rsidRPr="00A50042" w:rsidRDefault="008F0953" w:rsidP="008F0953">
      <w:pPr>
        <w:spacing w:line="250" w:lineRule="exact"/>
        <w:jc w:val="both"/>
        <w:rPr>
          <w:sz w:val="22"/>
          <w:szCs w:val="22"/>
          <w:lang w:val="en-US"/>
        </w:rPr>
      </w:pPr>
    </w:p>
    <w:p w14:paraId="0A99E6F6" w14:textId="77777777" w:rsidR="008F0953" w:rsidRPr="00A50042" w:rsidRDefault="008F0953" w:rsidP="008F0953">
      <w:pPr>
        <w:spacing w:line="250" w:lineRule="exact"/>
        <w:jc w:val="both"/>
        <w:rPr>
          <w:sz w:val="22"/>
          <w:szCs w:val="22"/>
          <w:lang w:val="en-US"/>
        </w:rPr>
      </w:pPr>
      <w:r w:rsidRPr="00A50042">
        <w:rPr>
          <w:sz w:val="22"/>
          <w:szCs w:val="22"/>
          <w:lang w:val="en-US"/>
        </w:rPr>
        <w:t xml:space="preserve">Between 2006 and 2010, before the creation of the Fund, the RIAL was financed with an important financial contribution from the Labour Program of ESDC/Canada, as detailed in Appendix 1. </w:t>
      </w:r>
    </w:p>
    <w:p w14:paraId="4D3E16FA" w14:textId="77777777" w:rsidR="008F0953" w:rsidRPr="00A50042" w:rsidRDefault="008F0953" w:rsidP="008F0953">
      <w:pPr>
        <w:spacing w:line="250" w:lineRule="exact"/>
        <w:jc w:val="both"/>
        <w:rPr>
          <w:sz w:val="22"/>
          <w:szCs w:val="22"/>
          <w:lang w:val="en-US"/>
        </w:rPr>
      </w:pPr>
    </w:p>
    <w:p w14:paraId="620443B8" w14:textId="696B9AA8" w:rsidR="008F0953" w:rsidRPr="00C23C70" w:rsidRDefault="008F0953" w:rsidP="008F0953">
      <w:pPr>
        <w:spacing w:line="250" w:lineRule="exact"/>
        <w:jc w:val="both"/>
        <w:rPr>
          <w:sz w:val="22"/>
          <w:szCs w:val="22"/>
          <w:lang w:val="en-US"/>
        </w:rPr>
      </w:pPr>
      <w:r w:rsidRPr="00A50042">
        <w:rPr>
          <w:sz w:val="22"/>
          <w:szCs w:val="22"/>
          <w:lang w:val="en-US"/>
        </w:rPr>
        <w:t>The Voluntary Contribution Fund has received US</w:t>
      </w:r>
      <w:r w:rsidR="003B6B51">
        <w:rPr>
          <w:sz w:val="22"/>
          <w:szCs w:val="22"/>
          <w:lang w:val="en-US"/>
        </w:rPr>
        <w:t xml:space="preserve"> </w:t>
      </w:r>
      <w:r w:rsidRPr="00A50042">
        <w:rPr>
          <w:b/>
          <w:sz w:val="22"/>
          <w:szCs w:val="22"/>
          <w:lang w:val="en-US"/>
        </w:rPr>
        <w:t>$</w:t>
      </w:r>
      <w:r w:rsidR="00653D75">
        <w:rPr>
          <w:b/>
          <w:sz w:val="22"/>
          <w:szCs w:val="22"/>
          <w:lang w:val="en-US"/>
        </w:rPr>
        <w:t>1,</w:t>
      </w:r>
      <w:r w:rsidR="00B87616">
        <w:rPr>
          <w:b/>
          <w:sz w:val="22"/>
          <w:szCs w:val="22"/>
          <w:lang w:val="en-US"/>
        </w:rPr>
        <w:t>12</w:t>
      </w:r>
      <w:r w:rsidR="00653D75">
        <w:rPr>
          <w:b/>
          <w:sz w:val="22"/>
          <w:szCs w:val="22"/>
          <w:lang w:val="en-US"/>
        </w:rPr>
        <w:t>6,1</w:t>
      </w:r>
      <w:r w:rsidR="00B87616">
        <w:rPr>
          <w:b/>
          <w:sz w:val="22"/>
          <w:szCs w:val="22"/>
          <w:lang w:val="en-US"/>
        </w:rPr>
        <w:t>1</w:t>
      </w:r>
      <w:r w:rsidR="00653D75">
        <w:rPr>
          <w:b/>
          <w:sz w:val="22"/>
          <w:szCs w:val="22"/>
          <w:lang w:val="en-US"/>
        </w:rPr>
        <w:t>2</w:t>
      </w:r>
      <w:r w:rsidRPr="00A50042">
        <w:rPr>
          <w:b/>
          <w:sz w:val="22"/>
          <w:szCs w:val="22"/>
          <w:lang w:val="en-US"/>
        </w:rPr>
        <w:t xml:space="preserve"> </w:t>
      </w:r>
      <w:r w:rsidRPr="00A50042">
        <w:rPr>
          <w:sz w:val="22"/>
          <w:szCs w:val="22"/>
          <w:lang w:val="en-US"/>
        </w:rPr>
        <w:t>to date; 2</w:t>
      </w:r>
      <w:r w:rsidR="00B87616">
        <w:rPr>
          <w:sz w:val="22"/>
          <w:szCs w:val="22"/>
          <w:lang w:val="en-US"/>
        </w:rPr>
        <w:t>2</w:t>
      </w:r>
      <w:r w:rsidRPr="00A50042">
        <w:rPr>
          <w:sz w:val="22"/>
          <w:szCs w:val="22"/>
          <w:lang w:val="en-US"/>
        </w:rPr>
        <w:t xml:space="preserve"> countries provided </w:t>
      </w:r>
      <w:r w:rsidRPr="00A50042">
        <w:rPr>
          <w:bCs/>
          <w:sz w:val="22"/>
          <w:szCs w:val="22"/>
          <w:lang w:val="en-US"/>
        </w:rPr>
        <w:t>$</w:t>
      </w:r>
      <w:r w:rsidR="00B87616">
        <w:rPr>
          <w:bCs/>
          <w:sz w:val="22"/>
          <w:szCs w:val="22"/>
          <w:lang w:val="en-US"/>
        </w:rPr>
        <w:t>77</w:t>
      </w:r>
      <w:r w:rsidR="00653D75">
        <w:rPr>
          <w:bCs/>
          <w:sz w:val="22"/>
          <w:szCs w:val="22"/>
          <w:lang w:val="en-US"/>
        </w:rPr>
        <w:t>3,1</w:t>
      </w:r>
      <w:r w:rsidR="00B87616">
        <w:rPr>
          <w:bCs/>
          <w:sz w:val="22"/>
          <w:szCs w:val="22"/>
          <w:lang w:val="en-US"/>
        </w:rPr>
        <w:t>1</w:t>
      </w:r>
      <w:r w:rsidR="00653D75">
        <w:rPr>
          <w:bCs/>
          <w:sz w:val="22"/>
          <w:szCs w:val="22"/>
          <w:lang w:val="en-US"/>
        </w:rPr>
        <w:t>2</w:t>
      </w:r>
      <w:r w:rsidRPr="00A50042">
        <w:rPr>
          <w:bCs/>
          <w:sz w:val="22"/>
          <w:szCs w:val="22"/>
          <w:lang w:val="en-US"/>
        </w:rPr>
        <w:t xml:space="preserve"> </w:t>
      </w:r>
      <w:r w:rsidRPr="00A50042">
        <w:rPr>
          <w:sz w:val="22"/>
          <w:szCs w:val="22"/>
          <w:lang w:val="en-US"/>
        </w:rPr>
        <w:t>and the Government of Canada provided $353,000.</w:t>
      </w:r>
      <w:r w:rsidR="00C23C70">
        <w:rPr>
          <w:sz w:val="22"/>
          <w:szCs w:val="22"/>
          <w:lang w:val="en-US"/>
        </w:rPr>
        <w:t xml:space="preserve"> </w:t>
      </w:r>
      <w:r w:rsidR="00C23C70" w:rsidRPr="00C23C70">
        <w:rPr>
          <w:sz w:val="22"/>
          <w:szCs w:val="22"/>
          <w:lang w:val="en-US"/>
        </w:rPr>
        <w:t xml:space="preserve">Among the contributions to the Fund, a contribution of $100,000 from the United States in 2023 and the sum of $105,000 from Trinidad and Tobago over time </w:t>
      </w:r>
      <w:r w:rsidR="00C23C70">
        <w:rPr>
          <w:sz w:val="22"/>
          <w:szCs w:val="22"/>
          <w:lang w:val="en-US"/>
        </w:rPr>
        <w:t>are highlighted</w:t>
      </w:r>
      <w:r w:rsidR="00C23C70" w:rsidRPr="00C23C70">
        <w:rPr>
          <w:sz w:val="22"/>
          <w:szCs w:val="22"/>
          <w:lang w:val="en-US"/>
        </w:rPr>
        <w:t>.</w:t>
      </w:r>
      <w:r w:rsidR="00C23C70">
        <w:rPr>
          <w:sz w:val="22"/>
          <w:szCs w:val="22"/>
          <w:lang w:val="en-US"/>
        </w:rPr>
        <w:t xml:space="preserve"> </w:t>
      </w:r>
      <w:r w:rsidRPr="00A50042">
        <w:rPr>
          <w:sz w:val="22"/>
          <w:szCs w:val="22"/>
          <w:lang w:val="en-US"/>
        </w:rPr>
        <w:t>Added to these</w:t>
      </w:r>
      <w:r w:rsidR="00C23C70">
        <w:rPr>
          <w:sz w:val="22"/>
          <w:szCs w:val="22"/>
          <w:lang w:val="en-US"/>
        </w:rPr>
        <w:t xml:space="preserve"> Fund </w:t>
      </w:r>
      <w:r w:rsidRPr="00A50042">
        <w:rPr>
          <w:sz w:val="22"/>
          <w:szCs w:val="22"/>
          <w:lang w:val="en-US"/>
        </w:rPr>
        <w:t xml:space="preserve">resources is co-funding of approximately </w:t>
      </w:r>
      <w:r w:rsidRPr="00A50042">
        <w:rPr>
          <w:b/>
          <w:sz w:val="22"/>
          <w:szCs w:val="22"/>
          <w:lang w:val="en-US"/>
        </w:rPr>
        <w:t>$</w:t>
      </w:r>
      <w:r w:rsidR="0081199B">
        <w:rPr>
          <w:b/>
          <w:sz w:val="22"/>
          <w:szCs w:val="22"/>
          <w:lang w:val="en-US"/>
        </w:rPr>
        <w:t>4</w:t>
      </w:r>
      <w:r w:rsidR="00C23C70">
        <w:rPr>
          <w:b/>
          <w:sz w:val="22"/>
          <w:szCs w:val="22"/>
          <w:lang w:val="en-US"/>
        </w:rPr>
        <w:t>22</w:t>
      </w:r>
      <w:r w:rsidR="00D90177" w:rsidRPr="00A50042">
        <w:rPr>
          <w:b/>
          <w:sz w:val="22"/>
          <w:szCs w:val="22"/>
          <w:lang w:val="en-US"/>
        </w:rPr>
        <w:t>,000</w:t>
      </w:r>
      <w:r w:rsidRPr="00A50042">
        <w:rPr>
          <w:sz w:val="22"/>
          <w:szCs w:val="22"/>
          <w:lang w:val="en-US"/>
        </w:rPr>
        <w:t xml:space="preserve">, for a total budget of </w:t>
      </w:r>
      <w:r w:rsidRPr="00A50042">
        <w:rPr>
          <w:b/>
          <w:sz w:val="22"/>
          <w:szCs w:val="22"/>
          <w:lang w:val="en-US"/>
        </w:rPr>
        <w:t>$1,</w:t>
      </w:r>
      <w:r w:rsidR="00C23C70">
        <w:rPr>
          <w:b/>
          <w:sz w:val="22"/>
          <w:szCs w:val="22"/>
          <w:lang w:val="en-US"/>
        </w:rPr>
        <w:t>548</w:t>
      </w:r>
      <w:r w:rsidR="00D90177" w:rsidRPr="00A50042">
        <w:rPr>
          <w:b/>
          <w:sz w:val="22"/>
          <w:szCs w:val="22"/>
          <w:lang w:val="en-US"/>
        </w:rPr>
        <w:t>,</w:t>
      </w:r>
      <w:r w:rsidR="0081199B">
        <w:rPr>
          <w:b/>
          <w:sz w:val="22"/>
          <w:szCs w:val="22"/>
          <w:lang w:val="en-US"/>
        </w:rPr>
        <w:t>1</w:t>
      </w:r>
      <w:r w:rsidR="00C23C70">
        <w:rPr>
          <w:b/>
          <w:sz w:val="22"/>
          <w:szCs w:val="22"/>
          <w:lang w:val="en-US"/>
        </w:rPr>
        <w:t>1</w:t>
      </w:r>
      <w:r w:rsidR="0081199B">
        <w:rPr>
          <w:b/>
          <w:sz w:val="22"/>
          <w:szCs w:val="22"/>
          <w:lang w:val="en-US"/>
        </w:rPr>
        <w:t>2</w:t>
      </w:r>
      <w:r w:rsidRPr="00A50042">
        <w:rPr>
          <w:b/>
          <w:sz w:val="22"/>
          <w:szCs w:val="22"/>
          <w:lang w:val="en-US"/>
        </w:rPr>
        <w:t>.</w:t>
      </w:r>
    </w:p>
    <w:p w14:paraId="00CE8E8E" w14:textId="0F3F951C" w:rsidR="00D90177" w:rsidRPr="00A50042" w:rsidRDefault="00D90177" w:rsidP="008F0953">
      <w:pPr>
        <w:spacing w:line="250" w:lineRule="exact"/>
        <w:jc w:val="both"/>
        <w:rPr>
          <w:b/>
          <w:sz w:val="22"/>
          <w:szCs w:val="22"/>
          <w:lang w:val="en-US"/>
        </w:rPr>
      </w:pPr>
    </w:p>
    <w:p w14:paraId="3DE45D13" w14:textId="1A0F32C2" w:rsidR="00C23C70" w:rsidRDefault="00D90177" w:rsidP="00D90177">
      <w:pPr>
        <w:spacing w:line="250" w:lineRule="exact"/>
        <w:jc w:val="both"/>
        <w:rPr>
          <w:sz w:val="22"/>
          <w:szCs w:val="22"/>
          <w:lang w:val="en-US"/>
        </w:rPr>
      </w:pPr>
      <w:r w:rsidRPr="00A50042">
        <w:rPr>
          <w:sz w:val="22"/>
          <w:szCs w:val="22"/>
          <w:lang w:val="en-US"/>
        </w:rPr>
        <w:t>Decisions on the use of the Fund, in accordance with its Guidelines, are made at the Planning Meetings of the IACML, which are held immediately after each conference and include the participation of the Ministries that lead the Conference: the troika (past, present and future Chairs) and the Chairs and Vice Chairs of the Working Groups.</w:t>
      </w:r>
      <w:r w:rsidR="00670962">
        <w:rPr>
          <w:sz w:val="22"/>
          <w:szCs w:val="22"/>
          <w:lang w:val="en-US"/>
        </w:rPr>
        <w:t xml:space="preserve"> Additionally, </w:t>
      </w:r>
      <w:r w:rsidR="00B93BC8">
        <w:rPr>
          <w:sz w:val="22"/>
          <w:szCs w:val="22"/>
          <w:lang w:val="en-US"/>
        </w:rPr>
        <w:t xml:space="preserve">there are annual Meetings of the </w:t>
      </w:r>
      <w:r w:rsidR="00C42859">
        <w:rPr>
          <w:sz w:val="22"/>
          <w:szCs w:val="22"/>
          <w:lang w:val="en-US"/>
        </w:rPr>
        <w:t>A</w:t>
      </w:r>
      <w:r w:rsidR="00B93BC8">
        <w:rPr>
          <w:sz w:val="22"/>
          <w:szCs w:val="22"/>
          <w:lang w:val="en-US"/>
        </w:rPr>
        <w:t xml:space="preserve">uthorities held with the objective of </w:t>
      </w:r>
      <w:r w:rsidRPr="00A50042">
        <w:rPr>
          <w:sz w:val="22"/>
          <w:szCs w:val="22"/>
          <w:lang w:val="en-US"/>
        </w:rPr>
        <w:t>asse</w:t>
      </w:r>
      <w:r w:rsidR="00C42859">
        <w:rPr>
          <w:sz w:val="22"/>
          <w:szCs w:val="22"/>
          <w:lang w:val="en-US"/>
        </w:rPr>
        <w:t>s</w:t>
      </w:r>
      <w:r w:rsidRPr="00A50042">
        <w:rPr>
          <w:sz w:val="22"/>
          <w:szCs w:val="22"/>
          <w:lang w:val="en-US"/>
        </w:rPr>
        <w:t>s</w:t>
      </w:r>
      <w:r w:rsidR="00C42859">
        <w:rPr>
          <w:sz w:val="22"/>
          <w:szCs w:val="22"/>
          <w:lang w:val="en-US"/>
        </w:rPr>
        <w:t>ing</w:t>
      </w:r>
      <w:r w:rsidRPr="00A50042">
        <w:rPr>
          <w:sz w:val="22"/>
          <w:szCs w:val="22"/>
          <w:lang w:val="en-US"/>
        </w:rPr>
        <w:t xml:space="preserve"> the completion of the IACML Work Plan, review the RIAL financial status, and decide on the use of available resources. </w:t>
      </w:r>
      <w:r w:rsidR="00C23C70" w:rsidRPr="00C23C70">
        <w:rPr>
          <w:sz w:val="22"/>
          <w:szCs w:val="22"/>
          <w:lang w:val="en-US"/>
        </w:rPr>
        <w:t xml:space="preserve">The last virtual </w:t>
      </w:r>
      <w:r w:rsidR="00C23C70">
        <w:rPr>
          <w:sz w:val="22"/>
          <w:szCs w:val="22"/>
          <w:lang w:val="en-US"/>
        </w:rPr>
        <w:t xml:space="preserve">annual </w:t>
      </w:r>
      <w:r w:rsidR="00C23C70" w:rsidRPr="00C23C70">
        <w:rPr>
          <w:sz w:val="22"/>
          <w:szCs w:val="22"/>
          <w:lang w:val="en-US"/>
        </w:rPr>
        <w:t xml:space="preserve">Meeting of Authorities of the XXI </w:t>
      </w:r>
      <w:r w:rsidR="00C23C70">
        <w:rPr>
          <w:sz w:val="22"/>
          <w:szCs w:val="22"/>
          <w:lang w:val="en-US"/>
        </w:rPr>
        <w:t xml:space="preserve">IACML </w:t>
      </w:r>
      <w:r w:rsidR="00C23C70" w:rsidRPr="00C23C70">
        <w:rPr>
          <w:sz w:val="22"/>
          <w:szCs w:val="22"/>
          <w:lang w:val="en-US"/>
        </w:rPr>
        <w:t>was held in January 2023.</w:t>
      </w:r>
    </w:p>
    <w:p w14:paraId="6E922171" w14:textId="7719D0AD" w:rsidR="007941F2" w:rsidRPr="00A50042" w:rsidRDefault="007941F2" w:rsidP="00D90177">
      <w:pPr>
        <w:spacing w:line="250" w:lineRule="exact"/>
        <w:jc w:val="both"/>
        <w:rPr>
          <w:sz w:val="22"/>
          <w:szCs w:val="22"/>
          <w:lang w:val="en-US"/>
        </w:rPr>
      </w:pPr>
    </w:p>
    <w:p w14:paraId="5DC4A1B1" w14:textId="77777777" w:rsidR="007941F2" w:rsidRPr="00A50042" w:rsidRDefault="007941F2" w:rsidP="007941F2">
      <w:pPr>
        <w:spacing w:line="250" w:lineRule="exact"/>
        <w:jc w:val="both"/>
        <w:rPr>
          <w:sz w:val="22"/>
          <w:szCs w:val="22"/>
          <w:lang w:val="en-US"/>
        </w:rPr>
      </w:pPr>
      <w:r w:rsidRPr="00A50042">
        <w:rPr>
          <w:sz w:val="22"/>
          <w:szCs w:val="22"/>
          <w:lang w:val="en-US"/>
        </w:rPr>
        <w:t xml:space="preserve">The resources of the RIAL are divided into two areas: RIAL Activities (Workshops, Bilateral Cooperation, etc.) and operating costs, which partially cover the human-resources component of the RIAL and include administration, follow-up and communications. </w:t>
      </w:r>
    </w:p>
    <w:p w14:paraId="66DF5E26" w14:textId="77777777" w:rsidR="00B74195" w:rsidRDefault="00B74195" w:rsidP="00D90177">
      <w:pPr>
        <w:spacing w:line="250" w:lineRule="exact"/>
        <w:jc w:val="both"/>
        <w:rPr>
          <w:sz w:val="22"/>
          <w:szCs w:val="22"/>
          <w:lang w:val="en-US"/>
        </w:rPr>
      </w:pPr>
    </w:p>
    <w:p w14:paraId="1F5FB3D8" w14:textId="445F0C70" w:rsidR="00C23C70" w:rsidRPr="00C23C70" w:rsidRDefault="007941F2" w:rsidP="00D90177">
      <w:pPr>
        <w:spacing w:line="250" w:lineRule="exact"/>
        <w:jc w:val="both"/>
        <w:rPr>
          <w:sz w:val="22"/>
          <w:szCs w:val="22"/>
          <w:lang w:val="en-US"/>
        </w:rPr>
      </w:pPr>
      <w:r w:rsidRPr="00A50042">
        <w:rPr>
          <w:sz w:val="22"/>
          <w:szCs w:val="22"/>
          <w:lang w:val="en-US"/>
        </w:rPr>
        <w:t xml:space="preserve">Spent resources to date, amount to </w:t>
      </w:r>
      <w:r w:rsidRPr="00A50042">
        <w:rPr>
          <w:b/>
          <w:sz w:val="22"/>
          <w:szCs w:val="22"/>
          <w:lang w:val="en-US"/>
        </w:rPr>
        <w:t>$1,</w:t>
      </w:r>
      <w:r w:rsidR="00C23C70">
        <w:rPr>
          <w:b/>
          <w:sz w:val="22"/>
          <w:szCs w:val="22"/>
          <w:lang w:val="en-US"/>
        </w:rPr>
        <w:t>400</w:t>
      </w:r>
      <w:r w:rsidR="00297F90" w:rsidRPr="00A50042">
        <w:rPr>
          <w:b/>
          <w:sz w:val="22"/>
          <w:szCs w:val="22"/>
          <w:lang w:val="en-US"/>
        </w:rPr>
        <w:t>,6</w:t>
      </w:r>
      <w:r w:rsidR="00C23C70">
        <w:rPr>
          <w:b/>
          <w:sz w:val="22"/>
          <w:szCs w:val="22"/>
          <w:lang w:val="en-US"/>
        </w:rPr>
        <w:t>57</w:t>
      </w:r>
      <w:r w:rsidRPr="00A50042">
        <w:rPr>
          <w:sz w:val="22"/>
          <w:szCs w:val="22"/>
          <w:lang w:val="en-US"/>
        </w:rPr>
        <w:t xml:space="preserve"> coming from the Voluntary Contribution Fund ($</w:t>
      </w:r>
      <w:r w:rsidR="00BE7F64">
        <w:rPr>
          <w:sz w:val="22"/>
          <w:szCs w:val="22"/>
          <w:lang w:val="en-US"/>
        </w:rPr>
        <w:t>9</w:t>
      </w:r>
      <w:r w:rsidR="00C23C70">
        <w:rPr>
          <w:sz w:val="22"/>
          <w:szCs w:val="22"/>
          <w:lang w:val="en-US"/>
        </w:rPr>
        <w:t>78</w:t>
      </w:r>
      <w:r w:rsidRPr="00A50042">
        <w:rPr>
          <w:sz w:val="22"/>
          <w:szCs w:val="22"/>
          <w:lang w:val="en-US"/>
        </w:rPr>
        <w:t>,</w:t>
      </w:r>
      <w:r w:rsidR="00BE7F64">
        <w:rPr>
          <w:sz w:val="22"/>
          <w:szCs w:val="22"/>
          <w:lang w:val="en-US"/>
        </w:rPr>
        <w:t>6</w:t>
      </w:r>
      <w:r w:rsidR="00C23C70">
        <w:rPr>
          <w:sz w:val="22"/>
          <w:szCs w:val="22"/>
          <w:lang w:val="en-US"/>
        </w:rPr>
        <w:t>57</w:t>
      </w:r>
      <w:r w:rsidR="00BE7F64">
        <w:rPr>
          <w:sz w:val="22"/>
          <w:szCs w:val="22"/>
          <w:lang w:val="en-US"/>
        </w:rPr>
        <w:t>,</w:t>
      </w:r>
      <w:r w:rsidRPr="00A50042">
        <w:rPr>
          <w:sz w:val="22"/>
          <w:szCs w:val="22"/>
          <w:lang w:val="en-US"/>
        </w:rPr>
        <w:t xml:space="preserve"> including Canada</w:t>
      </w:r>
      <w:r w:rsidR="00C23C70">
        <w:rPr>
          <w:sz w:val="22"/>
          <w:szCs w:val="22"/>
          <w:lang w:val="en-US"/>
        </w:rPr>
        <w:t>’</w:t>
      </w:r>
      <w:r w:rsidRPr="00A50042">
        <w:rPr>
          <w:sz w:val="22"/>
          <w:szCs w:val="22"/>
          <w:lang w:val="en-US"/>
        </w:rPr>
        <w:t>s contribution) and other in-kind contributions valued at $</w:t>
      </w:r>
      <w:r w:rsidR="00BE7F64">
        <w:rPr>
          <w:sz w:val="22"/>
          <w:szCs w:val="22"/>
          <w:lang w:val="en-US"/>
        </w:rPr>
        <w:t>4</w:t>
      </w:r>
      <w:r w:rsidR="00C23C70">
        <w:rPr>
          <w:sz w:val="22"/>
          <w:szCs w:val="22"/>
          <w:lang w:val="en-US"/>
        </w:rPr>
        <w:t>22</w:t>
      </w:r>
      <w:r w:rsidR="00297F90" w:rsidRPr="00A50042">
        <w:rPr>
          <w:sz w:val="22"/>
          <w:szCs w:val="22"/>
          <w:lang w:val="en-US"/>
        </w:rPr>
        <w:t>,000</w:t>
      </w:r>
      <w:r w:rsidRPr="00A50042">
        <w:rPr>
          <w:sz w:val="22"/>
          <w:szCs w:val="22"/>
          <w:lang w:val="en-US"/>
        </w:rPr>
        <w:t xml:space="preserve">. </w:t>
      </w:r>
      <w:r w:rsidR="00CD4C93">
        <w:rPr>
          <w:sz w:val="22"/>
          <w:szCs w:val="22"/>
          <w:lang w:val="en-US"/>
        </w:rPr>
        <w:t xml:space="preserve">In addition, in accordance with the decisions of </w:t>
      </w:r>
      <w:r w:rsidR="00C23C70" w:rsidRPr="00C23C70">
        <w:rPr>
          <w:sz w:val="22"/>
          <w:szCs w:val="22"/>
          <w:lang w:val="en-US"/>
        </w:rPr>
        <w:t>the Meetings of Authorities of 2022 and 2023</w:t>
      </w:r>
      <w:r w:rsidR="0068630C">
        <w:rPr>
          <w:sz w:val="22"/>
          <w:szCs w:val="22"/>
          <w:lang w:val="en-US"/>
        </w:rPr>
        <w:t xml:space="preserve">, there are currently budgeted resources of </w:t>
      </w:r>
      <w:r w:rsidR="00AF4582" w:rsidRPr="00AF4582">
        <w:rPr>
          <w:b/>
          <w:bCs/>
          <w:sz w:val="22"/>
          <w:szCs w:val="22"/>
          <w:lang w:val="en-US"/>
        </w:rPr>
        <w:t>$3</w:t>
      </w:r>
      <w:r w:rsidR="00C23C70">
        <w:rPr>
          <w:b/>
          <w:bCs/>
          <w:sz w:val="22"/>
          <w:szCs w:val="22"/>
          <w:lang w:val="en-US"/>
        </w:rPr>
        <w:t>5</w:t>
      </w:r>
      <w:r w:rsidR="00AF4582" w:rsidRPr="00AF4582">
        <w:rPr>
          <w:b/>
          <w:bCs/>
          <w:sz w:val="22"/>
          <w:szCs w:val="22"/>
          <w:lang w:val="en-US"/>
        </w:rPr>
        <w:t>,000</w:t>
      </w:r>
      <w:r w:rsidR="00AF4582">
        <w:rPr>
          <w:b/>
          <w:bCs/>
          <w:sz w:val="22"/>
          <w:szCs w:val="22"/>
          <w:lang w:val="en-US"/>
        </w:rPr>
        <w:t xml:space="preserve"> </w:t>
      </w:r>
      <w:r w:rsidR="00AF4582">
        <w:rPr>
          <w:sz w:val="22"/>
          <w:szCs w:val="22"/>
          <w:lang w:val="en-US"/>
        </w:rPr>
        <w:t xml:space="preserve">for activities in 2023 and 2024 </w:t>
      </w:r>
      <w:r w:rsidR="005753DA">
        <w:rPr>
          <w:sz w:val="22"/>
          <w:szCs w:val="22"/>
          <w:lang w:val="en-US"/>
        </w:rPr>
        <w:t xml:space="preserve">of the IACML Work Plan 2022-2024. </w:t>
      </w:r>
      <w:r w:rsidR="00297F90" w:rsidRPr="00A50042">
        <w:rPr>
          <w:sz w:val="22"/>
          <w:szCs w:val="22"/>
          <w:lang w:val="en-US"/>
        </w:rPr>
        <w:t xml:space="preserve">This leaves a balance of </w:t>
      </w:r>
      <w:r w:rsidR="00297F90" w:rsidRPr="004B2C9C">
        <w:rPr>
          <w:b/>
          <w:bCs/>
          <w:sz w:val="22"/>
          <w:szCs w:val="22"/>
          <w:lang w:val="en-US"/>
        </w:rPr>
        <w:t>$</w:t>
      </w:r>
      <w:r w:rsidR="00C23C70">
        <w:rPr>
          <w:b/>
          <w:bCs/>
          <w:sz w:val="22"/>
          <w:szCs w:val="22"/>
          <w:lang w:val="en-US"/>
        </w:rPr>
        <w:t>112</w:t>
      </w:r>
      <w:r w:rsidR="005753DA">
        <w:rPr>
          <w:b/>
          <w:bCs/>
          <w:sz w:val="22"/>
          <w:szCs w:val="22"/>
          <w:lang w:val="en-US"/>
        </w:rPr>
        <w:t>,4</w:t>
      </w:r>
      <w:r w:rsidR="00C23C70">
        <w:rPr>
          <w:b/>
          <w:bCs/>
          <w:sz w:val="22"/>
          <w:szCs w:val="22"/>
          <w:lang w:val="en-US"/>
        </w:rPr>
        <w:t>56</w:t>
      </w:r>
      <w:r w:rsidR="00297F90" w:rsidRPr="004B2C9C">
        <w:rPr>
          <w:b/>
          <w:bCs/>
          <w:sz w:val="22"/>
          <w:szCs w:val="22"/>
          <w:lang w:val="en-US"/>
        </w:rPr>
        <w:t>.</w:t>
      </w:r>
      <w:r w:rsidR="00C23C70">
        <w:rPr>
          <w:b/>
          <w:bCs/>
          <w:sz w:val="22"/>
          <w:szCs w:val="22"/>
          <w:lang w:val="en-US"/>
        </w:rPr>
        <w:t xml:space="preserve"> </w:t>
      </w:r>
      <w:r w:rsidR="00C23C70" w:rsidRPr="00C23C70">
        <w:rPr>
          <w:sz w:val="22"/>
          <w:szCs w:val="22"/>
          <w:lang w:val="en-US"/>
        </w:rPr>
        <w:t xml:space="preserve">It should be noted that the contribution of $100,000 </w:t>
      </w:r>
      <w:r w:rsidR="00C23C70" w:rsidRPr="00C23C70">
        <w:rPr>
          <w:sz w:val="22"/>
          <w:szCs w:val="22"/>
          <w:lang w:val="en-US"/>
        </w:rPr>
        <w:lastRenderedPageBreak/>
        <w:t>from the United States in 2023 must be allocated to the RIAL</w:t>
      </w:r>
      <w:r w:rsidR="00C23C70">
        <w:rPr>
          <w:sz w:val="22"/>
          <w:szCs w:val="22"/>
          <w:lang w:val="en-US"/>
        </w:rPr>
        <w:t>’s</w:t>
      </w:r>
      <w:r w:rsidR="00C23C70" w:rsidRPr="00C23C70">
        <w:rPr>
          <w:sz w:val="22"/>
          <w:szCs w:val="22"/>
          <w:lang w:val="en-US"/>
        </w:rPr>
        <w:t xml:space="preserve"> actions contemplated in the 2022-2024 Work Plan of the </w:t>
      </w:r>
      <w:r w:rsidR="002C0B40">
        <w:rPr>
          <w:sz w:val="22"/>
          <w:szCs w:val="22"/>
          <w:lang w:val="en-US"/>
        </w:rPr>
        <w:t>IACML</w:t>
      </w:r>
      <w:r w:rsidR="00C23C70" w:rsidRPr="00C23C70">
        <w:rPr>
          <w:sz w:val="22"/>
          <w:szCs w:val="22"/>
          <w:lang w:val="en-US"/>
        </w:rPr>
        <w:t>.</w:t>
      </w:r>
    </w:p>
    <w:p w14:paraId="57CCB2DA" w14:textId="60AE7231" w:rsidR="007941F2" w:rsidRPr="00A50042" w:rsidRDefault="00297F90" w:rsidP="00D90177">
      <w:pPr>
        <w:spacing w:line="250" w:lineRule="exact"/>
        <w:jc w:val="both"/>
        <w:rPr>
          <w:sz w:val="22"/>
          <w:szCs w:val="22"/>
          <w:lang w:val="en-US"/>
        </w:rPr>
      </w:pPr>
      <w:r w:rsidRPr="00A50042">
        <w:rPr>
          <w:sz w:val="22"/>
          <w:szCs w:val="22"/>
          <w:lang w:val="en-US"/>
        </w:rPr>
        <w:t xml:space="preserve"> </w:t>
      </w:r>
    </w:p>
    <w:p w14:paraId="77B96A52" w14:textId="3DF7B121" w:rsidR="00297F90" w:rsidRPr="007E2BFC" w:rsidRDefault="00297F90" w:rsidP="00E86F6A">
      <w:pPr>
        <w:spacing w:line="250" w:lineRule="exact"/>
        <w:rPr>
          <w:b/>
          <w:sz w:val="22"/>
          <w:szCs w:val="22"/>
          <w:lang w:val="en-US"/>
        </w:rPr>
      </w:pPr>
      <w:r w:rsidRPr="007E2BFC">
        <w:rPr>
          <w:b/>
          <w:sz w:val="22"/>
          <w:szCs w:val="22"/>
          <w:lang w:val="en-US"/>
        </w:rPr>
        <w:t xml:space="preserve">II. </w:t>
      </w:r>
      <w:r w:rsidR="007E2BFC" w:rsidRPr="007E2BFC">
        <w:rPr>
          <w:b/>
          <w:sz w:val="22"/>
          <w:szCs w:val="22"/>
          <w:lang w:val="en-US"/>
        </w:rPr>
        <w:t>Contributions</w:t>
      </w:r>
    </w:p>
    <w:p w14:paraId="2DC65064" w14:textId="77777777" w:rsidR="00E86F6A" w:rsidRPr="00E86F6A" w:rsidRDefault="00E86F6A" w:rsidP="00E86F6A">
      <w:pPr>
        <w:spacing w:line="250" w:lineRule="exact"/>
        <w:rPr>
          <w:b/>
          <w:sz w:val="22"/>
          <w:szCs w:val="22"/>
          <w:lang w:val="en-US"/>
        </w:rPr>
      </w:pPr>
    </w:p>
    <w:p w14:paraId="0E090621" w14:textId="397B941A" w:rsidR="002C0B40" w:rsidRPr="00A50042" w:rsidRDefault="00297F90" w:rsidP="00297F90">
      <w:pPr>
        <w:spacing w:line="250" w:lineRule="exact"/>
        <w:jc w:val="both"/>
        <w:rPr>
          <w:sz w:val="22"/>
          <w:szCs w:val="22"/>
          <w:lang w:val="en-US"/>
        </w:rPr>
      </w:pPr>
      <w:r w:rsidRPr="00A50042">
        <w:rPr>
          <w:sz w:val="22"/>
          <w:szCs w:val="22"/>
          <w:lang w:val="en-US"/>
        </w:rPr>
        <w:t>To date, 2</w:t>
      </w:r>
      <w:r w:rsidR="00C23C70">
        <w:rPr>
          <w:sz w:val="22"/>
          <w:szCs w:val="22"/>
          <w:lang w:val="en-US"/>
        </w:rPr>
        <w:t>3</w:t>
      </w:r>
      <w:r w:rsidRPr="00A50042">
        <w:rPr>
          <w:sz w:val="22"/>
          <w:szCs w:val="22"/>
          <w:lang w:val="en-US"/>
        </w:rPr>
        <w:t xml:space="preserve"> Ministries of Labor have contributed to the Fund. As shown in </w:t>
      </w:r>
      <w:r w:rsidRPr="002C0B40">
        <w:rPr>
          <w:b/>
          <w:sz w:val="22"/>
          <w:szCs w:val="22"/>
          <w:lang w:val="en-US"/>
        </w:rPr>
        <w:t>Chart No. 1</w:t>
      </w:r>
      <w:r w:rsidRPr="007B5250">
        <w:rPr>
          <w:bCs/>
          <w:sz w:val="22"/>
          <w:szCs w:val="22"/>
          <w:lang w:val="en-US"/>
        </w:rPr>
        <w:t>,</w:t>
      </w:r>
      <w:r w:rsidRPr="00A50042">
        <w:rPr>
          <w:sz w:val="22"/>
          <w:szCs w:val="22"/>
          <w:lang w:val="en-US"/>
        </w:rPr>
        <w:t xml:space="preserve"> some countries have made more than one contribution, </w:t>
      </w:r>
      <w:r w:rsidRPr="00A50042">
        <w:rPr>
          <w:noProof/>
          <w:sz w:val="22"/>
          <w:szCs w:val="22"/>
          <w:lang w:val="en-US"/>
        </w:rPr>
        <w:t>and</w:t>
      </w:r>
      <w:r w:rsidRPr="00A50042">
        <w:rPr>
          <w:sz w:val="22"/>
          <w:szCs w:val="22"/>
          <w:lang w:val="en-US"/>
        </w:rPr>
        <w:t xml:space="preserve"> others have contributed much more than the established minimum. Canada has made two important contributions: $200,000 between 2012-2014 and $153,000 for 2018-2020. Given </w:t>
      </w:r>
      <w:r w:rsidRPr="00A50042">
        <w:rPr>
          <w:noProof/>
          <w:sz w:val="22"/>
          <w:szCs w:val="22"/>
          <w:lang w:val="en-US"/>
        </w:rPr>
        <w:t>the large</w:t>
      </w:r>
      <w:r w:rsidRPr="00A50042">
        <w:rPr>
          <w:sz w:val="22"/>
          <w:szCs w:val="22"/>
          <w:lang w:val="en-US"/>
        </w:rPr>
        <w:t xml:space="preserve"> amount of the contributions, two separate </w:t>
      </w:r>
      <w:r w:rsidR="0032464E" w:rsidRPr="00A50042">
        <w:rPr>
          <w:sz w:val="22"/>
          <w:szCs w:val="22"/>
          <w:lang w:val="en-US"/>
        </w:rPr>
        <w:t>projects</w:t>
      </w:r>
      <w:r w:rsidRPr="00A50042">
        <w:rPr>
          <w:sz w:val="22"/>
          <w:szCs w:val="22"/>
          <w:lang w:val="en-US"/>
        </w:rPr>
        <w:t xml:space="preserve"> were established for accounting purposes, but its use was also decided upon by IACML authorities</w:t>
      </w:r>
      <w:r w:rsidR="002C0B40">
        <w:rPr>
          <w:sz w:val="22"/>
          <w:szCs w:val="22"/>
          <w:lang w:val="en-US"/>
        </w:rPr>
        <w:t xml:space="preserve">. </w:t>
      </w:r>
      <w:r w:rsidR="002C0B40" w:rsidRPr="002C0B40">
        <w:rPr>
          <w:sz w:val="22"/>
          <w:szCs w:val="22"/>
          <w:lang w:val="en-US"/>
        </w:rPr>
        <w:t xml:space="preserve">The total sum of contributions from Trinidad and Tobago for $105,000 and the recent contribution from the United States for $100,000 are highlighted, </w:t>
      </w:r>
      <w:r w:rsidR="004E79FE">
        <w:rPr>
          <w:sz w:val="22"/>
          <w:szCs w:val="22"/>
          <w:lang w:val="en-US"/>
        </w:rPr>
        <w:t xml:space="preserve">the latter is </w:t>
      </w:r>
      <w:r w:rsidR="002C0B40" w:rsidRPr="002C0B40">
        <w:rPr>
          <w:sz w:val="22"/>
          <w:szCs w:val="22"/>
          <w:lang w:val="en-US"/>
        </w:rPr>
        <w:t xml:space="preserve">intended to cover the activities of the RIAL within the 2022-2024 Work Plan of the </w:t>
      </w:r>
      <w:r w:rsidR="002C0B40">
        <w:rPr>
          <w:sz w:val="22"/>
          <w:szCs w:val="22"/>
          <w:lang w:val="en-US"/>
        </w:rPr>
        <w:t>IACML.</w:t>
      </w:r>
    </w:p>
    <w:p w14:paraId="58A6CDF2" w14:textId="77777777" w:rsidR="008F0953" w:rsidRDefault="008F0953" w:rsidP="008F0953">
      <w:pPr>
        <w:spacing w:line="250" w:lineRule="exact"/>
        <w:jc w:val="both"/>
        <w:rPr>
          <w:sz w:val="22"/>
          <w:szCs w:val="22"/>
          <w:lang w:val="en-US"/>
        </w:rPr>
      </w:pPr>
    </w:p>
    <w:p w14:paraId="76951DA8" w14:textId="77777777" w:rsidR="00DC0F89" w:rsidRPr="00A50042" w:rsidRDefault="00DC0F89" w:rsidP="008F0953">
      <w:pPr>
        <w:spacing w:line="250" w:lineRule="exact"/>
        <w:jc w:val="both"/>
        <w:rPr>
          <w:sz w:val="22"/>
          <w:szCs w:val="22"/>
          <w:lang w:val="en-US"/>
        </w:rPr>
      </w:pPr>
    </w:p>
    <w:p w14:paraId="62E18D1B" w14:textId="77777777" w:rsidR="00297F90" w:rsidRPr="00A50042" w:rsidRDefault="00297F90" w:rsidP="00297F90">
      <w:pPr>
        <w:spacing w:line="250" w:lineRule="exact"/>
        <w:jc w:val="center"/>
        <w:rPr>
          <w:b/>
          <w:sz w:val="22"/>
          <w:szCs w:val="22"/>
          <w:lang w:val="en-US"/>
        </w:rPr>
      </w:pPr>
      <w:r w:rsidRPr="00A50042">
        <w:rPr>
          <w:b/>
          <w:sz w:val="22"/>
          <w:szCs w:val="22"/>
          <w:lang w:val="en-US"/>
        </w:rPr>
        <w:t>Chart No. 1</w:t>
      </w:r>
    </w:p>
    <w:p w14:paraId="4CBC51CE" w14:textId="44D3A186" w:rsidR="00297F90" w:rsidRDefault="00297F90" w:rsidP="00E86F6A">
      <w:pPr>
        <w:spacing w:line="250" w:lineRule="exact"/>
        <w:jc w:val="center"/>
        <w:rPr>
          <w:b/>
          <w:bCs/>
          <w:sz w:val="22"/>
          <w:szCs w:val="22"/>
          <w:lang w:val="en-US"/>
        </w:rPr>
      </w:pPr>
      <w:r w:rsidRPr="00A50042">
        <w:rPr>
          <w:b/>
          <w:bCs/>
          <w:sz w:val="22"/>
          <w:szCs w:val="22"/>
          <w:lang w:val="en-US"/>
        </w:rPr>
        <w:t xml:space="preserve">Contributions received by country </w:t>
      </w:r>
    </w:p>
    <w:p w14:paraId="0F2AA864" w14:textId="252CECA5" w:rsidR="0032464E" w:rsidRPr="00071472" w:rsidRDefault="0032464E" w:rsidP="00E86F6A">
      <w:pPr>
        <w:spacing w:line="250" w:lineRule="exact"/>
        <w:jc w:val="center"/>
        <w:rPr>
          <w:i/>
          <w:iCs/>
          <w:sz w:val="22"/>
          <w:szCs w:val="22"/>
          <w:lang w:val="en-US"/>
        </w:rPr>
      </w:pPr>
      <w:r w:rsidRPr="00071472">
        <w:rPr>
          <w:i/>
          <w:iCs/>
          <w:sz w:val="22"/>
          <w:szCs w:val="22"/>
          <w:lang w:val="en-US"/>
        </w:rPr>
        <w:t xml:space="preserve">(In US </w:t>
      </w:r>
      <w:r w:rsidR="00071472" w:rsidRPr="00071472">
        <w:rPr>
          <w:i/>
          <w:iCs/>
          <w:sz w:val="22"/>
          <w:szCs w:val="22"/>
          <w:lang w:val="en-US"/>
        </w:rPr>
        <w:t>dollars</w:t>
      </w:r>
      <w:r w:rsidRPr="00071472">
        <w:rPr>
          <w:i/>
          <w:iCs/>
          <w:sz w:val="22"/>
          <w:szCs w:val="22"/>
          <w:lang w:val="en-US"/>
        </w:rPr>
        <w:t>)</w:t>
      </w:r>
    </w:p>
    <w:p w14:paraId="4320A014" w14:textId="77777777" w:rsidR="00DC0F89" w:rsidRPr="00E86F6A" w:rsidRDefault="00DC0F89" w:rsidP="00E86F6A">
      <w:pPr>
        <w:spacing w:line="250" w:lineRule="exact"/>
        <w:jc w:val="center"/>
        <w:rPr>
          <w:bCs/>
          <w:sz w:val="22"/>
          <w:szCs w:val="22"/>
          <w:lang w:val="en-US"/>
        </w:rPr>
      </w:pPr>
    </w:p>
    <w:tbl>
      <w:tblPr>
        <w:tblW w:w="8670" w:type="dxa"/>
        <w:jc w:val="center"/>
        <w:tblLayout w:type="fixed"/>
        <w:tblLook w:val="0000" w:firstRow="0" w:lastRow="0" w:firstColumn="0" w:lastColumn="0" w:noHBand="0" w:noVBand="0"/>
      </w:tblPr>
      <w:tblGrid>
        <w:gridCol w:w="2865"/>
        <w:gridCol w:w="2205"/>
        <w:gridCol w:w="3600"/>
      </w:tblGrid>
      <w:tr w:rsidR="00297F90" w:rsidRPr="00A50042" w14:paraId="7EB8987E" w14:textId="77777777" w:rsidTr="00AF6ABE">
        <w:trPr>
          <w:trHeight w:val="260"/>
          <w:jc w:val="center"/>
        </w:trPr>
        <w:tc>
          <w:tcPr>
            <w:tcW w:w="2865" w:type="dxa"/>
            <w:tcBorders>
              <w:top w:val="single" w:sz="12" w:space="0" w:color="auto"/>
              <w:left w:val="single" w:sz="12" w:space="0" w:color="auto"/>
              <w:bottom w:val="single" w:sz="12" w:space="0" w:color="auto"/>
              <w:right w:val="single" w:sz="12" w:space="0" w:color="auto"/>
            </w:tcBorders>
            <w:vAlign w:val="center"/>
          </w:tcPr>
          <w:p w14:paraId="6F9B3AA7" w14:textId="77777777" w:rsidR="00297F90" w:rsidRPr="00A50042" w:rsidRDefault="00297F90">
            <w:pPr>
              <w:autoSpaceDE w:val="0"/>
              <w:autoSpaceDN w:val="0"/>
              <w:adjustRightInd w:val="0"/>
              <w:jc w:val="center"/>
              <w:rPr>
                <w:b/>
                <w:bCs/>
                <w:sz w:val="22"/>
                <w:szCs w:val="22"/>
                <w:lang w:val="en-US" w:eastAsia="ja-JP"/>
              </w:rPr>
            </w:pPr>
            <w:r w:rsidRPr="00A50042">
              <w:rPr>
                <w:b/>
                <w:bCs/>
                <w:sz w:val="22"/>
                <w:szCs w:val="22"/>
                <w:lang w:val="en-US" w:eastAsia="ja-JP"/>
              </w:rPr>
              <w:t>Country</w:t>
            </w:r>
          </w:p>
        </w:tc>
        <w:tc>
          <w:tcPr>
            <w:tcW w:w="2205" w:type="dxa"/>
            <w:tcBorders>
              <w:top w:val="single" w:sz="12" w:space="0" w:color="auto"/>
              <w:left w:val="single" w:sz="12" w:space="0" w:color="auto"/>
              <w:bottom w:val="single" w:sz="12" w:space="0" w:color="auto"/>
              <w:right w:val="single" w:sz="12" w:space="0" w:color="auto"/>
            </w:tcBorders>
            <w:vAlign w:val="center"/>
          </w:tcPr>
          <w:p w14:paraId="31260B4F" w14:textId="77777777" w:rsidR="00297F90" w:rsidRPr="00A50042" w:rsidRDefault="00297F90">
            <w:pPr>
              <w:autoSpaceDE w:val="0"/>
              <w:autoSpaceDN w:val="0"/>
              <w:adjustRightInd w:val="0"/>
              <w:jc w:val="center"/>
              <w:rPr>
                <w:b/>
                <w:bCs/>
                <w:sz w:val="22"/>
                <w:szCs w:val="22"/>
                <w:lang w:val="en-US" w:eastAsia="ja-JP"/>
              </w:rPr>
            </w:pPr>
            <w:r w:rsidRPr="00A50042">
              <w:rPr>
                <w:b/>
                <w:bCs/>
                <w:sz w:val="22"/>
                <w:szCs w:val="22"/>
                <w:lang w:val="en-US" w:eastAsia="ja-JP"/>
              </w:rPr>
              <w:t>Amount</w:t>
            </w:r>
          </w:p>
        </w:tc>
        <w:tc>
          <w:tcPr>
            <w:tcW w:w="3600" w:type="dxa"/>
            <w:tcBorders>
              <w:top w:val="single" w:sz="12" w:space="0" w:color="auto"/>
              <w:left w:val="single" w:sz="12" w:space="0" w:color="auto"/>
              <w:bottom w:val="single" w:sz="12" w:space="0" w:color="auto"/>
              <w:right w:val="single" w:sz="12" w:space="0" w:color="auto"/>
            </w:tcBorders>
            <w:vAlign w:val="center"/>
          </w:tcPr>
          <w:p w14:paraId="1B8CAC3E" w14:textId="77777777" w:rsidR="00297F90" w:rsidRPr="00A50042" w:rsidRDefault="00297F90">
            <w:pPr>
              <w:autoSpaceDE w:val="0"/>
              <w:autoSpaceDN w:val="0"/>
              <w:adjustRightInd w:val="0"/>
              <w:jc w:val="center"/>
              <w:rPr>
                <w:b/>
                <w:bCs/>
                <w:sz w:val="22"/>
                <w:szCs w:val="22"/>
                <w:lang w:val="en-US" w:eastAsia="ja-JP"/>
              </w:rPr>
            </w:pPr>
            <w:r w:rsidRPr="00A50042">
              <w:rPr>
                <w:b/>
                <w:bCs/>
                <w:sz w:val="22"/>
                <w:szCs w:val="22"/>
                <w:lang w:val="en-US" w:eastAsia="ja-JP"/>
              </w:rPr>
              <w:t>Year</w:t>
            </w:r>
          </w:p>
        </w:tc>
      </w:tr>
      <w:tr w:rsidR="00297F90" w:rsidRPr="00A50042" w14:paraId="0602B9C6" w14:textId="77777777" w:rsidTr="00AF6ABE">
        <w:trPr>
          <w:trHeight w:val="314"/>
          <w:jc w:val="center"/>
        </w:trPr>
        <w:tc>
          <w:tcPr>
            <w:tcW w:w="2865" w:type="dxa"/>
            <w:tcBorders>
              <w:top w:val="single" w:sz="12" w:space="0" w:color="auto"/>
              <w:left w:val="single" w:sz="12" w:space="0" w:color="auto"/>
              <w:bottom w:val="single" w:sz="2" w:space="0" w:color="000000"/>
              <w:right w:val="single" w:sz="12" w:space="0" w:color="auto"/>
            </w:tcBorders>
            <w:vAlign w:val="center"/>
          </w:tcPr>
          <w:p w14:paraId="0ABF0F0A"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1.Argentina</w:t>
            </w:r>
          </w:p>
        </w:tc>
        <w:tc>
          <w:tcPr>
            <w:tcW w:w="2205" w:type="dxa"/>
            <w:tcBorders>
              <w:top w:val="single" w:sz="12" w:space="0" w:color="auto"/>
              <w:left w:val="single" w:sz="12" w:space="0" w:color="auto"/>
              <w:bottom w:val="single" w:sz="2" w:space="0" w:color="000000"/>
              <w:right w:val="single" w:sz="12" w:space="0" w:color="auto"/>
            </w:tcBorders>
            <w:vAlign w:val="center"/>
          </w:tcPr>
          <w:p w14:paraId="5EB0B072"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29,700</w:t>
            </w:r>
          </w:p>
        </w:tc>
        <w:tc>
          <w:tcPr>
            <w:tcW w:w="3600" w:type="dxa"/>
            <w:tcBorders>
              <w:top w:val="single" w:sz="12" w:space="0" w:color="auto"/>
              <w:left w:val="single" w:sz="12" w:space="0" w:color="auto"/>
              <w:bottom w:val="single" w:sz="2" w:space="0" w:color="000000"/>
              <w:right w:val="single" w:sz="12" w:space="0" w:color="auto"/>
            </w:tcBorders>
            <w:vAlign w:val="center"/>
          </w:tcPr>
          <w:p w14:paraId="3B6DFFFF"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2011</w:t>
            </w:r>
          </w:p>
        </w:tc>
      </w:tr>
      <w:tr w:rsidR="00297F90" w:rsidRPr="00A50042" w14:paraId="67C5964B" w14:textId="77777777" w:rsidTr="00AF6ABE">
        <w:trPr>
          <w:trHeight w:val="310"/>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319D9621"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 xml:space="preserve">2.Bahamas </w:t>
            </w:r>
          </w:p>
        </w:tc>
        <w:tc>
          <w:tcPr>
            <w:tcW w:w="2205" w:type="dxa"/>
            <w:tcBorders>
              <w:top w:val="single" w:sz="2" w:space="0" w:color="000000"/>
              <w:left w:val="single" w:sz="12" w:space="0" w:color="auto"/>
              <w:bottom w:val="single" w:sz="2" w:space="0" w:color="000000"/>
              <w:right w:val="single" w:sz="12" w:space="0" w:color="auto"/>
            </w:tcBorders>
            <w:vAlign w:val="center"/>
          </w:tcPr>
          <w:p w14:paraId="0595487C" w14:textId="6CAE55BB" w:rsidR="00297F90" w:rsidRPr="00A50042" w:rsidRDefault="00071472">
            <w:pPr>
              <w:autoSpaceDE w:val="0"/>
              <w:autoSpaceDN w:val="0"/>
              <w:adjustRightInd w:val="0"/>
              <w:jc w:val="center"/>
              <w:rPr>
                <w:sz w:val="22"/>
                <w:szCs w:val="22"/>
                <w:lang w:val="en-US" w:eastAsia="ja-JP"/>
              </w:rPr>
            </w:pPr>
            <w:r>
              <w:rPr>
                <w:sz w:val="22"/>
                <w:szCs w:val="22"/>
                <w:lang w:val="en-US" w:eastAsia="ja-JP"/>
              </w:rPr>
              <w:t>60</w:t>
            </w:r>
            <w:r w:rsidR="00297F90" w:rsidRPr="00A50042">
              <w:rPr>
                <w:sz w:val="22"/>
                <w:szCs w:val="22"/>
                <w:lang w:val="en-US" w:eastAsia="ja-JP"/>
              </w:rPr>
              <w:t>,000</w:t>
            </w:r>
          </w:p>
        </w:tc>
        <w:tc>
          <w:tcPr>
            <w:tcW w:w="3600" w:type="dxa"/>
            <w:tcBorders>
              <w:top w:val="single" w:sz="2" w:space="0" w:color="000000"/>
              <w:left w:val="single" w:sz="12" w:space="0" w:color="auto"/>
              <w:bottom w:val="single" w:sz="2" w:space="0" w:color="000000"/>
              <w:right w:val="single" w:sz="12" w:space="0" w:color="auto"/>
            </w:tcBorders>
            <w:vAlign w:val="center"/>
          </w:tcPr>
          <w:p w14:paraId="4B0A5E04" w14:textId="6D79A85D"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2011, 2012, 2016, 2017, 2019</w:t>
            </w:r>
            <w:r w:rsidR="00071472">
              <w:rPr>
                <w:sz w:val="22"/>
                <w:szCs w:val="22"/>
                <w:lang w:val="en-US" w:eastAsia="ja-JP"/>
              </w:rPr>
              <w:t>-2022</w:t>
            </w:r>
          </w:p>
        </w:tc>
      </w:tr>
      <w:tr w:rsidR="00297F90" w:rsidRPr="00A50042" w14:paraId="2711FB2C" w14:textId="77777777" w:rsidTr="00AF6ABE">
        <w:trPr>
          <w:trHeight w:val="328"/>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2223A918"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 xml:space="preserve">3.Barbados </w:t>
            </w:r>
          </w:p>
        </w:tc>
        <w:tc>
          <w:tcPr>
            <w:tcW w:w="2205" w:type="dxa"/>
            <w:tcBorders>
              <w:top w:val="single" w:sz="2" w:space="0" w:color="000000"/>
              <w:left w:val="single" w:sz="12" w:space="0" w:color="auto"/>
              <w:bottom w:val="single" w:sz="2" w:space="0" w:color="000000"/>
              <w:right w:val="single" w:sz="12" w:space="0" w:color="auto"/>
            </w:tcBorders>
            <w:vAlign w:val="center"/>
          </w:tcPr>
          <w:p w14:paraId="4D1ABC22" w14:textId="10E2D802"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5</w:t>
            </w:r>
            <w:r w:rsidR="00071472">
              <w:rPr>
                <w:sz w:val="22"/>
                <w:szCs w:val="22"/>
                <w:lang w:val="en-US" w:eastAsia="ja-JP"/>
              </w:rPr>
              <w:t>5</w:t>
            </w:r>
            <w:r w:rsidRPr="00A50042">
              <w:rPr>
                <w:sz w:val="22"/>
                <w:szCs w:val="22"/>
                <w:lang w:val="en-US" w:eastAsia="ja-JP"/>
              </w:rPr>
              <w:t>,000</w:t>
            </w:r>
          </w:p>
        </w:tc>
        <w:tc>
          <w:tcPr>
            <w:tcW w:w="3600" w:type="dxa"/>
            <w:tcBorders>
              <w:top w:val="single" w:sz="2" w:space="0" w:color="000000"/>
              <w:left w:val="single" w:sz="12" w:space="0" w:color="auto"/>
              <w:bottom w:val="single" w:sz="2" w:space="0" w:color="000000"/>
              <w:right w:val="single" w:sz="12" w:space="0" w:color="auto"/>
            </w:tcBorders>
            <w:vAlign w:val="center"/>
          </w:tcPr>
          <w:p w14:paraId="15B049F5" w14:textId="6445FB8D"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2011 to 2020</w:t>
            </w:r>
            <w:r w:rsidR="003F5BC8">
              <w:rPr>
                <w:sz w:val="22"/>
                <w:szCs w:val="22"/>
                <w:lang w:val="en-US" w:eastAsia="ja-JP"/>
              </w:rPr>
              <w:t>, 2022</w:t>
            </w:r>
          </w:p>
        </w:tc>
      </w:tr>
      <w:tr w:rsidR="00297F90" w:rsidRPr="00A50042" w14:paraId="7C396C8C" w14:textId="77777777" w:rsidTr="00AF6ABE">
        <w:trPr>
          <w:trHeight w:val="310"/>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77DD7F2D"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4.Belize</w:t>
            </w:r>
          </w:p>
        </w:tc>
        <w:tc>
          <w:tcPr>
            <w:tcW w:w="2205" w:type="dxa"/>
            <w:tcBorders>
              <w:top w:val="single" w:sz="2" w:space="0" w:color="000000"/>
              <w:left w:val="single" w:sz="12" w:space="0" w:color="auto"/>
              <w:bottom w:val="single" w:sz="2" w:space="0" w:color="000000"/>
              <w:right w:val="single" w:sz="12" w:space="0" w:color="auto"/>
            </w:tcBorders>
            <w:vAlign w:val="center"/>
          </w:tcPr>
          <w:p w14:paraId="0764EA65"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7,492</w:t>
            </w:r>
          </w:p>
        </w:tc>
        <w:tc>
          <w:tcPr>
            <w:tcW w:w="3600" w:type="dxa"/>
            <w:tcBorders>
              <w:top w:val="single" w:sz="2" w:space="0" w:color="000000"/>
              <w:left w:val="single" w:sz="12" w:space="0" w:color="auto"/>
              <w:bottom w:val="single" w:sz="2" w:space="0" w:color="000000"/>
              <w:right w:val="single" w:sz="12" w:space="0" w:color="auto"/>
            </w:tcBorders>
            <w:vAlign w:val="center"/>
          </w:tcPr>
          <w:p w14:paraId="4580E0B5"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2011, 2013</w:t>
            </w:r>
          </w:p>
        </w:tc>
      </w:tr>
      <w:tr w:rsidR="00297F90" w:rsidRPr="00A50042" w14:paraId="586DDE0A" w14:textId="77777777" w:rsidTr="00AF6ABE">
        <w:trPr>
          <w:trHeight w:val="319"/>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42062D2C"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5.Bolivia</w:t>
            </w:r>
          </w:p>
        </w:tc>
        <w:tc>
          <w:tcPr>
            <w:tcW w:w="2205" w:type="dxa"/>
            <w:tcBorders>
              <w:top w:val="single" w:sz="2" w:space="0" w:color="000000"/>
              <w:left w:val="single" w:sz="12" w:space="0" w:color="auto"/>
              <w:bottom w:val="single" w:sz="2" w:space="0" w:color="000000"/>
              <w:right w:val="single" w:sz="12" w:space="0" w:color="auto"/>
            </w:tcBorders>
            <w:vAlign w:val="center"/>
          </w:tcPr>
          <w:p w14:paraId="01FFC3A2" w14:textId="6BC6D61F"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39,995</w:t>
            </w:r>
          </w:p>
        </w:tc>
        <w:tc>
          <w:tcPr>
            <w:tcW w:w="3600" w:type="dxa"/>
            <w:tcBorders>
              <w:top w:val="single" w:sz="2" w:space="0" w:color="000000"/>
              <w:left w:val="single" w:sz="12" w:space="0" w:color="auto"/>
              <w:bottom w:val="single" w:sz="2" w:space="0" w:color="000000"/>
              <w:right w:val="single" w:sz="12" w:space="0" w:color="auto"/>
            </w:tcBorders>
            <w:vAlign w:val="center"/>
          </w:tcPr>
          <w:p w14:paraId="4C00DEBD" w14:textId="19C20C62"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2013 to 2018, 2020-2021</w:t>
            </w:r>
          </w:p>
        </w:tc>
      </w:tr>
      <w:tr w:rsidR="00297F90" w:rsidRPr="00A50042" w14:paraId="02F46647" w14:textId="77777777" w:rsidTr="00AF6ABE">
        <w:trPr>
          <w:trHeight w:val="310"/>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09EC0D43"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6.Brazil</w:t>
            </w:r>
          </w:p>
        </w:tc>
        <w:tc>
          <w:tcPr>
            <w:tcW w:w="2205" w:type="dxa"/>
            <w:tcBorders>
              <w:top w:val="single" w:sz="2" w:space="0" w:color="000000"/>
              <w:left w:val="single" w:sz="12" w:space="0" w:color="auto"/>
              <w:bottom w:val="single" w:sz="2" w:space="0" w:color="000000"/>
              <w:right w:val="single" w:sz="12" w:space="0" w:color="auto"/>
            </w:tcBorders>
            <w:vAlign w:val="center"/>
          </w:tcPr>
          <w:p w14:paraId="3FC57ED5"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43,129</w:t>
            </w:r>
          </w:p>
        </w:tc>
        <w:tc>
          <w:tcPr>
            <w:tcW w:w="3600" w:type="dxa"/>
            <w:tcBorders>
              <w:top w:val="single" w:sz="2" w:space="0" w:color="000000"/>
              <w:left w:val="single" w:sz="12" w:space="0" w:color="auto"/>
              <w:bottom w:val="single" w:sz="2" w:space="0" w:color="000000"/>
              <w:right w:val="single" w:sz="12" w:space="0" w:color="auto"/>
            </w:tcBorders>
            <w:vAlign w:val="center"/>
          </w:tcPr>
          <w:p w14:paraId="169F93C3"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2013</w:t>
            </w:r>
          </w:p>
        </w:tc>
      </w:tr>
      <w:tr w:rsidR="00297F90" w:rsidRPr="00A50042" w14:paraId="125C1B5A" w14:textId="77777777" w:rsidTr="00AF6ABE">
        <w:trPr>
          <w:trHeight w:val="265"/>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75045B60"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7. Colombia</w:t>
            </w:r>
          </w:p>
        </w:tc>
        <w:tc>
          <w:tcPr>
            <w:tcW w:w="2205" w:type="dxa"/>
            <w:tcBorders>
              <w:top w:val="single" w:sz="2" w:space="0" w:color="000000"/>
              <w:left w:val="single" w:sz="12" w:space="0" w:color="auto"/>
              <w:bottom w:val="single" w:sz="2" w:space="0" w:color="000000"/>
              <w:right w:val="single" w:sz="12" w:space="0" w:color="auto"/>
            </w:tcBorders>
            <w:vAlign w:val="center"/>
          </w:tcPr>
          <w:p w14:paraId="43326AD0"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7,669</w:t>
            </w:r>
          </w:p>
        </w:tc>
        <w:tc>
          <w:tcPr>
            <w:tcW w:w="3600" w:type="dxa"/>
            <w:tcBorders>
              <w:top w:val="single" w:sz="2" w:space="0" w:color="000000"/>
              <w:left w:val="single" w:sz="12" w:space="0" w:color="auto"/>
              <w:bottom w:val="single" w:sz="2" w:space="0" w:color="000000"/>
              <w:right w:val="single" w:sz="12" w:space="0" w:color="auto"/>
            </w:tcBorders>
            <w:vAlign w:val="center"/>
          </w:tcPr>
          <w:p w14:paraId="00387E90"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2015</w:t>
            </w:r>
          </w:p>
        </w:tc>
      </w:tr>
      <w:tr w:rsidR="00297F90" w:rsidRPr="00A50042" w14:paraId="7E4184C5" w14:textId="77777777" w:rsidTr="00AF6ABE">
        <w:trPr>
          <w:trHeight w:val="360"/>
          <w:jc w:val="center"/>
        </w:trPr>
        <w:tc>
          <w:tcPr>
            <w:tcW w:w="2865" w:type="dxa"/>
            <w:tcBorders>
              <w:top w:val="single" w:sz="2" w:space="0" w:color="000000"/>
              <w:left w:val="single" w:sz="12" w:space="0" w:color="auto"/>
              <w:bottom w:val="single" w:sz="4" w:space="0" w:color="auto"/>
              <w:right w:val="single" w:sz="12" w:space="0" w:color="auto"/>
            </w:tcBorders>
            <w:shd w:val="clear" w:color="auto" w:fill="auto"/>
            <w:vAlign w:val="center"/>
          </w:tcPr>
          <w:p w14:paraId="729218A5"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8. Chile</w:t>
            </w:r>
          </w:p>
        </w:tc>
        <w:tc>
          <w:tcPr>
            <w:tcW w:w="2205" w:type="dxa"/>
            <w:tcBorders>
              <w:top w:val="single" w:sz="2" w:space="0" w:color="000000"/>
              <w:left w:val="single" w:sz="12" w:space="0" w:color="auto"/>
              <w:bottom w:val="single" w:sz="4" w:space="0" w:color="auto"/>
              <w:right w:val="single" w:sz="12" w:space="0" w:color="auto"/>
            </w:tcBorders>
            <w:vAlign w:val="center"/>
          </w:tcPr>
          <w:p w14:paraId="69C86F0D" w14:textId="2C8E521D"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1</w:t>
            </w:r>
            <w:r w:rsidR="003F5BC8">
              <w:rPr>
                <w:sz w:val="22"/>
                <w:szCs w:val="22"/>
                <w:lang w:val="en-US" w:eastAsia="ja-JP"/>
              </w:rPr>
              <w:t>5</w:t>
            </w:r>
            <w:r w:rsidRPr="00A50042">
              <w:rPr>
                <w:sz w:val="22"/>
                <w:szCs w:val="22"/>
                <w:lang w:val="en-US" w:eastAsia="ja-JP"/>
              </w:rPr>
              <w:t>,000</w:t>
            </w:r>
          </w:p>
        </w:tc>
        <w:tc>
          <w:tcPr>
            <w:tcW w:w="3600" w:type="dxa"/>
            <w:tcBorders>
              <w:top w:val="single" w:sz="2" w:space="0" w:color="000000"/>
              <w:left w:val="single" w:sz="12" w:space="0" w:color="auto"/>
              <w:bottom w:val="single" w:sz="4" w:space="0" w:color="auto"/>
              <w:right w:val="single" w:sz="12" w:space="0" w:color="auto"/>
            </w:tcBorders>
            <w:shd w:val="clear" w:color="auto" w:fill="auto"/>
            <w:vAlign w:val="center"/>
          </w:tcPr>
          <w:p w14:paraId="4959348B" w14:textId="0C7AF4A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2016, 2017</w:t>
            </w:r>
            <w:r w:rsidR="003F5BC8">
              <w:rPr>
                <w:sz w:val="22"/>
                <w:szCs w:val="22"/>
                <w:lang w:val="en-US" w:eastAsia="ja-JP"/>
              </w:rPr>
              <w:t>, 2022</w:t>
            </w:r>
          </w:p>
        </w:tc>
      </w:tr>
      <w:tr w:rsidR="00297F90" w:rsidRPr="00A50042" w14:paraId="5A0B8503" w14:textId="77777777" w:rsidTr="00AF6ABE">
        <w:trPr>
          <w:trHeight w:val="233"/>
          <w:jc w:val="center"/>
        </w:trPr>
        <w:tc>
          <w:tcPr>
            <w:tcW w:w="2865" w:type="dxa"/>
            <w:tcBorders>
              <w:top w:val="single" w:sz="2" w:space="0" w:color="000000"/>
              <w:left w:val="single" w:sz="12" w:space="0" w:color="auto"/>
              <w:bottom w:val="single" w:sz="4" w:space="0" w:color="auto"/>
              <w:right w:val="single" w:sz="12" w:space="0" w:color="auto"/>
            </w:tcBorders>
            <w:shd w:val="clear" w:color="auto" w:fill="auto"/>
            <w:vAlign w:val="center"/>
          </w:tcPr>
          <w:p w14:paraId="328F7653" w14:textId="77777777" w:rsidR="00297F90" w:rsidRPr="00A50042" w:rsidRDefault="00297F90">
            <w:pPr>
              <w:autoSpaceDE w:val="0"/>
              <w:autoSpaceDN w:val="0"/>
              <w:adjustRightInd w:val="0"/>
              <w:rPr>
                <w:sz w:val="22"/>
                <w:szCs w:val="22"/>
                <w:lang w:val="es-US" w:eastAsia="ja-JP"/>
              </w:rPr>
            </w:pPr>
            <w:r w:rsidRPr="00A50042">
              <w:rPr>
                <w:sz w:val="22"/>
                <w:szCs w:val="22"/>
                <w:lang w:val="es-US" w:eastAsia="ja-JP"/>
              </w:rPr>
              <w:t>9.  Ecuador</w:t>
            </w:r>
          </w:p>
        </w:tc>
        <w:tc>
          <w:tcPr>
            <w:tcW w:w="2205" w:type="dxa"/>
            <w:tcBorders>
              <w:top w:val="single" w:sz="2" w:space="0" w:color="000000"/>
              <w:left w:val="single" w:sz="12" w:space="0" w:color="auto"/>
              <w:bottom w:val="single" w:sz="4" w:space="0" w:color="auto"/>
              <w:right w:val="single" w:sz="12" w:space="0" w:color="auto"/>
            </w:tcBorders>
            <w:vAlign w:val="center"/>
          </w:tcPr>
          <w:p w14:paraId="44BB1243" w14:textId="77777777" w:rsidR="00297F90" w:rsidRPr="00A50042" w:rsidRDefault="00297F90">
            <w:pPr>
              <w:autoSpaceDE w:val="0"/>
              <w:autoSpaceDN w:val="0"/>
              <w:adjustRightInd w:val="0"/>
              <w:jc w:val="center"/>
              <w:rPr>
                <w:sz w:val="22"/>
                <w:szCs w:val="22"/>
                <w:lang w:val="es-US" w:eastAsia="ja-JP"/>
              </w:rPr>
            </w:pPr>
            <w:r w:rsidRPr="00A50042">
              <w:rPr>
                <w:sz w:val="22"/>
                <w:szCs w:val="22"/>
                <w:lang w:val="es-US" w:eastAsia="ja-JP"/>
              </w:rPr>
              <w:t>10,000</w:t>
            </w:r>
          </w:p>
        </w:tc>
        <w:tc>
          <w:tcPr>
            <w:tcW w:w="3600" w:type="dxa"/>
            <w:tcBorders>
              <w:top w:val="single" w:sz="2" w:space="0" w:color="000000"/>
              <w:left w:val="single" w:sz="12" w:space="0" w:color="auto"/>
              <w:bottom w:val="single" w:sz="4" w:space="0" w:color="auto"/>
              <w:right w:val="single" w:sz="12" w:space="0" w:color="auto"/>
            </w:tcBorders>
            <w:shd w:val="clear" w:color="auto" w:fill="auto"/>
            <w:vAlign w:val="center"/>
          </w:tcPr>
          <w:p w14:paraId="57B87273" w14:textId="77777777" w:rsidR="00297F90" w:rsidRPr="00A50042" w:rsidRDefault="00297F90">
            <w:pPr>
              <w:autoSpaceDE w:val="0"/>
              <w:autoSpaceDN w:val="0"/>
              <w:adjustRightInd w:val="0"/>
              <w:jc w:val="center"/>
              <w:rPr>
                <w:sz w:val="22"/>
                <w:szCs w:val="22"/>
                <w:lang w:val="es-US" w:eastAsia="ja-JP"/>
              </w:rPr>
            </w:pPr>
            <w:r w:rsidRPr="00A50042">
              <w:rPr>
                <w:sz w:val="22"/>
                <w:szCs w:val="22"/>
                <w:lang w:val="es-US" w:eastAsia="ja-JP"/>
              </w:rPr>
              <w:t>2011, 2013</w:t>
            </w:r>
          </w:p>
        </w:tc>
      </w:tr>
      <w:tr w:rsidR="00297F90" w:rsidRPr="00A50042" w14:paraId="340CA342" w14:textId="77777777" w:rsidTr="00AF6ABE">
        <w:trPr>
          <w:trHeight w:val="360"/>
          <w:jc w:val="center"/>
        </w:trPr>
        <w:tc>
          <w:tcPr>
            <w:tcW w:w="2865" w:type="dxa"/>
            <w:tcBorders>
              <w:top w:val="single" w:sz="4" w:space="0" w:color="auto"/>
              <w:left w:val="single" w:sz="12" w:space="0" w:color="auto"/>
              <w:bottom w:val="single" w:sz="2" w:space="0" w:color="000000"/>
              <w:right w:val="single" w:sz="12" w:space="0" w:color="auto"/>
            </w:tcBorders>
            <w:shd w:val="clear" w:color="auto" w:fill="auto"/>
            <w:vAlign w:val="center"/>
          </w:tcPr>
          <w:p w14:paraId="06FA98C3" w14:textId="77777777" w:rsidR="00297F90" w:rsidRPr="00A50042" w:rsidRDefault="00297F90">
            <w:pPr>
              <w:autoSpaceDE w:val="0"/>
              <w:autoSpaceDN w:val="0"/>
              <w:adjustRightInd w:val="0"/>
              <w:rPr>
                <w:sz w:val="22"/>
                <w:szCs w:val="22"/>
                <w:lang w:val="es-US" w:eastAsia="ja-JP"/>
              </w:rPr>
            </w:pPr>
            <w:r w:rsidRPr="00A50042">
              <w:rPr>
                <w:sz w:val="22"/>
                <w:szCs w:val="22"/>
                <w:lang w:val="es-US" w:eastAsia="ja-JP"/>
              </w:rPr>
              <w:t xml:space="preserve">10. El Salvador </w:t>
            </w:r>
          </w:p>
        </w:tc>
        <w:tc>
          <w:tcPr>
            <w:tcW w:w="2205" w:type="dxa"/>
            <w:tcBorders>
              <w:top w:val="single" w:sz="4" w:space="0" w:color="auto"/>
              <w:left w:val="single" w:sz="12" w:space="0" w:color="auto"/>
              <w:bottom w:val="single" w:sz="2" w:space="0" w:color="000000"/>
              <w:right w:val="single" w:sz="12" w:space="0" w:color="auto"/>
            </w:tcBorders>
            <w:vAlign w:val="center"/>
          </w:tcPr>
          <w:p w14:paraId="56C32E0E" w14:textId="77777777" w:rsidR="00297F90" w:rsidRPr="00A50042" w:rsidRDefault="00297F90">
            <w:pPr>
              <w:autoSpaceDE w:val="0"/>
              <w:autoSpaceDN w:val="0"/>
              <w:adjustRightInd w:val="0"/>
              <w:jc w:val="center"/>
              <w:rPr>
                <w:sz w:val="22"/>
                <w:szCs w:val="22"/>
                <w:lang w:val="es-US" w:eastAsia="ja-JP"/>
              </w:rPr>
            </w:pPr>
            <w:r w:rsidRPr="00A50042">
              <w:rPr>
                <w:sz w:val="22"/>
                <w:szCs w:val="22"/>
                <w:lang w:val="es-US" w:eastAsia="ja-JP"/>
              </w:rPr>
              <w:t>5,000</w:t>
            </w:r>
          </w:p>
        </w:tc>
        <w:tc>
          <w:tcPr>
            <w:tcW w:w="3600" w:type="dxa"/>
            <w:tcBorders>
              <w:top w:val="single" w:sz="4" w:space="0" w:color="auto"/>
              <w:left w:val="single" w:sz="12" w:space="0" w:color="auto"/>
              <w:bottom w:val="single" w:sz="2" w:space="0" w:color="000000"/>
              <w:right w:val="single" w:sz="12" w:space="0" w:color="auto"/>
            </w:tcBorders>
            <w:shd w:val="clear" w:color="auto" w:fill="auto"/>
            <w:vAlign w:val="center"/>
          </w:tcPr>
          <w:p w14:paraId="18CAB84A" w14:textId="77777777" w:rsidR="00297F90" w:rsidRPr="00A50042" w:rsidRDefault="00297F90">
            <w:pPr>
              <w:autoSpaceDE w:val="0"/>
              <w:autoSpaceDN w:val="0"/>
              <w:adjustRightInd w:val="0"/>
              <w:jc w:val="center"/>
              <w:rPr>
                <w:sz w:val="22"/>
                <w:szCs w:val="22"/>
                <w:lang w:val="es-US" w:eastAsia="ja-JP"/>
              </w:rPr>
            </w:pPr>
            <w:r w:rsidRPr="00A50042">
              <w:rPr>
                <w:sz w:val="22"/>
                <w:szCs w:val="22"/>
                <w:lang w:val="es-US" w:eastAsia="ja-JP"/>
              </w:rPr>
              <w:t>2015</w:t>
            </w:r>
          </w:p>
        </w:tc>
      </w:tr>
      <w:tr w:rsidR="00297F90" w:rsidRPr="00A50042" w14:paraId="1D01F83D" w14:textId="77777777" w:rsidTr="00AF6ABE">
        <w:trPr>
          <w:trHeight w:val="310"/>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63DFF38A" w14:textId="77777777" w:rsidR="00297F90" w:rsidRPr="00A50042" w:rsidRDefault="00297F90">
            <w:pPr>
              <w:autoSpaceDE w:val="0"/>
              <w:autoSpaceDN w:val="0"/>
              <w:adjustRightInd w:val="0"/>
              <w:rPr>
                <w:sz w:val="22"/>
                <w:szCs w:val="22"/>
                <w:lang w:val="es-US" w:eastAsia="ja-JP"/>
              </w:rPr>
            </w:pPr>
            <w:r w:rsidRPr="00A50042">
              <w:rPr>
                <w:sz w:val="22"/>
                <w:szCs w:val="22"/>
                <w:lang w:val="es-US" w:eastAsia="ja-JP"/>
              </w:rPr>
              <w:t>11. Grenada</w:t>
            </w:r>
          </w:p>
        </w:tc>
        <w:tc>
          <w:tcPr>
            <w:tcW w:w="2205" w:type="dxa"/>
            <w:tcBorders>
              <w:top w:val="single" w:sz="2" w:space="0" w:color="000000"/>
              <w:left w:val="single" w:sz="12" w:space="0" w:color="auto"/>
              <w:bottom w:val="single" w:sz="2" w:space="0" w:color="000000"/>
              <w:right w:val="single" w:sz="12" w:space="0" w:color="auto"/>
            </w:tcBorders>
            <w:vAlign w:val="center"/>
          </w:tcPr>
          <w:p w14:paraId="218EE9CC" w14:textId="64E7D5BA" w:rsidR="00297F90" w:rsidRPr="00A50042" w:rsidRDefault="00297F90">
            <w:pPr>
              <w:spacing w:line="250" w:lineRule="exact"/>
              <w:jc w:val="center"/>
              <w:rPr>
                <w:sz w:val="22"/>
                <w:szCs w:val="22"/>
              </w:rPr>
            </w:pPr>
            <w:r w:rsidRPr="00A50042">
              <w:rPr>
                <w:sz w:val="22"/>
                <w:szCs w:val="22"/>
              </w:rPr>
              <w:t>30,000</w:t>
            </w:r>
          </w:p>
        </w:tc>
        <w:tc>
          <w:tcPr>
            <w:tcW w:w="3600" w:type="dxa"/>
            <w:tcBorders>
              <w:top w:val="single" w:sz="2" w:space="0" w:color="000000"/>
              <w:left w:val="single" w:sz="12" w:space="0" w:color="auto"/>
              <w:bottom w:val="single" w:sz="2" w:space="0" w:color="000000"/>
              <w:right w:val="single" w:sz="12" w:space="0" w:color="auto"/>
            </w:tcBorders>
            <w:vAlign w:val="center"/>
          </w:tcPr>
          <w:p w14:paraId="02AC09D6" w14:textId="571FC0B4" w:rsidR="00297F90" w:rsidRPr="00A50042" w:rsidRDefault="00297F90">
            <w:pPr>
              <w:spacing w:line="250" w:lineRule="exact"/>
              <w:jc w:val="center"/>
              <w:rPr>
                <w:sz w:val="22"/>
                <w:szCs w:val="22"/>
              </w:rPr>
            </w:pPr>
            <w:r w:rsidRPr="00A50042">
              <w:rPr>
                <w:sz w:val="22"/>
                <w:szCs w:val="22"/>
              </w:rPr>
              <w:t>2016-2021</w:t>
            </w:r>
          </w:p>
        </w:tc>
      </w:tr>
      <w:tr w:rsidR="00297F90" w:rsidRPr="00A50042" w14:paraId="4BC2425E" w14:textId="77777777" w:rsidTr="00AF6ABE">
        <w:trPr>
          <w:trHeight w:val="310"/>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6F9CF70E" w14:textId="77777777" w:rsidR="00297F90" w:rsidRPr="00A50042" w:rsidRDefault="00297F90">
            <w:pPr>
              <w:autoSpaceDE w:val="0"/>
              <w:autoSpaceDN w:val="0"/>
              <w:adjustRightInd w:val="0"/>
              <w:rPr>
                <w:sz w:val="22"/>
                <w:szCs w:val="22"/>
                <w:lang w:val="es-US" w:eastAsia="ja-JP"/>
              </w:rPr>
            </w:pPr>
            <w:r w:rsidRPr="00A50042">
              <w:rPr>
                <w:sz w:val="22"/>
                <w:szCs w:val="22"/>
                <w:lang w:val="es-US" w:eastAsia="ja-JP"/>
              </w:rPr>
              <w:t>12. Guyana</w:t>
            </w:r>
          </w:p>
        </w:tc>
        <w:tc>
          <w:tcPr>
            <w:tcW w:w="2205" w:type="dxa"/>
            <w:tcBorders>
              <w:top w:val="single" w:sz="2" w:space="0" w:color="000000"/>
              <w:left w:val="single" w:sz="12" w:space="0" w:color="auto"/>
              <w:bottom w:val="single" w:sz="2" w:space="0" w:color="000000"/>
              <w:right w:val="single" w:sz="12" w:space="0" w:color="auto"/>
            </w:tcBorders>
            <w:vAlign w:val="center"/>
          </w:tcPr>
          <w:p w14:paraId="73BEBC15" w14:textId="22E2DE58" w:rsidR="00297F90" w:rsidRPr="00A50042" w:rsidRDefault="002C0B40">
            <w:pPr>
              <w:autoSpaceDE w:val="0"/>
              <w:autoSpaceDN w:val="0"/>
              <w:adjustRightInd w:val="0"/>
              <w:jc w:val="center"/>
              <w:rPr>
                <w:sz w:val="22"/>
                <w:szCs w:val="22"/>
                <w:lang w:val="es-US" w:eastAsia="ja-JP"/>
              </w:rPr>
            </w:pPr>
            <w:r>
              <w:rPr>
                <w:sz w:val="22"/>
                <w:szCs w:val="22"/>
                <w:lang w:val="es-US" w:eastAsia="ja-JP"/>
              </w:rPr>
              <w:t>31</w:t>
            </w:r>
            <w:r w:rsidR="00297F90" w:rsidRPr="00A50042">
              <w:rPr>
                <w:sz w:val="22"/>
                <w:szCs w:val="22"/>
                <w:lang w:val="es-US" w:eastAsia="ja-JP"/>
              </w:rPr>
              <w:t>,8</w:t>
            </w:r>
            <w:r>
              <w:rPr>
                <w:sz w:val="22"/>
                <w:szCs w:val="22"/>
                <w:lang w:val="es-US" w:eastAsia="ja-JP"/>
              </w:rPr>
              <w:t>0</w:t>
            </w:r>
            <w:r w:rsidR="00297F90" w:rsidRPr="00A50042">
              <w:rPr>
                <w:sz w:val="22"/>
                <w:szCs w:val="22"/>
                <w:lang w:val="es-US" w:eastAsia="ja-JP"/>
              </w:rPr>
              <w:t>0</w:t>
            </w:r>
          </w:p>
        </w:tc>
        <w:tc>
          <w:tcPr>
            <w:tcW w:w="3600" w:type="dxa"/>
            <w:tcBorders>
              <w:top w:val="single" w:sz="2" w:space="0" w:color="000000"/>
              <w:left w:val="single" w:sz="12" w:space="0" w:color="auto"/>
              <w:bottom w:val="single" w:sz="2" w:space="0" w:color="000000"/>
              <w:right w:val="single" w:sz="12" w:space="0" w:color="auto"/>
            </w:tcBorders>
            <w:vAlign w:val="center"/>
          </w:tcPr>
          <w:p w14:paraId="77427653" w14:textId="54A93E58" w:rsidR="00297F90" w:rsidRPr="00A50042" w:rsidRDefault="00297F90">
            <w:pPr>
              <w:autoSpaceDE w:val="0"/>
              <w:autoSpaceDN w:val="0"/>
              <w:adjustRightInd w:val="0"/>
              <w:jc w:val="center"/>
              <w:rPr>
                <w:sz w:val="22"/>
                <w:szCs w:val="22"/>
                <w:lang w:val="es-US" w:eastAsia="ja-JP"/>
              </w:rPr>
            </w:pPr>
            <w:r w:rsidRPr="00A50042">
              <w:rPr>
                <w:sz w:val="22"/>
                <w:szCs w:val="22"/>
                <w:lang w:val="es-US" w:eastAsia="ja-JP"/>
              </w:rPr>
              <w:t>2016, 2017</w:t>
            </w:r>
            <w:r w:rsidR="00662CA0">
              <w:rPr>
                <w:sz w:val="22"/>
                <w:szCs w:val="22"/>
                <w:lang w:val="es-US" w:eastAsia="ja-JP"/>
              </w:rPr>
              <w:t>, 2022</w:t>
            </w:r>
            <w:r w:rsidR="002C0B40">
              <w:rPr>
                <w:sz w:val="22"/>
                <w:szCs w:val="22"/>
                <w:lang w:val="es-US" w:eastAsia="ja-JP"/>
              </w:rPr>
              <w:t>, 2023</w:t>
            </w:r>
          </w:p>
        </w:tc>
      </w:tr>
      <w:tr w:rsidR="00297F90" w:rsidRPr="00A50042" w14:paraId="072858E6" w14:textId="77777777" w:rsidTr="00AF6ABE">
        <w:trPr>
          <w:trHeight w:val="310"/>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7678DF7F" w14:textId="77777777" w:rsidR="00297F90" w:rsidRPr="00A50042" w:rsidRDefault="00297F90">
            <w:pPr>
              <w:autoSpaceDE w:val="0"/>
              <w:autoSpaceDN w:val="0"/>
              <w:adjustRightInd w:val="0"/>
              <w:rPr>
                <w:sz w:val="22"/>
                <w:szCs w:val="22"/>
                <w:lang w:val="es-US" w:eastAsia="ja-JP"/>
              </w:rPr>
            </w:pPr>
            <w:r w:rsidRPr="00A50042">
              <w:rPr>
                <w:sz w:val="22"/>
                <w:szCs w:val="22"/>
                <w:lang w:val="es-US" w:eastAsia="ja-JP"/>
              </w:rPr>
              <w:t xml:space="preserve">13.Jamaica </w:t>
            </w:r>
          </w:p>
        </w:tc>
        <w:tc>
          <w:tcPr>
            <w:tcW w:w="2205" w:type="dxa"/>
            <w:tcBorders>
              <w:top w:val="single" w:sz="2" w:space="0" w:color="000000"/>
              <w:left w:val="single" w:sz="12" w:space="0" w:color="auto"/>
              <w:bottom w:val="single" w:sz="2" w:space="0" w:color="000000"/>
              <w:right w:val="single" w:sz="12" w:space="0" w:color="auto"/>
            </w:tcBorders>
            <w:vAlign w:val="center"/>
          </w:tcPr>
          <w:p w14:paraId="1622F2B1" w14:textId="58D1443C" w:rsidR="00297F90" w:rsidRPr="00A50042" w:rsidRDefault="002442B4">
            <w:pPr>
              <w:autoSpaceDE w:val="0"/>
              <w:autoSpaceDN w:val="0"/>
              <w:adjustRightInd w:val="0"/>
              <w:jc w:val="center"/>
              <w:rPr>
                <w:sz w:val="22"/>
                <w:szCs w:val="22"/>
                <w:lang w:val="en-US" w:eastAsia="ja-JP"/>
              </w:rPr>
            </w:pPr>
            <w:r>
              <w:rPr>
                <w:sz w:val="22"/>
                <w:szCs w:val="22"/>
                <w:lang w:val="es-US" w:eastAsia="ja-JP"/>
              </w:rPr>
              <w:t>22,469</w:t>
            </w:r>
          </w:p>
        </w:tc>
        <w:tc>
          <w:tcPr>
            <w:tcW w:w="3600" w:type="dxa"/>
            <w:tcBorders>
              <w:top w:val="single" w:sz="2" w:space="0" w:color="000000"/>
              <w:left w:val="single" w:sz="12" w:space="0" w:color="auto"/>
              <w:bottom w:val="single" w:sz="2" w:space="0" w:color="000000"/>
              <w:right w:val="single" w:sz="12" w:space="0" w:color="auto"/>
            </w:tcBorders>
            <w:vAlign w:val="center"/>
          </w:tcPr>
          <w:p w14:paraId="55C524F9" w14:textId="55569B86"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2012</w:t>
            </w:r>
            <w:r w:rsidR="00D35999">
              <w:rPr>
                <w:sz w:val="22"/>
                <w:szCs w:val="22"/>
                <w:lang w:val="en-US" w:eastAsia="ja-JP"/>
              </w:rPr>
              <w:t>-</w:t>
            </w:r>
            <w:r w:rsidRPr="00A50042">
              <w:rPr>
                <w:sz w:val="22"/>
                <w:szCs w:val="22"/>
                <w:lang w:val="en-US" w:eastAsia="ja-JP"/>
              </w:rPr>
              <w:t>2015</w:t>
            </w:r>
            <w:r w:rsidR="002442B4">
              <w:rPr>
                <w:sz w:val="22"/>
                <w:szCs w:val="22"/>
                <w:lang w:val="en-US" w:eastAsia="ja-JP"/>
              </w:rPr>
              <w:t>,</w:t>
            </w:r>
            <w:r w:rsidR="00D35999">
              <w:rPr>
                <w:sz w:val="22"/>
                <w:szCs w:val="22"/>
                <w:lang w:val="en-US" w:eastAsia="ja-JP"/>
              </w:rPr>
              <w:t xml:space="preserve"> 2022</w:t>
            </w:r>
            <w:r w:rsidR="002442B4">
              <w:rPr>
                <w:sz w:val="22"/>
                <w:szCs w:val="22"/>
                <w:lang w:val="en-US" w:eastAsia="ja-JP"/>
              </w:rPr>
              <w:t xml:space="preserve"> </w:t>
            </w:r>
          </w:p>
        </w:tc>
      </w:tr>
      <w:tr w:rsidR="00297F90" w:rsidRPr="00A50042" w14:paraId="69CA66BC" w14:textId="77777777" w:rsidTr="00AF6ABE">
        <w:trPr>
          <w:trHeight w:val="377"/>
          <w:jc w:val="center"/>
        </w:trPr>
        <w:tc>
          <w:tcPr>
            <w:tcW w:w="2865" w:type="dxa"/>
            <w:tcBorders>
              <w:top w:val="single" w:sz="2" w:space="0" w:color="000000"/>
              <w:left w:val="single" w:sz="12" w:space="0" w:color="auto"/>
              <w:bottom w:val="single" w:sz="4" w:space="0" w:color="auto"/>
              <w:right w:val="single" w:sz="12" w:space="0" w:color="auto"/>
            </w:tcBorders>
            <w:vAlign w:val="center"/>
          </w:tcPr>
          <w:p w14:paraId="31E72D5F"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14.Mexico</w:t>
            </w:r>
          </w:p>
        </w:tc>
        <w:tc>
          <w:tcPr>
            <w:tcW w:w="2205" w:type="dxa"/>
            <w:tcBorders>
              <w:top w:val="single" w:sz="2" w:space="0" w:color="000000"/>
              <w:left w:val="single" w:sz="12" w:space="0" w:color="auto"/>
              <w:bottom w:val="single" w:sz="4" w:space="0" w:color="auto"/>
              <w:right w:val="single" w:sz="12" w:space="0" w:color="auto"/>
            </w:tcBorders>
            <w:shd w:val="clear" w:color="auto" w:fill="auto"/>
            <w:vAlign w:val="center"/>
          </w:tcPr>
          <w:p w14:paraId="0CC469BC"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19,194</w:t>
            </w:r>
          </w:p>
        </w:tc>
        <w:tc>
          <w:tcPr>
            <w:tcW w:w="3600" w:type="dxa"/>
            <w:tcBorders>
              <w:top w:val="single" w:sz="2" w:space="0" w:color="000000"/>
              <w:left w:val="single" w:sz="12" w:space="0" w:color="auto"/>
              <w:bottom w:val="single" w:sz="4" w:space="0" w:color="auto"/>
              <w:right w:val="single" w:sz="12" w:space="0" w:color="auto"/>
            </w:tcBorders>
            <w:shd w:val="clear" w:color="auto" w:fill="auto"/>
            <w:vAlign w:val="center"/>
          </w:tcPr>
          <w:p w14:paraId="66190B11"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2011, 2013, 2014, 2015</w:t>
            </w:r>
          </w:p>
        </w:tc>
      </w:tr>
      <w:tr w:rsidR="00297F90" w:rsidRPr="00A50042" w14:paraId="0828BC74" w14:textId="77777777" w:rsidTr="00AF6ABE">
        <w:trPr>
          <w:trHeight w:val="323"/>
          <w:jc w:val="center"/>
        </w:trPr>
        <w:tc>
          <w:tcPr>
            <w:tcW w:w="2865" w:type="dxa"/>
            <w:tcBorders>
              <w:top w:val="single" w:sz="4" w:space="0" w:color="auto"/>
              <w:left w:val="single" w:sz="12" w:space="0" w:color="auto"/>
              <w:bottom w:val="single" w:sz="2" w:space="0" w:color="000000"/>
              <w:right w:val="single" w:sz="12" w:space="0" w:color="auto"/>
            </w:tcBorders>
            <w:vAlign w:val="center"/>
          </w:tcPr>
          <w:p w14:paraId="14D43927"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15. Panama</w:t>
            </w:r>
          </w:p>
        </w:tc>
        <w:tc>
          <w:tcPr>
            <w:tcW w:w="2205" w:type="dxa"/>
            <w:tcBorders>
              <w:top w:val="single" w:sz="4" w:space="0" w:color="auto"/>
              <w:left w:val="single" w:sz="12" w:space="0" w:color="auto"/>
              <w:bottom w:val="single" w:sz="2" w:space="0" w:color="000000"/>
              <w:right w:val="single" w:sz="12" w:space="0" w:color="auto"/>
            </w:tcBorders>
            <w:shd w:val="clear" w:color="auto" w:fill="auto"/>
            <w:vAlign w:val="center"/>
          </w:tcPr>
          <w:p w14:paraId="2CA15480" w14:textId="50EF6F0E" w:rsidR="00297F90" w:rsidRPr="00A50042" w:rsidRDefault="00297F90">
            <w:pPr>
              <w:spacing w:line="250" w:lineRule="exact"/>
              <w:jc w:val="center"/>
              <w:rPr>
                <w:sz w:val="22"/>
                <w:szCs w:val="22"/>
              </w:rPr>
            </w:pPr>
            <w:r w:rsidRPr="00A50042">
              <w:rPr>
                <w:sz w:val="22"/>
                <w:szCs w:val="22"/>
              </w:rPr>
              <w:t>4</w:t>
            </w:r>
            <w:r w:rsidR="00195DC6">
              <w:rPr>
                <w:sz w:val="22"/>
                <w:szCs w:val="22"/>
              </w:rPr>
              <w:t>5</w:t>
            </w:r>
            <w:r w:rsidRPr="00A50042">
              <w:rPr>
                <w:sz w:val="22"/>
                <w:szCs w:val="22"/>
              </w:rPr>
              <w:t>,000</w:t>
            </w:r>
          </w:p>
        </w:tc>
        <w:tc>
          <w:tcPr>
            <w:tcW w:w="3600" w:type="dxa"/>
            <w:tcBorders>
              <w:top w:val="single" w:sz="4" w:space="0" w:color="auto"/>
              <w:left w:val="single" w:sz="12" w:space="0" w:color="auto"/>
              <w:bottom w:val="single" w:sz="2" w:space="0" w:color="000000"/>
              <w:right w:val="single" w:sz="12" w:space="0" w:color="auto"/>
            </w:tcBorders>
            <w:shd w:val="clear" w:color="auto" w:fill="auto"/>
            <w:vAlign w:val="center"/>
          </w:tcPr>
          <w:p w14:paraId="44338958" w14:textId="78C93227" w:rsidR="00297F90" w:rsidRPr="00A50042" w:rsidRDefault="00297F90">
            <w:pPr>
              <w:spacing w:line="250" w:lineRule="exact"/>
              <w:jc w:val="center"/>
              <w:rPr>
                <w:sz w:val="22"/>
                <w:szCs w:val="22"/>
              </w:rPr>
            </w:pPr>
            <w:r w:rsidRPr="00A50042">
              <w:rPr>
                <w:sz w:val="22"/>
                <w:szCs w:val="22"/>
              </w:rPr>
              <w:t>2011, 2013, 2015-2018, 2020-202</w:t>
            </w:r>
            <w:r w:rsidR="00195DC6">
              <w:rPr>
                <w:sz w:val="22"/>
                <w:szCs w:val="22"/>
              </w:rPr>
              <w:t>2</w:t>
            </w:r>
          </w:p>
        </w:tc>
      </w:tr>
      <w:tr w:rsidR="00297F90" w:rsidRPr="00A50042" w14:paraId="064C514B" w14:textId="77777777" w:rsidTr="00AF6ABE">
        <w:trPr>
          <w:trHeight w:val="301"/>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1DD26C8F"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16. Paraguay</w:t>
            </w:r>
          </w:p>
        </w:tc>
        <w:tc>
          <w:tcPr>
            <w:tcW w:w="2205" w:type="dxa"/>
            <w:tcBorders>
              <w:top w:val="single" w:sz="2" w:space="0" w:color="000000"/>
              <w:left w:val="single" w:sz="12" w:space="0" w:color="auto"/>
              <w:bottom w:val="single" w:sz="2" w:space="0" w:color="000000"/>
              <w:right w:val="single" w:sz="12" w:space="0" w:color="auto"/>
            </w:tcBorders>
            <w:vAlign w:val="center"/>
          </w:tcPr>
          <w:p w14:paraId="2C9B6931" w14:textId="09D5AFA6" w:rsidR="00297F90" w:rsidRPr="00A50042" w:rsidRDefault="00AD645D">
            <w:pPr>
              <w:autoSpaceDE w:val="0"/>
              <w:autoSpaceDN w:val="0"/>
              <w:adjustRightInd w:val="0"/>
              <w:jc w:val="center"/>
              <w:rPr>
                <w:sz w:val="22"/>
                <w:szCs w:val="22"/>
                <w:lang w:val="en-US" w:eastAsia="ja-JP"/>
              </w:rPr>
            </w:pPr>
            <w:r>
              <w:rPr>
                <w:sz w:val="22"/>
                <w:szCs w:val="22"/>
                <w:lang w:val="en-US" w:eastAsia="ja-JP"/>
              </w:rPr>
              <w:t>33,922</w:t>
            </w:r>
          </w:p>
        </w:tc>
        <w:tc>
          <w:tcPr>
            <w:tcW w:w="3600" w:type="dxa"/>
            <w:tcBorders>
              <w:top w:val="single" w:sz="2" w:space="0" w:color="000000"/>
              <w:left w:val="single" w:sz="12" w:space="0" w:color="auto"/>
              <w:bottom w:val="single" w:sz="2" w:space="0" w:color="000000"/>
              <w:right w:val="single" w:sz="12" w:space="0" w:color="auto"/>
            </w:tcBorders>
            <w:vAlign w:val="center"/>
          </w:tcPr>
          <w:p w14:paraId="611F3BF7" w14:textId="755A991D"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2015</w:t>
            </w:r>
            <w:r w:rsidR="00AD645D">
              <w:rPr>
                <w:sz w:val="22"/>
                <w:szCs w:val="22"/>
                <w:lang w:val="en-US" w:eastAsia="ja-JP"/>
              </w:rPr>
              <w:t>-</w:t>
            </w:r>
            <w:r w:rsidRPr="00A50042">
              <w:rPr>
                <w:sz w:val="22"/>
                <w:szCs w:val="22"/>
                <w:lang w:val="en-US" w:eastAsia="ja-JP"/>
              </w:rPr>
              <w:t>2019</w:t>
            </w:r>
            <w:r w:rsidR="00AD645D">
              <w:rPr>
                <w:sz w:val="22"/>
                <w:szCs w:val="22"/>
                <w:lang w:val="en-US" w:eastAsia="ja-JP"/>
              </w:rPr>
              <w:t xml:space="preserve">, </w:t>
            </w:r>
            <w:r w:rsidR="00F7581A">
              <w:rPr>
                <w:sz w:val="22"/>
                <w:szCs w:val="22"/>
                <w:lang w:val="en-US" w:eastAsia="ja-JP"/>
              </w:rPr>
              <w:t>2022</w:t>
            </w:r>
          </w:p>
        </w:tc>
      </w:tr>
      <w:tr w:rsidR="00297F90" w:rsidRPr="00A50042" w14:paraId="24429024" w14:textId="77777777" w:rsidTr="00AF6ABE">
        <w:trPr>
          <w:trHeight w:val="292"/>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38D76690"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17. Peru</w:t>
            </w:r>
          </w:p>
        </w:tc>
        <w:tc>
          <w:tcPr>
            <w:tcW w:w="2205" w:type="dxa"/>
            <w:tcBorders>
              <w:top w:val="single" w:sz="2" w:space="0" w:color="000000"/>
              <w:left w:val="single" w:sz="12" w:space="0" w:color="auto"/>
              <w:bottom w:val="single" w:sz="2" w:space="0" w:color="000000"/>
              <w:right w:val="single" w:sz="12" w:space="0" w:color="auto"/>
            </w:tcBorders>
            <w:vAlign w:val="center"/>
          </w:tcPr>
          <w:p w14:paraId="3A86849E" w14:textId="480C625F" w:rsidR="00297F90" w:rsidRPr="00A50042" w:rsidRDefault="00F7581A">
            <w:pPr>
              <w:spacing w:line="250" w:lineRule="exact"/>
              <w:jc w:val="center"/>
              <w:rPr>
                <w:sz w:val="22"/>
                <w:szCs w:val="22"/>
              </w:rPr>
            </w:pPr>
            <w:r>
              <w:rPr>
                <w:sz w:val="22"/>
                <w:szCs w:val="22"/>
              </w:rPr>
              <w:t>54,700</w:t>
            </w:r>
          </w:p>
        </w:tc>
        <w:tc>
          <w:tcPr>
            <w:tcW w:w="3600" w:type="dxa"/>
            <w:tcBorders>
              <w:top w:val="single" w:sz="2" w:space="0" w:color="000000"/>
              <w:left w:val="single" w:sz="12" w:space="0" w:color="auto"/>
              <w:bottom w:val="single" w:sz="2" w:space="0" w:color="000000"/>
              <w:right w:val="single" w:sz="12" w:space="0" w:color="auto"/>
            </w:tcBorders>
            <w:vAlign w:val="center"/>
          </w:tcPr>
          <w:p w14:paraId="559A873A" w14:textId="4ED20CA6" w:rsidR="00297F90" w:rsidRPr="00A50042" w:rsidRDefault="00297F90">
            <w:pPr>
              <w:spacing w:line="250" w:lineRule="exact"/>
              <w:jc w:val="center"/>
              <w:rPr>
                <w:sz w:val="22"/>
                <w:szCs w:val="22"/>
              </w:rPr>
            </w:pPr>
            <w:r w:rsidRPr="00A50042">
              <w:rPr>
                <w:sz w:val="22"/>
                <w:szCs w:val="22"/>
              </w:rPr>
              <w:t>2012-202</w:t>
            </w:r>
            <w:r w:rsidR="00F7581A">
              <w:rPr>
                <w:sz w:val="22"/>
                <w:szCs w:val="22"/>
              </w:rPr>
              <w:t>2</w:t>
            </w:r>
          </w:p>
        </w:tc>
      </w:tr>
      <w:tr w:rsidR="00297F90" w:rsidRPr="00A50042" w14:paraId="1040A983" w14:textId="77777777" w:rsidTr="00AF6ABE">
        <w:trPr>
          <w:trHeight w:val="319"/>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28A08747"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18.Dominican Republic</w:t>
            </w:r>
          </w:p>
        </w:tc>
        <w:tc>
          <w:tcPr>
            <w:tcW w:w="2205" w:type="dxa"/>
            <w:tcBorders>
              <w:top w:val="single" w:sz="2" w:space="0" w:color="000000"/>
              <w:left w:val="single" w:sz="12" w:space="0" w:color="auto"/>
              <w:bottom w:val="single" w:sz="2" w:space="0" w:color="000000"/>
              <w:right w:val="single" w:sz="12" w:space="0" w:color="auto"/>
            </w:tcBorders>
            <w:vAlign w:val="center"/>
          </w:tcPr>
          <w:p w14:paraId="31726C3C" w14:textId="46BA530E"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w:t>
            </w:r>
            <w:r w:rsidR="001D270C" w:rsidRPr="00A50042">
              <w:rPr>
                <w:sz w:val="22"/>
                <w:szCs w:val="22"/>
                <w:lang w:val="en-US" w:eastAsia="ja-JP"/>
              </w:rPr>
              <w:t>9,776</w:t>
            </w:r>
          </w:p>
        </w:tc>
        <w:tc>
          <w:tcPr>
            <w:tcW w:w="3600" w:type="dxa"/>
            <w:tcBorders>
              <w:top w:val="single" w:sz="2" w:space="0" w:color="000000"/>
              <w:left w:val="single" w:sz="12" w:space="0" w:color="auto"/>
              <w:bottom w:val="single" w:sz="2" w:space="0" w:color="000000"/>
              <w:right w:val="single" w:sz="12" w:space="0" w:color="auto"/>
            </w:tcBorders>
            <w:vAlign w:val="center"/>
          </w:tcPr>
          <w:p w14:paraId="0DAF118B" w14:textId="3F66F84A"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2012, 2013, 2018 – 2020</w:t>
            </w:r>
            <w:r w:rsidR="001D270C" w:rsidRPr="00A50042">
              <w:rPr>
                <w:sz w:val="22"/>
                <w:szCs w:val="22"/>
                <w:lang w:val="en-US" w:eastAsia="ja-JP"/>
              </w:rPr>
              <w:t>-2021</w:t>
            </w:r>
            <w:r w:rsidRPr="00A50042">
              <w:rPr>
                <w:sz w:val="22"/>
                <w:szCs w:val="22"/>
                <w:lang w:val="en-US" w:eastAsia="ja-JP"/>
              </w:rPr>
              <w:t xml:space="preserve"> </w:t>
            </w:r>
          </w:p>
        </w:tc>
      </w:tr>
      <w:tr w:rsidR="00297F90" w:rsidRPr="00A50042" w14:paraId="6B778586" w14:textId="77777777" w:rsidTr="00AF6ABE">
        <w:trPr>
          <w:trHeight w:val="319"/>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1BB3B9EB" w14:textId="0047AF44" w:rsidR="00297F90" w:rsidRPr="00A50042" w:rsidRDefault="00297F90">
            <w:pPr>
              <w:autoSpaceDE w:val="0"/>
              <w:autoSpaceDN w:val="0"/>
              <w:adjustRightInd w:val="0"/>
              <w:rPr>
                <w:sz w:val="22"/>
                <w:szCs w:val="22"/>
                <w:lang w:val="en-US" w:eastAsia="ja-JP"/>
              </w:rPr>
            </w:pPr>
            <w:r w:rsidRPr="00A50042">
              <w:rPr>
                <w:sz w:val="22"/>
                <w:szCs w:val="22"/>
                <w:lang w:val="en-US" w:eastAsia="ja-JP"/>
              </w:rPr>
              <w:t>19. S</w:t>
            </w:r>
            <w:r w:rsidR="00245541">
              <w:rPr>
                <w:sz w:val="22"/>
                <w:szCs w:val="22"/>
                <w:lang w:val="en-US" w:eastAsia="ja-JP"/>
              </w:rPr>
              <w:t>.</w:t>
            </w:r>
            <w:r w:rsidRPr="00A50042">
              <w:rPr>
                <w:sz w:val="22"/>
                <w:szCs w:val="22"/>
                <w:lang w:val="en-US" w:eastAsia="ja-JP"/>
              </w:rPr>
              <w:t xml:space="preserve"> Kitts and Nevis</w:t>
            </w:r>
          </w:p>
        </w:tc>
        <w:tc>
          <w:tcPr>
            <w:tcW w:w="2205" w:type="dxa"/>
            <w:tcBorders>
              <w:top w:val="single" w:sz="2" w:space="0" w:color="000000"/>
              <w:left w:val="single" w:sz="12" w:space="0" w:color="auto"/>
              <w:bottom w:val="single" w:sz="2" w:space="0" w:color="000000"/>
              <w:right w:val="single" w:sz="12" w:space="0" w:color="auto"/>
            </w:tcBorders>
            <w:vAlign w:val="center"/>
          </w:tcPr>
          <w:p w14:paraId="58F0301B" w14:textId="41B29D65" w:rsidR="00297F90" w:rsidRPr="00A50042" w:rsidRDefault="002C0B40" w:rsidP="002C0B40">
            <w:pPr>
              <w:spacing w:line="250" w:lineRule="exact"/>
              <w:jc w:val="center"/>
              <w:rPr>
                <w:sz w:val="22"/>
                <w:szCs w:val="22"/>
              </w:rPr>
            </w:pPr>
            <w:r>
              <w:rPr>
                <w:sz w:val="22"/>
                <w:szCs w:val="22"/>
              </w:rPr>
              <w:t>23</w:t>
            </w:r>
            <w:r w:rsidR="001D270C" w:rsidRPr="00A50042">
              <w:rPr>
                <w:sz w:val="22"/>
                <w:szCs w:val="22"/>
              </w:rPr>
              <w:t>,28</w:t>
            </w:r>
            <w:r w:rsidR="00B86048">
              <w:rPr>
                <w:sz w:val="22"/>
                <w:szCs w:val="22"/>
              </w:rPr>
              <w:t>5</w:t>
            </w:r>
          </w:p>
        </w:tc>
        <w:tc>
          <w:tcPr>
            <w:tcW w:w="3600" w:type="dxa"/>
            <w:tcBorders>
              <w:top w:val="single" w:sz="2" w:space="0" w:color="000000"/>
              <w:left w:val="single" w:sz="12" w:space="0" w:color="auto"/>
              <w:bottom w:val="single" w:sz="2" w:space="0" w:color="000000"/>
              <w:right w:val="single" w:sz="12" w:space="0" w:color="auto"/>
            </w:tcBorders>
            <w:vAlign w:val="center"/>
          </w:tcPr>
          <w:p w14:paraId="11725D71" w14:textId="3432C90D" w:rsidR="00297F90" w:rsidRPr="00A50042" w:rsidRDefault="00297F90">
            <w:pPr>
              <w:spacing w:line="250" w:lineRule="exact"/>
              <w:jc w:val="center"/>
              <w:rPr>
                <w:sz w:val="22"/>
                <w:szCs w:val="22"/>
              </w:rPr>
            </w:pPr>
            <w:r w:rsidRPr="00A50042">
              <w:rPr>
                <w:sz w:val="22"/>
                <w:szCs w:val="22"/>
              </w:rPr>
              <w:t>2017, 201</w:t>
            </w:r>
            <w:r w:rsidR="00B86048">
              <w:rPr>
                <w:sz w:val="22"/>
                <w:szCs w:val="22"/>
              </w:rPr>
              <w:t>9</w:t>
            </w:r>
            <w:r w:rsidR="001D270C" w:rsidRPr="00A50042">
              <w:rPr>
                <w:sz w:val="22"/>
                <w:szCs w:val="22"/>
              </w:rPr>
              <w:t>-202</w:t>
            </w:r>
            <w:r w:rsidR="002C0B40">
              <w:rPr>
                <w:sz w:val="22"/>
                <w:szCs w:val="22"/>
              </w:rPr>
              <w:t>3</w:t>
            </w:r>
          </w:p>
        </w:tc>
      </w:tr>
      <w:tr w:rsidR="00297F90" w:rsidRPr="00A50042" w14:paraId="2FC0BFD9" w14:textId="77777777" w:rsidTr="00AF6ABE">
        <w:trPr>
          <w:trHeight w:val="319"/>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634A5ED6" w14:textId="77777777" w:rsidR="00297F90" w:rsidRPr="00A50042" w:rsidRDefault="00297F90">
            <w:pPr>
              <w:autoSpaceDE w:val="0"/>
              <w:autoSpaceDN w:val="0"/>
              <w:adjustRightInd w:val="0"/>
              <w:rPr>
                <w:sz w:val="22"/>
                <w:szCs w:val="22"/>
                <w:lang w:val="en-US" w:eastAsia="ja-JP"/>
              </w:rPr>
            </w:pPr>
            <w:r w:rsidRPr="00A50042">
              <w:rPr>
                <w:sz w:val="22"/>
                <w:szCs w:val="22"/>
                <w:lang w:val="en-US" w:eastAsia="ja-JP"/>
              </w:rPr>
              <w:t>20.Suriname</w:t>
            </w:r>
          </w:p>
        </w:tc>
        <w:tc>
          <w:tcPr>
            <w:tcW w:w="2205" w:type="dxa"/>
            <w:tcBorders>
              <w:top w:val="single" w:sz="2" w:space="0" w:color="000000"/>
              <w:left w:val="single" w:sz="12" w:space="0" w:color="auto"/>
              <w:bottom w:val="single" w:sz="2" w:space="0" w:color="000000"/>
              <w:right w:val="single" w:sz="12" w:space="0" w:color="auto"/>
            </w:tcBorders>
            <w:vAlign w:val="center"/>
          </w:tcPr>
          <w:p w14:paraId="37252D01"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4,980</w:t>
            </w:r>
          </w:p>
        </w:tc>
        <w:tc>
          <w:tcPr>
            <w:tcW w:w="3600" w:type="dxa"/>
            <w:tcBorders>
              <w:top w:val="single" w:sz="2" w:space="0" w:color="000000"/>
              <w:left w:val="single" w:sz="12" w:space="0" w:color="auto"/>
              <w:bottom w:val="single" w:sz="2" w:space="0" w:color="000000"/>
              <w:right w:val="single" w:sz="12" w:space="0" w:color="auto"/>
            </w:tcBorders>
            <w:vAlign w:val="center"/>
          </w:tcPr>
          <w:p w14:paraId="283C6378" w14:textId="77777777" w:rsidR="00297F90" w:rsidRPr="00A50042" w:rsidRDefault="00297F90">
            <w:pPr>
              <w:autoSpaceDE w:val="0"/>
              <w:autoSpaceDN w:val="0"/>
              <w:adjustRightInd w:val="0"/>
              <w:jc w:val="center"/>
              <w:rPr>
                <w:sz w:val="22"/>
                <w:szCs w:val="22"/>
                <w:lang w:val="en-US" w:eastAsia="ja-JP"/>
              </w:rPr>
            </w:pPr>
            <w:r w:rsidRPr="00A50042">
              <w:rPr>
                <w:sz w:val="22"/>
                <w:szCs w:val="22"/>
                <w:lang w:val="en-US" w:eastAsia="ja-JP"/>
              </w:rPr>
              <w:t>2011</w:t>
            </w:r>
          </w:p>
        </w:tc>
      </w:tr>
      <w:tr w:rsidR="009443C8" w:rsidRPr="00A50042" w14:paraId="7B54EE19" w14:textId="77777777" w:rsidTr="00AF6ABE">
        <w:trPr>
          <w:trHeight w:val="319"/>
          <w:jc w:val="center"/>
        </w:trPr>
        <w:tc>
          <w:tcPr>
            <w:tcW w:w="2865" w:type="dxa"/>
            <w:tcBorders>
              <w:top w:val="single" w:sz="2" w:space="0" w:color="000000"/>
              <w:left w:val="single" w:sz="12" w:space="0" w:color="auto"/>
              <w:bottom w:val="single" w:sz="2" w:space="0" w:color="000000"/>
              <w:right w:val="single" w:sz="12" w:space="0" w:color="auto"/>
            </w:tcBorders>
            <w:vAlign w:val="center"/>
          </w:tcPr>
          <w:p w14:paraId="4DB67C17" w14:textId="06F6F4CA" w:rsidR="009443C8" w:rsidRPr="00A50042" w:rsidRDefault="009443C8">
            <w:pPr>
              <w:autoSpaceDE w:val="0"/>
              <w:autoSpaceDN w:val="0"/>
              <w:adjustRightInd w:val="0"/>
              <w:rPr>
                <w:sz w:val="22"/>
                <w:szCs w:val="22"/>
                <w:lang w:val="en-US" w:eastAsia="ja-JP"/>
              </w:rPr>
            </w:pPr>
            <w:r>
              <w:rPr>
                <w:sz w:val="22"/>
                <w:szCs w:val="22"/>
                <w:lang w:val="en-US" w:eastAsia="ja-JP"/>
              </w:rPr>
              <w:t>21. Trinidad &amp; Tobago</w:t>
            </w:r>
          </w:p>
        </w:tc>
        <w:tc>
          <w:tcPr>
            <w:tcW w:w="2205" w:type="dxa"/>
            <w:tcBorders>
              <w:top w:val="single" w:sz="2" w:space="0" w:color="000000"/>
              <w:left w:val="single" w:sz="12" w:space="0" w:color="auto"/>
              <w:bottom w:val="single" w:sz="2" w:space="0" w:color="000000"/>
              <w:right w:val="single" w:sz="12" w:space="0" w:color="auto"/>
            </w:tcBorders>
            <w:vAlign w:val="center"/>
          </w:tcPr>
          <w:p w14:paraId="6CC36348" w14:textId="23C6518C" w:rsidR="009443C8" w:rsidRPr="00A50042" w:rsidRDefault="009443C8">
            <w:pPr>
              <w:autoSpaceDE w:val="0"/>
              <w:autoSpaceDN w:val="0"/>
              <w:adjustRightInd w:val="0"/>
              <w:jc w:val="center"/>
              <w:rPr>
                <w:sz w:val="22"/>
                <w:szCs w:val="22"/>
                <w:lang w:val="en-US" w:eastAsia="ja-JP"/>
              </w:rPr>
            </w:pPr>
            <w:r>
              <w:rPr>
                <w:sz w:val="22"/>
                <w:szCs w:val="22"/>
                <w:lang w:val="en-US" w:eastAsia="ja-JP"/>
              </w:rPr>
              <w:t>105,000</w:t>
            </w:r>
          </w:p>
        </w:tc>
        <w:tc>
          <w:tcPr>
            <w:tcW w:w="3600" w:type="dxa"/>
            <w:tcBorders>
              <w:top w:val="single" w:sz="2" w:space="0" w:color="000000"/>
              <w:left w:val="single" w:sz="12" w:space="0" w:color="auto"/>
              <w:bottom w:val="single" w:sz="2" w:space="0" w:color="000000"/>
              <w:right w:val="single" w:sz="12" w:space="0" w:color="auto"/>
            </w:tcBorders>
            <w:vAlign w:val="center"/>
          </w:tcPr>
          <w:p w14:paraId="1EC4B4B3" w14:textId="6C3FFAAE" w:rsidR="009443C8" w:rsidRPr="00A50042" w:rsidRDefault="009443C8">
            <w:pPr>
              <w:autoSpaceDE w:val="0"/>
              <w:autoSpaceDN w:val="0"/>
              <w:adjustRightInd w:val="0"/>
              <w:jc w:val="center"/>
              <w:rPr>
                <w:sz w:val="22"/>
                <w:szCs w:val="22"/>
                <w:lang w:val="en-US" w:eastAsia="ja-JP"/>
              </w:rPr>
            </w:pPr>
            <w:r>
              <w:rPr>
                <w:sz w:val="22"/>
                <w:szCs w:val="22"/>
                <w:lang w:val="en-US" w:eastAsia="ja-JP"/>
              </w:rPr>
              <w:t>2011 to 2018, 202</w:t>
            </w:r>
            <w:r w:rsidR="00460055">
              <w:rPr>
                <w:sz w:val="22"/>
                <w:szCs w:val="22"/>
                <w:lang w:val="en-US" w:eastAsia="ja-JP"/>
              </w:rPr>
              <w:t>0-2021, 2023</w:t>
            </w:r>
          </w:p>
        </w:tc>
      </w:tr>
      <w:tr w:rsidR="00297F90" w:rsidRPr="00A50042" w14:paraId="02CE8855" w14:textId="77777777" w:rsidTr="00AF6ABE">
        <w:trPr>
          <w:trHeight w:val="328"/>
          <w:jc w:val="center"/>
        </w:trPr>
        <w:tc>
          <w:tcPr>
            <w:tcW w:w="2865" w:type="dxa"/>
            <w:tcBorders>
              <w:top w:val="single" w:sz="2" w:space="0" w:color="000000"/>
              <w:left w:val="single" w:sz="12" w:space="0" w:color="auto"/>
              <w:bottom w:val="single" w:sz="12" w:space="0" w:color="auto"/>
              <w:right w:val="single" w:sz="12" w:space="0" w:color="auto"/>
            </w:tcBorders>
            <w:vAlign w:val="center"/>
          </w:tcPr>
          <w:p w14:paraId="108CA5BA" w14:textId="52BBB1BB" w:rsidR="00297F90" w:rsidRPr="00A50042" w:rsidRDefault="00297F90">
            <w:pPr>
              <w:autoSpaceDE w:val="0"/>
              <w:autoSpaceDN w:val="0"/>
              <w:adjustRightInd w:val="0"/>
              <w:rPr>
                <w:sz w:val="22"/>
                <w:szCs w:val="22"/>
                <w:lang w:val="en-US" w:eastAsia="ja-JP"/>
              </w:rPr>
            </w:pPr>
            <w:r w:rsidRPr="00A50042">
              <w:rPr>
                <w:sz w:val="22"/>
                <w:szCs w:val="22"/>
                <w:lang w:val="en-US" w:eastAsia="ja-JP"/>
              </w:rPr>
              <w:t>2</w:t>
            </w:r>
            <w:r w:rsidR="00460055">
              <w:rPr>
                <w:sz w:val="22"/>
                <w:szCs w:val="22"/>
                <w:lang w:val="en-US" w:eastAsia="ja-JP"/>
              </w:rPr>
              <w:t>2</w:t>
            </w:r>
            <w:r w:rsidRPr="00A50042">
              <w:rPr>
                <w:sz w:val="22"/>
                <w:szCs w:val="22"/>
                <w:lang w:val="en-US" w:eastAsia="ja-JP"/>
              </w:rPr>
              <w:t>.</w:t>
            </w:r>
            <w:r w:rsidR="00460055">
              <w:rPr>
                <w:sz w:val="22"/>
                <w:szCs w:val="22"/>
                <w:lang w:val="en-US" w:eastAsia="ja-JP"/>
              </w:rPr>
              <w:t>United States</w:t>
            </w:r>
          </w:p>
        </w:tc>
        <w:tc>
          <w:tcPr>
            <w:tcW w:w="2205" w:type="dxa"/>
            <w:tcBorders>
              <w:top w:val="single" w:sz="2" w:space="0" w:color="000000"/>
              <w:left w:val="single" w:sz="12" w:space="0" w:color="auto"/>
              <w:bottom w:val="single" w:sz="12" w:space="0" w:color="auto"/>
              <w:right w:val="single" w:sz="12" w:space="0" w:color="auto"/>
            </w:tcBorders>
            <w:vAlign w:val="center"/>
          </w:tcPr>
          <w:p w14:paraId="7EBE8564" w14:textId="5C3A2CA0" w:rsidR="00297F90" w:rsidRPr="00A50042" w:rsidRDefault="002C0B40">
            <w:pPr>
              <w:autoSpaceDE w:val="0"/>
              <w:autoSpaceDN w:val="0"/>
              <w:adjustRightInd w:val="0"/>
              <w:jc w:val="center"/>
              <w:rPr>
                <w:sz w:val="22"/>
                <w:szCs w:val="22"/>
                <w:lang w:val="en-US" w:eastAsia="ja-JP"/>
              </w:rPr>
            </w:pPr>
            <w:r>
              <w:rPr>
                <w:sz w:val="22"/>
                <w:szCs w:val="22"/>
                <w:lang w:val="en-US" w:eastAsia="ja-JP"/>
              </w:rPr>
              <w:t>10</w:t>
            </w:r>
            <w:r w:rsidR="00460055">
              <w:rPr>
                <w:sz w:val="22"/>
                <w:szCs w:val="22"/>
                <w:lang w:val="en-US" w:eastAsia="ja-JP"/>
              </w:rPr>
              <w:t>0</w:t>
            </w:r>
            <w:r w:rsidR="00297F90" w:rsidRPr="00A50042">
              <w:rPr>
                <w:sz w:val="22"/>
                <w:szCs w:val="22"/>
                <w:lang w:val="en-US" w:eastAsia="ja-JP"/>
              </w:rPr>
              <w:t>,000</w:t>
            </w:r>
          </w:p>
        </w:tc>
        <w:tc>
          <w:tcPr>
            <w:tcW w:w="3600" w:type="dxa"/>
            <w:tcBorders>
              <w:top w:val="single" w:sz="2" w:space="0" w:color="000000"/>
              <w:left w:val="single" w:sz="12" w:space="0" w:color="auto"/>
              <w:bottom w:val="single" w:sz="12" w:space="0" w:color="auto"/>
              <w:right w:val="single" w:sz="12" w:space="0" w:color="auto"/>
            </w:tcBorders>
            <w:vAlign w:val="center"/>
          </w:tcPr>
          <w:p w14:paraId="6E104FB3" w14:textId="235B732B" w:rsidR="00297F90" w:rsidRPr="00A50042" w:rsidRDefault="00460055">
            <w:pPr>
              <w:autoSpaceDE w:val="0"/>
              <w:autoSpaceDN w:val="0"/>
              <w:adjustRightInd w:val="0"/>
              <w:jc w:val="center"/>
              <w:rPr>
                <w:sz w:val="22"/>
                <w:szCs w:val="22"/>
                <w:lang w:val="en-US" w:eastAsia="ja-JP"/>
              </w:rPr>
            </w:pPr>
            <w:r>
              <w:rPr>
                <w:sz w:val="22"/>
                <w:szCs w:val="22"/>
                <w:lang w:val="en-US" w:eastAsia="ja-JP"/>
              </w:rPr>
              <w:t>2023</w:t>
            </w:r>
          </w:p>
        </w:tc>
      </w:tr>
      <w:tr w:rsidR="001074A0" w:rsidRPr="00A50042" w14:paraId="3027F8B3" w14:textId="77777777" w:rsidTr="00AF6ABE">
        <w:trPr>
          <w:trHeight w:val="413"/>
          <w:jc w:val="center"/>
        </w:trPr>
        <w:tc>
          <w:tcPr>
            <w:tcW w:w="2865" w:type="dxa"/>
            <w:tcBorders>
              <w:top w:val="single" w:sz="12" w:space="0" w:color="auto"/>
              <w:left w:val="single" w:sz="12" w:space="0" w:color="auto"/>
              <w:bottom w:val="single" w:sz="12" w:space="0" w:color="auto"/>
              <w:right w:val="single" w:sz="12" w:space="0" w:color="auto"/>
            </w:tcBorders>
            <w:vAlign w:val="center"/>
          </w:tcPr>
          <w:p w14:paraId="4850D38F" w14:textId="2D40CB22" w:rsidR="001074A0" w:rsidRPr="00A50042" w:rsidRDefault="001074A0" w:rsidP="001074A0">
            <w:pPr>
              <w:autoSpaceDE w:val="0"/>
              <w:autoSpaceDN w:val="0"/>
              <w:adjustRightInd w:val="0"/>
              <w:rPr>
                <w:b/>
                <w:bCs/>
                <w:sz w:val="22"/>
                <w:szCs w:val="22"/>
                <w:lang w:val="en-US" w:eastAsia="ja-JP"/>
              </w:rPr>
            </w:pPr>
            <w:r w:rsidRPr="00A50042">
              <w:rPr>
                <w:b/>
                <w:bCs/>
                <w:sz w:val="22"/>
                <w:szCs w:val="22"/>
                <w:lang w:val="en-US" w:eastAsia="ja-JP"/>
              </w:rPr>
              <w:lastRenderedPageBreak/>
              <w:t>TOTAL</w:t>
            </w:r>
            <w:r>
              <w:rPr>
                <w:b/>
                <w:bCs/>
                <w:sz w:val="22"/>
                <w:szCs w:val="22"/>
                <w:lang w:val="en-US" w:eastAsia="ja-JP"/>
              </w:rPr>
              <w:t xml:space="preserve"> -C</w:t>
            </w:r>
            <w:r w:rsidRPr="00A50042">
              <w:rPr>
                <w:b/>
                <w:bCs/>
                <w:sz w:val="22"/>
                <w:szCs w:val="22"/>
                <w:lang w:val="en-US" w:eastAsia="ja-JP"/>
              </w:rPr>
              <w:t>ontributions to Voluntary Fund</w:t>
            </w:r>
          </w:p>
        </w:tc>
        <w:tc>
          <w:tcPr>
            <w:tcW w:w="2205" w:type="dxa"/>
            <w:tcBorders>
              <w:top w:val="single" w:sz="12" w:space="0" w:color="auto"/>
              <w:left w:val="single" w:sz="12" w:space="0" w:color="auto"/>
              <w:bottom w:val="single" w:sz="12" w:space="0" w:color="auto"/>
              <w:right w:val="single" w:sz="12" w:space="0" w:color="auto"/>
            </w:tcBorders>
            <w:vAlign w:val="center"/>
          </w:tcPr>
          <w:p w14:paraId="5FD0F502" w14:textId="6333E0EA" w:rsidR="001074A0" w:rsidRPr="00A50042" w:rsidRDefault="001074A0" w:rsidP="001074A0">
            <w:pPr>
              <w:autoSpaceDE w:val="0"/>
              <w:autoSpaceDN w:val="0"/>
              <w:adjustRightInd w:val="0"/>
              <w:jc w:val="center"/>
              <w:rPr>
                <w:b/>
                <w:bCs/>
                <w:sz w:val="22"/>
                <w:szCs w:val="22"/>
                <w:highlight w:val="yellow"/>
                <w:lang w:val="en-US" w:eastAsia="ja-JP"/>
              </w:rPr>
            </w:pPr>
            <w:r w:rsidRPr="00A50042">
              <w:rPr>
                <w:b/>
                <w:bCs/>
                <w:sz w:val="22"/>
                <w:szCs w:val="22"/>
              </w:rPr>
              <w:t xml:space="preserve">$ </w:t>
            </w:r>
            <w:r>
              <w:rPr>
                <w:b/>
                <w:bCs/>
                <w:sz w:val="22"/>
                <w:szCs w:val="22"/>
              </w:rPr>
              <w:t>773</w:t>
            </w:r>
            <w:r w:rsidRPr="00A50042">
              <w:rPr>
                <w:b/>
                <w:bCs/>
                <w:sz w:val="22"/>
                <w:szCs w:val="22"/>
              </w:rPr>
              <w:t>,</w:t>
            </w:r>
            <w:r>
              <w:rPr>
                <w:b/>
                <w:bCs/>
                <w:sz w:val="22"/>
                <w:szCs w:val="22"/>
              </w:rPr>
              <w:t>132</w:t>
            </w:r>
          </w:p>
        </w:tc>
        <w:tc>
          <w:tcPr>
            <w:tcW w:w="3600" w:type="dxa"/>
            <w:tcBorders>
              <w:top w:val="single" w:sz="12" w:space="0" w:color="auto"/>
              <w:left w:val="single" w:sz="12" w:space="0" w:color="auto"/>
              <w:bottom w:val="single" w:sz="12" w:space="0" w:color="auto"/>
              <w:right w:val="single" w:sz="12" w:space="0" w:color="auto"/>
            </w:tcBorders>
            <w:vAlign w:val="center"/>
          </w:tcPr>
          <w:p w14:paraId="6E543952" w14:textId="77777777" w:rsidR="001074A0" w:rsidRPr="00A50042" w:rsidRDefault="001074A0" w:rsidP="001074A0">
            <w:pPr>
              <w:autoSpaceDE w:val="0"/>
              <w:autoSpaceDN w:val="0"/>
              <w:adjustRightInd w:val="0"/>
              <w:jc w:val="center"/>
              <w:rPr>
                <w:b/>
                <w:bCs/>
                <w:sz w:val="22"/>
                <w:szCs w:val="22"/>
                <w:lang w:val="en-US" w:eastAsia="ja-JP"/>
              </w:rPr>
            </w:pPr>
          </w:p>
        </w:tc>
      </w:tr>
      <w:tr w:rsidR="001074A0" w:rsidRPr="00A50042" w14:paraId="0DD95347" w14:textId="77777777" w:rsidTr="00AF6ABE">
        <w:trPr>
          <w:trHeight w:val="287"/>
          <w:jc w:val="center"/>
        </w:trPr>
        <w:tc>
          <w:tcPr>
            <w:tcW w:w="2865" w:type="dxa"/>
            <w:tcBorders>
              <w:top w:val="single" w:sz="12" w:space="0" w:color="auto"/>
              <w:left w:val="single" w:sz="12" w:space="0" w:color="auto"/>
              <w:bottom w:val="single" w:sz="12" w:space="0" w:color="auto"/>
              <w:right w:val="single" w:sz="12" w:space="0" w:color="auto"/>
            </w:tcBorders>
            <w:vAlign w:val="center"/>
          </w:tcPr>
          <w:p w14:paraId="087CB2E3" w14:textId="5A2E2490" w:rsidR="001074A0" w:rsidRPr="00A50042" w:rsidRDefault="001074A0" w:rsidP="001074A0">
            <w:pPr>
              <w:autoSpaceDE w:val="0"/>
              <w:autoSpaceDN w:val="0"/>
              <w:adjustRightInd w:val="0"/>
              <w:rPr>
                <w:bCs/>
                <w:sz w:val="22"/>
                <w:szCs w:val="22"/>
                <w:lang w:val="en-US" w:eastAsia="ja-JP"/>
              </w:rPr>
            </w:pPr>
            <w:r w:rsidRPr="00A50042">
              <w:rPr>
                <w:bCs/>
                <w:sz w:val="22"/>
                <w:szCs w:val="22"/>
                <w:lang w:val="en-US" w:eastAsia="ja-JP"/>
              </w:rPr>
              <w:t>2</w:t>
            </w:r>
            <w:r w:rsidR="009443C8">
              <w:rPr>
                <w:bCs/>
                <w:sz w:val="22"/>
                <w:szCs w:val="22"/>
                <w:lang w:val="en-US" w:eastAsia="ja-JP"/>
              </w:rPr>
              <w:t>3</w:t>
            </w:r>
            <w:r w:rsidRPr="00A50042">
              <w:rPr>
                <w:bCs/>
                <w:sz w:val="22"/>
                <w:szCs w:val="22"/>
                <w:lang w:val="en-US" w:eastAsia="ja-JP"/>
              </w:rPr>
              <w:t>. Canada</w:t>
            </w:r>
          </w:p>
        </w:tc>
        <w:tc>
          <w:tcPr>
            <w:tcW w:w="2205" w:type="dxa"/>
            <w:tcBorders>
              <w:top w:val="single" w:sz="12" w:space="0" w:color="auto"/>
              <w:left w:val="single" w:sz="12" w:space="0" w:color="auto"/>
              <w:bottom w:val="single" w:sz="12" w:space="0" w:color="auto"/>
              <w:right w:val="single" w:sz="12" w:space="0" w:color="auto"/>
            </w:tcBorders>
            <w:vAlign w:val="center"/>
          </w:tcPr>
          <w:p w14:paraId="32E7695C" w14:textId="77777777" w:rsidR="001074A0" w:rsidRPr="00A50042" w:rsidRDefault="001074A0" w:rsidP="001074A0">
            <w:pPr>
              <w:autoSpaceDE w:val="0"/>
              <w:autoSpaceDN w:val="0"/>
              <w:adjustRightInd w:val="0"/>
              <w:jc w:val="center"/>
              <w:rPr>
                <w:bCs/>
                <w:sz w:val="22"/>
                <w:szCs w:val="22"/>
                <w:lang w:val="en-US" w:eastAsia="ja-JP"/>
              </w:rPr>
            </w:pPr>
            <w:r w:rsidRPr="00A50042">
              <w:rPr>
                <w:bCs/>
                <w:sz w:val="22"/>
                <w:szCs w:val="22"/>
                <w:lang w:val="en-US" w:eastAsia="ja-JP"/>
              </w:rPr>
              <w:t>$353,000</w:t>
            </w:r>
          </w:p>
        </w:tc>
        <w:tc>
          <w:tcPr>
            <w:tcW w:w="3600" w:type="dxa"/>
            <w:tcBorders>
              <w:top w:val="single" w:sz="12" w:space="0" w:color="auto"/>
              <w:left w:val="single" w:sz="12" w:space="0" w:color="auto"/>
              <w:bottom w:val="single" w:sz="12" w:space="0" w:color="auto"/>
              <w:right w:val="single" w:sz="12" w:space="0" w:color="auto"/>
            </w:tcBorders>
            <w:vAlign w:val="center"/>
          </w:tcPr>
          <w:p w14:paraId="72C1BF6B" w14:textId="77777777" w:rsidR="001074A0" w:rsidRPr="00A50042" w:rsidRDefault="001074A0" w:rsidP="001074A0">
            <w:pPr>
              <w:autoSpaceDE w:val="0"/>
              <w:autoSpaceDN w:val="0"/>
              <w:adjustRightInd w:val="0"/>
              <w:jc w:val="center"/>
              <w:rPr>
                <w:bCs/>
                <w:sz w:val="22"/>
                <w:szCs w:val="22"/>
                <w:lang w:val="en-US" w:eastAsia="ja-JP"/>
              </w:rPr>
            </w:pPr>
            <w:r w:rsidRPr="00A50042">
              <w:rPr>
                <w:bCs/>
                <w:sz w:val="22"/>
                <w:szCs w:val="22"/>
                <w:lang w:val="en-US" w:eastAsia="ja-JP"/>
              </w:rPr>
              <w:t>2012-2014, 2018-2020</w:t>
            </w:r>
          </w:p>
        </w:tc>
      </w:tr>
      <w:tr w:rsidR="001074A0" w:rsidRPr="00A50042" w14:paraId="2B3AB813" w14:textId="77777777" w:rsidTr="00AF6ABE">
        <w:trPr>
          <w:trHeight w:val="332"/>
          <w:jc w:val="center"/>
        </w:trPr>
        <w:tc>
          <w:tcPr>
            <w:tcW w:w="2865" w:type="dxa"/>
            <w:tcBorders>
              <w:top w:val="single" w:sz="12" w:space="0" w:color="auto"/>
              <w:left w:val="single" w:sz="12" w:space="0" w:color="auto"/>
              <w:bottom w:val="single" w:sz="12" w:space="0" w:color="auto"/>
              <w:right w:val="single" w:sz="12" w:space="0" w:color="auto"/>
            </w:tcBorders>
            <w:vAlign w:val="center"/>
          </w:tcPr>
          <w:p w14:paraId="655C7161" w14:textId="77777777" w:rsidR="001074A0" w:rsidRPr="00A50042" w:rsidRDefault="001074A0" w:rsidP="001074A0">
            <w:pPr>
              <w:autoSpaceDE w:val="0"/>
              <w:autoSpaceDN w:val="0"/>
              <w:adjustRightInd w:val="0"/>
              <w:rPr>
                <w:b/>
                <w:bCs/>
                <w:sz w:val="22"/>
                <w:szCs w:val="22"/>
                <w:lang w:val="en-US" w:eastAsia="ja-JP"/>
              </w:rPr>
            </w:pPr>
            <w:r w:rsidRPr="00A50042">
              <w:rPr>
                <w:b/>
                <w:bCs/>
                <w:sz w:val="22"/>
                <w:szCs w:val="22"/>
                <w:lang w:val="en-US" w:eastAsia="ja-JP"/>
              </w:rPr>
              <w:t>TOTAL</w:t>
            </w:r>
          </w:p>
        </w:tc>
        <w:tc>
          <w:tcPr>
            <w:tcW w:w="2205" w:type="dxa"/>
            <w:tcBorders>
              <w:top w:val="single" w:sz="12" w:space="0" w:color="auto"/>
              <w:left w:val="single" w:sz="12" w:space="0" w:color="auto"/>
              <w:bottom w:val="single" w:sz="12" w:space="0" w:color="auto"/>
              <w:right w:val="single" w:sz="12" w:space="0" w:color="auto"/>
            </w:tcBorders>
            <w:vAlign w:val="center"/>
          </w:tcPr>
          <w:p w14:paraId="267684FC" w14:textId="1961CD20" w:rsidR="001074A0" w:rsidRPr="00A50042" w:rsidRDefault="001074A0" w:rsidP="001074A0">
            <w:pPr>
              <w:autoSpaceDE w:val="0"/>
              <w:autoSpaceDN w:val="0"/>
              <w:adjustRightInd w:val="0"/>
              <w:jc w:val="center"/>
              <w:rPr>
                <w:b/>
                <w:bCs/>
                <w:sz w:val="22"/>
                <w:szCs w:val="22"/>
                <w:highlight w:val="yellow"/>
                <w:lang w:val="en-US" w:eastAsia="ja-JP"/>
              </w:rPr>
            </w:pPr>
            <w:r w:rsidRPr="00A50042">
              <w:rPr>
                <w:b/>
                <w:bCs/>
                <w:sz w:val="22"/>
                <w:szCs w:val="22"/>
              </w:rPr>
              <w:t>$</w:t>
            </w:r>
            <w:r>
              <w:rPr>
                <w:b/>
                <w:bCs/>
                <w:sz w:val="22"/>
                <w:szCs w:val="22"/>
              </w:rPr>
              <w:t>1,126,112</w:t>
            </w:r>
          </w:p>
        </w:tc>
        <w:tc>
          <w:tcPr>
            <w:tcW w:w="3600" w:type="dxa"/>
            <w:tcBorders>
              <w:top w:val="single" w:sz="12" w:space="0" w:color="auto"/>
              <w:left w:val="single" w:sz="12" w:space="0" w:color="auto"/>
              <w:bottom w:val="single" w:sz="12" w:space="0" w:color="auto"/>
              <w:right w:val="single" w:sz="12" w:space="0" w:color="auto"/>
            </w:tcBorders>
            <w:vAlign w:val="center"/>
          </w:tcPr>
          <w:p w14:paraId="2BD87CDB" w14:textId="77777777" w:rsidR="001074A0" w:rsidRPr="00A50042" w:rsidRDefault="001074A0" w:rsidP="001074A0">
            <w:pPr>
              <w:autoSpaceDE w:val="0"/>
              <w:autoSpaceDN w:val="0"/>
              <w:adjustRightInd w:val="0"/>
              <w:jc w:val="center"/>
              <w:rPr>
                <w:bCs/>
                <w:sz w:val="22"/>
                <w:szCs w:val="22"/>
                <w:lang w:val="en-US" w:eastAsia="ja-JP"/>
              </w:rPr>
            </w:pPr>
          </w:p>
        </w:tc>
      </w:tr>
    </w:tbl>
    <w:p w14:paraId="3AF0D625" w14:textId="77777777" w:rsidR="00221670" w:rsidRDefault="00221670" w:rsidP="001D270C">
      <w:pPr>
        <w:spacing w:line="250" w:lineRule="exact"/>
        <w:jc w:val="both"/>
        <w:rPr>
          <w:sz w:val="22"/>
          <w:szCs w:val="22"/>
          <w:lang w:val="en-US"/>
        </w:rPr>
      </w:pPr>
    </w:p>
    <w:p w14:paraId="755BA1EB" w14:textId="77777777" w:rsidR="00DC0F89" w:rsidRDefault="00DC0F89" w:rsidP="001D270C">
      <w:pPr>
        <w:spacing w:line="250" w:lineRule="exact"/>
        <w:jc w:val="both"/>
        <w:rPr>
          <w:sz w:val="22"/>
          <w:szCs w:val="22"/>
          <w:lang w:val="en-US"/>
        </w:rPr>
      </w:pPr>
    </w:p>
    <w:p w14:paraId="11EA7C26" w14:textId="77777777" w:rsidR="00FF6C0B" w:rsidRDefault="00FF6C0B" w:rsidP="001D270C">
      <w:pPr>
        <w:spacing w:line="250" w:lineRule="exact"/>
        <w:jc w:val="both"/>
        <w:rPr>
          <w:sz w:val="22"/>
          <w:szCs w:val="22"/>
          <w:lang w:val="en-US"/>
        </w:rPr>
      </w:pPr>
    </w:p>
    <w:p w14:paraId="639BD54B" w14:textId="3B1F2297" w:rsidR="00286EF5" w:rsidRPr="00A50042" w:rsidRDefault="001D270C" w:rsidP="001D270C">
      <w:pPr>
        <w:spacing w:line="250" w:lineRule="exact"/>
        <w:jc w:val="both"/>
        <w:rPr>
          <w:sz w:val="22"/>
          <w:szCs w:val="22"/>
          <w:lang w:val="en-US"/>
        </w:rPr>
      </w:pPr>
      <w:r w:rsidRPr="00A50042">
        <w:rPr>
          <w:sz w:val="22"/>
          <w:szCs w:val="22"/>
          <w:lang w:val="en-US"/>
        </w:rPr>
        <w:t xml:space="preserve">Annual contributions vary considerably, as shown </w:t>
      </w:r>
      <w:r w:rsidRPr="007B5250">
        <w:rPr>
          <w:sz w:val="22"/>
          <w:szCs w:val="22"/>
          <w:lang w:val="en-US"/>
        </w:rPr>
        <w:t xml:space="preserve">in </w:t>
      </w:r>
      <w:r w:rsidRPr="002C0B40">
        <w:rPr>
          <w:b/>
          <w:bCs/>
          <w:sz w:val="22"/>
          <w:szCs w:val="22"/>
          <w:lang w:val="en-US"/>
        </w:rPr>
        <w:t>Chart No. 2 and Graph No.1</w:t>
      </w:r>
      <w:r w:rsidRPr="007B5250">
        <w:rPr>
          <w:sz w:val="22"/>
          <w:szCs w:val="22"/>
          <w:lang w:val="en-US"/>
        </w:rPr>
        <w:t>.</w:t>
      </w:r>
      <w:r w:rsidRPr="00A50042">
        <w:rPr>
          <w:b/>
          <w:sz w:val="22"/>
          <w:szCs w:val="22"/>
          <w:lang w:val="en-US"/>
        </w:rPr>
        <w:t xml:space="preserve"> </w:t>
      </w:r>
      <w:r w:rsidRPr="00A50042">
        <w:rPr>
          <w:sz w:val="22"/>
          <w:szCs w:val="22"/>
          <w:lang w:val="en-US"/>
        </w:rPr>
        <w:t>Over the past years, contributions have been low, but have been compensated by Canada</w:t>
      </w:r>
      <w:r w:rsidR="002C0B40">
        <w:rPr>
          <w:sz w:val="22"/>
          <w:szCs w:val="22"/>
          <w:lang w:val="en-US"/>
        </w:rPr>
        <w:t>’</w:t>
      </w:r>
      <w:r w:rsidRPr="00A50042">
        <w:rPr>
          <w:sz w:val="22"/>
          <w:szCs w:val="22"/>
          <w:lang w:val="en-US"/>
        </w:rPr>
        <w:t>s contribution for 2018-2020</w:t>
      </w:r>
      <w:r w:rsidR="006D2ADE">
        <w:rPr>
          <w:sz w:val="22"/>
          <w:szCs w:val="22"/>
          <w:lang w:val="en-US"/>
        </w:rPr>
        <w:t xml:space="preserve"> </w:t>
      </w:r>
      <w:r w:rsidR="006D2ADE" w:rsidRPr="006D2ADE">
        <w:rPr>
          <w:sz w:val="22"/>
          <w:szCs w:val="22"/>
          <w:lang w:val="en-US"/>
        </w:rPr>
        <w:t>and, in 2023, for the contribution of $100,000 from the United States</w:t>
      </w:r>
      <w:r w:rsidR="006D2ADE">
        <w:rPr>
          <w:sz w:val="22"/>
          <w:szCs w:val="22"/>
          <w:lang w:val="en-US"/>
        </w:rPr>
        <w:t xml:space="preserve">. </w:t>
      </w:r>
      <w:r w:rsidRPr="00A50042">
        <w:rPr>
          <w:sz w:val="22"/>
          <w:szCs w:val="22"/>
          <w:lang w:val="en-US"/>
        </w:rPr>
        <w:t xml:space="preserve">It is noteworthy that in 2020, a very difficult year for all Ministries, contributions </w:t>
      </w:r>
      <w:r w:rsidR="00511260" w:rsidRPr="00A50042">
        <w:rPr>
          <w:sz w:val="22"/>
          <w:szCs w:val="22"/>
          <w:lang w:val="en-US"/>
        </w:rPr>
        <w:t>of more than</w:t>
      </w:r>
      <w:r w:rsidRPr="00A50042">
        <w:rPr>
          <w:sz w:val="22"/>
          <w:szCs w:val="22"/>
          <w:lang w:val="en-US"/>
        </w:rPr>
        <w:t xml:space="preserve"> $40,000 were received. The Ministries of Labor of Trinidad &amp; Tobago, Barbados and Peru have informed the Technical Secretariat that this item is already included in their annual budgets.</w:t>
      </w:r>
      <w:r w:rsidR="00004E39">
        <w:rPr>
          <w:sz w:val="22"/>
          <w:szCs w:val="22"/>
          <w:lang w:val="en-US"/>
        </w:rPr>
        <w:t xml:space="preserve"> </w:t>
      </w:r>
      <w:r w:rsidR="00511260" w:rsidRPr="00A50042">
        <w:rPr>
          <w:sz w:val="22"/>
          <w:szCs w:val="22"/>
          <w:lang w:val="en-US"/>
        </w:rPr>
        <w:t>The almost uninterrupted contributions of</w:t>
      </w:r>
      <w:r w:rsidR="00BC2574">
        <w:rPr>
          <w:sz w:val="22"/>
          <w:szCs w:val="22"/>
          <w:lang w:val="en-US"/>
        </w:rPr>
        <w:t xml:space="preserve"> these countries are highlighted, as well as the Bahamas, Bolivia, </w:t>
      </w:r>
      <w:r w:rsidR="006D2ADE">
        <w:rPr>
          <w:sz w:val="22"/>
          <w:szCs w:val="22"/>
          <w:lang w:val="en-US"/>
        </w:rPr>
        <w:t>Panama,</w:t>
      </w:r>
      <w:r w:rsidR="00BC2574">
        <w:rPr>
          <w:sz w:val="22"/>
          <w:szCs w:val="22"/>
          <w:lang w:val="en-US"/>
        </w:rPr>
        <w:t xml:space="preserve"> and Grenada.</w:t>
      </w:r>
      <w:r w:rsidR="00004E39">
        <w:rPr>
          <w:sz w:val="22"/>
          <w:szCs w:val="22"/>
          <w:lang w:val="en-US"/>
        </w:rPr>
        <w:t xml:space="preserve"> </w:t>
      </w:r>
      <w:r w:rsidRPr="00A50042">
        <w:rPr>
          <w:sz w:val="22"/>
          <w:szCs w:val="22"/>
          <w:lang w:val="en-US"/>
        </w:rPr>
        <w:t>It is expected that others may follow</w:t>
      </w:r>
      <w:r w:rsidR="00286EF5" w:rsidRPr="00A50042">
        <w:rPr>
          <w:sz w:val="22"/>
          <w:szCs w:val="22"/>
          <w:lang w:val="en-US"/>
        </w:rPr>
        <w:t xml:space="preserve"> in making contributions on a consistent basis.</w:t>
      </w:r>
    </w:p>
    <w:p w14:paraId="05C2CCB9" w14:textId="77777777" w:rsidR="001D270C" w:rsidRDefault="001D270C" w:rsidP="001D270C">
      <w:pPr>
        <w:spacing w:line="250" w:lineRule="exact"/>
        <w:jc w:val="both"/>
        <w:rPr>
          <w:sz w:val="22"/>
          <w:szCs w:val="22"/>
          <w:lang w:val="en-US"/>
        </w:rPr>
      </w:pPr>
    </w:p>
    <w:p w14:paraId="604E931A" w14:textId="77777777" w:rsidR="00FF6C0B" w:rsidRPr="00A50042" w:rsidRDefault="00FF6C0B" w:rsidP="001D270C">
      <w:pPr>
        <w:spacing w:line="250" w:lineRule="exact"/>
        <w:jc w:val="both"/>
        <w:rPr>
          <w:sz w:val="22"/>
          <w:szCs w:val="22"/>
          <w:lang w:val="en-US"/>
        </w:rPr>
      </w:pPr>
    </w:p>
    <w:p w14:paraId="4870BD35" w14:textId="77777777" w:rsidR="008D1FE6" w:rsidRPr="00A50042" w:rsidRDefault="008D1FE6" w:rsidP="008D1FE6">
      <w:pPr>
        <w:spacing w:line="250" w:lineRule="exact"/>
        <w:jc w:val="center"/>
        <w:rPr>
          <w:b/>
          <w:sz w:val="22"/>
          <w:szCs w:val="22"/>
          <w:lang w:val="en-US"/>
        </w:rPr>
      </w:pPr>
      <w:r w:rsidRPr="00A50042">
        <w:rPr>
          <w:b/>
          <w:sz w:val="22"/>
          <w:szCs w:val="22"/>
          <w:lang w:val="en-US"/>
        </w:rPr>
        <w:t>Chart No. 2</w:t>
      </w:r>
    </w:p>
    <w:p w14:paraId="28178866" w14:textId="77777777" w:rsidR="008D1FE6" w:rsidRPr="00A50042" w:rsidRDefault="008D1FE6" w:rsidP="008D1FE6">
      <w:pPr>
        <w:spacing w:line="250" w:lineRule="exact"/>
        <w:jc w:val="center"/>
        <w:rPr>
          <w:b/>
          <w:bCs/>
          <w:sz w:val="22"/>
          <w:szCs w:val="22"/>
          <w:lang w:val="en-US"/>
        </w:rPr>
      </w:pPr>
      <w:r w:rsidRPr="00A50042">
        <w:rPr>
          <w:b/>
          <w:bCs/>
          <w:sz w:val="22"/>
          <w:szCs w:val="22"/>
          <w:lang w:val="en-US"/>
        </w:rPr>
        <w:t>Contributions received by year to the Voluntary Contribution Fund</w:t>
      </w:r>
    </w:p>
    <w:p w14:paraId="12945221" w14:textId="77777777" w:rsidR="008D1FE6" w:rsidRPr="00A50042" w:rsidRDefault="008D1FE6" w:rsidP="008D1FE6">
      <w:pPr>
        <w:spacing w:line="250" w:lineRule="exact"/>
        <w:jc w:val="both"/>
        <w:rPr>
          <w:b/>
          <w:sz w:val="22"/>
          <w:szCs w:val="22"/>
          <w:lang w:val="en-US"/>
        </w:rPr>
      </w:pPr>
    </w:p>
    <w:tbl>
      <w:tblPr>
        <w:tblW w:w="5545" w:type="dxa"/>
        <w:jc w:val="center"/>
        <w:tblLook w:val="04A0" w:firstRow="1" w:lastRow="0" w:firstColumn="1" w:lastColumn="0" w:noHBand="0" w:noVBand="1"/>
      </w:tblPr>
      <w:tblGrid>
        <w:gridCol w:w="2320"/>
        <w:gridCol w:w="1840"/>
        <w:gridCol w:w="1390"/>
      </w:tblGrid>
      <w:tr w:rsidR="008D1FE6" w:rsidRPr="00A50042" w14:paraId="485E7A0C" w14:textId="77777777">
        <w:trPr>
          <w:trHeight w:val="450"/>
          <w:jc w:val="center"/>
        </w:trPr>
        <w:tc>
          <w:tcPr>
            <w:tcW w:w="2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F72D6" w14:textId="77777777" w:rsidR="008D1FE6" w:rsidRPr="00A50042" w:rsidRDefault="008D1FE6">
            <w:pPr>
              <w:jc w:val="center"/>
              <w:rPr>
                <w:b/>
                <w:bCs/>
                <w:sz w:val="22"/>
                <w:szCs w:val="22"/>
                <w:lang w:val="en-US"/>
              </w:rPr>
            </w:pPr>
            <w:r w:rsidRPr="00A50042">
              <w:rPr>
                <w:b/>
                <w:bCs/>
                <w:sz w:val="22"/>
                <w:szCs w:val="22"/>
                <w:lang w:val="en-US"/>
              </w:rPr>
              <w:t>Year</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54855415" w14:textId="77777777" w:rsidR="008D1FE6" w:rsidRPr="00A50042" w:rsidRDefault="008D1FE6">
            <w:pPr>
              <w:jc w:val="center"/>
              <w:rPr>
                <w:b/>
                <w:bCs/>
                <w:sz w:val="22"/>
                <w:szCs w:val="22"/>
                <w:lang w:val="en-US"/>
              </w:rPr>
            </w:pPr>
            <w:r w:rsidRPr="00A50042">
              <w:rPr>
                <w:b/>
                <w:bCs/>
                <w:sz w:val="22"/>
                <w:szCs w:val="22"/>
                <w:lang w:val="en-US"/>
              </w:rPr>
              <w:t>Amount</w:t>
            </w:r>
          </w:p>
        </w:tc>
        <w:tc>
          <w:tcPr>
            <w:tcW w:w="1385" w:type="dxa"/>
            <w:tcBorders>
              <w:top w:val="single" w:sz="8" w:space="0" w:color="auto"/>
              <w:left w:val="nil"/>
              <w:bottom w:val="single" w:sz="8" w:space="0" w:color="auto"/>
              <w:right w:val="single" w:sz="8" w:space="0" w:color="auto"/>
            </w:tcBorders>
            <w:shd w:val="clear" w:color="auto" w:fill="auto"/>
            <w:noWrap/>
            <w:vAlign w:val="center"/>
            <w:hideMark/>
          </w:tcPr>
          <w:p w14:paraId="19F78964" w14:textId="5CBF26F3" w:rsidR="008D1FE6" w:rsidRPr="00A50042" w:rsidRDefault="008D1FE6">
            <w:pPr>
              <w:jc w:val="center"/>
              <w:rPr>
                <w:b/>
                <w:bCs/>
                <w:sz w:val="22"/>
                <w:szCs w:val="22"/>
                <w:lang w:val="en-US"/>
              </w:rPr>
            </w:pPr>
            <w:r w:rsidRPr="00A50042">
              <w:rPr>
                <w:b/>
                <w:bCs/>
                <w:sz w:val="22"/>
                <w:szCs w:val="22"/>
                <w:lang w:val="en-US"/>
              </w:rPr>
              <w:t>Canada</w:t>
            </w:r>
            <w:r w:rsidR="006D2ADE">
              <w:rPr>
                <w:b/>
                <w:bCs/>
                <w:sz w:val="22"/>
                <w:szCs w:val="22"/>
                <w:lang w:val="en-US"/>
              </w:rPr>
              <w:t>’</w:t>
            </w:r>
            <w:r w:rsidRPr="00A50042">
              <w:rPr>
                <w:b/>
                <w:bCs/>
                <w:sz w:val="22"/>
                <w:szCs w:val="22"/>
                <w:lang w:val="en-US"/>
              </w:rPr>
              <w:t>s contribution</w:t>
            </w:r>
          </w:p>
        </w:tc>
      </w:tr>
      <w:tr w:rsidR="008D1FE6" w:rsidRPr="00A50042" w14:paraId="572E5094" w14:textId="77777777" w:rsidTr="008341E4">
        <w:trPr>
          <w:trHeight w:val="250"/>
          <w:jc w:val="center"/>
        </w:trPr>
        <w:tc>
          <w:tcPr>
            <w:tcW w:w="2320" w:type="dxa"/>
            <w:tcBorders>
              <w:top w:val="nil"/>
              <w:left w:val="single" w:sz="8" w:space="0" w:color="auto"/>
              <w:bottom w:val="nil"/>
              <w:right w:val="single" w:sz="8" w:space="0" w:color="auto"/>
            </w:tcBorders>
            <w:shd w:val="clear" w:color="auto" w:fill="auto"/>
            <w:noWrap/>
            <w:vAlign w:val="bottom"/>
            <w:hideMark/>
          </w:tcPr>
          <w:p w14:paraId="6B7D0B74" w14:textId="77777777" w:rsidR="008D1FE6" w:rsidRPr="00A50042" w:rsidRDefault="008D1FE6">
            <w:pPr>
              <w:rPr>
                <w:sz w:val="22"/>
                <w:szCs w:val="22"/>
              </w:rPr>
            </w:pPr>
            <w:r w:rsidRPr="00A50042">
              <w:rPr>
                <w:sz w:val="22"/>
                <w:szCs w:val="22"/>
              </w:rPr>
              <w:t>2011</w:t>
            </w:r>
          </w:p>
        </w:tc>
        <w:tc>
          <w:tcPr>
            <w:tcW w:w="1840" w:type="dxa"/>
            <w:tcBorders>
              <w:top w:val="nil"/>
              <w:left w:val="nil"/>
              <w:bottom w:val="nil"/>
              <w:right w:val="single" w:sz="8" w:space="0" w:color="auto"/>
            </w:tcBorders>
            <w:shd w:val="clear" w:color="auto" w:fill="auto"/>
            <w:noWrap/>
            <w:vAlign w:val="bottom"/>
            <w:hideMark/>
          </w:tcPr>
          <w:p w14:paraId="372D4CF7" w14:textId="77777777" w:rsidR="008D1FE6" w:rsidRPr="00A50042" w:rsidRDefault="008D1FE6">
            <w:pPr>
              <w:jc w:val="center"/>
              <w:rPr>
                <w:sz w:val="22"/>
                <w:szCs w:val="22"/>
              </w:rPr>
            </w:pPr>
            <w:r w:rsidRPr="00A50042">
              <w:rPr>
                <w:sz w:val="22"/>
                <w:szCs w:val="22"/>
              </w:rPr>
              <w:t>74,680.5</w:t>
            </w:r>
          </w:p>
        </w:tc>
        <w:tc>
          <w:tcPr>
            <w:tcW w:w="1385" w:type="dxa"/>
            <w:tcBorders>
              <w:top w:val="nil"/>
              <w:left w:val="nil"/>
              <w:bottom w:val="nil"/>
              <w:right w:val="single" w:sz="8" w:space="0" w:color="auto"/>
            </w:tcBorders>
            <w:shd w:val="clear" w:color="auto" w:fill="auto"/>
            <w:noWrap/>
            <w:vAlign w:val="center"/>
            <w:hideMark/>
          </w:tcPr>
          <w:p w14:paraId="5FEE61E4" w14:textId="77777777" w:rsidR="008D1FE6" w:rsidRPr="00A50042" w:rsidRDefault="008D1FE6">
            <w:pPr>
              <w:jc w:val="center"/>
              <w:rPr>
                <w:sz w:val="22"/>
                <w:szCs w:val="22"/>
              </w:rPr>
            </w:pPr>
          </w:p>
        </w:tc>
      </w:tr>
      <w:tr w:rsidR="008D1FE6" w:rsidRPr="00A50042" w14:paraId="236B22CF" w14:textId="77777777">
        <w:trPr>
          <w:trHeight w:val="349"/>
          <w:jc w:val="center"/>
        </w:trPr>
        <w:tc>
          <w:tcPr>
            <w:tcW w:w="2320" w:type="dxa"/>
            <w:tcBorders>
              <w:top w:val="nil"/>
              <w:left w:val="single" w:sz="8" w:space="0" w:color="auto"/>
              <w:bottom w:val="nil"/>
              <w:right w:val="single" w:sz="8" w:space="0" w:color="auto"/>
            </w:tcBorders>
            <w:shd w:val="clear" w:color="auto" w:fill="auto"/>
            <w:noWrap/>
            <w:vAlign w:val="bottom"/>
            <w:hideMark/>
          </w:tcPr>
          <w:p w14:paraId="26D6150F" w14:textId="77777777" w:rsidR="008D1FE6" w:rsidRPr="00A50042" w:rsidRDefault="008D1FE6">
            <w:pPr>
              <w:rPr>
                <w:sz w:val="22"/>
                <w:szCs w:val="22"/>
              </w:rPr>
            </w:pPr>
            <w:r w:rsidRPr="00A50042">
              <w:rPr>
                <w:sz w:val="22"/>
                <w:szCs w:val="22"/>
              </w:rPr>
              <w:t>2012</w:t>
            </w:r>
          </w:p>
        </w:tc>
        <w:tc>
          <w:tcPr>
            <w:tcW w:w="1840" w:type="dxa"/>
            <w:tcBorders>
              <w:top w:val="nil"/>
              <w:left w:val="nil"/>
              <w:bottom w:val="nil"/>
              <w:right w:val="single" w:sz="8" w:space="0" w:color="auto"/>
            </w:tcBorders>
            <w:shd w:val="clear" w:color="auto" w:fill="auto"/>
            <w:noWrap/>
            <w:vAlign w:val="bottom"/>
            <w:hideMark/>
          </w:tcPr>
          <w:p w14:paraId="7DF2AB60" w14:textId="77777777" w:rsidR="008D1FE6" w:rsidRPr="00A50042" w:rsidRDefault="008D1FE6">
            <w:pPr>
              <w:jc w:val="center"/>
              <w:rPr>
                <w:sz w:val="22"/>
                <w:szCs w:val="22"/>
              </w:rPr>
            </w:pPr>
            <w:r w:rsidRPr="00A50042">
              <w:rPr>
                <w:sz w:val="22"/>
                <w:szCs w:val="22"/>
              </w:rPr>
              <w:t>34,940.0</w:t>
            </w:r>
          </w:p>
        </w:tc>
        <w:tc>
          <w:tcPr>
            <w:tcW w:w="1385" w:type="dxa"/>
            <w:tcBorders>
              <w:top w:val="nil"/>
              <w:left w:val="nil"/>
              <w:bottom w:val="nil"/>
              <w:right w:val="single" w:sz="8" w:space="0" w:color="auto"/>
            </w:tcBorders>
            <w:shd w:val="clear" w:color="auto" w:fill="auto"/>
            <w:noWrap/>
            <w:vAlign w:val="bottom"/>
            <w:hideMark/>
          </w:tcPr>
          <w:p w14:paraId="61A5744A" w14:textId="77777777" w:rsidR="008D1FE6" w:rsidRPr="00A50042" w:rsidRDefault="008D1FE6">
            <w:pPr>
              <w:jc w:val="center"/>
              <w:rPr>
                <w:sz w:val="22"/>
                <w:szCs w:val="22"/>
              </w:rPr>
            </w:pPr>
            <w:r w:rsidRPr="00A50042">
              <w:rPr>
                <w:sz w:val="22"/>
                <w:szCs w:val="22"/>
              </w:rPr>
              <w:t>200,000.0</w:t>
            </w:r>
          </w:p>
        </w:tc>
      </w:tr>
      <w:tr w:rsidR="008D1FE6" w:rsidRPr="00A50042" w14:paraId="49D4D21B" w14:textId="77777777">
        <w:trPr>
          <w:trHeight w:val="349"/>
          <w:jc w:val="center"/>
        </w:trPr>
        <w:tc>
          <w:tcPr>
            <w:tcW w:w="2320" w:type="dxa"/>
            <w:tcBorders>
              <w:top w:val="nil"/>
              <w:left w:val="single" w:sz="8" w:space="0" w:color="auto"/>
              <w:bottom w:val="nil"/>
              <w:right w:val="single" w:sz="8" w:space="0" w:color="auto"/>
            </w:tcBorders>
            <w:shd w:val="clear" w:color="auto" w:fill="auto"/>
            <w:noWrap/>
            <w:vAlign w:val="bottom"/>
            <w:hideMark/>
          </w:tcPr>
          <w:p w14:paraId="60233690" w14:textId="77777777" w:rsidR="008D1FE6" w:rsidRPr="00A50042" w:rsidRDefault="008D1FE6">
            <w:pPr>
              <w:rPr>
                <w:sz w:val="22"/>
                <w:szCs w:val="22"/>
              </w:rPr>
            </w:pPr>
            <w:r w:rsidRPr="00A50042">
              <w:rPr>
                <w:sz w:val="22"/>
                <w:szCs w:val="22"/>
              </w:rPr>
              <w:t>2013</w:t>
            </w:r>
          </w:p>
        </w:tc>
        <w:tc>
          <w:tcPr>
            <w:tcW w:w="1840" w:type="dxa"/>
            <w:tcBorders>
              <w:top w:val="nil"/>
              <w:left w:val="nil"/>
              <w:bottom w:val="nil"/>
              <w:right w:val="single" w:sz="8" w:space="0" w:color="auto"/>
            </w:tcBorders>
            <w:shd w:val="clear" w:color="auto" w:fill="auto"/>
            <w:noWrap/>
            <w:vAlign w:val="bottom"/>
            <w:hideMark/>
          </w:tcPr>
          <w:p w14:paraId="41F12A93" w14:textId="77777777" w:rsidR="008D1FE6" w:rsidRPr="00A50042" w:rsidRDefault="008D1FE6">
            <w:pPr>
              <w:jc w:val="center"/>
              <w:rPr>
                <w:sz w:val="22"/>
                <w:szCs w:val="22"/>
              </w:rPr>
            </w:pPr>
            <w:r w:rsidRPr="00A50042">
              <w:rPr>
                <w:sz w:val="22"/>
                <w:szCs w:val="22"/>
              </w:rPr>
              <w:t>95,555.4</w:t>
            </w:r>
          </w:p>
        </w:tc>
        <w:tc>
          <w:tcPr>
            <w:tcW w:w="1385" w:type="dxa"/>
            <w:tcBorders>
              <w:top w:val="nil"/>
              <w:left w:val="nil"/>
              <w:bottom w:val="nil"/>
              <w:right w:val="single" w:sz="8" w:space="0" w:color="auto"/>
            </w:tcBorders>
            <w:shd w:val="clear" w:color="auto" w:fill="auto"/>
            <w:noWrap/>
            <w:vAlign w:val="center"/>
            <w:hideMark/>
          </w:tcPr>
          <w:p w14:paraId="5BFB1155" w14:textId="77777777" w:rsidR="008D1FE6" w:rsidRPr="00A50042" w:rsidRDefault="008D1FE6">
            <w:pPr>
              <w:jc w:val="center"/>
              <w:rPr>
                <w:sz w:val="22"/>
                <w:szCs w:val="22"/>
              </w:rPr>
            </w:pPr>
          </w:p>
        </w:tc>
      </w:tr>
      <w:tr w:rsidR="008D1FE6" w:rsidRPr="00A50042" w14:paraId="0D68A6C4" w14:textId="77777777">
        <w:trPr>
          <w:trHeight w:val="349"/>
          <w:jc w:val="center"/>
        </w:trPr>
        <w:tc>
          <w:tcPr>
            <w:tcW w:w="2320" w:type="dxa"/>
            <w:tcBorders>
              <w:top w:val="nil"/>
              <w:left w:val="single" w:sz="8" w:space="0" w:color="auto"/>
              <w:bottom w:val="nil"/>
              <w:right w:val="nil"/>
            </w:tcBorders>
            <w:shd w:val="clear" w:color="auto" w:fill="auto"/>
            <w:noWrap/>
            <w:vAlign w:val="bottom"/>
            <w:hideMark/>
          </w:tcPr>
          <w:p w14:paraId="048D22B0" w14:textId="77777777" w:rsidR="008D1FE6" w:rsidRPr="00A50042" w:rsidRDefault="008D1FE6">
            <w:pPr>
              <w:rPr>
                <w:sz w:val="22"/>
                <w:szCs w:val="22"/>
              </w:rPr>
            </w:pPr>
            <w:r w:rsidRPr="00A50042">
              <w:rPr>
                <w:sz w:val="22"/>
                <w:szCs w:val="22"/>
              </w:rPr>
              <w:t>2014</w:t>
            </w:r>
          </w:p>
        </w:tc>
        <w:tc>
          <w:tcPr>
            <w:tcW w:w="1840" w:type="dxa"/>
            <w:tcBorders>
              <w:top w:val="nil"/>
              <w:left w:val="single" w:sz="8" w:space="0" w:color="auto"/>
              <w:bottom w:val="nil"/>
              <w:right w:val="single" w:sz="8" w:space="0" w:color="auto"/>
            </w:tcBorders>
            <w:shd w:val="clear" w:color="auto" w:fill="auto"/>
            <w:noWrap/>
            <w:vAlign w:val="bottom"/>
            <w:hideMark/>
          </w:tcPr>
          <w:p w14:paraId="35787B5A" w14:textId="77777777" w:rsidR="008D1FE6" w:rsidRPr="00A50042" w:rsidRDefault="008D1FE6">
            <w:pPr>
              <w:jc w:val="center"/>
              <w:rPr>
                <w:sz w:val="22"/>
                <w:szCs w:val="22"/>
              </w:rPr>
            </w:pPr>
            <w:r w:rsidRPr="00A50042">
              <w:rPr>
                <w:sz w:val="22"/>
                <w:szCs w:val="22"/>
              </w:rPr>
              <w:t>34,970.0</w:t>
            </w:r>
          </w:p>
        </w:tc>
        <w:tc>
          <w:tcPr>
            <w:tcW w:w="1385" w:type="dxa"/>
            <w:tcBorders>
              <w:top w:val="nil"/>
              <w:left w:val="nil"/>
              <w:bottom w:val="nil"/>
              <w:right w:val="single" w:sz="8" w:space="0" w:color="auto"/>
            </w:tcBorders>
            <w:shd w:val="clear" w:color="auto" w:fill="auto"/>
            <w:noWrap/>
            <w:vAlign w:val="center"/>
            <w:hideMark/>
          </w:tcPr>
          <w:p w14:paraId="6A20F51F" w14:textId="77777777" w:rsidR="008D1FE6" w:rsidRPr="00A50042" w:rsidRDefault="008D1FE6">
            <w:pPr>
              <w:jc w:val="center"/>
              <w:rPr>
                <w:sz w:val="22"/>
                <w:szCs w:val="22"/>
              </w:rPr>
            </w:pPr>
          </w:p>
        </w:tc>
      </w:tr>
      <w:tr w:rsidR="008D1FE6" w:rsidRPr="00A50042" w14:paraId="7AA18B53" w14:textId="77777777">
        <w:trPr>
          <w:trHeight w:val="349"/>
          <w:jc w:val="center"/>
        </w:trPr>
        <w:tc>
          <w:tcPr>
            <w:tcW w:w="2320" w:type="dxa"/>
            <w:tcBorders>
              <w:top w:val="nil"/>
              <w:left w:val="single" w:sz="8" w:space="0" w:color="auto"/>
              <w:bottom w:val="nil"/>
              <w:right w:val="nil"/>
            </w:tcBorders>
            <w:shd w:val="clear" w:color="auto" w:fill="auto"/>
            <w:noWrap/>
            <w:vAlign w:val="bottom"/>
            <w:hideMark/>
          </w:tcPr>
          <w:p w14:paraId="02D27464" w14:textId="77777777" w:rsidR="008D1FE6" w:rsidRPr="00A50042" w:rsidRDefault="008D1FE6">
            <w:pPr>
              <w:rPr>
                <w:sz w:val="22"/>
                <w:szCs w:val="22"/>
              </w:rPr>
            </w:pPr>
            <w:r w:rsidRPr="00A50042">
              <w:rPr>
                <w:sz w:val="22"/>
                <w:szCs w:val="22"/>
              </w:rPr>
              <w:t>2015</w:t>
            </w:r>
          </w:p>
        </w:tc>
        <w:tc>
          <w:tcPr>
            <w:tcW w:w="1840" w:type="dxa"/>
            <w:tcBorders>
              <w:top w:val="nil"/>
              <w:left w:val="single" w:sz="8" w:space="0" w:color="auto"/>
              <w:bottom w:val="nil"/>
              <w:right w:val="single" w:sz="8" w:space="0" w:color="auto"/>
            </w:tcBorders>
            <w:shd w:val="clear" w:color="auto" w:fill="auto"/>
            <w:noWrap/>
            <w:vAlign w:val="bottom"/>
            <w:hideMark/>
          </w:tcPr>
          <w:p w14:paraId="5EC7C2DE" w14:textId="77777777" w:rsidR="008D1FE6" w:rsidRPr="00A50042" w:rsidRDefault="008D1FE6">
            <w:pPr>
              <w:jc w:val="center"/>
              <w:rPr>
                <w:sz w:val="22"/>
                <w:szCs w:val="22"/>
              </w:rPr>
            </w:pPr>
            <w:r w:rsidRPr="00A50042">
              <w:rPr>
                <w:sz w:val="22"/>
                <w:szCs w:val="22"/>
              </w:rPr>
              <w:t>57,588.1</w:t>
            </w:r>
          </w:p>
        </w:tc>
        <w:tc>
          <w:tcPr>
            <w:tcW w:w="1385" w:type="dxa"/>
            <w:tcBorders>
              <w:top w:val="nil"/>
              <w:left w:val="nil"/>
              <w:bottom w:val="nil"/>
              <w:right w:val="single" w:sz="8" w:space="0" w:color="auto"/>
            </w:tcBorders>
            <w:shd w:val="clear" w:color="auto" w:fill="auto"/>
            <w:noWrap/>
            <w:vAlign w:val="center"/>
            <w:hideMark/>
          </w:tcPr>
          <w:p w14:paraId="308BB4BD" w14:textId="77777777" w:rsidR="008D1FE6" w:rsidRPr="00A50042" w:rsidRDefault="008D1FE6">
            <w:pPr>
              <w:jc w:val="center"/>
              <w:rPr>
                <w:sz w:val="22"/>
                <w:szCs w:val="22"/>
              </w:rPr>
            </w:pPr>
          </w:p>
        </w:tc>
      </w:tr>
      <w:tr w:rsidR="008D1FE6" w:rsidRPr="00A50042" w14:paraId="344B24A1" w14:textId="77777777">
        <w:trPr>
          <w:trHeight w:val="349"/>
          <w:jc w:val="center"/>
        </w:trPr>
        <w:tc>
          <w:tcPr>
            <w:tcW w:w="2320" w:type="dxa"/>
            <w:tcBorders>
              <w:top w:val="nil"/>
              <w:left w:val="single" w:sz="8" w:space="0" w:color="auto"/>
              <w:bottom w:val="nil"/>
              <w:right w:val="nil"/>
            </w:tcBorders>
            <w:shd w:val="clear" w:color="auto" w:fill="auto"/>
            <w:noWrap/>
            <w:vAlign w:val="bottom"/>
            <w:hideMark/>
          </w:tcPr>
          <w:p w14:paraId="226AF919" w14:textId="77777777" w:rsidR="008D1FE6" w:rsidRPr="00A50042" w:rsidRDefault="008D1FE6">
            <w:pPr>
              <w:rPr>
                <w:sz w:val="22"/>
                <w:szCs w:val="22"/>
              </w:rPr>
            </w:pPr>
            <w:r w:rsidRPr="00A50042">
              <w:rPr>
                <w:sz w:val="22"/>
                <w:szCs w:val="22"/>
              </w:rPr>
              <w:t>2016</w:t>
            </w:r>
          </w:p>
        </w:tc>
        <w:tc>
          <w:tcPr>
            <w:tcW w:w="1840" w:type="dxa"/>
            <w:tcBorders>
              <w:top w:val="nil"/>
              <w:left w:val="single" w:sz="8" w:space="0" w:color="auto"/>
              <w:bottom w:val="nil"/>
              <w:right w:val="single" w:sz="8" w:space="0" w:color="auto"/>
            </w:tcBorders>
            <w:shd w:val="clear" w:color="auto" w:fill="auto"/>
            <w:noWrap/>
            <w:vAlign w:val="bottom"/>
            <w:hideMark/>
          </w:tcPr>
          <w:p w14:paraId="7CE2F6FD" w14:textId="77777777" w:rsidR="008D1FE6" w:rsidRPr="00A50042" w:rsidRDefault="008D1FE6">
            <w:pPr>
              <w:jc w:val="center"/>
              <w:rPr>
                <w:sz w:val="22"/>
                <w:szCs w:val="22"/>
              </w:rPr>
            </w:pPr>
            <w:r w:rsidRPr="00A50042">
              <w:rPr>
                <w:sz w:val="22"/>
                <w:szCs w:val="22"/>
              </w:rPr>
              <w:t>55,011.0</w:t>
            </w:r>
          </w:p>
        </w:tc>
        <w:tc>
          <w:tcPr>
            <w:tcW w:w="1385" w:type="dxa"/>
            <w:tcBorders>
              <w:top w:val="nil"/>
              <w:left w:val="nil"/>
              <w:bottom w:val="nil"/>
              <w:right w:val="single" w:sz="8" w:space="0" w:color="auto"/>
            </w:tcBorders>
            <w:shd w:val="clear" w:color="auto" w:fill="auto"/>
            <w:noWrap/>
            <w:vAlign w:val="center"/>
            <w:hideMark/>
          </w:tcPr>
          <w:p w14:paraId="2A2A4FFB" w14:textId="77777777" w:rsidR="008D1FE6" w:rsidRPr="00A50042" w:rsidRDefault="008D1FE6">
            <w:pPr>
              <w:jc w:val="center"/>
              <w:rPr>
                <w:sz w:val="22"/>
                <w:szCs w:val="22"/>
              </w:rPr>
            </w:pPr>
          </w:p>
        </w:tc>
      </w:tr>
      <w:tr w:rsidR="008D1FE6" w:rsidRPr="00A50042" w14:paraId="061D7508" w14:textId="77777777">
        <w:trPr>
          <w:trHeight w:val="349"/>
          <w:jc w:val="center"/>
        </w:trPr>
        <w:tc>
          <w:tcPr>
            <w:tcW w:w="2320" w:type="dxa"/>
            <w:tcBorders>
              <w:top w:val="nil"/>
              <w:left w:val="single" w:sz="8" w:space="0" w:color="auto"/>
              <w:bottom w:val="nil"/>
              <w:right w:val="nil"/>
            </w:tcBorders>
            <w:shd w:val="clear" w:color="auto" w:fill="auto"/>
            <w:noWrap/>
            <w:vAlign w:val="bottom"/>
            <w:hideMark/>
          </w:tcPr>
          <w:p w14:paraId="41C9032A" w14:textId="77777777" w:rsidR="008D1FE6" w:rsidRPr="00A50042" w:rsidRDefault="008D1FE6">
            <w:pPr>
              <w:rPr>
                <w:sz w:val="22"/>
                <w:szCs w:val="22"/>
              </w:rPr>
            </w:pPr>
            <w:r w:rsidRPr="00A50042">
              <w:rPr>
                <w:sz w:val="22"/>
                <w:szCs w:val="22"/>
              </w:rPr>
              <w:t>2017</w:t>
            </w:r>
          </w:p>
        </w:tc>
        <w:tc>
          <w:tcPr>
            <w:tcW w:w="1840" w:type="dxa"/>
            <w:tcBorders>
              <w:top w:val="nil"/>
              <w:left w:val="single" w:sz="8" w:space="0" w:color="auto"/>
              <w:bottom w:val="nil"/>
              <w:right w:val="single" w:sz="8" w:space="0" w:color="auto"/>
            </w:tcBorders>
            <w:shd w:val="clear" w:color="auto" w:fill="auto"/>
            <w:noWrap/>
            <w:vAlign w:val="bottom"/>
            <w:hideMark/>
          </w:tcPr>
          <w:p w14:paraId="578B3175" w14:textId="77777777" w:rsidR="008D1FE6" w:rsidRPr="00A50042" w:rsidRDefault="008D1FE6">
            <w:pPr>
              <w:jc w:val="center"/>
              <w:rPr>
                <w:sz w:val="22"/>
                <w:szCs w:val="22"/>
              </w:rPr>
            </w:pPr>
            <w:r w:rsidRPr="00A50042">
              <w:rPr>
                <w:sz w:val="22"/>
                <w:szCs w:val="22"/>
              </w:rPr>
              <w:t>96,023.6</w:t>
            </w:r>
          </w:p>
        </w:tc>
        <w:tc>
          <w:tcPr>
            <w:tcW w:w="1385" w:type="dxa"/>
            <w:tcBorders>
              <w:top w:val="nil"/>
              <w:left w:val="nil"/>
              <w:bottom w:val="nil"/>
              <w:right w:val="single" w:sz="8" w:space="0" w:color="auto"/>
            </w:tcBorders>
            <w:shd w:val="clear" w:color="auto" w:fill="auto"/>
            <w:noWrap/>
            <w:vAlign w:val="center"/>
            <w:hideMark/>
          </w:tcPr>
          <w:p w14:paraId="11F52F1F" w14:textId="77777777" w:rsidR="008D1FE6" w:rsidRPr="00A50042" w:rsidRDefault="008D1FE6">
            <w:pPr>
              <w:jc w:val="center"/>
              <w:rPr>
                <w:sz w:val="22"/>
                <w:szCs w:val="22"/>
              </w:rPr>
            </w:pPr>
          </w:p>
        </w:tc>
      </w:tr>
      <w:tr w:rsidR="008D1FE6" w:rsidRPr="00A50042" w14:paraId="38BAA0C1" w14:textId="77777777">
        <w:trPr>
          <w:trHeight w:val="349"/>
          <w:jc w:val="center"/>
        </w:trPr>
        <w:tc>
          <w:tcPr>
            <w:tcW w:w="2320" w:type="dxa"/>
            <w:tcBorders>
              <w:top w:val="nil"/>
              <w:left w:val="single" w:sz="8" w:space="0" w:color="auto"/>
              <w:right w:val="nil"/>
            </w:tcBorders>
            <w:shd w:val="clear" w:color="auto" w:fill="auto"/>
            <w:noWrap/>
            <w:vAlign w:val="bottom"/>
            <w:hideMark/>
          </w:tcPr>
          <w:p w14:paraId="331F734C" w14:textId="77777777" w:rsidR="008D1FE6" w:rsidRPr="00A50042" w:rsidRDefault="008D1FE6">
            <w:pPr>
              <w:rPr>
                <w:sz w:val="22"/>
                <w:szCs w:val="22"/>
              </w:rPr>
            </w:pPr>
            <w:r w:rsidRPr="00A50042">
              <w:rPr>
                <w:sz w:val="22"/>
                <w:szCs w:val="22"/>
              </w:rPr>
              <w:t>2018</w:t>
            </w:r>
          </w:p>
        </w:tc>
        <w:tc>
          <w:tcPr>
            <w:tcW w:w="1840" w:type="dxa"/>
            <w:tcBorders>
              <w:top w:val="nil"/>
              <w:left w:val="single" w:sz="8" w:space="0" w:color="auto"/>
              <w:right w:val="single" w:sz="8" w:space="0" w:color="auto"/>
            </w:tcBorders>
            <w:shd w:val="clear" w:color="auto" w:fill="auto"/>
            <w:noWrap/>
            <w:vAlign w:val="bottom"/>
            <w:hideMark/>
          </w:tcPr>
          <w:p w14:paraId="5896F7B6" w14:textId="77777777" w:rsidR="008D1FE6" w:rsidRPr="00A50042" w:rsidRDefault="008D1FE6">
            <w:pPr>
              <w:jc w:val="center"/>
              <w:rPr>
                <w:sz w:val="22"/>
                <w:szCs w:val="22"/>
              </w:rPr>
            </w:pPr>
            <w:r w:rsidRPr="00A50042">
              <w:rPr>
                <w:sz w:val="22"/>
                <w:szCs w:val="22"/>
              </w:rPr>
              <w:t>45,155.0</w:t>
            </w:r>
          </w:p>
        </w:tc>
        <w:tc>
          <w:tcPr>
            <w:tcW w:w="1385" w:type="dxa"/>
            <w:tcBorders>
              <w:top w:val="nil"/>
              <w:left w:val="nil"/>
              <w:right w:val="single" w:sz="8" w:space="0" w:color="auto"/>
            </w:tcBorders>
            <w:shd w:val="clear" w:color="auto" w:fill="auto"/>
            <w:noWrap/>
            <w:vAlign w:val="bottom"/>
            <w:hideMark/>
          </w:tcPr>
          <w:p w14:paraId="32A9D770" w14:textId="77777777" w:rsidR="008D1FE6" w:rsidRPr="00A50042" w:rsidRDefault="008D1FE6">
            <w:pPr>
              <w:jc w:val="center"/>
              <w:rPr>
                <w:sz w:val="22"/>
                <w:szCs w:val="22"/>
              </w:rPr>
            </w:pPr>
            <w:r w:rsidRPr="00A50042">
              <w:rPr>
                <w:sz w:val="22"/>
                <w:szCs w:val="22"/>
              </w:rPr>
              <w:t>153,000.0</w:t>
            </w:r>
          </w:p>
        </w:tc>
      </w:tr>
      <w:tr w:rsidR="008D1FE6" w:rsidRPr="00A50042" w14:paraId="3E274D38" w14:textId="77777777">
        <w:trPr>
          <w:trHeight w:val="349"/>
          <w:jc w:val="center"/>
        </w:trPr>
        <w:tc>
          <w:tcPr>
            <w:tcW w:w="2320" w:type="dxa"/>
            <w:tcBorders>
              <w:top w:val="nil"/>
              <w:left w:val="single" w:sz="8" w:space="0" w:color="auto"/>
              <w:right w:val="single" w:sz="8" w:space="0" w:color="auto"/>
            </w:tcBorders>
            <w:shd w:val="clear" w:color="auto" w:fill="auto"/>
            <w:noWrap/>
            <w:vAlign w:val="bottom"/>
          </w:tcPr>
          <w:p w14:paraId="6AB5E760" w14:textId="77777777" w:rsidR="008D1FE6" w:rsidRPr="00A50042" w:rsidRDefault="008D1FE6" w:rsidP="001F3C0A">
            <w:pPr>
              <w:spacing w:line="276" w:lineRule="auto"/>
              <w:rPr>
                <w:sz w:val="22"/>
                <w:szCs w:val="22"/>
              </w:rPr>
            </w:pPr>
            <w:r w:rsidRPr="00A50042">
              <w:rPr>
                <w:sz w:val="22"/>
                <w:szCs w:val="22"/>
              </w:rPr>
              <w:t>2019</w:t>
            </w:r>
          </w:p>
        </w:tc>
        <w:tc>
          <w:tcPr>
            <w:tcW w:w="1840" w:type="dxa"/>
            <w:tcBorders>
              <w:top w:val="nil"/>
              <w:left w:val="single" w:sz="8" w:space="0" w:color="auto"/>
              <w:right w:val="single" w:sz="8" w:space="0" w:color="auto"/>
            </w:tcBorders>
            <w:shd w:val="clear" w:color="auto" w:fill="auto"/>
            <w:noWrap/>
            <w:vAlign w:val="bottom"/>
          </w:tcPr>
          <w:p w14:paraId="5F7A30DB" w14:textId="77777777" w:rsidR="008D1FE6" w:rsidRPr="00A50042" w:rsidRDefault="008D1FE6" w:rsidP="001F3C0A">
            <w:pPr>
              <w:spacing w:line="276" w:lineRule="auto"/>
              <w:jc w:val="center"/>
              <w:rPr>
                <w:sz w:val="22"/>
                <w:szCs w:val="22"/>
              </w:rPr>
            </w:pPr>
            <w:r w:rsidRPr="00A50042">
              <w:rPr>
                <w:sz w:val="22"/>
                <w:szCs w:val="22"/>
              </w:rPr>
              <w:t>31,425.0</w:t>
            </w:r>
          </w:p>
        </w:tc>
        <w:tc>
          <w:tcPr>
            <w:tcW w:w="1385" w:type="dxa"/>
            <w:tcBorders>
              <w:top w:val="nil"/>
              <w:left w:val="nil"/>
              <w:right w:val="single" w:sz="8" w:space="0" w:color="auto"/>
            </w:tcBorders>
            <w:shd w:val="clear" w:color="auto" w:fill="auto"/>
            <w:noWrap/>
            <w:vAlign w:val="bottom"/>
          </w:tcPr>
          <w:p w14:paraId="6DB1195F" w14:textId="77777777" w:rsidR="008D1FE6" w:rsidRPr="00A50042" w:rsidRDefault="008D1FE6">
            <w:pPr>
              <w:jc w:val="center"/>
              <w:rPr>
                <w:b/>
                <w:bCs/>
                <w:i/>
                <w:iCs/>
                <w:sz w:val="22"/>
                <w:szCs w:val="22"/>
              </w:rPr>
            </w:pPr>
          </w:p>
        </w:tc>
      </w:tr>
      <w:tr w:rsidR="008D1FE6" w:rsidRPr="00A50042" w14:paraId="60487C29" w14:textId="77777777">
        <w:trPr>
          <w:trHeight w:val="349"/>
          <w:jc w:val="center"/>
        </w:trPr>
        <w:tc>
          <w:tcPr>
            <w:tcW w:w="2320" w:type="dxa"/>
            <w:tcBorders>
              <w:top w:val="nil"/>
              <w:left w:val="single" w:sz="8" w:space="0" w:color="auto"/>
              <w:bottom w:val="single" w:sz="8" w:space="0" w:color="auto"/>
              <w:right w:val="single" w:sz="8" w:space="0" w:color="auto"/>
            </w:tcBorders>
            <w:shd w:val="clear" w:color="auto" w:fill="auto"/>
            <w:noWrap/>
            <w:vAlign w:val="bottom"/>
          </w:tcPr>
          <w:p w14:paraId="7682B618" w14:textId="77777777" w:rsidR="008D1FE6" w:rsidRPr="00A50042" w:rsidRDefault="008D1FE6" w:rsidP="001F3C0A">
            <w:pPr>
              <w:spacing w:line="276" w:lineRule="auto"/>
              <w:rPr>
                <w:sz w:val="22"/>
                <w:szCs w:val="22"/>
              </w:rPr>
            </w:pPr>
            <w:r w:rsidRPr="00A50042">
              <w:rPr>
                <w:sz w:val="22"/>
                <w:szCs w:val="22"/>
              </w:rPr>
              <w:t xml:space="preserve">2020 </w:t>
            </w:r>
          </w:p>
          <w:p w14:paraId="0D58D70F" w14:textId="77777777" w:rsidR="008D1FE6" w:rsidRDefault="008D1FE6" w:rsidP="001F3C0A">
            <w:pPr>
              <w:spacing w:line="276" w:lineRule="auto"/>
              <w:rPr>
                <w:sz w:val="22"/>
                <w:szCs w:val="22"/>
              </w:rPr>
            </w:pPr>
            <w:r w:rsidRPr="00A50042">
              <w:rPr>
                <w:sz w:val="22"/>
                <w:szCs w:val="22"/>
              </w:rPr>
              <w:t>2021</w:t>
            </w:r>
          </w:p>
          <w:p w14:paraId="377A623E" w14:textId="77777777" w:rsidR="00FC226A" w:rsidRDefault="00FC226A" w:rsidP="001F3C0A">
            <w:pPr>
              <w:spacing w:line="276" w:lineRule="auto"/>
              <w:rPr>
                <w:sz w:val="22"/>
                <w:szCs w:val="22"/>
              </w:rPr>
            </w:pPr>
            <w:r>
              <w:rPr>
                <w:sz w:val="22"/>
                <w:szCs w:val="22"/>
              </w:rPr>
              <w:t>2022</w:t>
            </w:r>
          </w:p>
          <w:p w14:paraId="04CA32FE" w14:textId="0B33D865" w:rsidR="006D2ADE" w:rsidRPr="00A50042" w:rsidRDefault="006D2ADE" w:rsidP="001F3C0A">
            <w:pPr>
              <w:spacing w:line="276" w:lineRule="auto"/>
              <w:rPr>
                <w:sz w:val="22"/>
                <w:szCs w:val="22"/>
              </w:rPr>
            </w:pPr>
            <w:r>
              <w:rPr>
                <w:sz w:val="22"/>
                <w:szCs w:val="22"/>
              </w:rPr>
              <w:t>2023</w:t>
            </w:r>
          </w:p>
        </w:tc>
        <w:tc>
          <w:tcPr>
            <w:tcW w:w="1840" w:type="dxa"/>
            <w:tcBorders>
              <w:top w:val="nil"/>
              <w:left w:val="single" w:sz="8" w:space="0" w:color="auto"/>
              <w:bottom w:val="single" w:sz="8" w:space="0" w:color="auto"/>
              <w:right w:val="single" w:sz="8" w:space="0" w:color="auto"/>
            </w:tcBorders>
            <w:shd w:val="clear" w:color="auto" w:fill="auto"/>
            <w:noWrap/>
            <w:vAlign w:val="bottom"/>
          </w:tcPr>
          <w:p w14:paraId="00AB11A7" w14:textId="77777777" w:rsidR="008D1FE6" w:rsidRPr="00A50042" w:rsidRDefault="008D1FE6" w:rsidP="001F3C0A">
            <w:pPr>
              <w:spacing w:line="276" w:lineRule="auto"/>
              <w:jc w:val="center"/>
              <w:rPr>
                <w:bCs/>
                <w:iCs/>
                <w:sz w:val="22"/>
                <w:szCs w:val="22"/>
              </w:rPr>
            </w:pPr>
            <w:r w:rsidRPr="00A50042">
              <w:rPr>
                <w:bCs/>
                <w:iCs/>
                <w:sz w:val="22"/>
                <w:szCs w:val="22"/>
              </w:rPr>
              <w:t>41,292.5</w:t>
            </w:r>
          </w:p>
          <w:p w14:paraId="5EBB5CCA" w14:textId="77777777" w:rsidR="008D1FE6" w:rsidRDefault="008D1FE6" w:rsidP="001F3C0A">
            <w:pPr>
              <w:spacing w:line="276" w:lineRule="auto"/>
              <w:jc w:val="center"/>
              <w:rPr>
                <w:bCs/>
                <w:iCs/>
                <w:sz w:val="22"/>
                <w:szCs w:val="22"/>
              </w:rPr>
            </w:pPr>
            <w:r w:rsidRPr="00A50042">
              <w:rPr>
                <w:bCs/>
                <w:iCs/>
                <w:sz w:val="22"/>
                <w:szCs w:val="22"/>
              </w:rPr>
              <w:t>34,205.5</w:t>
            </w:r>
          </w:p>
          <w:p w14:paraId="536233CA" w14:textId="77777777" w:rsidR="006E47F7" w:rsidRDefault="006E47F7" w:rsidP="001F3C0A">
            <w:pPr>
              <w:spacing w:line="276" w:lineRule="auto"/>
              <w:jc w:val="center"/>
              <w:rPr>
                <w:bCs/>
                <w:iCs/>
                <w:sz w:val="22"/>
                <w:szCs w:val="22"/>
              </w:rPr>
            </w:pPr>
            <w:r>
              <w:rPr>
                <w:bCs/>
                <w:iCs/>
                <w:sz w:val="22"/>
                <w:szCs w:val="22"/>
              </w:rPr>
              <w:t>52,285.9</w:t>
            </w:r>
          </w:p>
          <w:p w14:paraId="5C12DEFD" w14:textId="2011FF42" w:rsidR="006D2ADE" w:rsidRPr="00A50042" w:rsidRDefault="006D2ADE" w:rsidP="001F3C0A">
            <w:pPr>
              <w:spacing w:line="276" w:lineRule="auto"/>
              <w:jc w:val="center"/>
              <w:rPr>
                <w:bCs/>
                <w:iCs/>
                <w:sz w:val="22"/>
                <w:szCs w:val="22"/>
              </w:rPr>
            </w:pPr>
            <w:r>
              <w:rPr>
                <w:bCs/>
                <w:iCs/>
                <w:sz w:val="22"/>
                <w:szCs w:val="22"/>
              </w:rPr>
              <w:t>119,980.0</w:t>
            </w:r>
          </w:p>
        </w:tc>
        <w:tc>
          <w:tcPr>
            <w:tcW w:w="1385" w:type="dxa"/>
            <w:tcBorders>
              <w:top w:val="nil"/>
              <w:left w:val="nil"/>
              <w:bottom w:val="single" w:sz="8" w:space="0" w:color="auto"/>
              <w:right w:val="single" w:sz="8" w:space="0" w:color="auto"/>
            </w:tcBorders>
            <w:shd w:val="clear" w:color="auto" w:fill="auto"/>
            <w:noWrap/>
            <w:vAlign w:val="bottom"/>
          </w:tcPr>
          <w:p w14:paraId="33340F16" w14:textId="77777777" w:rsidR="008D1FE6" w:rsidRDefault="008D1FE6">
            <w:pPr>
              <w:jc w:val="center"/>
              <w:rPr>
                <w:b/>
                <w:bCs/>
                <w:i/>
                <w:iCs/>
                <w:sz w:val="22"/>
                <w:szCs w:val="22"/>
              </w:rPr>
            </w:pPr>
          </w:p>
          <w:p w14:paraId="5B0169E6" w14:textId="3D7C631B" w:rsidR="006D2ADE" w:rsidRPr="00A50042" w:rsidRDefault="006D2ADE">
            <w:pPr>
              <w:jc w:val="center"/>
              <w:rPr>
                <w:b/>
                <w:bCs/>
                <w:i/>
                <w:iCs/>
                <w:sz w:val="22"/>
                <w:szCs w:val="22"/>
              </w:rPr>
            </w:pPr>
          </w:p>
        </w:tc>
      </w:tr>
      <w:tr w:rsidR="008D1FE6" w:rsidRPr="00A50042" w14:paraId="58A06191" w14:textId="77777777">
        <w:trPr>
          <w:trHeight w:val="349"/>
          <w:jc w:val="center"/>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14:paraId="57D02867" w14:textId="77777777" w:rsidR="008D1FE6" w:rsidRPr="00A50042" w:rsidRDefault="008D1FE6">
            <w:pPr>
              <w:rPr>
                <w:b/>
                <w:bCs/>
                <w:i/>
                <w:iCs/>
                <w:sz w:val="22"/>
                <w:szCs w:val="22"/>
              </w:rPr>
            </w:pPr>
            <w:r w:rsidRPr="00A50042">
              <w:rPr>
                <w:b/>
                <w:bCs/>
                <w:i/>
                <w:iCs/>
                <w:sz w:val="22"/>
                <w:szCs w:val="22"/>
              </w:rPr>
              <w:t>Total contributions</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67AAECC1" w14:textId="204B7518" w:rsidR="008D1FE6" w:rsidRPr="00A50042" w:rsidRDefault="006D2ADE">
            <w:pPr>
              <w:jc w:val="center"/>
              <w:rPr>
                <w:b/>
                <w:bCs/>
                <w:i/>
                <w:iCs/>
                <w:sz w:val="22"/>
                <w:szCs w:val="22"/>
                <w:highlight w:val="yellow"/>
              </w:rPr>
            </w:pPr>
            <w:r>
              <w:rPr>
                <w:b/>
                <w:bCs/>
                <w:i/>
                <w:iCs/>
                <w:sz w:val="22"/>
                <w:szCs w:val="22"/>
              </w:rPr>
              <w:t>77</w:t>
            </w:r>
            <w:r w:rsidR="006C214F">
              <w:rPr>
                <w:b/>
                <w:bCs/>
                <w:i/>
                <w:iCs/>
                <w:sz w:val="22"/>
                <w:szCs w:val="22"/>
              </w:rPr>
              <w:t>3,1</w:t>
            </w:r>
            <w:r>
              <w:rPr>
                <w:b/>
                <w:bCs/>
                <w:i/>
                <w:iCs/>
                <w:sz w:val="22"/>
                <w:szCs w:val="22"/>
              </w:rPr>
              <w:t>1</w:t>
            </w:r>
            <w:r w:rsidR="006C214F">
              <w:rPr>
                <w:b/>
                <w:bCs/>
                <w:i/>
                <w:iCs/>
                <w:sz w:val="22"/>
                <w:szCs w:val="22"/>
              </w:rPr>
              <w:t>2</w:t>
            </w:r>
          </w:p>
        </w:tc>
        <w:tc>
          <w:tcPr>
            <w:tcW w:w="1385" w:type="dxa"/>
            <w:tcBorders>
              <w:top w:val="nil"/>
              <w:left w:val="nil"/>
              <w:bottom w:val="single" w:sz="8" w:space="0" w:color="auto"/>
              <w:right w:val="single" w:sz="8" w:space="0" w:color="auto"/>
            </w:tcBorders>
            <w:shd w:val="clear" w:color="auto" w:fill="auto"/>
            <w:noWrap/>
            <w:vAlign w:val="bottom"/>
            <w:hideMark/>
          </w:tcPr>
          <w:p w14:paraId="23499330" w14:textId="77777777" w:rsidR="008D1FE6" w:rsidRPr="00A50042" w:rsidRDefault="008D1FE6">
            <w:pPr>
              <w:jc w:val="center"/>
              <w:rPr>
                <w:b/>
                <w:bCs/>
                <w:i/>
                <w:iCs/>
                <w:sz w:val="22"/>
                <w:szCs w:val="22"/>
              </w:rPr>
            </w:pPr>
            <w:r w:rsidRPr="00A50042">
              <w:rPr>
                <w:b/>
                <w:bCs/>
                <w:i/>
                <w:iCs/>
                <w:sz w:val="22"/>
                <w:szCs w:val="22"/>
              </w:rPr>
              <w:t>353,000.0</w:t>
            </w:r>
          </w:p>
        </w:tc>
      </w:tr>
    </w:tbl>
    <w:p w14:paraId="4B311D0F" w14:textId="77777777" w:rsidR="00E26DFA" w:rsidRDefault="00E26DFA" w:rsidP="00245541">
      <w:pPr>
        <w:spacing w:line="250" w:lineRule="exact"/>
        <w:rPr>
          <w:b/>
          <w:sz w:val="22"/>
          <w:szCs w:val="22"/>
          <w:lang w:val="en-US"/>
        </w:rPr>
      </w:pPr>
    </w:p>
    <w:p w14:paraId="0EDE4EDF" w14:textId="77777777" w:rsidR="00DC0F89" w:rsidRDefault="00DC0F89">
      <w:pPr>
        <w:rPr>
          <w:b/>
          <w:sz w:val="22"/>
          <w:szCs w:val="22"/>
          <w:lang w:val="en-US"/>
        </w:rPr>
      </w:pPr>
      <w:r>
        <w:rPr>
          <w:b/>
          <w:sz w:val="22"/>
          <w:szCs w:val="22"/>
          <w:lang w:val="en-US"/>
        </w:rPr>
        <w:br w:type="page"/>
      </w:r>
    </w:p>
    <w:p w14:paraId="5EC60F30" w14:textId="575FBCE4" w:rsidR="00717544" w:rsidRPr="00A50042" w:rsidRDefault="00717544" w:rsidP="00717544">
      <w:pPr>
        <w:spacing w:line="250" w:lineRule="exact"/>
        <w:jc w:val="center"/>
        <w:rPr>
          <w:b/>
          <w:sz w:val="22"/>
          <w:szCs w:val="22"/>
          <w:lang w:val="en-US"/>
        </w:rPr>
      </w:pPr>
      <w:r w:rsidRPr="00A50042">
        <w:rPr>
          <w:b/>
          <w:sz w:val="22"/>
          <w:szCs w:val="22"/>
          <w:lang w:val="en-US"/>
        </w:rPr>
        <w:lastRenderedPageBreak/>
        <w:t>Graph No. 1</w:t>
      </w:r>
    </w:p>
    <w:p w14:paraId="6F4191C1" w14:textId="77777777" w:rsidR="00717544" w:rsidRDefault="00717544" w:rsidP="00717544">
      <w:pPr>
        <w:spacing w:line="250" w:lineRule="exact"/>
        <w:jc w:val="center"/>
        <w:rPr>
          <w:b/>
          <w:bCs/>
          <w:sz w:val="22"/>
          <w:szCs w:val="22"/>
          <w:lang w:val="en-US"/>
        </w:rPr>
      </w:pPr>
      <w:r w:rsidRPr="00A50042">
        <w:rPr>
          <w:b/>
          <w:bCs/>
          <w:sz w:val="22"/>
          <w:szCs w:val="22"/>
          <w:lang w:val="en-US"/>
        </w:rPr>
        <w:t>Contributions received by year to the Voluntary Contribution Fund</w:t>
      </w:r>
    </w:p>
    <w:p w14:paraId="4BEDCD89" w14:textId="28AD8A60" w:rsidR="00717544" w:rsidRPr="00A50042" w:rsidRDefault="002D5AE6" w:rsidP="2516C29D">
      <w:pPr>
        <w:spacing w:line="250" w:lineRule="exact"/>
        <w:jc w:val="center"/>
        <w:rPr>
          <w:i/>
          <w:sz w:val="22"/>
          <w:szCs w:val="22"/>
          <w:lang w:val="en-US"/>
        </w:rPr>
      </w:pPr>
      <w:r w:rsidRPr="002D5AE6">
        <w:rPr>
          <w:i/>
          <w:iCs/>
          <w:sz w:val="22"/>
          <w:szCs w:val="22"/>
          <w:lang w:val="en-US"/>
        </w:rPr>
        <w:t>(In US dollars)</w:t>
      </w:r>
    </w:p>
    <w:p w14:paraId="53632D5D" w14:textId="5699FF61" w:rsidR="00717544" w:rsidRPr="00A50042" w:rsidRDefault="006D2ADE">
      <w:pPr>
        <w:rPr>
          <w:sz w:val="22"/>
          <w:szCs w:val="22"/>
          <w:lang w:val="en-US"/>
        </w:rPr>
      </w:pPr>
      <w:r>
        <w:rPr>
          <w:noProof/>
          <w:sz w:val="22"/>
          <w:szCs w:val="22"/>
          <w:lang w:val="es-419"/>
        </w:rPr>
        <w:drawing>
          <wp:anchor distT="0" distB="0" distL="114300" distR="114300" simplePos="0" relativeHeight="251664386" behindDoc="0" locked="0" layoutInCell="1" allowOverlap="1" wp14:anchorId="1E69ABA3" wp14:editId="4F8CD891">
            <wp:simplePos x="0" y="0"/>
            <wp:positionH relativeFrom="column">
              <wp:posOffset>751438</wp:posOffset>
            </wp:positionH>
            <wp:positionV relativeFrom="paragraph">
              <wp:posOffset>30964</wp:posOffset>
            </wp:positionV>
            <wp:extent cx="3871209" cy="31145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1209" cy="3114571"/>
                    </a:xfrm>
                    <a:prstGeom prst="rect">
                      <a:avLst/>
                    </a:prstGeom>
                    <a:noFill/>
                  </pic:spPr>
                </pic:pic>
              </a:graphicData>
            </a:graphic>
          </wp:anchor>
        </w:drawing>
      </w:r>
    </w:p>
    <w:p w14:paraId="34F20196" w14:textId="62547384" w:rsidR="00717544" w:rsidRPr="00A50042" w:rsidRDefault="00717544">
      <w:pPr>
        <w:rPr>
          <w:sz w:val="22"/>
          <w:szCs w:val="22"/>
          <w:lang w:val="en-US"/>
        </w:rPr>
      </w:pPr>
    </w:p>
    <w:p w14:paraId="30A2A180" w14:textId="1A5F5704" w:rsidR="00717544" w:rsidRPr="007D1192" w:rsidRDefault="00717544" w:rsidP="00323E98">
      <w:pPr>
        <w:jc w:val="center"/>
        <w:rPr>
          <w:lang w:val="en-US"/>
        </w:rPr>
      </w:pPr>
    </w:p>
    <w:p w14:paraId="11A6FE83" w14:textId="77777777" w:rsidR="00DC0F89" w:rsidRDefault="00DC0F89" w:rsidP="00DC0F89">
      <w:pPr>
        <w:rPr>
          <w:sz w:val="22"/>
          <w:szCs w:val="22"/>
          <w:lang w:val="en-US"/>
        </w:rPr>
      </w:pPr>
    </w:p>
    <w:p w14:paraId="798FD484" w14:textId="77777777" w:rsidR="006D2ADE" w:rsidRDefault="006D2ADE" w:rsidP="00DC0F89">
      <w:pPr>
        <w:rPr>
          <w:sz w:val="22"/>
          <w:szCs w:val="22"/>
          <w:lang w:val="en-US"/>
        </w:rPr>
      </w:pPr>
    </w:p>
    <w:p w14:paraId="047A3F33" w14:textId="77777777" w:rsidR="006D2ADE" w:rsidRDefault="006D2ADE" w:rsidP="00DC0F89">
      <w:pPr>
        <w:rPr>
          <w:sz w:val="22"/>
          <w:szCs w:val="22"/>
          <w:lang w:val="en-US"/>
        </w:rPr>
      </w:pPr>
    </w:p>
    <w:p w14:paraId="3916E888" w14:textId="77777777" w:rsidR="006D2ADE" w:rsidRDefault="006D2ADE" w:rsidP="00DC0F89">
      <w:pPr>
        <w:rPr>
          <w:sz w:val="22"/>
          <w:szCs w:val="22"/>
          <w:lang w:val="en-US"/>
        </w:rPr>
      </w:pPr>
    </w:p>
    <w:p w14:paraId="3818061B" w14:textId="77777777" w:rsidR="006D2ADE" w:rsidRDefault="006D2ADE" w:rsidP="00DC0F89">
      <w:pPr>
        <w:rPr>
          <w:sz w:val="22"/>
          <w:szCs w:val="22"/>
          <w:lang w:val="en-US"/>
        </w:rPr>
      </w:pPr>
    </w:p>
    <w:p w14:paraId="302AA02A" w14:textId="77777777" w:rsidR="006D2ADE" w:rsidRDefault="006D2ADE" w:rsidP="00DC0F89">
      <w:pPr>
        <w:rPr>
          <w:sz w:val="22"/>
          <w:szCs w:val="22"/>
          <w:lang w:val="en-US"/>
        </w:rPr>
      </w:pPr>
    </w:p>
    <w:p w14:paraId="6F716067" w14:textId="77777777" w:rsidR="006D2ADE" w:rsidRDefault="006D2ADE" w:rsidP="00DC0F89">
      <w:pPr>
        <w:rPr>
          <w:sz w:val="22"/>
          <w:szCs w:val="22"/>
          <w:lang w:val="en-US"/>
        </w:rPr>
      </w:pPr>
    </w:p>
    <w:p w14:paraId="7DACBCFA" w14:textId="77777777" w:rsidR="006D2ADE" w:rsidRDefault="006D2ADE" w:rsidP="00DC0F89">
      <w:pPr>
        <w:rPr>
          <w:sz w:val="22"/>
          <w:szCs w:val="22"/>
          <w:lang w:val="en-US"/>
        </w:rPr>
      </w:pPr>
    </w:p>
    <w:p w14:paraId="6E64F25C" w14:textId="77777777" w:rsidR="006D2ADE" w:rsidRDefault="006D2ADE" w:rsidP="00DC0F89">
      <w:pPr>
        <w:rPr>
          <w:sz w:val="22"/>
          <w:szCs w:val="22"/>
          <w:lang w:val="en-US"/>
        </w:rPr>
      </w:pPr>
    </w:p>
    <w:p w14:paraId="2D5A4D0D" w14:textId="77777777" w:rsidR="006D2ADE" w:rsidRDefault="006D2ADE" w:rsidP="00DC0F89">
      <w:pPr>
        <w:rPr>
          <w:sz w:val="22"/>
          <w:szCs w:val="22"/>
          <w:lang w:val="en-US"/>
        </w:rPr>
      </w:pPr>
    </w:p>
    <w:p w14:paraId="5A5C2490" w14:textId="77777777" w:rsidR="006D2ADE" w:rsidRDefault="006D2ADE" w:rsidP="00DC0F89">
      <w:pPr>
        <w:rPr>
          <w:sz w:val="22"/>
          <w:szCs w:val="22"/>
          <w:lang w:val="en-US"/>
        </w:rPr>
      </w:pPr>
    </w:p>
    <w:p w14:paraId="696191FE" w14:textId="77777777" w:rsidR="006D2ADE" w:rsidRDefault="006D2ADE" w:rsidP="00DC0F89">
      <w:pPr>
        <w:rPr>
          <w:sz w:val="22"/>
          <w:szCs w:val="22"/>
          <w:lang w:val="en-US"/>
        </w:rPr>
      </w:pPr>
    </w:p>
    <w:p w14:paraId="00E57A59" w14:textId="77777777" w:rsidR="006D2ADE" w:rsidRDefault="006D2ADE" w:rsidP="00DC0F89">
      <w:pPr>
        <w:rPr>
          <w:sz w:val="22"/>
          <w:szCs w:val="22"/>
          <w:lang w:val="en-US"/>
        </w:rPr>
      </w:pPr>
    </w:p>
    <w:p w14:paraId="76022832" w14:textId="77777777" w:rsidR="006D2ADE" w:rsidRDefault="006D2ADE" w:rsidP="00DC0F89">
      <w:pPr>
        <w:rPr>
          <w:sz w:val="22"/>
          <w:szCs w:val="22"/>
          <w:lang w:val="en-US"/>
        </w:rPr>
      </w:pPr>
    </w:p>
    <w:p w14:paraId="14C1C728" w14:textId="77777777" w:rsidR="006D2ADE" w:rsidRDefault="006D2ADE" w:rsidP="00DC0F89">
      <w:pPr>
        <w:rPr>
          <w:sz w:val="22"/>
          <w:szCs w:val="22"/>
          <w:lang w:val="en-US"/>
        </w:rPr>
      </w:pPr>
    </w:p>
    <w:p w14:paraId="0BE3EC72" w14:textId="77777777" w:rsidR="006D2ADE" w:rsidRDefault="006D2ADE" w:rsidP="00DC0F89">
      <w:pPr>
        <w:rPr>
          <w:sz w:val="22"/>
          <w:szCs w:val="22"/>
          <w:lang w:val="en-US"/>
        </w:rPr>
      </w:pPr>
    </w:p>
    <w:p w14:paraId="10E684BC" w14:textId="77777777" w:rsidR="006D2ADE" w:rsidRDefault="006D2ADE" w:rsidP="00DC0F89">
      <w:pPr>
        <w:rPr>
          <w:sz w:val="22"/>
          <w:szCs w:val="22"/>
          <w:lang w:val="en-US"/>
        </w:rPr>
      </w:pPr>
    </w:p>
    <w:p w14:paraId="7BC87680" w14:textId="77777777" w:rsidR="006D2ADE" w:rsidRDefault="006D2ADE" w:rsidP="00DC0F89">
      <w:pPr>
        <w:rPr>
          <w:sz w:val="22"/>
          <w:szCs w:val="22"/>
          <w:lang w:val="en-US"/>
        </w:rPr>
      </w:pPr>
    </w:p>
    <w:p w14:paraId="517A33A6" w14:textId="09E78EFE" w:rsidR="005D6489" w:rsidRDefault="005D6489" w:rsidP="00DC0F89">
      <w:pPr>
        <w:rPr>
          <w:sz w:val="22"/>
          <w:szCs w:val="22"/>
          <w:lang w:val="en-US"/>
        </w:rPr>
      </w:pPr>
      <w:r w:rsidRPr="00A50042">
        <w:rPr>
          <w:sz w:val="22"/>
          <w:szCs w:val="22"/>
          <w:lang w:val="en-US"/>
        </w:rPr>
        <w:t xml:space="preserve">In-kind or financial contributions which have not entered the OAS accounting –valued </w:t>
      </w:r>
      <w:r w:rsidR="00EB6481" w:rsidRPr="00A50042">
        <w:rPr>
          <w:sz w:val="22"/>
          <w:szCs w:val="22"/>
          <w:lang w:val="en-US"/>
        </w:rPr>
        <w:t>at</w:t>
      </w:r>
      <w:r w:rsidRPr="00A50042">
        <w:rPr>
          <w:sz w:val="22"/>
          <w:szCs w:val="22"/>
          <w:lang w:val="en-US"/>
        </w:rPr>
        <w:t xml:space="preserve"> </w:t>
      </w:r>
      <w:r w:rsidRPr="004B2C9C">
        <w:rPr>
          <w:b/>
          <w:bCs/>
          <w:sz w:val="22"/>
          <w:szCs w:val="22"/>
          <w:lang w:val="en-US"/>
        </w:rPr>
        <w:t>$</w:t>
      </w:r>
      <w:r w:rsidR="00B07D36">
        <w:rPr>
          <w:b/>
          <w:bCs/>
          <w:sz w:val="22"/>
          <w:szCs w:val="22"/>
          <w:lang w:val="en-US"/>
        </w:rPr>
        <w:t>4</w:t>
      </w:r>
      <w:r w:rsidR="006D2ADE">
        <w:rPr>
          <w:b/>
          <w:bCs/>
          <w:sz w:val="22"/>
          <w:szCs w:val="22"/>
          <w:lang w:val="en-US"/>
        </w:rPr>
        <w:t>22</w:t>
      </w:r>
      <w:r w:rsidRPr="004B2C9C">
        <w:rPr>
          <w:b/>
          <w:bCs/>
          <w:sz w:val="22"/>
          <w:szCs w:val="22"/>
          <w:lang w:val="en-US"/>
        </w:rPr>
        <w:t>,000</w:t>
      </w:r>
      <w:r w:rsidRPr="00A50042">
        <w:rPr>
          <w:sz w:val="22"/>
          <w:szCs w:val="22"/>
          <w:lang w:val="en-US"/>
        </w:rPr>
        <w:t>-, have allowed for the development of RIAL activities and should be accounted for as part of total contributions.</w:t>
      </w:r>
    </w:p>
    <w:p w14:paraId="2860B4A1" w14:textId="77777777" w:rsidR="00DC0F89" w:rsidRPr="00A50042" w:rsidRDefault="00DC0F89" w:rsidP="00DC0F89">
      <w:pPr>
        <w:rPr>
          <w:sz w:val="22"/>
          <w:szCs w:val="22"/>
          <w:lang w:val="en-US"/>
        </w:rPr>
      </w:pPr>
    </w:p>
    <w:p w14:paraId="15704409" w14:textId="4F80A384" w:rsidR="00717544" w:rsidRPr="00A50042" w:rsidRDefault="00717544">
      <w:pPr>
        <w:rPr>
          <w:sz w:val="22"/>
          <w:szCs w:val="22"/>
          <w:lang w:val="en-US"/>
        </w:rPr>
      </w:pPr>
    </w:p>
    <w:p w14:paraId="1A42CA72" w14:textId="329288C2" w:rsidR="005D4098" w:rsidRPr="005E7628" w:rsidRDefault="005D4098" w:rsidP="005D4098">
      <w:pPr>
        <w:spacing w:line="250" w:lineRule="exact"/>
        <w:jc w:val="both"/>
        <w:rPr>
          <w:b/>
          <w:sz w:val="22"/>
          <w:szCs w:val="22"/>
          <w:lang w:val="en-US"/>
        </w:rPr>
      </w:pPr>
      <w:r w:rsidRPr="005E7628">
        <w:rPr>
          <w:b/>
          <w:sz w:val="22"/>
          <w:szCs w:val="22"/>
          <w:lang w:val="en-US"/>
        </w:rPr>
        <w:t>III. E</w:t>
      </w:r>
      <w:r w:rsidR="005E7628" w:rsidRPr="005E7628">
        <w:rPr>
          <w:b/>
          <w:sz w:val="22"/>
          <w:szCs w:val="22"/>
          <w:lang w:val="en-US"/>
        </w:rPr>
        <w:t>xpenditures</w:t>
      </w:r>
    </w:p>
    <w:p w14:paraId="0F5D43B2" w14:textId="77777777" w:rsidR="005D4098" w:rsidRPr="00A50042" w:rsidRDefault="005D4098" w:rsidP="005D4098">
      <w:pPr>
        <w:spacing w:line="250" w:lineRule="exact"/>
        <w:jc w:val="both"/>
        <w:rPr>
          <w:b/>
          <w:sz w:val="22"/>
          <w:szCs w:val="22"/>
          <w:lang w:val="en-US"/>
        </w:rPr>
      </w:pPr>
    </w:p>
    <w:p w14:paraId="07FAB3B2" w14:textId="57AA24E3" w:rsidR="005D4098" w:rsidRPr="00A50042" w:rsidRDefault="005D4098" w:rsidP="005D4098">
      <w:pPr>
        <w:spacing w:line="250" w:lineRule="exact"/>
        <w:jc w:val="both"/>
        <w:rPr>
          <w:sz w:val="22"/>
          <w:szCs w:val="22"/>
          <w:lang w:val="en-US"/>
        </w:rPr>
      </w:pPr>
      <w:r w:rsidRPr="00A50042">
        <w:rPr>
          <w:sz w:val="22"/>
          <w:szCs w:val="22"/>
          <w:lang w:val="en-US"/>
        </w:rPr>
        <w:t>The authorities of the IACML, in accordance with the Guidelines of the Voluntary Contribution Fund, determine the allocation of the Fund’s resources during</w:t>
      </w:r>
      <w:r w:rsidR="00D82580">
        <w:rPr>
          <w:sz w:val="22"/>
          <w:szCs w:val="22"/>
          <w:lang w:val="en-US"/>
        </w:rPr>
        <w:t xml:space="preserve"> all the Planning Meetings,</w:t>
      </w:r>
      <w:r w:rsidR="00D3143E">
        <w:rPr>
          <w:sz w:val="22"/>
          <w:szCs w:val="22"/>
          <w:lang w:val="en-US"/>
        </w:rPr>
        <w:t xml:space="preserve"> which follow </w:t>
      </w:r>
      <w:r w:rsidR="000E1E9A">
        <w:rPr>
          <w:sz w:val="22"/>
          <w:szCs w:val="22"/>
          <w:lang w:val="en-US"/>
        </w:rPr>
        <w:t>the Ministerial Conferences</w:t>
      </w:r>
      <w:r w:rsidR="0052346D">
        <w:rPr>
          <w:sz w:val="22"/>
          <w:szCs w:val="22"/>
          <w:lang w:val="en-US"/>
        </w:rPr>
        <w:t>, since 2012</w:t>
      </w:r>
      <w:r w:rsidRPr="00A50042">
        <w:rPr>
          <w:sz w:val="22"/>
          <w:szCs w:val="22"/>
          <w:lang w:val="en-US"/>
        </w:rPr>
        <w:t xml:space="preserve">, dividing them among Hemispheric Workshops, bilateral cooperation activities, studies, communications and operation costs, the last of which partially cover RIAL’s human resources. </w:t>
      </w:r>
      <w:r w:rsidR="0097011A">
        <w:rPr>
          <w:sz w:val="22"/>
          <w:szCs w:val="22"/>
          <w:lang w:val="en-US"/>
        </w:rPr>
        <w:t>In addition, during the annual virtual meetings, the IACML auth</w:t>
      </w:r>
      <w:r w:rsidR="00B2763A">
        <w:rPr>
          <w:sz w:val="22"/>
          <w:szCs w:val="22"/>
          <w:lang w:val="en-US"/>
        </w:rPr>
        <w:t xml:space="preserve">orities have reviewed the financial status of the RIAL and also made decisions on its </w:t>
      </w:r>
      <w:r w:rsidR="000200BB">
        <w:rPr>
          <w:sz w:val="22"/>
          <w:szCs w:val="22"/>
          <w:lang w:val="en-US"/>
        </w:rPr>
        <w:t>allocation.</w:t>
      </w:r>
    </w:p>
    <w:p w14:paraId="37CC77B3" w14:textId="77777777" w:rsidR="005D4098" w:rsidRPr="00A50042" w:rsidRDefault="005D4098" w:rsidP="005D4098">
      <w:pPr>
        <w:spacing w:line="250" w:lineRule="exact"/>
        <w:jc w:val="center"/>
        <w:rPr>
          <w:b/>
          <w:sz w:val="22"/>
          <w:szCs w:val="22"/>
          <w:lang w:val="en-US"/>
        </w:rPr>
      </w:pPr>
      <w:r w:rsidRPr="00A50042">
        <w:rPr>
          <w:b/>
          <w:sz w:val="22"/>
          <w:szCs w:val="22"/>
          <w:lang w:val="en-US"/>
        </w:rPr>
        <w:t xml:space="preserve">  </w:t>
      </w:r>
    </w:p>
    <w:p w14:paraId="3A18E52B" w14:textId="355F8CF9" w:rsidR="005D4098" w:rsidRPr="00A50042" w:rsidRDefault="005D4098" w:rsidP="005D4098">
      <w:pPr>
        <w:spacing w:line="250" w:lineRule="exact"/>
        <w:jc w:val="both"/>
        <w:rPr>
          <w:sz w:val="22"/>
          <w:szCs w:val="22"/>
          <w:lang w:val="en-US"/>
        </w:rPr>
      </w:pPr>
      <w:r w:rsidRPr="00A50042">
        <w:rPr>
          <w:sz w:val="22"/>
          <w:szCs w:val="22"/>
          <w:lang w:val="en-US"/>
        </w:rPr>
        <w:t xml:space="preserve">RIAL’s expenditures between 2011 and </w:t>
      </w:r>
      <w:r w:rsidR="006D2ADE">
        <w:rPr>
          <w:sz w:val="22"/>
          <w:szCs w:val="22"/>
          <w:lang w:val="en-US"/>
        </w:rPr>
        <w:t>September</w:t>
      </w:r>
      <w:r w:rsidRPr="00A50042">
        <w:rPr>
          <w:sz w:val="22"/>
          <w:szCs w:val="22"/>
          <w:lang w:val="en-US"/>
        </w:rPr>
        <w:t xml:space="preserve"> 202</w:t>
      </w:r>
      <w:r w:rsidR="00A57620">
        <w:rPr>
          <w:sz w:val="22"/>
          <w:szCs w:val="22"/>
          <w:lang w:val="en-US"/>
        </w:rPr>
        <w:t>3</w:t>
      </w:r>
      <w:r w:rsidRPr="00A50042">
        <w:rPr>
          <w:sz w:val="22"/>
          <w:szCs w:val="22"/>
          <w:lang w:val="en-US"/>
        </w:rPr>
        <w:t xml:space="preserve"> total </w:t>
      </w:r>
      <w:r w:rsidRPr="00A50042">
        <w:rPr>
          <w:b/>
          <w:sz w:val="22"/>
          <w:szCs w:val="22"/>
          <w:lang w:val="en-US"/>
        </w:rPr>
        <w:t>$1,</w:t>
      </w:r>
      <w:r w:rsidR="006D2ADE">
        <w:rPr>
          <w:b/>
          <w:sz w:val="22"/>
          <w:szCs w:val="22"/>
          <w:lang w:val="en-US"/>
        </w:rPr>
        <w:t>400</w:t>
      </w:r>
      <w:r w:rsidR="00FA3AD7" w:rsidRPr="00A50042">
        <w:rPr>
          <w:b/>
          <w:sz w:val="22"/>
          <w:szCs w:val="22"/>
          <w:lang w:val="en-US"/>
        </w:rPr>
        <w:t>,6</w:t>
      </w:r>
      <w:r w:rsidR="006D2ADE">
        <w:rPr>
          <w:b/>
          <w:sz w:val="22"/>
          <w:szCs w:val="22"/>
          <w:lang w:val="en-US"/>
        </w:rPr>
        <w:t>57</w:t>
      </w:r>
      <w:r w:rsidRPr="00A50042">
        <w:rPr>
          <w:sz w:val="22"/>
          <w:szCs w:val="22"/>
          <w:lang w:val="en-US"/>
        </w:rPr>
        <w:t>, which come from the Voluntary Contribution Fund ($</w:t>
      </w:r>
      <w:r w:rsidR="00A57620">
        <w:rPr>
          <w:sz w:val="22"/>
          <w:szCs w:val="22"/>
          <w:lang w:val="en-US"/>
        </w:rPr>
        <w:t>9</w:t>
      </w:r>
      <w:r w:rsidR="006D2ADE">
        <w:rPr>
          <w:sz w:val="22"/>
          <w:szCs w:val="22"/>
          <w:lang w:val="en-US"/>
        </w:rPr>
        <w:t>78</w:t>
      </w:r>
      <w:r w:rsidR="00FA3AD7" w:rsidRPr="00A50042">
        <w:rPr>
          <w:sz w:val="22"/>
          <w:szCs w:val="22"/>
          <w:lang w:val="en-US"/>
        </w:rPr>
        <w:t>,6</w:t>
      </w:r>
      <w:r w:rsidR="006D2ADE">
        <w:rPr>
          <w:sz w:val="22"/>
          <w:szCs w:val="22"/>
          <w:lang w:val="en-US"/>
        </w:rPr>
        <w:t>57</w:t>
      </w:r>
      <w:r w:rsidRPr="00A50042">
        <w:rPr>
          <w:sz w:val="22"/>
          <w:szCs w:val="22"/>
          <w:lang w:val="en-US"/>
        </w:rPr>
        <w:t>, including Canada</w:t>
      </w:r>
      <w:r w:rsidR="006D2ADE">
        <w:rPr>
          <w:sz w:val="22"/>
          <w:szCs w:val="22"/>
          <w:lang w:val="en-US"/>
        </w:rPr>
        <w:t>’</w:t>
      </w:r>
      <w:r w:rsidRPr="00A50042">
        <w:rPr>
          <w:sz w:val="22"/>
          <w:szCs w:val="22"/>
          <w:lang w:val="en-US"/>
        </w:rPr>
        <w:t xml:space="preserve">s contribution) and from other in-kind contributions made by OAS, </w:t>
      </w:r>
      <w:r w:rsidR="006D2ADE" w:rsidRPr="00A50042">
        <w:rPr>
          <w:sz w:val="22"/>
          <w:szCs w:val="22"/>
          <w:lang w:val="en-US"/>
        </w:rPr>
        <w:t>governments,</w:t>
      </w:r>
      <w:r w:rsidRPr="00A50042">
        <w:rPr>
          <w:sz w:val="22"/>
          <w:szCs w:val="22"/>
          <w:lang w:val="en-US"/>
        </w:rPr>
        <w:t xml:space="preserve"> or partner international organizations, calculated at $</w:t>
      </w:r>
      <w:r w:rsidR="005254CA">
        <w:rPr>
          <w:sz w:val="22"/>
          <w:szCs w:val="22"/>
          <w:lang w:val="en-US"/>
        </w:rPr>
        <w:t>4</w:t>
      </w:r>
      <w:r w:rsidR="006D2ADE">
        <w:rPr>
          <w:sz w:val="22"/>
          <w:szCs w:val="22"/>
          <w:lang w:val="en-US"/>
        </w:rPr>
        <w:t>22,</w:t>
      </w:r>
      <w:r w:rsidRPr="00A50042">
        <w:rPr>
          <w:sz w:val="22"/>
          <w:szCs w:val="22"/>
          <w:lang w:val="en-US"/>
        </w:rPr>
        <w:t xml:space="preserve">000 as specified in </w:t>
      </w:r>
      <w:r w:rsidRPr="00313B7D">
        <w:rPr>
          <w:b/>
          <w:bCs/>
          <w:sz w:val="22"/>
          <w:szCs w:val="22"/>
          <w:lang w:val="en-US"/>
        </w:rPr>
        <w:t>Chart No. 3</w:t>
      </w:r>
      <w:r w:rsidRPr="007B5250">
        <w:rPr>
          <w:sz w:val="22"/>
          <w:szCs w:val="22"/>
          <w:lang w:val="en-US"/>
        </w:rPr>
        <w:t>.</w:t>
      </w:r>
    </w:p>
    <w:p w14:paraId="36D4300E" w14:textId="600EC9E8" w:rsidR="00DC0F89" w:rsidRDefault="00DC0F89">
      <w:pPr>
        <w:rPr>
          <w:sz w:val="22"/>
          <w:szCs w:val="22"/>
          <w:lang w:val="en-US"/>
        </w:rPr>
      </w:pPr>
    </w:p>
    <w:p w14:paraId="3C53791B" w14:textId="77777777" w:rsidR="00087601" w:rsidRDefault="00087601">
      <w:pPr>
        <w:rPr>
          <w:b/>
          <w:sz w:val="22"/>
          <w:szCs w:val="22"/>
          <w:lang w:val="en-US"/>
        </w:rPr>
      </w:pPr>
    </w:p>
    <w:p w14:paraId="569EE293" w14:textId="77777777" w:rsidR="005D07CB" w:rsidRDefault="005D07CB">
      <w:pPr>
        <w:rPr>
          <w:b/>
          <w:sz w:val="22"/>
          <w:szCs w:val="22"/>
          <w:lang w:val="en-US"/>
        </w:rPr>
      </w:pPr>
      <w:r>
        <w:rPr>
          <w:b/>
          <w:sz w:val="22"/>
          <w:szCs w:val="22"/>
          <w:lang w:val="en-US"/>
        </w:rPr>
        <w:br w:type="page"/>
      </w:r>
    </w:p>
    <w:p w14:paraId="542A48AE" w14:textId="0415E27F" w:rsidR="00FA3AD7" w:rsidRPr="00A50042" w:rsidRDefault="00FA3AD7" w:rsidP="00FA3AD7">
      <w:pPr>
        <w:spacing w:line="250" w:lineRule="exact"/>
        <w:jc w:val="center"/>
        <w:rPr>
          <w:b/>
          <w:sz w:val="22"/>
          <w:szCs w:val="22"/>
          <w:lang w:val="en-US"/>
        </w:rPr>
      </w:pPr>
      <w:r w:rsidRPr="00A50042">
        <w:rPr>
          <w:b/>
          <w:sz w:val="22"/>
          <w:szCs w:val="22"/>
          <w:lang w:val="en-US"/>
        </w:rPr>
        <w:lastRenderedPageBreak/>
        <w:t>Chart No. 3</w:t>
      </w:r>
    </w:p>
    <w:p w14:paraId="75332FDF" w14:textId="77777777" w:rsidR="00FA3AD7" w:rsidRDefault="00FA3AD7" w:rsidP="00FA3AD7">
      <w:pPr>
        <w:spacing w:line="250" w:lineRule="exact"/>
        <w:jc w:val="center"/>
        <w:rPr>
          <w:sz w:val="22"/>
          <w:szCs w:val="22"/>
          <w:lang w:val="en-US"/>
        </w:rPr>
      </w:pPr>
      <w:r w:rsidRPr="00A50042">
        <w:rPr>
          <w:b/>
          <w:sz w:val="22"/>
          <w:szCs w:val="22"/>
          <w:lang w:val="en-US"/>
        </w:rPr>
        <w:t>Total costs by category and funding source</w:t>
      </w:r>
      <w:r w:rsidRPr="00A50042">
        <w:rPr>
          <w:sz w:val="22"/>
          <w:szCs w:val="22"/>
          <w:lang w:val="en-US"/>
        </w:rPr>
        <w:t xml:space="preserve"> </w:t>
      </w:r>
    </w:p>
    <w:p w14:paraId="355054F2" w14:textId="4DE95E13" w:rsidR="00FA3AD7" w:rsidRDefault="0068141F" w:rsidP="0068141F">
      <w:pPr>
        <w:spacing w:line="250" w:lineRule="exact"/>
        <w:jc w:val="center"/>
        <w:rPr>
          <w:i/>
          <w:iCs/>
          <w:sz w:val="22"/>
          <w:szCs w:val="22"/>
          <w:lang w:val="en-US"/>
        </w:rPr>
      </w:pPr>
      <w:r w:rsidRPr="0068141F">
        <w:rPr>
          <w:i/>
          <w:iCs/>
          <w:sz w:val="22"/>
          <w:szCs w:val="22"/>
          <w:lang w:val="en-US"/>
        </w:rPr>
        <w:t>(In US dollars)</w:t>
      </w:r>
    </w:p>
    <w:p w14:paraId="7D63611E" w14:textId="77777777" w:rsidR="008979E6" w:rsidRPr="0068141F" w:rsidRDefault="008979E6" w:rsidP="0068141F">
      <w:pPr>
        <w:spacing w:line="250" w:lineRule="exact"/>
        <w:jc w:val="center"/>
        <w:rPr>
          <w:i/>
          <w:iCs/>
          <w:sz w:val="22"/>
          <w:szCs w:val="22"/>
          <w:lang w:val="en-US"/>
        </w:rPr>
      </w:pPr>
    </w:p>
    <w:tbl>
      <w:tblPr>
        <w:tblW w:w="9550" w:type="dxa"/>
        <w:tblInd w:w="98" w:type="dxa"/>
        <w:tblLook w:val="0000" w:firstRow="0" w:lastRow="0" w:firstColumn="0" w:lastColumn="0" w:noHBand="0" w:noVBand="0"/>
      </w:tblPr>
      <w:tblGrid>
        <w:gridCol w:w="2710"/>
        <w:gridCol w:w="1800"/>
        <w:gridCol w:w="1800"/>
        <w:gridCol w:w="1620"/>
        <w:gridCol w:w="1620"/>
      </w:tblGrid>
      <w:tr w:rsidR="00FA3AD7" w:rsidRPr="00A50042" w14:paraId="5D3A6785" w14:textId="77777777">
        <w:trPr>
          <w:trHeight w:val="385"/>
        </w:trPr>
        <w:tc>
          <w:tcPr>
            <w:tcW w:w="2710" w:type="dxa"/>
            <w:vMerge w:val="restart"/>
            <w:tcBorders>
              <w:top w:val="single" w:sz="8" w:space="0" w:color="auto"/>
              <w:left w:val="single" w:sz="8" w:space="0" w:color="auto"/>
              <w:right w:val="single" w:sz="8" w:space="0" w:color="auto"/>
            </w:tcBorders>
            <w:shd w:val="clear" w:color="auto" w:fill="auto"/>
            <w:noWrap/>
            <w:vAlign w:val="center"/>
          </w:tcPr>
          <w:p w14:paraId="65D7A5DF" w14:textId="77777777" w:rsidR="00FA3AD7" w:rsidRPr="00A50042" w:rsidRDefault="00FA3AD7">
            <w:pPr>
              <w:jc w:val="center"/>
              <w:rPr>
                <w:b/>
                <w:bCs/>
                <w:sz w:val="22"/>
                <w:szCs w:val="22"/>
                <w:lang w:val="en-US"/>
              </w:rPr>
            </w:pPr>
            <w:r w:rsidRPr="00A50042">
              <w:rPr>
                <w:b/>
                <w:bCs/>
                <w:sz w:val="22"/>
                <w:szCs w:val="22"/>
                <w:lang w:val="en-US"/>
              </w:rPr>
              <w:t>CATEGORY OF COST</w:t>
            </w:r>
          </w:p>
        </w:tc>
        <w:tc>
          <w:tcPr>
            <w:tcW w:w="5220"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14:paraId="1D0353AD" w14:textId="77777777" w:rsidR="00FA3AD7" w:rsidRPr="00A50042" w:rsidRDefault="00FA3AD7">
            <w:pPr>
              <w:jc w:val="center"/>
              <w:rPr>
                <w:b/>
                <w:bCs/>
                <w:sz w:val="22"/>
                <w:szCs w:val="22"/>
                <w:lang w:val="en-US"/>
              </w:rPr>
            </w:pPr>
            <w:r w:rsidRPr="00A50042">
              <w:rPr>
                <w:b/>
                <w:bCs/>
                <w:sz w:val="22"/>
                <w:szCs w:val="22"/>
                <w:lang w:val="en-US"/>
              </w:rPr>
              <w:t>SOURCE</w:t>
            </w:r>
          </w:p>
        </w:tc>
        <w:tc>
          <w:tcPr>
            <w:tcW w:w="1620" w:type="dxa"/>
            <w:vMerge w:val="restart"/>
            <w:tcBorders>
              <w:top w:val="single" w:sz="8" w:space="0" w:color="auto"/>
              <w:left w:val="single" w:sz="8" w:space="0" w:color="auto"/>
              <w:right w:val="single" w:sz="8" w:space="0" w:color="auto"/>
            </w:tcBorders>
            <w:shd w:val="clear" w:color="auto" w:fill="C0C0C0"/>
            <w:noWrap/>
            <w:vAlign w:val="center"/>
          </w:tcPr>
          <w:p w14:paraId="23ADCA66" w14:textId="2379DB1C" w:rsidR="00FA3AD7" w:rsidRPr="00A50042" w:rsidRDefault="00FA3AD7">
            <w:pPr>
              <w:jc w:val="center"/>
              <w:rPr>
                <w:b/>
                <w:bCs/>
                <w:sz w:val="22"/>
                <w:szCs w:val="22"/>
                <w:lang w:val="en-US"/>
              </w:rPr>
            </w:pPr>
            <w:r w:rsidRPr="00A50042">
              <w:rPr>
                <w:b/>
                <w:bCs/>
                <w:sz w:val="22"/>
                <w:szCs w:val="22"/>
                <w:lang w:val="en-US"/>
              </w:rPr>
              <w:t>Total</w:t>
            </w:r>
          </w:p>
        </w:tc>
      </w:tr>
      <w:tr w:rsidR="00FA3AD7" w:rsidRPr="004E79FE" w14:paraId="5D777396" w14:textId="77777777" w:rsidTr="001559C7">
        <w:trPr>
          <w:trHeight w:val="1159"/>
        </w:trPr>
        <w:tc>
          <w:tcPr>
            <w:tcW w:w="2710" w:type="dxa"/>
            <w:vMerge/>
            <w:tcBorders>
              <w:left w:val="single" w:sz="8" w:space="0" w:color="auto"/>
              <w:bottom w:val="single" w:sz="8" w:space="0" w:color="000000"/>
              <w:right w:val="single" w:sz="8" w:space="0" w:color="auto"/>
            </w:tcBorders>
            <w:shd w:val="clear" w:color="auto" w:fill="auto"/>
            <w:noWrap/>
            <w:vAlign w:val="center"/>
          </w:tcPr>
          <w:p w14:paraId="24A24990" w14:textId="77777777" w:rsidR="00FA3AD7" w:rsidRPr="00A50042" w:rsidRDefault="00FA3AD7">
            <w:pPr>
              <w:jc w:val="center"/>
              <w:rPr>
                <w:b/>
                <w:bCs/>
                <w:sz w:val="22"/>
                <w:szCs w:val="22"/>
                <w:lang w:val="en-US"/>
              </w:rPr>
            </w:pPr>
          </w:p>
        </w:tc>
        <w:tc>
          <w:tcPr>
            <w:tcW w:w="1800" w:type="dxa"/>
            <w:tcBorders>
              <w:top w:val="single" w:sz="8" w:space="0" w:color="auto"/>
              <w:left w:val="single" w:sz="8" w:space="0" w:color="auto"/>
              <w:bottom w:val="single" w:sz="8" w:space="0" w:color="000000"/>
              <w:right w:val="single" w:sz="8" w:space="0" w:color="auto"/>
            </w:tcBorders>
            <w:shd w:val="clear" w:color="auto" w:fill="auto"/>
            <w:vAlign w:val="center"/>
          </w:tcPr>
          <w:p w14:paraId="00ECD08A" w14:textId="273C3859" w:rsidR="00FA3AD7" w:rsidRPr="00A50042" w:rsidRDefault="00FA3AD7">
            <w:pPr>
              <w:jc w:val="center"/>
              <w:rPr>
                <w:b/>
                <w:bCs/>
                <w:sz w:val="22"/>
                <w:szCs w:val="22"/>
                <w:lang w:val="en-US"/>
              </w:rPr>
            </w:pPr>
            <w:r w:rsidRPr="00A50042">
              <w:rPr>
                <w:b/>
                <w:bCs/>
                <w:sz w:val="22"/>
                <w:szCs w:val="22"/>
                <w:lang w:val="en-US"/>
              </w:rPr>
              <w:t>Voluntary Fund</w:t>
            </w:r>
          </w:p>
          <w:p w14:paraId="1808EC97" w14:textId="5F31990E" w:rsidR="00FA3AD7" w:rsidRPr="00A50042" w:rsidRDefault="00FA3AD7">
            <w:pPr>
              <w:jc w:val="center"/>
              <w:rPr>
                <w:bCs/>
                <w:sz w:val="22"/>
                <w:szCs w:val="22"/>
                <w:lang w:val="en-US"/>
              </w:rPr>
            </w:pPr>
            <w:r w:rsidRPr="00A50042">
              <w:rPr>
                <w:bCs/>
                <w:sz w:val="22"/>
                <w:szCs w:val="22"/>
                <w:lang w:val="en-US"/>
              </w:rPr>
              <w:t>(</w:t>
            </w:r>
            <w:r w:rsidR="006D2ADE">
              <w:rPr>
                <w:bCs/>
                <w:sz w:val="22"/>
                <w:szCs w:val="22"/>
                <w:lang w:val="en-US"/>
              </w:rPr>
              <w:t>excluding</w:t>
            </w:r>
            <w:r w:rsidR="006D2ADE" w:rsidRPr="00A50042">
              <w:rPr>
                <w:bCs/>
                <w:sz w:val="22"/>
                <w:szCs w:val="22"/>
                <w:lang w:val="en-US"/>
              </w:rPr>
              <w:t xml:space="preserve"> Canada</w:t>
            </w:r>
            <w:r w:rsidRPr="00A50042">
              <w:rPr>
                <w:bCs/>
                <w:sz w:val="22"/>
                <w:szCs w:val="22"/>
                <w:lang w:val="en-US"/>
              </w:rPr>
              <w:t>)</w:t>
            </w:r>
          </w:p>
        </w:tc>
        <w:tc>
          <w:tcPr>
            <w:tcW w:w="1800" w:type="dxa"/>
            <w:tcBorders>
              <w:top w:val="single" w:sz="8" w:space="0" w:color="auto"/>
              <w:left w:val="single" w:sz="8" w:space="0" w:color="auto"/>
              <w:bottom w:val="single" w:sz="8" w:space="0" w:color="000000"/>
              <w:right w:val="nil"/>
            </w:tcBorders>
            <w:shd w:val="clear" w:color="auto" w:fill="auto"/>
            <w:vAlign w:val="center"/>
          </w:tcPr>
          <w:p w14:paraId="29692803" w14:textId="77777777" w:rsidR="00FA3AD7" w:rsidRPr="00A50042" w:rsidRDefault="00FA3AD7">
            <w:pPr>
              <w:jc w:val="center"/>
              <w:rPr>
                <w:b/>
                <w:bCs/>
                <w:sz w:val="22"/>
                <w:szCs w:val="22"/>
                <w:lang w:val="en-US"/>
              </w:rPr>
            </w:pPr>
            <w:r w:rsidRPr="00A50042">
              <w:rPr>
                <w:b/>
                <w:bCs/>
                <w:sz w:val="22"/>
                <w:szCs w:val="22"/>
                <w:lang w:val="en-US"/>
              </w:rPr>
              <w:t xml:space="preserve"> Contribution from Canada </w:t>
            </w:r>
          </w:p>
        </w:tc>
        <w:tc>
          <w:tcPr>
            <w:tcW w:w="1620" w:type="dxa"/>
            <w:tcBorders>
              <w:top w:val="single" w:sz="8" w:space="0" w:color="auto"/>
              <w:left w:val="single" w:sz="8" w:space="0" w:color="auto"/>
              <w:bottom w:val="single" w:sz="8" w:space="0" w:color="000000"/>
              <w:right w:val="nil"/>
            </w:tcBorders>
            <w:shd w:val="clear" w:color="auto" w:fill="auto"/>
            <w:vAlign w:val="center"/>
          </w:tcPr>
          <w:p w14:paraId="4230C12F" w14:textId="77777777" w:rsidR="00FA3AD7" w:rsidRPr="00A50042" w:rsidRDefault="00FA3AD7">
            <w:pPr>
              <w:jc w:val="center"/>
              <w:rPr>
                <w:b/>
                <w:bCs/>
                <w:sz w:val="22"/>
                <w:szCs w:val="22"/>
                <w:lang w:val="en-US"/>
              </w:rPr>
            </w:pPr>
            <w:r w:rsidRPr="00A50042">
              <w:rPr>
                <w:b/>
                <w:bCs/>
                <w:sz w:val="22"/>
                <w:szCs w:val="22"/>
                <w:lang w:val="en-US"/>
              </w:rPr>
              <w:t xml:space="preserve">Other support </w:t>
            </w:r>
            <w:r w:rsidRPr="00A50042">
              <w:rPr>
                <w:sz w:val="22"/>
                <w:szCs w:val="22"/>
                <w:lang w:val="en-US"/>
              </w:rPr>
              <w:t>(in-kind or direct)</w:t>
            </w:r>
          </w:p>
        </w:tc>
        <w:tc>
          <w:tcPr>
            <w:tcW w:w="1620" w:type="dxa"/>
            <w:vMerge/>
            <w:tcBorders>
              <w:left w:val="single" w:sz="8" w:space="0" w:color="auto"/>
              <w:bottom w:val="single" w:sz="8" w:space="0" w:color="000000"/>
              <w:right w:val="single" w:sz="8" w:space="0" w:color="auto"/>
            </w:tcBorders>
            <w:shd w:val="clear" w:color="auto" w:fill="C0C0C0"/>
            <w:noWrap/>
            <w:vAlign w:val="center"/>
          </w:tcPr>
          <w:p w14:paraId="63701235" w14:textId="77777777" w:rsidR="00FA3AD7" w:rsidRPr="00A50042" w:rsidRDefault="00FA3AD7">
            <w:pPr>
              <w:jc w:val="center"/>
              <w:rPr>
                <w:b/>
                <w:bCs/>
                <w:sz w:val="22"/>
                <w:szCs w:val="22"/>
                <w:lang w:val="en-US"/>
              </w:rPr>
            </w:pPr>
          </w:p>
        </w:tc>
      </w:tr>
      <w:tr w:rsidR="00FA3AD7" w:rsidRPr="00A50042" w14:paraId="45135674" w14:textId="77777777">
        <w:trPr>
          <w:trHeight w:val="453"/>
        </w:trPr>
        <w:tc>
          <w:tcPr>
            <w:tcW w:w="2710" w:type="dxa"/>
            <w:tcBorders>
              <w:top w:val="nil"/>
              <w:left w:val="single" w:sz="8" w:space="0" w:color="auto"/>
              <w:bottom w:val="single" w:sz="8" w:space="0" w:color="auto"/>
              <w:right w:val="single" w:sz="8" w:space="0" w:color="auto"/>
            </w:tcBorders>
            <w:shd w:val="clear" w:color="auto" w:fill="auto"/>
            <w:noWrap/>
            <w:vAlign w:val="center"/>
          </w:tcPr>
          <w:p w14:paraId="4A9A36C1" w14:textId="27C87F42" w:rsidR="00FA3AD7" w:rsidRPr="00A50042" w:rsidRDefault="00FA3AD7">
            <w:pPr>
              <w:rPr>
                <w:b/>
                <w:bCs/>
                <w:iCs/>
                <w:sz w:val="22"/>
                <w:szCs w:val="22"/>
                <w:lang w:val="en-US"/>
              </w:rPr>
            </w:pPr>
            <w:r w:rsidRPr="00A50042">
              <w:rPr>
                <w:b/>
                <w:bCs/>
                <w:iCs/>
                <w:sz w:val="22"/>
                <w:szCs w:val="22"/>
                <w:lang w:val="en-US"/>
              </w:rPr>
              <w:t>Workshops</w:t>
            </w:r>
          </w:p>
        </w:tc>
        <w:tc>
          <w:tcPr>
            <w:tcW w:w="1800" w:type="dxa"/>
            <w:tcBorders>
              <w:top w:val="nil"/>
              <w:left w:val="nil"/>
              <w:bottom w:val="single" w:sz="8" w:space="0" w:color="auto"/>
              <w:right w:val="single" w:sz="8" w:space="0" w:color="auto"/>
            </w:tcBorders>
            <w:shd w:val="clear" w:color="auto" w:fill="auto"/>
            <w:noWrap/>
            <w:vAlign w:val="center"/>
          </w:tcPr>
          <w:p w14:paraId="19336E38" w14:textId="2D9AFC4D" w:rsidR="00FA3AD7" w:rsidRPr="00A50042" w:rsidRDefault="00FA3AD7">
            <w:pPr>
              <w:jc w:val="center"/>
              <w:rPr>
                <w:bCs/>
                <w:sz w:val="22"/>
                <w:szCs w:val="22"/>
                <w:lang w:val="en-US"/>
              </w:rPr>
            </w:pPr>
            <w:r w:rsidRPr="00A50042">
              <w:rPr>
                <w:bCs/>
                <w:sz w:val="22"/>
                <w:szCs w:val="22"/>
                <w:lang w:val="en-US"/>
              </w:rPr>
              <w:t>1</w:t>
            </w:r>
            <w:r w:rsidR="006D2ADE">
              <w:rPr>
                <w:bCs/>
                <w:sz w:val="22"/>
                <w:szCs w:val="22"/>
                <w:lang w:val="en-US"/>
              </w:rPr>
              <w:t>7</w:t>
            </w:r>
            <w:r w:rsidR="00F00325">
              <w:rPr>
                <w:bCs/>
                <w:sz w:val="22"/>
                <w:szCs w:val="22"/>
                <w:lang w:val="en-US"/>
              </w:rPr>
              <w:t>9</w:t>
            </w:r>
            <w:r w:rsidR="000F7224">
              <w:rPr>
                <w:bCs/>
                <w:sz w:val="22"/>
                <w:szCs w:val="22"/>
                <w:lang w:val="en-US"/>
              </w:rPr>
              <w:t>,546</w:t>
            </w:r>
          </w:p>
        </w:tc>
        <w:tc>
          <w:tcPr>
            <w:tcW w:w="1800" w:type="dxa"/>
            <w:tcBorders>
              <w:top w:val="nil"/>
              <w:left w:val="nil"/>
              <w:bottom w:val="single" w:sz="8" w:space="0" w:color="auto"/>
              <w:right w:val="single" w:sz="8" w:space="0" w:color="auto"/>
            </w:tcBorders>
            <w:shd w:val="clear" w:color="auto" w:fill="auto"/>
            <w:noWrap/>
            <w:vAlign w:val="center"/>
          </w:tcPr>
          <w:p w14:paraId="65182798" w14:textId="6E87188B" w:rsidR="00FA3AD7" w:rsidRPr="00A50042" w:rsidRDefault="00BD7D2A">
            <w:pPr>
              <w:jc w:val="center"/>
              <w:rPr>
                <w:bCs/>
                <w:sz w:val="22"/>
                <w:szCs w:val="22"/>
                <w:lang w:val="en-US"/>
              </w:rPr>
            </w:pPr>
            <w:r w:rsidRPr="00A50042">
              <w:rPr>
                <w:bCs/>
                <w:sz w:val="22"/>
                <w:szCs w:val="22"/>
                <w:lang w:val="en-US"/>
              </w:rPr>
              <w:t>74,180</w:t>
            </w:r>
          </w:p>
        </w:tc>
        <w:tc>
          <w:tcPr>
            <w:tcW w:w="1620" w:type="dxa"/>
            <w:tcBorders>
              <w:top w:val="nil"/>
              <w:left w:val="nil"/>
              <w:bottom w:val="single" w:sz="8" w:space="0" w:color="auto"/>
              <w:right w:val="nil"/>
            </w:tcBorders>
            <w:shd w:val="clear" w:color="auto" w:fill="auto"/>
            <w:noWrap/>
            <w:vAlign w:val="center"/>
          </w:tcPr>
          <w:p w14:paraId="6AB3D678" w14:textId="5769EBFF" w:rsidR="00FA3AD7" w:rsidRPr="00A50042" w:rsidRDefault="00FA3AD7">
            <w:pPr>
              <w:jc w:val="center"/>
              <w:rPr>
                <w:bCs/>
                <w:sz w:val="22"/>
                <w:szCs w:val="22"/>
                <w:lang w:val="en-US"/>
              </w:rPr>
            </w:pPr>
            <w:r w:rsidRPr="00A50042">
              <w:rPr>
                <w:bCs/>
                <w:sz w:val="22"/>
                <w:szCs w:val="22"/>
                <w:lang w:val="en-US"/>
              </w:rPr>
              <w:t>1</w:t>
            </w:r>
            <w:r w:rsidR="006D2ADE">
              <w:rPr>
                <w:bCs/>
                <w:sz w:val="22"/>
                <w:szCs w:val="22"/>
                <w:lang w:val="en-US"/>
              </w:rPr>
              <w:t>60</w:t>
            </w:r>
            <w:r w:rsidRPr="00A50042">
              <w:rPr>
                <w:bCs/>
                <w:sz w:val="22"/>
                <w:szCs w:val="22"/>
                <w:lang w:val="en-US"/>
              </w:rPr>
              <w:t>,000</w:t>
            </w:r>
          </w:p>
        </w:tc>
        <w:tc>
          <w:tcPr>
            <w:tcW w:w="1620" w:type="dxa"/>
            <w:tcBorders>
              <w:top w:val="nil"/>
              <w:left w:val="single" w:sz="8" w:space="0" w:color="auto"/>
              <w:bottom w:val="single" w:sz="8" w:space="0" w:color="auto"/>
              <w:right w:val="single" w:sz="8" w:space="0" w:color="auto"/>
            </w:tcBorders>
            <w:shd w:val="clear" w:color="auto" w:fill="C0C0C0"/>
            <w:noWrap/>
            <w:vAlign w:val="center"/>
          </w:tcPr>
          <w:p w14:paraId="1037BB26" w14:textId="395AB39A" w:rsidR="00FA3AD7" w:rsidRPr="00A50042" w:rsidRDefault="006D2ADE">
            <w:pPr>
              <w:jc w:val="center"/>
              <w:rPr>
                <w:b/>
                <w:bCs/>
                <w:sz w:val="22"/>
                <w:szCs w:val="22"/>
                <w:lang w:val="en-US"/>
              </w:rPr>
            </w:pPr>
            <w:r>
              <w:rPr>
                <w:b/>
                <w:bCs/>
                <w:sz w:val="22"/>
                <w:szCs w:val="22"/>
                <w:lang w:val="en-US"/>
              </w:rPr>
              <w:t>413</w:t>
            </w:r>
            <w:r w:rsidR="00BD7D2A" w:rsidRPr="00A50042">
              <w:rPr>
                <w:b/>
                <w:bCs/>
                <w:sz w:val="22"/>
                <w:szCs w:val="22"/>
                <w:lang w:val="en-US"/>
              </w:rPr>
              <w:t>,</w:t>
            </w:r>
            <w:r w:rsidR="000F7224">
              <w:rPr>
                <w:b/>
                <w:bCs/>
                <w:sz w:val="22"/>
                <w:szCs w:val="22"/>
                <w:lang w:val="en-US"/>
              </w:rPr>
              <w:t>72</w:t>
            </w:r>
            <w:r w:rsidR="00BD7D2A" w:rsidRPr="00A50042">
              <w:rPr>
                <w:b/>
                <w:bCs/>
                <w:sz w:val="22"/>
                <w:szCs w:val="22"/>
                <w:lang w:val="en-US"/>
              </w:rPr>
              <w:t>6</w:t>
            </w:r>
          </w:p>
        </w:tc>
      </w:tr>
      <w:tr w:rsidR="00FA3AD7" w:rsidRPr="00A50042" w14:paraId="39F29638" w14:textId="77777777">
        <w:trPr>
          <w:trHeight w:val="453"/>
        </w:trPr>
        <w:tc>
          <w:tcPr>
            <w:tcW w:w="2710" w:type="dxa"/>
            <w:tcBorders>
              <w:top w:val="nil"/>
              <w:left w:val="single" w:sz="8" w:space="0" w:color="auto"/>
              <w:bottom w:val="single" w:sz="8" w:space="0" w:color="auto"/>
              <w:right w:val="single" w:sz="8" w:space="0" w:color="auto"/>
            </w:tcBorders>
            <w:shd w:val="clear" w:color="auto" w:fill="auto"/>
            <w:noWrap/>
            <w:vAlign w:val="center"/>
          </w:tcPr>
          <w:p w14:paraId="11E87C15" w14:textId="51C6D02E" w:rsidR="00FA3AD7" w:rsidRPr="00A50042" w:rsidRDefault="00FA3AD7">
            <w:pPr>
              <w:rPr>
                <w:b/>
                <w:bCs/>
                <w:iCs/>
                <w:sz w:val="22"/>
                <w:szCs w:val="22"/>
                <w:lang w:val="en-US"/>
              </w:rPr>
            </w:pPr>
            <w:r w:rsidRPr="00A50042">
              <w:rPr>
                <w:b/>
                <w:bCs/>
                <w:iCs/>
                <w:sz w:val="22"/>
                <w:szCs w:val="22"/>
                <w:lang w:val="en-US"/>
              </w:rPr>
              <w:t>Bilateral cooperation</w:t>
            </w:r>
          </w:p>
        </w:tc>
        <w:tc>
          <w:tcPr>
            <w:tcW w:w="1800" w:type="dxa"/>
            <w:tcBorders>
              <w:top w:val="nil"/>
              <w:left w:val="nil"/>
              <w:bottom w:val="single" w:sz="8" w:space="0" w:color="auto"/>
              <w:right w:val="single" w:sz="8" w:space="0" w:color="auto"/>
            </w:tcBorders>
            <w:shd w:val="clear" w:color="auto" w:fill="auto"/>
            <w:noWrap/>
            <w:vAlign w:val="center"/>
          </w:tcPr>
          <w:p w14:paraId="1EECE03D" w14:textId="5C5C4A19" w:rsidR="00FA3AD7" w:rsidRPr="00A50042" w:rsidRDefault="00FA3AD7">
            <w:pPr>
              <w:jc w:val="center"/>
              <w:rPr>
                <w:bCs/>
                <w:sz w:val="22"/>
                <w:szCs w:val="22"/>
                <w:lang w:val="es-CO"/>
              </w:rPr>
            </w:pPr>
            <w:r w:rsidRPr="00A50042">
              <w:rPr>
                <w:bCs/>
                <w:sz w:val="22"/>
                <w:szCs w:val="22"/>
                <w:lang w:val="es-CO"/>
              </w:rPr>
              <w:t>1</w:t>
            </w:r>
            <w:r w:rsidR="00832244">
              <w:rPr>
                <w:bCs/>
                <w:sz w:val="22"/>
                <w:szCs w:val="22"/>
                <w:lang w:val="es-CO"/>
              </w:rPr>
              <w:t>84,500</w:t>
            </w:r>
          </w:p>
        </w:tc>
        <w:tc>
          <w:tcPr>
            <w:tcW w:w="1800" w:type="dxa"/>
            <w:tcBorders>
              <w:top w:val="nil"/>
              <w:left w:val="nil"/>
              <w:bottom w:val="single" w:sz="8" w:space="0" w:color="auto"/>
              <w:right w:val="single" w:sz="8" w:space="0" w:color="auto"/>
            </w:tcBorders>
            <w:shd w:val="clear" w:color="auto" w:fill="auto"/>
            <w:noWrap/>
            <w:vAlign w:val="center"/>
          </w:tcPr>
          <w:p w14:paraId="006336E4" w14:textId="2D9F25FE" w:rsidR="00FA3AD7" w:rsidRPr="00A50042" w:rsidRDefault="00FA3AD7">
            <w:pPr>
              <w:jc w:val="center"/>
              <w:rPr>
                <w:bCs/>
                <w:sz w:val="22"/>
                <w:szCs w:val="22"/>
                <w:lang w:val="es-CO"/>
              </w:rPr>
            </w:pPr>
            <w:r w:rsidRPr="00A50042">
              <w:rPr>
                <w:bCs/>
                <w:sz w:val="22"/>
                <w:szCs w:val="22"/>
                <w:lang w:val="es-CO"/>
              </w:rPr>
              <w:t>1</w:t>
            </w:r>
            <w:r w:rsidR="00BD7D2A" w:rsidRPr="00A50042">
              <w:rPr>
                <w:bCs/>
                <w:sz w:val="22"/>
                <w:szCs w:val="22"/>
                <w:lang w:val="es-CO"/>
              </w:rPr>
              <w:t>12,758</w:t>
            </w:r>
          </w:p>
        </w:tc>
        <w:tc>
          <w:tcPr>
            <w:tcW w:w="1620" w:type="dxa"/>
            <w:tcBorders>
              <w:top w:val="nil"/>
              <w:left w:val="nil"/>
              <w:bottom w:val="single" w:sz="8" w:space="0" w:color="auto"/>
              <w:right w:val="nil"/>
            </w:tcBorders>
            <w:shd w:val="clear" w:color="auto" w:fill="auto"/>
            <w:noWrap/>
            <w:vAlign w:val="center"/>
          </w:tcPr>
          <w:p w14:paraId="793D7B2D" w14:textId="77777777" w:rsidR="00FA3AD7" w:rsidRPr="00A50042" w:rsidRDefault="00FA3AD7">
            <w:pPr>
              <w:jc w:val="center"/>
              <w:rPr>
                <w:bCs/>
                <w:sz w:val="22"/>
                <w:szCs w:val="22"/>
                <w:lang w:val="es-CO"/>
              </w:rPr>
            </w:pPr>
            <w:r w:rsidRPr="00A50042">
              <w:rPr>
                <w:bCs/>
                <w:sz w:val="22"/>
                <w:szCs w:val="22"/>
                <w:lang w:val="es-CO"/>
              </w:rPr>
              <w:t>20,000</w:t>
            </w:r>
          </w:p>
        </w:tc>
        <w:tc>
          <w:tcPr>
            <w:tcW w:w="1620" w:type="dxa"/>
            <w:tcBorders>
              <w:top w:val="nil"/>
              <w:left w:val="single" w:sz="8" w:space="0" w:color="auto"/>
              <w:bottom w:val="single" w:sz="8" w:space="0" w:color="auto"/>
              <w:right w:val="single" w:sz="8" w:space="0" w:color="auto"/>
            </w:tcBorders>
            <w:shd w:val="clear" w:color="auto" w:fill="C0C0C0"/>
            <w:noWrap/>
            <w:vAlign w:val="center"/>
          </w:tcPr>
          <w:p w14:paraId="46AB6FF3" w14:textId="38A687B3" w:rsidR="00FA3AD7" w:rsidRPr="00A50042" w:rsidRDefault="00FA3AD7">
            <w:pPr>
              <w:jc w:val="center"/>
              <w:rPr>
                <w:b/>
                <w:bCs/>
                <w:sz w:val="22"/>
                <w:szCs w:val="22"/>
                <w:lang w:val="es-CO"/>
              </w:rPr>
            </w:pPr>
            <w:r w:rsidRPr="00A50042">
              <w:rPr>
                <w:b/>
                <w:bCs/>
                <w:sz w:val="22"/>
                <w:szCs w:val="22"/>
                <w:lang w:val="es-CO"/>
              </w:rPr>
              <w:t>3</w:t>
            </w:r>
            <w:r w:rsidR="00BD7D2A" w:rsidRPr="00A50042">
              <w:rPr>
                <w:b/>
                <w:bCs/>
                <w:sz w:val="22"/>
                <w:szCs w:val="22"/>
                <w:lang w:val="es-CO"/>
              </w:rPr>
              <w:t>1</w:t>
            </w:r>
            <w:r w:rsidR="00832244">
              <w:rPr>
                <w:b/>
                <w:bCs/>
                <w:sz w:val="22"/>
                <w:szCs w:val="22"/>
                <w:lang w:val="es-CO"/>
              </w:rPr>
              <w:t>7,258</w:t>
            </w:r>
          </w:p>
        </w:tc>
      </w:tr>
      <w:tr w:rsidR="00FA3AD7" w:rsidRPr="00A50042" w14:paraId="14E92879" w14:textId="77777777">
        <w:trPr>
          <w:trHeight w:val="453"/>
        </w:trPr>
        <w:tc>
          <w:tcPr>
            <w:tcW w:w="2710" w:type="dxa"/>
            <w:tcBorders>
              <w:top w:val="nil"/>
              <w:left w:val="single" w:sz="8" w:space="0" w:color="auto"/>
              <w:bottom w:val="single" w:sz="8" w:space="0" w:color="auto"/>
              <w:right w:val="single" w:sz="8" w:space="0" w:color="auto"/>
            </w:tcBorders>
            <w:shd w:val="clear" w:color="auto" w:fill="auto"/>
            <w:noWrap/>
            <w:vAlign w:val="center"/>
          </w:tcPr>
          <w:p w14:paraId="2A79AD20" w14:textId="77777777" w:rsidR="00FA3AD7" w:rsidRPr="00A50042" w:rsidRDefault="00FA3AD7">
            <w:pPr>
              <w:rPr>
                <w:b/>
                <w:bCs/>
                <w:iCs/>
                <w:sz w:val="22"/>
                <w:szCs w:val="22"/>
                <w:lang w:val="en-US"/>
              </w:rPr>
            </w:pPr>
            <w:r w:rsidRPr="00A50042">
              <w:rPr>
                <w:b/>
                <w:bCs/>
                <w:iCs/>
                <w:sz w:val="22"/>
                <w:szCs w:val="22"/>
                <w:lang w:val="en-US"/>
              </w:rPr>
              <w:t>Studies</w:t>
            </w:r>
          </w:p>
        </w:tc>
        <w:tc>
          <w:tcPr>
            <w:tcW w:w="1800" w:type="dxa"/>
            <w:tcBorders>
              <w:top w:val="nil"/>
              <w:left w:val="nil"/>
              <w:bottom w:val="single" w:sz="8" w:space="0" w:color="auto"/>
              <w:right w:val="single" w:sz="8" w:space="0" w:color="auto"/>
            </w:tcBorders>
            <w:shd w:val="clear" w:color="auto" w:fill="auto"/>
            <w:noWrap/>
            <w:vAlign w:val="center"/>
          </w:tcPr>
          <w:p w14:paraId="18F362BE" w14:textId="77777777" w:rsidR="00FA3AD7" w:rsidRPr="00A50042" w:rsidRDefault="00FA3AD7">
            <w:pPr>
              <w:jc w:val="center"/>
              <w:rPr>
                <w:bCs/>
                <w:sz w:val="22"/>
                <w:szCs w:val="22"/>
                <w:lang w:val="es-CO"/>
              </w:rPr>
            </w:pPr>
            <w:r w:rsidRPr="00A50042">
              <w:rPr>
                <w:bCs/>
                <w:sz w:val="22"/>
                <w:szCs w:val="22"/>
                <w:lang w:val="es-CO"/>
              </w:rPr>
              <w:t>20,000</w:t>
            </w:r>
          </w:p>
        </w:tc>
        <w:tc>
          <w:tcPr>
            <w:tcW w:w="1800" w:type="dxa"/>
            <w:tcBorders>
              <w:top w:val="nil"/>
              <w:left w:val="nil"/>
              <w:bottom w:val="single" w:sz="8" w:space="0" w:color="auto"/>
              <w:right w:val="single" w:sz="8" w:space="0" w:color="auto"/>
            </w:tcBorders>
            <w:shd w:val="clear" w:color="auto" w:fill="auto"/>
            <w:noWrap/>
            <w:vAlign w:val="center"/>
          </w:tcPr>
          <w:p w14:paraId="4C1FDCC1" w14:textId="1E1354AB" w:rsidR="00FA3AD7" w:rsidRPr="00A50042" w:rsidRDefault="00FA3AD7">
            <w:pPr>
              <w:jc w:val="center"/>
              <w:rPr>
                <w:sz w:val="22"/>
                <w:szCs w:val="22"/>
                <w:lang w:val="es-CO"/>
              </w:rPr>
            </w:pPr>
            <w:r w:rsidRPr="00A50042">
              <w:rPr>
                <w:sz w:val="22"/>
                <w:szCs w:val="22"/>
                <w:lang w:val="es-CO"/>
              </w:rPr>
              <w:t> </w:t>
            </w:r>
            <w:r w:rsidR="00BD7D2A" w:rsidRPr="00A50042">
              <w:rPr>
                <w:sz w:val="22"/>
                <w:szCs w:val="22"/>
                <w:lang w:val="es-CO"/>
              </w:rPr>
              <w:t>1</w:t>
            </w:r>
            <w:r w:rsidRPr="00A50042">
              <w:rPr>
                <w:bCs/>
                <w:sz w:val="22"/>
                <w:szCs w:val="22"/>
                <w:lang w:val="es-CO"/>
              </w:rPr>
              <w:t>9,</w:t>
            </w:r>
            <w:r w:rsidR="00BD7D2A" w:rsidRPr="00A50042">
              <w:rPr>
                <w:bCs/>
                <w:sz w:val="22"/>
                <w:szCs w:val="22"/>
                <w:lang w:val="es-CO"/>
              </w:rPr>
              <w:t>4</w:t>
            </w:r>
            <w:r w:rsidRPr="00A50042">
              <w:rPr>
                <w:bCs/>
                <w:sz w:val="22"/>
                <w:szCs w:val="22"/>
                <w:lang w:val="es-CO"/>
              </w:rPr>
              <w:t>00</w:t>
            </w:r>
          </w:p>
        </w:tc>
        <w:tc>
          <w:tcPr>
            <w:tcW w:w="1620" w:type="dxa"/>
            <w:tcBorders>
              <w:top w:val="nil"/>
              <w:left w:val="nil"/>
              <w:bottom w:val="single" w:sz="8" w:space="0" w:color="auto"/>
              <w:right w:val="nil"/>
            </w:tcBorders>
            <w:shd w:val="clear" w:color="auto" w:fill="auto"/>
            <w:noWrap/>
            <w:vAlign w:val="center"/>
          </w:tcPr>
          <w:p w14:paraId="7D64A7C2" w14:textId="77777777" w:rsidR="00FA3AD7" w:rsidRPr="00A50042" w:rsidRDefault="00FA3AD7">
            <w:pPr>
              <w:jc w:val="center"/>
              <w:rPr>
                <w:sz w:val="22"/>
                <w:szCs w:val="22"/>
                <w:lang w:val="es-CO"/>
              </w:rPr>
            </w:pPr>
            <w:r w:rsidRPr="00A50042">
              <w:rPr>
                <w:sz w:val="22"/>
                <w:szCs w:val="22"/>
                <w:lang w:val="es-CO"/>
              </w:rPr>
              <w:t> 10,000</w:t>
            </w:r>
          </w:p>
        </w:tc>
        <w:tc>
          <w:tcPr>
            <w:tcW w:w="1620" w:type="dxa"/>
            <w:tcBorders>
              <w:top w:val="nil"/>
              <w:left w:val="single" w:sz="8" w:space="0" w:color="auto"/>
              <w:bottom w:val="single" w:sz="8" w:space="0" w:color="auto"/>
              <w:right w:val="single" w:sz="8" w:space="0" w:color="auto"/>
            </w:tcBorders>
            <w:shd w:val="clear" w:color="auto" w:fill="C0C0C0"/>
            <w:noWrap/>
            <w:vAlign w:val="center"/>
          </w:tcPr>
          <w:p w14:paraId="1984C0E7" w14:textId="2C3A9869" w:rsidR="00FA3AD7" w:rsidRPr="00A50042" w:rsidRDefault="00BD7D2A">
            <w:pPr>
              <w:jc w:val="center"/>
              <w:rPr>
                <w:b/>
                <w:bCs/>
                <w:sz w:val="22"/>
                <w:szCs w:val="22"/>
                <w:lang w:val="es-CO"/>
              </w:rPr>
            </w:pPr>
            <w:r w:rsidRPr="00A50042">
              <w:rPr>
                <w:b/>
                <w:bCs/>
                <w:sz w:val="22"/>
                <w:szCs w:val="22"/>
                <w:lang w:val="es-CO"/>
              </w:rPr>
              <w:t>4</w:t>
            </w:r>
            <w:r w:rsidR="00FA3AD7" w:rsidRPr="00A50042">
              <w:rPr>
                <w:b/>
                <w:bCs/>
                <w:sz w:val="22"/>
                <w:szCs w:val="22"/>
                <w:lang w:val="es-CO"/>
              </w:rPr>
              <w:t>9,</w:t>
            </w:r>
            <w:r w:rsidRPr="00A50042">
              <w:rPr>
                <w:b/>
                <w:bCs/>
                <w:sz w:val="22"/>
                <w:szCs w:val="22"/>
                <w:lang w:val="es-CO"/>
              </w:rPr>
              <w:t>4</w:t>
            </w:r>
            <w:r w:rsidR="00FA3AD7" w:rsidRPr="00A50042">
              <w:rPr>
                <w:b/>
                <w:bCs/>
                <w:sz w:val="22"/>
                <w:szCs w:val="22"/>
                <w:lang w:val="es-CO"/>
              </w:rPr>
              <w:t>00</w:t>
            </w:r>
          </w:p>
        </w:tc>
      </w:tr>
      <w:tr w:rsidR="00FA3AD7" w:rsidRPr="00A50042" w14:paraId="3509CB97" w14:textId="77777777">
        <w:trPr>
          <w:trHeight w:val="453"/>
        </w:trPr>
        <w:tc>
          <w:tcPr>
            <w:tcW w:w="2710" w:type="dxa"/>
            <w:tcBorders>
              <w:top w:val="nil"/>
              <w:left w:val="single" w:sz="8" w:space="0" w:color="auto"/>
              <w:bottom w:val="single" w:sz="8" w:space="0" w:color="auto"/>
              <w:right w:val="single" w:sz="8" w:space="0" w:color="auto"/>
            </w:tcBorders>
            <w:shd w:val="clear" w:color="auto" w:fill="auto"/>
            <w:noWrap/>
            <w:vAlign w:val="center"/>
          </w:tcPr>
          <w:p w14:paraId="5B7F2A5D" w14:textId="5AFD6891" w:rsidR="00FA3AD7" w:rsidRPr="00A50042" w:rsidRDefault="00FA3AD7">
            <w:pPr>
              <w:rPr>
                <w:b/>
                <w:bCs/>
                <w:iCs/>
                <w:sz w:val="22"/>
                <w:szCs w:val="22"/>
                <w:lang w:val="en-US"/>
              </w:rPr>
            </w:pPr>
            <w:r w:rsidRPr="00A50042">
              <w:rPr>
                <w:b/>
                <w:bCs/>
                <w:iCs/>
                <w:sz w:val="22"/>
                <w:szCs w:val="22"/>
                <w:lang w:val="en-US"/>
              </w:rPr>
              <w:t>Courses</w:t>
            </w:r>
          </w:p>
        </w:tc>
        <w:tc>
          <w:tcPr>
            <w:tcW w:w="1800" w:type="dxa"/>
            <w:tcBorders>
              <w:top w:val="nil"/>
              <w:left w:val="nil"/>
              <w:bottom w:val="single" w:sz="8" w:space="0" w:color="auto"/>
              <w:right w:val="single" w:sz="8" w:space="0" w:color="auto"/>
            </w:tcBorders>
            <w:shd w:val="clear" w:color="auto" w:fill="auto"/>
            <w:noWrap/>
            <w:vAlign w:val="center"/>
          </w:tcPr>
          <w:p w14:paraId="3889289F" w14:textId="2B57E4EB" w:rsidR="00FA3AD7" w:rsidRPr="00A50042" w:rsidRDefault="00BD7D2A">
            <w:pPr>
              <w:jc w:val="center"/>
              <w:rPr>
                <w:bCs/>
                <w:sz w:val="22"/>
                <w:szCs w:val="22"/>
                <w:lang w:val="es-CO"/>
              </w:rPr>
            </w:pPr>
            <w:r w:rsidRPr="00A50042">
              <w:rPr>
                <w:bCs/>
                <w:sz w:val="22"/>
                <w:szCs w:val="22"/>
                <w:lang w:val="es-CO"/>
              </w:rPr>
              <w:t>5,000</w:t>
            </w:r>
          </w:p>
        </w:tc>
        <w:tc>
          <w:tcPr>
            <w:tcW w:w="1800" w:type="dxa"/>
            <w:tcBorders>
              <w:top w:val="nil"/>
              <w:left w:val="nil"/>
              <w:bottom w:val="single" w:sz="8" w:space="0" w:color="auto"/>
              <w:right w:val="single" w:sz="8" w:space="0" w:color="auto"/>
            </w:tcBorders>
            <w:shd w:val="clear" w:color="auto" w:fill="auto"/>
            <w:noWrap/>
            <w:vAlign w:val="center"/>
          </w:tcPr>
          <w:p w14:paraId="00E838C0" w14:textId="76B5F630" w:rsidR="00FA3AD7" w:rsidRPr="00A50042" w:rsidRDefault="00BD7D2A">
            <w:pPr>
              <w:jc w:val="center"/>
              <w:rPr>
                <w:sz w:val="22"/>
                <w:szCs w:val="22"/>
                <w:lang w:val="es-CO"/>
              </w:rPr>
            </w:pPr>
            <w:r w:rsidRPr="00A50042">
              <w:rPr>
                <w:sz w:val="22"/>
                <w:szCs w:val="22"/>
                <w:lang w:val="es-CO"/>
              </w:rPr>
              <w:t>33,600</w:t>
            </w:r>
          </w:p>
        </w:tc>
        <w:tc>
          <w:tcPr>
            <w:tcW w:w="1620" w:type="dxa"/>
            <w:tcBorders>
              <w:top w:val="nil"/>
              <w:left w:val="nil"/>
              <w:bottom w:val="single" w:sz="8" w:space="0" w:color="auto"/>
              <w:right w:val="nil"/>
            </w:tcBorders>
            <w:shd w:val="clear" w:color="auto" w:fill="auto"/>
            <w:noWrap/>
            <w:vAlign w:val="center"/>
          </w:tcPr>
          <w:p w14:paraId="67D5E12F" w14:textId="2DB11F12" w:rsidR="00FA3AD7" w:rsidRPr="00A50042" w:rsidRDefault="00BD7D2A">
            <w:pPr>
              <w:jc w:val="center"/>
              <w:rPr>
                <w:sz w:val="22"/>
                <w:szCs w:val="22"/>
                <w:lang w:val="es-CO"/>
              </w:rPr>
            </w:pPr>
            <w:r w:rsidRPr="00A50042">
              <w:rPr>
                <w:sz w:val="22"/>
                <w:szCs w:val="22"/>
                <w:lang w:val="es-CO"/>
              </w:rPr>
              <w:t>20,000</w:t>
            </w:r>
          </w:p>
        </w:tc>
        <w:tc>
          <w:tcPr>
            <w:tcW w:w="1620" w:type="dxa"/>
            <w:tcBorders>
              <w:top w:val="nil"/>
              <w:left w:val="single" w:sz="8" w:space="0" w:color="auto"/>
              <w:bottom w:val="single" w:sz="8" w:space="0" w:color="auto"/>
              <w:right w:val="single" w:sz="8" w:space="0" w:color="auto"/>
            </w:tcBorders>
            <w:shd w:val="clear" w:color="auto" w:fill="C0C0C0"/>
            <w:noWrap/>
            <w:vAlign w:val="center"/>
          </w:tcPr>
          <w:p w14:paraId="132CB433" w14:textId="73CE7D1E" w:rsidR="00FA3AD7" w:rsidRPr="00A50042" w:rsidRDefault="00BD7D2A">
            <w:pPr>
              <w:jc w:val="center"/>
              <w:rPr>
                <w:b/>
                <w:bCs/>
                <w:sz w:val="22"/>
                <w:szCs w:val="22"/>
                <w:lang w:val="es-CO"/>
              </w:rPr>
            </w:pPr>
            <w:r w:rsidRPr="00A50042">
              <w:rPr>
                <w:b/>
                <w:bCs/>
                <w:sz w:val="22"/>
                <w:szCs w:val="22"/>
                <w:lang w:val="es-CO"/>
              </w:rPr>
              <w:t>58,600</w:t>
            </w:r>
          </w:p>
        </w:tc>
      </w:tr>
      <w:tr w:rsidR="00BD7D2A" w:rsidRPr="00A50042" w14:paraId="2F27FAAF" w14:textId="77777777">
        <w:trPr>
          <w:trHeight w:val="453"/>
        </w:trPr>
        <w:tc>
          <w:tcPr>
            <w:tcW w:w="27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C27988" w14:textId="48C449A0" w:rsidR="00BD7D2A" w:rsidRPr="00A50042" w:rsidRDefault="00BD7D2A">
            <w:pPr>
              <w:rPr>
                <w:b/>
                <w:bCs/>
                <w:iCs/>
                <w:sz w:val="22"/>
                <w:szCs w:val="22"/>
                <w:lang w:val="en-US"/>
              </w:rPr>
            </w:pPr>
            <w:r w:rsidRPr="00A50042">
              <w:rPr>
                <w:b/>
                <w:bCs/>
                <w:iCs/>
                <w:sz w:val="22"/>
                <w:szCs w:val="22"/>
                <w:lang w:val="en-US"/>
              </w:rPr>
              <w:t>Communications</w:t>
            </w: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72BD2C7F" w14:textId="03727E05" w:rsidR="00BD7D2A" w:rsidRPr="00A50042" w:rsidRDefault="00832244">
            <w:pPr>
              <w:jc w:val="center"/>
              <w:rPr>
                <w:bCs/>
                <w:sz w:val="22"/>
                <w:szCs w:val="22"/>
                <w:lang w:val="es-CO"/>
              </w:rPr>
            </w:pPr>
            <w:r>
              <w:rPr>
                <w:bCs/>
                <w:sz w:val="22"/>
                <w:szCs w:val="22"/>
                <w:lang w:val="es-CO"/>
              </w:rPr>
              <w:t>30</w:t>
            </w:r>
            <w:r w:rsidR="00BD7D2A" w:rsidRPr="00A50042">
              <w:rPr>
                <w:bCs/>
                <w:sz w:val="22"/>
                <w:szCs w:val="22"/>
                <w:lang w:val="es-CO"/>
              </w:rPr>
              <w:t>,000</w:t>
            </w: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5E60F906" w14:textId="4FF4F949" w:rsidR="00BD7D2A" w:rsidRPr="00A50042" w:rsidRDefault="00BD7D2A">
            <w:pPr>
              <w:jc w:val="center"/>
              <w:rPr>
                <w:bCs/>
                <w:sz w:val="22"/>
                <w:szCs w:val="22"/>
                <w:lang w:val="es-CO"/>
              </w:rPr>
            </w:pPr>
            <w:r w:rsidRPr="00A50042">
              <w:rPr>
                <w:bCs/>
                <w:sz w:val="22"/>
                <w:szCs w:val="22"/>
                <w:lang w:val="es-CO"/>
              </w:rPr>
              <w:t>42,150</w:t>
            </w:r>
          </w:p>
        </w:tc>
        <w:tc>
          <w:tcPr>
            <w:tcW w:w="1620" w:type="dxa"/>
            <w:tcBorders>
              <w:top w:val="single" w:sz="8" w:space="0" w:color="auto"/>
              <w:left w:val="single" w:sz="8" w:space="0" w:color="auto"/>
              <w:bottom w:val="single" w:sz="8" w:space="0" w:color="auto"/>
              <w:right w:val="nil"/>
            </w:tcBorders>
            <w:shd w:val="clear" w:color="auto" w:fill="auto"/>
            <w:noWrap/>
            <w:vAlign w:val="center"/>
          </w:tcPr>
          <w:p w14:paraId="493E42CE" w14:textId="69409EFE" w:rsidR="00BD7D2A" w:rsidRPr="00A50042" w:rsidRDefault="00BD7D2A">
            <w:pPr>
              <w:jc w:val="center"/>
              <w:rPr>
                <w:bCs/>
                <w:sz w:val="22"/>
                <w:szCs w:val="22"/>
                <w:lang w:val="es-CO"/>
              </w:rPr>
            </w:pPr>
            <w:r w:rsidRPr="00A50042">
              <w:rPr>
                <w:bCs/>
                <w:sz w:val="22"/>
                <w:szCs w:val="22"/>
                <w:lang w:val="es-CO"/>
              </w:rPr>
              <w:t>72,000</w:t>
            </w:r>
          </w:p>
        </w:tc>
        <w:tc>
          <w:tcPr>
            <w:tcW w:w="1620"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7495BAB0" w14:textId="0809229C" w:rsidR="00BD7D2A" w:rsidRPr="00A50042" w:rsidRDefault="00BD7D2A">
            <w:pPr>
              <w:jc w:val="center"/>
              <w:rPr>
                <w:b/>
                <w:bCs/>
                <w:sz w:val="22"/>
                <w:szCs w:val="22"/>
                <w:lang w:val="es-CO"/>
              </w:rPr>
            </w:pPr>
            <w:r w:rsidRPr="00A50042">
              <w:rPr>
                <w:b/>
                <w:bCs/>
                <w:sz w:val="22"/>
                <w:szCs w:val="22"/>
                <w:lang w:val="es-CO"/>
              </w:rPr>
              <w:t>1</w:t>
            </w:r>
            <w:r w:rsidR="002E6541">
              <w:rPr>
                <w:b/>
                <w:bCs/>
                <w:sz w:val="22"/>
                <w:szCs w:val="22"/>
                <w:lang w:val="es-CO"/>
              </w:rPr>
              <w:t>44,150</w:t>
            </w:r>
          </w:p>
        </w:tc>
      </w:tr>
      <w:tr w:rsidR="00BD7D2A" w:rsidRPr="00A50042" w14:paraId="4FCEC246" w14:textId="77777777">
        <w:trPr>
          <w:trHeight w:val="453"/>
        </w:trPr>
        <w:tc>
          <w:tcPr>
            <w:tcW w:w="27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C8D215" w14:textId="1243D568" w:rsidR="00BD7D2A" w:rsidRPr="00A50042" w:rsidRDefault="00BD7D2A">
            <w:pPr>
              <w:rPr>
                <w:b/>
                <w:bCs/>
                <w:iCs/>
                <w:sz w:val="22"/>
                <w:szCs w:val="22"/>
                <w:lang w:val="en-US"/>
              </w:rPr>
            </w:pPr>
            <w:r w:rsidRPr="00A50042">
              <w:rPr>
                <w:b/>
                <w:bCs/>
                <w:iCs/>
                <w:sz w:val="22"/>
                <w:szCs w:val="22"/>
                <w:lang w:val="en-US"/>
              </w:rPr>
              <w:t>Operations (administration)</w:t>
            </w: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5230468C" w14:textId="322EF32A" w:rsidR="00BD7D2A" w:rsidRPr="00A50042" w:rsidRDefault="00BD7D2A">
            <w:pPr>
              <w:jc w:val="center"/>
              <w:rPr>
                <w:bCs/>
                <w:sz w:val="22"/>
                <w:szCs w:val="22"/>
                <w:lang w:val="es-CO"/>
              </w:rPr>
            </w:pPr>
            <w:r w:rsidRPr="00A50042">
              <w:rPr>
                <w:bCs/>
                <w:sz w:val="22"/>
                <w:szCs w:val="22"/>
                <w:lang w:val="es-CO"/>
              </w:rPr>
              <w:t>1</w:t>
            </w:r>
            <w:r w:rsidR="006D2ADE">
              <w:rPr>
                <w:bCs/>
                <w:sz w:val="22"/>
                <w:szCs w:val="22"/>
                <w:lang w:val="es-CO"/>
              </w:rPr>
              <w:t>90</w:t>
            </w:r>
            <w:r w:rsidR="0067105C">
              <w:rPr>
                <w:bCs/>
                <w:sz w:val="22"/>
                <w:szCs w:val="22"/>
                <w:lang w:val="es-CO"/>
              </w:rPr>
              <w:t>,48</w:t>
            </w:r>
            <w:r w:rsidR="006D2ADE">
              <w:rPr>
                <w:bCs/>
                <w:sz w:val="22"/>
                <w:szCs w:val="22"/>
                <w:lang w:val="es-CO"/>
              </w:rPr>
              <w:t>5</w:t>
            </w: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210F3750" w14:textId="1F244D04" w:rsidR="00BD7D2A" w:rsidRPr="00A50042" w:rsidRDefault="00BD7D2A">
            <w:pPr>
              <w:jc w:val="center"/>
              <w:rPr>
                <w:bCs/>
                <w:sz w:val="22"/>
                <w:szCs w:val="22"/>
                <w:lang w:val="es-CO"/>
              </w:rPr>
            </w:pPr>
            <w:r w:rsidRPr="00A50042">
              <w:rPr>
                <w:bCs/>
                <w:sz w:val="22"/>
                <w:szCs w:val="22"/>
                <w:lang w:val="es-CO"/>
              </w:rPr>
              <w:t>70,913</w:t>
            </w:r>
          </w:p>
        </w:tc>
        <w:tc>
          <w:tcPr>
            <w:tcW w:w="1620" w:type="dxa"/>
            <w:tcBorders>
              <w:top w:val="single" w:sz="8" w:space="0" w:color="auto"/>
              <w:left w:val="single" w:sz="8" w:space="0" w:color="auto"/>
              <w:bottom w:val="single" w:sz="8" w:space="0" w:color="auto"/>
              <w:right w:val="nil"/>
            </w:tcBorders>
            <w:shd w:val="clear" w:color="auto" w:fill="auto"/>
            <w:noWrap/>
            <w:vAlign w:val="center"/>
          </w:tcPr>
          <w:p w14:paraId="5FC9B25B" w14:textId="7D292A61" w:rsidR="00BD7D2A" w:rsidRPr="00A50042" w:rsidRDefault="00BD7D2A">
            <w:pPr>
              <w:jc w:val="center"/>
              <w:rPr>
                <w:bCs/>
                <w:sz w:val="22"/>
                <w:szCs w:val="22"/>
                <w:lang w:val="es-CO"/>
              </w:rPr>
            </w:pPr>
            <w:r w:rsidRPr="00A50042">
              <w:rPr>
                <w:bCs/>
                <w:sz w:val="22"/>
                <w:szCs w:val="22"/>
                <w:lang w:val="es-CO"/>
              </w:rPr>
              <w:t>1</w:t>
            </w:r>
            <w:r w:rsidR="006D2ADE">
              <w:rPr>
                <w:bCs/>
                <w:sz w:val="22"/>
                <w:szCs w:val="22"/>
                <w:lang w:val="es-CO"/>
              </w:rPr>
              <w:t>40</w:t>
            </w:r>
            <w:r w:rsidRPr="00A50042">
              <w:rPr>
                <w:bCs/>
                <w:sz w:val="22"/>
                <w:szCs w:val="22"/>
                <w:lang w:val="es-CO"/>
              </w:rPr>
              <w:t>,000</w:t>
            </w:r>
          </w:p>
        </w:tc>
        <w:tc>
          <w:tcPr>
            <w:tcW w:w="1620"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57CC3309" w14:textId="2FC792FA" w:rsidR="00BD7D2A" w:rsidRPr="00A50042" w:rsidRDefault="006D2ADE">
            <w:pPr>
              <w:jc w:val="center"/>
              <w:rPr>
                <w:b/>
                <w:bCs/>
                <w:sz w:val="22"/>
                <w:szCs w:val="22"/>
                <w:lang w:val="es-CO"/>
              </w:rPr>
            </w:pPr>
            <w:r>
              <w:rPr>
                <w:b/>
                <w:bCs/>
                <w:sz w:val="22"/>
                <w:szCs w:val="22"/>
                <w:lang w:val="es-CO"/>
              </w:rPr>
              <w:t>401</w:t>
            </w:r>
            <w:r w:rsidR="0067105C">
              <w:rPr>
                <w:b/>
                <w:bCs/>
                <w:sz w:val="22"/>
                <w:szCs w:val="22"/>
                <w:lang w:val="es-CO"/>
              </w:rPr>
              <w:t>,</w:t>
            </w:r>
            <w:r>
              <w:rPr>
                <w:b/>
                <w:bCs/>
                <w:sz w:val="22"/>
                <w:szCs w:val="22"/>
                <w:lang w:val="es-CO"/>
              </w:rPr>
              <w:t>398</w:t>
            </w:r>
          </w:p>
        </w:tc>
      </w:tr>
      <w:tr w:rsidR="00BD7D2A" w:rsidRPr="00A50042" w14:paraId="0A0ED2BD" w14:textId="77777777">
        <w:trPr>
          <w:trHeight w:val="453"/>
        </w:trPr>
        <w:tc>
          <w:tcPr>
            <w:tcW w:w="27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C0E174" w14:textId="5A4DE036" w:rsidR="00BD7D2A" w:rsidRPr="00A50042" w:rsidRDefault="00BD7D2A" w:rsidP="00BD7D2A">
            <w:pPr>
              <w:rPr>
                <w:b/>
                <w:bCs/>
                <w:iCs/>
                <w:sz w:val="22"/>
                <w:szCs w:val="22"/>
                <w:lang w:val="en-US"/>
              </w:rPr>
            </w:pPr>
            <w:r w:rsidRPr="00A50042">
              <w:rPr>
                <w:b/>
                <w:bCs/>
                <w:iCs/>
                <w:sz w:val="22"/>
                <w:szCs w:val="22"/>
                <w:lang w:val="en-US"/>
              </w:rPr>
              <w:t>Others</w:t>
            </w: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64960CAF" w14:textId="4E335B76" w:rsidR="00BD7D2A" w:rsidRPr="00A50042" w:rsidRDefault="006D2ADE" w:rsidP="00BD7D2A">
            <w:pPr>
              <w:jc w:val="center"/>
              <w:rPr>
                <w:bCs/>
                <w:sz w:val="22"/>
                <w:szCs w:val="22"/>
                <w:lang w:val="es-CO"/>
              </w:rPr>
            </w:pPr>
            <w:r>
              <w:rPr>
                <w:bCs/>
                <w:sz w:val="22"/>
                <w:szCs w:val="22"/>
                <w:lang w:val="es-CO"/>
              </w:rPr>
              <w:t>1</w:t>
            </w:r>
            <w:r w:rsidR="00BD7D2A" w:rsidRPr="00A50042">
              <w:rPr>
                <w:bCs/>
                <w:sz w:val="22"/>
                <w:szCs w:val="22"/>
                <w:lang w:val="es-CO"/>
              </w:rPr>
              <w:t>6,125</w:t>
            </w: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6B7184D7" w14:textId="1391A0D8" w:rsidR="00BD7D2A" w:rsidRPr="00A50042" w:rsidRDefault="00BD7D2A" w:rsidP="00BD7D2A">
            <w:pPr>
              <w:jc w:val="center"/>
              <w:rPr>
                <w:bCs/>
                <w:sz w:val="22"/>
                <w:szCs w:val="22"/>
                <w:lang w:val="es-CO"/>
              </w:rPr>
            </w:pPr>
          </w:p>
        </w:tc>
        <w:tc>
          <w:tcPr>
            <w:tcW w:w="1620" w:type="dxa"/>
            <w:tcBorders>
              <w:top w:val="single" w:sz="8" w:space="0" w:color="auto"/>
              <w:left w:val="single" w:sz="8" w:space="0" w:color="auto"/>
              <w:bottom w:val="single" w:sz="8" w:space="0" w:color="auto"/>
              <w:right w:val="nil"/>
            </w:tcBorders>
            <w:shd w:val="clear" w:color="auto" w:fill="auto"/>
            <w:noWrap/>
            <w:vAlign w:val="center"/>
          </w:tcPr>
          <w:p w14:paraId="7D022230" w14:textId="54D42774" w:rsidR="00BD7D2A" w:rsidRPr="00A50042" w:rsidRDefault="00BD7D2A" w:rsidP="00BD7D2A">
            <w:pPr>
              <w:jc w:val="center"/>
              <w:rPr>
                <w:bCs/>
                <w:sz w:val="22"/>
                <w:szCs w:val="22"/>
                <w:lang w:val="es-CO"/>
              </w:rPr>
            </w:pPr>
          </w:p>
        </w:tc>
        <w:tc>
          <w:tcPr>
            <w:tcW w:w="1620"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55E695D4" w14:textId="165E4E13" w:rsidR="00BD7D2A" w:rsidRPr="00A50042" w:rsidRDefault="006D2ADE" w:rsidP="00BD7D2A">
            <w:pPr>
              <w:jc w:val="center"/>
              <w:rPr>
                <w:b/>
                <w:bCs/>
                <w:sz w:val="22"/>
                <w:szCs w:val="22"/>
                <w:lang w:val="es-CO"/>
              </w:rPr>
            </w:pPr>
            <w:r>
              <w:rPr>
                <w:b/>
                <w:bCs/>
                <w:sz w:val="22"/>
                <w:szCs w:val="22"/>
                <w:lang w:val="es-CO"/>
              </w:rPr>
              <w:t>1</w:t>
            </w:r>
            <w:r w:rsidR="00BD7D2A" w:rsidRPr="00A50042">
              <w:rPr>
                <w:b/>
                <w:bCs/>
                <w:sz w:val="22"/>
                <w:szCs w:val="22"/>
                <w:lang w:val="es-CO"/>
              </w:rPr>
              <w:t>6,125</w:t>
            </w:r>
          </w:p>
        </w:tc>
      </w:tr>
      <w:tr w:rsidR="00BD7D2A" w:rsidRPr="00A50042" w14:paraId="54C057F6" w14:textId="77777777">
        <w:trPr>
          <w:trHeight w:val="453"/>
        </w:trPr>
        <w:tc>
          <w:tcPr>
            <w:tcW w:w="2710" w:type="dxa"/>
            <w:tcBorders>
              <w:top w:val="single" w:sz="8" w:space="0" w:color="auto"/>
              <w:left w:val="single" w:sz="8" w:space="0" w:color="auto"/>
              <w:bottom w:val="single" w:sz="8" w:space="0" w:color="auto"/>
              <w:right w:val="nil"/>
            </w:tcBorders>
            <w:shd w:val="clear" w:color="auto" w:fill="auto"/>
            <w:noWrap/>
            <w:vAlign w:val="center"/>
          </w:tcPr>
          <w:p w14:paraId="70459348" w14:textId="7A1168F0" w:rsidR="00BD7D2A" w:rsidRPr="00A50042" w:rsidRDefault="00BD7D2A">
            <w:pPr>
              <w:rPr>
                <w:b/>
                <w:bCs/>
                <w:iCs/>
                <w:sz w:val="22"/>
                <w:szCs w:val="22"/>
                <w:lang w:val="en-US"/>
              </w:rPr>
            </w:pPr>
            <w:r w:rsidRPr="00A50042">
              <w:rPr>
                <w:b/>
                <w:bCs/>
                <w:sz w:val="22"/>
                <w:szCs w:val="22"/>
                <w:lang w:val="en-US"/>
              </w:rPr>
              <w:t>TOTAL COSTS</w:t>
            </w: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383036FB" w14:textId="7E04E14E" w:rsidR="00BD7D2A" w:rsidRPr="00A50042" w:rsidRDefault="00BD7D2A">
            <w:pPr>
              <w:jc w:val="center"/>
              <w:rPr>
                <w:bCs/>
                <w:sz w:val="22"/>
                <w:szCs w:val="22"/>
                <w:lang w:val="es-CO"/>
              </w:rPr>
            </w:pPr>
            <w:r w:rsidRPr="00A50042">
              <w:rPr>
                <w:b/>
                <w:bCs/>
                <w:i/>
                <w:iCs/>
                <w:sz w:val="22"/>
                <w:szCs w:val="22"/>
                <w:lang w:val="es-CO"/>
              </w:rPr>
              <w:t>$</w:t>
            </w:r>
            <w:r w:rsidR="006D2ADE">
              <w:rPr>
                <w:b/>
                <w:bCs/>
                <w:i/>
                <w:iCs/>
                <w:sz w:val="22"/>
                <w:szCs w:val="22"/>
                <w:lang w:val="es-CO"/>
              </w:rPr>
              <w:t>625</w:t>
            </w:r>
            <w:r w:rsidR="007C4A2A">
              <w:rPr>
                <w:b/>
                <w:bCs/>
                <w:i/>
                <w:iCs/>
                <w:sz w:val="22"/>
                <w:szCs w:val="22"/>
                <w:lang w:val="es-CO"/>
              </w:rPr>
              <w:t>,65</w:t>
            </w:r>
            <w:r w:rsidR="006D2ADE">
              <w:rPr>
                <w:b/>
                <w:bCs/>
                <w:i/>
                <w:iCs/>
                <w:sz w:val="22"/>
                <w:szCs w:val="22"/>
                <w:lang w:val="es-CO"/>
              </w:rPr>
              <w:t>6</w:t>
            </w: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2CB9FE8C" w14:textId="7C11A921" w:rsidR="00BD7D2A" w:rsidRPr="00A50042" w:rsidRDefault="00BD7D2A">
            <w:pPr>
              <w:jc w:val="center"/>
              <w:rPr>
                <w:bCs/>
                <w:sz w:val="22"/>
                <w:szCs w:val="22"/>
                <w:lang w:val="es-CO"/>
              </w:rPr>
            </w:pPr>
            <w:r w:rsidRPr="00A50042">
              <w:rPr>
                <w:b/>
                <w:bCs/>
                <w:i/>
                <w:iCs/>
                <w:sz w:val="22"/>
                <w:szCs w:val="22"/>
                <w:lang w:val="es-CO"/>
              </w:rPr>
              <w:t>$353,000</w:t>
            </w:r>
          </w:p>
        </w:tc>
        <w:tc>
          <w:tcPr>
            <w:tcW w:w="1620" w:type="dxa"/>
            <w:tcBorders>
              <w:top w:val="single" w:sz="8" w:space="0" w:color="auto"/>
              <w:left w:val="single" w:sz="8" w:space="0" w:color="auto"/>
              <w:bottom w:val="single" w:sz="8" w:space="0" w:color="auto"/>
              <w:right w:val="nil"/>
            </w:tcBorders>
            <w:shd w:val="clear" w:color="auto" w:fill="auto"/>
            <w:noWrap/>
            <w:vAlign w:val="center"/>
          </w:tcPr>
          <w:p w14:paraId="7666FFA5" w14:textId="7AF8BFD6" w:rsidR="00BD7D2A" w:rsidRPr="00A50042" w:rsidRDefault="00BD7D2A">
            <w:pPr>
              <w:jc w:val="center"/>
              <w:rPr>
                <w:bCs/>
                <w:sz w:val="22"/>
                <w:szCs w:val="22"/>
                <w:lang w:val="es-CO"/>
              </w:rPr>
            </w:pPr>
            <w:r w:rsidRPr="00A50042">
              <w:rPr>
                <w:b/>
                <w:bCs/>
                <w:i/>
                <w:iCs/>
                <w:sz w:val="22"/>
                <w:szCs w:val="22"/>
                <w:lang w:val="es-CO"/>
              </w:rPr>
              <w:t>$</w:t>
            </w:r>
            <w:r w:rsidR="007C4A2A">
              <w:rPr>
                <w:b/>
                <w:bCs/>
                <w:i/>
                <w:iCs/>
                <w:sz w:val="22"/>
                <w:szCs w:val="22"/>
                <w:lang w:val="es-CO"/>
              </w:rPr>
              <w:t>4</w:t>
            </w:r>
            <w:r w:rsidR="006D2ADE">
              <w:rPr>
                <w:b/>
                <w:bCs/>
                <w:i/>
                <w:iCs/>
                <w:sz w:val="22"/>
                <w:szCs w:val="22"/>
                <w:lang w:val="es-CO"/>
              </w:rPr>
              <w:t>22</w:t>
            </w:r>
            <w:r w:rsidRPr="00A50042">
              <w:rPr>
                <w:b/>
                <w:bCs/>
                <w:i/>
                <w:iCs/>
                <w:sz w:val="22"/>
                <w:szCs w:val="22"/>
                <w:lang w:val="es-CO"/>
              </w:rPr>
              <w:t>,000</w:t>
            </w:r>
          </w:p>
        </w:tc>
        <w:tc>
          <w:tcPr>
            <w:tcW w:w="1620"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686A6562" w14:textId="3FF4ED47" w:rsidR="00BD7D2A" w:rsidRPr="00A50042" w:rsidRDefault="00BD7D2A">
            <w:pPr>
              <w:jc w:val="center"/>
              <w:rPr>
                <w:b/>
                <w:bCs/>
                <w:sz w:val="22"/>
                <w:szCs w:val="22"/>
                <w:lang w:val="es-CO"/>
              </w:rPr>
            </w:pPr>
            <w:r w:rsidRPr="00A50042">
              <w:rPr>
                <w:b/>
                <w:bCs/>
                <w:sz w:val="22"/>
                <w:szCs w:val="22"/>
                <w:lang w:val="es-CO"/>
              </w:rPr>
              <w:t>$1,</w:t>
            </w:r>
            <w:r w:rsidR="006D2ADE">
              <w:rPr>
                <w:b/>
                <w:bCs/>
                <w:sz w:val="22"/>
                <w:szCs w:val="22"/>
                <w:lang w:val="es-CO"/>
              </w:rPr>
              <w:t>400</w:t>
            </w:r>
            <w:r w:rsidRPr="00A50042">
              <w:rPr>
                <w:b/>
                <w:bCs/>
                <w:sz w:val="22"/>
                <w:szCs w:val="22"/>
                <w:lang w:val="es-CO"/>
              </w:rPr>
              <w:t>,6</w:t>
            </w:r>
            <w:r w:rsidR="006D2ADE">
              <w:rPr>
                <w:b/>
                <w:bCs/>
                <w:sz w:val="22"/>
                <w:szCs w:val="22"/>
                <w:lang w:val="es-CO"/>
              </w:rPr>
              <w:t>57</w:t>
            </w:r>
          </w:p>
        </w:tc>
      </w:tr>
    </w:tbl>
    <w:p w14:paraId="62CAD869" w14:textId="77777777" w:rsidR="006D2ADE" w:rsidRDefault="006D2ADE" w:rsidP="00433442">
      <w:pPr>
        <w:spacing w:line="250" w:lineRule="exact"/>
        <w:jc w:val="both"/>
        <w:rPr>
          <w:sz w:val="22"/>
          <w:szCs w:val="22"/>
          <w:lang w:val="en-US"/>
        </w:rPr>
      </w:pPr>
    </w:p>
    <w:p w14:paraId="1D9A34C5" w14:textId="4E7B1469" w:rsidR="00433442" w:rsidRPr="00A50042" w:rsidRDefault="00433442" w:rsidP="00433442">
      <w:pPr>
        <w:spacing w:line="250" w:lineRule="exact"/>
        <w:jc w:val="both"/>
        <w:rPr>
          <w:sz w:val="22"/>
          <w:szCs w:val="22"/>
          <w:lang w:val="en-US"/>
        </w:rPr>
      </w:pPr>
      <w:r w:rsidRPr="00A50042">
        <w:rPr>
          <w:sz w:val="22"/>
          <w:szCs w:val="22"/>
          <w:lang w:val="en-US"/>
        </w:rPr>
        <w:t xml:space="preserve">Appendix 2 expands on this Chart and provides details about past costs according to their funding source, including resources that have </w:t>
      </w:r>
      <w:r w:rsidRPr="00A50042">
        <w:rPr>
          <w:noProof/>
          <w:sz w:val="22"/>
          <w:szCs w:val="22"/>
          <w:lang w:val="en-US"/>
        </w:rPr>
        <w:t>been leveraged</w:t>
      </w:r>
      <w:r w:rsidRPr="00A50042">
        <w:rPr>
          <w:sz w:val="22"/>
          <w:szCs w:val="22"/>
          <w:lang w:val="en-US"/>
        </w:rPr>
        <w:t xml:space="preserve"> for each activity.</w:t>
      </w:r>
    </w:p>
    <w:p w14:paraId="3B1215F2" w14:textId="77777777" w:rsidR="008979E6" w:rsidRDefault="008979E6" w:rsidP="00E26DFA">
      <w:pPr>
        <w:spacing w:line="250" w:lineRule="exact"/>
        <w:jc w:val="both"/>
        <w:rPr>
          <w:sz w:val="22"/>
          <w:szCs w:val="22"/>
          <w:lang w:val="en-US"/>
        </w:rPr>
      </w:pPr>
    </w:p>
    <w:p w14:paraId="286C72B5" w14:textId="2A528D40" w:rsidR="00BD7D2A" w:rsidRPr="00A50042" w:rsidRDefault="00433442" w:rsidP="00E26DFA">
      <w:pPr>
        <w:spacing w:line="250" w:lineRule="exact"/>
        <w:jc w:val="both"/>
        <w:rPr>
          <w:sz w:val="22"/>
          <w:szCs w:val="22"/>
          <w:lang w:val="en-US"/>
        </w:rPr>
      </w:pPr>
      <w:r w:rsidRPr="00A50042">
        <w:rPr>
          <w:sz w:val="22"/>
          <w:szCs w:val="22"/>
          <w:lang w:val="en-US"/>
        </w:rPr>
        <w:t>Figure No. 2 shows the distribution of expenses according to their component.</w:t>
      </w:r>
      <w:r w:rsidR="006D2ADE">
        <w:rPr>
          <w:sz w:val="22"/>
          <w:szCs w:val="22"/>
          <w:lang w:val="en-US"/>
        </w:rPr>
        <w:t xml:space="preserve"> </w:t>
      </w:r>
      <w:r w:rsidRPr="00A50042">
        <w:rPr>
          <w:sz w:val="22"/>
          <w:szCs w:val="22"/>
          <w:lang w:val="en-US"/>
        </w:rPr>
        <w:t>The operation component is divided in 2:  1) the part that the OAS has covered in salaries of a consultant that supports the administration</w:t>
      </w:r>
      <w:r w:rsidR="006D2ADE">
        <w:rPr>
          <w:sz w:val="22"/>
          <w:szCs w:val="22"/>
          <w:lang w:val="en-US"/>
        </w:rPr>
        <w:t xml:space="preserve">, </w:t>
      </w:r>
      <w:r w:rsidRPr="00A50042">
        <w:rPr>
          <w:sz w:val="22"/>
          <w:szCs w:val="22"/>
          <w:lang w:val="en-US"/>
        </w:rPr>
        <w:t>logistics</w:t>
      </w:r>
      <w:r w:rsidR="006D2ADE">
        <w:rPr>
          <w:sz w:val="22"/>
          <w:szCs w:val="22"/>
          <w:lang w:val="en-US"/>
        </w:rPr>
        <w:t xml:space="preserve">, and development </w:t>
      </w:r>
      <w:r w:rsidRPr="00A50042">
        <w:rPr>
          <w:sz w:val="22"/>
          <w:szCs w:val="22"/>
          <w:lang w:val="en-US"/>
        </w:rPr>
        <w:t xml:space="preserve">of </w:t>
      </w:r>
      <w:r w:rsidR="006D2ADE">
        <w:rPr>
          <w:sz w:val="22"/>
          <w:szCs w:val="22"/>
          <w:lang w:val="en-US"/>
        </w:rPr>
        <w:t>new</w:t>
      </w:r>
      <w:r w:rsidRPr="00A50042">
        <w:rPr>
          <w:sz w:val="22"/>
          <w:szCs w:val="22"/>
          <w:lang w:val="en-US"/>
        </w:rPr>
        <w:t xml:space="preserve"> RIAL</w:t>
      </w:r>
      <w:r w:rsidR="006D2ADE">
        <w:rPr>
          <w:sz w:val="22"/>
          <w:szCs w:val="22"/>
          <w:lang w:val="en-US"/>
        </w:rPr>
        <w:t xml:space="preserve"> products</w:t>
      </w:r>
      <w:r w:rsidRPr="00A50042">
        <w:rPr>
          <w:sz w:val="22"/>
          <w:szCs w:val="22"/>
          <w:lang w:val="en-US"/>
        </w:rPr>
        <w:t>, and 2) the part that the RIAL Fund has covered for the same purpose. The time of the Coordinator of the RIAL is not counted.</w:t>
      </w:r>
    </w:p>
    <w:p w14:paraId="6DFD0A76" w14:textId="170B3577" w:rsidR="00E26DFA" w:rsidRPr="00A50042" w:rsidRDefault="00E26DFA">
      <w:pPr>
        <w:rPr>
          <w:sz w:val="22"/>
          <w:szCs w:val="22"/>
          <w:lang w:val="en-US"/>
        </w:rPr>
      </w:pPr>
    </w:p>
    <w:p w14:paraId="7A11FC8E" w14:textId="74743470" w:rsidR="00433442" w:rsidRPr="00A50042" w:rsidRDefault="00433442" w:rsidP="00433442">
      <w:pPr>
        <w:spacing w:line="250" w:lineRule="exact"/>
        <w:jc w:val="center"/>
        <w:rPr>
          <w:b/>
          <w:sz w:val="22"/>
          <w:szCs w:val="22"/>
          <w:lang w:val="en-US"/>
        </w:rPr>
      </w:pPr>
      <w:r w:rsidRPr="00A50042">
        <w:rPr>
          <w:b/>
          <w:sz w:val="22"/>
          <w:szCs w:val="22"/>
          <w:lang w:val="en-US"/>
        </w:rPr>
        <w:t>Figure No. 2</w:t>
      </w:r>
    </w:p>
    <w:p w14:paraId="1F12D48A" w14:textId="0FF97829" w:rsidR="00433442" w:rsidRPr="00A50042" w:rsidRDefault="00433442" w:rsidP="00433442">
      <w:pPr>
        <w:spacing w:line="250" w:lineRule="exact"/>
        <w:jc w:val="center"/>
        <w:rPr>
          <w:b/>
          <w:sz w:val="22"/>
          <w:szCs w:val="22"/>
          <w:lang w:val="en-US"/>
        </w:rPr>
      </w:pPr>
      <w:r w:rsidRPr="00A50042">
        <w:rPr>
          <w:b/>
          <w:sz w:val="22"/>
          <w:szCs w:val="22"/>
          <w:lang w:val="en-US"/>
        </w:rPr>
        <w:t>Distribution of RIAL expenditures</w:t>
      </w:r>
    </w:p>
    <w:p w14:paraId="39CBFFFF" w14:textId="70838652" w:rsidR="00433442" w:rsidRDefault="002167CB" w:rsidP="00433442">
      <w:pPr>
        <w:rPr>
          <w:sz w:val="22"/>
          <w:szCs w:val="22"/>
          <w:lang w:val="en-US"/>
        </w:rPr>
      </w:pPr>
      <w:r>
        <w:rPr>
          <w:b/>
          <w:noProof/>
          <w:sz w:val="22"/>
          <w:szCs w:val="22"/>
        </w:rPr>
        <w:drawing>
          <wp:anchor distT="0" distB="0" distL="114300" distR="114300" simplePos="0" relativeHeight="251666434" behindDoc="0" locked="0" layoutInCell="1" allowOverlap="1" wp14:anchorId="5E8370F2" wp14:editId="32D88B02">
            <wp:simplePos x="0" y="0"/>
            <wp:positionH relativeFrom="column">
              <wp:posOffset>1337779</wp:posOffset>
            </wp:positionH>
            <wp:positionV relativeFrom="line">
              <wp:posOffset>45085</wp:posOffset>
            </wp:positionV>
            <wp:extent cx="2965340" cy="2280188"/>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5340" cy="2280188"/>
                    </a:xfrm>
                    <a:prstGeom prst="rect">
                      <a:avLst/>
                    </a:prstGeom>
                    <a:noFill/>
                  </pic:spPr>
                </pic:pic>
              </a:graphicData>
            </a:graphic>
            <wp14:sizeRelH relativeFrom="page">
              <wp14:pctWidth>0</wp14:pctWidth>
            </wp14:sizeRelH>
            <wp14:sizeRelV relativeFrom="page">
              <wp14:pctHeight>0</wp14:pctHeight>
            </wp14:sizeRelV>
          </wp:anchor>
        </w:drawing>
      </w:r>
    </w:p>
    <w:p w14:paraId="7867D594" w14:textId="0D7E1A1A" w:rsidR="002167CB" w:rsidRPr="00A50042" w:rsidRDefault="002167CB" w:rsidP="00433442">
      <w:pPr>
        <w:rPr>
          <w:sz w:val="22"/>
          <w:szCs w:val="22"/>
          <w:lang w:val="en-US"/>
        </w:rPr>
      </w:pPr>
    </w:p>
    <w:p w14:paraId="059B8D74" w14:textId="3B9493D1" w:rsidR="00E338BE" w:rsidRDefault="00E338BE" w:rsidP="00433442">
      <w:pPr>
        <w:spacing w:line="250" w:lineRule="exact"/>
        <w:jc w:val="both"/>
        <w:rPr>
          <w:sz w:val="22"/>
          <w:szCs w:val="22"/>
          <w:lang w:val="en-US"/>
        </w:rPr>
      </w:pPr>
    </w:p>
    <w:p w14:paraId="5F593ED3" w14:textId="6709CA68" w:rsidR="00E338BE" w:rsidRDefault="00E338BE" w:rsidP="00433442">
      <w:pPr>
        <w:spacing w:line="250" w:lineRule="exact"/>
        <w:jc w:val="both"/>
        <w:rPr>
          <w:sz w:val="22"/>
          <w:szCs w:val="22"/>
          <w:lang w:val="en-US"/>
        </w:rPr>
      </w:pPr>
    </w:p>
    <w:p w14:paraId="18E01791" w14:textId="6377BF34" w:rsidR="00E338BE" w:rsidRDefault="00E338BE" w:rsidP="00433442">
      <w:pPr>
        <w:spacing w:line="250" w:lineRule="exact"/>
        <w:jc w:val="both"/>
        <w:rPr>
          <w:sz w:val="22"/>
          <w:szCs w:val="22"/>
          <w:lang w:val="en-US"/>
        </w:rPr>
      </w:pPr>
    </w:p>
    <w:p w14:paraId="33EFB930" w14:textId="0FCEE229" w:rsidR="00E338BE" w:rsidRDefault="00E338BE" w:rsidP="00433442">
      <w:pPr>
        <w:spacing w:line="250" w:lineRule="exact"/>
        <w:jc w:val="both"/>
        <w:rPr>
          <w:sz w:val="22"/>
          <w:szCs w:val="22"/>
          <w:lang w:val="en-US"/>
        </w:rPr>
      </w:pPr>
    </w:p>
    <w:p w14:paraId="32679124" w14:textId="7483FC2E" w:rsidR="00E338BE" w:rsidRDefault="00E338BE" w:rsidP="00433442">
      <w:pPr>
        <w:spacing w:line="250" w:lineRule="exact"/>
        <w:jc w:val="both"/>
        <w:rPr>
          <w:sz w:val="22"/>
          <w:szCs w:val="22"/>
          <w:lang w:val="en-US"/>
        </w:rPr>
      </w:pPr>
    </w:p>
    <w:p w14:paraId="5E3FE998" w14:textId="77777777" w:rsidR="00E338BE" w:rsidRDefault="00E338BE" w:rsidP="00433442">
      <w:pPr>
        <w:spacing w:line="250" w:lineRule="exact"/>
        <w:jc w:val="both"/>
        <w:rPr>
          <w:sz w:val="22"/>
          <w:szCs w:val="22"/>
          <w:lang w:val="en-US"/>
        </w:rPr>
      </w:pPr>
    </w:p>
    <w:p w14:paraId="48B1ACC2" w14:textId="77777777" w:rsidR="00E338BE" w:rsidRDefault="00E338BE" w:rsidP="00433442">
      <w:pPr>
        <w:spacing w:line="250" w:lineRule="exact"/>
        <w:jc w:val="both"/>
        <w:rPr>
          <w:sz w:val="22"/>
          <w:szCs w:val="22"/>
          <w:lang w:val="en-US"/>
        </w:rPr>
      </w:pPr>
    </w:p>
    <w:p w14:paraId="4450CEB0" w14:textId="77777777" w:rsidR="00E338BE" w:rsidRDefault="00E338BE" w:rsidP="00433442">
      <w:pPr>
        <w:spacing w:line="250" w:lineRule="exact"/>
        <w:jc w:val="both"/>
        <w:rPr>
          <w:sz w:val="22"/>
          <w:szCs w:val="22"/>
          <w:lang w:val="en-US"/>
        </w:rPr>
      </w:pPr>
    </w:p>
    <w:p w14:paraId="4617F19B" w14:textId="1E3993B3" w:rsidR="00E338BE" w:rsidRDefault="00E338BE" w:rsidP="00433442">
      <w:pPr>
        <w:spacing w:line="250" w:lineRule="exact"/>
        <w:jc w:val="both"/>
        <w:rPr>
          <w:sz w:val="22"/>
          <w:szCs w:val="22"/>
          <w:lang w:val="en-US"/>
        </w:rPr>
      </w:pPr>
    </w:p>
    <w:p w14:paraId="3256DD82" w14:textId="77777777" w:rsidR="00E338BE" w:rsidRDefault="00E338BE" w:rsidP="00433442">
      <w:pPr>
        <w:spacing w:line="250" w:lineRule="exact"/>
        <w:jc w:val="both"/>
        <w:rPr>
          <w:sz w:val="22"/>
          <w:szCs w:val="22"/>
          <w:lang w:val="en-US"/>
        </w:rPr>
      </w:pPr>
    </w:p>
    <w:p w14:paraId="303D2D5A" w14:textId="4D800931" w:rsidR="00433442" w:rsidRPr="00A50042" w:rsidRDefault="00433442" w:rsidP="00433442">
      <w:pPr>
        <w:spacing w:line="250" w:lineRule="exact"/>
        <w:jc w:val="both"/>
        <w:rPr>
          <w:sz w:val="22"/>
          <w:szCs w:val="22"/>
          <w:lang w:val="en-US"/>
        </w:rPr>
      </w:pPr>
      <w:r w:rsidRPr="00A50042">
        <w:rPr>
          <w:sz w:val="22"/>
          <w:szCs w:val="22"/>
          <w:lang w:val="en-US"/>
        </w:rPr>
        <w:lastRenderedPageBreak/>
        <w:t xml:space="preserve">Some important facts about costs: </w:t>
      </w:r>
    </w:p>
    <w:p w14:paraId="3601ADBD" w14:textId="77777777" w:rsidR="00433442" w:rsidRPr="00A50042" w:rsidRDefault="00433442" w:rsidP="00433442">
      <w:pPr>
        <w:spacing w:line="250" w:lineRule="exact"/>
        <w:jc w:val="both"/>
        <w:rPr>
          <w:sz w:val="22"/>
          <w:szCs w:val="22"/>
          <w:lang w:val="en-US"/>
        </w:rPr>
      </w:pPr>
    </w:p>
    <w:p w14:paraId="2BDB5348" w14:textId="52A87A90" w:rsidR="00433442" w:rsidRPr="00A50042" w:rsidRDefault="00433442" w:rsidP="00433442">
      <w:pPr>
        <w:numPr>
          <w:ilvl w:val="0"/>
          <w:numId w:val="2"/>
        </w:numPr>
        <w:spacing w:line="250" w:lineRule="exact"/>
        <w:jc w:val="both"/>
        <w:rPr>
          <w:sz w:val="22"/>
          <w:szCs w:val="22"/>
          <w:lang w:val="en-US"/>
        </w:rPr>
      </w:pPr>
      <w:r w:rsidRPr="00A50042">
        <w:rPr>
          <w:sz w:val="22"/>
          <w:szCs w:val="22"/>
          <w:lang w:val="en-US"/>
        </w:rPr>
        <w:t xml:space="preserve">In </w:t>
      </w:r>
      <w:r w:rsidR="002D0649">
        <w:rPr>
          <w:sz w:val="22"/>
          <w:szCs w:val="22"/>
          <w:lang w:val="en-US"/>
        </w:rPr>
        <w:t>2021</w:t>
      </w:r>
      <w:r w:rsidRPr="00A50042">
        <w:rPr>
          <w:sz w:val="22"/>
          <w:szCs w:val="22"/>
          <w:lang w:val="en-US"/>
        </w:rPr>
        <w:t xml:space="preserve">, </w:t>
      </w:r>
      <w:r w:rsidR="008232B7" w:rsidRPr="00A50042">
        <w:rPr>
          <w:sz w:val="22"/>
          <w:szCs w:val="22"/>
          <w:lang w:val="en-US"/>
        </w:rPr>
        <w:t>a new expense category was created, Courses, opening a new field of action for the RIAL. I</w:t>
      </w:r>
      <w:r w:rsidR="00B67562">
        <w:rPr>
          <w:sz w:val="22"/>
          <w:szCs w:val="22"/>
          <w:lang w:val="en-US"/>
        </w:rPr>
        <w:t>n that year</w:t>
      </w:r>
      <w:r w:rsidR="008232B7" w:rsidRPr="00A50042">
        <w:rPr>
          <w:sz w:val="22"/>
          <w:szCs w:val="22"/>
          <w:lang w:val="en-US"/>
        </w:rPr>
        <w:t xml:space="preserve"> the Virtual Course on Gender</w:t>
      </w:r>
      <w:r w:rsidR="000B71E9" w:rsidRPr="00A50042">
        <w:rPr>
          <w:sz w:val="22"/>
          <w:szCs w:val="22"/>
          <w:lang w:val="en-US"/>
        </w:rPr>
        <w:t>-Based</w:t>
      </w:r>
      <w:r w:rsidR="008232B7" w:rsidRPr="00A50042">
        <w:rPr>
          <w:sz w:val="22"/>
          <w:szCs w:val="22"/>
          <w:lang w:val="en-US"/>
        </w:rPr>
        <w:t xml:space="preserve"> Violence at Work </w:t>
      </w:r>
      <w:r w:rsidR="000B71E9" w:rsidRPr="00A50042">
        <w:rPr>
          <w:sz w:val="22"/>
          <w:szCs w:val="22"/>
          <w:lang w:val="en-US"/>
        </w:rPr>
        <w:t>was launched, developed by the OAS/RIAL with the Inter-American Commission of Women</w:t>
      </w:r>
      <w:r w:rsidR="005B3AA9">
        <w:rPr>
          <w:sz w:val="22"/>
          <w:szCs w:val="22"/>
          <w:lang w:val="en-US"/>
        </w:rPr>
        <w:t xml:space="preserve"> (CIM)</w:t>
      </w:r>
      <w:r w:rsidR="000B71E9" w:rsidRPr="00A50042">
        <w:rPr>
          <w:sz w:val="22"/>
          <w:szCs w:val="22"/>
          <w:lang w:val="en-US"/>
        </w:rPr>
        <w:t xml:space="preserve"> and delivered on the Educational Portal of the Americas. </w:t>
      </w:r>
    </w:p>
    <w:p w14:paraId="68B92EEE" w14:textId="77777777" w:rsidR="00433442" w:rsidRPr="00A50042" w:rsidRDefault="00433442" w:rsidP="00433442">
      <w:pPr>
        <w:spacing w:line="250" w:lineRule="exact"/>
        <w:ind w:left="720"/>
        <w:jc w:val="both"/>
        <w:rPr>
          <w:sz w:val="22"/>
          <w:szCs w:val="22"/>
          <w:lang w:val="en-US"/>
        </w:rPr>
      </w:pPr>
    </w:p>
    <w:p w14:paraId="367C8BAA" w14:textId="43EE7A35" w:rsidR="009520F2" w:rsidRPr="00296D8F" w:rsidRDefault="00433442" w:rsidP="00296D8F">
      <w:pPr>
        <w:numPr>
          <w:ilvl w:val="0"/>
          <w:numId w:val="2"/>
        </w:numPr>
        <w:spacing w:line="250" w:lineRule="exact"/>
        <w:jc w:val="both"/>
        <w:rPr>
          <w:sz w:val="22"/>
          <w:szCs w:val="22"/>
          <w:lang w:val="en-US"/>
        </w:rPr>
      </w:pPr>
      <w:r w:rsidRPr="00A50042">
        <w:rPr>
          <w:noProof/>
          <w:sz w:val="22"/>
          <w:szCs w:val="22"/>
          <w:lang w:val="en-US"/>
        </w:rPr>
        <w:t>Average</w:t>
      </w:r>
      <w:r w:rsidRPr="00A50042">
        <w:rPr>
          <w:sz w:val="22"/>
          <w:szCs w:val="22"/>
          <w:lang w:val="en-US"/>
        </w:rPr>
        <w:t xml:space="preserve"> cost of a 2-day RIAL in-person Workshop: $31,000.</w:t>
      </w:r>
      <w:r w:rsidR="009520F2" w:rsidRPr="00A50042">
        <w:rPr>
          <w:sz w:val="22"/>
          <w:szCs w:val="22"/>
          <w:lang w:val="en-US"/>
        </w:rPr>
        <w:t xml:space="preserve"> </w:t>
      </w:r>
      <w:r w:rsidRPr="00A50042">
        <w:rPr>
          <w:sz w:val="22"/>
          <w:szCs w:val="22"/>
          <w:lang w:val="en-US"/>
        </w:rPr>
        <w:t xml:space="preserve">Includes </w:t>
      </w:r>
      <w:r w:rsidR="009520F2" w:rsidRPr="00A50042">
        <w:rPr>
          <w:sz w:val="22"/>
          <w:szCs w:val="22"/>
          <w:lang w:val="en-US"/>
        </w:rPr>
        <w:t xml:space="preserve">the </w:t>
      </w:r>
      <w:r w:rsidRPr="00A50042">
        <w:rPr>
          <w:sz w:val="22"/>
          <w:szCs w:val="22"/>
          <w:lang w:val="en-US"/>
        </w:rPr>
        <w:t>costs of simultaneous interpretation, equipment, materials and travel expenses covered by RIAL</w:t>
      </w:r>
      <w:r w:rsidR="008947BC">
        <w:rPr>
          <w:sz w:val="22"/>
          <w:szCs w:val="22"/>
          <w:lang w:val="en-US"/>
        </w:rPr>
        <w:t xml:space="preserve"> (</w:t>
      </w:r>
      <w:r w:rsidR="00713008">
        <w:rPr>
          <w:sz w:val="22"/>
          <w:szCs w:val="22"/>
          <w:lang w:val="en-US"/>
        </w:rPr>
        <w:t>this item has been reduced in relation to the first RIAL workshops and consists of co-financing for accommodation costs, and, in a small number of cases, airfare</w:t>
      </w:r>
      <w:r w:rsidR="008947BC">
        <w:rPr>
          <w:sz w:val="22"/>
          <w:szCs w:val="22"/>
          <w:lang w:val="en-US"/>
        </w:rPr>
        <w:t>)</w:t>
      </w:r>
      <w:r w:rsidR="009520F2" w:rsidRPr="00A50042">
        <w:rPr>
          <w:sz w:val="22"/>
          <w:szCs w:val="22"/>
          <w:lang w:val="en-US"/>
        </w:rPr>
        <w:t>;</w:t>
      </w:r>
      <w:r w:rsidR="009520F2" w:rsidRPr="00296D8F">
        <w:rPr>
          <w:sz w:val="22"/>
          <w:szCs w:val="22"/>
          <w:lang w:val="en-US"/>
        </w:rPr>
        <w:t xml:space="preserve"> the</w:t>
      </w:r>
      <w:r w:rsidRPr="00296D8F">
        <w:rPr>
          <w:sz w:val="22"/>
          <w:szCs w:val="22"/>
          <w:lang w:val="en-US"/>
        </w:rPr>
        <w:t xml:space="preserve"> host country </w:t>
      </w:r>
      <w:r w:rsidR="009520F2" w:rsidRPr="00296D8F">
        <w:rPr>
          <w:sz w:val="22"/>
          <w:szCs w:val="22"/>
          <w:lang w:val="en-US"/>
        </w:rPr>
        <w:t>and/</w:t>
      </w:r>
      <w:r w:rsidRPr="00296D8F">
        <w:rPr>
          <w:sz w:val="22"/>
          <w:szCs w:val="22"/>
          <w:lang w:val="en-US"/>
        </w:rPr>
        <w:t xml:space="preserve">or partner institution </w:t>
      </w:r>
      <w:r w:rsidR="009520F2" w:rsidRPr="00296D8F">
        <w:rPr>
          <w:sz w:val="22"/>
          <w:szCs w:val="22"/>
          <w:lang w:val="en-US"/>
        </w:rPr>
        <w:t xml:space="preserve">cover other associated costs </w:t>
      </w:r>
      <w:r w:rsidRPr="00296D8F">
        <w:rPr>
          <w:sz w:val="22"/>
          <w:szCs w:val="22"/>
          <w:lang w:val="en-US"/>
        </w:rPr>
        <w:t xml:space="preserve">(Human resources not included). </w:t>
      </w:r>
    </w:p>
    <w:p w14:paraId="6306CF73" w14:textId="77777777" w:rsidR="009520F2" w:rsidRPr="00A50042" w:rsidRDefault="009520F2" w:rsidP="009520F2">
      <w:pPr>
        <w:pStyle w:val="ListParagraph"/>
        <w:rPr>
          <w:sz w:val="22"/>
          <w:szCs w:val="22"/>
          <w:lang w:val="en-US"/>
        </w:rPr>
      </w:pPr>
    </w:p>
    <w:p w14:paraId="7972EF8B" w14:textId="3928E797" w:rsidR="00433442" w:rsidRPr="00A50042" w:rsidRDefault="00433442" w:rsidP="00433442">
      <w:pPr>
        <w:numPr>
          <w:ilvl w:val="0"/>
          <w:numId w:val="2"/>
        </w:numPr>
        <w:spacing w:line="250" w:lineRule="exact"/>
        <w:jc w:val="both"/>
        <w:rPr>
          <w:sz w:val="22"/>
          <w:szCs w:val="22"/>
          <w:lang w:val="en-US"/>
        </w:rPr>
      </w:pPr>
      <w:r w:rsidRPr="00A50042">
        <w:rPr>
          <w:sz w:val="22"/>
          <w:szCs w:val="22"/>
          <w:lang w:val="en-US"/>
        </w:rPr>
        <w:t>The cost of a virtual activity of approximately 4 hours is $3,000, including platform and simultaneous interpretation.</w:t>
      </w:r>
      <w:r w:rsidR="009520F2" w:rsidRPr="00A50042">
        <w:rPr>
          <w:sz w:val="22"/>
          <w:szCs w:val="22"/>
          <w:lang w:val="en-US"/>
        </w:rPr>
        <w:t xml:space="preserve"> During 2020, the first virtual hemispheric activities (Working Group Meetings and Gender Dialogue) and bilateral activities were carried out with very good results. It is worth mentioning that the decision to transfer face-to-face cooperation to the virtual space must consider the objectives and expected results</w:t>
      </w:r>
      <w:r w:rsidR="002E7ACD" w:rsidRPr="00A50042">
        <w:rPr>
          <w:sz w:val="22"/>
          <w:szCs w:val="22"/>
          <w:lang w:val="en-US"/>
        </w:rPr>
        <w:t>.</w:t>
      </w:r>
    </w:p>
    <w:p w14:paraId="495C9710" w14:textId="77777777" w:rsidR="00433442" w:rsidRPr="00A50042" w:rsidRDefault="00433442" w:rsidP="00433442">
      <w:pPr>
        <w:spacing w:line="250" w:lineRule="exact"/>
        <w:ind w:left="720"/>
        <w:jc w:val="both"/>
        <w:rPr>
          <w:sz w:val="22"/>
          <w:szCs w:val="22"/>
          <w:lang w:val="en-US"/>
        </w:rPr>
      </w:pPr>
    </w:p>
    <w:p w14:paraId="001C2C7D" w14:textId="6472CE69" w:rsidR="00433442" w:rsidRPr="00A50042" w:rsidRDefault="00433442" w:rsidP="00433442">
      <w:pPr>
        <w:numPr>
          <w:ilvl w:val="0"/>
          <w:numId w:val="2"/>
        </w:numPr>
        <w:spacing w:line="250" w:lineRule="exact"/>
        <w:jc w:val="both"/>
        <w:rPr>
          <w:sz w:val="22"/>
          <w:szCs w:val="22"/>
          <w:lang w:val="en-US"/>
        </w:rPr>
      </w:pPr>
      <w:r w:rsidRPr="00A50042">
        <w:rPr>
          <w:noProof/>
          <w:sz w:val="22"/>
          <w:szCs w:val="22"/>
          <w:lang w:val="en-US"/>
        </w:rPr>
        <w:t>Average</w:t>
      </w:r>
      <w:r w:rsidRPr="00A50042">
        <w:rPr>
          <w:sz w:val="22"/>
          <w:szCs w:val="22"/>
          <w:lang w:val="en-US"/>
        </w:rPr>
        <w:t xml:space="preserve"> cost of an in-person </w:t>
      </w:r>
      <w:r w:rsidR="009C1270" w:rsidRPr="00A50042">
        <w:rPr>
          <w:sz w:val="22"/>
          <w:szCs w:val="22"/>
          <w:lang w:val="en-US"/>
        </w:rPr>
        <w:t xml:space="preserve">bilateral </w:t>
      </w:r>
      <w:r w:rsidRPr="00A50042">
        <w:rPr>
          <w:sz w:val="22"/>
          <w:szCs w:val="22"/>
          <w:lang w:val="en-US"/>
        </w:rPr>
        <w:t>cooperation activity: $</w:t>
      </w:r>
      <w:r w:rsidR="00CD5D4C">
        <w:rPr>
          <w:sz w:val="22"/>
          <w:szCs w:val="22"/>
          <w:lang w:val="en-US"/>
        </w:rPr>
        <w:t>6</w:t>
      </w:r>
      <w:r w:rsidRPr="00A50042">
        <w:rPr>
          <w:sz w:val="22"/>
          <w:szCs w:val="22"/>
          <w:lang w:val="en-US"/>
        </w:rPr>
        <w:t>,</w:t>
      </w:r>
      <w:r w:rsidR="00CD5D4C">
        <w:rPr>
          <w:sz w:val="22"/>
          <w:szCs w:val="22"/>
          <w:lang w:val="en-US"/>
        </w:rPr>
        <w:t>5</w:t>
      </w:r>
      <w:r w:rsidRPr="00A50042">
        <w:rPr>
          <w:sz w:val="22"/>
          <w:szCs w:val="22"/>
          <w:lang w:val="en-US"/>
        </w:rPr>
        <w:t xml:space="preserve">00.  Includes travel expenses in terms of airfare ticket, </w:t>
      </w:r>
      <w:r w:rsidR="002167CB" w:rsidRPr="00A50042">
        <w:rPr>
          <w:sz w:val="22"/>
          <w:szCs w:val="22"/>
          <w:lang w:val="en-US"/>
        </w:rPr>
        <w:t>accommodation,</w:t>
      </w:r>
      <w:r w:rsidRPr="00A50042">
        <w:rPr>
          <w:sz w:val="22"/>
          <w:szCs w:val="22"/>
          <w:lang w:val="en-US"/>
        </w:rPr>
        <w:t xml:space="preserve"> and meals (Human resources not included).</w:t>
      </w:r>
    </w:p>
    <w:p w14:paraId="6AE1911A" w14:textId="77777777" w:rsidR="009C1270" w:rsidRPr="00A50042" w:rsidRDefault="009C1270" w:rsidP="009C1270">
      <w:pPr>
        <w:pStyle w:val="ListParagraph"/>
        <w:rPr>
          <w:sz w:val="22"/>
          <w:szCs w:val="22"/>
          <w:lang w:val="en-US"/>
        </w:rPr>
      </w:pPr>
    </w:p>
    <w:p w14:paraId="1DE81D47" w14:textId="1A21E225" w:rsidR="009C1270" w:rsidRPr="00390DA1" w:rsidRDefault="009C1270" w:rsidP="00390DA1">
      <w:pPr>
        <w:numPr>
          <w:ilvl w:val="0"/>
          <w:numId w:val="2"/>
        </w:numPr>
        <w:spacing w:line="250" w:lineRule="exact"/>
        <w:jc w:val="both"/>
        <w:rPr>
          <w:sz w:val="22"/>
          <w:szCs w:val="22"/>
          <w:lang w:val="en-US"/>
        </w:rPr>
      </w:pPr>
      <w:r w:rsidRPr="00A50042">
        <w:rPr>
          <w:sz w:val="22"/>
          <w:szCs w:val="22"/>
          <w:lang w:val="en-US"/>
        </w:rPr>
        <w:t>Operating costs, which as shown in Figure 1 are 2</w:t>
      </w:r>
      <w:r w:rsidR="002167CB">
        <w:rPr>
          <w:sz w:val="22"/>
          <w:szCs w:val="22"/>
          <w:lang w:val="en-US"/>
        </w:rPr>
        <w:t>9</w:t>
      </w:r>
      <w:r w:rsidRPr="00A50042">
        <w:rPr>
          <w:sz w:val="22"/>
          <w:szCs w:val="22"/>
          <w:lang w:val="en-US"/>
        </w:rPr>
        <w:t>% of the total (distributed between the OAS with 1</w:t>
      </w:r>
      <w:r w:rsidR="00AD278E" w:rsidRPr="00A50042">
        <w:rPr>
          <w:sz w:val="22"/>
          <w:szCs w:val="22"/>
          <w:lang w:val="en-US"/>
        </w:rPr>
        <w:t>0</w:t>
      </w:r>
      <w:r w:rsidRPr="00A50042">
        <w:rPr>
          <w:sz w:val="22"/>
          <w:szCs w:val="22"/>
          <w:lang w:val="en-US"/>
        </w:rPr>
        <w:t>% and the RIAL Fund with 18%), refer to administration and follow-up on activities. That is, they concentrate the human-resource component of the RIAL and are essential for its development.</w:t>
      </w:r>
      <w:r w:rsidR="002167CB">
        <w:rPr>
          <w:sz w:val="22"/>
          <w:szCs w:val="22"/>
          <w:lang w:val="en-US"/>
        </w:rPr>
        <w:t xml:space="preserve"> </w:t>
      </w:r>
      <w:r w:rsidR="00390DA1">
        <w:rPr>
          <w:sz w:val="22"/>
          <w:szCs w:val="22"/>
          <w:lang w:val="en-US"/>
        </w:rPr>
        <w:t>This item</w:t>
      </w:r>
      <w:r w:rsidR="002167CB" w:rsidRPr="002167CB">
        <w:rPr>
          <w:sz w:val="22"/>
          <w:szCs w:val="22"/>
          <w:lang w:val="en-US"/>
        </w:rPr>
        <w:t xml:space="preserve"> also include</w:t>
      </w:r>
      <w:r w:rsidR="00390DA1">
        <w:rPr>
          <w:sz w:val="22"/>
          <w:szCs w:val="22"/>
          <w:lang w:val="en-US"/>
        </w:rPr>
        <w:t xml:space="preserve">s </w:t>
      </w:r>
      <w:r w:rsidR="002167CB" w:rsidRPr="002167CB">
        <w:rPr>
          <w:sz w:val="22"/>
          <w:szCs w:val="22"/>
          <w:lang w:val="en-US"/>
        </w:rPr>
        <w:t>expenses associated with the development of new RIAL products.</w:t>
      </w:r>
      <w:r w:rsidR="002167CB">
        <w:rPr>
          <w:sz w:val="22"/>
          <w:szCs w:val="22"/>
          <w:lang w:val="en-US"/>
        </w:rPr>
        <w:t xml:space="preserve"> </w:t>
      </w:r>
      <w:r w:rsidRPr="002167CB">
        <w:rPr>
          <w:sz w:val="22"/>
          <w:szCs w:val="22"/>
          <w:lang w:val="en-US"/>
        </w:rPr>
        <w:t>Within the Covid-19 pandemic, the RIAL designed two new products: The Portfolio of Responses from Ministries of Labor to the Covid-19 pandemic, and the Repository of Guidelines and Protocols for reopening and Return to Work</w:t>
      </w:r>
      <w:r w:rsidR="00390DA1">
        <w:rPr>
          <w:sz w:val="22"/>
          <w:szCs w:val="22"/>
          <w:lang w:val="en-US"/>
        </w:rPr>
        <w:t xml:space="preserve">; subsequently, </w:t>
      </w:r>
      <w:r w:rsidR="00390DA1" w:rsidRPr="00390DA1">
        <w:rPr>
          <w:sz w:val="22"/>
          <w:szCs w:val="22"/>
          <w:lang w:val="en-US"/>
        </w:rPr>
        <w:t>in 2022 it launched the Portfolio of</w:t>
      </w:r>
      <w:r w:rsidR="00390DA1">
        <w:rPr>
          <w:sz w:val="22"/>
          <w:szCs w:val="22"/>
          <w:lang w:val="en-US"/>
        </w:rPr>
        <w:t xml:space="preserve"> Telework Laws and Regulations </w:t>
      </w:r>
      <w:r w:rsidR="00390DA1" w:rsidRPr="00390DA1">
        <w:rPr>
          <w:sz w:val="22"/>
          <w:szCs w:val="22"/>
          <w:lang w:val="en-US"/>
        </w:rPr>
        <w:t xml:space="preserve">and in 2023, the Repository of </w:t>
      </w:r>
      <w:r w:rsidR="00390DA1">
        <w:rPr>
          <w:sz w:val="22"/>
          <w:szCs w:val="22"/>
          <w:lang w:val="en-US"/>
        </w:rPr>
        <w:t>A</w:t>
      </w:r>
      <w:r w:rsidR="00390DA1" w:rsidRPr="00390DA1">
        <w:rPr>
          <w:sz w:val="22"/>
          <w:szCs w:val="22"/>
          <w:lang w:val="en-US"/>
        </w:rPr>
        <w:t xml:space="preserve">ctions on </w:t>
      </w:r>
      <w:r w:rsidR="00390DA1">
        <w:rPr>
          <w:sz w:val="22"/>
          <w:szCs w:val="22"/>
          <w:lang w:val="en-US"/>
        </w:rPr>
        <w:t xml:space="preserve">Paid Domestic Work, all of them </w:t>
      </w:r>
      <w:r w:rsidRPr="00390DA1">
        <w:rPr>
          <w:sz w:val="22"/>
          <w:szCs w:val="22"/>
          <w:lang w:val="en-US"/>
        </w:rPr>
        <w:t xml:space="preserve">human-capital intensive and which were covered by this item. </w:t>
      </w:r>
      <w:r w:rsidRPr="00390DA1">
        <w:rPr>
          <w:noProof/>
          <w:sz w:val="22"/>
          <w:szCs w:val="22"/>
          <w:lang w:val="en-US"/>
        </w:rPr>
        <w:t>In terms of</w:t>
      </w:r>
      <w:r w:rsidRPr="00390DA1">
        <w:rPr>
          <w:sz w:val="22"/>
          <w:szCs w:val="22"/>
          <w:lang w:val="en-US"/>
        </w:rPr>
        <w:t xml:space="preserve"> the Guidelines of the Fund, 15% of contributions </w:t>
      </w:r>
      <w:r w:rsidRPr="00390DA1">
        <w:rPr>
          <w:noProof/>
          <w:sz w:val="22"/>
          <w:szCs w:val="22"/>
          <w:lang w:val="en-US"/>
        </w:rPr>
        <w:t>are designated</w:t>
      </w:r>
      <w:r w:rsidRPr="00390DA1">
        <w:rPr>
          <w:sz w:val="22"/>
          <w:szCs w:val="22"/>
          <w:lang w:val="en-US"/>
        </w:rPr>
        <w:t xml:space="preserve"> for operating expenses, up to a maximum of $50,000 annually.</w:t>
      </w:r>
      <w:r w:rsidR="00AD278E" w:rsidRPr="00390DA1">
        <w:rPr>
          <w:sz w:val="22"/>
          <w:szCs w:val="22"/>
          <w:lang w:val="en-US"/>
        </w:rPr>
        <w:t xml:space="preserve"> </w:t>
      </w:r>
      <w:r w:rsidR="00AD278E" w:rsidRPr="00390DA1">
        <w:rPr>
          <w:noProof/>
          <w:sz w:val="22"/>
          <w:szCs w:val="22"/>
          <w:lang w:val="en-US"/>
        </w:rPr>
        <w:t>The c</w:t>
      </w:r>
      <w:r w:rsidRPr="00390DA1">
        <w:rPr>
          <w:noProof/>
          <w:sz w:val="22"/>
          <w:szCs w:val="22"/>
          <w:lang w:val="en-US"/>
        </w:rPr>
        <w:t>urrent</w:t>
      </w:r>
      <w:r w:rsidRPr="00390DA1">
        <w:rPr>
          <w:sz w:val="22"/>
          <w:szCs w:val="22"/>
          <w:lang w:val="en-US"/>
        </w:rPr>
        <w:t xml:space="preserve"> level of contributions </w:t>
      </w:r>
      <w:r w:rsidR="005A604A" w:rsidRPr="00390DA1">
        <w:rPr>
          <w:sz w:val="22"/>
          <w:szCs w:val="22"/>
          <w:lang w:val="en-US"/>
        </w:rPr>
        <w:t>continues to be</w:t>
      </w:r>
      <w:r w:rsidRPr="00390DA1">
        <w:rPr>
          <w:sz w:val="22"/>
          <w:szCs w:val="22"/>
          <w:lang w:val="en-US"/>
        </w:rPr>
        <w:t xml:space="preserve"> insufficient to cover RIAL’s operating costs, which is why the OAS has provided an important amount of resources</w:t>
      </w:r>
      <w:r w:rsidR="00AD278E" w:rsidRPr="00390DA1">
        <w:rPr>
          <w:sz w:val="22"/>
          <w:szCs w:val="22"/>
          <w:lang w:val="en-US"/>
        </w:rPr>
        <w:t xml:space="preserve"> and the RIAL authorities decided, at their 2020 and 2021 meetings, to allocate additional resources for it</w:t>
      </w:r>
      <w:r w:rsidRPr="00390DA1">
        <w:rPr>
          <w:sz w:val="22"/>
          <w:szCs w:val="22"/>
          <w:lang w:val="en-US"/>
        </w:rPr>
        <w:t xml:space="preserve">. </w:t>
      </w:r>
      <w:r w:rsidR="00AD278E" w:rsidRPr="00390DA1">
        <w:rPr>
          <w:sz w:val="22"/>
          <w:szCs w:val="22"/>
          <w:lang w:val="en-US"/>
        </w:rPr>
        <w:t xml:space="preserve">The </w:t>
      </w:r>
      <w:r w:rsidRPr="00390DA1">
        <w:rPr>
          <w:sz w:val="22"/>
          <w:szCs w:val="22"/>
          <w:lang w:val="en-US"/>
        </w:rPr>
        <w:t>OAS</w:t>
      </w:r>
      <w:r w:rsidR="00AD278E" w:rsidRPr="00390DA1">
        <w:rPr>
          <w:sz w:val="22"/>
          <w:szCs w:val="22"/>
          <w:lang w:val="en-US"/>
        </w:rPr>
        <w:t>’</w:t>
      </w:r>
      <w:r w:rsidRPr="00390DA1">
        <w:rPr>
          <w:sz w:val="22"/>
          <w:szCs w:val="22"/>
          <w:lang w:val="en-US"/>
        </w:rPr>
        <w:t xml:space="preserve"> contribution </w:t>
      </w:r>
      <w:r w:rsidR="00AD278E" w:rsidRPr="00390DA1">
        <w:rPr>
          <w:sz w:val="22"/>
          <w:szCs w:val="22"/>
          <w:lang w:val="en-US"/>
        </w:rPr>
        <w:t>cannot be guaranteed in the future.</w:t>
      </w:r>
    </w:p>
    <w:p w14:paraId="4A358508" w14:textId="77777777" w:rsidR="00AD278E" w:rsidRPr="00A50042" w:rsidRDefault="00AD278E" w:rsidP="00AD278E">
      <w:pPr>
        <w:spacing w:line="250" w:lineRule="exact"/>
        <w:jc w:val="both"/>
        <w:rPr>
          <w:sz w:val="22"/>
          <w:szCs w:val="22"/>
          <w:lang w:val="en-US"/>
        </w:rPr>
      </w:pPr>
    </w:p>
    <w:p w14:paraId="26EEA9A5" w14:textId="77777777" w:rsidR="0012225A" w:rsidRPr="00A50042" w:rsidRDefault="0012225A" w:rsidP="0012225A">
      <w:pPr>
        <w:numPr>
          <w:ilvl w:val="0"/>
          <w:numId w:val="2"/>
        </w:numPr>
        <w:spacing w:line="250" w:lineRule="exact"/>
        <w:jc w:val="both"/>
        <w:rPr>
          <w:sz w:val="22"/>
          <w:szCs w:val="22"/>
          <w:lang w:val="en-US"/>
        </w:rPr>
      </w:pPr>
      <w:r w:rsidRPr="00A50042">
        <w:rPr>
          <w:sz w:val="22"/>
          <w:szCs w:val="22"/>
          <w:lang w:val="en-US"/>
        </w:rPr>
        <w:t xml:space="preserve">The OAS supports the RIAL’s coordination in kind, which is calculated at approximately $80,000 annually and </w:t>
      </w:r>
      <w:r w:rsidRPr="00A50042">
        <w:rPr>
          <w:noProof/>
          <w:sz w:val="22"/>
          <w:szCs w:val="22"/>
          <w:lang w:val="en-US"/>
        </w:rPr>
        <w:t>is not included</w:t>
      </w:r>
      <w:r w:rsidRPr="00A50042">
        <w:rPr>
          <w:sz w:val="22"/>
          <w:szCs w:val="22"/>
          <w:lang w:val="en-US"/>
        </w:rPr>
        <w:t xml:space="preserve"> in the amounts reported in this report. </w:t>
      </w:r>
    </w:p>
    <w:p w14:paraId="2CEEF52F" w14:textId="77777777" w:rsidR="0012225A" w:rsidRPr="00A50042" w:rsidRDefault="0012225A" w:rsidP="0012225A">
      <w:pPr>
        <w:spacing w:line="250" w:lineRule="exact"/>
        <w:jc w:val="both"/>
        <w:rPr>
          <w:sz w:val="22"/>
          <w:szCs w:val="22"/>
          <w:lang w:val="en-US"/>
        </w:rPr>
      </w:pPr>
    </w:p>
    <w:p w14:paraId="77EA1982" w14:textId="4BE984BE" w:rsidR="009C1270" w:rsidRPr="00A50042" w:rsidRDefault="0012225A" w:rsidP="0012225A">
      <w:pPr>
        <w:numPr>
          <w:ilvl w:val="0"/>
          <w:numId w:val="2"/>
        </w:numPr>
        <w:spacing w:line="250" w:lineRule="exact"/>
        <w:jc w:val="both"/>
        <w:rPr>
          <w:sz w:val="22"/>
          <w:szCs w:val="22"/>
          <w:lang w:val="en-US"/>
        </w:rPr>
      </w:pPr>
      <w:r w:rsidRPr="00A50042">
        <w:rPr>
          <w:sz w:val="22"/>
          <w:szCs w:val="22"/>
          <w:lang w:val="en-US"/>
        </w:rPr>
        <w:t>RIAL’s component of communications includes updating the website and the Portfolio of Programs, the elaboration of newsletter and social media managing. It is a component with increasing relevance, currently representing 1</w:t>
      </w:r>
      <w:r w:rsidR="00390DA1">
        <w:rPr>
          <w:sz w:val="22"/>
          <w:szCs w:val="22"/>
          <w:lang w:val="en-US"/>
        </w:rPr>
        <w:t>0</w:t>
      </w:r>
      <w:r w:rsidRPr="00A50042">
        <w:rPr>
          <w:sz w:val="22"/>
          <w:szCs w:val="22"/>
          <w:lang w:val="en-US"/>
        </w:rPr>
        <w:t>% of the RIAL’s expenses. As for the operations component, the OAS has provided important resources to the communications component.  This contribution represents half of total communications costs.</w:t>
      </w:r>
    </w:p>
    <w:p w14:paraId="5DFBB36D" w14:textId="77777777" w:rsidR="0012225A" w:rsidRPr="00A50042" w:rsidRDefault="0012225A" w:rsidP="0012225A">
      <w:pPr>
        <w:pStyle w:val="ListParagraph"/>
        <w:rPr>
          <w:sz w:val="22"/>
          <w:szCs w:val="22"/>
          <w:lang w:val="en-US"/>
        </w:rPr>
      </w:pPr>
    </w:p>
    <w:p w14:paraId="627722F9" w14:textId="795B6C57" w:rsidR="0012225A" w:rsidRPr="00390DA1" w:rsidRDefault="0012225A" w:rsidP="00390DA1">
      <w:pPr>
        <w:numPr>
          <w:ilvl w:val="0"/>
          <w:numId w:val="2"/>
        </w:numPr>
        <w:spacing w:line="250" w:lineRule="exact"/>
        <w:jc w:val="both"/>
        <w:rPr>
          <w:sz w:val="22"/>
          <w:szCs w:val="22"/>
          <w:lang w:val="en-US"/>
        </w:rPr>
      </w:pPr>
      <w:r w:rsidRPr="00A50042">
        <w:rPr>
          <w:sz w:val="22"/>
          <w:szCs w:val="22"/>
          <w:lang w:val="en-US"/>
        </w:rPr>
        <w:t>The Fund’s expenses have been consistently lower than the budgeted amounts, especially for Hemispheric Workshops, given important leveraging of resources.</w:t>
      </w:r>
    </w:p>
    <w:p w14:paraId="73B8D605" w14:textId="58965134" w:rsidR="0012225A" w:rsidRPr="00E8192E" w:rsidRDefault="00AB5B65" w:rsidP="005D07CB">
      <w:pPr>
        <w:rPr>
          <w:b/>
          <w:bCs/>
          <w:sz w:val="22"/>
          <w:szCs w:val="22"/>
          <w:lang w:val="en-US"/>
        </w:rPr>
      </w:pPr>
      <w:r>
        <w:rPr>
          <w:sz w:val="22"/>
          <w:szCs w:val="22"/>
          <w:lang w:val="en-US"/>
        </w:rPr>
        <w:br w:type="page"/>
      </w:r>
      <w:r w:rsidR="0012225A" w:rsidRPr="00E8192E">
        <w:rPr>
          <w:b/>
          <w:bCs/>
          <w:sz w:val="22"/>
          <w:szCs w:val="22"/>
          <w:lang w:val="en-US"/>
        </w:rPr>
        <w:lastRenderedPageBreak/>
        <w:t>IV. B</w:t>
      </w:r>
      <w:r w:rsidR="0058325D" w:rsidRPr="00E8192E">
        <w:rPr>
          <w:b/>
          <w:bCs/>
          <w:sz w:val="22"/>
          <w:szCs w:val="22"/>
          <w:lang w:val="en-US"/>
        </w:rPr>
        <w:t xml:space="preserve">udgeted </w:t>
      </w:r>
      <w:r w:rsidR="00E8192E" w:rsidRPr="00E8192E">
        <w:rPr>
          <w:b/>
          <w:bCs/>
          <w:sz w:val="22"/>
          <w:szCs w:val="22"/>
          <w:lang w:val="en-US"/>
        </w:rPr>
        <w:t>r</w:t>
      </w:r>
      <w:r w:rsidR="0058325D" w:rsidRPr="00E8192E">
        <w:rPr>
          <w:b/>
          <w:bCs/>
          <w:sz w:val="22"/>
          <w:szCs w:val="22"/>
          <w:lang w:val="en-US"/>
        </w:rPr>
        <w:t>esources</w:t>
      </w:r>
    </w:p>
    <w:p w14:paraId="3145522B" w14:textId="77777777" w:rsidR="000A7EF6" w:rsidRPr="00A50042" w:rsidRDefault="000A7EF6" w:rsidP="000A7EF6">
      <w:pPr>
        <w:spacing w:line="250" w:lineRule="exact"/>
        <w:jc w:val="both"/>
        <w:rPr>
          <w:b/>
          <w:bCs/>
          <w:sz w:val="22"/>
          <w:szCs w:val="22"/>
          <w:lang w:val="en-US"/>
        </w:rPr>
      </w:pPr>
    </w:p>
    <w:p w14:paraId="10883111" w14:textId="4FAA4728" w:rsidR="00273CEE" w:rsidRDefault="00ED58EF" w:rsidP="0012225A">
      <w:pPr>
        <w:spacing w:line="250" w:lineRule="exact"/>
        <w:jc w:val="both"/>
        <w:rPr>
          <w:sz w:val="22"/>
          <w:szCs w:val="22"/>
          <w:lang w:val="en-US"/>
        </w:rPr>
      </w:pPr>
      <w:r>
        <w:rPr>
          <w:sz w:val="22"/>
          <w:szCs w:val="22"/>
          <w:lang w:val="en-US"/>
        </w:rPr>
        <w:t>The IACML Work Plan 2022-2024</w:t>
      </w:r>
      <w:r w:rsidR="00191B01">
        <w:rPr>
          <w:sz w:val="22"/>
          <w:szCs w:val="22"/>
          <w:lang w:val="en-US"/>
        </w:rPr>
        <w:t xml:space="preserve"> includes a budget for the different activities, as approved by the authorities at the February 2022 Planning Meeting</w:t>
      </w:r>
      <w:r w:rsidR="00390DA1">
        <w:rPr>
          <w:sz w:val="22"/>
          <w:szCs w:val="22"/>
          <w:lang w:val="en-US"/>
        </w:rPr>
        <w:t xml:space="preserve">, in addition, </w:t>
      </w:r>
      <w:r w:rsidR="00390DA1" w:rsidRPr="00390DA1">
        <w:rPr>
          <w:sz w:val="22"/>
          <w:szCs w:val="22"/>
          <w:lang w:val="en-US"/>
        </w:rPr>
        <w:t xml:space="preserve">the </w:t>
      </w:r>
      <w:r w:rsidR="00390DA1">
        <w:rPr>
          <w:sz w:val="22"/>
          <w:szCs w:val="22"/>
          <w:lang w:val="en-US"/>
        </w:rPr>
        <w:t>M</w:t>
      </w:r>
      <w:r w:rsidR="00390DA1" w:rsidRPr="00390DA1">
        <w:rPr>
          <w:sz w:val="22"/>
          <w:szCs w:val="22"/>
          <w:lang w:val="en-US"/>
        </w:rPr>
        <w:t xml:space="preserve">eeting of </w:t>
      </w:r>
      <w:r w:rsidR="00390DA1">
        <w:rPr>
          <w:sz w:val="22"/>
          <w:szCs w:val="22"/>
          <w:lang w:val="en-US"/>
        </w:rPr>
        <w:t>A</w:t>
      </w:r>
      <w:r w:rsidR="00390DA1" w:rsidRPr="00390DA1">
        <w:rPr>
          <w:sz w:val="22"/>
          <w:szCs w:val="22"/>
          <w:lang w:val="en-US"/>
        </w:rPr>
        <w:t>uthorities in January 2023 also decided on the use of available resources</w:t>
      </w:r>
      <w:r w:rsidR="00191B01">
        <w:rPr>
          <w:sz w:val="22"/>
          <w:szCs w:val="22"/>
          <w:lang w:val="en-US"/>
        </w:rPr>
        <w:t xml:space="preserve">. </w:t>
      </w:r>
      <w:r w:rsidR="00F55DB9">
        <w:rPr>
          <w:sz w:val="22"/>
          <w:szCs w:val="22"/>
          <w:lang w:val="en-US"/>
        </w:rPr>
        <w:t xml:space="preserve">The budgeted resources for 2022 </w:t>
      </w:r>
      <w:r w:rsidR="00390DA1">
        <w:rPr>
          <w:sz w:val="22"/>
          <w:szCs w:val="22"/>
          <w:lang w:val="en-US"/>
        </w:rPr>
        <w:t xml:space="preserve">and January-September 2023 </w:t>
      </w:r>
      <w:r w:rsidR="00F55DB9">
        <w:rPr>
          <w:sz w:val="22"/>
          <w:szCs w:val="22"/>
          <w:lang w:val="en-US"/>
        </w:rPr>
        <w:t>activities were fully spent</w:t>
      </w:r>
      <w:r w:rsidR="009177FE">
        <w:rPr>
          <w:sz w:val="22"/>
          <w:szCs w:val="22"/>
          <w:lang w:val="en-US"/>
        </w:rPr>
        <w:t>, a</w:t>
      </w:r>
      <w:r w:rsidR="00CF5CE5">
        <w:rPr>
          <w:sz w:val="22"/>
          <w:szCs w:val="22"/>
          <w:lang w:val="en-US"/>
        </w:rPr>
        <w:t xml:space="preserve">s it can be corroborated in this document and in the </w:t>
      </w:r>
      <w:r w:rsidR="001A7AA9">
        <w:rPr>
          <w:sz w:val="22"/>
          <w:szCs w:val="22"/>
          <w:lang w:val="en-US"/>
        </w:rPr>
        <w:t xml:space="preserve">Work Plan Performance </w:t>
      </w:r>
      <w:r w:rsidR="006425C7">
        <w:rPr>
          <w:sz w:val="22"/>
          <w:szCs w:val="22"/>
          <w:lang w:val="en-US"/>
        </w:rPr>
        <w:t>Report (document</w:t>
      </w:r>
      <w:r w:rsidR="00627011">
        <w:rPr>
          <w:sz w:val="22"/>
          <w:szCs w:val="22"/>
          <w:lang w:val="en-US"/>
        </w:rPr>
        <w:t xml:space="preserve">: </w:t>
      </w:r>
      <w:r w:rsidR="00390DA1" w:rsidRPr="00390DA1">
        <w:rPr>
          <w:sz w:val="22"/>
          <w:szCs w:val="22"/>
          <w:lang w:val="en-US"/>
        </w:rPr>
        <w:t>CIMT-21/GT1-GT2/doc.3/23</w:t>
      </w:r>
      <w:r w:rsidR="006425C7">
        <w:rPr>
          <w:sz w:val="22"/>
          <w:szCs w:val="22"/>
          <w:lang w:val="en-US"/>
        </w:rPr>
        <w:t>)</w:t>
      </w:r>
      <w:r w:rsidR="00A15771">
        <w:rPr>
          <w:sz w:val="22"/>
          <w:szCs w:val="22"/>
          <w:lang w:val="en-US"/>
        </w:rPr>
        <w:t xml:space="preserve">. Below are the resources that are yet to be </w:t>
      </w:r>
      <w:r w:rsidR="00273CEE">
        <w:rPr>
          <w:sz w:val="22"/>
          <w:szCs w:val="22"/>
          <w:lang w:val="en-US"/>
        </w:rPr>
        <w:t>utilized.</w:t>
      </w:r>
    </w:p>
    <w:p w14:paraId="4C558F9C" w14:textId="77777777" w:rsidR="00273CEE" w:rsidRDefault="00273CEE" w:rsidP="0012225A">
      <w:pPr>
        <w:spacing w:line="250" w:lineRule="exact"/>
        <w:jc w:val="both"/>
        <w:rPr>
          <w:sz w:val="22"/>
          <w:szCs w:val="22"/>
          <w:lang w:val="en-US"/>
        </w:rPr>
      </w:pPr>
    </w:p>
    <w:p w14:paraId="04E7D18C" w14:textId="53CF21EE" w:rsidR="00DD0EF1" w:rsidRPr="00A50042" w:rsidRDefault="009177FE" w:rsidP="0012225A">
      <w:pPr>
        <w:spacing w:line="250" w:lineRule="exact"/>
        <w:jc w:val="both"/>
        <w:rPr>
          <w:sz w:val="22"/>
          <w:szCs w:val="22"/>
          <w:lang w:val="en-US"/>
        </w:rPr>
      </w:pPr>
      <w:r>
        <w:rPr>
          <w:sz w:val="22"/>
          <w:szCs w:val="22"/>
          <w:lang w:val="en-US"/>
        </w:rPr>
        <w:t xml:space="preserve"> </w:t>
      </w:r>
    </w:p>
    <w:p w14:paraId="2D2EECD6" w14:textId="6A22C0B5" w:rsidR="0012225A" w:rsidRDefault="004A52E5" w:rsidP="0068141F">
      <w:pPr>
        <w:spacing w:line="250" w:lineRule="exact"/>
        <w:jc w:val="center"/>
        <w:rPr>
          <w:b/>
          <w:bCs/>
          <w:sz w:val="22"/>
          <w:szCs w:val="22"/>
          <w:lang w:val="en-US"/>
        </w:rPr>
      </w:pPr>
      <w:r>
        <w:rPr>
          <w:b/>
          <w:bCs/>
          <w:sz w:val="22"/>
          <w:szCs w:val="22"/>
          <w:lang w:val="en-US"/>
        </w:rPr>
        <w:t>Chart No. 4</w:t>
      </w:r>
    </w:p>
    <w:p w14:paraId="29539818" w14:textId="4D03D79A" w:rsidR="004A52E5" w:rsidRDefault="00117523" w:rsidP="0068141F">
      <w:pPr>
        <w:spacing w:line="250" w:lineRule="exact"/>
        <w:jc w:val="center"/>
        <w:rPr>
          <w:b/>
          <w:bCs/>
          <w:sz w:val="22"/>
          <w:szCs w:val="22"/>
          <w:lang w:val="en-US"/>
        </w:rPr>
      </w:pPr>
      <w:r>
        <w:rPr>
          <w:b/>
          <w:bCs/>
          <w:sz w:val="22"/>
          <w:szCs w:val="22"/>
          <w:lang w:val="en-US"/>
        </w:rPr>
        <w:t>Budget for activities in 2023 and 2024 of the IACML Work Plan 2022-2024</w:t>
      </w:r>
      <w:r w:rsidR="00F52DE2">
        <w:rPr>
          <w:b/>
          <w:bCs/>
          <w:sz w:val="22"/>
          <w:szCs w:val="22"/>
          <w:lang w:val="en-US"/>
        </w:rPr>
        <w:t xml:space="preserve"> according to source </w:t>
      </w:r>
      <w:r w:rsidR="006C244A">
        <w:rPr>
          <w:b/>
          <w:bCs/>
          <w:sz w:val="22"/>
          <w:szCs w:val="22"/>
          <w:lang w:val="en-US"/>
        </w:rPr>
        <w:t>of financing</w:t>
      </w:r>
    </w:p>
    <w:p w14:paraId="7A489037" w14:textId="574CCF80" w:rsidR="00CA3BE8" w:rsidRDefault="00CA3BE8" w:rsidP="0068141F">
      <w:pPr>
        <w:spacing w:line="250" w:lineRule="exact"/>
        <w:jc w:val="center"/>
        <w:rPr>
          <w:i/>
          <w:iCs/>
          <w:sz w:val="22"/>
          <w:szCs w:val="22"/>
          <w:lang w:val="en-US"/>
        </w:rPr>
      </w:pPr>
      <w:r w:rsidRPr="00CB41CF">
        <w:rPr>
          <w:i/>
          <w:iCs/>
          <w:sz w:val="22"/>
          <w:szCs w:val="22"/>
          <w:lang w:val="en-US"/>
        </w:rPr>
        <w:t>(</w:t>
      </w:r>
      <w:r w:rsidR="00CB41CF" w:rsidRPr="00CB41CF">
        <w:rPr>
          <w:i/>
          <w:iCs/>
          <w:sz w:val="22"/>
          <w:szCs w:val="22"/>
          <w:lang w:val="en-US"/>
        </w:rPr>
        <w:t>In US dollars</w:t>
      </w:r>
      <w:r w:rsidRPr="00CB41CF">
        <w:rPr>
          <w:i/>
          <w:iCs/>
          <w:sz w:val="22"/>
          <w:szCs w:val="22"/>
          <w:lang w:val="en-US"/>
        </w:rPr>
        <w:t>)</w:t>
      </w:r>
    </w:p>
    <w:p w14:paraId="696CFA7F" w14:textId="77777777" w:rsidR="00CB41CF" w:rsidRDefault="00CB41CF" w:rsidP="0068141F">
      <w:pPr>
        <w:spacing w:line="250" w:lineRule="exact"/>
        <w:jc w:val="center"/>
        <w:rPr>
          <w:i/>
          <w:iCs/>
          <w:sz w:val="22"/>
          <w:szCs w:val="22"/>
          <w:lang w:val="en-US"/>
        </w:rPr>
      </w:pPr>
    </w:p>
    <w:tbl>
      <w:tblPr>
        <w:tblW w:w="0" w:type="auto"/>
        <w:tblInd w:w="525" w:type="dxa"/>
        <w:tblLayout w:type="fixed"/>
        <w:tblLook w:val="06A0" w:firstRow="1" w:lastRow="0" w:firstColumn="1" w:lastColumn="0" w:noHBand="1" w:noVBand="1"/>
      </w:tblPr>
      <w:tblGrid>
        <w:gridCol w:w="3870"/>
        <w:gridCol w:w="2070"/>
        <w:gridCol w:w="2160"/>
      </w:tblGrid>
      <w:tr w:rsidR="0006474A" w:rsidRPr="004E79FE" w14:paraId="1BC142BE" w14:textId="77777777">
        <w:trPr>
          <w:trHeight w:val="750"/>
        </w:trPr>
        <w:tc>
          <w:tcPr>
            <w:tcW w:w="3870" w:type="dxa"/>
            <w:tcBorders>
              <w:top w:val="single" w:sz="12" w:space="0" w:color="auto"/>
              <w:left w:val="single" w:sz="12" w:space="0" w:color="auto"/>
              <w:bottom w:val="single" w:sz="12" w:space="0" w:color="auto"/>
              <w:right w:val="single" w:sz="12" w:space="0" w:color="auto"/>
            </w:tcBorders>
            <w:vAlign w:val="center"/>
          </w:tcPr>
          <w:p w14:paraId="0FB534B3" w14:textId="77777777" w:rsidR="0006474A" w:rsidRPr="00127EBE" w:rsidRDefault="0006474A">
            <w:pPr>
              <w:jc w:val="center"/>
              <w:rPr>
                <w:b/>
                <w:bCs/>
                <w:color w:val="000000" w:themeColor="text1"/>
                <w:sz w:val="22"/>
                <w:szCs w:val="22"/>
              </w:rPr>
            </w:pPr>
            <w:r w:rsidRPr="724F987B">
              <w:rPr>
                <w:b/>
                <w:bCs/>
                <w:color w:val="000000" w:themeColor="text1"/>
                <w:sz w:val="22"/>
                <w:szCs w:val="22"/>
              </w:rPr>
              <w:t>Activity</w:t>
            </w:r>
          </w:p>
        </w:tc>
        <w:tc>
          <w:tcPr>
            <w:tcW w:w="2070" w:type="dxa"/>
            <w:tcBorders>
              <w:top w:val="single" w:sz="12" w:space="0" w:color="auto"/>
              <w:left w:val="single" w:sz="12" w:space="0" w:color="auto"/>
              <w:bottom w:val="single" w:sz="12" w:space="0" w:color="auto"/>
              <w:right w:val="single" w:sz="12" w:space="0" w:color="auto"/>
            </w:tcBorders>
            <w:vAlign w:val="center"/>
          </w:tcPr>
          <w:p w14:paraId="35B37046" w14:textId="77777777" w:rsidR="0006474A" w:rsidRPr="002E4C0B" w:rsidRDefault="0006474A">
            <w:pPr>
              <w:jc w:val="center"/>
              <w:rPr>
                <w:b/>
                <w:bCs/>
                <w:color w:val="000000" w:themeColor="text1"/>
                <w:sz w:val="22"/>
                <w:szCs w:val="22"/>
                <w:lang w:val="en-US"/>
              </w:rPr>
            </w:pPr>
            <w:r w:rsidRPr="002E4C0B">
              <w:rPr>
                <w:b/>
                <w:bCs/>
                <w:color w:val="000000" w:themeColor="text1"/>
                <w:sz w:val="22"/>
                <w:szCs w:val="22"/>
                <w:lang w:val="en-US"/>
              </w:rPr>
              <w:t>Budget approved by the RIAL</w:t>
            </w:r>
          </w:p>
        </w:tc>
        <w:tc>
          <w:tcPr>
            <w:tcW w:w="2160" w:type="dxa"/>
            <w:tcBorders>
              <w:top w:val="single" w:sz="12" w:space="0" w:color="auto"/>
              <w:left w:val="single" w:sz="12" w:space="0" w:color="auto"/>
              <w:bottom w:val="single" w:sz="12" w:space="0" w:color="auto"/>
              <w:right w:val="single" w:sz="12" w:space="0" w:color="auto"/>
            </w:tcBorders>
            <w:vAlign w:val="center"/>
          </w:tcPr>
          <w:p w14:paraId="3FE6FE94" w14:textId="77777777" w:rsidR="0006474A" w:rsidRPr="002E4C0B" w:rsidRDefault="0006474A">
            <w:pPr>
              <w:jc w:val="center"/>
              <w:rPr>
                <w:b/>
                <w:bCs/>
                <w:color w:val="000000" w:themeColor="text1"/>
                <w:sz w:val="22"/>
                <w:szCs w:val="22"/>
                <w:lang w:val="en-US"/>
              </w:rPr>
            </w:pPr>
            <w:r w:rsidRPr="002E4C0B">
              <w:rPr>
                <w:b/>
                <w:bCs/>
                <w:color w:val="000000" w:themeColor="text1"/>
                <w:sz w:val="22"/>
                <w:szCs w:val="22"/>
                <w:lang w:val="en-US"/>
              </w:rPr>
              <w:t>In kind or to be determined in the future</w:t>
            </w:r>
          </w:p>
        </w:tc>
      </w:tr>
      <w:tr w:rsidR="0006474A" w:rsidRPr="00127EBE" w14:paraId="38E45CAB" w14:textId="77777777" w:rsidTr="00390DA1">
        <w:trPr>
          <w:trHeight w:val="190"/>
        </w:trPr>
        <w:tc>
          <w:tcPr>
            <w:tcW w:w="3870" w:type="dxa"/>
            <w:tcBorders>
              <w:top w:val="single" w:sz="8" w:space="0" w:color="auto"/>
              <w:left w:val="single" w:sz="12" w:space="0" w:color="auto"/>
              <w:bottom w:val="single" w:sz="8" w:space="0" w:color="auto"/>
              <w:right w:val="single" w:sz="12" w:space="0" w:color="auto"/>
            </w:tcBorders>
            <w:vAlign w:val="center"/>
          </w:tcPr>
          <w:p w14:paraId="21D58399" w14:textId="61D1E652" w:rsidR="0006474A" w:rsidRPr="002E4C0B" w:rsidRDefault="0006474A">
            <w:pPr>
              <w:rPr>
                <w:color w:val="000000" w:themeColor="text1"/>
                <w:sz w:val="22"/>
                <w:szCs w:val="22"/>
                <w:lang w:val="en-US"/>
              </w:rPr>
            </w:pPr>
            <w:r w:rsidRPr="002E4C0B">
              <w:rPr>
                <w:color w:val="000000" w:themeColor="text1"/>
                <w:sz w:val="22"/>
                <w:szCs w:val="22"/>
                <w:lang w:val="en-US"/>
              </w:rPr>
              <w:t>RIAL Workshop– Enforcement of labor legislation</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172638BC" w14:textId="77777777" w:rsidR="0006474A" w:rsidRPr="00127EBE" w:rsidRDefault="0006474A">
            <w:pPr>
              <w:jc w:val="center"/>
              <w:rPr>
                <w:color w:val="000000" w:themeColor="text1"/>
                <w:sz w:val="22"/>
                <w:szCs w:val="22"/>
              </w:rPr>
            </w:pPr>
            <w:r w:rsidRPr="724F987B">
              <w:rPr>
                <w:color w:val="000000" w:themeColor="text1"/>
                <w:sz w:val="22"/>
                <w:szCs w:val="22"/>
              </w:rPr>
              <w:t>10,000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305B47F5" w14:textId="77777777" w:rsidR="0006474A" w:rsidRPr="00127EBE" w:rsidRDefault="0006474A">
            <w:pPr>
              <w:jc w:val="center"/>
              <w:rPr>
                <w:color w:val="000000" w:themeColor="text1"/>
                <w:sz w:val="22"/>
                <w:szCs w:val="22"/>
              </w:rPr>
            </w:pPr>
            <w:r w:rsidRPr="724F987B">
              <w:rPr>
                <w:color w:val="000000" w:themeColor="text1"/>
                <w:sz w:val="22"/>
                <w:szCs w:val="22"/>
              </w:rPr>
              <w:t>United States</w:t>
            </w:r>
          </w:p>
        </w:tc>
      </w:tr>
      <w:tr w:rsidR="0006474A" w:rsidRPr="004E79FE" w14:paraId="63A07319" w14:textId="77777777">
        <w:trPr>
          <w:trHeight w:val="555"/>
        </w:trPr>
        <w:tc>
          <w:tcPr>
            <w:tcW w:w="3870" w:type="dxa"/>
            <w:tcBorders>
              <w:top w:val="single" w:sz="8" w:space="0" w:color="auto"/>
              <w:left w:val="single" w:sz="12" w:space="0" w:color="auto"/>
              <w:bottom w:val="single" w:sz="8" w:space="0" w:color="auto"/>
              <w:right w:val="single" w:sz="12" w:space="0" w:color="auto"/>
            </w:tcBorders>
            <w:vAlign w:val="center"/>
          </w:tcPr>
          <w:p w14:paraId="2BC3DDB8" w14:textId="77777777" w:rsidR="0006474A" w:rsidRPr="002E4C0B" w:rsidRDefault="0006474A">
            <w:pPr>
              <w:rPr>
                <w:color w:val="000000" w:themeColor="text1"/>
                <w:sz w:val="22"/>
                <w:szCs w:val="22"/>
                <w:lang w:val="en-US"/>
              </w:rPr>
            </w:pPr>
            <w:r w:rsidRPr="002E4C0B">
              <w:rPr>
                <w:color w:val="000000" w:themeColor="text1"/>
                <w:sz w:val="22"/>
                <w:szCs w:val="22"/>
                <w:lang w:val="en-US"/>
              </w:rPr>
              <w:t xml:space="preserve">RIAL Workshop – Future of work and new forms of employment </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141DAE45" w14:textId="77777777" w:rsidR="0006474A" w:rsidRPr="00127EBE" w:rsidRDefault="0006474A">
            <w:pPr>
              <w:jc w:val="center"/>
              <w:rPr>
                <w:color w:val="000000" w:themeColor="text1"/>
                <w:sz w:val="22"/>
                <w:szCs w:val="22"/>
              </w:rPr>
            </w:pPr>
            <w:r w:rsidRPr="724F987B">
              <w:rPr>
                <w:color w:val="000000" w:themeColor="text1"/>
                <w:sz w:val="22"/>
                <w:szCs w:val="22"/>
              </w:rPr>
              <w:t>10,000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51B3390C" w14:textId="5278B8F3" w:rsidR="0006474A" w:rsidRPr="002E4C0B" w:rsidRDefault="0006474A">
            <w:pPr>
              <w:jc w:val="center"/>
              <w:rPr>
                <w:color w:val="000000" w:themeColor="text1"/>
                <w:sz w:val="22"/>
                <w:szCs w:val="22"/>
                <w:lang w:val="en-US"/>
              </w:rPr>
            </w:pPr>
            <w:r w:rsidRPr="002E4C0B">
              <w:rPr>
                <w:color w:val="000000" w:themeColor="text1"/>
                <w:sz w:val="22"/>
                <w:szCs w:val="22"/>
                <w:lang w:val="en-US"/>
              </w:rPr>
              <w:t>Costa Rica, to be confirmed</w:t>
            </w:r>
          </w:p>
        </w:tc>
      </w:tr>
      <w:tr w:rsidR="0006474A" w:rsidRPr="00127EBE" w14:paraId="2F039C14" w14:textId="77777777">
        <w:trPr>
          <w:trHeight w:val="555"/>
        </w:trPr>
        <w:tc>
          <w:tcPr>
            <w:tcW w:w="3870" w:type="dxa"/>
            <w:tcBorders>
              <w:top w:val="single" w:sz="8" w:space="0" w:color="000000" w:themeColor="text1"/>
              <w:left w:val="single" w:sz="12" w:space="0" w:color="auto"/>
              <w:bottom w:val="single" w:sz="8" w:space="0" w:color="000000" w:themeColor="text1"/>
              <w:right w:val="single" w:sz="12" w:space="0" w:color="auto"/>
            </w:tcBorders>
            <w:vAlign w:val="center"/>
          </w:tcPr>
          <w:p w14:paraId="02B5BE28" w14:textId="77777777" w:rsidR="0006474A" w:rsidRPr="002E4C0B" w:rsidRDefault="0006474A">
            <w:pPr>
              <w:rPr>
                <w:color w:val="000000" w:themeColor="text1"/>
                <w:sz w:val="22"/>
                <w:szCs w:val="22"/>
                <w:lang w:val="en-US"/>
              </w:rPr>
            </w:pPr>
            <w:r w:rsidRPr="002E4C0B">
              <w:rPr>
                <w:color w:val="000000" w:themeColor="text1"/>
                <w:sz w:val="22"/>
                <w:szCs w:val="22"/>
                <w:lang w:val="en-US"/>
              </w:rPr>
              <w:t>Preparatory Meeting of the XXII IACML</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114CBFCD" w14:textId="77777777" w:rsidR="0006474A" w:rsidRPr="002E4C0B" w:rsidRDefault="0006474A">
            <w:pPr>
              <w:jc w:val="center"/>
              <w:rPr>
                <w:color w:val="000000" w:themeColor="text1"/>
                <w:sz w:val="22"/>
                <w:szCs w:val="22"/>
                <w:lang w:val="en-US"/>
              </w:rPr>
            </w:pPr>
            <w:r w:rsidRPr="002E4C0B">
              <w:rPr>
                <w:color w:val="000000" w:themeColor="text1"/>
                <w:sz w:val="22"/>
                <w:szCs w:val="22"/>
                <w:lang w:val="en-US"/>
              </w:rPr>
              <w:t xml:space="preserve"> </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4866E8F3" w14:textId="77777777" w:rsidR="0006474A" w:rsidRPr="00127EBE" w:rsidRDefault="0006474A">
            <w:pPr>
              <w:jc w:val="center"/>
              <w:rPr>
                <w:color w:val="000000" w:themeColor="text1"/>
                <w:sz w:val="22"/>
                <w:szCs w:val="22"/>
              </w:rPr>
            </w:pPr>
            <w:r w:rsidRPr="724F987B">
              <w:rPr>
                <w:color w:val="000000" w:themeColor="text1"/>
                <w:sz w:val="22"/>
                <w:szCs w:val="22"/>
              </w:rPr>
              <w:t>Colombia</w:t>
            </w:r>
          </w:p>
        </w:tc>
      </w:tr>
      <w:tr w:rsidR="0006474A" w:rsidRPr="00127EBE" w14:paraId="562CF6C9" w14:textId="77777777">
        <w:trPr>
          <w:trHeight w:val="555"/>
        </w:trPr>
        <w:tc>
          <w:tcPr>
            <w:tcW w:w="3870" w:type="dxa"/>
            <w:tcBorders>
              <w:top w:val="single" w:sz="8" w:space="0" w:color="000000" w:themeColor="text1"/>
              <w:left w:val="single" w:sz="12" w:space="0" w:color="auto"/>
              <w:bottom w:val="single" w:sz="8" w:space="0" w:color="000000" w:themeColor="text1"/>
              <w:right w:val="single" w:sz="12" w:space="0" w:color="auto"/>
            </w:tcBorders>
            <w:vAlign w:val="center"/>
          </w:tcPr>
          <w:p w14:paraId="38877106" w14:textId="77777777" w:rsidR="0006474A" w:rsidRPr="00127EBE" w:rsidRDefault="0006474A">
            <w:pPr>
              <w:rPr>
                <w:color w:val="000000" w:themeColor="text1"/>
                <w:sz w:val="22"/>
                <w:szCs w:val="22"/>
              </w:rPr>
            </w:pPr>
            <w:r w:rsidRPr="724F987B">
              <w:rPr>
                <w:color w:val="000000" w:themeColor="text1"/>
                <w:sz w:val="22"/>
                <w:szCs w:val="22"/>
              </w:rPr>
              <w:t>XXII IACML</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3F07D124" w14:textId="77777777" w:rsidR="0006474A" w:rsidRPr="00127EBE" w:rsidRDefault="0006474A">
            <w:pPr>
              <w:jc w:val="center"/>
              <w:rPr>
                <w:color w:val="000000" w:themeColor="text1"/>
                <w:sz w:val="22"/>
                <w:szCs w:val="22"/>
              </w:rPr>
            </w:pPr>
            <w:r w:rsidRPr="724F987B">
              <w:rPr>
                <w:color w:val="000000" w:themeColor="text1"/>
                <w:sz w:val="22"/>
                <w:szCs w:val="22"/>
              </w:rPr>
              <w:t xml:space="preserve"> </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29EF2361" w14:textId="77777777" w:rsidR="0006474A" w:rsidRPr="00127EBE" w:rsidRDefault="0006474A">
            <w:pPr>
              <w:jc w:val="center"/>
              <w:rPr>
                <w:color w:val="000000" w:themeColor="text1"/>
                <w:sz w:val="22"/>
                <w:szCs w:val="22"/>
              </w:rPr>
            </w:pPr>
            <w:r w:rsidRPr="724F987B">
              <w:rPr>
                <w:color w:val="000000" w:themeColor="text1"/>
                <w:sz w:val="22"/>
                <w:szCs w:val="22"/>
              </w:rPr>
              <w:t>Host Country and OAS</w:t>
            </w:r>
          </w:p>
        </w:tc>
      </w:tr>
      <w:tr w:rsidR="0006474A" w:rsidRPr="00127EBE" w14:paraId="58724039" w14:textId="77777777">
        <w:trPr>
          <w:trHeight w:val="480"/>
        </w:trPr>
        <w:tc>
          <w:tcPr>
            <w:tcW w:w="3870" w:type="dxa"/>
            <w:tcBorders>
              <w:top w:val="single" w:sz="8" w:space="0" w:color="000000" w:themeColor="text1"/>
              <w:left w:val="single" w:sz="12" w:space="0" w:color="auto"/>
              <w:bottom w:val="single" w:sz="8" w:space="0" w:color="000000" w:themeColor="text1"/>
              <w:right w:val="single" w:sz="12" w:space="0" w:color="auto"/>
            </w:tcBorders>
            <w:vAlign w:val="center"/>
          </w:tcPr>
          <w:p w14:paraId="5DB6B096" w14:textId="77777777" w:rsidR="0006474A" w:rsidRPr="002E4C0B" w:rsidRDefault="0006474A">
            <w:pPr>
              <w:rPr>
                <w:color w:val="000000" w:themeColor="text1"/>
                <w:sz w:val="22"/>
                <w:szCs w:val="22"/>
                <w:lang w:val="en-US"/>
              </w:rPr>
            </w:pPr>
            <w:r w:rsidRPr="002E4C0B">
              <w:rPr>
                <w:color w:val="000000" w:themeColor="text1"/>
                <w:sz w:val="22"/>
                <w:szCs w:val="22"/>
                <w:lang w:val="en-US"/>
              </w:rPr>
              <w:t>Activities 16th and 17th RIAL Call (2023, 2024) *</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44A14B73" w14:textId="119CE10C" w:rsidR="0006474A" w:rsidRPr="00127EBE" w:rsidRDefault="00390DA1">
            <w:pPr>
              <w:jc w:val="center"/>
              <w:rPr>
                <w:color w:val="000000" w:themeColor="text1"/>
                <w:sz w:val="22"/>
                <w:szCs w:val="22"/>
              </w:rPr>
            </w:pPr>
            <w:r>
              <w:rPr>
                <w:color w:val="000000" w:themeColor="text1"/>
                <w:sz w:val="22"/>
                <w:szCs w:val="22"/>
              </w:rPr>
              <w:t>15,000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7AD85643" w14:textId="77777777" w:rsidR="0006474A" w:rsidRPr="00127EBE" w:rsidRDefault="0006474A">
            <w:pPr>
              <w:jc w:val="center"/>
              <w:rPr>
                <w:color w:val="000000" w:themeColor="text1"/>
                <w:sz w:val="22"/>
                <w:szCs w:val="22"/>
              </w:rPr>
            </w:pPr>
            <w:r w:rsidRPr="724F987B">
              <w:rPr>
                <w:color w:val="000000" w:themeColor="text1"/>
                <w:sz w:val="22"/>
                <w:szCs w:val="22"/>
              </w:rPr>
              <w:t xml:space="preserve"> </w:t>
            </w:r>
          </w:p>
        </w:tc>
      </w:tr>
      <w:tr w:rsidR="0006474A" w:rsidRPr="00127EBE" w14:paraId="4FF41338" w14:textId="77777777">
        <w:trPr>
          <w:trHeight w:val="450"/>
        </w:trPr>
        <w:tc>
          <w:tcPr>
            <w:tcW w:w="3870" w:type="dxa"/>
            <w:tcBorders>
              <w:top w:val="single" w:sz="8" w:space="0" w:color="000000" w:themeColor="text1"/>
              <w:left w:val="single" w:sz="12" w:space="0" w:color="auto"/>
              <w:bottom w:val="single" w:sz="12" w:space="0" w:color="auto"/>
              <w:right w:val="single" w:sz="12" w:space="0" w:color="auto"/>
            </w:tcBorders>
            <w:shd w:val="clear" w:color="auto" w:fill="99CCFF"/>
            <w:vAlign w:val="center"/>
          </w:tcPr>
          <w:p w14:paraId="3216BC86" w14:textId="77777777" w:rsidR="0006474A" w:rsidRPr="00127EBE" w:rsidRDefault="0006474A">
            <w:pPr>
              <w:rPr>
                <w:sz w:val="22"/>
                <w:szCs w:val="22"/>
              </w:rPr>
            </w:pPr>
            <w:r w:rsidRPr="724F987B">
              <w:rPr>
                <w:b/>
                <w:bCs/>
                <w:color w:val="000000" w:themeColor="text1"/>
                <w:sz w:val="22"/>
                <w:szCs w:val="22"/>
              </w:rPr>
              <w:t>TOTAL:</w:t>
            </w:r>
          </w:p>
        </w:tc>
        <w:tc>
          <w:tcPr>
            <w:tcW w:w="2070" w:type="dxa"/>
            <w:tcBorders>
              <w:top w:val="single" w:sz="8" w:space="0" w:color="000000" w:themeColor="text1"/>
              <w:left w:val="single" w:sz="12" w:space="0" w:color="auto"/>
              <w:bottom w:val="single" w:sz="12" w:space="0" w:color="auto"/>
              <w:right w:val="single" w:sz="12" w:space="0" w:color="auto"/>
            </w:tcBorders>
            <w:shd w:val="clear" w:color="auto" w:fill="99CCFF"/>
            <w:vAlign w:val="center"/>
          </w:tcPr>
          <w:p w14:paraId="2D4B3726" w14:textId="0421CD51" w:rsidR="0006474A" w:rsidRPr="00127EBE" w:rsidRDefault="0006474A">
            <w:pPr>
              <w:jc w:val="center"/>
              <w:rPr>
                <w:sz w:val="22"/>
                <w:szCs w:val="22"/>
              </w:rPr>
            </w:pPr>
            <w:r w:rsidRPr="5C6F6CD7">
              <w:rPr>
                <w:b/>
                <w:bCs/>
                <w:color w:val="000000" w:themeColor="text1"/>
                <w:sz w:val="22"/>
                <w:szCs w:val="22"/>
              </w:rPr>
              <w:t>$</w:t>
            </w:r>
            <w:r w:rsidR="003F4695">
              <w:rPr>
                <w:b/>
                <w:bCs/>
                <w:color w:val="000000" w:themeColor="text1"/>
                <w:sz w:val="22"/>
                <w:szCs w:val="22"/>
              </w:rPr>
              <w:t>3</w:t>
            </w:r>
            <w:r w:rsidR="00390DA1">
              <w:rPr>
                <w:b/>
                <w:bCs/>
                <w:color w:val="000000" w:themeColor="text1"/>
                <w:sz w:val="22"/>
                <w:szCs w:val="22"/>
              </w:rPr>
              <w:t>5</w:t>
            </w:r>
            <w:r w:rsidRPr="5C6F6CD7">
              <w:rPr>
                <w:b/>
                <w:bCs/>
                <w:color w:val="000000" w:themeColor="text1"/>
                <w:sz w:val="22"/>
                <w:szCs w:val="22"/>
              </w:rPr>
              <w:t>,000</w:t>
            </w:r>
          </w:p>
        </w:tc>
        <w:tc>
          <w:tcPr>
            <w:tcW w:w="2160" w:type="dxa"/>
            <w:tcBorders>
              <w:top w:val="single" w:sz="8" w:space="0" w:color="000000" w:themeColor="text1"/>
              <w:left w:val="single" w:sz="12" w:space="0" w:color="auto"/>
              <w:bottom w:val="single" w:sz="12" w:space="0" w:color="auto"/>
              <w:right w:val="single" w:sz="12" w:space="0" w:color="auto"/>
            </w:tcBorders>
            <w:shd w:val="clear" w:color="auto" w:fill="99CCFF"/>
            <w:vAlign w:val="center"/>
          </w:tcPr>
          <w:p w14:paraId="398F77CF" w14:textId="77777777" w:rsidR="0006474A" w:rsidRPr="00127EBE" w:rsidRDefault="0006474A">
            <w:pPr>
              <w:jc w:val="center"/>
              <w:rPr>
                <w:sz w:val="22"/>
                <w:szCs w:val="22"/>
              </w:rPr>
            </w:pPr>
            <w:r w:rsidRPr="724F987B">
              <w:rPr>
                <w:b/>
                <w:bCs/>
                <w:color w:val="000000" w:themeColor="text1"/>
                <w:sz w:val="22"/>
                <w:szCs w:val="22"/>
              </w:rPr>
              <w:t xml:space="preserve"> </w:t>
            </w:r>
          </w:p>
        </w:tc>
      </w:tr>
    </w:tbl>
    <w:p w14:paraId="4DDA06F7" w14:textId="1A10112A" w:rsidR="005D7CB1" w:rsidRDefault="00595E26" w:rsidP="005D7CB1">
      <w:pPr>
        <w:spacing w:line="250" w:lineRule="exact"/>
        <w:jc w:val="center"/>
        <w:rPr>
          <w:i/>
          <w:iCs/>
          <w:sz w:val="22"/>
          <w:szCs w:val="22"/>
          <w:lang w:val="en-US"/>
        </w:rPr>
      </w:pPr>
      <w:r>
        <w:rPr>
          <w:i/>
          <w:iCs/>
          <w:sz w:val="22"/>
          <w:szCs w:val="22"/>
          <w:lang w:val="en-US"/>
        </w:rPr>
        <w:t>*</w:t>
      </w:r>
      <w:r w:rsidR="005D7CB1" w:rsidRPr="005D7CB1">
        <w:rPr>
          <w:i/>
          <w:iCs/>
          <w:sz w:val="22"/>
          <w:szCs w:val="22"/>
          <w:lang w:val="en-US"/>
        </w:rPr>
        <w:t>These amounts were approved by the RIAL authorities before the contribution from the United States to cover RIAL activities within the 2022-2024 Work Plan was received.</w:t>
      </w:r>
    </w:p>
    <w:p w14:paraId="3CB1AB35" w14:textId="77777777" w:rsidR="00CB41CF" w:rsidRPr="00CB41CF" w:rsidRDefault="00CB41CF" w:rsidP="0068141F">
      <w:pPr>
        <w:spacing w:line="250" w:lineRule="exact"/>
        <w:jc w:val="center"/>
        <w:rPr>
          <w:i/>
          <w:iCs/>
          <w:sz w:val="22"/>
          <w:szCs w:val="22"/>
          <w:lang w:val="en-US"/>
        </w:rPr>
      </w:pPr>
    </w:p>
    <w:p w14:paraId="2E19469F" w14:textId="77777777" w:rsidR="0068141F" w:rsidRPr="00A50042" w:rsidRDefault="0068141F" w:rsidP="0012225A">
      <w:pPr>
        <w:spacing w:line="250" w:lineRule="exact"/>
        <w:jc w:val="both"/>
        <w:rPr>
          <w:b/>
          <w:bCs/>
          <w:sz w:val="22"/>
          <w:szCs w:val="22"/>
          <w:lang w:val="en-US"/>
        </w:rPr>
      </w:pPr>
    </w:p>
    <w:p w14:paraId="5ABA7ECF" w14:textId="4150B3CF" w:rsidR="0012225A" w:rsidRPr="00AD1189" w:rsidRDefault="000A7EF6" w:rsidP="00493E76">
      <w:pPr>
        <w:pStyle w:val="BodyText2"/>
        <w:spacing w:after="0" w:line="240" w:lineRule="auto"/>
        <w:jc w:val="both"/>
        <w:rPr>
          <w:b/>
          <w:bCs/>
          <w:sz w:val="22"/>
          <w:szCs w:val="22"/>
          <w:lang w:val="en-US"/>
        </w:rPr>
      </w:pPr>
      <w:r w:rsidRPr="00AD1189">
        <w:rPr>
          <w:b/>
          <w:bCs/>
          <w:sz w:val="22"/>
          <w:szCs w:val="22"/>
          <w:lang w:val="en-US"/>
        </w:rPr>
        <w:t xml:space="preserve">V. </w:t>
      </w:r>
      <w:r w:rsidR="00A83E7A" w:rsidRPr="00AD1189">
        <w:rPr>
          <w:b/>
          <w:bCs/>
          <w:sz w:val="22"/>
          <w:szCs w:val="22"/>
          <w:lang w:val="en-US"/>
        </w:rPr>
        <w:t>O</w:t>
      </w:r>
      <w:r w:rsidR="00AD1189" w:rsidRPr="00AD1189">
        <w:rPr>
          <w:b/>
          <w:bCs/>
          <w:sz w:val="22"/>
          <w:szCs w:val="22"/>
          <w:lang w:val="en-US"/>
        </w:rPr>
        <w:t>utlook and available resources</w:t>
      </w:r>
    </w:p>
    <w:p w14:paraId="35C54366" w14:textId="5B421FB8" w:rsidR="0012225A" w:rsidRPr="00A50042" w:rsidRDefault="0012225A" w:rsidP="00493E76">
      <w:pPr>
        <w:jc w:val="both"/>
        <w:rPr>
          <w:b/>
          <w:bCs/>
          <w:sz w:val="22"/>
          <w:szCs w:val="22"/>
          <w:lang w:val="en-US"/>
        </w:rPr>
      </w:pPr>
    </w:p>
    <w:p w14:paraId="123F5472" w14:textId="30D2ED89" w:rsidR="0012225A" w:rsidRPr="00A50042" w:rsidRDefault="0012225A" w:rsidP="00493E76">
      <w:pPr>
        <w:jc w:val="both"/>
        <w:rPr>
          <w:b/>
          <w:sz w:val="22"/>
          <w:szCs w:val="22"/>
          <w:lang w:val="en-US"/>
        </w:rPr>
      </w:pPr>
      <w:r w:rsidRPr="00A50042">
        <w:rPr>
          <w:sz w:val="22"/>
          <w:szCs w:val="22"/>
          <w:lang w:val="en-US"/>
        </w:rPr>
        <w:t>Summarizing what has been reported, the total budget of the RIAL between 2011 and 202</w:t>
      </w:r>
      <w:r w:rsidR="005D7CB1">
        <w:rPr>
          <w:sz w:val="22"/>
          <w:szCs w:val="22"/>
          <w:lang w:val="en-US"/>
        </w:rPr>
        <w:t>3</w:t>
      </w:r>
      <w:r w:rsidRPr="00A50042">
        <w:rPr>
          <w:sz w:val="22"/>
          <w:szCs w:val="22"/>
          <w:lang w:val="en-US"/>
        </w:rPr>
        <w:t xml:space="preserve"> is </w:t>
      </w:r>
      <w:r w:rsidRPr="00A50042">
        <w:rPr>
          <w:b/>
          <w:sz w:val="22"/>
          <w:szCs w:val="22"/>
          <w:lang w:val="en-US"/>
        </w:rPr>
        <w:t>$1,</w:t>
      </w:r>
      <w:r w:rsidR="005D7CB1">
        <w:rPr>
          <w:b/>
          <w:sz w:val="22"/>
          <w:szCs w:val="22"/>
          <w:lang w:val="en-US"/>
        </w:rPr>
        <w:t>548</w:t>
      </w:r>
      <w:r w:rsidR="00213165">
        <w:rPr>
          <w:b/>
          <w:sz w:val="22"/>
          <w:szCs w:val="22"/>
          <w:lang w:val="en-US"/>
        </w:rPr>
        <w:t>,1</w:t>
      </w:r>
      <w:r w:rsidR="005D7CB1">
        <w:rPr>
          <w:b/>
          <w:sz w:val="22"/>
          <w:szCs w:val="22"/>
          <w:lang w:val="en-US"/>
        </w:rPr>
        <w:t>1</w:t>
      </w:r>
      <w:r w:rsidR="00213165">
        <w:rPr>
          <w:b/>
          <w:sz w:val="22"/>
          <w:szCs w:val="22"/>
          <w:lang w:val="en-US"/>
        </w:rPr>
        <w:t>2</w:t>
      </w:r>
      <w:r w:rsidRPr="00A50042">
        <w:rPr>
          <w:sz w:val="22"/>
          <w:szCs w:val="22"/>
          <w:lang w:val="en-US"/>
        </w:rPr>
        <w:t xml:space="preserve">, consisting of </w:t>
      </w:r>
      <w:r w:rsidRPr="00A50042">
        <w:rPr>
          <w:b/>
          <w:sz w:val="22"/>
          <w:szCs w:val="22"/>
          <w:lang w:val="en-US"/>
        </w:rPr>
        <w:t>$</w:t>
      </w:r>
      <w:r w:rsidR="00213165">
        <w:rPr>
          <w:b/>
          <w:sz w:val="22"/>
          <w:szCs w:val="22"/>
          <w:lang w:val="en-US"/>
        </w:rPr>
        <w:t>1,</w:t>
      </w:r>
      <w:r w:rsidR="005D7CB1">
        <w:rPr>
          <w:b/>
          <w:sz w:val="22"/>
          <w:szCs w:val="22"/>
          <w:lang w:val="en-US"/>
        </w:rPr>
        <w:t>126</w:t>
      </w:r>
      <w:r w:rsidR="00315E10">
        <w:rPr>
          <w:b/>
          <w:sz w:val="22"/>
          <w:szCs w:val="22"/>
          <w:lang w:val="en-US"/>
        </w:rPr>
        <w:t>,1</w:t>
      </w:r>
      <w:r w:rsidR="005D7CB1">
        <w:rPr>
          <w:b/>
          <w:sz w:val="22"/>
          <w:szCs w:val="22"/>
          <w:lang w:val="en-US"/>
        </w:rPr>
        <w:t>12</w:t>
      </w:r>
      <w:r w:rsidRPr="00A50042">
        <w:rPr>
          <w:b/>
          <w:sz w:val="22"/>
          <w:szCs w:val="22"/>
          <w:lang w:val="en-US"/>
        </w:rPr>
        <w:t xml:space="preserve"> </w:t>
      </w:r>
      <w:r w:rsidRPr="00A50042">
        <w:rPr>
          <w:sz w:val="22"/>
          <w:szCs w:val="22"/>
          <w:lang w:val="en-US"/>
        </w:rPr>
        <w:t>from contributions from 2</w:t>
      </w:r>
      <w:r w:rsidR="005D7CB1">
        <w:rPr>
          <w:sz w:val="22"/>
          <w:szCs w:val="22"/>
          <w:lang w:val="en-US"/>
        </w:rPr>
        <w:t>3</w:t>
      </w:r>
      <w:r w:rsidRPr="00A50042">
        <w:rPr>
          <w:sz w:val="22"/>
          <w:szCs w:val="22"/>
          <w:lang w:val="en-US"/>
        </w:rPr>
        <w:t xml:space="preserve"> countries to RIAL</w:t>
      </w:r>
      <w:r w:rsidR="005D7CB1">
        <w:rPr>
          <w:sz w:val="22"/>
          <w:szCs w:val="22"/>
          <w:lang w:val="en-US"/>
        </w:rPr>
        <w:t>’</w:t>
      </w:r>
      <w:r w:rsidRPr="00A50042">
        <w:rPr>
          <w:sz w:val="22"/>
          <w:szCs w:val="22"/>
          <w:lang w:val="en-US"/>
        </w:rPr>
        <w:t xml:space="preserve">s Voluntary Fund and </w:t>
      </w:r>
      <w:r w:rsidRPr="00A50042">
        <w:rPr>
          <w:b/>
          <w:sz w:val="22"/>
          <w:szCs w:val="22"/>
          <w:lang w:val="en-US"/>
        </w:rPr>
        <w:t>$</w:t>
      </w:r>
      <w:r w:rsidR="00D1612C">
        <w:rPr>
          <w:b/>
          <w:sz w:val="22"/>
          <w:szCs w:val="22"/>
          <w:lang w:val="en-US"/>
        </w:rPr>
        <w:t>4</w:t>
      </w:r>
      <w:r w:rsidR="005D7CB1">
        <w:rPr>
          <w:b/>
          <w:sz w:val="22"/>
          <w:szCs w:val="22"/>
          <w:lang w:val="en-US"/>
        </w:rPr>
        <w:t>22</w:t>
      </w:r>
      <w:r w:rsidR="00D1612C">
        <w:rPr>
          <w:b/>
          <w:sz w:val="22"/>
          <w:szCs w:val="22"/>
          <w:lang w:val="en-US"/>
        </w:rPr>
        <w:t>,00</w:t>
      </w:r>
      <w:r w:rsidRPr="00A50042">
        <w:rPr>
          <w:b/>
          <w:sz w:val="22"/>
          <w:szCs w:val="22"/>
          <w:lang w:val="en-US"/>
        </w:rPr>
        <w:t xml:space="preserve">0 </w:t>
      </w:r>
      <w:r w:rsidRPr="00A50042">
        <w:rPr>
          <w:sz w:val="22"/>
          <w:szCs w:val="22"/>
          <w:lang w:val="en-US"/>
        </w:rPr>
        <w:t>of in-kind co-funding resources</w:t>
      </w:r>
      <w:r w:rsidRPr="005D7CB1">
        <w:rPr>
          <w:bCs/>
          <w:sz w:val="22"/>
          <w:szCs w:val="22"/>
          <w:lang w:val="en-US"/>
        </w:rPr>
        <w:t>.</w:t>
      </w:r>
    </w:p>
    <w:p w14:paraId="229762FF" w14:textId="77777777" w:rsidR="0012225A" w:rsidRPr="00A50042" w:rsidRDefault="0012225A" w:rsidP="00493E76">
      <w:pPr>
        <w:jc w:val="both"/>
        <w:rPr>
          <w:sz w:val="22"/>
          <w:szCs w:val="22"/>
          <w:lang w:val="en-US"/>
        </w:rPr>
      </w:pPr>
    </w:p>
    <w:p w14:paraId="24BD925A" w14:textId="494B9706" w:rsidR="0012225A" w:rsidRPr="00A50042" w:rsidRDefault="0012225A" w:rsidP="00493E76">
      <w:pPr>
        <w:jc w:val="both"/>
        <w:rPr>
          <w:b/>
          <w:sz w:val="22"/>
          <w:szCs w:val="22"/>
          <w:lang w:val="en-US"/>
        </w:rPr>
      </w:pPr>
      <w:r w:rsidRPr="00A50042">
        <w:rPr>
          <w:sz w:val="22"/>
          <w:szCs w:val="22"/>
          <w:lang w:val="en-US"/>
        </w:rPr>
        <w:t xml:space="preserve">Spent resources to date, amount to </w:t>
      </w:r>
      <w:r w:rsidRPr="00A50042">
        <w:rPr>
          <w:b/>
          <w:sz w:val="22"/>
          <w:szCs w:val="22"/>
          <w:lang w:val="en-US"/>
        </w:rPr>
        <w:t>$1,</w:t>
      </w:r>
      <w:r w:rsidR="005D7CB1">
        <w:rPr>
          <w:b/>
          <w:sz w:val="22"/>
          <w:szCs w:val="22"/>
          <w:lang w:val="en-US"/>
        </w:rPr>
        <w:t>400</w:t>
      </w:r>
      <w:r w:rsidR="003852FB">
        <w:rPr>
          <w:b/>
          <w:sz w:val="22"/>
          <w:szCs w:val="22"/>
          <w:lang w:val="en-US"/>
        </w:rPr>
        <w:t>,6</w:t>
      </w:r>
      <w:r w:rsidR="005D7CB1">
        <w:rPr>
          <w:b/>
          <w:sz w:val="22"/>
          <w:szCs w:val="22"/>
          <w:lang w:val="en-US"/>
        </w:rPr>
        <w:t>57</w:t>
      </w:r>
      <w:r w:rsidR="003852FB">
        <w:rPr>
          <w:b/>
          <w:sz w:val="22"/>
          <w:szCs w:val="22"/>
          <w:lang w:val="en-US"/>
        </w:rPr>
        <w:t xml:space="preserve"> </w:t>
      </w:r>
      <w:r w:rsidR="003852FB" w:rsidRPr="00576598">
        <w:rPr>
          <w:bCs/>
          <w:sz w:val="22"/>
          <w:szCs w:val="22"/>
          <w:lang w:val="en-US"/>
        </w:rPr>
        <w:t>and the budget</w:t>
      </w:r>
      <w:r w:rsidR="003852FB">
        <w:rPr>
          <w:b/>
          <w:sz w:val="22"/>
          <w:szCs w:val="22"/>
          <w:lang w:val="en-US"/>
        </w:rPr>
        <w:t xml:space="preserve"> </w:t>
      </w:r>
      <w:r w:rsidR="00576598">
        <w:rPr>
          <w:sz w:val="22"/>
          <w:szCs w:val="22"/>
          <w:lang w:val="en-US"/>
        </w:rPr>
        <w:t>a</w:t>
      </w:r>
      <w:r w:rsidR="0082410C">
        <w:rPr>
          <w:sz w:val="22"/>
          <w:szCs w:val="22"/>
          <w:lang w:val="en-US"/>
        </w:rPr>
        <w:t>llocated</w:t>
      </w:r>
      <w:r w:rsidR="00576598">
        <w:rPr>
          <w:sz w:val="22"/>
          <w:szCs w:val="22"/>
          <w:lang w:val="en-US"/>
        </w:rPr>
        <w:t xml:space="preserve"> for activities </w:t>
      </w:r>
      <w:r w:rsidR="00D1219C">
        <w:rPr>
          <w:sz w:val="22"/>
          <w:szCs w:val="22"/>
          <w:lang w:val="en-US"/>
        </w:rPr>
        <w:t>in 2023 and 2024 is $3</w:t>
      </w:r>
      <w:r w:rsidR="005D7CB1">
        <w:rPr>
          <w:sz w:val="22"/>
          <w:szCs w:val="22"/>
          <w:lang w:val="en-US"/>
        </w:rPr>
        <w:t>5</w:t>
      </w:r>
      <w:r w:rsidR="00D1219C">
        <w:rPr>
          <w:sz w:val="22"/>
          <w:szCs w:val="22"/>
          <w:lang w:val="en-US"/>
        </w:rPr>
        <w:t>,000</w:t>
      </w:r>
      <w:r w:rsidR="00946B4D" w:rsidRPr="00A50042">
        <w:rPr>
          <w:sz w:val="22"/>
          <w:szCs w:val="22"/>
          <w:lang w:val="en-US"/>
        </w:rPr>
        <w:t xml:space="preserve">; thus, the balance of the RIAL Fund is </w:t>
      </w:r>
      <w:r w:rsidR="00946B4D" w:rsidRPr="005D7CB1">
        <w:rPr>
          <w:b/>
          <w:bCs/>
          <w:sz w:val="22"/>
          <w:szCs w:val="22"/>
          <w:lang w:val="en-US"/>
        </w:rPr>
        <w:t>$</w:t>
      </w:r>
      <w:r w:rsidR="005D7CB1" w:rsidRPr="005D7CB1">
        <w:rPr>
          <w:b/>
          <w:bCs/>
          <w:sz w:val="22"/>
          <w:szCs w:val="22"/>
          <w:lang w:val="en-US"/>
        </w:rPr>
        <w:t>112</w:t>
      </w:r>
      <w:r w:rsidR="00946B4D" w:rsidRPr="005D7CB1">
        <w:rPr>
          <w:b/>
          <w:bCs/>
          <w:sz w:val="22"/>
          <w:szCs w:val="22"/>
          <w:lang w:val="en-US"/>
        </w:rPr>
        <w:t>,</w:t>
      </w:r>
      <w:r w:rsidR="005D7CB1" w:rsidRPr="005D7CB1">
        <w:rPr>
          <w:b/>
          <w:bCs/>
          <w:sz w:val="22"/>
          <w:szCs w:val="22"/>
          <w:lang w:val="en-US"/>
        </w:rPr>
        <w:t>456</w:t>
      </w:r>
      <w:r w:rsidR="00946B4D" w:rsidRPr="005D7CB1">
        <w:rPr>
          <w:b/>
          <w:bCs/>
          <w:sz w:val="22"/>
          <w:szCs w:val="22"/>
          <w:lang w:val="en-US"/>
        </w:rPr>
        <w:t>.</w:t>
      </w:r>
      <w:r w:rsidR="00946B4D" w:rsidRPr="00A50042">
        <w:rPr>
          <w:sz w:val="22"/>
          <w:szCs w:val="22"/>
          <w:lang w:val="en-US"/>
        </w:rPr>
        <w:t xml:space="preserve"> </w:t>
      </w:r>
      <w:r w:rsidR="005D7CB1" w:rsidRPr="005D7CB1">
        <w:rPr>
          <w:sz w:val="22"/>
          <w:szCs w:val="22"/>
          <w:lang w:val="en-US"/>
        </w:rPr>
        <w:t xml:space="preserve">It should be noted that the contribution of $100,000 from the United States in 2023 must be allocated to the RIAL actions contemplated in the 2022-2024 Work Plan of the </w:t>
      </w:r>
      <w:r w:rsidR="005D7CB1">
        <w:rPr>
          <w:sz w:val="22"/>
          <w:szCs w:val="22"/>
          <w:lang w:val="en-US"/>
        </w:rPr>
        <w:t>IACML.</w:t>
      </w:r>
    </w:p>
    <w:p w14:paraId="17A445A3" w14:textId="77777777" w:rsidR="0012225A" w:rsidRPr="00A50042" w:rsidRDefault="0012225A" w:rsidP="00493E76">
      <w:pPr>
        <w:jc w:val="both"/>
        <w:rPr>
          <w:b/>
          <w:sz w:val="22"/>
          <w:szCs w:val="22"/>
          <w:lang w:val="en-US"/>
        </w:rPr>
      </w:pPr>
    </w:p>
    <w:p w14:paraId="141047DF" w14:textId="7F7D482C" w:rsidR="0012225A" w:rsidRPr="00A50042" w:rsidRDefault="0012225A" w:rsidP="00493E76">
      <w:pPr>
        <w:pStyle w:val="BodyText2"/>
        <w:spacing w:after="0" w:line="240" w:lineRule="auto"/>
        <w:rPr>
          <w:sz w:val="22"/>
          <w:szCs w:val="22"/>
          <w:lang w:val="en-US"/>
        </w:rPr>
      </w:pPr>
      <w:r w:rsidRPr="00A50042">
        <w:rPr>
          <w:sz w:val="22"/>
          <w:szCs w:val="22"/>
          <w:lang w:val="en-US"/>
        </w:rPr>
        <w:t xml:space="preserve">As noted in previous </w:t>
      </w:r>
      <w:r w:rsidR="00946B4D" w:rsidRPr="00A50042">
        <w:rPr>
          <w:sz w:val="22"/>
          <w:szCs w:val="22"/>
          <w:lang w:val="en-US"/>
        </w:rPr>
        <w:t>R</w:t>
      </w:r>
      <w:r w:rsidRPr="00A50042">
        <w:rPr>
          <w:sz w:val="22"/>
          <w:szCs w:val="22"/>
          <w:lang w:val="en-US"/>
        </w:rPr>
        <w:t xml:space="preserve">eports, </w:t>
      </w:r>
      <w:r w:rsidR="006650C4">
        <w:rPr>
          <w:sz w:val="22"/>
          <w:szCs w:val="22"/>
          <w:lang w:val="en-US"/>
        </w:rPr>
        <w:t xml:space="preserve">the commitment of all Member States, as well as </w:t>
      </w:r>
      <w:r w:rsidR="005A0AAE">
        <w:rPr>
          <w:sz w:val="22"/>
          <w:szCs w:val="22"/>
          <w:lang w:val="en-US"/>
        </w:rPr>
        <w:t xml:space="preserve">more consistent and stable financial contributions </w:t>
      </w:r>
      <w:r w:rsidR="006650C4">
        <w:rPr>
          <w:sz w:val="22"/>
          <w:szCs w:val="22"/>
          <w:lang w:val="en-US"/>
        </w:rPr>
        <w:t>is crucial</w:t>
      </w:r>
      <w:r w:rsidR="00946B4D" w:rsidRPr="00A50042">
        <w:rPr>
          <w:sz w:val="22"/>
          <w:szCs w:val="22"/>
          <w:lang w:val="en-US"/>
        </w:rPr>
        <w:t xml:space="preserve"> to </w:t>
      </w:r>
      <w:r w:rsidR="006650C4">
        <w:rPr>
          <w:sz w:val="22"/>
          <w:szCs w:val="22"/>
          <w:lang w:val="en-US"/>
        </w:rPr>
        <w:t>ensure</w:t>
      </w:r>
      <w:r w:rsidR="00946B4D" w:rsidRPr="00A50042">
        <w:rPr>
          <w:sz w:val="22"/>
          <w:szCs w:val="22"/>
          <w:lang w:val="en-US"/>
        </w:rPr>
        <w:t xml:space="preserve"> the sustainability of the RIAL in the future</w:t>
      </w:r>
      <w:r w:rsidRPr="00A50042">
        <w:rPr>
          <w:sz w:val="22"/>
          <w:szCs w:val="22"/>
          <w:lang w:val="en-US"/>
        </w:rPr>
        <w:t>. To date,</w:t>
      </w:r>
      <w:r w:rsidR="00946B4D" w:rsidRPr="00A50042">
        <w:rPr>
          <w:sz w:val="22"/>
          <w:szCs w:val="22"/>
          <w:lang w:val="en-US"/>
        </w:rPr>
        <w:t xml:space="preserve"> </w:t>
      </w:r>
      <w:r w:rsidR="00946B4D" w:rsidRPr="00A50042">
        <w:rPr>
          <w:sz w:val="22"/>
          <w:szCs w:val="22"/>
          <w:lang w:val="en-US"/>
        </w:rPr>
        <w:lastRenderedPageBreak/>
        <w:t>only</w:t>
      </w:r>
      <w:r w:rsidRPr="00A50042">
        <w:rPr>
          <w:sz w:val="22"/>
          <w:szCs w:val="22"/>
          <w:lang w:val="en-US"/>
        </w:rPr>
        <w:t xml:space="preserve"> 2</w:t>
      </w:r>
      <w:r w:rsidR="005D7CB1">
        <w:rPr>
          <w:sz w:val="22"/>
          <w:szCs w:val="22"/>
          <w:lang w:val="en-US"/>
        </w:rPr>
        <w:t>3</w:t>
      </w:r>
      <w:r w:rsidRPr="00A50042">
        <w:rPr>
          <w:sz w:val="22"/>
          <w:szCs w:val="22"/>
          <w:lang w:val="en-US"/>
        </w:rPr>
        <w:t xml:space="preserve"> of the 34 OAS Member States have made contributions to the Fund, while all of them have participated in the RIAL.</w:t>
      </w:r>
    </w:p>
    <w:p w14:paraId="1397A3D4" w14:textId="77777777" w:rsidR="00493E76" w:rsidRDefault="00493E76" w:rsidP="00493E76">
      <w:pPr>
        <w:pStyle w:val="BodyText2"/>
        <w:spacing w:after="0" w:line="240" w:lineRule="auto"/>
        <w:rPr>
          <w:sz w:val="22"/>
          <w:szCs w:val="22"/>
          <w:lang w:val="en-US"/>
        </w:rPr>
      </w:pPr>
    </w:p>
    <w:p w14:paraId="4DE94626" w14:textId="71137C62" w:rsidR="003E2BCE" w:rsidRPr="00A50042" w:rsidRDefault="003E2BCE" w:rsidP="00493E76">
      <w:pPr>
        <w:pStyle w:val="BodyText2"/>
        <w:spacing w:after="0" w:line="240" w:lineRule="auto"/>
        <w:rPr>
          <w:sz w:val="22"/>
          <w:szCs w:val="22"/>
          <w:lang w:val="en-US"/>
        </w:rPr>
      </w:pPr>
      <w:r w:rsidRPr="00A50042">
        <w:rPr>
          <w:sz w:val="22"/>
          <w:szCs w:val="22"/>
          <w:lang w:val="en-US"/>
        </w:rPr>
        <w:t xml:space="preserve">The Fund should have a budget of no less than $120,000 per year to guarantee continuity of actions, according to the standards that have been established. Thus, contributions should be reinforced. </w:t>
      </w:r>
    </w:p>
    <w:p w14:paraId="0935082F" w14:textId="77777777" w:rsidR="003E2BCE" w:rsidRPr="00A50042" w:rsidRDefault="003E2BCE" w:rsidP="00493E76">
      <w:pPr>
        <w:jc w:val="both"/>
        <w:rPr>
          <w:sz w:val="22"/>
          <w:szCs w:val="22"/>
          <w:lang w:val="en-US"/>
        </w:rPr>
      </w:pPr>
    </w:p>
    <w:p w14:paraId="3848C5F1" w14:textId="0A26B1BE" w:rsidR="003E2BCE" w:rsidRDefault="003E2BCE" w:rsidP="00493E76">
      <w:pPr>
        <w:jc w:val="both"/>
        <w:rPr>
          <w:sz w:val="22"/>
          <w:szCs w:val="22"/>
          <w:lang w:val="en-US"/>
        </w:rPr>
      </w:pPr>
      <w:r w:rsidRPr="00A50042">
        <w:rPr>
          <w:sz w:val="22"/>
          <w:szCs w:val="22"/>
          <w:lang w:val="en-US"/>
        </w:rPr>
        <w:t xml:space="preserve">The RIAL calls on Ministries of Labor to make contributions in accordance with their national capacities. In this sense, it is hoped that more developed countries with more robust economies will make contributions above the established minimum of $5,000 per year. </w:t>
      </w:r>
    </w:p>
    <w:p w14:paraId="63940E42" w14:textId="77777777" w:rsidR="00DD0EF1" w:rsidRDefault="00DD0EF1">
      <w:pPr>
        <w:rPr>
          <w:b/>
          <w:sz w:val="22"/>
          <w:szCs w:val="22"/>
          <w:lang w:val="en-US"/>
        </w:rPr>
      </w:pPr>
      <w:r>
        <w:rPr>
          <w:b/>
          <w:sz w:val="22"/>
          <w:szCs w:val="22"/>
          <w:lang w:val="en-US"/>
        </w:rPr>
        <w:br w:type="page"/>
      </w:r>
    </w:p>
    <w:p w14:paraId="726A3350" w14:textId="4C5E9557" w:rsidR="003B4FEA" w:rsidRPr="00A50042" w:rsidRDefault="003B4FEA" w:rsidP="003B4FEA">
      <w:pPr>
        <w:spacing w:line="250" w:lineRule="exact"/>
        <w:jc w:val="center"/>
        <w:rPr>
          <w:b/>
          <w:sz w:val="22"/>
          <w:szCs w:val="22"/>
          <w:lang w:val="en-US"/>
        </w:rPr>
      </w:pPr>
      <w:r w:rsidRPr="00A50042">
        <w:rPr>
          <w:b/>
          <w:sz w:val="22"/>
          <w:szCs w:val="22"/>
          <w:lang w:val="en-US"/>
        </w:rPr>
        <w:lastRenderedPageBreak/>
        <w:t>APPENDIX 1</w:t>
      </w:r>
    </w:p>
    <w:p w14:paraId="6F3F7520" w14:textId="77777777" w:rsidR="003B4FEA" w:rsidRPr="00A50042" w:rsidRDefault="003B4FEA" w:rsidP="003B4FEA">
      <w:pPr>
        <w:spacing w:line="250" w:lineRule="exact"/>
        <w:rPr>
          <w:b/>
          <w:bCs/>
          <w:sz w:val="22"/>
          <w:szCs w:val="22"/>
          <w:lang w:val="en-US"/>
        </w:rPr>
      </w:pPr>
    </w:p>
    <w:p w14:paraId="707D5092" w14:textId="77777777" w:rsidR="003B4FEA" w:rsidRPr="00A50042" w:rsidRDefault="003B4FEA" w:rsidP="003B4FEA">
      <w:pPr>
        <w:tabs>
          <w:tab w:val="num" w:pos="2340"/>
        </w:tabs>
        <w:spacing w:line="250" w:lineRule="exact"/>
        <w:jc w:val="center"/>
        <w:rPr>
          <w:b/>
          <w:sz w:val="22"/>
          <w:szCs w:val="22"/>
          <w:lang w:val="en-US"/>
        </w:rPr>
      </w:pPr>
      <w:r w:rsidRPr="00A50042">
        <w:rPr>
          <w:b/>
          <w:sz w:val="22"/>
          <w:szCs w:val="22"/>
          <w:lang w:val="en-US"/>
        </w:rPr>
        <w:t>2006 – 2010 Period</w:t>
      </w:r>
    </w:p>
    <w:p w14:paraId="1288EC4D" w14:textId="77777777" w:rsidR="003B4FEA" w:rsidRPr="00A50042" w:rsidRDefault="003B4FEA" w:rsidP="003B4FEA">
      <w:pPr>
        <w:spacing w:line="250" w:lineRule="exact"/>
        <w:rPr>
          <w:b/>
          <w:bCs/>
          <w:sz w:val="22"/>
          <w:szCs w:val="22"/>
          <w:lang w:val="en-US"/>
        </w:rPr>
      </w:pPr>
    </w:p>
    <w:p w14:paraId="29DDF1CF" w14:textId="77777777" w:rsidR="003B4FEA" w:rsidRPr="00A50042" w:rsidRDefault="003B4FEA" w:rsidP="003B4FEA">
      <w:pPr>
        <w:spacing w:line="250" w:lineRule="exact"/>
        <w:jc w:val="both"/>
        <w:rPr>
          <w:sz w:val="22"/>
          <w:szCs w:val="22"/>
          <w:lang w:val="en-US"/>
        </w:rPr>
      </w:pPr>
      <w:r w:rsidRPr="00A50042">
        <w:rPr>
          <w:sz w:val="22"/>
          <w:szCs w:val="22"/>
          <w:lang w:val="en-US"/>
        </w:rPr>
        <w:t>The establishment of the RIAL and most of its activities in the period 2006-2010 were funded from a large contribution by the Canadian Labour Program, provided under four agreements with the OAS for a total of US$1.35 million. This funding covered RIAL’s activities and basic operating costs.</w:t>
      </w:r>
      <w:r w:rsidRPr="00A50042">
        <w:rPr>
          <w:rStyle w:val="FootnoteReference"/>
          <w:sz w:val="22"/>
          <w:szCs w:val="22"/>
          <w:lang w:val="en-US"/>
        </w:rPr>
        <w:footnoteReference w:id="2"/>
      </w:r>
    </w:p>
    <w:p w14:paraId="42924FA4" w14:textId="77777777" w:rsidR="003B4FEA" w:rsidRPr="00A50042" w:rsidRDefault="003B4FEA" w:rsidP="003B4FEA">
      <w:pPr>
        <w:rPr>
          <w:b/>
          <w:caps/>
          <w:sz w:val="22"/>
          <w:szCs w:val="22"/>
          <w:lang w:val="en-US"/>
        </w:rPr>
      </w:pPr>
    </w:p>
    <w:tbl>
      <w:tblPr>
        <w:tblW w:w="5460" w:type="dxa"/>
        <w:tblInd w:w="1773" w:type="dxa"/>
        <w:tblLook w:val="0000" w:firstRow="0" w:lastRow="0" w:firstColumn="0" w:lastColumn="0" w:noHBand="0" w:noVBand="0"/>
      </w:tblPr>
      <w:tblGrid>
        <w:gridCol w:w="2141"/>
        <w:gridCol w:w="1656"/>
        <w:gridCol w:w="1663"/>
      </w:tblGrid>
      <w:tr w:rsidR="003B4FEA" w:rsidRPr="004E79FE" w14:paraId="3FC5FE2A" w14:textId="77777777">
        <w:trPr>
          <w:trHeight w:val="390"/>
        </w:trPr>
        <w:tc>
          <w:tcPr>
            <w:tcW w:w="5460" w:type="dxa"/>
            <w:gridSpan w:val="3"/>
            <w:tcBorders>
              <w:top w:val="nil"/>
              <w:left w:val="nil"/>
              <w:bottom w:val="nil"/>
              <w:right w:val="nil"/>
            </w:tcBorders>
            <w:vAlign w:val="bottom"/>
          </w:tcPr>
          <w:p w14:paraId="02061E53" w14:textId="77777777" w:rsidR="003B4FEA" w:rsidRPr="00A50042" w:rsidRDefault="003B4FEA">
            <w:pPr>
              <w:jc w:val="center"/>
              <w:rPr>
                <w:b/>
                <w:bCs/>
                <w:i/>
                <w:iCs/>
                <w:sz w:val="22"/>
                <w:szCs w:val="22"/>
                <w:lang w:val="en-US"/>
              </w:rPr>
            </w:pPr>
            <w:r w:rsidRPr="00A50042">
              <w:rPr>
                <w:b/>
                <w:bCs/>
                <w:i/>
                <w:iCs/>
                <w:sz w:val="22"/>
                <w:szCs w:val="22"/>
                <w:lang w:val="en-US"/>
              </w:rPr>
              <w:t>Contribution by the Canadian Labour Program to the RIAL</w:t>
            </w:r>
          </w:p>
        </w:tc>
      </w:tr>
      <w:tr w:rsidR="003B4FEA" w:rsidRPr="00A50042" w14:paraId="0977C705" w14:textId="77777777">
        <w:trPr>
          <w:trHeight w:val="345"/>
        </w:trPr>
        <w:tc>
          <w:tcPr>
            <w:tcW w:w="5460" w:type="dxa"/>
            <w:gridSpan w:val="3"/>
            <w:tcBorders>
              <w:top w:val="nil"/>
              <w:left w:val="nil"/>
              <w:bottom w:val="single" w:sz="8" w:space="0" w:color="auto"/>
              <w:right w:val="nil"/>
            </w:tcBorders>
            <w:noWrap/>
            <w:vAlign w:val="center"/>
          </w:tcPr>
          <w:p w14:paraId="29B46AF3" w14:textId="77777777" w:rsidR="003B4FEA" w:rsidRPr="00A50042" w:rsidRDefault="003B4FEA">
            <w:pPr>
              <w:jc w:val="center"/>
              <w:rPr>
                <w:b/>
                <w:bCs/>
                <w:sz w:val="22"/>
                <w:szCs w:val="22"/>
                <w:lang w:val="en-US"/>
              </w:rPr>
            </w:pPr>
            <w:r w:rsidRPr="00A50042">
              <w:rPr>
                <w:b/>
                <w:bCs/>
                <w:sz w:val="22"/>
                <w:szCs w:val="22"/>
                <w:lang w:val="en-US"/>
              </w:rPr>
              <w:t>2006-2010</w:t>
            </w:r>
          </w:p>
        </w:tc>
      </w:tr>
      <w:tr w:rsidR="003B4FEA" w:rsidRPr="00A50042" w14:paraId="7E1D379D" w14:textId="77777777">
        <w:trPr>
          <w:trHeight w:val="360"/>
        </w:trPr>
        <w:tc>
          <w:tcPr>
            <w:tcW w:w="2141" w:type="dxa"/>
            <w:tcBorders>
              <w:top w:val="nil"/>
              <w:left w:val="single" w:sz="8" w:space="0" w:color="auto"/>
              <w:bottom w:val="single" w:sz="8" w:space="0" w:color="auto"/>
              <w:right w:val="nil"/>
            </w:tcBorders>
            <w:noWrap/>
            <w:vAlign w:val="center"/>
          </w:tcPr>
          <w:p w14:paraId="531ABD04" w14:textId="77777777" w:rsidR="003B4FEA" w:rsidRPr="00A50042" w:rsidRDefault="003B4FEA">
            <w:pPr>
              <w:rPr>
                <w:b/>
                <w:bCs/>
                <w:sz w:val="22"/>
                <w:szCs w:val="22"/>
                <w:lang w:val="en-US"/>
              </w:rPr>
            </w:pPr>
            <w:r w:rsidRPr="00A50042">
              <w:rPr>
                <w:b/>
                <w:bCs/>
                <w:sz w:val="22"/>
                <w:szCs w:val="22"/>
                <w:lang w:val="en-US"/>
              </w:rPr>
              <w:t>Agreement</w:t>
            </w:r>
          </w:p>
        </w:tc>
        <w:tc>
          <w:tcPr>
            <w:tcW w:w="1656" w:type="dxa"/>
            <w:tcBorders>
              <w:top w:val="nil"/>
              <w:left w:val="single" w:sz="4" w:space="0" w:color="auto"/>
              <w:bottom w:val="single" w:sz="8" w:space="0" w:color="auto"/>
              <w:right w:val="single" w:sz="4" w:space="0" w:color="auto"/>
            </w:tcBorders>
            <w:noWrap/>
            <w:vAlign w:val="center"/>
          </w:tcPr>
          <w:p w14:paraId="43D2371E" w14:textId="77777777" w:rsidR="003B4FEA" w:rsidRPr="00A50042" w:rsidRDefault="003B4FEA">
            <w:pPr>
              <w:jc w:val="center"/>
              <w:rPr>
                <w:b/>
                <w:bCs/>
                <w:sz w:val="22"/>
                <w:szCs w:val="22"/>
                <w:lang w:val="en-US"/>
              </w:rPr>
            </w:pPr>
            <w:r w:rsidRPr="00A50042">
              <w:rPr>
                <w:b/>
                <w:bCs/>
                <w:sz w:val="22"/>
                <w:szCs w:val="22"/>
                <w:lang w:val="en-US"/>
              </w:rPr>
              <w:t>Can$</w:t>
            </w:r>
          </w:p>
        </w:tc>
        <w:tc>
          <w:tcPr>
            <w:tcW w:w="1663" w:type="dxa"/>
            <w:tcBorders>
              <w:top w:val="nil"/>
              <w:left w:val="nil"/>
              <w:bottom w:val="single" w:sz="8" w:space="0" w:color="auto"/>
              <w:right w:val="single" w:sz="8" w:space="0" w:color="auto"/>
            </w:tcBorders>
            <w:noWrap/>
            <w:vAlign w:val="center"/>
          </w:tcPr>
          <w:p w14:paraId="72994C9E" w14:textId="77777777" w:rsidR="003B4FEA" w:rsidRPr="00A50042" w:rsidRDefault="003B4FEA">
            <w:pPr>
              <w:jc w:val="center"/>
              <w:rPr>
                <w:b/>
                <w:bCs/>
                <w:sz w:val="22"/>
                <w:szCs w:val="22"/>
                <w:lang w:val="en-US"/>
              </w:rPr>
            </w:pPr>
            <w:r w:rsidRPr="00A50042">
              <w:rPr>
                <w:b/>
                <w:bCs/>
                <w:sz w:val="22"/>
                <w:szCs w:val="22"/>
                <w:lang w:val="en-US"/>
              </w:rPr>
              <w:t>US$</w:t>
            </w:r>
          </w:p>
        </w:tc>
      </w:tr>
      <w:tr w:rsidR="003B4FEA" w:rsidRPr="00A50042" w14:paraId="09E32CF6" w14:textId="77777777">
        <w:trPr>
          <w:trHeight w:val="360"/>
        </w:trPr>
        <w:tc>
          <w:tcPr>
            <w:tcW w:w="2141" w:type="dxa"/>
            <w:tcBorders>
              <w:top w:val="nil"/>
              <w:left w:val="single" w:sz="8" w:space="0" w:color="auto"/>
              <w:bottom w:val="nil"/>
              <w:right w:val="nil"/>
            </w:tcBorders>
            <w:noWrap/>
            <w:vAlign w:val="center"/>
          </w:tcPr>
          <w:p w14:paraId="41EB89BB" w14:textId="77777777" w:rsidR="003B4FEA" w:rsidRPr="00A50042" w:rsidRDefault="003B4FEA">
            <w:pPr>
              <w:rPr>
                <w:sz w:val="22"/>
                <w:szCs w:val="22"/>
                <w:lang w:val="en-US"/>
              </w:rPr>
            </w:pPr>
            <w:r w:rsidRPr="00A50042">
              <w:rPr>
                <w:sz w:val="22"/>
                <w:szCs w:val="22"/>
                <w:lang w:val="en-US"/>
              </w:rPr>
              <w:t>RIAL 1 (2006)</w:t>
            </w:r>
          </w:p>
        </w:tc>
        <w:tc>
          <w:tcPr>
            <w:tcW w:w="1656" w:type="dxa"/>
            <w:tcBorders>
              <w:top w:val="nil"/>
              <w:left w:val="single" w:sz="4" w:space="0" w:color="auto"/>
              <w:bottom w:val="nil"/>
              <w:right w:val="single" w:sz="4" w:space="0" w:color="auto"/>
            </w:tcBorders>
            <w:noWrap/>
            <w:vAlign w:val="center"/>
          </w:tcPr>
          <w:p w14:paraId="040FA2FA" w14:textId="77777777" w:rsidR="003B4FEA" w:rsidRPr="00A50042" w:rsidRDefault="003B4FEA">
            <w:pPr>
              <w:jc w:val="center"/>
              <w:rPr>
                <w:sz w:val="22"/>
                <w:szCs w:val="22"/>
                <w:lang w:val="en-US"/>
              </w:rPr>
            </w:pPr>
            <w:r w:rsidRPr="00A50042">
              <w:rPr>
                <w:sz w:val="22"/>
                <w:szCs w:val="22"/>
                <w:lang w:val="en-US"/>
              </w:rPr>
              <w:t>65,844.45</w:t>
            </w:r>
          </w:p>
        </w:tc>
        <w:tc>
          <w:tcPr>
            <w:tcW w:w="1663" w:type="dxa"/>
            <w:tcBorders>
              <w:top w:val="nil"/>
              <w:left w:val="nil"/>
              <w:bottom w:val="nil"/>
              <w:right w:val="single" w:sz="8" w:space="0" w:color="auto"/>
            </w:tcBorders>
            <w:noWrap/>
            <w:vAlign w:val="center"/>
          </w:tcPr>
          <w:p w14:paraId="66EC14B4" w14:textId="77777777" w:rsidR="003B4FEA" w:rsidRPr="00A50042" w:rsidRDefault="003B4FEA">
            <w:pPr>
              <w:jc w:val="center"/>
              <w:rPr>
                <w:sz w:val="22"/>
                <w:szCs w:val="22"/>
                <w:lang w:val="en-US"/>
              </w:rPr>
            </w:pPr>
            <w:r w:rsidRPr="00A50042">
              <w:rPr>
                <w:sz w:val="22"/>
                <w:szCs w:val="22"/>
                <w:lang w:val="en-US"/>
              </w:rPr>
              <w:t>56,483.91</w:t>
            </w:r>
          </w:p>
        </w:tc>
      </w:tr>
      <w:tr w:rsidR="003B4FEA" w:rsidRPr="00A50042" w14:paraId="2029DBBF" w14:textId="77777777">
        <w:trPr>
          <w:trHeight w:val="360"/>
        </w:trPr>
        <w:tc>
          <w:tcPr>
            <w:tcW w:w="2141" w:type="dxa"/>
            <w:tcBorders>
              <w:top w:val="nil"/>
              <w:left w:val="single" w:sz="8" w:space="0" w:color="auto"/>
              <w:bottom w:val="nil"/>
              <w:right w:val="nil"/>
            </w:tcBorders>
            <w:noWrap/>
            <w:vAlign w:val="center"/>
          </w:tcPr>
          <w:p w14:paraId="6B409E99" w14:textId="77777777" w:rsidR="003B4FEA" w:rsidRPr="00A50042" w:rsidRDefault="003B4FEA">
            <w:pPr>
              <w:rPr>
                <w:sz w:val="22"/>
                <w:szCs w:val="22"/>
                <w:lang w:val="en-US"/>
              </w:rPr>
            </w:pPr>
            <w:r w:rsidRPr="00A50042">
              <w:rPr>
                <w:sz w:val="22"/>
                <w:szCs w:val="22"/>
                <w:lang w:val="en-US"/>
              </w:rPr>
              <w:t>RIAL 2 (2006 - 2007)</w:t>
            </w:r>
          </w:p>
        </w:tc>
        <w:tc>
          <w:tcPr>
            <w:tcW w:w="1656" w:type="dxa"/>
            <w:tcBorders>
              <w:top w:val="nil"/>
              <w:left w:val="single" w:sz="4" w:space="0" w:color="auto"/>
              <w:bottom w:val="nil"/>
              <w:right w:val="single" w:sz="4" w:space="0" w:color="auto"/>
            </w:tcBorders>
            <w:noWrap/>
            <w:vAlign w:val="center"/>
          </w:tcPr>
          <w:p w14:paraId="29114D7E" w14:textId="77777777" w:rsidR="003B4FEA" w:rsidRPr="00A50042" w:rsidRDefault="003B4FEA">
            <w:pPr>
              <w:jc w:val="center"/>
              <w:rPr>
                <w:sz w:val="22"/>
                <w:szCs w:val="22"/>
                <w:lang w:val="en-US"/>
              </w:rPr>
            </w:pPr>
            <w:r w:rsidRPr="00A50042">
              <w:rPr>
                <w:sz w:val="22"/>
                <w:szCs w:val="22"/>
                <w:lang w:val="en-US"/>
              </w:rPr>
              <w:t>310,800.00</w:t>
            </w:r>
          </w:p>
        </w:tc>
        <w:tc>
          <w:tcPr>
            <w:tcW w:w="1663" w:type="dxa"/>
            <w:tcBorders>
              <w:top w:val="nil"/>
              <w:left w:val="nil"/>
              <w:bottom w:val="nil"/>
              <w:right w:val="single" w:sz="8" w:space="0" w:color="auto"/>
            </w:tcBorders>
            <w:noWrap/>
            <w:vAlign w:val="center"/>
          </w:tcPr>
          <w:p w14:paraId="17D6A2A2" w14:textId="77777777" w:rsidR="003B4FEA" w:rsidRPr="00A50042" w:rsidRDefault="003B4FEA">
            <w:pPr>
              <w:jc w:val="center"/>
              <w:rPr>
                <w:sz w:val="22"/>
                <w:szCs w:val="22"/>
                <w:lang w:val="en-US"/>
              </w:rPr>
            </w:pPr>
            <w:r w:rsidRPr="00A50042">
              <w:rPr>
                <w:sz w:val="22"/>
                <w:szCs w:val="22"/>
                <w:lang w:val="en-US"/>
              </w:rPr>
              <w:t>265,812.91</w:t>
            </w:r>
          </w:p>
        </w:tc>
      </w:tr>
      <w:tr w:rsidR="003B4FEA" w:rsidRPr="00A50042" w14:paraId="5B9BC84F" w14:textId="77777777">
        <w:trPr>
          <w:trHeight w:val="360"/>
        </w:trPr>
        <w:tc>
          <w:tcPr>
            <w:tcW w:w="2141" w:type="dxa"/>
            <w:tcBorders>
              <w:top w:val="nil"/>
              <w:left w:val="single" w:sz="8" w:space="0" w:color="auto"/>
              <w:bottom w:val="nil"/>
              <w:right w:val="nil"/>
            </w:tcBorders>
            <w:noWrap/>
            <w:vAlign w:val="center"/>
          </w:tcPr>
          <w:p w14:paraId="00DFFF63" w14:textId="77777777" w:rsidR="003B4FEA" w:rsidRPr="00A50042" w:rsidRDefault="003B4FEA">
            <w:pPr>
              <w:rPr>
                <w:sz w:val="22"/>
                <w:szCs w:val="22"/>
                <w:lang w:val="en-US"/>
              </w:rPr>
            </w:pPr>
            <w:r w:rsidRPr="00A50042">
              <w:rPr>
                <w:sz w:val="22"/>
                <w:szCs w:val="22"/>
                <w:lang w:val="en-US"/>
              </w:rPr>
              <w:t>RIAL 3 (2007 - 2008)</w:t>
            </w:r>
          </w:p>
        </w:tc>
        <w:tc>
          <w:tcPr>
            <w:tcW w:w="1656" w:type="dxa"/>
            <w:tcBorders>
              <w:top w:val="nil"/>
              <w:left w:val="single" w:sz="4" w:space="0" w:color="auto"/>
              <w:bottom w:val="nil"/>
              <w:right w:val="single" w:sz="4" w:space="0" w:color="auto"/>
            </w:tcBorders>
            <w:noWrap/>
            <w:vAlign w:val="center"/>
          </w:tcPr>
          <w:p w14:paraId="2C553A01" w14:textId="77777777" w:rsidR="003B4FEA" w:rsidRPr="00A50042" w:rsidRDefault="003B4FEA">
            <w:pPr>
              <w:jc w:val="center"/>
              <w:rPr>
                <w:sz w:val="22"/>
                <w:szCs w:val="22"/>
                <w:lang w:val="en-US"/>
              </w:rPr>
            </w:pPr>
            <w:r w:rsidRPr="00A50042">
              <w:rPr>
                <w:sz w:val="22"/>
                <w:szCs w:val="22"/>
                <w:lang w:val="en-US"/>
              </w:rPr>
              <w:t>275,280.00</w:t>
            </w:r>
          </w:p>
        </w:tc>
        <w:tc>
          <w:tcPr>
            <w:tcW w:w="1663" w:type="dxa"/>
            <w:tcBorders>
              <w:top w:val="nil"/>
              <w:left w:val="nil"/>
              <w:bottom w:val="nil"/>
              <w:right w:val="single" w:sz="8" w:space="0" w:color="auto"/>
            </w:tcBorders>
            <w:noWrap/>
            <w:vAlign w:val="center"/>
          </w:tcPr>
          <w:p w14:paraId="5C9F0550" w14:textId="77777777" w:rsidR="003B4FEA" w:rsidRPr="00A50042" w:rsidRDefault="003B4FEA">
            <w:pPr>
              <w:jc w:val="center"/>
              <w:rPr>
                <w:sz w:val="22"/>
                <w:szCs w:val="22"/>
                <w:lang w:val="en-US"/>
              </w:rPr>
            </w:pPr>
            <w:r w:rsidRPr="00A50042">
              <w:rPr>
                <w:sz w:val="22"/>
                <w:szCs w:val="22"/>
                <w:lang w:val="en-US"/>
              </w:rPr>
              <w:t>261,251.79</w:t>
            </w:r>
          </w:p>
        </w:tc>
      </w:tr>
      <w:tr w:rsidR="003B4FEA" w:rsidRPr="00A50042" w14:paraId="146C1D48" w14:textId="77777777">
        <w:trPr>
          <w:trHeight w:val="360"/>
        </w:trPr>
        <w:tc>
          <w:tcPr>
            <w:tcW w:w="2141" w:type="dxa"/>
            <w:tcBorders>
              <w:top w:val="nil"/>
              <w:left w:val="single" w:sz="8" w:space="0" w:color="auto"/>
              <w:bottom w:val="nil"/>
              <w:right w:val="nil"/>
            </w:tcBorders>
            <w:noWrap/>
            <w:vAlign w:val="center"/>
          </w:tcPr>
          <w:p w14:paraId="0260529F" w14:textId="77777777" w:rsidR="003B4FEA" w:rsidRPr="00A50042" w:rsidRDefault="003B4FEA">
            <w:pPr>
              <w:rPr>
                <w:sz w:val="22"/>
                <w:szCs w:val="22"/>
                <w:lang w:val="en-US"/>
              </w:rPr>
            </w:pPr>
            <w:r w:rsidRPr="00A50042">
              <w:rPr>
                <w:sz w:val="22"/>
                <w:szCs w:val="22"/>
                <w:lang w:val="en-US"/>
              </w:rPr>
              <w:t>RIAL 4 (2008 – 2010)</w:t>
            </w:r>
          </w:p>
        </w:tc>
        <w:tc>
          <w:tcPr>
            <w:tcW w:w="1656" w:type="dxa"/>
            <w:tcBorders>
              <w:top w:val="nil"/>
              <w:left w:val="single" w:sz="4" w:space="0" w:color="auto"/>
              <w:bottom w:val="nil"/>
              <w:right w:val="single" w:sz="4" w:space="0" w:color="auto"/>
            </w:tcBorders>
            <w:noWrap/>
            <w:vAlign w:val="center"/>
          </w:tcPr>
          <w:p w14:paraId="444E6205" w14:textId="77777777" w:rsidR="003B4FEA" w:rsidRPr="00A50042" w:rsidRDefault="003B4FEA">
            <w:pPr>
              <w:jc w:val="center"/>
              <w:rPr>
                <w:sz w:val="22"/>
                <w:szCs w:val="22"/>
                <w:lang w:val="en-US"/>
              </w:rPr>
            </w:pPr>
            <w:r w:rsidRPr="00A50042">
              <w:rPr>
                <w:sz w:val="22"/>
                <w:szCs w:val="22"/>
                <w:lang w:val="en-US"/>
              </w:rPr>
              <w:t>890,000.00</w:t>
            </w:r>
          </w:p>
        </w:tc>
        <w:tc>
          <w:tcPr>
            <w:tcW w:w="1663" w:type="dxa"/>
            <w:tcBorders>
              <w:top w:val="nil"/>
              <w:left w:val="nil"/>
              <w:bottom w:val="nil"/>
              <w:right w:val="single" w:sz="8" w:space="0" w:color="auto"/>
            </w:tcBorders>
            <w:noWrap/>
            <w:vAlign w:val="center"/>
          </w:tcPr>
          <w:p w14:paraId="0E1345DE" w14:textId="77777777" w:rsidR="003B4FEA" w:rsidRPr="00A50042" w:rsidRDefault="003B4FEA">
            <w:pPr>
              <w:jc w:val="center"/>
              <w:rPr>
                <w:sz w:val="22"/>
                <w:szCs w:val="22"/>
                <w:lang w:val="en-US"/>
              </w:rPr>
            </w:pPr>
            <w:r w:rsidRPr="00A50042">
              <w:rPr>
                <w:sz w:val="22"/>
                <w:szCs w:val="22"/>
                <w:lang w:val="en-US"/>
              </w:rPr>
              <w:t>771,851.92</w:t>
            </w:r>
          </w:p>
        </w:tc>
      </w:tr>
      <w:tr w:rsidR="003B4FEA" w:rsidRPr="00A50042" w14:paraId="6F35F028" w14:textId="77777777">
        <w:trPr>
          <w:trHeight w:val="360"/>
        </w:trPr>
        <w:tc>
          <w:tcPr>
            <w:tcW w:w="2141" w:type="dxa"/>
            <w:tcBorders>
              <w:top w:val="nil"/>
              <w:left w:val="single" w:sz="8" w:space="0" w:color="auto"/>
              <w:bottom w:val="single" w:sz="8" w:space="0" w:color="auto"/>
              <w:right w:val="nil"/>
            </w:tcBorders>
            <w:shd w:val="clear" w:color="auto" w:fill="C0C0C0"/>
            <w:noWrap/>
            <w:vAlign w:val="center"/>
          </w:tcPr>
          <w:p w14:paraId="12AC1F83" w14:textId="77777777" w:rsidR="003B4FEA" w:rsidRPr="00A50042" w:rsidRDefault="003B4FEA">
            <w:pPr>
              <w:rPr>
                <w:b/>
                <w:bCs/>
                <w:sz w:val="22"/>
                <w:szCs w:val="22"/>
                <w:lang w:val="en-US"/>
              </w:rPr>
            </w:pPr>
            <w:r w:rsidRPr="00A50042">
              <w:rPr>
                <w:b/>
                <w:bCs/>
                <w:sz w:val="22"/>
                <w:szCs w:val="22"/>
                <w:lang w:val="en-US"/>
              </w:rPr>
              <w:t>TOTAL</w:t>
            </w:r>
          </w:p>
        </w:tc>
        <w:tc>
          <w:tcPr>
            <w:tcW w:w="1656" w:type="dxa"/>
            <w:tcBorders>
              <w:top w:val="nil"/>
              <w:left w:val="single" w:sz="4" w:space="0" w:color="auto"/>
              <w:bottom w:val="single" w:sz="8" w:space="0" w:color="auto"/>
              <w:right w:val="single" w:sz="4" w:space="0" w:color="auto"/>
            </w:tcBorders>
            <w:shd w:val="clear" w:color="auto" w:fill="C0C0C0"/>
            <w:noWrap/>
            <w:vAlign w:val="center"/>
          </w:tcPr>
          <w:p w14:paraId="70419B96" w14:textId="77777777" w:rsidR="003B4FEA" w:rsidRPr="00A50042" w:rsidRDefault="003B4FEA">
            <w:pPr>
              <w:jc w:val="center"/>
              <w:rPr>
                <w:b/>
                <w:bCs/>
                <w:sz w:val="22"/>
                <w:szCs w:val="22"/>
                <w:lang w:val="en-US"/>
              </w:rPr>
            </w:pPr>
            <w:r w:rsidRPr="00A50042">
              <w:rPr>
                <w:b/>
                <w:bCs/>
                <w:sz w:val="22"/>
                <w:szCs w:val="22"/>
                <w:lang w:val="en-US"/>
              </w:rPr>
              <w:t>$1,541,924.45</w:t>
            </w:r>
          </w:p>
        </w:tc>
        <w:tc>
          <w:tcPr>
            <w:tcW w:w="1663" w:type="dxa"/>
            <w:tcBorders>
              <w:top w:val="nil"/>
              <w:left w:val="nil"/>
              <w:bottom w:val="single" w:sz="8" w:space="0" w:color="auto"/>
              <w:right w:val="single" w:sz="8" w:space="0" w:color="auto"/>
            </w:tcBorders>
            <w:shd w:val="clear" w:color="auto" w:fill="C0C0C0"/>
            <w:noWrap/>
            <w:vAlign w:val="center"/>
          </w:tcPr>
          <w:p w14:paraId="1FFAAFC6" w14:textId="77777777" w:rsidR="003B4FEA" w:rsidRPr="00A50042" w:rsidRDefault="003B4FEA">
            <w:pPr>
              <w:jc w:val="center"/>
              <w:rPr>
                <w:b/>
                <w:bCs/>
                <w:sz w:val="22"/>
                <w:szCs w:val="22"/>
                <w:lang w:val="en-US"/>
              </w:rPr>
            </w:pPr>
            <w:r w:rsidRPr="00A50042">
              <w:rPr>
                <w:b/>
                <w:bCs/>
                <w:sz w:val="22"/>
                <w:szCs w:val="22"/>
                <w:lang w:val="en-US"/>
              </w:rPr>
              <w:t>$1,355,400.53</w:t>
            </w:r>
          </w:p>
        </w:tc>
      </w:tr>
    </w:tbl>
    <w:p w14:paraId="034B1556" w14:textId="77777777" w:rsidR="003B4FEA" w:rsidRPr="00A50042" w:rsidRDefault="003B4FEA" w:rsidP="003B4FEA">
      <w:pPr>
        <w:spacing w:line="250" w:lineRule="exact"/>
        <w:rPr>
          <w:b/>
          <w:bCs/>
          <w:sz w:val="22"/>
          <w:szCs w:val="22"/>
          <w:lang w:val="en-US"/>
        </w:rPr>
      </w:pPr>
    </w:p>
    <w:p w14:paraId="20482782" w14:textId="77777777" w:rsidR="003E2BCE" w:rsidRPr="00A50042" w:rsidRDefault="003E2BCE" w:rsidP="003E2BCE">
      <w:pPr>
        <w:jc w:val="both"/>
        <w:rPr>
          <w:sz w:val="22"/>
          <w:szCs w:val="22"/>
          <w:lang w:val="en-US"/>
        </w:rPr>
      </w:pPr>
    </w:p>
    <w:p w14:paraId="1B9EFEC1" w14:textId="77777777" w:rsidR="003B4FEA" w:rsidRPr="00A50042" w:rsidRDefault="003B4FEA" w:rsidP="003B4FEA">
      <w:pPr>
        <w:spacing w:line="250" w:lineRule="exact"/>
        <w:jc w:val="both"/>
        <w:rPr>
          <w:sz w:val="22"/>
          <w:szCs w:val="22"/>
          <w:lang w:val="en-US"/>
        </w:rPr>
      </w:pPr>
      <w:r w:rsidRPr="00A50042">
        <w:rPr>
          <w:sz w:val="22"/>
          <w:szCs w:val="22"/>
          <w:lang w:val="en-US"/>
        </w:rPr>
        <w:t>During this period, financial contributions from the United States, Mexico, Argentina, and Brazil were also received. Additionally, the OAS has contributed financial resources for RIAL’s coordination and operations.</w:t>
      </w:r>
    </w:p>
    <w:p w14:paraId="3D9FF1A7" w14:textId="77777777" w:rsidR="003B4FEA" w:rsidRPr="00A50042" w:rsidRDefault="003B4FEA" w:rsidP="003B4FEA">
      <w:pPr>
        <w:spacing w:line="250" w:lineRule="exact"/>
        <w:rPr>
          <w:sz w:val="22"/>
          <w:szCs w:val="22"/>
          <w:lang w:val="en-US"/>
        </w:rPr>
      </w:pPr>
    </w:p>
    <w:tbl>
      <w:tblPr>
        <w:tblW w:w="8820" w:type="dxa"/>
        <w:tblInd w:w="360" w:type="dxa"/>
        <w:tblLook w:val="0000" w:firstRow="0" w:lastRow="0" w:firstColumn="0" w:lastColumn="0" w:noHBand="0" w:noVBand="0"/>
      </w:tblPr>
      <w:tblGrid>
        <w:gridCol w:w="2160"/>
        <w:gridCol w:w="1710"/>
        <w:gridCol w:w="4950"/>
      </w:tblGrid>
      <w:tr w:rsidR="003B4FEA" w:rsidRPr="004E79FE" w14:paraId="5DD1E3D4" w14:textId="77777777" w:rsidTr="00FA40A4">
        <w:trPr>
          <w:trHeight w:val="300"/>
        </w:trPr>
        <w:tc>
          <w:tcPr>
            <w:tcW w:w="8820" w:type="dxa"/>
            <w:gridSpan w:val="3"/>
            <w:tcBorders>
              <w:top w:val="nil"/>
              <w:left w:val="nil"/>
              <w:bottom w:val="nil"/>
              <w:right w:val="nil"/>
            </w:tcBorders>
            <w:vAlign w:val="bottom"/>
          </w:tcPr>
          <w:p w14:paraId="3C066EB5" w14:textId="77777777" w:rsidR="003B4FEA" w:rsidRPr="00A50042" w:rsidRDefault="003B4FEA">
            <w:pPr>
              <w:jc w:val="center"/>
              <w:rPr>
                <w:b/>
                <w:bCs/>
                <w:i/>
                <w:iCs/>
                <w:sz w:val="22"/>
                <w:szCs w:val="22"/>
                <w:lang w:val="en-US"/>
              </w:rPr>
            </w:pPr>
            <w:r w:rsidRPr="00A50042">
              <w:rPr>
                <w:b/>
                <w:bCs/>
                <w:i/>
                <w:iCs/>
                <w:sz w:val="22"/>
                <w:szCs w:val="22"/>
                <w:lang w:val="en-US"/>
              </w:rPr>
              <w:t xml:space="preserve">Other </w:t>
            </w:r>
            <w:r w:rsidRPr="00A50042">
              <w:rPr>
                <w:b/>
                <w:bCs/>
                <w:i/>
                <w:iCs/>
                <w:sz w:val="22"/>
                <w:szCs w:val="22"/>
                <w:u w:val="single"/>
                <w:lang w:val="en-US"/>
              </w:rPr>
              <w:t>financial</w:t>
            </w:r>
            <w:r w:rsidRPr="00A50042">
              <w:rPr>
                <w:b/>
                <w:bCs/>
                <w:i/>
                <w:iCs/>
                <w:sz w:val="22"/>
                <w:szCs w:val="22"/>
                <w:lang w:val="en-US"/>
              </w:rPr>
              <w:t xml:space="preserve"> contributions to the RIAL</w:t>
            </w:r>
          </w:p>
        </w:tc>
      </w:tr>
      <w:tr w:rsidR="003B4FEA" w:rsidRPr="00A50042" w14:paraId="16C5F263" w14:textId="77777777" w:rsidTr="00FA40A4">
        <w:trPr>
          <w:trHeight w:val="285"/>
        </w:trPr>
        <w:tc>
          <w:tcPr>
            <w:tcW w:w="8820" w:type="dxa"/>
            <w:gridSpan w:val="3"/>
            <w:tcBorders>
              <w:top w:val="nil"/>
              <w:left w:val="nil"/>
              <w:bottom w:val="single" w:sz="8" w:space="0" w:color="auto"/>
              <w:right w:val="nil"/>
            </w:tcBorders>
            <w:noWrap/>
          </w:tcPr>
          <w:p w14:paraId="581E2032" w14:textId="77777777" w:rsidR="003B4FEA" w:rsidRPr="00A50042" w:rsidRDefault="003B4FEA">
            <w:pPr>
              <w:jc w:val="center"/>
              <w:rPr>
                <w:b/>
                <w:bCs/>
                <w:sz w:val="22"/>
                <w:szCs w:val="22"/>
                <w:lang w:val="en-US"/>
              </w:rPr>
            </w:pPr>
            <w:r w:rsidRPr="00A50042">
              <w:rPr>
                <w:b/>
                <w:bCs/>
                <w:sz w:val="22"/>
                <w:szCs w:val="22"/>
                <w:lang w:val="en-US"/>
              </w:rPr>
              <w:t>May 2006- July 2010</w:t>
            </w:r>
          </w:p>
        </w:tc>
      </w:tr>
      <w:tr w:rsidR="003B4FEA" w:rsidRPr="00A50042" w14:paraId="063D15D8" w14:textId="77777777" w:rsidTr="00FA40A4">
        <w:trPr>
          <w:trHeight w:val="402"/>
        </w:trPr>
        <w:tc>
          <w:tcPr>
            <w:tcW w:w="2160" w:type="dxa"/>
            <w:tcBorders>
              <w:top w:val="nil"/>
              <w:left w:val="single" w:sz="8" w:space="0" w:color="auto"/>
              <w:bottom w:val="single" w:sz="8" w:space="0" w:color="auto"/>
              <w:right w:val="nil"/>
            </w:tcBorders>
            <w:noWrap/>
            <w:vAlign w:val="bottom"/>
          </w:tcPr>
          <w:p w14:paraId="42F079BC" w14:textId="77777777" w:rsidR="003B4FEA" w:rsidRPr="00A50042" w:rsidRDefault="003B4FEA">
            <w:pPr>
              <w:rPr>
                <w:b/>
                <w:bCs/>
                <w:sz w:val="22"/>
                <w:szCs w:val="22"/>
                <w:lang w:val="en-US"/>
              </w:rPr>
            </w:pPr>
            <w:r w:rsidRPr="00A50042">
              <w:rPr>
                <w:b/>
                <w:bCs/>
                <w:sz w:val="22"/>
                <w:szCs w:val="22"/>
                <w:lang w:val="en-US"/>
              </w:rPr>
              <w:t>County/organization</w:t>
            </w:r>
          </w:p>
        </w:tc>
        <w:tc>
          <w:tcPr>
            <w:tcW w:w="1710" w:type="dxa"/>
            <w:tcBorders>
              <w:top w:val="nil"/>
              <w:left w:val="single" w:sz="4" w:space="0" w:color="auto"/>
              <w:bottom w:val="single" w:sz="8" w:space="0" w:color="auto"/>
              <w:right w:val="single" w:sz="4" w:space="0" w:color="auto"/>
            </w:tcBorders>
            <w:noWrap/>
            <w:vAlign w:val="bottom"/>
          </w:tcPr>
          <w:p w14:paraId="1E7AFCDD" w14:textId="77777777" w:rsidR="003B4FEA" w:rsidRPr="00A50042" w:rsidRDefault="003B4FEA">
            <w:pPr>
              <w:jc w:val="center"/>
              <w:rPr>
                <w:b/>
                <w:bCs/>
                <w:sz w:val="22"/>
                <w:szCs w:val="22"/>
                <w:lang w:val="en-US"/>
              </w:rPr>
            </w:pPr>
            <w:r w:rsidRPr="00A50042">
              <w:rPr>
                <w:b/>
                <w:bCs/>
                <w:sz w:val="22"/>
                <w:szCs w:val="22"/>
                <w:lang w:val="en-US"/>
              </w:rPr>
              <w:t>US$</w:t>
            </w:r>
          </w:p>
        </w:tc>
        <w:tc>
          <w:tcPr>
            <w:tcW w:w="4950" w:type="dxa"/>
            <w:tcBorders>
              <w:top w:val="nil"/>
              <w:left w:val="nil"/>
              <w:bottom w:val="single" w:sz="8" w:space="0" w:color="auto"/>
              <w:right w:val="single" w:sz="8" w:space="0" w:color="auto"/>
            </w:tcBorders>
            <w:noWrap/>
            <w:vAlign w:val="bottom"/>
          </w:tcPr>
          <w:p w14:paraId="6F435C69" w14:textId="77777777" w:rsidR="003B4FEA" w:rsidRPr="00A50042" w:rsidRDefault="003B4FEA">
            <w:pPr>
              <w:jc w:val="center"/>
              <w:rPr>
                <w:b/>
                <w:bCs/>
                <w:sz w:val="22"/>
                <w:szCs w:val="22"/>
                <w:lang w:val="en-US"/>
              </w:rPr>
            </w:pPr>
            <w:r w:rsidRPr="00A50042">
              <w:rPr>
                <w:b/>
                <w:bCs/>
                <w:sz w:val="22"/>
                <w:szCs w:val="22"/>
                <w:lang w:val="en-US"/>
              </w:rPr>
              <w:t>Description</w:t>
            </w:r>
          </w:p>
        </w:tc>
      </w:tr>
      <w:tr w:rsidR="003B4FEA" w:rsidRPr="004E79FE" w14:paraId="7DF401F4" w14:textId="77777777" w:rsidTr="00FA40A4">
        <w:trPr>
          <w:trHeight w:val="495"/>
        </w:trPr>
        <w:tc>
          <w:tcPr>
            <w:tcW w:w="2160" w:type="dxa"/>
            <w:tcBorders>
              <w:top w:val="nil"/>
              <w:left w:val="single" w:sz="8" w:space="0" w:color="auto"/>
              <w:bottom w:val="nil"/>
              <w:right w:val="nil"/>
            </w:tcBorders>
            <w:noWrap/>
            <w:vAlign w:val="center"/>
          </w:tcPr>
          <w:p w14:paraId="707BAFF2" w14:textId="77777777" w:rsidR="003B4FEA" w:rsidRPr="00A50042" w:rsidRDefault="003B4FEA">
            <w:pPr>
              <w:rPr>
                <w:sz w:val="22"/>
                <w:szCs w:val="22"/>
                <w:lang w:val="en-US"/>
              </w:rPr>
            </w:pPr>
            <w:r w:rsidRPr="00A50042">
              <w:rPr>
                <w:sz w:val="22"/>
                <w:szCs w:val="22"/>
                <w:lang w:val="en-US"/>
              </w:rPr>
              <w:t>United States</w:t>
            </w:r>
          </w:p>
        </w:tc>
        <w:tc>
          <w:tcPr>
            <w:tcW w:w="1710" w:type="dxa"/>
            <w:tcBorders>
              <w:top w:val="nil"/>
              <w:left w:val="single" w:sz="4" w:space="0" w:color="auto"/>
              <w:bottom w:val="nil"/>
              <w:right w:val="single" w:sz="8" w:space="0" w:color="auto"/>
            </w:tcBorders>
            <w:noWrap/>
            <w:vAlign w:val="center"/>
          </w:tcPr>
          <w:p w14:paraId="5419C4C2" w14:textId="77777777" w:rsidR="003B4FEA" w:rsidRPr="00A50042" w:rsidRDefault="003B4FEA">
            <w:pPr>
              <w:jc w:val="center"/>
              <w:rPr>
                <w:sz w:val="22"/>
                <w:szCs w:val="22"/>
                <w:lang w:val="en-US"/>
              </w:rPr>
            </w:pPr>
            <w:r w:rsidRPr="00A50042">
              <w:rPr>
                <w:sz w:val="22"/>
                <w:szCs w:val="22"/>
                <w:lang w:val="en-US"/>
              </w:rPr>
              <w:t>171,680.00*</w:t>
            </w:r>
          </w:p>
        </w:tc>
        <w:tc>
          <w:tcPr>
            <w:tcW w:w="4950" w:type="dxa"/>
            <w:tcBorders>
              <w:top w:val="nil"/>
              <w:left w:val="single" w:sz="4" w:space="0" w:color="auto"/>
              <w:bottom w:val="nil"/>
              <w:right w:val="single" w:sz="8" w:space="0" w:color="auto"/>
            </w:tcBorders>
            <w:vAlign w:val="center"/>
          </w:tcPr>
          <w:p w14:paraId="7B9E2B67" w14:textId="77777777" w:rsidR="003B4FEA" w:rsidRPr="00A50042" w:rsidRDefault="003B4FEA">
            <w:pPr>
              <w:rPr>
                <w:sz w:val="22"/>
                <w:szCs w:val="22"/>
                <w:lang w:val="en-US"/>
              </w:rPr>
            </w:pPr>
            <w:r w:rsidRPr="00A50042">
              <w:rPr>
                <w:sz w:val="22"/>
                <w:szCs w:val="22"/>
                <w:lang w:val="en-US"/>
              </w:rPr>
              <w:t>Most bilateral activities in 2006, contribution to the labor dimension workshop (July2006), and co-financing of the youth workshop (May 2008) and bilateral coop in 2010</w:t>
            </w:r>
          </w:p>
        </w:tc>
      </w:tr>
      <w:tr w:rsidR="003B4FEA" w:rsidRPr="00A50042" w14:paraId="46871471" w14:textId="77777777" w:rsidTr="00FA40A4">
        <w:trPr>
          <w:trHeight w:val="360"/>
        </w:trPr>
        <w:tc>
          <w:tcPr>
            <w:tcW w:w="2160" w:type="dxa"/>
            <w:tcBorders>
              <w:top w:val="nil"/>
              <w:left w:val="single" w:sz="8" w:space="0" w:color="auto"/>
              <w:bottom w:val="nil"/>
              <w:right w:val="nil"/>
            </w:tcBorders>
            <w:noWrap/>
            <w:vAlign w:val="center"/>
          </w:tcPr>
          <w:p w14:paraId="14FBF171" w14:textId="77777777" w:rsidR="003B4FEA" w:rsidRPr="00A50042" w:rsidRDefault="003B4FEA">
            <w:pPr>
              <w:rPr>
                <w:sz w:val="22"/>
                <w:szCs w:val="22"/>
                <w:lang w:val="en-US"/>
              </w:rPr>
            </w:pPr>
            <w:r w:rsidRPr="00A50042">
              <w:rPr>
                <w:sz w:val="22"/>
                <w:szCs w:val="22"/>
                <w:lang w:val="en-US"/>
              </w:rPr>
              <w:t>Mexico</w:t>
            </w:r>
          </w:p>
        </w:tc>
        <w:tc>
          <w:tcPr>
            <w:tcW w:w="1710" w:type="dxa"/>
            <w:tcBorders>
              <w:top w:val="nil"/>
              <w:left w:val="single" w:sz="4" w:space="0" w:color="auto"/>
              <w:bottom w:val="nil"/>
              <w:right w:val="single" w:sz="4" w:space="0" w:color="auto"/>
            </w:tcBorders>
            <w:noWrap/>
            <w:vAlign w:val="center"/>
          </w:tcPr>
          <w:p w14:paraId="206A4303" w14:textId="77777777" w:rsidR="003B4FEA" w:rsidRPr="00A50042" w:rsidRDefault="003B4FEA">
            <w:pPr>
              <w:jc w:val="center"/>
              <w:rPr>
                <w:sz w:val="22"/>
                <w:szCs w:val="22"/>
                <w:lang w:val="en-US"/>
              </w:rPr>
            </w:pPr>
            <w:r w:rsidRPr="00A50042">
              <w:rPr>
                <w:sz w:val="22"/>
                <w:szCs w:val="22"/>
                <w:lang w:val="en-US"/>
              </w:rPr>
              <w:t>15,000.00</w:t>
            </w:r>
          </w:p>
        </w:tc>
        <w:tc>
          <w:tcPr>
            <w:tcW w:w="4950" w:type="dxa"/>
            <w:tcBorders>
              <w:top w:val="nil"/>
              <w:left w:val="nil"/>
              <w:bottom w:val="nil"/>
              <w:right w:val="single" w:sz="8" w:space="0" w:color="auto"/>
            </w:tcBorders>
            <w:noWrap/>
            <w:vAlign w:val="center"/>
          </w:tcPr>
          <w:p w14:paraId="27997E18" w14:textId="77777777" w:rsidR="003B4FEA" w:rsidRPr="00A50042" w:rsidRDefault="003B4FEA">
            <w:pPr>
              <w:rPr>
                <w:sz w:val="22"/>
                <w:szCs w:val="22"/>
                <w:lang w:val="en-US"/>
              </w:rPr>
            </w:pPr>
            <w:r w:rsidRPr="00A50042">
              <w:rPr>
                <w:sz w:val="22"/>
                <w:szCs w:val="22"/>
                <w:lang w:val="en-US"/>
              </w:rPr>
              <w:t>Employment services workshop (November 2006)</w:t>
            </w:r>
          </w:p>
        </w:tc>
      </w:tr>
      <w:tr w:rsidR="003B4FEA" w:rsidRPr="00A50042" w14:paraId="63058496" w14:textId="77777777" w:rsidTr="00FA40A4">
        <w:trPr>
          <w:trHeight w:val="360"/>
        </w:trPr>
        <w:tc>
          <w:tcPr>
            <w:tcW w:w="2160" w:type="dxa"/>
            <w:tcBorders>
              <w:top w:val="nil"/>
              <w:left w:val="single" w:sz="8" w:space="0" w:color="auto"/>
              <w:bottom w:val="nil"/>
              <w:right w:val="nil"/>
            </w:tcBorders>
            <w:noWrap/>
            <w:vAlign w:val="center"/>
          </w:tcPr>
          <w:p w14:paraId="472815F5" w14:textId="77777777" w:rsidR="003B4FEA" w:rsidRPr="00A50042" w:rsidRDefault="003B4FEA">
            <w:pPr>
              <w:rPr>
                <w:sz w:val="22"/>
                <w:szCs w:val="22"/>
                <w:lang w:val="en-US"/>
              </w:rPr>
            </w:pPr>
            <w:r w:rsidRPr="00A50042">
              <w:rPr>
                <w:sz w:val="22"/>
                <w:szCs w:val="22"/>
                <w:lang w:val="en-US"/>
              </w:rPr>
              <w:t>Argentina</w:t>
            </w:r>
          </w:p>
        </w:tc>
        <w:tc>
          <w:tcPr>
            <w:tcW w:w="1710" w:type="dxa"/>
            <w:tcBorders>
              <w:top w:val="nil"/>
              <w:left w:val="single" w:sz="4" w:space="0" w:color="auto"/>
              <w:bottom w:val="nil"/>
              <w:right w:val="single" w:sz="4" w:space="0" w:color="auto"/>
            </w:tcBorders>
            <w:noWrap/>
            <w:vAlign w:val="center"/>
          </w:tcPr>
          <w:p w14:paraId="67DF28D9" w14:textId="77777777" w:rsidR="003B4FEA" w:rsidRPr="00A50042" w:rsidRDefault="003B4FEA">
            <w:pPr>
              <w:jc w:val="center"/>
              <w:rPr>
                <w:sz w:val="22"/>
                <w:szCs w:val="22"/>
                <w:lang w:val="en-US"/>
              </w:rPr>
            </w:pPr>
            <w:r w:rsidRPr="00A50042">
              <w:rPr>
                <w:sz w:val="22"/>
                <w:szCs w:val="22"/>
                <w:lang w:val="en-US"/>
              </w:rPr>
              <w:t>12,000.00</w:t>
            </w:r>
          </w:p>
        </w:tc>
        <w:tc>
          <w:tcPr>
            <w:tcW w:w="4950" w:type="dxa"/>
            <w:tcBorders>
              <w:top w:val="nil"/>
              <w:left w:val="nil"/>
              <w:bottom w:val="nil"/>
              <w:right w:val="single" w:sz="8" w:space="0" w:color="auto"/>
            </w:tcBorders>
            <w:noWrap/>
            <w:vAlign w:val="center"/>
          </w:tcPr>
          <w:p w14:paraId="772F0CA8" w14:textId="77777777" w:rsidR="003B4FEA" w:rsidRPr="00A50042" w:rsidRDefault="003B4FEA">
            <w:pPr>
              <w:rPr>
                <w:sz w:val="22"/>
                <w:szCs w:val="22"/>
                <w:lang w:val="en-US"/>
              </w:rPr>
            </w:pPr>
            <w:r w:rsidRPr="00A50042">
              <w:rPr>
                <w:sz w:val="22"/>
                <w:szCs w:val="22"/>
                <w:lang w:val="en-US"/>
              </w:rPr>
              <w:t>Bilateral activities co-financing</w:t>
            </w:r>
          </w:p>
        </w:tc>
      </w:tr>
      <w:tr w:rsidR="003B4FEA" w:rsidRPr="004E79FE" w14:paraId="7FE8A401" w14:textId="77777777" w:rsidTr="00FA40A4">
        <w:trPr>
          <w:trHeight w:val="360"/>
        </w:trPr>
        <w:tc>
          <w:tcPr>
            <w:tcW w:w="2160" w:type="dxa"/>
            <w:tcBorders>
              <w:top w:val="nil"/>
              <w:left w:val="single" w:sz="8" w:space="0" w:color="auto"/>
              <w:bottom w:val="nil"/>
              <w:right w:val="nil"/>
            </w:tcBorders>
            <w:noWrap/>
            <w:vAlign w:val="center"/>
          </w:tcPr>
          <w:p w14:paraId="65BC5C8F" w14:textId="77777777" w:rsidR="003B4FEA" w:rsidRPr="00A50042" w:rsidRDefault="003B4FEA">
            <w:pPr>
              <w:rPr>
                <w:sz w:val="22"/>
                <w:szCs w:val="22"/>
                <w:lang w:val="en-US"/>
              </w:rPr>
            </w:pPr>
            <w:r w:rsidRPr="00A50042">
              <w:rPr>
                <w:sz w:val="22"/>
                <w:szCs w:val="22"/>
                <w:lang w:val="en-US"/>
              </w:rPr>
              <w:t>Brazil</w:t>
            </w:r>
          </w:p>
        </w:tc>
        <w:tc>
          <w:tcPr>
            <w:tcW w:w="1710" w:type="dxa"/>
            <w:tcBorders>
              <w:top w:val="nil"/>
              <w:left w:val="single" w:sz="4" w:space="0" w:color="auto"/>
              <w:bottom w:val="nil"/>
              <w:right w:val="single" w:sz="4" w:space="0" w:color="auto"/>
            </w:tcBorders>
            <w:noWrap/>
            <w:vAlign w:val="center"/>
          </w:tcPr>
          <w:p w14:paraId="0637D3A3" w14:textId="77777777" w:rsidR="003B4FEA" w:rsidRPr="00A50042" w:rsidRDefault="003B4FEA">
            <w:pPr>
              <w:jc w:val="center"/>
              <w:rPr>
                <w:sz w:val="22"/>
                <w:szCs w:val="22"/>
                <w:lang w:val="en-US"/>
              </w:rPr>
            </w:pPr>
            <w:r w:rsidRPr="00A50042">
              <w:rPr>
                <w:sz w:val="22"/>
                <w:szCs w:val="22"/>
                <w:lang w:val="en-US"/>
              </w:rPr>
              <w:t>33,900.00</w:t>
            </w:r>
          </w:p>
        </w:tc>
        <w:tc>
          <w:tcPr>
            <w:tcW w:w="4950" w:type="dxa"/>
            <w:tcBorders>
              <w:top w:val="nil"/>
              <w:left w:val="nil"/>
              <w:bottom w:val="nil"/>
              <w:right w:val="single" w:sz="8" w:space="0" w:color="auto"/>
            </w:tcBorders>
            <w:noWrap/>
            <w:vAlign w:val="center"/>
          </w:tcPr>
          <w:p w14:paraId="26BEC718" w14:textId="77777777" w:rsidR="003B4FEA" w:rsidRPr="00A50042" w:rsidRDefault="003B4FEA">
            <w:pPr>
              <w:rPr>
                <w:sz w:val="22"/>
                <w:szCs w:val="22"/>
                <w:lang w:val="en-US"/>
              </w:rPr>
            </w:pPr>
            <w:r w:rsidRPr="00A50042">
              <w:rPr>
                <w:sz w:val="22"/>
                <w:szCs w:val="22"/>
                <w:lang w:val="en-US"/>
              </w:rPr>
              <w:t>Bilateral activities and youth workshop (May 2008) co-financing</w:t>
            </w:r>
          </w:p>
        </w:tc>
      </w:tr>
      <w:tr w:rsidR="003B4FEA" w:rsidRPr="00A50042" w14:paraId="2D032282" w14:textId="77777777" w:rsidTr="00FA40A4">
        <w:trPr>
          <w:trHeight w:val="360"/>
        </w:trPr>
        <w:tc>
          <w:tcPr>
            <w:tcW w:w="2160" w:type="dxa"/>
            <w:tcBorders>
              <w:top w:val="nil"/>
              <w:left w:val="single" w:sz="8" w:space="0" w:color="auto"/>
              <w:bottom w:val="nil"/>
              <w:right w:val="nil"/>
            </w:tcBorders>
            <w:noWrap/>
            <w:vAlign w:val="center"/>
          </w:tcPr>
          <w:p w14:paraId="1AE8B4B9" w14:textId="77777777" w:rsidR="003B4FEA" w:rsidRPr="00A50042" w:rsidRDefault="003B4FEA">
            <w:pPr>
              <w:rPr>
                <w:sz w:val="22"/>
                <w:szCs w:val="22"/>
                <w:lang w:val="en-US"/>
              </w:rPr>
            </w:pPr>
            <w:r w:rsidRPr="00A50042">
              <w:rPr>
                <w:sz w:val="22"/>
                <w:szCs w:val="22"/>
                <w:lang w:val="en-US"/>
              </w:rPr>
              <w:t>OAS</w:t>
            </w:r>
          </w:p>
        </w:tc>
        <w:tc>
          <w:tcPr>
            <w:tcW w:w="1710" w:type="dxa"/>
            <w:tcBorders>
              <w:top w:val="nil"/>
              <w:left w:val="single" w:sz="4" w:space="0" w:color="auto"/>
              <w:bottom w:val="nil"/>
              <w:right w:val="single" w:sz="4" w:space="0" w:color="auto"/>
            </w:tcBorders>
            <w:noWrap/>
            <w:vAlign w:val="center"/>
          </w:tcPr>
          <w:p w14:paraId="6C69E882" w14:textId="77777777" w:rsidR="003B4FEA" w:rsidRPr="00A50042" w:rsidRDefault="003B4FEA">
            <w:pPr>
              <w:jc w:val="center"/>
              <w:rPr>
                <w:sz w:val="22"/>
                <w:szCs w:val="22"/>
                <w:lang w:val="en-US"/>
              </w:rPr>
            </w:pPr>
            <w:r w:rsidRPr="00A50042">
              <w:rPr>
                <w:sz w:val="22"/>
                <w:szCs w:val="22"/>
                <w:lang w:val="en-US"/>
              </w:rPr>
              <w:t>320,000.00</w:t>
            </w:r>
          </w:p>
        </w:tc>
        <w:tc>
          <w:tcPr>
            <w:tcW w:w="4950" w:type="dxa"/>
            <w:tcBorders>
              <w:top w:val="nil"/>
              <w:left w:val="nil"/>
              <w:bottom w:val="nil"/>
              <w:right w:val="single" w:sz="8" w:space="0" w:color="auto"/>
            </w:tcBorders>
            <w:noWrap/>
            <w:vAlign w:val="center"/>
          </w:tcPr>
          <w:p w14:paraId="3609B21F" w14:textId="77777777" w:rsidR="003B4FEA" w:rsidRPr="00A50042" w:rsidRDefault="003B4FEA">
            <w:pPr>
              <w:rPr>
                <w:sz w:val="22"/>
                <w:szCs w:val="22"/>
                <w:lang w:val="en-US"/>
              </w:rPr>
            </w:pPr>
            <w:r w:rsidRPr="00A50042">
              <w:rPr>
                <w:sz w:val="22"/>
                <w:szCs w:val="22"/>
                <w:lang w:val="en-US"/>
              </w:rPr>
              <w:t>RIAL coordination and operation</w:t>
            </w:r>
          </w:p>
        </w:tc>
      </w:tr>
      <w:tr w:rsidR="003B4FEA" w:rsidRPr="00A50042" w14:paraId="7E6B2A52" w14:textId="77777777" w:rsidTr="00FA40A4">
        <w:trPr>
          <w:trHeight w:val="402"/>
        </w:trPr>
        <w:tc>
          <w:tcPr>
            <w:tcW w:w="2160" w:type="dxa"/>
            <w:tcBorders>
              <w:top w:val="nil"/>
              <w:left w:val="single" w:sz="8" w:space="0" w:color="auto"/>
              <w:bottom w:val="single" w:sz="8" w:space="0" w:color="auto"/>
              <w:right w:val="nil"/>
            </w:tcBorders>
            <w:shd w:val="clear" w:color="auto" w:fill="C0C0C0"/>
            <w:noWrap/>
            <w:vAlign w:val="bottom"/>
          </w:tcPr>
          <w:p w14:paraId="6C4FA77F" w14:textId="77777777" w:rsidR="003B4FEA" w:rsidRPr="00A50042" w:rsidRDefault="003B4FEA">
            <w:pPr>
              <w:rPr>
                <w:b/>
                <w:bCs/>
                <w:sz w:val="22"/>
                <w:szCs w:val="22"/>
                <w:lang w:val="en-US"/>
              </w:rPr>
            </w:pPr>
            <w:r w:rsidRPr="00A50042">
              <w:rPr>
                <w:b/>
                <w:bCs/>
                <w:sz w:val="22"/>
                <w:szCs w:val="22"/>
                <w:lang w:val="en-US"/>
              </w:rPr>
              <w:t>TOTAL</w:t>
            </w:r>
          </w:p>
        </w:tc>
        <w:tc>
          <w:tcPr>
            <w:tcW w:w="1710" w:type="dxa"/>
            <w:tcBorders>
              <w:top w:val="nil"/>
              <w:left w:val="single" w:sz="4" w:space="0" w:color="auto"/>
              <w:bottom w:val="single" w:sz="8" w:space="0" w:color="auto"/>
              <w:right w:val="single" w:sz="4" w:space="0" w:color="auto"/>
            </w:tcBorders>
            <w:shd w:val="clear" w:color="auto" w:fill="C0C0C0"/>
            <w:noWrap/>
            <w:vAlign w:val="bottom"/>
          </w:tcPr>
          <w:p w14:paraId="46D99DE9" w14:textId="77777777" w:rsidR="003B4FEA" w:rsidRPr="00A50042" w:rsidRDefault="003B4FEA">
            <w:pPr>
              <w:jc w:val="right"/>
              <w:rPr>
                <w:b/>
                <w:bCs/>
                <w:sz w:val="22"/>
                <w:szCs w:val="22"/>
                <w:lang w:val="en-US"/>
              </w:rPr>
            </w:pPr>
            <w:r w:rsidRPr="00A50042">
              <w:rPr>
                <w:b/>
                <w:bCs/>
                <w:sz w:val="22"/>
                <w:szCs w:val="22"/>
                <w:lang w:val="en-US"/>
              </w:rPr>
              <w:t>$552,580.00</w:t>
            </w:r>
          </w:p>
        </w:tc>
        <w:tc>
          <w:tcPr>
            <w:tcW w:w="4950" w:type="dxa"/>
            <w:tcBorders>
              <w:top w:val="nil"/>
              <w:left w:val="nil"/>
              <w:bottom w:val="single" w:sz="8" w:space="0" w:color="auto"/>
              <w:right w:val="single" w:sz="8" w:space="0" w:color="auto"/>
            </w:tcBorders>
            <w:shd w:val="clear" w:color="auto" w:fill="C0C0C0"/>
            <w:noWrap/>
            <w:vAlign w:val="bottom"/>
          </w:tcPr>
          <w:p w14:paraId="258BC757" w14:textId="77777777" w:rsidR="003B4FEA" w:rsidRPr="00A50042" w:rsidRDefault="003B4FEA">
            <w:pPr>
              <w:rPr>
                <w:b/>
                <w:bCs/>
                <w:sz w:val="22"/>
                <w:szCs w:val="22"/>
                <w:lang w:val="en-US"/>
              </w:rPr>
            </w:pPr>
            <w:r w:rsidRPr="00A50042">
              <w:rPr>
                <w:b/>
                <w:bCs/>
                <w:sz w:val="22"/>
                <w:szCs w:val="22"/>
                <w:lang w:val="en-US"/>
              </w:rPr>
              <w:t> </w:t>
            </w:r>
          </w:p>
        </w:tc>
      </w:tr>
    </w:tbl>
    <w:p w14:paraId="2E9BA599" w14:textId="77777777" w:rsidR="001921FF" w:rsidRDefault="001921FF" w:rsidP="00E26DFA">
      <w:pPr>
        <w:spacing w:line="250" w:lineRule="exact"/>
        <w:jc w:val="center"/>
        <w:rPr>
          <w:b/>
          <w:bCs/>
          <w:caps/>
          <w:sz w:val="22"/>
          <w:szCs w:val="22"/>
        </w:rPr>
      </w:pPr>
    </w:p>
    <w:p w14:paraId="605E936B" w14:textId="77777777" w:rsidR="001921FF" w:rsidRDefault="001921FF">
      <w:pPr>
        <w:rPr>
          <w:b/>
          <w:bCs/>
          <w:caps/>
          <w:sz w:val="22"/>
          <w:szCs w:val="22"/>
        </w:rPr>
      </w:pPr>
      <w:r>
        <w:rPr>
          <w:b/>
          <w:bCs/>
          <w:caps/>
          <w:sz w:val="22"/>
          <w:szCs w:val="22"/>
        </w:rPr>
        <w:br w:type="page"/>
      </w:r>
    </w:p>
    <w:p w14:paraId="3B792E6E" w14:textId="77777777" w:rsidR="006C34CF" w:rsidRDefault="006C34CF" w:rsidP="00E26DFA">
      <w:pPr>
        <w:spacing w:line="250" w:lineRule="exact"/>
        <w:jc w:val="center"/>
        <w:rPr>
          <w:b/>
          <w:bCs/>
          <w:caps/>
          <w:sz w:val="22"/>
          <w:szCs w:val="22"/>
          <w:lang w:val="en-US"/>
        </w:rPr>
        <w:sectPr w:rsidR="006C34CF" w:rsidSect="008341E4">
          <w:headerReference w:type="default" r:id="rId12"/>
          <w:headerReference w:type="first" r:id="rId13"/>
          <w:pgSz w:w="12240" w:h="15840"/>
          <w:pgMar w:top="2160" w:right="1570" w:bottom="1296" w:left="1699" w:header="720" w:footer="720" w:gutter="0"/>
          <w:pgNumType w:fmt="numberInDash"/>
          <w:cols w:space="720"/>
          <w:titlePg/>
          <w:docGrid w:linePitch="360"/>
        </w:sectPr>
      </w:pPr>
    </w:p>
    <w:p w14:paraId="6808FC24" w14:textId="3FEA0E95" w:rsidR="001921FF" w:rsidRDefault="003B4FEA" w:rsidP="00E26DFA">
      <w:pPr>
        <w:spacing w:line="250" w:lineRule="exact"/>
        <w:jc w:val="center"/>
        <w:rPr>
          <w:b/>
          <w:bCs/>
          <w:caps/>
          <w:sz w:val="22"/>
          <w:szCs w:val="22"/>
          <w:lang w:val="en-US"/>
        </w:rPr>
      </w:pPr>
      <w:r w:rsidRPr="00A50042">
        <w:rPr>
          <w:b/>
          <w:bCs/>
          <w:caps/>
          <w:sz w:val="22"/>
          <w:szCs w:val="22"/>
          <w:lang w:val="en-US"/>
        </w:rPr>
        <w:lastRenderedPageBreak/>
        <w:t>Appendix 2 – details of costs</w:t>
      </w:r>
      <w:r w:rsidR="00502EB0">
        <w:rPr>
          <w:b/>
          <w:bCs/>
          <w:caps/>
          <w:sz w:val="22"/>
          <w:szCs w:val="22"/>
          <w:lang w:val="en-US"/>
        </w:rPr>
        <w:t xml:space="preserve"> AND</w:t>
      </w:r>
      <w:r w:rsidR="003B0BE5">
        <w:rPr>
          <w:b/>
          <w:bCs/>
          <w:caps/>
          <w:sz w:val="22"/>
          <w:szCs w:val="22"/>
          <w:lang w:val="en-US"/>
        </w:rPr>
        <w:t xml:space="preserve"> </w:t>
      </w:r>
      <w:r w:rsidRPr="00A50042">
        <w:rPr>
          <w:b/>
          <w:bCs/>
          <w:caps/>
          <w:sz w:val="22"/>
          <w:szCs w:val="22"/>
          <w:lang w:val="en-US"/>
        </w:rPr>
        <w:t>funding source</w:t>
      </w:r>
      <w:r w:rsidR="00502EB0">
        <w:rPr>
          <w:b/>
          <w:bCs/>
          <w:caps/>
          <w:sz w:val="22"/>
          <w:szCs w:val="22"/>
          <w:lang w:val="en-US"/>
        </w:rPr>
        <w:t>S</w:t>
      </w:r>
      <w:r w:rsidR="003B0BE5">
        <w:rPr>
          <w:b/>
          <w:bCs/>
          <w:caps/>
          <w:sz w:val="22"/>
          <w:szCs w:val="22"/>
          <w:lang w:val="en-US"/>
        </w:rPr>
        <w:t xml:space="preserve"> </w:t>
      </w:r>
      <w:r w:rsidRPr="00A50042">
        <w:rPr>
          <w:b/>
          <w:bCs/>
          <w:caps/>
          <w:sz w:val="22"/>
          <w:szCs w:val="22"/>
          <w:lang w:val="en-US"/>
        </w:rPr>
        <w:t>2011</w:t>
      </w:r>
      <w:r w:rsidR="003B0BE5">
        <w:rPr>
          <w:b/>
          <w:bCs/>
          <w:caps/>
          <w:sz w:val="22"/>
          <w:szCs w:val="22"/>
          <w:lang w:val="en-US"/>
        </w:rPr>
        <w:t xml:space="preserve"> - </w:t>
      </w:r>
      <w:r w:rsidR="001B4AE5">
        <w:rPr>
          <w:b/>
          <w:bCs/>
          <w:caps/>
          <w:sz w:val="22"/>
          <w:szCs w:val="22"/>
          <w:lang w:val="en-US"/>
        </w:rPr>
        <w:t>september</w:t>
      </w:r>
      <w:r w:rsidRPr="00A50042">
        <w:rPr>
          <w:b/>
          <w:bCs/>
          <w:caps/>
          <w:sz w:val="22"/>
          <w:szCs w:val="22"/>
          <w:lang w:val="en-US"/>
        </w:rPr>
        <w:t xml:space="preserve"> 202</w:t>
      </w:r>
      <w:r w:rsidR="00FA7B85">
        <w:rPr>
          <w:b/>
          <w:bCs/>
          <w:caps/>
          <w:sz w:val="22"/>
          <w:szCs w:val="22"/>
          <w:lang w:val="en-US"/>
        </w:rPr>
        <w:t>3</w:t>
      </w:r>
      <w:r w:rsidRPr="00A50042">
        <w:rPr>
          <w:b/>
          <w:bCs/>
          <w:caps/>
          <w:sz w:val="22"/>
          <w:szCs w:val="22"/>
          <w:lang w:val="en-US"/>
        </w:rPr>
        <w:t xml:space="preserve"> </w:t>
      </w:r>
      <w:r w:rsidR="006C34CF">
        <w:rPr>
          <w:b/>
          <w:bCs/>
          <w:caps/>
          <w:sz w:val="22"/>
          <w:szCs w:val="22"/>
          <w:lang w:val="en-US"/>
        </w:rPr>
        <w:t xml:space="preserve">(1/2) </w:t>
      </w:r>
    </w:p>
    <w:p w14:paraId="7B33E557" w14:textId="6354E902" w:rsidR="00036BE8" w:rsidRDefault="4B0DC81A" w:rsidP="00BF3A58">
      <w:pPr>
        <w:spacing w:line="250" w:lineRule="exact"/>
        <w:jc w:val="center"/>
        <w:rPr>
          <w:sz w:val="22"/>
          <w:szCs w:val="22"/>
          <w:lang w:val="en-US"/>
        </w:rPr>
      </w:pPr>
      <w:r w:rsidRPr="496E9595">
        <w:rPr>
          <w:sz w:val="22"/>
          <w:szCs w:val="22"/>
          <w:lang w:val="en-US"/>
        </w:rPr>
        <w:t>(</w:t>
      </w:r>
      <w:r w:rsidRPr="1580DEBA">
        <w:rPr>
          <w:i/>
          <w:iCs/>
          <w:sz w:val="22"/>
          <w:szCs w:val="22"/>
          <w:lang w:val="en-US"/>
        </w:rPr>
        <w:t>US dollars</w:t>
      </w:r>
      <w:r w:rsidRPr="496E9595">
        <w:rPr>
          <w:sz w:val="22"/>
          <w:szCs w:val="22"/>
          <w:lang w:val="en-US"/>
        </w:rPr>
        <w:t>)</w:t>
      </w:r>
    </w:p>
    <w:p w14:paraId="129BD818" w14:textId="3DD025FC" w:rsidR="00BF3A58" w:rsidRPr="00BF3A58" w:rsidRDefault="00BE5A22" w:rsidP="00BF3A58">
      <w:pPr>
        <w:spacing w:line="250" w:lineRule="exact"/>
        <w:jc w:val="center"/>
        <w:rPr>
          <w:sz w:val="10"/>
          <w:szCs w:val="10"/>
          <w:lang w:val="en-US"/>
        </w:rPr>
      </w:pPr>
      <w:r w:rsidRPr="00BE5A22">
        <w:rPr>
          <w:noProof/>
        </w:rPr>
        <w:drawing>
          <wp:anchor distT="0" distB="0" distL="114300" distR="114300" simplePos="0" relativeHeight="251661314" behindDoc="0" locked="0" layoutInCell="1" allowOverlap="1" wp14:anchorId="4839934A" wp14:editId="04D6854C">
            <wp:simplePos x="0" y="0"/>
            <wp:positionH relativeFrom="column">
              <wp:posOffset>480060</wp:posOffset>
            </wp:positionH>
            <wp:positionV relativeFrom="paragraph">
              <wp:posOffset>74295</wp:posOffset>
            </wp:positionV>
            <wp:extent cx="6938594" cy="5646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7036" cy="565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8AAC7" w14:textId="3F3C7F8C" w:rsidR="00036BE8" w:rsidRDefault="00036BE8" w:rsidP="00BF3A58">
      <w:pPr>
        <w:tabs>
          <w:tab w:val="left" w:pos="1379"/>
        </w:tabs>
        <w:jc w:val="center"/>
        <w:rPr>
          <w:sz w:val="22"/>
          <w:szCs w:val="22"/>
          <w:lang w:val="en-US"/>
        </w:rPr>
      </w:pPr>
    </w:p>
    <w:p w14:paraId="27F27224" w14:textId="7E668383" w:rsidR="00036BE8" w:rsidRDefault="00036BE8" w:rsidP="00433442">
      <w:pPr>
        <w:tabs>
          <w:tab w:val="left" w:pos="1379"/>
        </w:tabs>
        <w:rPr>
          <w:sz w:val="22"/>
          <w:szCs w:val="22"/>
          <w:lang w:val="en-US"/>
        </w:rPr>
      </w:pPr>
    </w:p>
    <w:p w14:paraId="428A67C4" w14:textId="457CA39F" w:rsidR="001515E2" w:rsidRDefault="001515E2">
      <w:pPr>
        <w:rPr>
          <w:b/>
          <w:bCs/>
          <w:caps/>
          <w:sz w:val="22"/>
          <w:szCs w:val="22"/>
          <w:lang w:val="en-US"/>
        </w:rPr>
      </w:pPr>
      <w:r>
        <w:rPr>
          <w:b/>
          <w:bCs/>
          <w:caps/>
          <w:sz w:val="22"/>
          <w:szCs w:val="22"/>
          <w:lang w:val="en-US"/>
        </w:rPr>
        <w:br w:type="page"/>
      </w:r>
    </w:p>
    <w:p w14:paraId="24705DC4" w14:textId="26BE053C" w:rsidR="00356386" w:rsidRDefault="00356386" w:rsidP="008309D6">
      <w:pPr>
        <w:spacing w:line="250" w:lineRule="exact"/>
        <w:jc w:val="center"/>
        <w:rPr>
          <w:b/>
          <w:bCs/>
          <w:caps/>
          <w:sz w:val="22"/>
          <w:szCs w:val="22"/>
          <w:lang w:val="en-US"/>
        </w:rPr>
      </w:pPr>
      <w:r w:rsidRPr="00A50042">
        <w:rPr>
          <w:b/>
          <w:bCs/>
          <w:caps/>
          <w:sz w:val="22"/>
          <w:szCs w:val="22"/>
          <w:lang w:val="en-US"/>
        </w:rPr>
        <w:lastRenderedPageBreak/>
        <w:t>Appendix 2 – details of costs</w:t>
      </w:r>
      <w:r w:rsidR="00502EB0">
        <w:rPr>
          <w:b/>
          <w:bCs/>
          <w:caps/>
          <w:sz w:val="22"/>
          <w:szCs w:val="22"/>
          <w:lang w:val="en-US"/>
        </w:rPr>
        <w:t xml:space="preserve"> AND</w:t>
      </w:r>
      <w:r>
        <w:rPr>
          <w:b/>
          <w:bCs/>
          <w:caps/>
          <w:sz w:val="22"/>
          <w:szCs w:val="22"/>
          <w:lang w:val="en-US"/>
        </w:rPr>
        <w:t xml:space="preserve"> </w:t>
      </w:r>
      <w:r w:rsidRPr="00A50042">
        <w:rPr>
          <w:b/>
          <w:bCs/>
          <w:caps/>
          <w:sz w:val="22"/>
          <w:szCs w:val="22"/>
          <w:lang w:val="en-US"/>
        </w:rPr>
        <w:t>funding source</w:t>
      </w:r>
      <w:r>
        <w:rPr>
          <w:b/>
          <w:bCs/>
          <w:caps/>
          <w:sz w:val="22"/>
          <w:szCs w:val="22"/>
          <w:lang w:val="en-US"/>
        </w:rPr>
        <w:t xml:space="preserve"> </w:t>
      </w:r>
      <w:r w:rsidRPr="00A50042">
        <w:rPr>
          <w:b/>
          <w:bCs/>
          <w:caps/>
          <w:sz w:val="22"/>
          <w:szCs w:val="22"/>
          <w:lang w:val="en-US"/>
        </w:rPr>
        <w:t>2011</w:t>
      </w:r>
      <w:r>
        <w:rPr>
          <w:b/>
          <w:bCs/>
          <w:caps/>
          <w:sz w:val="22"/>
          <w:szCs w:val="22"/>
          <w:lang w:val="en-US"/>
        </w:rPr>
        <w:t xml:space="preserve"> - </w:t>
      </w:r>
      <w:r w:rsidR="00BE5A22">
        <w:rPr>
          <w:b/>
          <w:bCs/>
          <w:caps/>
          <w:sz w:val="22"/>
          <w:szCs w:val="22"/>
          <w:lang w:val="en-US"/>
        </w:rPr>
        <w:t>SEPTEMBER</w:t>
      </w:r>
      <w:r w:rsidRPr="00A50042">
        <w:rPr>
          <w:b/>
          <w:bCs/>
          <w:caps/>
          <w:sz w:val="22"/>
          <w:szCs w:val="22"/>
          <w:lang w:val="en-US"/>
        </w:rPr>
        <w:t xml:space="preserve"> 202</w:t>
      </w:r>
      <w:r w:rsidR="00395CF4">
        <w:rPr>
          <w:b/>
          <w:bCs/>
          <w:caps/>
          <w:sz w:val="22"/>
          <w:szCs w:val="22"/>
          <w:lang w:val="en-US"/>
        </w:rPr>
        <w:t>3</w:t>
      </w:r>
      <w:r w:rsidRPr="00A50042">
        <w:rPr>
          <w:b/>
          <w:bCs/>
          <w:caps/>
          <w:sz w:val="22"/>
          <w:szCs w:val="22"/>
          <w:lang w:val="en-US"/>
        </w:rPr>
        <w:t xml:space="preserve"> </w:t>
      </w:r>
      <w:r>
        <w:rPr>
          <w:b/>
          <w:bCs/>
          <w:caps/>
          <w:sz w:val="22"/>
          <w:szCs w:val="22"/>
          <w:lang w:val="en-US"/>
        </w:rPr>
        <w:t>(2/2)</w:t>
      </w:r>
    </w:p>
    <w:p w14:paraId="0F815C41" w14:textId="374DE70B" w:rsidR="00356386" w:rsidRDefault="00356386" w:rsidP="00356386">
      <w:pPr>
        <w:spacing w:line="250" w:lineRule="exact"/>
        <w:jc w:val="center"/>
        <w:rPr>
          <w:bCs/>
          <w:i/>
          <w:sz w:val="22"/>
          <w:szCs w:val="22"/>
          <w:lang w:val="en-US"/>
        </w:rPr>
      </w:pPr>
      <w:r w:rsidRPr="00A50042">
        <w:rPr>
          <w:bCs/>
          <w:sz w:val="22"/>
          <w:szCs w:val="22"/>
          <w:lang w:val="en-US"/>
        </w:rPr>
        <w:t>(</w:t>
      </w:r>
      <w:r w:rsidRPr="00A50042">
        <w:rPr>
          <w:bCs/>
          <w:i/>
          <w:sz w:val="22"/>
          <w:szCs w:val="22"/>
          <w:lang w:val="en-US"/>
        </w:rPr>
        <w:t>US dollars</w:t>
      </w:r>
      <w:r w:rsidR="003A7FF2">
        <w:rPr>
          <w:bCs/>
          <w:i/>
          <w:sz w:val="22"/>
          <w:szCs w:val="22"/>
          <w:lang w:val="en-US"/>
        </w:rPr>
        <w:t>)</w:t>
      </w:r>
    </w:p>
    <w:p w14:paraId="0FECF4F3" w14:textId="35BAFFE5" w:rsidR="00356386" w:rsidRDefault="00356386" w:rsidP="00356386">
      <w:pPr>
        <w:spacing w:line="250" w:lineRule="exact"/>
        <w:jc w:val="center"/>
        <w:rPr>
          <w:bCs/>
          <w:i/>
          <w:sz w:val="22"/>
          <w:szCs w:val="22"/>
          <w:lang w:val="en-US"/>
        </w:rPr>
      </w:pPr>
    </w:p>
    <w:p w14:paraId="59A48B62" w14:textId="28BDACC2" w:rsidR="003A7FF2" w:rsidRDefault="003A7FF2" w:rsidP="00356386">
      <w:pPr>
        <w:spacing w:line="250" w:lineRule="exact"/>
        <w:jc w:val="center"/>
        <w:rPr>
          <w:bCs/>
          <w:i/>
          <w:sz w:val="22"/>
          <w:szCs w:val="22"/>
          <w:lang w:val="en-US"/>
        </w:rPr>
      </w:pPr>
    </w:p>
    <w:p w14:paraId="75B1B425" w14:textId="44B94685" w:rsidR="00AE30B1" w:rsidRDefault="00944624" w:rsidP="00356386">
      <w:pPr>
        <w:spacing w:line="250" w:lineRule="exact"/>
        <w:jc w:val="center"/>
        <w:rPr>
          <w:bCs/>
          <w:i/>
          <w:sz w:val="22"/>
          <w:szCs w:val="22"/>
          <w:lang w:val="en-US"/>
        </w:rPr>
      </w:pPr>
      <w:r w:rsidRPr="00944624">
        <w:rPr>
          <w:noProof/>
        </w:rPr>
        <w:drawing>
          <wp:anchor distT="0" distB="0" distL="114300" distR="114300" simplePos="0" relativeHeight="251662338" behindDoc="0" locked="0" layoutInCell="1" allowOverlap="1" wp14:anchorId="115C719A" wp14:editId="12D33376">
            <wp:simplePos x="0" y="0"/>
            <wp:positionH relativeFrom="margin">
              <wp:align>center</wp:align>
            </wp:positionH>
            <wp:positionV relativeFrom="paragraph">
              <wp:posOffset>6985</wp:posOffset>
            </wp:positionV>
            <wp:extent cx="7109029" cy="4417311"/>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9029" cy="44173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C3AEA7" w14:textId="218A615A" w:rsidR="00AE30B1" w:rsidRDefault="00AE30B1" w:rsidP="00356386">
      <w:pPr>
        <w:spacing w:line="250" w:lineRule="exact"/>
        <w:jc w:val="center"/>
        <w:rPr>
          <w:bCs/>
          <w:i/>
          <w:sz w:val="22"/>
          <w:szCs w:val="22"/>
          <w:lang w:val="en-US"/>
        </w:rPr>
      </w:pPr>
    </w:p>
    <w:p w14:paraId="7550C103" w14:textId="6B660ACD" w:rsidR="00AE30B1" w:rsidRDefault="00AE30B1" w:rsidP="00356386">
      <w:pPr>
        <w:spacing w:line="250" w:lineRule="exact"/>
        <w:jc w:val="center"/>
        <w:rPr>
          <w:bCs/>
          <w:i/>
          <w:sz w:val="22"/>
          <w:szCs w:val="22"/>
          <w:lang w:val="en-US"/>
        </w:rPr>
      </w:pPr>
    </w:p>
    <w:p w14:paraId="243FA99E" w14:textId="195A1063" w:rsidR="00AE30B1" w:rsidRDefault="00AE30B1" w:rsidP="00356386">
      <w:pPr>
        <w:spacing w:line="250" w:lineRule="exact"/>
        <w:jc w:val="center"/>
        <w:rPr>
          <w:bCs/>
          <w:i/>
          <w:sz w:val="22"/>
          <w:szCs w:val="22"/>
          <w:lang w:val="en-US"/>
        </w:rPr>
      </w:pPr>
    </w:p>
    <w:p w14:paraId="6E626622" w14:textId="4D751A14" w:rsidR="00AE30B1" w:rsidRDefault="00AE30B1" w:rsidP="00356386">
      <w:pPr>
        <w:spacing w:line="250" w:lineRule="exact"/>
        <w:jc w:val="center"/>
        <w:rPr>
          <w:bCs/>
          <w:i/>
          <w:sz w:val="22"/>
          <w:szCs w:val="22"/>
          <w:lang w:val="en-US"/>
        </w:rPr>
      </w:pPr>
    </w:p>
    <w:p w14:paraId="5081EBE7" w14:textId="16B728C2" w:rsidR="00356386" w:rsidRDefault="00356386" w:rsidP="00356386">
      <w:pPr>
        <w:spacing w:line="250" w:lineRule="exact"/>
        <w:jc w:val="center"/>
      </w:pPr>
    </w:p>
    <w:p w14:paraId="7EA38A59" w14:textId="0CC6308D" w:rsidR="00356386" w:rsidRDefault="00356386" w:rsidP="00356386">
      <w:pPr>
        <w:spacing w:line="250" w:lineRule="exact"/>
        <w:jc w:val="center"/>
      </w:pPr>
    </w:p>
    <w:p w14:paraId="7F07A2C5" w14:textId="3DE458E8" w:rsidR="00356386" w:rsidRDefault="00356386" w:rsidP="00356386">
      <w:pPr>
        <w:spacing w:line="250" w:lineRule="exact"/>
        <w:jc w:val="center"/>
      </w:pPr>
    </w:p>
    <w:p w14:paraId="0682BF49" w14:textId="0D28EA63" w:rsidR="00356386" w:rsidRDefault="00356386" w:rsidP="00356386">
      <w:pPr>
        <w:spacing w:line="250" w:lineRule="exact"/>
        <w:jc w:val="center"/>
      </w:pPr>
    </w:p>
    <w:p w14:paraId="00E07F06" w14:textId="7220C537" w:rsidR="003B0BE5" w:rsidRPr="00A50042" w:rsidRDefault="003B0BE5" w:rsidP="00433442">
      <w:pPr>
        <w:tabs>
          <w:tab w:val="left" w:pos="1379"/>
        </w:tabs>
        <w:rPr>
          <w:sz w:val="22"/>
          <w:szCs w:val="22"/>
          <w:lang w:val="en-US"/>
        </w:rPr>
      </w:pPr>
    </w:p>
    <w:sectPr w:rsidR="003B0BE5" w:rsidRPr="00A50042" w:rsidSect="00356386">
      <w:headerReference w:type="first" r:id="rId16"/>
      <w:pgSz w:w="15840" w:h="12240" w:orient="landscape"/>
      <w:pgMar w:top="1699" w:right="2160" w:bottom="1570" w:left="1296"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78B4" w14:textId="77777777" w:rsidR="00316343" w:rsidRDefault="00316343" w:rsidP="00362B75">
      <w:r>
        <w:separator/>
      </w:r>
    </w:p>
  </w:endnote>
  <w:endnote w:type="continuationSeparator" w:id="0">
    <w:p w14:paraId="4E3E531D" w14:textId="77777777" w:rsidR="00316343" w:rsidRDefault="00316343" w:rsidP="00362B75">
      <w:r>
        <w:continuationSeparator/>
      </w:r>
    </w:p>
  </w:endnote>
  <w:endnote w:type="continuationNotice" w:id="1">
    <w:p w14:paraId="5EABB625" w14:textId="77777777" w:rsidR="00316343" w:rsidRDefault="00316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6E7A" w14:textId="77777777" w:rsidR="00316343" w:rsidRDefault="00316343" w:rsidP="00362B75">
      <w:r>
        <w:separator/>
      </w:r>
    </w:p>
  </w:footnote>
  <w:footnote w:type="continuationSeparator" w:id="0">
    <w:p w14:paraId="4CC54C0D" w14:textId="77777777" w:rsidR="00316343" w:rsidRDefault="00316343" w:rsidP="00362B75">
      <w:r>
        <w:continuationSeparator/>
      </w:r>
    </w:p>
  </w:footnote>
  <w:footnote w:type="continuationNotice" w:id="1">
    <w:p w14:paraId="48980DE9" w14:textId="77777777" w:rsidR="00316343" w:rsidRDefault="00316343"/>
  </w:footnote>
  <w:footnote w:id="2">
    <w:p w14:paraId="727E3FCF" w14:textId="77777777" w:rsidR="003B4FEA" w:rsidRPr="00A50042" w:rsidRDefault="003B4FEA" w:rsidP="003B4FEA">
      <w:pPr>
        <w:pStyle w:val="FootnoteText"/>
        <w:rPr>
          <w:sz w:val="16"/>
          <w:szCs w:val="16"/>
        </w:rPr>
      </w:pPr>
      <w:r w:rsidRPr="00A50042">
        <w:rPr>
          <w:rStyle w:val="FootnoteReference"/>
          <w:sz w:val="16"/>
          <w:szCs w:val="16"/>
        </w:rPr>
        <w:footnoteRef/>
      </w:r>
      <w:r w:rsidRPr="00A50042">
        <w:rPr>
          <w:sz w:val="16"/>
          <w:szCs w:val="16"/>
        </w:rPr>
        <w:t xml:space="preserve"> Operating expenses included the hiring of a person full time as technical and administrative support and a person part-time, who administers and updates the web page.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908587"/>
      <w:docPartObj>
        <w:docPartGallery w:val="Page Numbers (Top of Page)"/>
        <w:docPartUnique/>
      </w:docPartObj>
    </w:sdtPr>
    <w:sdtEndPr>
      <w:rPr>
        <w:noProof/>
      </w:rPr>
    </w:sdtEndPr>
    <w:sdtContent>
      <w:p w14:paraId="3DAAB98F" w14:textId="0902CBFB" w:rsidR="008341E4" w:rsidRDefault="008341E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DF00E2" w14:textId="77777777" w:rsidR="008341E4" w:rsidRDefault="00834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546" w14:textId="4C6C76A4" w:rsidR="00E86F6A" w:rsidRDefault="00E86F6A" w:rsidP="00E86F6A">
    <w:pPr>
      <w:pStyle w:val="Header"/>
    </w:pPr>
    <w:r>
      <w:rPr>
        <w:rFonts w:ascii="News Gothic MT" w:hAnsi="News Gothic MT"/>
        <w:noProof/>
        <w:color w:val="000000"/>
      </w:rPr>
      <w:drawing>
        <wp:anchor distT="0" distB="0" distL="114300" distR="114300" simplePos="0" relativeHeight="251658243" behindDoc="0" locked="0" layoutInCell="1" allowOverlap="1" wp14:anchorId="78105F58" wp14:editId="426BFFE2">
          <wp:simplePos x="0" y="0"/>
          <wp:positionH relativeFrom="column">
            <wp:posOffset>4883785</wp:posOffset>
          </wp:positionH>
          <wp:positionV relativeFrom="paragraph">
            <wp:posOffset>-219075</wp:posOffset>
          </wp:positionV>
          <wp:extent cx="1095375" cy="771525"/>
          <wp:effectExtent l="0" t="0" r="9525" b="952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789EE4B3" wp14:editId="049E12A5">
              <wp:simplePos x="0" y="0"/>
              <wp:positionH relativeFrom="column">
                <wp:posOffset>530860</wp:posOffset>
              </wp:positionH>
              <wp:positionV relativeFrom="paragraph">
                <wp:posOffset>-168910</wp:posOffset>
              </wp:positionV>
              <wp:extent cx="4612640" cy="862330"/>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61264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78677" w14:textId="77777777" w:rsidR="00E86F6A" w:rsidRPr="00E87091" w:rsidRDefault="00E86F6A" w:rsidP="00E86F6A">
                          <w:pPr>
                            <w:pStyle w:val="Header"/>
                            <w:tabs>
                              <w:tab w:val="left" w:pos="900"/>
                            </w:tabs>
                            <w:spacing w:line="0" w:lineRule="atLeast"/>
                            <w:jc w:val="center"/>
                            <w:rPr>
                              <w:rFonts w:ascii="Garamond" w:hAnsi="Garamond"/>
                              <w:b/>
                              <w:sz w:val="28"/>
                              <w:lang w:val="en-US"/>
                            </w:rPr>
                          </w:pPr>
                          <w:r w:rsidRPr="00E87091">
                            <w:rPr>
                              <w:rFonts w:ascii="Garamond" w:hAnsi="Garamond"/>
                              <w:b/>
                              <w:sz w:val="28"/>
                              <w:lang w:val="en-US"/>
                            </w:rPr>
                            <w:t>ORGANIZATION OF AMERICAN STATES</w:t>
                          </w:r>
                        </w:p>
                        <w:p w14:paraId="771E4A7C" w14:textId="77777777" w:rsidR="00E86F6A" w:rsidRPr="00E87091" w:rsidRDefault="00E86F6A" w:rsidP="00E86F6A">
                          <w:pPr>
                            <w:pStyle w:val="Header"/>
                            <w:tabs>
                              <w:tab w:val="left" w:pos="900"/>
                            </w:tabs>
                            <w:spacing w:line="0" w:lineRule="atLeast"/>
                            <w:jc w:val="center"/>
                            <w:rPr>
                              <w:rFonts w:ascii="Garamond" w:hAnsi="Garamond"/>
                              <w:b/>
                              <w:lang w:val="en-US"/>
                            </w:rPr>
                          </w:pPr>
                          <w:r w:rsidRPr="00E87091">
                            <w:rPr>
                              <w:rFonts w:ascii="Garamond" w:hAnsi="Garamond"/>
                              <w:b/>
                              <w:lang w:val="en-US"/>
                            </w:rPr>
                            <w:t>Inter-American Council for Integral Development</w:t>
                          </w:r>
                        </w:p>
                        <w:p w14:paraId="601C6D48" w14:textId="77777777" w:rsidR="00E86F6A" w:rsidRDefault="00E86F6A" w:rsidP="00E86F6A">
                          <w:pPr>
                            <w:pStyle w:val="Header"/>
                            <w:tabs>
                              <w:tab w:val="left" w:pos="900"/>
                            </w:tabs>
                            <w:spacing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EE4B3" id="_x0000_t202" coordsize="21600,21600" o:spt="202" path="m,l,21600r21600,l21600,xe">
              <v:stroke joinstyle="miter"/>
              <v:path gradientshapeok="t" o:connecttype="rect"/>
            </v:shapetype>
            <v:shape id="Text Box 4" o:spid="_x0000_s1026" type="#_x0000_t202" style="position:absolute;margin-left:41.8pt;margin-top:-13.3pt;width:363.2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" stroked="f">
              <o:lock v:ext="edit" aspectratio="t" verticies="t" text="t" shapetype="t"/>
              <v:textbox>
                <w:txbxContent>
                  <w:p w14:paraId="32E78677" w14:textId="77777777" w:rsidR="00E86F6A" w:rsidRPr="00E87091" w:rsidRDefault="00E86F6A" w:rsidP="00E86F6A">
                    <w:pPr>
                      <w:pStyle w:val="Header"/>
                      <w:tabs>
                        <w:tab w:val="left" w:pos="900"/>
                      </w:tabs>
                      <w:spacing w:line="0" w:lineRule="atLeast"/>
                      <w:jc w:val="center"/>
                      <w:rPr>
                        <w:rFonts w:ascii="Garamond" w:hAnsi="Garamond"/>
                        <w:b/>
                        <w:sz w:val="28"/>
                        <w:lang w:val="en-US"/>
                      </w:rPr>
                    </w:pPr>
                    <w:r w:rsidRPr="00E87091">
                      <w:rPr>
                        <w:rFonts w:ascii="Garamond" w:hAnsi="Garamond"/>
                        <w:b/>
                        <w:sz w:val="28"/>
                        <w:lang w:val="en-US"/>
                      </w:rPr>
                      <w:t>ORGANIZATION OF AMERICAN STATES</w:t>
                    </w:r>
                  </w:p>
                  <w:p w14:paraId="771E4A7C" w14:textId="77777777" w:rsidR="00E86F6A" w:rsidRPr="00E87091" w:rsidRDefault="00E86F6A" w:rsidP="00E86F6A">
                    <w:pPr>
                      <w:pStyle w:val="Header"/>
                      <w:tabs>
                        <w:tab w:val="left" w:pos="900"/>
                      </w:tabs>
                      <w:spacing w:line="0" w:lineRule="atLeast"/>
                      <w:jc w:val="center"/>
                      <w:rPr>
                        <w:rFonts w:ascii="Garamond" w:hAnsi="Garamond"/>
                        <w:b/>
                        <w:lang w:val="en-US"/>
                      </w:rPr>
                    </w:pPr>
                    <w:r w:rsidRPr="00E87091">
                      <w:rPr>
                        <w:rFonts w:ascii="Garamond" w:hAnsi="Garamond"/>
                        <w:b/>
                        <w:lang w:val="en-US"/>
                      </w:rPr>
                      <w:t>Inter-American Council for Integral Development</w:t>
                    </w:r>
                  </w:p>
                  <w:p w14:paraId="601C6D48" w14:textId="77777777" w:rsidR="00E86F6A" w:rsidRDefault="00E86F6A" w:rsidP="00E86F6A">
                    <w:pPr>
                      <w:pStyle w:val="Header"/>
                      <w:tabs>
                        <w:tab w:val="left" w:pos="900"/>
                      </w:tabs>
                      <w:spacing w:line="0" w:lineRule="atLeast"/>
                      <w:jc w:val="center"/>
                      <w:rPr>
                        <w:b/>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2B895C7" wp14:editId="0014F637">
              <wp:simplePos x="0" y="0"/>
              <wp:positionH relativeFrom="column">
                <wp:posOffset>-1078865</wp:posOffset>
              </wp:positionH>
              <wp:positionV relativeFrom="paragraph">
                <wp:posOffset>-57150</wp:posOffset>
              </wp:positionV>
              <wp:extent cx="7810500" cy="731520"/>
              <wp:effectExtent l="0" t="0" r="2540" b="190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78105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7835F" w14:textId="147AF743" w:rsidR="00E86F6A" w:rsidRDefault="00E86F6A" w:rsidP="00E86F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895C7" id="Text Box 3" o:spid="_x0000_s1027" type="#_x0000_t202" style="position:absolute;margin-left:-84.95pt;margin-top:-4.5pt;width:61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" stroked="f">
              <o:lock v:ext="edit" aspectratio="t" verticies="t" text="t" shapetype="t"/>
              <v:textbox>
                <w:txbxContent>
                  <w:p w14:paraId="1C27835F" w14:textId="147AF743" w:rsidR="00E86F6A" w:rsidRDefault="00E86F6A" w:rsidP="00E86F6A"/>
                </w:txbxContent>
              </v:textbox>
            </v:shape>
          </w:pict>
        </mc:Fallback>
      </mc:AlternateContent>
    </w:r>
    <w:r>
      <w:rPr>
        <w:noProof/>
      </w:rPr>
      <w:drawing>
        <wp:anchor distT="0" distB="0" distL="114300" distR="114300" simplePos="0" relativeHeight="251658241" behindDoc="0" locked="0" layoutInCell="1" allowOverlap="1" wp14:anchorId="7E569262" wp14:editId="5C175F57">
          <wp:simplePos x="0" y="0"/>
          <wp:positionH relativeFrom="column">
            <wp:posOffset>-275590</wp:posOffset>
          </wp:positionH>
          <wp:positionV relativeFrom="paragraph">
            <wp:posOffset>-149860</wp:posOffset>
          </wp:positionV>
          <wp:extent cx="822960" cy="824865"/>
          <wp:effectExtent l="0" t="0" r="0" b="0"/>
          <wp:wrapNone/>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a:picLocks noChangeAspect="1" noEditPoints="1" noChangeArrowheads="1" noCrop="1"/>
                  </pic:cNvPicPr>
                </pic:nvPicPr>
                <pic:blipFill>
                  <a:blip r:embed="rId2">
                    <a:lum contrast="12000"/>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4F1E0A8E" w14:textId="19EE41E3" w:rsidR="00362B75" w:rsidRDefault="00362B75" w:rsidP="00362B75">
    <w:pPr>
      <w:pStyle w:val="Header"/>
    </w:pPr>
  </w:p>
  <w:p w14:paraId="4E87CB4B" w14:textId="77777777" w:rsidR="00362B75" w:rsidRDefault="00362B75" w:rsidP="00362B75">
    <w:pPr>
      <w:pStyle w:val="Header"/>
    </w:pPr>
  </w:p>
  <w:p w14:paraId="05C2FE25" w14:textId="77777777" w:rsidR="00362B75" w:rsidRDefault="00362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8021" w14:textId="5F2B775E" w:rsidR="006C34CF" w:rsidRDefault="006C34CF">
    <w:pPr>
      <w:pStyle w:val="Header"/>
      <w:jc w:val="center"/>
    </w:pPr>
    <w:r>
      <w:fldChar w:fldCharType="begin"/>
    </w:r>
    <w:r>
      <w:instrText xml:space="preserve"> PAGE   \* MERGEFORMAT </w:instrText>
    </w:r>
    <w:r>
      <w:fldChar w:fldCharType="separate"/>
    </w:r>
    <w:r>
      <w:rPr>
        <w:noProof/>
      </w:rPr>
      <w:t>2</w:t>
    </w:r>
    <w:r>
      <w:rPr>
        <w:noProof/>
      </w:rPr>
      <w:fldChar w:fldCharType="end"/>
    </w:r>
  </w:p>
  <w:p w14:paraId="5AC98210" w14:textId="77777777" w:rsidR="006C34CF" w:rsidRDefault="006C3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2D5"/>
    <w:multiLevelType w:val="hybridMultilevel"/>
    <w:tmpl w:val="B7DC0BE2"/>
    <w:lvl w:ilvl="0" w:tplc="1C066A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2C6014"/>
    <w:multiLevelType w:val="hybridMultilevel"/>
    <w:tmpl w:val="742C26DE"/>
    <w:lvl w:ilvl="0" w:tplc="38627CA0">
      <w:start w:val="2"/>
      <w:numFmt w:val="bullet"/>
      <w:lvlText w:val="-"/>
      <w:lvlJc w:val="left"/>
      <w:pPr>
        <w:tabs>
          <w:tab w:val="num" w:pos="720"/>
        </w:tabs>
        <w:ind w:left="720" w:hanging="360"/>
      </w:pPr>
      <w:rPr>
        <w:rFonts w:ascii="Trebuchet MS" w:eastAsia="MS Mincho" w:hAnsi="Trebuchet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4166826">
    <w:abstractNumId w:val="0"/>
  </w:num>
  <w:num w:numId="2" w16cid:durableId="2097511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75"/>
    <w:rsid w:val="00004E39"/>
    <w:rsid w:val="00010639"/>
    <w:rsid w:val="000200BB"/>
    <w:rsid w:val="0002744F"/>
    <w:rsid w:val="00036BE8"/>
    <w:rsid w:val="00042A62"/>
    <w:rsid w:val="00055738"/>
    <w:rsid w:val="0006474A"/>
    <w:rsid w:val="00071472"/>
    <w:rsid w:val="000826E7"/>
    <w:rsid w:val="00087601"/>
    <w:rsid w:val="000944E7"/>
    <w:rsid w:val="000963AB"/>
    <w:rsid w:val="000A732B"/>
    <w:rsid w:val="000A7EF6"/>
    <w:rsid w:val="000B55CD"/>
    <w:rsid w:val="000B71E9"/>
    <w:rsid w:val="000C2D1B"/>
    <w:rsid w:val="000D34D2"/>
    <w:rsid w:val="000D7E7F"/>
    <w:rsid w:val="000E1E9A"/>
    <w:rsid w:val="000E76E5"/>
    <w:rsid w:val="000F6F25"/>
    <w:rsid w:val="000F7224"/>
    <w:rsid w:val="001074A0"/>
    <w:rsid w:val="00110695"/>
    <w:rsid w:val="00111A57"/>
    <w:rsid w:val="00117523"/>
    <w:rsid w:val="00120046"/>
    <w:rsid w:val="0012225A"/>
    <w:rsid w:val="00123AD0"/>
    <w:rsid w:val="00124BBA"/>
    <w:rsid w:val="00130A2D"/>
    <w:rsid w:val="001439AF"/>
    <w:rsid w:val="001458D8"/>
    <w:rsid w:val="001515E2"/>
    <w:rsid w:val="0015380D"/>
    <w:rsid w:val="001559C7"/>
    <w:rsid w:val="00160547"/>
    <w:rsid w:val="001627EB"/>
    <w:rsid w:val="001648BB"/>
    <w:rsid w:val="00165E68"/>
    <w:rsid w:val="00191B01"/>
    <w:rsid w:val="001921FF"/>
    <w:rsid w:val="00195DC6"/>
    <w:rsid w:val="001A65B8"/>
    <w:rsid w:val="001A7AA9"/>
    <w:rsid w:val="001B4AE5"/>
    <w:rsid w:val="001C3FF9"/>
    <w:rsid w:val="001D1500"/>
    <w:rsid w:val="001D270C"/>
    <w:rsid w:val="001D76E4"/>
    <w:rsid w:val="001F3C0A"/>
    <w:rsid w:val="00212116"/>
    <w:rsid w:val="002126F2"/>
    <w:rsid w:val="00213165"/>
    <w:rsid w:val="002167CB"/>
    <w:rsid w:val="00221670"/>
    <w:rsid w:val="002319B9"/>
    <w:rsid w:val="0024076B"/>
    <w:rsid w:val="002442B4"/>
    <w:rsid w:val="00245541"/>
    <w:rsid w:val="0024616D"/>
    <w:rsid w:val="00273CEE"/>
    <w:rsid w:val="00273E3C"/>
    <w:rsid w:val="00286863"/>
    <w:rsid w:val="00286AC2"/>
    <w:rsid w:val="00286EF5"/>
    <w:rsid w:val="00296D8F"/>
    <w:rsid w:val="00297F90"/>
    <w:rsid w:val="002A008E"/>
    <w:rsid w:val="002A4E03"/>
    <w:rsid w:val="002C0B40"/>
    <w:rsid w:val="002D0649"/>
    <w:rsid w:val="002D4F95"/>
    <w:rsid w:val="002D5AE6"/>
    <w:rsid w:val="002D6EC8"/>
    <w:rsid w:val="002D6F2E"/>
    <w:rsid w:val="002E4C0B"/>
    <w:rsid w:val="002E6541"/>
    <w:rsid w:val="002E7ACD"/>
    <w:rsid w:val="00312D06"/>
    <w:rsid w:val="00313B7D"/>
    <w:rsid w:val="00315E10"/>
    <w:rsid w:val="00316343"/>
    <w:rsid w:val="00316E1E"/>
    <w:rsid w:val="00323195"/>
    <w:rsid w:val="003232B1"/>
    <w:rsid w:val="00323E98"/>
    <w:rsid w:val="0032464E"/>
    <w:rsid w:val="00331BF2"/>
    <w:rsid w:val="0034674C"/>
    <w:rsid w:val="00356386"/>
    <w:rsid w:val="00357B6A"/>
    <w:rsid w:val="00362B75"/>
    <w:rsid w:val="003644E7"/>
    <w:rsid w:val="00366619"/>
    <w:rsid w:val="00381C51"/>
    <w:rsid w:val="003852FB"/>
    <w:rsid w:val="00390DA1"/>
    <w:rsid w:val="00395CF4"/>
    <w:rsid w:val="003A6121"/>
    <w:rsid w:val="003A7FF2"/>
    <w:rsid w:val="003B0BE5"/>
    <w:rsid w:val="003B4FEA"/>
    <w:rsid w:val="003B6B51"/>
    <w:rsid w:val="003D4E64"/>
    <w:rsid w:val="003E2BCE"/>
    <w:rsid w:val="003F0927"/>
    <w:rsid w:val="003F4695"/>
    <w:rsid w:val="003F5BC8"/>
    <w:rsid w:val="004071AA"/>
    <w:rsid w:val="00415266"/>
    <w:rsid w:val="00433442"/>
    <w:rsid w:val="00433E82"/>
    <w:rsid w:val="0044355E"/>
    <w:rsid w:val="0045298F"/>
    <w:rsid w:val="0045397B"/>
    <w:rsid w:val="004542C1"/>
    <w:rsid w:val="00457FDC"/>
    <w:rsid w:val="00460055"/>
    <w:rsid w:val="00462FCE"/>
    <w:rsid w:val="004646C3"/>
    <w:rsid w:val="00474C32"/>
    <w:rsid w:val="0048428D"/>
    <w:rsid w:val="00490939"/>
    <w:rsid w:val="00493E76"/>
    <w:rsid w:val="004A52E5"/>
    <w:rsid w:val="004B2C9C"/>
    <w:rsid w:val="004D0D6C"/>
    <w:rsid w:val="004E0ECC"/>
    <w:rsid w:val="004E79FE"/>
    <w:rsid w:val="004F10B9"/>
    <w:rsid w:val="004F5B91"/>
    <w:rsid w:val="004F68EB"/>
    <w:rsid w:val="004F6AA4"/>
    <w:rsid w:val="00502EB0"/>
    <w:rsid w:val="00511260"/>
    <w:rsid w:val="0052346D"/>
    <w:rsid w:val="00523804"/>
    <w:rsid w:val="005254CA"/>
    <w:rsid w:val="0053365C"/>
    <w:rsid w:val="005408DB"/>
    <w:rsid w:val="0054092D"/>
    <w:rsid w:val="0054260A"/>
    <w:rsid w:val="0054498B"/>
    <w:rsid w:val="00553FB5"/>
    <w:rsid w:val="0055754E"/>
    <w:rsid w:val="0056367B"/>
    <w:rsid w:val="00566FA2"/>
    <w:rsid w:val="005753DA"/>
    <w:rsid w:val="00576598"/>
    <w:rsid w:val="00582C48"/>
    <w:rsid w:val="0058325D"/>
    <w:rsid w:val="00587D71"/>
    <w:rsid w:val="005934EB"/>
    <w:rsid w:val="0059575D"/>
    <w:rsid w:val="00595E26"/>
    <w:rsid w:val="005A0991"/>
    <w:rsid w:val="005A0AAE"/>
    <w:rsid w:val="005A604A"/>
    <w:rsid w:val="005B3AA9"/>
    <w:rsid w:val="005D07CB"/>
    <w:rsid w:val="005D253B"/>
    <w:rsid w:val="005D4098"/>
    <w:rsid w:val="005D6489"/>
    <w:rsid w:val="005D7CB1"/>
    <w:rsid w:val="005E7628"/>
    <w:rsid w:val="00627011"/>
    <w:rsid w:val="006425C7"/>
    <w:rsid w:val="00653D75"/>
    <w:rsid w:val="00662CA0"/>
    <w:rsid w:val="006650C4"/>
    <w:rsid w:val="00670962"/>
    <w:rsid w:val="0067105C"/>
    <w:rsid w:val="0067678C"/>
    <w:rsid w:val="0068141F"/>
    <w:rsid w:val="00685AB2"/>
    <w:rsid w:val="0068630C"/>
    <w:rsid w:val="006926A8"/>
    <w:rsid w:val="00692F7A"/>
    <w:rsid w:val="00696BAB"/>
    <w:rsid w:val="00696D0B"/>
    <w:rsid w:val="006C214F"/>
    <w:rsid w:val="006C244A"/>
    <w:rsid w:val="006C34CF"/>
    <w:rsid w:val="006D2ADE"/>
    <w:rsid w:val="006E47F7"/>
    <w:rsid w:val="006E53FD"/>
    <w:rsid w:val="006F3BB2"/>
    <w:rsid w:val="00713008"/>
    <w:rsid w:val="00717544"/>
    <w:rsid w:val="0073327C"/>
    <w:rsid w:val="00733602"/>
    <w:rsid w:val="00740525"/>
    <w:rsid w:val="00746CF4"/>
    <w:rsid w:val="00763F2A"/>
    <w:rsid w:val="0077074D"/>
    <w:rsid w:val="00791914"/>
    <w:rsid w:val="00791E5B"/>
    <w:rsid w:val="007941F2"/>
    <w:rsid w:val="007A28C0"/>
    <w:rsid w:val="007A5931"/>
    <w:rsid w:val="007B5250"/>
    <w:rsid w:val="007C4A2A"/>
    <w:rsid w:val="007D1192"/>
    <w:rsid w:val="007D7039"/>
    <w:rsid w:val="007E1687"/>
    <w:rsid w:val="007E2BFC"/>
    <w:rsid w:val="007E33BD"/>
    <w:rsid w:val="007F0DB4"/>
    <w:rsid w:val="0080536D"/>
    <w:rsid w:val="00810132"/>
    <w:rsid w:val="0081199B"/>
    <w:rsid w:val="00821D9A"/>
    <w:rsid w:val="008232B7"/>
    <w:rsid w:val="00823ECF"/>
    <w:rsid w:val="0082410C"/>
    <w:rsid w:val="008309D6"/>
    <w:rsid w:val="00832244"/>
    <w:rsid w:val="008341E4"/>
    <w:rsid w:val="0083686E"/>
    <w:rsid w:val="00842D9A"/>
    <w:rsid w:val="00851042"/>
    <w:rsid w:val="00854487"/>
    <w:rsid w:val="0085702C"/>
    <w:rsid w:val="0087347E"/>
    <w:rsid w:val="00884495"/>
    <w:rsid w:val="008947BC"/>
    <w:rsid w:val="008979E6"/>
    <w:rsid w:val="008B5262"/>
    <w:rsid w:val="008D1FE6"/>
    <w:rsid w:val="008D26E9"/>
    <w:rsid w:val="008F0953"/>
    <w:rsid w:val="008F10DE"/>
    <w:rsid w:val="008F4C4D"/>
    <w:rsid w:val="009177FE"/>
    <w:rsid w:val="009443C8"/>
    <w:rsid w:val="00944624"/>
    <w:rsid w:val="009461A3"/>
    <w:rsid w:val="00946B4D"/>
    <w:rsid w:val="00951117"/>
    <w:rsid w:val="009520F2"/>
    <w:rsid w:val="00952F91"/>
    <w:rsid w:val="00966274"/>
    <w:rsid w:val="0097011A"/>
    <w:rsid w:val="00972C06"/>
    <w:rsid w:val="009740AF"/>
    <w:rsid w:val="00986895"/>
    <w:rsid w:val="009877F5"/>
    <w:rsid w:val="009A0923"/>
    <w:rsid w:val="009C1270"/>
    <w:rsid w:val="009C2890"/>
    <w:rsid w:val="009D69B9"/>
    <w:rsid w:val="009F3525"/>
    <w:rsid w:val="00A124A1"/>
    <w:rsid w:val="00A15771"/>
    <w:rsid w:val="00A22ECE"/>
    <w:rsid w:val="00A234BA"/>
    <w:rsid w:val="00A31F5A"/>
    <w:rsid w:val="00A50042"/>
    <w:rsid w:val="00A55DD7"/>
    <w:rsid w:val="00A57620"/>
    <w:rsid w:val="00A83E7A"/>
    <w:rsid w:val="00A851AD"/>
    <w:rsid w:val="00A85F16"/>
    <w:rsid w:val="00A97E2B"/>
    <w:rsid w:val="00AB5B65"/>
    <w:rsid w:val="00AC1069"/>
    <w:rsid w:val="00AD1189"/>
    <w:rsid w:val="00AD278E"/>
    <w:rsid w:val="00AD645D"/>
    <w:rsid w:val="00AD755E"/>
    <w:rsid w:val="00AE30B1"/>
    <w:rsid w:val="00AE3679"/>
    <w:rsid w:val="00AE6C80"/>
    <w:rsid w:val="00AE7127"/>
    <w:rsid w:val="00AF0EFA"/>
    <w:rsid w:val="00AF4582"/>
    <w:rsid w:val="00AF6ABE"/>
    <w:rsid w:val="00B07D36"/>
    <w:rsid w:val="00B100F8"/>
    <w:rsid w:val="00B10238"/>
    <w:rsid w:val="00B13569"/>
    <w:rsid w:val="00B136AC"/>
    <w:rsid w:val="00B215DD"/>
    <w:rsid w:val="00B2763A"/>
    <w:rsid w:val="00B3507E"/>
    <w:rsid w:val="00B37B24"/>
    <w:rsid w:val="00B416CE"/>
    <w:rsid w:val="00B42746"/>
    <w:rsid w:val="00B4329B"/>
    <w:rsid w:val="00B51040"/>
    <w:rsid w:val="00B67562"/>
    <w:rsid w:val="00B716CE"/>
    <w:rsid w:val="00B74195"/>
    <w:rsid w:val="00B86048"/>
    <w:rsid w:val="00B87616"/>
    <w:rsid w:val="00B87842"/>
    <w:rsid w:val="00B93BC8"/>
    <w:rsid w:val="00B97A93"/>
    <w:rsid w:val="00BB64AF"/>
    <w:rsid w:val="00BC2574"/>
    <w:rsid w:val="00BD7D2A"/>
    <w:rsid w:val="00BE324C"/>
    <w:rsid w:val="00BE3822"/>
    <w:rsid w:val="00BE4104"/>
    <w:rsid w:val="00BE5A22"/>
    <w:rsid w:val="00BE7F64"/>
    <w:rsid w:val="00BF3A58"/>
    <w:rsid w:val="00C02C37"/>
    <w:rsid w:val="00C1304E"/>
    <w:rsid w:val="00C23C70"/>
    <w:rsid w:val="00C31763"/>
    <w:rsid w:val="00C34FCC"/>
    <w:rsid w:val="00C42859"/>
    <w:rsid w:val="00C42A0E"/>
    <w:rsid w:val="00C55256"/>
    <w:rsid w:val="00C71A91"/>
    <w:rsid w:val="00C7302B"/>
    <w:rsid w:val="00C741F5"/>
    <w:rsid w:val="00CA166B"/>
    <w:rsid w:val="00CA3BE8"/>
    <w:rsid w:val="00CA56A8"/>
    <w:rsid w:val="00CA7DBB"/>
    <w:rsid w:val="00CB41CF"/>
    <w:rsid w:val="00CC014A"/>
    <w:rsid w:val="00CC6A6B"/>
    <w:rsid w:val="00CD4C93"/>
    <w:rsid w:val="00CD5D4C"/>
    <w:rsid w:val="00CD7217"/>
    <w:rsid w:val="00CE2133"/>
    <w:rsid w:val="00CF5CE5"/>
    <w:rsid w:val="00D02B00"/>
    <w:rsid w:val="00D1219C"/>
    <w:rsid w:val="00D13E5F"/>
    <w:rsid w:val="00D1612C"/>
    <w:rsid w:val="00D263D0"/>
    <w:rsid w:val="00D3143E"/>
    <w:rsid w:val="00D35999"/>
    <w:rsid w:val="00D375CE"/>
    <w:rsid w:val="00D416E6"/>
    <w:rsid w:val="00D5446E"/>
    <w:rsid w:val="00D61969"/>
    <w:rsid w:val="00D62190"/>
    <w:rsid w:val="00D82580"/>
    <w:rsid w:val="00D87172"/>
    <w:rsid w:val="00D90177"/>
    <w:rsid w:val="00DB5DD8"/>
    <w:rsid w:val="00DC0F89"/>
    <w:rsid w:val="00DD0EF1"/>
    <w:rsid w:val="00DD5F4C"/>
    <w:rsid w:val="00DF02D2"/>
    <w:rsid w:val="00DF3BBC"/>
    <w:rsid w:val="00E26DFA"/>
    <w:rsid w:val="00E338BE"/>
    <w:rsid w:val="00E3528E"/>
    <w:rsid w:val="00E40F31"/>
    <w:rsid w:val="00E439FD"/>
    <w:rsid w:val="00E702C7"/>
    <w:rsid w:val="00E723EF"/>
    <w:rsid w:val="00E8192E"/>
    <w:rsid w:val="00E83DF9"/>
    <w:rsid w:val="00E869F8"/>
    <w:rsid w:val="00E86F6A"/>
    <w:rsid w:val="00E90B3D"/>
    <w:rsid w:val="00E94AE4"/>
    <w:rsid w:val="00EA066A"/>
    <w:rsid w:val="00EB367E"/>
    <w:rsid w:val="00EB6481"/>
    <w:rsid w:val="00EC1D91"/>
    <w:rsid w:val="00ED58EF"/>
    <w:rsid w:val="00EF2586"/>
    <w:rsid w:val="00EF5B35"/>
    <w:rsid w:val="00F00325"/>
    <w:rsid w:val="00F00693"/>
    <w:rsid w:val="00F0665F"/>
    <w:rsid w:val="00F168D6"/>
    <w:rsid w:val="00F42273"/>
    <w:rsid w:val="00F52DE2"/>
    <w:rsid w:val="00F5487F"/>
    <w:rsid w:val="00F55DB9"/>
    <w:rsid w:val="00F64409"/>
    <w:rsid w:val="00F650FE"/>
    <w:rsid w:val="00F72CCA"/>
    <w:rsid w:val="00F734D4"/>
    <w:rsid w:val="00F7581A"/>
    <w:rsid w:val="00FA3AD7"/>
    <w:rsid w:val="00FA40A4"/>
    <w:rsid w:val="00FA7B85"/>
    <w:rsid w:val="00FB1401"/>
    <w:rsid w:val="00FC226A"/>
    <w:rsid w:val="00FC28D8"/>
    <w:rsid w:val="00FF176E"/>
    <w:rsid w:val="00FF2AED"/>
    <w:rsid w:val="00FF3FBC"/>
    <w:rsid w:val="00FF6C0B"/>
    <w:rsid w:val="00FF7B24"/>
    <w:rsid w:val="042177FF"/>
    <w:rsid w:val="1580DEBA"/>
    <w:rsid w:val="2516C29D"/>
    <w:rsid w:val="3C543F3E"/>
    <w:rsid w:val="3C7D0EDB"/>
    <w:rsid w:val="41F7A3DE"/>
    <w:rsid w:val="496E9595"/>
    <w:rsid w:val="4B0DC81A"/>
    <w:rsid w:val="58A1DAD8"/>
    <w:rsid w:val="58E8C5E4"/>
    <w:rsid w:val="60C076C9"/>
    <w:rsid w:val="79C025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A6338"/>
  <w14:defaultImageDpi w14:val="32767"/>
  <w15:chartTrackingRefBased/>
  <w15:docId w15:val="{F634FE89-E3A5-4D9B-B714-8F773988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6386"/>
    <w:rPr>
      <w:rFonts w:ascii="Times New Roman" w:eastAsia="MS Mincho" w:hAnsi="Times New Roman" w:cs="Times New Roman"/>
      <w:lang w:val="es-ES" w:eastAsia="en-US"/>
    </w:rPr>
  </w:style>
  <w:style w:type="paragraph" w:styleId="Heading4">
    <w:name w:val="heading 4"/>
    <w:basedOn w:val="Normal"/>
    <w:link w:val="Heading4Char"/>
    <w:uiPriority w:val="9"/>
    <w:qFormat/>
    <w:rsid w:val="00390DA1"/>
    <w:pPr>
      <w:spacing w:before="100" w:beforeAutospacing="1" w:after="100" w:afterAutospacing="1"/>
      <w:outlineLvl w:val="3"/>
    </w:pPr>
    <w:rPr>
      <w:rFonts w:eastAsia="Times New Roman"/>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362B75"/>
    <w:pPr>
      <w:tabs>
        <w:tab w:val="center" w:pos="4680"/>
        <w:tab w:val="right" w:pos="9360"/>
      </w:tabs>
    </w:pPr>
  </w:style>
  <w:style w:type="character" w:customStyle="1" w:styleId="HeaderChar">
    <w:name w:val="Header Char"/>
    <w:aliases w:val="encabezado Char"/>
    <w:basedOn w:val="DefaultParagraphFont"/>
    <w:link w:val="Header"/>
    <w:uiPriority w:val="99"/>
    <w:rsid w:val="00362B75"/>
  </w:style>
  <w:style w:type="paragraph" w:styleId="Footer">
    <w:name w:val="footer"/>
    <w:basedOn w:val="Normal"/>
    <w:link w:val="FooterChar"/>
    <w:uiPriority w:val="99"/>
    <w:unhideWhenUsed/>
    <w:rsid w:val="00362B75"/>
    <w:pPr>
      <w:tabs>
        <w:tab w:val="center" w:pos="4680"/>
        <w:tab w:val="right" w:pos="9360"/>
      </w:tabs>
    </w:pPr>
  </w:style>
  <w:style w:type="character" w:customStyle="1" w:styleId="FooterChar">
    <w:name w:val="Footer Char"/>
    <w:basedOn w:val="DefaultParagraphFont"/>
    <w:link w:val="Footer"/>
    <w:uiPriority w:val="99"/>
    <w:rsid w:val="00362B75"/>
  </w:style>
  <w:style w:type="paragraph" w:styleId="BodyText">
    <w:name w:val="Body Text"/>
    <w:basedOn w:val="Normal"/>
    <w:link w:val="BodyTextChar"/>
    <w:rsid w:val="00362B75"/>
    <w:pPr>
      <w:spacing w:after="120"/>
    </w:pPr>
    <w:rPr>
      <w:rFonts w:eastAsia="Times New Roman"/>
      <w:lang w:val="en-US"/>
    </w:rPr>
  </w:style>
  <w:style w:type="character" w:customStyle="1" w:styleId="BodyTextChar">
    <w:name w:val="Body Text Char"/>
    <w:basedOn w:val="DefaultParagraphFont"/>
    <w:link w:val="BodyText"/>
    <w:rsid w:val="00362B75"/>
    <w:rPr>
      <w:rFonts w:ascii="Times New Roman" w:eastAsia="Times New Roman" w:hAnsi="Times New Roman" w:cs="Times New Roman"/>
      <w:lang w:eastAsia="en-US"/>
    </w:rPr>
  </w:style>
  <w:style w:type="character" w:styleId="PageNumber">
    <w:name w:val="page number"/>
    <w:basedOn w:val="DefaultParagraphFont"/>
    <w:rsid w:val="00362B75"/>
  </w:style>
  <w:style w:type="paragraph" w:styleId="ListParagraph">
    <w:name w:val="List Paragraph"/>
    <w:basedOn w:val="Normal"/>
    <w:uiPriority w:val="34"/>
    <w:qFormat/>
    <w:rsid w:val="009520F2"/>
    <w:pPr>
      <w:ind w:left="720"/>
      <w:contextualSpacing/>
    </w:pPr>
  </w:style>
  <w:style w:type="paragraph" w:styleId="BodyText2">
    <w:name w:val="Body Text 2"/>
    <w:basedOn w:val="Normal"/>
    <w:link w:val="BodyText2Char"/>
    <w:uiPriority w:val="99"/>
    <w:semiHidden/>
    <w:unhideWhenUsed/>
    <w:rsid w:val="0012225A"/>
    <w:pPr>
      <w:spacing w:after="120" w:line="480" w:lineRule="auto"/>
    </w:pPr>
  </w:style>
  <w:style w:type="character" w:customStyle="1" w:styleId="BodyText2Char">
    <w:name w:val="Body Text 2 Char"/>
    <w:basedOn w:val="DefaultParagraphFont"/>
    <w:link w:val="BodyText2"/>
    <w:uiPriority w:val="99"/>
    <w:semiHidden/>
    <w:rsid w:val="0012225A"/>
    <w:rPr>
      <w:rFonts w:ascii="Times New Roman" w:eastAsia="MS Mincho" w:hAnsi="Times New Roman" w:cs="Times New Roman"/>
      <w:lang w:val="es-ES" w:eastAsia="en-US"/>
    </w:rPr>
  </w:style>
  <w:style w:type="paragraph" w:styleId="FootnoteText">
    <w:name w:val="footnote text"/>
    <w:basedOn w:val="Normal"/>
    <w:link w:val="FootnoteTextChar"/>
    <w:semiHidden/>
    <w:rsid w:val="003B4FEA"/>
    <w:rPr>
      <w:rFonts w:eastAsia="SimSun"/>
      <w:sz w:val="20"/>
      <w:szCs w:val="20"/>
      <w:lang w:val="en-US"/>
    </w:rPr>
  </w:style>
  <w:style w:type="character" w:customStyle="1" w:styleId="FootnoteTextChar">
    <w:name w:val="Footnote Text Char"/>
    <w:basedOn w:val="DefaultParagraphFont"/>
    <w:link w:val="FootnoteText"/>
    <w:semiHidden/>
    <w:rsid w:val="003B4FEA"/>
    <w:rPr>
      <w:rFonts w:ascii="Times New Roman" w:eastAsia="SimSun" w:hAnsi="Times New Roman" w:cs="Times New Roman"/>
      <w:sz w:val="20"/>
      <w:szCs w:val="20"/>
      <w:lang w:eastAsia="en-US"/>
    </w:rPr>
  </w:style>
  <w:style w:type="character" w:styleId="FootnoteReference">
    <w:name w:val="footnote reference"/>
    <w:semiHidden/>
    <w:rsid w:val="003B4FEA"/>
    <w:rPr>
      <w:vertAlign w:val="superscript"/>
    </w:rPr>
  </w:style>
  <w:style w:type="character" w:styleId="Emphasis">
    <w:name w:val="Emphasis"/>
    <w:basedOn w:val="DefaultParagraphFont"/>
    <w:uiPriority w:val="20"/>
    <w:qFormat/>
    <w:rsid w:val="00390DA1"/>
    <w:rPr>
      <w:i/>
      <w:iCs/>
    </w:rPr>
  </w:style>
  <w:style w:type="character" w:customStyle="1" w:styleId="Heading4Char">
    <w:name w:val="Heading 4 Char"/>
    <w:basedOn w:val="DefaultParagraphFont"/>
    <w:link w:val="Heading4"/>
    <w:uiPriority w:val="9"/>
    <w:rsid w:val="00390DA1"/>
    <w:rPr>
      <w:rFonts w:ascii="Times New Roman" w:eastAsia="Times New Roman" w:hAnsi="Times New Roman" w:cs="Times New Roman"/>
      <w:b/>
      <w:bCs/>
      <w:lang w:val="es-MX" w:eastAsia="es-MX"/>
    </w:rPr>
  </w:style>
  <w:style w:type="character" w:styleId="Hyperlink">
    <w:name w:val="Hyperlink"/>
    <w:basedOn w:val="DefaultParagraphFont"/>
    <w:uiPriority w:val="99"/>
    <w:semiHidden/>
    <w:unhideWhenUsed/>
    <w:rsid w:val="00390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974195">
      <w:bodyDiv w:val="1"/>
      <w:marLeft w:val="0"/>
      <w:marRight w:val="0"/>
      <w:marTop w:val="0"/>
      <w:marBottom w:val="0"/>
      <w:divBdr>
        <w:top w:val="none" w:sz="0" w:space="0" w:color="auto"/>
        <w:left w:val="none" w:sz="0" w:space="0" w:color="auto"/>
        <w:bottom w:val="none" w:sz="0" w:space="0" w:color="auto"/>
        <w:right w:val="none" w:sz="0" w:space="0" w:color="auto"/>
      </w:divBdr>
    </w:div>
    <w:div w:id="908461054">
      <w:bodyDiv w:val="1"/>
      <w:marLeft w:val="0"/>
      <w:marRight w:val="0"/>
      <w:marTop w:val="0"/>
      <w:marBottom w:val="0"/>
      <w:divBdr>
        <w:top w:val="none" w:sz="0" w:space="0" w:color="auto"/>
        <w:left w:val="none" w:sz="0" w:space="0" w:color="auto"/>
        <w:bottom w:val="none" w:sz="0" w:space="0" w:color="auto"/>
        <w:right w:val="none" w:sz="0" w:space="0" w:color="auto"/>
      </w:divBdr>
    </w:div>
    <w:div w:id="1363749711">
      <w:bodyDiv w:val="1"/>
      <w:marLeft w:val="0"/>
      <w:marRight w:val="0"/>
      <w:marTop w:val="0"/>
      <w:marBottom w:val="0"/>
      <w:divBdr>
        <w:top w:val="none" w:sz="0" w:space="0" w:color="auto"/>
        <w:left w:val="none" w:sz="0" w:space="0" w:color="auto"/>
        <w:bottom w:val="none" w:sz="0" w:space="0" w:color="auto"/>
        <w:right w:val="none" w:sz="0" w:space="0" w:color="auto"/>
      </w:divBdr>
    </w:div>
    <w:div w:id="1427506650">
      <w:bodyDiv w:val="1"/>
      <w:marLeft w:val="0"/>
      <w:marRight w:val="0"/>
      <w:marTop w:val="0"/>
      <w:marBottom w:val="0"/>
      <w:divBdr>
        <w:top w:val="none" w:sz="0" w:space="0" w:color="auto"/>
        <w:left w:val="none" w:sz="0" w:space="0" w:color="auto"/>
        <w:bottom w:val="none" w:sz="0" w:space="0" w:color="auto"/>
        <w:right w:val="none" w:sz="0" w:space="0" w:color="auto"/>
      </w:divBdr>
    </w:div>
    <w:div w:id="1447432261">
      <w:bodyDiv w:val="1"/>
      <w:marLeft w:val="0"/>
      <w:marRight w:val="0"/>
      <w:marTop w:val="0"/>
      <w:marBottom w:val="0"/>
      <w:divBdr>
        <w:top w:val="none" w:sz="0" w:space="0" w:color="auto"/>
        <w:left w:val="none" w:sz="0" w:space="0" w:color="auto"/>
        <w:bottom w:val="none" w:sz="0" w:space="0" w:color="auto"/>
        <w:right w:val="none" w:sz="0" w:space="0" w:color="auto"/>
      </w:divBdr>
    </w:div>
    <w:div w:id="1874029052">
      <w:bodyDiv w:val="1"/>
      <w:marLeft w:val="0"/>
      <w:marRight w:val="0"/>
      <w:marTop w:val="0"/>
      <w:marBottom w:val="0"/>
      <w:divBdr>
        <w:top w:val="none" w:sz="0" w:space="0" w:color="auto"/>
        <w:left w:val="none" w:sz="0" w:space="0" w:color="auto"/>
        <w:bottom w:val="none" w:sz="0" w:space="0" w:color="auto"/>
        <w:right w:val="none" w:sz="0" w:space="0" w:color="auto"/>
      </w:divBdr>
    </w:div>
    <w:div w:id="1969316077">
      <w:bodyDiv w:val="1"/>
      <w:marLeft w:val="0"/>
      <w:marRight w:val="0"/>
      <w:marTop w:val="0"/>
      <w:marBottom w:val="0"/>
      <w:divBdr>
        <w:top w:val="none" w:sz="0" w:space="0" w:color="auto"/>
        <w:left w:val="none" w:sz="0" w:space="0" w:color="auto"/>
        <w:bottom w:val="none" w:sz="0" w:space="0" w:color="auto"/>
        <w:right w:val="none" w:sz="0" w:space="0" w:color="auto"/>
      </w:divBdr>
    </w:div>
    <w:div w:id="19715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6A4DF5-6CF5-4802-A6BB-6EFFACD3A67C}">
  <ds:schemaRefs>
    <ds:schemaRef ds:uri="http://schemas.microsoft.com/sharepoint/v3/contenttype/forms"/>
  </ds:schemaRefs>
</ds:datastoreItem>
</file>

<file path=customXml/itemProps2.xml><?xml version="1.0" encoding="utf-8"?>
<ds:datastoreItem xmlns:ds="http://schemas.openxmlformats.org/officeDocument/2006/customXml" ds:itemID="{AC25671B-F411-44E6-9D8A-D05222A9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659CC-1AAE-4E88-B472-196C421A24BF}">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2467</Words>
  <Characters>14062</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Hidalgo Sola, Azul Maria</dc:creator>
  <cp:keywords/>
  <dc:description/>
  <cp:lastModifiedBy>Camacho, Maria Claudia</cp:lastModifiedBy>
  <cp:revision>24</cp:revision>
  <dcterms:created xsi:type="dcterms:W3CDTF">2023-09-17T19:33:00Z</dcterms:created>
  <dcterms:modified xsi:type="dcterms:W3CDTF">2023-09-19T12:27:00Z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