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94BA" w14:textId="77777777" w:rsidR="002949E5" w:rsidRPr="007D1643" w:rsidRDefault="002949E5" w:rsidP="00E07D06">
      <w:pPr>
        <w:ind w:left="426" w:hanging="426"/>
        <w:jc w:val="center"/>
        <w:rPr>
          <w:rFonts w:ascii="Cambria" w:eastAsia="Cambria" w:hAnsi="Cambria" w:cs="Cambria"/>
          <w:b/>
          <w:bCs/>
          <w:sz w:val="32"/>
          <w:szCs w:val="32"/>
        </w:rPr>
      </w:pPr>
    </w:p>
    <w:p w14:paraId="4893AD1E" w14:textId="7F49E773" w:rsidR="00D5018B" w:rsidRDefault="7FEC63AF" w:rsidP="00E07D06">
      <w:pPr>
        <w:ind w:left="426" w:hanging="426"/>
        <w:jc w:val="center"/>
        <w:rPr>
          <w:rFonts w:ascii="Cambria" w:eastAsia="Cambria" w:hAnsi="Cambria" w:cs="Cambria"/>
          <w:b/>
          <w:sz w:val="32"/>
          <w:szCs w:val="32"/>
        </w:rPr>
      </w:pPr>
      <w:r w:rsidRPr="002574EC">
        <w:rPr>
          <w:rFonts w:ascii="Cambria" w:eastAsia="Cambria" w:hAnsi="Cambria" w:cs="Cambria"/>
          <w:b/>
          <w:bCs/>
          <w:sz w:val="32"/>
          <w:szCs w:val="32"/>
        </w:rPr>
        <w:t>C</w:t>
      </w:r>
      <w:r w:rsidR="007D1643" w:rsidRPr="002574EC">
        <w:rPr>
          <w:rFonts w:ascii="Cambria" w:eastAsia="Cambria" w:hAnsi="Cambria" w:cs="Cambria"/>
          <w:b/>
          <w:bCs/>
          <w:sz w:val="32"/>
          <w:szCs w:val="32"/>
        </w:rPr>
        <w:t xml:space="preserve">HAPTER </w:t>
      </w:r>
      <w:r w:rsidR="00DF17A1" w:rsidRPr="002574EC">
        <w:rPr>
          <w:rFonts w:ascii="Cambria" w:eastAsia="Cambria" w:hAnsi="Cambria" w:cs="Cambria"/>
          <w:b/>
          <w:sz w:val="32"/>
          <w:szCs w:val="32"/>
        </w:rPr>
        <w:t xml:space="preserve">IV.B </w:t>
      </w:r>
    </w:p>
    <w:p w14:paraId="51412794" w14:textId="77777777" w:rsidR="00F85814" w:rsidRPr="002574EC" w:rsidRDefault="00F85814" w:rsidP="00E07D06">
      <w:pPr>
        <w:ind w:left="426" w:hanging="426"/>
        <w:jc w:val="center"/>
        <w:rPr>
          <w:rFonts w:ascii="Cambria" w:eastAsia="Cambria" w:hAnsi="Cambria" w:cs="Cambria"/>
          <w:b/>
          <w:sz w:val="32"/>
          <w:szCs w:val="32"/>
        </w:rPr>
      </w:pPr>
    </w:p>
    <w:p w14:paraId="52E99BAA" w14:textId="6D469A20" w:rsidR="00DF17A1" w:rsidRPr="002574EC" w:rsidRDefault="00DF17A1" w:rsidP="00E07D06">
      <w:pPr>
        <w:ind w:left="426" w:hanging="426"/>
        <w:jc w:val="center"/>
        <w:rPr>
          <w:rFonts w:ascii="Cambria" w:eastAsia="Cambria" w:hAnsi="Cambria" w:cs="Cambria"/>
          <w:b/>
          <w:sz w:val="32"/>
          <w:szCs w:val="32"/>
        </w:rPr>
      </w:pPr>
      <w:r w:rsidRPr="002574EC">
        <w:rPr>
          <w:rFonts w:ascii="Cambria" w:eastAsia="Cambria" w:hAnsi="Cambria" w:cs="Cambria"/>
          <w:b/>
          <w:sz w:val="32"/>
          <w:szCs w:val="32"/>
        </w:rPr>
        <w:t>VENEZUELA</w:t>
      </w:r>
    </w:p>
    <w:p w14:paraId="5CFFAD9F" w14:textId="77777777" w:rsidR="001136B9" w:rsidRPr="002574EC" w:rsidRDefault="001136B9" w:rsidP="00E07D06">
      <w:pPr>
        <w:ind w:left="426" w:hanging="426"/>
        <w:rPr>
          <w:rFonts w:ascii="Cambria" w:eastAsia="Cambria" w:hAnsi="Cambria" w:cs="Cambria"/>
          <w:b/>
          <w:sz w:val="32"/>
          <w:szCs w:val="28"/>
        </w:rPr>
      </w:pPr>
    </w:p>
    <w:p w14:paraId="1EEDBE65" w14:textId="6A9C000E" w:rsidR="00DF17A1" w:rsidRPr="00F85814" w:rsidRDefault="00DF17A1" w:rsidP="00F85814">
      <w:pPr>
        <w:pStyle w:val="Heading1"/>
      </w:pPr>
      <w:r w:rsidRPr="00F85814">
        <w:t>INTRODUC</w:t>
      </w:r>
      <w:r w:rsidR="007D1643" w:rsidRPr="00F85814">
        <w:t>TIO</w:t>
      </w:r>
      <w:r w:rsidRPr="00F85814">
        <w:t>N</w:t>
      </w:r>
    </w:p>
    <w:p w14:paraId="2B4EDEE5" w14:textId="51DECF44" w:rsidR="008463D3" w:rsidRPr="002574EC" w:rsidRDefault="008463D3" w:rsidP="00E07D06">
      <w:pPr>
        <w:pBdr>
          <w:top w:val="nil"/>
          <w:left w:val="nil"/>
          <w:bottom w:val="nil"/>
          <w:right w:val="nil"/>
          <w:between w:val="nil"/>
        </w:pBdr>
        <w:ind w:left="426" w:hanging="426"/>
        <w:jc w:val="both"/>
        <w:rPr>
          <w:rFonts w:ascii="Cambria" w:eastAsia="Cambria" w:hAnsi="Cambria" w:cs="Cambria"/>
          <w:color w:val="000000"/>
          <w:sz w:val="20"/>
          <w:szCs w:val="20"/>
        </w:rPr>
      </w:pPr>
    </w:p>
    <w:p w14:paraId="4053A060" w14:textId="7C3E772A" w:rsidR="009C2E09" w:rsidRPr="002574EC" w:rsidRDefault="00F0312D" w:rsidP="00F85814">
      <w:pPr>
        <w:pStyle w:val="ListParagraph"/>
      </w:pPr>
      <w:r w:rsidRPr="002574EC">
        <w:t>During</w:t>
      </w:r>
      <w:r w:rsidR="007D1643" w:rsidRPr="002574EC">
        <w:t xml:space="preserve"> </w:t>
      </w:r>
      <w:r w:rsidR="00DF17A1" w:rsidRPr="002574EC">
        <w:t xml:space="preserve">2021, </w:t>
      </w:r>
      <w:r w:rsidR="00E508E4" w:rsidRPr="002574EC">
        <w:t>the Inter-American Commission on Human Rights (</w:t>
      </w:r>
      <w:r w:rsidRPr="002574EC">
        <w:t>hereinafter, “</w:t>
      </w:r>
      <w:r w:rsidR="00E508E4" w:rsidRPr="002574EC">
        <w:t>the IACHR,</w:t>
      </w:r>
      <w:r w:rsidRPr="002574EC">
        <w:t>”</w:t>
      </w:r>
      <w:r w:rsidR="00E508E4" w:rsidRPr="002574EC">
        <w:t xml:space="preserve"> </w:t>
      </w:r>
      <w:r w:rsidRPr="002574EC">
        <w:t>“</w:t>
      </w:r>
      <w:r w:rsidR="00E508E4" w:rsidRPr="002574EC">
        <w:t>the Commission</w:t>
      </w:r>
      <w:r w:rsidRPr="002574EC">
        <w:t>”</w:t>
      </w:r>
      <w:r w:rsidR="00E508E4" w:rsidRPr="002574EC">
        <w:t xml:space="preserve"> or</w:t>
      </w:r>
      <w:r w:rsidRPr="002574EC">
        <w:t xml:space="preserve"> “</w:t>
      </w:r>
      <w:r w:rsidR="00E508E4" w:rsidRPr="002574EC">
        <w:t xml:space="preserve">the </w:t>
      </w:r>
      <w:r w:rsidR="00E508E4" w:rsidRPr="00F85814">
        <w:t>Inter</w:t>
      </w:r>
      <w:r w:rsidR="00E508E4" w:rsidRPr="002574EC">
        <w:t>-American Commission</w:t>
      </w:r>
      <w:r w:rsidRPr="002574EC">
        <w:t>”</w:t>
      </w:r>
      <w:r w:rsidR="00E508E4" w:rsidRPr="002574EC">
        <w:t xml:space="preserve">) </w:t>
      </w:r>
      <w:r w:rsidRPr="002574EC">
        <w:t>continued to monitor the dire human rights situation in Venezuela</w:t>
      </w:r>
      <w:r w:rsidR="0003578A" w:rsidRPr="002574EC">
        <w:t xml:space="preserve">. In this regard, it observed </w:t>
      </w:r>
      <w:r w:rsidR="00ED35FD" w:rsidRPr="002574EC">
        <w:t>that the</w:t>
      </w:r>
      <w:r w:rsidR="00032A3C" w:rsidRPr="002574EC">
        <w:t xml:space="preserve"> deepening crisis of </w:t>
      </w:r>
      <w:r w:rsidR="00ED35FD" w:rsidRPr="002574EC">
        <w:t>democratic institutions</w:t>
      </w:r>
      <w:r w:rsidR="001265C0" w:rsidRPr="002574EC">
        <w:t xml:space="preserve"> </w:t>
      </w:r>
      <w:r w:rsidR="000E4198" w:rsidRPr="002574EC">
        <w:t xml:space="preserve">resulting from </w:t>
      </w:r>
      <w:r w:rsidR="00EE1BA0" w:rsidRPr="002574EC">
        <w:t xml:space="preserve">executive branch </w:t>
      </w:r>
      <w:r w:rsidR="0018541F" w:rsidRPr="002574EC">
        <w:t xml:space="preserve">interference </w:t>
      </w:r>
      <w:r w:rsidR="00EE1BA0" w:rsidRPr="002574EC">
        <w:t xml:space="preserve">in the other branches </w:t>
      </w:r>
      <w:r w:rsidR="00B22AAE" w:rsidRPr="002574EC">
        <w:t xml:space="preserve">of government </w:t>
      </w:r>
      <w:r w:rsidR="000E4198" w:rsidRPr="002574EC">
        <w:t xml:space="preserve">persists and </w:t>
      </w:r>
      <w:r w:rsidR="00EE1BA0" w:rsidRPr="002574EC">
        <w:t xml:space="preserve">has </w:t>
      </w:r>
      <w:r w:rsidR="00FC5030" w:rsidRPr="002574EC">
        <w:t>done away with the rule of law.</w:t>
      </w:r>
    </w:p>
    <w:p w14:paraId="633C5272" w14:textId="77777777" w:rsidR="009C2E09" w:rsidRPr="002574EC" w:rsidRDefault="009C2E09" w:rsidP="00EA607E">
      <w:pPr>
        <w:pStyle w:val="ListParagraph"/>
        <w:numPr>
          <w:ilvl w:val="0"/>
          <w:numId w:val="0"/>
        </w:numPr>
        <w:ind w:left="720"/>
      </w:pPr>
    </w:p>
    <w:p w14:paraId="1D9F96D3" w14:textId="1B1E1E01" w:rsidR="009C2E09" w:rsidRPr="002574EC" w:rsidRDefault="0022266A" w:rsidP="00F85814">
      <w:pPr>
        <w:pStyle w:val="ListParagraph"/>
        <w:rPr>
          <w:lang w:eastAsia="en-US"/>
        </w:rPr>
      </w:pPr>
      <w:r w:rsidRPr="002574EC">
        <w:rPr>
          <w:lang w:eastAsia="en-US"/>
        </w:rPr>
        <w:t>T</w:t>
      </w:r>
      <w:r w:rsidR="00014D33" w:rsidRPr="002574EC">
        <w:rPr>
          <w:lang w:eastAsia="en-US"/>
        </w:rPr>
        <w:t xml:space="preserve">he Inter-American Commission </w:t>
      </w:r>
      <w:r w:rsidR="00FD42B4" w:rsidRPr="002574EC">
        <w:rPr>
          <w:lang w:eastAsia="en-US"/>
        </w:rPr>
        <w:t>finds</w:t>
      </w:r>
      <w:r w:rsidRPr="002574EC">
        <w:rPr>
          <w:lang w:eastAsia="en-US"/>
        </w:rPr>
        <w:t xml:space="preserve"> in general</w:t>
      </w:r>
      <w:r w:rsidR="00FD42B4" w:rsidRPr="002574EC">
        <w:rPr>
          <w:lang w:eastAsia="en-US"/>
        </w:rPr>
        <w:t xml:space="preserve"> that </w:t>
      </w:r>
      <w:r w:rsidR="00150F2C" w:rsidRPr="002574EC">
        <w:rPr>
          <w:lang w:eastAsia="en-US"/>
        </w:rPr>
        <w:t xml:space="preserve">Venezuela has been stripped of the </w:t>
      </w:r>
      <w:r w:rsidR="00BE2B89" w:rsidRPr="002574EC">
        <w:rPr>
          <w:lang w:eastAsia="en-US"/>
        </w:rPr>
        <w:t xml:space="preserve">core </w:t>
      </w:r>
      <w:r w:rsidR="004556C5" w:rsidRPr="002574EC">
        <w:rPr>
          <w:lang w:eastAsia="en-US"/>
        </w:rPr>
        <w:t>elements</w:t>
      </w:r>
      <w:r w:rsidR="00B5205C" w:rsidRPr="002574EC">
        <w:rPr>
          <w:lang w:eastAsia="en-US"/>
        </w:rPr>
        <w:t xml:space="preserve"> of representative democracy</w:t>
      </w:r>
      <w:r w:rsidR="00762E7D" w:rsidRPr="002574EC">
        <w:rPr>
          <w:lang w:eastAsia="en-US"/>
        </w:rPr>
        <w:t>.</w:t>
      </w:r>
      <w:r w:rsidR="00326CA0" w:rsidRPr="002574EC">
        <w:rPr>
          <w:lang w:eastAsia="en-US"/>
        </w:rPr>
        <w:t xml:space="preserve"> </w:t>
      </w:r>
      <w:r w:rsidR="00D830EF" w:rsidRPr="002574EC">
        <w:rPr>
          <w:lang w:eastAsia="en-US"/>
        </w:rPr>
        <w:t xml:space="preserve"> </w:t>
      </w:r>
      <w:r w:rsidR="000C7486" w:rsidRPr="002574EC">
        <w:rPr>
          <w:lang w:eastAsia="en-US"/>
        </w:rPr>
        <w:t>Thus</w:t>
      </w:r>
      <w:r w:rsidR="00D830EF" w:rsidRPr="002574EC">
        <w:rPr>
          <w:lang w:eastAsia="en-US"/>
        </w:rPr>
        <w:t>, the IACHR underscores that</w:t>
      </w:r>
      <w:r w:rsidR="00307679" w:rsidRPr="002574EC">
        <w:rPr>
          <w:lang w:eastAsia="en-US"/>
        </w:rPr>
        <w:t xml:space="preserve"> </w:t>
      </w:r>
      <w:r w:rsidR="00D830EF" w:rsidRPr="002574EC">
        <w:rPr>
          <w:lang w:eastAsia="en-US"/>
        </w:rPr>
        <w:t xml:space="preserve">democratic institutions </w:t>
      </w:r>
      <w:r w:rsidR="00776D50" w:rsidRPr="002574EC">
        <w:rPr>
          <w:lang w:eastAsia="en-US"/>
        </w:rPr>
        <w:t>in the country</w:t>
      </w:r>
      <w:r w:rsidR="006554BF" w:rsidRPr="002574EC">
        <w:rPr>
          <w:lang w:eastAsia="en-US"/>
        </w:rPr>
        <w:t xml:space="preserve"> </w:t>
      </w:r>
      <w:r w:rsidR="00307679" w:rsidRPr="002574EC">
        <w:rPr>
          <w:lang w:eastAsia="en-US"/>
        </w:rPr>
        <w:t>are not guided by the</w:t>
      </w:r>
      <w:r w:rsidR="004C418E" w:rsidRPr="002574EC">
        <w:rPr>
          <w:lang w:eastAsia="en-US"/>
        </w:rPr>
        <w:t xml:space="preserve"> principles of</w:t>
      </w:r>
      <w:r w:rsidR="00307679" w:rsidRPr="002574EC">
        <w:rPr>
          <w:lang w:eastAsia="en-US"/>
        </w:rPr>
        <w:t xml:space="preserve"> </w:t>
      </w:r>
      <w:r w:rsidR="004C418E" w:rsidRPr="002574EC">
        <w:rPr>
          <w:lang w:eastAsia="en-US"/>
        </w:rPr>
        <w:t xml:space="preserve">the </w:t>
      </w:r>
      <w:r w:rsidR="00307679" w:rsidRPr="002574EC">
        <w:rPr>
          <w:lang w:eastAsia="en-US"/>
        </w:rPr>
        <w:t>separation of powers</w:t>
      </w:r>
      <w:r w:rsidR="005D6CF2" w:rsidRPr="002574EC">
        <w:rPr>
          <w:lang w:eastAsia="en-US"/>
        </w:rPr>
        <w:t xml:space="preserve"> and checks and balances</w:t>
      </w:r>
      <w:r w:rsidR="00307679" w:rsidRPr="002574EC">
        <w:rPr>
          <w:lang w:eastAsia="en-US"/>
        </w:rPr>
        <w:t xml:space="preserve">. </w:t>
      </w:r>
      <w:r w:rsidR="000629BB" w:rsidRPr="002574EC">
        <w:rPr>
          <w:lang w:eastAsia="en-US"/>
        </w:rPr>
        <w:t xml:space="preserve">In fact, in 2021, the Commission ascertained that the executive branch </w:t>
      </w:r>
      <w:r w:rsidR="00DD7C4D" w:rsidRPr="002574EC">
        <w:rPr>
          <w:lang w:eastAsia="en-US"/>
        </w:rPr>
        <w:t>holds absolute power</w:t>
      </w:r>
      <w:r w:rsidR="005A70CD" w:rsidRPr="002574EC">
        <w:rPr>
          <w:lang w:eastAsia="en-US"/>
        </w:rPr>
        <w:t>,</w:t>
      </w:r>
      <w:r w:rsidR="00DD7C4D" w:rsidRPr="002574EC">
        <w:rPr>
          <w:lang w:eastAsia="en-US"/>
        </w:rPr>
        <w:t xml:space="preserve"> </w:t>
      </w:r>
      <w:r w:rsidR="006C4BA7" w:rsidRPr="002574EC">
        <w:rPr>
          <w:lang w:eastAsia="en-US"/>
        </w:rPr>
        <w:t xml:space="preserve">following </w:t>
      </w:r>
      <w:r w:rsidR="005A70CD" w:rsidRPr="002574EC">
        <w:rPr>
          <w:lang w:eastAsia="en-US"/>
        </w:rPr>
        <w:t>the</w:t>
      </w:r>
      <w:r w:rsidR="00E80E41" w:rsidRPr="002574EC">
        <w:rPr>
          <w:lang w:eastAsia="en-US"/>
        </w:rPr>
        <w:t xml:space="preserve"> virtual takeover of</w:t>
      </w:r>
      <w:r w:rsidR="00DD7C4D" w:rsidRPr="002574EC">
        <w:rPr>
          <w:lang w:eastAsia="en-US"/>
        </w:rPr>
        <w:t xml:space="preserve"> institutions such as the Supreme Court of Justice, the National Constituent Assembly and the Office of the Public Prosecutor</w:t>
      </w:r>
      <w:r w:rsidR="009C2E09" w:rsidRPr="002574EC">
        <w:rPr>
          <w:lang w:eastAsia="en-US"/>
        </w:rPr>
        <w:t xml:space="preserve">. </w:t>
      </w:r>
      <w:r w:rsidR="00E80E41" w:rsidRPr="002574EC">
        <w:rPr>
          <w:lang w:eastAsia="en-US"/>
        </w:rPr>
        <w:t xml:space="preserve">In addition, it </w:t>
      </w:r>
      <w:r w:rsidR="00A0016A" w:rsidRPr="002574EC">
        <w:rPr>
          <w:lang w:eastAsia="en-US"/>
        </w:rPr>
        <w:t xml:space="preserve">used and abused </w:t>
      </w:r>
      <w:r w:rsidR="007F303C" w:rsidRPr="002574EC">
        <w:rPr>
          <w:lang w:eastAsia="en-US"/>
        </w:rPr>
        <w:t>states of emergency</w:t>
      </w:r>
      <w:r w:rsidR="007F387B" w:rsidRPr="002574EC">
        <w:rPr>
          <w:lang w:eastAsia="en-US"/>
        </w:rPr>
        <w:t xml:space="preserve"> with the acquiescence of the Supreme Court of Justice, thus enabling </w:t>
      </w:r>
      <w:r w:rsidR="00FB7B9D" w:rsidRPr="002574EC">
        <w:rPr>
          <w:lang w:eastAsia="en-US"/>
        </w:rPr>
        <w:t xml:space="preserve">direct or indirect transfer of power from the National Assembly to the executive branch, all while the opposition held a majority in the parliament. </w:t>
      </w:r>
      <w:r w:rsidR="007F303C" w:rsidRPr="002574EC">
        <w:rPr>
          <w:lang w:eastAsia="en-US"/>
        </w:rPr>
        <w:t xml:space="preserve"> </w:t>
      </w:r>
      <w:r w:rsidR="009035C0" w:rsidRPr="002574EC">
        <w:rPr>
          <w:lang w:eastAsia="en-US"/>
        </w:rPr>
        <w:t>Moreover, the IACHR recalls that the</w:t>
      </w:r>
      <w:r w:rsidR="009F7E62" w:rsidRPr="002574EC">
        <w:rPr>
          <w:lang w:eastAsia="en-US"/>
        </w:rPr>
        <w:t xml:space="preserve"> year 2020 </w:t>
      </w:r>
      <w:r w:rsidR="005442F9" w:rsidRPr="002574EC">
        <w:rPr>
          <w:lang w:eastAsia="en-US"/>
        </w:rPr>
        <w:t xml:space="preserve">closed out </w:t>
      </w:r>
      <w:r w:rsidR="009F7E62" w:rsidRPr="002574EC">
        <w:rPr>
          <w:lang w:eastAsia="en-US"/>
        </w:rPr>
        <w:t>the</w:t>
      </w:r>
      <w:r w:rsidR="009035C0" w:rsidRPr="002574EC">
        <w:rPr>
          <w:lang w:eastAsia="en-US"/>
        </w:rPr>
        <w:t xml:space="preserve"> </w:t>
      </w:r>
      <w:r w:rsidR="009C6ACB" w:rsidRPr="002574EC">
        <w:rPr>
          <w:lang w:eastAsia="en-US"/>
        </w:rPr>
        <w:t xml:space="preserve">legislative </w:t>
      </w:r>
      <w:r w:rsidR="009035C0" w:rsidRPr="002574EC">
        <w:rPr>
          <w:lang w:eastAsia="en-US"/>
        </w:rPr>
        <w:t>term of the National Assembly</w:t>
      </w:r>
      <w:r w:rsidR="009F7E62" w:rsidRPr="002574EC">
        <w:rPr>
          <w:lang w:eastAsia="en-US"/>
        </w:rPr>
        <w:t xml:space="preserve"> </w:t>
      </w:r>
      <w:r w:rsidR="00117CAA" w:rsidRPr="002574EC">
        <w:rPr>
          <w:lang w:eastAsia="en-US"/>
        </w:rPr>
        <w:t xml:space="preserve">which was </w:t>
      </w:r>
      <w:r w:rsidR="004D2A4A" w:rsidRPr="002574EC">
        <w:rPr>
          <w:lang w:eastAsia="en-US"/>
        </w:rPr>
        <w:t xml:space="preserve">democratically </w:t>
      </w:r>
      <w:r w:rsidR="009035C0" w:rsidRPr="002574EC">
        <w:rPr>
          <w:lang w:eastAsia="en-US"/>
        </w:rPr>
        <w:t>elected in 2015</w:t>
      </w:r>
      <w:r w:rsidR="00E508B3" w:rsidRPr="002574EC">
        <w:rPr>
          <w:lang w:eastAsia="en-US"/>
        </w:rPr>
        <w:t xml:space="preserve"> and had been</w:t>
      </w:r>
      <w:r w:rsidR="00E44F7B" w:rsidRPr="002574EC">
        <w:rPr>
          <w:lang w:eastAsia="en-US"/>
        </w:rPr>
        <w:t xml:space="preserve"> the</w:t>
      </w:r>
      <w:r w:rsidR="009035C0" w:rsidRPr="002574EC">
        <w:rPr>
          <w:lang w:eastAsia="en-US"/>
        </w:rPr>
        <w:t xml:space="preserve"> institution regarded as the last vestige of democratic legi</w:t>
      </w:r>
      <w:r w:rsidR="00881FA2" w:rsidRPr="002574EC">
        <w:rPr>
          <w:lang w:eastAsia="en-US"/>
        </w:rPr>
        <w:t>tim</w:t>
      </w:r>
      <w:r w:rsidR="009035C0" w:rsidRPr="002574EC">
        <w:rPr>
          <w:lang w:eastAsia="en-US"/>
        </w:rPr>
        <w:t>acy</w:t>
      </w:r>
      <w:r w:rsidR="00532007" w:rsidRPr="002574EC">
        <w:rPr>
          <w:lang w:eastAsia="en-US"/>
        </w:rPr>
        <w:t>.</w:t>
      </w:r>
      <w:r w:rsidR="009C2E09" w:rsidRPr="002574EC">
        <w:rPr>
          <w:rStyle w:val="FootnoteReference"/>
          <w:lang w:eastAsia="en-US"/>
        </w:rPr>
        <w:footnoteReference w:id="2"/>
      </w:r>
      <w:r w:rsidR="009C2E09" w:rsidRPr="002574EC">
        <w:rPr>
          <w:lang w:eastAsia="en-US"/>
        </w:rPr>
        <w:t xml:space="preserve"> </w:t>
      </w:r>
    </w:p>
    <w:p w14:paraId="0E69EB1B" w14:textId="77777777" w:rsidR="009C2E09" w:rsidRPr="002574EC" w:rsidRDefault="009C2E09" w:rsidP="00F85814">
      <w:pPr>
        <w:pStyle w:val="ListParagraph"/>
        <w:numPr>
          <w:ilvl w:val="0"/>
          <w:numId w:val="0"/>
        </w:numPr>
        <w:ind w:left="720"/>
      </w:pPr>
    </w:p>
    <w:p w14:paraId="1FFE5232" w14:textId="24F9CD69" w:rsidR="00B23838" w:rsidRPr="002574EC" w:rsidRDefault="00532007" w:rsidP="00F85814">
      <w:pPr>
        <w:pStyle w:val="ListParagraph"/>
        <w:rPr>
          <w:lang w:eastAsia="en-US"/>
        </w:rPr>
      </w:pPr>
      <w:r w:rsidRPr="002574EC">
        <w:t>These circumstances have paved the way for gross human rights violations to be commit</w:t>
      </w:r>
      <w:r w:rsidR="00140814" w:rsidRPr="002574EC">
        <w:t>t</w:t>
      </w:r>
      <w:r w:rsidRPr="002574EC">
        <w:t xml:space="preserve">ed, especially against anyone who </w:t>
      </w:r>
      <w:r w:rsidR="007435A3" w:rsidRPr="002574EC">
        <w:t xml:space="preserve">publicly dissents </w:t>
      </w:r>
      <w:r w:rsidRPr="002574EC">
        <w:t>from the government</w:t>
      </w:r>
      <w:r w:rsidR="00502F0F" w:rsidRPr="002574EC">
        <w:t xml:space="preserve"> position</w:t>
      </w:r>
      <w:r w:rsidR="008F60C7" w:rsidRPr="002574EC">
        <w:t xml:space="preserve">. </w:t>
      </w:r>
      <w:r w:rsidR="00140814" w:rsidRPr="002574EC">
        <w:t xml:space="preserve">The IACHR observes that </w:t>
      </w:r>
      <w:r w:rsidR="00612004" w:rsidRPr="002574EC">
        <w:t xml:space="preserve">serious </w:t>
      </w:r>
      <w:r w:rsidR="00140814" w:rsidRPr="002574EC">
        <w:t>human rights violations</w:t>
      </w:r>
      <w:r w:rsidR="006905B8" w:rsidRPr="002574EC">
        <w:t xml:space="preserve">, such as extrajudicial executions of young people living in </w:t>
      </w:r>
      <w:r w:rsidR="004F3E54" w:rsidRPr="002574EC">
        <w:t xml:space="preserve">a </w:t>
      </w:r>
      <w:r w:rsidR="00B622A3" w:rsidRPr="002574EC">
        <w:t xml:space="preserve">situation of </w:t>
      </w:r>
      <w:r w:rsidR="006905B8" w:rsidRPr="002574EC">
        <w:t>poverty, forced disappearance</w:t>
      </w:r>
      <w:r w:rsidR="00723EA9" w:rsidRPr="002574EC">
        <w:t>,</w:t>
      </w:r>
      <w:r w:rsidR="006905B8" w:rsidRPr="002574EC">
        <w:t xml:space="preserve"> and torture in the context of deprivation of liberty,</w:t>
      </w:r>
      <w:r w:rsidR="00140814" w:rsidRPr="002574EC">
        <w:t xml:space="preserve"> continue to be perpetrated</w:t>
      </w:r>
      <w:r w:rsidR="006905B8" w:rsidRPr="002574EC">
        <w:t xml:space="preserve"> in Venezuela</w:t>
      </w:r>
      <w:r w:rsidR="00250A5E" w:rsidRPr="002574EC">
        <w:t>.</w:t>
      </w:r>
      <w:r w:rsidR="00140814" w:rsidRPr="002574EC">
        <w:t xml:space="preserve"> </w:t>
      </w:r>
      <w:r w:rsidR="00250A5E" w:rsidRPr="002574EC">
        <w:t xml:space="preserve"> Also persisting are arbitrary detentions of </w:t>
      </w:r>
      <w:r w:rsidR="00357D19" w:rsidRPr="002574EC">
        <w:t>individuals who publicly dissent from the government</w:t>
      </w:r>
      <w:r w:rsidR="0035517B" w:rsidRPr="002574EC">
        <w:t xml:space="preserve"> </w:t>
      </w:r>
      <w:r w:rsidR="00EF358A" w:rsidRPr="002574EC">
        <w:t>view</w:t>
      </w:r>
      <w:r w:rsidR="00357D19" w:rsidRPr="002574EC">
        <w:t>, improper restrictions on freedom of expression</w:t>
      </w:r>
      <w:r w:rsidR="00AE2066" w:rsidRPr="002574EC">
        <w:t>,</w:t>
      </w:r>
      <w:r w:rsidR="00357D19" w:rsidRPr="002574EC">
        <w:t xml:space="preserve"> and persecution of human rights defenders and </w:t>
      </w:r>
      <w:r w:rsidR="00E82EBE" w:rsidRPr="002574EC">
        <w:t>human rights defense organizations</w:t>
      </w:r>
      <w:r w:rsidR="001A256C" w:rsidRPr="002574EC">
        <w:t xml:space="preserve">.  </w:t>
      </w:r>
      <w:r w:rsidR="000E4198" w:rsidRPr="002574EC">
        <w:t>Additionally, the IACHR took note of the announcement of the Office of the Prosecutor of the International Criminal Court, on November 5, 2021, that it was opening a formal investigation into the alleged commission of crimes against humanity in the country.</w:t>
      </w:r>
    </w:p>
    <w:p w14:paraId="0D0BABC5" w14:textId="77777777" w:rsidR="00B23838" w:rsidRPr="002574EC" w:rsidRDefault="00B23838" w:rsidP="00F85814">
      <w:pPr>
        <w:pStyle w:val="ListParagraph"/>
        <w:numPr>
          <w:ilvl w:val="0"/>
          <w:numId w:val="0"/>
        </w:numPr>
        <w:ind w:left="720"/>
      </w:pPr>
    </w:p>
    <w:p w14:paraId="66827257" w14:textId="0590DDBC" w:rsidR="007E6D19" w:rsidRPr="002574EC" w:rsidRDefault="00084870" w:rsidP="00F85814">
      <w:pPr>
        <w:pStyle w:val="ListParagraph"/>
        <w:rPr>
          <w:lang w:eastAsia="en-US"/>
        </w:rPr>
      </w:pPr>
      <w:r w:rsidRPr="002574EC">
        <w:rPr>
          <w:lang w:eastAsia="en-US"/>
        </w:rPr>
        <w:t xml:space="preserve">The Commission further </w:t>
      </w:r>
      <w:r w:rsidR="0024272F" w:rsidRPr="002574EC">
        <w:rPr>
          <w:lang w:eastAsia="en-US"/>
        </w:rPr>
        <w:t>observes that living conditions continue to deteriorate in Venezu</w:t>
      </w:r>
      <w:r w:rsidR="00AE2066" w:rsidRPr="002574EC">
        <w:rPr>
          <w:lang w:eastAsia="en-US"/>
        </w:rPr>
        <w:t>e</w:t>
      </w:r>
      <w:r w:rsidR="0024272F" w:rsidRPr="002574EC">
        <w:rPr>
          <w:lang w:eastAsia="en-US"/>
        </w:rPr>
        <w:t xml:space="preserve">la, </w:t>
      </w:r>
      <w:r w:rsidR="00426B81" w:rsidRPr="002574EC">
        <w:rPr>
          <w:lang w:eastAsia="en-US"/>
        </w:rPr>
        <w:t xml:space="preserve">disproportionately harming </w:t>
      </w:r>
      <w:r w:rsidR="001A1E2E" w:rsidRPr="002574EC">
        <w:rPr>
          <w:lang w:eastAsia="en-US"/>
        </w:rPr>
        <w:t>women, human rights defenders, persons with disabilities, older persons, children and adolescents, indigenous peoples, Afro-descendants, persons deprived of liberty</w:t>
      </w:r>
      <w:r w:rsidR="00B50595" w:rsidRPr="002574EC">
        <w:rPr>
          <w:lang w:eastAsia="en-US"/>
        </w:rPr>
        <w:t xml:space="preserve">, and lesbian, gay, bisexual and intersex (LGBTI) persons. </w:t>
      </w:r>
      <w:r w:rsidR="001433EB" w:rsidRPr="002574EC">
        <w:rPr>
          <w:lang w:eastAsia="en-US"/>
        </w:rPr>
        <w:t>The IACHR takes particular note that fa</w:t>
      </w:r>
      <w:r w:rsidR="00997EEE" w:rsidRPr="002574EC">
        <w:rPr>
          <w:lang w:eastAsia="en-US"/>
        </w:rPr>
        <w:t>st</w:t>
      </w:r>
      <w:r w:rsidR="001433EB" w:rsidRPr="002574EC">
        <w:rPr>
          <w:lang w:eastAsia="en-US"/>
        </w:rPr>
        <w:t xml:space="preserve">-paced deterioration of living conditions </w:t>
      </w:r>
      <w:r w:rsidR="008E4A5F" w:rsidRPr="002574EC">
        <w:rPr>
          <w:lang w:eastAsia="en-US"/>
        </w:rPr>
        <w:t>has triggered the largest outflow of migrants regionwide and the second largest worldwide.</w:t>
      </w:r>
      <w:r w:rsidR="007E6D19" w:rsidRPr="002574EC">
        <w:rPr>
          <w:rStyle w:val="FootnoteReference"/>
          <w:lang w:eastAsia="en-US"/>
        </w:rPr>
        <w:footnoteReference w:id="3"/>
      </w:r>
      <w:r w:rsidR="00F2334F" w:rsidRPr="002574EC">
        <w:rPr>
          <w:lang w:eastAsia="en-US"/>
        </w:rPr>
        <w:t xml:space="preserve"> As of the date of the prep</w:t>
      </w:r>
      <w:r w:rsidR="005D052B" w:rsidRPr="002574EC">
        <w:rPr>
          <w:lang w:eastAsia="en-US"/>
        </w:rPr>
        <w:t>a</w:t>
      </w:r>
      <w:r w:rsidR="00F2334F" w:rsidRPr="002574EC">
        <w:rPr>
          <w:lang w:eastAsia="en-US"/>
        </w:rPr>
        <w:t xml:space="preserve">ration of this report, </w:t>
      </w:r>
      <w:r w:rsidR="00CF119C" w:rsidRPr="002574EC">
        <w:rPr>
          <w:lang w:eastAsia="en-US"/>
        </w:rPr>
        <w:t xml:space="preserve">it is estimated that there are </w:t>
      </w:r>
      <w:r w:rsidR="00AA1C9F" w:rsidRPr="002574EC">
        <w:rPr>
          <w:lang w:eastAsia="en-US"/>
        </w:rPr>
        <w:t>6,038,937 refugees and migrants from Venezuela.</w:t>
      </w:r>
    </w:p>
    <w:p w14:paraId="2A5B7129" w14:textId="77777777" w:rsidR="007E6D19" w:rsidRPr="002574EC" w:rsidRDefault="007E6D19" w:rsidP="00E07D06">
      <w:pPr>
        <w:pBdr>
          <w:top w:val="nil"/>
          <w:left w:val="nil"/>
          <w:bottom w:val="nil"/>
          <w:right w:val="nil"/>
          <w:between w:val="nil"/>
        </w:pBdr>
        <w:ind w:left="426" w:hanging="426"/>
        <w:jc w:val="both"/>
        <w:rPr>
          <w:rFonts w:ascii="Cambria" w:eastAsia="Cambria" w:hAnsi="Cambria" w:cs="Cambria"/>
          <w:sz w:val="20"/>
          <w:szCs w:val="20"/>
          <w:lang w:eastAsia="en-US"/>
        </w:rPr>
      </w:pPr>
    </w:p>
    <w:p w14:paraId="5C986167" w14:textId="3399B02A" w:rsidR="00525E3A" w:rsidRPr="002574EC" w:rsidRDefault="00B44CAE" w:rsidP="00F85814">
      <w:pPr>
        <w:pStyle w:val="ListParagraph"/>
      </w:pPr>
      <w:r w:rsidRPr="002574EC">
        <w:t xml:space="preserve">In 2021, the </w:t>
      </w:r>
      <w:r w:rsidR="00417C36" w:rsidRPr="002574EC">
        <w:t xml:space="preserve">Commission </w:t>
      </w:r>
      <w:r w:rsidRPr="002574EC">
        <w:t xml:space="preserve">also </w:t>
      </w:r>
      <w:r w:rsidR="00101285" w:rsidRPr="002574EC">
        <w:t xml:space="preserve">welcomed the dialogue between the government and the Unitary Platform </w:t>
      </w:r>
      <w:r w:rsidR="00A94170" w:rsidRPr="002574EC">
        <w:t xml:space="preserve">coalition </w:t>
      </w:r>
      <w:r w:rsidR="00101285" w:rsidRPr="002574EC">
        <w:t>of Venezuela</w:t>
      </w:r>
      <w:r w:rsidR="006C7BCF" w:rsidRPr="002574EC">
        <w:t xml:space="preserve">, which brings together </w:t>
      </w:r>
      <w:r w:rsidR="009D6DD6" w:rsidRPr="002574EC">
        <w:t xml:space="preserve">a variety of </w:t>
      </w:r>
      <w:r w:rsidR="008F5EAB" w:rsidRPr="002574EC">
        <w:t xml:space="preserve">opposition </w:t>
      </w:r>
      <w:r w:rsidR="00993CE8" w:rsidRPr="002574EC">
        <w:t>sectors</w:t>
      </w:r>
      <w:r w:rsidR="00F36E88" w:rsidRPr="002574EC">
        <w:t>.</w:t>
      </w:r>
      <w:r w:rsidR="00FA0EFE" w:rsidRPr="002574EC">
        <w:t xml:space="preserve"> </w:t>
      </w:r>
      <w:r w:rsidR="00271F77" w:rsidRPr="002574EC">
        <w:t xml:space="preserve">On this score, the IACHR </w:t>
      </w:r>
      <w:r w:rsidR="00481F3B" w:rsidRPr="002574EC">
        <w:t xml:space="preserve">reaffirms that a host of challenges </w:t>
      </w:r>
      <w:r w:rsidR="00F35214" w:rsidRPr="002574EC">
        <w:t xml:space="preserve">to the guarantee of human rights in Venezuela </w:t>
      </w:r>
      <w:r w:rsidR="00A73CF9" w:rsidRPr="002574EC">
        <w:t xml:space="preserve">imply the need for  </w:t>
      </w:r>
      <w:r w:rsidR="00CC07EA" w:rsidRPr="002574EC">
        <w:lastRenderedPageBreak/>
        <w:t xml:space="preserve">a </w:t>
      </w:r>
      <w:r w:rsidR="008251EC" w:rsidRPr="002574EC">
        <w:t>serious, respectful and transparent processes of dialogue</w:t>
      </w:r>
      <w:r w:rsidR="00844532" w:rsidRPr="002574EC">
        <w:t xml:space="preserve"> aimed at restoring the democratic institutional framework</w:t>
      </w:r>
      <w:r w:rsidR="006645B4" w:rsidRPr="002574EC">
        <w:t xml:space="preserve">, while promoting real, effective and practical independence </w:t>
      </w:r>
      <w:r w:rsidR="00A43309" w:rsidRPr="002574EC">
        <w:t xml:space="preserve">of the branches of government. </w:t>
      </w:r>
      <w:r w:rsidR="00A73CF9" w:rsidRPr="002574EC">
        <w:t xml:space="preserve"> </w:t>
      </w:r>
      <w:r w:rsidR="00F36E88" w:rsidRPr="002574EC">
        <w:t xml:space="preserve"> </w:t>
      </w:r>
      <w:r w:rsidR="005671D9" w:rsidRPr="002574EC">
        <w:t xml:space="preserve"> </w:t>
      </w:r>
    </w:p>
    <w:p w14:paraId="21C9F8DF" w14:textId="77777777" w:rsidR="002949E5" w:rsidRPr="002574EC" w:rsidRDefault="002949E5" w:rsidP="00E07D06">
      <w:pPr>
        <w:widowControl w:val="0"/>
        <w:ind w:left="426" w:hanging="426"/>
        <w:jc w:val="both"/>
        <w:rPr>
          <w:rFonts w:ascii="Cambria" w:hAnsi="Cambria"/>
          <w:sz w:val="20"/>
          <w:szCs w:val="20"/>
        </w:rPr>
      </w:pPr>
    </w:p>
    <w:p w14:paraId="653BCA00" w14:textId="6C4892FE" w:rsidR="002949E5" w:rsidRPr="002574EC" w:rsidRDefault="002D5BB0" w:rsidP="00F85814">
      <w:pPr>
        <w:pStyle w:val="ListParagraph"/>
      </w:pPr>
      <w:r w:rsidRPr="002574EC">
        <w:t xml:space="preserve">After assessing the human rights situation in Venezuela, the IACHR decided to </w:t>
      </w:r>
      <w:r w:rsidR="002D31A8" w:rsidRPr="002574EC">
        <w:t xml:space="preserve">include this country in this chapter pursuant to Article 59, subparagraphs </w:t>
      </w:r>
      <w:r w:rsidR="002949E5" w:rsidRPr="002574EC">
        <w:t xml:space="preserve">6.a.i, 6.b, 6.d.i </w:t>
      </w:r>
      <w:r w:rsidR="001C3121" w:rsidRPr="002574EC">
        <w:t>and</w:t>
      </w:r>
      <w:r w:rsidR="002949E5" w:rsidRPr="002574EC">
        <w:t xml:space="preserve"> 6.d.iii </w:t>
      </w:r>
      <w:r w:rsidR="008E10A7" w:rsidRPr="002574EC">
        <w:t>of the IACHR Rules of Procedure</w:t>
      </w:r>
      <w:r w:rsidR="002949E5" w:rsidRPr="002574EC">
        <w:t>,</w:t>
      </w:r>
      <w:r w:rsidR="008E10A7" w:rsidRPr="002574EC">
        <w:t xml:space="preserve"> </w:t>
      </w:r>
      <w:r w:rsidR="00C238FF" w:rsidRPr="002574EC">
        <w:t xml:space="preserve">which </w:t>
      </w:r>
      <w:r w:rsidR="00385643" w:rsidRPr="002574EC">
        <w:t>establishes the criteria for including a Member State as follows</w:t>
      </w:r>
      <w:r w:rsidR="002949E5" w:rsidRPr="002574EC">
        <w:t>:</w:t>
      </w:r>
    </w:p>
    <w:p w14:paraId="41C14D60" w14:textId="77777777" w:rsidR="002949E5" w:rsidRPr="002574EC" w:rsidRDefault="002949E5" w:rsidP="00E07D06">
      <w:pPr>
        <w:pBdr>
          <w:top w:val="nil"/>
          <w:left w:val="nil"/>
          <w:bottom w:val="nil"/>
          <w:right w:val="nil"/>
          <w:between w:val="nil"/>
        </w:pBdr>
        <w:ind w:left="426" w:hanging="426"/>
        <w:jc w:val="both"/>
        <w:rPr>
          <w:rFonts w:ascii="Cambria" w:eastAsia="Cambria" w:hAnsi="Cambria" w:cs="Cambria"/>
          <w:color w:val="000000"/>
          <w:sz w:val="20"/>
          <w:szCs w:val="20"/>
        </w:rPr>
      </w:pPr>
    </w:p>
    <w:p w14:paraId="2FC225FB" w14:textId="385AAB08" w:rsidR="002949E5" w:rsidRPr="002574EC" w:rsidRDefault="002949E5" w:rsidP="00BB11E2">
      <w:pPr>
        <w:pBdr>
          <w:top w:val="nil"/>
          <w:left w:val="nil"/>
          <w:bottom w:val="nil"/>
          <w:right w:val="nil"/>
          <w:between w:val="nil"/>
        </w:pBdr>
        <w:tabs>
          <w:tab w:val="left" w:pos="1080"/>
        </w:tabs>
        <w:ind w:left="993" w:right="720" w:hanging="426"/>
        <w:jc w:val="both"/>
        <w:rPr>
          <w:rFonts w:ascii="Cambria" w:eastAsia="Cambria" w:hAnsi="Cambria" w:cs="Cambria"/>
          <w:color w:val="000000"/>
          <w:sz w:val="20"/>
          <w:szCs w:val="20"/>
        </w:rPr>
      </w:pPr>
      <w:r w:rsidRPr="002574EC">
        <w:rPr>
          <w:rFonts w:ascii="Cambria" w:eastAsia="Cambria" w:hAnsi="Cambria" w:cs="Cambria"/>
          <w:color w:val="000000"/>
          <w:sz w:val="20"/>
          <w:szCs w:val="20"/>
        </w:rPr>
        <w:t xml:space="preserve">a. </w:t>
      </w:r>
      <w:r w:rsidRPr="002574EC">
        <w:rPr>
          <w:rFonts w:ascii="Cambria" w:eastAsia="Cambria" w:hAnsi="Cambria" w:cs="Cambria"/>
          <w:color w:val="000000"/>
          <w:sz w:val="20"/>
          <w:szCs w:val="20"/>
        </w:rPr>
        <w:tab/>
      </w:r>
      <w:r w:rsidR="00F616DC" w:rsidRPr="002574EC">
        <w:rPr>
          <w:rFonts w:ascii="Cambria" w:eastAsia="Cambria" w:hAnsi="Cambria" w:cs="Cambria"/>
          <w:color w:val="000000"/>
          <w:sz w:val="20"/>
          <w:szCs w:val="20"/>
        </w:rPr>
        <w:t xml:space="preserve">a serious breach of the core requirements and institutions </w:t>
      </w:r>
      <w:r w:rsidR="0042292E" w:rsidRPr="002574EC">
        <w:rPr>
          <w:rFonts w:ascii="Cambria" w:eastAsia="Cambria" w:hAnsi="Cambria" w:cs="Cambria"/>
          <w:color w:val="000000"/>
          <w:sz w:val="20"/>
          <w:szCs w:val="20"/>
        </w:rPr>
        <w:t>of representative democracy mentioned in the Inter-American Democratic Charter, which are essential means of achieving human rights, including:</w:t>
      </w:r>
    </w:p>
    <w:p w14:paraId="4637DA50" w14:textId="77777777" w:rsidR="002949E5" w:rsidRPr="002574EC" w:rsidRDefault="002949E5" w:rsidP="00E07D06">
      <w:pPr>
        <w:pBdr>
          <w:top w:val="nil"/>
          <w:left w:val="nil"/>
          <w:bottom w:val="nil"/>
          <w:right w:val="nil"/>
          <w:between w:val="nil"/>
        </w:pBdr>
        <w:tabs>
          <w:tab w:val="left" w:pos="1080"/>
        </w:tabs>
        <w:ind w:left="426" w:right="720" w:hanging="426"/>
        <w:jc w:val="both"/>
        <w:rPr>
          <w:rFonts w:ascii="Cambria" w:eastAsia="Cambria" w:hAnsi="Cambria" w:cs="Cambria"/>
          <w:color w:val="000000"/>
          <w:sz w:val="20"/>
          <w:szCs w:val="20"/>
        </w:rPr>
      </w:pPr>
    </w:p>
    <w:p w14:paraId="67BEF784" w14:textId="1626F871" w:rsidR="002949E5" w:rsidRPr="002574EC" w:rsidRDefault="002949E5" w:rsidP="00BB11E2">
      <w:pPr>
        <w:pBdr>
          <w:top w:val="nil"/>
          <w:left w:val="nil"/>
          <w:bottom w:val="nil"/>
          <w:right w:val="nil"/>
          <w:between w:val="nil"/>
        </w:pBdr>
        <w:tabs>
          <w:tab w:val="left" w:pos="8100"/>
        </w:tabs>
        <w:ind w:left="1418" w:right="720" w:hanging="426"/>
        <w:jc w:val="both"/>
        <w:rPr>
          <w:rFonts w:ascii="Cambria" w:eastAsia="Cambria" w:hAnsi="Cambria" w:cs="Cambria"/>
          <w:color w:val="000000"/>
          <w:sz w:val="20"/>
          <w:szCs w:val="20"/>
        </w:rPr>
      </w:pPr>
      <w:r w:rsidRPr="002574EC">
        <w:rPr>
          <w:rFonts w:ascii="Cambria" w:eastAsia="Cambria" w:hAnsi="Cambria" w:cs="Cambria"/>
          <w:color w:val="000000"/>
          <w:sz w:val="20"/>
          <w:szCs w:val="20"/>
        </w:rPr>
        <w:t xml:space="preserve">i. </w:t>
      </w:r>
      <w:r w:rsidR="00887B5C" w:rsidRPr="002574EC">
        <w:rPr>
          <w:rFonts w:ascii="Cambria" w:eastAsia="Cambria" w:hAnsi="Cambria" w:cs="Cambria"/>
          <w:color w:val="000000"/>
          <w:sz w:val="20"/>
          <w:szCs w:val="20"/>
        </w:rPr>
        <w:t>there is discriminatory access to or abusive exercise of power that undermines  or denies the rule of law, such as systematic infringement of the independence of the judiciary or lack of subordination of State institutions to the legally constituted civilian authority;</w:t>
      </w:r>
    </w:p>
    <w:p w14:paraId="242A7598" w14:textId="77777777" w:rsidR="002949E5" w:rsidRPr="002574EC" w:rsidRDefault="002949E5" w:rsidP="00BB11E2">
      <w:pPr>
        <w:pBdr>
          <w:top w:val="nil"/>
          <w:left w:val="nil"/>
          <w:bottom w:val="nil"/>
          <w:right w:val="nil"/>
          <w:between w:val="nil"/>
        </w:pBdr>
        <w:tabs>
          <w:tab w:val="left" w:pos="8100"/>
        </w:tabs>
        <w:ind w:left="1418" w:right="720" w:hanging="426"/>
        <w:jc w:val="both"/>
        <w:rPr>
          <w:rFonts w:ascii="Cambria" w:eastAsia="Cambria" w:hAnsi="Cambria" w:cs="Cambria"/>
          <w:color w:val="000000"/>
          <w:sz w:val="20"/>
          <w:szCs w:val="20"/>
        </w:rPr>
      </w:pPr>
    </w:p>
    <w:p w14:paraId="0BEE1E9D" w14:textId="76EEEF6A" w:rsidR="002949E5" w:rsidRPr="002574EC" w:rsidRDefault="002949E5" w:rsidP="00BB11E2">
      <w:pPr>
        <w:pBdr>
          <w:top w:val="nil"/>
          <w:left w:val="nil"/>
          <w:bottom w:val="nil"/>
          <w:right w:val="nil"/>
          <w:between w:val="nil"/>
        </w:pBdr>
        <w:tabs>
          <w:tab w:val="left" w:pos="8100"/>
        </w:tabs>
        <w:ind w:left="1418" w:right="720" w:hanging="426"/>
        <w:jc w:val="both"/>
        <w:rPr>
          <w:rFonts w:ascii="Cambria" w:eastAsia="Cambria" w:hAnsi="Cambria" w:cs="Cambria"/>
          <w:color w:val="000000"/>
          <w:sz w:val="20"/>
          <w:szCs w:val="20"/>
        </w:rPr>
      </w:pPr>
      <w:r w:rsidRPr="002574EC">
        <w:rPr>
          <w:rFonts w:ascii="Cambria" w:eastAsia="Cambria" w:hAnsi="Cambria" w:cs="Cambria"/>
          <w:color w:val="000000"/>
          <w:sz w:val="20"/>
          <w:szCs w:val="20"/>
        </w:rPr>
        <w:t xml:space="preserve">ii. </w:t>
      </w:r>
      <w:r w:rsidR="00887B5C" w:rsidRPr="002574EC">
        <w:rPr>
          <w:rFonts w:ascii="Cambria" w:eastAsia="Cambria" w:hAnsi="Cambria" w:cs="Cambria"/>
          <w:color w:val="000000"/>
          <w:sz w:val="20"/>
          <w:szCs w:val="20"/>
        </w:rPr>
        <w:t xml:space="preserve">there has been an unconstitutional alteration of the constitutional regime that seriously impairs the democratic order </w:t>
      </w:r>
      <w:r w:rsidRPr="002574EC">
        <w:rPr>
          <w:rFonts w:ascii="Cambria" w:eastAsia="Cambria" w:hAnsi="Cambria" w:cs="Cambria"/>
          <w:color w:val="000000"/>
          <w:sz w:val="20"/>
          <w:szCs w:val="20"/>
        </w:rPr>
        <w:t xml:space="preserve">[…]. </w:t>
      </w:r>
    </w:p>
    <w:p w14:paraId="49193112" w14:textId="77777777" w:rsidR="002949E5" w:rsidRPr="002574EC" w:rsidRDefault="002949E5" w:rsidP="00E07D06">
      <w:pPr>
        <w:pBdr>
          <w:top w:val="nil"/>
          <w:left w:val="nil"/>
          <w:bottom w:val="nil"/>
          <w:right w:val="nil"/>
          <w:between w:val="nil"/>
        </w:pBdr>
        <w:tabs>
          <w:tab w:val="left" w:pos="8100"/>
        </w:tabs>
        <w:ind w:left="426" w:right="720" w:hanging="426"/>
        <w:jc w:val="both"/>
        <w:rPr>
          <w:rFonts w:ascii="Cambria" w:eastAsia="Cambria" w:hAnsi="Cambria" w:cs="Cambria"/>
          <w:color w:val="000000"/>
          <w:sz w:val="20"/>
          <w:szCs w:val="20"/>
        </w:rPr>
      </w:pPr>
    </w:p>
    <w:p w14:paraId="667C56AE" w14:textId="00818A28" w:rsidR="002949E5" w:rsidRPr="002574EC" w:rsidRDefault="002949E5" w:rsidP="00BB11E2">
      <w:pPr>
        <w:pBdr>
          <w:top w:val="nil"/>
          <w:left w:val="nil"/>
          <w:bottom w:val="nil"/>
          <w:right w:val="nil"/>
          <w:between w:val="nil"/>
        </w:pBdr>
        <w:tabs>
          <w:tab w:val="left" w:pos="1080"/>
        </w:tabs>
        <w:ind w:left="993" w:right="720" w:hanging="426"/>
        <w:jc w:val="both"/>
        <w:rPr>
          <w:rFonts w:ascii="Cambria" w:eastAsia="Cambria" w:hAnsi="Cambria" w:cs="Cambria"/>
          <w:color w:val="000000"/>
          <w:sz w:val="20"/>
          <w:szCs w:val="20"/>
        </w:rPr>
      </w:pPr>
      <w:r w:rsidRPr="002574EC">
        <w:rPr>
          <w:rFonts w:ascii="Cambria" w:eastAsia="Cambria" w:hAnsi="Cambria" w:cs="Cambria"/>
          <w:color w:val="000000"/>
          <w:sz w:val="20"/>
          <w:szCs w:val="20"/>
        </w:rPr>
        <w:t xml:space="preserve">b. </w:t>
      </w:r>
      <w:r w:rsidRPr="002574EC">
        <w:rPr>
          <w:rFonts w:ascii="Cambria" w:eastAsia="Cambria" w:hAnsi="Cambria" w:cs="Cambria"/>
          <w:color w:val="000000"/>
          <w:sz w:val="20"/>
          <w:szCs w:val="20"/>
        </w:rPr>
        <w:tab/>
      </w:r>
      <w:r w:rsidR="006E1EBA" w:rsidRPr="002574EC">
        <w:rPr>
          <w:rFonts w:ascii="Cambria" w:eastAsia="Cambria" w:hAnsi="Cambria" w:cs="Cambria"/>
          <w:color w:val="000000"/>
          <w:sz w:val="20"/>
          <w:szCs w:val="20"/>
        </w:rPr>
        <w:t xml:space="preserve">The free exercise of the rights guaranteed in the American Declaration or the American Convention has been unlawfully suspended, totally or partially, by virtue of the imposition of exceptional measures such as a declaration of a state of emergency, state of siege, suspension of constitutional </w:t>
      </w:r>
      <w:r w:rsidR="00E2379B" w:rsidRPr="002574EC">
        <w:rPr>
          <w:rFonts w:ascii="Cambria" w:eastAsia="Cambria" w:hAnsi="Cambria" w:cs="Cambria"/>
          <w:color w:val="000000"/>
          <w:sz w:val="20"/>
          <w:szCs w:val="20"/>
        </w:rPr>
        <w:t>guarantees</w:t>
      </w:r>
      <w:r w:rsidR="004036BF" w:rsidRPr="002574EC">
        <w:rPr>
          <w:rFonts w:ascii="Cambria" w:eastAsia="Cambria" w:hAnsi="Cambria" w:cs="Cambria"/>
          <w:color w:val="000000"/>
          <w:sz w:val="20"/>
          <w:szCs w:val="20"/>
        </w:rPr>
        <w:t>, or exceptional security measures</w:t>
      </w:r>
      <w:r w:rsidRPr="002574EC">
        <w:rPr>
          <w:rFonts w:ascii="Cambria" w:eastAsia="Cambria" w:hAnsi="Cambria" w:cs="Cambria"/>
          <w:color w:val="000000"/>
          <w:sz w:val="20"/>
          <w:szCs w:val="20"/>
        </w:rPr>
        <w:t>.</w:t>
      </w:r>
    </w:p>
    <w:p w14:paraId="4B163491" w14:textId="77777777" w:rsidR="002949E5" w:rsidRPr="002574EC" w:rsidRDefault="002949E5" w:rsidP="00BB11E2">
      <w:pPr>
        <w:pBdr>
          <w:top w:val="nil"/>
          <w:left w:val="nil"/>
          <w:bottom w:val="nil"/>
          <w:right w:val="nil"/>
          <w:between w:val="nil"/>
        </w:pBdr>
        <w:tabs>
          <w:tab w:val="left" w:pos="1080"/>
        </w:tabs>
        <w:ind w:left="993" w:right="720" w:hanging="426"/>
        <w:jc w:val="both"/>
        <w:rPr>
          <w:rFonts w:ascii="Cambria" w:eastAsia="Cambria" w:hAnsi="Cambria" w:cs="Cambria"/>
          <w:color w:val="000000"/>
          <w:sz w:val="20"/>
          <w:szCs w:val="20"/>
        </w:rPr>
      </w:pPr>
    </w:p>
    <w:p w14:paraId="2DEB72F9" w14:textId="27AF8A9B" w:rsidR="002949E5" w:rsidRPr="002574EC" w:rsidRDefault="002949E5" w:rsidP="00BB11E2">
      <w:pPr>
        <w:pBdr>
          <w:top w:val="nil"/>
          <w:left w:val="nil"/>
          <w:bottom w:val="nil"/>
          <w:right w:val="nil"/>
          <w:between w:val="nil"/>
        </w:pBdr>
        <w:tabs>
          <w:tab w:val="left" w:pos="1080"/>
        </w:tabs>
        <w:ind w:left="993" w:right="720" w:hanging="426"/>
        <w:jc w:val="both"/>
        <w:rPr>
          <w:rFonts w:ascii="Cambria" w:eastAsia="Cambria" w:hAnsi="Cambria" w:cs="Cambria"/>
          <w:color w:val="000000"/>
          <w:sz w:val="20"/>
          <w:szCs w:val="20"/>
        </w:rPr>
      </w:pPr>
      <w:r w:rsidRPr="002574EC">
        <w:rPr>
          <w:rFonts w:ascii="Cambria" w:eastAsia="Cambria" w:hAnsi="Cambria" w:cs="Cambria"/>
          <w:color w:val="000000"/>
          <w:sz w:val="20"/>
          <w:szCs w:val="20"/>
        </w:rPr>
        <w:t xml:space="preserve">d. </w:t>
      </w:r>
      <w:r w:rsidRPr="002574EC">
        <w:rPr>
          <w:rFonts w:ascii="Cambria" w:eastAsia="Cambria" w:hAnsi="Cambria" w:cs="Cambria"/>
          <w:color w:val="000000"/>
          <w:sz w:val="20"/>
          <w:szCs w:val="20"/>
        </w:rPr>
        <w:tab/>
      </w:r>
      <w:r w:rsidR="0045339B" w:rsidRPr="002574EC">
        <w:rPr>
          <w:rFonts w:ascii="Cambria" w:eastAsia="Cambria" w:hAnsi="Cambria" w:cs="Cambria"/>
          <w:color w:val="000000"/>
          <w:sz w:val="20"/>
          <w:szCs w:val="20"/>
        </w:rPr>
        <w:t>The presence of other structural situations that seriously affect the use and enjoyment of fundamental rights recognized in the American Declaration, the American Convention or other applicable instruments</w:t>
      </w:r>
      <w:r w:rsidR="00113D33" w:rsidRPr="002574EC">
        <w:rPr>
          <w:rFonts w:ascii="Cambria" w:eastAsia="Cambria" w:hAnsi="Cambria" w:cs="Cambria"/>
          <w:color w:val="000000"/>
          <w:sz w:val="20"/>
          <w:szCs w:val="20"/>
        </w:rPr>
        <w:t xml:space="preserve">. </w:t>
      </w:r>
      <w:r w:rsidR="0045339B" w:rsidRPr="002574EC">
        <w:rPr>
          <w:rFonts w:ascii="Cambria" w:eastAsia="Cambria" w:hAnsi="Cambria" w:cs="Cambria"/>
          <w:color w:val="000000"/>
          <w:sz w:val="20"/>
          <w:szCs w:val="20"/>
        </w:rPr>
        <w:t xml:space="preserve"> Factors to be considered shall include the following, among others:</w:t>
      </w:r>
    </w:p>
    <w:p w14:paraId="3CA67B32" w14:textId="77777777" w:rsidR="002949E5" w:rsidRPr="002574EC" w:rsidRDefault="002949E5" w:rsidP="00E07D06">
      <w:pPr>
        <w:pBdr>
          <w:top w:val="nil"/>
          <w:left w:val="nil"/>
          <w:bottom w:val="nil"/>
          <w:right w:val="nil"/>
          <w:between w:val="nil"/>
        </w:pBdr>
        <w:tabs>
          <w:tab w:val="left" w:pos="1080"/>
        </w:tabs>
        <w:ind w:left="426" w:right="720" w:hanging="426"/>
        <w:jc w:val="both"/>
        <w:rPr>
          <w:rFonts w:ascii="Cambria" w:eastAsia="Cambria" w:hAnsi="Cambria" w:cs="Cambria"/>
          <w:color w:val="000000"/>
          <w:sz w:val="20"/>
          <w:szCs w:val="20"/>
        </w:rPr>
      </w:pPr>
    </w:p>
    <w:p w14:paraId="59D1049B" w14:textId="3D1DC88B" w:rsidR="002949E5" w:rsidRPr="002574EC" w:rsidRDefault="002949E5" w:rsidP="00BB11E2">
      <w:pPr>
        <w:pBdr>
          <w:top w:val="nil"/>
          <w:left w:val="nil"/>
          <w:bottom w:val="nil"/>
          <w:right w:val="nil"/>
          <w:between w:val="nil"/>
        </w:pBdr>
        <w:ind w:left="1418" w:right="720" w:hanging="426"/>
        <w:jc w:val="both"/>
        <w:rPr>
          <w:rFonts w:ascii="Cambria" w:eastAsia="Cambria" w:hAnsi="Cambria" w:cs="Cambria"/>
          <w:color w:val="000000"/>
          <w:sz w:val="20"/>
          <w:szCs w:val="20"/>
        </w:rPr>
      </w:pPr>
      <w:r w:rsidRPr="002574EC">
        <w:rPr>
          <w:rFonts w:ascii="Cambria" w:eastAsia="Cambria" w:hAnsi="Cambria" w:cs="Cambria"/>
          <w:color w:val="000000"/>
          <w:sz w:val="20"/>
          <w:szCs w:val="20"/>
        </w:rPr>
        <w:t xml:space="preserve">i. </w:t>
      </w:r>
      <w:r w:rsidR="00870DA0" w:rsidRPr="002574EC">
        <w:rPr>
          <w:rFonts w:ascii="Cambria" w:eastAsia="Cambria" w:hAnsi="Cambria" w:cs="Cambria"/>
          <w:color w:val="000000"/>
          <w:sz w:val="20"/>
          <w:szCs w:val="20"/>
        </w:rPr>
        <w:t>serious institutional crises that infringe the enjoyment of human rights;</w:t>
      </w:r>
      <w:r w:rsidRPr="002574EC">
        <w:rPr>
          <w:rFonts w:ascii="Cambria" w:eastAsia="Cambria" w:hAnsi="Cambria" w:cs="Cambria"/>
          <w:color w:val="000000"/>
          <w:sz w:val="20"/>
          <w:szCs w:val="20"/>
        </w:rPr>
        <w:t xml:space="preserve"> </w:t>
      </w:r>
    </w:p>
    <w:p w14:paraId="42AA872C" w14:textId="77777777" w:rsidR="002949E5" w:rsidRPr="002574EC" w:rsidRDefault="002949E5" w:rsidP="00BB11E2">
      <w:pPr>
        <w:pBdr>
          <w:top w:val="nil"/>
          <w:left w:val="nil"/>
          <w:bottom w:val="nil"/>
          <w:right w:val="nil"/>
          <w:between w:val="nil"/>
        </w:pBdr>
        <w:ind w:left="1418" w:right="720" w:hanging="426"/>
        <w:jc w:val="both"/>
        <w:rPr>
          <w:rFonts w:ascii="Cambria" w:eastAsia="Cambria" w:hAnsi="Cambria" w:cs="Cambria"/>
          <w:color w:val="000000"/>
          <w:sz w:val="20"/>
          <w:szCs w:val="20"/>
        </w:rPr>
      </w:pPr>
    </w:p>
    <w:p w14:paraId="23108D29" w14:textId="49632541" w:rsidR="002949E5" w:rsidRPr="002574EC" w:rsidRDefault="002949E5" w:rsidP="00BB11E2">
      <w:pPr>
        <w:pBdr>
          <w:top w:val="nil"/>
          <w:left w:val="nil"/>
          <w:bottom w:val="nil"/>
          <w:right w:val="nil"/>
          <w:between w:val="nil"/>
        </w:pBdr>
        <w:ind w:left="1418" w:right="720" w:hanging="426"/>
        <w:jc w:val="both"/>
        <w:rPr>
          <w:rFonts w:ascii="Cambria" w:eastAsia="Cambria" w:hAnsi="Cambria" w:cs="Cambria"/>
          <w:color w:val="000000"/>
          <w:sz w:val="20"/>
          <w:szCs w:val="20"/>
        </w:rPr>
      </w:pPr>
      <w:r w:rsidRPr="002574EC">
        <w:rPr>
          <w:rFonts w:ascii="Cambria" w:eastAsia="Cambria" w:hAnsi="Cambria" w:cs="Cambria"/>
          <w:color w:val="000000"/>
          <w:sz w:val="20"/>
          <w:szCs w:val="20"/>
        </w:rPr>
        <w:t xml:space="preserve">iii. </w:t>
      </w:r>
      <w:r w:rsidR="00113D33" w:rsidRPr="002574EC">
        <w:rPr>
          <w:rFonts w:ascii="Cambria" w:eastAsia="Cambria" w:hAnsi="Cambria" w:cs="Cambria"/>
          <w:color w:val="000000"/>
          <w:sz w:val="20"/>
          <w:szCs w:val="20"/>
        </w:rPr>
        <w:t xml:space="preserve">serious omissions in the adoption of the necessary measures to make fundamental rights effective, or in complying with the decisions of the Commission and the Inter-American Court </w:t>
      </w:r>
      <w:r w:rsidRPr="002574EC">
        <w:rPr>
          <w:rFonts w:ascii="Cambria" w:eastAsia="Cambria" w:hAnsi="Cambria" w:cs="Cambria"/>
          <w:color w:val="000000"/>
          <w:sz w:val="20"/>
          <w:szCs w:val="20"/>
        </w:rPr>
        <w:t>[…]</w:t>
      </w:r>
      <w:r w:rsidR="00BB11E2" w:rsidRPr="002574EC">
        <w:rPr>
          <w:rFonts w:ascii="Cambria" w:eastAsia="Cambria" w:hAnsi="Cambria" w:cs="Cambria"/>
          <w:color w:val="000000"/>
          <w:sz w:val="20"/>
          <w:szCs w:val="20"/>
        </w:rPr>
        <w:t>.</w:t>
      </w:r>
    </w:p>
    <w:p w14:paraId="007A0C70" w14:textId="77777777" w:rsidR="002949E5" w:rsidRPr="002574EC" w:rsidRDefault="002949E5" w:rsidP="00E07D06">
      <w:pPr>
        <w:widowControl w:val="0"/>
        <w:ind w:left="426" w:hanging="426"/>
        <w:jc w:val="both"/>
        <w:rPr>
          <w:rFonts w:ascii="Cambria" w:hAnsi="Cambria"/>
          <w:sz w:val="20"/>
          <w:szCs w:val="20"/>
        </w:rPr>
      </w:pPr>
    </w:p>
    <w:p w14:paraId="43C470AE" w14:textId="1755750E" w:rsidR="00145852" w:rsidRPr="002574EC" w:rsidRDefault="00C1702B" w:rsidP="00F85814">
      <w:pPr>
        <w:pStyle w:val="ListParagraph"/>
      </w:pPr>
      <w:r w:rsidRPr="002574EC">
        <w:t xml:space="preserve">Pursuant to Article 59.5 of the IACHR Rules of Procedure, </w:t>
      </w:r>
      <w:r w:rsidR="001F3A2E" w:rsidRPr="002574EC">
        <w:t xml:space="preserve">the Commission has used in drafting this report </w:t>
      </w:r>
      <w:r w:rsidR="00EA003F" w:rsidRPr="002574EC">
        <w:t xml:space="preserve">information from international organizations, civil society and the government itself. </w:t>
      </w:r>
      <w:r w:rsidR="00D55D7A" w:rsidRPr="002574EC">
        <w:t xml:space="preserve">The IACHR has also used as support information </w:t>
      </w:r>
      <w:r w:rsidR="00831003" w:rsidRPr="002574EC">
        <w:t xml:space="preserve">it has gathered </w:t>
      </w:r>
      <w:r w:rsidR="00D55D7A" w:rsidRPr="002574EC">
        <w:t xml:space="preserve">through </w:t>
      </w:r>
      <w:r w:rsidR="001C4A51" w:rsidRPr="002574EC">
        <w:t xml:space="preserve">the other monitoring and protection mechanisms available to </w:t>
      </w:r>
      <w:r w:rsidR="00CC5950" w:rsidRPr="002574EC">
        <w:t>it</w:t>
      </w:r>
      <w:r w:rsidR="00F556F8" w:rsidRPr="002574EC">
        <w:t xml:space="preserve"> </w:t>
      </w:r>
      <w:r w:rsidR="00C51AD7" w:rsidRPr="002574EC">
        <w:t>including</w:t>
      </w:r>
      <w:r w:rsidR="009E53B7" w:rsidRPr="002574EC">
        <w:t>,</w:t>
      </w:r>
      <w:r w:rsidR="00C51AD7" w:rsidRPr="002574EC">
        <w:t xml:space="preserve"> </w:t>
      </w:r>
      <w:r w:rsidR="00C51AD7" w:rsidRPr="002574EC">
        <w:rPr>
          <w:i/>
          <w:iCs/>
        </w:rPr>
        <w:t>inter alia</w:t>
      </w:r>
      <w:r w:rsidR="009E53B7" w:rsidRPr="002574EC">
        <w:rPr>
          <w:i/>
          <w:iCs/>
        </w:rPr>
        <w:t>,</w:t>
      </w:r>
      <w:r w:rsidR="00C51AD7" w:rsidRPr="002574EC">
        <w:rPr>
          <w:i/>
          <w:iCs/>
        </w:rPr>
        <w:t xml:space="preserve"> </w:t>
      </w:r>
      <w:r w:rsidR="00F556F8" w:rsidRPr="002574EC">
        <w:t xml:space="preserve"> the system of petitions and cases, precautionary measures</w:t>
      </w:r>
      <w:r w:rsidR="009E53B7" w:rsidRPr="002574EC">
        <w:t xml:space="preserve"> and</w:t>
      </w:r>
      <w:r w:rsidR="00F556F8" w:rsidRPr="002574EC">
        <w:t xml:space="preserve"> public hearings</w:t>
      </w:r>
      <w:r w:rsidR="00860658" w:rsidRPr="002574EC">
        <w:t xml:space="preserve">. </w:t>
      </w:r>
      <w:r w:rsidR="00FC330A" w:rsidRPr="002574EC">
        <w:t>The IACHR examines the information it receives in light of Inter-American</w:t>
      </w:r>
      <w:r w:rsidR="00035C6B" w:rsidRPr="002574EC">
        <w:t xml:space="preserve"> human rights norms and standards</w:t>
      </w:r>
      <w:r w:rsidR="00881476" w:rsidRPr="002574EC">
        <w:t xml:space="preserve">, identifies best governmental practices </w:t>
      </w:r>
      <w:r w:rsidR="004E5145" w:rsidRPr="002574EC">
        <w:t xml:space="preserve">and issues recommendations to the State. </w:t>
      </w:r>
    </w:p>
    <w:p w14:paraId="01EC391A" w14:textId="77777777" w:rsidR="006A14DF" w:rsidRPr="002574EC" w:rsidRDefault="006A14DF" w:rsidP="00F85814">
      <w:pPr>
        <w:pStyle w:val="ListParagraph"/>
        <w:numPr>
          <w:ilvl w:val="0"/>
          <w:numId w:val="0"/>
        </w:numPr>
        <w:ind w:left="720"/>
      </w:pPr>
    </w:p>
    <w:p w14:paraId="0CA78835" w14:textId="3AF98E18" w:rsidR="007E11FB" w:rsidRPr="002574EC" w:rsidRDefault="00AF370F" w:rsidP="00F85814">
      <w:pPr>
        <w:pStyle w:val="ListParagraph"/>
      </w:pPr>
      <w:r w:rsidRPr="002574EC">
        <w:t xml:space="preserve">In </w:t>
      </w:r>
      <w:r w:rsidR="00631C1A" w:rsidRPr="002574EC">
        <w:t xml:space="preserve">2021, </w:t>
      </w:r>
      <w:r w:rsidRPr="002574EC">
        <w:t xml:space="preserve">the IACHR </w:t>
      </w:r>
      <w:r w:rsidR="0030351D" w:rsidRPr="002574EC">
        <w:t>issued 16 press releases expressing its concern over different issues in Venezuela</w:t>
      </w:r>
      <w:r w:rsidR="00631C1A" w:rsidRPr="002574EC">
        <w:t xml:space="preserve">. </w:t>
      </w:r>
      <w:r w:rsidR="00B64BBB" w:rsidRPr="002574EC">
        <w:t xml:space="preserve">Additionally, the Inter-American Commission </w:t>
      </w:r>
      <w:r w:rsidR="00295047" w:rsidRPr="002574EC">
        <w:t xml:space="preserve">held 3 thematic hearings in the framework of special sessions, two of which were about structural human rights issues and one, about follow-up </w:t>
      </w:r>
      <w:r w:rsidR="007D0699" w:rsidRPr="002574EC">
        <w:t>to</w:t>
      </w:r>
      <w:r w:rsidR="00295047" w:rsidRPr="002574EC">
        <w:t xml:space="preserve"> the recommendations from its </w:t>
      </w:r>
      <w:r w:rsidR="002A1B5A" w:rsidRPr="002574EC">
        <w:t xml:space="preserve">country </w:t>
      </w:r>
      <w:r w:rsidR="00295047" w:rsidRPr="002574EC">
        <w:t xml:space="preserve">visit. </w:t>
      </w:r>
      <w:r w:rsidR="002A1B5A" w:rsidRPr="002574EC">
        <w:t>Over this year, the IACHR decided to grant three new precau</w:t>
      </w:r>
      <w:r w:rsidR="00CD6DB8" w:rsidRPr="002574EC">
        <w:t xml:space="preserve">tionary </w:t>
      </w:r>
      <w:r w:rsidR="00B52C5F" w:rsidRPr="002574EC">
        <w:t xml:space="preserve">measures and an </w:t>
      </w:r>
      <w:r w:rsidR="003C5F81" w:rsidRPr="002574EC">
        <w:t xml:space="preserve">expansion </w:t>
      </w:r>
      <w:r w:rsidR="00B52C5F" w:rsidRPr="002574EC">
        <w:t xml:space="preserve">of the purpose of </w:t>
      </w:r>
      <w:r w:rsidR="00726A85" w:rsidRPr="002574EC">
        <w:t>one</w:t>
      </w:r>
      <w:r w:rsidR="00B52C5F" w:rsidRPr="002574EC">
        <w:t xml:space="preserve"> pre-existing measure.</w:t>
      </w:r>
      <w:r w:rsidR="00E67F18" w:rsidRPr="002574EC">
        <w:t xml:space="preserve"> </w:t>
      </w:r>
      <w:r w:rsidR="00F53A09" w:rsidRPr="002574EC">
        <w:t xml:space="preserve"> </w:t>
      </w:r>
    </w:p>
    <w:p w14:paraId="3F1BB5FC" w14:textId="77777777" w:rsidR="007E11FB" w:rsidRPr="002574EC" w:rsidRDefault="007E11FB" w:rsidP="00E07D06">
      <w:pPr>
        <w:widowControl w:val="0"/>
        <w:ind w:left="426" w:hanging="426"/>
        <w:jc w:val="both"/>
        <w:rPr>
          <w:rFonts w:ascii="Cambria" w:hAnsi="Cambria"/>
          <w:sz w:val="20"/>
          <w:szCs w:val="20"/>
        </w:rPr>
      </w:pPr>
    </w:p>
    <w:p w14:paraId="17F218C3" w14:textId="31060CEA" w:rsidR="002441EC" w:rsidRPr="002574EC" w:rsidRDefault="00646C37" w:rsidP="00F85814">
      <w:pPr>
        <w:pStyle w:val="ListParagraph"/>
      </w:pPr>
      <w:r w:rsidRPr="002574EC">
        <w:t xml:space="preserve">In </w:t>
      </w:r>
      <w:r w:rsidR="00A61D42" w:rsidRPr="002574EC">
        <w:t>C</w:t>
      </w:r>
      <w:r w:rsidRPr="002574EC">
        <w:t>hapter II of the instant report, the situation of democratic institutions</w:t>
      </w:r>
      <w:r w:rsidR="00841C0C" w:rsidRPr="002574EC">
        <w:t xml:space="preserve"> is addressed and the following </w:t>
      </w:r>
      <w:r w:rsidR="00536D46" w:rsidRPr="002574EC">
        <w:t xml:space="preserve">issues </w:t>
      </w:r>
      <w:r w:rsidR="00841C0C" w:rsidRPr="002574EC">
        <w:t>are fleshed out</w:t>
      </w:r>
      <w:r w:rsidR="00850DE0" w:rsidRPr="002574EC">
        <w:t xml:space="preserve">: </w:t>
      </w:r>
      <w:r w:rsidR="00C02D07" w:rsidRPr="002574EC">
        <w:t xml:space="preserve">executive branch interference in the </w:t>
      </w:r>
      <w:r w:rsidR="00850DE0" w:rsidRPr="002574EC">
        <w:t>judiciary</w:t>
      </w:r>
      <w:r w:rsidR="005C0FF1" w:rsidRPr="002574EC">
        <w:t>; abusive use of states of emergency</w:t>
      </w:r>
      <w:r w:rsidR="00153830" w:rsidRPr="002574EC">
        <w:t xml:space="preserve"> with the acquiescence of the Supreme Court of Justice</w:t>
      </w:r>
      <w:r w:rsidR="00CE2DD6" w:rsidRPr="002574EC">
        <w:t>;</w:t>
      </w:r>
      <w:r w:rsidR="0025644C" w:rsidRPr="002574EC">
        <w:t xml:space="preserve"> </w:t>
      </w:r>
      <w:r w:rsidR="00C02D07" w:rsidRPr="002574EC">
        <w:t xml:space="preserve">executive branch interference with </w:t>
      </w:r>
      <w:r w:rsidR="0025644C" w:rsidRPr="002574EC">
        <w:t>the National Constituent</w:t>
      </w:r>
      <w:r w:rsidR="0042292B" w:rsidRPr="002574EC">
        <w:t xml:space="preserve"> Assembly (ANC)</w:t>
      </w:r>
      <w:r w:rsidR="00350260" w:rsidRPr="002574EC">
        <w:t xml:space="preserve">; </w:t>
      </w:r>
      <w:r w:rsidR="00AB38A5" w:rsidRPr="002574EC">
        <w:t xml:space="preserve">executive branch interference with </w:t>
      </w:r>
      <w:r w:rsidR="00350260" w:rsidRPr="002574EC">
        <w:t xml:space="preserve">the </w:t>
      </w:r>
      <w:r w:rsidR="003E2DF2" w:rsidRPr="002574EC">
        <w:t xml:space="preserve">oversight bodies </w:t>
      </w:r>
      <w:r w:rsidR="0037556D" w:rsidRPr="002574EC">
        <w:t>(</w:t>
      </w:r>
      <w:r w:rsidR="0037556D" w:rsidRPr="002574EC">
        <w:rPr>
          <w:i/>
          <w:iCs/>
        </w:rPr>
        <w:t>Poder Ciudadano</w:t>
      </w:r>
      <w:r w:rsidR="0037556D" w:rsidRPr="002574EC">
        <w:t>)</w:t>
      </w:r>
      <w:r w:rsidR="009515A8" w:rsidRPr="002574EC">
        <w:t xml:space="preserve"> </w:t>
      </w:r>
      <w:r w:rsidR="001B3BCE" w:rsidRPr="002574EC">
        <w:t xml:space="preserve">through </w:t>
      </w:r>
      <w:r w:rsidR="00702AE4" w:rsidRPr="002574EC">
        <w:t>the National Constituent Assembly</w:t>
      </w:r>
      <w:r w:rsidR="00CE2DD6" w:rsidRPr="002574EC">
        <w:t>;</w:t>
      </w:r>
      <w:r w:rsidR="00702AE4" w:rsidRPr="002574EC">
        <w:t xml:space="preserve"> political persecution</w:t>
      </w:r>
      <w:r w:rsidR="00AD0330" w:rsidRPr="002574EC">
        <w:t xml:space="preserve"> by the executive branch</w:t>
      </w:r>
      <w:r w:rsidR="00702AE4" w:rsidRPr="002574EC">
        <w:t xml:space="preserve"> </w:t>
      </w:r>
      <w:r w:rsidR="00C868DA" w:rsidRPr="002574EC">
        <w:t xml:space="preserve">of </w:t>
      </w:r>
      <w:r w:rsidR="00702AE4" w:rsidRPr="002574EC">
        <w:t xml:space="preserve">deputies elected in 2015 to the National Assembly, who are members of the opposition to the government; </w:t>
      </w:r>
      <w:r w:rsidR="001E60D8" w:rsidRPr="002574EC">
        <w:lastRenderedPageBreak/>
        <w:t xml:space="preserve">executive branch </w:t>
      </w:r>
      <w:r w:rsidR="00702AE4" w:rsidRPr="002574EC">
        <w:t xml:space="preserve">interference </w:t>
      </w:r>
      <w:r w:rsidR="00B87B30" w:rsidRPr="002574EC">
        <w:t xml:space="preserve">in the electoral branch of government; </w:t>
      </w:r>
      <w:r w:rsidR="0092441E" w:rsidRPr="002574EC">
        <w:t xml:space="preserve">the </w:t>
      </w:r>
      <w:r w:rsidR="00B87B30" w:rsidRPr="002574EC">
        <w:t xml:space="preserve">dire need </w:t>
      </w:r>
      <w:r w:rsidR="0092441E" w:rsidRPr="002574EC">
        <w:t>for</w:t>
      </w:r>
      <w:r w:rsidR="00B87B30" w:rsidRPr="002574EC">
        <w:t xml:space="preserve"> a transition </w:t>
      </w:r>
      <w:r w:rsidR="00090705" w:rsidRPr="002574EC">
        <w:t xml:space="preserve">to </w:t>
      </w:r>
      <w:r w:rsidR="00B87B30" w:rsidRPr="002574EC">
        <w:t>democracy and rule of law.</w:t>
      </w:r>
    </w:p>
    <w:p w14:paraId="788EE944" w14:textId="4EB1D981" w:rsidR="00D402CC" w:rsidRPr="002574EC" w:rsidRDefault="00B87B30" w:rsidP="002441EC">
      <w:pPr>
        <w:pBdr>
          <w:top w:val="nil"/>
          <w:left w:val="nil"/>
          <w:bottom w:val="nil"/>
          <w:right w:val="nil"/>
          <w:between w:val="nil"/>
        </w:pBdr>
        <w:jc w:val="both"/>
        <w:rPr>
          <w:sz w:val="20"/>
          <w:szCs w:val="20"/>
        </w:rPr>
      </w:pPr>
      <w:r w:rsidRPr="002574EC">
        <w:rPr>
          <w:rFonts w:ascii="Cambria" w:hAnsi="Cambria"/>
          <w:sz w:val="20"/>
          <w:szCs w:val="20"/>
        </w:rPr>
        <w:t xml:space="preserve"> </w:t>
      </w:r>
    </w:p>
    <w:p w14:paraId="6E04FD88" w14:textId="15CD69F8" w:rsidR="00D93B5F" w:rsidRPr="002574EC" w:rsidRDefault="002441EC" w:rsidP="00F85814">
      <w:pPr>
        <w:pStyle w:val="ListParagraph"/>
        <w:rPr>
          <w:lang w:eastAsia="en-US"/>
        </w:rPr>
      </w:pPr>
      <w:r w:rsidRPr="002574EC">
        <w:rPr>
          <w:lang w:eastAsia="en-US"/>
        </w:rPr>
        <w:t>In Chapter III, the human rights situation is addres</w:t>
      </w:r>
      <w:r w:rsidR="00203243" w:rsidRPr="002574EC">
        <w:rPr>
          <w:lang w:eastAsia="en-US"/>
        </w:rPr>
        <w:t>sed, in</w:t>
      </w:r>
      <w:r w:rsidR="00670956" w:rsidRPr="002574EC">
        <w:rPr>
          <w:lang w:eastAsia="en-US"/>
        </w:rPr>
        <w:t>cluding</w:t>
      </w:r>
      <w:r w:rsidR="00C92CAF" w:rsidRPr="002574EC">
        <w:rPr>
          <w:lang w:eastAsia="en-US"/>
        </w:rPr>
        <w:t xml:space="preserve">: gross human rights violations; situation of freedom of expression; situation of economic, social, cultural and environmental rights (ESCERs). In Chapter IV, the situation of groups in situations of vulnerability and discrimination are explained in the following order: women, </w:t>
      </w:r>
      <w:r w:rsidR="00EF1392" w:rsidRPr="002574EC">
        <w:rPr>
          <w:lang w:eastAsia="en-US"/>
        </w:rPr>
        <w:t xml:space="preserve">human rights defenders; migrants, asylum seekers, refugees, beneficiaries of complementary protection; persons deprived of liberty; children and adolescents; persons with disabilities; older persons; indigenous peoples, lesbians, gays, bisexuals, trans and intersex (LGBTI) persons. Lastly, in chapter V, recommendations are </w:t>
      </w:r>
      <w:r w:rsidR="005A51EE" w:rsidRPr="002574EC">
        <w:rPr>
          <w:lang w:eastAsia="en-US"/>
        </w:rPr>
        <w:t xml:space="preserve">issued </w:t>
      </w:r>
      <w:r w:rsidR="00EF1392" w:rsidRPr="002574EC">
        <w:rPr>
          <w:lang w:eastAsia="en-US"/>
        </w:rPr>
        <w:t>to the State of Venezuela</w:t>
      </w:r>
      <w:r w:rsidR="00AA308E" w:rsidRPr="002574EC">
        <w:rPr>
          <w:lang w:eastAsia="en-US"/>
        </w:rPr>
        <w:t>.</w:t>
      </w:r>
    </w:p>
    <w:p w14:paraId="7EAC6EC7" w14:textId="77777777" w:rsidR="00D50912" w:rsidRPr="002574EC" w:rsidRDefault="00D50912" w:rsidP="00F85814">
      <w:pPr>
        <w:pStyle w:val="ListParagraph"/>
        <w:numPr>
          <w:ilvl w:val="0"/>
          <w:numId w:val="0"/>
        </w:numPr>
        <w:ind w:left="720"/>
        <w:rPr>
          <w:lang w:eastAsia="en-US"/>
        </w:rPr>
      </w:pPr>
    </w:p>
    <w:p w14:paraId="616C7FB0" w14:textId="2F86E4EC" w:rsidR="00D402CC" w:rsidRPr="00F85814" w:rsidRDefault="00D50912" w:rsidP="00F85814">
      <w:pPr>
        <w:pStyle w:val="ListParagraph"/>
        <w:rPr>
          <w:rFonts w:asciiTheme="minorHAnsi" w:eastAsiaTheme="minorEastAsia" w:hAnsiTheme="minorHAnsi" w:cstheme="minorBidi"/>
          <w:lang w:eastAsia="en-US"/>
        </w:rPr>
      </w:pPr>
      <w:r w:rsidRPr="002574EC">
        <w:rPr>
          <w:lang w:eastAsia="en-US"/>
        </w:rPr>
        <w:t xml:space="preserve">On </w:t>
      </w:r>
      <w:r w:rsidR="001775AD" w:rsidRPr="002574EC">
        <w:rPr>
          <w:lang w:eastAsia="en-US"/>
        </w:rPr>
        <w:t>November</w:t>
      </w:r>
      <w:r w:rsidRPr="002574EC">
        <w:rPr>
          <w:lang w:eastAsia="en-US"/>
        </w:rPr>
        <w:t xml:space="preserve"> </w:t>
      </w:r>
      <w:r w:rsidR="001775AD" w:rsidRPr="002574EC">
        <w:rPr>
          <w:lang w:eastAsia="en-US"/>
        </w:rPr>
        <w:t>23</w:t>
      </w:r>
      <w:r w:rsidRPr="002574EC">
        <w:rPr>
          <w:lang w:eastAsia="en-US"/>
        </w:rPr>
        <w:t xml:space="preserve">, 2021, the Commission forwarded a copy of the preliminary draft of this report to the Venezuelan </w:t>
      </w:r>
      <w:r w:rsidR="73747AA8" w:rsidRPr="002574EC">
        <w:rPr>
          <w:lang w:eastAsia="en-US"/>
        </w:rPr>
        <w:t>chancellery</w:t>
      </w:r>
      <w:r w:rsidRPr="002574EC">
        <w:rPr>
          <w:lang w:eastAsia="en-US"/>
        </w:rPr>
        <w:t xml:space="preserve"> </w:t>
      </w:r>
      <w:r w:rsidR="111E7944" w:rsidRPr="002574EC">
        <w:rPr>
          <w:lang w:eastAsia="en-US"/>
        </w:rPr>
        <w:t xml:space="preserve">and to the Venezuelan Permanent Mission recognized by the OAS, </w:t>
      </w:r>
      <w:r w:rsidRPr="002574EC">
        <w:rPr>
          <w:lang w:eastAsia="en-US"/>
        </w:rPr>
        <w:t>in keeping with articles 59(7) and 59(10) of its Rules of Procedure. The State did submit its observations</w:t>
      </w:r>
      <w:r w:rsidR="001775AD" w:rsidRPr="002574EC">
        <w:rPr>
          <w:lang w:eastAsia="en-US"/>
        </w:rPr>
        <w:t xml:space="preserve"> on December 23, 2021</w:t>
      </w:r>
      <w:r w:rsidRPr="002574EC">
        <w:rPr>
          <w:lang w:eastAsia="en-US"/>
        </w:rPr>
        <w:t>. The IACHR approved this report on</w:t>
      </w:r>
      <w:r w:rsidR="001775AD" w:rsidRPr="002574EC">
        <w:rPr>
          <w:lang w:eastAsia="en-US"/>
        </w:rPr>
        <w:t xml:space="preserve"> </w:t>
      </w:r>
      <w:r w:rsidR="002574EC">
        <w:rPr>
          <w:lang w:eastAsia="en-US"/>
        </w:rPr>
        <w:t>February</w:t>
      </w:r>
      <w:r w:rsidR="00C60051" w:rsidRPr="002574EC">
        <w:rPr>
          <w:lang w:eastAsia="en-US"/>
        </w:rPr>
        <w:t xml:space="preserve"> </w:t>
      </w:r>
      <w:r w:rsidR="002574EC">
        <w:rPr>
          <w:lang w:eastAsia="en-US"/>
        </w:rPr>
        <w:t>23</w:t>
      </w:r>
      <w:r w:rsidRPr="002574EC">
        <w:rPr>
          <w:lang w:eastAsia="en-US"/>
        </w:rPr>
        <w:t>, 202</w:t>
      </w:r>
      <w:r w:rsidR="002574EC">
        <w:rPr>
          <w:lang w:eastAsia="en-US"/>
        </w:rPr>
        <w:t>2</w:t>
      </w:r>
      <w:r w:rsidRPr="002574EC">
        <w:rPr>
          <w:lang w:eastAsia="en-US"/>
        </w:rPr>
        <w:t>.</w:t>
      </w:r>
    </w:p>
    <w:p w14:paraId="17738E58" w14:textId="77777777" w:rsidR="0017222D" w:rsidRPr="002574EC" w:rsidRDefault="0017222D" w:rsidP="00E07D06">
      <w:pPr>
        <w:pBdr>
          <w:top w:val="nil"/>
          <w:left w:val="nil"/>
          <w:bottom w:val="nil"/>
          <w:right w:val="nil"/>
          <w:between w:val="nil"/>
        </w:pBdr>
        <w:ind w:left="426" w:hanging="426"/>
        <w:jc w:val="both"/>
      </w:pPr>
    </w:p>
    <w:p w14:paraId="211DA853" w14:textId="66F20171" w:rsidR="003C67C6" w:rsidRPr="002574EC" w:rsidRDefault="00130B15" w:rsidP="00F85814">
      <w:pPr>
        <w:pStyle w:val="Heading1"/>
      </w:pPr>
      <w:r w:rsidRPr="002574EC">
        <w:t xml:space="preserve">DEMOCRATIC INSTITUTIONS </w:t>
      </w:r>
    </w:p>
    <w:p w14:paraId="7A2BF507" w14:textId="77777777" w:rsidR="0017222D" w:rsidRPr="002574EC" w:rsidRDefault="0017222D" w:rsidP="00F85814">
      <w:pPr>
        <w:pStyle w:val="ListParagraph"/>
        <w:numPr>
          <w:ilvl w:val="0"/>
          <w:numId w:val="0"/>
        </w:numPr>
        <w:ind w:left="720"/>
      </w:pPr>
    </w:p>
    <w:p w14:paraId="6B8F24A0" w14:textId="092E0673" w:rsidR="00B358CD" w:rsidRPr="002574EC" w:rsidRDefault="000B7D27" w:rsidP="00F85814">
      <w:pPr>
        <w:pStyle w:val="ListParagraph"/>
        <w:rPr>
          <w:lang w:eastAsia="en-US"/>
        </w:rPr>
      </w:pPr>
      <w:r w:rsidRPr="002574EC">
        <w:rPr>
          <w:lang w:eastAsia="en-US"/>
        </w:rPr>
        <w:t>The Inter-American Commission reiterates that democracy is “</w:t>
      </w:r>
      <w:r w:rsidR="00C67FFD" w:rsidRPr="002574EC">
        <w:rPr>
          <w:lang w:eastAsia="en-US"/>
        </w:rPr>
        <w:t>a universal value based on the freely expressed will of people to determine their own political, economic, social and cultural systems and their full participation in all aspects of their lives.</w:t>
      </w:r>
      <w:r w:rsidR="00860817" w:rsidRPr="002574EC">
        <w:rPr>
          <w:lang w:eastAsia="en-US"/>
        </w:rPr>
        <w:t>”</w:t>
      </w:r>
      <w:r w:rsidR="00EA0082" w:rsidRPr="002574EC">
        <w:rPr>
          <w:rStyle w:val="FootnoteReference"/>
        </w:rPr>
        <w:footnoteReference w:id="4"/>
      </w:r>
      <w:r w:rsidR="001612AE" w:rsidRPr="002574EC">
        <w:rPr>
          <w:lang w:eastAsia="en-US"/>
        </w:rPr>
        <w:t xml:space="preserve"> </w:t>
      </w:r>
      <w:r w:rsidR="004277DC" w:rsidRPr="002574EC">
        <w:rPr>
          <w:lang w:eastAsia="en-US"/>
        </w:rPr>
        <w:t>It is indispensable for the effective exercise of human rights and fundamental freedoms.</w:t>
      </w:r>
      <w:r w:rsidR="00EA0082" w:rsidRPr="002574EC">
        <w:rPr>
          <w:rStyle w:val="FootnoteReference"/>
        </w:rPr>
        <w:footnoteReference w:id="5"/>
      </w:r>
      <w:r w:rsidR="004277DC" w:rsidRPr="002574EC">
        <w:rPr>
          <w:lang w:eastAsia="en-US"/>
        </w:rPr>
        <w:t xml:space="preserve">  </w:t>
      </w:r>
      <w:r w:rsidR="00860817" w:rsidRPr="002574EC">
        <w:rPr>
          <w:lang w:eastAsia="en-US"/>
        </w:rPr>
        <w:t xml:space="preserve"> </w:t>
      </w:r>
      <w:r w:rsidR="00EA41BA" w:rsidRPr="002574EC">
        <w:rPr>
          <w:lang w:eastAsia="en-US"/>
        </w:rPr>
        <w:t>In order for it to be consolidated, it is essential for the institutional framework to be guided by the separation</w:t>
      </w:r>
      <w:r w:rsidR="00B15DB7" w:rsidRPr="002574EC">
        <w:rPr>
          <w:lang w:eastAsia="en-US"/>
        </w:rPr>
        <w:t xml:space="preserve"> of powers</w:t>
      </w:r>
      <w:r w:rsidR="00EA41BA" w:rsidRPr="002574EC">
        <w:rPr>
          <w:lang w:eastAsia="en-US"/>
        </w:rPr>
        <w:t>, independence</w:t>
      </w:r>
      <w:r w:rsidR="00B15DB7" w:rsidRPr="002574EC">
        <w:rPr>
          <w:lang w:eastAsia="en-US"/>
        </w:rPr>
        <w:t xml:space="preserve"> of the branches of government</w:t>
      </w:r>
      <w:r w:rsidR="00EA41BA" w:rsidRPr="002574EC">
        <w:rPr>
          <w:lang w:eastAsia="en-US"/>
        </w:rPr>
        <w:t xml:space="preserve"> and </w:t>
      </w:r>
      <w:r w:rsidR="00B15DB7" w:rsidRPr="002574EC">
        <w:rPr>
          <w:lang w:eastAsia="en-US"/>
        </w:rPr>
        <w:t>checks and balances</w:t>
      </w:r>
      <w:r w:rsidR="00EA41BA" w:rsidRPr="002574EC">
        <w:rPr>
          <w:lang w:eastAsia="en-US"/>
        </w:rPr>
        <w:t xml:space="preserve">, as well as the effective exercise of political rights through free and fair elections, and respect for and promotion of pluralism in society.  </w:t>
      </w:r>
      <w:r w:rsidR="0036046B" w:rsidRPr="002574EC">
        <w:rPr>
          <w:lang w:eastAsia="en-US"/>
        </w:rPr>
        <w:t xml:space="preserve">Likewise, respect for human rights </w:t>
      </w:r>
      <w:r w:rsidR="00667705" w:rsidRPr="002574EC">
        <w:rPr>
          <w:lang w:eastAsia="en-US"/>
        </w:rPr>
        <w:t xml:space="preserve">is </w:t>
      </w:r>
      <w:r w:rsidR="00B15DB7" w:rsidRPr="002574EC">
        <w:rPr>
          <w:lang w:eastAsia="en-US"/>
        </w:rPr>
        <w:t xml:space="preserve">essential </w:t>
      </w:r>
      <w:r w:rsidR="00667705" w:rsidRPr="002574EC">
        <w:rPr>
          <w:lang w:eastAsia="en-US"/>
        </w:rPr>
        <w:t>to democracy.</w:t>
      </w:r>
      <w:r w:rsidR="00EA0082" w:rsidRPr="002574EC">
        <w:rPr>
          <w:rStyle w:val="FootnoteReference"/>
        </w:rPr>
        <w:footnoteReference w:id="6"/>
      </w:r>
      <w:r w:rsidR="00860817" w:rsidRPr="002574EC">
        <w:rPr>
          <w:lang w:eastAsia="en-US"/>
        </w:rPr>
        <w:t> </w:t>
      </w:r>
    </w:p>
    <w:p w14:paraId="6C5E522C" w14:textId="77777777" w:rsidR="00B358CD" w:rsidRPr="002574EC" w:rsidRDefault="00B358CD" w:rsidP="00E07D06">
      <w:pPr>
        <w:pBdr>
          <w:top w:val="nil"/>
          <w:left w:val="nil"/>
          <w:bottom w:val="nil"/>
          <w:right w:val="nil"/>
          <w:between w:val="nil"/>
        </w:pBdr>
        <w:ind w:left="426" w:hanging="426"/>
        <w:jc w:val="both"/>
        <w:rPr>
          <w:rFonts w:ascii="Cambria" w:eastAsia="Cambria" w:hAnsi="Cambria" w:cs="Cambria"/>
          <w:sz w:val="20"/>
          <w:szCs w:val="20"/>
          <w:lang w:eastAsia="en-US"/>
        </w:rPr>
      </w:pPr>
    </w:p>
    <w:p w14:paraId="4CD96637" w14:textId="043A39CB" w:rsidR="00860817" w:rsidRPr="002574EC" w:rsidRDefault="00900060" w:rsidP="00F85814">
      <w:pPr>
        <w:pStyle w:val="ListParagraph"/>
        <w:rPr>
          <w:lang w:eastAsia="en-US"/>
        </w:rPr>
      </w:pPr>
      <w:r w:rsidRPr="002574EC">
        <w:rPr>
          <w:lang w:eastAsia="en-US"/>
        </w:rPr>
        <w:t xml:space="preserve">As the IACHR has </w:t>
      </w:r>
      <w:r w:rsidR="00022AD6" w:rsidRPr="002574EC">
        <w:rPr>
          <w:lang w:eastAsia="en-US"/>
        </w:rPr>
        <w:t>repeatedly</w:t>
      </w:r>
      <w:r w:rsidR="0017413C" w:rsidRPr="002574EC">
        <w:rPr>
          <w:lang w:eastAsia="en-US"/>
        </w:rPr>
        <w:t xml:space="preserve"> ascertained</w:t>
      </w:r>
      <w:r w:rsidR="00022AD6" w:rsidRPr="002574EC">
        <w:rPr>
          <w:lang w:eastAsia="en-US"/>
        </w:rPr>
        <w:t xml:space="preserve">, Venezuela has been </w:t>
      </w:r>
      <w:r w:rsidR="00352363" w:rsidRPr="002574EC">
        <w:rPr>
          <w:lang w:eastAsia="en-US"/>
        </w:rPr>
        <w:t xml:space="preserve">bereft of </w:t>
      </w:r>
      <w:r w:rsidR="00022AD6" w:rsidRPr="002574EC">
        <w:rPr>
          <w:lang w:eastAsia="en-US"/>
        </w:rPr>
        <w:t xml:space="preserve">these elements </w:t>
      </w:r>
      <w:r w:rsidR="00496674" w:rsidRPr="002574EC">
        <w:rPr>
          <w:lang w:eastAsia="en-US"/>
        </w:rPr>
        <w:t>for several years</w:t>
      </w:r>
      <w:r w:rsidR="00537A00" w:rsidRPr="002574EC">
        <w:rPr>
          <w:lang w:eastAsia="en-US"/>
        </w:rPr>
        <w:t xml:space="preserve"> now</w:t>
      </w:r>
      <w:r w:rsidR="00496674" w:rsidRPr="002574EC">
        <w:rPr>
          <w:lang w:eastAsia="en-US"/>
        </w:rPr>
        <w:t xml:space="preserve">, </w:t>
      </w:r>
      <w:r w:rsidR="004E5A85" w:rsidRPr="002574EC">
        <w:rPr>
          <w:lang w:eastAsia="en-US"/>
        </w:rPr>
        <w:t xml:space="preserve">seriously </w:t>
      </w:r>
      <w:r w:rsidR="000E0D25" w:rsidRPr="002574EC">
        <w:rPr>
          <w:lang w:eastAsia="en-US"/>
        </w:rPr>
        <w:t xml:space="preserve">undermining </w:t>
      </w:r>
      <w:r w:rsidR="00D332AC" w:rsidRPr="002574EC">
        <w:rPr>
          <w:lang w:eastAsia="en-US"/>
        </w:rPr>
        <w:t>the ability of any</w:t>
      </w:r>
      <w:r w:rsidR="007A737A" w:rsidRPr="002574EC">
        <w:rPr>
          <w:lang w:eastAsia="en-US"/>
        </w:rPr>
        <w:t xml:space="preserve"> effective </w:t>
      </w:r>
      <w:r w:rsidR="00742D6B" w:rsidRPr="002574EC">
        <w:rPr>
          <w:lang w:eastAsia="en-US"/>
        </w:rPr>
        <w:t>substantive democracy</w:t>
      </w:r>
      <w:r w:rsidR="00D332AC" w:rsidRPr="002574EC">
        <w:rPr>
          <w:lang w:eastAsia="en-US"/>
        </w:rPr>
        <w:t xml:space="preserve"> to function. </w:t>
      </w:r>
      <w:r w:rsidR="00742D6B" w:rsidRPr="002574EC">
        <w:rPr>
          <w:lang w:eastAsia="en-US"/>
        </w:rPr>
        <w:t xml:space="preserve"> </w:t>
      </w:r>
      <w:r w:rsidR="00D6099B" w:rsidRPr="002574EC">
        <w:rPr>
          <w:lang w:eastAsia="en-US"/>
        </w:rPr>
        <w:t xml:space="preserve">Specifically, the Inter-American Commission observes that in 2021 the government took a monopolistic hold over the different branches of government, after chipping away at judicial independence and </w:t>
      </w:r>
      <w:r w:rsidR="00843F93" w:rsidRPr="002574EC">
        <w:rPr>
          <w:lang w:eastAsia="en-US"/>
        </w:rPr>
        <w:t xml:space="preserve">ceaselessly </w:t>
      </w:r>
      <w:r w:rsidR="00D6099B" w:rsidRPr="002574EC">
        <w:rPr>
          <w:lang w:eastAsia="en-US"/>
        </w:rPr>
        <w:t xml:space="preserve">attacking </w:t>
      </w:r>
      <w:r w:rsidR="00E97859" w:rsidRPr="002574EC">
        <w:rPr>
          <w:lang w:eastAsia="en-US"/>
        </w:rPr>
        <w:t xml:space="preserve">the parliament elected in 2015. </w:t>
      </w:r>
      <w:r w:rsidR="003E7271" w:rsidRPr="002574EC">
        <w:rPr>
          <w:lang w:eastAsia="en-US"/>
        </w:rPr>
        <w:t xml:space="preserve">The IACHR </w:t>
      </w:r>
      <w:r w:rsidR="00A10863" w:rsidRPr="002574EC">
        <w:rPr>
          <w:lang w:eastAsia="en-US"/>
        </w:rPr>
        <w:t xml:space="preserve">underscores </w:t>
      </w:r>
      <w:r w:rsidR="003E7271" w:rsidRPr="002574EC">
        <w:rPr>
          <w:lang w:eastAsia="en-US"/>
        </w:rPr>
        <w:t xml:space="preserve">that 2020 </w:t>
      </w:r>
      <w:r w:rsidR="00A10863" w:rsidRPr="002574EC">
        <w:rPr>
          <w:lang w:eastAsia="en-US"/>
        </w:rPr>
        <w:t xml:space="preserve">brought to a close </w:t>
      </w:r>
      <w:r w:rsidR="003E7271" w:rsidRPr="002574EC">
        <w:rPr>
          <w:lang w:eastAsia="en-US"/>
        </w:rPr>
        <w:t xml:space="preserve">the term of the National Assembly </w:t>
      </w:r>
      <w:r w:rsidR="00A10863" w:rsidRPr="002574EC">
        <w:rPr>
          <w:lang w:eastAsia="en-US"/>
        </w:rPr>
        <w:t>elected in 2015, the last national government institution with democratic legitimacy.</w:t>
      </w:r>
      <w:r w:rsidR="00EA0082" w:rsidRPr="002574EC">
        <w:rPr>
          <w:rStyle w:val="FootnoteReference"/>
        </w:rPr>
        <w:footnoteReference w:id="7"/>
      </w:r>
      <w:r w:rsidR="00860817" w:rsidRPr="002574EC">
        <w:rPr>
          <w:lang w:eastAsia="en-US"/>
        </w:rPr>
        <w:t xml:space="preserve"> </w:t>
      </w:r>
    </w:p>
    <w:p w14:paraId="687FA13C" w14:textId="77777777" w:rsidR="00F520A3" w:rsidRPr="002574EC" w:rsidRDefault="00F520A3" w:rsidP="00E07D06">
      <w:pPr>
        <w:pStyle w:val="NormalWeb"/>
        <w:spacing w:before="0" w:beforeAutospacing="0" w:after="0" w:afterAutospacing="0"/>
        <w:ind w:left="426" w:hanging="426"/>
        <w:jc w:val="both"/>
        <w:textAlignment w:val="baseline"/>
        <w:rPr>
          <w:rFonts w:ascii="Cambria" w:hAnsi="Cambria"/>
          <w:b/>
          <w:bCs/>
          <w:color w:val="000000"/>
          <w:sz w:val="20"/>
          <w:szCs w:val="20"/>
        </w:rPr>
      </w:pPr>
    </w:p>
    <w:p w14:paraId="76D1D0B8" w14:textId="1D9BEC29" w:rsidR="00BD17B0" w:rsidRPr="00992153" w:rsidRDefault="00187392" w:rsidP="007E075D">
      <w:pPr>
        <w:pStyle w:val="Heading2"/>
        <w:rPr>
          <w:lang w:val="en-US"/>
        </w:rPr>
      </w:pPr>
      <w:r w:rsidRPr="00992153">
        <w:rPr>
          <w:lang w:val="en-US"/>
        </w:rPr>
        <w:t xml:space="preserve">Executive Branch interference with the Judicial Branch </w:t>
      </w:r>
    </w:p>
    <w:p w14:paraId="3BFC939E" w14:textId="77777777" w:rsidR="009C5DA1" w:rsidRPr="002574EC" w:rsidRDefault="009C5DA1" w:rsidP="00E07D06">
      <w:pPr>
        <w:pStyle w:val="NormalWeb"/>
        <w:spacing w:before="0" w:beforeAutospacing="0" w:after="0" w:afterAutospacing="0"/>
        <w:ind w:left="426" w:hanging="426"/>
        <w:jc w:val="both"/>
        <w:textAlignment w:val="baseline"/>
        <w:rPr>
          <w:rFonts w:ascii="Cambria" w:hAnsi="Cambria"/>
          <w:b/>
          <w:bCs/>
          <w:color w:val="000000"/>
          <w:sz w:val="20"/>
          <w:szCs w:val="20"/>
        </w:rPr>
      </w:pPr>
    </w:p>
    <w:p w14:paraId="53F3B424" w14:textId="11770A1F" w:rsidR="00EA0082" w:rsidRPr="002574EC" w:rsidRDefault="00B8463E" w:rsidP="00F85814">
      <w:pPr>
        <w:pStyle w:val="ListParagraph"/>
      </w:pPr>
      <w:r w:rsidRPr="002574EC">
        <w:t xml:space="preserve">On December </w:t>
      </w:r>
      <w:r w:rsidR="00EA0082" w:rsidRPr="002574EC">
        <w:t>6</w:t>
      </w:r>
      <w:r w:rsidRPr="002574EC">
        <w:t>,</w:t>
      </w:r>
      <w:r w:rsidR="00EA0082" w:rsidRPr="002574EC">
        <w:t xml:space="preserve"> 2015</w:t>
      </w:r>
      <w:r w:rsidRPr="002574EC">
        <w:t xml:space="preserve">, parliamentary elections were held in Venezuela. </w:t>
      </w:r>
      <w:r w:rsidR="00931EA8" w:rsidRPr="002574EC">
        <w:t>G</w:t>
      </w:r>
      <w:r w:rsidR="003B550E" w:rsidRPr="002574EC">
        <w:t xml:space="preserve">overnment </w:t>
      </w:r>
      <w:r w:rsidR="00931EA8" w:rsidRPr="002574EC">
        <w:t xml:space="preserve">opponents </w:t>
      </w:r>
      <w:r w:rsidR="003B550E" w:rsidRPr="002574EC">
        <w:t xml:space="preserve">won 112 of the 167 seats of the National Assembly. </w:t>
      </w:r>
      <w:r w:rsidR="004F0594" w:rsidRPr="002574EC">
        <w:t xml:space="preserve">A few days after the results were </w:t>
      </w:r>
      <w:r w:rsidR="00C27E71" w:rsidRPr="002574EC">
        <w:t xml:space="preserve">released, a group of at least 12 judges of the Supreme Court of Justice (TSJ) applied for early retirement. This unusual event enabled the outgoing legislature, </w:t>
      </w:r>
      <w:r w:rsidR="00F67DE2" w:rsidRPr="002574EC">
        <w:t xml:space="preserve">consisting of </w:t>
      </w:r>
      <w:r w:rsidR="002E4EDA" w:rsidRPr="002574EC">
        <w:t xml:space="preserve">a majority of Maduro government allies, </w:t>
      </w:r>
      <w:r w:rsidR="00116950" w:rsidRPr="002574EC">
        <w:t>to appoint their replacements over the last week their term in office in 2015</w:t>
      </w:r>
      <w:r w:rsidR="00EA0082" w:rsidRPr="002574EC">
        <w:t xml:space="preserve">, </w:t>
      </w:r>
      <w:r w:rsidR="00116950" w:rsidRPr="002574EC">
        <w:t>in a process characterized by opacity.</w:t>
      </w:r>
      <w:r w:rsidR="00EA0082" w:rsidRPr="002574EC">
        <w:rPr>
          <w:rStyle w:val="FootnoteReference"/>
        </w:rPr>
        <w:footnoteReference w:id="8"/>
      </w:r>
    </w:p>
    <w:p w14:paraId="34D3B3AC" w14:textId="4CBCA4A0" w:rsidR="00EA0082" w:rsidRPr="002574EC" w:rsidRDefault="00EA0082" w:rsidP="00E07D06">
      <w:pPr>
        <w:pBdr>
          <w:top w:val="nil"/>
          <w:left w:val="nil"/>
          <w:bottom w:val="nil"/>
          <w:right w:val="nil"/>
          <w:between w:val="nil"/>
        </w:pBdr>
        <w:ind w:left="426" w:hanging="426"/>
        <w:jc w:val="both"/>
        <w:rPr>
          <w:rFonts w:ascii="Cambria" w:eastAsia="Cambria" w:hAnsi="Cambria" w:cs="Cambria"/>
          <w:sz w:val="20"/>
          <w:szCs w:val="20"/>
        </w:rPr>
      </w:pPr>
    </w:p>
    <w:p w14:paraId="2686239C" w14:textId="5ECD8EDF" w:rsidR="00EA0082" w:rsidRPr="002574EC" w:rsidRDefault="00116950" w:rsidP="00F85814">
      <w:pPr>
        <w:pStyle w:val="ListParagraph"/>
      </w:pPr>
      <w:r w:rsidRPr="002574EC">
        <w:lastRenderedPageBreak/>
        <w:t xml:space="preserve">On December </w:t>
      </w:r>
      <w:r w:rsidR="00EA0082" w:rsidRPr="002574EC">
        <w:t>30</w:t>
      </w:r>
      <w:r w:rsidRPr="002574EC">
        <w:t>,</w:t>
      </w:r>
      <w:r w:rsidR="00EA0082" w:rsidRPr="002574EC">
        <w:t xml:space="preserve"> 2015, </w:t>
      </w:r>
      <w:r w:rsidRPr="002574EC">
        <w:t xml:space="preserve">the </w:t>
      </w:r>
      <w:r w:rsidR="00EA0082" w:rsidRPr="002574EC">
        <w:t xml:space="preserve">TSJ </w:t>
      </w:r>
      <w:r w:rsidR="00B15BCB" w:rsidRPr="002574EC">
        <w:t xml:space="preserve">handed down decision </w:t>
      </w:r>
      <w:r w:rsidR="00EA0082" w:rsidRPr="002574EC">
        <w:t>No. 260</w:t>
      </w:r>
      <w:r w:rsidR="000A6C49" w:rsidRPr="002574EC">
        <w:t xml:space="preserve"> on </w:t>
      </w:r>
      <w:r w:rsidR="008B2332" w:rsidRPr="002574EC">
        <w:t xml:space="preserve">an appeal </w:t>
      </w:r>
      <w:r w:rsidR="006131B8" w:rsidRPr="002574EC">
        <w:t>for constitutional protection</w:t>
      </w:r>
      <w:r w:rsidR="00D952C8" w:rsidRPr="002574EC">
        <w:t xml:space="preserve"> (</w:t>
      </w:r>
      <w:r w:rsidR="00D952C8" w:rsidRPr="002574EC">
        <w:rPr>
          <w:i/>
          <w:iCs/>
        </w:rPr>
        <w:t>recurso de amparo cautelar</w:t>
      </w:r>
      <w:r w:rsidR="00D952C8" w:rsidRPr="002574EC">
        <w:t>)</w:t>
      </w:r>
      <w:r w:rsidR="006131B8" w:rsidRPr="002574EC">
        <w:t xml:space="preserve">, </w:t>
      </w:r>
      <w:r w:rsidR="00D416BA" w:rsidRPr="002574EC">
        <w:t xml:space="preserve">ordering </w:t>
      </w:r>
      <w:r w:rsidR="006131B8" w:rsidRPr="002574EC">
        <w:t xml:space="preserve">that the incoming National Assembly </w:t>
      </w:r>
      <w:r w:rsidR="002836D6" w:rsidRPr="002574EC">
        <w:t xml:space="preserve">unseat </w:t>
      </w:r>
      <w:r w:rsidR="009F7027" w:rsidRPr="002574EC">
        <w:t xml:space="preserve">a group of indigenous deputies </w:t>
      </w:r>
      <w:r w:rsidR="000B0BFF" w:rsidRPr="002574EC">
        <w:t xml:space="preserve">for alleged violation of </w:t>
      </w:r>
      <w:r w:rsidR="00D416BA" w:rsidRPr="002574EC">
        <w:t xml:space="preserve">the </w:t>
      </w:r>
      <w:r w:rsidR="000B0BFF" w:rsidRPr="002574EC">
        <w:t xml:space="preserve">constitutional right to vote and </w:t>
      </w:r>
      <w:r w:rsidR="00D416BA" w:rsidRPr="002574EC">
        <w:t xml:space="preserve">to </w:t>
      </w:r>
      <w:r w:rsidR="000B0BFF" w:rsidRPr="002574EC">
        <w:t xml:space="preserve">political participation.  In response to this decision, </w:t>
      </w:r>
      <w:r w:rsidR="00FD769D" w:rsidRPr="002574EC">
        <w:t xml:space="preserve">the Inter-American Commission </w:t>
      </w:r>
      <w:r w:rsidR="000B77B2" w:rsidRPr="002574EC">
        <w:t xml:space="preserve">voiced its concern over the lack of representation of indigenous peoples in the National Assembly of Venezuela and issued an appeal to </w:t>
      </w:r>
      <w:r w:rsidR="003679FF" w:rsidRPr="002574EC">
        <w:t>the authoriti</w:t>
      </w:r>
      <w:r w:rsidR="007E21EF" w:rsidRPr="002574EC">
        <w:t>e</w:t>
      </w:r>
      <w:r w:rsidR="003679FF" w:rsidRPr="002574EC">
        <w:t>s of the State</w:t>
      </w:r>
      <w:r w:rsidR="00F61D50" w:rsidRPr="002574EC">
        <w:t xml:space="preserve"> </w:t>
      </w:r>
      <w:r w:rsidR="006677E7" w:rsidRPr="002574EC">
        <w:t xml:space="preserve">to not strip indigenous peoples of their right to have their own parliamentary representation, while </w:t>
      </w:r>
      <w:r w:rsidR="00717EFC" w:rsidRPr="002574EC">
        <w:t xml:space="preserve">judicial remedies are </w:t>
      </w:r>
      <w:r w:rsidR="006677E7" w:rsidRPr="002574EC">
        <w:t xml:space="preserve">being </w:t>
      </w:r>
      <w:r w:rsidR="00717EFC" w:rsidRPr="002574EC">
        <w:t xml:space="preserve">pursued to nullify </w:t>
      </w:r>
      <w:r w:rsidR="003B0028" w:rsidRPr="002574EC">
        <w:t>an election</w:t>
      </w:r>
      <w:r w:rsidR="001D162F" w:rsidRPr="002574EC">
        <w:t xml:space="preserve">, </w:t>
      </w:r>
      <w:r w:rsidR="008159A8" w:rsidRPr="002574EC">
        <w:t>pursuant to due process guarantees.</w:t>
      </w:r>
      <w:r w:rsidR="00EA0082" w:rsidRPr="002574EC">
        <w:rPr>
          <w:rStyle w:val="FootnoteReference"/>
        </w:rPr>
        <w:footnoteReference w:id="9"/>
      </w:r>
    </w:p>
    <w:p w14:paraId="4ABDC48C" w14:textId="6D2A07B9" w:rsidR="00EA0082" w:rsidRPr="002574EC" w:rsidRDefault="00EA0082" w:rsidP="00E07D06">
      <w:pPr>
        <w:pBdr>
          <w:top w:val="nil"/>
          <w:left w:val="nil"/>
          <w:bottom w:val="nil"/>
          <w:right w:val="nil"/>
          <w:between w:val="nil"/>
        </w:pBdr>
        <w:ind w:left="426" w:hanging="426"/>
        <w:jc w:val="both"/>
        <w:rPr>
          <w:rFonts w:ascii="Cambria" w:eastAsia="Cambria" w:hAnsi="Cambria" w:cs="Cambria"/>
          <w:sz w:val="20"/>
          <w:szCs w:val="20"/>
        </w:rPr>
      </w:pPr>
    </w:p>
    <w:p w14:paraId="3063C6AA" w14:textId="03B86D80" w:rsidR="00EA0082" w:rsidRPr="002574EC" w:rsidRDefault="00ED6643" w:rsidP="00F85814">
      <w:pPr>
        <w:pStyle w:val="ListParagraph"/>
      </w:pPr>
      <w:r w:rsidRPr="002574EC">
        <w:t xml:space="preserve">On January </w:t>
      </w:r>
      <w:r w:rsidR="00EA0082" w:rsidRPr="002574EC">
        <w:t>11</w:t>
      </w:r>
      <w:r w:rsidRPr="002574EC">
        <w:t>,</w:t>
      </w:r>
      <w:r w:rsidR="00EA0082" w:rsidRPr="002574EC">
        <w:t xml:space="preserve"> 2016, </w:t>
      </w:r>
      <w:r w:rsidRPr="002574EC">
        <w:t xml:space="preserve">the Electoral Chamber of the </w:t>
      </w:r>
      <w:r w:rsidR="00EA0082" w:rsidRPr="002574EC">
        <w:t xml:space="preserve">TSJ </w:t>
      </w:r>
      <w:r w:rsidR="00FE6AA9" w:rsidRPr="002574EC">
        <w:t xml:space="preserve">declared </w:t>
      </w:r>
      <w:r w:rsidR="005727BE" w:rsidRPr="002574EC">
        <w:t xml:space="preserve">the National Assembly in contempt. This decision was upheld subsequently in judgments of August 1, 2016 and September 2, 2016.  </w:t>
      </w:r>
      <w:r w:rsidR="00CB0F8B" w:rsidRPr="002574EC">
        <w:t xml:space="preserve">In this way, </w:t>
      </w:r>
      <w:r w:rsidR="00A072F8" w:rsidRPr="002574EC">
        <w:t>the TSJ curtailed the powers of the National Assembly, declaring its acts null and void</w:t>
      </w:r>
      <w:r w:rsidR="004733B5" w:rsidRPr="002574EC">
        <w:t>, inapplicable</w:t>
      </w:r>
      <w:r w:rsidR="00A072F8" w:rsidRPr="002574EC">
        <w:t xml:space="preserve"> and </w:t>
      </w:r>
      <w:r w:rsidR="00FF0301" w:rsidRPr="002574EC">
        <w:t>lacking legal effect</w:t>
      </w:r>
      <w:r w:rsidR="00714369" w:rsidRPr="002574EC">
        <w:t xml:space="preserve"> </w:t>
      </w:r>
      <w:r w:rsidR="001063E4" w:rsidRPr="002574EC">
        <w:t xml:space="preserve">for as long as it remained in </w:t>
      </w:r>
      <w:r w:rsidR="00714369" w:rsidRPr="002574EC">
        <w:t xml:space="preserve">contempt. </w:t>
      </w:r>
      <w:r w:rsidR="00F5188F" w:rsidRPr="002574EC">
        <w:t xml:space="preserve">In this regard, the IACHR notes that the </w:t>
      </w:r>
      <w:r w:rsidR="001101CF" w:rsidRPr="002574EC">
        <w:t xml:space="preserve">contempt charge, as used by the TSJ, would not appear to be regulated under Venezuelan law, which provides only for fines </w:t>
      </w:r>
      <w:r w:rsidR="00D524DC" w:rsidRPr="002574EC">
        <w:t>when</w:t>
      </w:r>
      <w:r w:rsidR="000221C8" w:rsidRPr="002574EC">
        <w:t xml:space="preserve"> there is a failure to abide by</w:t>
      </w:r>
      <w:r w:rsidR="00D524DC" w:rsidRPr="002574EC">
        <w:t xml:space="preserve"> judicial rulings.</w:t>
      </w:r>
      <w:r w:rsidR="00EA0082" w:rsidRPr="002574EC">
        <w:rPr>
          <w:rStyle w:val="FootnoteReference"/>
        </w:rPr>
        <w:footnoteReference w:id="10"/>
      </w:r>
    </w:p>
    <w:p w14:paraId="614FB9BE" w14:textId="77777777" w:rsidR="00E52FE4" w:rsidRPr="002574EC" w:rsidRDefault="00E52FE4" w:rsidP="00E07D06">
      <w:pPr>
        <w:pStyle w:val="NormalWeb"/>
        <w:spacing w:before="0" w:beforeAutospacing="0" w:after="0" w:afterAutospacing="0"/>
        <w:ind w:left="426" w:hanging="426"/>
        <w:jc w:val="both"/>
        <w:textAlignment w:val="baseline"/>
        <w:rPr>
          <w:color w:val="000000"/>
          <w:shd w:val="clear" w:color="auto" w:fill="FFFFFF"/>
        </w:rPr>
      </w:pPr>
    </w:p>
    <w:p w14:paraId="3CA2C350" w14:textId="72A20C6B" w:rsidR="00E52FE4" w:rsidRPr="002574EC" w:rsidRDefault="006C4F40" w:rsidP="00F85814">
      <w:pPr>
        <w:pStyle w:val="ListParagraph"/>
      </w:pPr>
      <w:r w:rsidRPr="002574EC">
        <w:t xml:space="preserve">On December </w:t>
      </w:r>
      <w:r w:rsidR="00E52FE4" w:rsidRPr="002574EC">
        <w:t>14</w:t>
      </w:r>
      <w:r w:rsidRPr="002574EC">
        <w:t>,</w:t>
      </w:r>
      <w:r w:rsidR="00E52FE4" w:rsidRPr="002574EC">
        <w:t xml:space="preserve"> 2016, </w:t>
      </w:r>
      <w:r w:rsidRPr="002574EC">
        <w:t xml:space="preserve">the IACHR </w:t>
      </w:r>
      <w:r w:rsidR="00BC2DA8" w:rsidRPr="002574EC">
        <w:t>expressed deep concern over the fact that the TSJ declared the parliament in contempt,</w:t>
      </w:r>
      <w:r w:rsidR="00E52FE4" w:rsidRPr="002574EC">
        <w:rPr>
          <w:rStyle w:val="FootnoteReference"/>
        </w:rPr>
        <w:footnoteReference w:id="11"/>
      </w:r>
      <w:r w:rsidR="006075E6" w:rsidRPr="002574EC">
        <w:t xml:space="preserve"> and clarified that while it is important </w:t>
      </w:r>
      <w:r w:rsidR="0093503D" w:rsidRPr="002574EC">
        <w:t xml:space="preserve">to </w:t>
      </w:r>
      <w:r w:rsidR="004B7045" w:rsidRPr="002574EC">
        <w:t xml:space="preserve">the </w:t>
      </w:r>
      <w:r w:rsidR="006075E6" w:rsidRPr="002574EC">
        <w:t>rule of law for judicial rulings to be complied with, the use of the charge of contempt in this case is incompatible with democratic principles</w:t>
      </w:r>
      <w:r w:rsidR="0006470E" w:rsidRPr="002574EC">
        <w:t xml:space="preserve">, </w:t>
      </w:r>
      <w:r w:rsidR="00122909" w:rsidRPr="002574EC">
        <w:t xml:space="preserve">because </w:t>
      </w:r>
      <w:r w:rsidR="0006470E" w:rsidRPr="002574EC">
        <w:t>it is disproportional and violates the separation of powers and independence of the branches of government</w:t>
      </w:r>
      <w:r w:rsidR="00122909" w:rsidRPr="002574EC">
        <w:t>, in</w:t>
      </w:r>
      <w:r w:rsidR="00B536A5" w:rsidRPr="002574EC">
        <w:t>as</w:t>
      </w:r>
      <w:r w:rsidR="00122909" w:rsidRPr="002574EC">
        <w:t xml:space="preserve">much as </w:t>
      </w:r>
      <w:r w:rsidR="002F5025" w:rsidRPr="002574EC">
        <w:t>it prevents one branch of government from legitimately</w:t>
      </w:r>
      <w:r w:rsidR="00A31C30" w:rsidRPr="002574EC">
        <w:t xml:space="preserve"> performing its functions.</w:t>
      </w:r>
      <w:r w:rsidR="00E52FE4" w:rsidRPr="002574EC">
        <w:rPr>
          <w:rStyle w:val="FootnoteReference"/>
        </w:rPr>
        <w:footnoteReference w:id="12"/>
      </w:r>
      <w:r w:rsidR="008777DB" w:rsidRPr="002574EC">
        <w:t xml:space="preserve"> </w:t>
      </w:r>
      <w:r w:rsidR="00BB2850" w:rsidRPr="002574EC">
        <w:t xml:space="preserve"> </w:t>
      </w:r>
      <w:r w:rsidR="00CD1890" w:rsidRPr="002574EC">
        <w:t xml:space="preserve">Moreover, according to reports of civil society, </w:t>
      </w:r>
      <w:r w:rsidR="00704ED5" w:rsidRPr="002574EC">
        <w:t xml:space="preserve">after suspending the powers of the National Assembly, the TSJ made a </w:t>
      </w:r>
      <w:r w:rsidR="005350A1" w:rsidRPr="002574EC">
        <w:t xml:space="preserve">number </w:t>
      </w:r>
      <w:r w:rsidR="00704ED5" w:rsidRPr="002574EC">
        <w:t>of decision</w:t>
      </w:r>
      <w:r w:rsidR="009379D3" w:rsidRPr="002574EC">
        <w:t xml:space="preserve">s </w:t>
      </w:r>
      <w:r w:rsidR="00505E05" w:rsidRPr="002574EC">
        <w:t xml:space="preserve">arrogating </w:t>
      </w:r>
      <w:r w:rsidR="00D2773D" w:rsidRPr="002574EC">
        <w:t xml:space="preserve">to </w:t>
      </w:r>
      <w:r w:rsidR="00242932" w:rsidRPr="002574EC">
        <w:t xml:space="preserve">itself powers belonging to the legislative branch. For example, the TSJ </w:t>
      </w:r>
      <w:r w:rsidR="00704ED5" w:rsidRPr="002574EC">
        <w:t>declared itself the competent authority to</w:t>
      </w:r>
      <w:r w:rsidR="00242932" w:rsidRPr="002574EC">
        <w:t xml:space="preserve"> carry out the function of national budget control,</w:t>
      </w:r>
      <w:r w:rsidR="00E52FE4" w:rsidRPr="002574EC">
        <w:rPr>
          <w:rStyle w:val="FootnoteReference"/>
        </w:rPr>
        <w:footnoteReference w:id="13"/>
      </w:r>
      <w:r w:rsidR="00E52FE4" w:rsidRPr="002574EC">
        <w:t xml:space="preserve"> </w:t>
      </w:r>
      <w:r w:rsidR="00242932" w:rsidRPr="002574EC">
        <w:t xml:space="preserve">it gave itself the power to receive the annual </w:t>
      </w:r>
      <w:r w:rsidR="00065F85" w:rsidRPr="002574EC">
        <w:t xml:space="preserve">state of the nation address </w:t>
      </w:r>
      <w:r w:rsidR="00A15B37" w:rsidRPr="002574EC">
        <w:t>from the President of the Republic (</w:t>
      </w:r>
      <w:r w:rsidR="00A15B37" w:rsidRPr="002574EC">
        <w:rPr>
          <w:i/>
          <w:iCs/>
        </w:rPr>
        <w:t>Memoria y cuenta</w:t>
      </w:r>
      <w:r w:rsidR="00A15B37" w:rsidRPr="002574EC">
        <w:t>).</w:t>
      </w:r>
      <w:r w:rsidR="00E52FE4" w:rsidRPr="002574EC">
        <w:rPr>
          <w:rStyle w:val="FootnoteReference"/>
        </w:rPr>
        <w:footnoteReference w:id="14"/>
      </w:r>
      <w:r w:rsidR="0025576B" w:rsidRPr="002574EC">
        <w:t xml:space="preserve"> </w:t>
      </w:r>
      <w:r w:rsidR="00E52FE4" w:rsidRPr="002574EC">
        <w:t xml:space="preserve"> </w:t>
      </w:r>
      <w:r w:rsidR="00A15B37" w:rsidRPr="002574EC">
        <w:t xml:space="preserve">In addition, the TSJ did away with the power of the National Assembly to create joint ventures in the area of hydrocarbons, adding that, </w:t>
      </w:r>
      <w:r w:rsidR="002D2947" w:rsidRPr="002574EC">
        <w:t>for as long as the contempt remains, it w</w:t>
      </w:r>
      <w:r w:rsidR="006F5CAE" w:rsidRPr="002574EC">
        <w:t>ould be</w:t>
      </w:r>
      <w:r w:rsidR="002D2947" w:rsidRPr="002574EC">
        <w:t xml:space="preserve"> tak</w:t>
      </w:r>
      <w:r w:rsidR="007D7EE0" w:rsidRPr="002574EC">
        <w:t>ing</w:t>
      </w:r>
      <w:r w:rsidR="002D2947" w:rsidRPr="002574EC">
        <w:t xml:space="preserve"> on parliamentary duties.</w:t>
      </w:r>
      <w:r w:rsidR="00E52FE4" w:rsidRPr="002574EC">
        <w:rPr>
          <w:rStyle w:val="FootnoteReference"/>
        </w:rPr>
        <w:footnoteReference w:id="15"/>
      </w:r>
    </w:p>
    <w:p w14:paraId="375E6C64" w14:textId="77777777" w:rsidR="00416B9F" w:rsidRPr="002574EC" w:rsidRDefault="00416B9F" w:rsidP="00E07D06">
      <w:pPr>
        <w:pBdr>
          <w:top w:val="nil"/>
          <w:left w:val="nil"/>
          <w:bottom w:val="nil"/>
          <w:right w:val="nil"/>
          <w:between w:val="nil"/>
        </w:pBdr>
        <w:ind w:left="426" w:hanging="426"/>
        <w:jc w:val="both"/>
        <w:rPr>
          <w:rFonts w:ascii="Cambria" w:eastAsia="Cambria" w:hAnsi="Cambria" w:cs="Cambria"/>
          <w:sz w:val="20"/>
          <w:szCs w:val="20"/>
        </w:rPr>
      </w:pPr>
    </w:p>
    <w:p w14:paraId="36D184DC" w14:textId="2118988C" w:rsidR="00416B9F" w:rsidRPr="002574EC" w:rsidRDefault="00CA23DB" w:rsidP="00F85814">
      <w:pPr>
        <w:pStyle w:val="ListParagraph"/>
      </w:pPr>
      <w:r w:rsidRPr="002574EC">
        <w:t xml:space="preserve">On March </w:t>
      </w:r>
      <w:r w:rsidR="00416B9F" w:rsidRPr="002574EC">
        <w:t xml:space="preserve">28 </w:t>
      </w:r>
      <w:r w:rsidRPr="002574EC">
        <w:t>and</w:t>
      </w:r>
      <w:r w:rsidR="00416B9F" w:rsidRPr="002574EC">
        <w:t xml:space="preserve"> 29</w:t>
      </w:r>
      <w:r w:rsidRPr="002574EC">
        <w:t>,</w:t>
      </w:r>
      <w:r w:rsidR="00416B9F" w:rsidRPr="002574EC">
        <w:t xml:space="preserve"> 2017, </w:t>
      </w:r>
      <w:r w:rsidRPr="002574EC">
        <w:t xml:space="preserve">the Constitutional Chamber of the TSJ issued decisions </w:t>
      </w:r>
      <w:r w:rsidR="00F232FB" w:rsidRPr="002574EC">
        <w:t>No. 155 and 156,</w:t>
      </w:r>
      <w:r w:rsidR="00416B9F" w:rsidRPr="002574EC">
        <w:t xml:space="preserve"> </w:t>
      </w:r>
      <w:r w:rsidR="00FC6F8D" w:rsidRPr="002574EC">
        <w:t xml:space="preserve">stripping some opposition </w:t>
      </w:r>
      <w:r w:rsidR="009924B2" w:rsidRPr="002574EC">
        <w:t xml:space="preserve">National Assembly </w:t>
      </w:r>
      <w:r w:rsidR="00FC6F8D" w:rsidRPr="002574EC">
        <w:t>deputies of their parliamentary immunity and establishing that their acts constitute treason against the</w:t>
      </w:r>
      <w:r w:rsidR="0013568D" w:rsidRPr="002574EC">
        <w:t xml:space="preserve"> homeland</w:t>
      </w:r>
      <w:r w:rsidR="00FC6F8D" w:rsidRPr="002574EC">
        <w:t xml:space="preserve">. </w:t>
      </w:r>
      <w:r w:rsidR="00145D8E" w:rsidRPr="002574EC">
        <w:t xml:space="preserve">Additionally, it granted the executive branch the broadest of discretionary powers and decided that several powers of the legislative branch would be </w:t>
      </w:r>
      <w:r w:rsidR="00826E23" w:rsidRPr="002574EC">
        <w:t>directly exercised by the Constitutional Chamber or by any body of its choosing.</w:t>
      </w:r>
      <w:r w:rsidR="00416B9F" w:rsidRPr="002574EC">
        <w:rPr>
          <w:rStyle w:val="FootnoteReference"/>
        </w:rPr>
        <w:footnoteReference w:id="16"/>
      </w:r>
    </w:p>
    <w:p w14:paraId="5FBC36AD" w14:textId="528A7B17" w:rsidR="008C1966" w:rsidRPr="002574EC" w:rsidRDefault="008C1966" w:rsidP="00E07D06">
      <w:pPr>
        <w:pBdr>
          <w:top w:val="nil"/>
          <w:left w:val="nil"/>
          <w:bottom w:val="nil"/>
          <w:right w:val="nil"/>
          <w:between w:val="nil"/>
        </w:pBdr>
        <w:ind w:left="426" w:hanging="426"/>
        <w:jc w:val="both"/>
        <w:rPr>
          <w:rFonts w:ascii="Cambria" w:eastAsia="Cambria" w:hAnsi="Cambria" w:cs="Cambria"/>
          <w:sz w:val="20"/>
          <w:szCs w:val="20"/>
        </w:rPr>
      </w:pPr>
    </w:p>
    <w:p w14:paraId="07ABB7DB" w14:textId="6465D213" w:rsidR="008C1966" w:rsidRPr="002574EC" w:rsidRDefault="002C13E7" w:rsidP="00F85814">
      <w:pPr>
        <w:pStyle w:val="ListParagraph"/>
      </w:pPr>
      <w:r w:rsidRPr="002574EC">
        <w:rPr>
          <w:lang w:eastAsia="en-US"/>
        </w:rPr>
        <w:t>The Inter-American Commission condemns these decisions and notes that they constitute a usurpation of the functions of the legislative branch by the judicial and executive branch</w:t>
      </w:r>
      <w:r w:rsidR="00C86018" w:rsidRPr="002574EC">
        <w:rPr>
          <w:lang w:eastAsia="en-US"/>
        </w:rPr>
        <w:t>es</w:t>
      </w:r>
      <w:r w:rsidRPr="002574EC">
        <w:rPr>
          <w:lang w:eastAsia="en-US"/>
        </w:rPr>
        <w:t>,</w:t>
      </w:r>
      <w:r w:rsidR="00C86018" w:rsidRPr="002574EC">
        <w:rPr>
          <w:lang w:eastAsia="en-US"/>
        </w:rPr>
        <w:t xml:space="preserve"> as well as </w:t>
      </w:r>
      <w:r w:rsidR="00127090" w:rsidRPr="002574EC">
        <w:rPr>
          <w:lang w:eastAsia="en-US"/>
        </w:rPr>
        <w:t xml:space="preserve">a </w:t>
      </w:r>
      <w:r w:rsidR="00127090" w:rsidRPr="002574EC">
        <w:rPr>
          <w:i/>
          <w:iCs/>
          <w:lang w:eastAsia="en-US"/>
        </w:rPr>
        <w:t>de</w:t>
      </w:r>
      <w:r w:rsidR="003E0CEB" w:rsidRPr="002574EC">
        <w:rPr>
          <w:i/>
          <w:iCs/>
          <w:lang w:eastAsia="en-US"/>
        </w:rPr>
        <w:t xml:space="preserve"> </w:t>
      </w:r>
      <w:r w:rsidR="00127090" w:rsidRPr="002574EC">
        <w:rPr>
          <w:i/>
          <w:iCs/>
          <w:lang w:eastAsia="en-US"/>
        </w:rPr>
        <w:t>facto</w:t>
      </w:r>
      <w:r w:rsidR="003E0CEB" w:rsidRPr="002574EC">
        <w:rPr>
          <w:lang w:eastAsia="en-US"/>
        </w:rPr>
        <w:t xml:space="preserve"> </w:t>
      </w:r>
      <w:r w:rsidR="003E0CEB" w:rsidRPr="002574EC">
        <w:rPr>
          <w:lang w:eastAsia="en-US"/>
        </w:rPr>
        <w:lastRenderedPageBreak/>
        <w:t>annulment of the popular vote whereby the deputies were elected to the National Assembly.</w:t>
      </w:r>
      <w:r w:rsidR="008C1966" w:rsidRPr="002574EC">
        <w:rPr>
          <w:rStyle w:val="FootnoteReference"/>
        </w:rPr>
        <w:footnoteReference w:id="17"/>
      </w:r>
      <w:r w:rsidR="003E0CEB" w:rsidRPr="002574EC">
        <w:rPr>
          <w:lang w:eastAsia="en-US"/>
        </w:rPr>
        <w:t xml:space="preserve"> I</w:t>
      </w:r>
      <w:r w:rsidR="007406E1" w:rsidRPr="002574EC">
        <w:rPr>
          <w:lang w:eastAsia="en-US"/>
        </w:rPr>
        <w:t>t</w:t>
      </w:r>
      <w:r w:rsidR="003E0CEB" w:rsidRPr="002574EC">
        <w:rPr>
          <w:lang w:eastAsia="en-US"/>
        </w:rPr>
        <w:t xml:space="preserve"> should be emphasized that decisions </w:t>
      </w:r>
      <w:r w:rsidR="008C1966" w:rsidRPr="002574EC">
        <w:rPr>
          <w:lang w:eastAsia="en-US"/>
        </w:rPr>
        <w:t xml:space="preserve">155 </w:t>
      </w:r>
      <w:r w:rsidR="003E0CEB" w:rsidRPr="002574EC">
        <w:rPr>
          <w:lang w:eastAsia="en-US"/>
        </w:rPr>
        <w:t>and</w:t>
      </w:r>
      <w:r w:rsidR="008C1966" w:rsidRPr="002574EC">
        <w:rPr>
          <w:lang w:eastAsia="en-US"/>
        </w:rPr>
        <w:t xml:space="preserve"> 156 </w:t>
      </w:r>
      <w:r w:rsidR="007F0469" w:rsidRPr="002574EC">
        <w:rPr>
          <w:lang w:eastAsia="en-US"/>
        </w:rPr>
        <w:t xml:space="preserve">gave rise to a period of mass protests, which were violently put down by the State security forces and </w:t>
      </w:r>
      <w:r w:rsidR="00914020" w:rsidRPr="002574EC">
        <w:rPr>
          <w:lang w:eastAsia="en-US"/>
        </w:rPr>
        <w:t xml:space="preserve">armed </w:t>
      </w:r>
      <w:r w:rsidR="007F0469" w:rsidRPr="002574EC">
        <w:rPr>
          <w:lang w:eastAsia="en-US"/>
        </w:rPr>
        <w:t>irregular civilian groups known as “</w:t>
      </w:r>
      <w:r w:rsidR="007F0469" w:rsidRPr="002574EC">
        <w:rPr>
          <w:i/>
          <w:iCs/>
          <w:lang w:eastAsia="en-US"/>
        </w:rPr>
        <w:t>colectivos.</w:t>
      </w:r>
      <w:r w:rsidR="008C1966" w:rsidRPr="002574EC">
        <w:rPr>
          <w:lang w:eastAsia="en-US"/>
        </w:rPr>
        <w:t>”</w:t>
      </w:r>
      <w:r w:rsidR="008C1966" w:rsidRPr="002574EC">
        <w:rPr>
          <w:rStyle w:val="FootnoteReference"/>
        </w:rPr>
        <w:footnoteReference w:id="18"/>
      </w:r>
    </w:p>
    <w:p w14:paraId="3F097269" w14:textId="68770E38" w:rsidR="008C1966" w:rsidRPr="002574EC" w:rsidRDefault="008C1966" w:rsidP="00E07D06">
      <w:pPr>
        <w:pBdr>
          <w:top w:val="nil"/>
          <w:left w:val="nil"/>
          <w:bottom w:val="nil"/>
          <w:right w:val="nil"/>
          <w:between w:val="nil"/>
        </w:pBdr>
        <w:ind w:left="426" w:hanging="426"/>
        <w:jc w:val="both"/>
        <w:rPr>
          <w:rFonts w:ascii="Cambria" w:eastAsia="Cambria" w:hAnsi="Cambria" w:cs="Cambria"/>
          <w:sz w:val="20"/>
          <w:szCs w:val="20"/>
        </w:rPr>
      </w:pPr>
    </w:p>
    <w:p w14:paraId="354DDA32" w14:textId="33564EE9" w:rsidR="008C1966" w:rsidRPr="002574EC" w:rsidRDefault="003451D8" w:rsidP="00F85814">
      <w:pPr>
        <w:pStyle w:val="ListParagraph"/>
      </w:pPr>
      <w:r w:rsidRPr="002574EC">
        <w:rPr>
          <w:lang w:eastAsia="en-US"/>
        </w:rPr>
        <w:t xml:space="preserve">On May </w:t>
      </w:r>
      <w:r w:rsidR="008C1966" w:rsidRPr="002574EC">
        <w:rPr>
          <w:lang w:eastAsia="en-US"/>
        </w:rPr>
        <w:t>1</w:t>
      </w:r>
      <w:r w:rsidRPr="002574EC">
        <w:rPr>
          <w:lang w:eastAsia="en-US"/>
        </w:rPr>
        <w:t>,</w:t>
      </w:r>
      <w:r w:rsidR="008C1966" w:rsidRPr="002574EC">
        <w:rPr>
          <w:lang w:eastAsia="en-US"/>
        </w:rPr>
        <w:t xml:space="preserve"> 2017, </w:t>
      </w:r>
      <w:r w:rsidR="0048549D" w:rsidRPr="002574EC">
        <w:rPr>
          <w:lang w:eastAsia="en-US"/>
        </w:rPr>
        <w:t xml:space="preserve">President </w:t>
      </w:r>
      <w:r w:rsidR="008C1966" w:rsidRPr="002574EC">
        <w:rPr>
          <w:lang w:eastAsia="en-US"/>
        </w:rPr>
        <w:t xml:space="preserve">Nicolás Maduro </w:t>
      </w:r>
      <w:r w:rsidR="0048549D" w:rsidRPr="002574EC">
        <w:rPr>
          <w:lang w:eastAsia="en-US"/>
        </w:rPr>
        <w:t>convened</w:t>
      </w:r>
      <w:r w:rsidR="002B2F22" w:rsidRPr="002574EC">
        <w:rPr>
          <w:lang w:eastAsia="en-US"/>
        </w:rPr>
        <w:t>,</w:t>
      </w:r>
      <w:r w:rsidR="0048549D" w:rsidRPr="002574EC">
        <w:rPr>
          <w:lang w:eastAsia="en-US"/>
        </w:rPr>
        <w:t xml:space="preserve"> </w:t>
      </w:r>
      <w:r w:rsidR="002B2F22" w:rsidRPr="002574EC">
        <w:rPr>
          <w:lang w:eastAsia="en-US"/>
        </w:rPr>
        <w:t xml:space="preserve">by means of </w:t>
      </w:r>
      <w:r w:rsidR="0048549D" w:rsidRPr="002574EC">
        <w:rPr>
          <w:lang w:eastAsia="en-US"/>
        </w:rPr>
        <w:t>an executive decree</w:t>
      </w:r>
      <w:r w:rsidR="002B2F22" w:rsidRPr="002574EC">
        <w:rPr>
          <w:lang w:eastAsia="en-US"/>
        </w:rPr>
        <w:t>,</w:t>
      </w:r>
      <w:r w:rsidR="0048549D" w:rsidRPr="002574EC">
        <w:rPr>
          <w:lang w:eastAsia="en-US"/>
        </w:rPr>
        <w:t xml:space="preserve"> a National Constituent Assembly </w:t>
      </w:r>
      <w:r w:rsidR="00DA1249" w:rsidRPr="002574EC">
        <w:rPr>
          <w:lang w:eastAsia="en-US"/>
        </w:rPr>
        <w:t xml:space="preserve">on the grounds that it would bring peace and would draft a new political constitution. </w:t>
      </w:r>
      <w:r w:rsidR="002B2F22" w:rsidRPr="002574EC">
        <w:rPr>
          <w:lang w:eastAsia="en-US"/>
        </w:rPr>
        <w:t xml:space="preserve">The TSJ validated the convening of a constituent assembly without </w:t>
      </w:r>
      <w:r w:rsidR="0048549D" w:rsidRPr="002574EC">
        <w:rPr>
          <w:lang w:eastAsia="en-US"/>
        </w:rPr>
        <w:t xml:space="preserve"> </w:t>
      </w:r>
      <w:r w:rsidR="00162D6B" w:rsidRPr="002574EC">
        <w:rPr>
          <w:lang w:eastAsia="en-US"/>
        </w:rPr>
        <w:t xml:space="preserve">any national referendum being held, by means of executive decree, despite serious </w:t>
      </w:r>
      <w:r w:rsidR="00B14ABE" w:rsidRPr="002574EC">
        <w:rPr>
          <w:lang w:eastAsia="en-US"/>
        </w:rPr>
        <w:t xml:space="preserve">questions as </w:t>
      </w:r>
      <w:r w:rsidR="00162D6B" w:rsidRPr="002574EC">
        <w:rPr>
          <w:lang w:eastAsia="en-US"/>
        </w:rPr>
        <w:t>to its legitimacy and</w:t>
      </w:r>
      <w:r w:rsidR="008E3500" w:rsidRPr="002574EC">
        <w:rPr>
          <w:lang w:eastAsia="en-US"/>
        </w:rPr>
        <w:t xml:space="preserve"> formation</w:t>
      </w:r>
      <w:r w:rsidR="00162D6B" w:rsidRPr="002574EC">
        <w:rPr>
          <w:lang w:eastAsia="en-US"/>
        </w:rPr>
        <w:t>.</w:t>
      </w:r>
      <w:r w:rsidR="008C1966" w:rsidRPr="002574EC">
        <w:rPr>
          <w:rStyle w:val="FootnoteReference"/>
        </w:rPr>
        <w:footnoteReference w:id="19"/>
      </w:r>
    </w:p>
    <w:p w14:paraId="6218BA62" w14:textId="69B326FA" w:rsidR="008C1966" w:rsidRPr="002574EC" w:rsidRDefault="008C1966" w:rsidP="00E07D06">
      <w:pPr>
        <w:pBdr>
          <w:top w:val="nil"/>
          <w:left w:val="nil"/>
          <w:bottom w:val="nil"/>
          <w:right w:val="nil"/>
          <w:between w:val="nil"/>
        </w:pBdr>
        <w:ind w:left="426" w:hanging="426"/>
        <w:jc w:val="both"/>
        <w:rPr>
          <w:rFonts w:ascii="Cambria" w:eastAsia="Cambria" w:hAnsi="Cambria" w:cs="Cambria"/>
          <w:sz w:val="20"/>
          <w:szCs w:val="20"/>
        </w:rPr>
      </w:pPr>
    </w:p>
    <w:p w14:paraId="578B888A" w14:textId="41F342CD" w:rsidR="008C1966" w:rsidRPr="002574EC" w:rsidRDefault="00A0269E" w:rsidP="00F85814">
      <w:pPr>
        <w:pStyle w:val="ListParagraph"/>
      </w:pPr>
      <w:r w:rsidRPr="002574EC">
        <w:t xml:space="preserve">On January </w:t>
      </w:r>
      <w:r w:rsidR="008C1966" w:rsidRPr="002574EC">
        <w:t>10</w:t>
      </w:r>
      <w:r w:rsidRPr="002574EC">
        <w:t>,</w:t>
      </w:r>
      <w:r w:rsidR="008C1966" w:rsidRPr="002574EC">
        <w:t xml:space="preserve"> 2019, Nicolás Maduro </w:t>
      </w:r>
      <w:r w:rsidRPr="002574EC">
        <w:t xml:space="preserve">was sworn into office for a new presidential term </w:t>
      </w:r>
      <w:r w:rsidR="00B50001" w:rsidRPr="002574EC">
        <w:t>by the TSJ, and not</w:t>
      </w:r>
      <w:r w:rsidR="005B3EC8" w:rsidRPr="002574EC">
        <w:t xml:space="preserve"> by the National Assembly, as the Constitution</w:t>
      </w:r>
      <w:r w:rsidR="00773265" w:rsidRPr="002574EC">
        <w:t xml:space="preserve"> </w:t>
      </w:r>
      <w:r w:rsidR="00872DC3" w:rsidRPr="002574EC">
        <w:t xml:space="preserve">requires </w:t>
      </w:r>
      <w:r w:rsidR="00923E6E" w:rsidRPr="002574EC">
        <w:t xml:space="preserve">it </w:t>
      </w:r>
      <w:r w:rsidR="00A77A72" w:rsidRPr="002574EC">
        <w:t xml:space="preserve">should </w:t>
      </w:r>
      <w:r w:rsidR="002A4275" w:rsidRPr="002574EC">
        <w:t xml:space="preserve">be </w:t>
      </w:r>
      <w:r w:rsidR="0031574D" w:rsidRPr="002574EC">
        <w:t xml:space="preserve">in normal circumstances. </w:t>
      </w:r>
      <w:r w:rsidR="000A287A" w:rsidRPr="002574EC">
        <w:t>This</w:t>
      </w:r>
      <w:r w:rsidR="00743850" w:rsidRPr="002574EC">
        <w:t xml:space="preserve"> took place after the TSJ made a decision reiterating that the National Assembly was in contempt and that its acts were </w:t>
      </w:r>
      <w:r w:rsidR="00747E8B" w:rsidRPr="002574EC">
        <w:t xml:space="preserve">inapplicable and had no legal effect. </w:t>
      </w:r>
      <w:r w:rsidR="00A7363F" w:rsidRPr="002574EC">
        <w:t xml:space="preserve">On this score, </w:t>
      </w:r>
      <w:r w:rsidR="001317DF" w:rsidRPr="002574EC">
        <w:t xml:space="preserve">the Commission </w:t>
      </w:r>
      <w:r w:rsidR="003D11B8" w:rsidRPr="002574EC">
        <w:t xml:space="preserve">issued </w:t>
      </w:r>
      <w:r w:rsidR="00A51163" w:rsidRPr="002574EC">
        <w:t xml:space="preserve">a pronouncement </w:t>
      </w:r>
      <w:r w:rsidR="00AC56F4" w:rsidRPr="002574EC">
        <w:t xml:space="preserve">on </w:t>
      </w:r>
      <w:r w:rsidR="00717DBB" w:rsidRPr="002574EC">
        <w:t>the new presidential term</w:t>
      </w:r>
      <w:r w:rsidR="00AC56F4" w:rsidRPr="002574EC">
        <w:t>, warning that it further weakens Venezuela</w:t>
      </w:r>
      <w:r w:rsidR="002F1E47" w:rsidRPr="002574EC">
        <w:t>n</w:t>
      </w:r>
      <w:r w:rsidR="00AC56F4" w:rsidRPr="002574EC">
        <w:t xml:space="preserve"> institutions.</w:t>
      </w:r>
      <w:r w:rsidR="008C1966" w:rsidRPr="002574EC">
        <w:rPr>
          <w:rStyle w:val="FootnoteReference"/>
        </w:rPr>
        <w:footnoteReference w:id="20"/>
      </w:r>
    </w:p>
    <w:p w14:paraId="362383A4" w14:textId="0B7DED58" w:rsidR="008C1966" w:rsidRPr="002574EC" w:rsidRDefault="008C1966" w:rsidP="00E07D06">
      <w:pPr>
        <w:pBdr>
          <w:top w:val="nil"/>
          <w:left w:val="nil"/>
          <w:bottom w:val="nil"/>
          <w:right w:val="nil"/>
          <w:between w:val="nil"/>
        </w:pBdr>
        <w:ind w:left="426" w:hanging="426"/>
        <w:jc w:val="both"/>
        <w:rPr>
          <w:rFonts w:ascii="Cambria" w:eastAsia="Cambria" w:hAnsi="Cambria" w:cs="Cambria"/>
          <w:sz w:val="20"/>
          <w:szCs w:val="20"/>
        </w:rPr>
      </w:pPr>
    </w:p>
    <w:p w14:paraId="34F1A7C4" w14:textId="185ADBE8" w:rsidR="008C1966" w:rsidRPr="002574EC" w:rsidRDefault="003C13F4" w:rsidP="00F85814">
      <w:pPr>
        <w:pStyle w:val="ListParagraph"/>
      </w:pPr>
      <w:r w:rsidRPr="002574EC">
        <w:t xml:space="preserve">The IACHR </w:t>
      </w:r>
      <w:r w:rsidR="00E20DBA" w:rsidRPr="002574EC">
        <w:t xml:space="preserve">observes </w:t>
      </w:r>
      <w:r w:rsidRPr="002574EC">
        <w:t xml:space="preserve">that </w:t>
      </w:r>
      <w:r w:rsidR="006476A7" w:rsidRPr="002574EC">
        <w:t>the TSJ</w:t>
      </w:r>
      <w:r w:rsidRPr="002574EC">
        <w:t xml:space="preserve"> not only</w:t>
      </w:r>
      <w:r w:rsidR="006476A7" w:rsidRPr="002574EC">
        <w:t xml:space="preserve"> </w:t>
      </w:r>
      <w:r w:rsidRPr="002574EC">
        <w:t>suspended the constitutional powers</w:t>
      </w:r>
      <w:r w:rsidR="00A417D0" w:rsidRPr="002574EC">
        <w:t xml:space="preserve"> </w:t>
      </w:r>
      <w:r w:rsidRPr="002574EC">
        <w:t xml:space="preserve">of the National Assembly and </w:t>
      </w:r>
      <w:r w:rsidR="005B4E02" w:rsidRPr="002574EC">
        <w:t xml:space="preserve">arrogated </w:t>
      </w:r>
      <w:r w:rsidR="00FD3FC6" w:rsidRPr="002574EC">
        <w:t xml:space="preserve">its </w:t>
      </w:r>
      <w:r w:rsidRPr="002574EC">
        <w:t>legislative</w:t>
      </w:r>
      <w:r w:rsidR="000F2E3A" w:rsidRPr="002574EC">
        <w:t xml:space="preserve"> functions </w:t>
      </w:r>
      <w:r w:rsidR="00A24744" w:rsidRPr="002574EC">
        <w:t>to</w:t>
      </w:r>
      <w:r w:rsidR="000F2E3A" w:rsidRPr="002574EC">
        <w:t xml:space="preserve"> itself</w:t>
      </w:r>
      <w:r w:rsidRPr="002574EC">
        <w:t xml:space="preserve">, but it also began </w:t>
      </w:r>
      <w:r w:rsidR="009C43D6" w:rsidRPr="002574EC">
        <w:t xml:space="preserve">issuing </w:t>
      </w:r>
      <w:r w:rsidRPr="002574EC">
        <w:t xml:space="preserve">decisions </w:t>
      </w:r>
      <w:r w:rsidR="00C301E2" w:rsidRPr="002574EC">
        <w:t xml:space="preserve">evincing </w:t>
      </w:r>
      <w:r w:rsidR="00354244" w:rsidRPr="002574EC">
        <w:t xml:space="preserve">the desire </w:t>
      </w:r>
      <w:r w:rsidRPr="002574EC">
        <w:t xml:space="preserve">to persecute opposition deputies. </w:t>
      </w:r>
      <w:r w:rsidR="003E3D26" w:rsidRPr="002574EC">
        <w:t xml:space="preserve">For example, </w:t>
      </w:r>
      <w:r w:rsidR="006F04F9" w:rsidRPr="002574EC">
        <w:t xml:space="preserve">citing the grounds </w:t>
      </w:r>
      <w:r w:rsidR="005F00B6" w:rsidRPr="002574EC">
        <w:t>that some deputies had been detained</w:t>
      </w:r>
      <w:r w:rsidR="00D07D9D" w:rsidRPr="002574EC">
        <w:t xml:space="preserve"> </w:t>
      </w:r>
      <w:r w:rsidR="00D07D9D" w:rsidRPr="002574EC">
        <w:rPr>
          <w:i/>
          <w:iCs/>
        </w:rPr>
        <w:t>in flagrante delicto</w:t>
      </w:r>
      <w:r w:rsidR="00D07D9D" w:rsidRPr="002574EC">
        <w:t xml:space="preserve">, </w:t>
      </w:r>
      <w:r w:rsidR="00D72AE7" w:rsidRPr="002574EC">
        <w:t xml:space="preserve">the TSJ held that they </w:t>
      </w:r>
      <w:r w:rsidR="00694E1E" w:rsidRPr="002574EC">
        <w:t>could be deprived of liberty at State facilities.</w:t>
      </w:r>
      <w:r w:rsidR="00132198" w:rsidRPr="002574EC">
        <w:t xml:space="preserve">  It further held that in </w:t>
      </w:r>
      <w:r w:rsidR="00815903" w:rsidRPr="002574EC">
        <w:t xml:space="preserve">these </w:t>
      </w:r>
      <w:r w:rsidR="00132198" w:rsidRPr="002574EC">
        <w:t xml:space="preserve">cases the constitutional proceeding </w:t>
      </w:r>
      <w:r w:rsidR="001B2856" w:rsidRPr="002574EC">
        <w:t xml:space="preserve">to lift </w:t>
      </w:r>
      <w:r w:rsidR="008C3844" w:rsidRPr="002574EC">
        <w:t xml:space="preserve">the </w:t>
      </w:r>
      <w:r w:rsidR="00132198" w:rsidRPr="002574EC">
        <w:t>parliamentary immunity</w:t>
      </w:r>
      <w:r w:rsidR="00325C4D" w:rsidRPr="002574EC">
        <w:t xml:space="preserve"> of deputies</w:t>
      </w:r>
      <w:r w:rsidR="00132198" w:rsidRPr="002574EC">
        <w:t xml:space="preserve"> and subsequent</w:t>
      </w:r>
      <w:r w:rsidR="004A5577" w:rsidRPr="002574EC">
        <w:t>ly hold an</w:t>
      </w:r>
      <w:r w:rsidR="00132198" w:rsidRPr="002574EC">
        <w:t xml:space="preserve"> impeachment trial</w:t>
      </w:r>
      <w:r w:rsidR="00A47158" w:rsidRPr="002574EC">
        <w:t>, was not applicable</w:t>
      </w:r>
      <w:r w:rsidR="00132198" w:rsidRPr="002574EC">
        <w:t>.</w:t>
      </w:r>
      <w:r w:rsidR="008C1966" w:rsidRPr="002574EC">
        <w:rPr>
          <w:rStyle w:val="FootnoteReference"/>
        </w:rPr>
        <w:footnoteReference w:id="21"/>
      </w:r>
    </w:p>
    <w:p w14:paraId="7906F65F" w14:textId="76E11EB5" w:rsidR="008C1966" w:rsidRPr="002574EC" w:rsidRDefault="008C1966" w:rsidP="00E07D06">
      <w:pPr>
        <w:pBdr>
          <w:top w:val="nil"/>
          <w:left w:val="nil"/>
          <w:bottom w:val="nil"/>
          <w:right w:val="nil"/>
          <w:between w:val="nil"/>
        </w:pBdr>
        <w:ind w:left="426" w:hanging="426"/>
        <w:jc w:val="both"/>
        <w:rPr>
          <w:rFonts w:ascii="Cambria" w:eastAsia="Cambria" w:hAnsi="Cambria" w:cs="Cambria"/>
          <w:sz w:val="20"/>
          <w:szCs w:val="20"/>
        </w:rPr>
      </w:pPr>
    </w:p>
    <w:p w14:paraId="31926BE7" w14:textId="63DAE03E" w:rsidR="008C1966" w:rsidRPr="002574EC" w:rsidRDefault="005611A6" w:rsidP="00F85814">
      <w:pPr>
        <w:pStyle w:val="ListParagraph"/>
      </w:pPr>
      <w:r w:rsidRPr="002574EC">
        <w:t xml:space="preserve">As of the date of the drafting of this report, the Commission </w:t>
      </w:r>
      <w:r w:rsidR="00D516EC" w:rsidRPr="002574EC">
        <w:t xml:space="preserve">had </w:t>
      </w:r>
      <w:r w:rsidRPr="002574EC">
        <w:t xml:space="preserve">received reports that the TSJ </w:t>
      </w:r>
      <w:r w:rsidR="003B4B4C" w:rsidRPr="002574EC">
        <w:t xml:space="preserve">has </w:t>
      </w:r>
      <w:r w:rsidR="00C765F6" w:rsidRPr="002574EC">
        <w:t xml:space="preserve">issued </w:t>
      </w:r>
      <w:r w:rsidR="0063198B" w:rsidRPr="002574EC">
        <w:t xml:space="preserve">numerous </w:t>
      </w:r>
      <w:r w:rsidRPr="002574EC">
        <w:t xml:space="preserve">decisions finding opposition deputies criminally responsible </w:t>
      </w:r>
      <w:r w:rsidR="00D82511" w:rsidRPr="002574EC">
        <w:t xml:space="preserve">without </w:t>
      </w:r>
      <w:r w:rsidR="001746AC" w:rsidRPr="002574EC">
        <w:t xml:space="preserve">observing </w:t>
      </w:r>
      <w:r w:rsidR="00D82511" w:rsidRPr="002574EC">
        <w:t xml:space="preserve">due process rules. </w:t>
      </w:r>
      <w:r w:rsidR="00125C59" w:rsidRPr="002574EC">
        <w:t xml:space="preserve">In addition, it had brought requests </w:t>
      </w:r>
      <w:r w:rsidR="007F4042" w:rsidRPr="002574EC">
        <w:t xml:space="preserve">to lift their parliamentary immunity </w:t>
      </w:r>
      <w:r w:rsidR="00F068CE" w:rsidRPr="002574EC">
        <w:t xml:space="preserve">before </w:t>
      </w:r>
      <w:r w:rsidR="00125C59" w:rsidRPr="002574EC">
        <w:t>the National Constituent Assembly</w:t>
      </w:r>
      <w:r w:rsidR="00F43503" w:rsidRPr="002574EC">
        <w:t xml:space="preserve"> </w:t>
      </w:r>
      <w:r w:rsidR="00E41CBC" w:rsidRPr="002574EC">
        <w:t xml:space="preserve">and, in some instances, imposed or requested </w:t>
      </w:r>
      <w:r w:rsidR="00C13BBC" w:rsidRPr="002574EC">
        <w:t xml:space="preserve">measures of deprivation of liberty, freezing of assets and </w:t>
      </w:r>
      <w:r w:rsidR="005E7E35" w:rsidRPr="002574EC">
        <w:t>prohibit</w:t>
      </w:r>
      <w:r w:rsidR="009C7950" w:rsidRPr="002574EC">
        <w:t xml:space="preserve">ing their departure from </w:t>
      </w:r>
      <w:r w:rsidR="00C13BBC" w:rsidRPr="002574EC">
        <w:t xml:space="preserve">the country. </w:t>
      </w:r>
      <w:r w:rsidR="00F43503" w:rsidRPr="002574EC">
        <w:t xml:space="preserve"> </w:t>
      </w:r>
      <w:r w:rsidR="00125C59" w:rsidRPr="002574EC">
        <w:t xml:space="preserve"> </w:t>
      </w:r>
      <w:r w:rsidR="00D94607" w:rsidRPr="002574EC">
        <w:t xml:space="preserve">Such has been the case </w:t>
      </w:r>
      <w:r w:rsidR="00A93AC7" w:rsidRPr="002574EC">
        <w:t xml:space="preserve">of </w:t>
      </w:r>
      <w:r w:rsidR="00D94607" w:rsidRPr="002574EC">
        <w:t>the following</w:t>
      </w:r>
      <w:r w:rsidR="00621AFB" w:rsidRPr="002574EC">
        <w:t xml:space="preserve"> deputies: </w:t>
      </w:r>
      <w:r w:rsidR="008C1966" w:rsidRPr="002574EC">
        <w:t xml:space="preserve">Germán Ferrer, Juan Requesens, Julio Borges, Juan Guaidó, Edgar Zambrano, Henry Ramos Allup, Luis Florido, Marianela Magallanes, José Simón Calzadilla, Americo De Grazia, Richard Blanco, Freddy Superlano, Sergio Vergara y Juan Andrés Mejía, Carlos Paparoni Ramírez, Miguel Pizarro Rodríguez, Franco Casella Lovaton, Winston Flores Gómez, Rafael Guzmán, José Guerra, Tomás Guanipa, Juan Pablo García, Jorge Millan, Henán Alemán, Carlos Alberto Lozano </w:t>
      </w:r>
      <w:r w:rsidR="00621AFB" w:rsidRPr="002574EC">
        <w:t>and</w:t>
      </w:r>
      <w:r w:rsidR="008C1966" w:rsidRPr="002574EC">
        <w:t xml:space="preserve"> Luis Stefanelli, </w:t>
      </w:r>
      <w:r w:rsidR="001B60A7" w:rsidRPr="002574EC">
        <w:t>among others.</w:t>
      </w:r>
      <w:r w:rsidR="008C1966" w:rsidRPr="002574EC">
        <w:rPr>
          <w:rStyle w:val="FootnoteReference"/>
        </w:rPr>
        <w:footnoteReference w:id="22"/>
      </w:r>
      <w:r w:rsidR="008C1966" w:rsidRPr="002574EC">
        <w:t> </w:t>
      </w:r>
    </w:p>
    <w:p w14:paraId="38D8E8AA" w14:textId="7462A2C9" w:rsidR="008C1966" w:rsidRPr="002574EC" w:rsidRDefault="008C1966" w:rsidP="00E07D06">
      <w:pPr>
        <w:pBdr>
          <w:top w:val="nil"/>
          <w:left w:val="nil"/>
          <w:bottom w:val="nil"/>
          <w:right w:val="nil"/>
          <w:between w:val="nil"/>
        </w:pBdr>
        <w:ind w:left="426" w:hanging="426"/>
        <w:jc w:val="both"/>
        <w:rPr>
          <w:rFonts w:ascii="Cambria" w:eastAsia="Cambria" w:hAnsi="Cambria" w:cs="Cambria"/>
          <w:sz w:val="20"/>
          <w:szCs w:val="20"/>
        </w:rPr>
      </w:pPr>
    </w:p>
    <w:p w14:paraId="50DD8CB8" w14:textId="2F879495" w:rsidR="008C1966" w:rsidRPr="002574EC" w:rsidRDefault="00D94607" w:rsidP="00F85814">
      <w:pPr>
        <w:pStyle w:val="ListParagraph"/>
      </w:pPr>
      <w:r w:rsidRPr="002574EC">
        <w:t xml:space="preserve">The IACHR also </w:t>
      </w:r>
      <w:r w:rsidR="00A70D6C" w:rsidRPr="002574EC">
        <w:t xml:space="preserve">documented a number of decisions of the TSJ in which it arrogated </w:t>
      </w:r>
      <w:r w:rsidR="00504B42" w:rsidRPr="002574EC">
        <w:t>to</w:t>
      </w:r>
      <w:r w:rsidR="00A70D6C" w:rsidRPr="002574EC">
        <w:t xml:space="preserve"> itself constitutional powers of the National Assembly and the electoral branch of government with far-reaching consequences to the democratic future of the country. </w:t>
      </w:r>
      <w:r w:rsidR="00DE560F" w:rsidRPr="002574EC">
        <w:t xml:space="preserve">On June </w:t>
      </w:r>
      <w:r w:rsidR="008C1966" w:rsidRPr="002574EC">
        <w:t>5</w:t>
      </w:r>
      <w:r w:rsidR="00DE560F" w:rsidRPr="002574EC">
        <w:t xml:space="preserve">, </w:t>
      </w:r>
      <w:r w:rsidR="008C1966" w:rsidRPr="002574EC">
        <w:t xml:space="preserve">2020, </w:t>
      </w:r>
      <w:r w:rsidR="00DE560F" w:rsidRPr="002574EC">
        <w:t xml:space="preserve">the TSJ handed down Judgment </w:t>
      </w:r>
      <w:r w:rsidR="008C1966" w:rsidRPr="002574EC">
        <w:t>0068</w:t>
      </w:r>
      <w:r w:rsidR="003860F8" w:rsidRPr="002574EC">
        <w:t>. In this ruling,</w:t>
      </w:r>
      <w:r w:rsidR="008C1966" w:rsidRPr="002574EC">
        <w:t xml:space="preserve"> </w:t>
      </w:r>
      <w:r w:rsidR="00AF3587" w:rsidRPr="002574EC">
        <w:t xml:space="preserve">on the grounds of </w:t>
      </w:r>
      <w:r w:rsidR="00A23F1F" w:rsidRPr="002574EC">
        <w:t xml:space="preserve">a </w:t>
      </w:r>
      <w:r w:rsidR="00AF3587" w:rsidRPr="002574EC">
        <w:t xml:space="preserve">legal construct it called “legislative omission,” </w:t>
      </w:r>
      <w:r w:rsidR="00A23F1F" w:rsidRPr="002574EC">
        <w:t xml:space="preserve">it found it was competent to appoint the members of the National Electoral Council (CNE) </w:t>
      </w:r>
      <w:r w:rsidR="009470A9" w:rsidRPr="002574EC">
        <w:t xml:space="preserve">which, pursuant to the Venezuelan Constitution, </w:t>
      </w:r>
      <w:r w:rsidR="009470A9" w:rsidRPr="002574EC">
        <w:lastRenderedPageBreak/>
        <w:t xml:space="preserve">is a power belonging to </w:t>
      </w:r>
      <w:r w:rsidR="0061178B" w:rsidRPr="002574EC">
        <w:t>legislative branch of government. Then on June 12, by means of Judgment 0070, it appointed the members of the CNE, which included two judges of the TSJ itself.</w:t>
      </w:r>
      <w:r w:rsidR="008C1966" w:rsidRPr="002574EC">
        <w:rPr>
          <w:rStyle w:val="FootnoteReference"/>
        </w:rPr>
        <w:footnoteReference w:id="23"/>
      </w:r>
    </w:p>
    <w:p w14:paraId="070C01D8" w14:textId="7130B4EE" w:rsidR="008C1966" w:rsidRPr="002574EC" w:rsidRDefault="008C1966" w:rsidP="00E07D06">
      <w:pPr>
        <w:pBdr>
          <w:top w:val="nil"/>
          <w:left w:val="nil"/>
          <w:bottom w:val="nil"/>
          <w:right w:val="nil"/>
          <w:between w:val="nil"/>
        </w:pBdr>
        <w:ind w:left="426" w:hanging="426"/>
        <w:jc w:val="both"/>
        <w:rPr>
          <w:rFonts w:ascii="Cambria" w:eastAsia="Cambria" w:hAnsi="Cambria" w:cs="Cambria"/>
          <w:sz w:val="20"/>
          <w:szCs w:val="20"/>
        </w:rPr>
      </w:pPr>
    </w:p>
    <w:p w14:paraId="4E937589" w14:textId="1034684D" w:rsidR="00F01E8D" w:rsidRPr="002574EC" w:rsidRDefault="001078FC" w:rsidP="00F85814">
      <w:pPr>
        <w:pStyle w:val="ListParagraph"/>
      </w:pPr>
      <w:r w:rsidRPr="002574EC">
        <w:t>On June 15, 2020, the TSJ issued Judgment</w:t>
      </w:r>
      <w:r w:rsidR="00F01E8D" w:rsidRPr="002574EC">
        <w:t xml:space="preserve"> 0071, </w:t>
      </w:r>
      <w:r w:rsidRPr="002574EC">
        <w:t xml:space="preserve">suspending the current board of directors of the Acción Democrática political party and in its place, appointing an </w:t>
      </w:r>
      <w:r w:rsidRPr="002574EC">
        <w:rPr>
          <w:i/>
          <w:iCs/>
        </w:rPr>
        <w:t xml:space="preserve">ad hoc </w:t>
      </w:r>
      <w:r w:rsidRPr="002574EC">
        <w:t>bo</w:t>
      </w:r>
      <w:r w:rsidR="00DB713D" w:rsidRPr="002574EC">
        <w:t>ar</w:t>
      </w:r>
      <w:r w:rsidRPr="002574EC">
        <w:t>d of directors to undertake a restructuring process</w:t>
      </w:r>
      <w:r w:rsidR="00F01E8D" w:rsidRPr="002574EC">
        <w:t xml:space="preserve">. </w:t>
      </w:r>
      <w:r w:rsidR="00331F96" w:rsidRPr="002574EC">
        <w:t xml:space="preserve">The judgment authorized this board to use the electoral card, the logo, the symbols, the emblems, the colors and any other element belonging to the political party. </w:t>
      </w:r>
      <w:r w:rsidR="00B66188" w:rsidRPr="002574EC">
        <w:t xml:space="preserve"> The next day, on June </w:t>
      </w:r>
      <w:r w:rsidR="00F01E8D" w:rsidRPr="002574EC">
        <w:t>16</w:t>
      </w:r>
      <w:r w:rsidR="00B66188" w:rsidRPr="002574EC">
        <w:t xml:space="preserve">, the same court issued Judgement 0072, </w:t>
      </w:r>
      <w:r w:rsidR="00FD0456" w:rsidRPr="002574EC">
        <w:t>ordering exactly the same thing for the Movimiento Primero Justicia party.</w:t>
      </w:r>
      <w:r w:rsidR="00F01E8D" w:rsidRPr="002574EC">
        <w:rPr>
          <w:rStyle w:val="FootnoteReference"/>
        </w:rPr>
        <w:footnoteReference w:id="24"/>
      </w:r>
      <w:r w:rsidR="0024573F" w:rsidRPr="002574EC">
        <w:t xml:space="preserve"> The Commission learned through publicly available information that the TSJ has issued similar decisions for the </w:t>
      </w:r>
      <w:r w:rsidR="00F01E8D" w:rsidRPr="002574EC">
        <w:t>Movimiento República</w:t>
      </w:r>
      <w:r w:rsidR="0024573F" w:rsidRPr="002574EC">
        <w:t>,</w:t>
      </w:r>
      <w:r w:rsidR="00F01E8D" w:rsidRPr="002574EC">
        <w:rPr>
          <w:rStyle w:val="FootnoteReference"/>
        </w:rPr>
        <w:footnoteReference w:id="25"/>
      </w:r>
      <w:r w:rsidR="00F01E8D" w:rsidRPr="002574EC">
        <w:t xml:space="preserve"> Tupamaro</w:t>
      </w:r>
      <w:r w:rsidR="0024573F" w:rsidRPr="002574EC">
        <w:t>,</w:t>
      </w:r>
      <w:r w:rsidR="00F01E8D" w:rsidRPr="002574EC">
        <w:rPr>
          <w:rStyle w:val="FootnoteReference"/>
        </w:rPr>
        <w:footnoteReference w:id="26"/>
      </w:r>
      <w:r w:rsidR="00F01E8D" w:rsidRPr="002574EC">
        <w:t xml:space="preserve"> Acción Ciudadana en Positivo</w:t>
      </w:r>
      <w:r w:rsidR="0024573F" w:rsidRPr="002574EC">
        <w:t>,</w:t>
      </w:r>
      <w:r w:rsidR="00F01E8D" w:rsidRPr="002574EC">
        <w:rPr>
          <w:rStyle w:val="FootnoteReference"/>
        </w:rPr>
        <w:footnoteReference w:id="27"/>
      </w:r>
      <w:r w:rsidR="00F01E8D" w:rsidRPr="002574EC">
        <w:t xml:space="preserve"> </w:t>
      </w:r>
      <w:r w:rsidR="0024573F" w:rsidRPr="002574EC">
        <w:t>and</w:t>
      </w:r>
      <w:r w:rsidR="00F01E8D" w:rsidRPr="002574EC">
        <w:t xml:space="preserve"> Nuvipa</w:t>
      </w:r>
      <w:r w:rsidR="00F01E8D" w:rsidRPr="002574EC">
        <w:rPr>
          <w:rStyle w:val="FootnoteReference"/>
        </w:rPr>
        <w:footnoteReference w:id="28"/>
      </w:r>
      <w:r w:rsidR="0024573F" w:rsidRPr="002574EC">
        <w:t xml:space="preserve"> political parties.</w:t>
      </w:r>
    </w:p>
    <w:p w14:paraId="4B0BDF34" w14:textId="217EA3D6" w:rsidR="00F01E8D" w:rsidRPr="002574EC" w:rsidRDefault="00F01E8D" w:rsidP="00E07D06">
      <w:pPr>
        <w:pBdr>
          <w:top w:val="nil"/>
          <w:left w:val="nil"/>
          <w:bottom w:val="nil"/>
          <w:right w:val="nil"/>
          <w:between w:val="nil"/>
        </w:pBdr>
        <w:ind w:left="426" w:hanging="426"/>
        <w:jc w:val="both"/>
        <w:rPr>
          <w:rFonts w:ascii="Cambria" w:eastAsia="Cambria" w:hAnsi="Cambria" w:cs="Cambria"/>
          <w:sz w:val="20"/>
          <w:szCs w:val="20"/>
        </w:rPr>
      </w:pPr>
    </w:p>
    <w:p w14:paraId="10A68CF8" w14:textId="79A1294F" w:rsidR="00F01E8D" w:rsidRPr="002574EC" w:rsidRDefault="00487664" w:rsidP="00F85814">
      <w:pPr>
        <w:pStyle w:val="ListParagraph"/>
      </w:pPr>
      <w:r w:rsidRPr="002574EC">
        <w:t xml:space="preserve">On June </w:t>
      </w:r>
      <w:r w:rsidR="00F63F33" w:rsidRPr="002574EC">
        <w:t>27</w:t>
      </w:r>
      <w:r w:rsidRPr="002574EC">
        <w:t>,</w:t>
      </w:r>
      <w:r w:rsidR="00F63F33" w:rsidRPr="002574EC">
        <w:t xml:space="preserve"> 2020, </w:t>
      </w:r>
      <w:r w:rsidR="00F115AA" w:rsidRPr="002574EC">
        <w:t>T</w:t>
      </w:r>
      <w:r w:rsidRPr="002574EC">
        <w:t xml:space="preserve">he Inter-American Commission </w:t>
      </w:r>
      <w:r w:rsidR="00F115AA" w:rsidRPr="002574EC">
        <w:t xml:space="preserve">expressed concern </w:t>
      </w:r>
      <w:r w:rsidRPr="002574EC">
        <w:t xml:space="preserve">that the TSJ </w:t>
      </w:r>
      <w:r w:rsidR="00BF3C98" w:rsidRPr="002574EC">
        <w:t xml:space="preserve">would </w:t>
      </w:r>
      <w:r w:rsidRPr="002574EC">
        <w:t>appoint the arbiter</w:t>
      </w:r>
      <w:r w:rsidR="00BF3C98" w:rsidRPr="002574EC">
        <w:t>s</w:t>
      </w:r>
      <w:r w:rsidRPr="002574EC">
        <w:t xml:space="preserve"> of the electoral contest without </w:t>
      </w:r>
      <w:r w:rsidR="003E21E8" w:rsidRPr="002574EC">
        <w:t xml:space="preserve">any </w:t>
      </w:r>
      <w:r w:rsidRPr="002574EC">
        <w:t xml:space="preserve">constitutional authority to do so and, at the same time, issue decisions </w:t>
      </w:r>
      <w:r w:rsidR="00846768" w:rsidRPr="002574EC">
        <w:t xml:space="preserve">interfering with the </w:t>
      </w:r>
      <w:r w:rsidRPr="002574EC">
        <w:t>two political parties</w:t>
      </w:r>
      <w:r w:rsidR="00F115AA" w:rsidRPr="002574EC">
        <w:t>,</w:t>
      </w:r>
      <w:r w:rsidRPr="002574EC">
        <w:t xml:space="preserve"> </w:t>
      </w:r>
      <w:r w:rsidR="00E96472" w:rsidRPr="002574EC">
        <w:t xml:space="preserve">whose leaders are the most well-known of </w:t>
      </w:r>
      <w:r w:rsidR="00E6258B" w:rsidRPr="002574EC">
        <w:t>the</w:t>
      </w:r>
      <w:r w:rsidR="00E96472" w:rsidRPr="002574EC">
        <w:t xml:space="preserve"> opposition</w:t>
      </w:r>
      <w:r w:rsidR="006C1E8B" w:rsidRPr="002574EC">
        <w:t xml:space="preserve"> to the government.  In the </w:t>
      </w:r>
      <w:r w:rsidR="00E96472" w:rsidRPr="002574EC">
        <w:t xml:space="preserve">view </w:t>
      </w:r>
      <w:r w:rsidR="006C1E8B" w:rsidRPr="002574EC">
        <w:t>of the IACHR, th</w:t>
      </w:r>
      <w:r w:rsidR="00844D49" w:rsidRPr="002574EC">
        <w:t>ese</w:t>
      </w:r>
      <w:r w:rsidR="006C1E8B" w:rsidRPr="002574EC">
        <w:t xml:space="preserve"> type</w:t>
      </w:r>
      <w:r w:rsidR="00844D49" w:rsidRPr="002574EC">
        <w:t>s</w:t>
      </w:r>
      <w:r w:rsidR="006C1E8B" w:rsidRPr="002574EC">
        <w:t xml:space="preserve"> of </w:t>
      </w:r>
      <w:r w:rsidR="008949F6" w:rsidRPr="002574EC">
        <w:t xml:space="preserve">judgments </w:t>
      </w:r>
      <w:r w:rsidR="009B2870" w:rsidRPr="002574EC">
        <w:t>interfere with the free conduct of the internal democratic process</w:t>
      </w:r>
      <w:r w:rsidR="009E62EC" w:rsidRPr="002574EC">
        <w:t>es</w:t>
      </w:r>
      <w:r w:rsidR="009B2870" w:rsidRPr="002574EC">
        <w:t xml:space="preserve"> of </w:t>
      </w:r>
      <w:r w:rsidR="00DA1A2E" w:rsidRPr="002574EC">
        <w:t>opposition political parties</w:t>
      </w:r>
      <w:r w:rsidR="00C23627" w:rsidRPr="002574EC">
        <w:t>;</w:t>
      </w:r>
      <w:r w:rsidR="00DA1A2E" w:rsidRPr="002574EC">
        <w:t xml:space="preserve"> undermine</w:t>
      </w:r>
      <w:r w:rsidR="00C23627" w:rsidRPr="002574EC">
        <w:t xml:space="preserve"> </w:t>
      </w:r>
      <w:r w:rsidR="00F83083" w:rsidRPr="002574EC">
        <w:t xml:space="preserve">confidence </w:t>
      </w:r>
      <w:r w:rsidR="00DA1A2E" w:rsidRPr="002574EC">
        <w:t>in the country’s elections</w:t>
      </w:r>
      <w:r w:rsidR="00C679C9" w:rsidRPr="002574EC">
        <w:t>;</w:t>
      </w:r>
      <w:r w:rsidR="00DA1A2E" w:rsidRPr="002574EC">
        <w:t xml:space="preserve"> and create </w:t>
      </w:r>
      <w:r w:rsidR="00C679C9" w:rsidRPr="002574EC">
        <w:t xml:space="preserve">further </w:t>
      </w:r>
      <w:r w:rsidR="00DA1A2E" w:rsidRPr="002574EC">
        <w:t xml:space="preserve">obstacles </w:t>
      </w:r>
      <w:r w:rsidR="007C1545" w:rsidRPr="002574EC">
        <w:t xml:space="preserve">in addressing </w:t>
      </w:r>
      <w:r w:rsidR="005F4E42" w:rsidRPr="002574EC">
        <w:t xml:space="preserve">the </w:t>
      </w:r>
      <w:r w:rsidR="00DA1A2E" w:rsidRPr="002574EC">
        <w:t>institutional crisis</w:t>
      </w:r>
      <w:r w:rsidR="006146F0" w:rsidRPr="002574EC">
        <w:t xml:space="preserve"> that is having such a severe impact on human rights</w:t>
      </w:r>
      <w:r w:rsidR="004B44FF" w:rsidRPr="002574EC">
        <w:t>.</w:t>
      </w:r>
      <w:r w:rsidR="00F01E8D" w:rsidRPr="002574EC">
        <w:rPr>
          <w:rStyle w:val="FootnoteReference"/>
        </w:rPr>
        <w:footnoteReference w:id="29"/>
      </w:r>
    </w:p>
    <w:p w14:paraId="25C42C4F" w14:textId="71E4AB56" w:rsidR="005F1FEF" w:rsidRPr="002574EC" w:rsidRDefault="005F1FEF" w:rsidP="00E07D06">
      <w:pPr>
        <w:pBdr>
          <w:top w:val="nil"/>
          <w:left w:val="nil"/>
          <w:bottom w:val="nil"/>
          <w:right w:val="nil"/>
          <w:between w:val="nil"/>
        </w:pBdr>
        <w:ind w:left="426" w:hanging="426"/>
        <w:jc w:val="both"/>
        <w:rPr>
          <w:rFonts w:ascii="Cambria" w:eastAsia="Cambria" w:hAnsi="Cambria" w:cs="Cambria"/>
          <w:sz w:val="20"/>
          <w:szCs w:val="20"/>
        </w:rPr>
      </w:pPr>
    </w:p>
    <w:p w14:paraId="012B06CE" w14:textId="279F907B" w:rsidR="005F1FEF" w:rsidRPr="002574EC" w:rsidRDefault="00A96BDF" w:rsidP="00E07D06">
      <w:pPr>
        <w:ind w:left="426" w:hanging="426"/>
        <w:rPr>
          <w:rFonts w:ascii="Cambria" w:eastAsia="Cambria" w:hAnsi="Cambria" w:cs="Cambria"/>
          <w:b/>
          <w:bCs/>
          <w:i/>
          <w:iCs/>
          <w:sz w:val="20"/>
          <w:szCs w:val="20"/>
        </w:rPr>
      </w:pPr>
      <w:r w:rsidRPr="002574EC">
        <w:rPr>
          <w:rFonts w:ascii="Cambria" w:eastAsia="Cambria" w:hAnsi="Cambria" w:cs="Cambria"/>
          <w:b/>
          <w:bCs/>
          <w:i/>
          <w:iCs/>
          <w:sz w:val="20"/>
          <w:szCs w:val="20"/>
        </w:rPr>
        <w:t xml:space="preserve">Other obstacles to the proper and independent administration of justice </w:t>
      </w:r>
    </w:p>
    <w:p w14:paraId="1922167F" w14:textId="77777777" w:rsidR="005F1FEF" w:rsidRPr="002574EC" w:rsidRDefault="005F1FEF" w:rsidP="00E07D06">
      <w:pPr>
        <w:pBdr>
          <w:top w:val="nil"/>
          <w:left w:val="nil"/>
          <w:bottom w:val="nil"/>
          <w:right w:val="nil"/>
          <w:between w:val="nil"/>
        </w:pBdr>
        <w:ind w:left="426" w:hanging="426"/>
        <w:jc w:val="both"/>
        <w:rPr>
          <w:rFonts w:ascii="Cambria" w:eastAsia="Cambria" w:hAnsi="Cambria" w:cs="Cambria"/>
          <w:i/>
          <w:iCs/>
          <w:sz w:val="20"/>
          <w:szCs w:val="20"/>
        </w:rPr>
      </w:pPr>
    </w:p>
    <w:p w14:paraId="6C8DFDDF" w14:textId="1A05E2DF" w:rsidR="005F1FEF" w:rsidRPr="002574EC" w:rsidRDefault="00E37AE5" w:rsidP="00E07D06">
      <w:pPr>
        <w:pBdr>
          <w:top w:val="nil"/>
          <w:left w:val="nil"/>
          <w:bottom w:val="nil"/>
          <w:right w:val="nil"/>
          <w:between w:val="nil"/>
        </w:pBdr>
        <w:ind w:left="426" w:hanging="426"/>
        <w:jc w:val="both"/>
        <w:rPr>
          <w:rFonts w:ascii="Cambria" w:eastAsia="Cambria" w:hAnsi="Cambria" w:cs="Cambria"/>
          <w:b/>
          <w:bCs/>
          <w:i/>
          <w:iCs/>
          <w:sz w:val="20"/>
          <w:szCs w:val="20"/>
        </w:rPr>
      </w:pPr>
      <w:r w:rsidRPr="002574EC">
        <w:rPr>
          <w:rFonts w:ascii="Cambria" w:eastAsia="Cambria" w:hAnsi="Cambria" w:cs="Cambria"/>
          <w:b/>
          <w:bCs/>
          <w:i/>
          <w:iCs/>
          <w:sz w:val="20"/>
          <w:szCs w:val="20"/>
        </w:rPr>
        <w:t xml:space="preserve">High </w:t>
      </w:r>
      <w:r w:rsidR="00E73959" w:rsidRPr="002574EC">
        <w:rPr>
          <w:rFonts w:ascii="Cambria" w:eastAsia="Cambria" w:hAnsi="Cambria" w:cs="Cambria"/>
          <w:b/>
          <w:bCs/>
          <w:i/>
          <w:iCs/>
          <w:sz w:val="20"/>
          <w:szCs w:val="20"/>
        </w:rPr>
        <w:t xml:space="preserve">number </w:t>
      </w:r>
      <w:r w:rsidRPr="002574EC">
        <w:rPr>
          <w:rFonts w:ascii="Cambria" w:eastAsia="Cambria" w:hAnsi="Cambria" w:cs="Cambria"/>
          <w:b/>
          <w:bCs/>
          <w:i/>
          <w:iCs/>
          <w:sz w:val="20"/>
          <w:szCs w:val="20"/>
        </w:rPr>
        <w:t xml:space="preserve">of </w:t>
      </w:r>
      <w:r w:rsidR="00C32676" w:rsidRPr="002574EC">
        <w:rPr>
          <w:rFonts w:ascii="Cambria" w:eastAsia="Cambria" w:hAnsi="Cambria" w:cs="Cambria"/>
          <w:b/>
          <w:bCs/>
          <w:i/>
          <w:iCs/>
          <w:sz w:val="20"/>
          <w:szCs w:val="20"/>
        </w:rPr>
        <w:t xml:space="preserve">provisional </w:t>
      </w:r>
      <w:r w:rsidRPr="002574EC">
        <w:rPr>
          <w:rFonts w:ascii="Cambria" w:eastAsia="Cambria" w:hAnsi="Cambria" w:cs="Cambria"/>
          <w:b/>
          <w:bCs/>
          <w:i/>
          <w:iCs/>
          <w:sz w:val="20"/>
          <w:szCs w:val="20"/>
        </w:rPr>
        <w:t>status judges</w:t>
      </w:r>
    </w:p>
    <w:p w14:paraId="26215744" w14:textId="681D835F" w:rsidR="00F63F33" w:rsidRPr="002574EC" w:rsidRDefault="00F63F33" w:rsidP="00E07D06">
      <w:pPr>
        <w:pBdr>
          <w:top w:val="nil"/>
          <w:left w:val="nil"/>
          <w:bottom w:val="nil"/>
          <w:right w:val="nil"/>
          <w:between w:val="nil"/>
        </w:pBdr>
        <w:ind w:left="426" w:hanging="426"/>
        <w:jc w:val="both"/>
        <w:rPr>
          <w:rFonts w:ascii="Cambria" w:eastAsia="Cambria" w:hAnsi="Cambria" w:cs="Cambria"/>
          <w:sz w:val="20"/>
          <w:szCs w:val="20"/>
        </w:rPr>
      </w:pPr>
    </w:p>
    <w:p w14:paraId="6943691D" w14:textId="0DB14CDB" w:rsidR="00825032" w:rsidRPr="002574EC" w:rsidRDefault="00713C83" w:rsidP="00F85814">
      <w:pPr>
        <w:pStyle w:val="ListParagraph"/>
      </w:pPr>
      <w:r w:rsidRPr="002574EC">
        <w:t xml:space="preserve">The IACHR has </w:t>
      </w:r>
      <w:r w:rsidR="00130E2E" w:rsidRPr="002574EC">
        <w:t>identified a number of obstacles to prevent</w:t>
      </w:r>
      <w:r w:rsidR="00C60EB7" w:rsidRPr="002574EC">
        <w:t>ing</w:t>
      </w:r>
      <w:r w:rsidR="00067337" w:rsidRPr="002574EC">
        <w:t xml:space="preserve"> the executive branch from interfering with the judiciary. </w:t>
      </w:r>
      <w:r w:rsidR="00CC70B9" w:rsidRPr="002574EC">
        <w:t xml:space="preserve">The Commission has repeatedly </w:t>
      </w:r>
      <w:r w:rsidR="00FC0010" w:rsidRPr="002574EC">
        <w:t xml:space="preserve">expressed concern </w:t>
      </w:r>
      <w:r w:rsidR="00204ECA" w:rsidRPr="002574EC">
        <w:t xml:space="preserve">over the high number of </w:t>
      </w:r>
      <w:r w:rsidR="00EC3573" w:rsidRPr="002574EC">
        <w:t xml:space="preserve">acting </w:t>
      </w:r>
      <w:r w:rsidR="00204ECA" w:rsidRPr="002574EC">
        <w:t xml:space="preserve">judges </w:t>
      </w:r>
      <w:r w:rsidR="00BE4B30" w:rsidRPr="002574EC">
        <w:t xml:space="preserve">who </w:t>
      </w:r>
      <w:r w:rsidR="00016142" w:rsidRPr="002574EC">
        <w:t xml:space="preserve">only </w:t>
      </w:r>
      <w:r w:rsidR="00BE4B30" w:rsidRPr="002574EC">
        <w:t>hold provisional appointments</w:t>
      </w:r>
      <w:r w:rsidR="00204ECA" w:rsidRPr="002574EC">
        <w:t>.</w:t>
      </w:r>
      <w:r w:rsidR="00F63F33" w:rsidRPr="002574EC">
        <w:rPr>
          <w:rStyle w:val="FootnoteReference"/>
        </w:rPr>
        <w:footnoteReference w:id="30"/>
      </w:r>
      <w:r w:rsidR="00F63F33" w:rsidRPr="002574EC">
        <w:t xml:space="preserve"> </w:t>
      </w:r>
      <w:r w:rsidR="000F0943" w:rsidRPr="002574EC">
        <w:t>According to the case law of the Constitutional Chamber of the TSJ, provisional judges can be appointed and dismissed at will.</w:t>
      </w:r>
      <w:r w:rsidR="005C6542" w:rsidRPr="002574EC">
        <w:rPr>
          <w:rStyle w:val="FootnoteReference"/>
        </w:rPr>
        <w:footnoteReference w:id="31"/>
      </w:r>
      <w:r w:rsidR="000F0943" w:rsidRPr="002574EC">
        <w:t xml:space="preserve"> Investigative journalists and civil society organizations estimate </w:t>
      </w:r>
      <w:r w:rsidR="003F63E3" w:rsidRPr="002574EC">
        <w:t xml:space="preserve">that </w:t>
      </w:r>
      <w:r w:rsidR="00F63F33" w:rsidRPr="002574EC">
        <w:t xml:space="preserve"> 85</w:t>
      </w:r>
      <w:r w:rsidR="003F63E3" w:rsidRPr="002574EC">
        <w:t>.3</w:t>
      </w:r>
      <w:r w:rsidR="00F63F33" w:rsidRPr="002574EC">
        <w:t xml:space="preserve">9% </w:t>
      </w:r>
      <w:r w:rsidR="003F63E3" w:rsidRPr="002574EC">
        <w:t xml:space="preserve">of judges were provisional in </w:t>
      </w:r>
      <w:r w:rsidR="00F63F33" w:rsidRPr="002574EC">
        <w:t>2019</w:t>
      </w:r>
      <w:r w:rsidR="003F63E3" w:rsidRPr="002574EC">
        <w:t>,</w:t>
      </w:r>
      <w:r w:rsidR="005C6542" w:rsidRPr="002574EC">
        <w:rPr>
          <w:rStyle w:val="FootnoteReference"/>
        </w:rPr>
        <w:footnoteReference w:id="32"/>
      </w:r>
      <w:r w:rsidR="003F63E3" w:rsidRPr="002574EC">
        <w:t xml:space="preserve"> which surpasses the percentage of </w:t>
      </w:r>
      <w:r w:rsidR="00F63F33" w:rsidRPr="002574EC">
        <w:t>80%</w:t>
      </w:r>
      <w:r w:rsidR="00842F62" w:rsidRPr="002574EC">
        <w:t xml:space="preserve"> in 2018</w:t>
      </w:r>
      <w:r w:rsidR="003F63E3" w:rsidRPr="002574EC">
        <w:t>.</w:t>
      </w:r>
      <w:r w:rsidR="005C6542" w:rsidRPr="002574EC">
        <w:rPr>
          <w:rStyle w:val="FootnoteReference"/>
        </w:rPr>
        <w:footnoteReference w:id="33"/>
      </w:r>
      <w:r w:rsidR="003F63E3" w:rsidRPr="002574EC">
        <w:t xml:space="preserve"> The percentage ranged between </w:t>
      </w:r>
      <w:r w:rsidR="00F63F33" w:rsidRPr="002574EC">
        <w:t xml:space="preserve">66% </w:t>
      </w:r>
      <w:r w:rsidR="003F63E3" w:rsidRPr="002574EC">
        <w:t>and</w:t>
      </w:r>
      <w:r w:rsidR="00F63F33" w:rsidRPr="002574EC">
        <w:t xml:space="preserve"> 80% </w:t>
      </w:r>
      <w:r w:rsidR="0024283C" w:rsidRPr="002574EC">
        <w:t xml:space="preserve">from </w:t>
      </w:r>
      <w:r w:rsidR="00F63F33" w:rsidRPr="002574EC">
        <w:t xml:space="preserve">2007 </w:t>
      </w:r>
      <w:r w:rsidR="0024283C" w:rsidRPr="002574EC">
        <w:t>to</w:t>
      </w:r>
      <w:r w:rsidR="00F63F33" w:rsidRPr="002574EC">
        <w:t xml:space="preserve"> 2017</w:t>
      </w:r>
      <w:r w:rsidR="00DF651A" w:rsidRPr="002574EC">
        <w:t>.</w:t>
      </w:r>
      <w:r w:rsidR="005C6542" w:rsidRPr="002574EC">
        <w:rPr>
          <w:rStyle w:val="FootnoteReference"/>
        </w:rPr>
        <w:footnoteReference w:id="34"/>
      </w:r>
      <w:r w:rsidR="00DF651A" w:rsidRPr="002574EC">
        <w:t xml:space="preserve"> </w:t>
      </w:r>
      <w:r w:rsidR="00AF0B11" w:rsidRPr="002574EC">
        <w:t xml:space="preserve">As the 2021 judicial period </w:t>
      </w:r>
      <w:r w:rsidR="00077729" w:rsidRPr="002574EC">
        <w:t>opened, the chief justice of the Supreme Court of Justice reported that in 2020</w:t>
      </w:r>
      <w:r w:rsidR="00441652" w:rsidRPr="002574EC">
        <w:t>,</w:t>
      </w:r>
      <w:r w:rsidR="00077729" w:rsidRPr="002574EC">
        <w:t xml:space="preserve"> 881 new </w:t>
      </w:r>
      <w:r w:rsidR="00077729" w:rsidRPr="002574EC">
        <w:lastRenderedPageBreak/>
        <w:t>provisional judges had been appointed.</w:t>
      </w:r>
      <w:r w:rsidR="00F63F33" w:rsidRPr="002574EC">
        <w:rPr>
          <w:rStyle w:val="FootnoteReference"/>
        </w:rPr>
        <w:footnoteReference w:id="35"/>
      </w:r>
      <w:r w:rsidR="0086673E" w:rsidRPr="002574EC">
        <w:t xml:space="preserve"> </w:t>
      </w:r>
      <w:r w:rsidR="003F5573" w:rsidRPr="002574EC">
        <w:t>Alt</w:t>
      </w:r>
      <w:r w:rsidR="007F440B" w:rsidRPr="002574EC">
        <w:t>hough the IACHR has been unable to gain access to the most recent information on the percentage of provisional judges, it is estimated that this number has not decreased since 2003</w:t>
      </w:r>
      <w:r w:rsidR="003F5573" w:rsidRPr="002574EC">
        <w:t xml:space="preserve"> and</w:t>
      </w:r>
      <w:r w:rsidR="007F440B" w:rsidRPr="002574EC">
        <w:t xml:space="preserve"> no competitive selection process is </w:t>
      </w:r>
      <w:r w:rsidR="00441652" w:rsidRPr="002574EC">
        <w:t xml:space="preserve">being </w:t>
      </w:r>
      <w:r w:rsidR="007F440B" w:rsidRPr="002574EC">
        <w:t xml:space="preserve">conducted for the appointment of </w:t>
      </w:r>
      <w:r w:rsidR="00065538" w:rsidRPr="002574EC">
        <w:t>tenured</w:t>
      </w:r>
      <w:r w:rsidR="007A589F" w:rsidRPr="002574EC">
        <w:t>, that is, permanent</w:t>
      </w:r>
      <w:r w:rsidR="00065538" w:rsidRPr="002574EC">
        <w:t xml:space="preserve"> judges.</w:t>
      </w:r>
      <w:r w:rsidR="005C6542" w:rsidRPr="002574EC">
        <w:rPr>
          <w:rStyle w:val="FootnoteReference"/>
        </w:rPr>
        <w:footnoteReference w:id="36"/>
      </w:r>
      <w:r w:rsidR="005C6542" w:rsidRPr="002574EC">
        <w:t xml:space="preserve"> </w:t>
      </w:r>
    </w:p>
    <w:p w14:paraId="40DC7CAA" w14:textId="77777777" w:rsidR="00825032" w:rsidRPr="002574EC" w:rsidRDefault="00825032" w:rsidP="00E07D06">
      <w:pPr>
        <w:pBdr>
          <w:top w:val="nil"/>
          <w:left w:val="nil"/>
          <w:bottom w:val="nil"/>
          <w:right w:val="nil"/>
          <w:between w:val="nil"/>
        </w:pBdr>
        <w:ind w:left="426" w:hanging="426"/>
        <w:jc w:val="both"/>
        <w:rPr>
          <w:rFonts w:ascii="Cambria" w:eastAsia="Cambria" w:hAnsi="Cambria" w:cs="Cambria"/>
          <w:sz w:val="20"/>
          <w:szCs w:val="20"/>
        </w:rPr>
      </w:pPr>
    </w:p>
    <w:p w14:paraId="08BDCEBA" w14:textId="2006A751" w:rsidR="00825032" w:rsidRPr="002574EC" w:rsidRDefault="007C1B89" w:rsidP="00F85814">
      <w:pPr>
        <w:pStyle w:val="ListParagraph"/>
      </w:pPr>
      <w:r w:rsidRPr="002574EC">
        <w:t xml:space="preserve">In </w:t>
      </w:r>
      <w:r w:rsidR="005C6542" w:rsidRPr="002574EC">
        <w:t xml:space="preserve">2021, </w:t>
      </w:r>
      <w:r w:rsidRPr="002574EC">
        <w:t xml:space="preserve">the International Commission of Jurists published the report </w:t>
      </w:r>
      <w:r w:rsidR="005C6542" w:rsidRPr="002574EC">
        <w:t xml:space="preserve"> “</w:t>
      </w:r>
      <w:r w:rsidR="006725BD" w:rsidRPr="002574EC">
        <w:t>Judges on the Tightrope,</w:t>
      </w:r>
      <w:r w:rsidR="005C6542" w:rsidRPr="002574EC">
        <w:t>”</w:t>
      </w:r>
      <w:r w:rsidR="006725BD" w:rsidRPr="002574EC">
        <w:t xml:space="preserve"> decrying that the TSJ itself established a Judicial Commission in charge, among other things, of appointing and removing judges. This is despite the fact that there is no constitutional or statutory </w:t>
      </w:r>
      <w:r w:rsidR="00AB7104" w:rsidRPr="002574EC">
        <w:t xml:space="preserve">reference </w:t>
      </w:r>
      <w:r w:rsidR="006725BD" w:rsidRPr="002574EC">
        <w:t>that “</w:t>
      </w:r>
      <w:r w:rsidR="00AB7104" w:rsidRPr="002574EC">
        <w:t>provides for even the existence of this Judicial Commission.</w:t>
      </w:r>
      <w:r w:rsidR="005C6542" w:rsidRPr="002574EC">
        <w:t>”</w:t>
      </w:r>
      <w:r w:rsidR="005C6542" w:rsidRPr="002574EC">
        <w:rPr>
          <w:rStyle w:val="FootnoteReference"/>
        </w:rPr>
        <w:footnoteReference w:id="37"/>
      </w:r>
      <w:r w:rsidR="00AB7104" w:rsidRPr="002574EC">
        <w:t xml:space="preserve"> </w:t>
      </w:r>
      <w:r w:rsidR="00B145EB" w:rsidRPr="002574EC">
        <w:t xml:space="preserve">In response to this serious situation, the IACHR reiterates that the State </w:t>
      </w:r>
      <w:r w:rsidR="0004041D" w:rsidRPr="002574EC">
        <w:t xml:space="preserve">should adopt </w:t>
      </w:r>
      <w:r w:rsidR="00B145EB" w:rsidRPr="002574EC">
        <w:t xml:space="preserve">urgent and decisive measures to significantly increase the number of </w:t>
      </w:r>
      <w:r w:rsidR="0004041D" w:rsidRPr="002574EC">
        <w:t xml:space="preserve">permanent, tenured </w:t>
      </w:r>
      <w:r w:rsidR="00B145EB" w:rsidRPr="002574EC">
        <w:t>judges and ensure that</w:t>
      </w:r>
      <w:r w:rsidR="00A31C5D" w:rsidRPr="002574EC">
        <w:t xml:space="preserve"> judges</w:t>
      </w:r>
      <w:r w:rsidR="00D26066" w:rsidRPr="002574EC">
        <w:t xml:space="preserve">, even </w:t>
      </w:r>
      <w:r w:rsidR="00A31C5D" w:rsidRPr="002574EC">
        <w:t xml:space="preserve">if </w:t>
      </w:r>
      <w:r w:rsidR="00D26066" w:rsidRPr="002574EC">
        <w:t>provisional</w:t>
      </w:r>
      <w:r w:rsidR="00BB4B39" w:rsidRPr="002574EC">
        <w:t xml:space="preserve"> or acting</w:t>
      </w:r>
      <w:r w:rsidR="00D26066" w:rsidRPr="002574EC">
        <w:t xml:space="preserve">, are </w:t>
      </w:r>
      <w:r w:rsidR="00A31C5D" w:rsidRPr="002574EC">
        <w:t xml:space="preserve">only </w:t>
      </w:r>
      <w:r w:rsidR="00D26066" w:rsidRPr="002574EC">
        <w:t xml:space="preserve">removed </w:t>
      </w:r>
      <w:r w:rsidR="00A31C5D" w:rsidRPr="002574EC">
        <w:t xml:space="preserve">through a </w:t>
      </w:r>
      <w:r w:rsidR="00D26066" w:rsidRPr="002574EC">
        <w:t>disciplinary or administrative proceedings that abide by due process</w:t>
      </w:r>
      <w:r w:rsidR="00222E98" w:rsidRPr="002574EC">
        <w:t xml:space="preserve"> guarantees</w:t>
      </w:r>
      <w:r w:rsidR="00D26066" w:rsidRPr="002574EC">
        <w:t xml:space="preserve">, </w:t>
      </w:r>
      <w:r w:rsidR="00036052" w:rsidRPr="002574EC">
        <w:t xml:space="preserve">especially the requirement that decisions state proper grounds </w:t>
      </w:r>
      <w:r w:rsidR="0021191F" w:rsidRPr="002574EC">
        <w:t xml:space="preserve">and </w:t>
      </w:r>
      <w:r w:rsidR="00036052" w:rsidRPr="002574EC">
        <w:t xml:space="preserve">are subject to </w:t>
      </w:r>
      <w:r w:rsidR="0021191F" w:rsidRPr="002574EC">
        <w:t>judicial review.</w:t>
      </w:r>
      <w:r w:rsidR="00825032" w:rsidRPr="002574EC">
        <w:rPr>
          <w:rStyle w:val="FootnoteReference"/>
        </w:rPr>
        <w:footnoteReference w:id="38"/>
      </w:r>
    </w:p>
    <w:p w14:paraId="39BBF4C5" w14:textId="7AAA0653" w:rsidR="00825032" w:rsidRPr="002574EC" w:rsidRDefault="00825032" w:rsidP="00E07D06">
      <w:pPr>
        <w:pBdr>
          <w:top w:val="nil"/>
          <w:left w:val="nil"/>
          <w:bottom w:val="nil"/>
          <w:right w:val="nil"/>
          <w:between w:val="nil"/>
        </w:pBdr>
        <w:ind w:left="426" w:hanging="426"/>
        <w:jc w:val="both"/>
        <w:rPr>
          <w:rFonts w:ascii="Cambria" w:eastAsia="Cambria" w:hAnsi="Cambria" w:cs="Cambria"/>
          <w:sz w:val="20"/>
          <w:szCs w:val="20"/>
        </w:rPr>
      </w:pPr>
    </w:p>
    <w:p w14:paraId="22AC05E3" w14:textId="2033EBE0" w:rsidR="005F1FEF" w:rsidRPr="002574EC" w:rsidRDefault="005F1FEF" w:rsidP="00E07D06">
      <w:pPr>
        <w:pBdr>
          <w:top w:val="nil"/>
          <w:left w:val="nil"/>
          <w:bottom w:val="nil"/>
          <w:right w:val="nil"/>
          <w:between w:val="nil"/>
        </w:pBdr>
        <w:ind w:left="426" w:hanging="426"/>
        <w:jc w:val="both"/>
        <w:rPr>
          <w:rFonts w:ascii="Cambria" w:eastAsia="Cambria" w:hAnsi="Cambria" w:cs="Cambria"/>
          <w:b/>
          <w:bCs/>
          <w:i/>
          <w:iCs/>
          <w:sz w:val="20"/>
          <w:szCs w:val="20"/>
        </w:rPr>
      </w:pPr>
      <w:r w:rsidRPr="002574EC">
        <w:rPr>
          <w:rFonts w:ascii="Cambria" w:eastAsia="Cambria" w:hAnsi="Cambria" w:cs="Cambria"/>
          <w:b/>
          <w:bCs/>
          <w:i/>
          <w:iCs/>
          <w:sz w:val="20"/>
          <w:szCs w:val="20"/>
        </w:rPr>
        <w:t>Opaci</w:t>
      </w:r>
      <w:r w:rsidR="00772790" w:rsidRPr="002574EC">
        <w:rPr>
          <w:rFonts w:ascii="Cambria" w:eastAsia="Cambria" w:hAnsi="Cambria" w:cs="Cambria"/>
          <w:b/>
          <w:bCs/>
          <w:i/>
          <w:iCs/>
          <w:sz w:val="20"/>
          <w:szCs w:val="20"/>
        </w:rPr>
        <w:t>ty in judicial governance and the administration of justice</w:t>
      </w:r>
    </w:p>
    <w:p w14:paraId="6005A0D9" w14:textId="77777777" w:rsidR="005F1FEF" w:rsidRPr="002574EC" w:rsidRDefault="005F1FEF" w:rsidP="00E07D06">
      <w:pPr>
        <w:pBdr>
          <w:top w:val="nil"/>
          <w:left w:val="nil"/>
          <w:bottom w:val="nil"/>
          <w:right w:val="nil"/>
          <w:between w:val="nil"/>
        </w:pBdr>
        <w:ind w:left="426" w:hanging="426"/>
        <w:jc w:val="both"/>
        <w:rPr>
          <w:rFonts w:ascii="Cambria" w:eastAsia="Cambria" w:hAnsi="Cambria" w:cs="Cambria"/>
          <w:sz w:val="20"/>
          <w:szCs w:val="20"/>
        </w:rPr>
      </w:pPr>
    </w:p>
    <w:p w14:paraId="4F1768EF" w14:textId="5FF699D4" w:rsidR="00825032" w:rsidRPr="002574EC" w:rsidRDefault="00251050" w:rsidP="00F85814">
      <w:pPr>
        <w:pStyle w:val="ListParagraph"/>
      </w:pPr>
      <w:r w:rsidRPr="002574EC">
        <w:t xml:space="preserve">The Inter-American Commission has also observed that the judiciary operates </w:t>
      </w:r>
      <w:r w:rsidR="00FD4EE0" w:rsidRPr="002574EC">
        <w:t xml:space="preserve">with a high degree </w:t>
      </w:r>
      <w:r w:rsidRPr="002574EC">
        <w:t xml:space="preserve">of opacity. </w:t>
      </w:r>
      <w:r w:rsidR="00997B7C" w:rsidRPr="002574EC">
        <w:t xml:space="preserve">This greatly hampers the ability to follow up on the status of </w:t>
      </w:r>
      <w:r w:rsidR="00B63A87" w:rsidRPr="002574EC">
        <w:t xml:space="preserve">judicial independence and to find out, for example, whether judges are appointed in keeping with preestablished </w:t>
      </w:r>
      <w:r w:rsidR="0090124C" w:rsidRPr="002574EC">
        <w:t xml:space="preserve">procedures, as well as the percentage of </w:t>
      </w:r>
      <w:r w:rsidR="00520BC1" w:rsidRPr="002574EC">
        <w:t xml:space="preserve">the </w:t>
      </w:r>
      <w:r w:rsidR="0090124C" w:rsidRPr="002574EC">
        <w:t>country’s judges holding provisional</w:t>
      </w:r>
      <w:r w:rsidR="00F70E11" w:rsidRPr="002574EC">
        <w:t xml:space="preserve"> or interi</w:t>
      </w:r>
      <w:r w:rsidR="00C913E3" w:rsidRPr="002574EC">
        <w:t>m</w:t>
      </w:r>
      <w:r w:rsidR="0090124C" w:rsidRPr="002574EC">
        <w:t xml:space="preserve"> appointments. </w:t>
      </w:r>
      <w:r w:rsidR="002A4F76" w:rsidRPr="002574EC">
        <w:t xml:space="preserve"> The</w:t>
      </w:r>
      <w:r w:rsidR="00334402" w:rsidRPr="002574EC">
        <w:t xml:space="preserve"> Supreme Court of Justice has particularly been </w:t>
      </w:r>
      <w:r w:rsidR="00EE33D1" w:rsidRPr="002574EC">
        <w:t xml:space="preserve">characterized </w:t>
      </w:r>
      <w:r w:rsidR="00334402" w:rsidRPr="002574EC">
        <w:t xml:space="preserve">by </w:t>
      </w:r>
      <w:r w:rsidR="003A7AFE" w:rsidRPr="002574EC">
        <w:t>a</w:t>
      </w:r>
      <w:r w:rsidR="002A4F76" w:rsidRPr="002574EC">
        <w:t xml:space="preserve"> lack of transparency and public disclosure</w:t>
      </w:r>
      <w:r w:rsidR="0010441C" w:rsidRPr="002574EC">
        <w:t xml:space="preserve"> and has engaged in practices </w:t>
      </w:r>
      <w:r w:rsidR="00DC5BEC" w:rsidRPr="002574EC">
        <w:t xml:space="preserve">such as issuing public </w:t>
      </w:r>
      <w:r w:rsidR="002D3F3F" w:rsidRPr="002574EC">
        <w:t xml:space="preserve">convictions </w:t>
      </w:r>
      <w:r w:rsidR="00DC5BEC" w:rsidRPr="002574EC">
        <w:t xml:space="preserve">through </w:t>
      </w:r>
      <w:r w:rsidR="00764F16" w:rsidRPr="002574EC">
        <w:t>releases with</w:t>
      </w:r>
      <w:r w:rsidR="006D209E" w:rsidRPr="002574EC">
        <w:t xml:space="preserve">out giving </w:t>
      </w:r>
      <w:r w:rsidR="00764F16" w:rsidRPr="002574EC">
        <w:t>the parties</w:t>
      </w:r>
      <w:r w:rsidR="006D209E" w:rsidRPr="002574EC">
        <w:t xml:space="preserve"> to the cases any prior notice; issuing decisions of nationwide import</w:t>
      </w:r>
      <w:r w:rsidR="001E3D1B" w:rsidRPr="002574EC">
        <w:t xml:space="preserve"> with</w:t>
      </w:r>
      <w:r w:rsidR="00CD0E5E" w:rsidRPr="002574EC">
        <w:t>out</w:t>
      </w:r>
      <w:r w:rsidR="001E3D1B" w:rsidRPr="002574EC">
        <w:t xml:space="preserve"> holding any public hearings; only publishing the operative portions of judicial decisions; and serving notice of decisions, convictions and injunctions </w:t>
      </w:r>
      <w:r w:rsidR="00BA2E0C" w:rsidRPr="002574EC">
        <w:t>through social networks such as Facebook or Twitter, eschewing the use of court orders.</w:t>
      </w:r>
      <w:r w:rsidR="00825032" w:rsidRPr="002574EC">
        <w:rPr>
          <w:rStyle w:val="FootnoteReference"/>
        </w:rPr>
        <w:footnoteReference w:id="39"/>
      </w:r>
      <w:r w:rsidR="00825032" w:rsidRPr="002574EC">
        <w:t> </w:t>
      </w:r>
    </w:p>
    <w:p w14:paraId="67C19968" w14:textId="070879A9" w:rsidR="00825032" w:rsidRPr="002574EC" w:rsidRDefault="00825032" w:rsidP="00E07D06">
      <w:pPr>
        <w:pBdr>
          <w:top w:val="nil"/>
          <w:left w:val="nil"/>
          <w:bottom w:val="nil"/>
          <w:right w:val="nil"/>
          <w:between w:val="nil"/>
        </w:pBdr>
        <w:ind w:left="426" w:hanging="426"/>
        <w:jc w:val="both"/>
        <w:rPr>
          <w:rFonts w:ascii="Cambria" w:eastAsia="Cambria" w:hAnsi="Cambria" w:cs="Cambria"/>
          <w:sz w:val="20"/>
          <w:szCs w:val="20"/>
        </w:rPr>
      </w:pPr>
    </w:p>
    <w:p w14:paraId="3658CFAD" w14:textId="15F30FCC" w:rsidR="00825032" w:rsidRPr="002574EC" w:rsidRDefault="00E0287F" w:rsidP="00F85814">
      <w:pPr>
        <w:pStyle w:val="ListParagraph"/>
      </w:pPr>
      <w:r w:rsidRPr="002574EC">
        <w:t xml:space="preserve">The Inter-American Commission </w:t>
      </w:r>
      <w:r w:rsidR="000C765F" w:rsidRPr="002574EC">
        <w:t xml:space="preserve">finds it particularly troubling that the highest body of the judiciary engages in these practices, and </w:t>
      </w:r>
      <w:r w:rsidR="00305B0D" w:rsidRPr="002574EC">
        <w:t xml:space="preserve">stresses </w:t>
      </w:r>
      <w:r w:rsidR="000C765F" w:rsidRPr="002574EC">
        <w:t xml:space="preserve">that they </w:t>
      </w:r>
      <w:r w:rsidR="00660FA3" w:rsidRPr="002574EC">
        <w:t xml:space="preserve">are tantamount to </w:t>
      </w:r>
      <w:r w:rsidR="000C765F" w:rsidRPr="002574EC">
        <w:t xml:space="preserve">serious violations of due process guarantees that </w:t>
      </w:r>
      <w:r w:rsidR="0075477D" w:rsidRPr="002574EC">
        <w:t xml:space="preserve">protect </w:t>
      </w:r>
      <w:r w:rsidR="00320CC2" w:rsidRPr="002574EC">
        <w:t>all persons, such as the presumption of innocence, the right of appeal, the right to be heard and the duty to state grounds for judicial decisions.</w:t>
      </w:r>
    </w:p>
    <w:p w14:paraId="3D2AD575" w14:textId="77777777" w:rsidR="005F1FEF" w:rsidRPr="002574EC" w:rsidRDefault="005F1FEF" w:rsidP="00E07D06">
      <w:pPr>
        <w:pBdr>
          <w:top w:val="nil"/>
          <w:left w:val="nil"/>
          <w:bottom w:val="nil"/>
          <w:right w:val="nil"/>
          <w:between w:val="nil"/>
        </w:pBdr>
        <w:ind w:left="426" w:hanging="426"/>
        <w:jc w:val="both"/>
        <w:rPr>
          <w:rFonts w:ascii="Cambria" w:eastAsia="Cambria" w:hAnsi="Cambria" w:cs="Cambria"/>
          <w:sz w:val="20"/>
          <w:szCs w:val="20"/>
        </w:rPr>
      </w:pPr>
    </w:p>
    <w:p w14:paraId="4283D484" w14:textId="2E4C2879" w:rsidR="00825032" w:rsidRPr="002574EC" w:rsidRDefault="00D846F6" w:rsidP="00F85814">
      <w:pPr>
        <w:pBdr>
          <w:top w:val="nil"/>
          <w:left w:val="nil"/>
          <w:bottom w:val="nil"/>
          <w:right w:val="nil"/>
          <w:between w:val="nil"/>
        </w:pBdr>
        <w:jc w:val="both"/>
        <w:rPr>
          <w:rFonts w:ascii="Cambria" w:eastAsia="Cambria" w:hAnsi="Cambria" w:cs="Cambria"/>
          <w:b/>
          <w:bCs/>
          <w:i/>
          <w:iCs/>
          <w:sz w:val="20"/>
          <w:szCs w:val="20"/>
        </w:rPr>
      </w:pPr>
      <w:r w:rsidRPr="002574EC">
        <w:rPr>
          <w:rFonts w:ascii="Cambria" w:eastAsia="Cambria" w:hAnsi="Cambria" w:cs="Cambria"/>
          <w:b/>
          <w:bCs/>
          <w:i/>
          <w:iCs/>
          <w:sz w:val="20"/>
          <w:szCs w:val="20"/>
        </w:rPr>
        <w:t>A</w:t>
      </w:r>
      <w:r w:rsidR="00091254" w:rsidRPr="002574EC">
        <w:rPr>
          <w:rFonts w:ascii="Cambria" w:eastAsia="Cambria" w:hAnsi="Cambria" w:cs="Cambria"/>
          <w:b/>
          <w:bCs/>
          <w:i/>
          <w:iCs/>
          <w:sz w:val="20"/>
          <w:szCs w:val="20"/>
        </w:rPr>
        <w:t>dmi</w:t>
      </w:r>
      <w:r w:rsidR="00FE506F" w:rsidRPr="002574EC">
        <w:rPr>
          <w:rFonts w:ascii="Cambria" w:eastAsia="Cambria" w:hAnsi="Cambria" w:cs="Cambria"/>
          <w:b/>
          <w:bCs/>
          <w:i/>
          <w:iCs/>
          <w:sz w:val="20"/>
          <w:szCs w:val="20"/>
        </w:rPr>
        <w:t>tting</w:t>
      </w:r>
      <w:r w:rsidR="00091254" w:rsidRPr="002574EC">
        <w:rPr>
          <w:rFonts w:ascii="Cambria" w:eastAsia="Cambria" w:hAnsi="Cambria" w:cs="Cambria"/>
          <w:b/>
          <w:bCs/>
          <w:i/>
          <w:iCs/>
          <w:sz w:val="20"/>
          <w:szCs w:val="20"/>
        </w:rPr>
        <w:t xml:space="preserve"> evidence under duress and judicial persecution against individuals perceived as opponents to the government</w:t>
      </w:r>
      <w:r w:rsidR="0001374E" w:rsidRPr="002574EC">
        <w:rPr>
          <w:rFonts w:ascii="Cambria" w:eastAsia="Cambria" w:hAnsi="Cambria" w:cs="Cambria"/>
          <w:b/>
          <w:bCs/>
          <w:i/>
          <w:iCs/>
          <w:sz w:val="20"/>
          <w:szCs w:val="20"/>
        </w:rPr>
        <w:t xml:space="preserve"> </w:t>
      </w:r>
    </w:p>
    <w:p w14:paraId="6BDE5A77" w14:textId="77777777" w:rsidR="009D0BB9" w:rsidRPr="002574EC" w:rsidRDefault="009D0BB9" w:rsidP="00E07D06">
      <w:pPr>
        <w:pBdr>
          <w:top w:val="nil"/>
          <w:left w:val="nil"/>
          <w:bottom w:val="nil"/>
          <w:right w:val="nil"/>
          <w:between w:val="nil"/>
        </w:pBdr>
        <w:ind w:left="426" w:hanging="426"/>
        <w:jc w:val="both"/>
        <w:rPr>
          <w:rFonts w:ascii="Cambria" w:eastAsia="Cambria" w:hAnsi="Cambria" w:cs="Cambria"/>
          <w:sz w:val="20"/>
          <w:szCs w:val="20"/>
        </w:rPr>
      </w:pPr>
    </w:p>
    <w:p w14:paraId="6CAA4EF4" w14:textId="76E6E505" w:rsidR="005F1FEF" w:rsidRPr="002574EC" w:rsidRDefault="00E50287" w:rsidP="00F85814">
      <w:pPr>
        <w:pStyle w:val="ListParagraph"/>
      </w:pPr>
      <w:r w:rsidRPr="002574EC">
        <w:t xml:space="preserve">In </w:t>
      </w:r>
      <w:r w:rsidR="00825032" w:rsidRPr="002574EC">
        <w:t xml:space="preserve">2021, </w:t>
      </w:r>
      <w:r w:rsidRPr="002574EC">
        <w:t xml:space="preserve">the IACHR took note of the findings presented by the </w:t>
      </w:r>
      <w:r w:rsidR="00FC1CBB" w:rsidRPr="002574EC">
        <w:t xml:space="preserve">Independent International Fact-Finding Mission on Venezuela (hereinafter “the Mission”) with respect to the judiciary.  On this score, it finds it worrying that the Mission has documented the admission of evidence, including confessions, </w:t>
      </w:r>
      <w:r w:rsidR="005D2225" w:rsidRPr="002574EC">
        <w:t xml:space="preserve">that was obtained </w:t>
      </w:r>
      <w:r w:rsidR="00FC1CBB" w:rsidRPr="002574EC">
        <w:t xml:space="preserve">under duress or </w:t>
      </w:r>
      <w:r w:rsidR="00543029" w:rsidRPr="002574EC">
        <w:t>during</w:t>
      </w:r>
      <w:r w:rsidR="00FC1CBB" w:rsidRPr="002574EC">
        <w:t xml:space="preserve"> interrogations without </w:t>
      </w:r>
      <w:r w:rsidR="00D33201" w:rsidRPr="002574EC">
        <w:t xml:space="preserve">proper </w:t>
      </w:r>
      <w:r w:rsidR="00FC1CBB" w:rsidRPr="002574EC">
        <w:t>representation of legal counsel.</w:t>
      </w:r>
      <w:r w:rsidR="005F1FEF" w:rsidRPr="002574EC">
        <w:rPr>
          <w:rStyle w:val="FootnoteReference"/>
        </w:rPr>
        <w:footnoteReference w:id="40"/>
      </w:r>
      <w:r w:rsidR="00EF0C1D" w:rsidRPr="002574EC">
        <w:rPr>
          <w:lang w:eastAsia="en-US"/>
        </w:rPr>
        <w:t xml:space="preserve"> In this regard, the Inter-American Commission recalls that, pursuant to Inter-American standards, the defendant’s confession is </w:t>
      </w:r>
      <w:r w:rsidR="00EF0C1D" w:rsidRPr="002574EC">
        <w:rPr>
          <w:lang w:eastAsia="en-US"/>
        </w:rPr>
        <w:lastRenderedPageBreak/>
        <w:t xml:space="preserve">only valid </w:t>
      </w:r>
      <w:r w:rsidR="00CF036D" w:rsidRPr="002574EC">
        <w:rPr>
          <w:lang w:eastAsia="en-US"/>
        </w:rPr>
        <w:t>if made without duress of any kind, that is, it is not limited to the factual situation of torture or cruel treatment, but extends to any form of duress.</w:t>
      </w:r>
      <w:r w:rsidR="005F1FEF" w:rsidRPr="002574EC">
        <w:rPr>
          <w:rStyle w:val="FootnoteReference"/>
        </w:rPr>
        <w:footnoteReference w:id="41"/>
      </w:r>
      <w:r w:rsidR="005F1FEF" w:rsidRPr="002574EC">
        <w:t> </w:t>
      </w:r>
    </w:p>
    <w:p w14:paraId="49CF09F1" w14:textId="77777777" w:rsidR="005F1FEF" w:rsidRPr="002574EC" w:rsidRDefault="005F1FEF" w:rsidP="00E07D06">
      <w:pPr>
        <w:pBdr>
          <w:top w:val="nil"/>
          <w:left w:val="nil"/>
          <w:bottom w:val="nil"/>
          <w:right w:val="nil"/>
          <w:between w:val="nil"/>
        </w:pBdr>
        <w:ind w:left="426" w:hanging="426"/>
        <w:jc w:val="both"/>
        <w:rPr>
          <w:rFonts w:ascii="Cambria" w:eastAsia="Cambria" w:hAnsi="Cambria" w:cs="Cambria"/>
          <w:sz w:val="20"/>
          <w:szCs w:val="20"/>
          <w:lang w:eastAsia="en-US"/>
        </w:rPr>
      </w:pPr>
    </w:p>
    <w:p w14:paraId="639CB6C7" w14:textId="6FB6CF26" w:rsidR="005F1FEF" w:rsidRPr="002574EC" w:rsidRDefault="001D2BF7" w:rsidP="00F85814">
      <w:pPr>
        <w:pStyle w:val="ListParagraph"/>
      </w:pPr>
      <w:r w:rsidRPr="002574EC">
        <w:t>Additionally</w:t>
      </w:r>
      <w:r w:rsidR="00EB1E85" w:rsidRPr="002574EC">
        <w:t xml:space="preserve">, in 2021, the Independent International Fact-Finding Mission on Venezuela </w:t>
      </w:r>
      <w:r w:rsidRPr="002574EC">
        <w:t>documented serious violations of the fair trial rights of persons who are perceived as opponents to the government.  Th</w:t>
      </w:r>
      <w:r w:rsidR="00BA51CF" w:rsidRPr="002574EC">
        <w:t xml:space="preserve">us, the </w:t>
      </w:r>
      <w:r w:rsidR="00BE2F6C" w:rsidRPr="002574EC">
        <w:t xml:space="preserve">Mission </w:t>
      </w:r>
      <w:r w:rsidR="00332522" w:rsidRPr="002574EC">
        <w:t xml:space="preserve">was able to review </w:t>
      </w:r>
      <w:r w:rsidR="00BE2F6C" w:rsidRPr="002574EC">
        <w:t xml:space="preserve">183 detentions, finding that 77% of the </w:t>
      </w:r>
      <w:r w:rsidR="00DA033B" w:rsidRPr="002574EC">
        <w:t>initial appearance</w:t>
      </w:r>
      <w:r w:rsidR="008D5A8C" w:rsidRPr="002574EC">
        <w:t>s</w:t>
      </w:r>
      <w:r w:rsidR="000632B9" w:rsidRPr="002574EC">
        <w:t xml:space="preserve"> it examined</w:t>
      </w:r>
      <w:r w:rsidR="008D5A8C" w:rsidRPr="002574EC">
        <w:t xml:space="preserve"> took place </w:t>
      </w:r>
      <w:r w:rsidR="00BC70B4" w:rsidRPr="002574EC">
        <w:t>outside the 48-hour period permitted by law</w:t>
      </w:r>
      <w:r w:rsidR="00D34CD5" w:rsidRPr="002574EC">
        <w:t>, with</w:t>
      </w:r>
      <w:r w:rsidR="008D5A8C" w:rsidRPr="002574EC">
        <w:t xml:space="preserve"> 18% of the </w:t>
      </w:r>
      <w:r w:rsidR="00FB3617" w:rsidRPr="002574EC">
        <w:t xml:space="preserve">detainees </w:t>
      </w:r>
      <w:r w:rsidR="008D5A8C" w:rsidRPr="002574EC">
        <w:t>held for more than one week before their initial appearance</w:t>
      </w:r>
      <w:r w:rsidR="005C20F8" w:rsidRPr="002574EC">
        <w:t>s</w:t>
      </w:r>
      <w:r w:rsidR="008D5A8C" w:rsidRPr="002574EC">
        <w:t xml:space="preserve"> before a judge.</w:t>
      </w:r>
      <w:r w:rsidR="005F1FEF" w:rsidRPr="002574EC">
        <w:rPr>
          <w:rStyle w:val="FootnoteReference"/>
        </w:rPr>
        <w:footnoteReference w:id="42"/>
      </w:r>
      <w:r w:rsidR="00321EBB" w:rsidRPr="002574EC">
        <w:t xml:space="preserve"> </w:t>
      </w:r>
      <w:r w:rsidR="005F1FEF" w:rsidRPr="002574EC">
        <w:t xml:space="preserve"> </w:t>
      </w:r>
      <w:r w:rsidR="005C20F8" w:rsidRPr="002574EC">
        <w:t xml:space="preserve">The Mission also documented </w:t>
      </w:r>
      <w:r w:rsidR="000E7B56" w:rsidRPr="002574EC">
        <w:t xml:space="preserve">serious </w:t>
      </w:r>
      <w:r w:rsidR="00E605C9" w:rsidRPr="002574EC">
        <w:t xml:space="preserve">procedural delays </w:t>
      </w:r>
      <w:r w:rsidR="00390D9B" w:rsidRPr="002574EC">
        <w:t xml:space="preserve">and constant deferrals of hearings, when cases involved </w:t>
      </w:r>
      <w:r w:rsidR="005C20F8" w:rsidRPr="002574EC">
        <w:t>individuals perceived as government opposition members</w:t>
      </w:r>
      <w:r w:rsidR="00D77935" w:rsidRPr="002574EC">
        <w:t>.</w:t>
      </w:r>
      <w:r w:rsidR="005F1FEF" w:rsidRPr="002574EC">
        <w:rPr>
          <w:rStyle w:val="FootnoteReference"/>
        </w:rPr>
        <w:footnoteReference w:id="43"/>
      </w:r>
    </w:p>
    <w:p w14:paraId="69D1231A" w14:textId="173C82BA" w:rsidR="000E2C75" w:rsidRPr="002574EC" w:rsidRDefault="000E2C75" w:rsidP="00E07D06">
      <w:pPr>
        <w:pBdr>
          <w:top w:val="nil"/>
          <w:left w:val="nil"/>
          <w:bottom w:val="nil"/>
          <w:right w:val="nil"/>
          <w:between w:val="nil"/>
        </w:pBdr>
        <w:ind w:left="426" w:hanging="426"/>
        <w:jc w:val="both"/>
        <w:rPr>
          <w:rFonts w:ascii="Cambria" w:eastAsia="Cambria" w:hAnsi="Cambria" w:cs="Cambria"/>
          <w:sz w:val="20"/>
          <w:szCs w:val="20"/>
        </w:rPr>
      </w:pPr>
    </w:p>
    <w:p w14:paraId="076FCABA" w14:textId="56EEDC64" w:rsidR="000E2C75" w:rsidRPr="002574EC" w:rsidRDefault="00D77935" w:rsidP="00E07D06">
      <w:pPr>
        <w:pBdr>
          <w:top w:val="nil"/>
          <w:left w:val="nil"/>
          <w:bottom w:val="nil"/>
          <w:right w:val="nil"/>
          <w:between w:val="nil"/>
        </w:pBdr>
        <w:ind w:left="426" w:hanging="426"/>
        <w:jc w:val="both"/>
        <w:rPr>
          <w:rFonts w:ascii="Cambria" w:eastAsia="Cambria" w:hAnsi="Cambria" w:cs="Cambria"/>
          <w:b/>
          <w:bCs/>
          <w:i/>
          <w:iCs/>
          <w:sz w:val="20"/>
          <w:szCs w:val="20"/>
        </w:rPr>
      </w:pPr>
      <w:r w:rsidRPr="002574EC">
        <w:rPr>
          <w:rFonts w:ascii="Cambria" w:eastAsia="Cambria" w:hAnsi="Cambria" w:cs="Cambria"/>
          <w:b/>
          <w:bCs/>
          <w:i/>
          <w:iCs/>
          <w:sz w:val="20"/>
          <w:szCs w:val="20"/>
        </w:rPr>
        <w:t xml:space="preserve">Improper use of military criminal jurisdiction </w:t>
      </w:r>
    </w:p>
    <w:p w14:paraId="6EB0C69A" w14:textId="77777777" w:rsidR="009D0BB9" w:rsidRPr="002574EC" w:rsidRDefault="009D0BB9" w:rsidP="00E07D06">
      <w:pPr>
        <w:pBdr>
          <w:top w:val="nil"/>
          <w:left w:val="nil"/>
          <w:bottom w:val="nil"/>
          <w:right w:val="nil"/>
          <w:between w:val="nil"/>
        </w:pBdr>
        <w:ind w:left="426" w:hanging="426"/>
        <w:jc w:val="both"/>
        <w:rPr>
          <w:rFonts w:ascii="Cambria" w:eastAsia="Cambria" w:hAnsi="Cambria" w:cs="Cambria"/>
          <w:sz w:val="20"/>
          <w:szCs w:val="20"/>
        </w:rPr>
      </w:pPr>
    </w:p>
    <w:p w14:paraId="2BBC7E0D" w14:textId="30BB61E1" w:rsidR="00AF0C24" w:rsidRPr="002574EC" w:rsidRDefault="006B4ABD" w:rsidP="00F85814">
      <w:pPr>
        <w:pStyle w:val="ListParagraph"/>
      </w:pPr>
      <w:r w:rsidRPr="002574EC">
        <w:t>The IACHR has repeatedly called attention to the improper use of the military criminal jurisdiction in Venezuela.</w:t>
      </w:r>
      <w:r w:rsidR="004F0F91" w:rsidRPr="002574EC">
        <w:rPr>
          <w:rStyle w:val="FootnoteReference"/>
        </w:rPr>
        <w:footnoteReference w:id="44"/>
      </w:r>
      <w:r w:rsidR="00C22E17" w:rsidRPr="002574EC">
        <w:rPr>
          <w:lang w:eastAsia="en-US"/>
        </w:rPr>
        <w:t xml:space="preserve"> </w:t>
      </w:r>
      <w:r w:rsidR="004F0F91" w:rsidRPr="002574EC">
        <w:rPr>
          <w:lang w:eastAsia="en-US"/>
        </w:rPr>
        <w:t xml:space="preserve"> </w:t>
      </w:r>
      <w:r w:rsidR="005A19A0" w:rsidRPr="002574EC">
        <w:rPr>
          <w:lang w:eastAsia="en-US"/>
        </w:rPr>
        <w:t xml:space="preserve">From </w:t>
      </w:r>
      <w:r w:rsidR="004F0F91" w:rsidRPr="002574EC">
        <w:rPr>
          <w:lang w:eastAsia="en-US"/>
        </w:rPr>
        <w:t xml:space="preserve">2014 </w:t>
      </w:r>
      <w:r w:rsidR="005A19A0" w:rsidRPr="002574EC">
        <w:rPr>
          <w:lang w:eastAsia="en-US"/>
        </w:rPr>
        <w:t xml:space="preserve">to </w:t>
      </w:r>
      <w:r w:rsidR="006536AB" w:rsidRPr="002574EC">
        <w:t>2021</w:t>
      </w:r>
      <w:r w:rsidR="004F0F91" w:rsidRPr="002574EC">
        <w:rPr>
          <w:lang w:eastAsia="en-US"/>
        </w:rPr>
        <w:t xml:space="preserve">, </w:t>
      </w:r>
      <w:r w:rsidR="00B83C2F" w:rsidRPr="002574EC">
        <w:rPr>
          <w:lang w:eastAsia="en-US"/>
        </w:rPr>
        <w:t xml:space="preserve">at least </w:t>
      </w:r>
      <w:r w:rsidR="004F0F91" w:rsidRPr="002574EC">
        <w:rPr>
          <w:lang w:eastAsia="en-US"/>
        </w:rPr>
        <w:t>87</w:t>
      </w:r>
      <w:r w:rsidR="00657F65" w:rsidRPr="002574EC">
        <w:rPr>
          <w:lang w:eastAsia="en-US"/>
        </w:rPr>
        <w:t>5</w:t>
      </w:r>
      <w:r w:rsidR="004F0F91" w:rsidRPr="002574EC">
        <w:rPr>
          <w:lang w:eastAsia="en-US"/>
        </w:rPr>
        <w:t xml:space="preserve"> </w:t>
      </w:r>
      <w:r w:rsidR="00B83C2F" w:rsidRPr="002574EC">
        <w:rPr>
          <w:lang w:eastAsia="en-US"/>
        </w:rPr>
        <w:t xml:space="preserve">civilians </w:t>
      </w:r>
      <w:r w:rsidR="002032FC" w:rsidRPr="002574EC">
        <w:rPr>
          <w:lang w:eastAsia="en-US"/>
        </w:rPr>
        <w:t xml:space="preserve">were tried </w:t>
      </w:r>
      <w:r w:rsidR="00F2110F" w:rsidRPr="002574EC">
        <w:rPr>
          <w:lang w:eastAsia="en-US"/>
        </w:rPr>
        <w:t xml:space="preserve">under </w:t>
      </w:r>
      <w:r w:rsidR="002032FC" w:rsidRPr="002574EC">
        <w:rPr>
          <w:lang w:eastAsia="en-US"/>
        </w:rPr>
        <w:t>this jurisdiction.</w:t>
      </w:r>
      <w:r w:rsidR="009508E2" w:rsidRPr="002574EC">
        <w:rPr>
          <w:rStyle w:val="FootnoteReference"/>
        </w:rPr>
        <w:footnoteReference w:id="45"/>
      </w:r>
      <w:r w:rsidR="007B1FE9" w:rsidRPr="002574EC">
        <w:rPr>
          <w:lang w:eastAsia="en-US"/>
        </w:rPr>
        <w:t xml:space="preserve"> It is particularly concerning</w:t>
      </w:r>
      <w:r w:rsidR="00DE0C18" w:rsidRPr="002574EC">
        <w:rPr>
          <w:lang w:eastAsia="en-US"/>
        </w:rPr>
        <w:t xml:space="preserve"> to the Commission </w:t>
      </w:r>
      <w:r w:rsidR="00FA1AEA" w:rsidRPr="002574EC">
        <w:rPr>
          <w:lang w:eastAsia="en-US"/>
        </w:rPr>
        <w:t>that t</w:t>
      </w:r>
      <w:r w:rsidR="00AC67FB" w:rsidRPr="002574EC">
        <w:rPr>
          <w:lang w:eastAsia="en-US"/>
        </w:rPr>
        <w:t xml:space="preserve">he </w:t>
      </w:r>
      <w:r w:rsidR="00FA1AEA" w:rsidRPr="002574EC">
        <w:rPr>
          <w:lang w:eastAsia="en-US"/>
        </w:rPr>
        <w:t xml:space="preserve">military criminal jurisdiction </w:t>
      </w:r>
      <w:r w:rsidR="000375DC" w:rsidRPr="002574EC">
        <w:rPr>
          <w:lang w:eastAsia="en-US"/>
        </w:rPr>
        <w:t>h</w:t>
      </w:r>
      <w:r w:rsidR="00BE3F49" w:rsidRPr="002574EC">
        <w:rPr>
          <w:lang w:eastAsia="en-US"/>
        </w:rPr>
        <w:t xml:space="preserve">as become more widely used </w:t>
      </w:r>
      <w:r w:rsidR="009B6447" w:rsidRPr="002574EC">
        <w:rPr>
          <w:lang w:eastAsia="en-US"/>
        </w:rPr>
        <w:t>during protests, as was the case in 2017, when at least 600 civilians were brought before military judges.</w:t>
      </w:r>
      <w:r w:rsidR="004F0F91" w:rsidRPr="002574EC">
        <w:rPr>
          <w:rStyle w:val="FootnoteReference"/>
        </w:rPr>
        <w:footnoteReference w:id="46"/>
      </w:r>
    </w:p>
    <w:p w14:paraId="21EF6595" w14:textId="77777777" w:rsidR="00AF0C24" w:rsidRPr="002574EC" w:rsidRDefault="00AF0C24" w:rsidP="00F85814">
      <w:pPr>
        <w:pStyle w:val="ListParagraph"/>
        <w:numPr>
          <w:ilvl w:val="0"/>
          <w:numId w:val="0"/>
        </w:numPr>
        <w:ind w:left="720"/>
      </w:pPr>
    </w:p>
    <w:p w14:paraId="767E664F" w14:textId="5BBD9A28" w:rsidR="009508E2" w:rsidRPr="002574EC" w:rsidRDefault="00804F40" w:rsidP="00F85814">
      <w:pPr>
        <w:pStyle w:val="ListParagraph"/>
      </w:pPr>
      <w:r w:rsidRPr="002574EC">
        <w:t xml:space="preserve">On March </w:t>
      </w:r>
      <w:r w:rsidR="009508E2" w:rsidRPr="002574EC">
        <w:t>24</w:t>
      </w:r>
      <w:r w:rsidRPr="002574EC">
        <w:t>,</w:t>
      </w:r>
      <w:r w:rsidR="009508E2" w:rsidRPr="002574EC">
        <w:t xml:space="preserve"> 2021, </w:t>
      </w:r>
      <w:r w:rsidRPr="002574EC">
        <w:t xml:space="preserve">the IACHR </w:t>
      </w:r>
      <w:r w:rsidR="0025497F" w:rsidRPr="002574EC">
        <w:t xml:space="preserve">called on the State of Venezuela to </w:t>
      </w:r>
      <w:r w:rsidR="00FA2A77" w:rsidRPr="002574EC">
        <w:t xml:space="preserve">stop </w:t>
      </w:r>
      <w:r w:rsidR="0070425D" w:rsidRPr="002574EC">
        <w:t>trying civilians in military courts</w:t>
      </w:r>
      <w:r w:rsidR="00351739" w:rsidRPr="002574EC">
        <w:t xml:space="preserve"> once and for all</w:t>
      </w:r>
      <w:r w:rsidR="0070425D" w:rsidRPr="002574EC">
        <w:t xml:space="preserve">. This </w:t>
      </w:r>
      <w:r w:rsidR="007B29A5" w:rsidRPr="002574EC">
        <w:t xml:space="preserve">appeal was issued </w:t>
      </w:r>
      <w:r w:rsidR="0083172C" w:rsidRPr="002574EC">
        <w:t xml:space="preserve">in response to </w:t>
      </w:r>
      <w:r w:rsidR="00FB2BE7" w:rsidRPr="002574EC">
        <w:t xml:space="preserve">TSJ </w:t>
      </w:r>
      <w:r w:rsidR="00474872" w:rsidRPr="002574EC">
        <w:t>judgment No</w:t>
      </w:r>
      <w:r w:rsidR="009508E2" w:rsidRPr="002574EC">
        <w:rPr>
          <w:lang w:eastAsia="en-US"/>
        </w:rPr>
        <w:t xml:space="preserve">. 0246 </w:t>
      </w:r>
      <w:r w:rsidR="00FB2BE7" w:rsidRPr="002574EC">
        <w:rPr>
          <w:lang w:eastAsia="en-US"/>
        </w:rPr>
        <w:t xml:space="preserve">of December </w:t>
      </w:r>
      <w:r w:rsidR="009508E2" w:rsidRPr="002574EC">
        <w:rPr>
          <w:lang w:eastAsia="en-US"/>
        </w:rPr>
        <w:t>14</w:t>
      </w:r>
      <w:r w:rsidR="00FB2BE7" w:rsidRPr="002574EC">
        <w:rPr>
          <w:lang w:eastAsia="en-US"/>
        </w:rPr>
        <w:t>,</w:t>
      </w:r>
      <w:r w:rsidR="009508E2" w:rsidRPr="002574EC">
        <w:rPr>
          <w:lang w:eastAsia="en-US"/>
        </w:rPr>
        <w:t xml:space="preserve"> 2020</w:t>
      </w:r>
      <w:r w:rsidR="00212173" w:rsidRPr="002574EC">
        <w:rPr>
          <w:lang w:eastAsia="en-US"/>
        </w:rPr>
        <w:t xml:space="preserve"> and </w:t>
      </w:r>
      <w:r w:rsidR="00D07280" w:rsidRPr="002574EC">
        <w:rPr>
          <w:lang w:eastAsia="en-US"/>
        </w:rPr>
        <w:t xml:space="preserve">even though </w:t>
      </w:r>
      <w:r w:rsidR="00212173" w:rsidRPr="002574EC">
        <w:rPr>
          <w:lang w:eastAsia="en-US"/>
        </w:rPr>
        <w:t xml:space="preserve">the </w:t>
      </w:r>
      <w:r w:rsidR="0015317E" w:rsidRPr="002574EC">
        <w:rPr>
          <w:lang w:eastAsia="en-US"/>
        </w:rPr>
        <w:t xml:space="preserve">ruling </w:t>
      </w:r>
      <w:r w:rsidR="00D07280" w:rsidRPr="002574EC">
        <w:rPr>
          <w:lang w:eastAsia="en-US"/>
        </w:rPr>
        <w:t>cited Inter-American</w:t>
      </w:r>
      <w:r w:rsidR="00CF0533" w:rsidRPr="002574EC">
        <w:rPr>
          <w:lang w:eastAsia="en-US"/>
        </w:rPr>
        <w:t xml:space="preserve"> </w:t>
      </w:r>
      <w:r w:rsidR="001C0C44" w:rsidRPr="002574EC">
        <w:rPr>
          <w:lang w:eastAsia="en-US"/>
        </w:rPr>
        <w:t xml:space="preserve">standards </w:t>
      </w:r>
      <w:r w:rsidR="00CF0533" w:rsidRPr="002574EC">
        <w:rPr>
          <w:lang w:eastAsia="en-US"/>
        </w:rPr>
        <w:t xml:space="preserve">as grounds to </w:t>
      </w:r>
      <w:r w:rsidR="000A1855" w:rsidRPr="002574EC">
        <w:rPr>
          <w:lang w:eastAsia="en-US"/>
        </w:rPr>
        <w:t xml:space="preserve">vacate a decision of the Tenth </w:t>
      </w:r>
      <w:r w:rsidR="00A97EBD" w:rsidRPr="002574EC">
        <w:rPr>
          <w:lang w:eastAsia="en-US"/>
        </w:rPr>
        <w:t>Military Prel</w:t>
      </w:r>
      <w:r w:rsidR="00431319" w:rsidRPr="002574EC">
        <w:rPr>
          <w:lang w:eastAsia="en-US"/>
        </w:rPr>
        <w:t>i</w:t>
      </w:r>
      <w:r w:rsidR="00A97EBD" w:rsidRPr="002574EC">
        <w:rPr>
          <w:lang w:eastAsia="en-US"/>
        </w:rPr>
        <w:t xml:space="preserve">minary Hearing Court of the Criminal </w:t>
      </w:r>
      <w:r w:rsidR="00867225" w:rsidRPr="002574EC">
        <w:rPr>
          <w:lang w:eastAsia="en-US"/>
        </w:rPr>
        <w:t xml:space="preserve">Judicial Circuit of the State of Zulia, </w:t>
      </w:r>
      <w:r w:rsidR="00863D53" w:rsidRPr="002574EC">
        <w:rPr>
          <w:lang w:eastAsia="en-US"/>
        </w:rPr>
        <w:t xml:space="preserve">in favor of </w:t>
      </w:r>
      <w:r w:rsidR="00F502BC" w:rsidRPr="002574EC">
        <w:rPr>
          <w:lang w:eastAsia="en-US"/>
        </w:rPr>
        <w:t xml:space="preserve">two civilians, it reaffirmed the ability of the military criminal jurisdiction to hear military offenses committed by civilians. </w:t>
      </w:r>
      <w:r w:rsidR="006C0870" w:rsidRPr="002574EC">
        <w:rPr>
          <w:lang w:eastAsia="en-US"/>
        </w:rPr>
        <w:t xml:space="preserve">In the view of the Commission, that line of reasoning </w:t>
      </w:r>
      <w:r w:rsidR="004A0051" w:rsidRPr="002574EC">
        <w:rPr>
          <w:lang w:eastAsia="en-US"/>
        </w:rPr>
        <w:t xml:space="preserve">is out of line with the absolute prohibition </w:t>
      </w:r>
      <w:r w:rsidR="00B41B63" w:rsidRPr="002574EC">
        <w:rPr>
          <w:lang w:eastAsia="en-US"/>
        </w:rPr>
        <w:t>of trying civilians in military courts.</w:t>
      </w:r>
      <w:r w:rsidR="006536AB" w:rsidRPr="002574EC">
        <w:rPr>
          <w:rStyle w:val="FootnoteReference"/>
        </w:rPr>
        <w:footnoteReference w:id="47"/>
      </w:r>
      <w:r w:rsidR="009508E2" w:rsidRPr="002574EC">
        <w:rPr>
          <w:lang w:eastAsia="en-US"/>
        </w:rPr>
        <w:t>  </w:t>
      </w:r>
    </w:p>
    <w:p w14:paraId="3380DABB" w14:textId="77777777" w:rsidR="009508E2" w:rsidRPr="002574EC" w:rsidRDefault="009508E2" w:rsidP="00E07D06">
      <w:pPr>
        <w:pBdr>
          <w:top w:val="nil"/>
          <w:left w:val="nil"/>
          <w:bottom w:val="nil"/>
          <w:right w:val="nil"/>
          <w:between w:val="nil"/>
        </w:pBdr>
        <w:ind w:left="426" w:hanging="426"/>
        <w:jc w:val="both"/>
        <w:rPr>
          <w:rFonts w:ascii="Cambria" w:eastAsia="Cambria" w:hAnsi="Cambria" w:cs="Cambria"/>
          <w:sz w:val="20"/>
          <w:szCs w:val="20"/>
        </w:rPr>
      </w:pPr>
    </w:p>
    <w:p w14:paraId="1F2C9D35" w14:textId="705AFF03" w:rsidR="004F0F91" w:rsidRPr="002574EC" w:rsidRDefault="002C4B2F" w:rsidP="00F85814">
      <w:pPr>
        <w:pStyle w:val="ListParagraph"/>
        <w:rPr>
          <w:lang w:eastAsia="en-US"/>
        </w:rPr>
      </w:pPr>
      <w:r w:rsidRPr="002574EC">
        <w:t xml:space="preserve">On October </w:t>
      </w:r>
      <w:r w:rsidR="006536AB" w:rsidRPr="002574EC">
        <w:t>14</w:t>
      </w:r>
      <w:r w:rsidRPr="002574EC">
        <w:t>,</w:t>
      </w:r>
      <w:r w:rsidR="004F0F91" w:rsidRPr="002574EC">
        <w:t xml:space="preserve"> 2021, </w:t>
      </w:r>
      <w:r w:rsidRPr="002574EC">
        <w:t xml:space="preserve">the Inter-American Commission on Human Rights (CIDH) welcomed the </w:t>
      </w:r>
      <w:r w:rsidR="00307A73" w:rsidRPr="002574EC">
        <w:t>amendment to</w:t>
      </w:r>
      <w:r w:rsidRPr="002574EC">
        <w:t xml:space="preserve"> Venezuela’s </w:t>
      </w:r>
      <w:r w:rsidR="00D402A9" w:rsidRPr="002574EC">
        <w:t>Organic Code of Military Justice, bann</w:t>
      </w:r>
      <w:r w:rsidR="00307A73" w:rsidRPr="002574EC">
        <w:t>in</w:t>
      </w:r>
      <w:r w:rsidR="0075096D" w:rsidRPr="002574EC">
        <w:t>g</w:t>
      </w:r>
      <w:r w:rsidR="00D402A9" w:rsidRPr="002574EC">
        <w:t xml:space="preserve"> the prosecution of </w:t>
      </w:r>
      <w:r w:rsidR="00837012" w:rsidRPr="002574EC">
        <w:t>civilians before courts with military criminal jurisdiction.</w:t>
      </w:r>
      <w:r w:rsidR="00CD4E2F" w:rsidRPr="002574EC">
        <w:rPr>
          <w:rStyle w:val="FootnoteReference"/>
        </w:rPr>
        <w:footnoteReference w:id="48"/>
      </w:r>
      <w:r w:rsidR="00E179BE" w:rsidRPr="002574EC">
        <w:rPr>
          <w:lang w:eastAsia="en-US"/>
        </w:rPr>
        <w:t xml:space="preserve"> As of the date of the drafting of this report, the IACHR has not received information about measures taken to </w:t>
      </w:r>
      <w:r w:rsidR="00D804D8" w:rsidRPr="002574EC">
        <w:rPr>
          <w:lang w:eastAsia="en-US"/>
        </w:rPr>
        <w:t xml:space="preserve">redirect to civilian courts all judicial proceedings </w:t>
      </w:r>
      <w:r w:rsidR="00F04C65" w:rsidRPr="002574EC">
        <w:rPr>
          <w:lang w:eastAsia="en-US"/>
        </w:rPr>
        <w:t xml:space="preserve">that, should not have been heard by the military criminal jurisdiction in the first place. </w:t>
      </w:r>
      <w:r w:rsidR="00A36EFC" w:rsidRPr="002574EC">
        <w:rPr>
          <w:lang w:eastAsia="en-US"/>
        </w:rPr>
        <w:t xml:space="preserve">In view of this, </w:t>
      </w:r>
      <w:r w:rsidR="00D60AF0" w:rsidRPr="002574EC">
        <w:rPr>
          <w:lang w:eastAsia="en-US"/>
        </w:rPr>
        <w:t xml:space="preserve">the Inter-American Commission urges </w:t>
      </w:r>
      <w:r w:rsidR="00A54A92" w:rsidRPr="002574EC">
        <w:rPr>
          <w:lang w:eastAsia="en-US"/>
        </w:rPr>
        <w:t xml:space="preserve">this reform </w:t>
      </w:r>
      <w:r w:rsidR="001C2D68" w:rsidRPr="002574EC">
        <w:rPr>
          <w:lang w:eastAsia="en-US"/>
        </w:rPr>
        <w:t xml:space="preserve">to </w:t>
      </w:r>
      <w:r w:rsidR="00A54A92" w:rsidRPr="002574EC">
        <w:rPr>
          <w:lang w:eastAsia="en-US"/>
        </w:rPr>
        <w:t xml:space="preserve">be </w:t>
      </w:r>
      <w:r w:rsidR="007E2A81" w:rsidRPr="002574EC">
        <w:rPr>
          <w:lang w:eastAsia="en-US"/>
        </w:rPr>
        <w:t xml:space="preserve">effectively </w:t>
      </w:r>
      <w:r w:rsidR="00A54A92" w:rsidRPr="002574EC">
        <w:rPr>
          <w:lang w:eastAsia="en-US"/>
        </w:rPr>
        <w:t>implemented</w:t>
      </w:r>
      <w:r w:rsidR="00657F65" w:rsidRPr="002574EC">
        <w:t>.</w:t>
      </w:r>
      <w:r w:rsidR="001E736F" w:rsidRPr="002574EC">
        <w:t xml:space="preserve">  It also recalls that in a </w:t>
      </w:r>
      <w:r w:rsidR="00B94678" w:rsidRPr="002574EC">
        <w:t xml:space="preserve">democratic state under the rule of law, the military criminal jurisdiction </w:t>
      </w:r>
      <w:r w:rsidR="00791C56" w:rsidRPr="002574EC">
        <w:t>should have a narrow scope</w:t>
      </w:r>
      <w:r w:rsidR="00EE1623" w:rsidRPr="002574EC">
        <w:t>,</w:t>
      </w:r>
      <w:r w:rsidR="00791C56" w:rsidRPr="002574EC">
        <w:t xml:space="preserve"> be used on an ex</w:t>
      </w:r>
      <w:r w:rsidR="00FA4AEF" w:rsidRPr="002574EC">
        <w:t>c</w:t>
      </w:r>
      <w:r w:rsidR="00791C56" w:rsidRPr="002574EC">
        <w:t xml:space="preserve">eptional basis </w:t>
      </w:r>
      <w:r w:rsidR="00791C56" w:rsidRPr="002574EC">
        <w:lastRenderedPageBreak/>
        <w:t xml:space="preserve">and be aimed at </w:t>
      </w:r>
      <w:r w:rsidR="00EE1623" w:rsidRPr="002574EC">
        <w:t>protecting</w:t>
      </w:r>
      <w:r w:rsidR="00FA4AEF" w:rsidRPr="002574EC">
        <w:t xml:space="preserve"> special legal interests, linked to the functions assigned by law to the military forces.</w:t>
      </w:r>
      <w:r w:rsidR="004F0F91" w:rsidRPr="002574EC">
        <w:rPr>
          <w:rStyle w:val="FootnoteReference"/>
        </w:rPr>
        <w:footnoteReference w:id="49"/>
      </w:r>
    </w:p>
    <w:p w14:paraId="6E68E842" w14:textId="77777777" w:rsidR="001136B9" w:rsidRPr="002574EC" w:rsidRDefault="001136B9" w:rsidP="00E07D06">
      <w:pPr>
        <w:pBdr>
          <w:top w:val="nil"/>
          <w:left w:val="nil"/>
          <w:bottom w:val="nil"/>
          <w:right w:val="nil"/>
          <w:between w:val="nil"/>
        </w:pBdr>
        <w:ind w:left="426" w:hanging="426"/>
        <w:jc w:val="both"/>
        <w:rPr>
          <w:rFonts w:ascii="Cambria" w:eastAsia="Cambria" w:hAnsi="Cambria" w:cs="Cambria"/>
          <w:sz w:val="20"/>
          <w:szCs w:val="20"/>
        </w:rPr>
      </w:pPr>
    </w:p>
    <w:p w14:paraId="6B2FF43A" w14:textId="67193ECA" w:rsidR="00825032" w:rsidRPr="00F85814" w:rsidRDefault="005F1FEF" w:rsidP="00F85814">
      <w:pPr>
        <w:pStyle w:val="ListParagraph"/>
        <w:numPr>
          <w:ilvl w:val="1"/>
          <w:numId w:val="1"/>
        </w:numPr>
        <w:ind w:hanging="720"/>
        <w:rPr>
          <w:b/>
          <w:bCs/>
        </w:rPr>
      </w:pPr>
      <w:r w:rsidRPr="00F85814">
        <w:rPr>
          <w:b/>
          <w:bCs/>
        </w:rPr>
        <w:t>A</w:t>
      </w:r>
      <w:r w:rsidR="00EE1623" w:rsidRPr="00F85814">
        <w:rPr>
          <w:b/>
          <w:bCs/>
        </w:rPr>
        <w:t>busive use of states of emergency with the acquiescence of the Supreme Court of Justice (TSJ)</w:t>
      </w:r>
    </w:p>
    <w:p w14:paraId="2853B28B" w14:textId="77777777" w:rsidR="008C1966" w:rsidRPr="002574EC" w:rsidRDefault="008C1966" w:rsidP="00E07D06">
      <w:pPr>
        <w:pBdr>
          <w:top w:val="nil"/>
          <w:left w:val="nil"/>
          <w:bottom w:val="nil"/>
          <w:right w:val="nil"/>
          <w:between w:val="nil"/>
        </w:pBdr>
        <w:ind w:left="426" w:hanging="426"/>
        <w:jc w:val="both"/>
        <w:rPr>
          <w:rFonts w:ascii="Cambria" w:eastAsia="Cambria" w:hAnsi="Cambria" w:cs="Cambria"/>
          <w:sz w:val="20"/>
          <w:szCs w:val="20"/>
        </w:rPr>
      </w:pPr>
    </w:p>
    <w:p w14:paraId="0362B966" w14:textId="4BD74179" w:rsidR="00F476F7" w:rsidRPr="002574EC" w:rsidRDefault="006A34CC" w:rsidP="00F85814">
      <w:pPr>
        <w:pStyle w:val="ListParagraph"/>
        <w:rPr>
          <w:lang w:eastAsia="en-US"/>
        </w:rPr>
      </w:pPr>
      <w:r w:rsidRPr="002574EC">
        <w:t xml:space="preserve">The Inter-American Commission </w:t>
      </w:r>
      <w:r w:rsidR="00833006" w:rsidRPr="002574EC">
        <w:t xml:space="preserve">understands a state of exception in Venezuela to </w:t>
      </w:r>
      <w:r w:rsidR="007E11B8" w:rsidRPr="002574EC">
        <w:t>have been</w:t>
      </w:r>
      <w:r w:rsidR="00833006" w:rsidRPr="002574EC">
        <w:t xml:space="preserve"> used to transfer directly or indirectly the</w:t>
      </w:r>
      <w:r w:rsidR="00851430" w:rsidRPr="002574EC">
        <w:t xml:space="preserve"> powers of the National Assembly to the executive branch of government. This interference by the judiciary, in particular, the TSJ, paved the way for improper use of states of exception and </w:t>
      </w:r>
      <w:r w:rsidR="005B7D58" w:rsidRPr="002574EC">
        <w:t xml:space="preserve">deepened the institutional crisis </w:t>
      </w:r>
      <w:r w:rsidR="004C4F4E" w:rsidRPr="002574EC">
        <w:t>further aggravat</w:t>
      </w:r>
      <w:r w:rsidR="0029515C" w:rsidRPr="002574EC">
        <w:t>ing</w:t>
      </w:r>
      <w:r w:rsidR="004C4F4E" w:rsidRPr="002574EC">
        <w:t xml:space="preserve"> the</w:t>
      </w:r>
      <w:r w:rsidR="00455783" w:rsidRPr="002574EC">
        <w:t xml:space="preserve"> human rights situation.</w:t>
      </w:r>
    </w:p>
    <w:p w14:paraId="5E4ACE7D" w14:textId="77777777" w:rsidR="00F476F7" w:rsidRPr="002574EC" w:rsidRDefault="00F476F7" w:rsidP="00E07D06">
      <w:pPr>
        <w:pBdr>
          <w:top w:val="nil"/>
          <w:left w:val="nil"/>
          <w:bottom w:val="nil"/>
          <w:right w:val="nil"/>
          <w:between w:val="nil"/>
        </w:pBdr>
        <w:ind w:left="426" w:hanging="426"/>
        <w:jc w:val="both"/>
        <w:rPr>
          <w:rFonts w:ascii="Cambria" w:eastAsia="Cambria" w:hAnsi="Cambria" w:cs="Cambria"/>
          <w:sz w:val="20"/>
          <w:szCs w:val="20"/>
          <w:lang w:eastAsia="en-US"/>
        </w:rPr>
      </w:pPr>
    </w:p>
    <w:p w14:paraId="6ED6801B" w14:textId="7FADF203" w:rsidR="00F520A3" w:rsidRPr="002574EC" w:rsidRDefault="00B409B1" w:rsidP="00F85814">
      <w:pPr>
        <w:pStyle w:val="ListParagraph"/>
      </w:pPr>
      <w:r w:rsidRPr="002574EC">
        <w:rPr>
          <w:lang w:eastAsia="en-US"/>
        </w:rPr>
        <w:t>From</w:t>
      </w:r>
      <w:r w:rsidR="007B244E" w:rsidRPr="002574EC">
        <w:rPr>
          <w:lang w:eastAsia="en-US"/>
        </w:rPr>
        <w:t xml:space="preserve"> 2016 </w:t>
      </w:r>
      <w:r w:rsidRPr="002574EC">
        <w:rPr>
          <w:lang w:eastAsia="en-US"/>
        </w:rPr>
        <w:t>to</w:t>
      </w:r>
      <w:r w:rsidR="007B244E" w:rsidRPr="002574EC">
        <w:rPr>
          <w:lang w:eastAsia="en-US"/>
        </w:rPr>
        <w:t xml:space="preserve"> 2020</w:t>
      </w:r>
      <w:r w:rsidR="003748F9" w:rsidRPr="002574EC">
        <w:rPr>
          <w:lang w:eastAsia="en-US"/>
        </w:rPr>
        <w:t>, the</w:t>
      </w:r>
      <w:r w:rsidR="00F520A3" w:rsidRPr="002574EC">
        <w:t xml:space="preserve"> TSJ </w:t>
      </w:r>
      <w:r w:rsidR="003748F9" w:rsidRPr="002574EC">
        <w:t>declared that 30 emergency decrees were constitutional</w:t>
      </w:r>
      <w:r w:rsidR="0009492E" w:rsidRPr="002574EC">
        <w:t xml:space="preserve">, thus </w:t>
      </w:r>
      <w:r w:rsidR="00456537" w:rsidRPr="002574EC">
        <w:t>instituting an ongoing state of emergency</w:t>
      </w:r>
      <w:r w:rsidR="00183F33" w:rsidRPr="002574EC">
        <w:t>.</w:t>
      </w:r>
      <w:r w:rsidR="00F520A3" w:rsidRPr="002574EC">
        <w:rPr>
          <w:rStyle w:val="FootnoteReference"/>
        </w:rPr>
        <w:footnoteReference w:id="50"/>
      </w:r>
      <w:r w:rsidR="00183F33" w:rsidRPr="002574EC">
        <w:t xml:space="preserve">  Civil society organizations have reported to the Inter-American Commission that the executive branch has neglected its obligation to submit a request for a state of emergency </w:t>
      </w:r>
      <w:r w:rsidR="007736F6" w:rsidRPr="002574EC">
        <w:t>to the National Assembly or its delegated commission for the consideration and approval thereof.</w:t>
      </w:r>
      <w:r w:rsidR="00F520A3" w:rsidRPr="002574EC">
        <w:rPr>
          <w:rStyle w:val="FootnoteReference"/>
        </w:rPr>
        <w:footnoteReference w:id="51"/>
      </w:r>
    </w:p>
    <w:p w14:paraId="206FA1B1" w14:textId="759ABD5E" w:rsidR="00F520A3" w:rsidRPr="002574EC" w:rsidRDefault="00F520A3" w:rsidP="00E07D06">
      <w:pPr>
        <w:pBdr>
          <w:top w:val="nil"/>
          <w:left w:val="nil"/>
          <w:bottom w:val="nil"/>
          <w:right w:val="nil"/>
          <w:between w:val="nil"/>
        </w:pBdr>
        <w:ind w:left="426" w:hanging="426"/>
        <w:jc w:val="both"/>
        <w:rPr>
          <w:rFonts w:ascii="Cambria" w:eastAsia="Cambria" w:hAnsi="Cambria" w:cs="Cambria"/>
          <w:sz w:val="20"/>
          <w:szCs w:val="20"/>
        </w:rPr>
      </w:pPr>
    </w:p>
    <w:p w14:paraId="633B1FFB" w14:textId="59158837" w:rsidR="00F520A3" w:rsidRPr="002574EC" w:rsidRDefault="00292A51" w:rsidP="00F85814">
      <w:pPr>
        <w:pStyle w:val="ListParagraph"/>
      </w:pPr>
      <w:r w:rsidRPr="002574EC">
        <w:t xml:space="preserve">On this score, the IACHR recalls that States do not have unlimited discretion </w:t>
      </w:r>
      <w:r w:rsidR="00967E30" w:rsidRPr="002574EC">
        <w:t>to use declarations of states of emergency. Pursuant to Inter-American Standards, “</w:t>
      </w:r>
      <w:r w:rsidR="003F224C" w:rsidRPr="002574EC">
        <w:t xml:space="preserve">it is the obligation of the State to determine the reasons and motives that lead the domestic authorities to declare a state of emergency and it is up to these authorities to exercise appropriate and effective control over this situation and to ensure that the suspension decreed is limited </w:t>
      </w:r>
      <w:r w:rsidR="007F50C4" w:rsidRPr="002574EC">
        <w:t>to the extent and for the period of time strictly required by the exigencies of the situation.</w:t>
      </w:r>
      <w:r w:rsidR="00F520A3" w:rsidRPr="002574EC">
        <w:t>"</w:t>
      </w:r>
      <w:r w:rsidR="00F520A3" w:rsidRPr="002574EC">
        <w:rPr>
          <w:rStyle w:val="FootnoteReference"/>
        </w:rPr>
        <w:footnoteReference w:id="52"/>
      </w:r>
      <w:r w:rsidR="00F520A3" w:rsidRPr="002574EC">
        <w:t> </w:t>
      </w:r>
    </w:p>
    <w:p w14:paraId="008038F6" w14:textId="77777777" w:rsidR="00F520A3" w:rsidRPr="002574EC" w:rsidRDefault="00F520A3" w:rsidP="00E07D06">
      <w:pPr>
        <w:pStyle w:val="NormalWeb"/>
        <w:spacing w:before="0" w:beforeAutospacing="0" w:after="0" w:afterAutospacing="0"/>
        <w:ind w:left="426" w:hanging="426"/>
        <w:jc w:val="both"/>
        <w:textAlignment w:val="baseline"/>
        <w:rPr>
          <w:color w:val="000000"/>
        </w:rPr>
      </w:pPr>
    </w:p>
    <w:p w14:paraId="3B1BA17F" w14:textId="12B8194D" w:rsidR="00875908" w:rsidRPr="002574EC" w:rsidRDefault="008E03EE" w:rsidP="00F85814">
      <w:pPr>
        <w:pStyle w:val="ListParagraph"/>
      </w:pPr>
      <w:r w:rsidRPr="002574EC">
        <w:t xml:space="preserve">The Inter-American Commission rejects </w:t>
      </w:r>
      <w:r w:rsidR="00FA3FDD" w:rsidRPr="002574EC">
        <w:t>that state</w:t>
      </w:r>
      <w:r w:rsidR="00F91005" w:rsidRPr="002574EC">
        <w:t>s</w:t>
      </w:r>
      <w:r w:rsidR="00FA3FDD" w:rsidRPr="002574EC">
        <w:t xml:space="preserve"> of emergency stopped being an exception in Venezuela with the consent of the TSJ, particularly while the parliament held a majority opposing the government.  It further recalls that measures of such a nature</w:t>
      </w:r>
      <w:r w:rsidR="00447614" w:rsidRPr="002574EC">
        <w:t xml:space="preserve"> must be adopted on an</w:t>
      </w:r>
      <w:r w:rsidR="00FA3FDD" w:rsidRPr="002574EC">
        <w:t xml:space="preserve"> exception</w:t>
      </w:r>
      <w:r w:rsidR="00675E36" w:rsidRPr="002574EC">
        <w:t>al</w:t>
      </w:r>
      <w:r w:rsidR="00447614" w:rsidRPr="002574EC">
        <w:t xml:space="preserve"> basis</w:t>
      </w:r>
      <w:r w:rsidR="00FA3FDD" w:rsidRPr="002574EC">
        <w:t xml:space="preserve"> and be </w:t>
      </w:r>
      <w:r w:rsidR="00423B1C" w:rsidRPr="002574EC">
        <w:t xml:space="preserve">reasonably </w:t>
      </w:r>
      <w:r w:rsidR="00FD7A27" w:rsidRPr="002574EC">
        <w:t xml:space="preserve">tailored to the particular </w:t>
      </w:r>
      <w:r w:rsidR="00FA3FDD" w:rsidRPr="002574EC">
        <w:t>situation</w:t>
      </w:r>
      <w:r w:rsidR="00464C93" w:rsidRPr="002574EC">
        <w:t xml:space="preserve"> </w:t>
      </w:r>
      <w:r w:rsidR="004E7B78" w:rsidRPr="002574EC">
        <w:t xml:space="preserve">faced by </w:t>
      </w:r>
      <w:r w:rsidR="00464C93" w:rsidRPr="002574EC">
        <w:t>the country</w:t>
      </w:r>
      <w:r w:rsidR="004A0DF2" w:rsidRPr="002574EC">
        <w:t>,</w:t>
      </w:r>
      <w:r w:rsidR="00A50F02" w:rsidRPr="002574EC">
        <w:t xml:space="preserve"> without exceeding </w:t>
      </w:r>
      <w:r w:rsidR="004A6AEF" w:rsidRPr="002574EC">
        <w:t>the extent strictly necessary to</w:t>
      </w:r>
      <w:r w:rsidR="00B16D88" w:rsidRPr="002574EC">
        <w:t xml:space="preserve"> </w:t>
      </w:r>
      <w:r w:rsidR="004A6AEF" w:rsidRPr="002574EC">
        <w:t xml:space="preserve">avoid </w:t>
      </w:r>
      <w:r w:rsidR="008C275C" w:rsidRPr="002574EC">
        <w:t xml:space="preserve">in this way </w:t>
      </w:r>
      <w:r w:rsidR="00744178" w:rsidRPr="002574EC">
        <w:t xml:space="preserve">stretching </w:t>
      </w:r>
      <w:r w:rsidR="007629C5" w:rsidRPr="002574EC">
        <w:t>them</w:t>
      </w:r>
      <w:r w:rsidR="00744178" w:rsidRPr="002574EC">
        <w:t xml:space="preserve"> out over time, disproportionality, diversion</w:t>
      </w:r>
      <w:r w:rsidR="00DB7026" w:rsidRPr="002574EC">
        <w:t>s</w:t>
      </w:r>
      <w:r w:rsidR="00744178" w:rsidRPr="002574EC">
        <w:t xml:space="preserve"> and/or abuse</w:t>
      </w:r>
      <w:r w:rsidR="00070918" w:rsidRPr="002574EC">
        <w:t>s</w:t>
      </w:r>
      <w:r w:rsidR="00744178" w:rsidRPr="002574EC">
        <w:t xml:space="preserve"> of power. </w:t>
      </w:r>
    </w:p>
    <w:p w14:paraId="1BE70F16" w14:textId="77777777" w:rsidR="00875908" w:rsidRPr="002574EC" w:rsidRDefault="00875908" w:rsidP="00E07D06">
      <w:pPr>
        <w:pBdr>
          <w:top w:val="nil"/>
          <w:left w:val="nil"/>
          <w:bottom w:val="nil"/>
          <w:right w:val="nil"/>
          <w:between w:val="nil"/>
        </w:pBdr>
        <w:ind w:left="426" w:hanging="426"/>
        <w:jc w:val="both"/>
        <w:rPr>
          <w:rFonts w:ascii="Cambria" w:eastAsia="Cambria" w:hAnsi="Cambria" w:cs="Cambria"/>
          <w:sz w:val="20"/>
          <w:szCs w:val="20"/>
        </w:rPr>
      </w:pPr>
    </w:p>
    <w:p w14:paraId="6D20C3A5" w14:textId="52BC743B" w:rsidR="00387EAE" w:rsidRPr="002574EC" w:rsidRDefault="004F1A88" w:rsidP="00F85814">
      <w:pPr>
        <w:pStyle w:val="ListParagraph"/>
      </w:pPr>
      <w:r w:rsidRPr="002574EC">
        <w:t xml:space="preserve">In </w:t>
      </w:r>
      <w:r w:rsidR="00A25A40" w:rsidRPr="002574EC">
        <w:t xml:space="preserve">2021, </w:t>
      </w:r>
      <w:r w:rsidRPr="002574EC">
        <w:t xml:space="preserve">once the new composition of the National Assembly was installed with a pro-government majority, the executive branch stopped using the state of emergency.  In the view of the IACHR, this </w:t>
      </w:r>
      <w:r w:rsidR="00545D7E" w:rsidRPr="002574EC">
        <w:t xml:space="preserve">fact stands as proof of </w:t>
      </w:r>
      <w:r w:rsidRPr="002574EC">
        <w:t xml:space="preserve">the arbitrary use of this </w:t>
      </w:r>
      <w:r w:rsidR="003E5FAA" w:rsidRPr="002574EC">
        <w:t xml:space="preserve">device </w:t>
      </w:r>
      <w:r w:rsidR="004B3237" w:rsidRPr="002574EC">
        <w:t>from 2016 to 2020</w:t>
      </w:r>
      <w:r w:rsidR="0057146D" w:rsidRPr="002574EC">
        <w:t>.</w:t>
      </w:r>
    </w:p>
    <w:p w14:paraId="4BEDB528" w14:textId="77777777" w:rsidR="00756B97" w:rsidRPr="002574EC" w:rsidRDefault="00756B97" w:rsidP="00F85814">
      <w:pPr>
        <w:pStyle w:val="ListParagraph"/>
        <w:numPr>
          <w:ilvl w:val="0"/>
          <w:numId w:val="0"/>
        </w:numPr>
        <w:ind w:left="720"/>
      </w:pPr>
    </w:p>
    <w:p w14:paraId="410C2F10" w14:textId="77777777" w:rsidR="00F85814" w:rsidRDefault="00F85814">
      <w:pPr>
        <w:rPr>
          <w:rFonts w:ascii="Cambria" w:eastAsia="Cambria" w:hAnsi="Cambria" w:cs="Cambria"/>
          <w:b/>
          <w:bCs/>
          <w:color w:val="000000" w:themeColor="text1"/>
          <w:sz w:val="20"/>
          <w:szCs w:val="20"/>
        </w:rPr>
      </w:pPr>
      <w:r>
        <w:rPr>
          <w:b/>
          <w:bCs/>
        </w:rPr>
        <w:br w:type="page"/>
      </w:r>
    </w:p>
    <w:p w14:paraId="2430267E" w14:textId="4DD6B5E0" w:rsidR="00FA28D0" w:rsidRPr="00F85814" w:rsidRDefault="00A45670" w:rsidP="00F85814">
      <w:pPr>
        <w:pStyle w:val="ListParagraph"/>
        <w:numPr>
          <w:ilvl w:val="1"/>
          <w:numId w:val="1"/>
        </w:numPr>
        <w:ind w:hanging="720"/>
        <w:rPr>
          <w:b/>
          <w:bCs/>
        </w:rPr>
      </w:pPr>
      <w:r w:rsidRPr="00F85814">
        <w:rPr>
          <w:b/>
          <w:bCs/>
        </w:rPr>
        <w:lastRenderedPageBreak/>
        <w:t xml:space="preserve">Executive branch interference </w:t>
      </w:r>
      <w:r w:rsidR="001E104D" w:rsidRPr="00F85814">
        <w:rPr>
          <w:b/>
          <w:bCs/>
        </w:rPr>
        <w:t>with</w:t>
      </w:r>
      <w:r w:rsidRPr="00F85814">
        <w:rPr>
          <w:b/>
          <w:bCs/>
        </w:rPr>
        <w:t xml:space="preserve"> the National Constituent Assembly </w:t>
      </w:r>
      <w:r w:rsidR="00FA28D0" w:rsidRPr="00F85814">
        <w:rPr>
          <w:b/>
          <w:bCs/>
        </w:rPr>
        <w:t xml:space="preserve">(ANC) </w:t>
      </w:r>
    </w:p>
    <w:p w14:paraId="00566715" w14:textId="0DBD33DA" w:rsidR="00FA28D0" w:rsidRPr="002574EC" w:rsidRDefault="00FA28D0" w:rsidP="00E07D06">
      <w:pPr>
        <w:pStyle w:val="NormalWeb"/>
        <w:spacing w:before="0" w:beforeAutospacing="0" w:after="0" w:afterAutospacing="0"/>
        <w:ind w:left="426" w:hanging="426"/>
        <w:jc w:val="both"/>
        <w:textAlignment w:val="baseline"/>
        <w:rPr>
          <w:b/>
          <w:bCs/>
          <w:color w:val="000000"/>
        </w:rPr>
      </w:pPr>
    </w:p>
    <w:p w14:paraId="7E4244B7" w14:textId="0C8BBB84" w:rsidR="00FA28D0" w:rsidRPr="002574EC" w:rsidRDefault="00417A5B" w:rsidP="00F85814">
      <w:pPr>
        <w:pStyle w:val="ListParagraph"/>
      </w:pPr>
      <w:r w:rsidRPr="002574EC">
        <w:t xml:space="preserve">The IACHR observes that, following the crisis between the TSJ and the National Assembly, </w:t>
      </w:r>
      <w:r w:rsidR="00D06C43" w:rsidRPr="002574EC">
        <w:t xml:space="preserve">which was </w:t>
      </w:r>
      <w:r w:rsidRPr="002574EC">
        <w:t xml:space="preserve">triggered by arbitrary </w:t>
      </w:r>
      <w:r w:rsidR="00C12230" w:rsidRPr="002574EC">
        <w:t xml:space="preserve">executive branch </w:t>
      </w:r>
      <w:r w:rsidRPr="002574EC">
        <w:t xml:space="preserve">interference in the parliament, </w:t>
      </w:r>
      <w:r w:rsidR="006F0610" w:rsidRPr="002574EC">
        <w:t xml:space="preserve">a groundswell of protest was set off in the country. </w:t>
      </w:r>
      <w:r w:rsidR="00331E0D" w:rsidRPr="002574EC">
        <w:t>It is estimated that from April 1 to July 31, 6,729 protest demonstrations were held (an average of 56 per day</w:t>
      </w:r>
      <w:r w:rsidR="00303152" w:rsidRPr="002574EC">
        <w:t xml:space="preserve">) in order to demand respect for democratic institutions, as well as </w:t>
      </w:r>
      <w:r w:rsidR="000F3453" w:rsidRPr="002574EC">
        <w:t xml:space="preserve">to </w:t>
      </w:r>
      <w:r w:rsidR="003F53EA" w:rsidRPr="002574EC">
        <w:t xml:space="preserve">assert political and social rights. </w:t>
      </w:r>
      <w:r w:rsidR="00331E0D" w:rsidRPr="002574EC">
        <w:t xml:space="preserve"> </w:t>
      </w:r>
      <w:r w:rsidR="002C79C3" w:rsidRPr="002574EC">
        <w:t>In a political ploy, under the guise of bringing peace to the country, the President of the Republic convened, by means of executive decree, on May 1, 2017, a National Consti</w:t>
      </w:r>
      <w:r w:rsidR="00ED785A" w:rsidRPr="002574EC">
        <w:t>t</w:t>
      </w:r>
      <w:r w:rsidR="002C79C3" w:rsidRPr="002574EC">
        <w:t xml:space="preserve">uent Assembly </w:t>
      </w:r>
      <w:r w:rsidR="00FA28D0" w:rsidRPr="002574EC">
        <w:t>(ANC)</w:t>
      </w:r>
      <w:r w:rsidR="006A25BB" w:rsidRPr="002574EC">
        <w:t>.</w:t>
      </w:r>
      <w:r w:rsidR="00FA28D0" w:rsidRPr="002574EC">
        <w:rPr>
          <w:rStyle w:val="FootnoteReference"/>
        </w:rPr>
        <w:footnoteReference w:id="53"/>
      </w:r>
      <w:r w:rsidR="006A25BB" w:rsidRPr="002574EC">
        <w:t xml:space="preserve"> The call to convene </w:t>
      </w:r>
      <w:r w:rsidR="00B12A86" w:rsidRPr="002574EC">
        <w:t xml:space="preserve">it </w:t>
      </w:r>
      <w:r w:rsidR="006A25BB" w:rsidRPr="002574EC">
        <w:t>was validated by the TSJ</w:t>
      </w:r>
      <w:r w:rsidR="002375A9" w:rsidRPr="002574EC">
        <w:t>,</w:t>
      </w:r>
      <w:r w:rsidR="006A25BB" w:rsidRPr="002574EC">
        <w:t xml:space="preserve"> even with no popular referendum being</w:t>
      </w:r>
      <w:r w:rsidR="00172190" w:rsidRPr="002574EC">
        <w:t xml:space="preserve"> held</w:t>
      </w:r>
      <w:r w:rsidR="006A25BB" w:rsidRPr="002574EC">
        <w:t xml:space="preserve">. </w:t>
      </w:r>
      <w:r w:rsidR="00FA28D0" w:rsidRPr="002574EC">
        <w:t xml:space="preserve"> </w:t>
      </w:r>
    </w:p>
    <w:p w14:paraId="2E80F206" w14:textId="23D1A214" w:rsidR="006551A4" w:rsidRPr="002574EC" w:rsidRDefault="006551A4" w:rsidP="00E07D06">
      <w:pPr>
        <w:pBdr>
          <w:top w:val="nil"/>
          <w:left w:val="nil"/>
          <w:bottom w:val="nil"/>
          <w:right w:val="nil"/>
          <w:between w:val="nil"/>
        </w:pBdr>
        <w:ind w:left="426" w:hanging="426"/>
        <w:jc w:val="both"/>
        <w:rPr>
          <w:rFonts w:ascii="Cambria" w:eastAsia="Cambria" w:hAnsi="Cambria" w:cs="Cambria"/>
          <w:sz w:val="20"/>
          <w:szCs w:val="20"/>
        </w:rPr>
      </w:pPr>
    </w:p>
    <w:p w14:paraId="63824971" w14:textId="4D279678" w:rsidR="006551A4" w:rsidRPr="002574EC" w:rsidRDefault="00DB323A" w:rsidP="00F85814">
      <w:pPr>
        <w:pStyle w:val="ListParagraph"/>
      </w:pPr>
      <w:r w:rsidRPr="002574EC">
        <w:t xml:space="preserve">The Inter-American Commission received information </w:t>
      </w:r>
      <w:r w:rsidR="00C96BEE" w:rsidRPr="002574EC">
        <w:t xml:space="preserve">questioning </w:t>
      </w:r>
      <w:r w:rsidRPr="002574EC">
        <w:t xml:space="preserve">the legitimacy </w:t>
      </w:r>
      <w:r w:rsidR="005259CB" w:rsidRPr="002574EC">
        <w:t xml:space="preserve">of this call to convene the constituent assembly. </w:t>
      </w:r>
      <w:r w:rsidR="00EE065D" w:rsidRPr="002574EC">
        <w:t xml:space="preserve"> Scores of national and international civil society organizations</w:t>
      </w:r>
      <w:r w:rsidR="004E183E" w:rsidRPr="002574EC">
        <w:t xml:space="preserve"> expressed their concern </w:t>
      </w:r>
      <w:r w:rsidR="0008440C" w:rsidRPr="002574EC">
        <w:t xml:space="preserve">over the fact that no referendum had been held prior to convening the ANC. </w:t>
      </w:r>
      <w:r w:rsidR="00C334A6" w:rsidRPr="002574EC">
        <w:t xml:space="preserve">It was convened despite the fact that Article 347 of the 1999 Constitution </w:t>
      </w:r>
      <w:r w:rsidR="00F30413" w:rsidRPr="002574EC">
        <w:t xml:space="preserve">establishes that “the people of Venezuela are the depositary </w:t>
      </w:r>
      <w:r w:rsidR="00D4416B" w:rsidRPr="002574EC">
        <w:t>of the original constituent power.</w:t>
      </w:r>
      <w:r w:rsidR="006551A4" w:rsidRPr="002574EC">
        <w:t>”</w:t>
      </w:r>
      <w:r w:rsidR="006551A4" w:rsidRPr="002574EC">
        <w:rPr>
          <w:rStyle w:val="FootnoteReference"/>
        </w:rPr>
        <w:footnoteReference w:id="54"/>
      </w:r>
      <w:r w:rsidR="00F32A75" w:rsidRPr="002574EC">
        <w:t xml:space="preserve">  In this same vein, the European Commission for Democracy </w:t>
      </w:r>
      <w:r w:rsidR="00301AF8" w:rsidRPr="002574EC">
        <w:t xml:space="preserve">through </w:t>
      </w:r>
      <w:r w:rsidR="00F32A75" w:rsidRPr="002574EC">
        <w:t>Law (</w:t>
      </w:r>
      <w:r w:rsidR="00405BF7" w:rsidRPr="002574EC">
        <w:t xml:space="preserve">Venice </w:t>
      </w:r>
      <w:r w:rsidR="00F32A75" w:rsidRPr="002574EC">
        <w:t xml:space="preserve">Commission) held in its Opinion No. </w:t>
      </w:r>
      <w:r w:rsidR="006551A4" w:rsidRPr="002574EC">
        <w:t xml:space="preserve">894/2017 </w:t>
      </w:r>
      <w:r w:rsidR="004B6127" w:rsidRPr="002574EC">
        <w:t>that the selection procedure and membership requirements of the ANC did not meet the requirement of participation of the people as established in Article 347 of the Constitution of Venezuela.</w:t>
      </w:r>
      <w:r w:rsidR="006551A4" w:rsidRPr="002574EC">
        <w:rPr>
          <w:rStyle w:val="FootnoteReference"/>
        </w:rPr>
        <w:footnoteReference w:id="55"/>
      </w:r>
    </w:p>
    <w:p w14:paraId="39D3F089" w14:textId="12BF779D" w:rsidR="009C5DA1" w:rsidRPr="002574EC" w:rsidRDefault="009C5DA1" w:rsidP="00E07D06">
      <w:pPr>
        <w:pBdr>
          <w:top w:val="nil"/>
          <w:left w:val="nil"/>
          <w:bottom w:val="nil"/>
          <w:right w:val="nil"/>
          <w:between w:val="nil"/>
        </w:pBdr>
        <w:ind w:left="426" w:hanging="426"/>
        <w:jc w:val="both"/>
        <w:rPr>
          <w:rFonts w:ascii="Cambria" w:eastAsia="Cambria" w:hAnsi="Cambria" w:cs="Cambria"/>
          <w:sz w:val="20"/>
          <w:szCs w:val="20"/>
        </w:rPr>
      </w:pPr>
    </w:p>
    <w:p w14:paraId="7A03B9CD" w14:textId="580C199F" w:rsidR="009C5DA1" w:rsidRPr="002574EC" w:rsidRDefault="00637823" w:rsidP="00F85814">
      <w:pPr>
        <w:pStyle w:val="ListParagraph"/>
      </w:pPr>
      <w:r w:rsidRPr="002574EC">
        <w:t xml:space="preserve">The ANC </w:t>
      </w:r>
      <w:r w:rsidR="006575C0" w:rsidRPr="002574EC">
        <w:t xml:space="preserve">removed the Attorney General of the Nation, Luisa Ortega and appointed in her place </w:t>
      </w:r>
      <w:r w:rsidR="009C5DA1" w:rsidRPr="002574EC">
        <w:t xml:space="preserve">Tarek William Saab, </w:t>
      </w:r>
      <w:r w:rsidR="005E1B2E" w:rsidRPr="002574EC">
        <w:t>who as of that time had been serving as the Ombudsman.</w:t>
      </w:r>
      <w:r w:rsidR="009107CE" w:rsidRPr="002574EC">
        <w:t xml:space="preserve"> Subsequently, the ANC appointed Alfredo Ruíz </w:t>
      </w:r>
      <w:r w:rsidR="00655A66" w:rsidRPr="002574EC">
        <w:t>to</w:t>
      </w:r>
      <w:r w:rsidR="00D0152D" w:rsidRPr="002574EC">
        <w:t xml:space="preserve"> the position of</w:t>
      </w:r>
      <w:r w:rsidR="009107CE" w:rsidRPr="002574EC">
        <w:t xml:space="preserve"> Ombudsman as Saab’s replacement. </w:t>
      </w:r>
      <w:r w:rsidR="00F845A9" w:rsidRPr="002574EC">
        <w:t xml:space="preserve">The Commission has received information suggesting that both appointments </w:t>
      </w:r>
      <w:r w:rsidR="00F54DD2" w:rsidRPr="002574EC">
        <w:t xml:space="preserve">disregarded </w:t>
      </w:r>
      <w:r w:rsidR="00733214" w:rsidRPr="002574EC">
        <w:t>the respective constitutional procedures</w:t>
      </w:r>
      <w:r w:rsidR="00053082" w:rsidRPr="002574EC">
        <w:t>.</w:t>
      </w:r>
      <w:r w:rsidR="009C5DA1" w:rsidRPr="002574EC">
        <w:rPr>
          <w:rStyle w:val="FootnoteReference"/>
        </w:rPr>
        <w:footnoteReference w:id="56"/>
      </w:r>
      <w:r w:rsidR="00053082" w:rsidRPr="002574EC">
        <w:t xml:space="preserve"> The IACHR observes, as well, that </w:t>
      </w:r>
      <w:r w:rsidR="009C5DA1" w:rsidRPr="002574EC">
        <w:t xml:space="preserve">Tarek William Saab </w:t>
      </w:r>
      <w:r w:rsidR="00053082" w:rsidRPr="002574EC">
        <w:t xml:space="preserve">was appointed Attorney General of the Nation after the Office of the Ombudsman under his leadership was </w:t>
      </w:r>
      <w:r w:rsidR="00C44E0E" w:rsidRPr="002574EC">
        <w:t>found to not be operating in full compliance with the Paris Agreement by the United Nations.</w:t>
      </w:r>
      <w:r w:rsidR="009C5DA1" w:rsidRPr="002574EC">
        <w:rPr>
          <w:rStyle w:val="FootnoteReference"/>
        </w:rPr>
        <w:footnoteReference w:id="57"/>
      </w:r>
    </w:p>
    <w:p w14:paraId="68366FA6" w14:textId="77777777" w:rsidR="009C5DA1" w:rsidRPr="002574EC" w:rsidRDefault="009C5DA1" w:rsidP="00E07D06">
      <w:pPr>
        <w:pStyle w:val="NormalWeb"/>
        <w:spacing w:before="0" w:beforeAutospacing="0" w:after="0" w:afterAutospacing="0"/>
        <w:ind w:left="426" w:hanging="426"/>
        <w:jc w:val="both"/>
        <w:textAlignment w:val="baseline"/>
        <w:rPr>
          <w:color w:val="000000"/>
        </w:rPr>
      </w:pPr>
    </w:p>
    <w:p w14:paraId="7C4B6345" w14:textId="7C82074A" w:rsidR="009C5DA1" w:rsidRPr="002574EC" w:rsidRDefault="0052364A" w:rsidP="00F85814">
      <w:pPr>
        <w:pStyle w:val="ListParagraph"/>
      </w:pPr>
      <w:r w:rsidRPr="002574EC">
        <w:t>Likewise</w:t>
      </w:r>
      <w:r w:rsidR="00B731B9" w:rsidRPr="002574EC">
        <w:t xml:space="preserve">, one of the first acts </w:t>
      </w:r>
      <w:r w:rsidR="00D55E76" w:rsidRPr="002574EC">
        <w:t xml:space="preserve">approved by </w:t>
      </w:r>
      <w:r w:rsidR="00B731B9" w:rsidRPr="002574EC">
        <w:t xml:space="preserve">the ANC was to </w:t>
      </w:r>
      <w:r w:rsidR="00A5287D" w:rsidRPr="002574EC">
        <w:t xml:space="preserve">reschedule </w:t>
      </w:r>
      <w:r w:rsidR="00715DDA" w:rsidRPr="002574EC">
        <w:t xml:space="preserve">the </w:t>
      </w:r>
      <w:r w:rsidR="001400B0" w:rsidRPr="002574EC">
        <w:t>2018 presidential elections</w:t>
      </w:r>
      <w:r w:rsidR="00B6713A" w:rsidRPr="002574EC">
        <w:t xml:space="preserve"> for an</w:t>
      </w:r>
      <w:r w:rsidR="00715DDA" w:rsidRPr="002574EC">
        <w:t xml:space="preserve"> earlier</w:t>
      </w:r>
      <w:r w:rsidR="00B6713A" w:rsidRPr="002574EC">
        <w:t xml:space="preserve"> date</w:t>
      </w:r>
      <w:r w:rsidR="001400B0" w:rsidRPr="002574EC">
        <w:t xml:space="preserve">, </w:t>
      </w:r>
      <w:r w:rsidR="00427171" w:rsidRPr="002574EC">
        <w:t xml:space="preserve">an unorthodox measure, </w:t>
      </w:r>
      <w:r w:rsidR="009212AC" w:rsidRPr="002574EC">
        <w:t xml:space="preserve">which the Inter-American Commission </w:t>
      </w:r>
      <w:r w:rsidR="009703EB" w:rsidRPr="002574EC">
        <w:t>described</w:t>
      </w:r>
      <w:r w:rsidR="00311137" w:rsidRPr="002574EC">
        <w:t xml:space="preserve"> </w:t>
      </w:r>
      <w:r w:rsidR="009703EB" w:rsidRPr="002574EC">
        <w:t xml:space="preserve">as </w:t>
      </w:r>
      <w:r w:rsidR="009212AC" w:rsidRPr="002574EC">
        <w:t>lacking impartiality and objectivity.</w:t>
      </w:r>
      <w:r w:rsidR="006A4855" w:rsidRPr="002574EC">
        <w:rPr>
          <w:rStyle w:val="FootnoteReference"/>
        </w:rPr>
        <w:footnoteReference w:id="58"/>
      </w:r>
      <w:r w:rsidR="001F1193" w:rsidRPr="002574EC">
        <w:t xml:space="preserve">  </w:t>
      </w:r>
      <w:r w:rsidR="009C5DA1" w:rsidRPr="002574EC">
        <w:t xml:space="preserve"> Ad</w:t>
      </w:r>
      <w:r w:rsidR="00AC367C" w:rsidRPr="002574EC">
        <w:t xml:space="preserve">ditionally, the IACHR found it troubling that the ANC failed to validate </w:t>
      </w:r>
      <w:r w:rsidR="00105813" w:rsidRPr="002574EC">
        <w:t>political partie</w:t>
      </w:r>
      <w:r w:rsidR="00B40911" w:rsidRPr="002574EC">
        <w:t>s</w:t>
      </w:r>
      <w:r w:rsidR="00105813" w:rsidRPr="002574EC">
        <w:t xml:space="preserve"> </w:t>
      </w:r>
      <w:r w:rsidR="00AC367C" w:rsidRPr="002574EC">
        <w:t>to contend in the elections</w:t>
      </w:r>
      <w:r w:rsidR="003B46B2" w:rsidRPr="002574EC">
        <w:t xml:space="preserve">, who had not taken part in </w:t>
      </w:r>
      <w:r w:rsidR="00402E6B" w:rsidRPr="002574EC">
        <w:t>“immediately prior elections</w:t>
      </w:r>
      <w:r w:rsidR="003C7E02" w:rsidRPr="002574EC">
        <w:t>,</w:t>
      </w:r>
      <w:r w:rsidR="00402E6B" w:rsidRPr="002574EC">
        <w:t xml:space="preserve">” </w:t>
      </w:r>
      <w:r w:rsidR="003C7E02" w:rsidRPr="002574EC">
        <w:t xml:space="preserve">which </w:t>
      </w:r>
      <w:r w:rsidR="00402E6B" w:rsidRPr="002574EC">
        <w:t xml:space="preserve">undermined </w:t>
      </w:r>
      <w:r w:rsidR="00432C06" w:rsidRPr="002574EC">
        <w:t xml:space="preserve">the </w:t>
      </w:r>
      <w:r w:rsidR="00CB16C0" w:rsidRPr="002574EC">
        <w:t xml:space="preserve">democratic pluralism required in </w:t>
      </w:r>
      <w:r w:rsidR="002C0D6D" w:rsidRPr="002574EC">
        <w:t xml:space="preserve">such </w:t>
      </w:r>
      <w:r w:rsidR="00CB16C0" w:rsidRPr="002574EC">
        <w:t>processes.</w:t>
      </w:r>
      <w:r w:rsidR="00BD4E13" w:rsidRPr="002574EC">
        <w:t xml:space="preserve">  In addition, the administrative disqualifications of opposition members with aspirations to run for office persisted, </w:t>
      </w:r>
      <w:r w:rsidR="003A03E2" w:rsidRPr="002574EC">
        <w:t xml:space="preserve">decreasing </w:t>
      </w:r>
      <w:r w:rsidR="008F091C" w:rsidRPr="002574EC">
        <w:t xml:space="preserve">the number of candidates to choose from in the elections. </w:t>
      </w:r>
      <w:r w:rsidR="00974EC0" w:rsidRPr="002574EC">
        <w:t>Based on</w:t>
      </w:r>
      <w:r w:rsidR="004B1345" w:rsidRPr="002574EC">
        <w:t xml:space="preserve"> the foregoing reasons, the Inter-American</w:t>
      </w:r>
      <w:r w:rsidR="00CE6FF7" w:rsidRPr="002574EC">
        <w:t xml:space="preserve"> Commission found that the 2018 presidential contest, in which Nicolas Maduro was </w:t>
      </w:r>
      <w:r w:rsidR="005A66DE" w:rsidRPr="002574EC">
        <w:t>declared the winner</w:t>
      </w:r>
      <w:r w:rsidR="00CE6FF7" w:rsidRPr="002574EC">
        <w:t xml:space="preserve">, </w:t>
      </w:r>
      <w:r w:rsidR="00887CFC" w:rsidRPr="002574EC">
        <w:t xml:space="preserve">failed to </w:t>
      </w:r>
      <w:r w:rsidR="00A27614" w:rsidRPr="002574EC">
        <w:t xml:space="preserve">reach </w:t>
      </w:r>
      <w:r w:rsidR="00CE6FF7" w:rsidRPr="002574EC">
        <w:t xml:space="preserve">the minimum </w:t>
      </w:r>
      <w:r w:rsidR="00A27614" w:rsidRPr="002574EC">
        <w:t xml:space="preserve">standards </w:t>
      </w:r>
      <w:r w:rsidR="00CE6FF7" w:rsidRPr="002574EC">
        <w:t xml:space="preserve">to be considered </w:t>
      </w:r>
      <w:r w:rsidR="00974EC0" w:rsidRPr="002574EC">
        <w:t>free, fair and reliable elections</w:t>
      </w:r>
      <w:r w:rsidR="007A7720" w:rsidRPr="002574EC">
        <w:t xml:space="preserve">, which are </w:t>
      </w:r>
      <w:r w:rsidR="005A66DE" w:rsidRPr="002574EC">
        <w:t>aimed at ensuring the principles of universal</w:t>
      </w:r>
      <w:r w:rsidR="0036231D" w:rsidRPr="002574EC">
        <w:t xml:space="preserve"> suffrage</w:t>
      </w:r>
      <w:r w:rsidR="005A66DE" w:rsidRPr="002574EC">
        <w:t xml:space="preserve"> </w:t>
      </w:r>
      <w:r w:rsidR="00117CA5" w:rsidRPr="002574EC">
        <w:t xml:space="preserve">and </w:t>
      </w:r>
      <w:r w:rsidR="0036231D" w:rsidRPr="002574EC">
        <w:t>the pluralistic system of political parties and organizations</w:t>
      </w:r>
      <w:r w:rsidR="005A66DE" w:rsidRPr="002574EC">
        <w:t>.</w:t>
      </w:r>
      <w:r w:rsidR="006A4855" w:rsidRPr="002574EC">
        <w:rPr>
          <w:rStyle w:val="FootnoteReference"/>
        </w:rPr>
        <w:footnoteReference w:id="59"/>
      </w:r>
    </w:p>
    <w:p w14:paraId="1E835345" w14:textId="2F1E3D4F" w:rsidR="001E3479" w:rsidRPr="002574EC" w:rsidRDefault="001E3479" w:rsidP="00E07D06">
      <w:pPr>
        <w:pBdr>
          <w:top w:val="nil"/>
          <w:left w:val="nil"/>
          <w:bottom w:val="nil"/>
          <w:right w:val="nil"/>
          <w:between w:val="nil"/>
        </w:pBdr>
        <w:ind w:left="426" w:hanging="426"/>
        <w:jc w:val="both"/>
        <w:rPr>
          <w:rFonts w:ascii="Cambria" w:eastAsia="Cambria" w:hAnsi="Cambria" w:cs="Cambria"/>
          <w:sz w:val="20"/>
          <w:szCs w:val="20"/>
        </w:rPr>
      </w:pPr>
    </w:p>
    <w:p w14:paraId="3D04692D" w14:textId="49F0B6DE" w:rsidR="001E3479" w:rsidRPr="002574EC" w:rsidRDefault="00296046" w:rsidP="00F85814">
      <w:pPr>
        <w:pStyle w:val="ListParagraph"/>
      </w:pPr>
      <w:r w:rsidRPr="002574EC">
        <w:lastRenderedPageBreak/>
        <w:t xml:space="preserve">Another act approved by the ANC, which is </w:t>
      </w:r>
      <w:r w:rsidR="00C77B55" w:rsidRPr="002574EC">
        <w:t>of great concern,</w:t>
      </w:r>
      <w:r w:rsidRPr="002574EC">
        <w:t xml:space="preserve"> is enactment of the “Anti-Hate Law</w:t>
      </w:r>
      <w:r w:rsidR="00C77B55" w:rsidRPr="002574EC">
        <w:t xml:space="preserve">.”  </w:t>
      </w:r>
      <w:r w:rsidR="00BF34A1" w:rsidRPr="002574EC">
        <w:t>On this score, the IACHR’s Special Rapporteurship for Freedom of Expression has been emphatic in affirming that the aforementioned law disregards the free exercise of the right to freedom of though</w:t>
      </w:r>
      <w:r w:rsidR="00A10E83" w:rsidRPr="002574EC">
        <w:t>t</w:t>
      </w:r>
      <w:r w:rsidR="00BF34A1" w:rsidRPr="002574EC">
        <w:t xml:space="preserve"> and expression</w:t>
      </w:r>
      <w:r w:rsidR="00A10E83" w:rsidRPr="002574EC">
        <w:t xml:space="preserve">, </w:t>
      </w:r>
      <w:r w:rsidR="00B735E6" w:rsidRPr="002574EC">
        <w:t xml:space="preserve">inasmuch as </w:t>
      </w:r>
      <w:r w:rsidR="00E9187B" w:rsidRPr="002574EC">
        <w:t xml:space="preserve">in </w:t>
      </w:r>
      <w:r w:rsidR="00B735E6" w:rsidRPr="002574EC">
        <w:t>using a</w:t>
      </w:r>
      <w:r w:rsidR="00EF5800" w:rsidRPr="002574EC">
        <w:t xml:space="preserve"> range of extremely broad, vague and ambiguous </w:t>
      </w:r>
      <w:r w:rsidR="00BD12A0" w:rsidRPr="002574EC">
        <w:t xml:space="preserve">definitions of </w:t>
      </w:r>
      <w:r w:rsidR="00EF5800" w:rsidRPr="002574EC">
        <w:t>criminal offenses</w:t>
      </w:r>
      <w:r w:rsidR="00DA64DF" w:rsidRPr="002574EC">
        <w:t>, the State is able to punish -under criminal law-</w:t>
      </w:r>
      <w:r w:rsidR="00EF5800" w:rsidRPr="002574EC">
        <w:t xml:space="preserve"> </w:t>
      </w:r>
      <w:r w:rsidR="00EF7178" w:rsidRPr="002574EC">
        <w:t xml:space="preserve">speech </w:t>
      </w:r>
      <w:r w:rsidR="00DA64DF" w:rsidRPr="002574EC">
        <w:t xml:space="preserve">protected by the right to freedom of expression and even </w:t>
      </w:r>
      <w:r w:rsidR="00EF7178" w:rsidRPr="002574EC">
        <w:t>delete content</w:t>
      </w:r>
      <w:r w:rsidR="00210D15" w:rsidRPr="002574EC">
        <w:t xml:space="preserve">. </w:t>
      </w:r>
      <w:r w:rsidR="00A91BE5" w:rsidRPr="002574EC">
        <w:t xml:space="preserve"> It cites</w:t>
      </w:r>
      <w:r w:rsidR="009C7AD4" w:rsidRPr="002574EC">
        <w:t xml:space="preserve"> as an example of this the State granting the power to block websites and revoke </w:t>
      </w:r>
      <w:r w:rsidR="001242B4" w:rsidRPr="002574EC">
        <w:t xml:space="preserve">the licenses of </w:t>
      </w:r>
      <w:r w:rsidR="009C7AD4" w:rsidRPr="002574EC">
        <w:t>audiovisual media outlets.</w:t>
      </w:r>
      <w:r w:rsidR="001E3479" w:rsidRPr="002574EC">
        <w:rPr>
          <w:rStyle w:val="FootnoteReference"/>
        </w:rPr>
        <w:footnoteReference w:id="60"/>
      </w:r>
    </w:p>
    <w:p w14:paraId="1634A92F" w14:textId="663C8985" w:rsidR="000E2C75" w:rsidRPr="002574EC" w:rsidRDefault="000E2C75" w:rsidP="00E07D06">
      <w:pPr>
        <w:pBdr>
          <w:top w:val="nil"/>
          <w:left w:val="nil"/>
          <w:bottom w:val="nil"/>
          <w:right w:val="nil"/>
          <w:between w:val="nil"/>
        </w:pBdr>
        <w:ind w:left="426" w:hanging="426"/>
        <w:jc w:val="both"/>
        <w:rPr>
          <w:rFonts w:ascii="Cambria" w:eastAsia="Cambria" w:hAnsi="Cambria" w:cs="Cambria"/>
          <w:sz w:val="20"/>
          <w:szCs w:val="20"/>
        </w:rPr>
      </w:pPr>
    </w:p>
    <w:p w14:paraId="0C9EBFE7" w14:textId="0E0E41E8" w:rsidR="005968AC" w:rsidRPr="002574EC" w:rsidRDefault="001625F0" w:rsidP="00F85814">
      <w:pPr>
        <w:pStyle w:val="ListParagraph"/>
      </w:pPr>
      <w:r w:rsidRPr="002574EC">
        <w:t xml:space="preserve">On August </w:t>
      </w:r>
      <w:r w:rsidR="00392A21" w:rsidRPr="002574EC">
        <w:t>17</w:t>
      </w:r>
      <w:r w:rsidRPr="002574EC">
        <w:t>,</w:t>
      </w:r>
      <w:r w:rsidR="00392A21" w:rsidRPr="002574EC">
        <w:t xml:space="preserve"> 2020, </w:t>
      </w:r>
      <w:r w:rsidRPr="002574EC">
        <w:t xml:space="preserve">President </w:t>
      </w:r>
      <w:r w:rsidR="00392A21" w:rsidRPr="002574EC">
        <w:t>Nicolás Maduro</w:t>
      </w:r>
      <w:r w:rsidRPr="002574EC">
        <w:t xml:space="preserve"> announced that the term of the National Constituent Assembly would end in December of that same year.</w:t>
      </w:r>
      <w:r w:rsidR="00A10E16" w:rsidRPr="002574EC">
        <w:rPr>
          <w:rStyle w:val="FootnoteReference"/>
        </w:rPr>
        <w:footnoteReference w:id="61"/>
      </w:r>
      <w:r w:rsidRPr="002574EC">
        <w:t xml:space="preserve"> In the view of the Commission, this news </w:t>
      </w:r>
      <w:r w:rsidR="00095682" w:rsidRPr="002574EC">
        <w:t xml:space="preserve">arouses serious questions about the actual purpose of convening a </w:t>
      </w:r>
      <w:r w:rsidR="00617362" w:rsidRPr="002574EC">
        <w:t>constituent body, particularly in view of 3 circumstances</w:t>
      </w:r>
      <w:r w:rsidR="001A457C" w:rsidRPr="002574EC">
        <w:t>:</w:t>
      </w:r>
      <w:r w:rsidR="00A10E16" w:rsidRPr="002574EC">
        <w:t xml:space="preserve"> 1) </w:t>
      </w:r>
      <w:r w:rsidR="001A457C" w:rsidRPr="002574EC">
        <w:t xml:space="preserve">the ANC was convened shortly after the TSJ suspended the powers of the National Assembly; </w:t>
      </w:r>
      <w:r w:rsidR="00A10E16" w:rsidRPr="002574EC">
        <w:t>2)</w:t>
      </w:r>
      <w:r w:rsidR="00392A21" w:rsidRPr="002574EC">
        <w:t xml:space="preserve"> </w:t>
      </w:r>
      <w:r w:rsidR="001A457C" w:rsidRPr="002574EC">
        <w:t>the end of the ANC’s term coincided with new parliamentary elections, and;</w:t>
      </w:r>
      <w:r w:rsidR="00A10E16" w:rsidRPr="002574EC">
        <w:t xml:space="preserve"> 3) </w:t>
      </w:r>
      <w:r w:rsidR="001A457C" w:rsidRPr="002574EC">
        <w:t xml:space="preserve">the Inter-American Commission has no record that the ANC has debated a draft </w:t>
      </w:r>
      <w:r w:rsidR="000742BD" w:rsidRPr="002574EC">
        <w:t>text of the constitution</w:t>
      </w:r>
      <w:r w:rsidR="000E2C75" w:rsidRPr="002574EC">
        <w:t xml:space="preserve">. </w:t>
      </w:r>
    </w:p>
    <w:p w14:paraId="4134C793" w14:textId="77777777" w:rsidR="005968AC" w:rsidRPr="002574EC" w:rsidRDefault="005968AC" w:rsidP="00F85814">
      <w:pPr>
        <w:pStyle w:val="ListParagraph"/>
        <w:numPr>
          <w:ilvl w:val="0"/>
          <w:numId w:val="0"/>
        </w:numPr>
        <w:ind w:left="720"/>
      </w:pPr>
    </w:p>
    <w:p w14:paraId="0B518A0F" w14:textId="781A2D8C" w:rsidR="00BD17B0" w:rsidRPr="002574EC" w:rsidRDefault="00FF409B" w:rsidP="00F85814">
      <w:pPr>
        <w:pStyle w:val="ListParagraph"/>
      </w:pPr>
      <w:r w:rsidRPr="002574EC">
        <w:t>In the view of the IACHR, the National Constituent Assembly functioned as a parallel parliament, arrogating to itself the powers of other branches of government</w:t>
      </w:r>
      <w:r w:rsidR="008F5CE8" w:rsidRPr="002574EC">
        <w:t xml:space="preserve"> to ensure that the </w:t>
      </w:r>
      <w:r w:rsidR="0081386F" w:rsidRPr="002574EC">
        <w:t>President of the Republic</w:t>
      </w:r>
      <w:r w:rsidR="008F5CE8" w:rsidRPr="002574EC">
        <w:t xml:space="preserve"> held a grip on power while the National Assembly was</w:t>
      </w:r>
      <w:r w:rsidR="00226B85" w:rsidRPr="002574EC">
        <w:t xml:space="preserve"> controlled by an opposition majority</w:t>
      </w:r>
      <w:r w:rsidR="0002172F" w:rsidRPr="002574EC">
        <w:t>.</w:t>
      </w:r>
      <w:r w:rsidR="003F4DA3" w:rsidRPr="002574EC">
        <w:t xml:space="preserve">  </w:t>
      </w:r>
      <w:r w:rsidR="0002172F" w:rsidRPr="002574EC">
        <w:t> </w:t>
      </w:r>
      <w:r w:rsidR="00F03F99" w:rsidRPr="002574EC">
        <w:t xml:space="preserve">And it was for that reason that this constituent body was disassembled </w:t>
      </w:r>
      <w:r w:rsidR="00DD7789" w:rsidRPr="002574EC">
        <w:t>prior to January 5, 2021, the date the new composition of the parliament was sworn in</w:t>
      </w:r>
      <w:r w:rsidR="00E344AB" w:rsidRPr="002574EC">
        <w:t>.</w:t>
      </w:r>
    </w:p>
    <w:p w14:paraId="1E85E4A2" w14:textId="77777777" w:rsidR="00451EE8" w:rsidRPr="002574EC" w:rsidRDefault="00451EE8" w:rsidP="00E07D06">
      <w:pPr>
        <w:pBdr>
          <w:top w:val="nil"/>
          <w:left w:val="nil"/>
          <w:bottom w:val="nil"/>
          <w:right w:val="nil"/>
          <w:between w:val="nil"/>
        </w:pBdr>
        <w:ind w:left="426" w:hanging="426"/>
        <w:jc w:val="both"/>
        <w:rPr>
          <w:rFonts w:ascii="Cambria" w:eastAsia="Cambria" w:hAnsi="Cambria" w:cs="Cambria"/>
          <w:sz w:val="20"/>
          <w:szCs w:val="20"/>
        </w:rPr>
      </w:pPr>
    </w:p>
    <w:p w14:paraId="67D2DD37" w14:textId="49404A4C" w:rsidR="005968AC" w:rsidRPr="00F85814" w:rsidRDefault="00B75D1E" w:rsidP="00F85814">
      <w:pPr>
        <w:pStyle w:val="ListParagraph"/>
        <w:numPr>
          <w:ilvl w:val="1"/>
          <w:numId w:val="1"/>
        </w:numPr>
        <w:ind w:hanging="720"/>
        <w:jc w:val="left"/>
        <w:rPr>
          <w:b/>
          <w:bCs/>
        </w:rPr>
      </w:pPr>
      <w:r w:rsidRPr="00F85814">
        <w:rPr>
          <w:b/>
          <w:bCs/>
        </w:rPr>
        <w:t xml:space="preserve">Executive branch interference </w:t>
      </w:r>
      <w:r w:rsidR="0093053F" w:rsidRPr="00F85814">
        <w:rPr>
          <w:b/>
          <w:bCs/>
        </w:rPr>
        <w:t>with</w:t>
      </w:r>
      <w:r w:rsidRPr="00F85814">
        <w:rPr>
          <w:b/>
          <w:bCs/>
        </w:rPr>
        <w:t xml:space="preserve"> the citizen</w:t>
      </w:r>
      <w:r w:rsidR="003354B3" w:rsidRPr="00F85814">
        <w:rPr>
          <w:b/>
          <w:bCs/>
        </w:rPr>
        <w:t xml:space="preserve"> oversight</w:t>
      </w:r>
      <w:r w:rsidRPr="00F85814">
        <w:rPr>
          <w:b/>
          <w:bCs/>
        </w:rPr>
        <w:t xml:space="preserve"> branch of government (</w:t>
      </w:r>
      <w:r w:rsidR="00D3102F" w:rsidRPr="00F85814">
        <w:rPr>
          <w:b/>
          <w:bCs/>
          <w:i/>
          <w:iCs/>
        </w:rPr>
        <w:t>Poder ciudadano</w:t>
      </w:r>
      <w:r w:rsidRPr="00F85814">
        <w:rPr>
          <w:b/>
          <w:bCs/>
        </w:rPr>
        <w:t xml:space="preserve">) using </w:t>
      </w:r>
      <w:r w:rsidR="00AC741E" w:rsidRPr="00F85814">
        <w:rPr>
          <w:b/>
          <w:bCs/>
        </w:rPr>
        <w:t xml:space="preserve">the National Constituent Assembly </w:t>
      </w:r>
      <w:r w:rsidR="00284553" w:rsidRPr="00F85814">
        <w:rPr>
          <w:b/>
          <w:bCs/>
        </w:rPr>
        <w:br/>
      </w:r>
    </w:p>
    <w:p w14:paraId="476658EE" w14:textId="4C967D24" w:rsidR="00284553" w:rsidRPr="002574EC" w:rsidRDefault="005D794E" w:rsidP="00F85814">
      <w:pPr>
        <w:pStyle w:val="ListParagraph"/>
      </w:pPr>
      <w:r w:rsidRPr="002574EC">
        <w:t xml:space="preserve">Civil society organizations informed the IACHR that, in arrogating to itself the powers of the National Assembly, </w:t>
      </w:r>
      <w:r w:rsidR="00B14EB8" w:rsidRPr="002574EC">
        <w:t xml:space="preserve">the ANC </w:t>
      </w:r>
      <w:r w:rsidRPr="002574EC">
        <w:t>removed and appointed the highest authorities of the</w:t>
      </w:r>
      <w:r w:rsidR="003B6DE3" w:rsidRPr="002574EC">
        <w:t xml:space="preserve"> citizen</w:t>
      </w:r>
      <w:r w:rsidR="00230394" w:rsidRPr="002574EC">
        <w:t xml:space="preserve">s’ oversight </w:t>
      </w:r>
      <w:r w:rsidR="003B6DE3" w:rsidRPr="002574EC">
        <w:t>branch of government</w:t>
      </w:r>
      <w:r w:rsidR="00B14EB8" w:rsidRPr="002574EC">
        <w:t xml:space="preserve"> (</w:t>
      </w:r>
      <w:r w:rsidR="00085DB2" w:rsidRPr="002574EC">
        <w:t>‘</w:t>
      </w:r>
      <w:r w:rsidR="00B14EB8" w:rsidRPr="002574EC">
        <w:t>Citizen Power</w:t>
      </w:r>
      <w:r w:rsidR="00085DB2" w:rsidRPr="002574EC">
        <w:t>’</w:t>
      </w:r>
      <w:r w:rsidR="00B14EB8" w:rsidRPr="002574EC">
        <w:t>)</w:t>
      </w:r>
      <w:r w:rsidR="003B6DE3" w:rsidRPr="002574EC">
        <w:t xml:space="preserve">, which is made up of the Ombudsman, the Attorney General and </w:t>
      </w:r>
      <w:r w:rsidR="0038750C" w:rsidRPr="002574EC">
        <w:t xml:space="preserve">the </w:t>
      </w:r>
      <w:r w:rsidR="003B6DE3" w:rsidRPr="002574EC">
        <w:t>Comptroller General of the Republic.  This undermined the independence and legitimacy of those institutions.</w:t>
      </w:r>
      <w:r w:rsidR="00CD5D43" w:rsidRPr="002574EC">
        <w:rPr>
          <w:rStyle w:val="FootnoteReference"/>
        </w:rPr>
        <w:footnoteReference w:id="62"/>
      </w:r>
      <w:r w:rsidR="00284553" w:rsidRPr="002574EC">
        <w:t> </w:t>
      </w:r>
    </w:p>
    <w:p w14:paraId="3C6E8D9C" w14:textId="77777777" w:rsidR="00284553" w:rsidRPr="002574EC" w:rsidRDefault="00284553" w:rsidP="00E07D06">
      <w:pPr>
        <w:ind w:left="426" w:hanging="426"/>
        <w:jc w:val="both"/>
      </w:pPr>
      <w:r w:rsidRPr="002574EC">
        <w:rPr>
          <w:color w:val="000000"/>
        </w:rPr>
        <w:t> </w:t>
      </w:r>
    </w:p>
    <w:p w14:paraId="783B69C4" w14:textId="57360CDB" w:rsidR="00284553" w:rsidRPr="002574EC" w:rsidRDefault="00436B4D" w:rsidP="00F85814">
      <w:pPr>
        <w:pStyle w:val="ListParagraph"/>
      </w:pPr>
      <w:r w:rsidRPr="002574EC">
        <w:t xml:space="preserve">According to information provided to the IACHR, the current Ombudsman, </w:t>
      </w:r>
      <w:r w:rsidR="00284553" w:rsidRPr="002574EC">
        <w:t xml:space="preserve">Alfredo Ruiz, </w:t>
      </w:r>
      <w:r w:rsidRPr="002574EC">
        <w:t>was appointed by the National Constituent Assembly.</w:t>
      </w:r>
      <w:r w:rsidR="00CD5D43" w:rsidRPr="002574EC">
        <w:rPr>
          <w:rStyle w:val="FootnoteReference"/>
        </w:rPr>
        <w:footnoteReference w:id="63"/>
      </w:r>
      <w:r w:rsidRPr="002574EC">
        <w:t xml:space="preserve"> This is also the case of the Attorney General of the Nation</w:t>
      </w:r>
      <w:r w:rsidR="00284553" w:rsidRPr="002574EC">
        <w:t xml:space="preserve">, Tarek William Saab, </w:t>
      </w:r>
      <w:r w:rsidRPr="002574EC">
        <w:t xml:space="preserve">who </w:t>
      </w:r>
      <w:r w:rsidR="00FE6CDB" w:rsidRPr="002574EC">
        <w:t xml:space="preserve">was serving </w:t>
      </w:r>
      <w:r w:rsidRPr="002574EC">
        <w:t xml:space="preserve">as Ombudsman </w:t>
      </w:r>
      <w:r w:rsidR="00FE6CDB" w:rsidRPr="002574EC">
        <w:t xml:space="preserve">when he was </w:t>
      </w:r>
      <w:r w:rsidRPr="002574EC">
        <w:t>appoint</w:t>
      </w:r>
      <w:r w:rsidR="00FE6CDB" w:rsidRPr="002574EC">
        <w:t>ed</w:t>
      </w:r>
      <w:r w:rsidRPr="002574EC">
        <w:t>.</w:t>
      </w:r>
      <w:r w:rsidR="00CC1D8E" w:rsidRPr="002574EC">
        <w:rPr>
          <w:rStyle w:val="FootnoteReference"/>
        </w:rPr>
        <w:footnoteReference w:id="64"/>
      </w:r>
      <w:r w:rsidR="000E2D5F" w:rsidRPr="002574EC">
        <w:t xml:space="preserve"> </w:t>
      </w:r>
      <w:r w:rsidR="00284553" w:rsidRPr="002574EC">
        <w:t xml:space="preserve"> Saab </w:t>
      </w:r>
      <w:r w:rsidR="00256EDE" w:rsidRPr="002574EC">
        <w:t xml:space="preserve">was appointed Attorney General of the Nation </w:t>
      </w:r>
      <w:r w:rsidR="00E26BE1" w:rsidRPr="002574EC">
        <w:t xml:space="preserve">after </w:t>
      </w:r>
      <w:r w:rsidR="00B62807" w:rsidRPr="002574EC">
        <w:t xml:space="preserve">the National Constituent Assembly removed his predecessor, </w:t>
      </w:r>
      <w:r w:rsidR="00284553" w:rsidRPr="002574EC">
        <w:t>Luisa Ortega Díaz</w:t>
      </w:r>
      <w:r w:rsidR="00B62807" w:rsidRPr="002574EC">
        <w:t>.</w:t>
      </w:r>
      <w:r w:rsidR="00CD5D43" w:rsidRPr="002574EC">
        <w:rPr>
          <w:rStyle w:val="FootnoteReference"/>
        </w:rPr>
        <w:footnoteReference w:id="65"/>
      </w:r>
      <w:r w:rsidR="00B62807" w:rsidRPr="002574EC">
        <w:t xml:space="preserve">  Similarly, </w:t>
      </w:r>
      <w:r w:rsidR="00284553" w:rsidRPr="002574EC">
        <w:t>Elvis Amoros</w:t>
      </w:r>
      <w:r w:rsidR="00B62807" w:rsidRPr="002574EC">
        <w:t>o went from being Second Vice President of the National Constituent Assembly to being appointed by that body as Comptroller General of the Republic.</w:t>
      </w:r>
      <w:r w:rsidR="00CD5D43" w:rsidRPr="002574EC">
        <w:rPr>
          <w:rStyle w:val="FootnoteReference"/>
        </w:rPr>
        <w:footnoteReference w:id="66"/>
      </w:r>
    </w:p>
    <w:p w14:paraId="1A558B14" w14:textId="2147BD75" w:rsidR="00284553" w:rsidRPr="002574EC" w:rsidRDefault="00284553" w:rsidP="00E07D06">
      <w:pPr>
        <w:ind w:left="426" w:hanging="426"/>
      </w:pPr>
    </w:p>
    <w:p w14:paraId="5089F3AD" w14:textId="5BD083F5" w:rsidR="00284553" w:rsidRPr="002574EC" w:rsidRDefault="005A549C" w:rsidP="00F85814">
      <w:pPr>
        <w:pStyle w:val="ListParagraph"/>
      </w:pPr>
      <w:r w:rsidRPr="002574EC">
        <w:lastRenderedPageBreak/>
        <w:t>I</w:t>
      </w:r>
      <w:r w:rsidR="00CD5D43" w:rsidRPr="002574EC">
        <w:t xml:space="preserve">n 2021, </w:t>
      </w:r>
      <w:r w:rsidR="00640DE5" w:rsidRPr="002574EC">
        <w:t xml:space="preserve">the </w:t>
      </w:r>
      <w:r w:rsidR="005D6DF5" w:rsidRPr="002574EC">
        <w:t>I</w:t>
      </w:r>
      <w:r w:rsidR="00640DE5" w:rsidRPr="002574EC">
        <w:t xml:space="preserve">ACHR </w:t>
      </w:r>
      <w:r w:rsidR="00636ED6" w:rsidRPr="002574EC">
        <w:t xml:space="preserve">expressed </w:t>
      </w:r>
      <w:r w:rsidR="000B46F4" w:rsidRPr="002574EC">
        <w:t xml:space="preserve">concern </w:t>
      </w:r>
      <w:r w:rsidR="00636ED6" w:rsidRPr="002574EC">
        <w:t xml:space="preserve">about </w:t>
      </w:r>
      <w:r w:rsidR="000B46F4" w:rsidRPr="002574EC">
        <w:t xml:space="preserve">the findings of the Independent International Fact-Finding Mission on Venezuela </w:t>
      </w:r>
      <w:r w:rsidR="004E6B06" w:rsidRPr="002574EC">
        <w:t xml:space="preserve">in regards to the way the </w:t>
      </w:r>
      <w:r w:rsidR="00E25237" w:rsidRPr="002574EC">
        <w:t xml:space="preserve">Office of the Attorney General of the Nation and the Office of the Ombudsman </w:t>
      </w:r>
      <w:r w:rsidR="00A30308" w:rsidRPr="002574EC">
        <w:t>have been functioning</w:t>
      </w:r>
      <w:r w:rsidR="00BD2A0A" w:rsidRPr="002574EC">
        <w:t>, the appointment of their</w:t>
      </w:r>
      <w:r w:rsidR="00A30308" w:rsidRPr="002574EC">
        <w:t xml:space="preserve"> authorities by the ANC</w:t>
      </w:r>
      <w:r w:rsidR="00284553" w:rsidRPr="002574EC">
        <w:t>. </w:t>
      </w:r>
      <w:r w:rsidR="00D105F0" w:rsidRPr="002574EC">
        <w:t xml:space="preserve">According to the report of the Mission, following the change in Attorney General </w:t>
      </w:r>
      <w:r w:rsidR="001B1DEB" w:rsidRPr="002574EC">
        <w:t xml:space="preserve">in August 2017, “196 </w:t>
      </w:r>
      <w:r w:rsidR="00131A41" w:rsidRPr="002574EC">
        <w:t xml:space="preserve">public </w:t>
      </w:r>
      <w:r w:rsidR="001B1DEB" w:rsidRPr="002574EC">
        <w:t xml:space="preserve">prosecutors </w:t>
      </w:r>
      <w:r w:rsidR="00131A41" w:rsidRPr="002574EC">
        <w:t xml:space="preserve">throughout the country </w:t>
      </w:r>
      <w:r w:rsidR="001B1DEB" w:rsidRPr="002574EC">
        <w:t xml:space="preserve">were summarily </w:t>
      </w:r>
      <w:r w:rsidR="001F3C74" w:rsidRPr="002574EC">
        <w:t>dismissed</w:t>
      </w:r>
      <w:r w:rsidR="001B1DEB" w:rsidRPr="002574EC">
        <w:t xml:space="preserve">, many of whom had </w:t>
      </w:r>
      <w:r w:rsidR="001F3C74" w:rsidRPr="002574EC">
        <w:t xml:space="preserve">publicly demonstrated criticism of </w:t>
      </w:r>
      <w:r w:rsidR="001B1DEB" w:rsidRPr="002574EC">
        <w:t>government actions</w:t>
      </w:r>
      <w:r w:rsidR="00DA52EF" w:rsidRPr="002574EC">
        <w:t>, including the election of the National Constituent Assembly.</w:t>
      </w:r>
      <w:r w:rsidR="00284553" w:rsidRPr="002574EC">
        <w:t>"</w:t>
      </w:r>
      <w:r w:rsidR="00CC1D8E" w:rsidRPr="002574EC">
        <w:rPr>
          <w:rStyle w:val="FootnoteReference"/>
        </w:rPr>
        <w:footnoteReference w:id="67"/>
      </w:r>
      <w:r w:rsidR="001F3C74" w:rsidRPr="002574EC">
        <w:t xml:space="preserve"> </w:t>
      </w:r>
      <w:r w:rsidR="00284553" w:rsidRPr="002574EC">
        <w:t xml:space="preserve"> </w:t>
      </w:r>
      <w:r w:rsidR="006E467E" w:rsidRPr="002574EC">
        <w:t>Likewise, in September 2018, the new Chief Prosecutor</w:t>
      </w:r>
      <w:r w:rsidR="00284553" w:rsidRPr="002574EC">
        <w:t xml:space="preserve">, Tarek William Saab, </w:t>
      </w:r>
      <w:r w:rsidR="006E467E" w:rsidRPr="002574EC">
        <w:t xml:space="preserve">approved a resolution effectively doing away with the prosecutorial career track and declaring that all civil </w:t>
      </w:r>
      <w:r w:rsidR="00336153" w:rsidRPr="002574EC">
        <w:t>servants within the Public Prosecutor’s Office would be in “positions of trust” and as such can be freely appointed and removed.</w:t>
      </w:r>
      <w:r w:rsidR="00CD5D43" w:rsidRPr="002574EC">
        <w:rPr>
          <w:rStyle w:val="FootnoteReference"/>
        </w:rPr>
        <w:footnoteReference w:id="68"/>
      </w:r>
    </w:p>
    <w:p w14:paraId="57561F72" w14:textId="4975E0B2" w:rsidR="00284553" w:rsidRPr="002574EC" w:rsidRDefault="00284553" w:rsidP="00E07D06">
      <w:pPr>
        <w:pBdr>
          <w:top w:val="nil"/>
          <w:left w:val="nil"/>
          <w:bottom w:val="nil"/>
          <w:right w:val="nil"/>
          <w:between w:val="nil"/>
        </w:pBdr>
        <w:ind w:left="426" w:hanging="426"/>
        <w:jc w:val="both"/>
        <w:rPr>
          <w:rFonts w:ascii="Cambria" w:eastAsia="Cambria" w:hAnsi="Cambria" w:cs="Cambria"/>
          <w:sz w:val="20"/>
          <w:szCs w:val="20"/>
        </w:rPr>
      </w:pPr>
    </w:p>
    <w:p w14:paraId="04B6906F" w14:textId="65000046" w:rsidR="003C67C6" w:rsidRPr="002574EC" w:rsidRDefault="001C3473" w:rsidP="00F85814">
      <w:pPr>
        <w:pStyle w:val="ListParagraph"/>
      </w:pPr>
      <w:r w:rsidRPr="002574EC">
        <w:t>In this regard, the Inter-American Commission recalls that, pursuant to Inter-American standards, “</w:t>
      </w:r>
      <w:r w:rsidR="004B7E8E" w:rsidRPr="002574EC">
        <w:t>remov</w:t>
      </w:r>
      <w:r w:rsidR="00714D9F" w:rsidRPr="002574EC">
        <w:t>ing</w:t>
      </w:r>
      <w:r w:rsidR="004B7E8E" w:rsidRPr="002574EC">
        <w:t xml:space="preserve"> a provisional prosecutor</w:t>
      </w:r>
      <w:r w:rsidR="00714D9F" w:rsidRPr="002574EC">
        <w:t xml:space="preserve"> from his or her position</w:t>
      </w:r>
      <w:r w:rsidR="004B7E8E" w:rsidRPr="002574EC">
        <w:t xml:space="preserve"> must be based on grounds provided fo</w:t>
      </w:r>
      <w:r w:rsidR="006768F9" w:rsidRPr="002574EC">
        <w:t>r</w:t>
      </w:r>
      <w:r w:rsidR="00304674" w:rsidRPr="002574EC">
        <w:t xml:space="preserve"> by law</w:t>
      </w:r>
      <w:r w:rsidR="006768F9" w:rsidRPr="002574EC">
        <w:t xml:space="preserve">, </w:t>
      </w:r>
      <w:r w:rsidR="00AF6BCD" w:rsidRPr="002574EC">
        <w:t xml:space="preserve">which </w:t>
      </w:r>
      <w:r w:rsidR="004A28B5" w:rsidRPr="002574EC">
        <w:t>are</w:t>
      </w:r>
      <w:r w:rsidR="00AF6BCD" w:rsidRPr="002574EC">
        <w:t xml:space="preserve"> either</w:t>
      </w:r>
      <w:r w:rsidRPr="002574EC">
        <w:t xml:space="preserve"> </w:t>
      </w:r>
      <w:r w:rsidR="00CD5D43" w:rsidRPr="002574EC">
        <w:t xml:space="preserve">(i) </w:t>
      </w:r>
      <w:r w:rsidR="004671F2" w:rsidRPr="002574EC">
        <w:t xml:space="preserve">because the operative requirement to which the appointment </w:t>
      </w:r>
      <w:r w:rsidR="00DA032A" w:rsidRPr="002574EC">
        <w:t xml:space="preserve">or designation </w:t>
      </w:r>
      <w:r w:rsidR="004671F2" w:rsidRPr="002574EC">
        <w:t>was subjected</w:t>
      </w:r>
      <w:r w:rsidR="00B45248" w:rsidRPr="002574EC">
        <w:t xml:space="preserve">, such as the </w:t>
      </w:r>
      <w:r w:rsidR="006A0704" w:rsidRPr="002574EC">
        <w:t xml:space="preserve">expiration of a term </w:t>
      </w:r>
      <w:r w:rsidR="00015B97" w:rsidRPr="002574EC">
        <w:t>of</w:t>
      </w:r>
      <w:r w:rsidR="006A0704" w:rsidRPr="002574EC">
        <w:t xml:space="preserve"> office as</w:t>
      </w:r>
      <w:r w:rsidR="00B45248" w:rsidRPr="002574EC">
        <w:t xml:space="preserve"> predetermined </w:t>
      </w:r>
      <w:r w:rsidR="006A0704" w:rsidRPr="002574EC">
        <w:t>by holding and co</w:t>
      </w:r>
      <w:r w:rsidR="00E45FDA" w:rsidRPr="002574EC">
        <w:t xml:space="preserve">mpleting </w:t>
      </w:r>
      <w:r w:rsidR="00B23E1B" w:rsidRPr="002574EC">
        <w:t xml:space="preserve">a </w:t>
      </w:r>
      <w:r w:rsidR="00A865D5" w:rsidRPr="002574EC">
        <w:t xml:space="preserve">public </w:t>
      </w:r>
      <w:r w:rsidR="00B23E1B" w:rsidRPr="002574EC">
        <w:t xml:space="preserve">competitive </w:t>
      </w:r>
      <w:r w:rsidR="00A865D5" w:rsidRPr="002574EC">
        <w:t>selection process</w:t>
      </w:r>
      <w:r w:rsidR="00B755DE" w:rsidRPr="002574EC">
        <w:t>,</w:t>
      </w:r>
      <w:r w:rsidR="00936547" w:rsidRPr="002574EC">
        <w:t xml:space="preserve"> based on which the replacement of the provisional prosecutor is appointed or designated with permanent status, or </w:t>
      </w:r>
      <w:r w:rsidR="00CD5D43" w:rsidRPr="002574EC">
        <w:t xml:space="preserve">(ii) </w:t>
      </w:r>
      <w:r w:rsidR="009B3A1E" w:rsidRPr="002574EC">
        <w:t xml:space="preserve">for </w:t>
      </w:r>
      <w:r w:rsidR="00CA0C08" w:rsidRPr="002574EC">
        <w:t xml:space="preserve">serious </w:t>
      </w:r>
      <w:r w:rsidR="009B3A1E" w:rsidRPr="002574EC">
        <w:t>disciplinary</w:t>
      </w:r>
      <w:r w:rsidR="00485C9F" w:rsidRPr="002574EC">
        <w:t xml:space="preserve"> offenses or proven i</w:t>
      </w:r>
      <w:r w:rsidR="00613F0C" w:rsidRPr="002574EC">
        <w:t>n</w:t>
      </w:r>
      <w:r w:rsidR="00485C9F" w:rsidRPr="002574EC">
        <w:t xml:space="preserve">competence, </w:t>
      </w:r>
      <w:r w:rsidR="009B3A1E" w:rsidRPr="002574EC">
        <w:t xml:space="preserve"> </w:t>
      </w:r>
      <w:r w:rsidR="00B46FD6" w:rsidRPr="002574EC">
        <w:t>for which a proceeding would have to be</w:t>
      </w:r>
      <w:r w:rsidR="00422D53" w:rsidRPr="002574EC">
        <w:t xml:space="preserve"> instituted</w:t>
      </w:r>
      <w:r w:rsidR="00B46FD6" w:rsidRPr="002574EC">
        <w:t xml:space="preserve">, which </w:t>
      </w:r>
      <w:r w:rsidR="000D26F2" w:rsidRPr="002574EC">
        <w:t xml:space="preserve">complies with all the due process guarantees </w:t>
      </w:r>
      <w:r w:rsidR="00D35301" w:rsidRPr="002574EC">
        <w:t xml:space="preserve">and ensures the objectivity and impartiality of the </w:t>
      </w:r>
      <w:r w:rsidR="005D420A" w:rsidRPr="002574EC">
        <w:t>decision.</w:t>
      </w:r>
      <w:r w:rsidR="00CD5D43" w:rsidRPr="002574EC">
        <w:t>"</w:t>
      </w:r>
      <w:r w:rsidR="00CD5D43" w:rsidRPr="002574EC">
        <w:rPr>
          <w:rStyle w:val="FootnoteReference"/>
        </w:rPr>
        <w:footnoteReference w:id="69"/>
      </w:r>
    </w:p>
    <w:p w14:paraId="3DE15B12" w14:textId="77777777" w:rsidR="003C67C6" w:rsidRPr="002574EC" w:rsidRDefault="003C67C6" w:rsidP="00E07D06">
      <w:pPr>
        <w:pBdr>
          <w:top w:val="nil"/>
          <w:left w:val="nil"/>
          <w:bottom w:val="nil"/>
          <w:right w:val="nil"/>
          <w:between w:val="nil"/>
        </w:pBdr>
        <w:ind w:left="426" w:hanging="426"/>
        <w:jc w:val="both"/>
        <w:rPr>
          <w:rFonts w:ascii="Cambria" w:eastAsia="Cambria" w:hAnsi="Cambria" w:cs="Cambria"/>
          <w:sz w:val="20"/>
          <w:szCs w:val="20"/>
        </w:rPr>
      </w:pPr>
    </w:p>
    <w:p w14:paraId="5B434018" w14:textId="7E15AB70" w:rsidR="00284553" w:rsidRPr="002574EC" w:rsidRDefault="000324B3" w:rsidP="00F85814">
      <w:pPr>
        <w:pStyle w:val="ListParagraph"/>
      </w:pPr>
      <w:r w:rsidRPr="002574EC">
        <w:t xml:space="preserve">The IACHR finds it worrying that the highest authorities </w:t>
      </w:r>
      <w:r w:rsidR="00DF3951" w:rsidRPr="002574EC">
        <w:t>of the bodies whose mandate it is to prevent, investigate and punish a</w:t>
      </w:r>
      <w:r w:rsidR="00190845" w:rsidRPr="002574EC">
        <w:t xml:space="preserve">cts that undermine </w:t>
      </w:r>
      <w:r w:rsidR="006E4382" w:rsidRPr="002574EC">
        <w:t>public ethics and administrative moral</w:t>
      </w:r>
      <w:r w:rsidR="00B44B3A" w:rsidRPr="002574EC">
        <w:t>s</w:t>
      </w:r>
      <w:r w:rsidR="001A116D" w:rsidRPr="002574EC">
        <w:t xml:space="preserve">, as well as </w:t>
      </w:r>
      <w:r w:rsidR="00B755DE" w:rsidRPr="002574EC">
        <w:t xml:space="preserve">to </w:t>
      </w:r>
      <w:r w:rsidR="00B44B3A" w:rsidRPr="002574EC">
        <w:t xml:space="preserve">bring </w:t>
      </w:r>
      <w:r w:rsidR="00B807CD" w:rsidRPr="002574EC">
        <w:t xml:space="preserve">criminal action on behalf of the State, </w:t>
      </w:r>
      <w:r w:rsidR="008206F3" w:rsidRPr="002574EC">
        <w:t xml:space="preserve">are not appointed in keeping with domestic law. </w:t>
      </w:r>
      <w:r w:rsidR="003C7E09" w:rsidRPr="002574EC">
        <w:t xml:space="preserve">From the perspective of the Inter-American Commission, the irregularities </w:t>
      </w:r>
      <w:r w:rsidR="00CC0A4A" w:rsidRPr="002574EC">
        <w:t xml:space="preserve">described above jeopardize </w:t>
      </w:r>
      <w:r w:rsidR="00E12262" w:rsidRPr="002574EC">
        <w:t xml:space="preserve">the independence and legitimacy of the citizen </w:t>
      </w:r>
      <w:r w:rsidR="000E1CC7" w:rsidRPr="002574EC">
        <w:t xml:space="preserve">oversight </w:t>
      </w:r>
      <w:r w:rsidR="00E12262" w:rsidRPr="002574EC">
        <w:t>branch of government, consisting of the Attorney General’s, the Ombudsman’s and Comptroller General’s Offices</w:t>
      </w:r>
      <w:r w:rsidR="00ED283C" w:rsidRPr="002574EC">
        <w:t>, to the detriment of human rights</w:t>
      </w:r>
      <w:r w:rsidR="00284553" w:rsidRPr="002574EC">
        <w:t>.</w:t>
      </w:r>
    </w:p>
    <w:p w14:paraId="0D824688" w14:textId="77777777" w:rsidR="00284553" w:rsidRPr="002574EC" w:rsidRDefault="00284553" w:rsidP="00E07D06">
      <w:pPr>
        <w:ind w:left="426" w:hanging="426"/>
        <w:rPr>
          <w:sz w:val="20"/>
          <w:szCs w:val="20"/>
        </w:rPr>
      </w:pPr>
    </w:p>
    <w:p w14:paraId="427ED861" w14:textId="0204D7A2" w:rsidR="003C67C6" w:rsidRPr="00EA607E" w:rsidRDefault="004A44DA" w:rsidP="00EA607E">
      <w:pPr>
        <w:pStyle w:val="ListParagraph"/>
        <w:numPr>
          <w:ilvl w:val="1"/>
          <w:numId w:val="1"/>
        </w:numPr>
        <w:ind w:hanging="720"/>
        <w:rPr>
          <w:b/>
          <w:bCs/>
        </w:rPr>
      </w:pPr>
      <w:r w:rsidRPr="00EA607E">
        <w:rPr>
          <w:b/>
          <w:bCs/>
        </w:rPr>
        <w:t xml:space="preserve">Political persecution by the executive branch against </w:t>
      </w:r>
      <w:r w:rsidR="00F30D0F" w:rsidRPr="00EA607E">
        <w:rPr>
          <w:b/>
          <w:bCs/>
        </w:rPr>
        <w:t xml:space="preserve">deputies elected in 2015 to the National Assembly </w:t>
      </w:r>
      <w:r w:rsidR="00005B3D" w:rsidRPr="00EA607E">
        <w:rPr>
          <w:b/>
          <w:bCs/>
        </w:rPr>
        <w:t xml:space="preserve">belonging </w:t>
      </w:r>
      <w:r w:rsidR="00F30D0F" w:rsidRPr="00EA607E">
        <w:rPr>
          <w:b/>
          <w:bCs/>
        </w:rPr>
        <w:t>to opposition parties</w:t>
      </w:r>
    </w:p>
    <w:p w14:paraId="2D34CDC9" w14:textId="44449650" w:rsidR="000A54D6" w:rsidRPr="002574EC" w:rsidRDefault="000A54D6" w:rsidP="00E07D06">
      <w:pPr>
        <w:ind w:left="426" w:hanging="426"/>
        <w:rPr>
          <w:sz w:val="20"/>
          <w:szCs w:val="20"/>
        </w:rPr>
      </w:pPr>
    </w:p>
    <w:p w14:paraId="2CD983A7" w14:textId="47C0F4F9" w:rsidR="003C67C6" w:rsidRPr="002574EC" w:rsidRDefault="00B1374A" w:rsidP="00F85814">
      <w:pPr>
        <w:pStyle w:val="ListParagraph"/>
      </w:pPr>
      <w:r w:rsidRPr="002574EC">
        <w:t>The IACHR has reiterated con</w:t>
      </w:r>
      <w:r w:rsidR="00EC6420" w:rsidRPr="002574EC">
        <w:t>c</w:t>
      </w:r>
      <w:r w:rsidRPr="002574EC">
        <w:t xml:space="preserve">ern over the political </w:t>
      </w:r>
      <w:r w:rsidR="00513E66" w:rsidRPr="002574EC">
        <w:t xml:space="preserve">persecution </w:t>
      </w:r>
      <w:r w:rsidR="00CF4E6A" w:rsidRPr="002574EC">
        <w:t>of opposition members of the National Assembly</w:t>
      </w:r>
      <w:r w:rsidR="009E0F71" w:rsidRPr="002574EC">
        <w:t>. The Commission observes that</w:t>
      </w:r>
      <w:r w:rsidR="00192B18" w:rsidRPr="002574EC">
        <w:t>,</w:t>
      </w:r>
      <w:r w:rsidR="009E0F71" w:rsidRPr="002574EC">
        <w:t xml:space="preserve">  although the harassment of assembly members</w:t>
      </w:r>
      <w:r w:rsidR="00192B18" w:rsidRPr="002574EC">
        <w:t xml:space="preserve"> </w:t>
      </w:r>
      <w:r w:rsidR="009E0F71" w:rsidRPr="002574EC">
        <w:t xml:space="preserve">is not a new phenomenon in Venezuela, it intensified </w:t>
      </w:r>
      <w:r w:rsidR="00096302" w:rsidRPr="002574EC">
        <w:t xml:space="preserve">following the 2015 elections, when opposition to the Nicolás Maduro </w:t>
      </w:r>
      <w:r w:rsidR="00192B18" w:rsidRPr="002574EC">
        <w:t>administration won a broad majority in the National Assembly.</w:t>
      </w:r>
      <w:r w:rsidR="00726B0D" w:rsidRPr="002574EC">
        <w:rPr>
          <w:rStyle w:val="FootnoteReference"/>
        </w:rPr>
        <w:footnoteReference w:id="70"/>
      </w:r>
      <w:r w:rsidR="005371FA" w:rsidRPr="002574EC">
        <w:t xml:space="preserve"> </w:t>
      </w:r>
      <w:r w:rsidR="007E74C1" w:rsidRPr="002574EC">
        <w:t>As was mentioned above, as of the date of the writing of this report, the TSJ and the National Constituent Assembly have improperly stripped 28 opposition deputies of their parliamentary immunity</w:t>
      </w:r>
      <w:r w:rsidR="00726B0D" w:rsidRPr="002574EC">
        <w:rPr>
          <w:rStyle w:val="FootnoteReference"/>
        </w:rPr>
        <w:footnoteReference w:id="71"/>
      </w:r>
      <w:r w:rsidR="00B61B95" w:rsidRPr="002574EC">
        <w:t xml:space="preserve"> and, in some instances, </w:t>
      </w:r>
      <w:r w:rsidR="003C67C6" w:rsidRPr="002574EC">
        <w:t xml:space="preserve"> </w:t>
      </w:r>
      <w:r w:rsidR="00B61B95" w:rsidRPr="002574EC">
        <w:t>declared the</w:t>
      </w:r>
      <w:r w:rsidR="000225BA" w:rsidRPr="002574EC">
        <w:t>m</w:t>
      </w:r>
      <w:r w:rsidR="00B61B95" w:rsidRPr="002574EC">
        <w:t xml:space="preserve"> criminal</w:t>
      </w:r>
      <w:r w:rsidR="00016BA8" w:rsidRPr="002574EC">
        <w:t>ly</w:t>
      </w:r>
      <w:r w:rsidR="00B61B95" w:rsidRPr="002574EC">
        <w:t xml:space="preserve"> liabil</w:t>
      </w:r>
      <w:r w:rsidR="00016BA8" w:rsidRPr="002574EC">
        <w:t>e</w:t>
      </w:r>
      <w:r w:rsidR="00B61B95" w:rsidRPr="002574EC">
        <w:t xml:space="preserve"> for crimes of </w:t>
      </w:r>
      <w:r w:rsidR="00F66CA6" w:rsidRPr="002574EC">
        <w:t xml:space="preserve">treason against the </w:t>
      </w:r>
      <w:r w:rsidR="00597FF0" w:rsidRPr="002574EC">
        <w:t>homeland</w:t>
      </w:r>
      <w:r w:rsidR="00F66CA6" w:rsidRPr="002574EC">
        <w:t>.</w:t>
      </w:r>
      <w:r w:rsidR="00726B0D" w:rsidRPr="002574EC">
        <w:rPr>
          <w:rStyle w:val="FootnoteReference"/>
        </w:rPr>
        <w:footnoteReference w:id="72"/>
      </w:r>
    </w:p>
    <w:p w14:paraId="13F9EF4E" w14:textId="77777777" w:rsidR="003C67C6" w:rsidRPr="002574EC" w:rsidRDefault="003C67C6" w:rsidP="00E07D06">
      <w:pPr>
        <w:pStyle w:val="NormalWeb"/>
        <w:spacing w:before="0" w:beforeAutospacing="0" w:after="0" w:afterAutospacing="0"/>
        <w:ind w:left="426" w:hanging="426"/>
        <w:jc w:val="both"/>
        <w:textAlignment w:val="baseline"/>
        <w:rPr>
          <w:color w:val="000000"/>
        </w:rPr>
      </w:pPr>
    </w:p>
    <w:p w14:paraId="4B6CF157" w14:textId="2A00514A" w:rsidR="003C67C6" w:rsidRPr="002574EC" w:rsidRDefault="00704A63" w:rsidP="00F85814">
      <w:pPr>
        <w:pStyle w:val="ListParagraph"/>
      </w:pPr>
      <w:r w:rsidRPr="002574EC">
        <w:t xml:space="preserve">It should be noted that the harassment against opposition deputies to the National Assembly does not only boil down to being stripped of parliamentary immunity. </w:t>
      </w:r>
      <w:r w:rsidR="00F2138C" w:rsidRPr="002574EC">
        <w:t xml:space="preserve">According to a report written by the </w:t>
      </w:r>
      <w:r w:rsidR="00F2138C" w:rsidRPr="002574EC">
        <w:lastRenderedPageBreak/>
        <w:t xml:space="preserve">National Assembly itself, deputies identified as opposition members, and who have made public their disagreement with the government, have </w:t>
      </w:r>
      <w:r w:rsidR="00C8680F" w:rsidRPr="002574EC">
        <w:t>endured a variety of types of assaults, including torture</w:t>
      </w:r>
      <w:r w:rsidR="006F3C19" w:rsidRPr="002574EC">
        <w:t xml:space="preserve"> and mistreatment; threats and acts of intimidation; arbitrary arrest and detention; violation of due process protections during the investigation stage; arbitrar</w:t>
      </w:r>
      <w:r w:rsidR="00AB3E6C" w:rsidRPr="002574EC">
        <w:t xml:space="preserve">ily lengthening </w:t>
      </w:r>
      <w:r w:rsidR="006675D7" w:rsidRPr="002574EC">
        <w:t>judicial proceedings; violation of freedom of opinion and expression; violation of freedom of assembly and association; violation of freedom of movement; unlawful suspension or revocation of parliamentary terms; and harassment by paramilitary pro-government gangs</w:t>
      </w:r>
      <w:r w:rsidR="00D95244" w:rsidRPr="002574EC">
        <w:t xml:space="preserve"> (</w:t>
      </w:r>
      <w:r w:rsidR="00D95244" w:rsidRPr="002574EC">
        <w:rPr>
          <w:i/>
          <w:iCs/>
        </w:rPr>
        <w:t>colectivos</w:t>
      </w:r>
      <w:r w:rsidR="00D95244" w:rsidRPr="002574EC">
        <w:t>)</w:t>
      </w:r>
      <w:r w:rsidR="006675D7" w:rsidRPr="002574EC">
        <w:t>.</w:t>
      </w:r>
      <w:r w:rsidR="00726B0D" w:rsidRPr="002574EC">
        <w:rPr>
          <w:rStyle w:val="FootnoteReference"/>
        </w:rPr>
        <w:footnoteReference w:id="73"/>
      </w:r>
    </w:p>
    <w:p w14:paraId="70E8562F" w14:textId="77777777" w:rsidR="003C67C6" w:rsidRPr="002574EC" w:rsidRDefault="003C67C6" w:rsidP="00E07D06">
      <w:pPr>
        <w:pBdr>
          <w:top w:val="nil"/>
          <w:left w:val="nil"/>
          <w:bottom w:val="nil"/>
          <w:right w:val="nil"/>
          <w:between w:val="nil"/>
        </w:pBdr>
        <w:ind w:left="426" w:hanging="426"/>
        <w:jc w:val="both"/>
        <w:rPr>
          <w:rFonts w:ascii="Cambria" w:eastAsia="Cambria" w:hAnsi="Cambria" w:cs="Cambria"/>
          <w:sz w:val="20"/>
          <w:szCs w:val="20"/>
        </w:rPr>
      </w:pPr>
    </w:p>
    <w:p w14:paraId="34781A42" w14:textId="77777777" w:rsidR="00EA607E" w:rsidRDefault="009D43E2" w:rsidP="00F85814">
      <w:pPr>
        <w:pStyle w:val="ListParagraph"/>
      </w:pPr>
      <w:r w:rsidRPr="002574EC">
        <w:t xml:space="preserve">On February </w:t>
      </w:r>
      <w:r w:rsidR="003C67C6" w:rsidRPr="002574EC">
        <w:t>24</w:t>
      </w:r>
      <w:r w:rsidRPr="002574EC">
        <w:t>,</w:t>
      </w:r>
      <w:r w:rsidR="003C67C6" w:rsidRPr="002574EC">
        <w:t xml:space="preserve"> 2021,</w:t>
      </w:r>
      <w:r w:rsidR="000104E7" w:rsidRPr="002574EC">
        <w:t xml:space="preserve"> the Office of the Comptroller General of the Republic disqualified for a period of 15 years 28 opposition deputies</w:t>
      </w:r>
      <w:r w:rsidR="00EA73D6" w:rsidRPr="002574EC">
        <w:t xml:space="preserve"> from holding public office</w:t>
      </w:r>
      <w:r w:rsidR="003B19D6" w:rsidRPr="002574EC">
        <w:t>, including the deputy elected as president of this institution, Juan Guaidó</w:t>
      </w:r>
      <w:r w:rsidR="00A1039E" w:rsidRPr="002574EC">
        <w:t xml:space="preserve">. </w:t>
      </w:r>
      <w:r w:rsidR="003B19D6" w:rsidRPr="002574EC">
        <w:t xml:space="preserve"> According to the report of the Comptroller General of the Republic, appointed by the National Constituent Assembly, </w:t>
      </w:r>
      <w:r w:rsidR="000204F7" w:rsidRPr="002574EC">
        <w:t xml:space="preserve">Elvis Amoroso, the </w:t>
      </w:r>
      <w:r w:rsidR="00FE6AD7" w:rsidRPr="002574EC">
        <w:t>punishment was imposed because of their refusal to declare their assets.</w:t>
      </w:r>
      <w:r w:rsidR="00726B0D" w:rsidRPr="002574EC">
        <w:rPr>
          <w:rStyle w:val="FootnoteReference"/>
        </w:rPr>
        <w:footnoteReference w:id="74"/>
      </w:r>
    </w:p>
    <w:p w14:paraId="5E833EA2" w14:textId="7DD23D83" w:rsidR="003C67C6" w:rsidRPr="002574EC" w:rsidRDefault="003C67C6" w:rsidP="00EA607E">
      <w:pPr>
        <w:pStyle w:val="ListParagraph"/>
        <w:numPr>
          <w:ilvl w:val="0"/>
          <w:numId w:val="0"/>
        </w:numPr>
        <w:ind w:left="720"/>
      </w:pPr>
    </w:p>
    <w:p w14:paraId="04FB7960" w14:textId="06270BA2" w:rsidR="00A92476" w:rsidRPr="002574EC" w:rsidRDefault="003044CA" w:rsidP="00F85814">
      <w:pPr>
        <w:pStyle w:val="ListParagraph"/>
      </w:pPr>
      <w:r w:rsidRPr="002574EC">
        <w:t>The Inter-American Commission recalls that the American Convention “does not allow any administrative organ to apply a punishment that involves a restriction (for example, imposing a sentence of disqualification or dismissal) on a person for their social misconduct (in the performance of their public duty or outside thereof) for the exercise of political rights to elect or be elected; it can only be for an adjudicatory act (judicial</w:t>
      </w:r>
      <w:r w:rsidR="00ED77BE" w:rsidRPr="002574EC">
        <w:t xml:space="preserve"> ruling</w:t>
      </w:r>
      <w:r w:rsidRPr="002574EC">
        <w:t>)</w:t>
      </w:r>
      <w:r w:rsidR="00ED77BE" w:rsidRPr="002574EC">
        <w:t xml:space="preserve"> </w:t>
      </w:r>
      <w:r w:rsidR="006C4741" w:rsidRPr="002574EC">
        <w:t>of a competent judge in the respective criminal proceeding.</w:t>
      </w:r>
      <w:r w:rsidR="003C67C6" w:rsidRPr="002574EC">
        <w:t>”</w:t>
      </w:r>
      <w:r w:rsidR="00726B0D" w:rsidRPr="002574EC">
        <w:rPr>
          <w:rStyle w:val="FootnoteReference"/>
        </w:rPr>
        <w:footnoteReference w:id="75"/>
      </w:r>
      <w:r w:rsidR="006C4741" w:rsidRPr="002574EC">
        <w:t xml:space="preserve"> I</w:t>
      </w:r>
      <w:r w:rsidR="00075937" w:rsidRPr="002574EC">
        <w:t>n</w:t>
      </w:r>
      <w:r w:rsidR="006C4741" w:rsidRPr="002574EC">
        <w:t xml:space="preserve"> addition, it recalls that the State of Venezuela was found internationally responsible in </w:t>
      </w:r>
      <w:r w:rsidR="003C67C6" w:rsidRPr="002574EC">
        <w:t xml:space="preserve">2011 </w:t>
      </w:r>
      <w:r w:rsidR="006C4741" w:rsidRPr="002574EC">
        <w:t xml:space="preserve">for this type of punishment, and that the Inter-American Court of Human Rights ordered it to </w:t>
      </w:r>
      <w:r w:rsidR="0095035F" w:rsidRPr="002574EC">
        <w:t>adjust its provisions of domestic law to avoid the repetition thereof.</w:t>
      </w:r>
      <w:r w:rsidR="00726B0D" w:rsidRPr="002574EC">
        <w:rPr>
          <w:rStyle w:val="FootnoteReference"/>
        </w:rPr>
        <w:footnoteReference w:id="76"/>
      </w:r>
    </w:p>
    <w:p w14:paraId="52CE23ED" w14:textId="77777777" w:rsidR="00A92476" w:rsidRPr="002574EC" w:rsidRDefault="00A92476" w:rsidP="00E07D06">
      <w:pPr>
        <w:pBdr>
          <w:top w:val="nil"/>
          <w:left w:val="nil"/>
          <w:bottom w:val="nil"/>
          <w:right w:val="nil"/>
          <w:between w:val="nil"/>
        </w:pBdr>
        <w:ind w:left="426" w:hanging="426"/>
        <w:jc w:val="both"/>
        <w:rPr>
          <w:rFonts w:ascii="Cambria" w:eastAsia="Cambria" w:hAnsi="Cambria" w:cs="Cambria"/>
          <w:sz w:val="20"/>
          <w:szCs w:val="20"/>
        </w:rPr>
      </w:pPr>
    </w:p>
    <w:p w14:paraId="16AF805D" w14:textId="6A6D74C9" w:rsidR="00A92476" w:rsidRPr="002574EC" w:rsidRDefault="009C177D" w:rsidP="00F85814">
      <w:pPr>
        <w:pStyle w:val="ListParagraph"/>
      </w:pPr>
      <w:r w:rsidRPr="002574EC">
        <w:t xml:space="preserve">Lastly, the Inter-American Commission reaffirms that the State must </w:t>
      </w:r>
      <w:r w:rsidR="002A4D3D" w:rsidRPr="002574EC">
        <w:t xml:space="preserve">ensure the full exercise of the political rights of all persons, regardless of their </w:t>
      </w:r>
      <w:r w:rsidR="007651AD" w:rsidRPr="002574EC">
        <w:t xml:space="preserve">stance </w:t>
      </w:r>
      <w:r w:rsidR="002A4D3D" w:rsidRPr="002574EC">
        <w:t xml:space="preserve">on the government’s policies, </w:t>
      </w:r>
      <w:r w:rsidR="001A1DBC" w:rsidRPr="002574EC">
        <w:t xml:space="preserve">and cease and </w:t>
      </w:r>
      <w:r w:rsidR="00967C38" w:rsidRPr="002574EC">
        <w:t xml:space="preserve">desist </w:t>
      </w:r>
      <w:r w:rsidR="001A1DBC" w:rsidRPr="002574EC">
        <w:t xml:space="preserve">all actions that </w:t>
      </w:r>
      <w:r w:rsidR="009639D7" w:rsidRPr="002574EC">
        <w:t xml:space="preserve">prevent persons from exercising their </w:t>
      </w:r>
      <w:r w:rsidR="001A1DBC" w:rsidRPr="002574EC">
        <w:t xml:space="preserve">right to </w:t>
      </w:r>
      <w:r w:rsidR="00EF33C8" w:rsidRPr="002574EC">
        <w:t xml:space="preserve">freely </w:t>
      </w:r>
      <w:r w:rsidR="001A1DBC" w:rsidRPr="002574EC">
        <w:t xml:space="preserve">elect their representatives and to </w:t>
      </w:r>
      <w:r w:rsidR="00961E59" w:rsidRPr="002574EC">
        <w:t xml:space="preserve">conduct oversight of </w:t>
      </w:r>
      <w:r w:rsidR="001A1DBC" w:rsidRPr="002574EC">
        <w:t>their performance.</w:t>
      </w:r>
      <w:r w:rsidR="00726B0D" w:rsidRPr="002574EC">
        <w:rPr>
          <w:rStyle w:val="FootnoteReference"/>
        </w:rPr>
        <w:footnoteReference w:id="77"/>
      </w:r>
    </w:p>
    <w:p w14:paraId="0C14952F" w14:textId="77777777" w:rsidR="00A92476" w:rsidRPr="002574EC" w:rsidRDefault="00A92476" w:rsidP="00E07D06">
      <w:pPr>
        <w:pBdr>
          <w:top w:val="nil"/>
          <w:left w:val="nil"/>
          <w:bottom w:val="nil"/>
          <w:right w:val="nil"/>
          <w:between w:val="nil"/>
        </w:pBdr>
        <w:ind w:left="426" w:hanging="426"/>
        <w:jc w:val="both"/>
        <w:rPr>
          <w:rFonts w:ascii="Cambria" w:eastAsia="Cambria" w:hAnsi="Cambria" w:cs="Cambria"/>
          <w:sz w:val="20"/>
          <w:szCs w:val="20"/>
        </w:rPr>
      </w:pPr>
    </w:p>
    <w:p w14:paraId="65DC401B" w14:textId="2B93FDAA" w:rsidR="00A92476" w:rsidRPr="00EA607E" w:rsidRDefault="009E7AFA" w:rsidP="00EA607E">
      <w:pPr>
        <w:pStyle w:val="ListParagraph"/>
        <w:numPr>
          <w:ilvl w:val="1"/>
          <w:numId w:val="1"/>
        </w:numPr>
        <w:ind w:hanging="720"/>
        <w:rPr>
          <w:b/>
          <w:bCs/>
        </w:rPr>
      </w:pPr>
      <w:r w:rsidRPr="00EA607E">
        <w:rPr>
          <w:b/>
          <w:bCs/>
        </w:rPr>
        <w:t xml:space="preserve">Executive branch interference </w:t>
      </w:r>
      <w:r w:rsidR="00DE03EB" w:rsidRPr="00EA607E">
        <w:rPr>
          <w:b/>
          <w:bCs/>
        </w:rPr>
        <w:t>with</w:t>
      </w:r>
      <w:r w:rsidRPr="00EA607E">
        <w:rPr>
          <w:b/>
          <w:bCs/>
        </w:rPr>
        <w:t xml:space="preserve"> the electoral branch </w:t>
      </w:r>
      <w:r w:rsidR="00A92476" w:rsidRPr="00EA607E">
        <w:rPr>
          <w:b/>
          <w:bCs/>
        </w:rPr>
        <w:t xml:space="preserve"> </w:t>
      </w:r>
    </w:p>
    <w:p w14:paraId="1AA123B3" w14:textId="77777777" w:rsidR="002B4AC3" w:rsidRPr="002574EC" w:rsidRDefault="002B4AC3" w:rsidP="00E07D06">
      <w:pPr>
        <w:widowControl w:val="0"/>
        <w:pBdr>
          <w:top w:val="nil"/>
          <w:left w:val="nil"/>
          <w:bottom w:val="nil"/>
          <w:right w:val="nil"/>
          <w:between w:val="nil"/>
        </w:pBdr>
        <w:ind w:left="426" w:hanging="426"/>
        <w:jc w:val="both"/>
        <w:rPr>
          <w:color w:val="000000"/>
        </w:rPr>
      </w:pPr>
    </w:p>
    <w:p w14:paraId="4B96F362" w14:textId="274F9E06" w:rsidR="00A92476" w:rsidRPr="002574EC" w:rsidRDefault="00FC6366" w:rsidP="00F85814">
      <w:pPr>
        <w:pStyle w:val="ListParagraph"/>
      </w:pPr>
      <w:r w:rsidRPr="002574EC">
        <w:t>The highest body of the electoral branch of government, the National Electoral Co</w:t>
      </w:r>
      <w:r w:rsidR="00736D36" w:rsidRPr="002574EC">
        <w:t>u</w:t>
      </w:r>
      <w:r w:rsidRPr="002574EC">
        <w:t xml:space="preserve">ncil (CNE), has been </w:t>
      </w:r>
      <w:r w:rsidR="00FD18BC" w:rsidRPr="002574EC">
        <w:t xml:space="preserve">accused </w:t>
      </w:r>
      <w:r w:rsidRPr="002574EC">
        <w:t>by civi</w:t>
      </w:r>
      <w:r w:rsidR="00D7759B" w:rsidRPr="002574EC">
        <w:t>l</w:t>
      </w:r>
      <w:r w:rsidRPr="002574EC">
        <w:t xml:space="preserve"> society organiza</w:t>
      </w:r>
      <w:r w:rsidR="00D7759B" w:rsidRPr="002574EC">
        <w:t>t</w:t>
      </w:r>
      <w:r w:rsidRPr="002574EC">
        <w:t>ions</w:t>
      </w:r>
      <w:r w:rsidR="00223FCC" w:rsidRPr="002574EC">
        <w:t xml:space="preserve"> </w:t>
      </w:r>
      <w:r w:rsidR="00A27D91" w:rsidRPr="002574EC">
        <w:t xml:space="preserve">of </w:t>
      </w:r>
      <w:r w:rsidR="00D7759B" w:rsidRPr="002574EC">
        <w:t>failing to</w:t>
      </w:r>
      <w:r w:rsidR="00223FCC" w:rsidRPr="002574EC">
        <w:t xml:space="preserve"> </w:t>
      </w:r>
      <w:r w:rsidR="0082033F" w:rsidRPr="002574EC">
        <w:t>ensure impartiality</w:t>
      </w:r>
      <w:r w:rsidR="00223FCC" w:rsidRPr="002574EC">
        <w:t>.</w:t>
      </w:r>
      <w:r w:rsidR="00A92476" w:rsidRPr="002574EC">
        <w:rPr>
          <w:rStyle w:val="FootnoteReference"/>
        </w:rPr>
        <w:footnoteReference w:id="78"/>
      </w:r>
      <w:r w:rsidR="0082033F" w:rsidRPr="002574EC">
        <w:t xml:space="preserve">  One of the main reasons</w:t>
      </w:r>
      <w:r w:rsidR="00AE280E" w:rsidRPr="002574EC">
        <w:t xml:space="preserve"> for mistrusting </w:t>
      </w:r>
      <w:r w:rsidR="00993FCD" w:rsidRPr="002574EC">
        <w:t xml:space="preserve">the CNE is that its members have not been </w:t>
      </w:r>
      <w:r w:rsidR="00571445" w:rsidRPr="002574EC">
        <w:t xml:space="preserve">appointed </w:t>
      </w:r>
      <w:r w:rsidR="003B2A4C" w:rsidRPr="002574EC">
        <w:t>since</w:t>
      </w:r>
      <w:r w:rsidR="0054082B" w:rsidRPr="002574EC">
        <w:t xml:space="preserve"> </w:t>
      </w:r>
      <w:r w:rsidR="003B2A4C" w:rsidRPr="002574EC">
        <w:t>1999</w:t>
      </w:r>
      <w:r w:rsidR="000223F3" w:rsidRPr="002574EC">
        <w:t xml:space="preserve"> </w:t>
      </w:r>
      <w:r w:rsidR="00571445" w:rsidRPr="002574EC">
        <w:t xml:space="preserve">in accordance with </w:t>
      </w:r>
      <w:r w:rsidR="00B72684" w:rsidRPr="002574EC">
        <w:t>the procedures laid out in the constitution</w:t>
      </w:r>
      <w:r w:rsidR="00B77614" w:rsidRPr="002574EC">
        <w:t>.</w:t>
      </w:r>
      <w:r w:rsidR="00A92476" w:rsidRPr="002574EC">
        <w:rPr>
          <w:rStyle w:val="FootnoteReference"/>
        </w:rPr>
        <w:footnoteReference w:id="79"/>
      </w:r>
    </w:p>
    <w:p w14:paraId="7903E1F8" w14:textId="77777777" w:rsidR="00A92476" w:rsidRPr="002574EC" w:rsidRDefault="00A92476" w:rsidP="00E07D06">
      <w:pPr>
        <w:pBdr>
          <w:top w:val="nil"/>
          <w:left w:val="nil"/>
          <w:bottom w:val="nil"/>
          <w:right w:val="nil"/>
          <w:between w:val="nil"/>
        </w:pBdr>
        <w:ind w:left="426" w:hanging="426"/>
        <w:jc w:val="both"/>
        <w:rPr>
          <w:rFonts w:ascii="Cambria" w:eastAsia="Cambria" w:hAnsi="Cambria" w:cs="Cambria"/>
          <w:sz w:val="20"/>
          <w:szCs w:val="20"/>
        </w:rPr>
      </w:pPr>
    </w:p>
    <w:p w14:paraId="4AFCE541" w14:textId="3BB732B9" w:rsidR="00A92476" w:rsidRPr="002574EC" w:rsidRDefault="00022244" w:rsidP="00F85814">
      <w:pPr>
        <w:pStyle w:val="ListParagraph"/>
      </w:pPr>
      <w:r w:rsidRPr="002574EC">
        <w:lastRenderedPageBreak/>
        <w:t>It should be mentioned that at several IACHR sessions,</w:t>
      </w:r>
      <w:r w:rsidR="00A92476" w:rsidRPr="002574EC">
        <w:rPr>
          <w:rStyle w:val="FootnoteReference"/>
        </w:rPr>
        <w:footnoteReference w:id="80"/>
      </w:r>
      <w:r w:rsidRPr="002574EC">
        <w:t xml:space="preserve"> as well as meetings of the OAS Permanent Council,</w:t>
      </w:r>
      <w:r w:rsidR="00A92476" w:rsidRPr="002574EC">
        <w:rPr>
          <w:rStyle w:val="FootnoteReference"/>
        </w:rPr>
        <w:footnoteReference w:id="81"/>
      </w:r>
      <w:r w:rsidR="001A149B" w:rsidRPr="002574EC">
        <w:t xml:space="preserve"> it has been </w:t>
      </w:r>
      <w:r w:rsidR="007A4673" w:rsidRPr="002574EC">
        <w:t xml:space="preserve">highlighted that the members of the CNE have been appointed over the past two decades by the TSJ.  </w:t>
      </w:r>
      <w:r w:rsidR="008C4E48" w:rsidRPr="002574EC">
        <w:t>Thi</w:t>
      </w:r>
      <w:r w:rsidR="00B9627D" w:rsidRPr="002574EC">
        <w:t xml:space="preserve">s is at odds with the provisions of the </w:t>
      </w:r>
      <w:r w:rsidR="00133210" w:rsidRPr="002574EC">
        <w:t xml:space="preserve">Venezuelan </w:t>
      </w:r>
      <w:r w:rsidR="00B9627D" w:rsidRPr="002574EC">
        <w:t>Constitution</w:t>
      </w:r>
      <w:r w:rsidR="00D75C85" w:rsidRPr="002574EC">
        <w:t>,</w:t>
      </w:r>
      <w:r w:rsidR="00A92476" w:rsidRPr="002574EC">
        <w:rPr>
          <w:rStyle w:val="FootnoteReference"/>
        </w:rPr>
        <w:footnoteReference w:id="82"/>
      </w:r>
      <w:r w:rsidR="00D75C85" w:rsidRPr="002574EC">
        <w:t xml:space="preserve"> which provides that </w:t>
      </w:r>
      <w:r w:rsidR="00D0061A" w:rsidRPr="002574EC">
        <w:t>t</w:t>
      </w:r>
      <w:r w:rsidR="00D75C85" w:rsidRPr="002574EC">
        <w:t xml:space="preserve">he General Assembly is the body responsible for </w:t>
      </w:r>
      <w:r w:rsidR="007D2348" w:rsidRPr="002574EC">
        <w:t xml:space="preserve">the appointment of </w:t>
      </w:r>
      <w:r w:rsidR="001C268E" w:rsidRPr="002574EC">
        <w:t xml:space="preserve">the </w:t>
      </w:r>
      <w:r w:rsidR="007D2348" w:rsidRPr="002574EC">
        <w:t xml:space="preserve">members. </w:t>
      </w:r>
      <w:r w:rsidR="00A92476" w:rsidRPr="002574EC">
        <w:t xml:space="preserve"> </w:t>
      </w:r>
      <w:r w:rsidR="00747D4E" w:rsidRPr="002574EC">
        <w:t xml:space="preserve">In </w:t>
      </w:r>
      <w:r w:rsidR="00A92476" w:rsidRPr="002574EC">
        <w:t xml:space="preserve">2020, </w:t>
      </w:r>
      <w:r w:rsidR="00747D4E" w:rsidRPr="002574EC">
        <w:t xml:space="preserve">the Inter-American Commission </w:t>
      </w:r>
      <w:r w:rsidR="002D5AC8" w:rsidRPr="002574EC">
        <w:t xml:space="preserve">made a pronouncement </w:t>
      </w:r>
      <w:r w:rsidR="00D310FB" w:rsidRPr="002574EC">
        <w:t xml:space="preserve">on Judgment 0070, whereby the TSJ </w:t>
      </w:r>
      <w:r w:rsidR="00BD4CD0" w:rsidRPr="002574EC">
        <w:t xml:space="preserve">once again appointed </w:t>
      </w:r>
      <w:r w:rsidR="00CE24D3" w:rsidRPr="002574EC">
        <w:t>the members of the CNE</w:t>
      </w:r>
      <w:r w:rsidR="00C3133B" w:rsidRPr="002574EC">
        <w:t>, includ</w:t>
      </w:r>
      <w:r w:rsidR="00465B88" w:rsidRPr="002574EC">
        <w:t>ing</w:t>
      </w:r>
      <w:r w:rsidR="00C3133B" w:rsidRPr="002574EC">
        <w:t xml:space="preserve"> two judges of the TSJ itself. </w:t>
      </w:r>
      <w:r w:rsidR="004059D5" w:rsidRPr="002574EC">
        <w:t>In the view of the IACHR, this type of decisions, “</w:t>
      </w:r>
      <w:r w:rsidR="000833DC" w:rsidRPr="002574EC">
        <w:t>creates new obstacles to overcoming the institutional crisis that has had such a significant impact on the enjoyment of human rights</w:t>
      </w:r>
      <w:r w:rsidR="0033612D" w:rsidRPr="002574EC">
        <w:t xml:space="preserve"> in the country</w:t>
      </w:r>
      <w:r w:rsidR="000833DC" w:rsidRPr="002574EC">
        <w:t>.</w:t>
      </w:r>
      <w:r w:rsidR="00A92476" w:rsidRPr="002574EC">
        <w:t>”</w:t>
      </w:r>
      <w:r w:rsidR="00A92476" w:rsidRPr="002574EC">
        <w:rPr>
          <w:rStyle w:val="FootnoteReference"/>
        </w:rPr>
        <w:footnoteReference w:id="83"/>
      </w:r>
    </w:p>
    <w:p w14:paraId="62F3CE4B" w14:textId="77777777" w:rsidR="00A92476" w:rsidRPr="002574EC" w:rsidRDefault="00A92476" w:rsidP="00E07D06">
      <w:pPr>
        <w:pBdr>
          <w:top w:val="nil"/>
          <w:left w:val="nil"/>
          <w:bottom w:val="nil"/>
          <w:right w:val="nil"/>
          <w:between w:val="nil"/>
        </w:pBdr>
        <w:ind w:left="426" w:hanging="426"/>
        <w:jc w:val="both"/>
        <w:rPr>
          <w:rFonts w:ascii="Cambria" w:eastAsia="Cambria" w:hAnsi="Cambria" w:cs="Cambria"/>
          <w:sz w:val="20"/>
          <w:szCs w:val="20"/>
        </w:rPr>
      </w:pPr>
    </w:p>
    <w:p w14:paraId="3E3E11BA" w14:textId="31C1ADBD" w:rsidR="00A92476" w:rsidRPr="002574EC" w:rsidRDefault="004007BC" w:rsidP="00F85814">
      <w:pPr>
        <w:pStyle w:val="ListParagraph"/>
      </w:pPr>
      <w:r w:rsidRPr="002574EC">
        <w:t xml:space="preserve">In January </w:t>
      </w:r>
      <w:r w:rsidR="00A92476" w:rsidRPr="002574EC">
        <w:t xml:space="preserve">2021, </w:t>
      </w:r>
      <w:r w:rsidRPr="002574EC">
        <w:t xml:space="preserve">the National Assembly elected in 2020 </w:t>
      </w:r>
      <w:r w:rsidR="006B3EF0" w:rsidRPr="002574EC">
        <w:t>began</w:t>
      </w:r>
      <w:r w:rsidRPr="002574EC">
        <w:t xml:space="preserve"> a new process to </w:t>
      </w:r>
      <w:r w:rsidR="00AF5E3D" w:rsidRPr="002574EC">
        <w:t>appoint 5 princip</w:t>
      </w:r>
      <w:r w:rsidR="00C905B5" w:rsidRPr="002574EC">
        <w:t>al members and 10 alternates of the CNE.</w:t>
      </w:r>
      <w:r w:rsidR="00A92476" w:rsidRPr="002574EC">
        <w:rPr>
          <w:rStyle w:val="FootnoteReference"/>
        </w:rPr>
        <w:footnoteReference w:id="84"/>
      </w:r>
      <w:r w:rsidR="00E05387" w:rsidRPr="002574EC">
        <w:t xml:space="preserve"> On May</w:t>
      </w:r>
      <w:r w:rsidR="00A92476" w:rsidRPr="002574EC">
        <w:t xml:space="preserve"> 4</w:t>
      </w:r>
      <w:r w:rsidR="00E05387" w:rsidRPr="002574EC">
        <w:t xml:space="preserve"> of that same year, the legislative body completed that process, </w:t>
      </w:r>
      <w:r w:rsidR="005C59F5" w:rsidRPr="002574EC">
        <w:t xml:space="preserve">claiming that </w:t>
      </w:r>
      <w:r w:rsidR="00B06D42" w:rsidRPr="002574EC">
        <w:t>it had secured a balanced composition.</w:t>
      </w:r>
      <w:r w:rsidR="00A92476" w:rsidRPr="002574EC">
        <w:rPr>
          <w:rStyle w:val="FootnoteReference"/>
        </w:rPr>
        <w:footnoteReference w:id="85"/>
      </w:r>
      <w:r w:rsidR="00EC3EF1" w:rsidRPr="002574EC">
        <w:t xml:space="preserve">  As reported by civil society, this is the first time in over a decade that th</w:t>
      </w:r>
      <w:r w:rsidR="001F48F7" w:rsidRPr="002574EC">
        <w:t xml:space="preserve">e members of this </w:t>
      </w:r>
      <w:r w:rsidR="00EC3EF1" w:rsidRPr="002574EC">
        <w:t>body ha</w:t>
      </w:r>
      <w:r w:rsidR="00140B0C" w:rsidRPr="002574EC">
        <w:t>ve</w:t>
      </w:r>
      <w:r w:rsidR="00EC3EF1" w:rsidRPr="002574EC">
        <w:t xml:space="preserve"> been appointed by the National Assembly</w:t>
      </w:r>
      <w:r w:rsidR="00140B0C" w:rsidRPr="002574EC">
        <w:t>, as established in the Venezuelan Constitution,</w:t>
      </w:r>
      <w:r w:rsidR="00EC3EF1" w:rsidRPr="002574EC">
        <w:t xml:space="preserve"> as opposed to </w:t>
      </w:r>
      <w:r w:rsidR="00140B0C" w:rsidRPr="002574EC">
        <w:t xml:space="preserve">being appointed by </w:t>
      </w:r>
      <w:r w:rsidR="00EC3EF1" w:rsidRPr="002574EC">
        <w:t>the TSJ</w:t>
      </w:r>
      <w:r w:rsidR="00C2750F" w:rsidRPr="002574EC">
        <w:t>.</w:t>
      </w:r>
      <w:r w:rsidR="00A92476" w:rsidRPr="002574EC">
        <w:rPr>
          <w:rStyle w:val="FootnoteReference"/>
        </w:rPr>
        <w:footnoteReference w:id="86"/>
      </w:r>
    </w:p>
    <w:p w14:paraId="6E3AD76C" w14:textId="77777777" w:rsidR="00A92476" w:rsidRPr="002574EC" w:rsidRDefault="00A92476" w:rsidP="00E07D06">
      <w:pPr>
        <w:pBdr>
          <w:top w:val="nil"/>
          <w:left w:val="nil"/>
          <w:bottom w:val="nil"/>
          <w:right w:val="nil"/>
          <w:between w:val="nil"/>
        </w:pBdr>
        <w:ind w:left="426" w:hanging="426"/>
        <w:jc w:val="both"/>
        <w:rPr>
          <w:rFonts w:ascii="Cambria" w:eastAsia="Cambria" w:hAnsi="Cambria" w:cs="Cambria"/>
          <w:sz w:val="20"/>
          <w:szCs w:val="20"/>
        </w:rPr>
      </w:pPr>
    </w:p>
    <w:p w14:paraId="626735AE" w14:textId="5CE83686" w:rsidR="00A92476" w:rsidRPr="002574EC" w:rsidRDefault="0070051F" w:rsidP="00F85814">
      <w:pPr>
        <w:pStyle w:val="ListParagraph"/>
      </w:pPr>
      <w:r w:rsidRPr="002574EC">
        <w:t xml:space="preserve">Even though the Commission underscores that the appointment </w:t>
      </w:r>
      <w:r w:rsidR="00EF6601" w:rsidRPr="002574EC">
        <w:t xml:space="preserve">was carried out by a body </w:t>
      </w:r>
      <w:r w:rsidR="007D78E3" w:rsidRPr="002574EC">
        <w:t xml:space="preserve">with the constitutional power to do so, it cannot help but express concern over three aspects.  Firstly, it is </w:t>
      </w:r>
      <w:r w:rsidR="00CE78E1" w:rsidRPr="002574EC">
        <w:t xml:space="preserve">worrying that the </w:t>
      </w:r>
      <w:r w:rsidR="007143FA" w:rsidRPr="002574EC">
        <w:t xml:space="preserve">electoral </w:t>
      </w:r>
      <w:r w:rsidR="00CE78E1" w:rsidRPr="002574EC">
        <w:t xml:space="preserve">body </w:t>
      </w:r>
      <w:r w:rsidR="00E87D74" w:rsidRPr="002574EC">
        <w:t xml:space="preserve">has not been chosen as it is supposed to </w:t>
      </w:r>
      <w:r w:rsidR="00556DF3" w:rsidRPr="002574EC">
        <w:t xml:space="preserve">be </w:t>
      </w:r>
      <w:r w:rsidR="008F7196" w:rsidRPr="002574EC">
        <w:t>for</w:t>
      </w:r>
      <w:r w:rsidR="00E87D74" w:rsidRPr="002574EC">
        <w:t xml:space="preserve"> more than a decade.</w:t>
      </w:r>
      <w:r w:rsidR="00A92476" w:rsidRPr="002574EC">
        <w:rPr>
          <w:rStyle w:val="FootnoteReference"/>
        </w:rPr>
        <w:footnoteReference w:id="87"/>
      </w:r>
      <w:r w:rsidR="00A92476" w:rsidRPr="002574EC">
        <w:t xml:space="preserve"> </w:t>
      </w:r>
      <w:r w:rsidR="009B607F" w:rsidRPr="002574EC">
        <w:t xml:space="preserve">This undermines confidence of citizens in elections and discourages </w:t>
      </w:r>
      <w:r w:rsidR="008F5622" w:rsidRPr="002574EC">
        <w:t xml:space="preserve">plural </w:t>
      </w:r>
      <w:r w:rsidR="009B607F" w:rsidRPr="002574EC">
        <w:t xml:space="preserve">participation </w:t>
      </w:r>
      <w:r w:rsidR="00821630" w:rsidRPr="002574EC">
        <w:t xml:space="preserve">of candidates, both for presidency and the National Assembly. </w:t>
      </w:r>
      <w:r w:rsidR="001114E9" w:rsidRPr="002574EC">
        <w:t xml:space="preserve">Secondly, and as a consequence of the foregoing, the National Assembly that appointed </w:t>
      </w:r>
      <w:r w:rsidR="00253424" w:rsidRPr="002574EC">
        <w:t xml:space="preserve">the CNE was made up of 90% pro-government </w:t>
      </w:r>
      <w:r w:rsidR="00E65179" w:rsidRPr="002574EC">
        <w:t>deputies.</w:t>
      </w:r>
      <w:r w:rsidR="00A92476" w:rsidRPr="002574EC">
        <w:rPr>
          <w:rStyle w:val="FootnoteReference"/>
        </w:rPr>
        <w:footnoteReference w:id="88"/>
      </w:r>
      <w:r w:rsidR="00A63D9D" w:rsidRPr="002574EC">
        <w:t xml:space="preserve">  </w:t>
      </w:r>
      <w:r w:rsidR="00757853" w:rsidRPr="002574EC">
        <w:t>From any standpoint</w:t>
      </w:r>
      <w:r w:rsidR="00235014" w:rsidRPr="002574EC">
        <w:t xml:space="preserve">, </w:t>
      </w:r>
      <w:r w:rsidR="00757853" w:rsidRPr="002574EC">
        <w:t xml:space="preserve">all </w:t>
      </w:r>
      <w:r w:rsidR="00E74439" w:rsidRPr="002574EC">
        <w:t xml:space="preserve">appointments to bodies made by this Assembly (including to the CNE) </w:t>
      </w:r>
      <w:r w:rsidR="003931C6" w:rsidRPr="002574EC">
        <w:t xml:space="preserve">will be viewed as impartial. </w:t>
      </w:r>
      <w:r w:rsidR="000F5CA8" w:rsidRPr="002574EC">
        <w:t xml:space="preserve">Lastly, the IACHR received information </w:t>
      </w:r>
      <w:r w:rsidR="00A45EE6" w:rsidRPr="002574EC">
        <w:t xml:space="preserve">suggesting </w:t>
      </w:r>
      <w:r w:rsidR="000F5CA8" w:rsidRPr="002574EC">
        <w:t xml:space="preserve">that the appointment of the CNE members was </w:t>
      </w:r>
      <w:r w:rsidR="002728FF" w:rsidRPr="002574EC">
        <w:t xml:space="preserve">marred by several </w:t>
      </w:r>
      <w:r w:rsidR="001E1CDD" w:rsidRPr="002574EC">
        <w:t>irregularities</w:t>
      </w:r>
      <w:r w:rsidR="0066351C" w:rsidRPr="002574EC">
        <w:t>, such as opacity</w:t>
      </w:r>
      <w:r w:rsidR="00540877" w:rsidRPr="002574EC">
        <w:t xml:space="preserve">, unusual changes in the </w:t>
      </w:r>
      <w:r w:rsidR="007F245A" w:rsidRPr="002574EC">
        <w:t>timeline of nominations</w:t>
      </w:r>
      <w:r w:rsidR="009416F2" w:rsidRPr="002574EC">
        <w:t xml:space="preserve">, and the fact that 60% of the members appointed to the CNE are or were active members in the United Socialist Party of Venezuela </w:t>
      </w:r>
      <w:r w:rsidR="00A92476" w:rsidRPr="002574EC">
        <w:t>(PSUV)</w:t>
      </w:r>
      <w:r w:rsidR="001E3667" w:rsidRPr="002574EC">
        <w:t>,</w:t>
      </w:r>
      <w:r w:rsidR="00A92476" w:rsidRPr="002574EC">
        <w:rPr>
          <w:rStyle w:val="FootnoteReference"/>
        </w:rPr>
        <w:footnoteReference w:id="89"/>
      </w:r>
      <w:r w:rsidR="001E3667" w:rsidRPr="002574EC">
        <w:t xml:space="preserve"> </w:t>
      </w:r>
      <w:r w:rsidR="00C7656D" w:rsidRPr="002574EC">
        <w:t xml:space="preserve">which is expressly prohibited by Article 296 of the Constitution, as well of </w:t>
      </w:r>
      <w:r w:rsidR="00C32367" w:rsidRPr="002574EC">
        <w:t>Article 9, subsection 4 of the Organic Law of the Electoral Power.</w:t>
      </w:r>
      <w:r w:rsidR="00A92476" w:rsidRPr="002574EC">
        <w:rPr>
          <w:rStyle w:val="FootnoteReference"/>
        </w:rPr>
        <w:footnoteReference w:id="90"/>
      </w:r>
    </w:p>
    <w:p w14:paraId="6BF4A720" w14:textId="77777777" w:rsidR="002B4AC3" w:rsidRPr="002574EC" w:rsidRDefault="002B4AC3" w:rsidP="00E07D06">
      <w:pPr>
        <w:pStyle w:val="NormalWeb"/>
        <w:spacing w:before="0" w:beforeAutospacing="0" w:after="0" w:afterAutospacing="0"/>
        <w:ind w:left="426" w:hanging="426"/>
        <w:jc w:val="both"/>
        <w:textAlignment w:val="baseline"/>
        <w:rPr>
          <w:rFonts w:ascii="Cambria" w:hAnsi="Cambria"/>
          <w:b/>
          <w:color w:val="000000"/>
          <w:sz w:val="20"/>
          <w:szCs w:val="20"/>
        </w:rPr>
      </w:pPr>
    </w:p>
    <w:p w14:paraId="7E263F05" w14:textId="77777777" w:rsidR="00EA607E" w:rsidRDefault="00EA607E">
      <w:pPr>
        <w:rPr>
          <w:rFonts w:ascii="Cambria" w:eastAsia="Cambria" w:hAnsi="Cambria" w:cs="Cambria"/>
          <w:b/>
          <w:bCs/>
          <w:color w:val="000000" w:themeColor="text1"/>
          <w:sz w:val="20"/>
          <w:szCs w:val="20"/>
        </w:rPr>
      </w:pPr>
      <w:r>
        <w:rPr>
          <w:b/>
          <w:bCs/>
        </w:rPr>
        <w:br w:type="page"/>
      </w:r>
    </w:p>
    <w:p w14:paraId="34354066" w14:textId="6AE56A27" w:rsidR="009A0510" w:rsidRPr="00EA607E" w:rsidRDefault="00C32367" w:rsidP="00EA607E">
      <w:pPr>
        <w:pStyle w:val="ListParagraph"/>
        <w:numPr>
          <w:ilvl w:val="1"/>
          <w:numId w:val="1"/>
        </w:numPr>
        <w:ind w:hanging="720"/>
        <w:rPr>
          <w:b/>
          <w:bCs/>
        </w:rPr>
      </w:pPr>
      <w:r w:rsidRPr="00EA607E">
        <w:rPr>
          <w:b/>
          <w:bCs/>
        </w:rPr>
        <w:lastRenderedPageBreak/>
        <w:t xml:space="preserve">The urgent need to transition to democracy and rule of law </w:t>
      </w:r>
    </w:p>
    <w:p w14:paraId="0CE01A87" w14:textId="77777777" w:rsidR="002B4AC3" w:rsidRPr="002574EC" w:rsidRDefault="002B4AC3" w:rsidP="00E07D06">
      <w:pPr>
        <w:widowControl w:val="0"/>
        <w:ind w:left="426" w:hanging="426"/>
        <w:jc w:val="both"/>
        <w:rPr>
          <w:rFonts w:ascii="Cambria" w:hAnsi="Cambria"/>
        </w:rPr>
      </w:pPr>
    </w:p>
    <w:p w14:paraId="6D3A65C8" w14:textId="19106FE9" w:rsidR="00046E0A" w:rsidRPr="002574EC" w:rsidRDefault="00CD454E" w:rsidP="00F85814">
      <w:pPr>
        <w:pStyle w:val="ListParagraph"/>
      </w:pPr>
      <w:r w:rsidRPr="002574EC">
        <w:t>I</w:t>
      </w:r>
      <w:r w:rsidR="009A0510" w:rsidRPr="002574EC">
        <w:t xml:space="preserve">n 2021, </w:t>
      </w:r>
      <w:r w:rsidRPr="002574EC">
        <w:t xml:space="preserve">the IACHR </w:t>
      </w:r>
      <w:r w:rsidR="005B61DC" w:rsidRPr="002574EC">
        <w:t xml:space="preserve">welcomed the dialogue between the government and the Unitary Platform of Venezuela, which is a coalition of some opposition sectors. </w:t>
      </w:r>
      <w:r w:rsidR="00FD010E" w:rsidRPr="002574EC">
        <w:t xml:space="preserve">Specifically, the Inter-American Commission </w:t>
      </w:r>
      <w:r w:rsidR="00796087" w:rsidRPr="002574EC">
        <w:t xml:space="preserve">has been closely </w:t>
      </w:r>
      <w:r w:rsidR="00E76B44" w:rsidRPr="002574EC">
        <w:t xml:space="preserve">watching </w:t>
      </w:r>
      <w:r w:rsidR="001E259E" w:rsidRPr="002574EC">
        <w:t xml:space="preserve">the discussions that took place on August </w:t>
      </w:r>
      <w:r w:rsidR="009A0510" w:rsidRPr="002574EC">
        <w:t xml:space="preserve">13, 14 </w:t>
      </w:r>
      <w:r w:rsidR="001E259E" w:rsidRPr="002574EC">
        <w:t xml:space="preserve">and </w:t>
      </w:r>
      <w:r w:rsidR="009A0510" w:rsidRPr="002574EC">
        <w:t>15</w:t>
      </w:r>
      <w:r w:rsidR="001E259E" w:rsidRPr="002574EC">
        <w:t>,</w:t>
      </w:r>
      <w:r w:rsidR="009A0510" w:rsidRPr="002574EC">
        <w:t xml:space="preserve"> 2021</w:t>
      </w:r>
      <w:r w:rsidR="001E259E" w:rsidRPr="002574EC">
        <w:t xml:space="preserve">, in Mexico City, </w:t>
      </w:r>
      <w:r w:rsidR="00DB106A" w:rsidRPr="002574EC">
        <w:t>mediated by</w:t>
      </w:r>
      <w:r w:rsidR="004F27B2" w:rsidRPr="002574EC">
        <w:t xml:space="preserve"> </w:t>
      </w:r>
      <w:r w:rsidR="00DF3843" w:rsidRPr="002574EC">
        <w:t xml:space="preserve">the Kingdom of </w:t>
      </w:r>
      <w:r w:rsidR="004F27B2" w:rsidRPr="002574EC">
        <w:t>Norway</w:t>
      </w:r>
      <w:r w:rsidR="00DB106A" w:rsidRPr="002574EC">
        <w:t>,</w:t>
      </w:r>
      <w:r w:rsidR="009A0510" w:rsidRPr="002574EC">
        <w:rPr>
          <w:vertAlign w:val="superscript"/>
        </w:rPr>
        <w:footnoteReference w:id="91"/>
      </w:r>
      <w:r w:rsidR="00DB106A" w:rsidRPr="002574EC">
        <w:t xml:space="preserve"> which </w:t>
      </w:r>
      <w:r w:rsidR="005970E0" w:rsidRPr="002574EC">
        <w:t>yielded a memorandum of understanding</w:t>
      </w:r>
      <w:r w:rsidR="00D25091" w:rsidRPr="002574EC">
        <w:t>,</w:t>
      </w:r>
      <w:r w:rsidR="009A0510" w:rsidRPr="002574EC">
        <w:rPr>
          <w:vertAlign w:val="superscript"/>
        </w:rPr>
        <w:footnoteReference w:id="92"/>
      </w:r>
      <w:r w:rsidR="00D25091" w:rsidRPr="002574EC">
        <w:t xml:space="preserve"> as well as </w:t>
      </w:r>
      <w:r w:rsidR="00B26BBA" w:rsidRPr="002574EC">
        <w:t>the talks that took place from September 25 to 27.</w:t>
      </w:r>
    </w:p>
    <w:p w14:paraId="14D350F2" w14:textId="77777777" w:rsidR="00046E0A" w:rsidRPr="002574EC" w:rsidRDefault="00046E0A" w:rsidP="00E07D06">
      <w:pPr>
        <w:widowControl w:val="0"/>
        <w:ind w:left="426" w:hanging="426"/>
        <w:jc w:val="both"/>
        <w:rPr>
          <w:rFonts w:ascii="Cambria" w:hAnsi="Cambria"/>
          <w:sz w:val="20"/>
          <w:szCs w:val="20"/>
        </w:rPr>
      </w:pPr>
    </w:p>
    <w:p w14:paraId="19B39E6D" w14:textId="1F6D4D6B" w:rsidR="009A0510" w:rsidRPr="002574EC" w:rsidRDefault="00B26BBA" w:rsidP="00F85814">
      <w:pPr>
        <w:pStyle w:val="ListParagraph"/>
      </w:pPr>
      <w:r w:rsidRPr="002574EC">
        <w:t xml:space="preserve">In this regard, the Inter-American Commission has </w:t>
      </w:r>
      <w:r w:rsidR="003E5A99" w:rsidRPr="002574EC">
        <w:t xml:space="preserve">stressed that the </w:t>
      </w:r>
      <w:r w:rsidR="00B65242" w:rsidRPr="002574EC">
        <w:t xml:space="preserve">many </w:t>
      </w:r>
      <w:r w:rsidR="00136D7F" w:rsidRPr="002574EC">
        <w:t>challenges</w:t>
      </w:r>
      <w:r w:rsidR="006D2598" w:rsidRPr="002574EC">
        <w:t xml:space="preserve"> </w:t>
      </w:r>
      <w:r w:rsidR="00AE459D" w:rsidRPr="002574EC">
        <w:t xml:space="preserve">to ensuring human rights in Venezuela </w:t>
      </w:r>
      <w:r w:rsidR="007426CD" w:rsidRPr="002574EC">
        <w:t>involve the need for</w:t>
      </w:r>
      <w:r w:rsidR="00EF485B" w:rsidRPr="002574EC">
        <w:t xml:space="preserve"> </w:t>
      </w:r>
      <w:r w:rsidR="004F26D1" w:rsidRPr="002574EC">
        <w:t>processes of dialogue</w:t>
      </w:r>
      <w:r w:rsidR="00EF485B" w:rsidRPr="002574EC">
        <w:t xml:space="preserve"> to re-establish democratic </w:t>
      </w:r>
      <w:r w:rsidR="004F26D1" w:rsidRPr="002574EC">
        <w:t>institutions</w:t>
      </w:r>
      <w:r w:rsidR="00EF485B" w:rsidRPr="002574EC">
        <w:t xml:space="preserve"> by </w:t>
      </w:r>
      <w:r w:rsidR="004F26D1" w:rsidRPr="002574EC">
        <w:t>promoting real, effec</w:t>
      </w:r>
      <w:r w:rsidR="00EF485B" w:rsidRPr="002574EC">
        <w:t>tive and practical independence of public authorities and consolidating a system of checks and bal</w:t>
      </w:r>
      <w:r w:rsidR="000B0207" w:rsidRPr="002574EC">
        <w:t xml:space="preserve">ances. </w:t>
      </w:r>
      <w:r w:rsidR="00FF68FF" w:rsidRPr="002574EC">
        <w:t>For thi</w:t>
      </w:r>
      <w:r w:rsidR="00337318" w:rsidRPr="002574EC">
        <w:t>s reason, the IACHR</w:t>
      </w:r>
      <w:r w:rsidR="00FF68FF" w:rsidRPr="002574EC">
        <w:t xml:space="preserve"> appreciates the international community’s efforts to support this fundamental initiative, which has the potential to chart a road map for moving beyond the unprecedented crisis the country is experiencing.</w:t>
      </w:r>
      <w:r w:rsidR="009A0510" w:rsidRPr="002574EC">
        <w:rPr>
          <w:vertAlign w:val="superscript"/>
        </w:rPr>
        <w:footnoteReference w:id="93"/>
      </w:r>
    </w:p>
    <w:p w14:paraId="1AD172AC" w14:textId="77777777" w:rsidR="009A0510" w:rsidRPr="002574EC" w:rsidRDefault="009A0510" w:rsidP="00E07D06">
      <w:pPr>
        <w:widowControl w:val="0"/>
        <w:ind w:left="426" w:hanging="426"/>
        <w:jc w:val="both"/>
        <w:rPr>
          <w:rFonts w:ascii="Cambria" w:hAnsi="Cambria"/>
          <w:sz w:val="20"/>
          <w:szCs w:val="20"/>
        </w:rPr>
      </w:pPr>
    </w:p>
    <w:p w14:paraId="2FE8EE29" w14:textId="547B4A1C" w:rsidR="00B90E3B" w:rsidRPr="002574EC" w:rsidRDefault="006F097D" w:rsidP="00F85814">
      <w:pPr>
        <w:pStyle w:val="ListParagraph"/>
      </w:pPr>
      <w:r w:rsidRPr="002574EC">
        <w:t xml:space="preserve">The Inter-American Commission </w:t>
      </w:r>
      <w:r w:rsidR="002D1A3F" w:rsidRPr="002574EC">
        <w:t xml:space="preserve">underscores </w:t>
      </w:r>
      <w:r w:rsidR="00D17716" w:rsidRPr="002574EC">
        <w:t xml:space="preserve">how important it is for any process of dialogue to effectively involve civil society, including organizations working </w:t>
      </w:r>
      <w:r w:rsidR="009B4A36" w:rsidRPr="002574EC">
        <w:t xml:space="preserve">for </w:t>
      </w:r>
      <w:r w:rsidR="00D17716" w:rsidRPr="002574EC">
        <w:t>the rights of women, children and adolescents, human rights defenders, indigenous peoples, persons with disability, Afro-descendants, persons deprived of liberty, lesbians, gays, bisexual, trans and intersex persons, among others</w:t>
      </w:r>
      <w:r w:rsidR="00BD0490" w:rsidRPr="002574EC">
        <w:t>.</w:t>
      </w:r>
      <w:r w:rsidR="00855AA6" w:rsidRPr="002574EC">
        <w:t xml:space="preserve"> </w:t>
      </w:r>
      <w:r w:rsidR="00BD0490" w:rsidRPr="002574EC">
        <w:t xml:space="preserve"> </w:t>
      </w:r>
      <w:r w:rsidR="001049C2" w:rsidRPr="002574EC">
        <w:t xml:space="preserve">Likewise, it stresses the importance of any process of dialogue </w:t>
      </w:r>
      <w:r w:rsidR="00F373DC" w:rsidRPr="002574EC">
        <w:t xml:space="preserve">to be aimed at reaching commitments that are compatible with the State’s international obligations. </w:t>
      </w:r>
    </w:p>
    <w:p w14:paraId="6617D31C" w14:textId="77777777" w:rsidR="00B90E3B" w:rsidRPr="002574EC" w:rsidRDefault="00B90E3B" w:rsidP="00E07D06">
      <w:pPr>
        <w:widowControl w:val="0"/>
        <w:ind w:left="426" w:hanging="426"/>
        <w:jc w:val="both"/>
        <w:rPr>
          <w:rFonts w:ascii="Cambria" w:hAnsi="Cambria"/>
          <w:sz w:val="20"/>
          <w:szCs w:val="20"/>
        </w:rPr>
      </w:pPr>
    </w:p>
    <w:p w14:paraId="0A0348C8" w14:textId="2007FBCF" w:rsidR="009A0510" w:rsidRPr="002574EC" w:rsidRDefault="00F373DC" w:rsidP="00F85814">
      <w:pPr>
        <w:pStyle w:val="ListParagraph"/>
      </w:pPr>
      <w:r w:rsidRPr="002574EC">
        <w:t>Lastly, it calls on the countries of the region to refrain from actions meant to hamper the dialogue</w:t>
      </w:r>
      <w:r w:rsidR="00711507" w:rsidRPr="002574EC">
        <w:t>, based on the collective guarantee</w:t>
      </w:r>
      <w:r w:rsidR="008D0164" w:rsidRPr="002574EC">
        <w:t xml:space="preserve"> underlying </w:t>
      </w:r>
      <w:r w:rsidR="00337744" w:rsidRPr="002574EC">
        <w:t xml:space="preserve">the Inter-American system as a whole and that requires solidarity and </w:t>
      </w:r>
      <w:r w:rsidR="008753EC" w:rsidRPr="002574EC">
        <w:t xml:space="preserve">good </w:t>
      </w:r>
      <w:r w:rsidR="00337744" w:rsidRPr="002574EC">
        <w:t>neighborliness.</w:t>
      </w:r>
      <w:r w:rsidR="009A0510" w:rsidRPr="002574EC">
        <w:rPr>
          <w:vertAlign w:val="superscript"/>
        </w:rPr>
        <w:footnoteReference w:id="94"/>
      </w:r>
      <w:r w:rsidR="009A0510" w:rsidRPr="002574EC">
        <w:t xml:space="preserve"> </w:t>
      </w:r>
      <w:r w:rsidR="00046E0A" w:rsidRPr="002574EC">
        <w:t xml:space="preserve"> </w:t>
      </w:r>
      <w:r w:rsidR="00167861" w:rsidRPr="002574EC">
        <w:t xml:space="preserve">Given the intrinsic relationship between the country’s political crisis and the guarantee of human rights, the IACHR reiterates its willingness to join the negotiations, as well as </w:t>
      </w:r>
      <w:r w:rsidR="00BF0701" w:rsidRPr="002574EC">
        <w:t xml:space="preserve">to </w:t>
      </w:r>
      <w:r w:rsidR="00167861" w:rsidRPr="002574EC">
        <w:t xml:space="preserve">provide technical cooperation </w:t>
      </w:r>
      <w:r w:rsidR="006F1161" w:rsidRPr="002574EC">
        <w:t>for</w:t>
      </w:r>
      <w:r w:rsidR="00167861" w:rsidRPr="002574EC">
        <w:t xml:space="preserve"> implementing </w:t>
      </w:r>
      <w:r w:rsidR="00147610" w:rsidRPr="002574EC">
        <w:t xml:space="preserve">the commitments </w:t>
      </w:r>
      <w:r w:rsidR="00BF0701" w:rsidRPr="002574EC">
        <w:t xml:space="preserve">reached, </w:t>
      </w:r>
      <w:r w:rsidR="00840FE9" w:rsidRPr="002574EC">
        <w:t xml:space="preserve">while </w:t>
      </w:r>
      <w:r w:rsidR="00BF0701" w:rsidRPr="002574EC">
        <w:t>incorporating a human rights approach.</w:t>
      </w:r>
      <w:r w:rsidR="009A0510" w:rsidRPr="002574EC">
        <w:rPr>
          <w:vertAlign w:val="superscript"/>
        </w:rPr>
        <w:footnoteReference w:id="95"/>
      </w:r>
    </w:p>
    <w:p w14:paraId="47610802" w14:textId="248F0F82" w:rsidR="000A54D6" w:rsidRPr="002574EC" w:rsidRDefault="000A54D6" w:rsidP="00E07D06">
      <w:pPr>
        <w:ind w:left="426" w:hanging="426"/>
        <w:rPr>
          <w:sz w:val="20"/>
          <w:szCs w:val="20"/>
        </w:rPr>
      </w:pPr>
    </w:p>
    <w:p w14:paraId="2775E52C" w14:textId="77777777" w:rsidR="002B4AC3" w:rsidRPr="002574EC" w:rsidRDefault="002B4AC3" w:rsidP="00E07D06">
      <w:pPr>
        <w:ind w:left="426" w:hanging="426"/>
        <w:rPr>
          <w:sz w:val="20"/>
          <w:szCs w:val="20"/>
        </w:rPr>
      </w:pPr>
    </w:p>
    <w:p w14:paraId="61406782" w14:textId="079D697F" w:rsidR="002B4AC3" w:rsidRPr="002574EC" w:rsidRDefault="00F20AA6" w:rsidP="00EA607E">
      <w:pPr>
        <w:pStyle w:val="Heading1"/>
      </w:pPr>
      <w:r w:rsidRPr="002574EC">
        <w:t xml:space="preserve">HUMAN RIGHTS SITUATION </w:t>
      </w:r>
    </w:p>
    <w:p w14:paraId="4B27C70F" w14:textId="77777777" w:rsidR="002B4AC3" w:rsidRPr="00EA607E" w:rsidRDefault="002B4AC3" w:rsidP="00EA607E">
      <w:pPr>
        <w:pStyle w:val="ListParagraph"/>
        <w:numPr>
          <w:ilvl w:val="0"/>
          <w:numId w:val="0"/>
        </w:numPr>
        <w:ind w:left="720"/>
      </w:pPr>
    </w:p>
    <w:p w14:paraId="21298850" w14:textId="7D17DFB3" w:rsidR="007959E4" w:rsidRPr="007E075D" w:rsidRDefault="006803C4" w:rsidP="007E075D">
      <w:pPr>
        <w:pStyle w:val="Heading2"/>
        <w:numPr>
          <w:ilvl w:val="0"/>
          <w:numId w:val="10"/>
        </w:numPr>
        <w:rPr>
          <w:szCs w:val="22"/>
        </w:rPr>
      </w:pPr>
      <w:r w:rsidRPr="002574EC">
        <w:t xml:space="preserve">Gross human rights violations </w:t>
      </w:r>
    </w:p>
    <w:p w14:paraId="49DE050D" w14:textId="77777777" w:rsidR="007959E4" w:rsidRPr="002574EC" w:rsidRDefault="007959E4" w:rsidP="00E07D06">
      <w:pPr>
        <w:widowControl w:val="0"/>
        <w:pBdr>
          <w:top w:val="nil"/>
          <w:left w:val="nil"/>
          <w:bottom w:val="nil"/>
          <w:right w:val="nil"/>
          <w:between w:val="nil"/>
        </w:pBdr>
        <w:ind w:left="426" w:hanging="426"/>
        <w:jc w:val="both"/>
        <w:rPr>
          <w:rFonts w:ascii="Cambria" w:hAnsi="Cambria"/>
          <w:sz w:val="20"/>
          <w:szCs w:val="20"/>
        </w:rPr>
      </w:pPr>
    </w:p>
    <w:p w14:paraId="346DCB9E" w14:textId="7764553C" w:rsidR="003D55E0" w:rsidRPr="002574EC" w:rsidRDefault="00160E64" w:rsidP="00F85814">
      <w:pPr>
        <w:pStyle w:val="ListParagraph"/>
        <w:rPr>
          <w:color w:val="000000"/>
        </w:rPr>
      </w:pPr>
      <w:r w:rsidRPr="002574EC">
        <w:t xml:space="preserve">The Inter-American Commission finds that </w:t>
      </w:r>
      <w:r w:rsidR="00D918A3" w:rsidRPr="002574EC">
        <w:t xml:space="preserve">government capture of all branches of government and the undermining of the rule of law led to </w:t>
      </w:r>
      <w:r w:rsidRPr="002574EC">
        <w:t xml:space="preserve">a favorable climate for the systematic commission of gross human rights violations.  </w:t>
      </w:r>
      <w:r w:rsidR="009B74D5" w:rsidRPr="002574EC">
        <w:t>On this score, the IACHR has documented the consistent practice of extrajudicial executions</w:t>
      </w:r>
      <w:r w:rsidR="00C70437" w:rsidRPr="002574EC">
        <w:t xml:space="preserve"> </w:t>
      </w:r>
      <w:r w:rsidR="002B5D76" w:rsidRPr="002574EC">
        <w:t xml:space="preserve">of young men in a situation of poverty, arbitrary detentions of people who are protesting or publicly assert </w:t>
      </w:r>
      <w:r w:rsidR="00753066" w:rsidRPr="002574EC">
        <w:lastRenderedPageBreak/>
        <w:t xml:space="preserve">positions of disagreement with the executive branch, forced disappearances, as well as torture and other cruel treatment in the context of deprivation of liberty. </w:t>
      </w:r>
    </w:p>
    <w:p w14:paraId="22DE8C05" w14:textId="77777777" w:rsidR="00CC23BD" w:rsidRPr="002574EC" w:rsidRDefault="00CC23BD" w:rsidP="00522380">
      <w:pPr>
        <w:pStyle w:val="ListParagraph"/>
        <w:numPr>
          <w:ilvl w:val="0"/>
          <w:numId w:val="0"/>
        </w:numPr>
        <w:ind w:left="720"/>
      </w:pPr>
    </w:p>
    <w:p w14:paraId="0E4D9C3F" w14:textId="34004F91" w:rsidR="003657CB" w:rsidRPr="002574EC" w:rsidRDefault="00BE3FFB" w:rsidP="00F85814">
      <w:pPr>
        <w:pStyle w:val="ListParagraph"/>
      </w:pPr>
      <w:r w:rsidRPr="002574EC">
        <w:t xml:space="preserve">On November </w:t>
      </w:r>
      <w:r w:rsidR="000E46E7" w:rsidRPr="002574EC">
        <w:t>5</w:t>
      </w:r>
      <w:r w:rsidRPr="002574EC">
        <w:t>,</w:t>
      </w:r>
      <w:r w:rsidR="000E46E7" w:rsidRPr="002574EC">
        <w:t xml:space="preserve"> 2021, </w:t>
      </w:r>
      <w:r w:rsidRPr="002574EC">
        <w:t xml:space="preserve">the Office of the Prosecutor of the International Criminal Court announced the opening of a formal investigation into the alleged </w:t>
      </w:r>
      <w:r w:rsidR="00E077B0" w:rsidRPr="002574EC">
        <w:t>commission of crimes against humanity in Venezuela.</w:t>
      </w:r>
      <w:r w:rsidR="00A9390F" w:rsidRPr="002574EC">
        <w:rPr>
          <w:rStyle w:val="FootnoteReference"/>
          <w:color w:val="000000"/>
        </w:rPr>
        <w:footnoteReference w:id="96"/>
      </w:r>
      <w:r w:rsidR="003657CB" w:rsidRPr="002574EC">
        <w:t xml:space="preserve"> </w:t>
      </w:r>
      <w:r w:rsidR="00804E07" w:rsidRPr="002574EC">
        <w:t xml:space="preserve">In this regard, the Commission </w:t>
      </w:r>
      <w:r w:rsidR="00863631" w:rsidRPr="002574EC">
        <w:t xml:space="preserve">finds that the gross human rights violations documented by it are part and parcel of a widespread and systematic </w:t>
      </w:r>
      <w:r w:rsidR="00B1070A" w:rsidRPr="002574EC">
        <w:t>assault against the civilian population which</w:t>
      </w:r>
      <w:r w:rsidR="00784F03" w:rsidRPr="002574EC">
        <w:t>,</w:t>
      </w:r>
      <w:r w:rsidR="00B1070A" w:rsidRPr="002574EC">
        <w:t xml:space="preserve"> under international law, may </w:t>
      </w:r>
      <w:r w:rsidR="00784F03" w:rsidRPr="002574EC">
        <w:t xml:space="preserve">rise to the level of </w:t>
      </w:r>
      <w:r w:rsidR="00B1070A" w:rsidRPr="002574EC">
        <w:t>crimes against humanity.</w:t>
      </w:r>
      <w:r w:rsidR="003657CB" w:rsidRPr="002574EC">
        <w:rPr>
          <w:vertAlign w:val="superscript"/>
        </w:rPr>
        <w:footnoteReference w:id="97"/>
      </w:r>
      <w:r w:rsidR="00784F03" w:rsidRPr="002574EC">
        <w:t xml:space="preserve">  This conclusion is based on the </w:t>
      </w:r>
      <w:r w:rsidR="008A0282" w:rsidRPr="002574EC">
        <w:t xml:space="preserve">large </w:t>
      </w:r>
      <w:r w:rsidR="00784F03" w:rsidRPr="002574EC">
        <w:t>number of</w:t>
      </w:r>
      <w:r w:rsidR="00740D88" w:rsidRPr="002574EC">
        <w:t xml:space="preserve"> victims,</w:t>
      </w:r>
      <w:r w:rsidR="003657CB" w:rsidRPr="002574EC">
        <w:rPr>
          <w:vertAlign w:val="superscript"/>
        </w:rPr>
        <w:footnoteReference w:id="98"/>
      </w:r>
      <w:r w:rsidR="00740D88" w:rsidRPr="002574EC">
        <w:t xml:space="preserve"> the seriousness of the actions, and on the existence of certain patterns of conduct carried </w:t>
      </w:r>
      <w:r w:rsidR="0075773D" w:rsidRPr="002574EC">
        <w:t xml:space="preserve">out using </w:t>
      </w:r>
      <w:r w:rsidR="00740D88" w:rsidRPr="002574EC">
        <w:t xml:space="preserve">the resources of the State, which </w:t>
      </w:r>
      <w:r w:rsidR="008D5599" w:rsidRPr="002574EC">
        <w:t xml:space="preserve">were the result of a defined and sanctioned </w:t>
      </w:r>
      <w:r w:rsidR="00627322" w:rsidRPr="002574EC">
        <w:t xml:space="preserve">policy from the </w:t>
      </w:r>
      <w:r w:rsidR="0044341C" w:rsidRPr="002574EC">
        <w:t>highest</w:t>
      </w:r>
      <w:r w:rsidR="009224F7" w:rsidRPr="002574EC">
        <w:t xml:space="preserve"> </w:t>
      </w:r>
      <w:r w:rsidR="00627322" w:rsidRPr="002574EC">
        <w:t>echelon of the State.</w:t>
      </w:r>
    </w:p>
    <w:p w14:paraId="6A759ACE" w14:textId="4B962630" w:rsidR="009A0510" w:rsidRPr="002574EC" w:rsidRDefault="009A0510" w:rsidP="00E07D06">
      <w:pPr>
        <w:widowControl w:val="0"/>
        <w:pBdr>
          <w:top w:val="nil"/>
          <w:left w:val="nil"/>
          <w:bottom w:val="nil"/>
          <w:right w:val="nil"/>
          <w:between w:val="nil"/>
        </w:pBdr>
        <w:ind w:left="426" w:hanging="426"/>
        <w:jc w:val="both"/>
        <w:rPr>
          <w:rFonts w:ascii="Cambria" w:hAnsi="Cambria"/>
          <w:sz w:val="20"/>
          <w:szCs w:val="20"/>
        </w:rPr>
      </w:pPr>
    </w:p>
    <w:p w14:paraId="5AC9EB13" w14:textId="708F6B78" w:rsidR="003325C0" w:rsidRPr="002574EC" w:rsidRDefault="00004A84" w:rsidP="00E07D06">
      <w:pPr>
        <w:widowControl w:val="0"/>
        <w:ind w:left="426" w:hanging="426"/>
        <w:jc w:val="both"/>
        <w:rPr>
          <w:rFonts w:ascii="Cambria" w:hAnsi="Cambria"/>
          <w:b/>
          <w:i/>
          <w:color w:val="000000"/>
          <w:sz w:val="20"/>
          <w:szCs w:val="20"/>
        </w:rPr>
      </w:pPr>
      <w:r w:rsidRPr="002574EC">
        <w:rPr>
          <w:rFonts w:ascii="Cambria" w:hAnsi="Cambria"/>
          <w:b/>
          <w:i/>
          <w:color w:val="000000"/>
          <w:sz w:val="20"/>
          <w:szCs w:val="20"/>
        </w:rPr>
        <w:t xml:space="preserve">Extrajudicial executions of demonstrators and young men in a situation of poverty </w:t>
      </w:r>
    </w:p>
    <w:p w14:paraId="1DAE7131" w14:textId="77777777" w:rsidR="00C24A1F" w:rsidRPr="002574EC" w:rsidRDefault="00C24A1F" w:rsidP="00E07D06">
      <w:pPr>
        <w:widowControl w:val="0"/>
        <w:ind w:left="426" w:hanging="426"/>
        <w:jc w:val="both"/>
        <w:rPr>
          <w:rFonts w:ascii="Cambria" w:hAnsi="Cambria"/>
          <w:b/>
          <w:color w:val="000000"/>
          <w:sz w:val="20"/>
          <w:szCs w:val="20"/>
        </w:rPr>
      </w:pPr>
    </w:p>
    <w:p w14:paraId="185CE238" w14:textId="13B146D9" w:rsidR="00132934" w:rsidRPr="002574EC" w:rsidRDefault="003A2FC9" w:rsidP="00F85814">
      <w:pPr>
        <w:pStyle w:val="ListParagraph"/>
      </w:pPr>
      <w:r w:rsidRPr="002574EC">
        <w:t xml:space="preserve">Since its on-site visit to Venezuela in 2002, the Commission has warned about the existence of a pattern of extrajudicial executions committed by State security agents and/or parapolice groups or </w:t>
      </w:r>
      <w:r w:rsidR="00BA6C51" w:rsidRPr="002574EC">
        <w:t xml:space="preserve">with </w:t>
      </w:r>
      <w:r w:rsidR="00FE0486" w:rsidRPr="002574EC">
        <w:t xml:space="preserve">State </w:t>
      </w:r>
      <w:r w:rsidRPr="002574EC">
        <w:t>acquiescence or collaboration.</w:t>
      </w:r>
      <w:r w:rsidR="003325C0" w:rsidRPr="002574EC">
        <w:rPr>
          <w:vertAlign w:val="superscript"/>
        </w:rPr>
        <w:footnoteReference w:id="99"/>
      </w:r>
      <w:r w:rsidR="00FB057C" w:rsidRPr="002574EC">
        <w:t xml:space="preserve"> In the first half of </w:t>
      </w:r>
      <w:r w:rsidR="00C3345D" w:rsidRPr="002574EC">
        <w:t xml:space="preserve">2021, </w:t>
      </w:r>
      <w:r w:rsidR="00FB057C" w:rsidRPr="002574EC">
        <w:t xml:space="preserve">according to the organization Provea and the Centro </w:t>
      </w:r>
      <w:r w:rsidR="008D1B76" w:rsidRPr="002574EC">
        <w:t>Gumilla</w:t>
      </w:r>
      <w:r w:rsidR="00820EFC" w:rsidRPr="002574EC">
        <w:t>,</w:t>
      </w:r>
      <w:r w:rsidR="008C77D6" w:rsidRPr="002574EC">
        <w:t xml:space="preserve"> </w:t>
      </w:r>
      <w:r w:rsidR="003072C1" w:rsidRPr="002574EC">
        <w:t xml:space="preserve">825 alleged extrajudicial executions </w:t>
      </w:r>
      <w:r w:rsidR="001777A1" w:rsidRPr="002574EC">
        <w:t>committed by the State security forces</w:t>
      </w:r>
      <w:r w:rsidR="00B238EF" w:rsidRPr="002574EC">
        <w:t xml:space="preserve"> were reported</w:t>
      </w:r>
      <w:r w:rsidR="001505FA" w:rsidRPr="002574EC">
        <w:t>.</w:t>
      </w:r>
      <w:r w:rsidR="001505FA" w:rsidRPr="002574EC">
        <w:rPr>
          <w:rStyle w:val="FootnoteReference"/>
          <w:color w:val="000000"/>
        </w:rPr>
        <w:footnoteReference w:id="100"/>
      </w:r>
      <w:r w:rsidR="001505FA" w:rsidRPr="002574EC">
        <w:t xml:space="preserve"> </w:t>
      </w:r>
      <w:r w:rsidR="00861D7B" w:rsidRPr="002574EC">
        <w:t>A</w:t>
      </w:r>
      <w:r w:rsidR="00561216" w:rsidRPr="002574EC">
        <w:t>dditionally, the General Secretariat of the Organization of American States documented</w:t>
      </w:r>
      <w:r w:rsidR="00132934" w:rsidRPr="002574EC">
        <w:t xml:space="preserve"> 18</w:t>
      </w:r>
      <w:r w:rsidR="00561216" w:rsidRPr="002574EC">
        <w:t>,</w:t>
      </w:r>
      <w:r w:rsidR="00132934" w:rsidRPr="002574EC">
        <w:t xml:space="preserve">093 </w:t>
      </w:r>
      <w:r w:rsidR="004D3F5E" w:rsidRPr="002574EC">
        <w:t>cases of murders allegedly committed by agents of the State between 2014 and 2020, including at least</w:t>
      </w:r>
      <w:r w:rsidR="00132934" w:rsidRPr="002574EC">
        <w:t xml:space="preserve"> 8</w:t>
      </w:r>
      <w:r w:rsidR="004D3F5E" w:rsidRPr="002574EC">
        <w:t>,</w:t>
      </w:r>
      <w:r w:rsidR="00132934" w:rsidRPr="002574EC">
        <w:t xml:space="preserve">292 </w:t>
      </w:r>
      <w:r w:rsidR="004D3F5E" w:rsidRPr="002574EC">
        <w:t>extrajudicial executions.</w:t>
      </w:r>
      <w:r w:rsidR="00132934" w:rsidRPr="002574EC">
        <w:rPr>
          <w:vertAlign w:val="superscript"/>
        </w:rPr>
        <w:footnoteReference w:id="101"/>
      </w:r>
    </w:p>
    <w:p w14:paraId="67CA3725" w14:textId="77777777" w:rsidR="00132934" w:rsidRPr="002574EC" w:rsidRDefault="00132934" w:rsidP="00E07D06">
      <w:pPr>
        <w:widowControl w:val="0"/>
        <w:ind w:left="426" w:hanging="426"/>
        <w:jc w:val="both"/>
        <w:rPr>
          <w:rFonts w:ascii="Cambria" w:hAnsi="Cambria"/>
          <w:b/>
          <w:color w:val="000000"/>
          <w:sz w:val="20"/>
          <w:szCs w:val="20"/>
        </w:rPr>
      </w:pPr>
    </w:p>
    <w:p w14:paraId="0565EC14" w14:textId="4FCC5BB3" w:rsidR="003325C0" w:rsidRPr="002574EC" w:rsidRDefault="00453BD7" w:rsidP="00F85814">
      <w:pPr>
        <w:pStyle w:val="ListParagraph"/>
      </w:pPr>
      <w:r w:rsidRPr="002574EC">
        <w:t>The</w:t>
      </w:r>
      <w:r w:rsidR="003325C0" w:rsidRPr="002574EC">
        <w:t xml:space="preserve"> </w:t>
      </w:r>
      <w:r w:rsidR="003B4873" w:rsidRPr="002574EC">
        <w:rPr>
          <w:i/>
          <w:iCs/>
        </w:rPr>
        <w:t>m</w:t>
      </w:r>
      <w:r w:rsidR="003325C0" w:rsidRPr="002574EC">
        <w:rPr>
          <w:i/>
          <w:iCs/>
        </w:rPr>
        <w:t xml:space="preserve">odus </w:t>
      </w:r>
      <w:r w:rsidR="003B4873" w:rsidRPr="002574EC">
        <w:rPr>
          <w:i/>
          <w:iCs/>
        </w:rPr>
        <w:t>o</w:t>
      </w:r>
      <w:r w:rsidR="003325C0" w:rsidRPr="002574EC">
        <w:rPr>
          <w:i/>
          <w:iCs/>
        </w:rPr>
        <w:t>perandi</w:t>
      </w:r>
      <w:r w:rsidR="003325C0" w:rsidRPr="002574EC">
        <w:t xml:space="preserve"> i</w:t>
      </w:r>
      <w:r w:rsidR="00232640" w:rsidRPr="002574EC">
        <w:t xml:space="preserve">dentified by the IACHR suggests that the extrajudicial executions </w:t>
      </w:r>
      <w:r w:rsidR="001D643C" w:rsidRPr="002574EC">
        <w:t>are mostly perpetrated against young men in a situation of poverty during citizen security operations</w:t>
      </w:r>
      <w:r w:rsidR="00BC1D56" w:rsidRPr="002574EC">
        <w:t>,</w:t>
      </w:r>
      <w:r w:rsidR="003325C0" w:rsidRPr="002574EC">
        <w:rPr>
          <w:vertAlign w:val="superscript"/>
        </w:rPr>
        <w:footnoteReference w:id="102"/>
      </w:r>
      <w:r w:rsidR="001B09D9" w:rsidRPr="002574EC">
        <w:t xml:space="preserve"> </w:t>
      </w:r>
      <w:r w:rsidR="00BC1D56" w:rsidRPr="002574EC">
        <w:t>m</w:t>
      </w:r>
      <w:r w:rsidR="001B09D9" w:rsidRPr="002574EC">
        <w:t xml:space="preserve">ore precisely, </w:t>
      </w:r>
      <w:r w:rsidR="00DF4F8A" w:rsidRPr="002574EC">
        <w:t>in the</w:t>
      </w:r>
      <w:r w:rsidR="00BC1D56" w:rsidRPr="002574EC">
        <w:t xml:space="preserve"> context of </w:t>
      </w:r>
      <w:r w:rsidR="00C44DDD" w:rsidRPr="002574EC">
        <w:t xml:space="preserve">staged </w:t>
      </w:r>
      <w:r w:rsidR="00BC1D56" w:rsidRPr="002574EC">
        <w:t>confrontations in the course of routine procedures, during protests, or when the victims have been illegally and/or arbitrarily detained and are in State custody.</w:t>
      </w:r>
      <w:r w:rsidR="003325C0" w:rsidRPr="002574EC">
        <w:rPr>
          <w:vertAlign w:val="superscript"/>
        </w:rPr>
        <w:footnoteReference w:id="103"/>
      </w:r>
      <w:r w:rsidR="00C165AB" w:rsidRPr="002574EC">
        <w:t xml:space="preserve"> The Inter-American Commission has </w:t>
      </w:r>
      <w:r w:rsidR="00910402" w:rsidRPr="002574EC">
        <w:t xml:space="preserve">underscored </w:t>
      </w:r>
      <w:r w:rsidR="00E436F7" w:rsidRPr="002574EC">
        <w:t xml:space="preserve">that the militarization of citizen security, as well as operations marked by excessive use of force, </w:t>
      </w:r>
      <w:r w:rsidR="00097914" w:rsidRPr="002574EC">
        <w:t>have contributed to the existence of this pattern of extrajudicial executions.</w:t>
      </w:r>
      <w:r w:rsidR="003325C0" w:rsidRPr="002574EC">
        <w:rPr>
          <w:vertAlign w:val="superscript"/>
        </w:rPr>
        <w:footnoteReference w:id="104"/>
      </w:r>
    </w:p>
    <w:p w14:paraId="16BEFB87" w14:textId="09D50E49" w:rsidR="009A0510" w:rsidRPr="002574EC" w:rsidRDefault="009A0510" w:rsidP="00E07D06">
      <w:pPr>
        <w:widowControl w:val="0"/>
        <w:pBdr>
          <w:top w:val="nil"/>
          <w:left w:val="nil"/>
          <w:bottom w:val="nil"/>
          <w:right w:val="nil"/>
          <w:between w:val="nil"/>
        </w:pBdr>
        <w:ind w:left="426" w:hanging="426"/>
        <w:jc w:val="both"/>
        <w:rPr>
          <w:rFonts w:ascii="Cambria" w:hAnsi="Cambria"/>
          <w:sz w:val="20"/>
          <w:szCs w:val="20"/>
        </w:rPr>
      </w:pPr>
    </w:p>
    <w:p w14:paraId="5E22FB24" w14:textId="79E952E4" w:rsidR="00322F36" w:rsidRPr="002574EC" w:rsidRDefault="00322F36" w:rsidP="00F85814">
      <w:pPr>
        <w:pStyle w:val="ListParagraph"/>
        <w:rPr>
          <w:color w:val="000000"/>
        </w:rPr>
      </w:pPr>
      <w:r w:rsidRPr="002574EC">
        <w:rPr>
          <w:shd w:val="clear" w:color="auto" w:fill="FFFFFF"/>
        </w:rPr>
        <w:t>In 2021, security operations characterized by the disproportionate and lethal use of force continued. Among these, those that took place from January 6 to 9 in the La Vega neighborhood of Caracas, leaving a balance of 23 deaths</w:t>
      </w:r>
      <w:r w:rsidR="00730438" w:rsidRPr="002574EC">
        <w:rPr>
          <w:rStyle w:val="FootnoteReference"/>
          <w:rFonts w:cs="Arial"/>
          <w:color w:val="222222"/>
          <w:shd w:val="clear" w:color="auto" w:fill="FFFFFF"/>
        </w:rPr>
        <w:footnoteReference w:id="105"/>
      </w:r>
      <w:r w:rsidRPr="002574EC">
        <w:rPr>
          <w:shd w:val="clear" w:color="auto" w:fill="FFFFFF"/>
        </w:rPr>
        <w:t xml:space="preserve">. Likewise, the operation carried out on July 7 at Cota 905, also in Caracas, </w:t>
      </w:r>
      <w:r w:rsidRPr="002574EC">
        <w:rPr>
          <w:shd w:val="clear" w:color="auto" w:fill="FFFFFF"/>
        </w:rPr>
        <w:lastRenderedPageBreak/>
        <w:t>where 26 people died</w:t>
      </w:r>
      <w:r w:rsidR="00730438" w:rsidRPr="002574EC">
        <w:rPr>
          <w:rStyle w:val="FootnoteReference"/>
          <w:rFonts w:cs="Arial"/>
          <w:color w:val="222222"/>
          <w:shd w:val="clear" w:color="auto" w:fill="FFFFFF"/>
        </w:rPr>
        <w:footnoteReference w:id="106"/>
      </w:r>
      <w:r w:rsidRPr="002574EC">
        <w:rPr>
          <w:shd w:val="clear" w:color="auto" w:fill="FFFFFF"/>
        </w:rPr>
        <w:t>. As reported by the Venezuelan Mission recognized by the OAS, the deaths that occurred in these contexts constituted extrajudicial executions</w:t>
      </w:r>
      <w:r w:rsidR="00730438" w:rsidRPr="002574EC">
        <w:rPr>
          <w:rStyle w:val="FootnoteReference"/>
          <w:rFonts w:cs="Arial"/>
          <w:color w:val="222222"/>
          <w:shd w:val="clear" w:color="auto" w:fill="FFFFFF"/>
        </w:rPr>
        <w:footnoteReference w:id="107"/>
      </w:r>
      <w:r w:rsidRPr="002574EC">
        <w:rPr>
          <w:shd w:val="clear" w:color="auto" w:fill="FFFFFF"/>
        </w:rPr>
        <w:t>.</w:t>
      </w:r>
    </w:p>
    <w:p w14:paraId="6A397375" w14:textId="77777777" w:rsidR="007B2EE1" w:rsidRPr="002574EC" w:rsidRDefault="007B2EE1" w:rsidP="00522380">
      <w:pPr>
        <w:pStyle w:val="ListParagraph"/>
        <w:numPr>
          <w:ilvl w:val="0"/>
          <w:numId w:val="0"/>
        </w:numPr>
        <w:ind w:left="720"/>
      </w:pPr>
    </w:p>
    <w:p w14:paraId="094EBE79" w14:textId="570DE83C" w:rsidR="00BC11D0" w:rsidRPr="002574EC" w:rsidRDefault="00BD5668" w:rsidP="00F85814">
      <w:pPr>
        <w:pStyle w:val="ListParagraph"/>
      </w:pPr>
      <w:r w:rsidRPr="002574EC">
        <w:t xml:space="preserve">In this regard, the IACHR recalls that “citizen security may not be based on a paradigm of use of force that aims </w:t>
      </w:r>
      <w:r w:rsidR="00AD5BEB" w:rsidRPr="002574EC">
        <w:t xml:space="preserve">to treat </w:t>
      </w:r>
      <w:r w:rsidRPr="002574EC">
        <w:t xml:space="preserve">the civilian population as the enemy, but </w:t>
      </w:r>
      <w:r w:rsidR="00C1610F" w:rsidRPr="002574EC">
        <w:t>should consist of protection and control of civilians.</w:t>
      </w:r>
      <w:r w:rsidR="00BC11D0" w:rsidRPr="002574EC">
        <w:t>”</w:t>
      </w:r>
      <w:r w:rsidR="00BC11D0" w:rsidRPr="002574EC">
        <w:rPr>
          <w:vertAlign w:val="superscript"/>
        </w:rPr>
        <w:footnoteReference w:id="108"/>
      </w:r>
      <w:r w:rsidR="007F2B5B" w:rsidRPr="002574EC">
        <w:t xml:space="preserve"> </w:t>
      </w:r>
      <w:r w:rsidR="00E02E16" w:rsidRPr="002574EC">
        <w:t xml:space="preserve">Pursuant to Inter-American standards, the State must </w:t>
      </w:r>
      <w:r w:rsidR="00AD5BEB" w:rsidRPr="002574EC">
        <w:t xml:space="preserve">also </w:t>
      </w:r>
      <w:r w:rsidR="00E02E16" w:rsidRPr="002574EC">
        <w:t>limit to the fullest extent the involvement of military forces in tasks of internal security.  This involvement must be extraordinary, exception</w:t>
      </w:r>
      <w:r w:rsidR="003F587C" w:rsidRPr="002574EC">
        <w:t>al</w:t>
      </w:r>
      <w:r w:rsidR="00E02E16" w:rsidRPr="002574EC">
        <w:t>, temporary, restricted to the extent</w:t>
      </w:r>
      <w:r w:rsidR="004E0535" w:rsidRPr="002574EC">
        <w:t xml:space="preserve"> </w:t>
      </w:r>
      <w:r w:rsidR="00E02E16" w:rsidRPr="002574EC">
        <w:t>strictly necessary</w:t>
      </w:r>
      <w:r w:rsidR="0075680B" w:rsidRPr="002574EC">
        <w:t xml:space="preserve"> in each particular circumstance and subordinate and supplementary to </w:t>
      </w:r>
      <w:r w:rsidR="002066E9" w:rsidRPr="002574EC">
        <w:t xml:space="preserve">the activities of </w:t>
      </w:r>
      <w:r w:rsidR="009C0AF7" w:rsidRPr="002574EC">
        <w:t>the civilian</w:t>
      </w:r>
      <w:r w:rsidR="002066E9" w:rsidRPr="002574EC">
        <w:t xml:space="preserve"> forces</w:t>
      </w:r>
      <w:r w:rsidR="009C0AF7" w:rsidRPr="002574EC">
        <w:t>; as well as regulated and overs</w:t>
      </w:r>
      <w:r w:rsidR="002066E9" w:rsidRPr="002574EC">
        <w:t>e</w:t>
      </w:r>
      <w:r w:rsidR="009C0AF7" w:rsidRPr="002574EC">
        <w:t>en by competent, independent and technically capable civilian bodies</w:t>
      </w:r>
      <w:r w:rsidR="004C4DA8" w:rsidRPr="002574EC">
        <w:t>.</w:t>
      </w:r>
      <w:r w:rsidR="00BC11D0" w:rsidRPr="002574EC">
        <w:rPr>
          <w:vertAlign w:val="superscript"/>
        </w:rPr>
        <w:footnoteReference w:id="109"/>
      </w:r>
    </w:p>
    <w:p w14:paraId="2CEDE7DF" w14:textId="77777777" w:rsidR="00BC11D0" w:rsidRPr="002574EC" w:rsidRDefault="00BC11D0" w:rsidP="00E07D06">
      <w:pPr>
        <w:widowControl w:val="0"/>
        <w:pBdr>
          <w:top w:val="nil"/>
          <w:left w:val="nil"/>
          <w:bottom w:val="nil"/>
          <w:right w:val="nil"/>
          <w:between w:val="nil"/>
        </w:pBdr>
        <w:ind w:left="426" w:hanging="426"/>
        <w:jc w:val="both"/>
        <w:rPr>
          <w:rFonts w:ascii="Cambria" w:hAnsi="Cambria"/>
          <w:sz w:val="20"/>
          <w:szCs w:val="20"/>
        </w:rPr>
      </w:pPr>
    </w:p>
    <w:p w14:paraId="3DE52D87" w14:textId="53140F75" w:rsidR="00BC11D0" w:rsidRPr="002574EC" w:rsidRDefault="00162E2C" w:rsidP="00F85814">
      <w:pPr>
        <w:pStyle w:val="ListParagraph"/>
      </w:pPr>
      <w:r w:rsidRPr="002574EC">
        <w:t xml:space="preserve">Considering that the impacts of the use of force can be </w:t>
      </w:r>
      <w:r w:rsidR="00693AE3" w:rsidRPr="002574EC">
        <w:t>irreversible, the</w:t>
      </w:r>
      <w:r w:rsidR="00B85EAB" w:rsidRPr="002574EC">
        <w:t xml:space="preserve"> </w:t>
      </w:r>
      <w:r w:rsidR="003423AD" w:rsidRPr="002574EC">
        <w:t xml:space="preserve">IACHR </w:t>
      </w:r>
      <w:r w:rsidR="00B85EAB" w:rsidRPr="002574EC">
        <w:t xml:space="preserve">views it as a last resort which, </w:t>
      </w:r>
      <w:r w:rsidR="002607C6" w:rsidRPr="002574EC">
        <w:t xml:space="preserve">while </w:t>
      </w:r>
      <w:r w:rsidR="00B85EAB" w:rsidRPr="002574EC">
        <w:t xml:space="preserve">qualitatively and quantitatively limited, </w:t>
      </w:r>
      <w:r w:rsidR="001D30F5" w:rsidRPr="002574EC">
        <w:t xml:space="preserve">is intended to prevent </w:t>
      </w:r>
      <w:r w:rsidR="00F82933" w:rsidRPr="002574EC">
        <w:t xml:space="preserve">events of greater gravity </w:t>
      </w:r>
      <w:r w:rsidR="008A31CE" w:rsidRPr="002574EC">
        <w:t>than what would be caused by the State’s reaction</w:t>
      </w:r>
      <w:r w:rsidR="008E7B1B" w:rsidRPr="002574EC">
        <w:t xml:space="preserve">.  Within </w:t>
      </w:r>
      <w:r w:rsidR="00501C7B" w:rsidRPr="002574EC">
        <w:t xml:space="preserve">this </w:t>
      </w:r>
      <w:r w:rsidR="004C4D66" w:rsidRPr="002574EC">
        <w:t>framework</w:t>
      </w:r>
      <w:r w:rsidR="006D53F8" w:rsidRPr="002574EC">
        <w:t xml:space="preserve"> of exceptionality</w:t>
      </w:r>
      <w:r w:rsidR="004C4D66" w:rsidRPr="002574EC">
        <w:t xml:space="preserve">, both the Commission and the Court have </w:t>
      </w:r>
      <w:r w:rsidR="00344463" w:rsidRPr="002574EC">
        <w:t xml:space="preserve">agreed </w:t>
      </w:r>
      <w:r w:rsidR="004C4D66" w:rsidRPr="002574EC">
        <w:t xml:space="preserve">that, in order for the use of force to be justified, the </w:t>
      </w:r>
      <w:r w:rsidR="00D1096C" w:rsidRPr="002574EC">
        <w:t xml:space="preserve">requirements </w:t>
      </w:r>
      <w:r w:rsidR="004C4D66" w:rsidRPr="002574EC">
        <w:t>of legality, absolute necessity and proportionality must be</w:t>
      </w:r>
      <w:r w:rsidR="003D7750" w:rsidRPr="002574EC">
        <w:t xml:space="preserve"> effectively </w:t>
      </w:r>
      <w:r w:rsidR="00CA0BCA" w:rsidRPr="002574EC">
        <w:t>met</w:t>
      </w:r>
      <w:r w:rsidR="003D7750" w:rsidRPr="002574EC">
        <w:t>.</w:t>
      </w:r>
      <w:r w:rsidR="00BC11D0" w:rsidRPr="002574EC">
        <w:rPr>
          <w:vertAlign w:val="superscript"/>
        </w:rPr>
        <w:footnoteReference w:id="110"/>
      </w:r>
      <w:r w:rsidR="00BC11D0" w:rsidRPr="002574EC">
        <w:t xml:space="preserve"> </w:t>
      </w:r>
      <w:r w:rsidR="005170E3" w:rsidRPr="002574EC">
        <w:t>T</w:t>
      </w:r>
      <w:r w:rsidR="00875783" w:rsidRPr="002574EC">
        <w:t xml:space="preserve">his </w:t>
      </w:r>
      <w:r w:rsidR="005170E3" w:rsidRPr="002574EC">
        <w:t xml:space="preserve">generally means </w:t>
      </w:r>
      <w:r w:rsidR="00632123" w:rsidRPr="002574EC">
        <w:t xml:space="preserve">that these requirements </w:t>
      </w:r>
      <w:r w:rsidR="008C5674" w:rsidRPr="002574EC">
        <w:t xml:space="preserve">must </w:t>
      </w:r>
      <w:r w:rsidR="00632123" w:rsidRPr="002574EC">
        <w:t xml:space="preserve">be </w:t>
      </w:r>
      <w:r w:rsidR="006A262B" w:rsidRPr="002574EC">
        <w:t xml:space="preserve">provided for </w:t>
      </w:r>
      <w:r w:rsidR="00632123" w:rsidRPr="002574EC">
        <w:t>by law and pursue a legitimate</w:t>
      </w:r>
      <w:r w:rsidR="002E1620" w:rsidRPr="002574EC">
        <w:t xml:space="preserve"> aim</w:t>
      </w:r>
      <w:r w:rsidR="00632123" w:rsidRPr="002574EC">
        <w:t xml:space="preserve">; that an assessment </w:t>
      </w:r>
      <w:r w:rsidR="00203D78" w:rsidRPr="002574EC">
        <w:t xml:space="preserve">must </w:t>
      </w:r>
      <w:r w:rsidR="002B1A7E" w:rsidRPr="002574EC">
        <w:t xml:space="preserve">be conducted to ascertain </w:t>
      </w:r>
      <w:r w:rsidR="005A39B3" w:rsidRPr="002574EC">
        <w:t xml:space="preserve">the existence and availability of </w:t>
      </w:r>
      <w:r w:rsidR="00262504" w:rsidRPr="002574EC">
        <w:t>less harmful mea</w:t>
      </w:r>
      <w:r w:rsidR="00134AFF" w:rsidRPr="002574EC">
        <w:t>sures</w:t>
      </w:r>
      <w:r w:rsidR="00E672ED" w:rsidRPr="002574EC">
        <w:t xml:space="preserve">; and that the </w:t>
      </w:r>
      <w:r w:rsidR="00134AFF" w:rsidRPr="002574EC">
        <w:t xml:space="preserve">degree </w:t>
      </w:r>
      <w:r w:rsidR="00E672ED" w:rsidRPr="002574EC">
        <w:t xml:space="preserve">of force used </w:t>
      </w:r>
      <w:r w:rsidR="00A766F8" w:rsidRPr="002574EC">
        <w:t>must be proportional</w:t>
      </w:r>
      <w:r w:rsidR="00231E5B" w:rsidRPr="002574EC">
        <w:t xml:space="preserve"> to the actual risk posed </w:t>
      </w:r>
      <w:r w:rsidR="00576606" w:rsidRPr="002574EC">
        <w:t>to persons</w:t>
      </w:r>
      <w:r w:rsidR="00231E5B" w:rsidRPr="002574EC">
        <w:t xml:space="preserve"> and to the level of resistance, </w:t>
      </w:r>
      <w:r w:rsidR="005D3A7B" w:rsidRPr="002574EC">
        <w:t xml:space="preserve">meaning a balance must be struck between the situation faced by the law enforcement officer and </w:t>
      </w:r>
      <w:r w:rsidR="008D1C07" w:rsidRPr="002574EC">
        <w:t xml:space="preserve">his or her </w:t>
      </w:r>
      <w:r w:rsidR="005D3A7B" w:rsidRPr="002574EC">
        <w:t xml:space="preserve">response, considering </w:t>
      </w:r>
      <w:r w:rsidR="003F1626" w:rsidRPr="002574EC">
        <w:t>the potential damage that could be cause</w:t>
      </w:r>
      <w:r w:rsidR="00B20A8C" w:rsidRPr="002574EC">
        <w:t>d</w:t>
      </w:r>
      <w:r w:rsidR="003F1626" w:rsidRPr="002574EC">
        <w:t>.</w:t>
      </w:r>
      <w:r w:rsidR="00BC11D0" w:rsidRPr="002574EC">
        <w:rPr>
          <w:vertAlign w:val="superscript"/>
        </w:rPr>
        <w:footnoteReference w:id="111"/>
      </w:r>
    </w:p>
    <w:p w14:paraId="1C1073E1" w14:textId="77777777" w:rsidR="00BC11D0" w:rsidRPr="002574EC" w:rsidRDefault="00BC11D0" w:rsidP="00E07D06">
      <w:pPr>
        <w:widowControl w:val="0"/>
        <w:pBdr>
          <w:top w:val="nil"/>
          <w:left w:val="nil"/>
          <w:bottom w:val="nil"/>
          <w:right w:val="nil"/>
          <w:between w:val="nil"/>
        </w:pBdr>
        <w:ind w:left="426" w:hanging="426"/>
        <w:jc w:val="both"/>
        <w:rPr>
          <w:rFonts w:ascii="Cambria" w:hAnsi="Cambria"/>
          <w:color w:val="222222"/>
          <w:sz w:val="20"/>
          <w:szCs w:val="20"/>
        </w:rPr>
      </w:pPr>
    </w:p>
    <w:p w14:paraId="3E3A3E6E" w14:textId="75AB60A5" w:rsidR="00BC11D0" w:rsidRPr="002574EC" w:rsidRDefault="004F4746" w:rsidP="00F85814">
      <w:pPr>
        <w:pStyle w:val="ListParagraph"/>
      </w:pPr>
      <w:r w:rsidRPr="002574EC">
        <w:t xml:space="preserve">The Inter-American Commission </w:t>
      </w:r>
      <w:r w:rsidR="00962694" w:rsidRPr="002574EC">
        <w:t>forcefully condemns the existence of this pattern of extrajudicial executions</w:t>
      </w:r>
      <w:r w:rsidR="008652A9" w:rsidRPr="002574EC">
        <w:t xml:space="preserve">, which </w:t>
      </w:r>
      <w:r w:rsidR="00F514CC" w:rsidRPr="002574EC">
        <w:t xml:space="preserve">transgresses </w:t>
      </w:r>
      <w:r w:rsidR="0051717E" w:rsidRPr="002574EC">
        <w:t>the most basic international obligations of the Sta</w:t>
      </w:r>
      <w:r w:rsidR="00135568" w:rsidRPr="002574EC">
        <w:t xml:space="preserve">te. It also calls on Venezuela </w:t>
      </w:r>
      <w:r w:rsidR="00C8210A" w:rsidRPr="002574EC">
        <w:t xml:space="preserve">to adopt all measures necessary to immediately cease </w:t>
      </w:r>
      <w:r w:rsidR="009C0017" w:rsidRPr="002574EC">
        <w:t>this type of practice</w:t>
      </w:r>
      <w:r w:rsidR="00356F47" w:rsidRPr="002574EC">
        <w:t xml:space="preserve">; likewise, to investigate with due diligence the crimes, prosecute and punish </w:t>
      </w:r>
      <w:r w:rsidR="00764989" w:rsidRPr="002574EC">
        <w:t>both the perpetrators and masterminds and provide reparation to the victims and their next of kin.</w:t>
      </w:r>
      <w:r w:rsidR="00BC11D0" w:rsidRPr="002574EC">
        <w:t>.</w:t>
      </w:r>
    </w:p>
    <w:p w14:paraId="57B9480D" w14:textId="06D1519C" w:rsidR="00046E0A" w:rsidRPr="002574EC" w:rsidRDefault="00046E0A" w:rsidP="00E07D06">
      <w:pPr>
        <w:widowControl w:val="0"/>
        <w:pBdr>
          <w:top w:val="nil"/>
          <w:left w:val="nil"/>
          <w:bottom w:val="nil"/>
          <w:right w:val="nil"/>
          <w:between w:val="nil"/>
        </w:pBdr>
        <w:ind w:left="426" w:hanging="426"/>
        <w:jc w:val="both"/>
        <w:rPr>
          <w:rFonts w:ascii="Cambria" w:hAnsi="Cambria"/>
          <w:sz w:val="20"/>
          <w:szCs w:val="20"/>
        </w:rPr>
      </w:pPr>
    </w:p>
    <w:p w14:paraId="22E130C6" w14:textId="0F53958F" w:rsidR="00BC11D0" w:rsidRPr="002574EC" w:rsidRDefault="001C33FD" w:rsidP="00E07D06">
      <w:pPr>
        <w:widowControl w:val="0"/>
        <w:ind w:left="426" w:hanging="426"/>
        <w:jc w:val="both"/>
        <w:rPr>
          <w:rFonts w:ascii="Cambria" w:hAnsi="Cambria"/>
          <w:b/>
          <w:i/>
          <w:color w:val="000000"/>
          <w:sz w:val="20"/>
          <w:szCs w:val="20"/>
        </w:rPr>
      </w:pPr>
      <w:r w:rsidRPr="002574EC">
        <w:rPr>
          <w:rFonts w:ascii="Cambria" w:hAnsi="Cambria"/>
          <w:b/>
          <w:i/>
          <w:color w:val="000000"/>
          <w:sz w:val="20"/>
          <w:szCs w:val="20"/>
        </w:rPr>
        <w:t xml:space="preserve">Arbitrary detention of </w:t>
      </w:r>
      <w:r w:rsidR="00DA44CB" w:rsidRPr="002574EC">
        <w:rPr>
          <w:rFonts w:ascii="Cambria" w:hAnsi="Cambria"/>
          <w:b/>
          <w:i/>
          <w:color w:val="000000"/>
          <w:sz w:val="20"/>
          <w:szCs w:val="20"/>
        </w:rPr>
        <w:t xml:space="preserve">anyone </w:t>
      </w:r>
      <w:r w:rsidR="001B145A" w:rsidRPr="002574EC">
        <w:rPr>
          <w:rFonts w:ascii="Cambria" w:hAnsi="Cambria"/>
          <w:b/>
          <w:i/>
          <w:color w:val="000000"/>
          <w:sz w:val="20"/>
          <w:szCs w:val="20"/>
        </w:rPr>
        <w:t xml:space="preserve">who </w:t>
      </w:r>
      <w:r w:rsidR="009674F7" w:rsidRPr="002574EC">
        <w:rPr>
          <w:rFonts w:ascii="Cambria" w:hAnsi="Cambria"/>
          <w:b/>
          <w:i/>
          <w:color w:val="000000"/>
          <w:sz w:val="20"/>
          <w:szCs w:val="20"/>
        </w:rPr>
        <w:t>protest</w:t>
      </w:r>
      <w:r w:rsidR="00A46955" w:rsidRPr="002574EC">
        <w:rPr>
          <w:rFonts w:ascii="Cambria" w:hAnsi="Cambria"/>
          <w:b/>
          <w:i/>
          <w:color w:val="000000"/>
          <w:sz w:val="20"/>
          <w:szCs w:val="20"/>
        </w:rPr>
        <w:t>s</w:t>
      </w:r>
      <w:r w:rsidR="009674F7" w:rsidRPr="002574EC">
        <w:rPr>
          <w:rFonts w:ascii="Cambria" w:hAnsi="Cambria"/>
          <w:b/>
          <w:i/>
          <w:color w:val="000000"/>
          <w:sz w:val="20"/>
          <w:szCs w:val="20"/>
        </w:rPr>
        <w:t xml:space="preserve"> or publicly </w:t>
      </w:r>
      <w:r w:rsidR="00A46955" w:rsidRPr="002574EC">
        <w:rPr>
          <w:rFonts w:ascii="Cambria" w:hAnsi="Cambria"/>
          <w:b/>
          <w:i/>
          <w:color w:val="000000"/>
          <w:sz w:val="20"/>
          <w:szCs w:val="20"/>
        </w:rPr>
        <w:t xml:space="preserve">dissents </w:t>
      </w:r>
      <w:r w:rsidR="00DC1379" w:rsidRPr="002574EC">
        <w:rPr>
          <w:rFonts w:ascii="Cambria" w:hAnsi="Cambria"/>
          <w:b/>
          <w:i/>
          <w:color w:val="000000"/>
          <w:sz w:val="20"/>
          <w:szCs w:val="20"/>
        </w:rPr>
        <w:t xml:space="preserve">from the executive branch </w:t>
      </w:r>
      <w:r w:rsidR="00A46955" w:rsidRPr="002574EC">
        <w:rPr>
          <w:rFonts w:ascii="Cambria" w:hAnsi="Cambria"/>
          <w:b/>
          <w:i/>
          <w:color w:val="000000"/>
          <w:sz w:val="20"/>
          <w:szCs w:val="20"/>
        </w:rPr>
        <w:t>position</w:t>
      </w:r>
    </w:p>
    <w:p w14:paraId="60B6CEDC" w14:textId="77777777" w:rsidR="002B4AC3" w:rsidRPr="002574EC" w:rsidRDefault="002B4AC3" w:rsidP="00E07D06">
      <w:pPr>
        <w:widowControl w:val="0"/>
        <w:ind w:left="426" w:hanging="426"/>
        <w:jc w:val="both"/>
        <w:rPr>
          <w:rFonts w:ascii="Cambria" w:hAnsi="Cambria"/>
          <w:color w:val="000000"/>
          <w:sz w:val="20"/>
          <w:szCs w:val="20"/>
        </w:rPr>
      </w:pPr>
    </w:p>
    <w:p w14:paraId="3418E37D" w14:textId="76879F05" w:rsidR="00BC11D0" w:rsidRPr="002574EC" w:rsidRDefault="00A82E7E" w:rsidP="00F85814">
      <w:pPr>
        <w:pStyle w:val="ListParagraph"/>
        <w:rPr>
          <w:color w:val="000000"/>
        </w:rPr>
      </w:pPr>
      <w:r w:rsidRPr="002574EC">
        <w:t xml:space="preserve">Based on its documenting and monitoring efforts, the Commission </w:t>
      </w:r>
      <w:r w:rsidR="009E2C62" w:rsidRPr="002574EC">
        <w:t xml:space="preserve">notices </w:t>
      </w:r>
      <w:r w:rsidR="00817A09" w:rsidRPr="002574EC">
        <w:t xml:space="preserve">in Venezuela </w:t>
      </w:r>
      <w:r w:rsidR="002238B8" w:rsidRPr="002574EC">
        <w:t xml:space="preserve">a </w:t>
      </w:r>
      <w:r w:rsidR="000716C6" w:rsidRPr="002574EC">
        <w:t xml:space="preserve">systematic </w:t>
      </w:r>
      <w:r w:rsidR="002238B8" w:rsidRPr="002574EC">
        <w:t>practice</w:t>
      </w:r>
      <w:r w:rsidR="004A50AC" w:rsidRPr="002574EC">
        <w:t xml:space="preserve"> </w:t>
      </w:r>
      <w:r w:rsidR="002238B8" w:rsidRPr="002574EC">
        <w:t>of arbitrary detentions</w:t>
      </w:r>
      <w:r w:rsidR="00A613A1" w:rsidRPr="002574EC">
        <w:t xml:space="preserve"> </w:t>
      </w:r>
      <w:r w:rsidR="00761CFE" w:rsidRPr="002574EC">
        <w:t xml:space="preserve">against anyone who </w:t>
      </w:r>
      <w:r w:rsidR="0095692B" w:rsidRPr="002574EC">
        <w:t>takes part in protest demonstrations</w:t>
      </w:r>
      <w:r w:rsidR="00BC11D0" w:rsidRPr="002574EC">
        <w:t xml:space="preserve"> </w:t>
      </w:r>
      <w:r w:rsidR="000D7E6C" w:rsidRPr="002574EC">
        <w:t>or publicly dissents from the government position.</w:t>
      </w:r>
    </w:p>
    <w:p w14:paraId="39DBF7CB" w14:textId="77777777" w:rsidR="00BC11D0" w:rsidRPr="002574EC" w:rsidRDefault="00BC11D0" w:rsidP="00E07D06">
      <w:pPr>
        <w:widowControl w:val="0"/>
        <w:pBdr>
          <w:top w:val="nil"/>
          <w:left w:val="nil"/>
          <w:bottom w:val="nil"/>
          <w:right w:val="nil"/>
          <w:between w:val="nil"/>
        </w:pBdr>
        <w:ind w:left="426" w:hanging="426"/>
        <w:jc w:val="both"/>
        <w:rPr>
          <w:rFonts w:ascii="Cambria" w:hAnsi="Cambria"/>
          <w:color w:val="000000"/>
          <w:sz w:val="20"/>
          <w:szCs w:val="20"/>
        </w:rPr>
      </w:pPr>
    </w:p>
    <w:p w14:paraId="46BE083A" w14:textId="550D36EB" w:rsidR="00BC11D0" w:rsidRPr="002574EC" w:rsidRDefault="00002AC8" w:rsidP="00F85814">
      <w:pPr>
        <w:pStyle w:val="ListParagraph"/>
        <w:rPr>
          <w:color w:val="000000"/>
        </w:rPr>
      </w:pPr>
      <w:r w:rsidRPr="002574EC">
        <w:t xml:space="preserve">The Commission has </w:t>
      </w:r>
      <w:r w:rsidR="000601B9" w:rsidRPr="002574EC">
        <w:t xml:space="preserve">taken testimonies of </w:t>
      </w:r>
      <w:r w:rsidR="00A16495" w:rsidRPr="002574EC">
        <w:t xml:space="preserve">demonstrators, healthcare and </w:t>
      </w:r>
      <w:r w:rsidR="00590878" w:rsidRPr="002574EC">
        <w:t xml:space="preserve">care </w:t>
      </w:r>
      <w:r w:rsidR="00A16495" w:rsidRPr="002574EC">
        <w:t xml:space="preserve">workers, </w:t>
      </w:r>
      <w:r w:rsidR="00590878" w:rsidRPr="002574EC">
        <w:t>journalists</w:t>
      </w:r>
      <w:r w:rsidR="004008D5" w:rsidRPr="002574EC">
        <w:t xml:space="preserve">, human rights defenders and </w:t>
      </w:r>
      <w:r w:rsidR="0041561E" w:rsidRPr="002574EC">
        <w:t xml:space="preserve">members of the </w:t>
      </w:r>
      <w:r w:rsidR="004008D5" w:rsidRPr="002574EC">
        <w:t>military</w:t>
      </w:r>
      <w:r w:rsidR="00081EA2" w:rsidRPr="002574EC">
        <w:t xml:space="preserve">, who report having been detained because of their </w:t>
      </w:r>
      <w:r w:rsidR="004274AE" w:rsidRPr="002574EC">
        <w:t xml:space="preserve">opinions </w:t>
      </w:r>
      <w:r w:rsidR="00081EA2" w:rsidRPr="002574EC">
        <w:t xml:space="preserve">criticizing the government. </w:t>
      </w:r>
      <w:r w:rsidR="00590878" w:rsidRPr="002574EC">
        <w:t xml:space="preserve"> </w:t>
      </w:r>
      <w:r w:rsidR="000E0978" w:rsidRPr="002574EC">
        <w:t xml:space="preserve">The accounts are consistent in </w:t>
      </w:r>
      <w:r w:rsidR="006F5F7E" w:rsidRPr="002574EC">
        <w:t>claiming that the detentions are</w:t>
      </w:r>
      <w:r w:rsidR="00B657BD" w:rsidRPr="002574EC">
        <w:t xml:space="preserve"> </w:t>
      </w:r>
      <w:r w:rsidR="006F5F7E" w:rsidRPr="002574EC">
        <w:t xml:space="preserve"> mostly </w:t>
      </w:r>
      <w:r w:rsidR="00894E79" w:rsidRPr="002574EC">
        <w:t xml:space="preserve">conducted </w:t>
      </w:r>
      <w:r w:rsidR="006F5F7E" w:rsidRPr="002574EC">
        <w:t>without any judicial arrest warrant, with</w:t>
      </w:r>
      <w:r w:rsidR="00894E79" w:rsidRPr="002574EC">
        <w:t xml:space="preserve"> excessive use of force and, in some instances, </w:t>
      </w:r>
      <w:r w:rsidR="006F5F7E" w:rsidRPr="002574EC">
        <w:t xml:space="preserve"> </w:t>
      </w:r>
      <w:r w:rsidR="00957A7B" w:rsidRPr="002574EC">
        <w:t xml:space="preserve">by improperly identified agents of the State or using </w:t>
      </w:r>
      <w:r w:rsidR="004710C7" w:rsidRPr="002574EC">
        <w:t xml:space="preserve">bogus </w:t>
      </w:r>
      <w:r w:rsidR="006F0A5A" w:rsidRPr="002574EC">
        <w:t>summons to their stations for alleged interviews</w:t>
      </w:r>
      <w:r w:rsidR="00B572DC" w:rsidRPr="002574EC">
        <w:t xml:space="preserve"> or proceedings</w:t>
      </w:r>
      <w:r w:rsidR="00BC11D0" w:rsidRPr="002574EC">
        <w:t>.</w:t>
      </w:r>
    </w:p>
    <w:p w14:paraId="034E7EFA" w14:textId="77777777" w:rsidR="00BC11D0" w:rsidRPr="002574EC" w:rsidRDefault="00BC11D0" w:rsidP="00E07D06">
      <w:pPr>
        <w:widowControl w:val="0"/>
        <w:pBdr>
          <w:top w:val="nil"/>
          <w:left w:val="nil"/>
          <w:bottom w:val="nil"/>
          <w:right w:val="nil"/>
          <w:between w:val="nil"/>
        </w:pBdr>
        <w:ind w:left="426" w:hanging="426"/>
        <w:jc w:val="both"/>
        <w:rPr>
          <w:rFonts w:ascii="Cambria" w:hAnsi="Cambria"/>
          <w:sz w:val="20"/>
          <w:szCs w:val="20"/>
        </w:rPr>
      </w:pPr>
    </w:p>
    <w:p w14:paraId="7569F17E" w14:textId="17E0C622" w:rsidR="00BC11D0" w:rsidRPr="002574EC" w:rsidRDefault="0066746D" w:rsidP="00F85814">
      <w:pPr>
        <w:pStyle w:val="ListParagraph"/>
      </w:pPr>
      <w:r w:rsidRPr="002574EC">
        <w:lastRenderedPageBreak/>
        <w:t>Between</w:t>
      </w:r>
      <w:r w:rsidR="00020870" w:rsidRPr="002574EC">
        <w:t xml:space="preserve"> January </w:t>
      </w:r>
      <w:r w:rsidR="001A59FA" w:rsidRPr="002574EC">
        <w:t>1</w:t>
      </w:r>
      <w:r w:rsidR="00020870" w:rsidRPr="002574EC">
        <w:t xml:space="preserve"> </w:t>
      </w:r>
      <w:r w:rsidR="009B7B00" w:rsidRPr="002574EC">
        <w:t>and</w:t>
      </w:r>
      <w:r w:rsidR="00020870" w:rsidRPr="002574EC">
        <w:t xml:space="preserve"> November </w:t>
      </w:r>
      <w:r w:rsidR="00220A16" w:rsidRPr="002574EC">
        <w:t>22</w:t>
      </w:r>
      <w:r w:rsidR="00020870" w:rsidRPr="002574EC">
        <w:t>,</w:t>
      </w:r>
      <w:r w:rsidR="00220A16" w:rsidRPr="002574EC">
        <w:t xml:space="preserve"> 2021, </w:t>
      </w:r>
      <w:r w:rsidR="00020870" w:rsidRPr="002574EC">
        <w:t xml:space="preserve">the organization </w:t>
      </w:r>
      <w:r w:rsidR="00220A16" w:rsidRPr="002574EC">
        <w:t xml:space="preserve">Foro Penal </w:t>
      </w:r>
      <w:r w:rsidR="0064738B" w:rsidRPr="002574EC">
        <w:t xml:space="preserve">had documented </w:t>
      </w:r>
      <w:r w:rsidR="00220A16" w:rsidRPr="002574EC">
        <w:t xml:space="preserve">41 </w:t>
      </w:r>
      <w:r w:rsidR="0064738B" w:rsidRPr="002574EC">
        <w:t>arbitrary detentions,</w:t>
      </w:r>
      <w:r w:rsidR="00356D9B" w:rsidRPr="002574EC">
        <w:rPr>
          <w:rStyle w:val="FootnoteReference"/>
          <w:color w:val="000000"/>
        </w:rPr>
        <w:footnoteReference w:id="112"/>
      </w:r>
      <w:r w:rsidR="0064738B" w:rsidRPr="002574EC">
        <w:t xml:space="preserve"> bringing the total to </w:t>
      </w:r>
      <w:r w:rsidR="00BC11D0" w:rsidRPr="002574EC">
        <w:t>15</w:t>
      </w:r>
      <w:r w:rsidR="0064738B" w:rsidRPr="002574EC">
        <w:t>,</w:t>
      </w:r>
      <w:r w:rsidR="00BC11D0" w:rsidRPr="002574EC">
        <w:t>756</w:t>
      </w:r>
      <w:r w:rsidR="0041561E" w:rsidRPr="002574EC">
        <w:t xml:space="preserve"> since 2014</w:t>
      </w:r>
      <w:r w:rsidR="00A15C74" w:rsidRPr="002574EC">
        <w:t>.</w:t>
      </w:r>
      <w:r w:rsidR="00BC11D0" w:rsidRPr="002574EC">
        <w:rPr>
          <w:vertAlign w:val="superscript"/>
        </w:rPr>
        <w:footnoteReference w:id="113"/>
      </w:r>
      <w:r w:rsidR="00A15C74" w:rsidRPr="002574EC">
        <w:t xml:space="preserve">  </w:t>
      </w:r>
      <w:r w:rsidR="005541B2" w:rsidRPr="002574EC">
        <w:t>Out of this total number, at</w:t>
      </w:r>
      <w:r w:rsidR="00A15C74" w:rsidRPr="002574EC">
        <w:t xml:space="preserve"> least 872 civilians</w:t>
      </w:r>
      <w:r w:rsidR="005541B2" w:rsidRPr="002574EC">
        <w:t xml:space="preserve"> </w:t>
      </w:r>
      <w:r w:rsidR="00A15C74" w:rsidRPr="002574EC">
        <w:t xml:space="preserve"> were </w:t>
      </w:r>
      <w:r w:rsidR="004F5E6E" w:rsidRPr="002574EC">
        <w:t xml:space="preserve">brought </w:t>
      </w:r>
      <w:r w:rsidR="00A15C74" w:rsidRPr="002574EC">
        <w:t xml:space="preserve">before military courts, 600 </w:t>
      </w:r>
      <w:r w:rsidR="009C72F9" w:rsidRPr="002574EC">
        <w:t>of which</w:t>
      </w:r>
      <w:r w:rsidR="0041561E" w:rsidRPr="002574EC">
        <w:t xml:space="preserve"> took place</w:t>
      </w:r>
      <w:r w:rsidR="005B0D96" w:rsidRPr="002574EC">
        <w:t xml:space="preserve"> </w:t>
      </w:r>
      <w:r w:rsidR="009C72F9" w:rsidRPr="002574EC">
        <w:t>during the protest events of 2017 alone.</w:t>
      </w:r>
      <w:r w:rsidR="00BC11D0" w:rsidRPr="002574EC">
        <w:rPr>
          <w:vertAlign w:val="superscript"/>
        </w:rPr>
        <w:footnoteReference w:id="114"/>
      </w:r>
      <w:r w:rsidR="004D6E6F" w:rsidRPr="002574EC">
        <w:t xml:space="preserve"> </w:t>
      </w:r>
      <w:r w:rsidR="000D6A02" w:rsidRPr="002574EC">
        <w:t xml:space="preserve">The Commission </w:t>
      </w:r>
      <w:r w:rsidR="003D2709" w:rsidRPr="002574EC">
        <w:t xml:space="preserve">again </w:t>
      </w:r>
      <w:r w:rsidR="00294B4B" w:rsidRPr="002574EC">
        <w:t xml:space="preserve">condemns </w:t>
      </w:r>
      <w:r w:rsidR="00A979F8" w:rsidRPr="002574EC">
        <w:t xml:space="preserve">the high number of people detained in the context of these </w:t>
      </w:r>
      <w:r w:rsidR="005207A6" w:rsidRPr="002574EC">
        <w:t xml:space="preserve">anti-government </w:t>
      </w:r>
      <w:r w:rsidR="00A979F8" w:rsidRPr="002574EC">
        <w:t>demonstrations,</w:t>
      </w:r>
      <w:r w:rsidR="00BC11D0" w:rsidRPr="002574EC">
        <w:rPr>
          <w:vertAlign w:val="superscript"/>
        </w:rPr>
        <w:footnoteReference w:id="115"/>
      </w:r>
      <w:r w:rsidR="005614CD" w:rsidRPr="002574EC">
        <w:t xml:space="preserve"> as well as the </w:t>
      </w:r>
      <w:r w:rsidR="00B10410" w:rsidRPr="002574EC">
        <w:t xml:space="preserve">improper use of the military criminal jurisdiction to </w:t>
      </w:r>
      <w:r w:rsidR="002805AF" w:rsidRPr="002574EC">
        <w:t>try civilians.</w:t>
      </w:r>
      <w:r w:rsidR="00BC11D0" w:rsidRPr="002574EC">
        <w:rPr>
          <w:vertAlign w:val="superscript"/>
        </w:rPr>
        <w:footnoteReference w:id="116"/>
      </w:r>
    </w:p>
    <w:p w14:paraId="7C626336" w14:textId="77777777" w:rsidR="00BC11D0" w:rsidRPr="002574EC" w:rsidRDefault="00BC11D0" w:rsidP="00E07D06">
      <w:pPr>
        <w:widowControl w:val="0"/>
        <w:pBdr>
          <w:top w:val="nil"/>
          <w:left w:val="nil"/>
          <w:bottom w:val="nil"/>
          <w:right w:val="nil"/>
          <w:between w:val="nil"/>
        </w:pBdr>
        <w:ind w:left="426" w:hanging="426"/>
        <w:jc w:val="both"/>
        <w:rPr>
          <w:rFonts w:ascii="Cambria" w:hAnsi="Cambria"/>
          <w:sz w:val="20"/>
          <w:szCs w:val="20"/>
        </w:rPr>
      </w:pPr>
    </w:p>
    <w:p w14:paraId="658509DF" w14:textId="3097351D" w:rsidR="00BC11D0" w:rsidRPr="002574EC" w:rsidRDefault="00BC11D0" w:rsidP="00F85814">
      <w:pPr>
        <w:pStyle w:val="ListParagraph"/>
      </w:pPr>
      <w:r w:rsidRPr="002574EC">
        <w:t>A</w:t>
      </w:r>
      <w:r w:rsidR="00FB4AB5" w:rsidRPr="002574EC">
        <w:t xml:space="preserve">dditionally, according to accounts of the </w:t>
      </w:r>
      <w:r w:rsidR="00814C6B" w:rsidRPr="002574EC">
        <w:t xml:space="preserve">next of kin </w:t>
      </w:r>
      <w:r w:rsidR="00FB4AB5" w:rsidRPr="002574EC">
        <w:t xml:space="preserve">of the detained members of the military, </w:t>
      </w:r>
      <w:r w:rsidR="00071853" w:rsidRPr="002574EC">
        <w:t xml:space="preserve">several </w:t>
      </w:r>
      <w:r w:rsidR="004D0857" w:rsidRPr="002574EC">
        <w:t xml:space="preserve">apprehensions were carried out in operations </w:t>
      </w:r>
      <w:r w:rsidR="00494A06" w:rsidRPr="002574EC">
        <w:t xml:space="preserve">using disproportionate </w:t>
      </w:r>
      <w:r w:rsidR="00967CA0" w:rsidRPr="002574EC">
        <w:t xml:space="preserve">force </w:t>
      </w:r>
      <w:r w:rsidR="00BA4491" w:rsidRPr="002574EC">
        <w:t xml:space="preserve">at the private residences of the military </w:t>
      </w:r>
      <w:r w:rsidR="00C540D4" w:rsidRPr="002574EC">
        <w:t>officers themselves</w:t>
      </w:r>
      <w:r w:rsidR="00695C07" w:rsidRPr="002574EC">
        <w:t xml:space="preserve">, where the State security agents </w:t>
      </w:r>
      <w:r w:rsidR="0041561E" w:rsidRPr="002574EC">
        <w:t xml:space="preserve">stole </w:t>
      </w:r>
      <w:r w:rsidR="00E61B32" w:rsidRPr="002574EC">
        <w:t>personal items and held</w:t>
      </w:r>
      <w:r w:rsidR="00F17641" w:rsidRPr="002574EC">
        <w:t xml:space="preserve"> those present</w:t>
      </w:r>
      <w:r w:rsidR="00E61B32" w:rsidRPr="002574EC">
        <w:t xml:space="preserve"> for several hours; even, beating and kicking th</w:t>
      </w:r>
      <w:r w:rsidR="00984B10" w:rsidRPr="002574EC">
        <w:t>e detainees</w:t>
      </w:r>
      <w:r w:rsidR="00E61B32" w:rsidRPr="002574EC">
        <w:t xml:space="preserve"> in front of their families. </w:t>
      </w:r>
    </w:p>
    <w:p w14:paraId="40489940" w14:textId="77777777" w:rsidR="00BC11D0" w:rsidRPr="002574EC" w:rsidRDefault="00BC11D0" w:rsidP="00E07D06">
      <w:pPr>
        <w:widowControl w:val="0"/>
        <w:pBdr>
          <w:top w:val="nil"/>
          <w:left w:val="nil"/>
          <w:bottom w:val="nil"/>
          <w:right w:val="nil"/>
          <w:between w:val="nil"/>
        </w:pBdr>
        <w:ind w:left="426" w:hanging="426"/>
        <w:jc w:val="both"/>
        <w:rPr>
          <w:rFonts w:ascii="Cambria" w:hAnsi="Cambria"/>
          <w:sz w:val="20"/>
          <w:szCs w:val="20"/>
        </w:rPr>
      </w:pPr>
    </w:p>
    <w:p w14:paraId="3E3E40D6" w14:textId="7B1826A0" w:rsidR="00BC11D0" w:rsidRPr="002574EC" w:rsidRDefault="000B3312" w:rsidP="00F85814">
      <w:pPr>
        <w:pStyle w:val="ListParagraph"/>
        <w:rPr>
          <w:color w:val="000000"/>
        </w:rPr>
      </w:pPr>
      <w:r w:rsidRPr="002574EC">
        <w:t xml:space="preserve">The IACHR </w:t>
      </w:r>
      <w:r w:rsidR="00D516EF" w:rsidRPr="002574EC">
        <w:t xml:space="preserve">finds that the lack of independence of the administration of justice system paved the way for the use and manipulation of </w:t>
      </w:r>
      <w:r w:rsidR="008D56EA" w:rsidRPr="002574EC">
        <w:t xml:space="preserve">penal </w:t>
      </w:r>
      <w:r w:rsidR="00D516EF" w:rsidRPr="002574EC">
        <w:t xml:space="preserve">law to criminalize and prosecute voices criticizing or opposing the government. </w:t>
      </w:r>
      <w:r w:rsidR="00420E7F" w:rsidRPr="002574EC">
        <w:t xml:space="preserve">The testimonies </w:t>
      </w:r>
      <w:r w:rsidR="00EF2D20" w:rsidRPr="002574EC">
        <w:t xml:space="preserve">gathered </w:t>
      </w:r>
      <w:r w:rsidR="00F73DDE" w:rsidRPr="002574EC">
        <w:t xml:space="preserve">report countless violations of fair trial protections such as recurring changes in prosecutors, frequent postponement of </w:t>
      </w:r>
      <w:r w:rsidR="00FA488A" w:rsidRPr="002574EC">
        <w:t xml:space="preserve">hearings and limited access to technical defense. </w:t>
      </w:r>
    </w:p>
    <w:p w14:paraId="754A2D9A" w14:textId="77777777" w:rsidR="00BC11D0" w:rsidRPr="002574EC" w:rsidRDefault="00BC11D0" w:rsidP="00E07D06">
      <w:pPr>
        <w:widowControl w:val="0"/>
        <w:pBdr>
          <w:top w:val="nil"/>
          <w:left w:val="nil"/>
          <w:bottom w:val="nil"/>
          <w:right w:val="nil"/>
          <w:between w:val="nil"/>
        </w:pBdr>
        <w:ind w:left="426" w:hanging="426"/>
        <w:jc w:val="both"/>
        <w:rPr>
          <w:rFonts w:ascii="Cambria" w:hAnsi="Cambria"/>
          <w:sz w:val="20"/>
          <w:szCs w:val="20"/>
        </w:rPr>
      </w:pPr>
    </w:p>
    <w:p w14:paraId="39C4614F" w14:textId="5D47CB85" w:rsidR="00BC11D0" w:rsidRPr="002574EC" w:rsidRDefault="000124E9" w:rsidP="00F85814">
      <w:pPr>
        <w:pStyle w:val="ListParagraph"/>
        <w:rPr>
          <w:color w:val="000000"/>
        </w:rPr>
      </w:pPr>
      <w:r w:rsidRPr="002574EC">
        <w:t xml:space="preserve">The lack of independence of the judiciary, furthermore, exposes these individuals to countless violations of their fair trial rights such as: recurring </w:t>
      </w:r>
      <w:r w:rsidR="003A038F" w:rsidRPr="002574EC">
        <w:t xml:space="preserve">continuances of hearings, frequent changes </w:t>
      </w:r>
      <w:r w:rsidR="00FD36E3" w:rsidRPr="002574EC">
        <w:t>in lead</w:t>
      </w:r>
      <w:r w:rsidR="003A038F" w:rsidRPr="002574EC">
        <w:t xml:space="preserve"> prosecutors</w:t>
      </w:r>
      <w:r w:rsidR="00C74E2B" w:rsidRPr="002574EC">
        <w:t xml:space="preserve">; </w:t>
      </w:r>
      <w:r w:rsidR="00535087" w:rsidRPr="002574EC">
        <w:t xml:space="preserve">lack of access to a technical defense, among other violations. </w:t>
      </w:r>
      <w:r w:rsidR="00FD36E3" w:rsidRPr="002574EC">
        <w:t xml:space="preserve"> </w:t>
      </w:r>
      <w:r w:rsidR="00707FB2" w:rsidRPr="002574EC">
        <w:t xml:space="preserve">As supporting evidence, </w:t>
      </w:r>
      <w:r w:rsidR="007D2816" w:rsidRPr="002574EC">
        <w:t>the Independent International Fact-Finding Mission on Venezuela</w:t>
      </w:r>
      <w:r w:rsidR="00833679" w:rsidRPr="002574EC">
        <w:t xml:space="preserve"> </w:t>
      </w:r>
      <w:r w:rsidR="00DF0806" w:rsidRPr="002574EC">
        <w:t>examined</w:t>
      </w:r>
      <w:r w:rsidR="00A01D5A" w:rsidRPr="002574EC">
        <w:t xml:space="preserve"> </w:t>
      </w:r>
      <w:r w:rsidR="007D2816" w:rsidRPr="002574EC">
        <w:t>170 cases</w:t>
      </w:r>
      <w:r w:rsidR="00B6763B" w:rsidRPr="002574EC">
        <w:t xml:space="preserve"> where charges were filed against</w:t>
      </w:r>
      <w:r w:rsidR="00585284" w:rsidRPr="002574EC">
        <w:t xml:space="preserve"> </w:t>
      </w:r>
      <w:r w:rsidR="00426481" w:rsidRPr="002574EC">
        <w:t>the defendant</w:t>
      </w:r>
      <w:r w:rsidR="00B6763B" w:rsidRPr="002574EC">
        <w:t xml:space="preserve"> and</w:t>
      </w:r>
      <w:r w:rsidR="00426481" w:rsidRPr="002574EC">
        <w:t xml:space="preserve">, </w:t>
      </w:r>
      <w:r w:rsidR="00EB0FC0" w:rsidRPr="002574EC">
        <w:t>in at least 54 cases (32%)</w:t>
      </w:r>
      <w:r w:rsidR="00E25DF0" w:rsidRPr="002574EC">
        <w:t>,</w:t>
      </w:r>
      <w:r w:rsidR="00EB0FC0" w:rsidRPr="002574EC">
        <w:t xml:space="preserve"> </w:t>
      </w:r>
      <w:r w:rsidR="004E669A" w:rsidRPr="002574EC">
        <w:t xml:space="preserve">judges denied the accused the right to counsel of their choice at the initial appearance or subsequent </w:t>
      </w:r>
      <w:r w:rsidR="00EB0FC0" w:rsidRPr="002574EC">
        <w:t>investigation phase.</w:t>
      </w:r>
      <w:r w:rsidR="00BC11D0" w:rsidRPr="002574EC">
        <w:rPr>
          <w:vertAlign w:val="superscript"/>
        </w:rPr>
        <w:footnoteReference w:id="117"/>
      </w:r>
    </w:p>
    <w:p w14:paraId="3DD5F0FC" w14:textId="77777777" w:rsidR="00BC11D0" w:rsidRPr="002574EC" w:rsidRDefault="00BC11D0" w:rsidP="00E07D06">
      <w:pPr>
        <w:widowControl w:val="0"/>
        <w:pBdr>
          <w:top w:val="nil"/>
          <w:left w:val="nil"/>
          <w:bottom w:val="nil"/>
          <w:right w:val="nil"/>
          <w:between w:val="nil"/>
        </w:pBdr>
        <w:ind w:left="426" w:hanging="426"/>
        <w:jc w:val="both"/>
        <w:rPr>
          <w:rFonts w:ascii="Cambria" w:hAnsi="Cambria"/>
          <w:sz w:val="20"/>
          <w:szCs w:val="20"/>
        </w:rPr>
      </w:pPr>
    </w:p>
    <w:p w14:paraId="538AD2DB" w14:textId="08D50BEB" w:rsidR="00BC11D0" w:rsidRPr="002574EC" w:rsidRDefault="001C272A" w:rsidP="00F85814">
      <w:pPr>
        <w:pStyle w:val="ListParagraph"/>
      </w:pPr>
      <w:r w:rsidRPr="002574EC">
        <w:t xml:space="preserve">In this regard, the Commission recalls that a detention is arbitrary and unlawful when </w:t>
      </w:r>
      <w:r w:rsidR="008553E7" w:rsidRPr="002574EC">
        <w:t xml:space="preserve">it is conducted </w:t>
      </w:r>
      <w:r w:rsidRPr="002574EC">
        <w:t>outside of the grounds and the formalities prescribed by law, when it is executed without observing the procedures that the law prescribes, and when the arrest is made for purposes other than those that the law prescribes and requires.</w:t>
      </w:r>
      <w:r w:rsidR="00BC11D0" w:rsidRPr="002574EC">
        <w:rPr>
          <w:vertAlign w:val="superscript"/>
        </w:rPr>
        <w:footnoteReference w:id="118"/>
      </w:r>
      <w:r w:rsidRPr="002574EC">
        <w:t xml:space="preserve"> </w:t>
      </w:r>
      <w:r w:rsidR="00BC11D0" w:rsidRPr="002574EC">
        <w:t xml:space="preserve"> </w:t>
      </w:r>
      <w:r w:rsidR="008F061A" w:rsidRPr="002574EC">
        <w:t xml:space="preserve">Once again, it reiterates that </w:t>
      </w:r>
      <w:r w:rsidR="0034719F" w:rsidRPr="002574EC">
        <w:t xml:space="preserve">in </w:t>
      </w:r>
      <w:r w:rsidR="008F061A" w:rsidRPr="002574EC">
        <w:t xml:space="preserve">a democratic State under the rule of law, the military criminal jurisdiction </w:t>
      </w:r>
      <w:r w:rsidR="00171C45" w:rsidRPr="002574EC">
        <w:t xml:space="preserve">must be </w:t>
      </w:r>
      <w:r w:rsidR="0079146C" w:rsidRPr="002574EC">
        <w:t xml:space="preserve">of </w:t>
      </w:r>
      <w:r w:rsidR="00BF75B6" w:rsidRPr="002574EC">
        <w:t xml:space="preserve">a </w:t>
      </w:r>
      <w:r w:rsidR="0079146C" w:rsidRPr="002574EC">
        <w:t xml:space="preserve">restricted </w:t>
      </w:r>
      <w:r w:rsidR="00BF75B6" w:rsidRPr="002574EC">
        <w:t>scope</w:t>
      </w:r>
      <w:r w:rsidR="006052BD" w:rsidRPr="002574EC">
        <w:t>, aimed at protecting special legal interests</w:t>
      </w:r>
      <w:r w:rsidR="00963DF4" w:rsidRPr="002574EC">
        <w:t>.</w:t>
      </w:r>
      <w:r w:rsidR="006052BD" w:rsidRPr="002574EC">
        <w:t xml:space="preserve"> </w:t>
      </w:r>
      <w:r w:rsidR="00963DF4" w:rsidRPr="002574EC">
        <w:t xml:space="preserve">Therefore, </w:t>
      </w:r>
      <w:r w:rsidR="004450BF" w:rsidRPr="002574EC">
        <w:t xml:space="preserve">civilians must be excluded from </w:t>
      </w:r>
      <w:r w:rsidR="00B326D0" w:rsidRPr="002574EC">
        <w:t>prosecution under the</w:t>
      </w:r>
      <w:r w:rsidR="00A961DA" w:rsidRPr="002574EC">
        <w:t xml:space="preserve"> </w:t>
      </w:r>
      <w:r w:rsidR="004450BF" w:rsidRPr="002574EC">
        <w:t xml:space="preserve">military jurisdiction and only </w:t>
      </w:r>
      <w:r w:rsidR="001D40C0" w:rsidRPr="002574EC">
        <w:t xml:space="preserve">members of the military must be tried thereunder </w:t>
      </w:r>
      <w:r w:rsidR="004450BF" w:rsidRPr="002574EC">
        <w:t>for the commission of crimes or misdemeanors which</w:t>
      </w:r>
      <w:r w:rsidR="00691254" w:rsidRPr="002574EC">
        <w:t>,</w:t>
      </w:r>
      <w:r w:rsidR="004450BF" w:rsidRPr="002574EC">
        <w:t xml:space="preserve"> because of their very nature</w:t>
      </w:r>
      <w:r w:rsidR="00691254" w:rsidRPr="002574EC">
        <w:t>,</w:t>
      </w:r>
      <w:r w:rsidR="004450BF" w:rsidRPr="002574EC">
        <w:t xml:space="preserve"> undermine legal interests </w:t>
      </w:r>
      <w:r w:rsidR="00FD7AF4" w:rsidRPr="002574EC">
        <w:t xml:space="preserve">belonging to </w:t>
      </w:r>
      <w:r w:rsidR="00C8348D" w:rsidRPr="002574EC">
        <w:t>the military order.</w:t>
      </w:r>
      <w:r w:rsidR="00BC11D0" w:rsidRPr="002574EC">
        <w:rPr>
          <w:vertAlign w:val="superscript"/>
        </w:rPr>
        <w:footnoteReference w:id="119"/>
      </w:r>
    </w:p>
    <w:p w14:paraId="0FC7F733" w14:textId="77777777" w:rsidR="00BC11D0" w:rsidRPr="002574EC" w:rsidRDefault="00BC11D0" w:rsidP="00E07D06">
      <w:pPr>
        <w:widowControl w:val="0"/>
        <w:pBdr>
          <w:top w:val="nil"/>
          <w:left w:val="nil"/>
          <w:bottom w:val="nil"/>
          <w:right w:val="nil"/>
          <w:between w:val="nil"/>
        </w:pBdr>
        <w:ind w:left="426" w:hanging="426"/>
        <w:jc w:val="both"/>
        <w:rPr>
          <w:rFonts w:ascii="Cambria" w:hAnsi="Cambria"/>
          <w:sz w:val="20"/>
          <w:szCs w:val="20"/>
        </w:rPr>
      </w:pPr>
    </w:p>
    <w:p w14:paraId="056318A0" w14:textId="21A1E0B6" w:rsidR="00BC11D0" w:rsidRPr="002574EC" w:rsidRDefault="00D84BEC" w:rsidP="00F85814">
      <w:pPr>
        <w:pStyle w:val="ListParagraph"/>
      </w:pPr>
      <w:r w:rsidRPr="002574EC">
        <w:t xml:space="preserve">The IACHR condemns </w:t>
      </w:r>
      <w:r w:rsidR="00E53D11" w:rsidRPr="002574EC">
        <w:t xml:space="preserve">the arbitrary detentions </w:t>
      </w:r>
      <w:r w:rsidR="00C65A81" w:rsidRPr="002574EC">
        <w:t xml:space="preserve">of </w:t>
      </w:r>
      <w:r w:rsidR="00E53D11" w:rsidRPr="002574EC">
        <w:t xml:space="preserve">people perceived as </w:t>
      </w:r>
      <w:r w:rsidR="00AB4E40" w:rsidRPr="002574EC">
        <w:t xml:space="preserve">members of the </w:t>
      </w:r>
      <w:r w:rsidR="00E53D11" w:rsidRPr="002574EC">
        <w:t xml:space="preserve">opposition or </w:t>
      </w:r>
      <w:r w:rsidR="000E1C5D" w:rsidRPr="002574EC">
        <w:t xml:space="preserve">who </w:t>
      </w:r>
      <w:r w:rsidR="00E53D11" w:rsidRPr="002574EC">
        <w:t xml:space="preserve">make </w:t>
      </w:r>
      <w:r w:rsidR="00935706" w:rsidRPr="002574EC">
        <w:t xml:space="preserve">public </w:t>
      </w:r>
      <w:r w:rsidR="00E53D11" w:rsidRPr="002574EC">
        <w:t xml:space="preserve">their dissent from the government line. </w:t>
      </w:r>
      <w:r w:rsidR="00810BB8" w:rsidRPr="002574EC">
        <w:t xml:space="preserve">It also recalls that the imprisonment of </w:t>
      </w:r>
      <w:r w:rsidR="00810BB8" w:rsidRPr="002574EC">
        <w:lastRenderedPageBreak/>
        <w:t>persons in violation of</w:t>
      </w:r>
      <w:r w:rsidR="00D13A41" w:rsidRPr="002574EC">
        <w:t xml:space="preserve"> the rules of</w:t>
      </w:r>
      <w:r w:rsidR="00810BB8" w:rsidRPr="002574EC">
        <w:t xml:space="preserve"> international </w:t>
      </w:r>
      <w:r w:rsidR="009A0ACB" w:rsidRPr="002574EC">
        <w:t xml:space="preserve">law </w:t>
      </w:r>
      <w:r w:rsidR="00810BB8" w:rsidRPr="002574EC">
        <w:t xml:space="preserve">is </w:t>
      </w:r>
      <w:r w:rsidR="00F70161" w:rsidRPr="002574EC">
        <w:t xml:space="preserve">defined </w:t>
      </w:r>
      <w:r w:rsidR="00810BB8" w:rsidRPr="002574EC">
        <w:t>as a crime against humanity in the Rome Statute.</w:t>
      </w:r>
      <w:r w:rsidR="00BC11D0" w:rsidRPr="002574EC">
        <w:rPr>
          <w:vertAlign w:val="superscript"/>
        </w:rPr>
        <w:footnoteReference w:id="120"/>
      </w:r>
    </w:p>
    <w:p w14:paraId="43E45A5A" w14:textId="72E63BE0" w:rsidR="00046E0A" w:rsidRPr="002574EC" w:rsidRDefault="00046E0A" w:rsidP="00E07D06">
      <w:pPr>
        <w:widowControl w:val="0"/>
        <w:pBdr>
          <w:top w:val="nil"/>
          <w:left w:val="nil"/>
          <w:bottom w:val="nil"/>
          <w:right w:val="nil"/>
          <w:between w:val="nil"/>
        </w:pBdr>
        <w:ind w:left="426" w:hanging="426"/>
        <w:jc w:val="both"/>
        <w:rPr>
          <w:rFonts w:ascii="Cambria" w:hAnsi="Cambria"/>
          <w:sz w:val="20"/>
          <w:szCs w:val="20"/>
        </w:rPr>
      </w:pPr>
    </w:p>
    <w:p w14:paraId="188E0F09" w14:textId="2C2C72D7" w:rsidR="00586359" w:rsidRPr="002574EC" w:rsidRDefault="006E6E24" w:rsidP="00E07D06">
      <w:pPr>
        <w:widowControl w:val="0"/>
        <w:pBdr>
          <w:top w:val="nil"/>
          <w:left w:val="nil"/>
          <w:bottom w:val="nil"/>
          <w:right w:val="nil"/>
          <w:between w:val="nil"/>
        </w:pBdr>
        <w:spacing w:line="276" w:lineRule="auto"/>
        <w:ind w:left="426" w:hanging="426"/>
        <w:jc w:val="both"/>
        <w:rPr>
          <w:rFonts w:ascii="Cambria" w:hAnsi="Cambria"/>
          <w:b/>
          <w:i/>
          <w:color w:val="000000"/>
          <w:sz w:val="20"/>
          <w:szCs w:val="20"/>
        </w:rPr>
      </w:pPr>
      <w:r w:rsidRPr="002574EC">
        <w:rPr>
          <w:rFonts w:ascii="Cambria" w:hAnsi="Cambria"/>
          <w:b/>
          <w:i/>
          <w:color w:val="000000"/>
          <w:sz w:val="20"/>
          <w:szCs w:val="20"/>
        </w:rPr>
        <w:t xml:space="preserve">Forced disappearances </w:t>
      </w:r>
    </w:p>
    <w:p w14:paraId="27F43606" w14:textId="77777777" w:rsidR="002B4AC3" w:rsidRPr="002574EC" w:rsidRDefault="002B4AC3" w:rsidP="00E07D06">
      <w:pPr>
        <w:widowControl w:val="0"/>
        <w:pBdr>
          <w:top w:val="nil"/>
          <w:left w:val="nil"/>
          <w:bottom w:val="nil"/>
          <w:right w:val="nil"/>
          <w:between w:val="nil"/>
        </w:pBdr>
        <w:spacing w:line="276" w:lineRule="auto"/>
        <w:ind w:left="426" w:hanging="426"/>
        <w:jc w:val="both"/>
        <w:rPr>
          <w:rFonts w:ascii="Cambria" w:hAnsi="Cambria"/>
          <w:color w:val="000000"/>
          <w:sz w:val="20"/>
          <w:szCs w:val="20"/>
        </w:rPr>
      </w:pPr>
    </w:p>
    <w:p w14:paraId="1CE38212" w14:textId="350972E4" w:rsidR="00586359" w:rsidRPr="002574EC" w:rsidRDefault="009C2193" w:rsidP="00F85814">
      <w:pPr>
        <w:pStyle w:val="ListParagraph"/>
        <w:rPr>
          <w:color w:val="000000"/>
        </w:rPr>
      </w:pPr>
      <w:r w:rsidRPr="002574EC">
        <w:t xml:space="preserve">The Inter-American Commission observes that </w:t>
      </w:r>
      <w:r w:rsidR="00386282" w:rsidRPr="002574EC">
        <w:t xml:space="preserve">the </w:t>
      </w:r>
      <w:r w:rsidR="005D64A2" w:rsidRPr="002574EC">
        <w:t xml:space="preserve">systematic </w:t>
      </w:r>
      <w:r w:rsidRPr="002574EC">
        <w:t>temporary forced disappearance</w:t>
      </w:r>
      <w:r w:rsidR="004E502E" w:rsidRPr="002574EC">
        <w:t xml:space="preserve">, mostly of people perceived as opposition members, has been a practice in Venezuela. </w:t>
      </w:r>
      <w:r w:rsidR="00CC2992" w:rsidRPr="002574EC">
        <w:t>These disappearance</w:t>
      </w:r>
      <w:r w:rsidR="0039392A" w:rsidRPr="002574EC">
        <w:t>s</w:t>
      </w:r>
      <w:r w:rsidR="00CC2992" w:rsidRPr="002574EC">
        <w:t xml:space="preserve"> mostly result from the deliberate refusal of authorities to report the whereabouts of persons in State custody, as well as the failure to bring these detainees before courts within the statutory time of 48 hours following the detention</w:t>
      </w:r>
      <w:r w:rsidR="00586359" w:rsidRPr="002574EC">
        <w:t>.</w:t>
      </w:r>
      <w:r w:rsidR="001D3D5D" w:rsidRPr="002574EC">
        <w:t xml:space="preserve"> The forced disappearances generally last for a few hours or days from the time of their detention by agents of the State.</w:t>
      </w:r>
    </w:p>
    <w:p w14:paraId="5F01B00C" w14:textId="77777777" w:rsidR="00586359" w:rsidRPr="002574EC" w:rsidRDefault="00586359" w:rsidP="00E07D06">
      <w:pPr>
        <w:pBdr>
          <w:top w:val="nil"/>
          <w:left w:val="nil"/>
          <w:bottom w:val="nil"/>
          <w:right w:val="nil"/>
          <w:between w:val="nil"/>
        </w:pBdr>
        <w:ind w:left="426" w:hanging="426"/>
        <w:jc w:val="both"/>
        <w:rPr>
          <w:rFonts w:ascii="Cambria" w:hAnsi="Cambria"/>
          <w:color w:val="000000"/>
          <w:sz w:val="20"/>
          <w:szCs w:val="20"/>
        </w:rPr>
      </w:pPr>
    </w:p>
    <w:p w14:paraId="5ECBAF73" w14:textId="129A11B1" w:rsidR="00586359" w:rsidRPr="002574EC" w:rsidRDefault="006F5978" w:rsidP="00F85814">
      <w:pPr>
        <w:pStyle w:val="ListParagraph"/>
      </w:pPr>
      <w:r w:rsidRPr="002574EC">
        <w:t xml:space="preserve">In </w:t>
      </w:r>
      <w:r w:rsidR="00181769" w:rsidRPr="002574EC">
        <w:t xml:space="preserve">2021, </w:t>
      </w:r>
      <w:r w:rsidRPr="002574EC">
        <w:t xml:space="preserve">the organization </w:t>
      </w:r>
      <w:r w:rsidR="00181769" w:rsidRPr="002574EC">
        <w:t xml:space="preserve">Foro Penal </w:t>
      </w:r>
      <w:r w:rsidR="003D6F56" w:rsidRPr="002574EC">
        <w:t xml:space="preserve">reported </w:t>
      </w:r>
      <w:r w:rsidRPr="002574EC">
        <w:t xml:space="preserve">5 </w:t>
      </w:r>
      <w:r w:rsidR="00C93933" w:rsidRPr="002574EC">
        <w:t xml:space="preserve">forced </w:t>
      </w:r>
      <w:r w:rsidRPr="002574EC">
        <w:t>disappearances</w:t>
      </w:r>
      <w:r w:rsidR="00EE4803" w:rsidRPr="002574EC">
        <w:t>.</w:t>
      </w:r>
      <w:r w:rsidR="00E17A4F" w:rsidRPr="002574EC">
        <w:rPr>
          <w:rStyle w:val="FootnoteReference"/>
          <w:color w:val="000000"/>
        </w:rPr>
        <w:footnoteReference w:id="121"/>
      </w:r>
      <w:r w:rsidR="00EE4803" w:rsidRPr="002574EC">
        <w:t xml:space="preserve"> </w:t>
      </w:r>
      <w:r w:rsidR="003D6F56" w:rsidRPr="002574EC">
        <w:t xml:space="preserve">Additionally, a report published in 2020 by that organization jointly with </w:t>
      </w:r>
      <w:r w:rsidR="00586359" w:rsidRPr="002574EC">
        <w:t>Robert F. Kennedy Human Rights</w:t>
      </w:r>
      <w:r w:rsidR="003D6F56" w:rsidRPr="002574EC">
        <w:t xml:space="preserve">, </w:t>
      </w:r>
      <w:r w:rsidR="00EF58B2" w:rsidRPr="002574EC">
        <w:t>documented that in the first quarter of 2020, there were 33 forced disappearances, 524 in 2019 and 200 in 2018.</w:t>
      </w:r>
      <w:r w:rsidR="00586359" w:rsidRPr="002574EC">
        <w:rPr>
          <w:vertAlign w:val="superscript"/>
        </w:rPr>
        <w:footnoteReference w:id="122"/>
      </w:r>
      <w:r w:rsidR="00586359" w:rsidRPr="002574EC">
        <w:t xml:space="preserve"> </w:t>
      </w:r>
    </w:p>
    <w:p w14:paraId="4716A89E" w14:textId="77777777" w:rsidR="00586359" w:rsidRPr="002574EC" w:rsidRDefault="00586359" w:rsidP="00E07D06">
      <w:pPr>
        <w:widowControl w:val="0"/>
        <w:pBdr>
          <w:top w:val="nil"/>
          <w:left w:val="nil"/>
          <w:bottom w:val="nil"/>
          <w:right w:val="nil"/>
          <w:between w:val="nil"/>
        </w:pBdr>
        <w:ind w:left="426" w:hanging="426"/>
        <w:jc w:val="both"/>
        <w:rPr>
          <w:rFonts w:ascii="Cambria" w:hAnsi="Cambria"/>
          <w:sz w:val="20"/>
          <w:szCs w:val="20"/>
        </w:rPr>
      </w:pPr>
    </w:p>
    <w:p w14:paraId="4F93F6AF" w14:textId="76E44CDB" w:rsidR="00586359" w:rsidRPr="002574EC" w:rsidRDefault="00AD2BFD" w:rsidP="00F85814">
      <w:pPr>
        <w:pStyle w:val="ListParagraph"/>
        <w:rPr>
          <w:color w:val="000000"/>
        </w:rPr>
      </w:pPr>
      <w:r w:rsidRPr="002574EC">
        <w:t xml:space="preserve">The Inter-American Commission finds that the lack of independence of the judiciary and the Office of the Public Prosecutor is a contributing factor to </w:t>
      </w:r>
      <w:r w:rsidR="00B43DE5" w:rsidRPr="002574EC">
        <w:t xml:space="preserve">the detention of </w:t>
      </w:r>
      <w:r w:rsidRPr="002574EC">
        <w:t xml:space="preserve">people who are perceived as opponents to the government </w:t>
      </w:r>
      <w:r w:rsidR="007E6A0D" w:rsidRPr="002574EC">
        <w:t xml:space="preserve">and then </w:t>
      </w:r>
      <w:r w:rsidR="001203B1" w:rsidRPr="002574EC">
        <w:t xml:space="preserve">they are not </w:t>
      </w:r>
      <w:r w:rsidRPr="002574EC">
        <w:t xml:space="preserve">brought before a court for an initial appearance within the statutory </w:t>
      </w:r>
      <w:r w:rsidR="00AD74D3" w:rsidRPr="002574EC">
        <w:t xml:space="preserve">time </w:t>
      </w:r>
      <w:r w:rsidR="0073174C" w:rsidRPr="002574EC">
        <w:t>period</w:t>
      </w:r>
      <w:r w:rsidR="00D7796F" w:rsidRPr="002574EC">
        <w:t xml:space="preserve">. </w:t>
      </w:r>
      <w:r w:rsidR="00085A22" w:rsidRPr="002574EC">
        <w:t>Several testimonies taken by the IACHR suggest that temporary forced disappearances serve as a tool of political repression in Venezuela.</w:t>
      </w:r>
    </w:p>
    <w:p w14:paraId="081FDFD4" w14:textId="77777777" w:rsidR="00586359" w:rsidRPr="002574EC" w:rsidRDefault="00586359" w:rsidP="00E07D06">
      <w:pPr>
        <w:widowControl w:val="0"/>
        <w:pBdr>
          <w:top w:val="nil"/>
          <w:left w:val="nil"/>
          <w:bottom w:val="nil"/>
          <w:right w:val="nil"/>
          <w:between w:val="nil"/>
        </w:pBdr>
        <w:ind w:left="426" w:hanging="426"/>
        <w:jc w:val="both"/>
        <w:rPr>
          <w:rFonts w:ascii="Cambria" w:hAnsi="Cambria"/>
          <w:sz w:val="20"/>
          <w:szCs w:val="20"/>
        </w:rPr>
      </w:pPr>
    </w:p>
    <w:p w14:paraId="49DA841C" w14:textId="41F52DA4" w:rsidR="00586359" w:rsidRPr="002574EC" w:rsidRDefault="001171A4" w:rsidP="00F85814">
      <w:pPr>
        <w:pStyle w:val="ListParagraph"/>
        <w:rPr>
          <w:color w:val="000000"/>
        </w:rPr>
      </w:pPr>
      <w:r w:rsidRPr="002574EC">
        <w:t>The IACHR recalls that, under the Inter-American Convention on the Forced Disappearance of Persons, “</w:t>
      </w:r>
      <w:r w:rsidR="004D2ADE" w:rsidRPr="002574EC">
        <w:t>forced disappearance is considered to be the act of depriving a person or persons of his or their freedom, in whatever way, perpetrated by agents of the state or by persons or groups of persons acting with the authorization, support, or acquiescence of the state, followed by an absence of information or a refusal to acknowledge that deprivation of freedom or to give information on the whereabouts of that person, thereby impeding his or her recourse to the applicable legal remedies and procedural guarantees.</w:t>
      </w:r>
      <w:r w:rsidR="00586359" w:rsidRPr="002574EC">
        <w:t>"</w:t>
      </w:r>
      <w:r w:rsidR="00586359" w:rsidRPr="002574EC">
        <w:rPr>
          <w:vertAlign w:val="superscript"/>
        </w:rPr>
        <w:footnoteReference w:id="123"/>
      </w:r>
      <w:r w:rsidR="00586359" w:rsidRPr="002574EC">
        <w:t xml:space="preserve"> </w:t>
      </w:r>
      <w:r w:rsidR="002F2262" w:rsidRPr="002574EC">
        <w:t xml:space="preserve">Moreover, the Inter-American Commission highlights the </w:t>
      </w:r>
      <w:r w:rsidR="001203B1" w:rsidRPr="002574EC">
        <w:t xml:space="preserve">prounouncement </w:t>
      </w:r>
      <w:r w:rsidR="002F2262" w:rsidRPr="002574EC">
        <w:t xml:space="preserve">of the United Nations Working Group </w:t>
      </w:r>
      <w:r w:rsidR="00487F52" w:rsidRPr="002574EC">
        <w:t>on Enforced or Involuntary Disappearance that “there is no time limit, no matter how short, for an enforced disappearance to occur.</w:t>
      </w:r>
      <w:r w:rsidR="00586359" w:rsidRPr="002574EC">
        <w:t>”</w:t>
      </w:r>
      <w:r w:rsidR="00586359" w:rsidRPr="002574EC">
        <w:rPr>
          <w:vertAlign w:val="superscript"/>
        </w:rPr>
        <w:footnoteReference w:id="124"/>
      </w:r>
    </w:p>
    <w:p w14:paraId="5F0AF392" w14:textId="77777777" w:rsidR="00586359" w:rsidRPr="002574EC" w:rsidRDefault="00586359" w:rsidP="00E07D06">
      <w:pPr>
        <w:widowControl w:val="0"/>
        <w:pBdr>
          <w:top w:val="nil"/>
          <w:left w:val="nil"/>
          <w:bottom w:val="nil"/>
          <w:right w:val="nil"/>
          <w:between w:val="nil"/>
        </w:pBdr>
        <w:ind w:left="426" w:hanging="426"/>
        <w:jc w:val="both"/>
        <w:rPr>
          <w:rFonts w:ascii="Cambria" w:hAnsi="Cambria"/>
          <w:sz w:val="20"/>
          <w:szCs w:val="20"/>
        </w:rPr>
      </w:pPr>
    </w:p>
    <w:p w14:paraId="422F1A3B" w14:textId="162D6D97" w:rsidR="00586359" w:rsidRPr="002574EC" w:rsidRDefault="00604A26" w:rsidP="00F85814">
      <w:pPr>
        <w:pStyle w:val="ListParagraph"/>
        <w:rPr>
          <w:color w:val="000000"/>
        </w:rPr>
      </w:pPr>
      <w:r w:rsidRPr="002574EC">
        <w:t xml:space="preserve">Additionally, </w:t>
      </w:r>
      <w:r w:rsidR="00B55CE7" w:rsidRPr="002574EC">
        <w:t>the IACHR</w:t>
      </w:r>
      <w:r w:rsidRPr="002574EC">
        <w:t xml:space="preserve"> </w:t>
      </w:r>
      <w:r w:rsidR="003435DC" w:rsidRPr="002574EC">
        <w:t>recalls that the prohibition of forced disappearance is absolute, and that this practice constitutes one of the wors</w:t>
      </w:r>
      <w:r w:rsidR="005865DC" w:rsidRPr="002574EC">
        <w:t>t</w:t>
      </w:r>
      <w:r w:rsidR="003435DC" w:rsidRPr="002574EC">
        <w:t xml:space="preserve"> human rights violations given its </w:t>
      </w:r>
      <w:r w:rsidR="00E5691C" w:rsidRPr="002574EC">
        <w:t>pluri</w:t>
      </w:r>
      <w:r w:rsidR="00511E85" w:rsidRPr="002574EC">
        <w:t>-</w:t>
      </w:r>
      <w:r w:rsidR="003435DC" w:rsidRPr="002574EC">
        <w:t>offensive and continuous nature,</w:t>
      </w:r>
      <w:r w:rsidR="00586359" w:rsidRPr="002574EC">
        <w:rPr>
          <w:color w:val="000000"/>
          <w:vertAlign w:val="superscript"/>
        </w:rPr>
        <w:footnoteReference w:id="125"/>
      </w:r>
      <w:r w:rsidR="00511E85" w:rsidRPr="002574EC">
        <w:rPr>
          <w:color w:val="000000"/>
        </w:rPr>
        <w:t xml:space="preserve"> as well as </w:t>
      </w:r>
      <w:r w:rsidR="00BE2B56" w:rsidRPr="002574EC">
        <w:rPr>
          <w:color w:val="000000"/>
        </w:rPr>
        <w:t>it</w:t>
      </w:r>
      <w:r w:rsidR="00511E85" w:rsidRPr="002574EC">
        <w:rPr>
          <w:color w:val="000000"/>
        </w:rPr>
        <w:t xml:space="preserve"> being a crime against humanity.</w:t>
      </w:r>
      <w:r w:rsidR="00586359" w:rsidRPr="002574EC">
        <w:rPr>
          <w:color w:val="000000"/>
          <w:vertAlign w:val="superscript"/>
        </w:rPr>
        <w:footnoteReference w:id="126"/>
      </w:r>
      <w:r w:rsidR="00586359" w:rsidRPr="002574EC">
        <w:rPr>
          <w:color w:val="000000"/>
        </w:rPr>
        <w:t xml:space="preserve"> </w:t>
      </w:r>
      <w:r w:rsidR="00B55CE7" w:rsidRPr="002574EC">
        <w:rPr>
          <w:color w:val="000000"/>
        </w:rPr>
        <w:t>Likewise, it notes that, pursuant to Inter-American standards, the State is obligated to keep an up-to-date register</w:t>
      </w:r>
      <w:r w:rsidR="00654553" w:rsidRPr="002574EC">
        <w:rPr>
          <w:color w:val="000000"/>
        </w:rPr>
        <w:t xml:space="preserve"> of detentions, swiftly provide</w:t>
      </w:r>
      <w:r w:rsidR="0084593F" w:rsidRPr="002574EC">
        <w:rPr>
          <w:color w:val="000000"/>
        </w:rPr>
        <w:t xml:space="preserve"> information on the whereabouts of the person and his or her health status and, when the person is in the custody of the State, </w:t>
      </w:r>
      <w:r w:rsidR="0084593F" w:rsidRPr="002574EC">
        <w:rPr>
          <w:color w:val="000000"/>
        </w:rPr>
        <w:lastRenderedPageBreak/>
        <w:t xml:space="preserve">bring him or her before a competent judicial authority within the statutory period of time and respecting at all times </w:t>
      </w:r>
      <w:r w:rsidR="005260F4" w:rsidRPr="002574EC">
        <w:rPr>
          <w:color w:val="000000"/>
        </w:rPr>
        <w:t>the right to due process of law.</w:t>
      </w:r>
      <w:r w:rsidR="00586359" w:rsidRPr="002574EC">
        <w:rPr>
          <w:color w:val="000000"/>
          <w:vertAlign w:val="superscript"/>
        </w:rPr>
        <w:footnoteReference w:id="127"/>
      </w:r>
    </w:p>
    <w:p w14:paraId="240E1C62" w14:textId="77777777" w:rsidR="00586359" w:rsidRPr="002574EC" w:rsidRDefault="00586359" w:rsidP="00E07D06">
      <w:pPr>
        <w:widowControl w:val="0"/>
        <w:pBdr>
          <w:top w:val="nil"/>
          <w:left w:val="nil"/>
          <w:bottom w:val="nil"/>
          <w:right w:val="nil"/>
          <w:between w:val="nil"/>
        </w:pBdr>
        <w:ind w:left="426" w:hanging="426"/>
        <w:jc w:val="both"/>
        <w:rPr>
          <w:rFonts w:ascii="Cambria" w:hAnsi="Cambria"/>
          <w:sz w:val="20"/>
          <w:szCs w:val="20"/>
        </w:rPr>
      </w:pPr>
    </w:p>
    <w:p w14:paraId="4C639200" w14:textId="39D5EF6A" w:rsidR="00586359" w:rsidRPr="002574EC" w:rsidRDefault="005260F4" w:rsidP="00F85814">
      <w:pPr>
        <w:pStyle w:val="ListParagraph"/>
        <w:rPr>
          <w:color w:val="000000"/>
        </w:rPr>
      </w:pPr>
      <w:r w:rsidRPr="002574EC">
        <w:t xml:space="preserve">The Inter-American Commission expresses its utmost condemnation </w:t>
      </w:r>
      <w:r w:rsidR="00CB313F" w:rsidRPr="002574EC">
        <w:t>of the fact that people who are perceived as opposition members are disappeared for days prior to be</w:t>
      </w:r>
      <w:r w:rsidR="009501F7" w:rsidRPr="002574EC">
        <w:t>ing</w:t>
      </w:r>
      <w:r w:rsidR="00CB313F" w:rsidRPr="002574EC">
        <w:t xml:space="preserve"> brought before courts or their whereabouts</w:t>
      </w:r>
      <w:r w:rsidR="001B5779" w:rsidRPr="002574EC">
        <w:t xml:space="preserve"> being reported. </w:t>
      </w:r>
      <w:r w:rsidR="00CB313F" w:rsidRPr="002574EC">
        <w:t xml:space="preserve"> </w:t>
      </w:r>
      <w:r w:rsidR="001B5779" w:rsidRPr="002574EC">
        <w:t xml:space="preserve">This practice denotes utter disregard </w:t>
      </w:r>
      <w:r w:rsidR="00731475" w:rsidRPr="002574EC">
        <w:t>for the rule of law and human rights.</w:t>
      </w:r>
    </w:p>
    <w:p w14:paraId="66336CF3" w14:textId="4FE4997C" w:rsidR="00046E0A" w:rsidRPr="002574EC" w:rsidRDefault="00046E0A" w:rsidP="00E07D06">
      <w:pPr>
        <w:widowControl w:val="0"/>
        <w:pBdr>
          <w:top w:val="nil"/>
          <w:left w:val="nil"/>
          <w:bottom w:val="nil"/>
          <w:right w:val="nil"/>
          <w:between w:val="nil"/>
        </w:pBdr>
        <w:ind w:left="426" w:hanging="426"/>
        <w:jc w:val="both"/>
        <w:rPr>
          <w:rFonts w:ascii="Cambria" w:hAnsi="Cambria"/>
          <w:color w:val="000000"/>
          <w:sz w:val="20"/>
          <w:szCs w:val="20"/>
        </w:rPr>
      </w:pPr>
    </w:p>
    <w:p w14:paraId="45031CC9" w14:textId="4F14120B" w:rsidR="00586359" w:rsidRPr="002574EC" w:rsidRDefault="00A4223B" w:rsidP="00E07D06">
      <w:pPr>
        <w:widowControl w:val="0"/>
        <w:ind w:left="426" w:hanging="426"/>
        <w:jc w:val="both"/>
        <w:rPr>
          <w:rFonts w:ascii="Cambria" w:hAnsi="Cambria"/>
          <w:b/>
          <w:i/>
          <w:color w:val="000000"/>
          <w:sz w:val="20"/>
          <w:szCs w:val="20"/>
        </w:rPr>
      </w:pPr>
      <w:r w:rsidRPr="002574EC">
        <w:rPr>
          <w:rFonts w:ascii="Cambria" w:hAnsi="Cambria"/>
          <w:b/>
          <w:i/>
          <w:color w:val="000000"/>
          <w:sz w:val="20"/>
          <w:szCs w:val="20"/>
        </w:rPr>
        <w:t>Torture and cruel, inhuman and degrading treatment in contexts of deprivation of liberty</w:t>
      </w:r>
    </w:p>
    <w:p w14:paraId="4709EF13" w14:textId="77777777" w:rsidR="002B4AC3" w:rsidRPr="002574EC" w:rsidRDefault="002B4AC3" w:rsidP="00E07D06">
      <w:pPr>
        <w:widowControl w:val="0"/>
        <w:ind w:left="426" w:hanging="426"/>
        <w:jc w:val="both"/>
        <w:rPr>
          <w:rFonts w:ascii="Cambria" w:hAnsi="Cambria"/>
          <w:b/>
          <w:color w:val="000000"/>
          <w:sz w:val="20"/>
          <w:szCs w:val="20"/>
        </w:rPr>
      </w:pPr>
    </w:p>
    <w:p w14:paraId="39A2BE80" w14:textId="0B38BF7B" w:rsidR="00586359" w:rsidRPr="002574EC" w:rsidRDefault="00AF3307" w:rsidP="00F85814">
      <w:pPr>
        <w:pStyle w:val="ListParagraph"/>
      </w:pPr>
      <w:r w:rsidRPr="002574EC">
        <w:t xml:space="preserve">The IACHR </w:t>
      </w:r>
      <w:r w:rsidR="00771E91" w:rsidRPr="002574EC">
        <w:t>finds that torture and other cruel</w:t>
      </w:r>
      <w:r w:rsidR="0005621E" w:rsidRPr="002574EC">
        <w:t xml:space="preserve"> treatment of civilians and military members</w:t>
      </w:r>
      <w:r w:rsidR="00AC48D7" w:rsidRPr="002574EC">
        <w:t>, who are</w:t>
      </w:r>
      <w:r w:rsidR="0005621E" w:rsidRPr="002574EC">
        <w:t xml:space="preserve"> deprived of liberty</w:t>
      </w:r>
      <w:r w:rsidR="00AC48D7" w:rsidRPr="002574EC">
        <w:t>,</w:t>
      </w:r>
      <w:r w:rsidR="0005621E" w:rsidRPr="002574EC">
        <w:t xml:space="preserve"> has been a systematic practice in Venezuela. </w:t>
      </w:r>
      <w:r w:rsidR="00771E91" w:rsidRPr="002574EC">
        <w:t xml:space="preserve"> </w:t>
      </w:r>
      <w:r w:rsidR="005F2DD4" w:rsidRPr="002574EC">
        <w:t xml:space="preserve">The testimonies </w:t>
      </w:r>
      <w:r w:rsidR="00554BC7" w:rsidRPr="002574EC">
        <w:t xml:space="preserve">gathered </w:t>
      </w:r>
      <w:r w:rsidR="005F2DD4" w:rsidRPr="002574EC">
        <w:t xml:space="preserve">by the Commission suggest </w:t>
      </w:r>
      <w:r w:rsidR="007C7EF9" w:rsidRPr="002574EC">
        <w:t>that particular viciousness and cruelty are unleashed on members of the military accused of being deserters or traitors.</w:t>
      </w:r>
      <w:r w:rsidR="00586359" w:rsidRPr="002574EC">
        <w:rPr>
          <w:vertAlign w:val="superscript"/>
        </w:rPr>
        <w:footnoteReference w:id="128"/>
      </w:r>
    </w:p>
    <w:p w14:paraId="0A93C724" w14:textId="77777777" w:rsidR="00CF24C0" w:rsidRPr="002574EC" w:rsidRDefault="00CF24C0" w:rsidP="00E07D06">
      <w:pPr>
        <w:widowControl w:val="0"/>
        <w:pBdr>
          <w:top w:val="nil"/>
          <w:left w:val="nil"/>
          <w:bottom w:val="nil"/>
          <w:right w:val="nil"/>
          <w:between w:val="nil"/>
        </w:pBdr>
        <w:ind w:left="426" w:hanging="426"/>
        <w:jc w:val="both"/>
        <w:rPr>
          <w:rFonts w:ascii="Cambria" w:hAnsi="Cambria"/>
          <w:color w:val="000000"/>
          <w:sz w:val="20"/>
          <w:szCs w:val="20"/>
        </w:rPr>
      </w:pPr>
    </w:p>
    <w:p w14:paraId="7FAA0368" w14:textId="3D60A222" w:rsidR="00CF24C0" w:rsidRPr="002574EC" w:rsidRDefault="00EF38EC" w:rsidP="00F85814">
      <w:pPr>
        <w:pStyle w:val="ListParagraph"/>
      </w:pPr>
      <w:r w:rsidRPr="002574EC">
        <w:t>I</w:t>
      </w:r>
      <w:r w:rsidR="00CF24C0" w:rsidRPr="002574EC">
        <w:t xml:space="preserve">n 2021, </w:t>
      </w:r>
      <w:r w:rsidR="00740B09" w:rsidRPr="002574EC">
        <w:t xml:space="preserve">the civil society organization </w:t>
      </w:r>
      <w:r w:rsidR="00CF24C0" w:rsidRPr="002574EC">
        <w:t>Foro Penal document</w:t>
      </w:r>
      <w:r w:rsidR="00740B09" w:rsidRPr="002574EC">
        <w:t>ed</w:t>
      </w:r>
      <w:r w:rsidR="00CF24C0" w:rsidRPr="002574EC">
        <w:t xml:space="preserve"> 2</w:t>
      </w:r>
      <w:r w:rsidR="00740B09" w:rsidRPr="002574EC">
        <w:t xml:space="preserve"> cases of torture of political prisoners.</w:t>
      </w:r>
      <w:r w:rsidR="00CF24C0" w:rsidRPr="002574EC">
        <w:rPr>
          <w:rStyle w:val="FootnoteReference"/>
          <w:color w:val="000000"/>
        </w:rPr>
        <w:footnoteReference w:id="129"/>
      </w:r>
      <w:r w:rsidR="001862AA" w:rsidRPr="002574EC">
        <w:t xml:space="preserve"> Separately, the General Secretariat of the Organization of American States  documented between 2014 and 2016 at least 633 </w:t>
      </w:r>
      <w:r w:rsidR="00CC0AD5" w:rsidRPr="002574EC">
        <w:t xml:space="preserve">cases </w:t>
      </w:r>
      <w:r w:rsidR="001862AA" w:rsidRPr="002574EC">
        <w:t xml:space="preserve">of torture of persons deprived of liberty. </w:t>
      </w:r>
      <w:r w:rsidR="00E84A9F" w:rsidRPr="002574EC">
        <w:t>Nonetheless, it warned that there could be thousands of undocumented cases.</w:t>
      </w:r>
      <w:r w:rsidR="00CF24C0" w:rsidRPr="002574EC">
        <w:rPr>
          <w:vertAlign w:val="superscript"/>
        </w:rPr>
        <w:footnoteReference w:id="130"/>
      </w:r>
      <w:r w:rsidR="000C6E4F" w:rsidRPr="002574EC">
        <w:t xml:space="preserve"> </w:t>
      </w:r>
      <w:r w:rsidR="00803232" w:rsidRPr="002574EC">
        <w:t xml:space="preserve"> The Independent International Fact-Finding Mission on Venezuela also documented, from 2014 to 2018, 13 cases of torture at facilities under the direction of the National Bolivarian Intelligence Service (hereinafter “SEBIN”) and 77 other cases at the headquarters of the General Military Counterintelligence Directorate (hereinafter “DGCIM”).</w:t>
      </w:r>
      <w:r w:rsidR="00CF24C0" w:rsidRPr="002574EC">
        <w:rPr>
          <w:vertAlign w:val="superscript"/>
        </w:rPr>
        <w:footnoteReference w:id="131"/>
      </w:r>
      <w:r w:rsidR="00CF24C0" w:rsidRPr="002574EC">
        <w:t xml:space="preserve"> </w:t>
      </w:r>
    </w:p>
    <w:p w14:paraId="33730460" w14:textId="77777777" w:rsidR="00586359" w:rsidRPr="002574EC" w:rsidRDefault="00586359" w:rsidP="00E07D06">
      <w:pPr>
        <w:widowControl w:val="0"/>
        <w:pBdr>
          <w:top w:val="nil"/>
          <w:left w:val="nil"/>
          <w:bottom w:val="nil"/>
          <w:right w:val="nil"/>
          <w:between w:val="nil"/>
        </w:pBdr>
        <w:ind w:left="426" w:hanging="426"/>
        <w:jc w:val="both"/>
        <w:rPr>
          <w:rFonts w:ascii="Cambria" w:hAnsi="Cambria"/>
          <w:sz w:val="20"/>
          <w:szCs w:val="20"/>
        </w:rPr>
      </w:pPr>
    </w:p>
    <w:p w14:paraId="5E7BA27A" w14:textId="721DBA9C" w:rsidR="00586359" w:rsidRPr="002574EC" w:rsidRDefault="00E03DF6" w:rsidP="00F85814">
      <w:pPr>
        <w:pStyle w:val="ListParagraph"/>
        <w:rPr>
          <w:color w:val="000000"/>
        </w:rPr>
      </w:pPr>
      <w:r w:rsidRPr="002574EC">
        <w:t xml:space="preserve">Most of the cases of torture documented by the IACHR and other organizations occurred during the first days of detention, while the victims were </w:t>
      </w:r>
      <w:r w:rsidR="00C44281" w:rsidRPr="002574EC">
        <w:t xml:space="preserve">being </w:t>
      </w:r>
      <w:r w:rsidRPr="002574EC">
        <w:t>held incommunicado, prior to being brought before courts</w:t>
      </w:r>
      <w:r w:rsidR="00586359" w:rsidRPr="002574EC">
        <w:t xml:space="preserve">. </w:t>
      </w:r>
      <w:r w:rsidR="009E0838" w:rsidRPr="002574EC">
        <w:t xml:space="preserve">Patterns of torture identified include: </w:t>
      </w:r>
      <w:r w:rsidR="001D62E8" w:rsidRPr="002574EC">
        <w:t xml:space="preserve">being held in </w:t>
      </w:r>
      <w:r w:rsidR="00A722BA" w:rsidRPr="002574EC">
        <w:t xml:space="preserve">a </w:t>
      </w:r>
      <w:r w:rsidR="00721629" w:rsidRPr="002574EC">
        <w:t xml:space="preserve">strenuous </w:t>
      </w:r>
      <w:r w:rsidR="001D62E8" w:rsidRPr="002574EC">
        <w:t>position</w:t>
      </w:r>
      <w:r w:rsidR="00E84C46" w:rsidRPr="002574EC">
        <w:t xml:space="preserve"> </w:t>
      </w:r>
      <w:r w:rsidR="001D62E8" w:rsidRPr="002574EC">
        <w:t>called the “crucifixion” (arms extended</w:t>
      </w:r>
      <w:r w:rsidR="00AB6C4E" w:rsidRPr="002574EC">
        <w:t xml:space="preserve"> out</w:t>
      </w:r>
      <w:r w:rsidR="001D62E8" w:rsidRPr="002574EC">
        <w:t xml:space="preserve"> and handcuffed to pipes or bars and </w:t>
      </w:r>
      <w:r w:rsidR="00E23D61" w:rsidRPr="002574EC">
        <w:t xml:space="preserve">the </w:t>
      </w:r>
      <w:r w:rsidR="001D62E8" w:rsidRPr="002574EC">
        <w:t>“</w:t>
      </w:r>
      <w:r w:rsidR="00E23D61" w:rsidRPr="002574EC">
        <w:t xml:space="preserve">octopus” (a metal belt with chains to restrain the wrists and ankles); suffocation </w:t>
      </w:r>
      <w:r w:rsidR="00CE550B" w:rsidRPr="002574EC">
        <w:t>with plastic bags, chemicals or a bucket of water; beatings, at times with a stick or other blunt object; electric shock</w:t>
      </w:r>
      <w:r w:rsidR="00B9242A" w:rsidRPr="002574EC">
        <w:t>s to</w:t>
      </w:r>
      <w:r w:rsidR="00CE550B" w:rsidRPr="002574EC">
        <w:t xml:space="preserve"> the genitals or other parts of the body; </w:t>
      </w:r>
      <w:r w:rsidR="00D73132" w:rsidRPr="002574EC">
        <w:t>death threats or threats of additional violence; threats of sexual violence against the victim and/or his family members; psychological torture, including sensorial deprivation, constant illumination and extreme cold; forced nudity, including in rooms kept at extremely low temperatures.</w:t>
      </w:r>
      <w:r w:rsidR="00586359" w:rsidRPr="002574EC">
        <w:rPr>
          <w:vertAlign w:val="superscript"/>
        </w:rPr>
        <w:footnoteReference w:id="132"/>
      </w:r>
    </w:p>
    <w:p w14:paraId="18D820A7" w14:textId="06B17622" w:rsidR="00586359" w:rsidRPr="002574EC" w:rsidRDefault="00586359" w:rsidP="00E07D06">
      <w:pPr>
        <w:widowControl w:val="0"/>
        <w:pBdr>
          <w:top w:val="nil"/>
          <w:left w:val="nil"/>
          <w:bottom w:val="nil"/>
          <w:right w:val="nil"/>
          <w:between w:val="nil"/>
        </w:pBdr>
        <w:ind w:left="426" w:hanging="426"/>
        <w:jc w:val="both"/>
        <w:rPr>
          <w:rFonts w:ascii="Cambria" w:hAnsi="Cambria"/>
          <w:color w:val="000000"/>
          <w:sz w:val="20"/>
          <w:szCs w:val="20"/>
        </w:rPr>
      </w:pPr>
    </w:p>
    <w:p w14:paraId="2AAEE716" w14:textId="2EB5F40D" w:rsidR="00586359" w:rsidRPr="002574EC" w:rsidRDefault="006862AE" w:rsidP="00F85814">
      <w:pPr>
        <w:pStyle w:val="ListParagraph"/>
        <w:rPr>
          <w:color w:val="000000"/>
        </w:rPr>
      </w:pPr>
      <w:r w:rsidRPr="002574EC">
        <w:t xml:space="preserve">In addition to the documented cases of torture, the Inter-American Commission has noticed that the situation of persons deprived of liberty in Venezuela stands as one of the worst in the region in terms of conditions of detention. </w:t>
      </w:r>
      <w:r w:rsidR="00C173FC" w:rsidRPr="002574EC">
        <w:t xml:space="preserve">One of the greatest obstacles to respect </w:t>
      </w:r>
      <w:r w:rsidR="009C0CF8" w:rsidRPr="002574EC">
        <w:t xml:space="preserve">for </w:t>
      </w:r>
      <w:r w:rsidR="00C173FC" w:rsidRPr="002574EC">
        <w:t xml:space="preserve">and </w:t>
      </w:r>
      <w:r w:rsidR="009C0CF8" w:rsidRPr="002574EC">
        <w:t xml:space="preserve">guarantee of the human rights of people deprived of liberty is the existence of </w:t>
      </w:r>
      <w:r w:rsidR="00B9242A" w:rsidRPr="002574EC">
        <w:t xml:space="preserve">a </w:t>
      </w:r>
      <w:r w:rsidR="009C0CF8" w:rsidRPr="002574EC">
        <w:t>dual prison system. One system, the official system, which as of 2019 held 40 million people at 45 prison facilities</w:t>
      </w:r>
      <w:r w:rsidR="001E4568" w:rsidRPr="002574EC">
        <w:t>, is</w:t>
      </w:r>
      <w:r w:rsidR="009C0CF8" w:rsidRPr="002574EC">
        <w:t xml:space="preserve"> under </w:t>
      </w:r>
      <w:r w:rsidR="00864B31" w:rsidRPr="002574EC">
        <w:t xml:space="preserve">the Ministry of the People’s Power for Penitentiary Services, and the other parallel </w:t>
      </w:r>
      <w:r w:rsidR="00940EB2" w:rsidRPr="002574EC">
        <w:t xml:space="preserve">system, </w:t>
      </w:r>
      <w:r w:rsidR="00F90123" w:rsidRPr="002574EC">
        <w:t xml:space="preserve">is </w:t>
      </w:r>
      <w:r w:rsidR="00940EB2" w:rsidRPr="002574EC">
        <w:t>made up of approximately 500 pre-trial detention spaces</w:t>
      </w:r>
      <w:r w:rsidR="00F944FF" w:rsidRPr="002574EC">
        <w:t>, which as of 2019, held more than 60 thousand people.</w:t>
      </w:r>
      <w:r w:rsidR="00586359" w:rsidRPr="002574EC">
        <w:rPr>
          <w:color w:val="000000"/>
          <w:vertAlign w:val="superscript"/>
        </w:rPr>
        <w:footnoteReference w:id="133"/>
      </w:r>
      <w:r w:rsidR="00586359" w:rsidRPr="002574EC">
        <w:rPr>
          <w:color w:val="000000"/>
        </w:rPr>
        <w:t xml:space="preserve"> </w:t>
      </w:r>
    </w:p>
    <w:p w14:paraId="12E408BE" w14:textId="77777777" w:rsidR="00586359" w:rsidRPr="002574EC" w:rsidRDefault="00586359" w:rsidP="00E07D06">
      <w:pPr>
        <w:widowControl w:val="0"/>
        <w:pBdr>
          <w:top w:val="nil"/>
          <w:left w:val="nil"/>
          <w:bottom w:val="nil"/>
          <w:right w:val="nil"/>
          <w:between w:val="nil"/>
        </w:pBdr>
        <w:ind w:left="426" w:hanging="426"/>
        <w:jc w:val="both"/>
        <w:rPr>
          <w:rFonts w:ascii="Cambria" w:hAnsi="Cambria"/>
          <w:sz w:val="20"/>
          <w:szCs w:val="20"/>
        </w:rPr>
      </w:pPr>
    </w:p>
    <w:p w14:paraId="51301B04" w14:textId="157C5653" w:rsidR="00586359" w:rsidRPr="002574EC" w:rsidRDefault="00D536F5" w:rsidP="00F85814">
      <w:pPr>
        <w:pStyle w:val="ListParagraph"/>
        <w:rPr>
          <w:color w:val="000000"/>
        </w:rPr>
      </w:pPr>
      <w:r w:rsidRPr="002574EC">
        <w:t xml:space="preserve">The Commission was unable to access official data on the population deprived of liberty in 2020 and 2021, which denotes </w:t>
      </w:r>
      <w:r w:rsidR="005C0733" w:rsidRPr="002574EC">
        <w:t xml:space="preserve">a </w:t>
      </w:r>
      <w:r w:rsidR="00133041" w:rsidRPr="002574EC">
        <w:t xml:space="preserve">lack of transparency </w:t>
      </w:r>
      <w:r w:rsidR="008A3AE7" w:rsidRPr="002574EC">
        <w:t>regarding</w:t>
      </w:r>
      <w:r w:rsidR="00133041" w:rsidRPr="002574EC">
        <w:t xml:space="preserve"> the country’s prison</w:t>
      </w:r>
      <w:r w:rsidR="00361061" w:rsidRPr="002574EC">
        <w:t>s</w:t>
      </w:r>
      <w:r w:rsidR="00133041" w:rsidRPr="002574EC">
        <w:t xml:space="preserve">. </w:t>
      </w:r>
      <w:r w:rsidRPr="002574EC">
        <w:t xml:space="preserve"> </w:t>
      </w:r>
      <w:r w:rsidR="00DB1483" w:rsidRPr="002574EC">
        <w:t>Nonetheless, in any case, it no</w:t>
      </w:r>
      <w:r w:rsidR="00731A58" w:rsidRPr="002574EC">
        <w:t>t</w:t>
      </w:r>
      <w:r w:rsidR="00DB1483" w:rsidRPr="002574EC">
        <w:t xml:space="preserve">es </w:t>
      </w:r>
      <w:r w:rsidR="00AB118B" w:rsidRPr="002574EC">
        <w:t xml:space="preserve">that </w:t>
      </w:r>
      <w:r w:rsidR="00DB1483" w:rsidRPr="002574EC">
        <w:t xml:space="preserve">the existence of </w:t>
      </w:r>
      <w:r w:rsidR="00731A58" w:rsidRPr="002574EC">
        <w:t xml:space="preserve">the dual prison system is </w:t>
      </w:r>
      <w:r w:rsidR="00767863" w:rsidRPr="002574EC">
        <w:t xml:space="preserve">most </w:t>
      </w:r>
      <w:r w:rsidR="00731A58" w:rsidRPr="002574EC">
        <w:t xml:space="preserve">serious </w:t>
      </w:r>
      <w:r w:rsidR="00A611C2" w:rsidRPr="002574EC">
        <w:t xml:space="preserve">because the pre-trial detention </w:t>
      </w:r>
      <w:r w:rsidR="00A64CC7" w:rsidRPr="002574EC">
        <w:t xml:space="preserve">settings </w:t>
      </w:r>
      <w:r w:rsidR="00A611C2" w:rsidRPr="002574EC">
        <w:t xml:space="preserve">are not suitable to </w:t>
      </w:r>
      <w:r w:rsidR="00B63511" w:rsidRPr="002574EC">
        <w:t xml:space="preserve">hold </w:t>
      </w:r>
      <w:r w:rsidR="00A611C2" w:rsidRPr="002574EC">
        <w:t>people for more than 48 hours and the Ministry of the People’s Power for P</w:t>
      </w:r>
      <w:r w:rsidR="00790C3D" w:rsidRPr="002574EC">
        <w:t>enitentiary</w:t>
      </w:r>
      <w:r w:rsidR="00A611C2" w:rsidRPr="002574EC">
        <w:t xml:space="preserve"> Services does not protect the rights of these individuals claiming that they are the responsibility of the police and of the intelligence and military counterintelligence bodies.</w:t>
      </w:r>
    </w:p>
    <w:p w14:paraId="4F2714D5" w14:textId="77777777" w:rsidR="00E93E7F" w:rsidRPr="002574EC" w:rsidRDefault="00E93E7F" w:rsidP="00E07D06">
      <w:pPr>
        <w:widowControl w:val="0"/>
        <w:pBdr>
          <w:top w:val="nil"/>
          <w:left w:val="nil"/>
          <w:bottom w:val="nil"/>
          <w:right w:val="nil"/>
          <w:between w:val="nil"/>
        </w:pBdr>
        <w:ind w:left="426" w:hanging="426"/>
        <w:jc w:val="both"/>
        <w:rPr>
          <w:rFonts w:ascii="Cambria" w:hAnsi="Cambria"/>
          <w:color w:val="000000"/>
          <w:sz w:val="20"/>
          <w:szCs w:val="20"/>
        </w:rPr>
      </w:pPr>
    </w:p>
    <w:p w14:paraId="19A1A4B0" w14:textId="13B54804" w:rsidR="00E93E7F" w:rsidRPr="002574EC" w:rsidRDefault="00C53487" w:rsidP="00F85814">
      <w:pPr>
        <w:pStyle w:val="ListParagraph"/>
      </w:pPr>
      <w:r w:rsidRPr="002574EC">
        <w:t xml:space="preserve">In relation to the conditions of detention of the SEBIN and the DGCIM facilities, where most political prisoners are held, the IACHR saw a report </w:t>
      </w:r>
      <w:r w:rsidR="001855D3" w:rsidRPr="002574EC">
        <w:t>written by</w:t>
      </w:r>
      <w:r w:rsidR="00C44430" w:rsidRPr="002574EC">
        <w:t xml:space="preserve"> the organization </w:t>
      </w:r>
      <w:r w:rsidR="000E0726" w:rsidRPr="002574EC">
        <w:t xml:space="preserve">Una Ventana a la Libertad. </w:t>
      </w:r>
      <w:r w:rsidR="008A686B" w:rsidRPr="002574EC">
        <w:t xml:space="preserve">This report </w:t>
      </w:r>
      <w:r w:rsidR="00961BA6" w:rsidRPr="002574EC">
        <w:t xml:space="preserve">reveals </w:t>
      </w:r>
      <w:r w:rsidR="008A686B" w:rsidRPr="002574EC">
        <w:t xml:space="preserve">that these prison facilities </w:t>
      </w:r>
      <w:r w:rsidR="00961BA6" w:rsidRPr="002574EC">
        <w:t xml:space="preserve">lack constant water service. </w:t>
      </w:r>
      <w:r w:rsidR="009329E4" w:rsidRPr="002574EC">
        <w:t xml:space="preserve"> Additionally, </w:t>
      </w:r>
      <w:r w:rsidR="00216FF3" w:rsidRPr="002574EC">
        <w:t xml:space="preserve">the organization reports </w:t>
      </w:r>
      <w:r w:rsidR="009329E4" w:rsidRPr="002574EC">
        <w:t xml:space="preserve">that conjugal and overnight visits are prohibited at these facilities. </w:t>
      </w:r>
      <w:r w:rsidR="00A232DD" w:rsidRPr="002574EC">
        <w:t xml:space="preserve">Nonetheless, </w:t>
      </w:r>
      <w:r w:rsidR="00595E4F" w:rsidRPr="002574EC">
        <w:t xml:space="preserve">such visits are </w:t>
      </w:r>
      <w:r w:rsidR="00A3487A" w:rsidRPr="002574EC">
        <w:t xml:space="preserve">allegedly carried out </w:t>
      </w:r>
      <w:r w:rsidR="00E53D4B" w:rsidRPr="002574EC">
        <w:t xml:space="preserve">clandestinely in exchange for a payment to the area </w:t>
      </w:r>
      <w:r w:rsidR="00AF18F4" w:rsidRPr="002574EC">
        <w:t xml:space="preserve">security </w:t>
      </w:r>
      <w:r w:rsidR="00E53D4B" w:rsidRPr="002574EC">
        <w:t>leader.</w:t>
      </w:r>
      <w:r w:rsidR="003E732F" w:rsidRPr="002574EC">
        <w:rPr>
          <w:rStyle w:val="FootnoteReference"/>
          <w:color w:val="000000"/>
        </w:rPr>
        <w:footnoteReference w:id="134"/>
      </w:r>
      <w:r w:rsidR="00AC1F85" w:rsidRPr="002574EC">
        <w:t xml:space="preserve"> Specifically at the SEBIN facility, it is reported that there is a disciplinary regime in </w:t>
      </w:r>
      <w:r w:rsidR="00925FBA" w:rsidRPr="002574EC">
        <w:t>force with punishments of solitary confinement</w:t>
      </w:r>
      <w:r w:rsidR="003755DC" w:rsidRPr="002574EC">
        <w:t xml:space="preserve">, which range from one week to several months in length, </w:t>
      </w:r>
      <w:r w:rsidR="00993E7D" w:rsidRPr="002574EC">
        <w:t xml:space="preserve">with </w:t>
      </w:r>
      <w:r w:rsidR="003755DC" w:rsidRPr="002574EC">
        <w:t>visits and telephone calls</w:t>
      </w:r>
      <w:r w:rsidR="00993E7D" w:rsidRPr="002574EC">
        <w:t xml:space="preserve"> totally forbidden</w:t>
      </w:r>
      <w:r w:rsidR="003755DC" w:rsidRPr="002574EC">
        <w:t>.</w:t>
      </w:r>
      <w:r w:rsidR="00EE4563" w:rsidRPr="002574EC">
        <w:rPr>
          <w:rStyle w:val="FootnoteReference"/>
          <w:color w:val="000000"/>
        </w:rPr>
        <w:footnoteReference w:id="135"/>
      </w:r>
      <w:r w:rsidR="00EE4563" w:rsidRPr="002574EC">
        <w:t xml:space="preserve"> </w:t>
      </w:r>
    </w:p>
    <w:p w14:paraId="28528BB5" w14:textId="77777777" w:rsidR="005E29F1" w:rsidRPr="002574EC" w:rsidRDefault="005E29F1" w:rsidP="00E07D06">
      <w:pPr>
        <w:widowControl w:val="0"/>
        <w:pBdr>
          <w:top w:val="nil"/>
          <w:left w:val="nil"/>
          <w:bottom w:val="nil"/>
          <w:right w:val="nil"/>
          <w:between w:val="nil"/>
        </w:pBdr>
        <w:ind w:left="426" w:hanging="426"/>
        <w:jc w:val="both"/>
        <w:rPr>
          <w:rFonts w:ascii="Cambria" w:hAnsi="Cambria"/>
          <w:color w:val="000000"/>
          <w:sz w:val="20"/>
          <w:szCs w:val="20"/>
        </w:rPr>
      </w:pPr>
    </w:p>
    <w:p w14:paraId="592521DC" w14:textId="6908E415" w:rsidR="00586359" w:rsidRPr="002574EC" w:rsidRDefault="00380956" w:rsidP="00F85814">
      <w:pPr>
        <w:pStyle w:val="ListParagraph"/>
      </w:pPr>
      <w:r w:rsidRPr="002574EC">
        <w:t xml:space="preserve">The Inter-American Commission was apprised of Decree </w:t>
      </w:r>
      <w:r w:rsidR="00586359" w:rsidRPr="002574EC">
        <w:t xml:space="preserve">4.610 </w:t>
      </w:r>
      <w:r w:rsidR="00A31CEA" w:rsidRPr="002574EC">
        <w:t xml:space="preserve">of </w:t>
      </w:r>
      <w:r w:rsidR="00586359" w:rsidRPr="002574EC">
        <w:t xml:space="preserve">2021, </w:t>
      </w:r>
      <w:r w:rsidR="00A31CEA" w:rsidRPr="002574EC">
        <w:t xml:space="preserve">ordering </w:t>
      </w:r>
      <w:r w:rsidR="007F467E" w:rsidRPr="002574EC">
        <w:t>the transfer of persons deprived of libert</w:t>
      </w:r>
      <w:r w:rsidR="006441A1" w:rsidRPr="002574EC">
        <w:t>y</w:t>
      </w:r>
      <w:r w:rsidR="007F467E" w:rsidRPr="002574EC">
        <w:t xml:space="preserve"> at the SEBIN and DGCIM facilities to prisons under the P</w:t>
      </w:r>
      <w:r w:rsidR="001549AA" w:rsidRPr="002574EC">
        <w:t>enitentiary</w:t>
      </w:r>
      <w:r w:rsidR="007F467E" w:rsidRPr="002574EC">
        <w:t xml:space="preserve"> Service Ministry.</w:t>
      </w:r>
      <w:r w:rsidR="00586359" w:rsidRPr="002574EC">
        <w:rPr>
          <w:vertAlign w:val="superscript"/>
        </w:rPr>
        <w:footnoteReference w:id="136"/>
      </w:r>
      <w:r w:rsidR="00153BEC" w:rsidRPr="002574EC">
        <w:t xml:space="preserve"> </w:t>
      </w:r>
      <w:r w:rsidR="00D27D90" w:rsidRPr="002574EC">
        <w:t>On this score</w:t>
      </w:r>
      <w:r w:rsidR="00E8098B" w:rsidRPr="002574EC">
        <w:t xml:space="preserve">, </w:t>
      </w:r>
      <w:r w:rsidR="00AC7FBF" w:rsidRPr="002574EC">
        <w:t>such a</w:t>
      </w:r>
      <w:r w:rsidR="005C306C" w:rsidRPr="002574EC">
        <w:t xml:space="preserve"> measure is understood to </w:t>
      </w:r>
      <w:r w:rsidR="00AD7B49" w:rsidRPr="002574EC">
        <w:t xml:space="preserve">possibly </w:t>
      </w:r>
      <w:r w:rsidR="00EF76F6" w:rsidRPr="002574EC">
        <w:t xml:space="preserve">be an important step toward prevention of torture and other cruel treatments. </w:t>
      </w:r>
      <w:r w:rsidR="00586359" w:rsidRPr="002574EC">
        <w:t xml:space="preserve"> </w:t>
      </w:r>
      <w:r w:rsidR="007743E2" w:rsidRPr="002574EC">
        <w:t xml:space="preserve">Notwithstanding, </w:t>
      </w:r>
      <w:r w:rsidR="00213481" w:rsidRPr="002574EC">
        <w:t>the Commis</w:t>
      </w:r>
      <w:r w:rsidR="00C903E4" w:rsidRPr="002574EC">
        <w:t>s</w:t>
      </w:r>
      <w:r w:rsidR="00213481" w:rsidRPr="002574EC">
        <w:t>ion</w:t>
      </w:r>
      <w:r w:rsidR="007743E2" w:rsidRPr="002574EC">
        <w:t xml:space="preserve"> has received </w:t>
      </w:r>
      <w:r w:rsidR="00FA7139" w:rsidRPr="002574EC">
        <w:t xml:space="preserve">information about </w:t>
      </w:r>
      <w:r w:rsidR="001B65B9" w:rsidRPr="002574EC">
        <w:t xml:space="preserve">transfers of persons deprived of liberty without </w:t>
      </w:r>
      <w:r w:rsidR="00FA7139" w:rsidRPr="002574EC">
        <w:t xml:space="preserve">any </w:t>
      </w:r>
      <w:r w:rsidR="001B65B9" w:rsidRPr="002574EC">
        <w:t xml:space="preserve">reporting </w:t>
      </w:r>
      <w:r w:rsidR="00792DF7" w:rsidRPr="002574EC">
        <w:t xml:space="preserve">on </w:t>
      </w:r>
      <w:r w:rsidR="001B65B9" w:rsidRPr="002574EC">
        <w:t xml:space="preserve">their destination or health status. </w:t>
      </w:r>
    </w:p>
    <w:p w14:paraId="5FADAC5D" w14:textId="77777777" w:rsidR="00586359" w:rsidRPr="002574EC" w:rsidRDefault="00586359" w:rsidP="00E07D06">
      <w:pPr>
        <w:widowControl w:val="0"/>
        <w:pBdr>
          <w:top w:val="nil"/>
          <w:left w:val="nil"/>
          <w:bottom w:val="nil"/>
          <w:right w:val="nil"/>
          <w:between w:val="nil"/>
        </w:pBdr>
        <w:ind w:left="426" w:hanging="426"/>
        <w:jc w:val="both"/>
        <w:rPr>
          <w:rFonts w:ascii="Cambria" w:hAnsi="Cambria"/>
          <w:color w:val="000000"/>
          <w:sz w:val="20"/>
          <w:szCs w:val="20"/>
        </w:rPr>
      </w:pPr>
    </w:p>
    <w:p w14:paraId="1D40EC6E" w14:textId="75C8C04C" w:rsidR="00586359" w:rsidRPr="002574EC" w:rsidRDefault="00276536" w:rsidP="00F85814">
      <w:pPr>
        <w:pStyle w:val="ListParagraph"/>
        <w:rPr>
          <w:color w:val="000000"/>
        </w:rPr>
      </w:pPr>
      <w:r w:rsidRPr="002574EC">
        <w:t>In</w:t>
      </w:r>
      <w:r w:rsidR="009240D1" w:rsidRPr="002574EC">
        <w:t xml:space="preserve"> this</w:t>
      </w:r>
      <w:r w:rsidR="006E37E1" w:rsidRPr="002574EC">
        <w:t xml:space="preserve"> regard</w:t>
      </w:r>
      <w:r w:rsidR="009240D1" w:rsidRPr="002574EC">
        <w:t>, the IACHR has stressed that the transfer of indigenous people to prison facilities close to their families and communities is especially important</w:t>
      </w:r>
      <w:r w:rsidR="00ED351B" w:rsidRPr="002574EC">
        <w:t xml:space="preserve">, in view of their close ties to their place of origin and their communities. </w:t>
      </w:r>
      <w:r w:rsidR="00654B4F" w:rsidRPr="002574EC">
        <w:t xml:space="preserve">These </w:t>
      </w:r>
      <w:r w:rsidR="007823DA" w:rsidRPr="002574EC">
        <w:t xml:space="preserve">family and community links are essential to the preservation of the cultural identity of indigenous persons deprived of liberty. </w:t>
      </w:r>
      <w:r w:rsidR="00854D18" w:rsidRPr="002574EC">
        <w:t>Therefore, in order for them to be able to preserve their cultural identity, the States must implement prison policies and other measures to ensure that the places of detention or imprisonment of indigenous people deprived of liberty are loca</w:t>
      </w:r>
      <w:r w:rsidR="00892DE8" w:rsidRPr="002574EC">
        <w:t xml:space="preserve">ted </w:t>
      </w:r>
      <w:r w:rsidR="009F49FC" w:rsidRPr="002574EC">
        <w:t>nearby their families, communities and ancestral lands.</w:t>
      </w:r>
      <w:r w:rsidR="00586359" w:rsidRPr="002574EC">
        <w:rPr>
          <w:vertAlign w:val="superscript"/>
        </w:rPr>
        <w:footnoteReference w:id="137"/>
      </w:r>
    </w:p>
    <w:p w14:paraId="5EBB0A9B" w14:textId="77777777" w:rsidR="00586359" w:rsidRPr="002574EC" w:rsidRDefault="00586359" w:rsidP="00E07D06">
      <w:pPr>
        <w:widowControl w:val="0"/>
        <w:pBdr>
          <w:top w:val="nil"/>
          <w:left w:val="nil"/>
          <w:bottom w:val="nil"/>
          <w:right w:val="nil"/>
          <w:between w:val="nil"/>
        </w:pBdr>
        <w:ind w:left="426" w:hanging="426"/>
        <w:jc w:val="both"/>
        <w:rPr>
          <w:rFonts w:ascii="Cambria" w:hAnsi="Cambria"/>
          <w:sz w:val="20"/>
          <w:szCs w:val="20"/>
        </w:rPr>
      </w:pPr>
    </w:p>
    <w:p w14:paraId="4892C38F" w14:textId="752EE039" w:rsidR="00586359" w:rsidRPr="002574EC" w:rsidRDefault="00F04ED0" w:rsidP="00F85814">
      <w:pPr>
        <w:pStyle w:val="ListParagraph"/>
        <w:rPr>
          <w:color w:val="000000"/>
        </w:rPr>
      </w:pPr>
      <w:r w:rsidRPr="002574EC">
        <w:t xml:space="preserve">The Inter-American Commission underscores that, in keeping with the Inter-American Convention to Prevent and Punish Torture, torture is understood to </w:t>
      </w:r>
      <w:r w:rsidR="008B4916" w:rsidRPr="002574EC">
        <w:t xml:space="preserve">be </w:t>
      </w:r>
      <w:r w:rsidRPr="002574EC">
        <w:t>“</w:t>
      </w:r>
      <w:r w:rsidR="008B4916" w:rsidRPr="002574EC">
        <w:t>any act intentionally performed whereby physical or mental pain or suffering is inflicted on a person for purposes of criminal investigation, as a means of intimidation, as personal punishment, as a preventive measure, as a penalty, or for any other purpose. Torture shall also be understood to be the use of methods upon a person intended to obliterate the personality of the victim or to diminish his physical or mental capacities, eve</w:t>
      </w:r>
      <w:r w:rsidR="00814E6A" w:rsidRPr="002574EC">
        <w:t>n</w:t>
      </w:r>
      <w:r w:rsidR="008B4916" w:rsidRPr="002574EC">
        <w:t xml:space="preserve"> if they do not cause physical pain or mental anguish.</w:t>
      </w:r>
      <w:r w:rsidR="00586359" w:rsidRPr="002574EC">
        <w:t>”</w:t>
      </w:r>
      <w:r w:rsidR="00586359" w:rsidRPr="002574EC">
        <w:rPr>
          <w:vertAlign w:val="superscript"/>
        </w:rPr>
        <w:footnoteReference w:id="138"/>
      </w:r>
    </w:p>
    <w:p w14:paraId="41652A54" w14:textId="77777777" w:rsidR="00586359" w:rsidRPr="002574EC" w:rsidRDefault="00586359" w:rsidP="00E07D06">
      <w:pPr>
        <w:widowControl w:val="0"/>
        <w:pBdr>
          <w:top w:val="nil"/>
          <w:left w:val="nil"/>
          <w:bottom w:val="nil"/>
          <w:right w:val="nil"/>
          <w:between w:val="nil"/>
        </w:pBdr>
        <w:ind w:left="426" w:hanging="426"/>
        <w:jc w:val="both"/>
        <w:rPr>
          <w:rFonts w:ascii="Cambria" w:hAnsi="Cambria"/>
          <w:sz w:val="20"/>
          <w:szCs w:val="20"/>
        </w:rPr>
      </w:pPr>
    </w:p>
    <w:p w14:paraId="6115A923" w14:textId="11E89500" w:rsidR="00586359" w:rsidRPr="002574EC" w:rsidRDefault="00586359" w:rsidP="00F85814">
      <w:pPr>
        <w:pStyle w:val="ListParagraph"/>
        <w:rPr>
          <w:color w:val="000000"/>
        </w:rPr>
      </w:pPr>
      <w:r w:rsidRPr="002574EC">
        <w:t>Ad</w:t>
      </w:r>
      <w:r w:rsidR="005130EC" w:rsidRPr="002574EC">
        <w:t xml:space="preserve">ditionally, the Inter-American Commission </w:t>
      </w:r>
      <w:r w:rsidR="00DA69F1" w:rsidRPr="002574EC">
        <w:t xml:space="preserve">recalls that the State </w:t>
      </w:r>
      <w:r w:rsidR="00BF75E9" w:rsidRPr="002574EC">
        <w:t>plays a role as guarantor of persons in its custody</w:t>
      </w:r>
      <w:r w:rsidR="00521772" w:rsidRPr="002574EC">
        <w:t xml:space="preserve">, which means that it has a special duty to respect </w:t>
      </w:r>
      <w:r w:rsidR="00623CD5" w:rsidRPr="002574EC">
        <w:t xml:space="preserve">and guarantee their rights, particularly, </w:t>
      </w:r>
      <w:r w:rsidR="00EF1CEB" w:rsidRPr="002574EC">
        <w:t xml:space="preserve">the right to life and physical integrity. </w:t>
      </w:r>
      <w:r w:rsidR="00780B57" w:rsidRPr="002574EC">
        <w:rPr>
          <w:color w:val="000000"/>
        </w:rPr>
        <w:t xml:space="preserve">It has further held that the effective guarantee of the right </w:t>
      </w:r>
      <w:r w:rsidR="00780B57" w:rsidRPr="002574EC">
        <w:rPr>
          <w:color w:val="000000"/>
        </w:rPr>
        <w:lastRenderedPageBreak/>
        <w:t xml:space="preserve">to physical integrity </w:t>
      </w:r>
      <w:r w:rsidR="003372C5" w:rsidRPr="002574EC">
        <w:rPr>
          <w:color w:val="000000"/>
        </w:rPr>
        <w:t>of person</w:t>
      </w:r>
      <w:r w:rsidR="009843B6" w:rsidRPr="002574EC">
        <w:rPr>
          <w:color w:val="000000"/>
        </w:rPr>
        <w:t>s</w:t>
      </w:r>
      <w:r w:rsidR="003372C5" w:rsidRPr="002574EC">
        <w:rPr>
          <w:color w:val="000000"/>
        </w:rPr>
        <w:t xml:space="preserve"> deprived of liberty encompasses the State’s duty to investigate, punish and redress all violations of this </w:t>
      </w:r>
      <w:r w:rsidR="005E4331" w:rsidRPr="002574EC">
        <w:rPr>
          <w:color w:val="000000"/>
        </w:rPr>
        <w:t xml:space="preserve">right that are committed to the detriment of persons under its custody. </w:t>
      </w:r>
      <w:r w:rsidR="00301105" w:rsidRPr="002574EC">
        <w:rPr>
          <w:color w:val="000000"/>
        </w:rPr>
        <w:t xml:space="preserve">Specifically, </w:t>
      </w:r>
      <w:r w:rsidR="00D627D5" w:rsidRPr="002574EC">
        <w:rPr>
          <w:color w:val="000000"/>
        </w:rPr>
        <w:t xml:space="preserve">in response to any form of torture or </w:t>
      </w:r>
      <w:r w:rsidR="00B036CB" w:rsidRPr="002574EC">
        <w:rPr>
          <w:color w:val="000000"/>
        </w:rPr>
        <w:t>ill</w:t>
      </w:r>
      <w:r w:rsidR="009843B6" w:rsidRPr="002574EC">
        <w:rPr>
          <w:color w:val="000000"/>
        </w:rPr>
        <w:t>-</w:t>
      </w:r>
      <w:r w:rsidR="002E6C6E" w:rsidRPr="002574EC">
        <w:rPr>
          <w:color w:val="000000"/>
        </w:rPr>
        <w:t>t</w:t>
      </w:r>
      <w:r w:rsidR="00D627D5" w:rsidRPr="002574EC">
        <w:rPr>
          <w:color w:val="000000"/>
        </w:rPr>
        <w:t>rea</w:t>
      </w:r>
      <w:r w:rsidR="00B036CB" w:rsidRPr="002574EC">
        <w:rPr>
          <w:color w:val="000000"/>
        </w:rPr>
        <w:t>t</w:t>
      </w:r>
      <w:r w:rsidR="00D627D5" w:rsidRPr="002574EC">
        <w:rPr>
          <w:color w:val="000000"/>
        </w:rPr>
        <w:t>men</w:t>
      </w:r>
      <w:r w:rsidR="002E6C6E" w:rsidRPr="002574EC">
        <w:rPr>
          <w:color w:val="000000"/>
        </w:rPr>
        <w:t>t</w:t>
      </w:r>
      <w:r w:rsidR="00D627D5" w:rsidRPr="002574EC">
        <w:rPr>
          <w:color w:val="000000"/>
        </w:rPr>
        <w:t xml:space="preserve">, the State must </w:t>
      </w:r>
      <w:r w:rsidR="0084630E" w:rsidRPr="002574EC">
        <w:rPr>
          <w:color w:val="000000"/>
        </w:rPr>
        <w:t xml:space="preserve">open a serious, impartial and effective investigation </w:t>
      </w:r>
      <w:r w:rsidR="0084630E" w:rsidRPr="002574EC">
        <w:rPr>
          <w:i/>
          <w:iCs/>
          <w:color w:val="000000"/>
        </w:rPr>
        <w:t>ex officio</w:t>
      </w:r>
      <w:r w:rsidRPr="002574EC">
        <w:rPr>
          <w:color w:val="000000"/>
        </w:rPr>
        <w:t>,</w:t>
      </w:r>
      <w:r w:rsidR="00FB6DAD" w:rsidRPr="002574EC">
        <w:rPr>
          <w:color w:val="000000"/>
        </w:rPr>
        <w:t xml:space="preserve"> using all legal means at its disposal, and aimed at </w:t>
      </w:r>
      <w:r w:rsidR="00673F4C" w:rsidRPr="002574EC">
        <w:rPr>
          <w:color w:val="000000"/>
        </w:rPr>
        <w:t xml:space="preserve">ascertaining </w:t>
      </w:r>
      <w:r w:rsidR="00FB6DAD" w:rsidRPr="002574EC">
        <w:rPr>
          <w:color w:val="000000"/>
        </w:rPr>
        <w:t xml:space="preserve">the truth </w:t>
      </w:r>
      <w:r w:rsidR="00673F4C" w:rsidRPr="002574EC">
        <w:rPr>
          <w:color w:val="000000"/>
        </w:rPr>
        <w:t>within a reasonable period of time.</w:t>
      </w:r>
      <w:r w:rsidRPr="002574EC">
        <w:rPr>
          <w:color w:val="000000"/>
          <w:vertAlign w:val="superscript"/>
        </w:rPr>
        <w:footnoteReference w:id="139"/>
      </w:r>
    </w:p>
    <w:p w14:paraId="17068EA4" w14:textId="77777777" w:rsidR="00586359" w:rsidRPr="002574EC" w:rsidRDefault="00586359" w:rsidP="00E07D06">
      <w:pPr>
        <w:widowControl w:val="0"/>
        <w:pBdr>
          <w:top w:val="nil"/>
          <w:left w:val="nil"/>
          <w:bottom w:val="nil"/>
          <w:right w:val="nil"/>
          <w:between w:val="nil"/>
        </w:pBdr>
        <w:ind w:left="426" w:hanging="426"/>
        <w:jc w:val="both"/>
        <w:rPr>
          <w:rFonts w:ascii="Cambria" w:hAnsi="Cambria"/>
          <w:sz w:val="20"/>
          <w:szCs w:val="20"/>
        </w:rPr>
      </w:pPr>
    </w:p>
    <w:p w14:paraId="719AE4C5" w14:textId="340A41FC" w:rsidR="00586359" w:rsidRPr="002574EC" w:rsidRDefault="00FF668C" w:rsidP="00F85814">
      <w:pPr>
        <w:pStyle w:val="ListParagraph"/>
      </w:pPr>
      <w:r w:rsidRPr="002574EC">
        <w:t xml:space="preserve">The IACHR flat out condemns </w:t>
      </w:r>
      <w:r w:rsidR="00FD5C4D" w:rsidRPr="002574EC">
        <w:t xml:space="preserve">the torture and cruel, inhumane and degrading treatment endured by persons deprived of liberty, who are accused of conspiring against the government. </w:t>
      </w:r>
      <w:r w:rsidR="004860A5" w:rsidRPr="002574EC">
        <w:t>It also urges the State to investigate, prosecute and punish those responsible for this gross human rights violation</w:t>
      </w:r>
      <w:r w:rsidR="00586359" w:rsidRPr="002574EC">
        <w:t xml:space="preserve">. </w:t>
      </w:r>
    </w:p>
    <w:p w14:paraId="0D8308B8" w14:textId="77777777" w:rsidR="0033334E" w:rsidRPr="002574EC" w:rsidRDefault="0033334E" w:rsidP="00E07D06">
      <w:pPr>
        <w:widowControl w:val="0"/>
        <w:pBdr>
          <w:top w:val="nil"/>
          <w:left w:val="nil"/>
          <w:bottom w:val="nil"/>
          <w:right w:val="nil"/>
          <w:between w:val="nil"/>
        </w:pBdr>
        <w:ind w:left="426" w:hanging="426"/>
        <w:jc w:val="both"/>
        <w:rPr>
          <w:rFonts w:ascii="Cambria" w:hAnsi="Cambria"/>
          <w:sz w:val="20"/>
          <w:szCs w:val="20"/>
        </w:rPr>
      </w:pPr>
    </w:p>
    <w:p w14:paraId="05FB1BB3" w14:textId="30B304FC" w:rsidR="007959E4" w:rsidRPr="002574EC" w:rsidRDefault="007E4CE8" w:rsidP="007E075D">
      <w:pPr>
        <w:pStyle w:val="Heading2"/>
      </w:pPr>
      <w:r w:rsidRPr="002574EC">
        <w:t xml:space="preserve">Situation of freedom of expression </w:t>
      </w:r>
    </w:p>
    <w:p w14:paraId="6E94D523" w14:textId="1FA354F3" w:rsidR="005D7789" w:rsidRPr="002574EC" w:rsidRDefault="005D7789" w:rsidP="00E07D06">
      <w:pPr>
        <w:ind w:left="426" w:hanging="426"/>
        <w:jc w:val="both"/>
        <w:rPr>
          <w:rFonts w:ascii="Cambria" w:hAnsi="Cambria"/>
          <w:b/>
          <w:sz w:val="20"/>
          <w:szCs w:val="20"/>
        </w:rPr>
      </w:pPr>
    </w:p>
    <w:p w14:paraId="24333FBE" w14:textId="47A7B326" w:rsidR="00EE5D9F" w:rsidRPr="002574EC" w:rsidRDefault="00CB6E79" w:rsidP="00F85814">
      <w:pPr>
        <w:pStyle w:val="ListParagraph"/>
      </w:pPr>
      <w:r w:rsidRPr="002574EC">
        <w:t>I</w:t>
      </w:r>
      <w:r w:rsidR="005D7789" w:rsidRPr="002574EC">
        <w:t xml:space="preserve">n 2021, </w:t>
      </w:r>
      <w:r w:rsidR="009C48BC" w:rsidRPr="002574EC">
        <w:t>the Office of the Special Rapporteur</w:t>
      </w:r>
      <w:r w:rsidR="009843B6" w:rsidRPr="002574EC">
        <w:t xml:space="preserve"> for Freedom of Expression</w:t>
      </w:r>
      <w:r w:rsidR="009C48BC" w:rsidRPr="002574EC">
        <w:t xml:space="preserve"> monitored with concern </w:t>
      </w:r>
      <w:r w:rsidR="0096368F" w:rsidRPr="002574EC">
        <w:t xml:space="preserve">persisting </w:t>
      </w:r>
      <w:r w:rsidR="004215EF" w:rsidRPr="002574EC">
        <w:t>grave violation</w:t>
      </w:r>
      <w:r w:rsidR="004F6108" w:rsidRPr="002574EC">
        <w:t xml:space="preserve">s </w:t>
      </w:r>
      <w:r w:rsidR="00C36243" w:rsidRPr="002574EC">
        <w:t>of</w:t>
      </w:r>
      <w:r w:rsidR="004F6108" w:rsidRPr="002574EC">
        <w:t xml:space="preserve"> the right to freedom of expression in Venezuela. </w:t>
      </w:r>
      <w:r w:rsidR="009A53FF" w:rsidRPr="002574EC">
        <w:t xml:space="preserve">Journalists in the country, </w:t>
      </w:r>
      <w:r w:rsidR="0046250D" w:rsidRPr="002574EC">
        <w:t>an</w:t>
      </w:r>
      <w:r w:rsidR="00104516" w:rsidRPr="002574EC">
        <w:t>d</w:t>
      </w:r>
      <w:r w:rsidR="0046250D" w:rsidRPr="002574EC">
        <w:t xml:space="preserve"> particularly </w:t>
      </w:r>
      <w:r w:rsidR="00104516" w:rsidRPr="002574EC">
        <w:t xml:space="preserve">those engaging in </w:t>
      </w:r>
      <w:r w:rsidR="009A53FF" w:rsidRPr="002574EC">
        <w:t xml:space="preserve">independent </w:t>
      </w:r>
      <w:r w:rsidR="008E2957" w:rsidRPr="002574EC">
        <w:t xml:space="preserve">journalism or government critics, </w:t>
      </w:r>
      <w:r w:rsidR="00647980" w:rsidRPr="002574EC">
        <w:t>were</w:t>
      </w:r>
      <w:r w:rsidR="008E2957" w:rsidRPr="002574EC">
        <w:t xml:space="preserve"> constantly stigmatized, harassed, threatened </w:t>
      </w:r>
      <w:r w:rsidR="002D73ED" w:rsidRPr="002574EC">
        <w:t xml:space="preserve">and prevented from </w:t>
      </w:r>
      <w:r w:rsidR="0036051C" w:rsidRPr="002574EC">
        <w:t>going about their business as journalists</w:t>
      </w:r>
      <w:r w:rsidR="00280204" w:rsidRPr="002574EC">
        <w:t xml:space="preserve">, especially by charging them under the Hatred Law, </w:t>
      </w:r>
      <w:r w:rsidR="009807B6" w:rsidRPr="002574EC">
        <w:t xml:space="preserve">and even detaining them </w:t>
      </w:r>
      <w:r w:rsidR="00280204" w:rsidRPr="002574EC">
        <w:t xml:space="preserve">under </w:t>
      </w:r>
      <w:r w:rsidR="009807B6" w:rsidRPr="002574EC">
        <w:t>that law.</w:t>
      </w:r>
      <w:r w:rsidR="005C468E" w:rsidRPr="002574EC">
        <w:t xml:space="preserve"> </w:t>
      </w:r>
      <w:r w:rsidR="009807B6" w:rsidRPr="002574EC">
        <w:t xml:space="preserve">This fact, along with the closure of radio and television </w:t>
      </w:r>
      <w:r w:rsidR="0036051C" w:rsidRPr="002574EC">
        <w:t xml:space="preserve">stations </w:t>
      </w:r>
      <w:r w:rsidR="00DA172E" w:rsidRPr="002574EC">
        <w:t xml:space="preserve">and media outlets, and costly civil damages, prevent citizens from accessing a plurality of sources of news and diverse points of view, </w:t>
      </w:r>
      <w:r w:rsidR="000F4A74" w:rsidRPr="002574EC">
        <w:t>and also promotes self-censure</w:t>
      </w:r>
      <w:r w:rsidR="005D7789" w:rsidRPr="002574EC">
        <w:t xml:space="preserve">. </w:t>
      </w:r>
    </w:p>
    <w:p w14:paraId="5AF7552B" w14:textId="77777777" w:rsidR="00EE5D9F" w:rsidRPr="002574EC" w:rsidRDefault="00EE5D9F" w:rsidP="00E07D06">
      <w:pPr>
        <w:ind w:left="426" w:hanging="426"/>
        <w:jc w:val="both"/>
        <w:rPr>
          <w:rFonts w:ascii="Cambria" w:hAnsi="Cambria"/>
          <w:sz w:val="20"/>
          <w:szCs w:val="20"/>
        </w:rPr>
      </w:pPr>
    </w:p>
    <w:p w14:paraId="215B9FAA" w14:textId="64B1BB8C" w:rsidR="00287611" w:rsidRPr="002574EC" w:rsidRDefault="007F55FF" w:rsidP="00F85814">
      <w:pPr>
        <w:pStyle w:val="ListParagraph"/>
      </w:pPr>
      <w:r w:rsidRPr="002574EC">
        <w:t xml:space="preserve">The </w:t>
      </w:r>
      <w:r w:rsidR="001D6076" w:rsidRPr="002574EC">
        <w:t xml:space="preserve">surveillance of dissenting voices and threats to free speech are </w:t>
      </w:r>
      <w:r w:rsidR="00482256" w:rsidRPr="002574EC">
        <w:t>just as prevalent in the digital setting</w:t>
      </w:r>
      <w:r w:rsidR="00E54187" w:rsidRPr="002574EC">
        <w:t>, where media web site</w:t>
      </w:r>
      <w:r w:rsidR="00F033D5" w:rsidRPr="002574EC">
        <w:t xml:space="preserve"> blocks are reported</w:t>
      </w:r>
      <w:r w:rsidR="004846E7" w:rsidRPr="002574EC">
        <w:t>, in addition</w:t>
      </w:r>
      <w:r w:rsidR="001C553D" w:rsidRPr="002574EC">
        <w:t xml:space="preserve"> to</w:t>
      </w:r>
      <w:r w:rsidR="004846E7" w:rsidRPr="002574EC">
        <w:t xml:space="preserve"> court proceedings being brought </w:t>
      </w:r>
      <w:r w:rsidR="00EC5C63" w:rsidRPr="002574EC">
        <w:t xml:space="preserve">against citizens </w:t>
      </w:r>
      <w:r w:rsidR="00E11BE6" w:rsidRPr="002574EC">
        <w:t xml:space="preserve">as punishment for critical opinions </w:t>
      </w:r>
      <w:r w:rsidR="0036739B" w:rsidRPr="002574EC">
        <w:t>on social networks</w:t>
      </w:r>
      <w:r w:rsidR="00C87782" w:rsidRPr="002574EC">
        <w:t xml:space="preserve">.  </w:t>
      </w:r>
      <w:r w:rsidR="00904A0E" w:rsidRPr="002574EC">
        <w:t xml:space="preserve">Additionally, the Rapporteurship has seen reports of stigmatization of organizations and new requirements to be able to </w:t>
      </w:r>
      <w:r w:rsidR="00B333C1" w:rsidRPr="002574EC">
        <w:t xml:space="preserve">practice journalism </w:t>
      </w:r>
      <w:r w:rsidR="0079584E" w:rsidRPr="002574EC">
        <w:t>in Venezuela, under the guise of alleged anti-terroris</w:t>
      </w:r>
      <w:r w:rsidR="00280F50" w:rsidRPr="002574EC">
        <w:t>t efforts.</w:t>
      </w:r>
    </w:p>
    <w:p w14:paraId="629B0C3A" w14:textId="77777777" w:rsidR="005D7789" w:rsidRPr="002574EC" w:rsidRDefault="005D7789" w:rsidP="00E07D06">
      <w:pPr>
        <w:ind w:left="426" w:hanging="426"/>
        <w:jc w:val="both"/>
        <w:rPr>
          <w:rFonts w:ascii="Cambria" w:hAnsi="Cambria"/>
          <w:sz w:val="20"/>
          <w:szCs w:val="20"/>
        </w:rPr>
      </w:pPr>
    </w:p>
    <w:p w14:paraId="422CCE0E" w14:textId="10DE2D47" w:rsidR="005D7789" w:rsidRPr="002574EC" w:rsidRDefault="00F317E9" w:rsidP="00E07D06">
      <w:pPr>
        <w:ind w:left="426" w:hanging="426"/>
        <w:jc w:val="both"/>
        <w:rPr>
          <w:rFonts w:ascii="Cambria" w:hAnsi="Cambria"/>
          <w:b/>
          <w:i/>
          <w:sz w:val="20"/>
          <w:szCs w:val="20"/>
        </w:rPr>
      </w:pPr>
      <w:r w:rsidRPr="002574EC">
        <w:rPr>
          <w:rFonts w:ascii="Cambria" w:hAnsi="Cambria"/>
          <w:b/>
          <w:i/>
          <w:sz w:val="20"/>
          <w:szCs w:val="20"/>
        </w:rPr>
        <w:t xml:space="preserve">Journalism and democracy </w:t>
      </w:r>
    </w:p>
    <w:p w14:paraId="7DE8F55D" w14:textId="77777777" w:rsidR="005D7789" w:rsidRPr="002574EC" w:rsidRDefault="005D7789" w:rsidP="00E07D06">
      <w:pPr>
        <w:ind w:left="426" w:hanging="426"/>
        <w:jc w:val="both"/>
        <w:rPr>
          <w:rFonts w:ascii="Cambria" w:hAnsi="Cambria"/>
          <w:b/>
          <w:sz w:val="20"/>
          <w:szCs w:val="20"/>
        </w:rPr>
      </w:pPr>
    </w:p>
    <w:p w14:paraId="14DD8714" w14:textId="4349F85A" w:rsidR="005D7789" w:rsidRPr="002574EC" w:rsidRDefault="005D30A6" w:rsidP="00F85814">
      <w:pPr>
        <w:pStyle w:val="ListParagraph"/>
      </w:pPr>
      <w:r w:rsidRPr="002574EC">
        <w:t>I</w:t>
      </w:r>
      <w:r w:rsidR="005D7789" w:rsidRPr="002574EC">
        <w:t xml:space="preserve">n </w:t>
      </w:r>
      <w:r w:rsidR="00352662" w:rsidRPr="002574EC">
        <w:t xml:space="preserve">February </w:t>
      </w:r>
      <w:r w:rsidR="005D7789" w:rsidRPr="002574EC">
        <w:t>2021,</w:t>
      </w:r>
      <w:r w:rsidR="00352662" w:rsidRPr="002574EC">
        <w:t xml:space="preserve"> the IACHR and its Special Rapporteurship for Freedom of Expression </w:t>
      </w:r>
      <w:r w:rsidR="0001667A" w:rsidRPr="002574EC">
        <w:t xml:space="preserve">issued a warning about the </w:t>
      </w:r>
      <w:r w:rsidR="0073324B" w:rsidRPr="002574EC">
        <w:t xml:space="preserve">closure </w:t>
      </w:r>
      <w:r w:rsidR="0001667A" w:rsidRPr="002574EC">
        <w:t xml:space="preserve">of democratic spaces in Venezuela, especially </w:t>
      </w:r>
      <w:r w:rsidR="00027D38" w:rsidRPr="002574EC">
        <w:t xml:space="preserve">after </w:t>
      </w:r>
      <w:r w:rsidR="0001667A" w:rsidRPr="002574EC">
        <w:t>threats to the practice of independent journalism in the country.</w:t>
      </w:r>
      <w:r w:rsidR="005D7789" w:rsidRPr="002574EC">
        <w:rPr>
          <w:rStyle w:val="FootnoteReference"/>
          <w:rFonts w:eastAsiaTheme="majorEastAsia"/>
        </w:rPr>
        <w:footnoteReference w:id="140"/>
      </w:r>
      <w:r w:rsidR="00395B8D" w:rsidRPr="002574EC">
        <w:t xml:space="preserve"> </w:t>
      </w:r>
      <w:r w:rsidR="005843B5" w:rsidRPr="002574EC">
        <w:t xml:space="preserve">The facts documented by the Special Rapporteurship confirm that this pattern has persisted over the year. </w:t>
      </w:r>
      <w:r w:rsidR="00921BD6" w:rsidRPr="002574EC">
        <w:t xml:space="preserve">Unlawful detentions, threats and harassment of journalists as they </w:t>
      </w:r>
      <w:r w:rsidR="005631E9" w:rsidRPr="002574EC">
        <w:t xml:space="preserve">go about their business reporting are constant risk factors, exacerbated by a scenario of stigmatization, including by public </w:t>
      </w:r>
      <w:r w:rsidR="004A3768" w:rsidRPr="002574EC">
        <w:t>officials</w:t>
      </w:r>
      <w:r w:rsidR="00C921AF" w:rsidRPr="002574EC">
        <w:t>,</w:t>
      </w:r>
      <w:r w:rsidR="004A3768" w:rsidRPr="002574EC">
        <w:t xml:space="preserve"> </w:t>
      </w:r>
      <w:r w:rsidR="005631E9" w:rsidRPr="002574EC">
        <w:t>against the independent press and journalists or those regarded as opposition</w:t>
      </w:r>
      <w:r w:rsidR="00657A81" w:rsidRPr="002574EC">
        <w:t xml:space="preserve"> members</w:t>
      </w:r>
      <w:r w:rsidR="005D7789" w:rsidRPr="002574EC">
        <w:t xml:space="preserve">. </w:t>
      </w:r>
      <w:r w:rsidR="00995729" w:rsidRPr="002574EC">
        <w:t xml:space="preserve">The </w:t>
      </w:r>
      <w:r w:rsidR="000E6916" w:rsidRPr="002574EC">
        <w:t xml:space="preserve">many </w:t>
      </w:r>
      <w:r w:rsidR="00995729" w:rsidRPr="002574EC">
        <w:t xml:space="preserve">threats of </w:t>
      </w:r>
      <w:r w:rsidR="00067DD6" w:rsidRPr="002574EC">
        <w:t>subsequent liability under the Hatred Law</w:t>
      </w:r>
      <w:r w:rsidR="006523AA" w:rsidRPr="002574EC">
        <w:t xml:space="preserve"> </w:t>
      </w:r>
      <w:r w:rsidR="00067DD6" w:rsidRPr="002574EC">
        <w:t xml:space="preserve">worsened in 2021, when one newspaper was </w:t>
      </w:r>
      <w:r w:rsidR="003F4A5F" w:rsidRPr="002574EC">
        <w:t xml:space="preserve">sentenced </w:t>
      </w:r>
      <w:r w:rsidR="00067DD6" w:rsidRPr="002574EC">
        <w:t>to pay more than 30 million dollars in a civil suit</w:t>
      </w:r>
      <w:r w:rsidR="005C225D" w:rsidRPr="002574EC">
        <w:t>,</w:t>
      </w:r>
      <w:r w:rsidR="00067DD6" w:rsidRPr="002574EC">
        <w:t xml:space="preserve"> based on alleged defamation of character, thus </w:t>
      </w:r>
      <w:r w:rsidR="00D35D4F" w:rsidRPr="002574EC">
        <w:t xml:space="preserve">triggering greater </w:t>
      </w:r>
      <w:r w:rsidR="00067DD6" w:rsidRPr="002574EC">
        <w:t>self</w:t>
      </w:r>
      <w:r w:rsidR="00CA3204" w:rsidRPr="002574EC">
        <w:t xml:space="preserve">-censure </w:t>
      </w:r>
      <w:r w:rsidR="00E16991" w:rsidRPr="002574EC">
        <w:t>in a climate that has been</w:t>
      </w:r>
      <w:r w:rsidR="006B6D33" w:rsidRPr="002574EC">
        <w:t xml:space="preserve"> </w:t>
      </w:r>
      <w:r w:rsidR="004238C0" w:rsidRPr="002574EC">
        <w:t xml:space="preserve">paving the way for </w:t>
      </w:r>
      <w:r w:rsidR="00857E94" w:rsidRPr="002574EC">
        <w:t>it</w:t>
      </w:r>
      <w:r w:rsidR="00E16991" w:rsidRPr="002574EC">
        <w:t xml:space="preserve"> over the past years</w:t>
      </w:r>
      <w:r w:rsidR="00857E94" w:rsidRPr="002574EC">
        <w:t xml:space="preserve">. </w:t>
      </w:r>
      <w:r w:rsidR="00E16991" w:rsidRPr="002574EC">
        <w:t xml:space="preserve"> </w:t>
      </w:r>
      <w:r w:rsidR="00857E94" w:rsidRPr="002574EC">
        <w:t>Attacks on the main offices</w:t>
      </w:r>
      <w:r w:rsidR="004B104D" w:rsidRPr="002574EC">
        <w:t xml:space="preserve"> of media outlets</w:t>
      </w:r>
      <w:r w:rsidR="00857E94" w:rsidRPr="002574EC">
        <w:t xml:space="preserve"> and </w:t>
      </w:r>
      <w:r w:rsidR="00AC04D7" w:rsidRPr="002574EC">
        <w:t xml:space="preserve">on </w:t>
      </w:r>
      <w:r w:rsidR="00857E94" w:rsidRPr="002574EC">
        <w:t>important infrastructure for the practice of journalism</w:t>
      </w:r>
      <w:r w:rsidR="00216CE5" w:rsidRPr="002574EC">
        <w:t>, as well as</w:t>
      </w:r>
      <w:r w:rsidR="00857E94" w:rsidRPr="002574EC">
        <w:t xml:space="preserve"> obstacles caused by the energy and economic crisis</w:t>
      </w:r>
      <w:r w:rsidR="00E033F8" w:rsidRPr="002574EC">
        <w:t xml:space="preserve">, </w:t>
      </w:r>
      <w:r w:rsidR="00CB6063" w:rsidRPr="002574EC">
        <w:t>teamed up with</w:t>
      </w:r>
      <w:r w:rsidR="008D4967" w:rsidRPr="002574EC">
        <w:t xml:space="preserve"> </w:t>
      </w:r>
      <w:r w:rsidR="00D07200" w:rsidRPr="002574EC">
        <w:t xml:space="preserve">administrative proceedings </w:t>
      </w:r>
      <w:r w:rsidR="004B05DA" w:rsidRPr="002574EC">
        <w:t xml:space="preserve">brought by the government </w:t>
      </w:r>
      <w:r w:rsidR="00D07200" w:rsidRPr="002574EC">
        <w:t xml:space="preserve">on different grounds against </w:t>
      </w:r>
      <w:r w:rsidR="002D7A10" w:rsidRPr="002574EC">
        <w:t xml:space="preserve">the </w:t>
      </w:r>
      <w:r w:rsidR="00D07200" w:rsidRPr="002574EC">
        <w:t>print media</w:t>
      </w:r>
      <w:r w:rsidR="00986A01" w:rsidRPr="002574EC">
        <w:t>,</w:t>
      </w:r>
      <w:r w:rsidR="00D07200" w:rsidRPr="002574EC">
        <w:t xml:space="preserve"> as possible retaliation for their editorial lines</w:t>
      </w:r>
      <w:r w:rsidR="00470139" w:rsidRPr="002574EC">
        <w:t>,</w:t>
      </w:r>
      <w:r w:rsidR="00D07200" w:rsidRPr="002574EC">
        <w:t xml:space="preserve"> </w:t>
      </w:r>
      <w:r w:rsidR="00BA5752" w:rsidRPr="002574EC">
        <w:t xml:space="preserve">and </w:t>
      </w:r>
      <w:r w:rsidR="00D31501" w:rsidRPr="002574EC">
        <w:t>culminated in the closure of these broadcast</w:t>
      </w:r>
      <w:r w:rsidR="00223828" w:rsidRPr="002574EC">
        <w:t xml:space="preserve"> stations and </w:t>
      </w:r>
      <w:r w:rsidR="00700FD1" w:rsidRPr="002574EC">
        <w:t xml:space="preserve">the </w:t>
      </w:r>
      <w:r w:rsidR="00223828" w:rsidRPr="002574EC">
        <w:t xml:space="preserve">censuring of programs.  </w:t>
      </w:r>
    </w:p>
    <w:p w14:paraId="1692A805" w14:textId="77777777" w:rsidR="00983A69" w:rsidRPr="002574EC" w:rsidRDefault="00983A69" w:rsidP="00983A69">
      <w:pPr>
        <w:pBdr>
          <w:top w:val="nil"/>
          <w:left w:val="nil"/>
          <w:bottom w:val="nil"/>
          <w:right w:val="nil"/>
          <w:between w:val="nil"/>
        </w:pBdr>
        <w:jc w:val="both"/>
        <w:rPr>
          <w:rFonts w:ascii="Cambria" w:hAnsi="Cambria"/>
          <w:sz w:val="20"/>
          <w:szCs w:val="20"/>
        </w:rPr>
      </w:pPr>
    </w:p>
    <w:p w14:paraId="642F8DDC" w14:textId="1836E2E8" w:rsidR="005D7789" w:rsidRPr="002574EC" w:rsidRDefault="00B43E76" w:rsidP="00F85814">
      <w:pPr>
        <w:pStyle w:val="ListParagraph"/>
        <w:rPr>
          <w:rStyle w:val="Emphasis"/>
          <w:bdr w:val="none" w:sz="0" w:space="0" w:color="auto" w:frame="1"/>
          <w:shd w:val="clear" w:color="auto" w:fill="FFFFFF"/>
        </w:rPr>
      </w:pPr>
      <w:r w:rsidRPr="002574EC">
        <w:rPr>
          <w:lang w:eastAsia="es-419"/>
        </w:rPr>
        <w:t xml:space="preserve">The Office of the Special Rapporteur has received information about several incidents where journalists were </w:t>
      </w:r>
      <w:r w:rsidR="00AB6190" w:rsidRPr="002574EC">
        <w:rPr>
          <w:lang w:eastAsia="es-419"/>
        </w:rPr>
        <w:t xml:space="preserve">detained as </w:t>
      </w:r>
      <w:r w:rsidRPr="002574EC">
        <w:rPr>
          <w:lang w:eastAsia="es-419"/>
        </w:rPr>
        <w:t xml:space="preserve">they were going about their business </w:t>
      </w:r>
      <w:r w:rsidR="001C56AB" w:rsidRPr="002574EC">
        <w:rPr>
          <w:lang w:eastAsia="es-419"/>
        </w:rPr>
        <w:t>reporting</w:t>
      </w:r>
      <w:r w:rsidR="00D8175A" w:rsidRPr="002574EC">
        <w:rPr>
          <w:lang w:eastAsia="es-419"/>
        </w:rPr>
        <w:t>.</w:t>
      </w:r>
      <w:r w:rsidR="005D7789" w:rsidRPr="002574EC">
        <w:rPr>
          <w:rStyle w:val="FootnoteReference"/>
          <w:lang w:eastAsia="es-419"/>
        </w:rPr>
        <w:footnoteReference w:id="141"/>
      </w:r>
      <w:r w:rsidR="00D8175A" w:rsidRPr="002574EC">
        <w:rPr>
          <w:lang w:eastAsia="es-419"/>
        </w:rPr>
        <w:t xml:space="preserve"> This Office viewed with </w:t>
      </w:r>
      <w:r w:rsidR="00D8175A" w:rsidRPr="002574EC">
        <w:rPr>
          <w:lang w:eastAsia="es-419"/>
        </w:rPr>
        <w:lastRenderedPageBreak/>
        <w:t xml:space="preserve">particular concern that on March 30, </w:t>
      </w:r>
      <w:r w:rsidR="005D7789" w:rsidRPr="002574EC">
        <w:rPr>
          <w:shd w:val="clear" w:color="auto" w:fill="FFFFFF"/>
        </w:rPr>
        <w:t xml:space="preserve">de 2021, </w:t>
      </w:r>
      <w:r w:rsidR="00D8175A" w:rsidRPr="002574EC">
        <w:rPr>
          <w:shd w:val="clear" w:color="auto" w:fill="FFFFFF"/>
        </w:rPr>
        <w:t xml:space="preserve">journalists </w:t>
      </w:r>
      <w:r w:rsidR="005D7789" w:rsidRPr="002574EC">
        <w:t xml:space="preserve">Luis Gonzalo Pérez </w:t>
      </w:r>
      <w:r w:rsidR="00D8175A" w:rsidRPr="002574EC">
        <w:t>and</w:t>
      </w:r>
      <w:r w:rsidR="005D7789" w:rsidRPr="002574EC">
        <w:t xml:space="preserve"> Rafael Hernández </w:t>
      </w:r>
      <w:r w:rsidR="00D8175A" w:rsidRPr="002574EC">
        <w:t>and activists</w:t>
      </w:r>
      <w:r w:rsidR="005D7789" w:rsidRPr="002574EC">
        <w:t xml:space="preserve"> J</w:t>
      </w:r>
      <w:r w:rsidR="005D7789" w:rsidRPr="002574EC">
        <w:rPr>
          <w:rFonts w:cs="Noto Serif"/>
          <w:shd w:val="clear" w:color="auto" w:fill="FFFFFF"/>
        </w:rPr>
        <w:t xml:space="preserve">uan Carlos Salazar </w:t>
      </w:r>
      <w:r w:rsidR="00D8175A" w:rsidRPr="002574EC">
        <w:rPr>
          <w:rFonts w:cs="Noto Serif"/>
          <w:shd w:val="clear" w:color="auto" w:fill="FFFFFF"/>
        </w:rPr>
        <w:t>and</w:t>
      </w:r>
      <w:r w:rsidR="005D7789" w:rsidRPr="002574EC">
        <w:rPr>
          <w:rFonts w:cs="Noto Serif"/>
          <w:shd w:val="clear" w:color="auto" w:fill="FFFFFF"/>
        </w:rPr>
        <w:t xml:space="preserve"> Diógenes Tirado</w:t>
      </w:r>
      <w:r w:rsidR="005D7789" w:rsidRPr="002574EC">
        <w:t xml:space="preserve"> (</w:t>
      </w:r>
      <w:r w:rsidR="00D8175A" w:rsidRPr="002574EC">
        <w:t>of</w:t>
      </w:r>
      <w:r w:rsidR="005D7789" w:rsidRPr="002574EC">
        <w:t xml:space="preserve"> </w:t>
      </w:r>
      <w:r w:rsidR="00FD3BAE" w:rsidRPr="002574EC">
        <w:t>FundaRedes</w:t>
      </w:r>
      <w:r w:rsidR="005D7789" w:rsidRPr="002574EC">
        <w:t xml:space="preserve">) </w:t>
      </w:r>
      <w:r w:rsidR="00541B92" w:rsidRPr="002574EC">
        <w:t xml:space="preserve">were reportedly held in detention at Brigade 92 of the Bolivarian National Guard, Sorocaima </w:t>
      </w:r>
      <w:r w:rsidR="00582134" w:rsidRPr="002574EC">
        <w:t>F</w:t>
      </w:r>
      <w:r w:rsidR="00541B92" w:rsidRPr="002574EC">
        <w:t>ort of Guasdualito, in the municipality of Páez, Apure, a region on the border with Colombia</w:t>
      </w:r>
      <w:r w:rsidR="005D7789" w:rsidRPr="002574EC">
        <w:t xml:space="preserve">. </w:t>
      </w:r>
      <w:r w:rsidR="00EA7609" w:rsidRPr="002574EC">
        <w:t xml:space="preserve">According to available information, the journalists and activists </w:t>
      </w:r>
      <w:r w:rsidR="00984C6A" w:rsidRPr="002574EC">
        <w:t>were covering the recent confrontations between the Bolivarian National Armed Forces and allegedly armed groups on the border, when they were held for more than 24 hours.</w:t>
      </w:r>
      <w:r w:rsidR="005D7789" w:rsidRPr="002574EC">
        <w:rPr>
          <w:rStyle w:val="FootnoteReference"/>
          <w:rFonts w:eastAsiaTheme="majorEastAsia"/>
        </w:rPr>
        <w:footnoteReference w:id="142"/>
      </w:r>
      <w:r w:rsidR="00E41FBF" w:rsidRPr="002574EC">
        <w:t xml:space="preserve"> Following the release, on April 7, 2021, the First Vice President </w:t>
      </w:r>
      <w:r w:rsidR="005D7789" w:rsidRPr="002574EC">
        <w:t xml:space="preserve"> </w:t>
      </w:r>
      <w:r w:rsidR="00E41FBF" w:rsidRPr="002574EC">
        <w:t xml:space="preserve">of the United Socialist Party of Venezuela, Diosdado Cabello, reportedly said on his TV program </w:t>
      </w:r>
      <w:r w:rsidR="00E41FBF" w:rsidRPr="002574EC">
        <w:rPr>
          <w:i/>
          <w:iCs/>
        </w:rPr>
        <w:t xml:space="preserve">Con el Mazo Dando </w:t>
      </w:r>
      <w:r w:rsidR="00E41FBF" w:rsidRPr="002574EC">
        <w:t xml:space="preserve">that the journalists were covering the conflict in Apure were spreading hatred </w:t>
      </w:r>
      <w:r w:rsidR="006E6C21" w:rsidRPr="002574EC">
        <w:t xml:space="preserve">and </w:t>
      </w:r>
      <w:r w:rsidR="000D2E79" w:rsidRPr="002574EC">
        <w:t xml:space="preserve">sowing </w:t>
      </w:r>
      <w:r w:rsidR="009C0D09" w:rsidRPr="002574EC">
        <w:t>“</w:t>
      </w:r>
      <w:r w:rsidR="000D2E79" w:rsidRPr="002574EC">
        <w:rPr>
          <w:i/>
          <w:iCs/>
        </w:rPr>
        <w:t>discord against the Bolivarian National Armed Forces, against the Bolivarian Government, and were making the world believe that the Colombian government is who is helping Venezuelans.</w:t>
      </w:r>
      <w:r w:rsidR="005D7789" w:rsidRPr="002574EC">
        <w:rPr>
          <w:rStyle w:val="Emphasis"/>
          <w:bdr w:val="none" w:sz="0" w:space="0" w:color="auto" w:frame="1"/>
          <w:shd w:val="clear" w:color="auto" w:fill="FFFFFF"/>
        </w:rPr>
        <w:t>”</w:t>
      </w:r>
      <w:r w:rsidR="005D7789" w:rsidRPr="002574EC">
        <w:rPr>
          <w:rStyle w:val="FootnoteReference"/>
          <w:rFonts w:eastAsiaTheme="majorEastAsia"/>
          <w:i/>
          <w:iCs/>
          <w:bdr w:val="none" w:sz="0" w:space="0" w:color="auto" w:frame="1"/>
          <w:shd w:val="clear" w:color="auto" w:fill="FFFFFF"/>
        </w:rPr>
        <w:footnoteReference w:id="143"/>
      </w:r>
      <w:r w:rsidR="005D7789" w:rsidRPr="002574EC">
        <w:rPr>
          <w:rStyle w:val="Emphasis"/>
          <w:bdr w:val="none" w:sz="0" w:space="0" w:color="auto" w:frame="1"/>
          <w:shd w:val="clear" w:color="auto" w:fill="FFFFFF"/>
        </w:rPr>
        <w:t xml:space="preserve"> </w:t>
      </w:r>
    </w:p>
    <w:p w14:paraId="6B927750" w14:textId="77777777" w:rsidR="005D7789" w:rsidRPr="002574EC" w:rsidRDefault="005D7789" w:rsidP="00E07D06">
      <w:pPr>
        <w:ind w:left="426" w:hanging="426"/>
        <w:jc w:val="both"/>
        <w:rPr>
          <w:rStyle w:val="Emphasis"/>
          <w:rFonts w:ascii="Cambria" w:hAnsi="Cambria"/>
          <w:i w:val="0"/>
          <w:sz w:val="20"/>
          <w:szCs w:val="20"/>
          <w:bdr w:val="none" w:sz="0" w:space="0" w:color="auto" w:frame="1"/>
          <w:shd w:val="clear" w:color="auto" w:fill="FFFFFF"/>
        </w:rPr>
      </w:pPr>
    </w:p>
    <w:p w14:paraId="41F960DA" w14:textId="2307C199" w:rsidR="005D7789" w:rsidRPr="002574EC" w:rsidRDefault="001318A8" w:rsidP="00F85814">
      <w:pPr>
        <w:pStyle w:val="ListParagraph"/>
        <w:rPr>
          <w:rStyle w:val="Emphasis"/>
          <w:i w:val="0"/>
          <w:iCs w:val="0"/>
          <w:bdr w:val="none" w:sz="0" w:space="0" w:color="auto" w:frame="1"/>
          <w:shd w:val="clear" w:color="auto" w:fill="FFFFFF"/>
        </w:rPr>
      </w:pPr>
      <w:r w:rsidRPr="002574EC">
        <w:rPr>
          <w:rStyle w:val="Emphasis"/>
          <w:i w:val="0"/>
          <w:iCs w:val="0"/>
          <w:bdr w:val="none" w:sz="0" w:space="0" w:color="auto" w:frame="1"/>
          <w:shd w:val="clear" w:color="auto" w:fill="FFFFFF"/>
        </w:rPr>
        <w:t xml:space="preserve">These detentions took place in a context in which journalist </w:t>
      </w:r>
      <w:r w:rsidR="00DC08FC" w:rsidRPr="002574EC">
        <w:rPr>
          <w:rStyle w:val="Emphasis"/>
          <w:i w:val="0"/>
          <w:iCs w:val="0"/>
          <w:bdr w:val="none" w:sz="0" w:space="0" w:color="auto" w:frame="1"/>
          <w:shd w:val="clear" w:color="auto" w:fill="FFFFFF"/>
        </w:rPr>
        <w:t xml:space="preserve">would often have to do </w:t>
      </w:r>
      <w:r w:rsidR="001E2C2B" w:rsidRPr="002574EC">
        <w:rPr>
          <w:rStyle w:val="Emphasis"/>
          <w:i w:val="0"/>
          <w:iCs w:val="0"/>
          <w:bdr w:val="none" w:sz="0" w:space="0" w:color="auto" w:frame="1"/>
          <w:shd w:val="clear" w:color="auto" w:fill="FFFFFF"/>
        </w:rPr>
        <w:t xml:space="preserve">their </w:t>
      </w:r>
      <w:r w:rsidR="008B5C0D" w:rsidRPr="002574EC">
        <w:rPr>
          <w:rStyle w:val="Emphasis"/>
          <w:i w:val="0"/>
          <w:iCs w:val="0"/>
          <w:bdr w:val="none" w:sz="0" w:space="0" w:color="auto" w:frame="1"/>
          <w:shd w:val="clear" w:color="auto" w:fill="FFFFFF"/>
        </w:rPr>
        <w:t xml:space="preserve">work </w:t>
      </w:r>
      <w:r w:rsidR="001E2C2B" w:rsidRPr="002574EC">
        <w:rPr>
          <w:rStyle w:val="Emphasis"/>
          <w:i w:val="0"/>
          <w:iCs w:val="0"/>
          <w:bdr w:val="none" w:sz="0" w:space="0" w:color="auto" w:frame="1"/>
          <w:shd w:val="clear" w:color="auto" w:fill="FFFFFF"/>
        </w:rPr>
        <w:t>under acts of threat, harassment, intimidation and aggression.</w:t>
      </w:r>
      <w:r w:rsidR="005D7789" w:rsidRPr="002574EC">
        <w:rPr>
          <w:rStyle w:val="FootnoteReference"/>
          <w:rFonts w:eastAsiaTheme="majorEastAsia"/>
          <w:i/>
          <w:iCs/>
          <w:bdr w:val="none" w:sz="0" w:space="0" w:color="auto" w:frame="1"/>
          <w:shd w:val="clear" w:color="auto" w:fill="FFFFFF"/>
        </w:rPr>
        <w:footnoteReference w:id="144"/>
      </w:r>
      <w:r w:rsidR="00446279" w:rsidRPr="002574EC">
        <w:rPr>
          <w:rStyle w:val="Emphasis"/>
          <w:i w:val="0"/>
          <w:iCs w:val="0"/>
          <w:bdr w:val="none" w:sz="0" w:space="0" w:color="auto" w:frame="1"/>
          <w:shd w:val="clear" w:color="auto" w:fill="FFFFFF"/>
        </w:rPr>
        <w:t xml:space="preserve"> </w:t>
      </w:r>
      <w:r w:rsidR="007A5C62" w:rsidRPr="002574EC">
        <w:rPr>
          <w:rStyle w:val="Emphasis"/>
          <w:i w:val="0"/>
          <w:iCs w:val="0"/>
          <w:bdr w:val="none" w:sz="0" w:space="0" w:color="auto" w:frame="1"/>
          <w:shd w:val="clear" w:color="auto" w:fill="FFFFFF"/>
        </w:rPr>
        <w:t xml:space="preserve">The Inter-American Press Association identified </w:t>
      </w:r>
      <w:r w:rsidR="00417CBA" w:rsidRPr="002574EC">
        <w:rPr>
          <w:rStyle w:val="Emphasis"/>
          <w:i w:val="0"/>
          <w:iCs w:val="0"/>
          <w:bdr w:val="none" w:sz="0" w:space="0" w:color="auto" w:frame="1"/>
          <w:shd w:val="clear" w:color="auto" w:fill="FFFFFF"/>
        </w:rPr>
        <w:t xml:space="preserve">physical assaults </w:t>
      </w:r>
      <w:r w:rsidR="00BD26E1" w:rsidRPr="002574EC">
        <w:rPr>
          <w:rStyle w:val="Emphasis"/>
          <w:i w:val="0"/>
          <w:iCs w:val="0"/>
          <w:bdr w:val="none" w:sz="0" w:space="0" w:color="auto" w:frame="1"/>
          <w:shd w:val="clear" w:color="auto" w:fill="FFFFFF"/>
        </w:rPr>
        <w:t xml:space="preserve">and </w:t>
      </w:r>
      <w:r w:rsidR="00AC0EA0" w:rsidRPr="002574EC">
        <w:rPr>
          <w:rStyle w:val="Emphasis"/>
          <w:i w:val="0"/>
          <w:iCs w:val="0"/>
          <w:bdr w:val="none" w:sz="0" w:space="0" w:color="auto" w:frame="1"/>
          <w:shd w:val="clear" w:color="auto" w:fill="FFFFFF"/>
        </w:rPr>
        <w:t>confiscation of cameras and cell phones as a pattern against journalists in Venezuela over the year.</w:t>
      </w:r>
      <w:r w:rsidR="005D7789" w:rsidRPr="002574EC">
        <w:rPr>
          <w:rStyle w:val="FootnoteReference"/>
          <w:rFonts w:eastAsiaTheme="majorEastAsia"/>
          <w:i/>
          <w:iCs/>
          <w:bdr w:val="none" w:sz="0" w:space="0" w:color="auto" w:frame="1"/>
          <w:shd w:val="clear" w:color="auto" w:fill="FFFFFF"/>
        </w:rPr>
        <w:footnoteReference w:id="145"/>
      </w:r>
      <w:r w:rsidR="005F0ADB" w:rsidRPr="002574EC">
        <w:rPr>
          <w:rStyle w:val="Emphasis"/>
          <w:i w:val="0"/>
          <w:iCs w:val="0"/>
          <w:bdr w:val="none" w:sz="0" w:space="0" w:color="auto" w:frame="1"/>
          <w:shd w:val="clear" w:color="auto" w:fill="FFFFFF"/>
        </w:rPr>
        <w:t xml:space="preserve"> In</w:t>
      </w:r>
      <w:r w:rsidR="005D7789" w:rsidRPr="002574EC">
        <w:rPr>
          <w:rStyle w:val="Emphasis"/>
          <w:i w:val="0"/>
          <w:iCs w:val="0"/>
          <w:bdr w:val="none" w:sz="0" w:space="0" w:color="auto" w:frame="1"/>
          <w:shd w:val="clear" w:color="auto" w:fill="FFFFFF"/>
        </w:rPr>
        <w:t xml:space="preserve"> 2021, </w:t>
      </w:r>
      <w:r w:rsidR="00446279" w:rsidRPr="002574EC">
        <w:rPr>
          <w:rStyle w:val="Emphasis"/>
          <w:i w:val="0"/>
          <w:iCs w:val="0"/>
          <w:bdr w:val="none" w:sz="0" w:space="0" w:color="auto" w:frame="1"/>
          <w:shd w:val="clear" w:color="auto" w:fill="FFFFFF"/>
        </w:rPr>
        <w:t xml:space="preserve">the Office of the Special Rapporteur </w:t>
      </w:r>
      <w:r w:rsidR="00F40EBA" w:rsidRPr="002574EC">
        <w:rPr>
          <w:rStyle w:val="Emphasis"/>
          <w:i w:val="0"/>
          <w:iCs w:val="0"/>
          <w:bdr w:val="none" w:sz="0" w:space="0" w:color="auto" w:frame="1"/>
          <w:shd w:val="clear" w:color="auto" w:fill="FFFFFF"/>
        </w:rPr>
        <w:t xml:space="preserve">received </w:t>
      </w:r>
      <w:r w:rsidR="00446279" w:rsidRPr="002574EC">
        <w:rPr>
          <w:rStyle w:val="Emphasis"/>
          <w:i w:val="0"/>
          <w:iCs w:val="0"/>
          <w:bdr w:val="none" w:sz="0" w:space="0" w:color="auto" w:frame="1"/>
          <w:shd w:val="clear" w:color="auto" w:fill="FFFFFF"/>
        </w:rPr>
        <w:t xml:space="preserve">reports of </w:t>
      </w:r>
      <w:r w:rsidR="00D04D29" w:rsidRPr="002574EC">
        <w:rPr>
          <w:rStyle w:val="Emphasis"/>
          <w:i w:val="0"/>
          <w:iCs w:val="0"/>
          <w:bdr w:val="none" w:sz="0" w:space="0" w:color="auto" w:frame="1"/>
          <w:shd w:val="clear" w:color="auto" w:fill="FFFFFF"/>
        </w:rPr>
        <w:t xml:space="preserve">actions of state agents to prevent the press from doing its job, </w:t>
      </w:r>
      <w:r w:rsidR="004B3E70" w:rsidRPr="002574EC">
        <w:rPr>
          <w:rStyle w:val="Emphasis"/>
          <w:i w:val="0"/>
          <w:iCs w:val="0"/>
          <w:bdr w:val="none" w:sz="0" w:space="0" w:color="auto" w:frame="1"/>
          <w:shd w:val="clear" w:color="auto" w:fill="FFFFFF"/>
        </w:rPr>
        <w:t xml:space="preserve">impeding </w:t>
      </w:r>
      <w:r w:rsidR="00BC13C0" w:rsidRPr="002574EC">
        <w:rPr>
          <w:rStyle w:val="Emphasis"/>
          <w:i w:val="0"/>
          <w:iCs w:val="0"/>
          <w:bdr w:val="none" w:sz="0" w:space="0" w:color="auto" w:frame="1"/>
          <w:shd w:val="clear" w:color="auto" w:fill="FFFFFF"/>
        </w:rPr>
        <w:t>journalists</w:t>
      </w:r>
      <w:r w:rsidR="004B3E70" w:rsidRPr="002574EC">
        <w:rPr>
          <w:rStyle w:val="Emphasis"/>
          <w:i w:val="0"/>
          <w:iCs w:val="0"/>
          <w:bdr w:val="none" w:sz="0" w:space="0" w:color="auto" w:frame="1"/>
          <w:shd w:val="clear" w:color="auto" w:fill="FFFFFF"/>
        </w:rPr>
        <w:t xml:space="preserve"> from gathering recorded audiovisual material or from covering events.</w:t>
      </w:r>
      <w:r w:rsidR="005D7789" w:rsidRPr="002574EC">
        <w:rPr>
          <w:rStyle w:val="FootnoteReference"/>
          <w:rFonts w:eastAsiaTheme="majorEastAsia"/>
          <w:i/>
          <w:iCs/>
          <w:bdr w:val="none" w:sz="0" w:space="0" w:color="auto" w:frame="1"/>
          <w:shd w:val="clear" w:color="auto" w:fill="FFFFFF"/>
        </w:rPr>
        <w:footnoteReference w:id="146"/>
      </w:r>
      <w:r w:rsidR="00B2681A" w:rsidRPr="002574EC">
        <w:rPr>
          <w:rStyle w:val="Emphasis"/>
          <w:i w:val="0"/>
          <w:iCs w:val="0"/>
          <w:bdr w:val="none" w:sz="0" w:space="0" w:color="auto" w:frame="1"/>
          <w:shd w:val="clear" w:color="auto" w:fill="FFFFFF"/>
        </w:rPr>
        <w:t xml:space="preserve">  The Rapporteurship also </w:t>
      </w:r>
      <w:r w:rsidR="0041263E" w:rsidRPr="002574EC">
        <w:rPr>
          <w:rStyle w:val="Emphasis"/>
          <w:i w:val="0"/>
          <w:iCs w:val="0"/>
          <w:bdr w:val="none" w:sz="0" w:space="0" w:color="auto" w:frame="1"/>
          <w:shd w:val="clear" w:color="auto" w:fill="FFFFFF"/>
        </w:rPr>
        <w:t xml:space="preserve">reported several cases when journalists were forced to erase audiovisual material they collected as </w:t>
      </w:r>
      <w:r w:rsidR="009E4257" w:rsidRPr="002574EC">
        <w:rPr>
          <w:rStyle w:val="Emphasis"/>
          <w:i w:val="0"/>
          <w:iCs w:val="0"/>
          <w:bdr w:val="none" w:sz="0" w:space="0" w:color="auto" w:frame="1"/>
          <w:shd w:val="clear" w:color="auto" w:fill="FFFFFF"/>
        </w:rPr>
        <w:t>were going about their job</w:t>
      </w:r>
      <w:r w:rsidR="00C832C3" w:rsidRPr="002574EC">
        <w:rPr>
          <w:rStyle w:val="Emphasis"/>
          <w:i w:val="0"/>
          <w:iCs w:val="0"/>
          <w:bdr w:val="none" w:sz="0" w:space="0" w:color="auto" w:frame="1"/>
          <w:shd w:val="clear" w:color="auto" w:fill="FFFFFF"/>
        </w:rPr>
        <w:t xml:space="preserve"> of reporting</w:t>
      </w:r>
      <w:r w:rsidR="0041263E" w:rsidRPr="002574EC">
        <w:rPr>
          <w:rStyle w:val="Emphasis"/>
          <w:i w:val="0"/>
          <w:iCs w:val="0"/>
          <w:bdr w:val="none" w:sz="0" w:space="0" w:color="auto" w:frame="1"/>
          <w:shd w:val="clear" w:color="auto" w:fill="FFFFFF"/>
        </w:rPr>
        <w:t xml:space="preserve"> – or attempted to </w:t>
      </w:r>
      <w:r w:rsidR="009E4257" w:rsidRPr="002574EC">
        <w:rPr>
          <w:rStyle w:val="Emphasis"/>
          <w:i w:val="0"/>
          <w:iCs w:val="0"/>
          <w:bdr w:val="none" w:sz="0" w:space="0" w:color="auto" w:frame="1"/>
          <w:shd w:val="clear" w:color="auto" w:fill="FFFFFF"/>
        </w:rPr>
        <w:t>go about it</w:t>
      </w:r>
      <w:r w:rsidR="0041263E" w:rsidRPr="002574EC">
        <w:rPr>
          <w:rStyle w:val="Emphasis"/>
          <w:i w:val="0"/>
          <w:iCs w:val="0"/>
          <w:bdr w:val="none" w:sz="0" w:space="0" w:color="auto" w:frame="1"/>
          <w:shd w:val="clear" w:color="auto" w:fill="FFFFFF"/>
        </w:rPr>
        <w:t>.</w:t>
      </w:r>
      <w:r w:rsidR="005D7789" w:rsidRPr="002574EC">
        <w:rPr>
          <w:rStyle w:val="FootnoteReference"/>
          <w:rFonts w:eastAsiaTheme="majorEastAsia"/>
          <w:i/>
          <w:iCs/>
          <w:bdr w:val="none" w:sz="0" w:space="0" w:color="auto" w:frame="1"/>
          <w:shd w:val="clear" w:color="auto" w:fill="FFFFFF"/>
        </w:rPr>
        <w:footnoteReference w:id="147"/>
      </w:r>
      <w:r w:rsidR="002662DF" w:rsidRPr="002574EC">
        <w:rPr>
          <w:rStyle w:val="Emphasis"/>
          <w:i w:val="0"/>
          <w:iCs w:val="0"/>
          <w:bdr w:val="none" w:sz="0" w:space="0" w:color="auto" w:frame="1"/>
          <w:shd w:val="clear" w:color="auto" w:fill="FFFFFF"/>
        </w:rPr>
        <w:t xml:space="preserve">  Also reported to this Office were cases in which photographs were taken of journalists as they were doing their job.</w:t>
      </w:r>
      <w:r w:rsidR="005D7789" w:rsidRPr="002574EC">
        <w:rPr>
          <w:rStyle w:val="FootnoteReference"/>
          <w:rFonts w:eastAsiaTheme="majorEastAsia"/>
          <w:i/>
          <w:iCs/>
          <w:bdr w:val="none" w:sz="0" w:space="0" w:color="auto" w:frame="1"/>
          <w:shd w:val="clear" w:color="auto" w:fill="FFFFFF"/>
        </w:rPr>
        <w:footnoteReference w:id="148"/>
      </w:r>
      <w:r w:rsidR="002662DF" w:rsidRPr="002574EC">
        <w:rPr>
          <w:rStyle w:val="Emphasis"/>
          <w:i w:val="0"/>
          <w:iCs w:val="0"/>
          <w:bdr w:val="none" w:sz="0" w:space="0" w:color="auto" w:frame="1"/>
          <w:shd w:val="clear" w:color="auto" w:fill="FFFFFF"/>
        </w:rPr>
        <w:t xml:space="preserve">  </w:t>
      </w:r>
      <w:r w:rsidR="00810A4D" w:rsidRPr="002574EC">
        <w:rPr>
          <w:rStyle w:val="Emphasis"/>
          <w:i w:val="0"/>
          <w:iCs w:val="0"/>
          <w:bdr w:val="none" w:sz="0" w:space="0" w:color="auto" w:frame="1"/>
          <w:shd w:val="clear" w:color="auto" w:fill="FFFFFF"/>
        </w:rPr>
        <w:t xml:space="preserve">What was particularly striking to the Rapporteurship were the impediments to </w:t>
      </w:r>
      <w:r w:rsidR="00810A4D" w:rsidRPr="002574EC">
        <w:rPr>
          <w:rStyle w:val="Emphasis"/>
          <w:i w:val="0"/>
          <w:iCs w:val="0"/>
          <w:bdr w:val="none" w:sz="0" w:space="0" w:color="auto" w:frame="1"/>
          <w:shd w:val="clear" w:color="auto" w:fill="FFFFFF"/>
        </w:rPr>
        <w:lastRenderedPageBreak/>
        <w:t>covering events that were of great public interest in 2021, such as the vaccination campaign days</w:t>
      </w:r>
      <w:r w:rsidR="005D7789" w:rsidRPr="002574EC">
        <w:rPr>
          <w:rStyle w:val="FootnoteReference"/>
          <w:rFonts w:eastAsiaTheme="majorEastAsia"/>
          <w:i/>
          <w:iCs/>
          <w:bdr w:val="none" w:sz="0" w:space="0" w:color="auto" w:frame="1"/>
          <w:shd w:val="clear" w:color="auto" w:fill="FFFFFF"/>
        </w:rPr>
        <w:footnoteReference w:id="149"/>
      </w:r>
      <w:r w:rsidR="005D7789" w:rsidRPr="002574EC">
        <w:rPr>
          <w:rStyle w:val="Emphasis"/>
          <w:i w:val="0"/>
          <w:iCs w:val="0"/>
          <w:bdr w:val="none" w:sz="0" w:space="0" w:color="auto" w:frame="1"/>
          <w:shd w:val="clear" w:color="auto" w:fill="FFFFFF"/>
        </w:rPr>
        <w:t xml:space="preserve"> </w:t>
      </w:r>
      <w:r w:rsidR="00810A4D" w:rsidRPr="002574EC">
        <w:rPr>
          <w:rStyle w:val="Emphasis"/>
          <w:i w:val="0"/>
          <w:iCs w:val="0"/>
          <w:bdr w:val="none" w:sz="0" w:space="0" w:color="auto" w:frame="1"/>
          <w:shd w:val="clear" w:color="auto" w:fill="FFFFFF"/>
        </w:rPr>
        <w:t>and contexts of elections.</w:t>
      </w:r>
      <w:r w:rsidR="005D7789" w:rsidRPr="002574EC">
        <w:rPr>
          <w:rStyle w:val="FootnoteReference"/>
          <w:rFonts w:eastAsiaTheme="majorEastAsia"/>
          <w:i/>
          <w:iCs/>
          <w:bdr w:val="none" w:sz="0" w:space="0" w:color="auto" w:frame="1"/>
          <w:shd w:val="clear" w:color="auto" w:fill="FFFFFF"/>
        </w:rPr>
        <w:footnoteReference w:id="150"/>
      </w:r>
      <w:r w:rsidR="00810A4D" w:rsidRPr="002574EC">
        <w:rPr>
          <w:rStyle w:val="Emphasis"/>
          <w:i w:val="0"/>
          <w:iCs w:val="0"/>
          <w:bdr w:val="none" w:sz="0" w:space="0" w:color="auto" w:frame="1"/>
          <w:shd w:val="clear" w:color="auto" w:fill="FFFFFF"/>
        </w:rPr>
        <w:t xml:space="preserve"> </w:t>
      </w:r>
      <w:r w:rsidR="00970459" w:rsidRPr="002574EC">
        <w:rPr>
          <w:rStyle w:val="Emphasis"/>
          <w:i w:val="0"/>
          <w:iCs w:val="0"/>
          <w:bdr w:val="none" w:sz="0" w:space="0" w:color="auto" w:frame="1"/>
          <w:shd w:val="clear" w:color="auto" w:fill="FFFFFF"/>
        </w:rPr>
        <w:t xml:space="preserve"> </w:t>
      </w:r>
      <w:r w:rsidR="001703A1" w:rsidRPr="002574EC">
        <w:rPr>
          <w:rStyle w:val="Emphasis"/>
          <w:i w:val="0"/>
          <w:iCs w:val="0"/>
          <w:bdr w:val="none" w:sz="0" w:space="0" w:color="auto" w:frame="1"/>
          <w:shd w:val="clear" w:color="auto" w:fill="FFFFFF"/>
        </w:rPr>
        <w:t>Likewise, the Rapporteur’s Office has received reports of case</w:t>
      </w:r>
      <w:r w:rsidR="00E86000" w:rsidRPr="002574EC">
        <w:rPr>
          <w:rStyle w:val="Emphasis"/>
          <w:i w:val="0"/>
          <w:iCs w:val="0"/>
          <w:bdr w:val="none" w:sz="0" w:space="0" w:color="auto" w:frame="1"/>
          <w:shd w:val="clear" w:color="auto" w:fill="FFFFFF"/>
        </w:rPr>
        <w:t>s</w:t>
      </w:r>
      <w:r w:rsidR="001703A1" w:rsidRPr="002574EC">
        <w:rPr>
          <w:rStyle w:val="Emphasis"/>
          <w:i w:val="0"/>
          <w:iCs w:val="0"/>
          <w:bdr w:val="none" w:sz="0" w:space="0" w:color="auto" w:frame="1"/>
          <w:shd w:val="clear" w:color="auto" w:fill="FFFFFF"/>
        </w:rPr>
        <w:t xml:space="preserve"> of harassment of journalists covering social protests. </w:t>
      </w:r>
    </w:p>
    <w:p w14:paraId="05B37248" w14:textId="77777777" w:rsidR="00EE68DE" w:rsidRPr="002574EC" w:rsidRDefault="00EE68DE" w:rsidP="00522380">
      <w:pPr>
        <w:pStyle w:val="ListParagraph"/>
        <w:numPr>
          <w:ilvl w:val="0"/>
          <w:numId w:val="0"/>
        </w:numPr>
        <w:ind w:left="720"/>
        <w:rPr>
          <w:rStyle w:val="Emphasis"/>
          <w:i w:val="0"/>
          <w:iCs w:val="0"/>
          <w:bdr w:val="none" w:sz="0" w:space="0" w:color="auto" w:frame="1"/>
          <w:shd w:val="clear" w:color="auto" w:fill="FFFFFF"/>
        </w:rPr>
      </w:pPr>
    </w:p>
    <w:p w14:paraId="43B8D92B" w14:textId="3F3B8488" w:rsidR="005D7789" w:rsidRPr="002574EC" w:rsidRDefault="009B355C" w:rsidP="00F85814">
      <w:pPr>
        <w:pStyle w:val="ListParagraph"/>
        <w:rPr>
          <w:bdr w:val="none" w:sz="0" w:space="0" w:color="auto" w:frame="1"/>
          <w:shd w:val="clear" w:color="auto" w:fill="FFFFFF"/>
        </w:rPr>
      </w:pPr>
      <w:r w:rsidRPr="002574EC">
        <w:rPr>
          <w:rStyle w:val="Emphasis"/>
          <w:i w:val="0"/>
          <w:iCs w:val="0"/>
          <w:bdr w:val="none" w:sz="0" w:space="0" w:color="auto" w:frame="1"/>
          <w:shd w:val="clear" w:color="auto" w:fill="FFFFFF"/>
        </w:rPr>
        <w:t xml:space="preserve">On April </w:t>
      </w:r>
      <w:r w:rsidR="005D7789" w:rsidRPr="002574EC">
        <w:rPr>
          <w:rStyle w:val="Emphasis"/>
          <w:i w:val="0"/>
          <w:iCs w:val="0"/>
          <w:bdr w:val="none" w:sz="0" w:space="0" w:color="auto" w:frame="1"/>
          <w:shd w:val="clear" w:color="auto" w:fill="FFFFFF"/>
        </w:rPr>
        <w:t>27</w:t>
      </w:r>
      <w:r w:rsidRPr="002574EC">
        <w:rPr>
          <w:rStyle w:val="Emphasis"/>
          <w:i w:val="0"/>
          <w:iCs w:val="0"/>
          <w:bdr w:val="none" w:sz="0" w:space="0" w:color="auto" w:frame="1"/>
          <w:shd w:val="clear" w:color="auto" w:fill="FFFFFF"/>
        </w:rPr>
        <w:t>,</w:t>
      </w:r>
      <w:r w:rsidR="005D7789" w:rsidRPr="002574EC">
        <w:rPr>
          <w:rStyle w:val="Emphasis"/>
          <w:i w:val="0"/>
          <w:iCs w:val="0"/>
          <w:bdr w:val="none" w:sz="0" w:space="0" w:color="auto" w:frame="1"/>
          <w:shd w:val="clear" w:color="auto" w:fill="FFFFFF"/>
        </w:rPr>
        <w:t xml:space="preserve"> 2021, agents</w:t>
      </w:r>
      <w:r w:rsidR="00FF797F" w:rsidRPr="002574EC">
        <w:rPr>
          <w:rStyle w:val="Emphasis"/>
          <w:i w:val="0"/>
          <w:iCs w:val="0"/>
          <w:bdr w:val="none" w:sz="0" w:space="0" w:color="auto" w:frame="1"/>
          <w:shd w:val="clear" w:color="auto" w:fill="FFFFFF"/>
        </w:rPr>
        <w:t xml:space="preserve"> of the Bolivarian National Guard </w:t>
      </w:r>
      <w:r w:rsidR="000B419D" w:rsidRPr="002574EC">
        <w:rPr>
          <w:rStyle w:val="Emphasis"/>
          <w:i w:val="0"/>
          <w:iCs w:val="0"/>
          <w:bdr w:val="none" w:sz="0" w:space="0" w:color="auto" w:frame="1"/>
          <w:shd w:val="clear" w:color="auto" w:fill="FFFFFF"/>
        </w:rPr>
        <w:t xml:space="preserve">reportedly </w:t>
      </w:r>
      <w:r w:rsidR="00FF797F" w:rsidRPr="002574EC">
        <w:rPr>
          <w:rStyle w:val="Emphasis"/>
          <w:i w:val="0"/>
          <w:iCs w:val="0"/>
          <w:bdr w:val="none" w:sz="0" w:space="0" w:color="auto" w:frame="1"/>
          <w:shd w:val="clear" w:color="auto" w:fill="FFFFFF"/>
        </w:rPr>
        <w:t xml:space="preserve">held journalists </w:t>
      </w:r>
      <w:r w:rsidR="005D7789" w:rsidRPr="002574EC">
        <w:rPr>
          <w:rStyle w:val="Emphasis"/>
          <w:i w:val="0"/>
          <w:iCs w:val="0"/>
          <w:bdr w:val="none" w:sz="0" w:space="0" w:color="auto" w:frame="1"/>
          <w:shd w:val="clear" w:color="auto" w:fill="FFFFFF"/>
        </w:rPr>
        <w:t xml:space="preserve">Lenin Danieri </w:t>
      </w:r>
      <w:r w:rsidR="00623904" w:rsidRPr="002574EC">
        <w:rPr>
          <w:rStyle w:val="Emphasis"/>
          <w:i w:val="0"/>
          <w:iCs w:val="0"/>
          <w:bdr w:val="none" w:sz="0" w:space="0" w:color="auto" w:frame="1"/>
          <w:shd w:val="clear" w:color="auto" w:fill="FFFFFF"/>
        </w:rPr>
        <w:t>and</w:t>
      </w:r>
      <w:r w:rsidR="005D7789" w:rsidRPr="002574EC">
        <w:rPr>
          <w:rStyle w:val="Emphasis"/>
          <w:i w:val="0"/>
          <w:iCs w:val="0"/>
          <w:bdr w:val="none" w:sz="0" w:space="0" w:color="auto" w:frame="1"/>
          <w:shd w:val="clear" w:color="auto" w:fill="FFFFFF"/>
        </w:rPr>
        <w:t xml:space="preserve"> Edwin Prieto </w:t>
      </w:r>
      <w:r w:rsidR="000B419D" w:rsidRPr="002574EC">
        <w:rPr>
          <w:rStyle w:val="Emphasis"/>
          <w:i w:val="0"/>
          <w:iCs w:val="0"/>
          <w:bdr w:val="none" w:sz="0" w:space="0" w:color="auto" w:frame="1"/>
          <w:shd w:val="clear" w:color="auto" w:fill="FFFFFF"/>
        </w:rPr>
        <w:t>in the vicinity of outpost 114 of the Bolivarian National Guard, between the Municipalities of</w:t>
      </w:r>
      <w:r w:rsidR="00A16F47" w:rsidRPr="002574EC">
        <w:rPr>
          <w:rStyle w:val="Emphasis"/>
          <w:i w:val="0"/>
          <w:iCs w:val="0"/>
          <w:bdr w:val="none" w:sz="0" w:space="0" w:color="auto" w:frame="1"/>
          <w:shd w:val="clear" w:color="auto" w:fill="FFFFFF"/>
        </w:rPr>
        <w:t xml:space="preserve"> </w:t>
      </w:r>
      <w:r w:rsidR="005D7789" w:rsidRPr="002574EC">
        <w:rPr>
          <w:rStyle w:val="Emphasis"/>
          <w:i w:val="0"/>
          <w:iCs w:val="0"/>
          <w:bdr w:val="none" w:sz="0" w:space="0" w:color="auto" w:frame="1"/>
          <w:shd w:val="clear" w:color="auto" w:fill="FFFFFF"/>
        </w:rPr>
        <w:t xml:space="preserve">Perijá </w:t>
      </w:r>
      <w:r w:rsidR="00A16F47" w:rsidRPr="002574EC">
        <w:rPr>
          <w:rStyle w:val="Emphasis"/>
          <w:i w:val="0"/>
          <w:iCs w:val="0"/>
          <w:bdr w:val="none" w:sz="0" w:space="0" w:color="auto" w:frame="1"/>
          <w:shd w:val="clear" w:color="auto" w:fill="FFFFFF"/>
        </w:rPr>
        <w:t>and</w:t>
      </w:r>
      <w:r w:rsidR="005D7789" w:rsidRPr="002574EC">
        <w:rPr>
          <w:rStyle w:val="Emphasis"/>
          <w:i w:val="0"/>
          <w:iCs w:val="0"/>
          <w:bdr w:val="none" w:sz="0" w:space="0" w:color="auto" w:frame="1"/>
          <w:shd w:val="clear" w:color="auto" w:fill="FFFFFF"/>
        </w:rPr>
        <w:t xml:space="preserve"> Rosario de Perijá. </w:t>
      </w:r>
      <w:r w:rsidR="00EE68DE" w:rsidRPr="002574EC">
        <w:rPr>
          <w:rStyle w:val="Emphasis"/>
          <w:i w:val="0"/>
          <w:iCs w:val="0"/>
          <w:bdr w:val="none" w:sz="0" w:space="0" w:color="auto" w:frame="1"/>
          <w:shd w:val="clear" w:color="auto" w:fill="FFFFFF"/>
        </w:rPr>
        <w:t xml:space="preserve">The journalists were returning to their city after they had been </w:t>
      </w:r>
      <w:r w:rsidR="00DF4081" w:rsidRPr="002574EC">
        <w:rPr>
          <w:rStyle w:val="Emphasis"/>
          <w:i w:val="0"/>
          <w:iCs w:val="0"/>
          <w:bdr w:val="none" w:sz="0" w:space="0" w:color="auto" w:frame="1"/>
          <w:shd w:val="clear" w:color="auto" w:fill="FFFFFF"/>
        </w:rPr>
        <w:t>investigating</w:t>
      </w:r>
      <w:r w:rsidR="00C94399" w:rsidRPr="002574EC">
        <w:rPr>
          <w:rStyle w:val="Emphasis"/>
          <w:i w:val="0"/>
          <w:iCs w:val="0"/>
          <w:bdr w:val="none" w:sz="0" w:space="0" w:color="auto" w:frame="1"/>
          <w:shd w:val="clear" w:color="auto" w:fill="FFFFFF"/>
        </w:rPr>
        <w:t>, over the past two days,</w:t>
      </w:r>
      <w:r w:rsidR="00DF4081" w:rsidRPr="002574EC">
        <w:rPr>
          <w:rStyle w:val="Emphasis"/>
          <w:i w:val="0"/>
          <w:iCs w:val="0"/>
          <w:bdr w:val="none" w:sz="0" w:space="0" w:color="auto" w:frame="1"/>
          <w:shd w:val="clear" w:color="auto" w:fill="FFFFFF"/>
        </w:rPr>
        <w:t xml:space="preserve"> </w:t>
      </w:r>
      <w:r w:rsidR="0037641C" w:rsidRPr="002574EC">
        <w:rPr>
          <w:rStyle w:val="Emphasis"/>
          <w:i w:val="0"/>
          <w:iCs w:val="0"/>
          <w:bdr w:val="none" w:sz="0" w:space="0" w:color="auto" w:frame="1"/>
          <w:shd w:val="clear" w:color="auto" w:fill="FFFFFF"/>
        </w:rPr>
        <w:t xml:space="preserve">alleged cattle theft and </w:t>
      </w:r>
      <w:r w:rsidR="004C5E8C" w:rsidRPr="002574EC">
        <w:rPr>
          <w:rStyle w:val="Emphasis"/>
          <w:i w:val="0"/>
          <w:iCs w:val="0"/>
          <w:bdr w:val="none" w:sz="0" w:space="0" w:color="auto" w:frame="1"/>
          <w:shd w:val="clear" w:color="auto" w:fill="FFFFFF"/>
        </w:rPr>
        <w:t xml:space="preserve">encroachment on farmlands in Machiques de </w:t>
      </w:r>
      <w:r w:rsidR="005D7789" w:rsidRPr="002574EC">
        <w:rPr>
          <w:rStyle w:val="Emphasis"/>
          <w:i w:val="0"/>
          <w:iCs w:val="0"/>
          <w:bdr w:val="none" w:sz="0" w:space="0" w:color="auto" w:frame="1"/>
          <w:shd w:val="clear" w:color="auto" w:fill="FFFFFF"/>
        </w:rPr>
        <w:t xml:space="preserve">Perijá </w:t>
      </w:r>
      <w:r w:rsidR="004C5E8C" w:rsidRPr="002574EC">
        <w:rPr>
          <w:rStyle w:val="Emphasis"/>
          <w:i w:val="0"/>
          <w:iCs w:val="0"/>
          <w:bdr w:val="none" w:sz="0" w:space="0" w:color="auto" w:frame="1"/>
          <w:shd w:val="clear" w:color="auto" w:fill="FFFFFF"/>
        </w:rPr>
        <w:t xml:space="preserve">by members of the Ykupas ethnic group. </w:t>
      </w:r>
      <w:r w:rsidR="006E57D8" w:rsidRPr="002574EC">
        <w:rPr>
          <w:rStyle w:val="Emphasis"/>
          <w:i w:val="0"/>
          <w:iCs w:val="0"/>
          <w:bdr w:val="none" w:sz="0" w:space="0" w:color="auto" w:frame="1"/>
          <w:shd w:val="clear" w:color="auto" w:fill="FFFFFF"/>
        </w:rPr>
        <w:t xml:space="preserve"> In the vicinity of outpost 114, the journalists </w:t>
      </w:r>
      <w:r w:rsidR="007B7F2E" w:rsidRPr="002574EC">
        <w:rPr>
          <w:rStyle w:val="Emphasis"/>
          <w:i w:val="0"/>
          <w:iCs w:val="0"/>
          <w:bdr w:val="none" w:sz="0" w:space="0" w:color="auto" w:frame="1"/>
          <w:shd w:val="clear" w:color="auto" w:fill="FFFFFF"/>
        </w:rPr>
        <w:t xml:space="preserve">had observed that a group of Yukpas of the Sierra de </w:t>
      </w:r>
      <w:r w:rsidR="005D7789" w:rsidRPr="002574EC">
        <w:rPr>
          <w:shd w:val="clear" w:color="auto" w:fill="FFFFFF"/>
        </w:rPr>
        <w:t>Perijá </w:t>
      </w:r>
      <w:r w:rsidR="007B7F2E" w:rsidRPr="002574EC">
        <w:rPr>
          <w:shd w:val="clear" w:color="auto" w:fill="FFFFFF"/>
        </w:rPr>
        <w:t>w</w:t>
      </w:r>
      <w:r w:rsidR="00E22E89" w:rsidRPr="002574EC">
        <w:rPr>
          <w:shd w:val="clear" w:color="auto" w:fill="FFFFFF"/>
        </w:rPr>
        <w:t>as</w:t>
      </w:r>
      <w:r w:rsidR="007B7F2E" w:rsidRPr="002574EC">
        <w:rPr>
          <w:shd w:val="clear" w:color="auto" w:fill="FFFFFF"/>
        </w:rPr>
        <w:t xml:space="preserve"> being prevented fr</w:t>
      </w:r>
      <w:r w:rsidR="006D0806" w:rsidRPr="002574EC">
        <w:rPr>
          <w:shd w:val="clear" w:color="auto" w:fill="FFFFFF"/>
        </w:rPr>
        <w:t xml:space="preserve">om traveling on foot to carry out a protest </w:t>
      </w:r>
      <w:r w:rsidR="00B23224" w:rsidRPr="002574EC">
        <w:rPr>
          <w:shd w:val="clear" w:color="auto" w:fill="FFFFFF"/>
        </w:rPr>
        <w:t xml:space="preserve">against the governor of the State of Zulia. </w:t>
      </w:r>
      <w:r w:rsidR="00B51608" w:rsidRPr="002574EC">
        <w:rPr>
          <w:shd w:val="clear" w:color="auto" w:fill="FFFFFF"/>
        </w:rPr>
        <w:t xml:space="preserve">The journalists </w:t>
      </w:r>
      <w:r w:rsidR="00BA1343" w:rsidRPr="002574EC">
        <w:rPr>
          <w:shd w:val="clear" w:color="auto" w:fill="FFFFFF"/>
        </w:rPr>
        <w:t xml:space="preserve">had attempted to cover that event, but they had been impeded by agents of the outpost, who also took their identity cards away from them, took their belongings and took them to an area further away, where they were forced to undress. </w:t>
      </w:r>
      <w:r w:rsidR="00943B97" w:rsidRPr="002574EC">
        <w:rPr>
          <w:shd w:val="clear" w:color="auto" w:fill="FFFFFF"/>
        </w:rPr>
        <w:t>While still undressed</w:t>
      </w:r>
      <w:r w:rsidR="002776CB" w:rsidRPr="002574EC">
        <w:rPr>
          <w:shd w:val="clear" w:color="auto" w:fill="FFFFFF"/>
        </w:rPr>
        <w:t xml:space="preserve">, the agents took them to a room where they were asked about their </w:t>
      </w:r>
      <w:r w:rsidR="00BA6DA2" w:rsidRPr="002574EC">
        <w:rPr>
          <w:shd w:val="clear" w:color="auto" w:fill="FFFFFF"/>
        </w:rPr>
        <w:t xml:space="preserve">business </w:t>
      </w:r>
      <w:r w:rsidR="002776CB" w:rsidRPr="002574EC">
        <w:rPr>
          <w:shd w:val="clear" w:color="auto" w:fill="FFFFFF"/>
        </w:rPr>
        <w:t xml:space="preserve">in Machiques.  </w:t>
      </w:r>
      <w:r w:rsidR="00943B97" w:rsidRPr="002574EC">
        <w:rPr>
          <w:shd w:val="clear" w:color="auto" w:fill="FFFFFF"/>
        </w:rPr>
        <w:t xml:space="preserve"> </w:t>
      </w:r>
      <w:r w:rsidR="003F7DD0" w:rsidRPr="002574EC">
        <w:rPr>
          <w:shd w:val="clear" w:color="auto" w:fill="FFFFFF"/>
        </w:rPr>
        <w:t xml:space="preserve">Finally, their telephones were returned to them without the contents they had recorded over the past 48 hours, and </w:t>
      </w:r>
      <w:r w:rsidR="001142D7" w:rsidRPr="002574EC">
        <w:rPr>
          <w:shd w:val="clear" w:color="auto" w:fill="FFFFFF"/>
        </w:rPr>
        <w:t>they were ordered to put their clothes on and leave</w:t>
      </w:r>
      <w:r w:rsidR="00677797" w:rsidRPr="002574EC">
        <w:rPr>
          <w:shd w:val="clear" w:color="auto" w:fill="FFFFFF"/>
        </w:rPr>
        <w:t>.</w:t>
      </w:r>
      <w:r w:rsidR="005D7789" w:rsidRPr="002574EC">
        <w:rPr>
          <w:rStyle w:val="FootnoteReference"/>
          <w:rFonts w:eastAsiaTheme="majorEastAsia"/>
          <w:shd w:val="clear" w:color="auto" w:fill="FFFFFF"/>
        </w:rPr>
        <w:footnoteReference w:id="151"/>
      </w:r>
      <w:r w:rsidR="005D7789" w:rsidRPr="002574EC">
        <w:rPr>
          <w:shd w:val="clear" w:color="auto" w:fill="FFFFFF"/>
        </w:rPr>
        <w:t xml:space="preserve"> </w:t>
      </w:r>
    </w:p>
    <w:p w14:paraId="098D9AB6" w14:textId="77777777" w:rsidR="005D7789" w:rsidRPr="002574EC" w:rsidRDefault="005D7789" w:rsidP="00E07D06">
      <w:pPr>
        <w:ind w:left="426" w:hanging="426"/>
        <w:jc w:val="both"/>
        <w:rPr>
          <w:rFonts w:ascii="Cambria" w:hAnsi="Cambria"/>
          <w:sz w:val="20"/>
          <w:szCs w:val="20"/>
          <w:bdr w:val="none" w:sz="0" w:space="0" w:color="auto" w:frame="1"/>
          <w:shd w:val="clear" w:color="auto" w:fill="FFFFFF"/>
        </w:rPr>
      </w:pPr>
    </w:p>
    <w:p w14:paraId="25702D93" w14:textId="2A5AD193" w:rsidR="005D7789" w:rsidRPr="002574EC" w:rsidRDefault="00463C02" w:rsidP="00F85814">
      <w:pPr>
        <w:pStyle w:val="ListParagraph"/>
      </w:pPr>
      <w:r w:rsidRPr="002574EC">
        <w:rPr>
          <w:lang w:eastAsia="es-419"/>
        </w:rPr>
        <w:t>Over 2021, the Office of the Rapporteur also reported once again th</w:t>
      </w:r>
      <w:r w:rsidR="0033340E" w:rsidRPr="002574EC">
        <w:rPr>
          <w:lang w:eastAsia="es-419"/>
        </w:rPr>
        <w:t>at</w:t>
      </w:r>
      <w:r w:rsidRPr="002574EC">
        <w:rPr>
          <w:lang w:eastAsia="es-419"/>
        </w:rPr>
        <w:t xml:space="preserve"> court proceedings </w:t>
      </w:r>
      <w:r w:rsidR="0033340E" w:rsidRPr="002574EC">
        <w:rPr>
          <w:lang w:eastAsia="es-419"/>
        </w:rPr>
        <w:t>were instituted</w:t>
      </w:r>
      <w:r w:rsidR="0015372B" w:rsidRPr="002574EC">
        <w:rPr>
          <w:lang w:eastAsia="es-419"/>
        </w:rPr>
        <w:t xml:space="preserve"> </w:t>
      </w:r>
      <w:r w:rsidRPr="002574EC">
        <w:rPr>
          <w:lang w:eastAsia="es-419"/>
        </w:rPr>
        <w:t xml:space="preserve">under the Anti-Hatred Law against journalists and communicators. </w:t>
      </w:r>
      <w:r w:rsidR="0015372B" w:rsidRPr="002574EC">
        <w:rPr>
          <w:lang w:eastAsia="es-419"/>
        </w:rPr>
        <w:t>By way of example, on May 17, 2021, columnist</w:t>
      </w:r>
      <w:r w:rsidR="005D7789" w:rsidRPr="002574EC">
        <w:t xml:space="preserve"> José Marval </w:t>
      </w:r>
      <w:r w:rsidR="00C85DA5" w:rsidRPr="002574EC">
        <w:t xml:space="preserve">was served notice of </w:t>
      </w:r>
      <w:r w:rsidR="00920E1E" w:rsidRPr="002574EC">
        <w:t xml:space="preserve">a </w:t>
      </w:r>
      <w:r w:rsidR="00C85DA5" w:rsidRPr="002574EC">
        <w:t xml:space="preserve">complaint filed against him for the alleged violation of incitement of hatred, in addition to slander and defamation, for publishing the </w:t>
      </w:r>
      <w:r w:rsidR="0049309D" w:rsidRPr="002574EC">
        <w:t xml:space="preserve">column </w:t>
      </w:r>
      <w:r w:rsidR="005D7789" w:rsidRPr="002574EC">
        <w:rPr>
          <w:i/>
          <w:iCs/>
        </w:rPr>
        <w:t xml:space="preserve">De Buenas Fuentes </w:t>
      </w:r>
      <w:r w:rsidR="0049309D" w:rsidRPr="002574EC">
        <w:t>in</w:t>
      </w:r>
      <w:r w:rsidR="005D7789" w:rsidRPr="002574EC">
        <w:t xml:space="preserve"> </w:t>
      </w:r>
      <w:r w:rsidR="005D7789" w:rsidRPr="002574EC">
        <w:rPr>
          <w:i/>
          <w:iCs/>
        </w:rPr>
        <w:t>100% Noticias</w:t>
      </w:r>
      <w:r w:rsidR="00740113" w:rsidRPr="002574EC">
        <w:rPr>
          <w:i/>
          <w:iCs/>
        </w:rPr>
        <w:t>.</w:t>
      </w:r>
      <w:r w:rsidR="005D7789" w:rsidRPr="002574EC">
        <w:rPr>
          <w:rStyle w:val="FootnoteReference"/>
          <w:rFonts w:eastAsiaTheme="majorEastAsia"/>
          <w:i/>
          <w:iCs/>
        </w:rPr>
        <w:footnoteReference w:id="152"/>
      </w:r>
      <w:r w:rsidR="00740113" w:rsidRPr="002574EC">
        <w:t xml:space="preserve">  However, the Rapporteur’s Office has reported with even more concern case</w:t>
      </w:r>
      <w:r w:rsidR="00027669" w:rsidRPr="002574EC">
        <w:t>s</w:t>
      </w:r>
      <w:r w:rsidR="00740113" w:rsidRPr="002574EC">
        <w:t xml:space="preserve"> in which the Anti-Hatred Law has been used to issue arrest warrants or to arrest journalists and communicators, especially </w:t>
      </w:r>
      <w:r w:rsidR="00027669" w:rsidRPr="002574EC">
        <w:t xml:space="preserve">when </w:t>
      </w:r>
      <w:r w:rsidR="00740113" w:rsidRPr="002574EC">
        <w:t xml:space="preserve">these arrests were ordered </w:t>
      </w:r>
      <w:r w:rsidR="00DA6D90" w:rsidRPr="002574EC">
        <w:t xml:space="preserve">as a result of </w:t>
      </w:r>
      <w:r w:rsidR="00740113" w:rsidRPr="002574EC">
        <w:t>reporting o</w:t>
      </w:r>
      <w:r w:rsidR="00C828B2" w:rsidRPr="002574EC">
        <w:t>n</w:t>
      </w:r>
      <w:r w:rsidR="00740113" w:rsidRPr="002574EC">
        <w:t xml:space="preserve"> matters of public interest. </w:t>
      </w:r>
    </w:p>
    <w:p w14:paraId="46AE28AC" w14:textId="77777777" w:rsidR="005D7789" w:rsidRPr="002574EC" w:rsidRDefault="005D7789" w:rsidP="00E07D06">
      <w:pPr>
        <w:ind w:left="426" w:hanging="426"/>
        <w:jc w:val="both"/>
        <w:rPr>
          <w:rFonts w:ascii="Cambria" w:hAnsi="Cambria"/>
          <w:sz w:val="20"/>
          <w:szCs w:val="20"/>
        </w:rPr>
      </w:pPr>
    </w:p>
    <w:p w14:paraId="1E0CEAFE" w14:textId="1DB7D5FD" w:rsidR="005D7789" w:rsidRPr="002574EC" w:rsidRDefault="005D7789" w:rsidP="00F85814">
      <w:pPr>
        <w:pStyle w:val="ListParagraph"/>
        <w:rPr>
          <w:rFonts w:cs="Noto Serif"/>
          <w:shd w:val="clear" w:color="auto" w:fill="FFFFFF"/>
        </w:rPr>
      </w:pPr>
      <w:r w:rsidRPr="002574EC">
        <w:t xml:space="preserve"> </w:t>
      </w:r>
      <w:r w:rsidR="007D7DA8" w:rsidRPr="002574EC">
        <w:rPr>
          <w:lang w:eastAsia="es-419"/>
        </w:rPr>
        <w:t xml:space="preserve">Based on what the Special Rapporteur’s Office </w:t>
      </w:r>
      <w:r w:rsidR="00B32A3F" w:rsidRPr="002574EC">
        <w:rPr>
          <w:lang w:eastAsia="es-419"/>
        </w:rPr>
        <w:t>was able to find out</w:t>
      </w:r>
      <w:r w:rsidR="007D7DA8" w:rsidRPr="002574EC">
        <w:rPr>
          <w:lang w:eastAsia="es-419"/>
        </w:rPr>
        <w:t xml:space="preserve">, </w:t>
      </w:r>
      <w:r w:rsidR="00502A55" w:rsidRPr="002574EC">
        <w:rPr>
          <w:lang w:eastAsia="es-419"/>
        </w:rPr>
        <w:t xml:space="preserve">on March 31, journalist and writer Milagros Mata Gil and poet Juan Manuel Muñoz, her husband, were arrested after publishing an article </w:t>
      </w:r>
      <w:r w:rsidR="00161388" w:rsidRPr="002574EC">
        <w:rPr>
          <w:lang w:eastAsia="es-419"/>
        </w:rPr>
        <w:t xml:space="preserve">written by Mata Gil on her social network accounts </w:t>
      </w:r>
      <w:r w:rsidR="00502A55" w:rsidRPr="002574EC">
        <w:rPr>
          <w:lang w:eastAsia="es-419"/>
        </w:rPr>
        <w:t xml:space="preserve">criticizing </w:t>
      </w:r>
      <w:r w:rsidR="00873726" w:rsidRPr="002574EC">
        <w:rPr>
          <w:lang w:eastAsia="es-419"/>
        </w:rPr>
        <w:t xml:space="preserve">the </w:t>
      </w:r>
      <w:r w:rsidR="00161388" w:rsidRPr="002574EC">
        <w:rPr>
          <w:lang w:eastAsia="es-419"/>
        </w:rPr>
        <w:t>Venezuelan Attorney General</w:t>
      </w:r>
      <w:r w:rsidR="00866FEE" w:rsidRPr="002574EC">
        <w:rPr>
          <w:lang w:eastAsia="es-419"/>
        </w:rPr>
        <w:t xml:space="preserve">. </w:t>
      </w:r>
      <w:r w:rsidR="00DC1A6C" w:rsidRPr="002574EC">
        <w:rPr>
          <w:lang w:eastAsia="es-419"/>
        </w:rPr>
        <w:t xml:space="preserve"> </w:t>
      </w:r>
      <w:r w:rsidRPr="002574EC">
        <w:rPr>
          <w:shd w:val="clear" w:color="auto" w:fill="FFFFFF"/>
        </w:rPr>
        <w:t xml:space="preserve">Milagros Mata Gil </w:t>
      </w:r>
      <w:r w:rsidR="00DC1A6C" w:rsidRPr="002574EC">
        <w:rPr>
          <w:shd w:val="clear" w:color="auto" w:fill="FFFFFF"/>
        </w:rPr>
        <w:t xml:space="preserve">and </w:t>
      </w:r>
      <w:r w:rsidRPr="002574EC">
        <w:rPr>
          <w:shd w:val="clear" w:color="auto" w:fill="FFFFFF"/>
        </w:rPr>
        <w:t xml:space="preserve">Juan Manuel Muñoz </w:t>
      </w:r>
      <w:r w:rsidR="00DC1A6C" w:rsidRPr="002574EC">
        <w:rPr>
          <w:shd w:val="clear" w:color="auto" w:fill="FFFFFF"/>
        </w:rPr>
        <w:t xml:space="preserve">were reportedly released from jail on April 1, on </w:t>
      </w:r>
      <w:r w:rsidR="00C82F46" w:rsidRPr="002574EC">
        <w:rPr>
          <w:shd w:val="clear" w:color="auto" w:fill="FFFFFF"/>
        </w:rPr>
        <w:t xml:space="preserve">the condition of appearing every 30 days before authorities and not speaking about the case. </w:t>
      </w:r>
      <w:r w:rsidR="00134F32" w:rsidRPr="002574EC">
        <w:rPr>
          <w:shd w:val="clear" w:color="auto" w:fill="FFFFFF"/>
        </w:rPr>
        <w:t>At the initial appearance hearing, the Prosecutor’s Office charged them with the criminal offense of incitement of hatred.</w:t>
      </w:r>
      <w:r w:rsidRPr="002574EC">
        <w:rPr>
          <w:vertAlign w:val="superscript"/>
        </w:rPr>
        <w:footnoteReference w:id="153"/>
      </w:r>
      <w:r w:rsidR="00AD0336" w:rsidRPr="002574EC">
        <w:rPr>
          <w:shd w:val="clear" w:color="auto" w:fill="FFFFFF"/>
        </w:rPr>
        <w:t xml:space="preserve"> Months later, on June </w:t>
      </w:r>
      <w:r w:rsidR="00AD0336" w:rsidRPr="002574EC">
        <w:rPr>
          <w:shd w:val="clear" w:color="auto" w:fill="FFFFFF"/>
        </w:rPr>
        <w:lastRenderedPageBreak/>
        <w:t xml:space="preserve">16, </w:t>
      </w:r>
      <w:r w:rsidRPr="002574EC">
        <w:rPr>
          <w:shd w:val="clear" w:color="auto" w:fill="FFFFFF"/>
        </w:rPr>
        <w:t xml:space="preserve">2021, Milagros Mata Gil </w:t>
      </w:r>
      <w:r w:rsidR="00AD0336" w:rsidRPr="002574EC">
        <w:rPr>
          <w:shd w:val="clear" w:color="auto" w:fill="FFFFFF"/>
        </w:rPr>
        <w:t>was reported to have been stabbed in her arm, when two individuals riding on a motorcycle approached her in Anzoátegui.</w:t>
      </w:r>
      <w:r w:rsidRPr="002574EC">
        <w:rPr>
          <w:rStyle w:val="FootnoteReference"/>
          <w:rFonts w:eastAsiaTheme="majorEastAsia" w:cs="Noto Serif"/>
          <w:shd w:val="clear" w:color="auto" w:fill="FFFFFF"/>
        </w:rPr>
        <w:footnoteReference w:id="154"/>
      </w:r>
    </w:p>
    <w:p w14:paraId="5B9129E8" w14:textId="225B27A7" w:rsidR="005D7789" w:rsidRPr="002574EC" w:rsidRDefault="005D7789" w:rsidP="00E07D06">
      <w:pPr>
        <w:ind w:left="426" w:hanging="426"/>
        <w:jc w:val="both"/>
        <w:rPr>
          <w:rFonts w:ascii="Cambria" w:hAnsi="Cambria"/>
          <w:sz w:val="20"/>
          <w:szCs w:val="20"/>
          <w:shd w:val="clear" w:color="auto" w:fill="FFFFFF"/>
        </w:rPr>
      </w:pPr>
      <w:r w:rsidRPr="002574EC">
        <w:rPr>
          <w:rFonts w:ascii="Cambria" w:hAnsi="Cambria" w:cs="Noto Serif"/>
          <w:sz w:val="20"/>
          <w:szCs w:val="20"/>
          <w:shd w:val="clear" w:color="auto" w:fill="FFFFFF"/>
        </w:rPr>
        <w:t xml:space="preserve"> </w:t>
      </w:r>
    </w:p>
    <w:p w14:paraId="6B018A63" w14:textId="50CE8EB9" w:rsidR="005D7789" w:rsidRPr="002574EC" w:rsidRDefault="00AD0336" w:rsidP="00F85814">
      <w:pPr>
        <w:pStyle w:val="ListParagraph"/>
        <w:rPr>
          <w:lang w:eastAsia="es-419"/>
        </w:rPr>
      </w:pPr>
      <w:r w:rsidRPr="002574EC">
        <w:rPr>
          <w:lang w:eastAsia="es-419"/>
        </w:rPr>
        <w:t xml:space="preserve">The SRFE </w:t>
      </w:r>
      <w:r w:rsidR="004B78E3" w:rsidRPr="002574EC">
        <w:rPr>
          <w:lang w:eastAsia="es-419"/>
        </w:rPr>
        <w:t xml:space="preserve">was informed about a similar case on June 3, 2021, when a member of the Criminal Investigation Directorate of the Police of </w:t>
      </w:r>
      <w:r w:rsidR="001A3860" w:rsidRPr="002574EC">
        <w:rPr>
          <w:lang w:eastAsia="es-419"/>
        </w:rPr>
        <w:t>Monagas</w:t>
      </w:r>
      <w:r w:rsidR="004B78E3" w:rsidRPr="002574EC">
        <w:rPr>
          <w:lang w:eastAsia="es-419"/>
        </w:rPr>
        <w:t xml:space="preserve"> state raided the residence of writer Rafael Ratia and detained him after he published an opinion article criticizing </w:t>
      </w:r>
      <w:r w:rsidR="00CC6BD3" w:rsidRPr="002574EC">
        <w:rPr>
          <w:lang w:eastAsia="es-419"/>
        </w:rPr>
        <w:t xml:space="preserve">Aristóbulo Istúriz, the late minister of education. </w:t>
      </w:r>
      <w:r w:rsidR="00845508" w:rsidRPr="002574EC">
        <w:rPr>
          <w:lang w:eastAsia="es-419"/>
        </w:rPr>
        <w:t xml:space="preserve">The columnist remained in jail until June 5, when he was conditionally released at his initial appearance hearing, </w:t>
      </w:r>
      <w:r w:rsidR="00131246" w:rsidRPr="002574EC">
        <w:rPr>
          <w:lang w:eastAsia="es-419"/>
        </w:rPr>
        <w:t xml:space="preserve">and </w:t>
      </w:r>
      <w:r w:rsidR="00845508" w:rsidRPr="002574EC">
        <w:rPr>
          <w:lang w:eastAsia="es-419"/>
        </w:rPr>
        <w:t>was also charged with the crime of incitement of hatred.</w:t>
      </w:r>
      <w:r w:rsidR="005D7789" w:rsidRPr="002574EC">
        <w:rPr>
          <w:rStyle w:val="FootnoteReference"/>
          <w:lang w:eastAsia="es-419"/>
        </w:rPr>
        <w:footnoteReference w:id="155"/>
      </w:r>
      <w:r w:rsidR="005D7789" w:rsidRPr="002574EC">
        <w:rPr>
          <w:lang w:eastAsia="es-419"/>
        </w:rPr>
        <w:t xml:space="preserve">  </w:t>
      </w:r>
    </w:p>
    <w:p w14:paraId="3526E164" w14:textId="77777777" w:rsidR="005D7789" w:rsidRPr="002574EC" w:rsidRDefault="005D7789" w:rsidP="00E07D06">
      <w:pPr>
        <w:ind w:left="426" w:hanging="426"/>
        <w:jc w:val="both"/>
        <w:rPr>
          <w:rFonts w:ascii="Cambria" w:hAnsi="Cambria"/>
          <w:sz w:val="20"/>
          <w:szCs w:val="20"/>
          <w:lang w:eastAsia="es-419"/>
        </w:rPr>
      </w:pPr>
    </w:p>
    <w:p w14:paraId="2FA182AF" w14:textId="57731B15" w:rsidR="005D7789" w:rsidRPr="002574EC" w:rsidRDefault="006D7B05" w:rsidP="00F85814">
      <w:pPr>
        <w:pStyle w:val="ListParagraph"/>
        <w:rPr>
          <w:lang w:eastAsia="es-419"/>
        </w:rPr>
      </w:pPr>
      <w:r w:rsidRPr="002574EC">
        <w:rPr>
          <w:lang w:eastAsia="es-419"/>
        </w:rPr>
        <w:t xml:space="preserve">On July </w:t>
      </w:r>
      <w:r w:rsidR="005D7789" w:rsidRPr="002574EC">
        <w:rPr>
          <w:lang w:eastAsia="es-419"/>
        </w:rPr>
        <w:t>29</w:t>
      </w:r>
      <w:r w:rsidRPr="002574EC">
        <w:rPr>
          <w:lang w:eastAsia="es-419"/>
        </w:rPr>
        <w:t>,</w:t>
      </w:r>
      <w:r w:rsidR="005D7789" w:rsidRPr="002574EC">
        <w:rPr>
          <w:lang w:eastAsia="es-419"/>
        </w:rPr>
        <w:t xml:space="preserve"> 2021</w:t>
      </w:r>
      <w:r w:rsidR="00015E15" w:rsidRPr="002574EC">
        <w:rPr>
          <w:lang w:eastAsia="es-419"/>
        </w:rPr>
        <w:t xml:space="preserve">, the Tenth Trial Court  for Preliminary Matters in Chambers of the Criminal Judicial Circuit of the State of Tachira </w:t>
      </w:r>
      <w:r w:rsidR="005B5D10" w:rsidRPr="002574EC">
        <w:rPr>
          <w:lang w:eastAsia="es-419"/>
        </w:rPr>
        <w:t xml:space="preserve">ordered journalist and TV host Obeysser Prada Torres to be taken into custody for allegedly committing </w:t>
      </w:r>
      <w:r w:rsidR="00A80918" w:rsidRPr="002574EC">
        <w:rPr>
          <w:lang w:eastAsia="es-419"/>
        </w:rPr>
        <w:t>the crime</w:t>
      </w:r>
      <w:r w:rsidR="005D7789" w:rsidRPr="002574EC">
        <w:rPr>
          <w:lang w:eastAsia="es-419"/>
        </w:rPr>
        <w:t xml:space="preserve"> </w:t>
      </w:r>
      <w:r w:rsidR="006C315B" w:rsidRPr="002574EC">
        <w:rPr>
          <w:lang w:eastAsia="es-419"/>
        </w:rPr>
        <w:t>of promoting or inciting hatred.</w:t>
      </w:r>
      <w:r w:rsidR="005D7789" w:rsidRPr="002574EC">
        <w:rPr>
          <w:rStyle w:val="FootnoteReference"/>
          <w:lang w:eastAsia="es-419"/>
        </w:rPr>
        <w:footnoteReference w:id="156"/>
      </w:r>
      <w:r w:rsidR="003C2A6D" w:rsidRPr="002574EC">
        <w:rPr>
          <w:lang w:eastAsia="es-419"/>
        </w:rPr>
        <w:t xml:space="preserve">  In January</w:t>
      </w:r>
      <w:r w:rsidR="005D7789" w:rsidRPr="002574EC">
        <w:rPr>
          <w:lang w:eastAsia="es-419"/>
        </w:rPr>
        <w:t xml:space="preserve"> 2021, Obeysser Prada </w:t>
      </w:r>
      <w:r w:rsidR="00B44D10" w:rsidRPr="002574EC">
        <w:rPr>
          <w:lang w:eastAsia="es-419"/>
        </w:rPr>
        <w:t>spoke out against alleged irregularities in the administration of the State of Tachira and the conduct of the Special Action Forces and the Bolivarian National Police in this region.</w:t>
      </w:r>
      <w:r w:rsidR="005D7789" w:rsidRPr="002574EC">
        <w:rPr>
          <w:rStyle w:val="FootnoteReference"/>
          <w:lang w:eastAsia="es-419"/>
        </w:rPr>
        <w:footnoteReference w:id="157"/>
      </w:r>
      <w:r w:rsidR="005D7789" w:rsidRPr="002574EC">
        <w:rPr>
          <w:lang w:eastAsia="es-419"/>
        </w:rPr>
        <w:t> </w:t>
      </w:r>
    </w:p>
    <w:p w14:paraId="621F46BE" w14:textId="77777777" w:rsidR="005D7789" w:rsidRPr="002574EC" w:rsidRDefault="005D7789" w:rsidP="00E07D06">
      <w:pPr>
        <w:ind w:left="426" w:hanging="426"/>
        <w:jc w:val="both"/>
        <w:rPr>
          <w:rFonts w:ascii="Cambria" w:hAnsi="Cambria"/>
          <w:sz w:val="20"/>
          <w:szCs w:val="20"/>
          <w:lang w:eastAsia="es-419"/>
        </w:rPr>
      </w:pPr>
    </w:p>
    <w:p w14:paraId="64E9D8B0" w14:textId="34464763" w:rsidR="005D7789" w:rsidRPr="002574EC" w:rsidRDefault="00D877F5" w:rsidP="00F85814">
      <w:pPr>
        <w:pStyle w:val="ListParagraph"/>
        <w:rPr>
          <w:lang w:eastAsia="es-419"/>
        </w:rPr>
      </w:pPr>
      <w:r w:rsidRPr="002574EC">
        <w:rPr>
          <w:lang w:eastAsia="es-419"/>
        </w:rPr>
        <w:t xml:space="preserve">Likewise, the Office of the Special Rapporteur received information that on September 7, 2021, the Sixth Trial Court for Preliminary Matters in Chamber </w:t>
      </w:r>
      <w:r w:rsidR="009E5A1B" w:rsidRPr="002574EC">
        <w:rPr>
          <w:lang w:eastAsia="es-419"/>
        </w:rPr>
        <w:t xml:space="preserve">of the Criminal Judicial Circuit of the Metropolitan Area of Caracas authorized agents of the Scientific, Criminal and Forensic Investigation Corps to raid the residences of humorist communicators </w:t>
      </w:r>
      <w:r w:rsidR="005D7789" w:rsidRPr="002574EC">
        <w:rPr>
          <w:lang w:eastAsia="es-419"/>
        </w:rPr>
        <w:t xml:space="preserve">Napoléon Eduardo Rivero Acosta </w:t>
      </w:r>
      <w:r w:rsidR="007141E4" w:rsidRPr="002574EC">
        <w:rPr>
          <w:lang w:eastAsia="es-419"/>
        </w:rPr>
        <w:t>and</w:t>
      </w:r>
      <w:r w:rsidR="005D7789" w:rsidRPr="002574EC">
        <w:rPr>
          <w:lang w:eastAsia="es-419"/>
        </w:rPr>
        <w:t xml:space="preserve"> Reubén Eduardo Morales Weggeman </w:t>
      </w:r>
      <w:r w:rsidR="007141E4" w:rsidRPr="002574EC">
        <w:rPr>
          <w:lang w:eastAsia="es-419"/>
        </w:rPr>
        <w:t xml:space="preserve">for the alleged crime of incitement of hatred, in addition to information technology crimes.  The communicators are well-known for the program Kurda Konducta, on video platforms, </w:t>
      </w:r>
      <w:r w:rsidR="00A250B8" w:rsidRPr="002574EC">
        <w:rPr>
          <w:lang w:eastAsia="es-419"/>
        </w:rPr>
        <w:t xml:space="preserve">which is famous for its parodies </w:t>
      </w:r>
      <w:r w:rsidR="00672C3F" w:rsidRPr="002574EC">
        <w:rPr>
          <w:lang w:eastAsia="es-419"/>
        </w:rPr>
        <w:t>of government officials</w:t>
      </w:r>
      <w:r w:rsidR="005D7789" w:rsidRPr="002574EC">
        <w:rPr>
          <w:lang w:eastAsia="es-419"/>
        </w:rPr>
        <w:t xml:space="preserve">. </w:t>
      </w:r>
      <w:r w:rsidR="00626517" w:rsidRPr="002574EC">
        <w:rPr>
          <w:lang w:eastAsia="es-419"/>
        </w:rPr>
        <w:t xml:space="preserve">On that same day, the same judicial authority ordered, in addition to Messrs. Rivero and Morales, for </w:t>
      </w:r>
      <w:r w:rsidR="005D7789" w:rsidRPr="002574EC">
        <w:rPr>
          <w:lang w:eastAsia="es-419"/>
        </w:rPr>
        <w:t xml:space="preserve">Ivan Dugarte </w:t>
      </w:r>
      <w:r w:rsidR="00626517" w:rsidRPr="002574EC">
        <w:rPr>
          <w:lang w:eastAsia="es-419"/>
        </w:rPr>
        <w:t>and</w:t>
      </w:r>
      <w:r w:rsidR="005D7789" w:rsidRPr="002574EC">
        <w:rPr>
          <w:lang w:eastAsia="es-419"/>
        </w:rPr>
        <w:t xml:space="preserve"> Greisis Annel Mejial Leal, </w:t>
      </w:r>
      <w:r w:rsidR="00626517" w:rsidRPr="002574EC">
        <w:rPr>
          <w:lang w:eastAsia="es-419"/>
        </w:rPr>
        <w:t>both communicators of Kurda Konducta</w:t>
      </w:r>
      <w:r w:rsidR="00021CCA" w:rsidRPr="002574EC">
        <w:rPr>
          <w:lang w:eastAsia="es-419"/>
        </w:rPr>
        <w:t xml:space="preserve"> as well</w:t>
      </w:r>
      <w:r w:rsidR="00626517" w:rsidRPr="002574EC">
        <w:rPr>
          <w:lang w:eastAsia="es-419"/>
        </w:rPr>
        <w:t>, to be taken into custody, for the alleged offense of promoting or inciting hatred.</w:t>
      </w:r>
      <w:r w:rsidR="005D7789" w:rsidRPr="002574EC">
        <w:rPr>
          <w:rStyle w:val="FootnoteReference"/>
          <w:lang w:eastAsia="es-419"/>
        </w:rPr>
        <w:footnoteReference w:id="158"/>
      </w:r>
      <w:r w:rsidR="005D7789" w:rsidRPr="002574EC">
        <w:rPr>
          <w:lang w:eastAsia="es-419"/>
        </w:rPr>
        <w:t> </w:t>
      </w:r>
    </w:p>
    <w:p w14:paraId="7A2AC6D4" w14:textId="77777777" w:rsidR="005D7789" w:rsidRPr="002574EC" w:rsidRDefault="005D7789" w:rsidP="00E07D06">
      <w:pPr>
        <w:ind w:left="426" w:hanging="426"/>
        <w:jc w:val="both"/>
        <w:rPr>
          <w:rFonts w:ascii="Cambria" w:hAnsi="Cambria"/>
          <w:sz w:val="20"/>
          <w:szCs w:val="20"/>
          <w:lang w:eastAsia="es-419"/>
        </w:rPr>
      </w:pPr>
    </w:p>
    <w:p w14:paraId="561AACA0" w14:textId="1519DE47" w:rsidR="005D7789" w:rsidRPr="002574EC" w:rsidRDefault="00413CF7" w:rsidP="00F85814">
      <w:pPr>
        <w:pStyle w:val="ListParagraph"/>
        <w:rPr>
          <w:lang w:eastAsia="es-419"/>
        </w:rPr>
      </w:pPr>
      <w:r w:rsidRPr="002574EC">
        <w:rPr>
          <w:lang w:eastAsia="es-419"/>
        </w:rPr>
        <w:t xml:space="preserve">The IACHR and Special Rapporteurship are particularly surprised about the custody and search warrants issued against journalist </w:t>
      </w:r>
      <w:r w:rsidR="005D7789" w:rsidRPr="002574EC">
        <w:rPr>
          <w:lang w:eastAsia="es-419"/>
        </w:rPr>
        <w:t xml:space="preserve">Roberto Deniz, </w:t>
      </w:r>
      <w:r w:rsidRPr="002574EC">
        <w:rPr>
          <w:lang w:eastAsia="es-419"/>
        </w:rPr>
        <w:t xml:space="preserve">whose family </w:t>
      </w:r>
      <w:r w:rsidR="00835C06" w:rsidRPr="002574EC">
        <w:rPr>
          <w:lang w:eastAsia="es-419"/>
        </w:rPr>
        <w:t>has been</w:t>
      </w:r>
      <w:r w:rsidRPr="002574EC">
        <w:rPr>
          <w:lang w:eastAsia="es-419"/>
        </w:rPr>
        <w:t xml:space="preserve"> the beneficiary of Precautionary Measures of this IACHR since February 2020. </w:t>
      </w:r>
      <w:r w:rsidR="00365780" w:rsidRPr="002574EC">
        <w:rPr>
          <w:lang w:eastAsia="es-419"/>
        </w:rPr>
        <w:t xml:space="preserve">According to information provided to this Office, on October 12, journalist </w:t>
      </w:r>
      <w:r w:rsidR="005D7789" w:rsidRPr="002574EC">
        <w:rPr>
          <w:lang w:eastAsia="es-419"/>
        </w:rPr>
        <w:t xml:space="preserve">Roberto Deniz </w:t>
      </w:r>
      <w:r w:rsidR="00365780" w:rsidRPr="002574EC">
        <w:rPr>
          <w:lang w:eastAsia="es-419"/>
        </w:rPr>
        <w:t xml:space="preserve">was informed that a new criminal proceeding was brought against him for his work as a journalist, </w:t>
      </w:r>
      <w:r w:rsidR="000D1C5E" w:rsidRPr="002574EC">
        <w:rPr>
          <w:lang w:eastAsia="es-419"/>
        </w:rPr>
        <w:t>specifically, for the crime of incitement of hatred.</w:t>
      </w:r>
      <w:r w:rsidR="005D7789" w:rsidRPr="002574EC">
        <w:rPr>
          <w:rStyle w:val="FootnoteReference"/>
          <w:lang w:eastAsia="es-419"/>
        </w:rPr>
        <w:footnoteReference w:id="159"/>
      </w:r>
      <w:r w:rsidR="00AE0F40" w:rsidRPr="002574EC">
        <w:rPr>
          <w:lang w:eastAsia="es-419"/>
        </w:rPr>
        <w:t xml:space="preserve">  On October </w:t>
      </w:r>
      <w:r w:rsidR="005D7789" w:rsidRPr="002574EC">
        <w:rPr>
          <w:lang w:eastAsia="es-419"/>
        </w:rPr>
        <w:t>13</w:t>
      </w:r>
      <w:r w:rsidR="00AE0F40" w:rsidRPr="002574EC">
        <w:rPr>
          <w:lang w:eastAsia="es-419"/>
        </w:rPr>
        <w:t>,</w:t>
      </w:r>
      <w:r w:rsidR="005D7789" w:rsidRPr="002574EC">
        <w:rPr>
          <w:lang w:eastAsia="es-419"/>
        </w:rPr>
        <w:t xml:space="preserve"> Deniz </w:t>
      </w:r>
      <w:r w:rsidR="00AE0F40" w:rsidRPr="002574EC">
        <w:rPr>
          <w:lang w:eastAsia="es-419"/>
        </w:rPr>
        <w:t>was tipped off about a potential raid on his family residence in the capital of Venezuela, where his bro</w:t>
      </w:r>
      <w:r w:rsidR="005C6DFA" w:rsidRPr="002574EC">
        <w:rPr>
          <w:lang w:eastAsia="es-419"/>
        </w:rPr>
        <w:t>ther</w:t>
      </w:r>
      <w:r w:rsidR="00AE0F40" w:rsidRPr="002574EC">
        <w:rPr>
          <w:lang w:eastAsia="es-419"/>
        </w:rPr>
        <w:t>, sister-</w:t>
      </w:r>
      <w:r w:rsidR="00AE0F40" w:rsidRPr="002574EC">
        <w:rPr>
          <w:lang w:eastAsia="es-419"/>
        </w:rPr>
        <w:lastRenderedPageBreak/>
        <w:t>in-law and two minor children live, even though the journalist himself has not lived in Caracas, Venezuela, since 2018.</w:t>
      </w:r>
      <w:r w:rsidR="005D7789" w:rsidRPr="002574EC">
        <w:rPr>
          <w:rStyle w:val="FootnoteReference"/>
          <w:lang w:eastAsia="es-419"/>
        </w:rPr>
        <w:footnoteReference w:id="160"/>
      </w:r>
      <w:r w:rsidR="005D7789" w:rsidRPr="002574EC">
        <w:rPr>
          <w:lang w:eastAsia="es-419"/>
        </w:rPr>
        <w:t>.</w:t>
      </w:r>
    </w:p>
    <w:p w14:paraId="585D4878" w14:textId="77777777" w:rsidR="005D7789" w:rsidRPr="002574EC" w:rsidRDefault="005D7789" w:rsidP="00E07D06">
      <w:pPr>
        <w:ind w:left="426" w:hanging="426"/>
        <w:jc w:val="both"/>
        <w:rPr>
          <w:rFonts w:ascii="Cambria" w:hAnsi="Cambria"/>
          <w:sz w:val="20"/>
          <w:szCs w:val="20"/>
          <w:lang w:eastAsia="es-419"/>
        </w:rPr>
      </w:pPr>
    </w:p>
    <w:p w14:paraId="0DB21557" w14:textId="2D2B7B16" w:rsidR="005D7789" w:rsidRPr="002574EC" w:rsidRDefault="008D4C7D" w:rsidP="00F85814">
      <w:pPr>
        <w:pStyle w:val="ListParagraph"/>
        <w:rPr>
          <w:lang w:eastAsia="es-419"/>
        </w:rPr>
      </w:pPr>
      <w:r w:rsidRPr="002574EC">
        <w:rPr>
          <w:lang w:eastAsia="es-419"/>
        </w:rPr>
        <w:t xml:space="preserve">It has also been reported to this Office that on October 14, 2021, the Thirty-Second Trial Court in Chambers for Preliminary Matters of the Criminal Judicial Circuit of the Metropolitan Area of Caracas issued an order to take into custody </w:t>
      </w:r>
      <w:r w:rsidR="005D7789" w:rsidRPr="002574EC">
        <w:rPr>
          <w:lang w:eastAsia="es-419"/>
        </w:rPr>
        <w:t xml:space="preserve">Roberto Deniz Machin </w:t>
      </w:r>
      <w:r w:rsidRPr="002574EC">
        <w:rPr>
          <w:lang w:eastAsia="es-419"/>
        </w:rPr>
        <w:t>and</w:t>
      </w:r>
      <w:r w:rsidR="005D7789" w:rsidRPr="002574EC">
        <w:rPr>
          <w:lang w:eastAsia="es-419"/>
        </w:rPr>
        <w:t xml:space="preserve"> Anyelo Julio Herida </w:t>
      </w:r>
      <w:r w:rsidR="00155036" w:rsidRPr="002574EC">
        <w:rPr>
          <w:lang w:eastAsia="es-419"/>
        </w:rPr>
        <w:t xml:space="preserve">in the framework of the case brought against them for allegedly committing the crime of incitement of hatred. </w:t>
      </w:r>
      <w:r w:rsidR="009A5381" w:rsidRPr="002574EC">
        <w:rPr>
          <w:lang w:eastAsia="es-419"/>
        </w:rPr>
        <w:t>That same day, the Chief Commission of the International Police Directorate was apprised of the existence of that custody order</w:t>
      </w:r>
      <w:r w:rsidR="009954A4" w:rsidRPr="002574EC">
        <w:rPr>
          <w:lang w:eastAsia="es-419"/>
        </w:rPr>
        <w:t xml:space="preserve"> and </w:t>
      </w:r>
      <w:r w:rsidR="001D6374" w:rsidRPr="002574EC">
        <w:rPr>
          <w:lang w:eastAsia="es-419"/>
        </w:rPr>
        <w:t xml:space="preserve">was asked to </w:t>
      </w:r>
      <w:r w:rsidR="00FF3E7C" w:rsidRPr="002574EC">
        <w:rPr>
          <w:lang w:eastAsia="es-419"/>
        </w:rPr>
        <w:t>en</w:t>
      </w:r>
      <w:r w:rsidR="00A20A89" w:rsidRPr="002574EC">
        <w:rPr>
          <w:lang w:eastAsia="es-419"/>
        </w:rPr>
        <w:t>ter</w:t>
      </w:r>
      <w:r w:rsidR="00FF3E7C" w:rsidRPr="002574EC">
        <w:rPr>
          <w:lang w:eastAsia="es-419"/>
        </w:rPr>
        <w:t xml:space="preserve"> </w:t>
      </w:r>
      <w:r w:rsidR="006827F1" w:rsidRPr="002574EC">
        <w:rPr>
          <w:lang w:eastAsia="es-419"/>
        </w:rPr>
        <w:t>a</w:t>
      </w:r>
      <w:r w:rsidR="001D6374" w:rsidRPr="002574EC">
        <w:rPr>
          <w:lang w:eastAsia="es-419"/>
        </w:rPr>
        <w:t xml:space="preserve"> red alert </w:t>
      </w:r>
      <w:r w:rsidR="00A20A89" w:rsidRPr="002574EC">
        <w:rPr>
          <w:lang w:eastAsia="es-419"/>
        </w:rPr>
        <w:t>in</w:t>
      </w:r>
      <w:r w:rsidR="00EF26B2" w:rsidRPr="002574EC">
        <w:rPr>
          <w:lang w:eastAsia="es-419"/>
        </w:rPr>
        <w:t>to</w:t>
      </w:r>
      <w:r w:rsidR="001D6374" w:rsidRPr="002574EC">
        <w:rPr>
          <w:lang w:eastAsia="es-419"/>
        </w:rPr>
        <w:t xml:space="preserve"> the Interpol system.</w:t>
      </w:r>
      <w:r w:rsidR="005D7789" w:rsidRPr="002574EC">
        <w:rPr>
          <w:rStyle w:val="FootnoteReference"/>
          <w:lang w:eastAsia="es-419"/>
        </w:rPr>
        <w:footnoteReference w:id="161"/>
      </w:r>
      <w:r w:rsidR="005D7789" w:rsidRPr="002574EC">
        <w:rPr>
          <w:lang w:eastAsia="es-419"/>
        </w:rPr>
        <w:t> </w:t>
      </w:r>
    </w:p>
    <w:p w14:paraId="03E953BF" w14:textId="77777777" w:rsidR="005D7789" w:rsidRPr="002574EC" w:rsidRDefault="005D7789" w:rsidP="00E07D06">
      <w:pPr>
        <w:ind w:left="426" w:hanging="426"/>
        <w:jc w:val="both"/>
        <w:rPr>
          <w:rFonts w:ascii="Cambria" w:hAnsi="Cambria"/>
          <w:sz w:val="20"/>
          <w:szCs w:val="20"/>
          <w:lang w:eastAsia="es-419"/>
        </w:rPr>
      </w:pPr>
    </w:p>
    <w:p w14:paraId="293E6F26" w14:textId="61D2A3D7" w:rsidR="005D7789" w:rsidRPr="002574EC" w:rsidRDefault="00184AE3" w:rsidP="00F85814">
      <w:pPr>
        <w:pStyle w:val="ListParagraph"/>
        <w:rPr>
          <w:lang w:eastAsia="es-419"/>
        </w:rPr>
      </w:pPr>
      <w:r w:rsidRPr="002574EC">
        <w:rPr>
          <w:lang w:eastAsia="es-419"/>
        </w:rPr>
        <w:t xml:space="preserve">On October </w:t>
      </w:r>
      <w:r w:rsidR="005D7789" w:rsidRPr="002574EC">
        <w:rPr>
          <w:lang w:eastAsia="es-419"/>
        </w:rPr>
        <w:t>15</w:t>
      </w:r>
      <w:r w:rsidRPr="002574EC">
        <w:rPr>
          <w:lang w:eastAsia="es-419"/>
        </w:rPr>
        <w:t>,</w:t>
      </w:r>
      <w:r w:rsidR="005D7789" w:rsidRPr="002574EC">
        <w:rPr>
          <w:lang w:eastAsia="es-419"/>
        </w:rPr>
        <w:t xml:space="preserve"> 2021, Roberto Deniz </w:t>
      </w:r>
      <w:r w:rsidR="00673DC4" w:rsidRPr="002574EC">
        <w:rPr>
          <w:lang w:eastAsia="es-419"/>
        </w:rPr>
        <w:t xml:space="preserve">denounced over his social network that at around 15:00 (VET), </w:t>
      </w:r>
      <w:r w:rsidR="00B5482A" w:rsidRPr="002574EC">
        <w:rPr>
          <w:lang w:eastAsia="es-419"/>
        </w:rPr>
        <w:t xml:space="preserve">agents </w:t>
      </w:r>
      <w:r w:rsidR="00673DC4" w:rsidRPr="002574EC">
        <w:rPr>
          <w:lang w:eastAsia="es-419"/>
        </w:rPr>
        <w:t xml:space="preserve">dressed in black, without any identification </w:t>
      </w:r>
      <w:r w:rsidR="002C35FA" w:rsidRPr="002574EC">
        <w:rPr>
          <w:lang w:eastAsia="es-419"/>
        </w:rPr>
        <w:t>as to</w:t>
      </w:r>
      <w:r w:rsidR="00673DC4" w:rsidRPr="002574EC">
        <w:rPr>
          <w:lang w:eastAsia="es-419"/>
        </w:rPr>
        <w:t xml:space="preserve"> who they were as individuals or to what police force they </w:t>
      </w:r>
      <w:r w:rsidR="00B55707" w:rsidRPr="002574EC">
        <w:rPr>
          <w:lang w:eastAsia="es-419"/>
        </w:rPr>
        <w:t>belonged</w:t>
      </w:r>
      <w:r w:rsidR="00871EC5" w:rsidRPr="002574EC">
        <w:rPr>
          <w:lang w:eastAsia="es-419"/>
        </w:rPr>
        <w:t xml:space="preserve">, raided the residence of the journalist’s family </w:t>
      </w:r>
      <w:r w:rsidR="007E02E8" w:rsidRPr="002574EC">
        <w:rPr>
          <w:lang w:eastAsia="es-419"/>
        </w:rPr>
        <w:t xml:space="preserve">in an unmarked official car. According to the information received, at around 18:00 (VET), the raids had </w:t>
      </w:r>
      <w:r w:rsidR="006957D8" w:rsidRPr="002574EC">
        <w:rPr>
          <w:lang w:eastAsia="es-419"/>
        </w:rPr>
        <w:t>ended and one of Deniz’s brothers had been taken to make a statement to the authorities.</w:t>
      </w:r>
      <w:r w:rsidR="005D7789" w:rsidRPr="002574EC">
        <w:rPr>
          <w:rStyle w:val="FootnoteReference"/>
          <w:lang w:eastAsia="es-419"/>
        </w:rPr>
        <w:footnoteReference w:id="162"/>
      </w:r>
      <w:r w:rsidR="00EE15F4" w:rsidRPr="002574EC">
        <w:rPr>
          <w:lang w:eastAsia="es-419"/>
        </w:rPr>
        <w:t xml:space="preserve">  These operations took place in a context of </w:t>
      </w:r>
      <w:r w:rsidR="00756072" w:rsidRPr="002574EC">
        <w:rPr>
          <w:lang w:eastAsia="es-419"/>
        </w:rPr>
        <w:t xml:space="preserve">escalating on-line attacks against Robert Deniz, particularly on September 20, with postings of </w:t>
      </w:r>
      <w:r w:rsidR="00C81B7A" w:rsidRPr="002574EC">
        <w:rPr>
          <w:lang w:eastAsia="es-419"/>
        </w:rPr>
        <w:t xml:space="preserve">a number of </w:t>
      </w:r>
      <w:r w:rsidR="00300143" w:rsidRPr="002574EC">
        <w:rPr>
          <w:lang w:eastAsia="es-419"/>
        </w:rPr>
        <w:t>stigmatizing messages.</w:t>
      </w:r>
      <w:r w:rsidR="005D7789" w:rsidRPr="002574EC">
        <w:rPr>
          <w:rStyle w:val="FootnoteReference"/>
          <w:lang w:eastAsia="es-419"/>
        </w:rPr>
        <w:footnoteReference w:id="163"/>
      </w:r>
      <w:r w:rsidR="005D7789" w:rsidRPr="002574EC">
        <w:rPr>
          <w:lang w:eastAsia="es-419"/>
        </w:rPr>
        <w:t xml:space="preserve"> </w:t>
      </w:r>
    </w:p>
    <w:p w14:paraId="3C300B66" w14:textId="77777777" w:rsidR="005D7789" w:rsidRPr="002574EC" w:rsidRDefault="005D7789" w:rsidP="00E07D06">
      <w:pPr>
        <w:ind w:left="426" w:hanging="426"/>
        <w:jc w:val="both"/>
        <w:rPr>
          <w:rFonts w:ascii="Cambria" w:hAnsi="Cambria"/>
          <w:sz w:val="20"/>
          <w:szCs w:val="20"/>
          <w:lang w:eastAsia="es-419"/>
        </w:rPr>
      </w:pPr>
    </w:p>
    <w:p w14:paraId="5B3AD773" w14:textId="3EC363C5" w:rsidR="005D7789" w:rsidRPr="002574EC" w:rsidRDefault="00CF79A0" w:rsidP="00F85814">
      <w:pPr>
        <w:pStyle w:val="ListParagraph"/>
      </w:pPr>
      <w:r w:rsidRPr="002574EC">
        <w:rPr>
          <w:lang w:eastAsia="es-419"/>
        </w:rPr>
        <w:t xml:space="preserve">Beyond </w:t>
      </w:r>
      <w:r w:rsidR="005273E5" w:rsidRPr="002574EC">
        <w:rPr>
          <w:lang w:eastAsia="es-419"/>
        </w:rPr>
        <w:t xml:space="preserve">mechanisms of subsequent criminal liability for speech of public interest, this Rapporteurship </w:t>
      </w:r>
      <w:r w:rsidR="00D45180" w:rsidRPr="002574EC">
        <w:rPr>
          <w:lang w:eastAsia="es-419"/>
        </w:rPr>
        <w:t xml:space="preserve">also views with concern the decision of the Civil Cassation Chamber of the Supreme Court of Justice of April 16, 2021, ordering the Venezuelan daily newspaper </w:t>
      </w:r>
      <w:r w:rsidR="00D45180" w:rsidRPr="002574EC">
        <w:rPr>
          <w:i/>
          <w:iCs/>
          <w:lang w:eastAsia="es-419"/>
        </w:rPr>
        <w:t xml:space="preserve">El Nacional </w:t>
      </w:r>
      <w:r w:rsidR="00D45180" w:rsidRPr="002574EC">
        <w:rPr>
          <w:lang w:eastAsia="es-419"/>
        </w:rPr>
        <w:t xml:space="preserve">to pay 237 thousand Petros – around 13 million dollars – as moral damages to a former president and current deputy of the National Assembly of Venezuela, who </w:t>
      </w:r>
      <w:r w:rsidR="009E58B3" w:rsidRPr="002574EC">
        <w:rPr>
          <w:lang w:eastAsia="es-419"/>
        </w:rPr>
        <w:t xml:space="preserve">filed a civil suit </w:t>
      </w:r>
      <w:r w:rsidR="0031161A" w:rsidRPr="002574EC">
        <w:rPr>
          <w:lang w:eastAsia="es-419"/>
        </w:rPr>
        <w:t xml:space="preserve">against the newspaper </w:t>
      </w:r>
      <w:r w:rsidR="0031161A" w:rsidRPr="002574EC">
        <w:rPr>
          <w:i/>
          <w:iCs/>
          <w:lang w:eastAsia="es-419"/>
        </w:rPr>
        <w:t>El Nacional</w:t>
      </w:r>
      <w:r w:rsidR="0054789B" w:rsidRPr="002574EC">
        <w:rPr>
          <w:i/>
          <w:iCs/>
          <w:lang w:eastAsia="es-419"/>
        </w:rPr>
        <w:t xml:space="preserve">, </w:t>
      </w:r>
      <w:r w:rsidR="0054789B" w:rsidRPr="002574EC">
        <w:rPr>
          <w:lang w:eastAsia="es-419"/>
        </w:rPr>
        <w:t xml:space="preserve">after </w:t>
      </w:r>
      <w:r w:rsidR="00F40285" w:rsidRPr="002574EC">
        <w:rPr>
          <w:lang w:eastAsia="es-419"/>
        </w:rPr>
        <w:t xml:space="preserve">that media outlet reprinted </w:t>
      </w:r>
      <w:r w:rsidR="00AB0258" w:rsidRPr="002574EC">
        <w:rPr>
          <w:lang w:eastAsia="es-419"/>
        </w:rPr>
        <w:t xml:space="preserve">a piece from the Spanish daily newspaper </w:t>
      </w:r>
      <w:r w:rsidR="00AB0258" w:rsidRPr="002574EC">
        <w:rPr>
          <w:i/>
          <w:iCs/>
          <w:lang w:eastAsia="es-419"/>
        </w:rPr>
        <w:t xml:space="preserve">ABC </w:t>
      </w:r>
      <w:r w:rsidR="00AB0258" w:rsidRPr="002574EC">
        <w:rPr>
          <w:lang w:eastAsia="es-419"/>
        </w:rPr>
        <w:t xml:space="preserve">which, by means of the testimony of </w:t>
      </w:r>
      <w:r w:rsidR="002E3C9F" w:rsidRPr="002574EC">
        <w:rPr>
          <w:lang w:eastAsia="es-419"/>
        </w:rPr>
        <w:t xml:space="preserve">a </w:t>
      </w:r>
      <w:r w:rsidR="00AB0258" w:rsidRPr="002574EC">
        <w:rPr>
          <w:lang w:eastAsia="es-419"/>
        </w:rPr>
        <w:t>former escort of government official Leamsy Salazar, accused him of allegedly being implicated in drug</w:t>
      </w:r>
      <w:r w:rsidR="0017287E" w:rsidRPr="002574EC">
        <w:rPr>
          <w:lang w:eastAsia="es-419"/>
        </w:rPr>
        <w:t xml:space="preserve"> </w:t>
      </w:r>
      <w:r w:rsidR="00AB0258" w:rsidRPr="002574EC">
        <w:rPr>
          <w:lang w:eastAsia="es-419"/>
        </w:rPr>
        <w:t>trafficking deals.</w:t>
      </w:r>
      <w:r w:rsidR="005D7789" w:rsidRPr="002574EC">
        <w:rPr>
          <w:rStyle w:val="FootnoteReference"/>
          <w:rFonts w:eastAsiaTheme="majorEastAsia" w:cs="Tahoma"/>
          <w:shd w:val="clear" w:color="auto" w:fill="FFFFFF"/>
        </w:rPr>
        <w:footnoteReference w:id="164"/>
      </w:r>
      <w:r w:rsidR="005D7789" w:rsidRPr="002574EC">
        <w:rPr>
          <w:rFonts w:cs="Tahoma"/>
          <w:shd w:val="clear" w:color="auto" w:fill="FFFFFF"/>
        </w:rPr>
        <w:t xml:space="preserve"> </w:t>
      </w:r>
      <w:r w:rsidR="00DF3FD2" w:rsidRPr="002574EC">
        <w:rPr>
          <w:rFonts w:cs="Tahoma"/>
          <w:shd w:val="clear" w:color="auto" w:fill="FFFFFF"/>
        </w:rPr>
        <w:t xml:space="preserve">On May </w:t>
      </w:r>
      <w:r w:rsidR="005D7789" w:rsidRPr="002574EC">
        <w:rPr>
          <w:rFonts w:cs="Tahoma"/>
          <w:shd w:val="clear" w:color="auto" w:fill="FFFFFF"/>
        </w:rPr>
        <w:t>14</w:t>
      </w:r>
      <w:r w:rsidR="00DF3FD2" w:rsidRPr="002574EC">
        <w:rPr>
          <w:rFonts w:cs="Tahoma"/>
          <w:shd w:val="clear" w:color="auto" w:fill="FFFFFF"/>
        </w:rPr>
        <w:t>, as part of the process of compensation</w:t>
      </w:r>
      <w:r w:rsidR="00450902" w:rsidRPr="002574EC">
        <w:rPr>
          <w:rFonts w:cs="Tahoma"/>
          <w:shd w:val="clear" w:color="auto" w:fill="FFFFFF"/>
        </w:rPr>
        <w:t xml:space="preserve"> for damages, the Fourth Ordinar</w:t>
      </w:r>
      <w:r w:rsidR="0025420B" w:rsidRPr="002574EC">
        <w:rPr>
          <w:rFonts w:cs="Tahoma"/>
          <w:shd w:val="clear" w:color="auto" w:fill="FFFFFF"/>
        </w:rPr>
        <w:t xml:space="preserve">y </w:t>
      </w:r>
      <w:r w:rsidR="00450902" w:rsidRPr="002574EC">
        <w:rPr>
          <w:rFonts w:cs="Tahoma"/>
          <w:shd w:val="clear" w:color="auto" w:fill="FFFFFF"/>
        </w:rPr>
        <w:t xml:space="preserve">Court of the Municipality </w:t>
      </w:r>
      <w:r w:rsidR="0025420B" w:rsidRPr="002574EC">
        <w:rPr>
          <w:rFonts w:cs="Tahoma"/>
          <w:shd w:val="clear" w:color="auto" w:fill="FFFFFF"/>
        </w:rPr>
        <w:t xml:space="preserve"> and Executor of Measures of the Judicial Dis</w:t>
      </w:r>
      <w:r w:rsidR="003D5475" w:rsidRPr="002574EC">
        <w:rPr>
          <w:rFonts w:cs="Tahoma"/>
          <w:shd w:val="clear" w:color="auto" w:fill="FFFFFF"/>
        </w:rPr>
        <w:t>t</w:t>
      </w:r>
      <w:r w:rsidR="0025420B" w:rsidRPr="002574EC">
        <w:rPr>
          <w:rFonts w:cs="Tahoma"/>
          <w:shd w:val="clear" w:color="auto" w:fill="FFFFFF"/>
        </w:rPr>
        <w:t xml:space="preserve">rict of the Metropolitan Area of Caracas ordered the seizure </w:t>
      </w:r>
      <w:r w:rsidR="00680C0A" w:rsidRPr="002574EC">
        <w:rPr>
          <w:rFonts w:cs="Tahoma"/>
          <w:shd w:val="clear" w:color="auto" w:fill="FFFFFF"/>
        </w:rPr>
        <w:t>of the national office of the newspaper.</w:t>
      </w:r>
      <w:r w:rsidR="005D7789" w:rsidRPr="002574EC">
        <w:rPr>
          <w:rStyle w:val="FootnoteReference"/>
          <w:rFonts w:eastAsiaTheme="majorEastAsia" w:cs="Tahoma"/>
          <w:shd w:val="clear" w:color="auto" w:fill="FFFFFF"/>
        </w:rPr>
        <w:footnoteReference w:id="165"/>
      </w:r>
      <w:r w:rsidR="003B620D" w:rsidRPr="002574EC">
        <w:rPr>
          <w:rFonts w:cs="Tahoma"/>
          <w:shd w:val="clear" w:color="auto" w:fill="FFFFFF"/>
        </w:rPr>
        <w:t xml:space="preserve"> </w:t>
      </w:r>
      <w:r w:rsidR="00282BED" w:rsidRPr="002574EC">
        <w:rPr>
          <w:rFonts w:cs="Tahoma"/>
          <w:shd w:val="clear" w:color="auto" w:fill="FFFFFF"/>
        </w:rPr>
        <w:t xml:space="preserve">On June </w:t>
      </w:r>
      <w:r w:rsidR="005D7789" w:rsidRPr="002574EC">
        <w:rPr>
          <w:rFonts w:cs="Tahoma"/>
          <w:shd w:val="clear" w:color="auto" w:fill="FFFFFF"/>
        </w:rPr>
        <w:t>10</w:t>
      </w:r>
      <w:r w:rsidR="00282BED" w:rsidRPr="002574EC">
        <w:rPr>
          <w:rFonts w:cs="Tahoma"/>
          <w:shd w:val="clear" w:color="auto" w:fill="FFFFFF"/>
        </w:rPr>
        <w:t>,</w:t>
      </w:r>
      <w:r w:rsidR="005D7789" w:rsidRPr="002574EC">
        <w:rPr>
          <w:rFonts w:cs="Tahoma"/>
          <w:shd w:val="clear" w:color="auto" w:fill="FFFFFF"/>
        </w:rPr>
        <w:t xml:space="preserve"> 2021, </w:t>
      </w:r>
      <w:r w:rsidR="005D7789" w:rsidRPr="002574EC">
        <w:rPr>
          <w:rFonts w:cs="Tahoma"/>
          <w:i/>
          <w:iCs/>
          <w:shd w:val="clear" w:color="auto" w:fill="FFFFFF"/>
        </w:rPr>
        <w:t xml:space="preserve">El Nacional </w:t>
      </w:r>
      <w:r w:rsidR="00282BED" w:rsidRPr="002574EC">
        <w:rPr>
          <w:rFonts w:cs="Tahoma"/>
          <w:shd w:val="clear" w:color="auto" w:fill="FFFFFF"/>
        </w:rPr>
        <w:t xml:space="preserve">received the notification that, after the period of time for voluntary payment of compensation had elapsed, the Third Trial Court for Civil, Mercantile, Traffic and Banking Matters of the Judicial District ordered the execution of the seizure of more than 30 million </w:t>
      </w:r>
      <w:r w:rsidR="00576DB5" w:rsidRPr="002574EC">
        <w:rPr>
          <w:rFonts w:cs="Tahoma"/>
          <w:i/>
          <w:iCs/>
          <w:shd w:val="clear" w:color="auto" w:fill="FFFFFF"/>
        </w:rPr>
        <w:t>reals</w:t>
      </w:r>
      <w:r w:rsidR="00576DB5" w:rsidRPr="002574EC">
        <w:rPr>
          <w:rFonts w:cs="Tahoma"/>
          <w:shd w:val="clear" w:color="auto" w:fill="FFFFFF"/>
        </w:rPr>
        <w:t>-</w:t>
      </w:r>
      <w:r w:rsidR="00282BED" w:rsidRPr="002574EC">
        <w:rPr>
          <w:rFonts w:cs="Tahoma"/>
          <w:shd w:val="clear" w:color="auto" w:fill="FFFFFF"/>
        </w:rPr>
        <w:t xml:space="preserve">worth </w:t>
      </w:r>
      <w:r w:rsidR="00A31D7A" w:rsidRPr="002574EC">
        <w:rPr>
          <w:rFonts w:cs="Tahoma"/>
          <w:shd w:val="clear" w:color="auto" w:fill="FFFFFF"/>
        </w:rPr>
        <w:t>of assets</w:t>
      </w:r>
      <w:r w:rsidR="00F82BC3" w:rsidRPr="002574EC">
        <w:rPr>
          <w:rFonts w:cs="Tahoma"/>
          <w:shd w:val="clear" w:color="auto" w:fill="FFFFFF"/>
        </w:rPr>
        <w:t xml:space="preserve">, equivalent to double the amount of the judgment plus another 25% </w:t>
      </w:r>
      <w:r w:rsidR="00726B2F" w:rsidRPr="002574EC">
        <w:rPr>
          <w:rFonts w:cs="Tahoma"/>
          <w:shd w:val="clear" w:color="auto" w:fill="FFFFFF"/>
        </w:rPr>
        <w:t>for</w:t>
      </w:r>
      <w:r w:rsidR="00F82BC3" w:rsidRPr="002574EC">
        <w:rPr>
          <w:rFonts w:cs="Tahoma"/>
          <w:shd w:val="clear" w:color="auto" w:fill="FFFFFF"/>
        </w:rPr>
        <w:t xml:space="preserve"> </w:t>
      </w:r>
      <w:r w:rsidR="00C32503" w:rsidRPr="002574EC">
        <w:rPr>
          <w:rFonts w:cs="Tahoma"/>
          <w:shd w:val="clear" w:color="auto" w:fill="FFFFFF"/>
        </w:rPr>
        <w:t xml:space="preserve">court </w:t>
      </w:r>
      <w:r w:rsidR="00F82BC3" w:rsidRPr="002574EC">
        <w:rPr>
          <w:rFonts w:cs="Tahoma"/>
          <w:shd w:val="clear" w:color="auto" w:fill="FFFFFF"/>
        </w:rPr>
        <w:t>costs.</w:t>
      </w:r>
      <w:r w:rsidR="005D7789" w:rsidRPr="002574EC">
        <w:rPr>
          <w:rStyle w:val="FootnoteReference"/>
          <w:rFonts w:eastAsiaTheme="majorEastAsia"/>
          <w:shd w:val="clear" w:color="auto" w:fill="FFFFFF"/>
        </w:rPr>
        <w:footnoteReference w:id="166"/>
      </w:r>
      <w:r w:rsidR="00EF3844" w:rsidRPr="002574EC">
        <w:rPr>
          <w:shd w:val="clear" w:color="auto" w:fill="FFFFFF"/>
        </w:rPr>
        <w:t xml:space="preserve"> </w:t>
      </w:r>
      <w:r w:rsidR="005F7476" w:rsidRPr="002574EC">
        <w:rPr>
          <w:shd w:val="clear" w:color="auto" w:fill="FFFFFF"/>
        </w:rPr>
        <w:t>Based on information received by t</w:t>
      </w:r>
      <w:r w:rsidR="00EF3844" w:rsidRPr="002574EC">
        <w:rPr>
          <w:shd w:val="clear" w:color="auto" w:fill="FFFFFF"/>
        </w:rPr>
        <w:t xml:space="preserve">his Office, </w:t>
      </w:r>
      <w:r w:rsidR="000A3790" w:rsidRPr="002574EC">
        <w:rPr>
          <w:shd w:val="clear" w:color="auto" w:fill="FFFFFF"/>
        </w:rPr>
        <w:t xml:space="preserve">even though </w:t>
      </w:r>
      <w:r w:rsidR="000A3790" w:rsidRPr="002574EC">
        <w:rPr>
          <w:i/>
          <w:iCs/>
          <w:shd w:val="clear" w:color="auto" w:fill="FFFFFF"/>
        </w:rPr>
        <w:t xml:space="preserve">El Nacional </w:t>
      </w:r>
      <w:r w:rsidR="000A3790" w:rsidRPr="002574EC">
        <w:rPr>
          <w:shd w:val="clear" w:color="auto" w:fill="FFFFFF"/>
        </w:rPr>
        <w:t xml:space="preserve">filed an appeal for constitutional review against </w:t>
      </w:r>
      <w:r w:rsidR="000A3790" w:rsidRPr="002574EC">
        <w:rPr>
          <w:shd w:val="clear" w:color="auto" w:fill="FFFFFF"/>
        </w:rPr>
        <w:lastRenderedPageBreak/>
        <w:t xml:space="preserve">the decision of the Supreme Court of Justice of April 16, 2021, the Constitutional Chamber of the Court decided to </w:t>
      </w:r>
      <w:r w:rsidR="003E6EA1" w:rsidRPr="002574EC">
        <w:rPr>
          <w:shd w:val="clear" w:color="auto" w:fill="FFFFFF"/>
        </w:rPr>
        <w:t>deny the appeal</w:t>
      </w:r>
      <w:r w:rsidR="00AF02B6" w:rsidRPr="002574EC">
        <w:rPr>
          <w:shd w:val="clear" w:color="auto" w:fill="FFFFFF"/>
        </w:rPr>
        <w:t xml:space="preserve"> for review of judgment</w:t>
      </w:r>
      <w:r w:rsidR="00677C21" w:rsidRPr="002574EC">
        <w:rPr>
          <w:shd w:val="clear" w:color="auto" w:fill="FFFFFF"/>
        </w:rPr>
        <w:t>.</w:t>
      </w:r>
      <w:r w:rsidR="005D7789" w:rsidRPr="002574EC">
        <w:rPr>
          <w:rStyle w:val="FootnoteReference"/>
          <w:rFonts w:eastAsiaTheme="majorEastAsia"/>
        </w:rPr>
        <w:footnoteReference w:id="167"/>
      </w:r>
      <w:r w:rsidR="005D7789" w:rsidRPr="002574EC">
        <w:t xml:space="preserve"> </w:t>
      </w:r>
    </w:p>
    <w:p w14:paraId="0D31C390" w14:textId="77777777" w:rsidR="005D7789" w:rsidRPr="002574EC" w:rsidRDefault="005D7789" w:rsidP="00E07D06">
      <w:pPr>
        <w:ind w:left="426" w:hanging="426"/>
        <w:jc w:val="both"/>
        <w:rPr>
          <w:rFonts w:ascii="Cambria" w:hAnsi="Cambria"/>
          <w:sz w:val="20"/>
          <w:szCs w:val="20"/>
        </w:rPr>
      </w:pPr>
    </w:p>
    <w:p w14:paraId="7B683E06" w14:textId="0700EABA" w:rsidR="005D7789" w:rsidRPr="002574EC" w:rsidRDefault="00ED2A7F" w:rsidP="00F85814">
      <w:pPr>
        <w:pStyle w:val="ListParagraph"/>
      </w:pPr>
      <w:r w:rsidRPr="002574EC">
        <w:t>This Office also recalls th</w:t>
      </w:r>
      <w:r w:rsidR="00DC7C92" w:rsidRPr="002574EC">
        <w:t xml:space="preserve">at criminal charges akin to terrorism and treason against the </w:t>
      </w:r>
      <w:r w:rsidR="005F7476" w:rsidRPr="002574EC">
        <w:t xml:space="preserve">homeland </w:t>
      </w:r>
      <w:r w:rsidR="00DC7C92" w:rsidRPr="002574EC">
        <w:t>were used against a journalist in Venezuela. As of the date of completion of this report</w:t>
      </w:r>
      <w:r w:rsidR="009B657E" w:rsidRPr="002574EC">
        <w:t>, journalist</w:t>
      </w:r>
      <w:r w:rsidR="005D7789" w:rsidRPr="002574EC">
        <w:t xml:space="preserve"> </w:t>
      </w:r>
      <w:r w:rsidR="005D7789" w:rsidRPr="002574EC">
        <w:rPr>
          <w:shd w:val="clear" w:color="auto" w:fill="FFFFFF"/>
        </w:rPr>
        <w:t xml:space="preserve">Ronald Carreño </w:t>
      </w:r>
      <w:r w:rsidR="009B657E" w:rsidRPr="002574EC">
        <w:rPr>
          <w:shd w:val="clear" w:color="auto" w:fill="FFFFFF"/>
        </w:rPr>
        <w:t xml:space="preserve">had been held for </w:t>
      </w:r>
      <w:r w:rsidR="005D7789" w:rsidRPr="002574EC">
        <w:rPr>
          <w:shd w:val="clear" w:color="auto" w:fill="FFFFFF"/>
        </w:rPr>
        <w:t xml:space="preserve">300 </w:t>
      </w:r>
      <w:r w:rsidR="009B657E" w:rsidRPr="002574EC">
        <w:rPr>
          <w:shd w:val="clear" w:color="auto" w:fill="FFFFFF"/>
        </w:rPr>
        <w:t>days in</w:t>
      </w:r>
      <w:r w:rsidR="004259EA" w:rsidRPr="002574EC">
        <w:rPr>
          <w:shd w:val="clear" w:color="auto" w:fill="FFFFFF"/>
        </w:rPr>
        <w:t xml:space="preserve"> detention. As the Rapporteurship reported in its 2020 annual report</w:t>
      </w:r>
      <w:r w:rsidR="005D7789" w:rsidRPr="002574EC">
        <w:rPr>
          <w:shd w:val="clear" w:color="auto" w:fill="FFFFFF"/>
        </w:rPr>
        <w:t>,</w:t>
      </w:r>
      <w:r w:rsidR="004259EA" w:rsidRPr="002574EC">
        <w:rPr>
          <w:shd w:val="clear" w:color="auto" w:fill="FFFFFF"/>
        </w:rPr>
        <w:t xml:space="preserve"> the journalist was arrested </w:t>
      </w:r>
      <w:r w:rsidR="00AD19E8" w:rsidRPr="002574EC">
        <w:rPr>
          <w:shd w:val="clear" w:color="auto" w:fill="FFFFFF"/>
        </w:rPr>
        <w:t>by members of the Bolivarian National Police, on October 26.  The Fourth State Trial Court in Chamber</w:t>
      </w:r>
      <w:r w:rsidR="008D0370" w:rsidRPr="002574EC">
        <w:rPr>
          <w:shd w:val="clear" w:color="auto" w:fill="FFFFFF"/>
        </w:rPr>
        <w:t>s</w:t>
      </w:r>
      <w:r w:rsidR="00AD19E8" w:rsidRPr="002574EC">
        <w:rPr>
          <w:shd w:val="clear" w:color="auto" w:fill="FFFFFF"/>
        </w:rPr>
        <w:t xml:space="preserve"> for Preliminary Matters with Nationwide Jurisdiction and competence in cases linked to Crimes Associated with Terrorism, charged him with the alleged crimes of Conspiracy, Illegal Trafficking of Weapons of War and Ammunition, and Financing Terrorism.  </w:t>
      </w:r>
      <w:r w:rsidR="00344BF0" w:rsidRPr="002574EC">
        <w:rPr>
          <w:shd w:val="clear" w:color="auto" w:fill="FFFFFF"/>
        </w:rPr>
        <w:t xml:space="preserve">On </w:t>
      </w:r>
      <w:r w:rsidR="005D7789" w:rsidRPr="002574EC">
        <w:rPr>
          <w:shd w:val="clear" w:color="auto" w:fill="FFFFFF"/>
        </w:rPr>
        <w:t xml:space="preserve"> </w:t>
      </w:r>
      <w:r w:rsidR="00744C79" w:rsidRPr="002574EC">
        <w:rPr>
          <w:shd w:val="clear" w:color="auto" w:fill="FFFFFF"/>
        </w:rPr>
        <w:t xml:space="preserve">July </w:t>
      </w:r>
      <w:r w:rsidR="005D7789" w:rsidRPr="002574EC">
        <w:t>9</w:t>
      </w:r>
      <w:r w:rsidR="00744C79" w:rsidRPr="002574EC">
        <w:t xml:space="preserve">, </w:t>
      </w:r>
      <w:r w:rsidR="005D7789" w:rsidRPr="002574EC">
        <w:t xml:space="preserve">2021, </w:t>
      </w:r>
      <w:r w:rsidR="009A5F01" w:rsidRPr="002574EC">
        <w:t xml:space="preserve">the judge in charge of the case </w:t>
      </w:r>
      <w:r w:rsidR="00F121D2" w:rsidRPr="002574EC">
        <w:t xml:space="preserve">allowed </w:t>
      </w:r>
      <w:r w:rsidR="009A5F01" w:rsidRPr="002574EC">
        <w:t>the charges.</w:t>
      </w:r>
      <w:r w:rsidR="005D7789" w:rsidRPr="002574EC">
        <w:rPr>
          <w:rStyle w:val="FootnoteReference"/>
          <w:rFonts w:eastAsiaTheme="majorEastAsia"/>
        </w:rPr>
        <w:footnoteReference w:id="168"/>
      </w:r>
      <w:r w:rsidR="005C4D59" w:rsidRPr="002574EC">
        <w:t xml:space="preserve"> During the year, the journalist’s legal team alerted the judicial authorities to the deteriorating health status of Carreño and filed a motion to at least move him to a trusted healthcare facility to be examined. </w:t>
      </w:r>
      <w:r w:rsidR="0059452D" w:rsidRPr="002574EC">
        <w:t xml:space="preserve">On September 6, 2021, Carreño had to be moved to </w:t>
      </w:r>
      <w:r w:rsidR="005D7789" w:rsidRPr="002574EC">
        <w:t xml:space="preserve">Hospital de </w:t>
      </w:r>
      <w:r w:rsidR="00A23524" w:rsidRPr="002574EC">
        <w:t>Clínicas</w:t>
      </w:r>
      <w:r w:rsidR="005D7789" w:rsidRPr="002574EC">
        <w:t xml:space="preserve"> </w:t>
      </w:r>
      <w:r w:rsidR="0059452D" w:rsidRPr="002574EC">
        <w:t>of</w:t>
      </w:r>
      <w:r w:rsidR="005D7789" w:rsidRPr="002574EC">
        <w:t xml:space="preserve"> Caracas </w:t>
      </w:r>
      <w:r w:rsidR="00804C74" w:rsidRPr="002574EC">
        <w:t xml:space="preserve">during </w:t>
      </w:r>
      <w:r w:rsidR="007D4EEB" w:rsidRPr="002574EC">
        <w:t xml:space="preserve">a </w:t>
      </w:r>
      <w:r w:rsidR="00804C74" w:rsidRPr="002574EC">
        <w:t>bout of high blood pressure, where he was diagnosed with COVID-19.</w:t>
      </w:r>
      <w:r w:rsidR="005D7789" w:rsidRPr="002574EC">
        <w:rPr>
          <w:rStyle w:val="FootnoteReference"/>
          <w:rFonts w:eastAsiaTheme="majorEastAsia"/>
        </w:rPr>
        <w:footnoteReference w:id="169"/>
      </w:r>
      <w:r w:rsidR="003315BD" w:rsidRPr="002574EC">
        <w:t xml:space="preserve">  Currently, the journalist </w:t>
      </w:r>
      <w:r w:rsidR="001D0BD7" w:rsidRPr="002574EC">
        <w:t>is being held in the Helicoide prison, in Caracas.</w:t>
      </w:r>
      <w:r w:rsidR="005D7789" w:rsidRPr="002574EC">
        <w:rPr>
          <w:rStyle w:val="FootnoteReference"/>
          <w:rFonts w:eastAsiaTheme="majorEastAsia"/>
        </w:rPr>
        <w:footnoteReference w:id="170"/>
      </w:r>
    </w:p>
    <w:p w14:paraId="211B551D" w14:textId="77777777" w:rsidR="005D7789" w:rsidRPr="002574EC" w:rsidRDefault="005D7789" w:rsidP="00E07D06">
      <w:pPr>
        <w:ind w:left="426" w:hanging="426"/>
        <w:jc w:val="both"/>
        <w:rPr>
          <w:rFonts w:ascii="Cambria" w:hAnsi="Cambria"/>
          <w:sz w:val="20"/>
          <w:szCs w:val="20"/>
        </w:rPr>
      </w:pPr>
    </w:p>
    <w:p w14:paraId="692077EB" w14:textId="6DF58C4D" w:rsidR="005D7789" w:rsidRPr="002574EC" w:rsidRDefault="00FB71DE" w:rsidP="00F85814">
      <w:pPr>
        <w:pStyle w:val="ListParagraph"/>
      </w:pPr>
      <w:r w:rsidRPr="002574EC">
        <w:t xml:space="preserve">The Rapporteurship also </w:t>
      </w:r>
      <w:r w:rsidR="007E124C" w:rsidRPr="002574EC">
        <w:t xml:space="preserve">reports that the Second Trial Court of Nueva Esparta acquitted journalist Braulio </w:t>
      </w:r>
      <w:r w:rsidR="005D7789" w:rsidRPr="002574EC">
        <w:t>Jatar</w:t>
      </w:r>
      <w:r w:rsidR="007E124C" w:rsidRPr="002574EC">
        <w:t>.</w:t>
      </w:r>
      <w:r w:rsidR="005D7789" w:rsidRPr="002574EC">
        <w:rPr>
          <w:rStyle w:val="FootnoteReference"/>
          <w:rFonts w:eastAsiaTheme="majorEastAsia"/>
        </w:rPr>
        <w:footnoteReference w:id="171"/>
      </w:r>
      <w:r w:rsidR="007E124C" w:rsidRPr="002574EC">
        <w:t xml:space="preserve"> As explained in the </w:t>
      </w:r>
      <w:r w:rsidR="00CA3997" w:rsidRPr="002574EC">
        <w:t xml:space="preserve">Rapporteurship’s </w:t>
      </w:r>
      <w:r w:rsidR="007E124C" w:rsidRPr="002574EC">
        <w:t>2016 Annual Report, on September 3 of that year, agents of the Bolivarian National Intelligence Service arrested</w:t>
      </w:r>
      <w:r w:rsidR="005D7789" w:rsidRPr="002574EC">
        <w:t xml:space="preserve"> Jatar, </w:t>
      </w:r>
      <w:r w:rsidR="007E124C" w:rsidRPr="002574EC">
        <w:t>the editor in chief of the digital media</w:t>
      </w:r>
      <w:r w:rsidR="003B355F" w:rsidRPr="002574EC">
        <w:t xml:space="preserve"> </w:t>
      </w:r>
      <w:r w:rsidR="007E124C" w:rsidRPr="002574EC">
        <w:t xml:space="preserve">outlet </w:t>
      </w:r>
      <w:r w:rsidR="005D7789" w:rsidRPr="002574EC">
        <w:t xml:space="preserve">Reporte Confidencial, </w:t>
      </w:r>
      <w:r w:rsidR="0035772F" w:rsidRPr="002574EC">
        <w:t>who was subsequently accused of money laundering.</w:t>
      </w:r>
      <w:r w:rsidR="005D7789" w:rsidRPr="002574EC">
        <w:t xml:space="preserve"> </w:t>
      </w:r>
      <w:r w:rsidR="003B355F" w:rsidRPr="002574EC">
        <w:t>The communicator’s arrest occurred the day after President Nicolás Maduro’s visit to the municipality of Villa Rosa on I</w:t>
      </w:r>
      <w:r w:rsidR="00BD7AB3" w:rsidRPr="002574EC">
        <w:t>sla</w:t>
      </w:r>
      <w:r w:rsidR="003B355F" w:rsidRPr="002574EC">
        <w:t xml:space="preserve"> Margarita, and while a protest demonstration (</w:t>
      </w:r>
      <w:r w:rsidR="003B355F" w:rsidRPr="002574EC">
        <w:rPr>
          <w:i/>
          <w:iCs/>
        </w:rPr>
        <w:t>cacerolazo</w:t>
      </w:r>
      <w:r w:rsidR="003B355F" w:rsidRPr="002574EC">
        <w:t xml:space="preserve"> or pan-banging</w:t>
      </w:r>
      <w:r w:rsidR="00346DF9" w:rsidRPr="002574EC">
        <w:t>)</w:t>
      </w:r>
      <w:r w:rsidR="00C459F9" w:rsidRPr="002574EC">
        <w:t xml:space="preserve"> </w:t>
      </w:r>
      <w:r w:rsidR="003B355F" w:rsidRPr="002574EC">
        <w:t>was taking place</w:t>
      </w:r>
      <w:r w:rsidR="00C459F9" w:rsidRPr="002574EC">
        <w:t xml:space="preserve">, which brought the leader face to face with some of the demonstrators.  The news portal run by </w:t>
      </w:r>
      <w:r w:rsidR="003B355F" w:rsidRPr="002574EC">
        <w:t xml:space="preserve"> </w:t>
      </w:r>
      <w:r w:rsidR="005D7789" w:rsidRPr="002574EC">
        <w:t>Jatar</w:t>
      </w:r>
      <w:r w:rsidR="00C459F9" w:rsidRPr="002574EC">
        <w:t xml:space="preserve"> had posted videos and stories of the demonstration. In May 2017, the journalist </w:t>
      </w:r>
      <w:r w:rsidR="006647F4" w:rsidRPr="002574EC">
        <w:t xml:space="preserve">was </w:t>
      </w:r>
      <w:r w:rsidR="006C5C9E" w:rsidRPr="002574EC">
        <w:t xml:space="preserve">ordered to serve a sentence of </w:t>
      </w:r>
      <w:r w:rsidR="00C459F9" w:rsidRPr="002574EC">
        <w:t>house arrest,</w:t>
      </w:r>
      <w:r w:rsidR="006C5C9E" w:rsidRPr="002574EC">
        <w:t xml:space="preserve"> and this measure was revoked in July 2019, under the condition that Jatar </w:t>
      </w:r>
      <w:r w:rsidR="00F43482" w:rsidRPr="002574EC">
        <w:t>appear every 15 days before the Court and not leave the country.</w:t>
      </w:r>
      <w:r w:rsidR="005D7789" w:rsidRPr="002574EC">
        <w:rPr>
          <w:rStyle w:val="FootnoteReference"/>
          <w:rFonts w:eastAsiaTheme="majorEastAsia"/>
        </w:rPr>
        <w:footnoteReference w:id="172"/>
      </w:r>
      <w:r w:rsidR="00983FFD" w:rsidRPr="002574EC">
        <w:t xml:space="preserve"> </w:t>
      </w:r>
      <w:r w:rsidR="00FD0FC2" w:rsidRPr="002574EC">
        <w:t xml:space="preserve">Since </w:t>
      </w:r>
      <w:r w:rsidR="00361513" w:rsidRPr="002574EC">
        <w:t xml:space="preserve">the decision </w:t>
      </w:r>
      <w:r w:rsidR="00FD0FC2" w:rsidRPr="002574EC">
        <w:t xml:space="preserve">was handed down to </w:t>
      </w:r>
      <w:r w:rsidR="00361513" w:rsidRPr="002574EC">
        <w:t xml:space="preserve">acquit him, </w:t>
      </w:r>
      <w:r w:rsidR="00FD0FC2" w:rsidRPr="002574EC">
        <w:t xml:space="preserve">such </w:t>
      </w:r>
      <w:r w:rsidR="00361513" w:rsidRPr="002574EC">
        <w:t xml:space="preserve">restrictions </w:t>
      </w:r>
      <w:r w:rsidR="00C25B33" w:rsidRPr="002574EC">
        <w:t>are baseless</w:t>
      </w:r>
      <w:r w:rsidR="005D7789" w:rsidRPr="002574EC">
        <w:t xml:space="preserve">. </w:t>
      </w:r>
    </w:p>
    <w:p w14:paraId="4EF529AC" w14:textId="77777777" w:rsidR="00F648AF" w:rsidRPr="002574EC" w:rsidRDefault="00F648AF" w:rsidP="00E07D06">
      <w:pPr>
        <w:ind w:left="426" w:hanging="426"/>
        <w:jc w:val="both"/>
        <w:rPr>
          <w:rFonts w:ascii="Cambria" w:hAnsi="Cambria"/>
          <w:sz w:val="20"/>
          <w:szCs w:val="20"/>
        </w:rPr>
      </w:pPr>
    </w:p>
    <w:p w14:paraId="1DA5696F" w14:textId="4E7CD87F" w:rsidR="005D7789" w:rsidRPr="002574EC" w:rsidRDefault="000C3CAD" w:rsidP="00F85814">
      <w:pPr>
        <w:pStyle w:val="ListParagraph"/>
      </w:pPr>
      <w:r w:rsidRPr="002574EC">
        <w:t>I</w:t>
      </w:r>
      <w:r w:rsidR="005D7789" w:rsidRPr="002574EC">
        <w:t xml:space="preserve">n 2021, </w:t>
      </w:r>
      <w:r w:rsidRPr="002574EC">
        <w:t xml:space="preserve">the Rapporteurship also continued to </w:t>
      </w:r>
      <w:r w:rsidR="00065F6F" w:rsidRPr="002574EC">
        <w:t xml:space="preserve">observe raids </w:t>
      </w:r>
      <w:r w:rsidR="00EA234A" w:rsidRPr="002574EC">
        <w:t>on</w:t>
      </w:r>
      <w:r w:rsidR="00065F6F" w:rsidRPr="002574EC">
        <w:t xml:space="preserve"> different </w:t>
      </w:r>
      <w:r w:rsidR="00AD74BD" w:rsidRPr="002574EC">
        <w:t>radio and television station</w:t>
      </w:r>
      <w:r w:rsidR="00544D36" w:rsidRPr="002574EC">
        <w:t>s</w:t>
      </w:r>
      <w:r w:rsidR="001D562C" w:rsidRPr="002574EC">
        <w:t xml:space="preserve"> and </w:t>
      </w:r>
      <w:r w:rsidR="00275103" w:rsidRPr="002574EC">
        <w:t>print media</w:t>
      </w:r>
      <w:r w:rsidR="00AD74BD" w:rsidRPr="002574EC">
        <w:t xml:space="preserve"> facilities</w:t>
      </w:r>
      <w:r w:rsidR="001D562C" w:rsidRPr="002574EC">
        <w:t xml:space="preserve"> in Venezuela,</w:t>
      </w:r>
      <w:r w:rsidR="00275103" w:rsidRPr="002574EC">
        <w:t xml:space="preserve"> </w:t>
      </w:r>
      <w:r w:rsidR="00EA234A" w:rsidRPr="002574EC">
        <w:t xml:space="preserve">followed by confiscation of </w:t>
      </w:r>
      <w:r w:rsidR="0019144B" w:rsidRPr="002574EC">
        <w:t xml:space="preserve">technical equipment and closure of print media outlets by CONATEL. </w:t>
      </w:r>
      <w:r w:rsidR="00EA234A" w:rsidRPr="002574EC">
        <w:t xml:space="preserve"> </w:t>
      </w:r>
      <w:r w:rsidR="001D562C" w:rsidRPr="002574EC">
        <w:t xml:space="preserve"> </w:t>
      </w:r>
      <w:r w:rsidR="0019144B" w:rsidRPr="002574EC">
        <w:t xml:space="preserve">These measures were taken mostly on the grounds of alleged failure to meet administrative law requirements for the use of </w:t>
      </w:r>
      <w:r w:rsidR="00BA411F" w:rsidRPr="002574EC">
        <w:t xml:space="preserve">Venezuelan </w:t>
      </w:r>
      <w:r w:rsidR="0019144B" w:rsidRPr="002574EC">
        <w:t>rad</w:t>
      </w:r>
      <w:r w:rsidR="00BA411F" w:rsidRPr="002574EC">
        <w:t xml:space="preserve">ioelectric slots or </w:t>
      </w:r>
      <w:r w:rsidR="00171730" w:rsidRPr="002574EC">
        <w:t xml:space="preserve">alleged </w:t>
      </w:r>
      <w:r w:rsidR="00BA411F" w:rsidRPr="002574EC">
        <w:t>tax law violations.</w:t>
      </w:r>
    </w:p>
    <w:p w14:paraId="0F0F5FD6" w14:textId="77777777" w:rsidR="005D7789" w:rsidRPr="002574EC" w:rsidRDefault="005D7789" w:rsidP="00E07D06">
      <w:pPr>
        <w:ind w:left="426" w:hanging="426"/>
        <w:jc w:val="both"/>
        <w:rPr>
          <w:rFonts w:ascii="Cambria" w:hAnsi="Cambria"/>
          <w:sz w:val="20"/>
          <w:szCs w:val="20"/>
        </w:rPr>
      </w:pPr>
    </w:p>
    <w:p w14:paraId="2B1C316B" w14:textId="368AA444" w:rsidR="005D7789" w:rsidRPr="002574EC" w:rsidRDefault="00DD6E9B" w:rsidP="00F85814">
      <w:pPr>
        <w:pStyle w:val="ListParagraph"/>
        <w:rPr>
          <w:shd w:val="clear" w:color="auto" w:fill="FFFFFF"/>
        </w:rPr>
      </w:pPr>
      <w:r w:rsidRPr="002574EC">
        <w:lastRenderedPageBreak/>
        <w:t xml:space="preserve">In this regard, on January 8, 2021, officials of CONATEL and SENIAT entered the facilities of the correspondent’s office of Caracas of Digital TV VPI-TV under the guise of reviewing tax documentation </w:t>
      </w:r>
      <w:r w:rsidR="009C7EB1" w:rsidRPr="002574EC">
        <w:t xml:space="preserve">for </w:t>
      </w:r>
      <w:r w:rsidRPr="002574EC">
        <w:t xml:space="preserve">equipment acquired </w:t>
      </w:r>
      <w:r w:rsidR="00721B1E" w:rsidRPr="002574EC">
        <w:t xml:space="preserve">in early 2000.  The officials reportedly seized </w:t>
      </w:r>
      <w:r w:rsidR="0061184D" w:rsidRPr="002574EC">
        <w:t xml:space="preserve">several pieces of </w:t>
      </w:r>
      <w:r w:rsidR="00721B1E" w:rsidRPr="002574EC">
        <w:t>equipment, which temporarily halted operations of the print media company</w:t>
      </w:r>
      <w:r w:rsidR="007D38FB" w:rsidRPr="002574EC">
        <w:t>.</w:t>
      </w:r>
      <w:r w:rsidR="005D7789" w:rsidRPr="002574EC">
        <w:rPr>
          <w:rStyle w:val="FootnoteReference"/>
          <w:rFonts w:eastAsiaTheme="majorEastAsia"/>
        </w:rPr>
        <w:footnoteReference w:id="173"/>
      </w:r>
      <w:r w:rsidR="007D38FB" w:rsidRPr="002574EC">
        <w:t xml:space="preserve">  The daily newspaper </w:t>
      </w:r>
      <w:r w:rsidR="005D7789" w:rsidRPr="002574EC">
        <w:t xml:space="preserve">Panorama </w:t>
      </w:r>
      <w:r w:rsidR="007D38FB" w:rsidRPr="002574EC">
        <w:t xml:space="preserve">in the city of Maracaibo was also sanctioned by SENIAT with closure of its facilities until January 12, on the grounds of </w:t>
      </w:r>
      <w:r w:rsidR="00561C63" w:rsidRPr="002574EC">
        <w:t xml:space="preserve">alleged </w:t>
      </w:r>
      <w:r w:rsidR="007D38FB" w:rsidRPr="002574EC">
        <w:t>failure to comply with tax laws</w:t>
      </w:r>
      <w:r w:rsidR="005D7789" w:rsidRPr="002574EC">
        <w:t>.</w:t>
      </w:r>
      <w:r w:rsidR="005D7789" w:rsidRPr="002574EC">
        <w:rPr>
          <w:rStyle w:val="FootnoteReference"/>
          <w:rFonts w:eastAsiaTheme="majorEastAsia"/>
        </w:rPr>
        <w:footnoteReference w:id="174"/>
      </w:r>
      <w:r w:rsidR="005D7789" w:rsidRPr="002574EC">
        <w:t xml:space="preserve"> </w:t>
      </w:r>
      <w:r w:rsidR="007D38FB" w:rsidRPr="002574EC">
        <w:t xml:space="preserve"> On grounds of failure to comply with administrative requirements under the Telecommunications Law or </w:t>
      </w:r>
      <w:r w:rsidR="00C321E8" w:rsidRPr="002574EC">
        <w:t xml:space="preserve">with </w:t>
      </w:r>
      <w:r w:rsidR="007D38FB" w:rsidRPr="002574EC">
        <w:t xml:space="preserve">proper concession of radioelectric signals, CONATEL </w:t>
      </w:r>
      <w:r w:rsidR="0054513E" w:rsidRPr="002574EC">
        <w:t xml:space="preserve">closed down or took off the air programing </w:t>
      </w:r>
      <w:r w:rsidR="00AF7090" w:rsidRPr="002574EC">
        <w:t xml:space="preserve">of radio </w:t>
      </w:r>
      <w:r w:rsidR="005D7789" w:rsidRPr="002574EC">
        <w:rPr>
          <w:bdr w:val="none" w:sz="0" w:space="0" w:color="auto" w:frame="1"/>
          <w:shd w:val="clear" w:color="auto" w:fill="FFFFFF"/>
        </w:rPr>
        <w:t>Aragua Mágica 88.1 FM</w:t>
      </w:r>
      <w:r w:rsidR="005D7789" w:rsidRPr="002574EC">
        <w:rPr>
          <w:rStyle w:val="FootnoteReference"/>
          <w:rFonts w:eastAsiaTheme="majorEastAsia"/>
          <w:bdr w:val="none" w:sz="0" w:space="0" w:color="auto" w:frame="1"/>
          <w:shd w:val="clear" w:color="auto" w:fill="FFFFFF"/>
        </w:rPr>
        <w:footnoteReference w:id="175"/>
      </w:r>
      <w:r w:rsidR="005D7789" w:rsidRPr="002574EC">
        <w:rPr>
          <w:bdr w:val="none" w:sz="0" w:space="0" w:color="auto" w:frame="1"/>
          <w:shd w:val="clear" w:color="auto" w:fill="FFFFFF"/>
        </w:rPr>
        <w:t xml:space="preserve"> </w:t>
      </w:r>
      <w:r w:rsidR="00AF7090" w:rsidRPr="002574EC">
        <w:rPr>
          <w:bdr w:val="none" w:sz="0" w:space="0" w:color="auto" w:frame="1"/>
          <w:shd w:val="clear" w:color="auto" w:fill="FFFFFF"/>
        </w:rPr>
        <w:t>i</w:t>
      </w:r>
      <w:r w:rsidR="005D7789" w:rsidRPr="002574EC">
        <w:rPr>
          <w:bdr w:val="none" w:sz="0" w:space="0" w:color="auto" w:frame="1"/>
          <w:shd w:val="clear" w:color="auto" w:fill="FFFFFF"/>
        </w:rPr>
        <w:t xml:space="preserve">n Macaray, Aragua; </w:t>
      </w:r>
      <w:r w:rsidR="005D7789" w:rsidRPr="002574EC">
        <w:rPr>
          <w:shd w:val="clear" w:color="auto" w:fill="FFFFFF"/>
        </w:rPr>
        <w:t>Radio Vea</w:t>
      </w:r>
      <w:r w:rsidR="005D7789" w:rsidRPr="002574EC">
        <w:rPr>
          <w:rStyle w:val="FootnoteReference"/>
          <w:rFonts w:eastAsiaTheme="majorEastAsia"/>
          <w:shd w:val="clear" w:color="auto" w:fill="FFFFFF"/>
        </w:rPr>
        <w:footnoteReference w:id="176"/>
      </w:r>
      <w:r w:rsidR="005D7789" w:rsidRPr="002574EC">
        <w:rPr>
          <w:shd w:val="clear" w:color="auto" w:fill="FFFFFF"/>
        </w:rPr>
        <w:t xml:space="preserve"> </w:t>
      </w:r>
      <w:r w:rsidR="00AF7090" w:rsidRPr="002574EC">
        <w:rPr>
          <w:shd w:val="clear" w:color="auto" w:fill="FFFFFF"/>
        </w:rPr>
        <w:t>i</w:t>
      </w:r>
      <w:r w:rsidR="005D7789" w:rsidRPr="002574EC">
        <w:rPr>
          <w:shd w:val="clear" w:color="auto" w:fill="FFFFFF"/>
        </w:rPr>
        <w:t xml:space="preserve">n Coro, Falcón; </w:t>
      </w:r>
      <w:r w:rsidR="00AF7090" w:rsidRPr="002574EC">
        <w:rPr>
          <w:shd w:val="clear" w:color="auto" w:fill="FFFFFF"/>
        </w:rPr>
        <w:t>radio station</w:t>
      </w:r>
      <w:r w:rsidR="005D7789" w:rsidRPr="002574EC">
        <w:rPr>
          <w:shd w:val="clear" w:color="auto" w:fill="FFFFFF"/>
        </w:rPr>
        <w:t> </w:t>
      </w:r>
      <w:hyperlink r:id="rId8" w:history="1">
        <w:r w:rsidR="005D7789" w:rsidRPr="002574EC">
          <w:rPr>
            <w:rStyle w:val="Emphasis"/>
            <w:bdr w:val="none" w:sz="0" w:space="0" w:color="auto" w:frame="1"/>
            <w:shd w:val="clear" w:color="auto" w:fill="FFFFFF"/>
          </w:rPr>
          <w:t>Zeta 103.5 FM</w:t>
        </w:r>
      </w:hyperlink>
      <w:r w:rsidR="005D7789" w:rsidRPr="002574EC">
        <w:rPr>
          <w:shd w:val="clear" w:color="auto" w:fill="FFFFFF"/>
        </w:rPr>
        <w:t xml:space="preserve">  </w:t>
      </w:r>
      <w:r w:rsidR="00AF7090" w:rsidRPr="002574EC">
        <w:rPr>
          <w:shd w:val="clear" w:color="auto" w:fill="FFFFFF"/>
        </w:rPr>
        <w:t>i</w:t>
      </w:r>
      <w:r w:rsidR="005D7789" w:rsidRPr="002574EC">
        <w:rPr>
          <w:shd w:val="clear" w:color="auto" w:fill="FFFFFF"/>
        </w:rPr>
        <w:t xml:space="preserve">n Ocumare </w:t>
      </w:r>
      <w:r w:rsidR="00AF7090" w:rsidRPr="002574EC">
        <w:rPr>
          <w:shd w:val="clear" w:color="auto" w:fill="FFFFFF"/>
        </w:rPr>
        <w:t>of</w:t>
      </w:r>
      <w:r w:rsidR="005D7789" w:rsidRPr="002574EC">
        <w:rPr>
          <w:shd w:val="clear" w:color="auto" w:fill="FFFFFF"/>
        </w:rPr>
        <w:t xml:space="preserve"> Tuy, </w:t>
      </w:r>
      <w:r w:rsidR="00AF7090" w:rsidRPr="002574EC">
        <w:rPr>
          <w:shd w:val="clear" w:color="auto" w:fill="FFFFFF"/>
        </w:rPr>
        <w:t xml:space="preserve">State of </w:t>
      </w:r>
      <w:r w:rsidR="005D7789" w:rsidRPr="002574EC">
        <w:rPr>
          <w:shd w:val="clear" w:color="auto" w:fill="FFFFFF"/>
        </w:rPr>
        <w:t>Miranda</w:t>
      </w:r>
      <w:r w:rsidR="005D7789" w:rsidRPr="002574EC">
        <w:rPr>
          <w:rStyle w:val="FootnoteReference"/>
          <w:rFonts w:eastAsiaTheme="majorEastAsia"/>
          <w:shd w:val="clear" w:color="auto" w:fill="FFFFFF"/>
        </w:rPr>
        <w:footnoteReference w:id="177"/>
      </w:r>
      <w:r w:rsidR="005D7789" w:rsidRPr="002574EC">
        <w:rPr>
          <w:shd w:val="clear" w:color="auto" w:fill="FFFFFF"/>
        </w:rPr>
        <w:t xml:space="preserve"> </w:t>
      </w:r>
      <w:r w:rsidR="00054B33" w:rsidRPr="002574EC">
        <w:rPr>
          <w:shd w:val="clear" w:color="auto" w:fill="FFFFFF"/>
        </w:rPr>
        <w:t xml:space="preserve">and radio station La </w:t>
      </w:r>
      <w:r w:rsidR="005D7789" w:rsidRPr="002574EC">
        <w:rPr>
          <w:shd w:val="clear" w:color="auto" w:fill="FFFFFF"/>
        </w:rPr>
        <w:t xml:space="preserve">Genial 89.9 Fm </w:t>
      </w:r>
      <w:r w:rsidR="00054B33" w:rsidRPr="002574EC">
        <w:rPr>
          <w:shd w:val="clear" w:color="auto" w:fill="FFFFFF"/>
        </w:rPr>
        <w:t xml:space="preserve">of the state of </w:t>
      </w:r>
      <w:r w:rsidR="005D7789" w:rsidRPr="002574EC">
        <w:rPr>
          <w:shd w:val="clear" w:color="auto" w:fill="FFFFFF"/>
        </w:rPr>
        <w:t>Portuguesa</w:t>
      </w:r>
      <w:r w:rsidR="00871223" w:rsidRPr="002574EC">
        <w:rPr>
          <w:shd w:val="clear" w:color="auto" w:fill="FFFFFF"/>
        </w:rPr>
        <w:t>.</w:t>
      </w:r>
      <w:r w:rsidR="005D7789" w:rsidRPr="002574EC">
        <w:rPr>
          <w:rStyle w:val="FootnoteReference"/>
          <w:rFonts w:eastAsiaTheme="majorEastAsia"/>
          <w:shd w:val="clear" w:color="auto" w:fill="FFFFFF"/>
        </w:rPr>
        <w:footnoteReference w:id="178"/>
      </w:r>
      <w:r w:rsidR="00871223" w:rsidRPr="002574EC">
        <w:rPr>
          <w:shd w:val="clear" w:color="auto" w:fill="FFFFFF"/>
        </w:rPr>
        <w:t xml:space="preserve"> </w:t>
      </w:r>
      <w:r w:rsidR="005D7789" w:rsidRPr="002574EC">
        <w:rPr>
          <w:shd w:val="clear" w:color="auto" w:fill="FFFFFF"/>
        </w:rPr>
        <w:t xml:space="preserve"> </w:t>
      </w:r>
      <w:r w:rsidR="00D60483" w:rsidRPr="002574EC">
        <w:rPr>
          <w:shd w:val="clear" w:color="auto" w:fill="FFFFFF"/>
        </w:rPr>
        <w:t xml:space="preserve">In the case of Radio Vea, the official of CONATEL reportedly took </w:t>
      </w:r>
      <w:r w:rsidR="00433419" w:rsidRPr="002574EC">
        <w:rPr>
          <w:shd w:val="clear" w:color="auto" w:fill="FFFFFF"/>
        </w:rPr>
        <w:t xml:space="preserve">the station </w:t>
      </w:r>
      <w:r w:rsidR="00D60483" w:rsidRPr="002574EC">
        <w:rPr>
          <w:shd w:val="clear" w:color="auto" w:fill="FFFFFF"/>
        </w:rPr>
        <w:t>off the air</w:t>
      </w:r>
      <w:r w:rsidR="00A43EE4" w:rsidRPr="002574EC">
        <w:rPr>
          <w:shd w:val="clear" w:color="auto" w:fill="FFFFFF"/>
        </w:rPr>
        <w:t xml:space="preserve"> by cancelling their signal,</w:t>
      </w:r>
      <w:r w:rsidR="00D60483" w:rsidRPr="002574EC">
        <w:rPr>
          <w:shd w:val="clear" w:color="auto" w:fill="FFFFFF"/>
        </w:rPr>
        <w:t xml:space="preserve"> after a visit of nearly 10 hours at the studio and main office of the media outlet.</w:t>
      </w:r>
    </w:p>
    <w:p w14:paraId="6DCA92D9" w14:textId="5BDC3CFA" w:rsidR="005D7789" w:rsidRPr="002574EC" w:rsidRDefault="005D7789" w:rsidP="00E07D06">
      <w:pPr>
        <w:ind w:left="426" w:hanging="426"/>
        <w:jc w:val="both"/>
        <w:rPr>
          <w:rFonts w:ascii="Cambria" w:hAnsi="Cambria"/>
          <w:sz w:val="20"/>
          <w:szCs w:val="20"/>
          <w:shd w:val="clear" w:color="auto" w:fill="FFFFFF"/>
        </w:rPr>
      </w:pPr>
      <w:r w:rsidRPr="002574EC">
        <w:rPr>
          <w:rFonts w:ascii="Cambria" w:hAnsi="Cambria"/>
          <w:sz w:val="20"/>
          <w:szCs w:val="20"/>
          <w:shd w:val="clear" w:color="auto" w:fill="FFFFFF"/>
        </w:rPr>
        <w:t xml:space="preserve"> </w:t>
      </w:r>
    </w:p>
    <w:p w14:paraId="0F7092A2" w14:textId="65CEF4B2" w:rsidR="005D7789" w:rsidRPr="002574EC" w:rsidRDefault="008B0EDE" w:rsidP="00F85814">
      <w:pPr>
        <w:pStyle w:val="ListParagraph"/>
      </w:pPr>
      <w:r w:rsidRPr="002574EC">
        <w:rPr>
          <w:shd w:val="clear" w:color="auto" w:fill="FFFFFF"/>
        </w:rPr>
        <w:t xml:space="preserve">Likewise, in the month of October alone, the Special Rapporteurship received information about at least seven closures of programs in Venezuela that had been </w:t>
      </w:r>
      <w:r w:rsidR="00C059FD" w:rsidRPr="002574EC">
        <w:rPr>
          <w:shd w:val="clear" w:color="auto" w:fill="FFFFFF"/>
        </w:rPr>
        <w:t xml:space="preserve">caused </w:t>
      </w:r>
      <w:r w:rsidRPr="002574EC">
        <w:rPr>
          <w:shd w:val="clear" w:color="auto" w:fill="FFFFFF"/>
        </w:rPr>
        <w:t>by CONATEL, as possible retaliation for the editorial line of these programs, or as a preventive measure taken by the broadcast stations themselves to avoid closure of the media outlet from external pressure, including from public officials.</w:t>
      </w:r>
      <w:r w:rsidR="000E5DFB" w:rsidRPr="002574EC">
        <w:rPr>
          <w:shd w:val="clear" w:color="auto" w:fill="FFFFFF"/>
        </w:rPr>
        <w:t xml:space="preserve"> In the month of October alone, the following closures were reported: </w:t>
      </w:r>
      <w:r w:rsidR="00D12A26" w:rsidRPr="002574EC">
        <w:rPr>
          <w:shd w:val="clear" w:color="auto" w:fill="FFFFFF"/>
        </w:rPr>
        <w:t xml:space="preserve">the </w:t>
      </w:r>
      <w:r w:rsidR="000E5DFB" w:rsidRPr="002574EC">
        <w:rPr>
          <w:shd w:val="clear" w:color="auto" w:fill="FFFFFF"/>
        </w:rPr>
        <w:t xml:space="preserve">programs of </w:t>
      </w:r>
      <w:r w:rsidR="005D7789" w:rsidRPr="002574EC">
        <w:t xml:space="preserve">Despertó Amazonas, </w:t>
      </w:r>
      <w:r w:rsidR="000E5DFB" w:rsidRPr="002574EC">
        <w:t xml:space="preserve">hosted by journalist </w:t>
      </w:r>
      <w:r w:rsidR="005D7789" w:rsidRPr="002574EC">
        <w:t xml:space="preserve">Manuel Ramírez; El mañanero del aire, </w:t>
      </w:r>
      <w:r w:rsidR="000E5DFB" w:rsidRPr="002574EC">
        <w:t xml:space="preserve">with </w:t>
      </w:r>
      <w:r w:rsidR="005D7789" w:rsidRPr="002574EC">
        <w:t xml:space="preserve">Pedro Colina Depool; Entre </w:t>
      </w:r>
      <w:r w:rsidR="004764CA" w:rsidRPr="002574EC">
        <w:t>Periodistas</w:t>
      </w:r>
      <w:r w:rsidR="005D7789" w:rsidRPr="002574EC">
        <w:t xml:space="preserve">, </w:t>
      </w:r>
      <w:r w:rsidR="003F47F6" w:rsidRPr="002574EC">
        <w:t xml:space="preserve">hosted by the journalists </w:t>
      </w:r>
      <w:r w:rsidR="005D7789" w:rsidRPr="002574EC">
        <w:t xml:space="preserve">Martí Hurtado </w:t>
      </w:r>
      <w:r w:rsidR="003F47F6" w:rsidRPr="002574EC">
        <w:t>and</w:t>
      </w:r>
      <w:r w:rsidR="005D7789" w:rsidRPr="002574EC">
        <w:t xml:space="preserve"> Epifanio Petit; La opinión de los demás, </w:t>
      </w:r>
      <w:r w:rsidR="00213E8F" w:rsidRPr="002574EC">
        <w:t xml:space="preserve">with </w:t>
      </w:r>
      <w:r w:rsidR="005D7789" w:rsidRPr="002574EC">
        <w:t xml:space="preserve">Magaly Hassan; Contra la corriente, </w:t>
      </w:r>
      <w:r w:rsidR="00213E8F" w:rsidRPr="002574EC">
        <w:t xml:space="preserve">with </w:t>
      </w:r>
      <w:r w:rsidR="005D7789" w:rsidRPr="002574EC">
        <w:t xml:space="preserve">José Gregório López; </w:t>
      </w:r>
      <w:r w:rsidR="00213E8F" w:rsidRPr="002574EC">
        <w:t>and</w:t>
      </w:r>
      <w:r w:rsidR="005D7789" w:rsidRPr="002574EC">
        <w:t xml:space="preserve"> La noticia en órbita, </w:t>
      </w:r>
      <w:r w:rsidR="00213E8F" w:rsidRPr="002574EC">
        <w:t xml:space="preserve">hosted by the journalist </w:t>
      </w:r>
      <w:r w:rsidR="005D7789" w:rsidRPr="002574EC">
        <w:t>Julio Flores</w:t>
      </w:r>
      <w:r w:rsidR="00366F2D" w:rsidRPr="002574EC">
        <w:t>.</w:t>
      </w:r>
      <w:r w:rsidR="005D7789" w:rsidRPr="002574EC">
        <w:rPr>
          <w:rStyle w:val="FootnoteReference"/>
          <w:rFonts w:eastAsiaTheme="majorEastAsia"/>
        </w:rPr>
        <w:footnoteReference w:id="179"/>
      </w:r>
      <w:r w:rsidR="00366F2D" w:rsidRPr="002574EC">
        <w:t xml:space="preserve"> In September, the Office of the Rapporteur </w:t>
      </w:r>
      <w:r w:rsidR="00A979F1" w:rsidRPr="002574EC">
        <w:t xml:space="preserve">documented </w:t>
      </w:r>
      <w:r w:rsidR="00366F2D" w:rsidRPr="002574EC">
        <w:t>the closure of the program</w:t>
      </w:r>
      <w:r w:rsidR="005D7789" w:rsidRPr="002574EC">
        <w:t xml:space="preserve"> Lo De Hoy Es Noticia, </w:t>
      </w:r>
      <w:r w:rsidR="00366F2D" w:rsidRPr="002574EC">
        <w:t xml:space="preserve">with journalist </w:t>
      </w:r>
      <w:r w:rsidR="005D7789" w:rsidRPr="002574EC">
        <w:t xml:space="preserve">Edecio García Sosa, </w:t>
      </w:r>
      <w:r w:rsidR="00BA64CA" w:rsidRPr="002574EC">
        <w:t xml:space="preserve">allegedly </w:t>
      </w:r>
      <w:r w:rsidR="002A483A" w:rsidRPr="002574EC">
        <w:t xml:space="preserve">after he was </w:t>
      </w:r>
      <w:r w:rsidR="00BA64CA" w:rsidRPr="002574EC">
        <w:t>pressure</w:t>
      </w:r>
      <w:r w:rsidR="00453543" w:rsidRPr="002574EC">
        <w:t>d by</w:t>
      </w:r>
      <w:r w:rsidR="00BA64CA" w:rsidRPr="002574EC">
        <w:t xml:space="preserve"> government officials.</w:t>
      </w:r>
      <w:r w:rsidR="005D7789" w:rsidRPr="002574EC">
        <w:rPr>
          <w:rStyle w:val="FootnoteReference"/>
          <w:rFonts w:eastAsiaTheme="majorEastAsia"/>
        </w:rPr>
        <w:footnoteReference w:id="180"/>
      </w:r>
      <w:r w:rsidR="00BA64CA" w:rsidRPr="002574EC">
        <w:t xml:space="preserve">  These case</w:t>
      </w:r>
      <w:r w:rsidR="00453543" w:rsidRPr="002574EC">
        <w:t>s</w:t>
      </w:r>
      <w:r w:rsidR="00BA64CA" w:rsidRPr="002574EC">
        <w:t xml:space="preserve"> are in addition to the </w:t>
      </w:r>
      <w:r w:rsidR="00453543" w:rsidRPr="002574EC">
        <w:t xml:space="preserve">report </w:t>
      </w:r>
      <w:r w:rsidR="00BA64CA" w:rsidRPr="002574EC">
        <w:t>that, on August 3, 2021, CONATEL reportedly took off the air the program Punto de Corte Radio, which was broadcast over</w:t>
      </w:r>
      <w:r w:rsidR="005D7789" w:rsidRPr="002574EC">
        <w:t xml:space="preserve"> Radio Fe y Alegría 1390 AM </w:t>
      </w:r>
      <w:r w:rsidR="00BA64CA" w:rsidRPr="002574EC">
        <w:t>and</w:t>
      </w:r>
      <w:r w:rsidR="005D7789" w:rsidRPr="002574EC">
        <w:t xml:space="preserve"> 105.7 FM, </w:t>
      </w:r>
      <w:r w:rsidR="000107D7" w:rsidRPr="002574EC">
        <w:t xml:space="preserve">without letting its host or the radio staff know the basis </w:t>
      </w:r>
      <w:r w:rsidR="00CC1A56" w:rsidRPr="002574EC">
        <w:t>in</w:t>
      </w:r>
      <w:r w:rsidR="000107D7" w:rsidRPr="002574EC">
        <w:t xml:space="preserve"> fact and law for such a measure.</w:t>
      </w:r>
      <w:r w:rsidR="005D7789" w:rsidRPr="002574EC">
        <w:rPr>
          <w:rStyle w:val="FootnoteReference"/>
          <w:rFonts w:eastAsiaTheme="majorEastAsia"/>
        </w:rPr>
        <w:footnoteReference w:id="181"/>
      </w:r>
    </w:p>
    <w:p w14:paraId="71576647" w14:textId="77777777" w:rsidR="005D7789" w:rsidRPr="002574EC" w:rsidRDefault="005D7789" w:rsidP="00E07D06">
      <w:pPr>
        <w:ind w:left="426" w:hanging="426"/>
        <w:jc w:val="both"/>
        <w:rPr>
          <w:rFonts w:ascii="Cambria" w:hAnsi="Cambria"/>
          <w:sz w:val="20"/>
          <w:szCs w:val="20"/>
        </w:rPr>
      </w:pPr>
    </w:p>
    <w:p w14:paraId="6CB617CE" w14:textId="5AFD3CE4" w:rsidR="005D7789" w:rsidRPr="002574EC" w:rsidRDefault="00113D99" w:rsidP="00F85814">
      <w:pPr>
        <w:pStyle w:val="ListParagraph"/>
      </w:pPr>
      <w:r w:rsidRPr="002574EC">
        <w:lastRenderedPageBreak/>
        <w:t xml:space="preserve">The Rapporteurship received information from Venezuelan journalists that, in order to avoid this type of retaliation, </w:t>
      </w:r>
      <w:r w:rsidR="000A6E94" w:rsidRPr="002574EC">
        <w:t>particularly radio broadcasters</w:t>
      </w:r>
      <w:r w:rsidR="003103FD" w:rsidRPr="002574EC">
        <w:t>, once they are on the radar screen of the State or government supporters</w:t>
      </w:r>
      <w:r w:rsidR="00F137E2" w:rsidRPr="002574EC">
        <w:t xml:space="preserve"> as criticizing the regime</w:t>
      </w:r>
      <w:r w:rsidR="003103FD" w:rsidRPr="002574EC">
        <w:t>, they</w:t>
      </w:r>
      <w:r w:rsidR="000A6E94" w:rsidRPr="002574EC">
        <w:t xml:space="preserve"> </w:t>
      </w:r>
      <w:r w:rsidR="006F13E8" w:rsidRPr="002574EC">
        <w:t xml:space="preserve">usually make </w:t>
      </w:r>
      <w:r w:rsidR="000A6E94" w:rsidRPr="002574EC">
        <w:t>a list of terms that are censured during programming and share it with the interviewees or invited guests</w:t>
      </w:r>
      <w:r w:rsidR="003103FD" w:rsidRPr="002574EC">
        <w:t xml:space="preserve">.  For example, on radio or television programs, you cannot use terms like </w:t>
      </w:r>
      <w:r w:rsidR="006F13E8" w:rsidRPr="002574EC">
        <w:t>‘</w:t>
      </w:r>
      <w:r w:rsidR="003103FD" w:rsidRPr="002574EC">
        <w:t>usurpation,</w:t>
      </w:r>
      <w:r w:rsidR="006F13E8" w:rsidRPr="002574EC">
        <w:t>’</w:t>
      </w:r>
      <w:r w:rsidR="003103FD" w:rsidRPr="002574EC">
        <w:t xml:space="preserve"> </w:t>
      </w:r>
      <w:r w:rsidR="006F13E8" w:rsidRPr="002574EC">
        <w:t>‘</w:t>
      </w:r>
      <w:r w:rsidR="003103FD" w:rsidRPr="002574EC">
        <w:t>dictatorship</w:t>
      </w:r>
      <w:r w:rsidR="006F13E8" w:rsidRPr="002574EC">
        <w:t>’</w:t>
      </w:r>
      <w:r w:rsidR="003103FD" w:rsidRPr="002574EC">
        <w:t xml:space="preserve"> or </w:t>
      </w:r>
      <w:r w:rsidR="006F13E8" w:rsidRPr="002574EC">
        <w:t>‘</w:t>
      </w:r>
      <w:r w:rsidR="003103FD" w:rsidRPr="002574EC">
        <w:t>illegitimacy</w:t>
      </w:r>
      <w:r w:rsidR="006F13E8" w:rsidRPr="002574EC">
        <w:t>’</w:t>
      </w:r>
      <w:r w:rsidR="003103FD" w:rsidRPr="002574EC">
        <w:t xml:space="preserve"> to refer to the government or the National Assembly.</w:t>
      </w:r>
      <w:r w:rsidR="005D7789" w:rsidRPr="002574EC">
        <w:rPr>
          <w:rStyle w:val="FootnoteReference"/>
          <w:rFonts w:eastAsiaTheme="majorEastAsia"/>
        </w:rPr>
        <w:footnoteReference w:id="182"/>
      </w:r>
    </w:p>
    <w:p w14:paraId="0F7E7CB4" w14:textId="77777777" w:rsidR="005D7789" w:rsidRPr="002574EC" w:rsidRDefault="005D7789" w:rsidP="00E07D06">
      <w:pPr>
        <w:ind w:left="426" w:hanging="426"/>
        <w:jc w:val="both"/>
        <w:rPr>
          <w:rFonts w:ascii="Cambria" w:hAnsi="Cambria"/>
          <w:sz w:val="20"/>
          <w:szCs w:val="20"/>
        </w:rPr>
      </w:pPr>
    </w:p>
    <w:p w14:paraId="20BC3A91" w14:textId="2E8570D8" w:rsidR="005D7789" w:rsidRPr="002574EC" w:rsidRDefault="00E6421E" w:rsidP="00F85814">
      <w:pPr>
        <w:pStyle w:val="ListParagraph"/>
        <w:rPr>
          <w:shd w:val="clear" w:color="auto" w:fill="FFFFFF"/>
        </w:rPr>
      </w:pPr>
      <w:r w:rsidRPr="002574EC">
        <w:rPr>
          <w:shd w:val="clear" w:color="auto" w:fill="FFFFFF"/>
        </w:rPr>
        <w:t xml:space="preserve">The Special Rapporteurship continued to observe an adverse </w:t>
      </w:r>
      <w:r w:rsidR="007E10E8" w:rsidRPr="002574EC">
        <w:rPr>
          <w:shd w:val="clear" w:color="auto" w:fill="FFFFFF"/>
        </w:rPr>
        <w:t xml:space="preserve">climate to journalism and print media as a result of ongoing stigmatization, especially by public officials, </w:t>
      </w:r>
      <w:r w:rsidR="00C14BAA" w:rsidRPr="002574EC">
        <w:rPr>
          <w:shd w:val="clear" w:color="auto" w:fill="FFFFFF"/>
        </w:rPr>
        <w:t>accusing journalists of being “liars</w:t>
      </w:r>
      <w:r w:rsidR="005D7789" w:rsidRPr="002574EC">
        <w:rPr>
          <w:shd w:val="clear" w:color="auto" w:fill="FFFFFF"/>
        </w:rPr>
        <w:t>”</w:t>
      </w:r>
      <w:r w:rsidR="005D7789" w:rsidRPr="002574EC">
        <w:rPr>
          <w:rStyle w:val="FootnoteReference"/>
          <w:rFonts w:eastAsiaTheme="majorEastAsia" w:cs="Tahoma"/>
          <w:shd w:val="clear" w:color="auto" w:fill="FFFFFF"/>
        </w:rPr>
        <w:footnoteReference w:id="183"/>
      </w:r>
      <w:r w:rsidR="005D7789" w:rsidRPr="002574EC">
        <w:rPr>
          <w:shd w:val="clear" w:color="auto" w:fill="FFFFFF"/>
        </w:rPr>
        <w:t xml:space="preserve"> </w:t>
      </w:r>
      <w:r w:rsidR="00F27DA8" w:rsidRPr="002574EC">
        <w:rPr>
          <w:shd w:val="clear" w:color="auto" w:fill="FFFFFF"/>
        </w:rPr>
        <w:t xml:space="preserve">or </w:t>
      </w:r>
      <w:r w:rsidR="001F7360" w:rsidRPr="002574EC">
        <w:rPr>
          <w:shd w:val="clear" w:color="auto" w:fill="FFFFFF"/>
        </w:rPr>
        <w:t>associating them with violent events.</w:t>
      </w:r>
      <w:r w:rsidR="005D7789" w:rsidRPr="002574EC">
        <w:rPr>
          <w:rStyle w:val="FootnoteReference"/>
          <w:rFonts w:eastAsiaTheme="majorEastAsia" w:cs="Tahoma"/>
          <w:shd w:val="clear" w:color="auto" w:fill="FFFFFF"/>
        </w:rPr>
        <w:footnoteReference w:id="184"/>
      </w:r>
      <w:r w:rsidR="001F7360" w:rsidRPr="002574EC">
        <w:rPr>
          <w:shd w:val="clear" w:color="auto" w:fill="FFFFFF"/>
        </w:rPr>
        <w:t xml:space="preserve"> Specifically, the Rapporteurship has noticed escalating stigmatization on some webpages and official government social network accounts aimed at </w:t>
      </w:r>
      <w:r w:rsidR="004D610A" w:rsidRPr="002574EC">
        <w:rPr>
          <w:shd w:val="clear" w:color="auto" w:fill="FFFFFF"/>
        </w:rPr>
        <w:t xml:space="preserve">discrediting </w:t>
      </w:r>
      <w:r w:rsidR="001F7360" w:rsidRPr="002574EC">
        <w:rPr>
          <w:shd w:val="clear" w:color="auto" w:fill="FFFFFF"/>
        </w:rPr>
        <w:t xml:space="preserve">the work performed by </w:t>
      </w:r>
      <w:r w:rsidR="00551ADA" w:rsidRPr="002574EC">
        <w:rPr>
          <w:shd w:val="clear" w:color="auto" w:fill="FFFFFF"/>
        </w:rPr>
        <w:t>the media, because they receive</w:t>
      </w:r>
      <w:r w:rsidR="006E0E49" w:rsidRPr="002574EC">
        <w:rPr>
          <w:shd w:val="clear" w:color="auto" w:fill="FFFFFF"/>
        </w:rPr>
        <w:t>d</w:t>
      </w:r>
      <w:r w:rsidR="00551ADA" w:rsidRPr="002574EC">
        <w:rPr>
          <w:shd w:val="clear" w:color="auto" w:fill="FFFFFF"/>
        </w:rPr>
        <w:t xml:space="preserve"> international cooperation resources from January to February. </w:t>
      </w:r>
      <w:r w:rsidR="005D7789" w:rsidRPr="002574EC">
        <w:rPr>
          <w:shd w:val="clear" w:color="auto" w:fill="FFFFFF"/>
        </w:rPr>
        <w:t xml:space="preserve"> </w:t>
      </w:r>
      <w:r w:rsidR="00667EB7" w:rsidRPr="002574EC">
        <w:rPr>
          <w:shd w:val="clear" w:color="auto" w:fill="FFFFFF"/>
        </w:rPr>
        <w:t>In this regard, the IACHR and its Rapporteurship saw video footage</w:t>
      </w:r>
      <w:r w:rsidR="006E0E49" w:rsidRPr="002574EC">
        <w:rPr>
          <w:shd w:val="clear" w:color="auto" w:fill="FFFFFF"/>
        </w:rPr>
        <w:t>, with</w:t>
      </w:r>
      <w:r w:rsidR="00667EB7" w:rsidRPr="002574EC">
        <w:rPr>
          <w:shd w:val="clear" w:color="auto" w:fill="FFFFFF"/>
        </w:rPr>
        <w:t xml:space="preserve"> the Bolivarian National Aviation insignias and disseminated over official government Twitter accounts, where journalists of the media outlet Efecto Cocuyo are profiled, accusing them of being “info-mercenaries’ because </w:t>
      </w:r>
      <w:r w:rsidR="006E24A7" w:rsidRPr="002574EC">
        <w:rPr>
          <w:shd w:val="clear" w:color="auto" w:fill="FFFFFF"/>
        </w:rPr>
        <w:t>they received foreign financing in order to operate.</w:t>
      </w:r>
      <w:r w:rsidR="005D7789" w:rsidRPr="002574EC">
        <w:rPr>
          <w:rStyle w:val="FootnoteReference"/>
          <w:rFonts w:eastAsiaTheme="majorEastAsia" w:cs="Tahoma"/>
          <w:shd w:val="clear" w:color="auto" w:fill="FFFFFF"/>
        </w:rPr>
        <w:footnoteReference w:id="185"/>
      </w:r>
      <w:r w:rsidR="003031CF" w:rsidRPr="002574EC">
        <w:rPr>
          <w:shd w:val="clear" w:color="auto" w:fill="FFFFFF"/>
        </w:rPr>
        <w:t xml:space="preserve"> The National Press Workers’ Union (SNTP), the Radiophonic Institute</w:t>
      </w:r>
      <w:r w:rsidR="005D7789" w:rsidRPr="002574EC">
        <w:rPr>
          <w:shd w:val="clear" w:color="auto" w:fill="FFFFFF"/>
        </w:rPr>
        <w:t xml:space="preserve"> Fe y Alegría, </w:t>
      </w:r>
      <w:r w:rsidR="008C24B9" w:rsidRPr="002574EC">
        <w:rPr>
          <w:shd w:val="clear" w:color="auto" w:fill="FFFFFF"/>
        </w:rPr>
        <w:t xml:space="preserve">the Center for Peace and Justice </w:t>
      </w:r>
      <w:r w:rsidR="005D7789" w:rsidRPr="002574EC">
        <w:rPr>
          <w:shd w:val="clear" w:color="auto" w:fill="FFFFFF"/>
        </w:rPr>
        <w:t xml:space="preserve">(CEPAZ), </w:t>
      </w:r>
      <w:r w:rsidR="008C24B9" w:rsidRPr="002574EC">
        <w:rPr>
          <w:shd w:val="clear" w:color="auto" w:fill="FFFFFF"/>
        </w:rPr>
        <w:t xml:space="preserve">the organization </w:t>
      </w:r>
      <w:r w:rsidR="005D7789" w:rsidRPr="002574EC">
        <w:rPr>
          <w:shd w:val="clear" w:color="auto" w:fill="FFFFFF"/>
        </w:rPr>
        <w:t xml:space="preserve">Espacio Público, </w:t>
      </w:r>
      <w:r w:rsidR="008C24B9" w:rsidRPr="002574EC">
        <w:rPr>
          <w:shd w:val="clear" w:color="auto" w:fill="FFFFFF"/>
        </w:rPr>
        <w:t xml:space="preserve">the Press and Society Institute </w:t>
      </w:r>
      <w:r w:rsidR="005D7789" w:rsidRPr="002574EC">
        <w:rPr>
          <w:shd w:val="clear" w:color="auto" w:fill="FFFFFF"/>
        </w:rPr>
        <w:t xml:space="preserve">(IPYS) </w:t>
      </w:r>
      <w:r w:rsidR="008C24B9" w:rsidRPr="002574EC">
        <w:rPr>
          <w:shd w:val="clear" w:color="auto" w:fill="FFFFFF"/>
        </w:rPr>
        <w:t xml:space="preserve">and Transparency </w:t>
      </w:r>
      <w:r w:rsidR="005D7789" w:rsidRPr="002574EC">
        <w:rPr>
          <w:shd w:val="clear" w:color="auto" w:fill="FFFFFF"/>
        </w:rPr>
        <w:t xml:space="preserve">Venezuela </w:t>
      </w:r>
      <w:r w:rsidR="008C24B9" w:rsidRPr="002574EC">
        <w:rPr>
          <w:shd w:val="clear" w:color="auto" w:fill="FFFFFF"/>
        </w:rPr>
        <w:t>have been the targets of similar accusations as well.</w:t>
      </w:r>
      <w:r w:rsidR="005D7789" w:rsidRPr="002574EC">
        <w:rPr>
          <w:rStyle w:val="FootnoteReference"/>
          <w:rFonts w:eastAsiaTheme="majorEastAsia" w:cs="Tahoma"/>
          <w:shd w:val="clear" w:color="auto" w:fill="FFFFFF"/>
        </w:rPr>
        <w:footnoteReference w:id="186"/>
      </w:r>
      <w:r w:rsidR="008C24B9" w:rsidRPr="002574EC">
        <w:rPr>
          <w:shd w:val="clear" w:color="auto" w:fill="FFFFFF"/>
        </w:rPr>
        <w:t xml:space="preserve"> </w:t>
      </w:r>
      <w:r w:rsidR="00122E68" w:rsidRPr="002574EC">
        <w:rPr>
          <w:shd w:val="clear" w:color="auto" w:fill="FFFFFF"/>
        </w:rPr>
        <w:t>Additionally, on January 13, during the broadcast of his television program</w:t>
      </w:r>
      <w:r w:rsidR="005D7789" w:rsidRPr="002574EC">
        <w:rPr>
          <w:shd w:val="clear" w:color="auto" w:fill="FFFFFF"/>
        </w:rPr>
        <w:t xml:space="preserve"> </w:t>
      </w:r>
      <w:r w:rsidR="005D7789" w:rsidRPr="002574EC">
        <w:rPr>
          <w:i/>
          <w:iCs/>
          <w:shd w:val="clear" w:color="auto" w:fill="FFFFFF"/>
        </w:rPr>
        <w:t>Con el Mazo Dando</w:t>
      </w:r>
      <w:r w:rsidR="003A612B" w:rsidRPr="002574EC">
        <w:rPr>
          <w:shd w:val="clear" w:color="auto" w:fill="FFFFFF"/>
        </w:rPr>
        <w:t xml:space="preserve">, </w:t>
      </w:r>
      <w:r w:rsidR="00122E68" w:rsidRPr="002574EC">
        <w:rPr>
          <w:shd w:val="clear" w:color="auto" w:fill="FFFFFF"/>
        </w:rPr>
        <w:t xml:space="preserve">Deputy </w:t>
      </w:r>
      <w:r w:rsidR="005D7789" w:rsidRPr="002574EC">
        <w:rPr>
          <w:shd w:val="clear" w:color="auto" w:fill="FFFFFF"/>
        </w:rPr>
        <w:t xml:space="preserve">Diosdado Cabello </w:t>
      </w:r>
      <w:r w:rsidR="00122E68" w:rsidRPr="002574EC">
        <w:rPr>
          <w:shd w:val="clear" w:color="auto" w:fill="FFFFFF"/>
        </w:rPr>
        <w:t>branded human rights defense organizations as “instruments to destabilize peoples.</w:t>
      </w:r>
      <w:r w:rsidR="005D7789" w:rsidRPr="002574EC">
        <w:rPr>
          <w:shd w:val="clear" w:color="auto" w:fill="FFFFFF"/>
        </w:rPr>
        <w:t>"</w:t>
      </w:r>
      <w:r w:rsidR="005D7789" w:rsidRPr="002574EC">
        <w:rPr>
          <w:rStyle w:val="FootnoteReference"/>
          <w:rFonts w:eastAsiaTheme="majorEastAsia" w:cs="Tahoma"/>
          <w:shd w:val="clear" w:color="auto" w:fill="FFFFFF"/>
        </w:rPr>
        <w:footnoteReference w:id="187"/>
      </w:r>
      <w:r w:rsidR="008D5010" w:rsidRPr="002574EC">
        <w:rPr>
          <w:shd w:val="clear" w:color="auto" w:fill="FFFFFF"/>
        </w:rPr>
        <w:t xml:space="preserve">  Stigmatizing speech, particularly from Deputy Cabello</w:t>
      </w:r>
      <w:r w:rsidR="00754B4F" w:rsidRPr="002574EC">
        <w:rPr>
          <w:shd w:val="clear" w:color="auto" w:fill="FFFFFF"/>
        </w:rPr>
        <w:t>,</w:t>
      </w:r>
      <w:r w:rsidR="008D5010" w:rsidRPr="002574EC">
        <w:rPr>
          <w:shd w:val="clear" w:color="auto" w:fill="FFFFFF"/>
        </w:rPr>
        <w:t xml:space="preserve"> was a hallmark of 2021 and, over the months that followed his remarks, the parliament made further accusations, such as</w:t>
      </w:r>
      <w:r w:rsidR="00581184" w:rsidRPr="002574EC">
        <w:rPr>
          <w:shd w:val="clear" w:color="auto" w:fill="FFFFFF"/>
        </w:rPr>
        <w:t xml:space="preserve"> that</w:t>
      </w:r>
      <w:r w:rsidR="008D5010" w:rsidRPr="002574EC">
        <w:rPr>
          <w:shd w:val="clear" w:color="auto" w:fill="FFFFFF"/>
        </w:rPr>
        <w:t xml:space="preserve"> journalists hav</w:t>
      </w:r>
      <w:r w:rsidR="00E06256" w:rsidRPr="002574EC">
        <w:rPr>
          <w:shd w:val="clear" w:color="auto" w:fill="FFFFFF"/>
        </w:rPr>
        <w:t>e</w:t>
      </w:r>
      <w:r w:rsidR="008D5010" w:rsidRPr="002574EC">
        <w:rPr>
          <w:shd w:val="clear" w:color="auto" w:fill="FFFFFF"/>
        </w:rPr>
        <w:t xml:space="preserve"> links to paramilitary movements.</w:t>
      </w:r>
      <w:r w:rsidR="005D7789" w:rsidRPr="002574EC">
        <w:rPr>
          <w:rStyle w:val="FootnoteReference"/>
          <w:rFonts w:eastAsiaTheme="majorEastAsia" w:cs="Tahoma"/>
          <w:shd w:val="clear" w:color="auto" w:fill="FFFFFF"/>
        </w:rPr>
        <w:footnoteReference w:id="188"/>
      </w:r>
    </w:p>
    <w:p w14:paraId="6AFB19D4" w14:textId="77777777" w:rsidR="005D7789" w:rsidRPr="002574EC" w:rsidRDefault="005D7789" w:rsidP="00E07D06">
      <w:pPr>
        <w:ind w:left="426" w:hanging="426"/>
        <w:jc w:val="both"/>
        <w:rPr>
          <w:rFonts w:ascii="Cambria" w:hAnsi="Cambria" w:cs="Tahoma"/>
          <w:sz w:val="20"/>
          <w:szCs w:val="20"/>
          <w:shd w:val="clear" w:color="auto" w:fill="FFFFFF"/>
        </w:rPr>
      </w:pPr>
    </w:p>
    <w:p w14:paraId="701F828C" w14:textId="710CA6B9" w:rsidR="005D7789" w:rsidRPr="002574EC" w:rsidRDefault="000F3128" w:rsidP="00F85814">
      <w:pPr>
        <w:pStyle w:val="ListParagraph"/>
        <w:rPr>
          <w:shd w:val="clear" w:color="auto" w:fill="FFFFFF"/>
        </w:rPr>
      </w:pPr>
      <w:r w:rsidRPr="002574EC">
        <w:rPr>
          <w:shd w:val="clear" w:color="auto" w:fill="FFFFFF"/>
        </w:rPr>
        <w:t xml:space="preserve">This Office also received information about the obstacles </w:t>
      </w:r>
      <w:r w:rsidR="00805481" w:rsidRPr="002574EC">
        <w:rPr>
          <w:shd w:val="clear" w:color="auto" w:fill="FFFFFF"/>
        </w:rPr>
        <w:t xml:space="preserve">imposed by the economic and energy crisis to the practice of journalism in Venezuela.  According to information provided to the SRFE by journalists from the country, the gasoline shortage </w:t>
      </w:r>
      <w:r w:rsidR="004A0DDF" w:rsidRPr="002574EC">
        <w:rPr>
          <w:shd w:val="clear" w:color="auto" w:fill="FFFFFF"/>
        </w:rPr>
        <w:t xml:space="preserve">prevents many journalists from going out to </w:t>
      </w:r>
      <w:r w:rsidR="006312EB" w:rsidRPr="002574EC">
        <w:rPr>
          <w:shd w:val="clear" w:color="auto" w:fill="FFFFFF"/>
        </w:rPr>
        <w:t xml:space="preserve">cover </w:t>
      </w:r>
      <w:r w:rsidR="00E24FEB" w:rsidRPr="002574EC">
        <w:rPr>
          <w:shd w:val="clear" w:color="auto" w:fill="FFFFFF"/>
        </w:rPr>
        <w:t>target regions</w:t>
      </w:r>
      <w:r w:rsidR="006272AB" w:rsidRPr="002574EC">
        <w:rPr>
          <w:shd w:val="clear" w:color="auto" w:fill="FFFFFF"/>
        </w:rPr>
        <w:t xml:space="preserve"> or </w:t>
      </w:r>
      <w:r w:rsidR="00E7711E" w:rsidRPr="002574EC">
        <w:rPr>
          <w:shd w:val="clear" w:color="auto" w:fill="FFFFFF"/>
        </w:rPr>
        <w:t>to follow a breaking story or a scoop</w:t>
      </w:r>
      <w:r w:rsidR="0080357A" w:rsidRPr="002574EC">
        <w:rPr>
          <w:shd w:val="clear" w:color="auto" w:fill="FFFFFF"/>
        </w:rPr>
        <w:t xml:space="preserve"> away from their base</w:t>
      </w:r>
      <w:r w:rsidR="00E51354" w:rsidRPr="002574EC">
        <w:rPr>
          <w:shd w:val="clear" w:color="auto" w:fill="FFFFFF"/>
        </w:rPr>
        <w:t xml:space="preserve">.  </w:t>
      </w:r>
      <w:r w:rsidR="0080357A" w:rsidRPr="002574EC">
        <w:rPr>
          <w:shd w:val="clear" w:color="auto" w:fill="FFFFFF"/>
        </w:rPr>
        <w:t xml:space="preserve">Often </w:t>
      </w:r>
      <w:r w:rsidR="00E51354" w:rsidRPr="002574EC">
        <w:rPr>
          <w:shd w:val="clear" w:color="auto" w:fill="FFFFFF"/>
        </w:rPr>
        <w:t xml:space="preserve">journalists </w:t>
      </w:r>
      <w:r w:rsidR="00E7711E" w:rsidRPr="002574EC">
        <w:rPr>
          <w:shd w:val="clear" w:color="auto" w:fill="FFFFFF"/>
        </w:rPr>
        <w:t xml:space="preserve">are dependent upon the support </w:t>
      </w:r>
      <w:r w:rsidR="004D443E" w:rsidRPr="002574EC">
        <w:rPr>
          <w:shd w:val="clear" w:color="auto" w:fill="FFFFFF"/>
        </w:rPr>
        <w:t xml:space="preserve">of </w:t>
      </w:r>
      <w:r w:rsidR="00E7711E" w:rsidRPr="002574EC">
        <w:rPr>
          <w:shd w:val="clear" w:color="auto" w:fill="FFFFFF"/>
        </w:rPr>
        <w:t xml:space="preserve">journalist associations to </w:t>
      </w:r>
      <w:r w:rsidR="00A512CD" w:rsidRPr="002574EC">
        <w:rPr>
          <w:shd w:val="clear" w:color="auto" w:fill="FFFFFF"/>
        </w:rPr>
        <w:t xml:space="preserve">be able to cover areas that require </w:t>
      </w:r>
      <w:r w:rsidR="00AF4C94" w:rsidRPr="002574EC">
        <w:rPr>
          <w:shd w:val="clear" w:color="auto" w:fill="FFFFFF"/>
        </w:rPr>
        <w:t xml:space="preserve">means of </w:t>
      </w:r>
      <w:r w:rsidR="00A512CD" w:rsidRPr="002574EC">
        <w:rPr>
          <w:shd w:val="clear" w:color="auto" w:fill="FFFFFF"/>
        </w:rPr>
        <w:t>transportation</w:t>
      </w:r>
      <w:r w:rsidR="00112F15" w:rsidRPr="002574EC">
        <w:rPr>
          <w:shd w:val="clear" w:color="auto" w:fill="FFFFFF"/>
        </w:rPr>
        <w:t>, with the gasoline shortage impacting them as well</w:t>
      </w:r>
      <w:r w:rsidR="00C83224" w:rsidRPr="002574EC">
        <w:rPr>
          <w:shd w:val="clear" w:color="auto" w:fill="FFFFFF"/>
        </w:rPr>
        <w:t>.</w:t>
      </w:r>
      <w:r w:rsidR="005D7789" w:rsidRPr="002574EC">
        <w:rPr>
          <w:rStyle w:val="FootnoteReference"/>
          <w:rFonts w:eastAsiaTheme="majorEastAsia" w:cs="Tahoma"/>
          <w:shd w:val="clear" w:color="auto" w:fill="FFFFFF"/>
        </w:rPr>
        <w:footnoteReference w:id="189"/>
      </w:r>
      <w:r w:rsidR="00C83224" w:rsidRPr="002574EC">
        <w:rPr>
          <w:shd w:val="clear" w:color="auto" w:fill="FFFFFF"/>
        </w:rPr>
        <w:t xml:space="preserve">  </w:t>
      </w:r>
      <w:r w:rsidR="00F555C2" w:rsidRPr="002574EC">
        <w:rPr>
          <w:shd w:val="clear" w:color="auto" w:fill="FFFFFF"/>
        </w:rPr>
        <w:t>In this same vein, in 2021, the NGO</w:t>
      </w:r>
      <w:r w:rsidR="005D7789" w:rsidRPr="002574EC">
        <w:rPr>
          <w:shd w:val="clear" w:color="auto" w:fill="FFFFFF"/>
        </w:rPr>
        <w:t xml:space="preserve"> Espacio Público </w:t>
      </w:r>
      <w:r w:rsidR="00F555C2" w:rsidRPr="002574EC">
        <w:rPr>
          <w:shd w:val="clear" w:color="auto" w:fill="FFFFFF"/>
        </w:rPr>
        <w:t xml:space="preserve">reported </w:t>
      </w:r>
      <w:r w:rsidR="00F47163" w:rsidRPr="002574EC">
        <w:rPr>
          <w:shd w:val="clear" w:color="auto" w:fill="FFFFFF"/>
        </w:rPr>
        <w:t xml:space="preserve">major </w:t>
      </w:r>
      <w:r w:rsidR="00F47163" w:rsidRPr="002574EC">
        <w:rPr>
          <w:shd w:val="clear" w:color="auto" w:fill="FFFFFF"/>
        </w:rPr>
        <w:lastRenderedPageBreak/>
        <w:t>disruptions to Venezuelan radio station</w:t>
      </w:r>
      <w:r w:rsidR="009A44B8" w:rsidRPr="002574EC">
        <w:rPr>
          <w:shd w:val="clear" w:color="auto" w:fill="FFFFFF"/>
        </w:rPr>
        <w:t xml:space="preserve"> operations due to electric outages.</w:t>
      </w:r>
      <w:r w:rsidR="005D7789" w:rsidRPr="002574EC">
        <w:rPr>
          <w:rStyle w:val="FootnoteReference"/>
          <w:rFonts w:eastAsiaTheme="majorEastAsia" w:cs="Tahoma"/>
          <w:shd w:val="clear" w:color="auto" w:fill="FFFFFF"/>
        </w:rPr>
        <w:footnoteReference w:id="190"/>
      </w:r>
      <w:r w:rsidR="001C6646" w:rsidRPr="002574EC">
        <w:rPr>
          <w:shd w:val="clear" w:color="auto" w:fill="FFFFFF"/>
        </w:rPr>
        <w:t xml:space="preserve">  According to information conveyed to this Office, the outages also hampered news rooms and necessary contacts to access and transmit information. </w:t>
      </w:r>
      <w:r w:rsidR="0089127A" w:rsidRPr="002574EC">
        <w:rPr>
          <w:shd w:val="clear" w:color="auto" w:fill="FFFFFF"/>
        </w:rPr>
        <w:t>Another necessary input for</w:t>
      </w:r>
      <w:r w:rsidR="00BA6CC8" w:rsidRPr="002574EC">
        <w:rPr>
          <w:shd w:val="clear" w:color="auto" w:fill="FFFFFF"/>
        </w:rPr>
        <w:t xml:space="preserve"> printed</w:t>
      </w:r>
      <w:r w:rsidR="005F377F" w:rsidRPr="002574EC">
        <w:rPr>
          <w:shd w:val="clear" w:color="auto" w:fill="FFFFFF"/>
        </w:rPr>
        <w:t xml:space="preserve"> newspapers</w:t>
      </w:r>
      <w:r w:rsidR="00C05DEC" w:rsidRPr="002574EC">
        <w:rPr>
          <w:shd w:val="clear" w:color="auto" w:fill="FFFFFF"/>
        </w:rPr>
        <w:t xml:space="preserve"> to operate is newsprint. </w:t>
      </w:r>
      <w:r w:rsidR="0089127A" w:rsidRPr="002574EC">
        <w:rPr>
          <w:shd w:val="clear" w:color="auto" w:fill="FFFFFF"/>
        </w:rPr>
        <w:t xml:space="preserve"> </w:t>
      </w:r>
      <w:r w:rsidR="005D7789" w:rsidRPr="002574EC">
        <w:rPr>
          <w:shd w:val="clear" w:color="auto" w:fill="FFFFFF"/>
        </w:rPr>
        <w:t xml:space="preserve"> </w:t>
      </w:r>
      <w:r w:rsidR="00B86B4D" w:rsidRPr="002574EC">
        <w:rPr>
          <w:shd w:val="clear" w:color="auto" w:fill="FFFFFF"/>
        </w:rPr>
        <w:t>Thus, b</w:t>
      </w:r>
      <w:r w:rsidR="00EC4E47" w:rsidRPr="002574EC">
        <w:rPr>
          <w:shd w:val="clear" w:color="auto" w:fill="FFFFFF"/>
        </w:rPr>
        <w:t xml:space="preserve">ased on </w:t>
      </w:r>
      <w:r w:rsidR="005F377F" w:rsidRPr="002574EC">
        <w:rPr>
          <w:shd w:val="clear" w:color="auto" w:fill="FFFFFF"/>
        </w:rPr>
        <w:t xml:space="preserve">information provided by the IPYS “according to </w:t>
      </w:r>
      <w:r w:rsidR="00EF318A" w:rsidRPr="002574EC">
        <w:rPr>
          <w:shd w:val="clear" w:color="auto" w:fill="FFFFFF"/>
        </w:rPr>
        <w:t>IPYS Venez</w:t>
      </w:r>
      <w:r w:rsidR="00EA3523" w:rsidRPr="002574EC">
        <w:rPr>
          <w:shd w:val="clear" w:color="auto" w:fill="FFFFFF"/>
        </w:rPr>
        <w:t>uela</w:t>
      </w:r>
      <w:r w:rsidR="00EF318A" w:rsidRPr="002574EC">
        <w:rPr>
          <w:shd w:val="clear" w:color="auto" w:fill="FFFFFF"/>
        </w:rPr>
        <w:t xml:space="preserve"> data, at least 110 newspapers have stopped appearing on news</w:t>
      </w:r>
      <w:r w:rsidR="00B93602" w:rsidRPr="002574EC">
        <w:rPr>
          <w:shd w:val="clear" w:color="auto" w:fill="FFFFFF"/>
        </w:rPr>
        <w:t>-</w:t>
      </w:r>
      <w:r w:rsidR="00EF318A" w:rsidRPr="002574EC">
        <w:rPr>
          <w:shd w:val="clear" w:color="auto" w:fill="FFFFFF"/>
        </w:rPr>
        <w:t>stands</w:t>
      </w:r>
      <w:r w:rsidR="00B93602" w:rsidRPr="002574EC">
        <w:rPr>
          <w:shd w:val="clear" w:color="auto" w:fill="FFFFFF"/>
        </w:rPr>
        <w:t xml:space="preserve"> </w:t>
      </w:r>
      <w:r w:rsidR="00DF71FD" w:rsidRPr="002574EC">
        <w:rPr>
          <w:shd w:val="clear" w:color="auto" w:fill="FFFFFF"/>
        </w:rPr>
        <w:t>since 2009 and</w:t>
      </w:r>
      <w:r w:rsidR="0074208A" w:rsidRPr="002574EC">
        <w:rPr>
          <w:shd w:val="clear" w:color="auto" w:fill="FFFFFF"/>
        </w:rPr>
        <w:t>,</w:t>
      </w:r>
      <w:r w:rsidR="00DF71FD" w:rsidRPr="002574EC">
        <w:rPr>
          <w:shd w:val="clear" w:color="auto" w:fill="FFFFFF"/>
        </w:rPr>
        <w:t xml:space="preserve"> since the creation of the </w:t>
      </w:r>
      <w:r w:rsidR="00140856" w:rsidRPr="002574EC">
        <w:rPr>
          <w:shd w:val="clear" w:color="auto" w:fill="FFFFFF"/>
        </w:rPr>
        <w:t>Alfredo Maneiro Publishing Complex</w:t>
      </w:r>
      <w:r w:rsidR="00E345BE" w:rsidRPr="002574EC">
        <w:rPr>
          <w:shd w:val="clear" w:color="auto" w:fill="FFFFFF"/>
        </w:rPr>
        <w:t xml:space="preserve"> (CEAM), in 2013, at least 104 print media outlets have disappeared.</w:t>
      </w:r>
      <w:r w:rsidR="005D7789" w:rsidRPr="002574EC">
        <w:rPr>
          <w:shd w:val="clear" w:color="auto" w:fill="FFFFFF"/>
        </w:rPr>
        <w:t>”</w:t>
      </w:r>
      <w:r w:rsidR="005D7789" w:rsidRPr="002574EC">
        <w:rPr>
          <w:rStyle w:val="FootnoteReference"/>
          <w:rFonts w:eastAsiaTheme="majorEastAsia" w:cs="Tahoma"/>
          <w:shd w:val="clear" w:color="auto" w:fill="FFFFFF"/>
        </w:rPr>
        <w:footnoteReference w:id="191"/>
      </w:r>
      <w:r w:rsidR="00E8420D" w:rsidRPr="002574EC">
        <w:rPr>
          <w:shd w:val="clear" w:color="auto" w:fill="FFFFFF"/>
        </w:rPr>
        <w:t xml:space="preserve">  On May 25, 2021, the Board of Directors of the daily newspaper</w:t>
      </w:r>
      <w:r w:rsidR="005D7789" w:rsidRPr="002574EC">
        <w:rPr>
          <w:shd w:val="clear" w:color="auto" w:fill="FFFFFF"/>
        </w:rPr>
        <w:t xml:space="preserve"> El Tiempo </w:t>
      </w:r>
      <w:r w:rsidR="00E8420D" w:rsidRPr="002574EC">
        <w:rPr>
          <w:shd w:val="clear" w:color="auto" w:fill="FFFFFF"/>
        </w:rPr>
        <w:t xml:space="preserve">announced the end of its print edition because of the shortage of newsprint </w:t>
      </w:r>
      <w:r w:rsidR="004F7976" w:rsidRPr="002574EC">
        <w:rPr>
          <w:shd w:val="clear" w:color="auto" w:fill="FFFFFF"/>
        </w:rPr>
        <w:t xml:space="preserve">and other obstacles arising from the </w:t>
      </w:r>
      <w:r w:rsidR="00E8420D" w:rsidRPr="002574EC">
        <w:rPr>
          <w:shd w:val="clear" w:color="auto" w:fill="FFFFFF"/>
        </w:rPr>
        <w:t>economic crisis.</w:t>
      </w:r>
      <w:r w:rsidR="005D7789" w:rsidRPr="002574EC">
        <w:rPr>
          <w:rStyle w:val="FootnoteReference"/>
          <w:rFonts w:eastAsiaTheme="majorEastAsia" w:cs="Tahoma"/>
          <w:shd w:val="clear" w:color="auto" w:fill="FFFFFF"/>
        </w:rPr>
        <w:footnoteReference w:id="192"/>
      </w:r>
      <w:r w:rsidR="005D7789" w:rsidRPr="002574EC">
        <w:rPr>
          <w:shd w:val="clear" w:color="auto" w:fill="FFFFFF"/>
        </w:rPr>
        <w:t xml:space="preserve">  </w:t>
      </w:r>
    </w:p>
    <w:p w14:paraId="249A7CF8" w14:textId="77777777" w:rsidR="005D7789" w:rsidRPr="002574EC" w:rsidRDefault="005D7789" w:rsidP="00E07D06">
      <w:pPr>
        <w:ind w:left="426" w:hanging="426"/>
        <w:jc w:val="both"/>
        <w:rPr>
          <w:rFonts w:ascii="Cambria" w:hAnsi="Cambria" w:cs="Tahoma"/>
          <w:sz w:val="20"/>
          <w:szCs w:val="20"/>
          <w:shd w:val="clear" w:color="auto" w:fill="FFFFFF"/>
        </w:rPr>
      </w:pPr>
    </w:p>
    <w:p w14:paraId="03E025B5" w14:textId="4B856E18" w:rsidR="005D7789" w:rsidRPr="002574EC" w:rsidRDefault="00467597" w:rsidP="00F85814">
      <w:pPr>
        <w:pStyle w:val="ListParagraph"/>
        <w:rPr>
          <w:shd w:val="clear" w:color="auto" w:fill="FFFFFF"/>
        </w:rPr>
      </w:pPr>
      <w:r w:rsidRPr="002574EC">
        <w:rPr>
          <w:shd w:val="clear" w:color="auto" w:fill="FFFFFF"/>
        </w:rPr>
        <w:t xml:space="preserve">The Rapporteurship also viewed with concern attacks on important infrastructure to the practice of journalism in Venezuela. </w:t>
      </w:r>
      <w:r w:rsidR="00184C08" w:rsidRPr="002574EC">
        <w:rPr>
          <w:shd w:val="clear" w:color="auto" w:fill="FFFFFF"/>
        </w:rPr>
        <w:t xml:space="preserve">The </w:t>
      </w:r>
      <w:r w:rsidR="003166C0" w:rsidRPr="002574EC">
        <w:rPr>
          <w:shd w:val="clear" w:color="auto" w:fill="FFFFFF"/>
        </w:rPr>
        <w:t xml:space="preserve">headquarters building </w:t>
      </w:r>
      <w:r w:rsidR="00184C08" w:rsidRPr="002574EC">
        <w:rPr>
          <w:shd w:val="clear" w:color="auto" w:fill="FFFFFF"/>
        </w:rPr>
        <w:t>in Sucre of the National College of Journalists</w:t>
      </w:r>
      <w:r w:rsidR="009221D8" w:rsidRPr="002574EC">
        <w:rPr>
          <w:shd w:val="clear" w:color="auto" w:fill="FFFFFF"/>
        </w:rPr>
        <w:t xml:space="preserve"> of Venezuela sustained a fire on April 19, 2021, destroying the structure, offices, desks, chairs and files</w:t>
      </w:r>
      <w:r w:rsidR="00F9576D" w:rsidRPr="002574EC">
        <w:rPr>
          <w:shd w:val="clear" w:color="auto" w:fill="FFFFFF"/>
        </w:rPr>
        <w:t xml:space="preserve">.  On April 25, a report </w:t>
      </w:r>
      <w:r w:rsidR="00DB3372" w:rsidRPr="002574EC">
        <w:rPr>
          <w:shd w:val="clear" w:color="auto" w:fill="FFFFFF"/>
        </w:rPr>
        <w:t xml:space="preserve">issued </w:t>
      </w:r>
      <w:r w:rsidR="00D973E0" w:rsidRPr="002574EC">
        <w:rPr>
          <w:shd w:val="clear" w:color="auto" w:fill="FFFFFF"/>
        </w:rPr>
        <w:t>by</w:t>
      </w:r>
      <w:r w:rsidR="00F9576D" w:rsidRPr="002574EC">
        <w:rPr>
          <w:shd w:val="clear" w:color="auto" w:fill="FFFFFF"/>
        </w:rPr>
        <w:t xml:space="preserve"> the Fire Department reached the conclusion that the fire was caused by human factors.</w:t>
      </w:r>
      <w:r w:rsidR="005D7789" w:rsidRPr="002574EC">
        <w:rPr>
          <w:rStyle w:val="FootnoteReference"/>
          <w:rFonts w:eastAsiaTheme="majorEastAsia" w:cs="Tahoma"/>
          <w:shd w:val="clear" w:color="auto" w:fill="FFFFFF"/>
        </w:rPr>
        <w:footnoteReference w:id="193"/>
      </w:r>
      <w:r w:rsidR="00B91E42" w:rsidRPr="002574EC">
        <w:rPr>
          <w:shd w:val="clear" w:color="auto" w:fill="FFFFFF"/>
        </w:rPr>
        <w:t xml:space="preserve">  </w:t>
      </w:r>
      <w:r w:rsidR="00B1031D" w:rsidRPr="002574EC">
        <w:rPr>
          <w:shd w:val="clear" w:color="auto" w:fill="FFFFFF"/>
        </w:rPr>
        <w:t>Likewise, it was reported that on different occasions over the course of the year</w:t>
      </w:r>
      <w:r w:rsidR="005D7789" w:rsidRPr="002574EC">
        <w:rPr>
          <w:shd w:val="clear" w:color="auto" w:fill="FFFFFF"/>
        </w:rPr>
        <w:t>,</w:t>
      </w:r>
      <w:r w:rsidR="00B1031D" w:rsidRPr="002574EC">
        <w:rPr>
          <w:shd w:val="clear" w:color="auto" w:fill="FFFFFF"/>
        </w:rPr>
        <w:t xml:space="preserve"> different offices and studios of </w:t>
      </w:r>
      <w:r w:rsidR="005D7789" w:rsidRPr="002574EC">
        <w:rPr>
          <w:shd w:val="clear" w:color="auto" w:fill="FFFFFF"/>
        </w:rPr>
        <w:t xml:space="preserve">radio Fe y Alegría </w:t>
      </w:r>
      <w:r w:rsidR="00424F60" w:rsidRPr="002574EC">
        <w:rPr>
          <w:shd w:val="clear" w:color="auto" w:fill="FFFFFF"/>
        </w:rPr>
        <w:t xml:space="preserve">were the targets of robberies which, in some instances, temporarily </w:t>
      </w:r>
      <w:r w:rsidR="0060649C" w:rsidRPr="002574EC">
        <w:rPr>
          <w:shd w:val="clear" w:color="auto" w:fill="FFFFFF"/>
        </w:rPr>
        <w:t>disrupted local programing.</w:t>
      </w:r>
      <w:r w:rsidR="005D7789" w:rsidRPr="002574EC">
        <w:rPr>
          <w:rStyle w:val="FootnoteReference"/>
          <w:rFonts w:eastAsiaTheme="majorEastAsia" w:cs="Tahoma"/>
          <w:shd w:val="clear" w:color="auto" w:fill="FFFFFF"/>
        </w:rPr>
        <w:footnoteReference w:id="194"/>
      </w:r>
      <w:r w:rsidR="005D7789" w:rsidRPr="002574EC">
        <w:rPr>
          <w:shd w:val="clear" w:color="auto" w:fill="FFFFFF"/>
        </w:rPr>
        <w:t xml:space="preserve"> </w:t>
      </w:r>
    </w:p>
    <w:p w14:paraId="3632462E" w14:textId="77777777" w:rsidR="005D7789" w:rsidRPr="002574EC" w:rsidRDefault="005D7789" w:rsidP="00E07D06">
      <w:pPr>
        <w:ind w:left="426" w:hanging="426"/>
        <w:jc w:val="both"/>
        <w:rPr>
          <w:rFonts w:ascii="Cambria" w:hAnsi="Cambria" w:cs="Tahoma"/>
          <w:sz w:val="20"/>
          <w:szCs w:val="20"/>
          <w:shd w:val="clear" w:color="auto" w:fill="FFFFFF"/>
        </w:rPr>
      </w:pPr>
    </w:p>
    <w:p w14:paraId="30071734" w14:textId="77777777" w:rsidR="00F65EED" w:rsidRPr="002574EC" w:rsidRDefault="00F65EED" w:rsidP="00E07D06">
      <w:pPr>
        <w:ind w:left="426" w:hanging="426"/>
        <w:jc w:val="both"/>
        <w:rPr>
          <w:rFonts w:ascii="Cambria" w:hAnsi="Cambria" w:cs="Tahoma"/>
          <w:sz w:val="20"/>
          <w:szCs w:val="20"/>
          <w:shd w:val="clear" w:color="auto" w:fill="FFFFFF"/>
        </w:rPr>
      </w:pPr>
    </w:p>
    <w:p w14:paraId="49133325" w14:textId="626AA1CA" w:rsidR="005D7789" w:rsidRPr="002574EC" w:rsidRDefault="00F53D35" w:rsidP="00E07D06">
      <w:pPr>
        <w:ind w:left="426" w:hanging="426"/>
        <w:jc w:val="both"/>
        <w:rPr>
          <w:rFonts w:ascii="Cambria" w:hAnsi="Cambria" w:cs="Tahoma"/>
          <w:b/>
          <w:i/>
          <w:sz w:val="20"/>
          <w:szCs w:val="20"/>
          <w:shd w:val="clear" w:color="auto" w:fill="FFFFFF"/>
        </w:rPr>
      </w:pPr>
      <w:r w:rsidRPr="002574EC">
        <w:rPr>
          <w:rFonts w:ascii="Cambria" w:hAnsi="Cambria" w:cs="Tahoma"/>
          <w:b/>
          <w:i/>
          <w:sz w:val="20"/>
          <w:szCs w:val="20"/>
          <w:shd w:val="clear" w:color="auto" w:fill="FFFFFF"/>
        </w:rPr>
        <w:t>Democratic institutions, rule of law and freedom of expression</w:t>
      </w:r>
    </w:p>
    <w:p w14:paraId="1BF42176" w14:textId="77777777" w:rsidR="00F65EED" w:rsidRPr="00522380" w:rsidRDefault="00F65EED" w:rsidP="00522380">
      <w:pPr>
        <w:pStyle w:val="ListParagraph"/>
        <w:numPr>
          <w:ilvl w:val="0"/>
          <w:numId w:val="0"/>
        </w:numPr>
        <w:ind w:left="720"/>
        <w:rPr>
          <w:shd w:val="clear" w:color="auto" w:fill="FFFFFF"/>
        </w:rPr>
      </w:pPr>
    </w:p>
    <w:p w14:paraId="009DFA99" w14:textId="45082971" w:rsidR="005D7789" w:rsidRPr="002574EC" w:rsidRDefault="004603D9" w:rsidP="00F85814">
      <w:pPr>
        <w:pStyle w:val="ListParagraph"/>
        <w:rPr>
          <w:shd w:val="clear" w:color="auto" w:fill="FFFFFF"/>
        </w:rPr>
      </w:pPr>
      <w:r w:rsidRPr="002574EC">
        <w:rPr>
          <w:shd w:val="clear" w:color="auto" w:fill="FFFFFF"/>
        </w:rPr>
        <w:t xml:space="preserve">The </w:t>
      </w:r>
      <w:r w:rsidR="00B37DDF" w:rsidRPr="002574EC">
        <w:rPr>
          <w:shd w:val="clear" w:color="auto" w:fill="FFFFFF"/>
        </w:rPr>
        <w:t xml:space="preserve">year </w:t>
      </w:r>
      <w:r w:rsidRPr="002574EC">
        <w:rPr>
          <w:shd w:val="clear" w:color="auto" w:fill="FFFFFF"/>
        </w:rPr>
        <w:t>2021 saw p</w:t>
      </w:r>
      <w:r w:rsidR="00B71A56" w:rsidRPr="002574EC">
        <w:rPr>
          <w:shd w:val="clear" w:color="auto" w:fill="FFFFFF"/>
        </w:rPr>
        <w:t xml:space="preserve">ersecution, accusations and harassment </w:t>
      </w:r>
      <w:r w:rsidR="00093BEA" w:rsidRPr="002574EC">
        <w:rPr>
          <w:shd w:val="clear" w:color="auto" w:fill="FFFFFF"/>
        </w:rPr>
        <w:t>of</w:t>
      </w:r>
      <w:r w:rsidR="00B71A56" w:rsidRPr="002574EC">
        <w:rPr>
          <w:shd w:val="clear" w:color="auto" w:fill="FFFFFF"/>
        </w:rPr>
        <w:t xml:space="preserve"> opposition voices in Venezuela, as well as </w:t>
      </w:r>
      <w:r w:rsidR="004C1030" w:rsidRPr="002574EC">
        <w:rPr>
          <w:shd w:val="clear" w:color="auto" w:fill="FFFFFF"/>
        </w:rPr>
        <w:t>against people who express criticism of the government</w:t>
      </w:r>
      <w:r w:rsidRPr="002574EC">
        <w:rPr>
          <w:shd w:val="clear" w:color="auto" w:fill="FFFFFF"/>
        </w:rPr>
        <w:t xml:space="preserve"> </w:t>
      </w:r>
      <w:r w:rsidR="00B37DDF" w:rsidRPr="002574EC">
        <w:rPr>
          <w:shd w:val="clear" w:color="auto" w:fill="FFFFFF"/>
        </w:rPr>
        <w:t>and, in particular, detention</w:t>
      </w:r>
      <w:r w:rsidR="00F74F1F" w:rsidRPr="002574EC">
        <w:rPr>
          <w:shd w:val="clear" w:color="auto" w:fill="FFFFFF"/>
        </w:rPr>
        <w:t>s</w:t>
      </w:r>
      <w:r w:rsidR="00B37DDF" w:rsidRPr="002574EC">
        <w:rPr>
          <w:shd w:val="clear" w:color="auto" w:fill="FFFFFF"/>
        </w:rPr>
        <w:t xml:space="preserve"> and court proceedings </w:t>
      </w:r>
      <w:r w:rsidR="00F74F1F" w:rsidRPr="002574EC">
        <w:rPr>
          <w:shd w:val="clear" w:color="auto" w:fill="FFFFFF"/>
        </w:rPr>
        <w:t xml:space="preserve">brought </w:t>
      </w:r>
      <w:r w:rsidR="00B37DDF" w:rsidRPr="002574EC">
        <w:rPr>
          <w:shd w:val="clear" w:color="auto" w:fill="FFFFFF"/>
        </w:rPr>
        <w:t xml:space="preserve">against </w:t>
      </w:r>
      <w:r w:rsidR="00F74F1F" w:rsidRPr="002574EC">
        <w:rPr>
          <w:shd w:val="clear" w:color="auto" w:fill="FFFFFF"/>
        </w:rPr>
        <w:t xml:space="preserve">members of non-governmental organizations, with changes to administrative decisions that could exacerbate the stigmatization </w:t>
      </w:r>
      <w:r w:rsidR="00CC396D" w:rsidRPr="002574EC">
        <w:rPr>
          <w:shd w:val="clear" w:color="auto" w:fill="FFFFFF"/>
        </w:rPr>
        <w:t>of civil society organizations, repression of people who protest the government and threats to academic autonomy</w:t>
      </w:r>
      <w:r w:rsidR="005D7789" w:rsidRPr="002574EC">
        <w:rPr>
          <w:shd w:val="clear" w:color="auto" w:fill="FFFFFF"/>
        </w:rPr>
        <w:t>.</w:t>
      </w:r>
      <w:r w:rsidR="001D0F64" w:rsidRPr="002574EC">
        <w:rPr>
          <w:shd w:val="clear" w:color="auto" w:fill="FFFFFF"/>
        </w:rPr>
        <w:t xml:space="preserve">  </w:t>
      </w:r>
      <w:r w:rsidR="00393A53" w:rsidRPr="002574EC">
        <w:rPr>
          <w:shd w:val="clear" w:color="auto" w:fill="FFFFFF"/>
        </w:rPr>
        <w:t>And again</w:t>
      </w:r>
      <w:r w:rsidR="00C10267" w:rsidRPr="002574EC">
        <w:rPr>
          <w:shd w:val="clear" w:color="auto" w:fill="FFFFFF"/>
        </w:rPr>
        <w:t>,</w:t>
      </w:r>
      <w:r w:rsidR="00393A53" w:rsidRPr="002574EC">
        <w:rPr>
          <w:shd w:val="clear" w:color="auto" w:fill="FFFFFF"/>
        </w:rPr>
        <w:t xml:space="preserve"> there were reports of obstacles to the exercise of the right of access to information over the year, even though the National Assembly elected on December 6, 2020 approved a law of access to information</w:t>
      </w:r>
      <w:r w:rsidR="00F33828" w:rsidRPr="002574EC">
        <w:rPr>
          <w:shd w:val="clear" w:color="auto" w:fill="FFFFFF"/>
        </w:rPr>
        <w:t xml:space="preserve"> in September</w:t>
      </w:r>
      <w:r w:rsidR="00C10267" w:rsidRPr="002574EC">
        <w:rPr>
          <w:shd w:val="clear" w:color="auto" w:fill="FFFFFF"/>
        </w:rPr>
        <w:t xml:space="preserve"> 2021</w:t>
      </w:r>
      <w:r w:rsidR="00393A53" w:rsidRPr="002574EC">
        <w:rPr>
          <w:shd w:val="clear" w:color="auto" w:fill="FFFFFF"/>
        </w:rPr>
        <w:t xml:space="preserve">. </w:t>
      </w:r>
      <w:r w:rsidR="00617E7F" w:rsidRPr="002574EC">
        <w:rPr>
          <w:shd w:val="clear" w:color="auto" w:fill="FFFFFF"/>
        </w:rPr>
        <w:t>Even though it is an important landmark</w:t>
      </w:r>
      <w:r w:rsidR="00FF6C0B" w:rsidRPr="002574EC">
        <w:rPr>
          <w:shd w:val="clear" w:color="auto" w:fill="FFFFFF"/>
        </w:rPr>
        <w:t>, t</w:t>
      </w:r>
      <w:r w:rsidR="00C10267" w:rsidRPr="002574EC">
        <w:rPr>
          <w:shd w:val="clear" w:color="auto" w:fill="FFFFFF"/>
        </w:rPr>
        <w:t xml:space="preserve">his is a legal framework </w:t>
      </w:r>
      <w:r w:rsidR="007E08D0" w:rsidRPr="002574EC">
        <w:rPr>
          <w:shd w:val="clear" w:color="auto" w:fill="FFFFFF"/>
        </w:rPr>
        <w:t xml:space="preserve">that </w:t>
      </w:r>
      <w:r w:rsidR="00E82E74" w:rsidRPr="002574EC">
        <w:rPr>
          <w:shd w:val="clear" w:color="auto" w:fill="FFFFFF"/>
        </w:rPr>
        <w:t xml:space="preserve">includes rules and gaps that could perpetuate </w:t>
      </w:r>
      <w:r w:rsidR="000D7409" w:rsidRPr="002574EC">
        <w:rPr>
          <w:shd w:val="clear" w:color="auto" w:fill="FFFFFF"/>
        </w:rPr>
        <w:t xml:space="preserve">the scenario of opacity documented by the Special Rapporteurship in its latest annual reports. </w:t>
      </w:r>
    </w:p>
    <w:p w14:paraId="34371A3E" w14:textId="77777777" w:rsidR="003D01BB" w:rsidRPr="002574EC" w:rsidRDefault="003D01BB" w:rsidP="00E07D06">
      <w:pPr>
        <w:ind w:left="426" w:hanging="426"/>
        <w:jc w:val="both"/>
        <w:rPr>
          <w:rFonts w:ascii="Cambria" w:hAnsi="Cambria" w:cs="Tahoma"/>
          <w:sz w:val="20"/>
          <w:szCs w:val="20"/>
          <w:shd w:val="clear" w:color="auto" w:fill="FFFFFF"/>
        </w:rPr>
      </w:pPr>
    </w:p>
    <w:p w14:paraId="47A35F20" w14:textId="327657AE" w:rsidR="005D7789" w:rsidRPr="002574EC" w:rsidRDefault="000E7198" w:rsidP="00F85814">
      <w:pPr>
        <w:pStyle w:val="ListParagraph"/>
        <w:rPr>
          <w:color w:val="333333"/>
          <w:shd w:val="clear" w:color="auto" w:fill="FFFFFF"/>
        </w:rPr>
      </w:pPr>
      <w:r w:rsidRPr="002574EC">
        <w:rPr>
          <w:shd w:val="clear" w:color="auto" w:fill="FFFFFF"/>
        </w:rPr>
        <w:t>On</w:t>
      </w:r>
      <w:r w:rsidR="00D8223D" w:rsidRPr="002574EC">
        <w:rPr>
          <w:shd w:val="clear" w:color="auto" w:fill="FFFFFF"/>
        </w:rPr>
        <w:t xml:space="preserve"> this</w:t>
      </w:r>
      <w:r w:rsidRPr="002574EC">
        <w:rPr>
          <w:shd w:val="clear" w:color="auto" w:fill="FFFFFF"/>
        </w:rPr>
        <w:t xml:space="preserve"> score, the Rapporteurship </w:t>
      </w:r>
      <w:r w:rsidR="000533D1" w:rsidRPr="002574EC">
        <w:rPr>
          <w:shd w:val="clear" w:color="auto" w:fill="FFFFFF"/>
        </w:rPr>
        <w:t xml:space="preserve">closely </w:t>
      </w:r>
      <w:r w:rsidR="0046288A" w:rsidRPr="002574EC">
        <w:rPr>
          <w:shd w:val="clear" w:color="auto" w:fill="FFFFFF"/>
        </w:rPr>
        <w:t xml:space="preserve">monitoried </w:t>
      </w:r>
      <w:r w:rsidR="00ED7D53" w:rsidRPr="002574EC">
        <w:rPr>
          <w:shd w:val="clear" w:color="auto" w:fill="FFFFFF"/>
        </w:rPr>
        <w:t xml:space="preserve">the smearing of the names of non-governmental organizations as being complicit in terrorist activities in Venezuela. </w:t>
      </w:r>
      <w:r w:rsidR="00AF10AC" w:rsidRPr="002574EC">
        <w:rPr>
          <w:shd w:val="clear" w:color="auto" w:fill="FFFFFF"/>
        </w:rPr>
        <w:t xml:space="preserve">This Office noted with concern </w:t>
      </w:r>
      <w:r w:rsidR="00026409" w:rsidRPr="002574EC">
        <w:rPr>
          <w:shd w:val="clear" w:color="auto" w:fill="FFFFFF"/>
        </w:rPr>
        <w:t>that Administrative Decision No.</w:t>
      </w:r>
      <w:r w:rsidR="005D7789" w:rsidRPr="002574EC">
        <w:rPr>
          <w:shd w:val="clear" w:color="auto" w:fill="FFFFFF"/>
        </w:rPr>
        <w:t xml:space="preserve"> 001-2021, </w:t>
      </w:r>
      <w:r w:rsidR="00026409" w:rsidRPr="002574EC">
        <w:rPr>
          <w:shd w:val="clear" w:color="auto" w:fill="FFFFFF"/>
        </w:rPr>
        <w:t xml:space="preserve">which was published in Official Gazette Number </w:t>
      </w:r>
      <w:r w:rsidR="005D7789" w:rsidRPr="002574EC">
        <w:rPr>
          <w:shd w:val="clear" w:color="auto" w:fill="FFFFFF"/>
        </w:rPr>
        <w:t xml:space="preserve">42098 </w:t>
      </w:r>
      <w:r w:rsidR="00BB3B89" w:rsidRPr="002574EC">
        <w:rPr>
          <w:shd w:val="clear" w:color="auto" w:fill="FFFFFF"/>
        </w:rPr>
        <w:t xml:space="preserve">on </w:t>
      </w:r>
      <w:r w:rsidR="00026409" w:rsidRPr="002574EC">
        <w:rPr>
          <w:shd w:val="clear" w:color="auto" w:fill="FFFFFF"/>
        </w:rPr>
        <w:t xml:space="preserve">March </w:t>
      </w:r>
      <w:r w:rsidR="005D7789" w:rsidRPr="002574EC">
        <w:rPr>
          <w:shd w:val="clear" w:color="auto" w:fill="FFFFFF"/>
        </w:rPr>
        <w:t>30</w:t>
      </w:r>
      <w:r w:rsidR="00026409" w:rsidRPr="002574EC">
        <w:rPr>
          <w:shd w:val="clear" w:color="auto" w:fill="FFFFFF"/>
        </w:rPr>
        <w:t>,</w:t>
      </w:r>
      <w:r w:rsidR="005D7789" w:rsidRPr="002574EC">
        <w:rPr>
          <w:shd w:val="clear" w:color="auto" w:fill="FFFFFF"/>
        </w:rPr>
        <w:t xml:space="preserve"> 2021, </w:t>
      </w:r>
      <w:r w:rsidR="00026409" w:rsidRPr="002574EC">
        <w:rPr>
          <w:shd w:val="clear" w:color="auto" w:fill="FFFFFF"/>
        </w:rPr>
        <w:t xml:space="preserve">requires civil society organizations to register </w:t>
      </w:r>
      <w:r w:rsidR="00B0751F" w:rsidRPr="002574EC">
        <w:rPr>
          <w:shd w:val="clear" w:color="auto" w:fill="FFFFFF"/>
        </w:rPr>
        <w:t>in</w:t>
      </w:r>
      <w:r w:rsidR="00026409" w:rsidRPr="002574EC">
        <w:rPr>
          <w:shd w:val="clear" w:color="auto" w:fill="FFFFFF"/>
        </w:rPr>
        <w:t xml:space="preserve"> a registry of the National Office against Organized Crime and Financing of Terrorism </w:t>
      </w:r>
      <w:r w:rsidR="005D7789" w:rsidRPr="002574EC">
        <w:rPr>
          <w:shd w:val="clear" w:color="auto" w:fill="FFFFFF"/>
        </w:rPr>
        <w:t xml:space="preserve">(ONCDOFT). </w:t>
      </w:r>
      <w:r w:rsidR="00026409" w:rsidRPr="002574EC">
        <w:rPr>
          <w:shd w:val="clear" w:color="auto" w:fill="FFFFFF"/>
        </w:rPr>
        <w:t xml:space="preserve">This Decision </w:t>
      </w:r>
      <w:r w:rsidR="00844D6A" w:rsidRPr="002574EC">
        <w:rPr>
          <w:shd w:val="clear" w:color="auto" w:fill="FFFFFF"/>
        </w:rPr>
        <w:t>lists</w:t>
      </w:r>
      <w:r w:rsidR="00E417E4" w:rsidRPr="002574EC">
        <w:rPr>
          <w:shd w:val="clear" w:color="auto" w:fill="FFFFFF"/>
        </w:rPr>
        <w:t xml:space="preserve"> </w:t>
      </w:r>
      <w:r w:rsidR="00026409" w:rsidRPr="002574EC">
        <w:rPr>
          <w:shd w:val="clear" w:color="auto" w:fill="FFFFFF"/>
        </w:rPr>
        <w:t xml:space="preserve">as one of the essential requirements for registration to disclose </w:t>
      </w:r>
      <w:r w:rsidR="000B09E4" w:rsidRPr="002574EC">
        <w:rPr>
          <w:shd w:val="clear" w:color="auto" w:fill="FFFFFF"/>
        </w:rPr>
        <w:t xml:space="preserve">the </w:t>
      </w:r>
      <w:r w:rsidR="00026409" w:rsidRPr="002574EC">
        <w:rPr>
          <w:shd w:val="clear" w:color="auto" w:fill="FFFFFF"/>
        </w:rPr>
        <w:t>donor organizations</w:t>
      </w:r>
      <w:r w:rsidR="000B09E4" w:rsidRPr="002574EC">
        <w:rPr>
          <w:shd w:val="clear" w:color="auto" w:fill="FFFFFF"/>
        </w:rPr>
        <w:t xml:space="preserve"> funding their activities, and to identify the </w:t>
      </w:r>
      <w:r w:rsidR="000B09E4" w:rsidRPr="002574EC">
        <w:rPr>
          <w:shd w:val="clear" w:color="auto" w:fill="FFFFFF"/>
        </w:rPr>
        <w:lastRenderedPageBreak/>
        <w:t xml:space="preserve">beneficiaries of their </w:t>
      </w:r>
      <w:r w:rsidR="004F3834" w:rsidRPr="002574EC">
        <w:rPr>
          <w:shd w:val="clear" w:color="auto" w:fill="FFFFFF"/>
        </w:rPr>
        <w:t>work, which can include victims of human rights violations</w:t>
      </w:r>
      <w:r w:rsidR="00D43171" w:rsidRPr="002574EC">
        <w:rPr>
          <w:shd w:val="clear" w:color="auto" w:fill="FFFFFF"/>
        </w:rPr>
        <w:t>.</w:t>
      </w:r>
      <w:r w:rsidR="005D7789" w:rsidRPr="002574EC">
        <w:rPr>
          <w:vertAlign w:val="superscript"/>
        </w:rPr>
        <w:footnoteReference w:id="195"/>
      </w:r>
      <w:r w:rsidR="00D43171" w:rsidRPr="002574EC">
        <w:rPr>
          <w:shd w:val="clear" w:color="auto" w:fill="FFFFFF"/>
        </w:rPr>
        <w:t xml:space="preserve"> While Administrative Decision </w:t>
      </w:r>
      <w:r w:rsidR="005D7789" w:rsidRPr="002574EC">
        <w:rPr>
          <w:shd w:val="clear" w:color="auto" w:fill="FFFFFF"/>
        </w:rPr>
        <w:t xml:space="preserve">No. 001-2021 </w:t>
      </w:r>
      <w:r w:rsidR="00D43171" w:rsidRPr="002574EC">
        <w:rPr>
          <w:shd w:val="clear" w:color="auto" w:fill="FFFFFF"/>
        </w:rPr>
        <w:t xml:space="preserve">was revoked on May </w:t>
      </w:r>
      <w:r w:rsidR="005D7789" w:rsidRPr="002574EC">
        <w:rPr>
          <w:shd w:val="clear" w:color="auto" w:fill="FFFFFF"/>
        </w:rPr>
        <w:t>3</w:t>
      </w:r>
      <w:r w:rsidR="00D43171" w:rsidRPr="002574EC">
        <w:rPr>
          <w:shd w:val="clear" w:color="auto" w:fill="FFFFFF"/>
        </w:rPr>
        <w:t>,</w:t>
      </w:r>
      <w:r w:rsidR="005D7789" w:rsidRPr="002574EC">
        <w:rPr>
          <w:shd w:val="clear" w:color="auto" w:fill="FFFFFF"/>
        </w:rPr>
        <w:t xml:space="preserve"> 2021, </w:t>
      </w:r>
      <w:r w:rsidR="00723426" w:rsidRPr="002574EC">
        <w:rPr>
          <w:shd w:val="clear" w:color="auto" w:fill="FFFFFF"/>
        </w:rPr>
        <w:t xml:space="preserve">which </w:t>
      </w:r>
      <w:r w:rsidR="00D1183C" w:rsidRPr="002574EC">
        <w:rPr>
          <w:shd w:val="clear" w:color="auto" w:fill="FFFFFF"/>
        </w:rPr>
        <w:t xml:space="preserve">did away with the need to identify the beneficiaries of non-profit organizations, </w:t>
      </w:r>
      <w:r w:rsidR="00A200A2" w:rsidRPr="002574EC">
        <w:rPr>
          <w:shd w:val="clear" w:color="auto" w:fill="FFFFFF"/>
        </w:rPr>
        <w:t>the rest of the registration requirements were kept in place</w:t>
      </w:r>
      <w:r w:rsidR="001F06EC" w:rsidRPr="002574EC">
        <w:rPr>
          <w:shd w:val="clear" w:color="auto" w:fill="FFFFFF"/>
        </w:rPr>
        <w:t>,</w:t>
      </w:r>
      <w:r w:rsidR="00A200A2" w:rsidRPr="002574EC">
        <w:rPr>
          <w:shd w:val="clear" w:color="auto" w:fill="FFFFFF"/>
        </w:rPr>
        <w:t xml:space="preserve"> as was the obligation to register in the single registry.</w:t>
      </w:r>
      <w:r w:rsidR="005D7789" w:rsidRPr="002574EC">
        <w:rPr>
          <w:rStyle w:val="FootnoteReference"/>
          <w:rFonts w:eastAsiaTheme="majorEastAsia" w:cs="Tahoma"/>
          <w:shd w:val="clear" w:color="auto" w:fill="FFFFFF"/>
        </w:rPr>
        <w:footnoteReference w:id="196"/>
      </w:r>
      <w:r w:rsidR="001C706B" w:rsidRPr="002574EC">
        <w:rPr>
          <w:shd w:val="clear" w:color="auto" w:fill="FFFFFF"/>
        </w:rPr>
        <w:t xml:space="preserve">  The Rapporteurship has expressed that creating this registry potentially promotes stigmatization of human rights defenders and organizations, especially in a context where State authorities have accused civil society organizations </w:t>
      </w:r>
      <w:r w:rsidR="001F06EC" w:rsidRPr="002574EC">
        <w:rPr>
          <w:shd w:val="clear" w:color="auto" w:fill="FFFFFF"/>
        </w:rPr>
        <w:t>of</w:t>
      </w:r>
      <w:r w:rsidR="001C706B" w:rsidRPr="002574EC">
        <w:rPr>
          <w:shd w:val="clear" w:color="auto" w:fill="FFFFFF"/>
        </w:rPr>
        <w:t xml:space="preserve"> being linked to terrorist actions.</w:t>
      </w:r>
      <w:r w:rsidR="005D7789" w:rsidRPr="002574EC">
        <w:rPr>
          <w:rStyle w:val="FootnoteReference"/>
          <w:rFonts w:eastAsiaTheme="majorEastAsia" w:cs="Tahoma"/>
          <w:color w:val="333333"/>
          <w:shd w:val="clear" w:color="auto" w:fill="FFFFFF"/>
        </w:rPr>
        <w:footnoteReference w:id="197"/>
      </w:r>
    </w:p>
    <w:p w14:paraId="3DB2D712" w14:textId="77777777" w:rsidR="005D7789" w:rsidRPr="002574EC" w:rsidRDefault="005D7789" w:rsidP="00E07D06">
      <w:pPr>
        <w:ind w:left="426" w:hanging="426"/>
        <w:jc w:val="both"/>
        <w:rPr>
          <w:rFonts w:ascii="Cambria" w:hAnsi="Cambria" w:cs="Tahoma"/>
          <w:sz w:val="20"/>
          <w:szCs w:val="20"/>
          <w:shd w:val="clear" w:color="auto" w:fill="FFFFFF"/>
        </w:rPr>
      </w:pPr>
    </w:p>
    <w:p w14:paraId="61853A85" w14:textId="5ADBCAD0" w:rsidR="005D7789" w:rsidRPr="002574EC" w:rsidRDefault="00C53D04" w:rsidP="00F85814">
      <w:pPr>
        <w:pStyle w:val="ListParagraph"/>
        <w:rPr>
          <w:shd w:val="clear" w:color="auto" w:fill="FFFFFF"/>
        </w:rPr>
      </w:pPr>
      <w:r w:rsidRPr="002574EC">
        <w:rPr>
          <w:shd w:val="clear" w:color="auto" w:fill="FFFFFF"/>
        </w:rPr>
        <w:t xml:space="preserve">In this context, the Special Rapporteurship </w:t>
      </w:r>
      <w:r w:rsidR="00817F7A" w:rsidRPr="002574EC">
        <w:rPr>
          <w:shd w:val="clear" w:color="auto" w:fill="FFFFFF"/>
        </w:rPr>
        <w:t xml:space="preserve">finds </w:t>
      </w:r>
      <w:r w:rsidR="009F1F9A" w:rsidRPr="002574EC">
        <w:rPr>
          <w:shd w:val="clear" w:color="auto" w:fill="FFFFFF"/>
        </w:rPr>
        <w:t>concerning the reports of detention of activists</w:t>
      </w:r>
      <w:r w:rsidR="005D7789" w:rsidRPr="002574EC">
        <w:rPr>
          <w:shd w:val="clear" w:color="auto" w:fill="FFFFFF"/>
        </w:rPr>
        <w:t xml:space="preserve">,  Javier Tarazona, director </w:t>
      </w:r>
      <w:r w:rsidR="009F1F9A" w:rsidRPr="002574EC">
        <w:rPr>
          <w:shd w:val="clear" w:color="auto" w:fill="FFFFFF"/>
        </w:rPr>
        <w:t xml:space="preserve">of </w:t>
      </w:r>
      <w:r w:rsidR="00FD3BAE" w:rsidRPr="002574EC">
        <w:rPr>
          <w:shd w:val="clear" w:color="auto" w:fill="FFFFFF"/>
        </w:rPr>
        <w:t>FundaRedes</w:t>
      </w:r>
      <w:r w:rsidR="005D7789" w:rsidRPr="002574EC">
        <w:rPr>
          <w:shd w:val="clear" w:color="auto" w:fill="FFFFFF"/>
        </w:rPr>
        <w:t xml:space="preserve">, Rafael Tarazona </w:t>
      </w:r>
      <w:r w:rsidR="009F1F9A" w:rsidRPr="002574EC">
        <w:rPr>
          <w:shd w:val="clear" w:color="auto" w:fill="FFFFFF"/>
        </w:rPr>
        <w:t>and</w:t>
      </w:r>
      <w:r w:rsidR="005D7789" w:rsidRPr="002574EC">
        <w:rPr>
          <w:shd w:val="clear" w:color="auto" w:fill="FFFFFF"/>
        </w:rPr>
        <w:t xml:space="preserve"> Omar de Díos García, </w:t>
      </w:r>
      <w:r w:rsidR="009F1F9A" w:rsidRPr="002574EC">
        <w:rPr>
          <w:shd w:val="clear" w:color="auto" w:fill="FFFFFF"/>
        </w:rPr>
        <w:t>members of that organization</w:t>
      </w:r>
      <w:r w:rsidR="00DF1744" w:rsidRPr="002574EC">
        <w:rPr>
          <w:shd w:val="clear" w:color="auto" w:fill="FFFFFF"/>
        </w:rPr>
        <w:t>,</w:t>
      </w:r>
      <w:r w:rsidR="009F1F9A" w:rsidRPr="002574EC">
        <w:rPr>
          <w:shd w:val="clear" w:color="auto" w:fill="FFFFFF"/>
        </w:rPr>
        <w:t xml:space="preserve"> and </w:t>
      </w:r>
      <w:r w:rsidR="005D7789" w:rsidRPr="002574EC">
        <w:rPr>
          <w:shd w:val="clear" w:color="auto" w:fill="FFFFFF"/>
        </w:rPr>
        <w:t xml:space="preserve">Jhonny Roremo, </w:t>
      </w:r>
      <w:r w:rsidR="009F1F9A" w:rsidRPr="002574EC">
        <w:rPr>
          <w:shd w:val="clear" w:color="auto" w:fill="FFFFFF"/>
        </w:rPr>
        <w:t>of the National Committee of Family of Victims of Forced Disappearances on the Venezuelan Coasts, on July 2, 2021</w:t>
      </w:r>
      <w:r w:rsidR="00DF1744" w:rsidRPr="002574EC">
        <w:rPr>
          <w:shd w:val="clear" w:color="auto" w:fill="FFFFFF"/>
        </w:rPr>
        <w:t>,</w:t>
      </w:r>
      <w:r w:rsidR="009F1F9A" w:rsidRPr="002574EC">
        <w:rPr>
          <w:shd w:val="clear" w:color="auto" w:fill="FFFFFF"/>
        </w:rPr>
        <w:t xml:space="preserve"> by members of the National Bolivarian Intelligence Service </w:t>
      </w:r>
      <w:r w:rsidR="00DF1744" w:rsidRPr="002574EC">
        <w:rPr>
          <w:shd w:val="clear" w:color="auto" w:fill="FFFFFF"/>
        </w:rPr>
        <w:t xml:space="preserve">and held </w:t>
      </w:r>
      <w:r w:rsidR="009F1F9A" w:rsidRPr="002574EC">
        <w:rPr>
          <w:shd w:val="clear" w:color="auto" w:fill="FFFFFF"/>
        </w:rPr>
        <w:t xml:space="preserve">at the Office of the Prosecutor of Coro, Falcon. </w:t>
      </w:r>
      <w:r w:rsidR="00EE645B" w:rsidRPr="002574EC">
        <w:rPr>
          <w:shd w:val="clear" w:color="auto" w:fill="FFFFFF"/>
        </w:rPr>
        <w:t xml:space="preserve"> </w:t>
      </w:r>
      <w:r w:rsidR="004C5852" w:rsidRPr="002574EC">
        <w:rPr>
          <w:shd w:val="clear" w:color="auto" w:fill="FFFFFF"/>
        </w:rPr>
        <w:t xml:space="preserve">Even though Romero was released 8 hours after the detention, the agent brought the four activists to a SEBIN office </w:t>
      </w:r>
      <w:r w:rsidR="00C81123" w:rsidRPr="002574EC">
        <w:rPr>
          <w:shd w:val="clear" w:color="auto" w:fill="FFFFFF"/>
        </w:rPr>
        <w:t xml:space="preserve">in Punto Fijo, where they remained incommunicado. </w:t>
      </w:r>
      <w:r w:rsidR="001F0C96" w:rsidRPr="002574EC">
        <w:rPr>
          <w:shd w:val="clear" w:color="auto" w:fill="FFFFFF"/>
        </w:rPr>
        <w:t xml:space="preserve">On May </w:t>
      </w:r>
      <w:r w:rsidR="005D7789" w:rsidRPr="002574EC">
        <w:rPr>
          <w:shd w:val="clear" w:color="auto" w:fill="FFFFFF"/>
        </w:rPr>
        <w:t>5</w:t>
      </w:r>
      <w:r w:rsidR="001F0C96" w:rsidRPr="002574EC">
        <w:rPr>
          <w:shd w:val="clear" w:color="auto" w:fill="FFFFFF"/>
        </w:rPr>
        <w:t>,</w:t>
      </w:r>
      <w:r w:rsidR="005D7789" w:rsidRPr="002574EC">
        <w:rPr>
          <w:shd w:val="clear" w:color="auto" w:fill="FFFFFF"/>
        </w:rPr>
        <w:t xml:space="preserve"> 2021, </w:t>
      </w:r>
      <w:r w:rsidR="001F0C96" w:rsidRPr="002574EC">
        <w:rPr>
          <w:shd w:val="clear" w:color="auto" w:fill="FFFFFF"/>
        </w:rPr>
        <w:t xml:space="preserve">the NGO </w:t>
      </w:r>
      <w:r w:rsidR="005D7789" w:rsidRPr="002574EC">
        <w:rPr>
          <w:shd w:val="clear" w:color="auto" w:fill="FFFFFF"/>
        </w:rPr>
        <w:t xml:space="preserve">Foro Penal </w:t>
      </w:r>
      <w:r w:rsidR="001F0C96" w:rsidRPr="002574EC">
        <w:rPr>
          <w:shd w:val="clear" w:color="auto" w:fill="FFFFFF"/>
        </w:rPr>
        <w:t xml:space="preserve">reported that </w:t>
      </w:r>
      <w:r w:rsidR="004B265C" w:rsidRPr="002574EC">
        <w:rPr>
          <w:shd w:val="clear" w:color="auto" w:fill="FFFFFF"/>
        </w:rPr>
        <w:t>the activists were charged with terrorism, incitement of hatred, and “treason against the</w:t>
      </w:r>
      <w:r w:rsidR="000379B5" w:rsidRPr="002574EC">
        <w:rPr>
          <w:shd w:val="clear" w:color="auto" w:fill="FFFFFF"/>
        </w:rPr>
        <w:t xml:space="preserve"> homeland</w:t>
      </w:r>
      <w:r w:rsidR="004B265C" w:rsidRPr="002574EC">
        <w:rPr>
          <w:shd w:val="clear" w:color="auto" w:fill="FFFFFF"/>
        </w:rPr>
        <w:t>.</w:t>
      </w:r>
      <w:r w:rsidR="005D7789" w:rsidRPr="002574EC">
        <w:rPr>
          <w:shd w:val="clear" w:color="auto" w:fill="FFFFFF"/>
        </w:rPr>
        <w:t>"</w:t>
      </w:r>
      <w:r w:rsidR="005D7789" w:rsidRPr="002574EC">
        <w:rPr>
          <w:rStyle w:val="FootnoteReference"/>
          <w:rFonts w:eastAsiaTheme="majorEastAsia" w:cs="Tahoma"/>
          <w:shd w:val="clear" w:color="auto" w:fill="FFFFFF"/>
        </w:rPr>
        <w:footnoteReference w:id="198"/>
      </w:r>
      <w:r w:rsidR="004B265C" w:rsidRPr="002574EC">
        <w:rPr>
          <w:shd w:val="clear" w:color="auto" w:fill="FFFFFF"/>
        </w:rPr>
        <w:t xml:space="preserve"> According to reports, the preliminary hearing of the case was postponed</w:t>
      </w:r>
      <w:r w:rsidR="008D5B8C" w:rsidRPr="002574EC">
        <w:rPr>
          <w:shd w:val="clear" w:color="auto" w:fill="FFFFFF"/>
        </w:rPr>
        <w:t xml:space="preserve"> several times.</w:t>
      </w:r>
      <w:r w:rsidR="005D7789" w:rsidRPr="002574EC">
        <w:rPr>
          <w:rStyle w:val="FootnoteReference"/>
          <w:rFonts w:eastAsiaTheme="majorEastAsia" w:cs="Tahoma"/>
          <w:shd w:val="clear" w:color="auto" w:fill="FFFFFF"/>
        </w:rPr>
        <w:footnoteReference w:id="199"/>
      </w:r>
      <w:r w:rsidR="0095568C" w:rsidRPr="002574EC">
        <w:rPr>
          <w:shd w:val="clear" w:color="auto" w:fill="FFFFFF"/>
        </w:rPr>
        <w:t xml:space="preserve"> </w:t>
      </w:r>
      <w:r w:rsidR="002B4EE0" w:rsidRPr="002574EC">
        <w:rPr>
          <w:shd w:val="clear" w:color="auto" w:fill="FFFFFF"/>
        </w:rPr>
        <w:t>Additionally, on October 21, the activists’ representatives reported that they were being held incommunicado,</w:t>
      </w:r>
      <w:r w:rsidR="005D7789" w:rsidRPr="002574EC">
        <w:rPr>
          <w:rStyle w:val="FootnoteReference"/>
          <w:rFonts w:eastAsiaTheme="majorEastAsia" w:cs="Tahoma"/>
          <w:shd w:val="clear" w:color="auto" w:fill="FFFFFF"/>
        </w:rPr>
        <w:footnoteReference w:id="200"/>
      </w:r>
      <w:r w:rsidR="002B4EE0" w:rsidRPr="002574EC">
        <w:rPr>
          <w:shd w:val="clear" w:color="auto" w:fill="FFFFFF"/>
        </w:rPr>
        <w:t xml:space="preserve"> </w:t>
      </w:r>
      <w:r w:rsidR="00F703AA" w:rsidRPr="002574EC">
        <w:rPr>
          <w:shd w:val="clear" w:color="auto" w:fill="FFFFFF"/>
        </w:rPr>
        <w:t xml:space="preserve">which was </w:t>
      </w:r>
      <w:r w:rsidR="0007199C" w:rsidRPr="002574EC">
        <w:rPr>
          <w:shd w:val="clear" w:color="auto" w:fill="FFFFFF"/>
        </w:rPr>
        <w:t xml:space="preserve">corroborated </w:t>
      </w:r>
      <w:r w:rsidR="00F703AA" w:rsidRPr="002574EC">
        <w:rPr>
          <w:shd w:val="clear" w:color="auto" w:fill="FFFFFF"/>
        </w:rPr>
        <w:t>on October 13.</w:t>
      </w:r>
      <w:r w:rsidR="005D7789" w:rsidRPr="002574EC">
        <w:rPr>
          <w:rStyle w:val="FootnoteReference"/>
          <w:rFonts w:eastAsiaTheme="majorEastAsia" w:cs="Tahoma"/>
          <w:shd w:val="clear" w:color="auto" w:fill="FFFFFF"/>
        </w:rPr>
        <w:footnoteReference w:id="201"/>
      </w:r>
      <w:r w:rsidR="00F703AA" w:rsidRPr="002574EC">
        <w:rPr>
          <w:shd w:val="clear" w:color="auto" w:fill="FFFFFF"/>
        </w:rPr>
        <w:t xml:space="preserve"> On October </w:t>
      </w:r>
      <w:r w:rsidR="005D7789" w:rsidRPr="002574EC">
        <w:rPr>
          <w:shd w:val="clear" w:color="auto" w:fill="FFFFFF"/>
        </w:rPr>
        <w:t>26</w:t>
      </w:r>
      <w:r w:rsidR="00F703AA" w:rsidRPr="002574EC">
        <w:rPr>
          <w:shd w:val="clear" w:color="auto" w:fill="FFFFFF"/>
        </w:rPr>
        <w:t xml:space="preserve">, </w:t>
      </w:r>
      <w:r w:rsidR="005D7789" w:rsidRPr="002574EC">
        <w:rPr>
          <w:shd w:val="clear" w:color="auto" w:fill="FFFFFF"/>
        </w:rPr>
        <w:t xml:space="preserve">2021, Rafael Tarazona </w:t>
      </w:r>
      <w:r w:rsidR="00F703AA" w:rsidRPr="002574EC">
        <w:rPr>
          <w:shd w:val="clear" w:color="auto" w:fill="FFFFFF"/>
        </w:rPr>
        <w:t>and</w:t>
      </w:r>
      <w:r w:rsidR="005D7789" w:rsidRPr="002574EC">
        <w:rPr>
          <w:shd w:val="clear" w:color="auto" w:fill="FFFFFF"/>
        </w:rPr>
        <w:t xml:space="preserve"> Omar de Díos </w:t>
      </w:r>
      <w:r w:rsidR="00953BF1" w:rsidRPr="002574EC">
        <w:rPr>
          <w:shd w:val="clear" w:color="auto" w:fill="FFFFFF"/>
        </w:rPr>
        <w:t>García</w:t>
      </w:r>
      <w:r w:rsidR="005D7789" w:rsidRPr="002574EC">
        <w:rPr>
          <w:shd w:val="clear" w:color="auto" w:fill="FFFFFF"/>
        </w:rPr>
        <w:t xml:space="preserve"> </w:t>
      </w:r>
      <w:r w:rsidR="00F703AA" w:rsidRPr="002574EC">
        <w:rPr>
          <w:shd w:val="clear" w:color="auto" w:fill="FFFFFF"/>
        </w:rPr>
        <w:t>were released from jail</w:t>
      </w:r>
      <w:r w:rsidR="00670E8F" w:rsidRPr="002574EC">
        <w:rPr>
          <w:shd w:val="clear" w:color="auto" w:fill="FFFFFF"/>
        </w:rPr>
        <w:t>,</w:t>
      </w:r>
      <w:r w:rsidR="00F703AA" w:rsidRPr="002574EC">
        <w:rPr>
          <w:shd w:val="clear" w:color="auto" w:fill="FFFFFF"/>
        </w:rPr>
        <w:t xml:space="preserve"> under the condition that they must appear every week before the Courts</w:t>
      </w:r>
      <w:r w:rsidR="00670E8F" w:rsidRPr="002574EC">
        <w:rPr>
          <w:shd w:val="clear" w:color="auto" w:fill="FFFFFF"/>
        </w:rPr>
        <w:t>,</w:t>
      </w:r>
      <w:r w:rsidR="00F703AA" w:rsidRPr="002574EC">
        <w:rPr>
          <w:shd w:val="clear" w:color="auto" w:fill="FFFFFF"/>
        </w:rPr>
        <w:t xml:space="preserve"> and Javier Tarazona remained in detention.</w:t>
      </w:r>
      <w:r w:rsidR="005D7789" w:rsidRPr="002574EC">
        <w:rPr>
          <w:rStyle w:val="FootnoteReference"/>
          <w:rFonts w:eastAsiaTheme="majorEastAsia" w:cs="Tahoma"/>
          <w:shd w:val="clear" w:color="auto" w:fill="FFFFFF"/>
        </w:rPr>
        <w:footnoteReference w:id="202"/>
      </w:r>
      <w:r w:rsidR="00D4278A" w:rsidRPr="002574EC">
        <w:rPr>
          <w:shd w:val="clear" w:color="auto" w:fill="FFFFFF"/>
        </w:rPr>
        <w:t xml:space="preserve">  Over the period of detention, members of SEBIN raided the offices of the NGO, as well as the residence of Javier Tarazona, where his mother, Teresa Sánchez, also lives.  She was reportedly taken away by the member of the SEBIN for a few hours.</w:t>
      </w:r>
      <w:r w:rsidR="005D7789" w:rsidRPr="002574EC">
        <w:rPr>
          <w:rStyle w:val="FootnoteReference"/>
          <w:rFonts w:eastAsiaTheme="majorEastAsia" w:cs="Tahoma"/>
          <w:shd w:val="clear" w:color="auto" w:fill="FFFFFF"/>
        </w:rPr>
        <w:footnoteReference w:id="203"/>
      </w:r>
    </w:p>
    <w:p w14:paraId="2391F02F" w14:textId="77777777" w:rsidR="005D7789" w:rsidRPr="002574EC" w:rsidRDefault="005D7789" w:rsidP="00E07D06">
      <w:pPr>
        <w:ind w:left="426" w:hanging="426"/>
        <w:jc w:val="both"/>
        <w:rPr>
          <w:rFonts w:ascii="Cambria" w:hAnsi="Cambria" w:cs="Tahoma"/>
          <w:sz w:val="20"/>
          <w:szCs w:val="20"/>
          <w:shd w:val="clear" w:color="auto" w:fill="FFFFFF"/>
        </w:rPr>
      </w:pPr>
    </w:p>
    <w:p w14:paraId="4F22FB33" w14:textId="556B19F5" w:rsidR="005D7789" w:rsidRPr="002574EC" w:rsidRDefault="00084C72" w:rsidP="00F85814">
      <w:pPr>
        <w:pStyle w:val="ListParagraph"/>
        <w:rPr>
          <w:shd w:val="clear" w:color="auto" w:fill="FFFFFF"/>
        </w:rPr>
      </w:pPr>
      <w:r w:rsidRPr="002574EC">
        <w:rPr>
          <w:shd w:val="clear" w:color="auto" w:fill="FFFFFF"/>
        </w:rPr>
        <w:t xml:space="preserve">On July </w:t>
      </w:r>
      <w:r w:rsidR="005D7789" w:rsidRPr="002574EC">
        <w:rPr>
          <w:shd w:val="clear" w:color="auto" w:fill="FFFFFF"/>
        </w:rPr>
        <w:t>21</w:t>
      </w:r>
      <w:r w:rsidRPr="002574EC">
        <w:rPr>
          <w:shd w:val="clear" w:color="auto" w:fill="FFFFFF"/>
        </w:rPr>
        <w:t>,</w:t>
      </w:r>
      <w:r w:rsidR="005D7789" w:rsidRPr="002574EC">
        <w:rPr>
          <w:shd w:val="clear" w:color="auto" w:fill="FFFFFF"/>
        </w:rPr>
        <w:t xml:space="preserve"> 2021, </w:t>
      </w:r>
      <w:r w:rsidRPr="002574EC">
        <w:rPr>
          <w:shd w:val="clear" w:color="auto" w:fill="FFFFFF"/>
        </w:rPr>
        <w:t xml:space="preserve">nurse </w:t>
      </w:r>
      <w:r w:rsidR="005D7789" w:rsidRPr="002574EC">
        <w:rPr>
          <w:shd w:val="clear" w:color="auto" w:fill="FFFFFF"/>
        </w:rPr>
        <w:t xml:space="preserve">Ada Macuare </w:t>
      </w:r>
      <w:r w:rsidRPr="002574EC">
        <w:rPr>
          <w:shd w:val="clear" w:color="auto" w:fill="FFFFFF"/>
        </w:rPr>
        <w:t xml:space="preserve">was detained by members of the security forces after decrying the shortage of supplies at the Alí Romero Hospital of Barcelona, where she worked, and demanding better working conditions. </w:t>
      </w:r>
      <w:r w:rsidR="00790A44" w:rsidRPr="002574EC">
        <w:rPr>
          <w:rStyle w:val="Strong"/>
          <w:b w:val="0"/>
          <w:bCs w:val="0"/>
          <w:shd w:val="clear" w:color="auto" w:fill="FFFFFF"/>
        </w:rPr>
        <w:t>B</w:t>
      </w:r>
      <w:r w:rsidR="00656E2F" w:rsidRPr="002574EC">
        <w:rPr>
          <w:rStyle w:val="Strong"/>
          <w:b w:val="0"/>
          <w:bCs w:val="0"/>
          <w:shd w:val="clear" w:color="auto" w:fill="FFFFFF"/>
        </w:rPr>
        <w:t xml:space="preserve">ased on the alleged crimes of incitement of hatred and terrorism, </w:t>
      </w:r>
      <w:r w:rsidR="00790A44" w:rsidRPr="002574EC">
        <w:rPr>
          <w:shd w:val="clear" w:color="auto" w:fill="FFFFFF"/>
        </w:rPr>
        <w:t xml:space="preserve">on July </w:t>
      </w:r>
      <w:r w:rsidR="00790A44" w:rsidRPr="002574EC">
        <w:rPr>
          <w:rStyle w:val="Strong"/>
          <w:b w:val="0"/>
          <w:bCs w:val="0"/>
          <w:shd w:val="clear" w:color="auto" w:fill="FFFFFF"/>
        </w:rPr>
        <w:t xml:space="preserve">26, </w:t>
      </w:r>
      <w:r w:rsidR="00656E2F" w:rsidRPr="002574EC">
        <w:rPr>
          <w:rStyle w:val="Strong"/>
          <w:b w:val="0"/>
          <w:bCs w:val="0"/>
          <w:shd w:val="clear" w:color="auto" w:fill="FFFFFF"/>
        </w:rPr>
        <w:t>Preliminary Matter Court No. 3 of the State of Anzoátegui ordered Ada Macuare to be taken in</w:t>
      </w:r>
      <w:r w:rsidR="00590C88" w:rsidRPr="002574EC">
        <w:rPr>
          <w:rStyle w:val="Strong"/>
          <w:b w:val="0"/>
          <w:bCs w:val="0"/>
          <w:shd w:val="clear" w:color="auto" w:fill="FFFFFF"/>
        </w:rPr>
        <w:t xml:space="preserve">to provisional </w:t>
      </w:r>
      <w:r w:rsidR="00590C88" w:rsidRPr="002574EC">
        <w:rPr>
          <w:rStyle w:val="Strong"/>
          <w:b w:val="0"/>
          <w:bCs w:val="0"/>
          <w:shd w:val="clear" w:color="auto" w:fill="FFFFFF"/>
        </w:rPr>
        <w:lastRenderedPageBreak/>
        <w:t>custody.  The nurse was not released until August 5, under the condition of appearing before the judicial authority every 30 days.</w:t>
      </w:r>
      <w:r w:rsidR="005D7789" w:rsidRPr="002574EC">
        <w:rPr>
          <w:rStyle w:val="FootnoteReference"/>
          <w:rFonts w:eastAsiaTheme="majorEastAsia"/>
          <w:shd w:val="clear" w:color="auto" w:fill="FFFFFF"/>
        </w:rPr>
        <w:footnoteReference w:id="204"/>
      </w:r>
      <w:r w:rsidR="00296EF4" w:rsidRPr="002574EC">
        <w:rPr>
          <w:shd w:val="clear" w:color="auto" w:fill="FFFFFF"/>
        </w:rPr>
        <w:t xml:space="preserve">  According to public information from the representatives of the Union Coalition of Venezuela (</w:t>
      </w:r>
      <w:r w:rsidR="005D7789" w:rsidRPr="002574EC">
        <w:rPr>
          <w:shd w:val="clear" w:color="auto" w:fill="FFFFFF"/>
        </w:rPr>
        <w:t>Coalición Sindical de Venezuela</w:t>
      </w:r>
      <w:r w:rsidR="00296EF4" w:rsidRPr="002574EC">
        <w:rPr>
          <w:shd w:val="clear" w:color="auto" w:fill="FFFFFF"/>
        </w:rPr>
        <w:t>)</w:t>
      </w:r>
      <w:r w:rsidR="005D7789" w:rsidRPr="002574EC">
        <w:rPr>
          <w:shd w:val="clear" w:color="auto" w:fill="FFFFFF"/>
        </w:rPr>
        <w:t>,</w:t>
      </w:r>
      <w:r w:rsidR="00296EF4" w:rsidRPr="002574EC">
        <w:rPr>
          <w:shd w:val="clear" w:color="auto" w:fill="FFFFFF"/>
        </w:rPr>
        <w:t xml:space="preserve"> as of July 2021, at least 11 union leaders had been detained thus far for the year.</w:t>
      </w:r>
      <w:r w:rsidR="005D7789" w:rsidRPr="002574EC">
        <w:rPr>
          <w:rStyle w:val="FootnoteReference"/>
          <w:rFonts w:eastAsiaTheme="majorEastAsia"/>
          <w:shd w:val="clear" w:color="auto" w:fill="FFFFFF"/>
        </w:rPr>
        <w:footnoteReference w:id="205"/>
      </w:r>
      <w:r w:rsidR="005D7789" w:rsidRPr="002574EC">
        <w:rPr>
          <w:shd w:val="clear" w:color="auto" w:fill="FFFFFF"/>
        </w:rPr>
        <w:t xml:space="preserve"> </w:t>
      </w:r>
    </w:p>
    <w:p w14:paraId="20B0EA90" w14:textId="77777777" w:rsidR="005D7789" w:rsidRPr="002574EC" w:rsidRDefault="005D7789" w:rsidP="00E07D06">
      <w:pPr>
        <w:ind w:left="426" w:hanging="426"/>
        <w:jc w:val="both"/>
        <w:rPr>
          <w:rFonts w:ascii="Cambria" w:hAnsi="Cambria" w:cs="Tahoma"/>
          <w:sz w:val="20"/>
          <w:szCs w:val="20"/>
          <w:shd w:val="clear" w:color="auto" w:fill="FFFFFF"/>
        </w:rPr>
      </w:pPr>
    </w:p>
    <w:p w14:paraId="0C0BA92D" w14:textId="25742932" w:rsidR="005D7789" w:rsidRPr="002574EC" w:rsidRDefault="00E50FA5" w:rsidP="00F85814">
      <w:pPr>
        <w:pStyle w:val="ListParagraph"/>
      </w:pPr>
      <w:r w:rsidRPr="002574EC">
        <w:rPr>
          <w:shd w:val="clear" w:color="auto" w:fill="FFFFFF"/>
        </w:rPr>
        <w:t xml:space="preserve">The IACHR and its Special Rapporteurships also received information about several State actions </w:t>
      </w:r>
      <w:r w:rsidR="005A5E3E" w:rsidRPr="002574EC">
        <w:rPr>
          <w:shd w:val="clear" w:color="auto" w:fill="FFFFFF"/>
        </w:rPr>
        <w:t xml:space="preserve">to undermine </w:t>
      </w:r>
      <w:r w:rsidR="00F76945" w:rsidRPr="002574EC">
        <w:rPr>
          <w:shd w:val="clear" w:color="auto" w:fill="FFFFFF"/>
        </w:rPr>
        <w:t xml:space="preserve">university autonomy, including the decision to make </w:t>
      </w:r>
      <w:r w:rsidR="00670E8F" w:rsidRPr="002574EC">
        <w:rPr>
          <w:shd w:val="clear" w:color="auto" w:fill="FFFFFF"/>
        </w:rPr>
        <w:t xml:space="preserve">payroll </w:t>
      </w:r>
      <w:r w:rsidR="00F76945" w:rsidRPr="002574EC">
        <w:rPr>
          <w:shd w:val="clear" w:color="auto" w:fill="FFFFFF"/>
        </w:rPr>
        <w:t xml:space="preserve">payments </w:t>
      </w:r>
      <w:r w:rsidR="00670E8F" w:rsidRPr="002574EC">
        <w:rPr>
          <w:shd w:val="clear" w:color="auto" w:fill="FFFFFF"/>
        </w:rPr>
        <w:t xml:space="preserve">to </w:t>
      </w:r>
      <w:r w:rsidR="00F76945" w:rsidRPr="002574EC">
        <w:rPr>
          <w:shd w:val="clear" w:color="auto" w:fill="FFFFFF"/>
        </w:rPr>
        <w:t>public universit</w:t>
      </w:r>
      <w:r w:rsidR="00670E8F" w:rsidRPr="002574EC">
        <w:rPr>
          <w:shd w:val="clear" w:color="auto" w:fill="FFFFFF"/>
        </w:rPr>
        <w:t xml:space="preserve">y </w:t>
      </w:r>
      <w:r w:rsidR="007A7F58" w:rsidRPr="002574EC">
        <w:rPr>
          <w:shd w:val="clear" w:color="auto" w:fill="FFFFFF"/>
        </w:rPr>
        <w:t xml:space="preserve">and adjunct university entity </w:t>
      </w:r>
      <w:r w:rsidR="00670E8F" w:rsidRPr="002574EC">
        <w:rPr>
          <w:shd w:val="clear" w:color="auto" w:fill="FFFFFF"/>
        </w:rPr>
        <w:t>personnel</w:t>
      </w:r>
      <w:r w:rsidR="004F249C" w:rsidRPr="002574EC">
        <w:rPr>
          <w:shd w:val="clear" w:color="auto" w:fill="FFFFFF"/>
        </w:rPr>
        <w:t xml:space="preserve"> throug</w:t>
      </w:r>
      <w:r w:rsidR="00DE3183" w:rsidRPr="002574EC">
        <w:rPr>
          <w:shd w:val="clear" w:color="auto" w:fill="FFFFFF"/>
        </w:rPr>
        <w:t xml:space="preserve">h </w:t>
      </w:r>
      <w:r w:rsidR="00565ED7" w:rsidRPr="002574EC">
        <w:rPr>
          <w:shd w:val="clear" w:color="auto" w:fill="FFFFFF"/>
        </w:rPr>
        <w:t xml:space="preserve">the </w:t>
      </w:r>
      <w:r w:rsidR="00565ED7" w:rsidRPr="002574EC">
        <w:rPr>
          <w:i/>
          <w:iCs/>
          <w:shd w:val="clear" w:color="auto" w:fill="FFFFFF"/>
        </w:rPr>
        <w:t>Sistema Patria</w:t>
      </w:r>
      <w:r w:rsidR="00990747" w:rsidRPr="002574EC">
        <w:rPr>
          <w:shd w:val="clear" w:color="auto" w:fill="FFFFFF"/>
        </w:rPr>
        <w:t>.</w:t>
      </w:r>
      <w:r w:rsidR="00565ED7" w:rsidRPr="002574EC">
        <w:rPr>
          <w:shd w:val="clear" w:color="auto" w:fill="FFFFFF"/>
        </w:rPr>
        <w:t xml:space="preserve"> According to reports of civil society, since </w:t>
      </w:r>
      <w:r w:rsidR="004A3E45" w:rsidRPr="002574EC">
        <w:rPr>
          <w:shd w:val="clear" w:color="auto" w:fill="FFFFFF"/>
        </w:rPr>
        <w:t xml:space="preserve">the </w:t>
      </w:r>
      <w:r w:rsidR="004A3E45" w:rsidRPr="002574EC">
        <w:rPr>
          <w:i/>
          <w:iCs/>
          <w:shd w:val="clear" w:color="auto" w:fill="FFFFFF"/>
        </w:rPr>
        <w:t xml:space="preserve">Sistema Patria </w:t>
      </w:r>
      <w:r w:rsidR="004A3E45" w:rsidRPr="002574EC">
        <w:rPr>
          <w:shd w:val="clear" w:color="auto" w:fill="FFFFFF"/>
        </w:rPr>
        <w:t>is a</w:t>
      </w:r>
      <w:r w:rsidR="00565ED7" w:rsidRPr="002574EC">
        <w:rPr>
          <w:shd w:val="clear" w:color="auto" w:fill="FFFFFF"/>
        </w:rPr>
        <w:t xml:space="preserve"> State platform, it could have a chilling effect on university professors </w:t>
      </w:r>
      <w:r w:rsidR="00982BCC" w:rsidRPr="002574EC">
        <w:rPr>
          <w:shd w:val="clear" w:color="auto" w:fill="FFFFFF"/>
        </w:rPr>
        <w:t>and employees who hold critical views of the government</w:t>
      </w:r>
      <w:r w:rsidR="004A3E45" w:rsidRPr="002574EC">
        <w:rPr>
          <w:shd w:val="clear" w:color="auto" w:fill="FFFFFF"/>
        </w:rPr>
        <w:t xml:space="preserve">.  </w:t>
      </w:r>
      <w:r w:rsidR="00921AF6" w:rsidRPr="002574EC">
        <w:rPr>
          <w:shd w:val="clear" w:color="auto" w:fill="FFFFFF"/>
        </w:rPr>
        <w:t>Moreover</w:t>
      </w:r>
      <w:r w:rsidR="00E566E7" w:rsidRPr="002574EC">
        <w:rPr>
          <w:shd w:val="clear" w:color="auto" w:fill="FFFFFF"/>
        </w:rPr>
        <w:t>, it was reported that the Federation of University Professor</w:t>
      </w:r>
      <w:r w:rsidR="00DC5942" w:rsidRPr="002574EC">
        <w:rPr>
          <w:shd w:val="clear" w:color="auto" w:fill="FFFFFF"/>
        </w:rPr>
        <w:t>s’</w:t>
      </w:r>
      <w:r w:rsidR="00E566E7" w:rsidRPr="002574EC">
        <w:rPr>
          <w:shd w:val="clear" w:color="auto" w:fill="FFFFFF"/>
        </w:rPr>
        <w:t xml:space="preserve"> Association</w:t>
      </w:r>
      <w:r w:rsidR="00DC5942" w:rsidRPr="002574EC">
        <w:rPr>
          <w:shd w:val="clear" w:color="auto" w:fill="FFFFFF"/>
        </w:rPr>
        <w:t>s</w:t>
      </w:r>
      <w:r w:rsidR="00E566E7" w:rsidRPr="002574EC">
        <w:rPr>
          <w:shd w:val="clear" w:color="auto" w:fill="FFFFFF"/>
        </w:rPr>
        <w:t xml:space="preserve"> of Venezuela (FAPUV) and other university groups were excluded from collective bargaining negotiations with the government, undermining </w:t>
      </w:r>
      <w:r w:rsidR="0033148D" w:rsidRPr="002574EC">
        <w:rPr>
          <w:shd w:val="clear" w:color="auto" w:fill="FFFFFF"/>
        </w:rPr>
        <w:t xml:space="preserve">the freedom of association of the faculty members. </w:t>
      </w:r>
      <w:r w:rsidR="0007419E" w:rsidRPr="002574EC">
        <w:t>Such is the case of the 1</w:t>
      </w:r>
      <w:r w:rsidR="0007419E" w:rsidRPr="002574EC">
        <w:rPr>
          <w:vertAlign w:val="superscript"/>
        </w:rPr>
        <w:t>st</w:t>
      </w:r>
      <w:r w:rsidR="0007419E" w:rsidRPr="002574EC">
        <w:t>, 2</w:t>
      </w:r>
      <w:r w:rsidR="0007419E" w:rsidRPr="002574EC">
        <w:rPr>
          <w:vertAlign w:val="superscript"/>
        </w:rPr>
        <w:t>nd</w:t>
      </w:r>
      <w:r w:rsidR="0007419E" w:rsidRPr="002574EC">
        <w:t xml:space="preserve"> and 3</w:t>
      </w:r>
      <w:r w:rsidR="0007419E" w:rsidRPr="002574EC">
        <w:rPr>
          <w:vertAlign w:val="superscript"/>
        </w:rPr>
        <w:t>rd</w:t>
      </w:r>
      <w:r w:rsidR="0007419E" w:rsidRPr="002574EC">
        <w:t xml:space="preserve"> Single Convention of the University Sector (CCU) and</w:t>
      </w:r>
      <w:r w:rsidR="003244DA" w:rsidRPr="002574EC">
        <w:t xml:space="preserve">, </w:t>
      </w:r>
      <w:r w:rsidR="0007419E" w:rsidRPr="002574EC">
        <w:t>recently</w:t>
      </w:r>
      <w:r w:rsidR="003244DA" w:rsidRPr="002574EC">
        <w:t>,</w:t>
      </w:r>
      <w:r w:rsidR="0007419E" w:rsidRPr="002574EC">
        <w:t xml:space="preserve"> </w:t>
      </w:r>
      <w:r w:rsidR="0075510A" w:rsidRPr="002574EC">
        <w:t xml:space="preserve">of the installation of the bargaining committees </w:t>
      </w:r>
      <w:r w:rsidR="006228BF" w:rsidRPr="002574EC">
        <w:t>for</w:t>
      </w:r>
      <w:r w:rsidR="0075510A" w:rsidRPr="002574EC">
        <w:t xml:space="preserve"> the 4</w:t>
      </w:r>
      <w:r w:rsidR="0075510A" w:rsidRPr="002574EC">
        <w:rPr>
          <w:vertAlign w:val="superscript"/>
        </w:rPr>
        <w:t>th</w:t>
      </w:r>
      <w:r w:rsidR="0075510A" w:rsidRPr="002574EC">
        <w:t xml:space="preserve"> Collective Convention.  </w:t>
      </w:r>
      <w:r w:rsidR="00872CA6" w:rsidRPr="002574EC">
        <w:t xml:space="preserve">According to civil society organizations, this </w:t>
      </w:r>
      <w:r w:rsidR="001E040E" w:rsidRPr="002574EC">
        <w:t xml:space="preserve">was </w:t>
      </w:r>
      <w:r w:rsidR="005F541E" w:rsidRPr="002574EC">
        <w:t xml:space="preserve">in </w:t>
      </w:r>
      <w:r w:rsidR="001E040E" w:rsidRPr="002574EC">
        <w:t>retaliation for its members</w:t>
      </w:r>
      <w:r w:rsidR="006F1A53" w:rsidRPr="002574EC">
        <w:t>’</w:t>
      </w:r>
      <w:r w:rsidR="001E040E" w:rsidRPr="002574EC">
        <w:t xml:space="preserve"> critical opinions of government policies on labor matters.</w:t>
      </w:r>
      <w:r w:rsidR="005D7789" w:rsidRPr="002574EC">
        <w:rPr>
          <w:rStyle w:val="FootnoteReference"/>
          <w:rFonts w:eastAsiaTheme="majorEastAsia" w:cs="Tahoma"/>
        </w:rPr>
        <w:footnoteReference w:id="206"/>
      </w:r>
      <w:r w:rsidR="005D7789" w:rsidRPr="002574EC">
        <w:t xml:space="preserve"> </w:t>
      </w:r>
    </w:p>
    <w:p w14:paraId="6C090E16" w14:textId="77777777" w:rsidR="005D7789" w:rsidRPr="002574EC" w:rsidRDefault="005D7789" w:rsidP="00E07D06">
      <w:pPr>
        <w:ind w:left="426" w:hanging="426"/>
        <w:jc w:val="both"/>
        <w:rPr>
          <w:rFonts w:ascii="Cambria" w:hAnsi="Cambria" w:cs="Tahoma"/>
          <w:sz w:val="20"/>
          <w:szCs w:val="20"/>
          <w:shd w:val="clear" w:color="auto" w:fill="FFFFFF"/>
        </w:rPr>
      </w:pPr>
    </w:p>
    <w:p w14:paraId="3665C810" w14:textId="7BF0DF9B" w:rsidR="005D7789" w:rsidRPr="002574EC" w:rsidRDefault="002E5290" w:rsidP="00F85814">
      <w:pPr>
        <w:pStyle w:val="ListParagraph"/>
        <w:rPr>
          <w:rFonts w:cs="Tahoma"/>
          <w:shd w:val="clear" w:color="auto" w:fill="FFFFFF"/>
        </w:rPr>
      </w:pPr>
      <w:r w:rsidRPr="002574EC">
        <w:t xml:space="preserve">From January to September </w:t>
      </w:r>
      <w:r w:rsidR="005D7789" w:rsidRPr="002574EC">
        <w:t xml:space="preserve">2021, </w:t>
      </w:r>
      <w:r w:rsidRPr="002574EC">
        <w:t>the Venezuelan Ob</w:t>
      </w:r>
      <w:r w:rsidR="00CE682B" w:rsidRPr="002574EC">
        <w:t>s</w:t>
      </w:r>
      <w:r w:rsidRPr="002574EC">
        <w:t xml:space="preserve">ervatory on Social Conflict reported </w:t>
      </w:r>
      <w:r w:rsidR="005D7789" w:rsidRPr="002574EC">
        <w:rPr>
          <w:shd w:val="clear" w:color="auto" w:fill="FFFFFF"/>
        </w:rPr>
        <w:t>5</w:t>
      </w:r>
      <w:r w:rsidRPr="002574EC">
        <w:rPr>
          <w:shd w:val="clear" w:color="auto" w:fill="FFFFFF"/>
        </w:rPr>
        <w:t>,</w:t>
      </w:r>
      <w:r w:rsidR="005D7789" w:rsidRPr="002574EC">
        <w:rPr>
          <w:shd w:val="clear" w:color="auto" w:fill="FFFFFF"/>
        </w:rPr>
        <w:t>198</w:t>
      </w:r>
      <w:r w:rsidR="005D7789" w:rsidRPr="002574EC">
        <w:rPr>
          <w:rStyle w:val="FootnoteReference"/>
          <w:rFonts w:eastAsiaTheme="majorEastAsia"/>
          <w:shd w:val="clear" w:color="auto" w:fill="FFFFFF"/>
        </w:rPr>
        <w:footnoteReference w:id="207"/>
      </w:r>
      <w:r w:rsidRPr="002574EC">
        <w:rPr>
          <w:shd w:val="clear" w:color="auto" w:fill="FFFFFF"/>
        </w:rPr>
        <w:t xml:space="preserve"> protests</w:t>
      </w:r>
      <w:r w:rsidR="005D7789" w:rsidRPr="002574EC">
        <w:t xml:space="preserve">. </w:t>
      </w:r>
      <w:r w:rsidR="00587AEF" w:rsidRPr="002574EC">
        <w:t xml:space="preserve">According to the report on the first half of 2021 of this Observatory, 75% of the total number of protests </w:t>
      </w:r>
      <w:r w:rsidR="00A76566" w:rsidRPr="002574EC">
        <w:t>involved</w:t>
      </w:r>
      <w:r w:rsidR="00587AEF" w:rsidRPr="002574EC">
        <w:t xml:space="preserve"> demands relating to economic, social and environmental rights, with </w:t>
      </w:r>
      <w:r w:rsidR="00355C77" w:rsidRPr="002574EC">
        <w:t xml:space="preserve">the main </w:t>
      </w:r>
      <w:r w:rsidR="005D1B3D" w:rsidRPr="002574EC">
        <w:t xml:space="preserve">subjects of the protests being </w:t>
      </w:r>
      <w:r w:rsidR="00E9378D" w:rsidRPr="002574EC">
        <w:t xml:space="preserve">labor rights and pegging </w:t>
      </w:r>
      <w:r w:rsidR="00766207" w:rsidRPr="002574EC">
        <w:t xml:space="preserve">of </w:t>
      </w:r>
      <w:r w:rsidR="00E9378D" w:rsidRPr="002574EC">
        <w:t>salaries to the dollar.</w:t>
      </w:r>
      <w:r w:rsidR="005D7789" w:rsidRPr="002574EC">
        <w:rPr>
          <w:rStyle w:val="FootnoteReference"/>
          <w:rFonts w:eastAsiaTheme="majorEastAsia"/>
        </w:rPr>
        <w:footnoteReference w:id="208"/>
      </w:r>
      <w:r w:rsidR="001B5AA2" w:rsidRPr="002574EC">
        <w:t xml:space="preserve">  Additionally, in 2021, the Special Rapporteurship again received information about the disproportionate use of force </w:t>
      </w:r>
      <w:r w:rsidR="00897688" w:rsidRPr="002574EC">
        <w:t xml:space="preserve">by police agents and military troops </w:t>
      </w:r>
      <w:r w:rsidR="001B5AA2" w:rsidRPr="002574EC">
        <w:t>to put down protests</w:t>
      </w:r>
      <w:r w:rsidR="00FC7B41" w:rsidRPr="002574EC">
        <w:t xml:space="preserve">.  Nonetheless, these figures were lower than </w:t>
      </w:r>
      <w:r w:rsidR="00A23B2C" w:rsidRPr="002574EC">
        <w:t>those</w:t>
      </w:r>
      <w:r w:rsidR="00CE682B" w:rsidRPr="002574EC">
        <w:t xml:space="preserve"> posted in 2020. According to the Venezuelan Observatory on Social Conflict, over the first half of 2021, 59 protests were put down by State security forces and paramilitary brigades (</w:t>
      </w:r>
      <w:r w:rsidR="00CE682B" w:rsidRPr="002574EC">
        <w:rPr>
          <w:i/>
          <w:iCs/>
        </w:rPr>
        <w:t>colectivos</w:t>
      </w:r>
      <w:r w:rsidR="00CE682B" w:rsidRPr="002574EC">
        <w:t>)</w:t>
      </w:r>
      <w:r w:rsidR="00076EA2" w:rsidRPr="002574EC">
        <w:t xml:space="preserve">, 25 people were detained, another 7 people were wounded </w:t>
      </w:r>
      <w:r w:rsidR="00BE60E4" w:rsidRPr="002574EC">
        <w:t>and on</w:t>
      </w:r>
      <w:r w:rsidR="00A75C10" w:rsidRPr="002574EC">
        <w:t>e</w:t>
      </w:r>
      <w:r w:rsidR="00BE60E4" w:rsidRPr="002574EC">
        <w:t xml:space="preserve"> demonstrator was murdered</w:t>
      </w:r>
      <w:r w:rsidR="00A75C10" w:rsidRPr="002574EC">
        <w:t xml:space="preserve"> by gunshots</w:t>
      </w:r>
      <w:r w:rsidR="00B26F16" w:rsidRPr="002574EC">
        <w:t xml:space="preserve">, </w:t>
      </w:r>
      <w:r w:rsidR="00BE60E4" w:rsidRPr="002574EC">
        <w:t xml:space="preserve">allegedly </w:t>
      </w:r>
      <w:r w:rsidR="00A75C10" w:rsidRPr="002574EC">
        <w:t>fired by the</w:t>
      </w:r>
      <w:r w:rsidR="00BE60E4" w:rsidRPr="002574EC">
        <w:t xml:space="preserve"> Bolivarian National Guard, the Bolivarian National Police and the Police of the State of Cojedes.</w:t>
      </w:r>
      <w:r w:rsidR="005D7789" w:rsidRPr="002574EC">
        <w:rPr>
          <w:rStyle w:val="FootnoteReference"/>
          <w:rFonts w:eastAsiaTheme="majorEastAsia"/>
        </w:rPr>
        <w:footnoteReference w:id="209"/>
      </w:r>
    </w:p>
    <w:p w14:paraId="2BE0E57A" w14:textId="77777777" w:rsidR="007B7E23" w:rsidRPr="002574EC" w:rsidRDefault="007B7E23" w:rsidP="00E07D06">
      <w:pPr>
        <w:ind w:left="426" w:hanging="426"/>
        <w:jc w:val="both"/>
        <w:rPr>
          <w:rFonts w:ascii="Cambria" w:hAnsi="Cambria"/>
          <w:sz w:val="20"/>
          <w:szCs w:val="20"/>
          <w:shd w:val="clear" w:color="auto" w:fill="FFFFFF"/>
        </w:rPr>
      </w:pPr>
    </w:p>
    <w:p w14:paraId="79B8E7CC" w14:textId="0E21557F" w:rsidR="005D7789" w:rsidRPr="002574EC" w:rsidRDefault="00332386" w:rsidP="00F85814">
      <w:pPr>
        <w:pStyle w:val="ListParagraph"/>
        <w:rPr>
          <w:color w:val="333333"/>
          <w:shd w:val="clear" w:color="auto" w:fill="FFFFFF"/>
        </w:rPr>
      </w:pPr>
      <w:r w:rsidRPr="002574EC">
        <w:rPr>
          <w:shd w:val="clear" w:color="auto" w:fill="FFFFFF"/>
        </w:rPr>
        <w:t>Notwithstanding</w:t>
      </w:r>
      <w:r w:rsidR="006A6DF7" w:rsidRPr="002574EC">
        <w:rPr>
          <w:shd w:val="clear" w:color="auto" w:fill="FFFFFF"/>
        </w:rPr>
        <w:t xml:space="preserve">, the Special Rapporteurship </w:t>
      </w:r>
      <w:r w:rsidR="000A03BE" w:rsidRPr="002574EC">
        <w:rPr>
          <w:shd w:val="clear" w:color="auto" w:fill="FFFFFF"/>
        </w:rPr>
        <w:t xml:space="preserve">did learn of </w:t>
      </w:r>
      <w:r w:rsidR="007A513E" w:rsidRPr="002574EC">
        <w:rPr>
          <w:shd w:val="clear" w:color="auto" w:fill="FFFFFF"/>
        </w:rPr>
        <w:t xml:space="preserve">progress </w:t>
      </w:r>
      <w:r w:rsidRPr="002574EC">
        <w:rPr>
          <w:shd w:val="clear" w:color="auto" w:fill="FFFFFF"/>
        </w:rPr>
        <w:t xml:space="preserve">in seeking justice for victims of police repression in Venezuela. </w:t>
      </w:r>
      <w:r w:rsidR="00760E0B" w:rsidRPr="002574EC">
        <w:rPr>
          <w:shd w:val="clear" w:color="auto" w:fill="FFFFFF"/>
        </w:rPr>
        <w:t xml:space="preserve">On October </w:t>
      </w:r>
      <w:r w:rsidR="005D7789" w:rsidRPr="002574EC">
        <w:t>4</w:t>
      </w:r>
      <w:r w:rsidR="00760E0B" w:rsidRPr="002574EC">
        <w:t>,</w:t>
      </w:r>
      <w:r w:rsidR="005D7789" w:rsidRPr="002574EC">
        <w:t xml:space="preserve"> 2021, </w:t>
      </w:r>
      <w:r w:rsidR="00760E0B" w:rsidRPr="002574EC">
        <w:t xml:space="preserve">the Attorney General </w:t>
      </w:r>
      <w:r w:rsidR="00545E10" w:rsidRPr="002574EC">
        <w:t xml:space="preserve">reported </w:t>
      </w:r>
      <w:r w:rsidR="00127721" w:rsidRPr="002574EC">
        <w:t>that officers J</w:t>
      </w:r>
      <w:r w:rsidR="00127721" w:rsidRPr="002574EC">
        <w:rPr>
          <w:color w:val="333333"/>
          <w:shd w:val="clear" w:color="auto" w:fill="FFFFFF"/>
        </w:rPr>
        <w:t>avier Useche and Henry Ramírez, members of the Police Department of Tachira</w:t>
      </w:r>
      <w:r w:rsidR="001F5EA7" w:rsidRPr="002574EC">
        <w:rPr>
          <w:color w:val="333333"/>
          <w:shd w:val="clear" w:color="auto" w:fill="FFFFFF"/>
        </w:rPr>
        <w:t>,</w:t>
      </w:r>
      <w:r w:rsidR="00127721" w:rsidRPr="002574EC">
        <w:rPr>
          <w:color w:val="333333"/>
          <w:shd w:val="clear" w:color="auto" w:fill="FFFFFF"/>
        </w:rPr>
        <w:t xml:space="preserve"> had fired 52 </w:t>
      </w:r>
      <w:r w:rsidR="00F03215" w:rsidRPr="002574EC">
        <w:rPr>
          <w:color w:val="333333"/>
          <w:shd w:val="clear" w:color="auto" w:fill="FFFFFF"/>
        </w:rPr>
        <w:t xml:space="preserve">pellet </w:t>
      </w:r>
      <w:r w:rsidR="00127721" w:rsidRPr="002574EC">
        <w:rPr>
          <w:color w:val="333333"/>
          <w:shd w:val="clear" w:color="auto" w:fill="FFFFFF"/>
        </w:rPr>
        <w:t xml:space="preserve">shots into the </w:t>
      </w:r>
      <w:r w:rsidR="00127721" w:rsidRPr="002574EC">
        <w:rPr>
          <w:color w:val="333333"/>
          <w:shd w:val="clear" w:color="auto" w:fill="FFFFFF"/>
        </w:rPr>
        <w:lastRenderedPageBreak/>
        <w:t xml:space="preserve">face of </w:t>
      </w:r>
      <w:r w:rsidR="00276A69" w:rsidRPr="002574EC">
        <w:rPr>
          <w:color w:val="333333"/>
          <w:shd w:val="clear" w:color="auto" w:fill="FFFFFF"/>
        </w:rPr>
        <w:t>Rufo Chachón</w:t>
      </w:r>
      <w:r w:rsidR="00461299" w:rsidRPr="002574EC">
        <w:rPr>
          <w:color w:val="333333"/>
          <w:shd w:val="clear" w:color="auto" w:fill="FFFFFF"/>
        </w:rPr>
        <w:t xml:space="preserve"> at a protest on July 1, 2019,</w:t>
      </w:r>
      <w:r w:rsidR="00127721" w:rsidRPr="002574EC">
        <w:rPr>
          <w:color w:val="333333"/>
          <w:shd w:val="clear" w:color="auto" w:fill="FFFFFF"/>
        </w:rPr>
        <w:t xml:space="preserve"> </w:t>
      </w:r>
      <w:r w:rsidR="001F5EA7" w:rsidRPr="002574EC">
        <w:t xml:space="preserve">and </w:t>
      </w:r>
      <w:r w:rsidR="00127721" w:rsidRPr="002574EC">
        <w:t>had been convicted at the trial level</w:t>
      </w:r>
      <w:r w:rsidR="00461299" w:rsidRPr="002574EC">
        <w:t>.</w:t>
      </w:r>
      <w:r w:rsidR="00127721" w:rsidRPr="002574EC">
        <w:t xml:space="preserve"> </w:t>
      </w:r>
      <w:r w:rsidR="005D7789" w:rsidRPr="002574EC">
        <w:rPr>
          <w:color w:val="333333"/>
          <w:shd w:val="clear" w:color="auto" w:fill="FFFFFF"/>
        </w:rPr>
        <w:t xml:space="preserve">Rufo Chacón </w:t>
      </w:r>
      <w:r w:rsidR="00500F07" w:rsidRPr="002574EC">
        <w:rPr>
          <w:color w:val="333333"/>
          <w:shd w:val="clear" w:color="auto" w:fill="FFFFFF"/>
        </w:rPr>
        <w:t>was 16 years of age at the time.</w:t>
      </w:r>
      <w:r w:rsidR="005D7789" w:rsidRPr="002574EC">
        <w:rPr>
          <w:rStyle w:val="FootnoteReference"/>
          <w:rFonts w:eastAsiaTheme="majorEastAsia"/>
          <w:color w:val="333333"/>
          <w:shd w:val="clear" w:color="auto" w:fill="FFFFFF"/>
        </w:rPr>
        <w:footnoteReference w:id="210"/>
      </w:r>
      <w:r w:rsidR="005D7789" w:rsidRPr="002574EC">
        <w:rPr>
          <w:color w:val="333333"/>
          <w:shd w:val="clear" w:color="auto" w:fill="FFFFFF"/>
        </w:rPr>
        <w:t xml:space="preserve"> </w:t>
      </w:r>
    </w:p>
    <w:p w14:paraId="4C335285" w14:textId="77777777" w:rsidR="005D7789" w:rsidRPr="002574EC" w:rsidRDefault="005D7789" w:rsidP="00E07D06">
      <w:pPr>
        <w:ind w:left="426" w:hanging="426"/>
        <w:jc w:val="both"/>
        <w:rPr>
          <w:rFonts w:ascii="Cambria" w:hAnsi="Cambria" w:cs="Tahoma"/>
          <w:sz w:val="20"/>
          <w:szCs w:val="20"/>
          <w:shd w:val="clear" w:color="auto" w:fill="FFFFFF"/>
        </w:rPr>
      </w:pPr>
    </w:p>
    <w:p w14:paraId="45A18315" w14:textId="1F3D962F" w:rsidR="005D7789" w:rsidRPr="002574EC" w:rsidRDefault="00A154A0" w:rsidP="00F85814">
      <w:pPr>
        <w:pStyle w:val="ListParagraph"/>
      </w:pPr>
      <w:r w:rsidRPr="002574EC">
        <w:rPr>
          <w:shd w:val="clear" w:color="auto" w:fill="FFFFFF"/>
        </w:rPr>
        <w:t xml:space="preserve">As </w:t>
      </w:r>
      <w:r w:rsidR="003A0D00" w:rsidRPr="002574EC">
        <w:rPr>
          <w:shd w:val="clear" w:color="auto" w:fill="FFFFFF"/>
        </w:rPr>
        <w:t>concer</w:t>
      </w:r>
      <w:r w:rsidR="00767EFB" w:rsidRPr="002574EC">
        <w:rPr>
          <w:shd w:val="clear" w:color="auto" w:fill="FFFFFF"/>
        </w:rPr>
        <w:t>ns</w:t>
      </w:r>
      <w:r w:rsidRPr="002574EC">
        <w:rPr>
          <w:shd w:val="clear" w:color="auto" w:fill="FFFFFF"/>
        </w:rPr>
        <w:t xml:space="preserve"> access to information, the Office of the Special Rapporteur reports that, according to the UNHCHR, there were “60 request for public information relating to economic, social, cultural and environmental rights between 2020 and 2021</w:t>
      </w:r>
      <w:r w:rsidR="0095443A" w:rsidRPr="002574EC">
        <w:rPr>
          <w:shd w:val="clear" w:color="auto" w:fill="FFFFFF"/>
        </w:rPr>
        <w:t>,</w:t>
      </w:r>
      <w:r w:rsidR="0054028D" w:rsidRPr="002574EC">
        <w:rPr>
          <w:shd w:val="clear" w:color="auto" w:fill="FFFFFF"/>
        </w:rPr>
        <w:t xml:space="preserve"> submitted</w:t>
      </w:r>
      <w:r w:rsidRPr="002574EC">
        <w:rPr>
          <w:shd w:val="clear" w:color="auto" w:fill="FFFFFF"/>
        </w:rPr>
        <w:t xml:space="preserve"> by civil society organizations. </w:t>
      </w:r>
      <w:r w:rsidR="002E3433" w:rsidRPr="002574EC">
        <w:rPr>
          <w:shd w:val="clear" w:color="auto" w:fill="FFFFFF"/>
        </w:rPr>
        <w:t xml:space="preserve">Most of the requests remained unanswered as of the writing of this report. </w:t>
      </w:r>
      <w:r w:rsidR="008F66DB" w:rsidRPr="002574EC">
        <w:rPr>
          <w:shd w:val="clear" w:color="auto" w:fill="FFFFFF"/>
        </w:rPr>
        <w:t xml:space="preserve">Others ones were not granted </w:t>
      </w:r>
      <w:r w:rsidR="007E3CF9" w:rsidRPr="002574EC">
        <w:rPr>
          <w:shd w:val="clear" w:color="auto" w:fill="FFFFFF"/>
        </w:rPr>
        <w:t>on the grounds that they failed to meet</w:t>
      </w:r>
      <w:r w:rsidR="00F46606" w:rsidRPr="002574EC">
        <w:rPr>
          <w:shd w:val="clear" w:color="auto" w:fill="FFFFFF"/>
        </w:rPr>
        <w:t xml:space="preserve"> non-essential requirements</w:t>
      </w:r>
      <w:r w:rsidR="00482176" w:rsidRPr="002574EC">
        <w:rPr>
          <w:shd w:val="clear" w:color="auto" w:fill="FFFFFF"/>
        </w:rPr>
        <w:t xml:space="preserve"> of form, which may have unduly </w:t>
      </w:r>
      <w:r w:rsidR="008B6F77" w:rsidRPr="002574EC">
        <w:rPr>
          <w:shd w:val="clear" w:color="auto" w:fill="FFFFFF"/>
        </w:rPr>
        <w:t xml:space="preserve">undermined the right of access to </w:t>
      </w:r>
      <w:r w:rsidR="00BF2370" w:rsidRPr="002574EC">
        <w:rPr>
          <w:shd w:val="clear" w:color="auto" w:fill="FFFFFF"/>
        </w:rPr>
        <w:t>public information.</w:t>
      </w:r>
      <w:r w:rsidR="005D7789" w:rsidRPr="002574EC">
        <w:rPr>
          <w:rStyle w:val="FootnoteReference"/>
          <w:rFonts w:eastAsiaTheme="majorEastAsia"/>
        </w:rPr>
        <w:footnoteReference w:id="211"/>
      </w:r>
      <w:r w:rsidR="00156FE8" w:rsidRPr="002574EC">
        <w:t xml:space="preserve"> This opacity is also reflected in other cases </w:t>
      </w:r>
      <w:r w:rsidR="00794C4D" w:rsidRPr="002574EC">
        <w:t xml:space="preserve">reviewed by the NGO </w:t>
      </w:r>
      <w:r w:rsidR="005D7789" w:rsidRPr="002574EC">
        <w:t xml:space="preserve"> </w:t>
      </w:r>
      <w:r w:rsidR="005D7789" w:rsidRPr="002574EC">
        <w:rPr>
          <w:i/>
          <w:iCs/>
        </w:rPr>
        <w:t>Espacio Publico</w:t>
      </w:r>
      <w:r w:rsidR="00B122EE" w:rsidRPr="002574EC">
        <w:rPr>
          <w:i/>
          <w:iCs/>
        </w:rPr>
        <w:t>.</w:t>
      </w:r>
      <w:r w:rsidR="005D7789" w:rsidRPr="002574EC">
        <w:rPr>
          <w:rStyle w:val="FootnoteReference"/>
          <w:rFonts w:eastAsiaTheme="majorEastAsia"/>
          <w:i/>
          <w:iCs/>
        </w:rPr>
        <w:footnoteReference w:id="212"/>
      </w:r>
      <w:r w:rsidR="00B122EE" w:rsidRPr="002574EC">
        <w:rPr>
          <w:i/>
          <w:iCs/>
        </w:rPr>
        <w:t xml:space="preserve">  </w:t>
      </w:r>
      <w:r w:rsidR="00B122EE" w:rsidRPr="002574EC">
        <w:t xml:space="preserve">In the context of the COVID-19 pandemic, the Rapporteurship viewed with particular concern that the competent authorities </w:t>
      </w:r>
      <w:r w:rsidR="0045666E" w:rsidRPr="002574EC">
        <w:t xml:space="preserve">had not responded to 11 of 13 requests filed by </w:t>
      </w:r>
      <w:r w:rsidR="005D7789" w:rsidRPr="002574EC">
        <w:rPr>
          <w:i/>
          <w:iCs/>
        </w:rPr>
        <w:t xml:space="preserve">Espacio Público </w:t>
      </w:r>
      <w:r w:rsidR="0045666E" w:rsidRPr="002574EC">
        <w:t xml:space="preserve">as of June 2021, to clarify COVID-19 vaccination policy </w:t>
      </w:r>
      <w:r w:rsidR="005434D3" w:rsidRPr="002574EC">
        <w:t>in Venezuela.</w:t>
      </w:r>
      <w:r w:rsidR="005D7789" w:rsidRPr="002574EC">
        <w:rPr>
          <w:rStyle w:val="FootnoteReference"/>
          <w:rFonts w:eastAsiaTheme="majorEastAsia"/>
        </w:rPr>
        <w:footnoteReference w:id="213"/>
      </w:r>
      <w:r w:rsidR="005D7789" w:rsidRPr="002574EC">
        <w:t xml:space="preserve"> </w:t>
      </w:r>
    </w:p>
    <w:p w14:paraId="38EE40CD" w14:textId="77777777" w:rsidR="005D7789" w:rsidRPr="002574EC" w:rsidRDefault="005D7789" w:rsidP="00E07D06">
      <w:pPr>
        <w:ind w:left="426" w:hanging="426"/>
        <w:jc w:val="both"/>
        <w:rPr>
          <w:rFonts w:ascii="Cambria" w:hAnsi="Cambria"/>
          <w:sz w:val="20"/>
          <w:szCs w:val="20"/>
        </w:rPr>
      </w:pPr>
    </w:p>
    <w:p w14:paraId="602E8DC6" w14:textId="29549AA2" w:rsidR="005D7789" w:rsidRPr="002574EC" w:rsidRDefault="00767EFB" w:rsidP="00F85814">
      <w:pPr>
        <w:pStyle w:val="ListParagraph"/>
      </w:pPr>
      <w:r w:rsidRPr="002574EC">
        <w:t>The</w:t>
      </w:r>
      <w:r w:rsidR="00B16340" w:rsidRPr="002574EC">
        <w:t xml:space="preserve"> Rapporteurship </w:t>
      </w:r>
      <w:r w:rsidR="002E727C" w:rsidRPr="002574EC">
        <w:t xml:space="preserve">has also observed </w:t>
      </w:r>
      <w:r w:rsidR="00721A85" w:rsidRPr="002574EC">
        <w:t xml:space="preserve">that </w:t>
      </w:r>
      <w:r w:rsidR="002E727C" w:rsidRPr="002574EC">
        <w:t xml:space="preserve">the Law of Transparency and Access to Information of Public Interest, </w:t>
      </w:r>
      <w:r w:rsidR="00721A85" w:rsidRPr="002574EC">
        <w:t xml:space="preserve">was </w:t>
      </w:r>
      <w:r w:rsidR="008F7D2D" w:rsidRPr="002574EC">
        <w:t xml:space="preserve">debated </w:t>
      </w:r>
      <w:r w:rsidR="002E727C" w:rsidRPr="002574EC">
        <w:t>on September 17 and</w:t>
      </w:r>
      <w:r w:rsidR="00211223" w:rsidRPr="002574EC">
        <w:t>,</w:t>
      </w:r>
      <w:r w:rsidR="00090288" w:rsidRPr="002574EC">
        <w:t xml:space="preserve"> </w:t>
      </w:r>
      <w:r w:rsidR="002E727C" w:rsidRPr="002574EC">
        <w:t xml:space="preserve">in a second round of debate, </w:t>
      </w:r>
      <w:r w:rsidR="007C6900" w:rsidRPr="002574EC">
        <w:t xml:space="preserve">was approved </w:t>
      </w:r>
      <w:r w:rsidR="002E727C" w:rsidRPr="002574EC">
        <w:t>by the National Assembly elected on December 6.</w:t>
      </w:r>
      <w:r w:rsidR="005D7789" w:rsidRPr="002574EC">
        <w:rPr>
          <w:rStyle w:val="FootnoteReference"/>
          <w:rFonts w:eastAsiaTheme="majorEastAsia"/>
        </w:rPr>
        <w:footnoteReference w:id="214"/>
      </w:r>
      <w:r w:rsidR="00DC524D" w:rsidRPr="002574EC">
        <w:t xml:space="preserve"> While approval of this bill </w:t>
      </w:r>
      <w:r w:rsidR="00EB021A" w:rsidRPr="002574EC">
        <w:t xml:space="preserve">signifies a forward step, once the Law of Access to Information was enacted in Venezuela, this Office received reports </w:t>
      </w:r>
      <w:r w:rsidR="00F7064A" w:rsidRPr="002574EC">
        <w:t xml:space="preserve">of concern </w:t>
      </w:r>
      <w:r w:rsidR="00EB021A" w:rsidRPr="002574EC">
        <w:t>about the effectiveness</w:t>
      </w:r>
      <w:r w:rsidR="00FF7274" w:rsidRPr="002574EC">
        <w:t xml:space="preserve"> of the new statute.</w:t>
      </w:r>
      <w:r w:rsidR="00B10E02" w:rsidRPr="002574EC">
        <w:t xml:space="preserve"> In support of this concern, this Rapporteurship </w:t>
      </w:r>
      <w:r w:rsidR="00024429" w:rsidRPr="002574EC">
        <w:t>notes that, under Article</w:t>
      </w:r>
      <w:r w:rsidR="005D7789" w:rsidRPr="002574EC">
        <w:t xml:space="preserve"> 7 </w:t>
      </w:r>
      <w:r w:rsidR="00024429" w:rsidRPr="002574EC">
        <w:t>of this Law</w:t>
      </w:r>
      <w:r w:rsidR="005D7789" w:rsidRPr="002574EC">
        <w:t>, “</w:t>
      </w:r>
      <w:r w:rsidR="00024429" w:rsidRPr="002574EC">
        <w:rPr>
          <w:i/>
          <w:iCs/>
        </w:rPr>
        <w:t xml:space="preserve">through a reasoned decision, </w:t>
      </w:r>
      <w:r w:rsidR="006010D7" w:rsidRPr="002574EC">
        <w:rPr>
          <w:i/>
          <w:iCs/>
        </w:rPr>
        <w:t>an exception to providing information</w:t>
      </w:r>
      <w:r w:rsidR="00095044" w:rsidRPr="002574EC">
        <w:rPr>
          <w:i/>
          <w:iCs/>
        </w:rPr>
        <w:t xml:space="preserve"> [may be made]</w:t>
      </w:r>
      <w:r w:rsidR="006010D7" w:rsidRPr="002574EC">
        <w:rPr>
          <w:i/>
          <w:iCs/>
        </w:rPr>
        <w:t xml:space="preserve"> when access to it could </w:t>
      </w:r>
      <w:r w:rsidR="00CD3C45" w:rsidRPr="002574EC">
        <w:rPr>
          <w:i/>
          <w:iCs/>
        </w:rPr>
        <w:t>lead to</w:t>
      </w:r>
      <w:r w:rsidR="008E6F07" w:rsidRPr="002574EC">
        <w:rPr>
          <w:i/>
          <w:iCs/>
        </w:rPr>
        <w:t xml:space="preserve"> a threat or violation of human rights, </w:t>
      </w:r>
      <w:r w:rsidR="007B02F7" w:rsidRPr="002574EC">
        <w:rPr>
          <w:i/>
          <w:iCs/>
        </w:rPr>
        <w:t xml:space="preserve">to </w:t>
      </w:r>
      <w:r w:rsidR="008E6F07" w:rsidRPr="002574EC">
        <w:rPr>
          <w:i/>
          <w:iCs/>
        </w:rPr>
        <w:t xml:space="preserve">public health, public order, the comprehensive defense of the Nation or the normal </w:t>
      </w:r>
      <w:r w:rsidR="003D4293" w:rsidRPr="002574EC">
        <w:rPr>
          <w:i/>
          <w:iCs/>
        </w:rPr>
        <w:t xml:space="preserve">course </w:t>
      </w:r>
      <w:r w:rsidR="006F7793" w:rsidRPr="002574EC">
        <w:rPr>
          <w:i/>
          <w:iCs/>
        </w:rPr>
        <w:t xml:space="preserve">of the socioeconomic </w:t>
      </w:r>
      <w:r w:rsidR="006A4FAC" w:rsidRPr="002574EC">
        <w:rPr>
          <w:i/>
          <w:iCs/>
        </w:rPr>
        <w:t>regime of the Republic.</w:t>
      </w:r>
      <w:r w:rsidR="005D7789" w:rsidRPr="002574EC">
        <w:rPr>
          <w:rStyle w:val="Emphasis"/>
          <w:bdr w:val="none" w:sz="0" w:space="0" w:color="auto" w:frame="1"/>
          <w:shd w:val="clear" w:color="auto" w:fill="FFFFFF"/>
        </w:rPr>
        <w:t>”</w:t>
      </w:r>
      <w:r w:rsidR="00A920E1" w:rsidRPr="002574EC">
        <w:rPr>
          <w:rStyle w:val="Emphasis"/>
          <w:bdr w:val="none" w:sz="0" w:space="0" w:color="auto" w:frame="1"/>
          <w:shd w:val="clear" w:color="auto" w:fill="FFFFFF"/>
        </w:rPr>
        <w:t xml:space="preserve"> </w:t>
      </w:r>
      <w:r w:rsidR="00A920E1" w:rsidRPr="002574EC">
        <w:rPr>
          <w:rStyle w:val="Emphasis"/>
          <w:i w:val="0"/>
          <w:iCs w:val="0"/>
          <w:bdr w:val="none" w:sz="0" w:space="0" w:color="auto" w:frame="1"/>
          <w:shd w:val="clear" w:color="auto" w:fill="FFFFFF"/>
        </w:rPr>
        <w:t xml:space="preserve">It is concerning to this Rapporteurship that some of these requirements, </w:t>
      </w:r>
      <w:r w:rsidR="00535272" w:rsidRPr="002574EC">
        <w:rPr>
          <w:rStyle w:val="Emphasis"/>
          <w:i w:val="0"/>
          <w:iCs w:val="0"/>
          <w:bdr w:val="none" w:sz="0" w:space="0" w:color="auto" w:frame="1"/>
          <w:shd w:val="clear" w:color="auto" w:fill="FFFFFF"/>
        </w:rPr>
        <w:t xml:space="preserve">as written in </w:t>
      </w:r>
      <w:r w:rsidR="00A920E1" w:rsidRPr="002574EC">
        <w:rPr>
          <w:rStyle w:val="Emphasis"/>
          <w:i w:val="0"/>
          <w:iCs w:val="0"/>
          <w:bdr w:val="none" w:sz="0" w:space="0" w:color="auto" w:frame="1"/>
          <w:shd w:val="clear" w:color="auto" w:fill="FFFFFF"/>
        </w:rPr>
        <w:t>such open</w:t>
      </w:r>
      <w:r w:rsidR="006479F8" w:rsidRPr="002574EC">
        <w:rPr>
          <w:rStyle w:val="Emphasis"/>
          <w:i w:val="0"/>
          <w:iCs w:val="0"/>
          <w:bdr w:val="none" w:sz="0" w:space="0" w:color="auto" w:frame="1"/>
          <w:shd w:val="clear" w:color="auto" w:fill="FFFFFF"/>
        </w:rPr>
        <w:t>-ended</w:t>
      </w:r>
      <w:r w:rsidR="00A920E1" w:rsidRPr="002574EC">
        <w:rPr>
          <w:rStyle w:val="Emphasis"/>
          <w:i w:val="0"/>
          <w:iCs w:val="0"/>
          <w:bdr w:val="none" w:sz="0" w:space="0" w:color="auto" w:frame="1"/>
          <w:shd w:val="clear" w:color="auto" w:fill="FFFFFF"/>
        </w:rPr>
        <w:t xml:space="preserve"> language, could </w:t>
      </w:r>
      <w:r w:rsidR="00774949" w:rsidRPr="002574EC">
        <w:rPr>
          <w:rStyle w:val="Emphasis"/>
          <w:i w:val="0"/>
          <w:iCs w:val="0"/>
          <w:bdr w:val="none" w:sz="0" w:space="0" w:color="auto" w:frame="1"/>
          <w:shd w:val="clear" w:color="auto" w:fill="FFFFFF"/>
        </w:rPr>
        <w:t xml:space="preserve">grant </w:t>
      </w:r>
      <w:r w:rsidR="00A920E1" w:rsidRPr="002574EC">
        <w:rPr>
          <w:rStyle w:val="Emphasis"/>
          <w:i w:val="0"/>
          <w:iCs w:val="0"/>
          <w:bdr w:val="none" w:sz="0" w:space="0" w:color="auto" w:frame="1"/>
          <w:shd w:val="clear" w:color="auto" w:fill="FFFFFF"/>
        </w:rPr>
        <w:t xml:space="preserve">excessive discretion </w:t>
      </w:r>
      <w:r w:rsidR="00644D09" w:rsidRPr="002574EC">
        <w:rPr>
          <w:rStyle w:val="Emphasis"/>
          <w:i w:val="0"/>
          <w:iCs w:val="0"/>
          <w:bdr w:val="none" w:sz="0" w:space="0" w:color="auto" w:frame="1"/>
          <w:shd w:val="clear" w:color="auto" w:fill="FFFFFF"/>
        </w:rPr>
        <w:t xml:space="preserve">to </w:t>
      </w:r>
      <w:r w:rsidR="00F6130D" w:rsidRPr="002574EC">
        <w:rPr>
          <w:rStyle w:val="Emphasis"/>
          <w:i w:val="0"/>
          <w:iCs w:val="0"/>
          <w:bdr w:val="none" w:sz="0" w:space="0" w:color="auto" w:frame="1"/>
          <w:shd w:val="clear" w:color="auto" w:fill="FFFFFF"/>
        </w:rPr>
        <w:t xml:space="preserve">public agents </w:t>
      </w:r>
      <w:r w:rsidR="001C0957" w:rsidRPr="002574EC">
        <w:rPr>
          <w:rStyle w:val="Emphasis"/>
          <w:i w:val="0"/>
          <w:iCs w:val="0"/>
          <w:bdr w:val="none" w:sz="0" w:space="0" w:color="auto" w:frame="1"/>
          <w:shd w:val="clear" w:color="auto" w:fill="FFFFFF"/>
        </w:rPr>
        <w:t xml:space="preserve">to </w:t>
      </w:r>
      <w:r w:rsidR="00F6130D" w:rsidRPr="002574EC">
        <w:rPr>
          <w:rStyle w:val="Emphasis"/>
          <w:i w:val="0"/>
          <w:iCs w:val="0"/>
          <w:bdr w:val="none" w:sz="0" w:space="0" w:color="auto" w:frame="1"/>
          <w:shd w:val="clear" w:color="auto" w:fill="FFFFFF"/>
        </w:rPr>
        <w:t xml:space="preserve">stop the information, limiting access to information </w:t>
      </w:r>
      <w:r w:rsidR="002705DD" w:rsidRPr="002574EC">
        <w:rPr>
          <w:rStyle w:val="Emphasis"/>
          <w:i w:val="0"/>
          <w:iCs w:val="0"/>
          <w:bdr w:val="none" w:sz="0" w:space="0" w:color="auto" w:frame="1"/>
          <w:shd w:val="clear" w:color="auto" w:fill="FFFFFF"/>
        </w:rPr>
        <w:t xml:space="preserve">in order </w:t>
      </w:r>
      <w:r w:rsidR="00F6130D" w:rsidRPr="002574EC">
        <w:rPr>
          <w:rStyle w:val="Emphasis"/>
          <w:i w:val="0"/>
          <w:iCs w:val="0"/>
          <w:bdr w:val="none" w:sz="0" w:space="0" w:color="auto" w:frame="1"/>
          <w:shd w:val="clear" w:color="auto" w:fill="FFFFFF"/>
        </w:rPr>
        <w:t xml:space="preserve">to protect political interests. </w:t>
      </w:r>
      <w:r w:rsidR="00EB16D8" w:rsidRPr="002574EC">
        <w:rPr>
          <w:rStyle w:val="Emphasis"/>
          <w:i w:val="0"/>
          <w:iCs w:val="0"/>
          <w:bdr w:val="none" w:sz="0" w:space="0" w:color="auto" w:frame="1"/>
          <w:shd w:val="clear" w:color="auto" w:fill="FFFFFF"/>
        </w:rPr>
        <w:t xml:space="preserve"> It </w:t>
      </w:r>
      <w:r w:rsidR="007E49FD" w:rsidRPr="002574EC">
        <w:rPr>
          <w:rStyle w:val="Emphasis"/>
          <w:i w:val="0"/>
          <w:iCs w:val="0"/>
          <w:bdr w:val="none" w:sz="0" w:space="0" w:color="auto" w:frame="1"/>
          <w:shd w:val="clear" w:color="auto" w:fill="FFFFFF"/>
        </w:rPr>
        <w:t>follows directly from</w:t>
      </w:r>
      <w:r w:rsidR="00EB16D8" w:rsidRPr="002574EC">
        <w:rPr>
          <w:rStyle w:val="Emphasis"/>
          <w:i w:val="0"/>
          <w:iCs w:val="0"/>
          <w:bdr w:val="none" w:sz="0" w:space="0" w:color="auto" w:frame="1"/>
          <w:shd w:val="clear" w:color="auto" w:fill="FFFFFF"/>
        </w:rPr>
        <w:t xml:space="preserve"> the principle of maximum disclosure that “the right </w:t>
      </w:r>
      <w:r w:rsidR="007B30F6" w:rsidRPr="002574EC">
        <w:rPr>
          <w:rStyle w:val="Emphasis"/>
          <w:i w:val="0"/>
          <w:iCs w:val="0"/>
          <w:bdr w:val="none" w:sz="0" w:space="0" w:color="auto" w:frame="1"/>
          <w:shd w:val="clear" w:color="auto" w:fill="FFFFFF"/>
        </w:rPr>
        <w:t>of</w:t>
      </w:r>
      <w:r w:rsidR="00EB16D8" w:rsidRPr="002574EC">
        <w:rPr>
          <w:rStyle w:val="Emphasis"/>
          <w:i w:val="0"/>
          <w:iCs w:val="0"/>
          <w:bdr w:val="none" w:sz="0" w:space="0" w:color="auto" w:frame="1"/>
          <w:shd w:val="clear" w:color="auto" w:fill="FFFFFF"/>
        </w:rPr>
        <w:t xml:space="preserve"> access to information is the rule and secrecy the exception.</w:t>
      </w:r>
      <w:r w:rsidR="005D7789" w:rsidRPr="002574EC">
        <w:t>”</w:t>
      </w:r>
      <w:r w:rsidR="005D7789" w:rsidRPr="002574EC">
        <w:rPr>
          <w:rStyle w:val="FootnoteReference"/>
          <w:rFonts w:eastAsiaTheme="majorEastAsia"/>
        </w:rPr>
        <w:footnoteReference w:id="215"/>
      </w:r>
    </w:p>
    <w:p w14:paraId="46D85C0A" w14:textId="77777777" w:rsidR="005D7789" w:rsidRPr="002574EC" w:rsidRDefault="005D7789" w:rsidP="00E07D06">
      <w:pPr>
        <w:ind w:left="426" w:hanging="426"/>
        <w:jc w:val="both"/>
        <w:rPr>
          <w:rStyle w:val="Emphasis"/>
          <w:rFonts w:ascii="Cambria" w:hAnsi="Cambria"/>
          <w:i w:val="0"/>
          <w:sz w:val="20"/>
          <w:szCs w:val="20"/>
          <w:bdr w:val="none" w:sz="0" w:space="0" w:color="auto" w:frame="1"/>
          <w:shd w:val="clear" w:color="auto" w:fill="FFFFFF"/>
        </w:rPr>
      </w:pPr>
    </w:p>
    <w:p w14:paraId="7501DA44" w14:textId="228BB8DD" w:rsidR="005D7789" w:rsidRPr="002574EC" w:rsidRDefault="005077C1" w:rsidP="00F85814">
      <w:pPr>
        <w:pStyle w:val="ListParagraph"/>
      </w:pPr>
      <w:r w:rsidRPr="002574EC">
        <w:rPr>
          <w:rStyle w:val="Emphasis"/>
          <w:i w:val="0"/>
          <w:iCs w:val="0"/>
          <w:bdr w:val="none" w:sz="0" w:space="0" w:color="auto" w:frame="1"/>
          <w:shd w:val="clear" w:color="auto" w:fill="FFFFFF"/>
        </w:rPr>
        <w:t>Article 9 further establishes that</w:t>
      </w:r>
      <w:r w:rsidR="005D7789" w:rsidRPr="002574EC">
        <w:rPr>
          <w:rStyle w:val="Emphasis"/>
          <w:bdr w:val="none" w:sz="0" w:space="0" w:color="auto" w:frame="1"/>
          <w:shd w:val="clear" w:color="auto" w:fill="FFFFFF"/>
        </w:rPr>
        <w:t xml:space="preserve"> “</w:t>
      </w:r>
      <w:r w:rsidRPr="002574EC">
        <w:rPr>
          <w:rStyle w:val="Emphasis"/>
          <w:i w:val="0"/>
          <w:iCs w:val="0"/>
          <w:bdr w:val="none" w:sz="0" w:space="0" w:color="auto" w:frame="1"/>
          <w:shd w:val="clear" w:color="auto" w:fill="FFFFFF"/>
        </w:rPr>
        <w:t xml:space="preserve">a request for information of public interest </w:t>
      </w:r>
      <w:r w:rsidR="003E0C33" w:rsidRPr="002574EC">
        <w:rPr>
          <w:rStyle w:val="Emphasis"/>
          <w:i w:val="0"/>
          <w:iCs w:val="0"/>
          <w:bdr w:val="none" w:sz="0" w:space="0" w:color="auto" w:frame="1"/>
          <w:shd w:val="clear" w:color="auto" w:fill="FFFFFF"/>
        </w:rPr>
        <w:t xml:space="preserve">should </w:t>
      </w:r>
      <w:r w:rsidRPr="002574EC">
        <w:rPr>
          <w:rStyle w:val="Emphasis"/>
          <w:i w:val="0"/>
          <w:iCs w:val="0"/>
          <w:bdr w:val="none" w:sz="0" w:space="0" w:color="auto" w:frame="1"/>
          <w:shd w:val="clear" w:color="auto" w:fill="FFFFFF"/>
        </w:rPr>
        <w:t xml:space="preserve">contain </w:t>
      </w:r>
      <w:r w:rsidR="005D7789" w:rsidRPr="002574EC">
        <w:t xml:space="preserve">(…) </w:t>
      </w:r>
      <w:r w:rsidRPr="002574EC">
        <w:t>the grounds to justify the request for information of public interest,” even though OAS standards, as compiled in its Model Law, establish that citizens must have the right “to request information without having to justify reasons why it is being sought.</w:t>
      </w:r>
      <w:r w:rsidR="005D7789" w:rsidRPr="002574EC">
        <w:t>”</w:t>
      </w:r>
      <w:r w:rsidR="005D7789" w:rsidRPr="002574EC">
        <w:rPr>
          <w:rStyle w:val="FootnoteReference"/>
          <w:rFonts w:eastAsiaTheme="majorEastAsia"/>
        </w:rPr>
        <w:footnoteReference w:id="216"/>
      </w:r>
      <w:r w:rsidR="000C7FA6" w:rsidRPr="002574EC">
        <w:t xml:space="preserve">  Moreover, the Law </w:t>
      </w:r>
      <w:r w:rsidR="005D7789" w:rsidRPr="002574EC">
        <w:t xml:space="preserve"> </w:t>
      </w:r>
      <w:r w:rsidR="000C7FA6" w:rsidRPr="002574EC">
        <w:t xml:space="preserve">must include the regulations for fulfilling the duty of active transparency. </w:t>
      </w:r>
      <w:r w:rsidR="00D07CC7" w:rsidRPr="002574EC">
        <w:t>Pursuant to Inter-American standards, “</w:t>
      </w:r>
      <w:r w:rsidR="003E0C33" w:rsidRPr="002574EC">
        <w:t xml:space="preserve">public authorities should be required to </w:t>
      </w:r>
      <w:r w:rsidR="003E0C33" w:rsidRPr="002574EC">
        <w:lastRenderedPageBreak/>
        <w:t>publish proactively, even in the absence of a request, a range of information of public interest;”</w:t>
      </w:r>
      <w:r w:rsidR="006C4109" w:rsidRPr="002574EC">
        <w:t xml:space="preserve"> and “systems should be put in place to increase, over time, the amount of information subject to such routine disclosure.</w:t>
      </w:r>
      <w:r w:rsidR="005D7789" w:rsidRPr="002574EC">
        <w:t>”</w:t>
      </w:r>
      <w:r w:rsidR="005D7789" w:rsidRPr="002574EC">
        <w:rPr>
          <w:rStyle w:val="FootnoteReference"/>
          <w:rFonts w:eastAsiaTheme="majorEastAsia"/>
        </w:rPr>
        <w:footnoteReference w:id="217"/>
      </w:r>
      <w:r w:rsidR="005D7789" w:rsidRPr="002574EC">
        <w:t xml:space="preserve"> </w:t>
      </w:r>
    </w:p>
    <w:p w14:paraId="12264FCF" w14:textId="77777777" w:rsidR="005D7789" w:rsidRPr="002574EC" w:rsidRDefault="005D7789" w:rsidP="00E07D06">
      <w:pPr>
        <w:ind w:left="426" w:hanging="426"/>
        <w:jc w:val="both"/>
        <w:rPr>
          <w:rFonts w:ascii="Cambria" w:hAnsi="Cambria"/>
          <w:sz w:val="20"/>
          <w:szCs w:val="20"/>
        </w:rPr>
      </w:pPr>
    </w:p>
    <w:p w14:paraId="631F4DC6" w14:textId="2ACC9F3E" w:rsidR="005D7789" w:rsidRPr="002574EC" w:rsidRDefault="002E28B3" w:rsidP="00F85814">
      <w:pPr>
        <w:pStyle w:val="ListParagraph"/>
      </w:pPr>
      <w:r w:rsidRPr="002574EC">
        <w:t>F</w:t>
      </w:r>
      <w:r w:rsidR="00D868DF" w:rsidRPr="002574EC">
        <w:t>urthermore,</w:t>
      </w:r>
      <w:r w:rsidRPr="002574EC">
        <w:t xml:space="preserve"> though the law did not establish </w:t>
      </w:r>
      <w:r w:rsidR="00A95898" w:rsidRPr="002574EC">
        <w:t xml:space="preserve">the </w:t>
      </w:r>
      <w:r w:rsidR="000135C9" w:rsidRPr="002574EC">
        <w:t xml:space="preserve">concept of </w:t>
      </w:r>
      <w:r w:rsidR="00450B5D" w:rsidRPr="002574EC">
        <w:t>a</w:t>
      </w:r>
      <w:r w:rsidR="000135C9" w:rsidRPr="002574EC">
        <w:t xml:space="preserve"> </w:t>
      </w:r>
      <w:r w:rsidR="00A95898" w:rsidRPr="002574EC">
        <w:t>guarantor bod</w:t>
      </w:r>
      <w:r w:rsidR="00345808" w:rsidRPr="002574EC">
        <w:t xml:space="preserve">y as </w:t>
      </w:r>
      <w:r w:rsidR="00CC20EB" w:rsidRPr="002574EC">
        <w:t xml:space="preserve">is </w:t>
      </w:r>
      <w:r w:rsidR="00345808" w:rsidRPr="002574EC">
        <w:t>suggested</w:t>
      </w:r>
      <w:r w:rsidR="00CC20EB" w:rsidRPr="002574EC">
        <w:t xml:space="preserve"> in the most recent OAS Model Law on the subject matter,</w:t>
      </w:r>
      <w:r w:rsidR="005D7789" w:rsidRPr="002574EC">
        <w:rPr>
          <w:rStyle w:val="FootnoteReference"/>
          <w:rFonts w:eastAsiaTheme="majorEastAsia"/>
        </w:rPr>
        <w:footnoteReference w:id="218"/>
      </w:r>
      <w:r w:rsidR="00651254" w:rsidRPr="002574EC">
        <w:t xml:space="preserve"> the Rapporteurship emphasizes that, as a minimum, “</w:t>
      </w:r>
      <w:r w:rsidR="004B4E20" w:rsidRPr="002574EC">
        <w:t>those requesting information should have the possibility to appeal any refusals to disclose to an independent body with full powers to investigate and resolve such complaints</w:t>
      </w:r>
      <w:r w:rsidR="001C46B3" w:rsidRPr="002574EC">
        <w:t>.</w:t>
      </w:r>
      <w:r w:rsidR="005D7789" w:rsidRPr="002574EC">
        <w:rPr>
          <w:rFonts w:cs="Tahoma"/>
          <w:shd w:val="clear" w:color="auto" w:fill="FFFFFF"/>
        </w:rPr>
        <w:t>”</w:t>
      </w:r>
      <w:r w:rsidR="005D7789" w:rsidRPr="002574EC">
        <w:rPr>
          <w:rStyle w:val="FootnoteReference"/>
          <w:rFonts w:eastAsiaTheme="majorEastAsia" w:cs="Tahoma"/>
          <w:shd w:val="clear" w:color="auto" w:fill="FFFFFF"/>
        </w:rPr>
        <w:footnoteReference w:id="219"/>
      </w:r>
      <w:r w:rsidR="001C46B3" w:rsidRPr="002574EC">
        <w:rPr>
          <w:rFonts w:cs="Tahoma"/>
          <w:shd w:val="clear" w:color="auto" w:fill="FFFFFF"/>
        </w:rPr>
        <w:t xml:space="preserve">  The Rapporteurship notes that the National Assembly approved the Law following </w:t>
      </w:r>
      <w:r w:rsidR="00227C11" w:rsidRPr="002574EC">
        <w:rPr>
          <w:rFonts w:cs="Tahoma"/>
          <w:shd w:val="clear" w:color="auto" w:fill="FFFFFF"/>
        </w:rPr>
        <w:t xml:space="preserve">the public release of the Report of the UNHCHR recommending Venezuela to </w:t>
      </w:r>
      <w:r w:rsidR="000824E6" w:rsidRPr="002574EC">
        <w:rPr>
          <w:rFonts w:cs="Tahoma"/>
          <w:shd w:val="clear" w:color="auto" w:fill="FFFFFF"/>
        </w:rPr>
        <w:t xml:space="preserve">draft </w:t>
      </w:r>
      <w:r w:rsidR="00227C11" w:rsidRPr="002574EC">
        <w:rPr>
          <w:rFonts w:cs="Tahoma"/>
          <w:shd w:val="clear" w:color="auto" w:fill="FFFFFF"/>
        </w:rPr>
        <w:t xml:space="preserve">and enact </w:t>
      </w:r>
      <w:r w:rsidR="000824E6" w:rsidRPr="002574EC">
        <w:rPr>
          <w:rFonts w:cs="Tahoma"/>
          <w:shd w:val="clear" w:color="auto" w:fill="FFFFFF"/>
        </w:rPr>
        <w:t>“</w:t>
      </w:r>
      <w:r w:rsidR="00227C11" w:rsidRPr="002574EC">
        <w:rPr>
          <w:rFonts w:cs="Tahoma"/>
          <w:shd w:val="clear" w:color="auto" w:fill="FFFFFF"/>
        </w:rPr>
        <w:t xml:space="preserve">an Organic Law of Transparency in </w:t>
      </w:r>
      <w:r w:rsidR="000824E6" w:rsidRPr="002574EC">
        <w:rPr>
          <w:rFonts w:cs="Tahoma"/>
          <w:shd w:val="clear" w:color="auto" w:fill="FFFFFF"/>
        </w:rPr>
        <w:t xml:space="preserve">accordance </w:t>
      </w:r>
      <w:r w:rsidR="00227C11" w:rsidRPr="002574EC">
        <w:rPr>
          <w:rFonts w:cs="Tahoma"/>
          <w:shd w:val="clear" w:color="auto" w:fill="FFFFFF"/>
        </w:rPr>
        <w:t>with international standards.</w:t>
      </w:r>
      <w:r w:rsidR="005D7789" w:rsidRPr="002574EC">
        <w:t>”</w:t>
      </w:r>
      <w:r w:rsidR="005D7789" w:rsidRPr="002574EC">
        <w:rPr>
          <w:rStyle w:val="FootnoteReference"/>
          <w:rFonts w:eastAsiaTheme="majorEastAsia"/>
        </w:rPr>
        <w:footnoteReference w:id="220"/>
      </w:r>
      <w:r w:rsidR="005D7789" w:rsidRPr="002574EC">
        <w:t xml:space="preserve"> </w:t>
      </w:r>
    </w:p>
    <w:p w14:paraId="74BEEF7A" w14:textId="77777777" w:rsidR="005D7789" w:rsidRPr="002574EC" w:rsidRDefault="005D7789" w:rsidP="00E07D06">
      <w:pPr>
        <w:ind w:left="426" w:hanging="426"/>
        <w:jc w:val="both"/>
        <w:rPr>
          <w:rFonts w:ascii="Cambria" w:hAnsi="Cambria"/>
          <w:sz w:val="20"/>
          <w:szCs w:val="20"/>
        </w:rPr>
      </w:pPr>
    </w:p>
    <w:p w14:paraId="42F79480" w14:textId="34C0CE4E" w:rsidR="005D7789" w:rsidRPr="002574EC" w:rsidRDefault="008E6EA7" w:rsidP="00E07D06">
      <w:pPr>
        <w:ind w:left="426" w:hanging="426"/>
        <w:jc w:val="both"/>
        <w:rPr>
          <w:rFonts w:ascii="Cambria" w:hAnsi="Cambria"/>
          <w:b/>
          <w:i/>
          <w:color w:val="000000"/>
          <w:sz w:val="20"/>
          <w:szCs w:val="20"/>
        </w:rPr>
      </w:pPr>
      <w:r w:rsidRPr="002574EC">
        <w:rPr>
          <w:rFonts w:ascii="Cambria" w:hAnsi="Cambria"/>
          <w:b/>
          <w:i/>
          <w:color w:val="000000"/>
          <w:sz w:val="20"/>
          <w:szCs w:val="20"/>
        </w:rPr>
        <w:t xml:space="preserve">Freedom of expression and </w:t>
      </w:r>
      <w:r w:rsidR="004C380E" w:rsidRPr="002574EC">
        <w:rPr>
          <w:rFonts w:ascii="Cambria" w:hAnsi="Cambria"/>
          <w:b/>
          <w:i/>
          <w:color w:val="000000"/>
          <w:sz w:val="20"/>
          <w:szCs w:val="20"/>
        </w:rPr>
        <w:t xml:space="preserve">countering discrimination and exclusion </w:t>
      </w:r>
    </w:p>
    <w:p w14:paraId="79B34728" w14:textId="77777777" w:rsidR="005D7789" w:rsidRPr="002574EC" w:rsidRDefault="005D7789" w:rsidP="00E07D06">
      <w:pPr>
        <w:ind w:left="426" w:hanging="426"/>
        <w:jc w:val="both"/>
        <w:rPr>
          <w:rFonts w:ascii="Cambria" w:hAnsi="Cambria"/>
          <w:b/>
          <w:color w:val="000000"/>
          <w:sz w:val="20"/>
          <w:szCs w:val="20"/>
          <w:shd w:val="clear" w:color="auto" w:fill="FFFFFF"/>
        </w:rPr>
      </w:pPr>
    </w:p>
    <w:p w14:paraId="2F08B7BC" w14:textId="647C80B8" w:rsidR="005D7789" w:rsidRPr="002574EC" w:rsidRDefault="0004524A" w:rsidP="00F85814">
      <w:pPr>
        <w:pStyle w:val="ListParagraph"/>
        <w:rPr>
          <w:shd w:val="clear" w:color="auto" w:fill="FFFFFF"/>
        </w:rPr>
      </w:pPr>
      <w:r w:rsidRPr="002574EC">
        <w:rPr>
          <w:shd w:val="clear" w:color="auto" w:fill="FFFFFF"/>
        </w:rPr>
        <w:t>Over the past years</w:t>
      </w:r>
      <w:r w:rsidR="00E35518" w:rsidRPr="002574EC">
        <w:rPr>
          <w:shd w:val="clear" w:color="auto" w:fill="FFFFFF"/>
        </w:rPr>
        <w:t>, the Office of the Special Rapporteur has observed with particular concern violence against women who practice as journalists</w:t>
      </w:r>
      <w:r w:rsidR="00833534" w:rsidRPr="002574EC">
        <w:rPr>
          <w:shd w:val="clear" w:color="auto" w:fill="FFFFFF"/>
        </w:rPr>
        <w:t xml:space="preserve">, and </w:t>
      </w:r>
      <w:r w:rsidR="005D7789" w:rsidRPr="002574EC">
        <w:rPr>
          <w:shd w:val="clear" w:color="auto" w:fill="FFFFFF"/>
        </w:rPr>
        <w:t>a</w:t>
      </w:r>
      <w:r w:rsidR="00E35518" w:rsidRPr="002574EC">
        <w:rPr>
          <w:shd w:val="clear" w:color="auto" w:fill="FFFFFF"/>
        </w:rPr>
        <w:t xml:space="preserve">ttacks that tend to be </w:t>
      </w:r>
      <w:r w:rsidR="009B0F62" w:rsidRPr="002574EC">
        <w:rPr>
          <w:shd w:val="clear" w:color="auto" w:fill="FFFFFF"/>
        </w:rPr>
        <w:t xml:space="preserve">even more </w:t>
      </w:r>
      <w:r w:rsidR="00BB30CC" w:rsidRPr="002574EC">
        <w:rPr>
          <w:shd w:val="clear" w:color="auto" w:fill="FFFFFF"/>
        </w:rPr>
        <w:t xml:space="preserve">aggressive </w:t>
      </w:r>
      <w:r w:rsidR="009B0F62" w:rsidRPr="002574EC">
        <w:rPr>
          <w:shd w:val="clear" w:color="auto" w:fill="FFFFFF"/>
        </w:rPr>
        <w:t>in the digital setting</w:t>
      </w:r>
      <w:r w:rsidR="004176F2" w:rsidRPr="002574EC">
        <w:rPr>
          <w:shd w:val="clear" w:color="auto" w:fill="FFFFFF"/>
        </w:rPr>
        <w:t xml:space="preserve">.  </w:t>
      </w:r>
      <w:r w:rsidR="007D796E" w:rsidRPr="002574EC">
        <w:rPr>
          <w:shd w:val="clear" w:color="auto" w:fill="FFFFFF"/>
        </w:rPr>
        <w:t xml:space="preserve">Also of concern to this Office is the </w:t>
      </w:r>
      <w:r w:rsidR="00384E43" w:rsidRPr="002574EC">
        <w:rPr>
          <w:shd w:val="clear" w:color="auto" w:fill="FFFFFF"/>
        </w:rPr>
        <w:t xml:space="preserve">State’s failure </w:t>
      </w:r>
      <w:r w:rsidR="007D796E" w:rsidRPr="002574EC">
        <w:rPr>
          <w:shd w:val="clear" w:color="auto" w:fill="FFFFFF"/>
        </w:rPr>
        <w:t xml:space="preserve">to </w:t>
      </w:r>
      <w:r w:rsidR="00511263" w:rsidRPr="002574EC">
        <w:rPr>
          <w:shd w:val="clear" w:color="auto" w:fill="FFFFFF"/>
        </w:rPr>
        <w:t xml:space="preserve">actively provide </w:t>
      </w:r>
      <w:r w:rsidR="00FF03C3" w:rsidRPr="002574EC">
        <w:rPr>
          <w:shd w:val="clear" w:color="auto" w:fill="FFFFFF"/>
        </w:rPr>
        <w:t xml:space="preserve">disaggregated data </w:t>
      </w:r>
      <w:r w:rsidR="00DB33E2" w:rsidRPr="002574EC">
        <w:rPr>
          <w:shd w:val="clear" w:color="auto" w:fill="FFFFFF"/>
        </w:rPr>
        <w:t xml:space="preserve">about violence against groups in vulnerable situations </w:t>
      </w:r>
      <w:r w:rsidR="00B412F4" w:rsidRPr="002574EC">
        <w:rPr>
          <w:shd w:val="clear" w:color="auto" w:fill="FFFFFF"/>
        </w:rPr>
        <w:t xml:space="preserve">to </w:t>
      </w:r>
      <w:r w:rsidR="00473A73" w:rsidRPr="002574EC">
        <w:rPr>
          <w:shd w:val="clear" w:color="auto" w:fill="FFFFFF"/>
        </w:rPr>
        <w:t xml:space="preserve">broadly </w:t>
      </w:r>
      <w:r w:rsidR="00CF3E1A" w:rsidRPr="002574EC">
        <w:rPr>
          <w:shd w:val="clear" w:color="auto" w:fill="FFFFFF"/>
        </w:rPr>
        <w:t>enabl</w:t>
      </w:r>
      <w:r w:rsidR="00B412F4" w:rsidRPr="002574EC">
        <w:rPr>
          <w:shd w:val="clear" w:color="auto" w:fill="FFFFFF"/>
        </w:rPr>
        <w:t>e</w:t>
      </w:r>
      <w:r w:rsidR="00BE6BB8" w:rsidRPr="002574EC">
        <w:rPr>
          <w:shd w:val="clear" w:color="auto" w:fill="FFFFFF"/>
        </w:rPr>
        <w:t xml:space="preserve"> </w:t>
      </w:r>
      <w:r w:rsidR="00103A6A" w:rsidRPr="002574EC">
        <w:rPr>
          <w:shd w:val="clear" w:color="auto" w:fill="FFFFFF"/>
        </w:rPr>
        <w:t>the exercise of the right of access to information</w:t>
      </w:r>
      <w:r w:rsidR="005D7789" w:rsidRPr="002574EC">
        <w:rPr>
          <w:shd w:val="clear" w:color="auto" w:fill="FFFFFF"/>
        </w:rPr>
        <w:t xml:space="preserve">. </w:t>
      </w:r>
    </w:p>
    <w:p w14:paraId="22841EFB" w14:textId="77777777" w:rsidR="005D7789" w:rsidRPr="002574EC" w:rsidRDefault="005D7789" w:rsidP="00E07D06">
      <w:pPr>
        <w:ind w:left="426" w:hanging="426"/>
        <w:jc w:val="both"/>
        <w:rPr>
          <w:rFonts w:ascii="Cambria" w:hAnsi="Cambria"/>
          <w:sz w:val="20"/>
          <w:szCs w:val="20"/>
          <w:shd w:val="clear" w:color="auto" w:fill="FFFFFF"/>
        </w:rPr>
      </w:pPr>
    </w:p>
    <w:p w14:paraId="7C7D7AD7" w14:textId="25A0DF63" w:rsidR="005D7789" w:rsidRPr="002574EC" w:rsidRDefault="00E35D2C" w:rsidP="00F85814">
      <w:pPr>
        <w:pStyle w:val="ListParagraph"/>
        <w:rPr>
          <w:shd w:val="clear" w:color="auto" w:fill="FFFFFF"/>
        </w:rPr>
      </w:pPr>
      <w:r w:rsidRPr="002574EC">
        <w:t xml:space="preserve">According to an analysis from the </w:t>
      </w:r>
      <w:r w:rsidR="005D7789" w:rsidRPr="002574EC">
        <w:t xml:space="preserve">Instituto de Prensa y Sociedad Venezuela </w:t>
      </w:r>
      <w:r w:rsidR="002C71D1" w:rsidRPr="002574EC">
        <w:t>published in February 2021, “</w:t>
      </w:r>
      <w:r w:rsidR="005D7789" w:rsidRPr="002574EC">
        <w:rPr>
          <w:shd w:val="clear" w:color="auto" w:fill="FFFFFF"/>
        </w:rPr>
        <w:t xml:space="preserve">113 </w:t>
      </w:r>
      <w:r w:rsidR="002C71D1" w:rsidRPr="002574EC">
        <w:rPr>
          <w:shd w:val="clear" w:color="auto" w:fill="FFFFFF"/>
        </w:rPr>
        <w:t xml:space="preserve">women reporters were victims of attacks on their right to report in 2019” and another “127 women were attacked in the context of their communications-related </w:t>
      </w:r>
      <w:r w:rsidR="005E6576" w:rsidRPr="002574EC">
        <w:rPr>
          <w:shd w:val="clear" w:color="auto" w:fill="FFFFFF"/>
        </w:rPr>
        <w:t>business over the 12 months of 2020.</w:t>
      </w:r>
      <w:r w:rsidR="005D7789" w:rsidRPr="002574EC">
        <w:rPr>
          <w:shd w:val="clear" w:color="auto" w:fill="FFFFFF"/>
        </w:rPr>
        <w:t>”</w:t>
      </w:r>
      <w:r w:rsidR="005D7789" w:rsidRPr="002574EC">
        <w:rPr>
          <w:rStyle w:val="FootnoteReference"/>
          <w:rFonts w:eastAsiaTheme="majorEastAsia"/>
          <w:shd w:val="clear" w:color="auto" w:fill="FFFFFF"/>
        </w:rPr>
        <w:footnoteReference w:id="221"/>
      </w:r>
      <w:r w:rsidR="00386511" w:rsidRPr="002574EC">
        <w:rPr>
          <w:shd w:val="clear" w:color="auto" w:fill="FFFFFF"/>
        </w:rPr>
        <w:t xml:space="preserve"> According to what the Special Rapporteurship was able to find out, the attacks usually take place when the journalists cover </w:t>
      </w:r>
      <w:r w:rsidR="00071C3E" w:rsidRPr="002574EC">
        <w:rPr>
          <w:shd w:val="clear" w:color="auto" w:fill="FFFFFF"/>
        </w:rPr>
        <w:t xml:space="preserve">economics, politics, sports or other subjects that are traditionally considered the </w:t>
      </w:r>
      <w:r w:rsidR="00C00175" w:rsidRPr="002574EC">
        <w:rPr>
          <w:shd w:val="clear" w:color="auto" w:fill="FFFFFF"/>
        </w:rPr>
        <w:t xml:space="preserve">province </w:t>
      </w:r>
      <w:r w:rsidR="00673974" w:rsidRPr="002574EC">
        <w:rPr>
          <w:shd w:val="clear" w:color="auto" w:fill="FFFFFF"/>
        </w:rPr>
        <w:t>of men.</w:t>
      </w:r>
      <w:r w:rsidR="005D7789" w:rsidRPr="002574EC">
        <w:rPr>
          <w:rStyle w:val="FootnoteReference"/>
          <w:rFonts w:eastAsiaTheme="majorEastAsia"/>
          <w:shd w:val="clear" w:color="auto" w:fill="FFFFFF"/>
        </w:rPr>
        <w:footnoteReference w:id="222"/>
      </w:r>
      <w:r w:rsidR="006B2C01" w:rsidRPr="002574EC">
        <w:rPr>
          <w:shd w:val="clear" w:color="auto" w:fill="FFFFFF"/>
        </w:rPr>
        <w:t xml:space="preserve"> </w:t>
      </w:r>
      <w:r w:rsidR="00842350" w:rsidRPr="002574EC">
        <w:rPr>
          <w:shd w:val="clear" w:color="auto" w:fill="FFFFFF"/>
        </w:rPr>
        <w:t>The NGO</w:t>
      </w:r>
      <w:r w:rsidR="005D7789" w:rsidRPr="002574EC">
        <w:rPr>
          <w:shd w:val="clear" w:color="auto" w:fill="FFFFFF"/>
        </w:rPr>
        <w:t xml:space="preserve"> Espacio Publico</w:t>
      </w:r>
      <w:r w:rsidR="00842350" w:rsidRPr="002574EC">
        <w:rPr>
          <w:shd w:val="clear" w:color="auto" w:fill="FFFFFF"/>
        </w:rPr>
        <w:t xml:space="preserve"> also published a specific report examining violence</w:t>
      </w:r>
      <w:r w:rsidR="008C5AD3" w:rsidRPr="002574EC">
        <w:rPr>
          <w:shd w:val="clear" w:color="auto" w:fill="FFFFFF"/>
        </w:rPr>
        <w:t xml:space="preserve"> against women</w:t>
      </w:r>
      <w:r w:rsidR="00842350" w:rsidRPr="002574EC">
        <w:rPr>
          <w:shd w:val="clear" w:color="auto" w:fill="FFFFFF"/>
        </w:rPr>
        <w:t xml:space="preserve"> in the digital</w:t>
      </w:r>
      <w:r w:rsidR="00BE6BB8" w:rsidRPr="002574EC">
        <w:rPr>
          <w:shd w:val="clear" w:color="auto" w:fill="FFFFFF"/>
        </w:rPr>
        <w:t xml:space="preserve"> space</w:t>
      </w:r>
      <w:r w:rsidR="003D2DE1" w:rsidRPr="002574EC">
        <w:rPr>
          <w:shd w:val="clear" w:color="auto" w:fill="FFFFFF"/>
        </w:rPr>
        <w:t xml:space="preserve">, </w:t>
      </w:r>
      <w:r w:rsidR="00A86F94" w:rsidRPr="002574EC">
        <w:rPr>
          <w:shd w:val="clear" w:color="auto" w:fill="FFFFFF"/>
        </w:rPr>
        <w:t xml:space="preserve">based on an analysis of violence against </w:t>
      </w:r>
      <w:r w:rsidR="005D7789" w:rsidRPr="002574EC">
        <w:rPr>
          <w:shd w:val="clear" w:color="auto" w:fill="FFFFFF"/>
        </w:rPr>
        <w:t>Diana Liz Duque, Gregoria D</w:t>
      </w:r>
      <w:r w:rsidR="004C2329" w:rsidRPr="002574EC">
        <w:rPr>
          <w:shd w:val="clear" w:color="auto" w:fill="FFFFFF"/>
        </w:rPr>
        <w:t>í</w:t>
      </w:r>
      <w:r w:rsidR="005D7789" w:rsidRPr="002574EC">
        <w:rPr>
          <w:shd w:val="clear" w:color="auto" w:fill="FFFFFF"/>
        </w:rPr>
        <w:t xml:space="preserve">az </w:t>
      </w:r>
      <w:r w:rsidR="00A86F94" w:rsidRPr="002574EC">
        <w:rPr>
          <w:shd w:val="clear" w:color="auto" w:fill="FFFFFF"/>
        </w:rPr>
        <w:t>and</w:t>
      </w:r>
      <w:r w:rsidR="005D7789" w:rsidRPr="002574EC">
        <w:rPr>
          <w:shd w:val="clear" w:color="auto" w:fill="FFFFFF"/>
        </w:rPr>
        <w:t xml:space="preserve"> Lorena Arraes, </w:t>
      </w:r>
      <w:r w:rsidR="000560E0" w:rsidRPr="002574EC">
        <w:rPr>
          <w:shd w:val="clear" w:color="auto" w:fill="FFFFFF"/>
        </w:rPr>
        <w:t xml:space="preserve">all journalists </w:t>
      </w:r>
      <w:r w:rsidR="00256D26" w:rsidRPr="002574EC">
        <w:rPr>
          <w:shd w:val="clear" w:color="auto" w:fill="FFFFFF"/>
        </w:rPr>
        <w:t xml:space="preserve">who, </w:t>
      </w:r>
      <w:r w:rsidR="00062E1D" w:rsidRPr="002574EC">
        <w:rPr>
          <w:shd w:val="clear" w:color="auto" w:fill="FFFFFF"/>
        </w:rPr>
        <w:t xml:space="preserve">in 2020, endured a number of online attacks and harassment campaigns </w:t>
      </w:r>
      <w:r w:rsidR="00152DA0" w:rsidRPr="002574EC">
        <w:rPr>
          <w:shd w:val="clear" w:color="auto" w:fill="FFFFFF"/>
        </w:rPr>
        <w:t xml:space="preserve">after exercising </w:t>
      </w:r>
      <w:r w:rsidR="0047262B" w:rsidRPr="002574EC">
        <w:rPr>
          <w:shd w:val="clear" w:color="auto" w:fill="FFFFFF"/>
        </w:rPr>
        <w:t>their right to practice journalism.</w:t>
      </w:r>
      <w:r w:rsidR="005D7789" w:rsidRPr="002574EC">
        <w:rPr>
          <w:rStyle w:val="FootnoteReference"/>
          <w:rFonts w:eastAsiaTheme="majorEastAsia"/>
          <w:shd w:val="clear" w:color="auto" w:fill="FFFFFF"/>
        </w:rPr>
        <w:footnoteReference w:id="223"/>
      </w:r>
      <w:r w:rsidR="005D7789" w:rsidRPr="002574EC">
        <w:rPr>
          <w:shd w:val="clear" w:color="auto" w:fill="FFFFFF"/>
        </w:rPr>
        <w:t xml:space="preserve">  </w:t>
      </w:r>
    </w:p>
    <w:p w14:paraId="11338F42" w14:textId="77777777" w:rsidR="005D7789" w:rsidRPr="002574EC" w:rsidRDefault="005D7789" w:rsidP="00E07D06">
      <w:pPr>
        <w:ind w:left="426" w:hanging="426"/>
        <w:jc w:val="both"/>
        <w:rPr>
          <w:rFonts w:ascii="Cambria" w:hAnsi="Cambria"/>
          <w:sz w:val="20"/>
          <w:szCs w:val="20"/>
          <w:shd w:val="clear" w:color="auto" w:fill="FFFFFF"/>
        </w:rPr>
      </w:pPr>
    </w:p>
    <w:p w14:paraId="74DE783F" w14:textId="373A37A6" w:rsidR="005D7789" w:rsidRPr="002574EC" w:rsidRDefault="00CF4CA2" w:rsidP="00F85814">
      <w:pPr>
        <w:pStyle w:val="ListParagraph"/>
        <w:rPr>
          <w:rFonts w:cs="Tahoma"/>
          <w:shd w:val="clear" w:color="auto" w:fill="FFFFFF"/>
        </w:rPr>
      </w:pPr>
      <w:r w:rsidRPr="002574EC">
        <w:rPr>
          <w:shd w:val="clear" w:color="auto" w:fill="FFFFFF"/>
        </w:rPr>
        <w:t xml:space="preserve">The </w:t>
      </w:r>
      <w:r w:rsidR="002F5241" w:rsidRPr="002574EC">
        <w:rPr>
          <w:shd w:val="clear" w:color="auto" w:fill="FFFFFF"/>
        </w:rPr>
        <w:t xml:space="preserve">Office of the Special Rapporteur also stresses the importance of active transparency </w:t>
      </w:r>
      <w:r w:rsidR="00957915" w:rsidRPr="002574EC">
        <w:rPr>
          <w:shd w:val="clear" w:color="auto" w:fill="FFFFFF"/>
        </w:rPr>
        <w:t xml:space="preserve">and disaggregation of </w:t>
      </w:r>
      <w:r w:rsidR="00C55E15" w:rsidRPr="002574EC">
        <w:rPr>
          <w:shd w:val="clear" w:color="auto" w:fill="FFFFFF"/>
        </w:rPr>
        <w:t xml:space="preserve">data </w:t>
      </w:r>
      <w:r w:rsidR="00085D7D" w:rsidRPr="002574EC">
        <w:rPr>
          <w:shd w:val="clear" w:color="auto" w:fill="FFFFFF"/>
        </w:rPr>
        <w:t xml:space="preserve">by </w:t>
      </w:r>
      <w:r w:rsidR="00C55E15" w:rsidRPr="002574EC">
        <w:rPr>
          <w:shd w:val="clear" w:color="auto" w:fill="FFFFFF"/>
        </w:rPr>
        <w:t>vulnerable groups</w:t>
      </w:r>
      <w:r w:rsidR="003D6D03" w:rsidRPr="002574EC">
        <w:rPr>
          <w:shd w:val="clear" w:color="auto" w:fill="FFFFFF"/>
        </w:rPr>
        <w:t xml:space="preserve"> of people</w:t>
      </w:r>
      <w:r w:rsidR="00CD27E1" w:rsidRPr="002574EC">
        <w:rPr>
          <w:shd w:val="clear" w:color="auto" w:fill="FFFFFF"/>
        </w:rPr>
        <w:t xml:space="preserve"> in order to ensure in the broadest terms the right of access to information</w:t>
      </w:r>
      <w:r w:rsidR="0094031C" w:rsidRPr="002574EC">
        <w:rPr>
          <w:shd w:val="clear" w:color="auto" w:fill="FFFFFF"/>
        </w:rPr>
        <w:t xml:space="preserve">.  In </w:t>
      </w:r>
      <w:r w:rsidR="005D7789" w:rsidRPr="002574EC">
        <w:rPr>
          <w:shd w:val="clear" w:color="auto" w:fill="FFFFFF"/>
        </w:rPr>
        <w:t xml:space="preserve">2021, </w:t>
      </w:r>
      <w:r w:rsidR="0094031C" w:rsidRPr="002574EC">
        <w:rPr>
          <w:shd w:val="clear" w:color="auto" w:fill="FFFFFF"/>
        </w:rPr>
        <w:t>the IACHR received information from civil society about the lack of S</w:t>
      </w:r>
      <w:r w:rsidR="00C25E70" w:rsidRPr="002574EC">
        <w:rPr>
          <w:shd w:val="clear" w:color="auto" w:fill="FFFFFF"/>
        </w:rPr>
        <w:t>t</w:t>
      </w:r>
      <w:r w:rsidR="0094031C" w:rsidRPr="002574EC">
        <w:rPr>
          <w:shd w:val="clear" w:color="auto" w:fill="FFFFFF"/>
        </w:rPr>
        <w:t xml:space="preserve">ate policies </w:t>
      </w:r>
      <w:r w:rsidR="00340D74" w:rsidRPr="002574EC">
        <w:rPr>
          <w:shd w:val="clear" w:color="auto" w:fill="FFFFFF"/>
        </w:rPr>
        <w:t xml:space="preserve">pertaining to collecting data on acts of violence against LGBTI persons, even though States are required </w:t>
      </w:r>
      <w:r w:rsidR="00340D74" w:rsidRPr="002574EC">
        <w:rPr>
          <w:shd w:val="clear" w:color="auto" w:fill="FFFFFF"/>
        </w:rPr>
        <w:lastRenderedPageBreak/>
        <w:t xml:space="preserve">to </w:t>
      </w:r>
      <w:r w:rsidR="00F40786" w:rsidRPr="002574EC">
        <w:rPr>
          <w:shd w:val="clear" w:color="auto" w:fill="FFFFFF"/>
        </w:rPr>
        <w:t xml:space="preserve">systematically </w:t>
      </w:r>
      <w:r w:rsidR="00340D74" w:rsidRPr="002574EC">
        <w:rPr>
          <w:shd w:val="clear" w:color="auto" w:fill="FFFFFF"/>
        </w:rPr>
        <w:t xml:space="preserve">collect and analyze </w:t>
      </w:r>
      <w:r w:rsidR="00F40786" w:rsidRPr="002574EC">
        <w:rPr>
          <w:shd w:val="clear" w:color="auto" w:fill="FFFFFF"/>
        </w:rPr>
        <w:t>statistics</w:t>
      </w:r>
      <w:r w:rsidR="00936032" w:rsidRPr="002574EC">
        <w:rPr>
          <w:shd w:val="clear" w:color="auto" w:fill="FFFFFF"/>
        </w:rPr>
        <w:t xml:space="preserve"> on the prevalence and </w:t>
      </w:r>
      <w:r w:rsidR="003A6FC1" w:rsidRPr="002574EC">
        <w:rPr>
          <w:shd w:val="clear" w:color="auto" w:fill="FFFFFF"/>
        </w:rPr>
        <w:t xml:space="preserve">nature of violence and discrimination </w:t>
      </w:r>
      <w:r w:rsidR="00B4609F" w:rsidRPr="002574EC">
        <w:rPr>
          <w:shd w:val="clear" w:color="auto" w:fill="FFFFFF"/>
        </w:rPr>
        <w:t>based on prejudice against LGBTI persons, or against anyone perceived as such.</w:t>
      </w:r>
      <w:r w:rsidR="005D7789" w:rsidRPr="002574EC">
        <w:rPr>
          <w:rStyle w:val="FootnoteReference"/>
          <w:rFonts w:eastAsiaTheme="majorEastAsia" w:cs="Tahoma"/>
          <w:shd w:val="clear" w:color="auto" w:fill="FFFFFF"/>
        </w:rPr>
        <w:footnoteReference w:id="224"/>
      </w:r>
    </w:p>
    <w:p w14:paraId="11BF7F50" w14:textId="77777777" w:rsidR="005D7789" w:rsidRPr="002574EC" w:rsidRDefault="005D7789" w:rsidP="00E07D06">
      <w:pPr>
        <w:ind w:left="426" w:hanging="426"/>
        <w:jc w:val="both"/>
        <w:rPr>
          <w:rFonts w:ascii="Cambria" w:hAnsi="Cambria" w:cs="Tahoma"/>
          <w:sz w:val="20"/>
          <w:szCs w:val="20"/>
          <w:shd w:val="clear" w:color="auto" w:fill="FFFFFF"/>
        </w:rPr>
      </w:pPr>
    </w:p>
    <w:p w14:paraId="15B809B1" w14:textId="5805C2A8" w:rsidR="005D7789" w:rsidRPr="002574EC" w:rsidRDefault="00A313A6" w:rsidP="00F85814">
      <w:pPr>
        <w:pStyle w:val="ListParagraph"/>
        <w:rPr>
          <w:color w:val="212529"/>
          <w:shd w:val="clear" w:color="auto" w:fill="FFFFFF"/>
        </w:rPr>
      </w:pPr>
      <w:r w:rsidRPr="002574EC">
        <w:rPr>
          <w:shd w:val="clear" w:color="auto" w:fill="FFFFFF"/>
        </w:rPr>
        <w:t>On another note, the Special Rapporteurship welcomes the approval in the National Assembly of the Law for the Promotion and Use of Language with a Gender</w:t>
      </w:r>
      <w:r w:rsidR="005B29CF" w:rsidRPr="002574EC">
        <w:rPr>
          <w:shd w:val="clear" w:color="auto" w:fill="FFFFFF"/>
        </w:rPr>
        <w:t xml:space="preserve"> Focus</w:t>
      </w:r>
      <w:r w:rsidR="006661B3" w:rsidRPr="002574EC">
        <w:rPr>
          <w:shd w:val="clear" w:color="auto" w:fill="FFFFFF"/>
        </w:rPr>
        <w:t xml:space="preserve"> </w:t>
      </w:r>
      <w:r w:rsidR="00E312B6" w:rsidRPr="002574EC">
        <w:rPr>
          <w:shd w:val="clear" w:color="auto" w:fill="FFFFFF"/>
        </w:rPr>
        <w:t>on September 30, 2021</w:t>
      </w:r>
      <w:r w:rsidR="005D7789" w:rsidRPr="002574EC">
        <w:rPr>
          <w:shd w:val="clear" w:color="auto" w:fill="FFFFFF"/>
        </w:rPr>
        <w:t>.</w:t>
      </w:r>
      <w:r w:rsidR="006B6F37" w:rsidRPr="002574EC">
        <w:rPr>
          <w:shd w:val="clear" w:color="auto" w:fill="FFFFFF"/>
        </w:rPr>
        <w:t xml:space="preserve"> According to available information, </w:t>
      </w:r>
      <w:r w:rsidR="00FA21F6" w:rsidRPr="002574EC">
        <w:rPr>
          <w:shd w:val="clear" w:color="auto" w:fill="FFFFFF"/>
        </w:rPr>
        <w:t xml:space="preserve">the Law is awaiting the executive branch to sign it into force. </w:t>
      </w:r>
      <w:r w:rsidR="00025144" w:rsidRPr="002574EC">
        <w:rPr>
          <w:shd w:val="clear" w:color="auto" w:fill="FFFFFF"/>
        </w:rPr>
        <w:t xml:space="preserve"> The Law provides, </w:t>
      </w:r>
      <w:r w:rsidR="00025144" w:rsidRPr="002574EC">
        <w:rPr>
          <w:i/>
          <w:iCs/>
          <w:shd w:val="clear" w:color="auto" w:fill="FFFFFF"/>
        </w:rPr>
        <w:t>inter alia,</w:t>
      </w:r>
      <w:r w:rsidR="00025144" w:rsidRPr="002574EC">
        <w:rPr>
          <w:shd w:val="clear" w:color="auto" w:fill="FFFFFF"/>
        </w:rPr>
        <w:t xml:space="preserve"> that communications from the branches of government must promote inclusive and non-sexist language</w:t>
      </w:r>
      <w:r w:rsidR="00526037" w:rsidRPr="002574EC">
        <w:rPr>
          <w:shd w:val="clear" w:color="auto" w:fill="FFFFFF"/>
        </w:rPr>
        <w:t xml:space="preserve">, avoiding </w:t>
      </w:r>
      <w:r w:rsidR="00295B6A" w:rsidRPr="002574EC">
        <w:rPr>
          <w:shd w:val="clear" w:color="auto" w:fill="FFFFFF"/>
        </w:rPr>
        <w:t xml:space="preserve">the universal masculine forms and with preference for </w:t>
      </w:r>
      <w:r w:rsidR="00AA3C95" w:rsidRPr="002574EC">
        <w:rPr>
          <w:shd w:val="clear" w:color="auto" w:fill="FFFFFF"/>
        </w:rPr>
        <w:t xml:space="preserve">the use of </w:t>
      </w:r>
      <w:r w:rsidR="00295B6A" w:rsidRPr="002574EC">
        <w:rPr>
          <w:shd w:val="clear" w:color="auto" w:fill="FFFFFF"/>
        </w:rPr>
        <w:t>gender neutral</w:t>
      </w:r>
      <w:r w:rsidR="00AA3C95" w:rsidRPr="002574EC">
        <w:rPr>
          <w:shd w:val="clear" w:color="auto" w:fill="FFFFFF"/>
        </w:rPr>
        <w:t xml:space="preserve"> words</w:t>
      </w:r>
      <w:r w:rsidR="00295B6A" w:rsidRPr="002574EC">
        <w:rPr>
          <w:shd w:val="clear" w:color="auto" w:fill="FFFFFF"/>
        </w:rPr>
        <w:t>.</w:t>
      </w:r>
      <w:r w:rsidR="005D7789" w:rsidRPr="002574EC">
        <w:rPr>
          <w:rStyle w:val="FootnoteReference"/>
          <w:rFonts w:eastAsiaTheme="majorEastAsia"/>
          <w:shd w:val="clear" w:color="auto" w:fill="FFFFFF"/>
        </w:rPr>
        <w:footnoteReference w:id="225"/>
      </w:r>
      <w:r w:rsidR="005D7789" w:rsidRPr="002574EC">
        <w:rPr>
          <w:color w:val="212529"/>
          <w:shd w:val="clear" w:color="auto" w:fill="FFFFFF"/>
        </w:rPr>
        <w:t xml:space="preserve"> </w:t>
      </w:r>
    </w:p>
    <w:p w14:paraId="3E85A86C" w14:textId="77777777" w:rsidR="005D7789" w:rsidRPr="002574EC" w:rsidRDefault="005D7789" w:rsidP="00E07D06">
      <w:pPr>
        <w:ind w:left="426" w:hanging="426"/>
        <w:jc w:val="both"/>
        <w:rPr>
          <w:rFonts w:ascii="Cambria" w:hAnsi="Cambria"/>
          <w:color w:val="212529"/>
          <w:sz w:val="20"/>
          <w:szCs w:val="20"/>
          <w:shd w:val="clear" w:color="auto" w:fill="FFFFFF"/>
        </w:rPr>
      </w:pPr>
    </w:p>
    <w:p w14:paraId="50588811" w14:textId="5F8CDB94" w:rsidR="005D7789" w:rsidRPr="002574EC" w:rsidRDefault="001543BB" w:rsidP="00F85814">
      <w:pPr>
        <w:pStyle w:val="ListParagraph"/>
        <w:rPr>
          <w:shd w:val="clear" w:color="auto" w:fill="FFFFFF"/>
        </w:rPr>
      </w:pPr>
      <w:r w:rsidRPr="002574EC">
        <w:rPr>
          <w:shd w:val="clear" w:color="auto" w:fill="FFFFFF"/>
        </w:rPr>
        <w:t xml:space="preserve">Lastly, the Office of the Special Rapporteur learned that members of the indigenous community of La Reforma were reportedly the targets of verbal </w:t>
      </w:r>
      <w:r w:rsidR="00883CA4" w:rsidRPr="002574EC">
        <w:rPr>
          <w:shd w:val="clear" w:color="auto" w:fill="FFFFFF"/>
        </w:rPr>
        <w:t>abuse by a woman official of the National Parks Institute</w:t>
      </w:r>
      <w:r w:rsidR="00EB090C" w:rsidRPr="002574EC">
        <w:rPr>
          <w:shd w:val="clear" w:color="auto" w:fill="FFFFFF"/>
        </w:rPr>
        <w:t xml:space="preserve"> </w:t>
      </w:r>
      <w:r w:rsidR="005D7789" w:rsidRPr="002574EC">
        <w:rPr>
          <w:shd w:val="clear" w:color="auto" w:fill="FFFFFF"/>
        </w:rPr>
        <w:t xml:space="preserve"> (Inparques- Amazonas) </w:t>
      </w:r>
      <w:r w:rsidR="00600669" w:rsidRPr="002574EC">
        <w:rPr>
          <w:shd w:val="clear" w:color="auto" w:fill="FFFFFF"/>
        </w:rPr>
        <w:t>for speaking in her native language.</w:t>
      </w:r>
      <w:r w:rsidR="00DD4145" w:rsidRPr="002574EC">
        <w:rPr>
          <w:shd w:val="clear" w:color="auto" w:fill="FFFFFF"/>
        </w:rPr>
        <w:t xml:space="preserve"> Additionally, a woman public official allegedly said to them that it was prohibited to speak that way at Inparques.</w:t>
      </w:r>
      <w:r w:rsidR="005D7789" w:rsidRPr="002574EC">
        <w:rPr>
          <w:rStyle w:val="FootnoteReference"/>
          <w:rFonts w:eastAsiaTheme="majorEastAsia" w:cs="Tahoma"/>
          <w:shd w:val="clear" w:color="auto" w:fill="FFFFFF"/>
        </w:rPr>
        <w:footnoteReference w:id="226"/>
      </w:r>
      <w:r w:rsidR="005D7789" w:rsidRPr="002574EC">
        <w:rPr>
          <w:shd w:val="clear" w:color="auto" w:fill="FFFFFF"/>
        </w:rPr>
        <w:t xml:space="preserve"> </w:t>
      </w:r>
    </w:p>
    <w:p w14:paraId="300C2A27" w14:textId="77777777" w:rsidR="005D7789" w:rsidRPr="002574EC" w:rsidRDefault="005D7789" w:rsidP="00E07D06">
      <w:pPr>
        <w:ind w:left="426" w:hanging="426"/>
        <w:jc w:val="both"/>
        <w:rPr>
          <w:rFonts w:ascii="Cambria" w:hAnsi="Cambria" w:cs="Tahoma"/>
          <w:sz w:val="20"/>
          <w:szCs w:val="20"/>
          <w:shd w:val="clear" w:color="auto" w:fill="FFFFFF"/>
        </w:rPr>
      </w:pPr>
    </w:p>
    <w:p w14:paraId="41C6CB7C" w14:textId="77777777" w:rsidR="00965E67" w:rsidRPr="002574EC" w:rsidRDefault="00965E67" w:rsidP="00E07D06">
      <w:pPr>
        <w:ind w:left="426" w:hanging="426"/>
        <w:jc w:val="both"/>
        <w:rPr>
          <w:rFonts w:ascii="Cambria" w:hAnsi="Cambria" w:cs="Tahoma"/>
          <w:sz w:val="20"/>
          <w:szCs w:val="20"/>
          <w:shd w:val="clear" w:color="auto" w:fill="FFFFFF"/>
        </w:rPr>
      </w:pPr>
    </w:p>
    <w:p w14:paraId="6F68D9ED" w14:textId="1F26DE7A" w:rsidR="005D7789" w:rsidRPr="002574EC" w:rsidRDefault="005D7789" w:rsidP="00E07D06">
      <w:pPr>
        <w:ind w:left="426" w:hanging="426"/>
        <w:jc w:val="both"/>
        <w:rPr>
          <w:rFonts w:ascii="Cambria" w:hAnsi="Cambria"/>
          <w:b/>
          <w:i/>
          <w:sz w:val="20"/>
          <w:szCs w:val="20"/>
        </w:rPr>
      </w:pPr>
      <w:r w:rsidRPr="002574EC">
        <w:rPr>
          <w:rFonts w:ascii="Cambria" w:hAnsi="Cambria"/>
          <w:b/>
          <w:i/>
          <w:sz w:val="20"/>
          <w:szCs w:val="20"/>
        </w:rPr>
        <w:t xml:space="preserve">Internet </w:t>
      </w:r>
      <w:r w:rsidR="00DB266B" w:rsidRPr="002574EC">
        <w:rPr>
          <w:rFonts w:ascii="Cambria" w:hAnsi="Cambria"/>
          <w:b/>
          <w:i/>
          <w:sz w:val="20"/>
          <w:szCs w:val="20"/>
        </w:rPr>
        <w:t xml:space="preserve">and Freedom of Expression </w:t>
      </w:r>
    </w:p>
    <w:p w14:paraId="0057B2D2" w14:textId="77777777" w:rsidR="00965E67" w:rsidRPr="002574EC" w:rsidRDefault="00965E67" w:rsidP="00522380">
      <w:pPr>
        <w:jc w:val="both"/>
        <w:rPr>
          <w:rFonts w:ascii="Cambria" w:hAnsi="Cambria"/>
          <w:b/>
          <w:sz w:val="20"/>
          <w:szCs w:val="20"/>
        </w:rPr>
      </w:pPr>
    </w:p>
    <w:p w14:paraId="247D4C90" w14:textId="39D0AA63" w:rsidR="005D7789" w:rsidRPr="002574EC" w:rsidRDefault="00AC34BD" w:rsidP="00F85814">
      <w:pPr>
        <w:pStyle w:val="ListParagraph"/>
        <w:rPr>
          <w:shd w:val="clear" w:color="auto" w:fill="FFFFFF"/>
        </w:rPr>
      </w:pPr>
      <w:r w:rsidRPr="002574EC">
        <w:rPr>
          <w:shd w:val="clear" w:color="auto" w:fill="FFFFFF"/>
        </w:rPr>
        <w:t>The p</w:t>
      </w:r>
      <w:r w:rsidR="004C3B90" w:rsidRPr="002574EC">
        <w:rPr>
          <w:shd w:val="clear" w:color="auto" w:fill="FFFFFF"/>
        </w:rPr>
        <w:t xml:space="preserve">otential </w:t>
      </w:r>
      <w:r w:rsidRPr="002574EC">
        <w:rPr>
          <w:shd w:val="clear" w:color="auto" w:fill="FFFFFF"/>
        </w:rPr>
        <w:t xml:space="preserve">to </w:t>
      </w:r>
      <w:r w:rsidR="004C3B90" w:rsidRPr="002574EC">
        <w:rPr>
          <w:shd w:val="clear" w:color="auto" w:fill="FFFFFF"/>
        </w:rPr>
        <w:t xml:space="preserve">exercise freedom of expression by means of Internet in Venezuela </w:t>
      </w:r>
      <w:r w:rsidR="004E3DFF" w:rsidRPr="002574EC">
        <w:rPr>
          <w:shd w:val="clear" w:color="auto" w:fill="FFFFFF"/>
        </w:rPr>
        <w:t xml:space="preserve">is hampered by </w:t>
      </w:r>
      <w:r w:rsidR="004C3B90" w:rsidRPr="002574EC">
        <w:rPr>
          <w:shd w:val="clear" w:color="auto" w:fill="FFFFFF"/>
        </w:rPr>
        <w:t>a variety of</w:t>
      </w:r>
      <w:r w:rsidR="004E3DFF" w:rsidRPr="002574EC">
        <w:rPr>
          <w:shd w:val="clear" w:color="auto" w:fill="FFFFFF"/>
        </w:rPr>
        <w:t xml:space="preserve"> obstacles</w:t>
      </w:r>
      <w:r w:rsidR="004C3B90" w:rsidRPr="002574EC">
        <w:rPr>
          <w:shd w:val="clear" w:color="auto" w:fill="FFFFFF"/>
        </w:rPr>
        <w:t>, such as poor network infrastructure in the country</w:t>
      </w:r>
      <w:r w:rsidR="00260906" w:rsidRPr="002574EC">
        <w:rPr>
          <w:shd w:val="clear" w:color="auto" w:fill="FFFFFF"/>
        </w:rPr>
        <w:t xml:space="preserve">, </w:t>
      </w:r>
      <w:r w:rsidR="004C3B90" w:rsidRPr="002574EC">
        <w:rPr>
          <w:shd w:val="clear" w:color="auto" w:fill="FFFFFF"/>
        </w:rPr>
        <w:t>in addition to theft and vandalism of the infrastructure</w:t>
      </w:r>
      <w:r w:rsidR="00260906" w:rsidRPr="002574EC">
        <w:rPr>
          <w:shd w:val="clear" w:color="auto" w:fill="FFFFFF"/>
        </w:rPr>
        <w:t xml:space="preserve">; </w:t>
      </w:r>
      <w:r w:rsidR="004C3B90" w:rsidRPr="002574EC">
        <w:rPr>
          <w:shd w:val="clear" w:color="auto" w:fill="FFFFFF"/>
        </w:rPr>
        <w:t>the energy crisis</w:t>
      </w:r>
      <w:r w:rsidR="00260906" w:rsidRPr="002574EC">
        <w:rPr>
          <w:shd w:val="clear" w:color="auto" w:fill="FFFFFF"/>
        </w:rPr>
        <w:t xml:space="preserve">, </w:t>
      </w:r>
      <w:r w:rsidR="004C3B90" w:rsidRPr="002574EC">
        <w:rPr>
          <w:shd w:val="clear" w:color="auto" w:fill="FFFFFF"/>
        </w:rPr>
        <w:t xml:space="preserve">which </w:t>
      </w:r>
      <w:r w:rsidR="001512F5" w:rsidRPr="002574EC">
        <w:rPr>
          <w:shd w:val="clear" w:color="auto" w:fill="FFFFFF"/>
        </w:rPr>
        <w:t>spawns power outages and dropped signals</w:t>
      </w:r>
      <w:r w:rsidR="00260906" w:rsidRPr="002574EC">
        <w:rPr>
          <w:shd w:val="clear" w:color="auto" w:fill="FFFFFF"/>
        </w:rPr>
        <w:t>;</w:t>
      </w:r>
      <w:r w:rsidR="001512F5" w:rsidRPr="002574EC">
        <w:rPr>
          <w:shd w:val="clear" w:color="auto" w:fill="FFFFFF"/>
        </w:rPr>
        <w:t xml:space="preserve"> the high cost of access, </w:t>
      </w:r>
      <w:r w:rsidR="00335CE5" w:rsidRPr="002574EC">
        <w:rPr>
          <w:shd w:val="clear" w:color="auto" w:fill="FFFFFF"/>
        </w:rPr>
        <w:t xml:space="preserve">virtually </w:t>
      </w:r>
      <w:r w:rsidR="007F609A" w:rsidRPr="002574EC">
        <w:rPr>
          <w:shd w:val="clear" w:color="auto" w:fill="FFFFFF"/>
        </w:rPr>
        <w:t xml:space="preserve">a single </w:t>
      </w:r>
      <w:r w:rsidR="00335CE5" w:rsidRPr="002574EC">
        <w:rPr>
          <w:shd w:val="clear" w:color="auto" w:fill="FFFFFF"/>
        </w:rPr>
        <w:t>choice of service provider</w:t>
      </w:r>
      <w:r w:rsidR="00EB090C" w:rsidRPr="002574EC">
        <w:rPr>
          <w:shd w:val="clear" w:color="auto" w:fill="FFFFFF"/>
        </w:rPr>
        <w:t>s</w:t>
      </w:r>
      <w:r w:rsidR="00B02FEC" w:rsidRPr="002574EC">
        <w:rPr>
          <w:shd w:val="clear" w:color="auto" w:fill="FFFFFF"/>
        </w:rPr>
        <w:t>;</w:t>
      </w:r>
      <w:r w:rsidR="00335CE5" w:rsidRPr="002574EC">
        <w:rPr>
          <w:shd w:val="clear" w:color="auto" w:fill="FFFFFF"/>
        </w:rPr>
        <w:t xml:space="preserve"> and, on the whole, poor quality connection</w:t>
      </w:r>
      <w:r w:rsidR="00775D99" w:rsidRPr="002574EC">
        <w:rPr>
          <w:shd w:val="clear" w:color="auto" w:fill="FFFFFF"/>
        </w:rPr>
        <w:t xml:space="preserve">.  </w:t>
      </w:r>
      <w:r w:rsidR="008B39F7" w:rsidRPr="002574EC">
        <w:rPr>
          <w:shd w:val="clear" w:color="auto" w:fill="FFFFFF"/>
        </w:rPr>
        <w:t>Therefore</w:t>
      </w:r>
      <w:r w:rsidRPr="002574EC">
        <w:rPr>
          <w:shd w:val="clear" w:color="auto" w:fill="FFFFFF"/>
        </w:rPr>
        <w:t>,</w:t>
      </w:r>
      <w:r w:rsidR="008B39F7" w:rsidRPr="002574EC">
        <w:rPr>
          <w:shd w:val="clear" w:color="auto" w:fill="FFFFFF"/>
        </w:rPr>
        <w:t xml:space="preserve"> </w:t>
      </w:r>
      <w:r w:rsidR="007235FE" w:rsidRPr="002574EC">
        <w:rPr>
          <w:shd w:val="clear" w:color="auto" w:fill="FFFFFF"/>
        </w:rPr>
        <w:t>universal access is also difficult to achieve</w:t>
      </w:r>
      <w:r w:rsidR="00D515E6" w:rsidRPr="002574EC">
        <w:rPr>
          <w:shd w:val="clear" w:color="auto" w:fill="FFFFFF"/>
        </w:rPr>
        <w:t xml:space="preserve">.  </w:t>
      </w:r>
      <w:r w:rsidR="008E68F7" w:rsidRPr="002574EC">
        <w:rPr>
          <w:shd w:val="clear" w:color="auto" w:fill="FFFFFF"/>
        </w:rPr>
        <w:t xml:space="preserve">Furthermore, online speech is usually criminalized </w:t>
      </w:r>
      <w:r w:rsidR="002F338C" w:rsidRPr="002574EC">
        <w:rPr>
          <w:shd w:val="clear" w:color="auto" w:fill="FFFFFF"/>
        </w:rPr>
        <w:t xml:space="preserve">and </w:t>
      </w:r>
      <w:r w:rsidR="009F4837" w:rsidRPr="002574EC">
        <w:rPr>
          <w:shd w:val="clear" w:color="auto" w:fill="FFFFFF"/>
        </w:rPr>
        <w:t xml:space="preserve">there have been </w:t>
      </w:r>
      <w:r w:rsidR="002F338C" w:rsidRPr="002574EC">
        <w:rPr>
          <w:shd w:val="clear" w:color="auto" w:fill="FFFFFF"/>
        </w:rPr>
        <w:t xml:space="preserve">reports </w:t>
      </w:r>
      <w:r w:rsidR="009F4837" w:rsidRPr="002574EC">
        <w:rPr>
          <w:shd w:val="clear" w:color="auto" w:fill="FFFFFF"/>
        </w:rPr>
        <w:t>of websites being blocked</w:t>
      </w:r>
      <w:r w:rsidR="002F338C" w:rsidRPr="002574EC">
        <w:rPr>
          <w:shd w:val="clear" w:color="auto" w:fill="FFFFFF"/>
        </w:rPr>
        <w:t xml:space="preserve">, especially by the State internet provider, </w:t>
      </w:r>
      <w:r w:rsidR="00A43E92" w:rsidRPr="002574EC">
        <w:rPr>
          <w:shd w:val="clear" w:color="auto" w:fill="FFFFFF"/>
        </w:rPr>
        <w:t xml:space="preserve">while government authorities </w:t>
      </w:r>
      <w:r w:rsidR="00017506" w:rsidRPr="002574EC">
        <w:rPr>
          <w:shd w:val="clear" w:color="auto" w:fill="FFFFFF"/>
        </w:rPr>
        <w:t xml:space="preserve">were subjected to </w:t>
      </w:r>
      <w:r w:rsidR="00F4437E" w:rsidRPr="002574EC">
        <w:rPr>
          <w:shd w:val="clear" w:color="auto" w:fill="FFFFFF"/>
        </w:rPr>
        <w:t>restrictions in their digital platform accounts because they breached terms and conditions.</w:t>
      </w:r>
    </w:p>
    <w:p w14:paraId="679F7C5C" w14:textId="77777777" w:rsidR="005D7789" w:rsidRPr="002574EC" w:rsidRDefault="005D7789" w:rsidP="00E07D06">
      <w:pPr>
        <w:ind w:left="426" w:hanging="426"/>
        <w:jc w:val="both"/>
        <w:rPr>
          <w:rFonts w:ascii="Cambria" w:hAnsi="Cambria"/>
          <w:sz w:val="20"/>
          <w:szCs w:val="20"/>
          <w:shd w:val="clear" w:color="auto" w:fill="FFFFFF"/>
        </w:rPr>
      </w:pPr>
    </w:p>
    <w:p w14:paraId="75EF06B4" w14:textId="1A082E99" w:rsidR="005D7789" w:rsidRPr="002574EC" w:rsidRDefault="00712597" w:rsidP="00F85814">
      <w:pPr>
        <w:pStyle w:val="ListParagraph"/>
      </w:pPr>
      <w:r w:rsidRPr="002574EC">
        <w:rPr>
          <w:shd w:val="clear" w:color="auto" w:fill="FFFFFF"/>
        </w:rPr>
        <w:t xml:space="preserve">According to </w:t>
      </w:r>
      <w:r w:rsidR="005D7789" w:rsidRPr="002574EC">
        <w:rPr>
          <w:shd w:val="clear" w:color="auto" w:fill="FFFFFF"/>
        </w:rPr>
        <w:t xml:space="preserve">Freedom House, </w:t>
      </w:r>
      <w:r w:rsidRPr="002574EC">
        <w:rPr>
          <w:shd w:val="clear" w:color="auto" w:fill="FFFFFF"/>
        </w:rPr>
        <w:t>the web infrastructure in Venezuela “</w:t>
      </w:r>
      <w:r w:rsidR="00AB36E6" w:rsidRPr="002574EC">
        <w:rPr>
          <w:shd w:val="clear" w:color="auto" w:fill="FFFFFF"/>
        </w:rPr>
        <w:t xml:space="preserve">is marred by </w:t>
      </w:r>
      <w:r w:rsidR="002C7042" w:rsidRPr="002574EC">
        <w:rPr>
          <w:shd w:val="clear" w:color="auto" w:fill="FFFFFF"/>
        </w:rPr>
        <w:t xml:space="preserve">failures, it is the target of theft and vandalism, which leads to </w:t>
      </w:r>
      <w:r w:rsidR="00A74FC0" w:rsidRPr="002574EC">
        <w:rPr>
          <w:shd w:val="clear" w:color="auto" w:fill="FFFFFF"/>
        </w:rPr>
        <w:t xml:space="preserve">the </w:t>
      </w:r>
      <w:r w:rsidR="001E6910" w:rsidRPr="002574EC">
        <w:rPr>
          <w:shd w:val="clear" w:color="auto" w:fill="FFFFFF"/>
        </w:rPr>
        <w:t xml:space="preserve">service </w:t>
      </w:r>
      <w:r w:rsidR="00A74FC0" w:rsidRPr="002574EC">
        <w:rPr>
          <w:shd w:val="clear" w:color="auto" w:fill="FFFFFF"/>
        </w:rPr>
        <w:t xml:space="preserve">frequently going </w:t>
      </w:r>
      <w:r w:rsidR="00EB090C" w:rsidRPr="002574EC">
        <w:rPr>
          <w:shd w:val="clear" w:color="auto" w:fill="FFFFFF"/>
        </w:rPr>
        <w:t>down</w:t>
      </w:r>
      <w:r w:rsidR="00A74FC0" w:rsidRPr="002574EC">
        <w:rPr>
          <w:shd w:val="clear" w:color="auto" w:fill="FFFFFF"/>
        </w:rPr>
        <w:t xml:space="preserve"> </w:t>
      </w:r>
      <w:r w:rsidR="001E6910" w:rsidRPr="002574EC">
        <w:rPr>
          <w:shd w:val="clear" w:color="auto" w:fill="FFFFFF"/>
        </w:rPr>
        <w:t xml:space="preserve">and slow speed connection,” </w:t>
      </w:r>
      <w:r w:rsidR="00EE01DD" w:rsidRPr="002574EC">
        <w:rPr>
          <w:shd w:val="clear" w:color="auto" w:fill="FFFFFF"/>
        </w:rPr>
        <w:t xml:space="preserve">with </w:t>
      </w:r>
      <w:r w:rsidR="001C0B33" w:rsidRPr="002574EC">
        <w:rPr>
          <w:shd w:val="clear" w:color="auto" w:fill="FFFFFF"/>
        </w:rPr>
        <w:t xml:space="preserve">declining signal quality </w:t>
      </w:r>
      <w:r w:rsidR="001243E8" w:rsidRPr="002574EC">
        <w:rPr>
          <w:shd w:val="clear" w:color="auto" w:fill="FFFFFF"/>
        </w:rPr>
        <w:t>in a context of socioeconomic crisis.</w:t>
      </w:r>
      <w:r w:rsidR="005D7789" w:rsidRPr="002574EC">
        <w:rPr>
          <w:vertAlign w:val="superscript"/>
        </w:rPr>
        <w:footnoteReference w:id="227"/>
      </w:r>
      <w:r w:rsidR="00C91B5A" w:rsidRPr="002574EC">
        <w:rPr>
          <w:shd w:val="clear" w:color="auto" w:fill="FFFFFF"/>
        </w:rPr>
        <w:t xml:space="preserve">  Data released by Global Speedtest</w:t>
      </w:r>
      <w:r w:rsidR="00D61150" w:rsidRPr="002574EC">
        <w:rPr>
          <w:shd w:val="clear" w:color="auto" w:fill="FFFFFF"/>
        </w:rPr>
        <w:t xml:space="preserve"> shows</w:t>
      </w:r>
      <w:r w:rsidR="00C91B5A" w:rsidRPr="002574EC">
        <w:rPr>
          <w:shd w:val="clear" w:color="auto" w:fill="FFFFFF"/>
        </w:rPr>
        <w:t xml:space="preserve"> internet connection in Venezuela at a speed of </w:t>
      </w:r>
      <w:r w:rsidR="005D7789" w:rsidRPr="002574EC">
        <w:t xml:space="preserve">7.68 Mbps </w:t>
      </w:r>
      <w:r w:rsidR="00C91B5A" w:rsidRPr="002574EC">
        <w:t xml:space="preserve">for </w:t>
      </w:r>
      <w:r w:rsidR="00325C40" w:rsidRPr="002574EC">
        <w:t xml:space="preserve">fixed broadband </w:t>
      </w:r>
      <w:r w:rsidR="00C91B5A" w:rsidRPr="002574EC">
        <w:t xml:space="preserve">connections and </w:t>
      </w:r>
      <w:r w:rsidR="005D7789" w:rsidRPr="002574EC">
        <w:t xml:space="preserve">23.92 Mbps </w:t>
      </w:r>
      <w:r w:rsidR="00C91B5A" w:rsidRPr="002574EC">
        <w:t xml:space="preserve">for </w:t>
      </w:r>
      <w:r w:rsidR="00325C40" w:rsidRPr="002574EC">
        <w:t xml:space="preserve">mobile </w:t>
      </w:r>
      <w:r w:rsidR="00C91B5A" w:rsidRPr="002574EC">
        <w:t>connections.</w:t>
      </w:r>
      <w:r w:rsidR="005D7789" w:rsidRPr="002574EC">
        <w:rPr>
          <w:rStyle w:val="FootnoteReference"/>
          <w:rFonts w:eastAsiaTheme="majorEastAsia"/>
        </w:rPr>
        <w:footnoteReference w:id="228"/>
      </w:r>
      <w:r w:rsidR="00C91B5A" w:rsidRPr="002574EC">
        <w:t xml:space="preserve"> The </w:t>
      </w:r>
      <w:r w:rsidR="00D61150" w:rsidRPr="002574EC">
        <w:t xml:space="preserve">Central University of Venezuela, the </w:t>
      </w:r>
      <w:r w:rsidR="00C91B5A" w:rsidRPr="002574EC">
        <w:t xml:space="preserve">largest </w:t>
      </w:r>
      <w:r w:rsidR="00D61150" w:rsidRPr="002574EC">
        <w:t xml:space="preserve">and highest ranked </w:t>
      </w:r>
      <w:r w:rsidR="00C91B5A" w:rsidRPr="002574EC">
        <w:t xml:space="preserve">university </w:t>
      </w:r>
      <w:r w:rsidR="00D61150" w:rsidRPr="002574EC">
        <w:t xml:space="preserve">in the country, </w:t>
      </w:r>
      <w:r w:rsidR="00C91B5A" w:rsidRPr="002574EC">
        <w:t>has a connection speed</w:t>
      </w:r>
      <w:r w:rsidR="00D61150" w:rsidRPr="002574EC">
        <w:t xml:space="preserve"> (data cap)</w:t>
      </w:r>
      <w:r w:rsidR="00C91B5A" w:rsidRPr="002574EC">
        <w:t xml:space="preserve"> of only </w:t>
      </w:r>
      <w:r w:rsidR="005D7789" w:rsidRPr="002574EC">
        <w:t>300 Mbps</w:t>
      </w:r>
      <w:r w:rsidR="00C91B5A" w:rsidRPr="002574EC">
        <w:t>.</w:t>
      </w:r>
      <w:r w:rsidR="005D7789" w:rsidRPr="002574EC">
        <w:rPr>
          <w:rStyle w:val="FootnoteReference"/>
          <w:rFonts w:eastAsiaTheme="majorEastAsia"/>
        </w:rPr>
        <w:footnoteReference w:id="229"/>
      </w:r>
      <w:r w:rsidR="005D7789" w:rsidRPr="002574EC">
        <w:t xml:space="preserve"> </w:t>
      </w:r>
    </w:p>
    <w:p w14:paraId="0B7D382E" w14:textId="77777777" w:rsidR="005D7789" w:rsidRPr="002574EC" w:rsidRDefault="005D7789" w:rsidP="00E07D06">
      <w:pPr>
        <w:ind w:left="426" w:hanging="426"/>
        <w:jc w:val="both"/>
        <w:rPr>
          <w:rFonts w:ascii="Cambria" w:hAnsi="Cambria"/>
          <w:sz w:val="20"/>
          <w:szCs w:val="20"/>
        </w:rPr>
      </w:pPr>
    </w:p>
    <w:p w14:paraId="6DE111C9" w14:textId="0403AB2B" w:rsidR="005D7789" w:rsidRPr="002574EC" w:rsidRDefault="002516D0" w:rsidP="00F85814">
      <w:pPr>
        <w:pStyle w:val="ListParagraph"/>
        <w:rPr>
          <w:shd w:val="clear" w:color="auto" w:fill="FFFFFF"/>
        </w:rPr>
      </w:pPr>
      <w:r w:rsidRPr="002574EC">
        <w:rPr>
          <w:shd w:val="clear" w:color="auto" w:fill="FFFFFF"/>
        </w:rPr>
        <w:t xml:space="preserve">The percentage of users of home-based </w:t>
      </w:r>
      <w:r w:rsidR="009E3C6B" w:rsidRPr="002574EC">
        <w:rPr>
          <w:shd w:val="clear" w:color="auto" w:fill="FFFFFF"/>
        </w:rPr>
        <w:t xml:space="preserve">fixed broadband </w:t>
      </w:r>
      <w:r w:rsidRPr="002574EC">
        <w:rPr>
          <w:shd w:val="clear" w:color="auto" w:fill="FFFFFF"/>
        </w:rPr>
        <w:t xml:space="preserve">internet users who are provided service by the State company CANTV is 64.8%. More than 73% of the residences with fixed broadband </w:t>
      </w:r>
      <w:r w:rsidR="00240919" w:rsidRPr="002574EC">
        <w:rPr>
          <w:shd w:val="clear" w:color="auto" w:fill="FFFFFF"/>
        </w:rPr>
        <w:t xml:space="preserve">internet </w:t>
      </w:r>
      <w:r w:rsidR="0059628C" w:rsidRPr="002574EC">
        <w:rPr>
          <w:shd w:val="clear" w:color="auto" w:fill="FFFFFF"/>
        </w:rPr>
        <w:t xml:space="preserve">in their homes reported </w:t>
      </w:r>
      <w:r w:rsidR="006B7A62" w:rsidRPr="002574EC">
        <w:rPr>
          <w:shd w:val="clear" w:color="auto" w:fill="FFFFFF"/>
        </w:rPr>
        <w:t>at least one daily service failure.</w:t>
      </w:r>
      <w:r w:rsidR="005D7789" w:rsidRPr="002574EC">
        <w:rPr>
          <w:rStyle w:val="FootnoteReference"/>
          <w:rFonts w:eastAsiaTheme="majorEastAsia" w:cs="Open Sans"/>
          <w:shd w:val="clear" w:color="auto" w:fill="FFFFFF"/>
        </w:rPr>
        <w:footnoteReference w:id="230"/>
      </w:r>
      <w:r w:rsidR="006B7A62" w:rsidRPr="002574EC">
        <w:rPr>
          <w:shd w:val="clear" w:color="auto" w:fill="FFFFFF"/>
        </w:rPr>
        <w:t xml:space="preserve">  The project</w:t>
      </w:r>
      <w:r w:rsidR="005D7789" w:rsidRPr="002574EC">
        <w:rPr>
          <w:shd w:val="clear" w:color="auto" w:fill="FFFFFF"/>
        </w:rPr>
        <w:t xml:space="preserve"> Venezuela Sin Filtro </w:t>
      </w:r>
      <w:r w:rsidR="006B7A62" w:rsidRPr="002574EC">
        <w:rPr>
          <w:shd w:val="clear" w:color="auto" w:fill="FFFFFF"/>
        </w:rPr>
        <w:t>further reported</w:t>
      </w:r>
      <w:r w:rsidR="00232C0D" w:rsidRPr="002574EC">
        <w:rPr>
          <w:shd w:val="clear" w:color="auto" w:fill="FFFFFF"/>
        </w:rPr>
        <w:t xml:space="preserve"> </w:t>
      </w:r>
      <w:r w:rsidR="00232C0D" w:rsidRPr="002574EC">
        <w:rPr>
          <w:shd w:val="clear" w:color="auto" w:fill="FFFFFF"/>
        </w:rPr>
        <w:lastRenderedPageBreak/>
        <w:t>different instances of dropped signal in different regions of the country and with different service providers.</w:t>
      </w:r>
      <w:r w:rsidR="005D7789" w:rsidRPr="002574EC">
        <w:rPr>
          <w:rStyle w:val="FootnoteReference"/>
          <w:rFonts w:eastAsiaTheme="majorEastAsia"/>
          <w:shd w:val="clear" w:color="auto" w:fill="FFFFFF"/>
        </w:rPr>
        <w:footnoteReference w:id="231"/>
      </w:r>
      <w:r w:rsidR="000A44AB" w:rsidRPr="002574EC">
        <w:rPr>
          <w:shd w:val="clear" w:color="auto" w:fill="FFFFFF"/>
        </w:rPr>
        <w:t xml:space="preserve"> </w:t>
      </w:r>
      <w:r w:rsidR="006B2244" w:rsidRPr="002574EC">
        <w:rPr>
          <w:shd w:val="clear" w:color="auto" w:fill="FFFFFF"/>
        </w:rPr>
        <w:t>On this score, the organization</w:t>
      </w:r>
      <w:r w:rsidR="005D7789" w:rsidRPr="002574EC">
        <w:rPr>
          <w:shd w:val="clear" w:color="auto" w:fill="FFFFFF"/>
        </w:rPr>
        <w:t xml:space="preserve"> IPYS Venezuela </w:t>
      </w:r>
      <w:r w:rsidR="006B2244" w:rsidRPr="002574EC">
        <w:rPr>
          <w:shd w:val="clear" w:color="auto" w:fill="FFFFFF"/>
        </w:rPr>
        <w:t xml:space="preserve">has reported </w:t>
      </w:r>
      <w:r w:rsidR="005D7789" w:rsidRPr="002574EC">
        <w:rPr>
          <w:shd w:val="clear" w:color="auto" w:fill="FFFFFF"/>
        </w:rPr>
        <w:t>26</w:t>
      </w:r>
      <w:r w:rsidR="006B2244" w:rsidRPr="002574EC">
        <w:rPr>
          <w:shd w:val="clear" w:color="auto" w:fill="FFFFFF"/>
        </w:rPr>
        <w:t xml:space="preserve"> cases of structure and service failures, which have degraded connectivity </w:t>
      </w:r>
      <w:r w:rsidR="009E3FA6" w:rsidRPr="002574EC">
        <w:rPr>
          <w:shd w:val="clear" w:color="auto" w:fill="FFFFFF"/>
        </w:rPr>
        <w:t xml:space="preserve">in 23 states of the country and the Capital District on at least one occasion in September, </w:t>
      </w:r>
      <w:r w:rsidR="00934026" w:rsidRPr="002574EC">
        <w:rPr>
          <w:shd w:val="clear" w:color="auto" w:fill="FFFFFF"/>
        </w:rPr>
        <w:t xml:space="preserve">with the main </w:t>
      </w:r>
      <w:r w:rsidR="00FF1416" w:rsidRPr="002574EC">
        <w:rPr>
          <w:shd w:val="clear" w:color="auto" w:fill="FFFFFF"/>
        </w:rPr>
        <w:t xml:space="preserve">known </w:t>
      </w:r>
      <w:r w:rsidR="00934026" w:rsidRPr="002574EC">
        <w:rPr>
          <w:shd w:val="clear" w:color="auto" w:fill="FFFFFF"/>
        </w:rPr>
        <w:t>causes being</w:t>
      </w:r>
      <w:r w:rsidR="00FF1416" w:rsidRPr="002574EC">
        <w:rPr>
          <w:shd w:val="clear" w:color="auto" w:fill="FFFFFF"/>
        </w:rPr>
        <w:t xml:space="preserve"> power outages or overall shortcomings in the National Electric System and fiber optic cable cuts.  Four of these incidence allegedly were caused by fiber optic cuts; two, by equipment theft; seven by unknown causes; 13 were caused by power outages, voltage fluctuations, </w:t>
      </w:r>
      <w:r w:rsidR="00F02FD1" w:rsidRPr="002574EC">
        <w:rPr>
          <w:shd w:val="clear" w:color="auto" w:fill="FFFFFF"/>
        </w:rPr>
        <w:t>blackouts and overall shortcomings in the National Electric System.</w:t>
      </w:r>
      <w:r w:rsidR="005D7789" w:rsidRPr="002574EC">
        <w:rPr>
          <w:vertAlign w:val="superscript"/>
        </w:rPr>
        <w:footnoteReference w:id="232"/>
      </w:r>
    </w:p>
    <w:p w14:paraId="1BFA95A0" w14:textId="77777777" w:rsidR="005D7789" w:rsidRPr="002574EC" w:rsidRDefault="005D7789" w:rsidP="00E07D06">
      <w:pPr>
        <w:ind w:left="426" w:hanging="426"/>
        <w:jc w:val="both"/>
        <w:rPr>
          <w:rFonts w:ascii="Cambria" w:hAnsi="Cambria"/>
          <w:sz w:val="20"/>
          <w:szCs w:val="20"/>
          <w:shd w:val="clear" w:color="auto" w:fill="FFFFFF"/>
        </w:rPr>
      </w:pPr>
    </w:p>
    <w:p w14:paraId="6E744986" w14:textId="533B8089" w:rsidR="005D7789" w:rsidRPr="002574EC" w:rsidRDefault="00B46CA5" w:rsidP="00F85814">
      <w:pPr>
        <w:pStyle w:val="ListParagraph"/>
        <w:rPr>
          <w:rFonts w:cs="Open Sans"/>
          <w:shd w:val="clear" w:color="auto" w:fill="FFFFFF"/>
        </w:rPr>
      </w:pPr>
      <w:r w:rsidRPr="002574EC">
        <w:rPr>
          <w:shd w:val="clear" w:color="auto" w:fill="FFFFFF"/>
        </w:rPr>
        <w:t xml:space="preserve">In addition to precarious </w:t>
      </w:r>
      <w:r w:rsidR="00004BF1" w:rsidRPr="002574EC">
        <w:rPr>
          <w:shd w:val="clear" w:color="auto" w:fill="FFFFFF"/>
        </w:rPr>
        <w:t xml:space="preserve">infrastructure, </w:t>
      </w:r>
      <w:r w:rsidR="003E5227" w:rsidRPr="002574EC">
        <w:rPr>
          <w:shd w:val="clear" w:color="auto" w:fill="FFFFFF"/>
        </w:rPr>
        <w:t xml:space="preserve">the Rapporteurship has </w:t>
      </w:r>
      <w:r w:rsidR="0050656A" w:rsidRPr="002574EC">
        <w:rPr>
          <w:shd w:val="clear" w:color="auto" w:fill="FFFFFF"/>
        </w:rPr>
        <w:t>observed that the costs of access to Internet in Venezuela also hamper achievement of universal access.</w:t>
      </w:r>
      <w:r w:rsidR="008F7940" w:rsidRPr="002574EC">
        <w:rPr>
          <w:shd w:val="clear" w:color="auto" w:fill="FFFFFF"/>
        </w:rPr>
        <w:t xml:space="preserve">  </w:t>
      </w:r>
      <w:r w:rsidR="003C5E7B" w:rsidRPr="002574EC">
        <w:rPr>
          <w:shd w:val="clear" w:color="auto" w:fill="FFFFFF"/>
        </w:rPr>
        <w:t xml:space="preserve">While the minimum wage in Venezuela in March 2021 was approximately </w:t>
      </w:r>
      <w:r w:rsidR="005D7789" w:rsidRPr="002574EC">
        <w:rPr>
          <w:shd w:val="clear" w:color="auto" w:fill="FFFFFF"/>
        </w:rPr>
        <w:t>$2</w:t>
      </w:r>
      <w:r w:rsidR="003C5E7B" w:rsidRPr="002574EC">
        <w:rPr>
          <w:shd w:val="clear" w:color="auto" w:fill="FFFFFF"/>
        </w:rPr>
        <w:t>.</w:t>
      </w:r>
      <w:r w:rsidR="005D7789" w:rsidRPr="002574EC">
        <w:rPr>
          <w:shd w:val="clear" w:color="auto" w:fill="FFFFFF"/>
        </w:rPr>
        <w:t xml:space="preserve">54 </w:t>
      </w:r>
      <w:r w:rsidR="003C5E7B" w:rsidRPr="002574EC">
        <w:rPr>
          <w:shd w:val="clear" w:color="auto" w:fill="FFFFFF"/>
        </w:rPr>
        <w:t xml:space="preserve">US dollars per month, the cost for access </w:t>
      </w:r>
      <w:r w:rsidR="00D672EF" w:rsidRPr="002574EC">
        <w:rPr>
          <w:shd w:val="clear" w:color="auto" w:fill="FFFFFF"/>
        </w:rPr>
        <w:t>ranges from</w:t>
      </w:r>
      <w:r w:rsidR="003C5E7B" w:rsidRPr="002574EC">
        <w:rPr>
          <w:shd w:val="clear" w:color="auto" w:fill="FFFFFF"/>
        </w:rPr>
        <w:t xml:space="preserve"> $1.00 per month for a service of 2Mbps</w:t>
      </w:r>
      <w:r w:rsidR="009E227E" w:rsidRPr="002574EC">
        <w:rPr>
          <w:shd w:val="clear" w:color="auto" w:fill="FFFFFF"/>
        </w:rPr>
        <w:t>, to</w:t>
      </w:r>
      <w:r w:rsidR="00EF0A3F" w:rsidRPr="002574EC">
        <w:rPr>
          <w:shd w:val="clear" w:color="auto" w:fill="FFFFFF"/>
        </w:rPr>
        <w:t xml:space="preserve"> $14 per month for a service of 22Mbps on fixed broadband </w:t>
      </w:r>
      <w:r w:rsidR="00CA00F1" w:rsidRPr="002574EC">
        <w:rPr>
          <w:shd w:val="clear" w:color="auto" w:fill="FFFFFF"/>
        </w:rPr>
        <w:t>from CANTV (ABA)</w:t>
      </w:r>
      <w:r w:rsidR="00C96AA5" w:rsidRPr="002574EC">
        <w:rPr>
          <w:shd w:val="clear" w:color="auto" w:fill="FFFFFF"/>
        </w:rPr>
        <w:t xml:space="preserve">, the State-owned company </w:t>
      </w:r>
      <w:r w:rsidR="00843D14" w:rsidRPr="002574EC">
        <w:rPr>
          <w:shd w:val="clear" w:color="auto" w:fill="FFFFFF"/>
        </w:rPr>
        <w:t>that offers the least expensive service in the country.</w:t>
      </w:r>
      <w:r w:rsidR="005D7789" w:rsidRPr="002574EC">
        <w:rPr>
          <w:rStyle w:val="FootnoteReference"/>
          <w:rFonts w:eastAsiaTheme="majorEastAsia" w:cs="Open Sans"/>
          <w:shd w:val="clear" w:color="auto" w:fill="FFFFFF"/>
        </w:rPr>
        <w:footnoteReference w:id="233"/>
      </w:r>
      <w:r w:rsidR="00FD638F" w:rsidRPr="002574EC">
        <w:rPr>
          <w:rFonts w:cs="Open Sans"/>
          <w:shd w:val="clear" w:color="auto" w:fill="FFFFFF"/>
        </w:rPr>
        <w:t xml:space="preserve">  </w:t>
      </w:r>
      <w:r w:rsidR="00D227D1" w:rsidRPr="002574EC">
        <w:rPr>
          <w:rFonts w:cs="Open Sans"/>
          <w:shd w:val="clear" w:color="auto" w:fill="FFFFFF"/>
        </w:rPr>
        <w:t>According to available information, in the first half of 2021, 63.3% of Venezuelan homes did not have acces</w:t>
      </w:r>
      <w:r w:rsidR="00E14A62" w:rsidRPr="002574EC">
        <w:rPr>
          <w:rFonts w:cs="Open Sans"/>
          <w:shd w:val="clear" w:color="auto" w:fill="FFFFFF"/>
        </w:rPr>
        <w:t>s</w:t>
      </w:r>
      <w:r w:rsidR="00D227D1" w:rsidRPr="002574EC">
        <w:rPr>
          <w:rFonts w:cs="Open Sans"/>
          <w:shd w:val="clear" w:color="auto" w:fill="FFFFFF"/>
        </w:rPr>
        <w:t xml:space="preserve"> to fixed broadband internet.</w:t>
      </w:r>
      <w:r w:rsidR="005D7789" w:rsidRPr="002574EC">
        <w:rPr>
          <w:rStyle w:val="FootnoteReference"/>
          <w:rFonts w:eastAsiaTheme="majorEastAsia" w:cs="Open Sans"/>
          <w:shd w:val="clear" w:color="auto" w:fill="FFFFFF"/>
        </w:rPr>
        <w:footnoteReference w:id="234"/>
      </w:r>
      <w:r w:rsidR="005D7789" w:rsidRPr="002574EC">
        <w:rPr>
          <w:rFonts w:cs="Open Sans"/>
          <w:shd w:val="clear" w:color="auto" w:fill="FFFFFF"/>
        </w:rPr>
        <w:t xml:space="preserve"> </w:t>
      </w:r>
    </w:p>
    <w:p w14:paraId="0EBEDAC6" w14:textId="77777777" w:rsidR="005D7789" w:rsidRPr="002574EC" w:rsidRDefault="005D7789" w:rsidP="00E07D06">
      <w:pPr>
        <w:ind w:left="426" w:hanging="426"/>
        <w:jc w:val="both"/>
        <w:rPr>
          <w:rFonts w:ascii="Cambria" w:hAnsi="Cambria" w:cs="Open Sans"/>
          <w:sz w:val="20"/>
          <w:szCs w:val="20"/>
          <w:shd w:val="clear" w:color="auto" w:fill="FFFFFF"/>
        </w:rPr>
      </w:pPr>
    </w:p>
    <w:p w14:paraId="62B1281C" w14:textId="4F7259E9" w:rsidR="005D7789" w:rsidRPr="002574EC" w:rsidRDefault="00F73D62" w:rsidP="00F85814">
      <w:pPr>
        <w:pStyle w:val="ListParagraph"/>
        <w:rPr>
          <w:shd w:val="clear" w:color="auto" w:fill="FFFFFF"/>
        </w:rPr>
      </w:pPr>
      <w:r w:rsidRPr="002574EC">
        <w:rPr>
          <w:bdr w:val="none" w:sz="0" w:space="0" w:color="auto" w:frame="1"/>
          <w:shd w:val="clear" w:color="auto" w:fill="FFFFFF"/>
        </w:rPr>
        <w:t xml:space="preserve">With respect to the digital setting and the free speech and circulation of ideas, the Rapporteurship </w:t>
      </w:r>
      <w:r w:rsidR="005225A0" w:rsidRPr="002574EC">
        <w:rPr>
          <w:bdr w:val="none" w:sz="0" w:space="0" w:color="auto" w:frame="1"/>
          <w:shd w:val="clear" w:color="auto" w:fill="FFFFFF"/>
        </w:rPr>
        <w:t xml:space="preserve">has also observed </w:t>
      </w:r>
      <w:r w:rsidR="0024155E" w:rsidRPr="002574EC">
        <w:rPr>
          <w:bdr w:val="none" w:sz="0" w:space="0" w:color="auto" w:frame="1"/>
          <w:shd w:val="clear" w:color="auto" w:fill="FFFFFF"/>
        </w:rPr>
        <w:t xml:space="preserve">with concern </w:t>
      </w:r>
      <w:r w:rsidR="000A2D80" w:rsidRPr="002574EC">
        <w:rPr>
          <w:bdr w:val="none" w:sz="0" w:space="0" w:color="auto" w:frame="1"/>
          <w:shd w:val="clear" w:color="auto" w:fill="FFFFFF"/>
        </w:rPr>
        <w:t xml:space="preserve">that, on February 28, 2021, members of the Scientific, Criminal and </w:t>
      </w:r>
      <w:r w:rsidR="00CA005F" w:rsidRPr="002574EC">
        <w:rPr>
          <w:bdr w:val="none" w:sz="0" w:space="0" w:color="auto" w:frame="1"/>
          <w:shd w:val="clear" w:color="auto" w:fill="FFFFFF"/>
        </w:rPr>
        <w:t xml:space="preserve">Forensic Investigation Corps (CICPC) reportedly detained </w:t>
      </w:r>
      <w:r w:rsidR="005D7789" w:rsidRPr="002574EC">
        <w:rPr>
          <w:rStyle w:val="Strong"/>
          <w:b w:val="0"/>
          <w:bCs w:val="0"/>
          <w:bdr w:val="none" w:sz="0" w:space="0" w:color="auto" w:frame="1"/>
          <w:shd w:val="clear" w:color="auto" w:fill="FFFFFF"/>
        </w:rPr>
        <w:t xml:space="preserve">José Pérez, </w:t>
      </w:r>
      <w:r w:rsidR="00CA005F" w:rsidRPr="002574EC">
        <w:rPr>
          <w:rStyle w:val="Strong"/>
          <w:b w:val="0"/>
          <w:bCs w:val="0"/>
          <w:bdr w:val="none" w:sz="0" w:space="0" w:color="auto" w:frame="1"/>
          <w:shd w:val="clear" w:color="auto" w:fill="FFFFFF"/>
        </w:rPr>
        <w:t xml:space="preserve">a widely-known influencer and communications student, without any arrest warrant for incitement of hatred, because he posted a video on TikTok </w:t>
      </w:r>
      <w:r w:rsidR="000C7F2F" w:rsidRPr="002574EC">
        <w:rPr>
          <w:rStyle w:val="Strong"/>
          <w:b w:val="0"/>
          <w:bCs w:val="0"/>
          <w:bdr w:val="none" w:sz="0" w:space="0" w:color="auto" w:frame="1"/>
          <w:shd w:val="clear" w:color="auto" w:fill="FFFFFF"/>
        </w:rPr>
        <w:t xml:space="preserve">where Perez criticized </w:t>
      </w:r>
      <w:r w:rsidR="00405C7B" w:rsidRPr="002574EC">
        <w:rPr>
          <w:rStyle w:val="Strong"/>
          <w:b w:val="0"/>
          <w:bCs w:val="0"/>
          <w:bdr w:val="none" w:sz="0" w:space="0" w:color="auto" w:frame="1"/>
          <w:shd w:val="clear" w:color="auto" w:fill="FFFFFF"/>
        </w:rPr>
        <w:t>the family of singer Omar Enrique for alleged privileges he was granted for being a government supporter</w:t>
      </w:r>
      <w:r w:rsidR="005D7789" w:rsidRPr="002574EC">
        <w:rPr>
          <w:shd w:val="clear" w:color="auto" w:fill="FFFFFF"/>
        </w:rPr>
        <w:t xml:space="preserve">. </w:t>
      </w:r>
      <w:r w:rsidR="00130B03" w:rsidRPr="002574EC">
        <w:rPr>
          <w:shd w:val="clear" w:color="auto" w:fill="FFFFFF"/>
        </w:rPr>
        <w:t>Pérez</w:t>
      </w:r>
      <w:r w:rsidR="005D7789" w:rsidRPr="002574EC">
        <w:rPr>
          <w:shd w:val="clear" w:color="auto" w:fill="FFFFFF"/>
        </w:rPr>
        <w:t xml:space="preserve"> </w:t>
      </w:r>
      <w:r w:rsidR="006E78E0" w:rsidRPr="002574EC">
        <w:rPr>
          <w:shd w:val="clear" w:color="auto" w:fill="FFFFFF"/>
        </w:rPr>
        <w:t xml:space="preserve">was brought before the court, which kept his custody order in effect for the alleged crimes of incitement of hatred and disclosure of personal information. </w:t>
      </w:r>
      <w:r w:rsidR="006C059F" w:rsidRPr="002574EC">
        <w:rPr>
          <w:shd w:val="clear" w:color="auto" w:fill="FFFFFF"/>
        </w:rPr>
        <w:t>He was released after 20 days under the condition of not speaking about his case and not leaving the country, in addition to being required to appear before a probation officer every two weeks.</w:t>
      </w:r>
      <w:r w:rsidR="005D7789" w:rsidRPr="002574EC">
        <w:rPr>
          <w:rStyle w:val="FootnoteReference"/>
          <w:rFonts w:eastAsiaTheme="majorEastAsia"/>
          <w:shd w:val="clear" w:color="auto" w:fill="FFFFFF"/>
        </w:rPr>
        <w:footnoteReference w:id="235"/>
      </w:r>
    </w:p>
    <w:p w14:paraId="7E357D1B" w14:textId="4ADB8604" w:rsidR="005D7789" w:rsidRPr="002574EC" w:rsidRDefault="005D7789" w:rsidP="00E07D06">
      <w:pPr>
        <w:ind w:left="426" w:hanging="426"/>
        <w:jc w:val="both"/>
        <w:rPr>
          <w:rFonts w:ascii="Cambria" w:hAnsi="Cambria"/>
          <w:sz w:val="20"/>
          <w:szCs w:val="20"/>
          <w:shd w:val="clear" w:color="auto" w:fill="FFFFFF"/>
        </w:rPr>
      </w:pPr>
      <w:r w:rsidRPr="002574EC">
        <w:rPr>
          <w:rFonts w:ascii="Cambria" w:hAnsi="Cambria"/>
          <w:sz w:val="20"/>
          <w:szCs w:val="20"/>
          <w:shd w:val="clear" w:color="auto" w:fill="FFFFFF"/>
        </w:rPr>
        <w:t xml:space="preserve"> </w:t>
      </w:r>
    </w:p>
    <w:p w14:paraId="650D7682" w14:textId="7F17A0B9" w:rsidR="005D7789" w:rsidRPr="002574EC" w:rsidRDefault="002B109E" w:rsidP="00F85814">
      <w:pPr>
        <w:pStyle w:val="ListParagraph"/>
      </w:pPr>
      <w:r w:rsidRPr="002574EC">
        <w:rPr>
          <w:shd w:val="clear" w:color="auto" w:fill="FFFFFF"/>
        </w:rPr>
        <w:t>The Rapporteurship also received information about blocking of journalists webpages, a news portal, print media outlets and an NGO, especially by CANTV. In May, the blocking was particularly</w:t>
      </w:r>
      <w:r w:rsidR="00587C68" w:rsidRPr="002574EC">
        <w:rPr>
          <w:shd w:val="clear" w:color="auto" w:fill="FFFFFF"/>
        </w:rPr>
        <w:t xml:space="preserve"> </w:t>
      </w:r>
      <w:r w:rsidR="00F90046" w:rsidRPr="002574EC">
        <w:rPr>
          <w:shd w:val="clear" w:color="auto" w:fill="FFFFFF"/>
        </w:rPr>
        <w:t>staggered</w:t>
      </w:r>
      <w:r w:rsidR="0030774A" w:rsidRPr="002574EC">
        <w:rPr>
          <w:shd w:val="clear" w:color="auto" w:fill="FFFFFF"/>
        </w:rPr>
        <w:t xml:space="preserve"> among outlets</w:t>
      </w:r>
      <w:r w:rsidR="004F4FEA" w:rsidRPr="002574EC">
        <w:rPr>
          <w:shd w:val="clear" w:color="auto" w:fill="FFFFFF"/>
        </w:rPr>
        <w:t xml:space="preserve">. </w:t>
      </w:r>
      <w:r w:rsidR="003D060E" w:rsidRPr="002574EC">
        <w:rPr>
          <w:shd w:val="clear" w:color="auto" w:fill="FFFFFF"/>
        </w:rPr>
        <w:t xml:space="preserve"> Thus, </w:t>
      </w:r>
      <w:r w:rsidR="002315EB" w:rsidRPr="002574EC">
        <w:rPr>
          <w:shd w:val="clear" w:color="auto" w:fill="FFFFFF"/>
        </w:rPr>
        <w:t xml:space="preserve">by way of </w:t>
      </w:r>
      <w:r w:rsidR="003D060E" w:rsidRPr="002574EC">
        <w:rPr>
          <w:shd w:val="clear" w:color="auto" w:fill="FFFFFF"/>
        </w:rPr>
        <w:t xml:space="preserve">example, on May 29, 2021, </w:t>
      </w:r>
      <w:r w:rsidR="005D7789" w:rsidRPr="002574EC">
        <w:rPr>
          <w:shd w:val="clear" w:color="auto" w:fill="FFFFFF"/>
        </w:rPr>
        <w:t>VE sin Filtro i</w:t>
      </w:r>
      <w:r w:rsidR="003D060E" w:rsidRPr="002574EC">
        <w:rPr>
          <w:shd w:val="clear" w:color="auto" w:fill="FFFFFF"/>
        </w:rPr>
        <w:t xml:space="preserve">dentified </w:t>
      </w:r>
      <w:r w:rsidR="00240A82" w:rsidRPr="002574EC">
        <w:rPr>
          <w:shd w:val="clear" w:color="auto" w:fill="FFFFFF"/>
        </w:rPr>
        <w:t xml:space="preserve">that </w:t>
      </w:r>
      <w:hyperlink r:id="rId9" w:history="1">
        <w:r w:rsidR="005D7789" w:rsidRPr="002574EC">
          <w:rPr>
            <w:shd w:val="clear" w:color="auto" w:fill="FFFFFF"/>
          </w:rPr>
          <w:t>lapatilla.com</w:t>
        </w:r>
      </w:hyperlink>
      <w:r w:rsidR="005D7789" w:rsidRPr="002574EC">
        <w:t>,</w:t>
      </w:r>
      <w:r w:rsidR="00240A82" w:rsidRPr="002574EC">
        <w:t xml:space="preserve"> one of the major news websites in the country, was blocked</w:t>
      </w:r>
      <w:r w:rsidR="005D7789" w:rsidRPr="002574EC">
        <w:rPr>
          <w:vertAlign w:val="superscript"/>
        </w:rPr>
        <w:footnoteReference w:id="236"/>
      </w:r>
      <w:r w:rsidR="005D7789" w:rsidRPr="002574EC">
        <w:t xml:space="preserve"> </w:t>
      </w:r>
      <w:r w:rsidR="00240A82" w:rsidRPr="002574EC">
        <w:t xml:space="preserve">and that, in April it had been </w:t>
      </w:r>
      <w:r w:rsidR="00E67592" w:rsidRPr="002574EC">
        <w:t>accused by a Venezuelan public official of making stigmatizing statements</w:t>
      </w:r>
      <w:r w:rsidR="005B42AF" w:rsidRPr="002574EC">
        <w:t>.</w:t>
      </w:r>
      <w:r w:rsidR="005D7789" w:rsidRPr="002574EC">
        <w:rPr>
          <w:rStyle w:val="FootnoteReference"/>
          <w:rFonts w:eastAsiaTheme="majorEastAsia"/>
        </w:rPr>
        <w:footnoteReference w:id="237"/>
      </w:r>
      <w:r w:rsidR="005B42AF" w:rsidRPr="002574EC">
        <w:t xml:space="preserve">  The website of </w:t>
      </w:r>
      <w:r w:rsidR="00130B03" w:rsidRPr="002574EC">
        <w:t>TeleSur</w:t>
      </w:r>
      <w:r w:rsidR="005D7789" w:rsidRPr="002574EC">
        <w:t xml:space="preserve"> Libre, </w:t>
      </w:r>
      <w:r w:rsidR="00F62C29" w:rsidRPr="002574EC">
        <w:t xml:space="preserve">a platform linked to allies of </w:t>
      </w:r>
      <w:r w:rsidR="005D7789" w:rsidRPr="002574EC">
        <w:t xml:space="preserve">Juan Guaidó, </w:t>
      </w:r>
      <w:r w:rsidR="00F62C29" w:rsidRPr="002574EC">
        <w:t>had reportedly been blocked on May 25, a few minutes after being launched.</w:t>
      </w:r>
      <w:r w:rsidR="005D7789" w:rsidRPr="002574EC">
        <w:rPr>
          <w:rStyle w:val="FootnoteReference"/>
          <w:rFonts w:eastAsiaTheme="majorEastAsia"/>
        </w:rPr>
        <w:footnoteReference w:id="238"/>
      </w:r>
      <w:r w:rsidR="009563AA" w:rsidRPr="002574EC">
        <w:t xml:space="preserve"> </w:t>
      </w:r>
      <w:r w:rsidR="004D374A" w:rsidRPr="002574EC">
        <w:t xml:space="preserve">On May </w:t>
      </w:r>
      <w:r w:rsidR="005D7789" w:rsidRPr="002574EC">
        <w:t xml:space="preserve">9, VE sin Filtro </w:t>
      </w:r>
      <w:r w:rsidR="004D374A" w:rsidRPr="002574EC">
        <w:t xml:space="preserve">identified </w:t>
      </w:r>
      <w:r w:rsidR="002613B2" w:rsidRPr="002574EC">
        <w:t xml:space="preserve">the blocking of </w:t>
      </w:r>
      <w:r w:rsidR="005D7789" w:rsidRPr="002574EC">
        <w:t xml:space="preserve">Soundclound </w:t>
      </w:r>
      <w:r w:rsidR="002613B2" w:rsidRPr="002574EC">
        <w:t xml:space="preserve">as well, </w:t>
      </w:r>
      <w:r w:rsidR="004D374A" w:rsidRPr="002574EC">
        <w:t>by private internet</w:t>
      </w:r>
      <w:r w:rsidR="00664FE5" w:rsidRPr="002574EC">
        <w:t xml:space="preserve"> providers in Venezuela </w:t>
      </w:r>
      <w:r w:rsidR="005D7789" w:rsidRPr="002574EC">
        <w:t xml:space="preserve">– </w:t>
      </w:r>
      <w:r w:rsidR="00664FE5" w:rsidRPr="002574EC">
        <w:t xml:space="preserve">the platform </w:t>
      </w:r>
      <w:r w:rsidR="00664FE5" w:rsidRPr="002574EC">
        <w:lastRenderedPageBreak/>
        <w:t xml:space="preserve">that had been blocked by CANTV since </w:t>
      </w:r>
      <w:r w:rsidR="005D7789" w:rsidRPr="002574EC">
        <w:t>2019</w:t>
      </w:r>
      <w:r w:rsidR="00664FE5" w:rsidRPr="002574EC">
        <w:t>.</w:t>
      </w:r>
      <w:r w:rsidR="005D7789" w:rsidRPr="002574EC">
        <w:rPr>
          <w:vertAlign w:val="superscript"/>
        </w:rPr>
        <w:footnoteReference w:id="239"/>
      </w:r>
      <w:r w:rsidR="00664FE5" w:rsidRPr="002574EC">
        <w:t xml:space="preserve">  In addition to the blocking, access was impeded to different newspapers’ web pages through cyberattacks over 2021</w:t>
      </w:r>
      <w:r w:rsidR="005D7789" w:rsidRPr="002574EC">
        <w:t>.</w:t>
      </w:r>
      <w:r w:rsidR="00E44837" w:rsidRPr="002574EC">
        <w:t xml:space="preserve"> </w:t>
      </w:r>
      <w:r w:rsidR="00885B16" w:rsidRPr="002574EC">
        <w:t xml:space="preserve">Some of the attacks documented by the Rapporteurship </w:t>
      </w:r>
      <w:r w:rsidR="00C26490" w:rsidRPr="002574EC">
        <w:t xml:space="preserve">were </w:t>
      </w:r>
      <w:r w:rsidR="007D6403" w:rsidRPr="002574EC">
        <w:t xml:space="preserve">perpetrated </w:t>
      </w:r>
      <w:r w:rsidR="00C26490" w:rsidRPr="002574EC">
        <w:t xml:space="preserve">against the digital media outlet </w:t>
      </w:r>
      <w:r w:rsidR="005D7789" w:rsidRPr="002574EC">
        <w:rPr>
          <w:i/>
          <w:iCs/>
          <w:shd w:val="clear" w:color="auto" w:fill="FFFFFF"/>
        </w:rPr>
        <w:t>Qué pasa en Venezuela</w:t>
      </w:r>
      <w:r w:rsidR="006E13E5" w:rsidRPr="002574EC">
        <w:t>,</w:t>
      </w:r>
      <w:r w:rsidR="005D7789" w:rsidRPr="002574EC">
        <w:rPr>
          <w:rStyle w:val="FootnoteReference"/>
          <w:rFonts w:eastAsiaTheme="majorEastAsia"/>
        </w:rPr>
        <w:footnoteReference w:id="240"/>
      </w:r>
      <w:r w:rsidR="005D7789" w:rsidRPr="002574EC">
        <w:t xml:space="preserve"> </w:t>
      </w:r>
      <w:r w:rsidR="005D7789" w:rsidRPr="002574EC">
        <w:rPr>
          <w:i/>
          <w:iCs/>
        </w:rPr>
        <w:t>VPI TV</w:t>
      </w:r>
      <w:r w:rsidR="006E13E5" w:rsidRPr="002574EC">
        <w:rPr>
          <w:i/>
          <w:iCs/>
        </w:rPr>
        <w:t>,</w:t>
      </w:r>
      <w:r w:rsidR="005D7789" w:rsidRPr="002574EC">
        <w:rPr>
          <w:rStyle w:val="FootnoteReference"/>
          <w:rFonts w:eastAsiaTheme="majorEastAsia"/>
        </w:rPr>
        <w:footnoteReference w:id="241"/>
      </w:r>
      <w:r w:rsidR="005D7789" w:rsidRPr="002574EC">
        <w:t xml:space="preserve"> </w:t>
      </w:r>
      <w:r w:rsidR="005D7789" w:rsidRPr="002574EC">
        <w:rPr>
          <w:i/>
          <w:iCs/>
        </w:rPr>
        <w:t>Punto de Corte</w:t>
      </w:r>
      <w:r w:rsidR="006E13E5" w:rsidRPr="002574EC">
        <w:rPr>
          <w:i/>
          <w:iCs/>
        </w:rPr>
        <w:t>,</w:t>
      </w:r>
      <w:r w:rsidR="005D7789" w:rsidRPr="002574EC">
        <w:rPr>
          <w:rStyle w:val="FootnoteReference"/>
          <w:rFonts w:eastAsiaTheme="majorEastAsia"/>
        </w:rPr>
        <w:footnoteReference w:id="242"/>
      </w:r>
      <w:r w:rsidR="005D7789" w:rsidRPr="002574EC">
        <w:t xml:space="preserve"> </w:t>
      </w:r>
      <w:r w:rsidR="006E13E5" w:rsidRPr="002574EC">
        <w:t>and</w:t>
      </w:r>
      <w:r w:rsidR="005D7789" w:rsidRPr="002574EC">
        <w:t xml:space="preserve"> </w:t>
      </w:r>
      <w:r w:rsidR="005D7789" w:rsidRPr="002574EC">
        <w:rPr>
          <w:i/>
          <w:iCs/>
        </w:rPr>
        <w:t>Tal Cual</w:t>
      </w:r>
      <w:r w:rsidR="006E13E5" w:rsidRPr="002574EC">
        <w:t>,</w:t>
      </w:r>
      <w:r w:rsidR="005D7789" w:rsidRPr="002574EC">
        <w:t xml:space="preserve"> </w:t>
      </w:r>
      <w:r w:rsidR="006E13E5" w:rsidRPr="002574EC">
        <w:t>the latter having been the victim on three occasions.</w:t>
      </w:r>
      <w:r w:rsidR="005D7789" w:rsidRPr="002574EC">
        <w:rPr>
          <w:rStyle w:val="FootnoteReference"/>
          <w:rFonts w:eastAsiaTheme="majorEastAsia"/>
        </w:rPr>
        <w:footnoteReference w:id="243"/>
      </w:r>
      <w:r w:rsidR="005D7789" w:rsidRPr="002574EC">
        <w:t xml:space="preserve"> </w:t>
      </w:r>
    </w:p>
    <w:p w14:paraId="1978B3D0" w14:textId="77777777" w:rsidR="005D7789" w:rsidRPr="002574EC" w:rsidRDefault="005D7789" w:rsidP="00E07D06">
      <w:pPr>
        <w:ind w:left="426" w:hanging="426"/>
        <w:jc w:val="both"/>
        <w:rPr>
          <w:rFonts w:ascii="Cambria" w:hAnsi="Cambria"/>
          <w:sz w:val="20"/>
          <w:szCs w:val="20"/>
        </w:rPr>
      </w:pPr>
    </w:p>
    <w:p w14:paraId="29623882" w14:textId="77CB0EAD" w:rsidR="005D7789" w:rsidRPr="002574EC" w:rsidRDefault="00556B24" w:rsidP="00F85814">
      <w:pPr>
        <w:pStyle w:val="ListParagraph"/>
      </w:pPr>
      <w:r w:rsidRPr="002574EC">
        <w:t xml:space="preserve">Lastly, this Office was informed that on March 27, 2021, Facebook </w:t>
      </w:r>
      <w:r w:rsidR="00DE3104" w:rsidRPr="002574EC">
        <w:t xml:space="preserve">blocked </w:t>
      </w:r>
      <w:r w:rsidR="00B5303B" w:rsidRPr="002574EC">
        <w:t xml:space="preserve">the </w:t>
      </w:r>
      <w:r w:rsidR="00DE3104" w:rsidRPr="002574EC">
        <w:t xml:space="preserve">posting </w:t>
      </w:r>
      <w:r w:rsidRPr="002574EC">
        <w:t xml:space="preserve">of new content </w:t>
      </w:r>
      <w:r w:rsidR="005B07AB" w:rsidRPr="002574EC">
        <w:t xml:space="preserve">in </w:t>
      </w:r>
      <w:r w:rsidRPr="002574EC">
        <w:t xml:space="preserve">the </w:t>
      </w:r>
      <w:r w:rsidR="00DE3104" w:rsidRPr="002574EC">
        <w:t xml:space="preserve">account </w:t>
      </w:r>
      <w:r w:rsidRPr="002574EC">
        <w:t>of the president of Venezuela on the social network, after repeated posting of content where</w:t>
      </w:r>
      <w:r w:rsidR="00FF74D2" w:rsidRPr="002574EC">
        <w:t>by</w:t>
      </w:r>
      <w:r w:rsidRPr="002574EC">
        <w:t xml:space="preserve"> the leader promoted the antiviral Carvativir as an effective drug </w:t>
      </w:r>
      <w:r w:rsidR="00617419" w:rsidRPr="002574EC">
        <w:t xml:space="preserve">against COVID-19, </w:t>
      </w:r>
      <w:r w:rsidR="00B15D5A" w:rsidRPr="002574EC">
        <w:t xml:space="preserve">even though there was no scientific or WHO data to support its effectiveness. </w:t>
      </w:r>
      <w:r w:rsidR="00237045" w:rsidRPr="002574EC">
        <w:t>According to Facebook</w:t>
      </w:r>
      <w:r w:rsidR="005D7789" w:rsidRPr="002574EC">
        <w:t xml:space="preserve">, </w:t>
      </w:r>
      <w:r w:rsidR="00237045" w:rsidRPr="002574EC">
        <w:t>the sanction occurred because of a violation of its “policies against misinformation about COVID-19 that can put people at risk of suffering harm.</w:t>
      </w:r>
      <w:r w:rsidR="005D7789" w:rsidRPr="002574EC">
        <w:t>”</w:t>
      </w:r>
      <w:r w:rsidR="005D7789" w:rsidRPr="002574EC">
        <w:rPr>
          <w:vertAlign w:val="superscript"/>
        </w:rPr>
        <w:footnoteReference w:id="244"/>
      </w:r>
      <w:r w:rsidR="00AC06D6" w:rsidRPr="002574EC">
        <w:t xml:space="preserve">  The government </w:t>
      </w:r>
      <w:r w:rsidR="007F7062" w:rsidRPr="002574EC">
        <w:t>described the suspension as an act of “digital totalitarianism” by the platform.</w:t>
      </w:r>
      <w:r w:rsidR="005D7789" w:rsidRPr="002574EC">
        <w:rPr>
          <w:rStyle w:val="FootnoteReference"/>
          <w:rFonts w:eastAsiaTheme="majorEastAsia"/>
        </w:rPr>
        <w:footnoteReference w:id="245"/>
      </w:r>
      <w:r w:rsidR="00862861" w:rsidRPr="002574EC">
        <w:t xml:space="preserve"> On prior occasions, the president </w:t>
      </w:r>
      <w:r w:rsidR="00F8101B" w:rsidRPr="002574EC">
        <w:t xml:space="preserve">had criticized the network for “censoring” videos </w:t>
      </w:r>
      <w:r w:rsidR="0013415C" w:rsidRPr="002574EC">
        <w:t>where his promoted the drug.</w:t>
      </w:r>
      <w:r w:rsidR="005D7789" w:rsidRPr="002574EC">
        <w:rPr>
          <w:rStyle w:val="FootnoteReference"/>
          <w:rFonts w:eastAsiaTheme="majorEastAsia"/>
        </w:rPr>
        <w:footnoteReference w:id="246"/>
      </w:r>
    </w:p>
    <w:p w14:paraId="50884340" w14:textId="4696FC84" w:rsidR="005D7789" w:rsidRPr="002574EC" w:rsidRDefault="005D7789" w:rsidP="00E07D06">
      <w:pPr>
        <w:ind w:left="426" w:hanging="426"/>
        <w:jc w:val="both"/>
        <w:rPr>
          <w:rFonts w:ascii="Cambria" w:hAnsi="Cambria"/>
          <w:sz w:val="20"/>
          <w:szCs w:val="20"/>
        </w:rPr>
      </w:pPr>
      <w:r w:rsidRPr="002574EC">
        <w:rPr>
          <w:rFonts w:ascii="Cambria" w:hAnsi="Cambria"/>
          <w:sz w:val="20"/>
          <w:szCs w:val="20"/>
        </w:rPr>
        <w:t xml:space="preserve"> </w:t>
      </w:r>
    </w:p>
    <w:p w14:paraId="1688C8EB" w14:textId="0B75D6E1" w:rsidR="005D7789" w:rsidRPr="002574EC" w:rsidRDefault="00065ECD" w:rsidP="00F85814">
      <w:pPr>
        <w:pStyle w:val="ListParagraph"/>
        <w:rPr>
          <w:shd w:val="clear" w:color="auto" w:fill="FFFFFF"/>
        </w:rPr>
      </w:pPr>
      <w:r w:rsidRPr="002574EC">
        <w:t>Likewise, on July 28, 2021, Twitter suspended the account of</w:t>
      </w:r>
      <w:r w:rsidR="005D7789" w:rsidRPr="002574EC">
        <w:t xml:space="preserve"> </w:t>
      </w:r>
      <w:r w:rsidR="005D7789" w:rsidRPr="002574EC">
        <w:rPr>
          <w:i/>
          <w:iCs/>
          <w:shd w:val="clear" w:color="auto" w:fill="FFFFFF"/>
        </w:rPr>
        <w:t>Con el Mazo Dando</w:t>
      </w:r>
      <w:r w:rsidR="005D7789" w:rsidRPr="002574EC">
        <w:rPr>
          <w:shd w:val="clear" w:color="auto" w:fill="FFFFFF"/>
        </w:rPr>
        <w:t xml:space="preserve">, </w:t>
      </w:r>
      <w:r w:rsidRPr="002574EC">
        <w:rPr>
          <w:shd w:val="clear" w:color="auto" w:fill="FFFFFF"/>
        </w:rPr>
        <w:t>Deputy Diosdado Cabello’s television program.  According to the complaints of the parliamentarian on his personal account on the same network, his program had followed all of the rules of the platform.</w:t>
      </w:r>
      <w:r w:rsidR="005D7789" w:rsidRPr="002574EC">
        <w:rPr>
          <w:rStyle w:val="FootnoteReference"/>
          <w:rFonts w:eastAsiaTheme="majorEastAsia"/>
          <w:shd w:val="clear" w:color="auto" w:fill="FFFFFF"/>
        </w:rPr>
        <w:footnoteReference w:id="247"/>
      </w:r>
      <w:r w:rsidR="002567B5" w:rsidRPr="002574EC">
        <w:rPr>
          <w:shd w:val="clear" w:color="auto" w:fill="FFFFFF"/>
        </w:rPr>
        <w:t xml:space="preserve"> As of the date of completion of the drafting of this report, the account of the program continued to be frozen on the network.</w:t>
      </w:r>
      <w:r w:rsidR="005D7789" w:rsidRPr="002574EC">
        <w:rPr>
          <w:rStyle w:val="FootnoteReference"/>
          <w:rFonts w:eastAsiaTheme="majorEastAsia"/>
          <w:shd w:val="clear" w:color="auto" w:fill="FFFFFF"/>
        </w:rPr>
        <w:footnoteReference w:id="248"/>
      </w:r>
      <w:r w:rsidR="005D7789" w:rsidRPr="002574EC">
        <w:rPr>
          <w:shd w:val="clear" w:color="auto" w:fill="FFFFFF"/>
        </w:rPr>
        <w:t xml:space="preserve"> </w:t>
      </w:r>
    </w:p>
    <w:p w14:paraId="0BC9F92F" w14:textId="77777777" w:rsidR="005D7789" w:rsidRPr="002574EC" w:rsidRDefault="005D7789" w:rsidP="00E07D06">
      <w:pPr>
        <w:widowControl w:val="0"/>
        <w:pBdr>
          <w:top w:val="nil"/>
          <w:left w:val="nil"/>
          <w:bottom w:val="nil"/>
          <w:right w:val="nil"/>
          <w:between w:val="nil"/>
        </w:pBdr>
        <w:ind w:left="426" w:hanging="426"/>
        <w:jc w:val="both"/>
        <w:rPr>
          <w:rFonts w:ascii="Cambria" w:hAnsi="Cambria"/>
          <w:b/>
          <w:bCs/>
          <w:sz w:val="20"/>
          <w:szCs w:val="20"/>
        </w:rPr>
      </w:pPr>
    </w:p>
    <w:p w14:paraId="70E9CBEA" w14:textId="6CD8B4E6" w:rsidR="007959E4" w:rsidRPr="002245EC" w:rsidRDefault="007959E4" w:rsidP="007E075D">
      <w:pPr>
        <w:pStyle w:val="Heading2"/>
      </w:pPr>
      <w:r w:rsidRPr="002245EC">
        <w:t>S</w:t>
      </w:r>
      <w:r w:rsidR="00E63067" w:rsidRPr="002245EC">
        <w:t>ituatio</w:t>
      </w:r>
      <w:r w:rsidR="004265FD" w:rsidRPr="002245EC">
        <w:t>n</w:t>
      </w:r>
      <w:r w:rsidR="00E63067" w:rsidRPr="002245EC">
        <w:t xml:space="preserve"> of </w:t>
      </w:r>
      <w:r w:rsidR="002245EC" w:rsidRPr="002245EC">
        <w:t>Economic</w:t>
      </w:r>
      <w:r w:rsidR="00E63067" w:rsidRPr="002245EC">
        <w:t xml:space="preserve">, </w:t>
      </w:r>
      <w:r w:rsidR="002245EC" w:rsidRPr="002245EC">
        <w:t>Social</w:t>
      </w:r>
      <w:r w:rsidR="00E63067" w:rsidRPr="002245EC">
        <w:t xml:space="preserve">, </w:t>
      </w:r>
      <w:r w:rsidR="002245EC" w:rsidRPr="002245EC">
        <w:t xml:space="preserve">Cultural </w:t>
      </w:r>
      <w:r w:rsidR="00E63067" w:rsidRPr="002245EC">
        <w:t xml:space="preserve">and </w:t>
      </w:r>
      <w:r w:rsidR="002245EC" w:rsidRPr="002245EC">
        <w:t xml:space="preserve">Environmental Rights </w:t>
      </w:r>
      <w:r w:rsidR="00965E67" w:rsidRPr="002245EC">
        <w:t>(ESC</w:t>
      </w:r>
      <w:r w:rsidR="00FE5D0F" w:rsidRPr="002245EC">
        <w:t>ERs</w:t>
      </w:r>
      <w:r w:rsidR="00965E67" w:rsidRPr="002245EC">
        <w:t>)</w:t>
      </w:r>
    </w:p>
    <w:p w14:paraId="4BA19CE8" w14:textId="77777777" w:rsidR="007959E4" w:rsidRPr="002574EC" w:rsidRDefault="007959E4" w:rsidP="00E07D06">
      <w:pPr>
        <w:widowControl w:val="0"/>
        <w:pBdr>
          <w:top w:val="nil"/>
          <w:left w:val="nil"/>
          <w:bottom w:val="nil"/>
          <w:right w:val="nil"/>
          <w:between w:val="nil"/>
        </w:pBdr>
        <w:ind w:left="426" w:hanging="426"/>
        <w:jc w:val="both"/>
        <w:rPr>
          <w:rFonts w:ascii="Cambria" w:hAnsi="Cambria"/>
          <w:b/>
          <w:bCs/>
          <w:sz w:val="20"/>
          <w:szCs w:val="20"/>
        </w:rPr>
      </w:pPr>
    </w:p>
    <w:p w14:paraId="294BA4F0" w14:textId="6A8BA4FF" w:rsidR="00D24896" w:rsidRPr="002574EC" w:rsidRDefault="00982408" w:rsidP="00F85814">
      <w:pPr>
        <w:pStyle w:val="ListParagraph"/>
      </w:pPr>
      <w:r w:rsidRPr="002574EC">
        <w:t xml:space="preserve">The Commission and the Special Rapporteurship </w:t>
      </w:r>
      <w:r w:rsidR="00150A50" w:rsidRPr="002574EC">
        <w:t xml:space="preserve">on Economic, Social, Cultural and Environmental Rights (REDESCA) </w:t>
      </w:r>
      <w:r w:rsidR="001661FA" w:rsidRPr="002574EC">
        <w:t xml:space="preserve">is </w:t>
      </w:r>
      <w:r w:rsidR="00150A50" w:rsidRPr="002574EC">
        <w:t>concern</w:t>
      </w:r>
      <w:r w:rsidR="001661FA" w:rsidRPr="002574EC">
        <w:t>ed about</w:t>
      </w:r>
      <w:r w:rsidR="00150A50" w:rsidRPr="002574EC">
        <w:t xml:space="preserve"> </w:t>
      </w:r>
      <w:r w:rsidR="0078052A" w:rsidRPr="002574EC">
        <w:t xml:space="preserve">the significant impact </w:t>
      </w:r>
      <w:r w:rsidR="00733212" w:rsidRPr="002574EC">
        <w:t>that the pandemic has had on the enjoyment of economic, social, cultural and environmental rights</w:t>
      </w:r>
      <w:r w:rsidR="00117868" w:rsidRPr="002574EC">
        <w:t xml:space="preserve">, particularly </w:t>
      </w:r>
      <w:r w:rsidR="00E63FEC" w:rsidRPr="002574EC">
        <w:t xml:space="preserve">in view of the fact </w:t>
      </w:r>
      <w:r w:rsidR="00117868" w:rsidRPr="002574EC">
        <w:t>that the COVID-19 health emergency took place in the context of a complex humanitarian emergency, that has been marked by serious obstacles to</w:t>
      </w:r>
      <w:r w:rsidR="005A1D01" w:rsidRPr="002574EC">
        <w:t xml:space="preserve"> the ability</w:t>
      </w:r>
      <w:r w:rsidR="00FF4881" w:rsidRPr="002574EC">
        <w:t xml:space="preserve"> of the majority of the population</w:t>
      </w:r>
      <w:r w:rsidR="005A1D01" w:rsidRPr="002574EC">
        <w:t xml:space="preserve"> to</w:t>
      </w:r>
      <w:r w:rsidR="00117868" w:rsidRPr="002574EC">
        <w:t xml:space="preserve"> lead a decent life in the country</w:t>
      </w:r>
      <w:r w:rsidR="00D81D2E" w:rsidRPr="002574EC">
        <w:t xml:space="preserve">. Consequently, </w:t>
      </w:r>
      <w:r w:rsidR="00E5558B" w:rsidRPr="002574EC">
        <w:t>the</w:t>
      </w:r>
      <w:r w:rsidR="00D81D2E" w:rsidRPr="002574EC">
        <w:t xml:space="preserve"> high number of COVID-19 infections and deaths</w:t>
      </w:r>
      <w:r w:rsidR="005D2642" w:rsidRPr="002574EC">
        <w:t xml:space="preserve"> has been </w:t>
      </w:r>
      <w:r w:rsidR="00E93A1B" w:rsidRPr="002574EC">
        <w:t>further a</w:t>
      </w:r>
      <w:r w:rsidR="006A4CE4" w:rsidRPr="002574EC">
        <w:t>ggra</w:t>
      </w:r>
      <w:r w:rsidR="00D9327F" w:rsidRPr="002574EC">
        <w:t xml:space="preserve">vated by the collapse </w:t>
      </w:r>
      <w:r w:rsidR="00D9327F" w:rsidRPr="002574EC">
        <w:lastRenderedPageBreak/>
        <w:t xml:space="preserve">of the healthcare system, reports of underreporting of infections and deaths, as well as the challenges posed </w:t>
      </w:r>
      <w:r w:rsidR="00514B67" w:rsidRPr="002574EC">
        <w:t>by</w:t>
      </w:r>
      <w:r w:rsidR="00D9327F" w:rsidRPr="002574EC">
        <w:t xml:space="preserve"> the </w:t>
      </w:r>
      <w:r w:rsidR="003B5351" w:rsidRPr="002574EC">
        <w:t xml:space="preserve">immunization </w:t>
      </w:r>
      <w:r w:rsidR="00D9327F" w:rsidRPr="002574EC">
        <w:t>process itself</w:t>
      </w:r>
      <w:r w:rsidR="00D24896" w:rsidRPr="002574EC">
        <w:t xml:space="preserve"> (</w:t>
      </w:r>
      <w:r w:rsidR="00D9327F" w:rsidRPr="002574EC">
        <w:t>in the absence of an effective national vaccination plan</w:t>
      </w:r>
      <w:r w:rsidR="00D24896" w:rsidRPr="002574EC">
        <w:t xml:space="preserve">). </w:t>
      </w:r>
      <w:r w:rsidR="00B13426" w:rsidRPr="002574EC">
        <w:t xml:space="preserve">In addition to </w:t>
      </w:r>
      <w:r w:rsidR="00673097" w:rsidRPr="002574EC">
        <w:t>the foregoing</w:t>
      </w:r>
      <w:r w:rsidR="009B60BB" w:rsidRPr="002574EC">
        <w:t>, there is an acute</w:t>
      </w:r>
      <w:r w:rsidR="00673097" w:rsidRPr="002574EC">
        <w:t xml:space="preserve"> shortage of medications and medical supplies, </w:t>
      </w:r>
      <w:r w:rsidR="009B60BB" w:rsidRPr="002574EC">
        <w:t xml:space="preserve">a </w:t>
      </w:r>
      <w:r w:rsidR="00673097" w:rsidRPr="002574EC">
        <w:t xml:space="preserve">lack of </w:t>
      </w:r>
      <w:r w:rsidR="00FA3105" w:rsidRPr="002574EC">
        <w:t>basic services, such as drinking water, sanitation and electricity, and growing poverty</w:t>
      </w:r>
      <w:r w:rsidR="00A84C58" w:rsidRPr="002574EC">
        <w:t xml:space="preserve">, all </w:t>
      </w:r>
      <w:r w:rsidR="00A6646C" w:rsidRPr="002574EC">
        <w:t xml:space="preserve">combining </w:t>
      </w:r>
      <w:r w:rsidR="00A84C58" w:rsidRPr="002574EC">
        <w:t xml:space="preserve">to </w:t>
      </w:r>
      <w:r w:rsidR="00D1266E" w:rsidRPr="002574EC">
        <w:t xml:space="preserve">keep </w:t>
      </w:r>
      <w:r w:rsidR="009E74A8" w:rsidRPr="002574EC">
        <w:t>basic needs from being met.</w:t>
      </w:r>
    </w:p>
    <w:p w14:paraId="5603670C" w14:textId="77777777" w:rsidR="00D24896" w:rsidRPr="002574EC" w:rsidRDefault="00D24896" w:rsidP="002245EC"/>
    <w:p w14:paraId="5B952BB9" w14:textId="57B4BAE1" w:rsidR="00D24896" w:rsidRPr="002574EC" w:rsidRDefault="00897148" w:rsidP="00F85814">
      <w:pPr>
        <w:pStyle w:val="ListParagraph"/>
        <w:rPr>
          <w:rFonts w:eastAsiaTheme="minorEastAsia"/>
        </w:rPr>
      </w:pPr>
      <w:r w:rsidRPr="002574EC">
        <w:t xml:space="preserve">Regarding COVID-19 infections and deaths, the Commission and the REDESCA observe that, in late </w:t>
      </w:r>
      <w:r w:rsidR="005A09AA" w:rsidRPr="002574EC">
        <w:t>November</w:t>
      </w:r>
      <w:r w:rsidRPr="002574EC">
        <w:t xml:space="preserve">, Venezuela was reported to have one of the highest COVID-19 </w:t>
      </w:r>
      <w:r w:rsidR="007865C0" w:rsidRPr="002574EC">
        <w:t xml:space="preserve">mortality </w:t>
      </w:r>
      <w:r w:rsidRPr="002574EC">
        <w:t>rates among healthcare workers in South America</w:t>
      </w:r>
      <w:r w:rsidR="005A09AA" w:rsidRPr="002574EC">
        <w:t>, with over 792 deaths</w:t>
      </w:r>
      <w:r w:rsidR="005A09AA" w:rsidRPr="002574EC">
        <w:rPr>
          <w:rStyle w:val="FootnoteReference"/>
          <w:color w:val="000000"/>
        </w:rPr>
        <w:footnoteReference w:id="249"/>
      </w:r>
      <w:r w:rsidR="005A09AA" w:rsidRPr="002574EC">
        <w:t>,</w:t>
      </w:r>
      <w:r w:rsidRPr="002574EC">
        <w:t xml:space="preserve"> and the third highest </w:t>
      </w:r>
      <w:r w:rsidR="00762C95" w:rsidRPr="002574EC">
        <w:t xml:space="preserve">mortality </w:t>
      </w:r>
      <w:r w:rsidRPr="002574EC">
        <w:t>rate among pregnant women.</w:t>
      </w:r>
      <w:r w:rsidR="00D24896" w:rsidRPr="002574EC">
        <w:rPr>
          <w:rStyle w:val="FootnoteReference"/>
          <w:color w:val="000000"/>
        </w:rPr>
        <w:footnoteReference w:id="250"/>
      </w:r>
      <w:r w:rsidR="00690A0B" w:rsidRPr="002574EC">
        <w:t xml:space="preserve">  </w:t>
      </w:r>
      <w:r w:rsidR="00213A87" w:rsidRPr="002574EC">
        <w:t>Additionally</w:t>
      </w:r>
      <w:r w:rsidR="00AF59E5" w:rsidRPr="002574EC">
        <w:t xml:space="preserve">, according to </w:t>
      </w:r>
      <w:r w:rsidR="008E3938" w:rsidRPr="002574EC">
        <w:t>official statistics reported by the</w:t>
      </w:r>
      <w:r w:rsidR="00BC127E" w:rsidRPr="002574EC">
        <w:t xml:space="preserve"> Venezuelan</w:t>
      </w:r>
      <w:r w:rsidR="008E3938" w:rsidRPr="002574EC">
        <w:t xml:space="preserve"> Ministry of Health, in early November 2021, the pandemic had cause</w:t>
      </w:r>
      <w:r w:rsidR="00A210AC" w:rsidRPr="002574EC">
        <w:t>d</w:t>
      </w:r>
      <w:r w:rsidR="008E3938" w:rsidRPr="002574EC">
        <w:t xml:space="preserve"> approximately 407,866 infections, 4,902 dea</w:t>
      </w:r>
      <w:r w:rsidR="00A210AC" w:rsidRPr="002574EC">
        <w:t>th</w:t>
      </w:r>
      <w:r w:rsidR="008E3938" w:rsidRPr="002574EC">
        <w:t>s and 391,840 individuals had recovered in the country.</w:t>
      </w:r>
      <w:r w:rsidR="00D24896" w:rsidRPr="002574EC">
        <w:rPr>
          <w:rStyle w:val="FootnoteReference"/>
        </w:rPr>
        <w:footnoteReference w:id="251"/>
      </w:r>
      <w:r w:rsidR="00D24896" w:rsidRPr="002574EC">
        <w:t xml:space="preserve"> </w:t>
      </w:r>
      <w:r w:rsidR="00A210AC" w:rsidRPr="002574EC">
        <w:t xml:space="preserve">Notwithstanding, the IACHR and the REDESCA </w:t>
      </w:r>
      <w:r w:rsidR="00691763" w:rsidRPr="002574EC">
        <w:t xml:space="preserve">view </w:t>
      </w:r>
      <w:r w:rsidR="007A25A5" w:rsidRPr="002574EC">
        <w:t xml:space="preserve">with concern </w:t>
      </w:r>
      <w:r w:rsidR="006F3A35" w:rsidRPr="002574EC">
        <w:t xml:space="preserve">the ongoing </w:t>
      </w:r>
      <w:r w:rsidR="006C04E1" w:rsidRPr="002574EC">
        <w:t xml:space="preserve">denunciation of underreporting </w:t>
      </w:r>
      <w:r w:rsidR="00A15F24" w:rsidRPr="002574EC">
        <w:t>of these cases, which is further bolstered by the fact that</w:t>
      </w:r>
      <w:r w:rsidR="00D509A0" w:rsidRPr="002574EC">
        <w:t>,</w:t>
      </w:r>
      <w:r w:rsidR="00A15F24" w:rsidRPr="002574EC">
        <w:t xml:space="preserve"> over the course of the year</w:t>
      </w:r>
      <w:r w:rsidR="00D509A0" w:rsidRPr="002574EC">
        <w:t>,</w:t>
      </w:r>
      <w:r w:rsidR="00A15F24" w:rsidRPr="002574EC">
        <w:t xml:space="preserve"> national and international organizations </w:t>
      </w:r>
      <w:r w:rsidR="003F1D06" w:rsidRPr="002574EC">
        <w:t xml:space="preserve">have reported that the updated figures provided by the executive branch are </w:t>
      </w:r>
      <w:r w:rsidR="008B7590" w:rsidRPr="002574EC">
        <w:t xml:space="preserve">out of step </w:t>
      </w:r>
      <w:r w:rsidR="003F1D06" w:rsidRPr="002574EC">
        <w:t>with reality,</w:t>
      </w:r>
      <w:r w:rsidR="00D24896" w:rsidRPr="002574EC">
        <w:rPr>
          <w:rStyle w:val="FootnoteReference"/>
          <w:color w:val="000000"/>
        </w:rPr>
        <w:footnoteReference w:id="252"/>
      </w:r>
      <w:r w:rsidR="003D597B" w:rsidRPr="002574EC">
        <w:t xml:space="preserve"> </w:t>
      </w:r>
      <w:r w:rsidR="006F3A35" w:rsidRPr="002574EC">
        <w:t xml:space="preserve">as a result of the lack of capacity to test nationwide </w:t>
      </w:r>
      <w:r w:rsidR="004D3D1E" w:rsidRPr="002574EC">
        <w:t xml:space="preserve">and alleged </w:t>
      </w:r>
      <w:r w:rsidR="00F64E10" w:rsidRPr="002574EC">
        <w:t xml:space="preserve">tampering with this </w:t>
      </w:r>
      <w:r w:rsidR="004623FA" w:rsidRPr="002574EC">
        <w:t>information</w:t>
      </w:r>
      <w:r w:rsidR="00D24896" w:rsidRPr="002574EC">
        <w:t>. </w:t>
      </w:r>
    </w:p>
    <w:p w14:paraId="04BB356C" w14:textId="77777777" w:rsidR="00D24896" w:rsidRPr="002574EC" w:rsidRDefault="00D24896" w:rsidP="002245EC">
      <w:pPr>
        <w:pStyle w:val="ListParagraph"/>
        <w:numPr>
          <w:ilvl w:val="0"/>
          <w:numId w:val="0"/>
        </w:numPr>
        <w:ind w:left="720"/>
      </w:pPr>
    </w:p>
    <w:p w14:paraId="1CFD2237" w14:textId="305B849C" w:rsidR="00D24896" w:rsidRPr="002574EC" w:rsidRDefault="00B37D47" w:rsidP="00F85814">
      <w:pPr>
        <w:pStyle w:val="ListParagraph"/>
      </w:pPr>
      <w:r w:rsidRPr="002574EC">
        <w:t xml:space="preserve">Based on the foregoing, the Commission and the REDESCA emphasize that the </w:t>
      </w:r>
      <w:r w:rsidR="00C81853" w:rsidRPr="002574EC">
        <w:t xml:space="preserve">discrepancies in COVID-19 figures </w:t>
      </w:r>
      <w:r w:rsidR="00EB532B" w:rsidRPr="002574EC">
        <w:t xml:space="preserve">directly impacts people’s ability </w:t>
      </w:r>
      <w:r w:rsidR="003779C2" w:rsidRPr="002574EC">
        <w:t xml:space="preserve">to access optimal healthcare service and this, in addition to </w:t>
      </w:r>
      <w:r w:rsidR="00635914" w:rsidRPr="002574EC">
        <w:t xml:space="preserve">rendering vulnerable groups invisible, </w:t>
      </w:r>
      <w:r w:rsidR="008A5497" w:rsidRPr="002574EC">
        <w:t xml:space="preserve">makes it impossible to know </w:t>
      </w:r>
      <w:r w:rsidR="00EE76D1" w:rsidRPr="002574EC">
        <w:t xml:space="preserve">the </w:t>
      </w:r>
      <w:r w:rsidR="008A5497" w:rsidRPr="002574EC">
        <w:t xml:space="preserve">full </w:t>
      </w:r>
      <w:r w:rsidR="002C7731" w:rsidRPr="002574EC">
        <w:t xml:space="preserve">extent </w:t>
      </w:r>
      <w:r w:rsidR="00EE76D1" w:rsidRPr="002574EC">
        <w:t xml:space="preserve">of the crisis and, consequently, design </w:t>
      </w:r>
      <w:r w:rsidR="00A73782" w:rsidRPr="002574EC">
        <w:t xml:space="preserve">public policies to overcome it. </w:t>
      </w:r>
      <w:r w:rsidR="00FE3E04" w:rsidRPr="002574EC">
        <w:t>Therefore, the IACHR and the REDESCA recall that States must en</w:t>
      </w:r>
      <w:r w:rsidR="00E62ABB" w:rsidRPr="002574EC">
        <w:t>s</w:t>
      </w:r>
      <w:r w:rsidR="00FE3E04" w:rsidRPr="002574EC">
        <w:t xml:space="preserve">ure the right of access to public information in the context of the COVID-19 emergency and, consequently, </w:t>
      </w:r>
      <w:r w:rsidR="00FD5CB6" w:rsidRPr="002574EC">
        <w:t xml:space="preserve">must </w:t>
      </w:r>
      <w:r w:rsidR="00B45CE0" w:rsidRPr="002574EC">
        <w:t xml:space="preserve">proactively report on the impacts of the pandemic, </w:t>
      </w:r>
      <w:r w:rsidR="00CB2E68" w:rsidRPr="002574EC">
        <w:t>in disaggregated form, in open source formats that are accessible to all groups in vulnerable situations</w:t>
      </w:r>
      <w:r w:rsidR="00B605FA" w:rsidRPr="002574EC">
        <w:t xml:space="preserve">, pursuant to </w:t>
      </w:r>
      <w:r w:rsidR="00CF0687" w:rsidRPr="002574EC">
        <w:t xml:space="preserve">best international practices and in accordance with </w:t>
      </w:r>
      <w:r w:rsidR="002B3922" w:rsidRPr="002574EC">
        <w:t>the provisions of IACHR Resolution 1/2020</w:t>
      </w:r>
      <w:r w:rsidR="000A6B64" w:rsidRPr="002574EC">
        <w:t>.</w:t>
      </w:r>
      <w:r w:rsidR="00D24896" w:rsidRPr="002574EC">
        <w:rPr>
          <w:rStyle w:val="FootnoteReference"/>
          <w:color w:val="000000"/>
        </w:rPr>
        <w:footnoteReference w:id="253"/>
      </w:r>
      <w:r w:rsidR="00D24896" w:rsidRPr="002574EC">
        <w:t xml:space="preserve"> </w:t>
      </w:r>
    </w:p>
    <w:p w14:paraId="36165160" w14:textId="77777777" w:rsidR="00D24896" w:rsidRPr="002574EC" w:rsidRDefault="00D24896" w:rsidP="00E07D06">
      <w:pPr>
        <w:ind w:left="426" w:hanging="426"/>
        <w:jc w:val="both"/>
        <w:rPr>
          <w:rFonts w:ascii="Cambria" w:hAnsi="Cambria"/>
          <w:color w:val="000000"/>
          <w:sz w:val="20"/>
          <w:szCs w:val="20"/>
        </w:rPr>
      </w:pPr>
    </w:p>
    <w:p w14:paraId="018BDCE8" w14:textId="400228A2" w:rsidR="00D24896" w:rsidRPr="002574EC" w:rsidRDefault="007B506D" w:rsidP="00F85814">
      <w:pPr>
        <w:pStyle w:val="ListParagraph"/>
      </w:pPr>
      <w:r w:rsidRPr="002574EC">
        <w:t xml:space="preserve">In relation to the measures taken by the executive branch to contain the pandemic, the REDESCA </w:t>
      </w:r>
      <w:r w:rsidR="00000731" w:rsidRPr="002574EC">
        <w:t xml:space="preserve">can highlight </w:t>
      </w:r>
      <w:r w:rsidR="00C81FFD" w:rsidRPr="002574EC">
        <w:t xml:space="preserve">several </w:t>
      </w:r>
      <w:r w:rsidR="00A47625" w:rsidRPr="002574EC">
        <w:t>campaigns to promote face mask</w:t>
      </w:r>
      <w:r w:rsidR="00602683" w:rsidRPr="002574EC">
        <w:t xml:space="preserve"> wearing</w:t>
      </w:r>
      <w:r w:rsidR="00A47625" w:rsidRPr="002574EC">
        <w:t xml:space="preserve">, social distancing and hand washing, in line with WHO recommendations. </w:t>
      </w:r>
      <w:r w:rsidR="003509E3" w:rsidRPr="002574EC">
        <w:t xml:space="preserve">It </w:t>
      </w:r>
      <w:r w:rsidR="009A38A6" w:rsidRPr="002574EC">
        <w:t>also</w:t>
      </w:r>
      <w:r w:rsidR="00EB0318" w:rsidRPr="002574EC">
        <w:t xml:space="preserve"> take</w:t>
      </w:r>
      <w:r w:rsidR="003509E3" w:rsidRPr="002574EC">
        <w:t>s</w:t>
      </w:r>
      <w:r w:rsidR="00EB0318" w:rsidRPr="002574EC">
        <w:t xml:space="preserve"> note </w:t>
      </w:r>
      <w:r w:rsidR="00AF779A" w:rsidRPr="002574EC">
        <w:t xml:space="preserve">of </w:t>
      </w:r>
      <w:r w:rsidR="00245914" w:rsidRPr="002574EC">
        <w:t xml:space="preserve">efforts to coordinate </w:t>
      </w:r>
      <w:r w:rsidR="00B61FF0" w:rsidRPr="002574EC">
        <w:t>with international organizations, such as PAHO/WHO</w:t>
      </w:r>
      <w:r w:rsidR="00D24896" w:rsidRPr="002574EC">
        <w:rPr>
          <w:rStyle w:val="FootnoteReference"/>
          <w:color w:val="000000"/>
        </w:rPr>
        <w:footnoteReference w:id="254"/>
      </w:r>
      <w:r w:rsidR="00D24896" w:rsidRPr="002574EC">
        <w:t xml:space="preserve"> </w:t>
      </w:r>
      <w:r w:rsidR="00B61FF0" w:rsidRPr="002574EC">
        <w:t>and</w:t>
      </w:r>
      <w:r w:rsidR="00D24896" w:rsidRPr="002574EC">
        <w:t xml:space="preserve"> UNICEF </w:t>
      </w:r>
      <w:r w:rsidR="00B61FF0" w:rsidRPr="002574EC">
        <w:t>to respond</w:t>
      </w:r>
      <w:r w:rsidR="0047433A" w:rsidRPr="002574EC">
        <w:t xml:space="preserve"> to </w:t>
      </w:r>
      <w:r w:rsidR="00B85567" w:rsidRPr="002574EC">
        <w:t xml:space="preserve">the pandemic with </w:t>
      </w:r>
      <w:r w:rsidR="00245914" w:rsidRPr="002574EC">
        <w:t xml:space="preserve">a </w:t>
      </w:r>
      <w:r w:rsidR="00B85567" w:rsidRPr="002574EC">
        <w:t xml:space="preserve">particular focus on the right to health and the social determinants thereof.  </w:t>
      </w:r>
      <w:r w:rsidR="003D6C24" w:rsidRPr="002574EC">
        <w:t xml:space="preserve">This has made it possible to </w:t>
      </w:r>
      <w:r w:rsidR="00720D12" w:rsidRPr="002574EC">
        <w:t xml:space="preserve">intervene </w:t>
      </w:r>
      <w:r w:rsidR="004A3C75" w:rsidRPr="002574EC">
        <w:t xml:space="preserve">in the area of water, sanitation </w:t>
      </w:r>
      <w:r w:rsidR="00EE6587" w:rsidRPr="002574EC">
        <w:t xml:space="preserve">and hygiene at </w:t>
      </w:r>
      <w:r w:rsidR="0057589A" w:rsidRPr="002574EC">
        <w:t xml:space="preserve">medical </w:t>
      </w:r>
      <w:r w:rsidR="00EE6587" w:rsidRPr="002574EC">
        <w:t>care facilities</w:t>
      </w:r>
      <w:r w:rsidR="002C3170" w:rsidRPr="002574EC">
        <w:t>;</w:t>
      </w:r>
      <w:r w:rsidR="0057589A" w:rsidRPr="002574EC">
        <w:t xml:space="preserve"> deliver </w:t>
      </w:r>
      <w:r w:rsidR="000D49BA" w:rsidRPr="002574EC">
        <w:t xml:space="preserve">supplies to </w:t>
      </w:r>
      <w:r w:rsidR="005B3773" w:rsidRPr="002574EC">
        <w:t>front line healthcare workers responding to the pandemic</w:t>
      </w:r>
      <w:r w:rsidR="002C3170" w:rsidRPr="002574EC">
        <w:t>;</w:t>
      </w:r>
      <w:r w:rsidR="005B3773" w:rsidRPr="002574EC">
        <w:t xml:space="preserve"> </w:t>
      </w:r>
      <w:r w:rsidR="00A72F38" w:rsidRPr="002574EC">
        <w:lastRenderedPageBreak/>
        <w:t xml:space="preserve">provide technical assistance, </w:t>
      </w:r>
      <w:r w:rsidR="002C3170" w:rsidRPr="002574EC">
        <w:t>infection prevention and control training</w:t>
      </w:r>
      <w:r w:rsidR="00D24896" w:rsidRPr="002574EC">
        <w:t>;</w:t>
      </w:r>
      <w:r w:rsidR="00000731" w:rsidRPr="002574EC">
        <w:t xml:space="preserve"> </w:t>
      </w:r>
      <w:r w:rsidR="00D24896" w:rsidRPr="002574EC">
        <w:t xml:space="preserve"> </w:t>
      </w:r>
      <w:r w:rsidR="00910F52" w:rsidRPr="002574EC">
        <w:t xml:space="preserve">plan </w:t>
      </w:r>
      <w:r w:rsidR="00C5468D" w:rsidRPr="002574EC">
        <w:t>COVID-19 vaccination strategies</w:t>
      </w:r>
      <w:r w:rsidR="00BF7E85" w:rsidRPr="002574EC">
        <w:t>;</w:t>
      </w:r>
      <w:r w:rsidR="00D24896" w:rsidRPr="002574EC">
        <w:t xml:space="preserve"> </w:t>
      </w:r>
      <w:r w:rsidR="00982E2A" w:rsidRPr="002574EC">
        <w:t xml:space="preserve">draft a vaccine introduction and deployment plan; among other </w:t>
      </w:r>
      <w:r w:rsidR="003934DF" w:rsidRPr="002574EC">
        <w:t>interventions.</w:t>
      </w:r>
      <w:r w:rsidR="00D24896" w:rsidRPr="002574EC">
        <w:rPr>
          <w:rStyle w:val="FootnoteReference"/>
          <w:color w:val="000000"/>
        </w:rPr>
        <w:footnoteReference w:id="255"/>
      </w:r>
      <w:r w:rsidR="00D24896" w:rsidRPr="002574EC">
        <w:t xml:space="preserve"> </w:t>
      </w:r>
    </w:p>
    <w:p w14:paraId="6DA6725E" w14:textId="77777777" w:rsidR="00D24896" w:rsidRPr="002574EC" w:rsidRDefault="00D24896" w:rsidP="002245EC">
      <w:pPr>
        <w:pStyle w:val="ListParagraph"/>
        <w:numPr>
          <w:ilvl w:val="0"/>
          <w:numId w:val="0"/>
        </w:numPr>
        <w:ind w:left="720"/>
      </w:pPr>
    </w:p>
    <w:p w14:paraId="257E61EF" w14:textId="58980380" w:rsidR="00D24896" w:rsidRPr="002574EC" w:rsidRDefault="0007322F" w:rsidP="00F85814">
      <w:pPr>
        <w:pStyle w:val="ListParagraph"/>
      </w:pPr>
      <w:r w:rsidRPr="002574EC">
        <w:t>Likewise</w:t>
      </w:r>
      <w:r w:rsidR="009A38A6" w:rsidRPr="002574EC">
        <w:t xml:space="preserve">, the Commission and the REDESCA </w:t>
      </w:r>
      <w:r w:rsidR="00964F2A" w:rsidRPr="002574EC">
        <w:t>welcome the agreements that have been reached</w:t>
      </w:r>
      <w:r w:rsidR="006036C5" w:rsidRPr="002574EC">
        <w:t>,</w:t>
      </w:r>
      <w:r w:rsidR="00964F2A" w:rsidRPr="002574EC">
        <w:t xml:space="preserve"> despite the political polarization</w:t>
      </w:r>
      <w:r w:rsidR="008E59F2" w:rsidRPr="002574EC">
        <w:t xml:space="preserve"> gripping</w:t>
      </w:r>
      <w:r w:rsidR="00964F2A" w:rsidRPr="002574EC">
        <w:t xml:space="preserve"> the country</w:t>
      </w:r>
      <w:r w:rsidR="00042CC3" w:rsidRPr="002574EC">
        <w:t xml:space="preserve">, </w:t>
      </w:r>
      <w:r w:rsidR="008E59F2" w:rsidRPr="002574EC">
        <w:t xml:space="preserve">in order to </w:t>
      </w:r>
      <w:r w:rsidR="00077C1D" w:rsidRPr="002574EC">
        <w:t xml:space="preserve">attach the highest </w:t>
      </w:r>
      <w:r w:rsidR="00A10793" w:rsidRPr="002574EC">
        <w:t xml:space="preserve"> priority to </w:t>
      </w:r>
      <w:r w:rsidR="00077C1D" w:rsidRPr="002574EC">
        <w:t xml:space="preserve">the right to health in the context of the pandemic. </w:t>
      </w:r>
      <w:r w:rsidR="00071A4C" w:rsidRPr="002574EC">
        <w:t>Among these agreements</w:t>
      </w:r>
      <w:r w:rsidR="006A1F09" w:rsidRPr="002574EC">
        <w:t>,</w:t>
      </w:r>
      <w:r w:rsidR="00A91BE5" w:rsidRPr="002574EC">
        <w:t xml:space="preserve"> they</w:t>
      </w:r>
      <w:r w:rsidR="00071A4C" w:rsidRPr="002574EC">
        <w:t xml:space="preserve"> highlight one</w:t>
      </w:r>
      <w:r w:rsidR="001A42CD" w:rsidRPr="002574EC">
        <w:t xml:space="preserve"> struck between the Ministry of Health and the health advisors to the National Assembly </w:t>
      </w:r>
      <w:r w:rsidR="00E32419" w:rsidRPr="002574EC">
        <w:t xml:space="preserve">at that time </w:t>
      </w:r>
      <w:r w:rsidR="001A42CD" w:rsidRPr="002574EC">
        <w:t xml:space="preserve">in June 2020, </w:t>
      </w:r>
      <w:r w:rsidR="00B72498" w:rsidRPr="002574EC">
        <w:t xml:space="preserve">which </w:t>
      </w:r>
      <w:r w:rsidR="00204E39" w:rsidRPr="002574EC">
        <w:t xml:space="preserve">was aimed at </w:t>
      </w:r>
      <w:r w:rsidR="00140EEA" w:rsidRPr="002574EC">
        <w:t>implement</w:t>
      </w:r>
      <w:r w:rsidR="00204E39" w:rsidRPr="002574EC">
        <w:t>ing</w:t>
      </w:r>
      <w:r w:rsidR="00140EEA" w:rsidRPr="002574EC">
        <w:t xml:space="preserve"> a </w:t>
      </w:r>
      <w:r w:rsidR="00F96C5F" w:rsidRPr="002574EC">
        <w:t xml:space="preserve">health </w:t>
      </w:r>
      <w:r w:rsidR="00140EEA" w:rsidRPr="002574EC">
        <w:t xml:space="preserve">response </w:t>
      </w:r>
      <w:r w:rsidR="00777380" w:rsidRPr="002574EC">
        <w:t>to the pandemic</w:t>
      </w:r>
      <w:r w:rsidR="00413016" w:rsidRPr="002574EC">
        <w:t xml:space="preserve">, </w:t>
      </w:r>
      <w:r w:rsidR="000D34AE" w:rsidRPr="002574EC">
        <w:t>specifically</w:t>
      </w:r>
      <w:r w:rsidR="00413016" w:rsidRPr="002574EC">
        <w:t>,</w:t>
      </w:r>
      <w:r w:rsidR="00287525" w:rsidRPr="002574EC">
        <w:t xml:space="preserve"> providing </w:t>
      </w:r>
      <w:r w:rsidR="00EA6E1F" w:rsidRPr="002574EC">
        <w:t xml:space="preserve">biosafety </w:t>
      </w:r>
      <w:r w:rsidR="00815FB2" w:rsidRPr="002574EC">
        <w:t>equipment for healthcare workers, medical supplies and medications</w:t>
      </w:r>
      <w:r w:rsidR="00AC44A4" w:rsidRPr="002574EC">
        <w:t xml:space="preserve"> to medical facilities</w:t>
      </w:r>
      <w:r w:rsidR="00815FB2" w:rsidRPr="002574EC">
        <w:t xml:space="preserve">, along with ensuring greater access to COVID-19 </w:t>
      </w:r>
      <w:r w:rsidR="00894646" w:rsidRPr="002574EC">
        <w:t xml:space="preserve">diagnostic </w:t>
      </w:r>
      <w:r w:rsidR="00815FB2" w:rsidRPr="002574EC">
        <w:t>testing.</w:t>
      </w:r>
      <w:r w:rsidR="00D24896" w:rsidRPr="002574EC">
        <w:rPr>
          <w:rStyle w:val="FootnoteReference"/>
          <w:color w:val="000000"/>
        </w:rPr>
        <w:footnoteReference w:id="256"/>
      </w:r>
      <w:r w:rsidR="00C73EB6" w:rsidRPr="002574EC">
        <w:t xml:space="preserve"> </w:t>
      </w:r>
      <w:r w:rsidR="00D24896" w:rsidRPr="002574EC">
        <w:t xml:space="preserve"> </w:t>
      </w:r>
      <w:r w:rsidR="008C331A" w:rsidRPr="002574EC">
        <w:t>Also worthy of note is the agreement to facilitate access to anti-COVID-19 vaccines in early September.</w:t>
      </w:r>
      <w:r w:rsidR="00D24896" w:rsidRPr="002574EC">
        <w:rPr>
          <w:rStyle w:val="FootnoteReference"/>
          <w:color w:val="000000"/>
        </w:rPr>
        <w:footnoteReference w:id="257"/>
      </w:r>
      <w:r w:rsidR="008C331A" w:rsidRPr="002574EC">
        <w:t xml:space="preserve"> </w:t>
      </w:r>
      <w:r w:rsidR="001340BD" w:rsidRPr="002574EC">
        <w:t xml:space="preserve"> These actions</w:t>
      </w:r>
      <w:r w:rsidR="00D04DD6" w:rsidRPr="002574EC">
        <w:t xml:space="preserve"> </w:t>
      </w:r>
      <w:r w:rsidR="001340BD" w:rsidRPr="002574EC">
        <w:t xml:space="preserve">are in line with the </w:t>
      </w:r>
      <w:r w:rsidR="00B446F1" w:rsidRPr="002574EC">
        <w:t xml:space="preserve">IACHR’s and REDESCA’s </w:t>
      </w:r>
      <w:r w:rsidR="001340BD" w:rsidRPr="002574EC">
        <w:t xml:space="preserve">appeals </w:t>
      </w:r>
      <w:r w:rsidR="00911B9C" w:rsidRPr="002574EC">
        <w:t xml:space="preserve">for all social and political stakeholders to engage in </w:t>
      </w:r>
      <w:r w:rsidR="001340BD" w:rsidRPr="002574EC">
        <w:t>dialogue</w:t>
      </w:r>
      <w:r w:rsidR="00F77852" w:rsidRPr="002574EC">
        <w:t xml:space="preserve"> in the interest of protecting </w:t>
      </w:r>
      <w:r w:rsidR="002834C7" w:rsidRPr="002574EC">
        <w:t xml:space="preserve">the </w:t>
      </w:r>
      <w:r w:rsidR="00F77852" w:rsidRPr="002574EC">
        <w:t xml:space="preserve">people living in the country and saving the most lives possible, particularly during the health crisis. </w:t>
      </w:r>
      <w:r w:rsidR="00D24896" w:rsidRPr="002574EC">
        <w:t xml:space="preserve"> </w:t>
      </w:r>
      <w:r w:rsidR="00175605" w:rsidRPr="002574EC">
        <w:t xml:space="preserve">Notwithstanding, </w:t>
      </w:r>
      <w:r w:rsidR="004D44D7" w:rsidRPr="002574EC">
        <w:t xml:space="preserve">they </w:t>
      </w:r>
      <w:r w:rsidR="00685E07" w:rsidRPr="002574EC">
        <w:t>observe that</w:t>
      </w:r>
      <w:r w:rsidR="00505B0A" w:rsidRPr="002574EC">
        <w:t xml:space="preserve">, </w:t>
      </w:r>
      <w:r w:rsidR="00894646" w:rsidRPr="002574EC">
        <w:t xml:space="preserve">even though </w:t>
      </w:r>
      <w:r w:rsidR="00D34AF1" w:rsidRPr="002574EC">
        <w:t xml:space="preserve">measures </w:t>
      </w:r>
      <w:r w:rsidR="00910AD2" w:rsidRPr="002574EC">
        <w:t xml:space="preserve">are </w:t>
      </w:r>
      <w:r w:rsidR="00D34AF1" w:rsidRPr="002574EC">
        <w:t xml:space="preserve">being taken to ensure the </w:t>
      </w:r>
      <w:r w:rsidR="005A6781" w:rsidRPr="002574EC">
        <w:t xml:space="preserve">supply of biosafety </w:t>
      </w:r>
      <w:r w:rsidR="00770F2F" w:rsidRPr="002574EC">
        <w:t>material, medical supplies and medicines, there have been constant reports</w:t>
      </w:r>
      <w:r w:rsidR="0024175D" w:rsidRPr="002574EC">
        <w:t>,</w:t>
      </w:r>
      <w:r w:rsidR="00770F2F" w:rsidRPr="002574EC">
        <w:t xml:space="preserve"> </w:t>
      </w:r>
      <w:r w:rsidR="00ED096B" w:rsidRPr="002574EC">
        <w:t>from the health sector and from the population at large, of shortages.</w:t>
      </w:r>
      <w:r w:rsidR="00D24896" w:rsidRPr="002574EC">
        <w:rPr>
          <w:rStyle w:val="FootnoteReference"/>
          <w:rFonts w:cs="Arial"/>
          <w:color w:val="000000"/>
        </w:rPr>
        <w:footnoteReference w:id="258"/>
      </w:r>
      <w:r w:rsidR="00D24896" w:rsidRPr="002574EC">
        <w:rPr>
          <w:rFonts w:cs="Arial"/>
        </w:rPr>
        <w:t xml:space="preserve">  </w:t>
      </w:r>
    </w:p>
    <w:p w14:paraId="7C7FCE7C" w14:textId="77777777" w:rsidR="00D24896" w:rsidRPr="002574EC" w:rsidRDefault="00D24896" w:rsidP="002245EC">
      <w:pPr>
        <w:pStyle w:val="ListParagraph"/>
        <w:numPr>
          <w:ilvl w:val="0"/>
          <w:numId w:val="0"/>
        </w:numPr>
        <w:ind w:left="720"/>
      </w:pPr>
    </w:p>
    <w:p w14:paraId="4E2161E2" w14:textId="742FA503" w:rsidR="00D24896" w:rsidRPr="002574EC" w:rsidRDefault="00C3484E" w:rsidP="00F85814">
      <w:pPr>
        <w:pStyle w:val="ListParagraph"/>
      </w:pPr>
      <w:r w:rsidRPr="002574EC">
        <w:t>Moreover, the IACHR and the REDESCA</w:t>
      </w:r>
      <w:r w:rsidR="003753DF" w:rsidRPr="002574EC">
        <w:t xml:space="preserve"> express their concern over delays in and challenges to immunization </w:t>
      </w:r>
      <w:r w:rsidR="00566871" w:rsidRPr="002574EC">
        <w:t>to COVID-19</w:t>
      </w:r>
      <w:r w:rsidR="00EE2DC9" w:rsidRPr="002574EC">
        <w:t xml:space="preserve"> of the population</w:t>
      </w:r>
      <w:r w:rsidR="003D4A66" w:rsidRPr="002574EC">
        <w:t xml:space="preserve">.  </w:t>
      </w:r>
      <w:r w:rsidR="00416C69" w:rsidRPr="002574EC">
        <w:t>In</w:t>
      </w:r>
      <w:r w:rsidR="00423BAE" w:rsidRPr="002574EC">
        <w:t xml:space="preserve"> </w:t>
      </w:r>
      <w:r w:rsidR="00416C69" w:rsidRPr="002574EC">
        <w:t>addition to the many obstacles faced</w:t>
      </w:r>
      <w:r w:rsidR="009E6D70" w:rsidRPr="002574EC">
        <w:t xml:space="preserve"> by the country to access vaccines, including </w:t>
      </w:r>
      <w:r w:rsidR="004B2012" w:rsidRPr="002574EC">
        <w:t xml:space="preserve">the </w:t>
      </w:r>
      <w:r w:rsidR="009E6D70" w:rsidRPr="002574EC">
        <w:t xml:space="preserve">freezing of </w:t>
      </w:r>
      <w:r w:rsidR="004B2012" w:rsidRPr="002574EC">
        <w:t xml:space="preserve">overseas </w:t>
      </w:r>
      <w:r w:rsidR="009E6D70" w:rsidRPr="002574EC">
        <w:t>funding, it has been reported that Venezuela has no effective national vaccination plan</w:t>
      </w:r>
      <w:r w:rsidR="00DE1E78" w:rsidRPr="002574EC">
        <w:t xml:space="preserve">, </w:t>
      </w:r>
      <w:r w:rsidR="004B2012" w:rsidRPr="002574EC">
        <w:t>no</w:t>
      </w:r>
      <w:r w:rsidR="00DE1E78" w:rsidRPr="002574EC">
        <w:t xml:space="preserve"> road map </w:t>
      </w:r>
      <w:r w:rsidR="00B5118A" w:rsidRPr="002574EC">
        <w:t>to provide for the distribution of vaccines</w:t>
      </w:r>
      <w:r w:rsidR="00211008" w:rsidRPr="002574EC">
        <w:t>,</w:t>
      </w:r>
      <w:r w:rsidR="004B2012" w:rsidRPr="002574EC">
        <w:t xml:space="preserve"> </w:t>
      </w:r>
      <w:r w:rsidR="00B5118A" w:rsidRPr="002574EC">
        <w:t>or fair and universal access</w:t>
      </w:r>
      <w:r w:rsidR="00427AAF" w:rsidRPr="002574EC">
        <w:t xml:space="preserve"> thereto</w:t>
      </w:r>
      <w:r w:rsidR="00B5118A" w:rsidRPr="002574EC">
        <w:t>.</w:t>
      </w:r>
      <w:r w:rsidR="00D24896" w:rsidRPr="002574EC">
        <w:rPr>
          <w:rStyle w:val="FootnoteReference"/>
          <w:color w:val="000000"/>
        </w:rPr>
        <w:footnoteReference w:id="259"/>
      </w:r>
      <w:r w:rsidR="00F64AEA" w:rsidRPr="002574EC">
        <w:t xml:space="preserve">  </w:t>
      </w:r>
      <w:r w:rsidR="008F5739" w:rsidRPr="002574EC">
        <w:t>Furthermore</w:t>
      </w:r>
      <w:r w:rsidR="00F64AEA" w:rsidRPr="002574EC">
        <w:t xml:space="preserve">, </w:t>
      </w:r>
      <w:r w:rsidR="008F5739" w:rsidRPr="002574EC">
        <w:t>there ha</w:t>
      </w:r>
      <w:r w:rsidR="00211008" w:rsidRPr="002574EC">
        <w:t xml:space="preserve">ve been reports </w:t>
      </w:r>
      <w:r w:rsidR="008F5739" w:rsidRPr="002574EC">
        <w:t xml:space="preserve">of </w:t>
      </w:r>
      <w:r w:rsidR="00AA58F4" w:rsidRPr="002574EC">
        <w:t>politicization</w:t>
      </w:r>
      <w:r w:rsidR="005F610A" w:rsidRPr="002574EC">
        <w:t xml:space="preserve"> in the immunization process</w:t>
      </w:r>
      <w:r w:rsidR="008B5B7B" w:rsidRPr="002574EC">
        <w:t xml:space="preserve">, </w:t>
      </w:r>
      <w:r w:rsidR="00E07271" w:rsidRPr="002574EC">
        <w:t>which has led to on</w:t>
      </w:r>
      <w:r w:rsidR="00EF4716" w:rsidRPr="002574EC">
        <w:t>ly</w:t>
      </w:r>
      <w:r w:rsidR="00E07271" w:rsidRPr="002574EC">
        <w:t xml:space="preserve"> 42% of healthcare workers </w:t>
      </w:r>
      <w:r w:rsidR="00F35256" w:rsidRPr="002574EC">
        <w:t>having received at least one do</w:t>
      </w:r>
      <w:r w:rsidR="006C09ED" w:rsidRPr="002574EC">
        <w:t>s</w:t>
      </w:r>
      <w:r w:rsidR="00F35256" w:rsidRPr="002574EC">
        <w:t>e</w:t>
      </w:r>
      <w:r w:rsidR="006C09ED" w:rsidRPr="002574EC">
        <w:t xml:space="preserve"> </w:t>
      </w:r>
      <w:r w:rsidR="00F35256" w:rsidRPr="002574EC">
        <w:t>of the vaccine</w:t>
      </w:r>
      <w:r w:rsidR="00282678" w:rsidRPr="002574EC">
        <w:t>,</w:t>
      </w:r>
      <w:r w:rsidR="00F35256" w:rsidRPr="002574EC">
        <w:t xml:space="preserve"> as of early June.</w:t>
      </w:r>
      <w:r w:rsidR="00D24896" w:rsidRPr="002574EC">
        <w:rPr>
          <w:rStyle w:val="FootnoteReference"/>
          <w:color w:val="000000"/>
        </w:rPr>
        <w:footnoteReference w:id="260"/>
      </w:r>
      <w:r w:rsidR="00F35256" w:rsidRPr="002574EC">
        <w:t xml:space="preserve"> </w:t>
      </w:r>
      <w:r w:rsidR="00D24896" w:rsidRPr="002574EC">
        <w:t xml:space="preserve"> </w:t>
      </w:r>
      <w:r w:rsidR="00A41087" w:rsidRPr="002574EC">
        <w:t>Likewise, people who have received the first dose have reported serious problems in obtaining the second one.  Even though they have waited the correct amount of time, waited on long lines and attempted on repeated opportunities, they are unable to get the second vaccination shot.</w:t>
      </w:r>
      <w:r w:rsidR="00D24896" w:rsidRPr="002574EC">
        <w:rPr>
          <w:rStyle w:val="FootnoteReference"/>
          <w:color w:val="000000"/>
        </w:rPr>
        <w:footnoteReference w:id="261"/>
      </w:r>
      <w:r w:rsidR="00D24896" w:rsidRPr="002574EC">
        <w:t xml:space="preserve"> </w:t>
      </w:r>
    </w:p>
    <w:p w14:paraId="71B4F83C" w14:textId="77777777" w:rsidR="00D24896" w:rsidRPr="002574EC" w:rsidRDefault="00D24896" w:rsidP="002245EC">
      <w:pPr>
        <w:pStyle w:val="ListParagraph"/>
        <w:numPr>
          <w:ilvl w:val="0"/>
          <w:numId w:val="0"/>
        </w:numPr>
        <w:ind w:left="720"/>
      </w:pPr>
    </w:p>
    <w:p w14:paraId="46A40D88" w14:textId="703A63A5" w:rsidR="00D24896" w:rsidRPr="002574EC" w:rsidRDefault="00F23CCA" w:rsidP="00F85814">
      <w:pPr>
        <w:pStyle w:val="ListParagraph"/>
      </w:pPr>
      <w:r w:rsidRPr="002574EC">
        <w:t>This is even more troubling in view of the fact that not only</w:t>
      </w:r>
      <w:r w:rsidR="00C001D6" w:rsidRPr="002574EC">
        <w:t xml:space="preserve"> is reliable data on the pandemic and its impacts not available, but there is no data either on the process of inoculation in the country.  </w:t>
      </w:r>
      <w:r w:rsidR="00B35FA9" w:rsidRPr="002574EC">
        <w:t>A r</w:t>
      </w:r>
      <w:r w:rsidR="00664D30" w:rsidRPr="002574EC">
        <w:t xml:space="preserve">ecent survey </w:t>
      </w:r>
      <w:r w:rsidR="00B873B0" w:rsidRPr="002574EC">
        <w:t xml:space="preserve">conducted by </w:t>
      </w:r>
      <w:r w:rsidR="00FE4514" w:rsidRPr="002574EC">
        <w:t xml:space="preserve">Transparency </w:t>
      </w:r>
      <w:r w:rsidR="00D24896" w:rsidRPr="002574EC">
        <w:t>Venezuela</w:t>
      </w:r>
      <w:r w:rsidR="00B35FA9" w:rsidRPr="002574EC">
        <w:t xml:space="preserve"> showed that </w:t>
      </w:r>
      <w:r w:rsidR="00D24896" w:rsidRPr="002574EC">
        <w:t xml:space="preserve">70% </w:t>
      </w:r>
      <w:r w:rsidR="00B35FA9" w:rsidRPr="002574EC">
        <w:t>of the respondents were unfamiliar with the criteria to receive the doses and 82.3% claimed they had not seen any immunization plan.</w:t>
      </w:r>
      <w:r w:rsidR="00D24896" w:rsidRPr="002574EC">
        <w:rPr>
          <w:rStyle w:val="FootnoteReference"/>
          <w:color w:val="000000"/>
        </w:rPr>
        <w:footnoteReference w:id="262"/>
      </w:r>
      <w:r w:rsidR="000778ED" w:rsidRPr="002574EC">
        <w:t xml:space="preserve">  </w:t>
      </w:r>
      <w:r w:rsidR="00FE4514" w:rsidRPr="002574EC">
        <w:t xml:space="preserve">Additionally, </w:t>
      </w:r>
      <w:r w:rsidR="00D24896" w:rsidRPr="002574EC">
        <w:t xml:space="preserve"> </w:t>
      </w:r>
      <w:r w:rsidR="007D7474" w:rsidRPr="002574EC">
        <w:t xml:space="preserve">there have been reports that people who do not belong to priority sectors of the population are able to get </w:t>
      </w:r>
      <w:r w:rsidR="007D7474" w:rsidRPr="002574EC">
        <w:lastRenderedPageBreak/>
        <w:t>vaccinated by paying from 200 to 300 dollars.</w:t>
      </w:r>
      <w:r w:rsidR="00D24896" w:rsidRPr="002574EC">
        <w:rPr>
          <w:rStyle w:val="FootnoteReference"/>
          <w:color w:val="000000"/>
        </w:rPr>
        <w:footnoteReference w:id="263"/>
      </w:r>
      <w:r w:rsidR="0069378E" w:rsidRPr="002574EC">
        <w:t xml:space="preserve">  The REDESCA further notes that members of the government, the security sector and the National Assembly </w:t>
      </w:r>
      <w:r w:rsidR="00770088" w:rsidRPr="002574EC">
        <w:t xml:space="preserve">received preferential treatment </w:t>
      </w:r>
      <w:r w:rsidR="00D5483D" w:rsidRPr="002574EC">
        <w:t xml:space="preserve">to receive their vaccines, even though </w:t>
      </w:r>
      <w:r w:rsidR="00417EF8" w:rsidRPr="002574EC">
        <w:t xml:space="preserve">there was </w:t>
      </w:r>
      <w:r w:rsidR="00530A31" w:rsidRPr="002574EC">
        <w:t xml:space="preserve">a </w:t>
      </w:r>
      <w:r w:rsidR="00417EF8" w:rsidRPr="002574EC">
        <w:t xml:space="preserve">much larger </w:t>
      </w:r>
      <w:r w:rsidR="00D5483D" w:rsidRPr="002574EC">
        <w:t xml:space="preserve">number of people </w:t>
      </w:r>
      <w:r w:rsidR="00417EF8" w:rsidRPr="002574EC">
        <w:t xml:space="preserve">at </w:t>
      </w:r>
      <w:r w:rsidR="00D5483D" w:rsidRPr="002574EC">
        <w:t xml:space="preserve">greater risk of infection </w:t>
      </w:r>
      <w:r w:rsidR="00417EF8" w:rsidRPr="002574EC">
        <w:t>or in a situation</w:t>
      </w:r>
      <w:r w:rsidR="0020258B" w:rsidRPr="002574EC">
        <w:t>s</w:t>
      </w:r>
      <w:r w:rsidR="00417EF8" w:rsidRPr="002574EC">
        <w:t xml:space="preserve"> of greater vulnerability to Covid-19</w:t>
      </w:r>
      <w:r w:rsidR="00690B76" w:rsidRPr="002574EC">
        <w:t>, such as older adults, front line healthcare workers, among others</w:t>
      </w:r>
      <w:r w:rsidR="00C301D7" w:rsidRPr="002574EC">
        <w:t>,</w:t>
      </w:r>
      <w:r w:rsidR="00690B76" w:rsidRPr="002574EC">
        <w:t xml:space="preserve"> who have not been fully vaccinated.</w:t>
      </w:r>
      <w:r w:rsidR="00D24896" w:rsidRPr="002574EC">
        <w:rPr>
          <w:rStyle w:val="FootnoteReference"/>
          <w:color w:val="000000"/>
        </w:rPr>
        <w:footnoteReference w:id="264"/>
      </w:r>
      <w:r w:rsidR="00690B76" w:rsidRPr="002574EC">
        <w:t xml:space="preserve"> Likewise, reports of the alleged requirement to show the ‘homeland card’ (</w:t>
      </w:r>
      <w:r w:rsidR="00690B76" w:rsidRPr="002574EC">
        <w:rPr>
          <w:i/>
          <w:iCs/>
        </w:rPr>
        <w:t>carné de la patria</w:t>
      </w:r>
      <w:r w:rsidR="00690B76" w:rsidRPr="002574EC">
        <w:t xml:space="preserve">) </w:t>
      </w:r>
      <w:r w:rsidR="0034317E" w:rsidRPr="002574EC">
        <w:t xml:space="preserve">in order </w:t>
      </w:r>
      <w:r w:rsidR="00690B76" w:rsidRPr="002574EC">
        <w:t>to receive the vaccines in some instances are also of concern.</w:t>
      </w:r>
      <w:r w:rsidR="00D24896" w:rsidRPr="002574EC">
        <w:rPr>
          <w:rStyle w:val="FootnoteReference"/>
          <w:color w:val="000000"/>
        </w:rPr>
        <w:footnoteReference w:id="265"/>
      </w:r>
      <w:r w:rsidR="00D24896" w:rsidRPr="002574EC">
        <w:t xml:space="preserve"> </w:t>
      </w:r>
    </w:p>
    <w:p w14:paraId="1EA7FE70" w14:textId="77777777" w:rsidR="00D24896" w:rsidRPr="002574EC" w:rsidRDefault="00D24896" w:rsidP="002245EC">
      <w:pPr>
        <w:pStyle w:val="ListParagraph"/>
        <w:numPr>
          <w:ilvl w:val="0"/>
          <w:numId w:val="0"/>
        </w:numPr>
        <w:ind w:left="720"/>
      </w:pPr>
    </w:p>
    <w:p w14:paraId="2DD8D4F9" w14:textId="34D13708" w:rsidR="00D24896" w:rsidRPr="002574EC" w:rsidRDefault="00386900" w:rsidP="00F85814">
      <w:pPr>
        <w:pStyle w:val="ListParagraph"/>
      </w:pPr>
      <w:r w:rsidRPr="002574EC">
        <w:t xml:space="preserve">The </w:t>
      </w:r>
      <w:r w:rsidR="00EC0BB4" w:rsidRPr="002574EC">
        <w:t xml:space="preserve">consequence of the </w:t>
      </w:r>
      <w:r w:rsidR="00523628" w:rsidRPr="002574EC">
        <w:t>picture painted above</w:t>
      </w:r>
      <w:r w:rsidR="00EC0BB4" w:rsidRPr="002574EC">
        <w:t xml:space="preserve">, of course, is a country with serious difficulties </w:t>
      </w:r>
      <w:r w:rsidR="007D6AB9" w:rsidRPr="002574EC">
        <w:t>to immunize its population</w:t>
      </w:r>
      <w:r w:rsidR="00F10A41" w:rsidRPr="002574EC">
        <w:t>. Venezuela, as</w:t>
      </w:r>
      <w:r w:rsidR="00523628" w:rsidRPr="002574EC">
        <w:t xml:space="preserve"> of late September 2021, was one of ten countries regionwide that had </w:t>
      </w:r>
      <w:r w:rsidR="002341E7" w:rsidRPr="002574EC">
        <w:t>been unable to vaccinate even 20% of the people under its jurisdiction</w:t>
      </w:r>
      <w:r w:rsidR="00503DF4" w:rsidRPr="002574EC">
        <w:t>,</w:t>
      </w:r>
      <w:r w:rsidR="00D24896" w:rsidRPr="002574EC">
        <w:rPr>
          <w:rStyle w:val="FootnoteReference"/>
          <w:color w:val="000000"/>
        </w:rPr>
        <w:footnoteReference w:id="266"/>
      </w:r>
      <w:r w:rsidR="00503DF4" w:rsidRPr="002574EC">
        <w:t xml:space="preserve"> in contra</w:t>
      </w:r>
      <w:r w:rsidR="00E472B1" w:rsidRPr="002574EC">
        <w:t>s</w:t>
      </w:r>
      <w:r w:rsidR="00503DF4" w:rsidRPr="002574EC">
        <w:t xml:space="preserve">t with other countries of the region </w:t>
      </w:r>
      <w:r w:rsidR="002A566B" w:rsidRPr="002574EC">
        <w:t xml:space="preserve">where, </w:t>
      </w:r>
      <w:r w:rsidR="00503DF4" w:rsidRPr="002574EC">
        <w:t>as of the present date</w:t>
      </w:r>
      <w:r w:rsidR="00D900D6" w:rsidRPr="002574EC">
        <w:t>,</w:t>
      </w:r>
      <w:r w:rsidR="00503DF4" w:rsidRPr="002574EC">
        <w:t xml:space="preserve"> </w:t>
      </w:r>
      <w:r w:rsidR="005675AF" w:rsidRPr="002574EC">
        <w:t xml:space="preserve">they </w:t>
      </w:r>
      <w:r w:rsidR="00503DF4" w:rsidRPr="002574EC">
        <w:t xml:space="preserve">have achieved a vaccination rate of 70%. </w:t>
      </w:r>
      <w:r w:rsidR="00D24896" w:rsidRPr="002574EC">
        <w:t xml:space="preserve"> </w:t>
      </w:r>
      <w:r w:rsidR="00D853B7" w:rsidRPr="002574EC">
        <w:t xml:space="preserve">Furthermore, it is noted that front line healthcare workers </w:t>
      </w:r>
      <w:r w:rsidR="00F85713" w:rsidRPr="002574EC">
        <w:t>are</w:t>
      </w:r>
      <w:r w:rsidR="00D853B7" w:rsidRPr="002574EC">
        <w:t xml:space="preserve"> one of the most vulnerable groups in this context</w:t>
      </w:r>
      <w:r w:rsidR="005231C9" w:rsidRPr="002574EC">
        <w:t xml:space="preserve"> and</w:t>
      </w:r>
      <w:r w:rsidR="00B50B4B" w:rsidRPr="002574EC">
        <w:t>,</w:t>
      </w:r>
      <w:r w:rsidR="005231C9" w:rsidRPr="002574EC">
        <w:t xml:space="preserve"> </w:t>
      </w:r>
      <w:r w:rsidR="00B51BBC" w:rsidRPr="002574EC">
        <w:t>as of September 2021, it is reported that fewer than 30% of these workers have been vaccinated.</w:t>
      </w:r>
      <w:r w:rsidR="00D24896" w:rsidRPr="002574EC">
        <w:rPr>
          <w:rStyle w:val="FootnoteReference"/>
          <w:color w:val="000000"/>
        </w:rPr>
        <w:footnoteReference w:id="267"/>
      </w:r>
      <w:r w:rsidR="00D24896" w:rsidRPr="002574EC">
        <w:t xml:space="preserve">  </w:t>
      </w:r>
    </w:p>
    <w:p w14:paraId="726F1677" w14:textId="77777777" w:rsidR="00D24896" w:rsidRPr="002574EC" w:rsidRDefault="00D24896" w:rsidP="00E07D06">
      <w:pPr>
        <w:ind w:left="426" w:hanging="426"/>
        <w:jc w:val="both"/>
        <w:rPr>
          <w:rFonts w:ascii="Cambria" w:hAnsi="Cambria"/>
          <w:color w:val="000000"/>
          <w:sz w:val="20"/>
          <w:szCs w:val="20"/>
        </w:rPr>
      </w:pPr>
    </w:p>
    <w:p w14:paraId="2ABDD469" w14:textId="38DDEEEC" w:rsidR="00D24896" w:rsidRPr="002574EC" w:rsidRDefault="008B7EC5" w:rsidP="00F85814">
      <w:pPr>
        <w:pStyle w:val="ListParagraph"/>
      </w:pPr>
      <w:r w:rsidRPr="002574EC">
        <w:t xml:space="preserve">In this scenario, the Commission and the REDESCA express particular concern over the conditions of healthcare workers in Venezuela, who are </w:t>
      </w:r>
      <w:r w:rsidR="004A4B33" w:rsidRPr="002574EC">
        <w:t xml:space="preserve">not only </w:t>
      </w:r>
      <w:r w:rsidRPr="002574EC">
        <w:t xml:space="preserve">at greater risk of infection in the midst of the COVID-19 pandemic, being on the front line, but </w:t>
      </w:r>
      <w:r w:rsidR="00CE44C5" w:rsidRPr="002574EC">
        <w:t xml:space="preserve">also face </w:t>
      </w:r>
      <w:r w:rsidRPr="002574EC">
        <w:t xml:space="preserve">extremely difficult </w:t>
      </w:r>
      <w:r w:rsidR="00393146" w:rsidRPr="002574EC">
        <w:t xml:space="preserve">working </w:t>
      </w:r>
      <w:r w:rsidR="009B2AB4" w:rsidRPr="002574EC">
        <w:t>conditions</w:t>
      </w:r>
      <w:r w:rsidR="00393146" w:rsidRPr="002574EC">
        <w:t xml:space="preserve">. </w:t>
      </w:r>
      <w:r w:rsidR="009B2AB4" w:rsidRPr="002574EC">
        <w:t xml:space="preserve"> </w:t>
      </w:r>
      <w:r w:rsidR="002A35E9" w:rsidRPr="002574EC">
        <w:t xml:space="preserve">The issues </w:t>
      </w:r>
      <w:r w:rsidR="00B30FC6" w:rsidRPr="002574EC">
        <w:t xml:space="preserve">faced by them at work include: lack of adequate personal protection equipment, </w:t>
      </w:r>
      <w:r w:rsidR="00BB6472" w:rsidRPr="002574EC">
        <w:t xml:space="preserve">combined </w:t>
      </w:r>
      <w:r w:rsidR="007267F8" w:rsidRPr="002574EC">
        <w:t>with the failure to prioritize the</w:t>
      </w:r>
      <w:r w:rsidR="009C5EB6" w:rsidRPr="002574EC">
        <w:t>ir</w:t>
      </w:r>
      <w:r w:rsidR="007267F8" w:rsidRPr="002574EC">
        <w:t xml:space="preserve"> getting vaccinated;</w:t>
      </w:r>
      <w:r w:rsidR="00D24896" w:rsidRPr="002574EC">
        <w:rPr>
          <w:rStyle w:val="FootnoteReference"/>
          <w:color w:val="000000"/>
        </w:rPr>
        <w:footnoteReference w:id="268"/>
      </w:r>
      <w:r w:rsidR="007267F8" w:rsidRPr="002574EC">
        <w:t xml:space="preserve"> lack of protection of labor rights and a decent salary; absence of adequate healthcare facilities, where it is reported that 80% of hospitals face </w:t>
      </w:r>
      <w:r w:rsidR="00D21B6D" w:rsidRPr="002574EC">
        <w:t xml:space="preserve">shortcomings in </w:t>
      </w:r>
      <w:r w:rsidR="00997C87" w:rsidRPr="002574EC">
        <w:t xml:space="preserve">the </w:t>
      </w:r>
      <w:r w:rsidR="006F1036" w:rsidRPr="002574EC">
        <w:t xml:space="preserve">supply of </w:t>
      </w:r>
      <w:r w:rsidR="00D21B6D" w:rsidRPr="002574EC">
        <w:t xml:space="preserve">power </w:t>
      </w:r>
      <w:r w:rsidR="006F1036" w:rsidRPr="002574EC">
        <w:t>and water;</w:t>
      </w:r>
      <w:r w:rsidR="00D24896" w:rsidRPr="002574EC">
        <w:rPr>
          <w:rStyle w:val="FootnoteReference"/>
          <w:color w:val="000000"/>
        </w:rPr>
        <w:footnoteReference w:id="269"/>
      </w:r>
      <w:r w:rsidR="006F1036" w:rsidRPr="002574EC">
        <w:t xml:space="preserve"> </w:t>
      </w:r>
      <w:r w:rsidR="00BB6472" w:rsidRPr="002574EC">
        <w:t xml:space="preserve">shortage of medical supplies </w:t>
      </w:r>
      <w:r w:rsidR="00D24896" w:rsidRPr="002574EC">
        <w:t xml:space="preserve"> </w:t>
      </w:r>
      <w:r w:rsidR="00EB2E69" w:rsidRPr="002574EC">
        <w:t>and medicines</w:t>
      </w:r>
      <w:r w:rsidR="00D24896" w:rsidRPr="002574EC">
        <w:rPr>
          <w:rStyle w:val="FootnoteReference"/>
          <w:color w:val="000000"/>
        </w:rPr>
        <w:footnoteReference w:id="270"/>
      </w:r>
      <w:r w:rsidR="00EB2E69" w:rsidRPr="002574EC">
        <w:t xml:space="preserve"> and, in some instances, persecution and acts of harassment </w:t>
      </w:r>
      <w:r w:rsidR="001D5789" w:rsidRPr="002574EC">
        <w:t>for decrying the pandemic situation or for asserting their labor rights.</w:t>
      </w:r>
      <w:r w:rsidR="00D24896" w:rsidRPr="002574EC">
        <w:rPr>
          <w:rStyle w:val="FootnoteReference"/>
          <w:color w:val="000000"/>
        </w:rPr>
        <w:footnoteReference w:id="271"/>
      </w:r>
      <w:r w:rsidR="00D24896" w:rsidRPr="002574EC">
        <w:t xml:space="preserve"> </w:t>
      </w:r>
    </w:p>
    <w:p w14:paraId="4F8A7950" w14:textId="77777777" w:rsidR="00D24896" w:rsidRPr="002574EC" w:rsidRDefault="00D24896" w:rsidP="00E07D06">
      <w:pPr>
        <w:ind w:left="426" w:hanging="426"/>
        <w:jc w:val="both"/>
        <w:rPr>
          <w:rFonts w:ascii="Cambria" w:hAnsi="Cambria"/>
          <w:sz w:val="20"/>
          <w:szCs w:val="20"/>
        </w:rPr>
      </w:pPr>
    </w:p>
    <w:p w14:paraId="0E5CE29C" w14:textId="2C57BBB3" w:rsidR="00D24896" w:rsidRPr="002574EC" w:rsidRDefault="00A10CA0" w:rsidP="00F85814">
      <w:pPr>
        <w:pStyle w:val="ListParagraph"/>
      </w:pPr>
      <w:r w:rsidRPr="002574EC">
        <w:t xml:space="preserve">In this same vein, in relation to the labor situation, </w:t>
      </w:r>
      <w:r w:rsidR="00956323" w:rsidRPr="002574EC">
        <w:t>the Commission and the REDESCA take note that healthcare workers</w:t>
      </w:r>
      <w:r w:rsidR="00026C15" w:rsidRPr="002574EC">
        <w:t xml:space="preserve"> are overworked </w:t>
      </w:r>
      <w:r w:rsidR="000B4995" w:rsidRPr="002574EC">
        <w:t xml:space="preserve">as a result of </w:t>
      </w:r>
      <w:r w:rsidR="001B49E5" w:rsidRPr="002574EC">
        <w:t>a serious lack of qualified personnel</w:t>
      </w:r>
      <w:r w:rsidR="00FB34E2" w:rsidRPr="002574EC">
        <w:t xml:space="preserve">, because many people have been compelled to quit </w:t>
      </w:r>
      <w:r w:rsidR="000B60B9" w:rsidRPr="002574EC">
        <w:t xml:space="preserve">their jobs and/or leave the country </w:t>
      </w:r>
      <w:r w:rsidR="00421C1E" w:rsidRPr="002574EC">
        <w:t xml:space="preserve">due to </w:t>
      </w:r>
      <w:r w:rsidR="00153046" w:rsidRPr="002574EC">
        <w:t xml:space="preserve">poor working conditions </w:t>
      </w:r>
      <w:r w:rsidR="00CB7262" w:rsidRPr="002574EC">
        <w:t xml:space="preserve">and/or </w:t>
      </w:r>
      <w:r w:rsidR="00CB7262" w:rsidRPr="002574EC">
        <w:lastRenderedPageBreak/>
        <w:t>lack of job opportunities.</w:t>
      </w:r>
      <w:r w:rsidR="00D24896" w:rsidRPr="002574EC">
        <w:rPr>
          <w:rStyle w:val="FootnoteReference"/>
          <w:color w:val="000000"/>
        </w:rPr>
        <w:footnoteReference w:id="272"/>
      </w:r>
      <w:r w:rsidR="006553AD" w:rsidRPr="002574EC">
        <w:t xml:space="preserve"> </w:t>
      </w:r>
      <w:r w:rsidR="00D24896" w:rsidRPr="002574EC">
        <w:t xml:space="preserve"> </w:t>
      </w:r>
      <w:r w:rsidR="00C43FC7" w:rsidRPr="002574EC">
        <w:t>In addition</w:t>
      </w:r>
      <w:r w:rsidR="006553AD" w:rsidRPr="002574EC">
        <w:t xml:space="preserve">, there are still countless reports of hospital staff </w:t>
      </w:r>
      <w:r w:rsidR="00196FA5" w:rsidRPr="002574EC">
        <w:t xml:space="preserve">being forced </w:t>
      </w:r>
      <w:r w:rsidR="009E4E8D" w:rsidRPr="002574EC">
        <w:t xml:space="preserve">to work without </w:t>
      </w:r>
      <w:r w:rsidR="00D56E8D" w:rsidRPr="002574EC">
        <w:t xml:space="preserve">basic </w:t>
      </w:r>
      <w:r w:rsidR="0045014F" w:rsidRPr="002574EC">
        <w:t>sanitary</w:t>
      </w:r>
      <w:r w:rsidR="0043775A" w:rsidRPr="002574EC">
        <w:t>-hygienic</w:t>
      </w:r>
      <w:r w:rsidR="0045014F" w:rsidRPr="002574EC">
        <w:t xml:space="preserve"> protections in place, such as potable water and soap, and</w:t>
      </w:r>
      <w:r w:rsidR="00F34E35" w:rsidRPr="002574EC">
        <w:t>/</w:t>
      </w:r>
      <w:r w:rsidR="0045014F" w:rsidRPr="002574EC">
        <w:t xml:space="preserve">or without </w:t>
      </w:r>
      <w:r w:rsidR="00F34E35" w:rsidRPr="002574EC">
        <w:t xml:space="preserve">the most basic </w:t>
      </w:r>
      <w:r w:rsidR="0045014F" w:rsidRPr="002574EC">
        <w:t>personal protection equipment</w:t>
      </w:r>
      <w:r w:rsidR="00F34E35" w:rsidRPr="002574EC">
        <w:t xml:space="preserve"> such as face covers, safety goggles or gloves.</w:t>
      </w:r>
      <w:r w:rsidR="00D24896" w:rsidRPr="002574EC">
        <w:rPr>
          <w:rStyle w:val="FootnoteReference"/>
          <w:color w:val="000000"/>
        </w:rPr>
        <w:footnoteReference w:id="273"/>
      </w:r>
      <w:r w:rsidR="00D24896" w:rsidRPr="002574EC">
        <w:t xml:space="preserve"> </w:t>
      </w:r>
    </w:p>
    <w:p w14:paraId="68019C8C" w14:textId="77777777" w:rsidR="00D24896" w:rsidRPr="002574EC" w:rsidRDefault="00D24896" w:rsidP="00E07D06">
      <w:pPr>
        <w:ind w:left="426" w:hanging="426"/>
        <w:jc w:val="both"/>
        <w:rPr>
          <w:rFonts w:ascii="Cambria" w:hAnsi="Cambria"/>
          <w:color w:val="000000"/>
          <w:sz w:val="20"/>
          <w:szCs w:val="20"/>
        </w:rPr>
      </w:pPr>
    </w:p>
    <w:p w14:paraId="20DFA018" w14:textId="09D00FB7" w:rsidR="00D24896" w:rsidRPr="002574EC" w:rsidRDefault="00EE3115" w:rsidP="00F85814">
      <w:pPr>
        <w:pStyle w:val="ListParagraph"/>
      </w:pPr>
      <w:r w:rsidRPr="002574EC">
        <w:t>Likewise</w:t>
      </w:r>
      <w:r w:rsidR="00F34E35" w:rsidRPr="002574EC">
        <w:t>, the Commission and the REDESCA take not</w:t>
      </w:r>
      <w:r w:rsidR="00A831C3" w:rsidRPr="002574EC">
        <w:t>e</w:t>
      </w:r>
      <w:r w:rsidR="00F34E35" w:rsidRPr="002574EC">
        <w:t xml:space="preserve"> of how the COVID-19 pandemic further aggravated </w:t>
      </w:r>
      <w:r w:rsidR="00A831C3" w:rsidRPr="002574EC">
        <w:t xml:space="preserve">the persistently precarious situation of </w:t>
      </w:r>
      <w:r w:rsidR="006F08DC" w:rsidRPr="002574EC">
        <w:t xml:space="preserve">the </w:t>
      </w:r>
      <w:r w:rsidR="00A831C3" w:rsidRPr="002574EC">
        <w:t xml:space="preserve">health sector of the country and how </w:t>
      </w:r>
      <w:r w:rsidR="00BA326D" w:rsidRPr="002574EC">
        <w:t>the situation</w:t>
      </w:r>
      <w:r w:rsidR="00A831C3" w:rsidRPr="002574EC">
        <w:t xml:space="preserve"> not only poses challenges to </w:t>
      </w:r>
      <w:r w:rsidR="00A130AB" w:rsidRPr="002574EC">
        <w:t xml:space="preserve">the </w:t>
      </w:r>
      <w:r w:rsidR="00A831C3" w:rsidRPr="002574EC">
        <w:t xml:space="preserve">care </w:t>
      </w:r>
      <w:r w:rsidR="00A130AB" w:rsidRPr="002574EC">
        <w:t xml:space="preserve">of </w:t>
      </w:r>
      <w:r w:rsidR="00A831C3" w:rsidRPr="002574EC">
        <w:t>persons with COVID-19, but</w:t>
      </w:r>
      <w:r w:rsidR="00BA326D" w:rsidRPr="002574EC">
        <w:t xml:space="preserve"> it</w:t>
      </w:r>
      <w:r w:rsidR="00020676" w:rsidRPr="002574EC">
        <w:t xml:space="preserve"> has also </w:t>
      </w:r>
      <w:r w:rsidR="003E25D8" w:rsidRPr="002574EC">
        <w:t xml:space="preserve">undermined </w:t>
      </w:r>
      <w:r w:rsidR="00B927CC" w:rsidRPr="002574EC">
        <w:t>the</w:t>
      </w:r>
      <w:r w:rsidR="003E25D8" w:rsidRPr="002574EC">
        <w:t xml:space="preserve"> capacity to treat persons with other pathologies and diseases</w:t>
      </w:r>
      <w:r w:rsidR="00363F39" w:rsidRPr="002574EC">
        <w:t>,</w:t>
      </w:r>
      <w:r w:rsidR="00D24896" w:rsidRPr="002574EC">
        <w:rPr>
          <w:rStyle w:val="FootnoteReference"/>
        </w:rPr>
        <w:footnoteReference w:id="274"/>
      </w:r>
      <w:r w:rsidR="00363F39" w:rsidRPr="002574EC">
        <w:t xml:space="preserve"> who cannot afford to </w:t>
      </w:r>
      <w:r w:rsidR="00C151B8" w:rsidRPr="002574EC">
        <w:t xml:space="preserve">pay for their own </w:t>
      </w:r>
      <w:r w:rsidR="007E500D" w:rsidRPr="002574EC">
        <w:t>medici</w:t>
      </w:r>
      <w:r w:rsidR="001D2204" w:rsidRPr="002574EC">
        <w:t>ne</w:t>
      </w:r>
      <w:r w:rsidR="007E500D" w:rsidRPr="002574EC">
        <w:t>s, medi</w:t>
      </w:r>
      <w:r w:rsidR="001D2204" w:rsidRPr="002574EC">
        <w:t>c</w:t>
      </w:r>
      <w:r w:rsidR="007E500D" w:rsidRPr="002574EC">
        <w:t xml:space="preserve">al supplies, </w:t>
      </w:r>
      <w:r w:rsidR="00C151B8" w:rsidRPr="002574EC">
        <w:t>much less</w:t>
      </w:r>
      <w:r w:rsidR="007E500D" w:rsidRPr="002574EC">
        <w:t xml:space="preserve"> treatments, </w:t>
      </w:r>
      <w:r w:rsidR="00D1550D" w:rsidRPr="002574EC">
        <w:t xml:space="preserve">due to the </w:t>
      </w:r>
      <w:r w:rsidR="007E500D" w:rsidRPr="002574EC">
        <w:t xml:space="preserve">State’s failure to provide </w:t>
      </w:r>
      <w:r w:rsidR="00A965C7" w:rsidRPr="002574EC">
        <w:t xml:space="preserve">for </w:t>
      </w:r>
      <w:r w:rsidR="00F240E0" w:rsidRPr="002574EC">
        <w:t>these</w:t>
      </w:r>
      <w:r w:rsidR="002C70D7" w:rsidRPr="002574EC">
        <w:t xml:space="preserve"> items</w:t>
      </w:r>
      <w:r w:rsidR="00F240E0" w:rsidRPr="002574EC">
        <w:t xml:space="preserve">. </w:t>
      </w:r>
      <w:r w:rsidR="0028322A" w:rsidRPr="002574EC">
        <w:t xml:space="preserve">This situation is even more dire for people with chronic disease, such as </w:t>
      </w:r>
      <w:r w:rsidR="002D0D0A" w:rsidRPr="002574EC">
        <w:t>kid</w:t>
      </w:r>
      <w:r w:rsidR="00A73569" w:rsidRPr="002574EC">
        <w:t xml:space="preserve">ney </w:t>
      </w:r>
      <w:r w:rsidR="0028322A" w:rsidRPr="002574EC">
        <w:t>and cancer patients, persons with diabetes, persons living with HIV/AIDS, with high blood pressure, etc.,</w:t>
      </w:r>
      <w:r w:rsidR="00D24896" w:rsidRPr="002574EC">
        <w:rPr>
          <w:rStyle w:val="FootnoteReference"/>
        </w:rPr>
        <w:footnoteReference w:id="275"/>
      </w:r>
      <w:r w:rsidR="0028322A" w:rsidRPr="002574EC">
        <w:t xml:space="preserve"> who are pushed to the back</w:t>
      </w:r>
      <w:r w:rsidR="00BC7897" w:rsidRPr="002574EC">
        <w:t xml:space="preserve">ground </w:t>
      </w:r>
      <w:r w:rsidR="0028322A" w:rsidRPr="002574EC">
        <w:t xml:space="preserve">in the current context. </w:t>
      </w:r>
      <w:r w:rsidR="001779C2" w:rsidRPr="002574EC">
        <w:t xml:space="preserve">This situation </w:t>
      </w:r>
      <w:r w:rsidR="00522FC6" w:rsidRPr="002574EC">
        <w:t xml:space="preserve">has even had an </w:t>
      </w:r>
      <w:r w:rsidR="001779C2" w:rsidRPr="002574EC">
        <w:t>impact</w:t>
      </w:r>
      <w:r w:rsidR="00522FC6" w:rsidRPr="002574EC">
        <w:t xml:space="preserve"> on</w:t>
      </w:r>
      <w:r w:rsidR="001779C2" w:rsidRPr="002574EC">
        <w:t xml:space="preserve"> people who are beneficiaries of IACHR precautionary measures</w:t>
      </w:r>
      <w:r w:rsidR="00D24896" w:rsidRPr="002574EC">
        <w:t xml:space="preserve">. </w:t>
      </w:r>
    </w:p>
    <w:p w14:paraId="3E0D8E83" w14:textId="77777777" w:rsidR="00D24896" w:rsidRPr="002574EC" w:rsidRDefault="00D24896" w:rsidP="00E07D06">
      <w:pPr>
        <w:ind w:left="426" w:hanging="426"/>
        <w:jc w:val="both"/>
        <w:rPr>
          <w:rFonts w:ascii="Cambria" w:hAnsi="Cambria"/>
          <w:color w:val="000000"/>
          <w:sz w:val="20"/>
          <w:szCs w:val="20"/>
        </w:rPr>
      </w:pPr>
    </w:p>
    <w:p w14:paraId="2DCD9F17" w14:textId="22E37193" w:rsidR="00DF673F" w:rsidRPr="002574EC" w:rsidRDefault="003A496A" w:rsidP="00F85814">
      <w:pPr>
        <w:pStyle w:val="ListParagraph"/>
      </w:pPr>
      <w:r w:rsidRPr="002574EC">
        <w:t>Lastly, regarding the right to health, the Commissi</w:t>
      </w:r>
      <w:r w:rsidR="00831A02" w:rsidRPr="002574EC">
        <w:t>on</w:t>
      </w:r>
      <w:r w:rsidRPr="002574EC">
        <w:t xml:space="preserve"> and the </w:t>
      </w:r>
      <w:r w:rsidR="00831A02" w:rsidRPr="002574EC">
        <w:t xml:space="preserve">REDESCA </w:t>
      </w:r>
      <w:r w:rsidR="00B6112D" w:rsidRPr="002574EC">
        <w:t xml:space="preserve">take note of the differentiated </w:t>
      </w:r>
      <w:r w:rsidR="00F36F1F" w:rsidRPr="002574EC">
        <w:t xml:space="preserve">and disproportional impact that the pandemic is having on the guarantee of the right </w:t>
      </w:r>
      <w:r w:rsidR="00CD261F" w:rsidRPr="002574EC">
        <w:t>to health</w:t>
      </w:r>
      <w:r w:rsidR="0032562F" w:rsidRPr="002574EC">
        <w:t xml:space="preserve"> of women</w:t>
      </w:r>
      <w:r w:rsidR="00CD261F" w:rsidRPr="002574EC">
        <w:t>, who are being deprived of access to sexual and reproductive health</w:t>
      </w:r>
      <w:r w:rsidR="00C20CD2" w:rsidRPr="002574EC">
        <w:t xml:space="preserve"> </w:t>
      </w:r>
      <w:r w:rsidR="00CD261F" w:rsidRPr="002574EC">
        <w:t>services in the country.</w:t>
      </w:r>
      <w:r w:rsidR="00D24896" w:rsidRPr="002574EC">
        <w:rPr>
          <w:rStyle w:val="FootnoteReference"/>
          <w:color w:val="000000"/>
        </w:rPr>
        <w:footnoteReference w:id="276"/>
      </w:r>
      <w:r w:rsidR="00C20CD2" w:rsidRPr="002574EC">
        <w:t xml:space="preserve">  </w:t>
      </w:r>
      <w:r w:rsidR="006B2C5A" w:rsidRPr="002574EC">
        <w:t xml:space="preserve">It should be explained that their situation of vulnerability </w:t>
      </w:r>
      <w:r w:rsidR="00004FB7" w:rsidRPr="002574EC">
        <w:t>is preexisting to the pandemic and has been growing worse</w:t>
      </w:r>
      <w:r w:rsidR="00596DB5" w:rsidRPr="002574EC">
        <w:t>.</w:t>
      </w:r>
      <w:r w:rsidR="00004FB7" w:rsidRPr="002574EC">
        <w:t xml:space="preserve"> </w:t>
      </w:r>
      <w:r w:rsidR="00642BB4" w:rsidRPr="002574EC">
        <w:t>E</w:t>
      </w:r>
      <w:r w:rsidR="00004FB7" w:rsidRPr="002574EC">
        <w:t xml:space="preserve">ven since </w:t>
      </w:r>
      <w:r w:rsidR="00D947A7" w:rsidRPr="002574EC">
        <w:t xml:space="preserve">the time of the </w:t>
      </w:r>
      <w:r w:rsidR="00004FB7" w:rsidRPr="002574EC">
        <w:t>visit</w:t>
      </w:r>
      <w:r w:rsidR="00D62B9C" w:rsidRPr="002574EC">
        <w:t>,</w:t>
      </w:r>
      <w:r w:rsidR="00004FB7" w:rsidRPr="002574EC">
        <w:t xml:space="preserve"> </w:t>
      </w:r>
      <w:r w:rsidR="003C153E" w:rsidRPr="002574EC">
        <w:t xml:space="preserve">it was evident that there were </w:t>
      </w:r>
      <w:r w:rsidR="00AD515F" w:rsidRPr="002574EC">
        <w:t>obstacles to receiv</w:t>
      </w:r>
      <w:r w:rsidR="00DE4B2D" w:rsidRPr="002574EC">
        <w:t>ing</w:t>
      </w:r>
      <w:r w:rsidR="00AD515F" w:rsidRPr="002574EC">
        <w:t xml:space="preserve"> prenatal check-ups </w:t>
      </w:r>
      <w:r w:rsidR="000659A2" w:rsidRPr="002574EC">
        <w:t>and maternity care</w:t>
      </w:r>
      <w:r w:rsidR="00FD3164" w:rsidRPr="002574EC">
        <w:t xml:space="preserve">, such as </w:t>
      </w:r>
      <w:r w:rsidR="00A67A86" w:rsidRPr="002574EC">
        <w:t xml:space="preserve">a lack of access </w:t>
      </w:r>
      <w:r w:rsidR="00E148DB" w:rsidRPr="002574EC">
        <w:t xml:space="preserve">to health services </w:t>
      </w:r>
      <w:r w:rsidR="00AD515F" w:rsidRPr="002574EC">
        <w:t xml:space="preserve"> </w:t>
      </w:r>
      <w:r w:rsidR="00727B74" w:rsidRPr="002574EC">
        <w:t>and medical supplies that only women and gestating mo</w:t>
      </w:r>
      <w:r w:rsidR="00464E5D" w:rsidRPr="002574EC">
        <w:t>th</w:t>
      </w:r>
      <w:r w:rsidR="00727B74" w:rsidRPr="002574EC">
        <w:t xml:space="preserve">ers require, as well as the </w:t>
      </w:r>
      <w:r w:rsidR="00C672E3" w:rsidRPr="002574EC">
        <w:t xml:space="preserve">inability to access </w:t>
      </w:r>
      <w:r w:rsidR="0026706C" w:rsidRPr="002574EC">
        <w:t>contraceptives and family planning for the majority of the population.</w:t>
      </w:r>
      <w:r w:rsidR="00D24896" w:rsidRPr="002574EC">
        <w:rPr>
          <w:rStyle w:val="FootnoteReference"/>
          <w:color w:val="000000"/>
        </w:rPr>
        <w:footnoteReference w:id="277"/>
      </w:r>
      <w:r w:rsidR="00D24896" w:rsidRPr="002574EC">
        <w:t xml:space="preserve"> </w:t>
      </w:r>
    </w:p>
    <w:p w14:paraId="5AD310AB" w14:textId="77777777" w:rsidR="00D24896" w:rsidRPr="002574EC" w:rsidRDefault="00D24896" w:rsidP="00E07D06">
      <w:pPr>
        <w:ind w:left="426" w:hanging="426"/>
        <w:jc w:val="both"/>
        <w:rPr>
          <w:rFonts w:ascii="Cambria" w:hAnsi="Cambria"/>
          <w:color w:val="000000"/>
          <w:sz w:val="20"/>
          <w:szCs w:val="20"/>
          <w:shd w:val="clear" w:color="auto" w:fill="FFFFFF"/>
        </w:rPr>
      </w:pPr>
    </w:p>
    <w:p w14:paraId="6E334A42" w14:textId="1E4A3E32" w:rsidR="00D24896" w:rsidRPr="002574EC" w:rsidRDefault="002C01FE" w:rsidP="00F85814">
      <w:pPr>
        <w:pStyle w:val="ListParagraph"/>
      </w:pPr>
      <w:r w:rsidRPr="002574EC">
        <w:rPr>
          <w:shd w:val="clear" w:color="auto" w:fill="FFFFFF"/>
        </w:rPr>
        <w:t>As for</w:t>
      </w:r>
      <w:r w:rsidR="002115D5" w:rsidRPr="002574EC">
        <w:rPr>
          <w:shd w:val="clear" w:color="auto" w:fill="FFFFFF"/>
        </w:rPr>
        <w:t xml:space="preserve"> nourishment, </w:t>
      </w:r>
      <w:r w:rsidR="000374D5" w:rsidRPr="002574EC">
        <w:rPr>
          <w:shd w:val="clear" w:color="auto" w:fill="FFFFFF"/>
        </w:rPr>
        <w:t xml:space="preserve">the </w:t>
      </w:r>
      <w:r w:rsidR="004B7A12" w:rsidRPr="002574EC">
        <w:rPr>
          <w:shd w:val="clear" w:color="auto" w:fill="FFFFFF"/>
        </w:rPr>
        <w:t xml:space="preserve">majority </w:t>
      </w:r>
      <w:r w:rsidR="002115D5" w:rsidRPr="002574EC">
        <w:rPr>
          <w:shd w:val="clear" w:color="auto" w:fill="FFFFFF"/>
        </w:rPr>
        <w:t xml:space="preserve">of the population is </w:t>
      </w:r>
      <w:r w:rsidR="002F44B2" w:rsidRPr="002574EC">
        <w:rPr>
          <w:shd w:val="clear" w:color="auto" w:fill="FFFFFF"/>
        </w:rPr>
        <w:t>highly</w:t>
      </w:r>
      <w:r w:rsidR="00A867BF" w:rsidRPr="002574EC">
        <w:rPr>
          <w:shd w:val="clear" w:color="auto" w:fill="FFFFFF"/>
        </w:rPr>
        <w:t xml:space="preserve"> vulnerable </w:t>
      </w:r>
      <w:r w:rsidR="004B7A12" w:rsidRPr="002574EC">
        <w:rPr>
          <w:shd w:val="clear" w:color="auto" w:fill="FFFFFF"/>
        </w:rPr>
        <w:t>to not getting</w:t>
      </w:r>
      <w:r w:rsidR="0081496A" w:rsidRPr="002574EC">
        <w:rPr>
          <w:shd w:val="clear" w:color="auto" w:fill="FFFFFF"/>
        </w:rPr>
        <w:t xml:space="preserve"> enough to eat</w:t>
      </w:r>
      <w:r w:rsidR="001D1802" w:rsidRPr="002574EC">
        <w:rPr>
          <w:shd w:val="clear" w:color="auto" w:fill="FFFFFF"/>
        </w:rPr>
        <w:t xml:space="preserve">, </w:t>
      </w:r>
      <w:r w:rsidR="007F1DAC" w:rsidRPr="002574EC">
        <w:rPr>
          <w:shd w:val="clear" w:color="auto" w:fill="FFFFFF"/>
        </w:rPr>
        <w:t xml:space="preserve">because </w:t>
      </w:r>
      <w:r w:rsidR="00300FD6" w:rsidRPr="002574EC">
        <w:rPr>
          <w:shd w:val="clear" w:color="auto" w:fill="FFFFFF"/>
        </w:rPr>
        <w:t>household</w:t>
      </w:r>
      <w:r w:rsidR="001D1802" w:rsidRPr="002574EC">
        <w:rPr>
          <w:shd w:val="clear" w:color="auto" w:fill="FFFFFF"/>
        </w:rPr>
        <w:t xml:space="preserve"> purchasing power </w:t>
      </w:r>
      <w:r w:rsidR="006C4FA7" w:rsidRPr="002574EC">
        <w:rPr>
          <w:shd w:val="clear" w:color="auto" w:fill="FFFFFF"/>
        </w:rPr>
        <w:t>is</w:t>
      </w:r>
      <w:r w:rsidR="00BD503C" w:rsidRPr="002574EC">
        <w:rPr>
          <w:shd w:val="clear" w:color="auto" w:fill="FFFFFF"/>
        </w:rPr>
        <w:t xml:space="preserve"> </w:t>
      </w:r>
      <w:r w:rsidR="00195865" w:rsidRPr="002574EC">
        <w:rPr>
          <w:shd w:val="clear" w:color="auto" w:fill="FFFFFF"/>
        </w:rPr>
        <w:t xml:space="preserve">not </w:t>
      </w:r>
      <w:r w:rsidR="00BD503C" w:rsidRPr="002574EC">
        <w:rPr>
          <w:shd w:val="clear" w:color="auto" w:fill="FFFFFF"/>
        </w:rPr>
        <w:t>nearly enough</w:t>
      </w:r>
      <w:r w:rsidR="006C4FA7" w:rsidRPr="002574EC">
        <w:rPr>
          <w:shd w:val="clear" w:color="auto" w:fill="FFFFFF"/>
        </w:rPr>
        <w:t xml:space="preserve"> to be able to </w:t>
      </w:r>
      <w:r w:rsidR="0030447B" w:rsidRPr="002574EC">
        <w:rPr>
          <w:shd w:val="clear" w:color="auto" w:fill="FFFFFF"/>
        </w:rPr>
        <w:t xml:space="preserve">pay for </w:t>
      </w:r>
      <w:r w:rsidR="00BD503C" w:rsidRPr="002574EC">
        <w:rPr>
          <w:shd w:val="clear" w:color="auto" w:fill="FFFFFF"/>
        </w:rPr>
        <w:t xml:space="preserve">the </w:t>
      </w:r>
      <w:r w:rsidR="006C4FA7" w:rsidRPr="002574EC">
        <w:rPr>
          <w:shd w:val="clear" w:color="auto" w:fill="FFFFFF"/>
        </w:rPr>
        <w:t xml:space="preserve">basic </w:t>
      </w:r>
      <w:r w:rsidR="00EB4192" w:rsidRPr="002574EC">
        <w:rPr>
          <w:shd w:val="clear" w:color="auto" w:fill="FFFFFF"/>
        </w:rPr>
        <w:t xml:space="preserve">basket of </w:t>
      </w:r>
      <w:r w:rsidR="000C6262" w:rsidRPr="002574EC">
        <w:rPr>
          <w:shd w:val="clear" w:color="auto" w:fill="FFFFFF"/>
        </w:rPr>
        <w:t xml:space="preserve">food </w:t>
      </w:r>
      <w:r w:rsidR="006C4FA7" w:rsidRPr="002574EC">
        <w:rPr>
          <w:shd w:val="clear" w:color="auto" w:fill="FFFFFF"/>
        </w:rPr>
        <w:t>staple</w:t>
      </w:r>
      <w:r w:rsidR="002A7BCB" w:rsidRPr="002574EC">
        <w:rPr>
          <w:shd w:val="clear" w:color="auto" w:fill="FFFFFF"/>
        </w:rPr>
        <w:t>s</w:t>
      </w:r>
      <w:r w:rsidR="0045270A" w:rsidRPr="002574EC">
        <w:rPr>
          <w:shd w:val="clear" w:color="auto" w:fill="FFFFFF"/>
        </w:rPr>
        <w:t xml:space="preserve"> and </w:t>
      </w:r>
      <w:r w:rsidR="002A7BCB" w:rsidRPr="002574EC">
        <w:rPr>
          <w:shd w:val="clear" w:color="auto" w:fill="FFFFFF"/>
        </w:rPr>
        <w:t xml:space="preserve">there are reports of </w:t>
      </w:r>
      <w:r w:rsidR="007A722C" w:rsidRPr="002574EC">
        <w:rPr>
          <w:shd w:val="clear" w:color="auto" w:fill="FFFFFF"/>
        </w:rPr>
        <w:t xml:space="preserve">delays in the sales and delivery of the </w:t>
      </w:r>
      <w:r w:rsidR="00E87D05" w:rsidRPr="002574EC">
        <w:rPr>
          <w:shd w:val="clear" w:color="auto" w:fill="FFFFFF"/>
        </w:rPr>
        <w:t xml:space="preserve">subsidized food basket known by its Spanish acronym </w:t>
      </w:r>
      <w:r w:rsidR="007A722C" w:rsidRPr="002574EC">
        <w:rPr>
          <w:shd w:val="clear" w:color="auto" w:fill="FFFFFF"/>
        </w:rPr>
        <w:t>CLAPS,</w:t>
      </w:r>
      <w:r w:rsidR="00D24896" w:rsidRPr="002574EC">
        <w:rPr>
          <w:rStyle w:val="FootnoteReference"/>
          <w:color w:val="000000"/>
          <w:shd w:val="clear" w:color="auto" w:fill="FFFFFF"/>
        </w:rPr>
        <w:footnoteReference w:id="278"/>
      </w:r>
      <w:r w:rsidR="003755A9" w:rsidRPr="002574EC">
        <w:rPr>
          <w:shd w:val="clear" w:color="auto" w:fill="FFFFFF"/>
        </w:rPr>
        <w:t xml:space="preserve"> as well as of political and social control </w:t>
      </w:r>
      <w:r w:rsidR="00553B64" w:rsidRPr="002574EC">
        <w:rPr>
          <w:shd w:val="clear" w:color="auto" w:fill="FFFFFF"/>
        </w:rPr>
        <w:t>over food programs.</w:t>
      </w:r>
      <w:r w:rsidR="00CE4F1D" w:rsidRPr="002574EC">
        <w:rPr>
          <w:shd w:val="clear" w:color="auto" w:fill="FFFFFF"/>
        </w:rPr>
        <w:t xml:space="preserve"> </w:t>
      </w:r>
      <w:r w:rsidR="00553B64" w:rsidRPr="002574EC">
        <w:rPr>
          <w:shd w:val="clear" w:color="auto" w:fill="FFFFFF"/>
        </w:rPr>
        <w:t xml:space="preserve">Consequently, </w:t>
      </w:r>
      <w:r w:rsidR="00E6165B" w:rsidRPr="002574EC">
        <w:rPr>
          <w:shd w:val="clear" w:color="auto" w:fill="FFFFFF"/>
        </w:rPr>
        <w:t xml:space="preserve">it </w:t>
      </w:r>
      <w:r w:rsidR="00F11921" w:rsidRPr="002574EC">
        <w:rPr>
          <w:shd w:val="clear" w:color="auto" w:fill="FFFFFF"/>
        </w:rPr>
        <w:t>is noted</w:t>
      </w:r>
      <w:r w:rsidR="00E6165B" w:rsidRPr="002574EC">
        <w:rPr>
          <w:shd w:val="clear" w:color="auto" w:fill="FFFFFF"/>
        </w:rPr>
        <w:t xml:space="preserve"> </w:t>
      </w:r>
      <w:r w:rsidR="00553B64" w:rsidRPr="002574EC">
        <w:rPr>
          <w:shd w:val="clear" w:color="auto" w:fill="FFFFFF"/>
        </w:rPr>
        <w:t xml:space="preserve">that the food and nutritional situation </w:t>
      </w:r>
      <w:r w:rsidR="00232088" w:rsidRPr="002574EC">
        <w:rPr>
          <w:shd w:val="clear" w:color="auto" w:fill="FFFFFF"/>
        </w:rPr>
        <w:t xml:space="preserve">in Venezuela has been </w:t>
      </w:r>
      <w:r w:rsidR="00AB350F" w:rsidRPr="002574EC">
        <w:rPr>
          <w:shd w:val="clear" w:color="auto" w:fill="FFFFFF"/>
        </w:rPr>
        <w:t>worsening</w:t>
      </w:r>
      <w:r w:rsidR="00E6165B" w:rsidRPr="002574EC">
        <w:rPr>
          <w:shd w:val="clear" w:color="auto" w:fill="FFFFFF"/>
        </w:rPr>
        <w:t>.  I</w:t>
      </w:r>
      <w:r w:rsidR="005031B2" w:rsidRPr="002574EC">
        <w:rPr>
          <w:shd w:val="clear" w:color="auto" w:fill="FFFFFF"/>
        </w:rPr>
        <w:t xml:space="preserve">n 2020 alone, an estimated 96% of people </w:t>
      </w:r>
      <w:r w:rsidR="00E97D2A" w:rsidRPr="002574EC">
        <w:rPr>
          <w:shd w:val="clear" w:color="auto" w:fill="FFFFFF"/>
        </w:rPr>
        <w:t>we</w:t>
      </w:r>
      <w:r w:rsidR="005031B2" w:rsidRPr="002574EC">
        <w:rPr>
          <w:shd w:val="clear" w:color="auto" w:fill="FFFFFF"/>
        </w:rPr>
        <w:t>re living in a situation of poverty</w:t>
      </w:r>
      <w:r w:rsidR="00D0395B" w:rsidRPr="002574EC">
        <w:rPr>
          <w:shd w:val="clear" w:color="auto" w:fill="FFFFFF"/>
        </w:rPr>
        <w:t xml:space="preserve">, </w:t>
      </w:r>
      <w:r w:rsidR="005031B2" w:rsidRPr="002574EC">
        <w:rPr>
          <w:shd w:val="clear" w:color="auto" w:fill="FFFFFF"/>
        </w:rPr>
        <w:t>double the figure of 2014</w:t>
      </w:r>
      <w:r w:rsidR="00D0395B" w:rsidRPr="002574EC">
        <w:rPr>
          <w:shd w:val="clear" w:color="auto" w:fill="FFFFFF"/>
        </w:rPr>
        <w:t>;</w:t>
      </w:r>
      <w:r w:rsidR="005031B2" w:rsidRPr="002574EC">
        <w:rPr>
          <w:shd w:val="clear" w:color="auto" w:fill="FFFFFF"/>
        </w:rPr>
        <w:t xml:space="preserve"> while extreme poverty </w:t>
      </w:r>
      <w:r w:rsidR="00EB0EA9" w:rsidRPr="002574EC">
        <w:rPr>
          <w:shd w:val="clear" w:color="auto" w:fill="FFFFFF"/>
        </w:rPr>
        <w:t xml:space="preserve">increased </w:t>
      </w:r>
      <w:r w:rsidR="007B3926" w:rsidRPr="002574EC">
        <w:rPr>
          <w:shd w:val="clear" w:color="auto" w:fill="FFFFFF"/>
        </w:rPr>
        <w:t xml:space="preserve">by almost 60%, going from 20% to </w:t>
      </w:r>
      <w:r w:rsidR="00B94F91" w:rsidRPr="002574EC">
        <w:rPr>
          <w:shd w:val="clear" w:color="auto" w:fill="FFFFFF"/>
        </w:rPr>
        <w:t>7</w:t>
      </w:r>
      <w:r w:rsidR="007B3926" w:rsidRPr="002574EC">
        <w:rPr>
          <w:shd w:val="clear" w:color="auto" w:fill="FFFFFF"/>
        </w:rPr>
        <w:t>9%</w:t>
      </w:r>
      <w:r w:rsidR="00C17E31" w:rsidRPr="002574EC">
        <w:rPr>
          <w:shd w:val="clear" w:color="auto" w:fill="FFFFFF"/>
        </w:rPr>
        <w:t xml:space="preserve"> over that same timespan</w:t>
      </w:r>
      <w:r w:rsidR="007B3926" w:rsidRPr="002574EC">
        <w:rPr>
          <w:shd w:val="clear" w:color="auto" w:fill="FFFFFF"/>
        </w:rPr>
        <w:t>.</w:t>
      </w:r>
      <w:r w:rsidR="00D24896" w:rsidRPr="002574EC">
        <w:rPr>
          <w:rStyle w:val="FootnoteReference"/>
          <w:color w:val="000000"/>
          <w:shd w:val="clear" w:color="auto" w:fill="FFFFFF"/>
        </w:rPr>
        <w:footnoteReference w:id="279"/>
      </w:r>
      <w:r w:rsidR="00B94F91" w:rsidRPr="002574EC">
        <w:rPr>
          <w:shd w:val="clear" w:color="auto" w:fill="FFFFFF"/>
        </w:rPr>
        <w:t xml:space="preserve"> </w:t>
      </w:r>
      <w:r w:rsidR="00CB4CA5" w:rsidRPr="002574EC">
        <w:rPr>
          <w:shd w:val="clear" w:color="auto" w:fill="FFFFFF"/>
        </w:rPr>
        <w:t xml:space="preserve">This has led to more than 9 million Venezuelans </w:t>
      </w:r>
      <w:r w:rsidR="007657EB" w:rsidRPr="002574EC">
        <w:rPr>
          <w:shd w:val="clear" w:color="auto" w:fill="FFFFFF"/>
        </w:rPr>
        <w:t>living in a situation of food insecurity.</w:t>
      </w:r>
      <w:r w:rsidR="00D24896" w:rsidRPr="002574EC">
        <w:rPr>
          <w:rStyle w:val="FootnoteReference"/>
          <w:color w:val="000000"/>
          <w:shd w:val="clear" w:color="auto" w:fill="FFFFFF"/>
        </w:rPr>
        <w:footnoteReference w:id="280"/>
      </w:r>
      <w:r w:rsidR="00D24896" w:rsidRPr="002574EC">
        <w:rPr>
          <w:shd w:val="clear" w:color="auto" w:fill="FFFFFF"/>
        </w:rPr>
        <w:t xml:space="preserve"> </w:t>
      </w:r>
    </w:p>
    <w:p w14:paraId="40B4B386" w14:textId="77777777" w:rsidR="00D24896" w:rsidRPr="002574EC" w:rsidRDefault="00D24896" w:rsidP="00E07D06">
      <w:pPr>
        <w:ind w:left="426" w:hanging="426"/>
        <w:jc w:val="both"/>
        <w:rPr>
          <w:rFonts w:ascii="Cambria" w:hAnsi="Cambria"/>
          <w:color w:val="000000" w:themeColor="text1"/>
          <w:sz w:val="20"/>
          <w:szCs w:val="20"/>
        </w:rPr>
      </w:pPr>
    </w:p>
    <w:p w14:paraId="6F57E4BB" w14:textId="65A7D848" w:rsidR="00D24896" w:rsidRPr="002574EC" w:rsidRDefault="00234480" w:rsidP="00F85814">
      <w:pPr>
        <w:pStyle w:val="ListParagraph"/>
        <w:rPr>
          <w:rFonts w:eastAsiaTheme="minorEastAsia"/>
          <w:color w:val="000000"/>
        </w:rPr>
      </w:pPr>
      <w:r w:rsidRPr="002574EC">
        <w:t xml:space="preserve">In this context, </w:t>
      </w:r>
      <w:r w:rsidR="00A32FAA" w:rsidRPr="002574EC">
        <w:t>r</w:t>
      </w:r>
      <w:r w:rsidRPr="002574EC">
        <w:t xml:space="preserve">ecognizing </w:t>
      </w:r>
      <w:r w:rsidR="00B52C1F" w:rsidRPr="002574EC">
        <w:t xml:space="preserve">that </w:t>
      </w:r>
      <w:r w:rsidRPr="002574EC">
        <w:t>the measures</w:t>
      </w:r>
      <w:r w:rsidR="006120EE" w:rsidRPr="002574EC">
        <w:t xml:space="preserve"> taken</w:t>
      </w:r>
      <w:r w:rsidRPr="002574EC">
        <w:t xml:space="preserve"> to guarantee the right to health </w:t>
      </w:r>
      <w:r w:rsidR="00656786" w:rsidRPr="002574EC">
        <w:t>are ineffective</w:t>
      </w:r>
      <w:r w:rsidR="006B0950" w:rsidRPr="002574EC">
        <w:t xml:space="preserve">, if the basic social determinants </w:t>
      </w:r>
      <w:r w:rsidR="00FC7167" w:rsidRPr="002574EC">
        <w:t xml:space="preserve">are not addressed at the same time, the Commission and the REDESCA </w:t>
      </w:r>
      <w:r w:rsidR="005C4986" w:rsidRPr="002574EC">
        <w:t xml:space="preserve">are concerned about the guarantee of the right to a healthy environment </w:t>
      </w:r>
      <w:r w:rsidR="00490A53" w:rsidRPr="002574EC">
        <w:t xml:space="preserve">and the right to water in the country. </w:t>
      </w:r>
      <w:r w:rsidR="00CF298E" w:rsidRPr="002574EC">
        <w:t xml:space="preserve"> </w:t>
      </w:r>
      <w:r w:rsidR="00C3458B" w:rsidRPr="002574EC">
        <w:t>Thus</w:t>
      </w:r>
      <w:r w:rsidR="00CF298E" w:rsidRPr="002574EC">
        <w:t xml:space="preserve">, </w:t>
      </w:r>
      <w:r w:rsidR="00F22A26" w:rsidRPr="002574EC">
        <w:t xml:space="preserve">it is </w:t>
      </w:r>
      <w:r w:rsidR="00C3458B" w:rsidRPr="002574EC">
        <w:t>imperative</w:t>
      </w:r>
      <w:r w:rsidR="00F22A26" w:rsidRPr="002574EC">
        <w:t xml:space="preserve"> to issue an urgent appeal to ensure the right to a healthy environment which, among other rights, is one of the most </w:t>
      </w:r>
      <w:r w:rsidR="0085107C" w:rsidRPr="002574EC">
        <w:t>impact</w:t>
      </w:r>
      <w:r w:rsidR="00C3458B" w:rsidRPr="002574EC">
        <w:t>e</w:t>
      </w:r>
      <w:r w:rsidR="0085107C" w:rsidRPr="002574EC">
        <w:t xml:space="preserve">d by extractive activities in the </w:t>
      </w:r>
      <w:r w:rsidR="0032712A" w:rsidRPr="002574EC">
        <w:t>Mining Crescent (</w:t>
      </w:r>
      <w:r w:rsidR="0085107C" w:rsidRPr="002574EC">
        <w:t>Arco Minero</w:t>
      </w:r>
      <w:r w:rsidR="0032712A" w:rsidRPr="002574EC">
        <w:t>)</w:t>
      </w:r>
      <w:r w:rsidR="0085107C" w:rsidRPr="002574EC">
        <w:t xml:space="preserve"> of the Orinoco River</w:t>
      </w:r>
      <w:r w:rsidR="00E4738B" w:rsidRPr="002574EC">
        <w:t>,</w:t>
      </w:r>
      <w:r w:rsidR="00D24896" w:rsidRPr="002574EC">
        <w:rPr>
          <w:rStyle w:val="FootnoteReference"/>
        </w:rPr>
        <w:footnoteReference w:id="281"/>
      </w:r>
      <w:r w:rsidR="0063161F" w:rsidRPr="002574EC">
        <w:t xml:space="preserve"> as has been explained by the Special Rapporteur’s Office on other occasions.</w:t>
      </w:r>
      <w:r w:rsidR="00D24896" w:rsidRPr="002574EC">
        <w:rPr>
          <w:rStyle w:val="FootnoteReference"/>
        </w:rPr>
        <w:footnoteReference w:id="282"/>
      </w:r>
      <w:r w:rsidR="00B93232" w:rsidRPr="002574EC">
        <w:t xml:space="preserve">  </w:t>
      </w:r>
      <w:r w:rsidR="00A16CA8" w:rsidRPr="002574EC">
        <w:t>T</w:t>
      </w:r>
      <w:r w:rsidR="00894960" w:rsidRPr="002574EC">
        <w:t xml:space="preserve">he lack of State control over the area, </w:t>
      </w:r>
      <w:r w:rsidR="00012378" w:rsidRPr="002574EC">
        <w:t xml:space="preserve">with </w:t>
      </w:r>
      <w:r w:rsidR="00894960" w:rsidRPr="002574EC">
        <w:t xml:space="preserve">repeated </w:t>
      </w:r>
      <w:r w:rsidR="00B8358B" w:rsidRPr="002574EC">
        <w:t>complain</w:t>
      </w:r>
      <w:r w:rsidR="00117E7A" w:rsidRPr="002574EC">
        <w:t>t</w:t>
      </w:r>
      <w:r w:rsidR="00B8358B" w:rsidRPr="002574EC">
        <w:t xml:space="preserve">s </w:t>
      </w:r>
      <w:r w:rsidR="00012378" w:rsidRPr="002574EC">
        <w:t xml:space="preserve">of illegal armed groups wielding control, </w:t>
      </w:r>
      <w:r w:rsidR="00A10437" w:rsidRPr="002574EC">
        <w:t xml:space="preserve">has led to </w:t>
      </w:r>
      <w:r w:rsidR="00543A26" w:rsidRPr="002574EC">
        <w:t xml:space="preserve">a </w:t>
      </w:r>
      <w:r w:rsidR="003E25FA" w:rsidRPr="002574EC">
        <w:t xml:space="preserve">situation </w:t>
      </w:r>
      <w:r w:rsidR="00543A26" w:rsidRPr="002574EC">
        <w:t>of vulnerability</w:t>
      </w:r>
      <w:r w:rsidR="00A16CA8" w:rsidRPr="002574EC">
        <w:t xml:space="preserve"> </w:t>
      </w:r>
      <w:r w:rsidR="00543A26" w:rsidRPr="002574EC">
        <w:t xml:space="preserve"> </w:t>
      </w:r>
      <w:r w:rsidR="00DA6315" w:rsidRPr="002574EC">
        <w:t xml:space="preserve">for the inhabitants of the area, with a disproportional and differentiated impact </w:t>
      </w:r>
      <w:r w:rsidR="00067D82" w:rsidRPr="002574EC">
        <w:t xml:space="preserve">on women, indigenous peoples and on </w:t>
      </w:r>
      <w:r w:rsidR="00F562A4" w:rsidRPr="002574EC">
        <w:t>cross</w:t>
      </w:r>
      <w:r w:rsidR="00461E16" w:rsidRPr="002574EC">
        <w:t>-</w:t>
      </w:r>
      <w:r w:rsidR="00067D82" w:rsidRPr="002574EC">
        <w:t>border populations.</w:t>
      </w:r>
      <w:r w:rsidR="00D24896" w:rsidRPr="002574EC">
        <w:rPr>
          <w:rStyle w:val="FootnoteReference"/>
        </w:rPr>
        <w:footnoteReference w:id="283"/>
      </w:r>
      <w:r w:rsidR="00067D82" w:rsidRPr="002574EC">
        <w:t xml:space="preserve">  </w:t>
      </w:r>
      <w:r w:rsidR="00B603E3" w:rsidRPr="002574EC">
        <w:t xml:space="preserve">This situation is characterized by high environmental </w:t>
      </w:r>
      <w:r w:rsidR="00CF3598" w:rsidRPr="002574EC">
        <w:t xml:space="preserve">impacts, </w:t>
      </w:r>
      <w:r w:rsidR="00DB12BE" w:rsidRPr="002574EC">
        <w:t xml:space="preserve">a </w:t>
      </w:r>
      <w:r w:rsidR="00A32FAA" w:rsidRPr="002574EC">
        <w:t xml:space="preserve">lack </w:t>
      </w:r>
      <w:r w:rsidR="00C9748E" w:rsidRPr="002574EC">
        <w:t xml:space="preserve">of </w:t>
      </w:r>
      <w:r w:rsidR="00CF3598" w:rsidRPr="002574EC">
        <w:t>food, goods and services</w:t>
      </w:r>
      <w:r w:rsidR="00B176D1" w:rsidRPr="002574EC">
        <w:t>,</w:t>
      </w:r>
      <w:r w:rsidR="00CF3598" w:rsidRPr="002574EC">
        <w:t xml:space="preserve"> and local inhabitants </w:t>
      </w:r>
      <w:r w:rsidR="00A535E5" w:rsidRPr="002574EC">
        <w:t xml:space="preserve">face a </w:t>
      </w:r>
      <w:r w:rsidR="00CF3598" w:rsidRPr="002574EC">
        <w:t xml:space="preserve">significant </w:t>
      </w:r>
      <w:r w:rsidR="00A535E5" w:rsidRPr="002574EC">
        <w:t xml:space="preserve">health </w:t>
      </w:r>
      <w:r w:rsidR="00CF3598" w:rsidRPr="002574EC">
        <w:t xml:space="preserve">risk </w:t>
      </w:r>
      <w:r w:rsidR="000D0845" w:rsidRPr="002574EC">
        <w:t xml:space="preserve">from </w:t>
      </w:r>
      <w:r w:rsidR="00CF3598" w:rsidRPr="002574EC">
        <w:t>mercury exposure</w:t>
      </w:r>
      <w:r w:rsidR="000E740F" w:rsidRPr="002574EC">
        <w:t xml:space="preserve">, </w:t>
      </w:r>
      <w:r w:rsidR="00222B53" w:rsidRPr="002574EC">
        <w:t xml:space="preserve">which is still being used </w:t>
      </w:r>
      <w:r w:rsidR="00E425DA" w:rsidRPr="002574EC">
        <w:t xml:space="preserve">in the process of </w:t>
      </w:r>
      <w:r w:rsidR="00222B53" w:rsidRPr="002574EC">
        <w:t>extract</w:t>
      </w:r>
      <w:r w:rsidR="009E2A92" w:rsidRPr="002574EC">
        <w:t>ing</w:t>
      </w:r>
      <w:r w:rsidR="00222B53" w:rsidRPr="002574EC">
        <w:t xml:space="preserve"> gold, even though it is prohibited </w:t>
      </w:r>
      <w:r w:rsidR="00335B69" w:rsidRPr="002574EC">
        <w:t>as a method of obtaining or treating mineral ore on national terri</w:t>
      </w:r>
      <w:r w:rsidR="000F0E29" w:rsidRPr="002574EC">
        <w:t>tory.</w:t>
      </w:r>
      <w:r w:rsidR="00D24896" w:rsidRPr="002574EC">
        <w:rPr>
          <w:rStyle w:val="FootnoteReference"/>
        </w:rPr>
        <w:footnoteReference w:id="284"/>
      </w:r>
    </w:p>
    <w:p w14:paraId="19EEDDF6" w14:textId="77777777" w:rsidR="00D24896" w:rsidRPr="002574EC" w:rsidRDefault="00D24896" w:rsidP="00E07D06">
      <w:pPr>
        <w:ind w:left="426" w:hanging="426"/>
        <w:jc w:val="both"/>
        <w:rPr>
          <w:rFonts w:ascii="Cambria" w:hAnsi="Cambria"/>
          <w:color w:val="000000"/>
          <w:sz w:val="20"/>
          <w:szCs w:val="20"/>
        </w:rPr>
      </w:pPr>
    </w:p>
    <w:p w14:paraId="7BC5DBF0" w14:textId="2277885D" w:rsidR="00D24896" w:rsidRPr="002574EC" w:rsidRDefault="009D27FD" w:rsidP="00F85814">
      <w:pPr>
        <w:pStyle w:val="ListParagraph"/>
      </w:pPr>
      <w:r w:rsidRPr="002574EC">
        <w:t xml:space="preserve">In addition, in relation to the human right to water, the Commission and the REDESCA </w:t>
      </w:r>
      <w:r w:rsidR="00D1298A" w:rsidRPr="002574EC">
        <w:t xml:space="preserve">note that the situation continues to be particularly worrying, because the failure to ensure this right </w:t>
      </w:r>
      <w:r w:rsidR="00481240" w:rsidRPr="002574EC">
        <w:t>considerably increases the risks of infection in the context of the COVID-19 pand</w:t>
      </w:r>
      <w:r w:rsidR="0013073C" w:rsidRPr="002574EC">
        <w:t>emi</w:t>
      </w:r>
      <w:r w:rsidR="00481240" w:rsidRPr="002574EC">
        <w:t>c</w:t>
      </w:r>
      <w:r w:rsidR="00D24896" w:rsidRPr="002574EC">
        <w:t xml:space="preserve">. </w:t>
      </w:r>
      <w:r w:rsidR="00A96766" w:rsidRPr="002574EC">
        <w:t xml:space="preserve">In this regard, </w:t>
      </w:r>
      <w:r w:rsidR="006B5125" w:rsidRPr="002574EC">
        <w:t xml:space="preserve">it is estimated that 80% of the Venezuelan population </w:t>
      </w:r>
      <w:r w:rsidR="00B938F9" w:rsidRPr="002574EC">
        <w:t xml:space="preserve">receives </w:t>
      </w:r>
      <w:r w:rsidR="00206741" w:rsidRPr="002574EC">
        <w:t xml:space="preserve">water </w:t>
      </w:r>
      <w:r w:rsidR="00422FA1" w:rsidRPr="002574EC">
        <w:t>on an intermittent basis</w:t>
      </w:r>
      <w:r w:rsidR="00D24896" w:rsidRPr="002574EC">
        <w:rPr>
          <w:rStyle w:val="FootnoteReference"/>
          <w:color w:val="000000"/>
        </w:rPr>
        <w:footnoteReference w:id="285"/>
      </w:r>
      <w:r w:rsidR="00422FA1" w:rsidRPr="002574EC">
        <w:t xml:space="preserve"> and that water does not meet the necessary quality standards.</w:t>
      </w:r>
      <w:r w:rsidR="00D24896" w:rsidRPr="002574EC">
        <w:rPr>
          <w:rStyle w:val="FootnoteReference"/>
          <w:color w:val="000000"/>
        </w:rPr>
        <w:footnoteReference w:id="286"/>
      </w:r>
      <w:r w:rsidR="000D57D4" w:rsidRPr="002574EC">
        <w:t xml:space="preserve"> </w:t>
      </w:r>
      <w:r w:rsidR="00D24896" w:rsidRPr="002574EC">
        <w:t xml:space="preserve"> </w:t>
      </w:r>
      <w:r w:rsidR="007C526A" w:rsidRPr="002574EC">
        <w:t>In addition, based on a survey conducted by the Venezuelan Observatory on Public Services, 70% of respondents believe that</w:t>
      </w:r>
      <w:r w:rsidR="00442E62" w:rsidRPr="002574EC">
        <w:t xml:space="preserve"> water-related issues are impacting the quality of their lives, </w:t>
      </w:r>
      <w:r w:rsidR="00BD03F2" w:rsidRPr="002574EC">
        <w:t xml:space="preserve">particularly because </w:t>
      </w:r>
      <w:r w:rsidR="00320691" w:rsidRPr="002574EC">
        <w:t>56% believe that the drinking water they receive in their homes is not safe to drink.</w:t>
      </w:r>
      <w:r w:rsidR="00D24896" w:rsidRPr="002574EC">
        <w:rPr>
          <w:rStyle w:val="FootnoteReference"/>
          <w:color w:val="000000"/>
        </w:rPr>
        <w:footnoteReference w:id="287"/>
      </w:r>
      <w:r w:rsidR="00D24896" w:rsidRPr="002574EC">
        <w:t xml:space="preserve"> </w:t>
      </w:r>
    </w:p>
    <w:p w14:paraId="70938184" w14:textId="77777777" w:rsidR="00D24896" w:rsidRPr="002574EC" w:rsidRDefault="00D24896" w:rsidP="00E07D06">
      <w:pPr>
        <w:ind w:left="426" w:hanging="426"/>
        <w:jc w:val="both"/>
        <w:rPr>
          <w:rFonts w:ascii="Cambria" w:hAnsi="Cambria"/>
          <w:sz w:val="20"/>
          <w:szCs w:val="20"/>
        </w:rPr>
      </w:pPr>
    </w:p>
    <w:p w14:paraId="65DCA48E" w14:textId="09A09B67" w:rsidR="00D24896" w:rsidRPr="002574EC" w:rsidRDefault="00BD03F2" w:rsidP="00F85814">
      <w:pPr>
        <w:pStyle w:val="ListParagraph"/>
      </w:pPr>
      <w:r w:rsidRPr="002574EC">
        <w:rPr>
          <w:shd w:val="clear" w:color="auto" w:fill="FFFFFF"/>
        </w:rPr>
        <w:t xml:space="preserve">With regard to </w:t>
      </w:r>
      <w:r w:rsidR="00461E16" w:rsidRPr="002574EC">
        <w:rPr>
          <w:shd w:val="clear" w:color="auto" w:fill="FFFFFF"/>
        </w:rPr>
        <w:t xml:space="preserve">the </w:t>
      </w:r>
      <w:r w:rsidRPr="002574EC">
        <w:rPr>
          <w:shd w:val="clear" w:color="auto" w:fill="FFFFFF"/>
        </w:rPr>
        <w:t>right</w:t>
      </w:r>
      <w:r w:rsidR="00FA7309" w:rsidRPr="002574EC">
        <w:rPr>
          <w:shd w:val="clear" w:color="auto" w:fill="FFFFFF"/>
        </w:rPr>
        <w:t xml:space="preserve"> to work</w:t>
      </w:r>
      <w:r w:rsidRPr="002574EC">
        <w:rPr>
          <w:shd w:val="clear" w:color="auto" w:fill="FFFFFF"/>
        </w:rPr>
        <w:t xml:space="preserve"> and the right of association, the Commission and the REDESCA take note of </w:t>
      </w:r>
      <w:r w:rsidR="006C2155" w:rsidRPr="002574EC">
        <w:rPr>
          <w:shd w:val="clear" w:color="auto" w:fill="FFFFFF"/>
        </w:rPr>
        <w:t xml:space="preserve">recognition </w:t>
      </w:r>
      <w:r w:rsidR="00F2568F" w:rsidRPr="002574EC">
        <w:rPr>
          <w:shd w:val="clear" w:color="auto" w:fill="FFFFFF"/>
        </w:rPr>
        <w:t xml:space="preserve">of the right to work </w:t>
      </w:r>
      <w:r w:rsidR="00794ABF" w:rsidRPr="002574EC">
        <w:rPr>
          <w:shd w:val="clear" w:color="auto" w:fill="FFFFFF"/>
        </w:rPr>
        <w:t xml:space="preserve">in the domestic legal framework, as well as the establishment of a minimum salary </w:t>
      </w:r>
      <w:r w:rsidR="00C35BFF" w:rsidRPr="002574EC">
        <w:rPr>
          <w:shd w:val="clear" w:color="auto" w:fill="FFFFFF"/>
        </w:rPr>
        <w:t>and the periodic updating thereof.</w:t>
      </w:r>
      <w:r w:rsidR="00D24896" w:rsidRPr="002574EC">
        <w:rPr>
          <w:rStyle w:val="FootnoteReference"/>
          <w:color w:val="000000"/>
          <w:shd w:val="clear" w:color="auto" w:fill="FFFFFF"/>
        </w:rPr>
        <w:footnoteReference w:id="288"/>
      </w:r>
      <w:r w:rsidR="00D24896" w:rsidRPr="002574EC">
        <w:rPr>
          <w:shd w:val="clear" w:color="auto" w:fill="FFFFFF"/>
        </w:rPr>
        <w:t xml:space="preserve"> </w:t>
      </w:r>
      <w:r w:rsidR="009567EA" w:rsidRPr="002574EC">
        <w:rPr>
          <w:shd w:val="clear" w:color="auto" w:fill="FFFFFF"/>
        </w:rPr>
        <w:t xml:space="preserve">Nonetheless, as result of the profound economic and social crisis </w:t>
      </w:r>
      <w:r w:rsidR="004E4133" w:rsidRPr="002574EC">
        <w:rPr>
          <w:shd w:val="clear" w:color="auto" w:fill="FFFFFF"/>
        </w:rPr>
        <w:t xml:space="preserve">Venezuela is going through and, consequently, the progressive </w:t>
      </w:r>
      <w:r w:rsidR="00FA3C66" w:rsidRPr="002574EC">
        <w:rPr>
          <w:shd w:val="clear" w:color="auto" w:fill="FFFFFF"/>
        </w:rPr>
        <w:t xml:space="preserve">decline of economic activity, they observe </w:t>
      </w:r>
      <w:r w:rsidR="002B3063" w:rsidRPr="002574EC">
        <w:rPr>
          <w:shd w:val="clear" w:color="auto" w:fill="FFFFFF"/>
        </w:rPr>
        <w:t xml:space="preserve">that </w:t>
      </w:r>
      <w:r w:rsidR="00A36D41" w:rsidRPr="002574EC">
        <w:rPr>
          <w:shd w:val="clear" w:color="auto" w:fill="FFFFFF"/>
        </w:rPr>
        <w:t xml:space="preserve">the </w:t>
      </w:r>
      <w:r w:rsidR="002B3063" w:rsidRPr="002574EC">
        <w:rPr>
          <w:shd w:val="clear" w:color="auto" w:fill="FFFFFF"/>
        </w:rPr>
        <w:t xml:space="preserve">economically inactive population has grown considerably </w:t>
      </w:r>
      <w:r w:rsidR="00C4348B" w:rsidRPr="002574EC">
        <w:rPr>
          <w:shd w:val="clear" w:color="auto" w:fill="FFFFFF"/>
        </w:rPr>
        <w:t xml:space="preserve">since 2018 (reaching </w:t>
      </w:r>
      <w:r w:rsidR="00C4348B" w:rsidRPr="002574EC">
        <w:rPr>
          <w:shd w:val="clear" w:color="auto" w:fill="FFFFFF"/>
        </w:rPr>
        <w:lastRenderedPageBreak/>
        <w:t xml:space="preserve">almost 50%) and private </w:t>
      </w:r>
      <w:r w:rsidR="00022B2D" w:rsidRPr="002574EC">
        <w:rPr>
          <w:shd w:val="clear" w:color="auto" w:fill="FFFFFF"/>
        </w:rPr>
        <w:t xml:space="preserve">sector </w:t>
      </w:r>
      <w:r w:rsidR="00C4348B" w:rsidRPr="002574EC">
        <w:rPr>
          <w:shd w:val="clear" w:color="auto" w:fill="FFFFFF"/>
        </w:rPr>
        <w:t xml:space="preserve">formal </w:t>
      </w:r>
      <w:r w:rsidR="00F5361E" w:rsidRPr="002574EC">
        <w:rPr>
          <w:shd w:val="clear" w:color="auto" w:fill="FFFFFF"/>
        </w:rPr>
        <w:t xml:space="preserve">and public sector </w:t>
      </w:r>
      <w:r w:rsidR="00C4348B" w:rsidRPr="002574EC">
        <w:rPr>
          <w:shd w:val="clear" w:color="auto" w:fill="FFFFFF"/>
        </w:rPr>
        <w:t>employment ha</w:t>
      </w:r>
      <w:r w:rsidR="00AE0930" w:rsidRPr="002574EC">
        <w:rPr>
          <w:shd w:val="clear" w:color="auto" w:fill="FFFFFF"/>
        </w:rPr>
        <w:t>ve</w:t>
      </w:r>
      <w:r w:rsidR="00C4348B" w:rsidRPr="002574EC">
        <w:rPr>
          <w:shd w:val="clear" w:color="auto" w:fill="FFFFFF"/>
        </w:rPr>
        <w:t xml:space="preserve"> significantly decreased</w:t>
      </w:r>
      <w:r w:rsidR="00005DA6" w:rsidRPr="002574EC">
        <w:rPr>
          <w:shd w:val="clear" w:color="auto" w:fill="FFFFFF"/>
        </w:rPr>
        <w:t xml:space="preserve">, falling 21.8% between 2014 and 2021. </w:t>
      </w:r>
      <w:r w:rsidR="00290A06" w:rsidRPr="002574EC">
        <w:rPr>
          <w:shd w:val="clear" w:color="auto" w:fill="FFFFFF"/>
        </w:rPr>
        <w:t>This has had a differentiated impact on women.</w:t>
      </w:r>
      <w:r w:rsidR="00D24896" w:rsidRPr="002574EC">
        <w:rPr>
          <w:rStyle w:val="FootnoteReference"/>
        </w:rPr>
        <w:footnoteReference w:id="289"/>
      </w:r>
      <w:r w:rsidR="00D24896" w:rsidRPr="002574EC">
        <w:t xml:space="preserve"> </w:t>
      </w:r>
    </w:p>
    <w:p w14:paraId="5CA1C250" w14:textId="77777777" w:rsidR="00D24896" w:rsidRPr="002574EC" w:rsidRDefault="00D24896" w:rsidP="002245EC">
      <w:pPr>
        <w:pStyle w:val="ListParagraph"/>
        <w:numPr>
          <w:ilvl w:val="0"/>
          <w:numId w:val="0"/>
        </w:numPr>
        <w:ind w:left="720"/>
      </w:pPr>
    </w:p>
    <w:p w14:paraId="44A85207" w14:textId="7D1EDE0E" w:rsidR="00D24896" w:rsidRPr="002574EC" w:rsidRDefault="008848F4" w:rsidP="00F85814">
      <w:pPr>
        <w:pStyle w:val="ListParagraph"/>
      </w:pPr>
      <w:r w:rsidRPr="002574EC">
        <w:t xml:space="preserve">Furthermore, </w:t>
      </w:r>
      <w:r w:rsidR="00C316BE" w:rsidRPr="002574EC">
        <w:t>the Commission and Rapporteurship</w:t>
      </w:r>
      <w:r w:rsidRPr="002574EC">
        <w:t xml:space="preserve"> underscore the crosscutting problems for those who are able to make an income: it is inadequate to </w:t>
      </w:r>
      <w:r w:rsidR="0059661B" w:rsidRPr="002574EC">
        <w:t xml:space="preserve">meet the most basic needs and lead a decent life.  </w:t>
      </w:r>
      <w:r w:rsidR="00217E97" w:rsidRPr="002574EC">
        <w:t xml:space="preserve">Therefore, most people who manage to be active in the labor market </w:t>
      </w:r>
      <w:r w:rsidR="00223231" w:rsidRPr="002574EC">
        <w:t>live a situation of poverty.</w:t>
      </w:r>
      <w:r w:rsidR="00D24896" w:rsidRPr="002574EC">
        <w:rPr>
          <w:rStyle w:val="FootnoteReference"/>
          <w:color w:val="000000"/>
          <w:shd w:val="clear" w:color="auto" w:fill="FFFFFF"/>
        </w:rPr>
        <w:footnoteReference w:id="290"/>
      </w:r>
      <w:r w:rsidR="00AD2432" w:rsidRPr="002574EC">
        <w:rPr>
          <w:color w:val="000000"/>
          <w:shd w:val="clear" w:color="auto" w:fill="FFFFFF"/>
        </w:rPr>
        <w:t xml:space="preserve"> On this score, it should be noted </w:t>
      </w:r>
      <w:r w:rsidR="008F2FA2" w:rsidRPr="002574EC">
        <w:rPr>
          <w:color w:val="000000"/>
          <w:shd w:val="clear" w:color="auto" w:fill="FFFFFF"/>
        </w:rPr>
        <w:t>that in March 2021 alone</w:t>
      </w:r>
      <w:r w:rsidR="009009E9" w:rsidRPr="002574EC">
        <w:rPr>
          <w:color w:val="000000"/>
          <w:shd w:val="clear" w:color="auto" w:fill="FFFFFF"/>
        </w:rPr>
        <w:t xml:space="preserve">, in order to buy a basket of basic food staples for a family, the family would need to make </w:t>
      </w:r>
      <w:r w:rsidR="00411C3A" w:rsidRPr="002574EC">
        <w:rPr>
          <w:color w:val="000000"/>
          <w:shd w:val="clear" w:color="auto" w:fill="FFFFFF"/>
        </w:rPr>
        <w:t xml:space="preserve">420.15 </w:t>
      </w:r>
      <w:r w:rsidR="00A16644" w:rsidRPr="002574EC">
        <w:rPr>
          <w:color w:val="000000"/>
          <w:shd w:val="clear" w:color="auto" w:fill="FFFFFF"/>
        </w:rPr>
        <w:t>time</w:t>
      </w:r>
      <w:r w:rsidR="002E7525" w:rsidRPr="002574EC">
        <w:rPr>
          <w:color w:val="000000"/>
          <w:shd w:val="clear" w:color="auto" w:fill="FFFFFF"/>
        </w:rPr>
        <w:t>s</w:t>
      </w:r>
      <w:r w:rsidR="00A16644" w:rsidRPr="002574EC">
        <w:rPr>
          <w:color w:val="000000"/>
          <w:shd w:val="clear" w:color="auto" w:fill="FFFFFF"/>
        </w:rPr>
        <w:t xml:space="preserve"> </w:t>
      </w:r>
      <w:r w:rsidR="00411C3A" w:rsidRPr="002574EC">
        <w:rPr>
          <w:color w:val="000000"/>
          <w:shd w:val="clear" w:color="auto" w:fill="FFFFFF"/>
        </w:rPr>
        <w:t xml:space="preserve">minimum monthly </w:t>
      </w:r>
      <w:r w:rsidR="00EB1063" w:rsidRPr="002574EC">
        <w:rPr>
          <w:color w:val="000000"/>
          <w:shd w:val="clear" w:color="auto" w:fill="FFFFFF"/>
        </w:rPr>
        <w:t xml:space="preserve">wages </w:t>
      </w:r>
      <w:r w:rsidR="00411C3A" w:rsidRPr="002574EC">
        <w:rPr>
          <w:color w:val="000000"/>
          <w:shd w:val="clear" w:color="auto" w:fill="FFFFFF"/>
        </w:rPr>
        <w:t xml:space="preserve">or 208.58 </w:t>
      </w:r>
      <w:r w:rsidR="00F91A25" w:rsidRPr="002574EC">
        <w:rPr>
          <w:color w:val="000000"/>
          <w:shd w:val="clear" w:color="auto" w:fill="FFFFFF"/>
        </w:rPr>
        <w:t xml:space="preserve">times the </w:t>
      </w:r>
      <w:r w:rsidR="00411C3A" w:rsidRPr="002574EC">
        <w:rPr>
          <w:color w:val="000000"/>
          <w:shd w:val="clear" w:color="auto" w:fill="FFFFFF"/>
        </w:rPr>
        <w:t>general</w:t>
      </w:r>
      <w:r w:rsidR="00F91A25" w:rsidRPr="002574EC">
        <w:rPr>
          <w:color w:val="000000"/>
          <w:shd w:val="clear" w:color="auto" w:fill="FFFFFF"/>
        </w:rPr>
        <w:t xml:space="preserve"> monthly</w:t>
      </w:r>
      <w:r w:rsidR="00411C3A" w:rsidRPr="002574EC">
        <w:rPr>
          <w:color w:val="000000"/>
          <w:shd w:val="clear" w:color="auto" w:fill="FFFFFF"/>
        </w:rPr>
        <w:t xml:space="preserve"> salar</w:t>
      </w:r>
      <w:r w:rsidR="00F91A25" w:rsidRPr="002574EC">
        <w:rPr>
          <w:color w:val="000000"/>
          <w:shd w:val="clear" w:color="auto" w:fill="FFFFFF"/>
        </w:rPr>
        <w:t>y</w:t>
      </w:r>
      <w:r w:rsidR="00C53F77" w:rsidRPr="002574EC">
        <w:rPr>
          <w:color w:val="000000"/>
          <w:shd w:val="clear" w:color="auto" w:fill="FFFFFF"/>
        </w:rPr>
        <w:t>.</w:t>
      </w:r>
      <w:r w:rsidR="00D24896" w:rsidRPr="002574EC">
        <w:rPr>
          <w:rStyle w:val="FootnoteReference"/>
          <w:color w:val="000000"/>
          <w:shd w:val="clear" w:color="auto" w:fill="FFFFFF"/>
        </w:rPr>
        <w:footnoteReference w:id="291"/>
      </w:r>
      <w:r w:rsidR="00C53F77" w:rsidRPr="002574EC">
        <w:rPr>
          <w:color w:val="000000"/>
          <w:shd w:val="clear" w:color="auto" w:fill="FFFFFF"/>
        </w:rPr>
        <w:t xml:space="preserve"> </w:t>
      </w:r>
      <w:r w:rsidR="00D24896" w:rsidRPr="002574EC">
        <w:rPr>
          <w:color w:val="000000"/>
          <w:shd w:val="clear" w:color="auto" w:fill="FFFFFF"/>
        </w:rPr>
        <w:t xml:space="preserve"> </w:t>
      </w:r>
      <w:r w:rsidR="00AC4328" w:rsidRPr="002574EC">
        <w:rPr>
          <w:color w:val="000000"/>
          <w:shd w:val="clear" w:color="auto" w:fill="FFFFFF"/>
        </w:rPr>
        <w:t>Based on the foregoing, it is estimated that at least eight million people, including pensioners and employed persons, would not have the capacity to afford a basket of basic food staples, which would cost at that time approximately $300 USD.</w:t>
      </w:r>
      <w:r w:rsidR="00D24896" w:rsidRPr="002574EC">
        <w:rPr>
          <w:rStyle w:val="FootnoteReference"/>
          <w:color w:val="000000"/>
          <w:shd w:val="clear" w:color="auto" w:fill="FFFFFF"/>
        </w:rPr>
        <w:footnoteReference w:id="292"/>
      </w:r>
      <w:r w:rsidR="00D24896" w:rsidRPr="002574EC">
        <w:rPr>
          <w:color w:val="000000"/>
          <w:shd w:val="clear" w:color="auto" w:fill="FFFFFF"/>
        </w:rPr>
        <w:t xml:space="preserve"> </w:t>
      </w:r>
    </w:p>
    <w:p w14:paraId="085F9DA7" w14:textId="77777777" w:rsidR="00D24896" w:rsidRPr="002574EC" w:rsidRDefault="00D24896" w:rsidP="00E07D06">
      <w:pPr>
        <w:ind w:left="426" w:hanging="426"/>
        <w:jc w:val="both"/>
        <w:rPr>
          <w:rFonts w:ascii="Cambria" w:hAnsi="Cambria"/>
          <w:sz w:val="20"/>
          <w:szCs w:val="20"/>
        </w:rPr>
      </w:pPr>
    </w:p>
    <w:p w14:paraId="572FD19B" w14:textId="7D395BCB" w:rsidR="00D24896" w:rsidRPr="002574EC" w:rsidRDefault="00E47E77" w:rsidP="00F85814">
      <w:pPr>
        <w:pStyle w:val="ListParagraph"/>
      </w:pPr>
      <w:r w:rsidRPr="002574EC">
        <w:t>In this same vein, the</w:t>
      </w:r>
      <w:r w:rsidR="00D24896" w:rsidRPr="002574EC">
        <w:t xml:space="preserve"> REDESCA </w:t>
      </w:r>
      <w:r w:rsidRPr="002574EC">
        <w:t xml:space="preserve">has received information </w:t>
      </w:r>
      <w:r w:rsidR="00914954" w:rsidRPr="002574EC">
        <w:t xml:space="preserve">about the fact that there </w:t>
      </w:r>
      <w:r w:rsidR="00631615" w:rsidRPr="002574EC">
        <w:t>are</w:t>
      </w:r>
      <w:r w:rsidR="00914954" w:rsidRPr="002574EC">
        <w:t xml:space="preserve"> no protection</w:t>
      </w:r>
      <w:r w:rsidR="00631615" w:rsidRPr="002574EC">
        <w:t xml:space="preserve">s in place to exercise </w:t>
      </w:r>
      <w:r w:rsidR="00914954" w:rsidRPr="002574EC">
        <w:t xml:space="preserve">the right </w:t>
      </w:r>
      <w:r w:rsidR="002E7525" w:rsidRPr="002574EC">
        <w:t xml:space="preserve">of </w:t>
      </w:r>
      <w:r w:rsidR="00914954" w:rsidRPr="002574EC">
        <w:t xml:space="preserve">association in the country.  </w:t>
      </w:r>
      <w:r w:rsidR="003E6E65" w:rsidRPr="002574EC">
        <w:t xml:space="preserve">Consequently, there has been indue interference in union organizations and </w:t>
      </w:r>
      <w:r w:rsidR="00631615" w:rsidRPr="002574EC">
        <w:t>the</w:t>
      </w:r>
      <w:r w:rsidR="002E7525" w:rsidRPr="002574EC">
        <w:t>re</w:t>
      </w:r>
      <w:r w:rsidR="00631615" w:rsidRPr="002574EC">
        <w:t xml:space="preserve"> is nobody to legitimately represent </w:t>
      </w:r>
      <w:r w:rsidR="00FF0319" w:rsidRPr="002574EC">
        <w:t>workers to assert their rights</w:t>
      </w:r>
      <w:r w:rsidR="00ED0B82" w:rsidRPr="002574EC">
        <w:t xml:space="preserve">, </w:t>
      </w:r>
      <w:r w:rsidR="00F11098" w:rsidRPr="002574EC">
        <w:t>while “</w:t>
      </w:r>
      <w:r w:rsidR="0076344E" w:rsidRPr="002574EC">
        <w:t xml:space="preserve">trade </w:t>
      </w:r>
      <w:r w:rsidR="00F11098" w:rsidRPr="002574EC">
        <w:t xml:space="preserve">union parallelism” </w:t>
      </w:r>
      <w:r w:rsidR="00173BB0" w:rsidRPr="002574EC">
        <w:t>is maintained</w:t>
      </w:r>
      <w:r w:rsidR="00197108" w:rsidRPr="002574EC">
        <w:t xml:space="preserve"> with the producti</w:t>
      </w:r>
      <w:r w:rsidR="00CB4AB4" w:rsidRPr="002574EC">
        <w:t>on</w:t>
      </w:r>
      <w:r w:rsidR="00197108" w:rsidRPr="002574EC">
        <w:t xml:space="preserve"> councils.</w:t>
      </w:r>
      <w:r w:rsidR="00D24896" w:rsidRPr="002574EC">
        <w:rPr>
          <w:rStyle w:val="FootnoteReference"/>
        </w:rPr>
        <w:footnoteReference w:id="293"/>
      </w:r>
      <w:r w:rsidR="00D24896" w:rsidRPr="002574EC">
        <w:t xml:space="preserve"> </w:t>
      </w:r>
      <w:r w:rsidR="004B65E7" w:rsidRPr="002574EC">
        <w:t xml:space="preserve">The </w:t>
      </w:r>
      <w:r w:rsidR="00D24896" w:rsidRPr="002574EC">
        <w:t xml:space="preserve">REDESCA </w:t>
      </w:r>
      <w:r w:rsidR="004B65E7" w:rsidRPr="002574EC">
        <w:t xml:space="preserve">received information about </w:t>
      </w:r>
      <w:r w:rsidR="00352888" w:rsidRPr="002574EC">
        <w:t xml:space="preserve">a pattern of persecution against </w:t>
      </w:r>
      <w:r w:rsidR="009C1852" w:rsidRPr="002574EC">
        <w:t xml:space="preserve">trade </w:t>
      </w:r>
      <w:r w:rsidR="00352888" w:rsidRPr="002574EC">
        <w:t>union and association leaders.</w:t>
      </w:r>
      <w:r w:rsidR="00D24896" w:rsidRPr="002574EC">
        <w:rPr>
          <w:rStyle w:val="FootnoteReference"/>
        </w:rPr>
        <w:footnoteReference w:id="294"/>
      </w:r>
      <w:r w:rsidR="00D24896" w:rsidRPr="002574EC">
        <w:t xml:space="preserve"> </w:t>
      </w:r>
    </w:p>
    <w:p w14:paraId="6088FB27" w14:textId="77777777" w:rsidR="00D24896" w:rsidRPr="002574EC" w:rsidRDefault="00D24896" w:rsidP="00E07D06">
      <w:pPr>
        <w:ind w:left="426" w:hanging="426"/>
        <w:jc w:val="both"/>
        <w:rPr>
          <w:rFonts w:ascii="Cambria" w:hAnsi="Cambria"/>
          <w:sz w:val="20"/>
          <w:szCs w:val="20"/>
        </w:rPr>
      </w:pPr>
    </w:p>
    <w:p w14:paraId="0217EAD4" w14:textId="18AD01E6" w:rsidR="00D24896" w:rsidRPr="002574EC" w:rsidRDefault="00913DEB" w:rsidP="00F85814">
      <w:pPr>
        <w:pStyle w:val="ListParagraph"/>
      </w:pPr>
      <w:r w:rsidRPr="002574EC">
        <w:rPr>
          <w:shd w:val="clear" w:color="auto" w:fill="FFFFFF"/>
        </w:rPr>
        <w:t xml:space="preserve">As for fiscal and economic policies, the Commission and the </w:t>
      </w:r>
      <w:r w:rsidR="00D24896" w:rsidRPr="002574EC">
        <w:rPr>
          <w:shd w:val="clear" w:color="auto" w:fill="FFFFFF"/>
        </w:rPr>
        <w:t xml:space="preserve">REDESCA </w:t>
      </w:r>
      <w:r w:rsidRPr="002574EC">
        <w:rPr>
          <w:shd w:val="clear" w:color="auto" w:fill="FFFFFF"/>
        </w:rPr>
        <w:t>take note of the social programs implemented by the State to address the situation of poverty of the population, as well as to satisfy certain ESCE rights</w:t>
      </w:r>
      <w:r w:rsidR="00D24896" w:rsidRPr="002574EC">
        <w:rPr>
          <w:shd w:val="clear" w:color="auto" w:fill="FFFFFF"/>
        </w:rPr>
        <w:t>.</w:t>
      </w:r>
      <w:r w:rsidRPr="002574EC">
        <w:rPr>
          <w:shd w:val="clear" w:color="auto" w:fill="FFFFFF"/>
        </w:rPr>
        <w:t xml:space="preserve"> However, </w:t>
      </w:r>
      <w:r w:rsidR="00264299" w:rsidRPr="002574EC">
        <w:rPr>
          <w:shd w:val="clear" w:color="auto" w:fill="FFFFFF"/>
        </w:rPr>
        <w:t xml:space="preserve">they also observe that the economic outlook in the country is increasingly worrisome, inasmuch as between 2014 and 2020 alone, the GDP contracted by 74%, as well as </w:t>
      </w:r>
      <w:r w:rsidR="00FE3869" w:rsidRPr="002574EC">
        <w:rPr>
          <w:shd w:val="clear" w:color="auto" w:fill="FFFFFF"/>
        </w:rPr>
        <w:t>hyperinflation</w:t>
      </w:r>
      <w:r w:rsidR="00B3111C" w:rsidRPr="002574EC">
        <w:rPr>
          <w:shd w:val="clear" w:color="auto" w:fill="FFFFFF"/>
        </w:rPr>
        <w:t xml:space="preserve"> </w:t>
      </w:r>
      <w:r w:rsidR="004E0A85" w:rsidRPr="002574EC">
        <w:rPr>
          <w:shd w:val="clear" w:color="auto" w:fill="FFFFFF"/>
        </w:rPr>
        <w:t>continuing to persist</w:t>
      </w:r>
      <w:r w:rsidR="00B93C99" w:rsidRPr="002574EC">
        <w:rPr>
          <w:shd w:val="clear" w:color="auto" w:fill="FFFFFF"/>
        </w:rPr>
        <w:t>,</w:t>
      </w:r>
      <w:r w:rsidR="00D24896" w:rsidRPr="002574EC">
        <w:rPr>
          <w:rStyle w:val="FootnoteReference"/>
        </w:rPr>
        <w:footnoteReference w:id="295"/>
      </w:r>
      <w:r w:rsidR="00D24896" w:rsidRPr="002574EC">
        <w:t xml:space="preserve"> </w:t>
      </w:r>
      <w:r w:rsidR="004E0A85" w:rsidRPr="002574EC">
        <w:t xml:space="preserve">all of which </w:t>
      </w:r>
      <w:r w:rsidR="00B93C99" w:rsidRPr="002574EC">
        <w:t xml:space="preserve">has led to the loss of purchasing power of the population, decreased employment and increased informal employment, with the </w:t>
      </w:r>
      <w:r w:rsidR="000B2BF6" w:rsidRPr="002574EC">
        <w:t xml:space="preserve">consequent </w:t>
      </w:r>
      <w:r w:rsidR="002837D8" w:rsidRPr="002574EC">
        <w:t xml:space="preserve">vulnerabilities that are caused by economic instability. </w:t>
      </w:r>
      <w:r w:rsidR="007E3D84" w:rsidRPr="002574EC">
        <w:t>In this regard, it has been decried that the measures implemented in response to the economic situation have not been effective or adequate to address the exponential loss of purchasing power.</w:t>
      </w:r>
      <w:r w:rsidR="00D24896" w:rsidRPr="002574EC">
        <w:rPr>
          <w:rStyle w:val="FootnoteReference"/>
        </w:rPr>
        <w:footnoteReference w:id="296"/>
      </w:r>
    </w:p>
    <w:p w14:paraId="6A986A74" w14:textId="77777777" w:rsidR="00D24896" w:rsidRPr="002574EC" w:rsidRDefault="00D24896" w:rsidP="00E07D06">
      <w:pPr>
        <w:ind w:left="426" w:hanging="426"/>
        <w:jc w:val="both"/>
        <w:rPr>
          <w:rFonts w:ascii="Cambria" w:eastAsia="Cambria" w:hAnsi="Cambria" w:cs="Cambria"/>
          <w:sz w:val="20"/>
          <w:szCs w:val="20"/>
        </w:rPr>
      </w:pPr>
      <w:r w:rsidRPr="002574EC">
        <w:rPr>
          <w:rFonts w:ascii="Cambria" w:eastAsia="Cambria" w:hAnsi="Cambria" w:cs="Cambria"/>
          <w:sz w:val="20"/>
          <w:szCs w:val="20"/>
        </w:rPr>
        <w:t xml:space="preserve"> </w:t>
      </w:r>
    </w:p>
    <w:p w14:paraId="7438E11F" w14:textId="5DCD746C" w:rsidR="00D24896" w:rsidRPr="002574EC" w:rsidRDefault="00D96C31" w:rsidP="00F85814">
      <w:pPr>
        <w:pStyle w:val="ListParagraph"/>
        <w:rPr>
          <w:color w:val="000000"/>
        </w:rPr>
      </w:pPr>
      <w:r w:rsidRPr="002574EC">
        <w:t>In light of this scenario, the Commission and the</w:t>
      </w:r>
      <w:r w:rsidR="00D24896" w:rsidRPr="002574EC">
        <w:t xml:space="preserve"> REDESCA </w:t>
      </w:r>
      <w:r w:rsidRPr="002574EC">
        <w:t xml:space="preserve">recognize that the impact of economic, coercive, unilateral sanctions has worsened the situation of </w:t>
      </w:r>
      <w:r w:rsidR="008A3505" w:rsidRPr="002574EC">
        <w:t xml:space="preserve">vulnerability of the population, and just as was established by the UN Hight Commissioner for Human Rights, Michelle Bachelet, </w:t>
      </w:r>
      <w:r w:rsidR="003D1513" w:rsidRPr="002574EC">
        <w:t>they emphasize that these measures have aggravated the shortages of medicines and food</w:t>
      </w:r>
      <w:r w:rsidR="00766FED" w:rsidRPr="002574EC">
        <w:t xml:space="preserve">, due to excessive enforcement thereof, </w:t>
      </w:r>
      <w:r w:rsidR="0050282C" w:rsidRPr="002574EC">
        <w:t xml:space="preserve">even though these measure provide for </w:t>
      </w:r>
      <w:r w:rsidR="00766FED" w:rsidRPr="002574EC">
        <w:t>humanitarian exceptions</w:t>
      </w:r>
      <w:r w:rsidR="0050282C" w:rsidRPr="002574EC">
        <w:t>.</w:t>
      </w:r>
      <w:r w:rsidR="00D24896" w:rsidRPr="002574EC">
        <w:rPr>
          <w:vertAlign w:val="superscript"/>
        </w:rPr>
        <w:t>22</w:t>
      </w:r>
      <w:r w:rsidR="0050282C" w:rsidRPr="002574EC">
        <w:t xml:space="preserve"> </w:t>
      </w:r>
      <w:r w:rsidR="00D24896" w:rsidRPr="002574EC">
        <w:t xml:space="preserve"> </w:t>
      </w:r>
      <w:r w:rsidR="005B042F" w:rsidRPr="002574EC">
        <w:t>For this reason, the IACHR and the Special Rapporteurship jointly issue a call to lift them, although they reiterate that, despite the sanctions, the State is obligated to take every measure available to it to guarantee the ESCE rights of</w:t>
      </w:r>
      <w:r w:rsidR="00717EC1" w:rsidRPr="002574EC">
        <w:t xml:space="preserve"> all persons under its jurisdiction, under the principle of equality and non-discrimination.</w:t>
      </w:r>
      <w:r w:rsidR="00D24896" w:rsidRPr="002574EC">
        <w:t xml:space="preserve">  </w:t>
      </w:r>
    </w:p>
    <w:p w14:paraId="45215234" w14:textId="77777777" w:rsidR="00D24896" w:rsidRPr="002574EC" w:rsidRDefault="00D24896" w:rsidP="00E07D06">
      <w:pPr>
        <w:ind w:left="426" w:hanging="426"/>
        <w:jc w:val="both"/>
        <w:rPr>
          <w:rFonts w:ascii="Cambria" w:hAnsi="Cambria"/>
          <w:color w:val="000000"/>
          <w:sz w:val="20"/>
          <w:szCs w:val="20"/>
        </w:rPr>
      </w:pPr>
    </w:p>
    <w:p w14:paraId="2A5B7D1E" w14:textId="6DDB1414" w:rsidR="00D24896" w:rsidRPr="002574EC" w:rsidRDefault="000D4FB7" w:rsidP="00F85814">
      <w:pPr>
        <w:pStyle w:val="ListParagraph"/>
      </w:pPr>
      <w:r w:rsidRPr="002574EC">
        <w:lastRenderedPageBreak/>
        <w:t>In this context, the</w:t>
      </w:r>
      <w:r w:rsidR="00D24896" w:rsidRPr="002574EC">
        <w:t xml:space="preserve"> REDESCA </w:t>
      </w:r>
      <w:r w:rsidRPr="002574EC">
        <w:t xml:space="preserve">welcomes the State’s initiative to </w:t>
      </w:r>
      <w:r w:rsidR="00032C95" w:rsidRPr="002574EC">
        <w:t xml:space="preserve">put </w:t>
      </w:r>
      <w:r w:rsidR="007E13DD" w:rsidRPr="002574EC">
        <w:t xml:space="preserve">the social missions into operation </w:t>
      </w:r>
      <w:r w:rsidR="002A7461" w:rsidRPr="002574EC">
        <w:t>by means of the National System of Socialist Missions and Grand Missions</w:t>
      </w:r>
      <w:r w:rsidR="004160B3" w:rsidRPr="002574EC">
        <w:t xml:space="preserve">. </w:t>
      </w:r>
      <w:r w:rsidR="009135FF" w:rsidRPr="002574EC">
        <w:t xml:space="preserve">According to official information, more than three million families have overcome their situation </w:t>
      </w:r>
      <w:r w:rsidR="00E8362E" w:rsidRPr="002574EC">
        <w:t>of risk and have a decent roof over their heads, thanks to subsidies</w:t>
      </w:r>
      <w:r w:rsidR="00DD2E80" w:rsidRPr="002574EC">
        <w:t>;</w:t>
      </w:r>
      <w:r w:rsidR="00E8362E" w:rsidRPr="002574EC">
        <w:t xml:space="preserve"> more than 13 million people are part of the national education system, which offers quality programs free-of-charge, and 7 million families received food support.</w:t>
      </w:r>
      <w:r w:rsidR="00D24896" w:rsidRPr="002574EC">
        <w:rPr>
          <w:rStyle w:val="FootnoteReference"/>
          <w:color w:val="000000"/>
        </w:rPr>
        <w:footnoteReference w:id="297"/>
      </w:r>
      <w:r w:rsidR="00924928" w:rsidRPr="002574EC">
        <w:t xml:space="preserve"> In this regard, it is noted that more than 20 million people are </w:t>
      </w:r>
      <w:r w:rsidR="008E649F" w:rsidRPr="002574EC">
        <w:t>cared for through the Homeland System (</w:t>
      </w:r>
      <w:r w:rsidR="008E649F" w:rsidRPr="002574EC">
        <w:rPr>
          <w:i/>
          <w:iCs/>
        </w:rPr>
        <w:t>Sistema Patria</w:t>
      </w:r>
      <w:r w:rsidR="008E649F" w:rsidRPr="002574EC">
        <w:t>)</w:t>
      </w:r>
      <w:r w:rsidR="003D113B" w:rsidRPr="002574EC">
        <w:t xml:space="preserve"> and that currently </w:t>
      </w:r>
      <w:r w:rsidR="00AB25E7" w:rsidRPr="002574EC">
        <w:t xml:space="preserve">there is a significant number of missions, including: </w:t>
      </w:r>
      <w:r w:rsidR="00D24896" w:rsidRPr="002574EC">
        <w:t xml:space="preserve"> Gran Misión Vivienda Venezuela</w:t>
      </w:r>
      <w:r w:rsidR="007C3132" w:rsidRPr="002574EC">
        <w:t xml:space="preserve"> (housing)</w:t>
      </w:r>
      <w:r w:rsidR="00D24896" w:rsidRPr="002574EC">
        <w:t>, Gran Misión a Toda Vida Venezuela, Gran Misión Hogares de la Patria, la Misión Barrio Adentro, Misión Alimentación</w:t>
      </w:r>
      <w:r w:rsidR="007C3132" w:rsidRPr="002574EC">
        <w:t xml:space="preserve"> (food)</w:t>
      </w:r>
      <w:r w:rsidR="00D24896" w:rsidRPr="002574EC">
        <w:t xml:space="preserve">, </w:t>
      </w:r>
      <w:r w:rsidR="005C1943" w:rsidRPr="002574EC">
        <w:t xml:space="preserve">the education missions </w:t>
      </w:r>
      <w:r w:rsidR="00D24896" w:rsidRPr="002574EC">
        <w:t xml:space="preserve">Robinson, Ribas </w:t>
      </w:r>
      <w:r w:rsidR="005C1943" w:rsidRPr="002574EC">
        <w:t>and</w:t>
      </w:r>
      <w:r w:rsidR="00D24896" w:rsidRPr="002574EC">
        <w:t xml:space="preserve"> Sucre, Misión Barrio Adentro Deportivo </w:t>
      </w:r>
      <w:r w:rsidR="001A5BD6" w:rsidRPr="002574EC">
        <w:t>and</w:t>
      </w:r>
      <w:r w:rsidR="00D24896" w:rsidRPr="002574EC">
        <w:t xml:space="preserve"> Misión Cultura</w:t>
      </w:r>
      <w:r w:rsidR="00325017" w:rsidRPr="002574EC">
        <w:t>.</w:t>
      </w:r>
      <w:r w:rsidR="00D24896" w:rsidRPr="002574EC">
        <w:rPr>
          <w:rStyle w:val="FootnoteReference"/>
          <w:color w:val="000000"/>
        </w:rPr>
        <w:footnoteReference w:id="298"/>
      </w:r>
      <w:r w:rsidR="00D24896" w:rsidRPr="002574EC">
        <w:t xml:space="preserve"> </w:t>
      </w:r>
    </w:p>
    <w:p w14:paraId="12DBB4C7" w14:textId="77777777" w:rsidR="00D24896" w:rsidRPr="002574EC" w:rsidRDefault="00D24896" w:rsidP="00E07D06">
      <w:pPr>
        <w:ind w:left="426" w:hanging="426"/>
        <w:jc w:val="both"/>
        <w:rPr>
          <w:rFonts w:ascii="Cambria" w:hAnsi="Cambria"/>
          <w:color w:val="000000"/>
          <w:sz w:val="20"/>
          <w:szCs w:val="20"/>
        </w:rPr>
      </w:pPr>
    </w:p>
    <w:p w14:paraId="11B2F7B5" w14:textId="1A46DB3B" w:rsidR="00D24896" w:rsidRPr="002574EC" w:rsidRDefault="00856B35" w:rsidP="00F85814">
      <w:pPr>
        <w:pStyle w:val="ListParagraph"/>
      </w:pPr>
      <w:r w:rsidRPr="002574EC">
        <w:t xml:space="preserve">Though the </w:t>
      </w:r>
      <w:r w:rsidR="00D718AC" w:rsidRPr="002574EC">
        <w:t xml:space="preserve">System of Socialist Missions and Grand Missions </w:t>
      </w:r>
      <w:r w:rsidRPr="002574EC">
        <w:t xml:space="preserve">has </w:t>
      </w:r>
      <w:r w:rsidR="00DD2E80" w:rsidRPr="002574EC">
        <w:t xml:space="preserve">reportedly </w:t>
      </w:r>
      <w:r w:rsidR="00843496" w:rsidRPr="002574EC">
        <w:t xml:space="preserve">been </w:t>
      </w:r>
      <w:r w:rsidR="00224A32" w:rsidRPr="002574EC">
        <w:t xml:space="preserve">strengthened </w:t>
      </w:r>
      <w:r w:rsidR="00843496" w:rsidRPr="002574EC">
        <w:t xml:space="preserve">since 2013, the Commission and the REDESCA </w:t>
      </w:r>
      <w:r w:rsidR="00615290" w:rsidRPr="002574EC">
        <w:t xml:space="preserve">view with concern that poverty and extreme poverty have steadily risen </w:t>
      </w:r>
      <w:r w:rsidR="00AD3120" w:rsidRPr="002574EC">
        <w:t>from 20% to 79%.</w:t>
      </w:r>
      <w:r w:rsidR="00D24896" w:rsidRPr="002574EC">
        <w:rPr>
          <w:rStyle w:val="FootnoteReference"/>
          <w:color w:val="000000"/>
          <w:shd w:val="clear" w:color="auto" w:fill="FFFFFF"/>
        </w:rPr>
        <w:footnoteReference w:id="299"/>
      </w:r>
      <w:r w:rsidR="0004061A" w:rsidRPr="002574EC">
        <w:rPr>
          <w:shd w:val="clear" w:color="auto" w:fill="FFFFFF"/>
        </w:rPr>
        <w:t xml:space="preserve">  </w:t>
      </w:r>
      <w:r w:rsidR="00F27CB0" w:rsidRPr="002574EC">
        <w:rPr>
          <w:shd w:val="clear" w:color="auto" w:fill="FFFFFF"/>
        </w:rPr>
        <w:t xml:space="preserve">On this score, it is surprising </w:t>
      </w:r>
      <w:r w:rsidR="00E80B90" w:rsidRPr="002574EC">
        <w:rPr>
          <w:shd w:val="clear" w:color="auto" w:fill="FFFFFF"/>
        </w:rPr>
        <w:t>that</w:t>
      </w:r>
      <w:r w:rsidR="00B939E6" w:rsidRPr="002574EC">
        <w:rPr>
          <w:shd w:val="clear" w:color="auto" w:fill="FFFFFF"/>
        </w:rPr>
        <w:t>,</w:t>
      </w:r>
      <w:r w:rsidR="00E80B90" w:rsidRPr="002574EC">
        <w:rPr>
          <w:shd w:val="clear" w:color="auto" w:fill="FFFFFF"/>
        </w:rPr>
        <w:t xml:space="preserve"> </w:t>
      </w:r>
      <w:r w:rsidR="00D260C9" w:rsidRPr="002574EC">
        <w:rPr>
          <w:shd w:val="clear" w:color="auto" w:fill="FFFFFF"/>
        </w:rPr>
        <w:t xml:space="preserve">despite the existence of </w:t>
      </w:r>
      <w:r w:rsidR="00E80B90" w:rsidRPr="002574EC">
        <w:rPr>
          <w:shd w:val="clear" w:color="auto" w:fill="FFFFFF"/>
        </w:rPr>
        <w:t>the above-cited programs, the economic situation of the population</w:t>
      </w:r>
      <w:r w:rsidR="005B3391" w:rsidRPr="002574EC">
        <w:rPr>
          <w:shd w:val="clear" w:color="auto" w:fill="FFFFFF"/>
        </w:rPr>
        <w:t xml:space="preserve"> has deteriorated in most instances. </w:t>
      </w:r>
      <w:r w:rsidR="005A4078" w:rsidRPr="002574EC">
        <w:rPr>
          <w:shd w:val="clear" w:color="auto" w:fill="FFFFFF"/>
        </w:rPr>
        <w:t xml:space="preserve">Consequently, </w:t>
      </w:r>
      <w:r w:rsidR="00323910" w:rsidRPr="002574EC">
        <w:rPr>
          <w:shd w:val="clear" w:color="auto" w:fill="FFFFFF"/>
        </w:rPr>
        <w:t xml:space="preserve">offering these programs has failed to provide a response to </w:t>
      </w:r>
      <w:r w:rsidR="00973AE1" w:rsidRPr="002574EC">
        <w:rPr>
          <w:shd w:val="clear" w:color="auto" w:fill="FFFFFF"/>
        </w:rPr>
        <w:t xml:space="preserve">growing demand. </w:t>
      </w:r>
      <w:r w:rsidR="00E80B90" w:rsidRPr="002574EC">
        <w:rPr>
          <w:shd w:val="clear" w:color="auto" w:fill="FFFFFF"/>
        </w:rPr>
        <w:t xml:space="preserve"> </w:t>
      </w:r>
      <w:r w:rsidR="00041F7C" w:rsidRPr="002574EC">
        <w:rPr>
          <w:shd w:val="clear" w:color="auto" w:fill="FFFFFF"/>
        </w:rPr>
        <w:t>This could partly be</w:t>
      </w:r>
      <w:r w:rsidR="00BD4462" w:rsidRPr="002574EC">
        <w:rPr>
          <w:shd w:val="clear" w:color="auto" w:fill="FFFFFF"/>
        </w:rPr>
        <w:t xml:space="preserve"> due to</w:t>
      </w:r>
      <w:r w:rsidR="00041F7C" w:rsidRPr="002574EC">
        <w:rPr>
          <w:shd w:val="clear" w:color="auto" w:fill="FFFFFF"/>
        </w:rPr>
        <w:t xml:space="preserve"> the result of </w:t>
      </w:r>
      <w:r w:rsidR="00A220A4" w:rsidRPr="002574EC">
        <w:rPr>
          <w:shd w:val="clear" w:color="auto" w:fill="FFFFFF"/>
        </w:rPr>
        <w:t xml:space="preserve">a loss of coverage of </w:t>
      </w:r>
      <w:r w:rsidR="00041F7C" w:rsidRPr="002574EC">
        <w:rPr>
          <w:shd w:val="clear" w:color="auto" w:fill="FFFFFF"/>
        </w:rPr>
        <w:t>the Social Mis</w:t>
      </w:r>
      <w:r w:rsidR="00CA6F81" w:rsidRPr="002574EC">
        <w:rPr>
          <w:shd w:val="clear" w:color="auto" w:fill="FFFFFF"/>
        </w:rPr>
        <w:t>s</w:t>
      </w:r>
      <w:r w:rsidR="00041F7C" w:rsidRPr="002574EC">
        <w:rPr>
          <w:shd w:val="clear" w:color="auto" w:fill="FFFFFF"/>
        </w:rPr>
        <w:t xml:space="preserve">ions since 2015 and </w:t>
      </w:r>
      <w:r w:rsidR="003C5E32" w:rsidRPr="002574EC">
        <w:rPr>
          <w:shd w:val="clear" w:color="auto" w:fill="FFFFFF"/>
        </w:rPr>
        <w:t xml:space="preserve">to the fact that the missions are </w:t>
      </w:r>
      <w:r w:rsidR="00045BCE" w:rsidRPr="002574EC">
        <w:rPr>
          <w:shd w:val="clear" w:color="auto" w:fill="FFFFFF"/>
        </w:rPr>
        <w:t xml:space="preserve">limited </w:t>
      </w:r>
      <w:r w:rsidR="00554B7C" w:rsidRPr="002574EC">
        <w:rPr>
          <w:shd w:val="clear" w:color="auto" w:fill="FFFFFF"/>
        </w:rPr>
        <w:t xml:space="preserve">to </w:t>
      </w:r>
      <w:r w:rsidR="003C5E32" w:rsidRPr="002574EC">
        <w:rPr>
          <w:shd w:val="clear" w:color="auto" w:fill="FFFFFF"/>
        </w:rPr>
        <w:t xml:space="preserve">giving out </w:t>
      </w:r>
      <w:r w:rsidR="008637CB" w:rsidRPr="002574EC">
        <w:rPr>
          <w:shd w:val="clear" w:color="auto" w:fill="FFFFFF"/>
        </w:rPr>
        <w:t>bags of food and permanent vouchers.</w:t>
      </w:r>
      <w:r w:rsidR="00D24896" w:rsidRPr="002574EC">
        <w:rPr>
          <w:rStyle w:val="FootnoteReference"/>
          <w:color w:val="000000"/>
          <w:shd w:val="clear" w:color="auto" w:fill="FFFFFF"/>
        </w:rPr>
        <w:footnoteReference w:id="300"/>
      </w:r>
      <w:r w:rsidR="00D24896" w:rsidRPr="002574EC">
        <w:rPr>
          <w:shd w:val="clear" w:color="auto" w:fill="FFFFFF"/>
        </w:rPr>
        <w:t xml:space="preserve"> </w:t>
      </w:r>
    </w:p>
    <w:p w14:paraId="19D5A430" w14:textId="77777777" w:rsidR="00D24896" w:rsidRPr="002574EC" w:rsidRDefault="00D24896" w:rsidP="00E07D06">
      <w:pPr>
        <w:ind w:left="426" w:hanging="426"/>
        <w:jc w:val="both"/>
        <w:rPr>
          <w:rFonts w:ascii="Cambria" w:hAnsi="Cambria"/>
          <w:color w:val="000000"/>
          <w:sz w:val="20"/>
          <w:szCs w:val="20"/>
          <w:shd w:val="clear" w:color="auto" w:fill="FFFFFF"/>
        </w:rPr>
      </w:pPr>
    </w:p>
    <w:p w14:paraId="34087937" w14:textId="2B4B9661" w:rsidR="00D24896" w:rsidRPr="002574EC" w:rsidRDefault="00FB026F" w:rsidP="00F85814">
      <w:pPr>
        <w:pStyle w:val="ListParagraph"/>
      </w:pPr>
      <w:r w:rsidRPr="002574EC">
        <w:rPr>
          <w:shd w:val="clear" w:color="auto" w:fill="FFFFFF"/>
        </w:rPr>
        <w:t xml:space="preserve">Further exacerbating </w:t>
      </w:r>
      <w:r w:rsidR="00C644C3" w:rsidRPr="002574EC">
        <w:rPr>
          <w:shd w:val="clear" w:color="auto" w:fill="FFFFFF"/>
        </w:rPr>
        <w:t xml:space="preserve">the programs described above </w:t>
      </w:r>
      <w:r w:rsidRPr="002574EC">
        <w:rPr>
          <w:shd w:val="clear" w:color="auto" w:fill="FFFFFF"/>
        </w:rPr>
        <w:t>are the</w:t>
      </w:r>
      <w:r w:rsidR="00AF2D0D" w:rsidRPr="002574EC">
        <w:rPr>
          <w:shd w:val="clear" w:color="auto" w:fill="FFFFFF"/>
        </w:rPr>
        <w:t xml:space="preserve"> </w:t>
      </w:r>
      <w:r w:rsidR="00F8236E" w:rsidRPr="002574EC">
        <w:rPr>
          <w:shd w:val="clear" w:color="auto" w:fill="FFFFFF"/>
        </w:rPr>
        <w:t xml:space="preserve">constant reports of </w:t>
      </w:r>
      <w:r w:rsidR="007A5B6C" w:rsidRPr="002574EC">
        <w:rPr>
          <w:shd w:val="clear" w:color="auto" w:fill="FFFFFF"/>
        </w:rPr>
        <w:t>politiciz</w:t>
      </w:r>
      <w:r w:rsidR="0006405E" w:rsidRPr="002574EC">
        <w:rPr>
          <w:shd w:val="clear" w:color="auto" w:fill="FFFFFF"/>
        </w:rPr>
        <w:t>ing</w:t>
      </w:r>
      <w:r w:rsidR="00890A28" w:rsidRPr="002574EC">
        <w:rPr>
          <w:shd w:val="clear" w:color="auto" w:fill="FFFFFF"/>
        </w:rPr>
        <w:t xml:space="preserve"> the process of granting this aid or subsidies</w:t>
      </w:r>
      <w:r w:rsidR="00655AB7" w:rsidRPr="002574EC">
        <w:rPr>
          <w:shd w:val="clear" w:color="auto" w:fill="FFFFFF"/>
        </w:rPr>
        <w:t xml:space="preserve"> and, </w:t>
      </w:r>
      <w:r w:rsidR="0006405E" w:rsidRPr="002574EC">
        <w:rPr>
          <w:shd w:val="clear" w:color="auto" w:fill="FFFFFF"/>
        </w:rPr>
        <w:t>therefore</w:t>
      </w:r>
      <w:r w:rsidR="00655AB7" w:rsidRPr="002574EC">
        <w:rPr>
          <w:shd w:val="clear" w:color="auto" w:fill="FFFFFF"/>
        </w:rPr>
        <w:t xml:space="preserve">, they are </w:t>
      </w:r>
      <w:r w:rsidR="00F5449E" w:rsidRPr="002574EC">
        <w:rPr>
          <w:shd w:val="clear" w:color="auto" w:fill="FFFFFF"/>
        </w:rPr>
        <w:t xml:space="preserve">viewed </w:t>
      </w:r>
      <w:r w:rsidR="00655AB7" w:rsidRPr="002574EC">
        <w:rPr>
          <w:shd w:val="clear" w:color="auto" w:fill="FFFFFF"/>
        </w:rPr>
        <w:t>as a means of political and social control.</w:t>
      </w:r>
      <w:r w:rsidR="00D24896" w:rsidRPr="002574EC">
        <w:rPr>
          <w:rStyle w:val="FootnoteReference"/>
        </w:rPr>
        <w:footnoteReference w:id="301"/>
      </w:r>
      <w:r w:rsidR="00655AB7" w:rsidRPr="002574EC">
        <w:t xml:space="preserve"> </w:t>
      </w:r>
      <w:r w:rsidR="00D24896" w:rsidRPr="002574EC">
        <w:t xml:space="preserve"> </w:t>
      </w:r>
      <w:r w:rsidR="00FC0643" w:rsidRPr="002574EC">
        <w:t>Thus</w:t>
      </w:r>
      <w:r w:rsidR="0027372A" w:rsidRPr="002574EC">
        <w:t>, assistance is targeted to people who support the ex</w:t>
      </w:r>
      <w:r w:rsidR="0092590E" w:rsidRPr="002574EC">
        <w:t>e</w:t>
      </w:r>
      <w:r w:rsidR="0027372A" w:rsidRPr="002574EC">
        <w:t xml:space="preserve">cutive branch </w:t>
      </w:r>
      <w:r w:rsidR="00475CEE" w:rsidRPr="002574EC">
        <w:t xml:space="preserve">regime </w:t>
      </w:r>
      <w:r w:rsidR="0027372A" w:rsidRPr="002574EC">
        <w:t>and it is used to ensure the political support of the beneficiaries.  This creates a false sense of security regarding government actions</w:t>
      </w:r>
      <w:r w:rsidR="001B3DA0" w:rsidRPr="002574EC">
        <w:t>.</w:t>
      </w:r>
      <w:r w:rsidR="00D24896" w:rsidRPr="002574EC">
        <w:rPr>
          <w:rStyle w:val="FootnoteReference"/>
          <w:color w:val="000000"/>
        </w:rPr>
        <w:footnoteReference w:id="302"/>
      </w:r>
      <w:r w:rsidR="001B3DA0" w:rsidRPr="002574EC">
        <w:t xml:space="preserve"> On this score, the Commission and the Special Rapporteur on ESCE</w:t>
      </w:r>
      <w:r w:rsidR="00796EC2" w:rsidRPr="002574EC">
        <w:t xml:space="preserve"> rights</w:t>
      </w:r>
      <w:r w:rsidR="001B3DA0" w:rsidRPr="002574EC">
        <w:t xml:space="preserve"> emphasize </w:t>
      </w:r>
      <w:r w:rsidR="00987B47" w:rsidRPr="002574EC">
        <w:t xml:space="preserve">that </w:t>
      </w:r>
      <w:r w:rsidR="00E6131C" w:rsidRPr="002574EC">
        <w:t xml:space="preserve">the existence of these programs is </w:t>
      </w:r>
      <w:r w:rsidR="00125A68" w:rsidRPr="002574EC">
        <w:t xml:space="preserve">of paramount </w:t>
      </w:r>
      <w:r w:rsidR="00E6131C" w:rsidRPr="002574EC">
        <w:t>importan</w:t>
      </w:r>
      <w:r w:rsidR="00826D1F" w:rsidRPr="002574EC">
        <w:t>ce</w:t>
      </w:r>
      <w:r w:rsidR="00E6131C" w:rsidRPr="002574EC">
        <w:t xml:space="preserve"> to address the grave economic and social situation of the population; however, they also stress that </w:t>
      </w:r>
      <w:r w:rsidR="0093407D" w:rsidRPr="002574EC">
        <w:t>in order to be effective</w:t>
      </w:r>
      <w:r w:rsidR="00E83D6C" w:rsidRPr="002574EC">
        <w:t>,</w:t>
      </w:r>
      <w:r w:rsidR="0093407D" w:rsidRPr="002574EC">
        <w:t xml:space="preserve"> the subsidies and supports must be granted without any discrimination.</w:t>
      </w:r>
    </w:p>
    <w:p w14:paraId="441EFA2A" w14:textId="77777777" w:rsidR="00D24896" w:rsidRPr="002574EC" w:rsidRDefault="00D24896" w:rsidP="00E07D06">
      <w:pPr>
        <w:ind w:left="426" w:hanging="426"/>
        <w:jc w:val="both"/>
        <w:rPr>
          <w:rFonts w:ascii="Cambria" w:hAnsi="Cambria"/>
          <w:sz w:val="20"/>
          <w:szCs w:val="20"/>
        </w:rPr>
      </w:pPr>
    </w:p>
    <w:p w14:paraId="736FE629" w14:textId="4BDF1C9E" w:rsidR="00D24896" w:rsidRPr="002574EC" w:rsidRDefault="00BA19AC" w:rsidP="00F85814">
      <w:pPr>
        <w:pStyle w:val="ListParagraph"/>
      </w:pPr>
      <w:r w:rsidRPr="002574EC">
        <w:t xml:space="preserve">In relation to the right to education, in the view of the Commission and the REDESCA, two matters </w:t>
      </w:r>
      <w:r w:rsidR="00C4476A" w:rsidRPr="002574EC">
        <w:t xml:space="preserve">are </w:t>
      </w:r>
      <w:r w:rsidRPr="002574EC">
        <w:t>of particular concern</w:t>
      </w:r>
      <w:r w:rsidR="00CD1746" w:rsidRPr="002574EC">
        <w:t>. O</w:t>
      </w:r>
      <w:r w:rsidRPr="002574EC">
        <w:t>n the one hand, the progressive deterioration of the Venezuelan education system and</w:t>
      </w:r>
      <w:r w:rsidR="008E42A9" w:rsidRPr="002574EC">
        <w:t>, on the other hand,</w:t>
      </w:r>
      <w:r w:rsidRPr="002574EC">
        <w:t xml:space="preserve"> the heavy impact of the pandemic on </w:t>
      </w:r>
      <w:r w:rsidR="005C2105" w:rsidRPr="002574EC">
        <w:t>the guarantee of this right for children and adolescents in the country</w:t>
      </w:r>
      <w:r w:rsidR="00422BA3" w:rsidRPr="002574EC">
        <w:t>, which has led to a significant decre</w:t>
      </w:r>
      <w:r w:rsidR="00C96F51" w:rsidRPr="002574EC">
        <w:t>a</w:t>
      </w:r>
      <w:r w:rsidR="00422BA3" w:rsidRPr="002574EC">
        <w:t xml:space="preserve">se in education coverage rates </w:t>
      </w:r>
      <w:r w:rsidR="0003299F" w:rsidRPr="002574EC">
        <w:t xml:space="preserve">of all ages, but especially </w:t>
      </w:r>
      <w:r w:rsidR="00CD1746" w:rsidRPr="002574EC">
        <w:t xml:space="preserve">in </w:t>
      </w:r>
      <w:r w:rsidR="0003299F" w:rsidRPr="002574EC">
        <w:t>primary and higher education.</w:t>
      </w:r>
      <w:r w:rsidR="00D24896" w:rsidRPr="002574EC">
        <w:rPr>
          <w:rStyle w:val="FootnoteReference"/>
          <w:color w:val="000000"/>
        </w:rPr>
        <w:footnoteReference w:id="303"/>
      </w:r>
      <w:r w:rsidR="00C96F51" w:rsidRPr="002574EC">
        <w:t xml:space="preserve"> </w:t>
      </w:r>
      <w:r w:rsidR="00D24896" w:rsidRPr="002574EC">
        <w:t xml:space="preserve"> </w:t>
      </w:r>
      <w:r w:rsidR="00454588" w:rsidRPr="002574EC">
        <w:t>Additionally</w:t>
      </w:r>
      <w:r w:rsidR="0069427C" w:rsidRPr="002574EC">
        <w:t xml:space="preserve">, </w:t>
      </w:r>
      <w:r w:rsidR="004B76E8" w:rsidRPr="002574EC">
        <w:t xml:space="preserve">working </w:t>
      </w:r>
      <w:r w:rsidR="0069427C" w:rsidRPr="002574EC">
        <w:t xml:space="preserve">conditions for </w:t>
      </w:r>
      <w:r w:rsidR="006B32D5" w:rsidRPr="002574EC">
        <w:t xml:space="preserve">the </w:t>
      </w:r>
      <w:r w:rsidR="0069427C" w:rsidRPr="002574EC">
        <w:t>education workers of the country</w:t>
      </w:r>
      <w:r w:rsidR="00D20102" w:rsidRPr="002574EC">
        <w:t xml:space="preserve"> are precarious and the protection of academic freedom and </w:t>
      </w:r>
      <w:r w:rsidR="001577B8" w:rsidRPr="002574EC">
        <w:t xml:space="preserve">university </w:t>
      </w:r>
      <w:r w:rsidR="00D20102" w:rsidRPr="002574EC">
        <w:t xml:space="preserve">autonomy are under constant threat. </w:t>
      </w:r>
    </w:p>
    <w:p w14:paraId="26DDA8FC" w14:textId="77777777" w:rsidR="00D24896" w:rsidRPr="002574EC" w:rsidRDefault="00D24896" w:rsidP="00E07D06">
      <w:pPr>
        <w:ind w:left="426" w:hanging="426"/>
        <w:jc w:val="both"/>
        <w:rPr>
          <w:rFonts w:ascii="Cambria" w:hAnsi="Cambria"/>
          <w:sz w:val="20"/>
          <w:szCs w:val="20"/>
        </w:rPr>
      </w:pPr>
    </w:p>
    <w:p w14:paraId="20A88937" w14:textId="4E8F7A08" w:rsidR="00D24896" w:rsidRPr="002574EC" w:rsidRDefault="004A7D5B" w:rsidP="00F85814">
      <w:pPr>
        <w:pStyle w:val="ListParagraph"/>
        <w:rPr>
          <w:rFonts w:eastAsiaTheme="minorEastAsia"/>
        </w:rPr>
      </w:pPr>
      <w:r w:rsidRPr="002574EC">
        <w:lastRenderedPageBreak/>
        <w:t>Firstly, it</w:t>
      </w:r>
      <w:r w:rsidR="00151FEE" w:rsidRPr="002574EC">
        <w:t xml:space="preserve"> must be pointed out that children and adolescents </w:t>
      </w:r>
      <w:r w:rsidR="001416BB" w:rsidRPr="002574EC">
        <w:t xml:space="preserve">were deprived of the protection of the right to </w:t>
      </w:r>
      <w:r w:rsidR="00474EA9" w:rsidRPr="002574EC">
        <w:t>education in the context of the pandemic</w:t>
      </w:r>
      <w:r w:rsidR="005A7A4B" w:rsidRPr="002574EC">
        <w:t xml:space="preserve"> </w:t>
      </w:r>
      <w:r w:rsidR="00302389" w:rsidRPr="002574EC">
        <w:t xml:space="preserve">while the material conditions were not in place to ensure </w:t>
      </w:r>
      <w:r w:rsidR="00354213" w:rsidRPr="002574EC">
        <w:t xml:space="preserve">that right through virtual or remote classes, </w:t>
      </w:r>
      <w:r w:rsidR="00071E40" w:rsidRPr="002574EC">
        <w:t xml:space="preserve">particularly in view of </w:t>
      </w:r>
      <w:r w:rsidR="005A7A4B" w:rsidRPr="002574EC">
        <w:t xml:space="preserve">the </w:t>
      </w:r>
      <w:r w:rsidR="00071E40" w:rsidRPr="002574EC">
        <w:t>lack of connectivity</w:t>
      </w:r>
      <w:r w:rsidR="000F42EC" w:rsidRPr="002574EC">
        <w:t xml:space="preserve">, constant </w:t>
      </w:r>
      <w:r w:rsidR="00615A04" w:rsidRPr="002574EC">
        <w:t>power outages and widespread poverty</w:t>
      </w:r>
      <w:r w:rsidR="00921EDB" w:rsidRPr="002574EC">
        <w:t xml:space="preserve">, which strips </w:t>
      </w:r>
      <w:r w:rsidR="006F22B3" w:rsidRPr="002574EC">
        <w:t xml:space="preserve">teachers and students alike </w:t>
      </w:r>
      <w:r w:rsidR="009C3240" w:rsidRPr="002574EC">
        <w:t xml:space="preserve">of </w:t>
      </w:r>
      <w:r w:rsidR="007764AF" w:rsidRPr="002574EC">
        <w:t xml:space="preserve">the </w:t>
      </w:r>
      <w:r w:rsidR="009C3240" w:rsidRPr="002574EC">
        <w:t xml:space="preserve">access to the means of virtually connecting to each other. </w:t>
      </w:r>
      <w:r w:rsidR="007A0F64" w:rsidRPr="002574EC">
        <w:t xml:space="preserve"> Thus, as of September</w:t>
      </w:r>
      <w:r w:rsidR="00D24896" w:rsidRPr="002574EC">
        <w:t xml:space="preserve"> 2021, </w:t>
      </w:r>
      <w:r w:rsidR="007A0F64" w:rsidRPr="002574EC">
        <w:t xml:space="preserve">the </w:t>
      </w:r>
      <w:r w:rsidR="00D24896" w:rsidRPr="002574EC">
        <w:t xml:space="preserve">REDESCA </w:t>
      </w:r>
      <w:r w:rsidR="007A0F64" w:rsidRPr="002574EC">
        <w:t xml:space="preserve">takes note </w:t>
      </w:r>
      <w:r w:rsidR="00DF630E" w:rsidRPr="002574EC">
        <w:t xml:space="preserve">that </w:t>
      </w:r>
      <w:r w:rsidR="007A0F64" w:rsidRPr="002574EC">
        <w:t xml:space="preserve">the </w:t>
      </w:r>
      <w:r w:rsidR="00045D58" w:rsidRPr="002574EC">
        <w:t xml:space="preserve">school closure </w:t>
      </w:r>
      <w:r w:rsidR="00DF679F" w:rsidRPr="002574EC">
        <w:t xml:space="preserve">ordered by decree </w:t>
      </w:r>
      <w:r w:rsidR="00DF630E" w:rsidRPr="002574EC">
        <w:t>since March 2020</w:t>
      </w:r>
      <w:r w:rsidR="00B63193" w:rsidRPr="002574EC">
        <w:t xml:space="preserve"> </w:t>
      </w:r>
      <w:r w:rsidR="00556FC3" w:rsidRPr="002574EC">
        <w:t xml:space="preserve">is a major factor contributing to the low </w:t>
      </w:r>
      <w:r w:rsidR="007E42FD" w:rsidRPr="002574EC">
        <w:t xml:space="preserve">coverage </w:t>
      </w:r>
      <w:r w:rsidR="00BE12F2" w:rsidRPr="002574EC">
        <w:t xml:space="preserve">of education </w:t>
      </w:r>
      <w:r w:rsidR="007E42FD" w:rsidRPr="002574EC">
        <w:t xml:space="preserve">for students </w:t>
      </w:r>
      <w:r w:rsidR="00D233A0" w:rsidRPr="002574EC">
        <w:t xml:space="preserve">ages </w:t>
      </w:r>
      <w:r w:rsidR="007E42FD" w:rsidRPr="002574EC">
        <w:t>3 to 24, which in 2021 is reported</w:t>
      </w:r>
      <w:r w:rsidR="00005920" w:rsidRPr="002574EC">
        <w:t>ly</w:t>
      </w:r>
      <w:r w:rsidR="007E42FD" w:rsidRPr="002574EC">
        <w:t xml:space="preserve"> 65%.</w:t>
      </w:r>
      <w:r w:rsidR="00D24896" w:rsidRPr="002574EC">
        <w:rPr>
          <w:rStyle w:val="FootnoteReference"/>
        </w:rPr>
        <w:footnoteReference w:id="304"/>
      </w:r>
      <w:r w:rsidR="00C621A8" w:rsidRPr="002574EC">
        <w:t xml:space="preserve"> Likewise, </w:t>
      </w:r>
      <w:r w:rsidR="00B5400C" w:rsidRPr="002574EC">
        <w:t xml:space="preserve">it notes that the public university </w:t>
      </w:r>
      <w:r w:rsidR="00AB6083" w:rsidRPr="002574EC">
        <w:t xml:space="preserve">system </w:t>
      </w:r>
      <w:r w:rsidR="0049165E" w:rsidRPr="002574EC">
        <w:t xml:space="preserve">does not have the capacity to incorporate </w:t>
      </w:r>
      <w:r w:rsidR="001A7530" w:rsidRPr="002574EC">
        <w:t>the</w:t>
      </w:r>
      <w:r w:rsidR="0049165E" w:rsidRPr="002574EC">
        <w:t xml:space="preserve"> considerable number of students </w:t>
      </w:r>
      <w:r w:rsidR="00F144D8" w:rsidRPr="002574EC">
        <w:t xml:space="preserve">who are transferring </w:t>
      </w:r>
      <w:r w:rsidR="000F3BA1" w:rsidRPr="002574EC">
        <w:t xml:space="preserve">into the public system </w:t>
      </w:r>
      <w:r w:rsidR="00F144D8" w:rsidRPr="002574EC">
        <w:t>from private institutions.</w:t>
      </w:r>
      <w:r w:rsidR="00D24896" w:rsidRPr="002574EC">
        <w:rPr>
          <w:rStyle w:val="FootnoteReference"/>
        </w:rPr>
        <w:footnoteReference w:id="305"/>
      </w:r>
      <w:r w:rsidR="00D24896" w:rsidRPr="002574EC">
        <w:t xml:space="preserve"> </w:t>
      </w:r>
    </w:p>
    <w:p w14:paraId="7CA4C943" w14:textId="77777777" w:rsidR="00D24896" w:rsidRPr="002574EC" w:rsidRDefault="00D24896" w:rsidP="00E07D06">
      <w:pPr>
        <w:ind w:left="426" w:hanging="426"/>
        <w:jc w:val="both"/>
        <w:rPr>
          <w:rFonts w:ascii="Cambria" w:eastAsia="Cambria" w:hAnsi="Cambria" w:cs="Cambria"/>
          <w:color w:val="000000" w:themeColor="text1"/>
          <w:sz w:val="20"/>
          <w:szCs w:val="20"/>
        </w:rPr>
      </w:pPr>
    </w:p>
    <w:p w14:paraId="58C9F7B7" w14:textId="34455F00" w:rsidR="00D24896" w:rsidRPr="002574EC" w:rsidRDefault="00045EBA" w:rsidP="00F85814">
      <w:pPr>
        <w:pStyle w:val="ListParagraph"/>
        <w:rPr>
          <w:rFonts w:eastAsiaTheme="minorEastAsia"/>
        </w:rPr>
      </w:pPr>
      <w:r w:rsidRPr="002574EC">
        <w:t>Notwithstanding, the</w:t>
      </w:r>
      <w:r w:rsidR="00D24896" w:rsidRPr="002574EC">
        <w:t xml:space="preserve"> REDESCA </w:t>
      </w:r>
      <w:r w:rsidRPr="002574EC">
        <w:t xml:space="preserve">welcomes the call to return to </w:t>
      </w:r>
      <w:r w:rsidR="00C41A21" w:rsidRPr="002574EC">
        <w:t xml:space="preserve">in-person classes </w:t>
      </w:r>
      <w:r w:rsidR="00D6415D" w:rsidRPr="002574EC">
        <w:t>beginning in late October.</w:t>
      </w:r>
      <w:r w:rsidR="00D24896" w:rsidRPr="002574EC">
        <w:rPr>
          <w:rStyle w:val="FootnoteReference"/>
        </w:rPr>
        <w:footnoteReference w:id="306"/>
      </w:r>
      <w:r w:rsidR="00EE50F4" w:rsidRPr="002574EC">
        <w:t xml:space="preserve"> However</w:t>
      </w:r>
      <w:r w:rsidR="00784CAE" w:rsidRPr="002574EC">
        <w:t xml:space="preserve">, with a mind toward </w:t>
      </w:r>
      <w:r w:rsidR="00680198" w:rsidRPr="002574EC">
        <w:t xml:space="preserve">guaranteeing </w:t>
      </w:r>
      <w:r w:rsidR="002D3E80" w:rsidRPr="002574EC">
        <w:t xml:space="preserve">the right </w:t>
      </w:r>
      <w:r w:rsidR="00651001" w:rsidRPr="002574EC">
        <w:t xml:space="preserve">to education and a safe return, the Commission and the Special Rapporteurship </w:t>
      </w:r>
      <w:r w:rsidR="00051878" w:rsidRPr="002574EC">
        <w:t xml:space="preserve">issue an emphatic appeal to take all necessary biosafety precautions </w:t>
      </w:r>
      <w:r w:rsidR="00C9358D" w:rsidRPr="002574EC">
        <w:t xml:space="preserve">to ensure the protection of education institution staff and children and adolescents, as well as </w:t>
      </w:r>
      <w:r w:rsidR="00183BB6" w:rsidRPr="002574EC">
        <w:t xml:space="preserve">to </w:t>
      </w:r>
      <w:r w:rsidR="008F6B40" w:rsidRPr="002574EC">
        <w:t>adapt education facilities</w:t>
      </w:r>
      <w:r w:rsidR="0009093C" w:rsidRPr="002574EC">
        <w:t xml:space="preserve"> accordingly</w:t>
      </w:r>
      <w:r w:rsidR="008F6B40" w:rsidRPr="002574EC">
        <w:t xml:space="preserve">, including </w:t>
      </w:r>
      <w:r w:rsidR="00C02523" w:rsidRPr="002574EC">
        <w:t xml:space="preserve">to provide </w:t>
      </w:r>
      <w:r w:rsidR="008C28C9" w:rsidRPr="002574EC">
        <w:t>effective and continual  water and electricity, and to</w:t>
      </w:r>
      <w:r w:rsidR="0028594C" w:rsidRPr="002574EC">
        <w:t xml:space="preserve"> ensure adequate staffing</w:t>
      </w:r>
      <w:r w:rsidR="0049688E" w:rsidRPr="002574EC">
        <w:t xml:space="preserve">, </w:t>
      </w:r>
      <w:r w:rsidR="003A4429" w:rsidRPr="002574EC">
        <w:t xml:space="preserve">for whom </w:t>
      </w:r>
      <w:r w:rsidR="0049688E" w:rsidRPr="002574EC">
        <w:t xml:space="preserve">working conditions </w:t>
      </w:r>
      <w:r w:rsidR="005F65C1" w:rsidRPr="002574EC">
        <w:t>must be</w:t>
      </w:r>
      <w:r w:rsidR="0049688E" w:rsidRPr="002574EC">
        <w:t xml:space="preserve"> decent</w:t>
      </w:r>
      <w:r w:rsidR="00D24896" w:rsidRPr="002574EC">
        <w:t xml:space="preserve">. </w:t>
      </w:r>
      <w:r w:rsidR="008A5DFD" w:rsidRPr="002574EC">
        <w:t xml:space="preserve">In this regard, as </w:t>
      </w:r>
      <w:r w:rsidR="005A11EE" w:rsidRPr="002574EC">
        <w:t xml:space="preserve">has been established by </w:t>
      </w:r>
      <w:r w:rsidR="008A5DFD" w:rsidRPr="002574EC">
        <w:t xml:space="preserve">the </w:t>
      </w:r>
      <w:r w:rsidR="005F65C1" w:rsidRPr="002574EC">
        <w:t>C</w:t>
      </w:r>
      <w:r w:rsidR="008A5DFD" w:rsidRPr="002574EC">
        <w:t xml:space="preserve">ESCR, in order to guarantee </w:t>
      </w:r>
      <w:r w:rsidR="004A2376" w:rsidRPr="002574EC">
        <w:t>the right to education</w:t>
      </w:r>
      <w:r w:rsidR="00F01313" w:rsidRPr="002574EC">
        <w:t xml:space="preserve">, States must </w:t>
      </w:r>
      <w:r w:rsidR="00902F79" w:rsidRPr="002574EC">
        <w:t xml:space="preserve">take care to ensure availability, accessibility, </w:t>
      </w:r>
      <w:r w:rsidR="00AF1613" w:rsidRPr="002574EC">
        <w:t xml:space="preserve">acceptability and adaptability, </w:t>
      </w:r>
      <w:r w:rsidR="005A11EE" w:rsidRPr="002574EC">
        <w:t xml:space="preserve">while taking </w:t>
      </w:r>
      <w:r w:rsidR="00AF1613" w:rsidRPr="002574EC">
        <w:t xml:space="preserve">into </w:t>
      </w:r>
      <w:r w:rsidR="00CE42F6" w:rsidRPr="002574EC">
        <w:t xml:space="preserve">account the bests interests of the students </w:t>
      </w:r>
      <w:r w:rsidR="00584E50" w:rsidRPr="002574EC">
        <w:t xml:space="preserve">in order </w:t>
      </w:r>
      <w:r w:rsidR="006C2C16" w:rsidRPr="002574EC">
        <w:t>for these pri</w:t>
      </w:r>
      <w:r w:rsidR="00316356" w:rsidRPr="002574EC">
        <w:t>n</w:t>
      </w:r>
      <w:r w:rsidR="006C2C16" w:rsidRPr="002574EC">
        <w:t>ciples to</w:t>
      </w:r>
      <w:r w:rsidR="005F65C1" w:rsidRPr="002574EC">
        <w:t xml:space="preserve"> be appropriately applied.</w:t>
      </w:r>
      <w:r w:rsidR="00D24896" w:rsidRPr="002574EC">
        <w:rPr>
          <w:rStyle w:val="FootnoteReference"/>
        </w:rPr>
        <w:footnoteReference w:id="307"/>
      </w:r>
    </w:p>
    <w:p w14:paraId="5731025E" w14:textId="77777777" w:rsidR="00D24896" w:rsidRPr="002574EC" w:rsidRDefault="00D24896" w:rsidP="00E07D06">
      <w:pPr>
        <w:ind w:left="426" w:hanging="426"/>
        <w:jc w:val="both"/>
        <w:rPr>
          <w:rFonts w:ascii="Cambria" w:hAnsi="Cambria"/>
          <w:sz w:val="20"/>
          <w:szCs w:val="20"/>
        </w:rPr>
      </w:pPr>
      <w:r w:rsidRPr="002574EC">
        <w:rPr>
          <w:rFonts w:ascii="Cambria" w:hAnsi="Cambria"/>
          <w:color w:val="000000"/>
          <w:sz w:val="20"/>
          <w:szCs w:val="20"/>
        </w:rPr>
        <w:t xml:space="preserve"> </w:t>
      </w:r>
    </w:p>
    <w:p w14:paraId="174FEABB" w14:textId="69EC56C3" w:rsidR="00D24896" w:rsidRPr="002574EC" w:rsidRDefault="00FC0255" w:rsidP="00F85814">
      <w:pPr>
        <w:pStyle w:val="ListParagraph"/>
      </w:pPr>
      <w:r w:rsidRPr="002574EC">
        <w:t xml:space="preserve">Secondly, </w:t>
      </w:r>
      <w:r w:rsidR="00317D0D" w:rsidRPr="002574EC">
        <w:t>regarding</w:t>
      </w:r>
      <w:r w:rsidR="00635EDE" w:rsidRPr="002574EC">
        <w:t xml:space="preserve"> academic freedom, the Commission and the</w:t>
      </w:r>
      <w:r w:rsidR="00D24896" w:rsidRPr="002574EC">
        <w:t xml:space="preserve"> REDESCA </w:t>
      </w:r>
      <w:r w:rsidR="003D11CA" w:rsidRPr="002574EC">
        <w:t xml:space="preserve">note that the political situation of the country continues to </w:t>
      </w:r>
      <w:r w:rsidR="006E25AD" w:rsidRPr="002574EC">
        <w:t xml:space="preserve">weigh </w:t>
      </w:r>
      <w:r w:rsidR="003D11CA" w:rsidRPr="002574EC">
        <w:t xml:space="preserve">heavily </w:t>
      </w:r>
      <w:r w:rsidR="006E25AD" w:rsidRPr="002574EC">
        <w:t xml:space="preserve">on </w:t>
      </w:r>
      <w:r w:rsidR="00B03263" w:rsidRPr="002574EC">
        <w:t>the proper guarantee</w:t>
      </w:r>
      <w:r w:rsidR="00232255" w:rsidRPr="002574EC">
        <w:t xml:space="preserve"> of this right</w:t>
      </w:r>
      <w:r w:rsidR="00B03263" w:rsidRPr="002574EC">
        <w:t xml:space="preserve">.  </w:t>
      </w:r>
      <w:r w:rsidR="00A6119C" w:rsidRPr="002574EC">
        <w:t>On this score</w:t>
      </w:r>
      <w:r w:rsidR="00B03263" w:rsidRPr="002574EC">
        <w:t xml:space="preserve">, in 2021, reports continued to come in about </w:t>
      </w:r>
      <w:r w:rsidR="002040E1" w:rsidRPr="002574EC">
        <w:t>persecution and arb</w:t>
      </w:r>
      <w:r w:rsidR="009611AF" w:rsidRPr="002574EC">
        <w:t>i</w:t>
      </w:r>
      <w:r w:rsidR="002040E1" w:rsidRPr="002574EC">
        <w:t>trary detention</w:t>
      </w:r>
      <w:r w:rsidR="00060C92" w:rsidRPr="002574EC">
        <w:t>s</w:t>
      </w:r>
      <w:r w:rsidR="002040E1" w:rsidRPr="002574EC">
        <w:t xml:space="preserve"> of </w:t>
      </w:r>
      <w:r w:rsidR="00262DA1" w:rsidRPr="002574EC">
        <w:t xml:space="preserve">students and academic community members for political reasons, alongside </w:t>
      </w:r>
      <w:r w:rsidR="007E39C7" w:rsidRPr="002574EC">
        <w:t xml:space="preserve">regressive measures relating to autonomy of universities and working conditions of faculty, </w:t>
      </w:r>
      <w:r w:rsidR="005A30B8" w:rsidRPr="002574EC">
        <w:t xml:space="preserve">which continue to </w:t>
      </w:r>
      <w:r w:rsidR="002C4E83" w:rsidRPr="002574EC">
        <w:t xml:space="preserve">make their </w:t>
      </w:r>
      <w:r w:rsidR="00952A25" w:rsidRPr="002574EC">
        <w:t xml:space="preserve">employment </w:t>
      </w:r>
      <w:r w:rsidR="002C4E83" w:rsidRPr="002574EC">
        <w:t>situation precarious.</w:t>
      </w:r>
      <w:r w:rsidR="00D24896" w:rsidRPr="002574EC">
        <w:t xml:space="preserve"> </w:t>
      </w:r>
      <w:r w:rsidR="00530EF7" w:rsidRPr="002574EC">
        <w:t xml:space="preserve">In this regard, it </w:t>
      </w:r>
      <w:r w:rsidR="00877A04" w:rsidRPr="002574EC">
        <w:t xml:space="preserve">should be noted that </w:t>
      </w:r>
      <w:r w:rsidR="00087F8A" w:rsidRPr="002574EC">
        <w:t xml:space="preserve">since 2000, restrictions on the right to freedom of association and of speech </w:t>
      </w:r>
      <w:r w:rsidR="00DD22C6" w:rsidRPr="002574EC">
        <w:t xml:space="preserve">in the university </w:t>
      </w:r>
      <w:r w:rsidR="00F02FE4" w:rsidRPr="002574EC">
        <w:t xml:space="preserve">setting </w:t>
      </w:r>
      <w:r w:rsidR="00384A6C" w:rsidRPr="002574EC">
        <w:t>have been reported.</w:t>
      </w:r>
      <w:r w:rsidR="00D24896" w:rsidRPr="002574EC">
        <w:rPr>
          <w:rStyle w:val="FootnoteReference"/>
        </w:rPr>
        <w:footnoteReference w:id="308"/>
      </w:r>
    </w:p>
    <w:p w14:paraId="2AC9685C" w14:textId="77777777" w:rsidR="00935B36" w:rsidRPr="002574EC" w:rsidRDefault="00935B36" w:rsidP="00935B36">
      <w:pPr>
        <w:pBdr>
          <w:top w:val="nil"/>
          <w:left w:val="nil"/>
          <w:bottom w:val="nil"/>
          <w:right w:val="nil"/>
          <w:between w:val="nil"/>
        </w:pBdr>
        <w:jc w:val="both"/>
        <w:rPr>
          <w:rFonts w:ascii="Cambria" w:hAnsi="Cambria"/>
          <w:sz w:val="20"/>
          <w:szCs w:val="20"/>
        </w:rPr>
      </w:pPr>
    </w:p>
    <w:p w14:paraId="6FECB50A" w14:textId="0EC0B983" w:rsidR="00D24896" w:rsidRPr="002574EC" w:rsidRDefault="00935B36" w:rsidP="00F85814">
      <w:pPr>
        <w:pStyle w:val="ListParagraph"/>
      </w:pPr>
      <w:r w:rsidRPr="002574EC">
        <w:t xml:space="preserve">In this context, </w:t>
      </w:r>
      <w:r w:rsidR="00412ED4" w:rsidRPr="002574EC">
        <w:t xml:space="preserve">which in itself </w:t>
      </w:r>
      <w:r w:rsidR="00525F47" w:rsidRPr="002574EC">
        <w:t xml:space="preserve">was already cause for concern to the IACHR and the REDESCA, </w:t>
      </w:r>
      <w:r w:rsidR="00961FD4" w:rsidRPr="002574EC">
        <w:t xml:space="preserve">there were </w:t>
      </w:r>
      <w:r w:rsidR="00525F47" w:rsidRPr="002574EC">
        <w:t xml:space="preserve">further reports of </w:t>
      </w:r>
      <w:r w:rsidR="00AE1A57" w:rsidRPr="002574EC">
        <w:t xml:space="preserve">assaults </w:t>
      </w:r>
      <w:r w:rsidR="00525F47" w:rsidRPr="002574EC">
        <w:t xml:space="preserve">on academic freedom and university autonomy </w:t>
      </w:r>
      <w:r w:rsidR="00961FD4" w:rsidRPr="002574EC">
        <w:t>in March 2021 in the country</w:t>
      </w:r>
      <w:r w:rsidR="006A6839" w:rsidRPr="002574EC">
        <w:t xml:space="preserve">.  </w:t>
      </w:r>
      <w:r w:rsidR="001819B8" w:rsidRPr="002574EC">
        <w:t>One of t</w:t>
      </w:r>
      <w:r w:rsidR="006A6839" w:rsidRPr="002574EC">
        <w:t xml:space="preserve">hese </w:t>
      </w:r>
      <w:r w:rsidR="00D12C55" w:rsidRPr="002574EC">
        <w:t xml:space="preserve">assaults </w:t>
      </w:r>
      <w:r w:rsidR="006A6839" w:rsidRPr="002574EC">
        <w:t>w</w:t>
      </w:r>
      <w:r w:rsidR="002E2F94" w:rsidRPr="002574EC">
        <w:t>as</w:t>
      </w:r>
      <w:r w:rsidR="006A6839" w:rsidRPr="002574EC">
        <w:t xml:space="preserve"> carried out through </w:t>
      </w:r>
      <w:r w:rsidR="0079476E" w:rsidRPr="002574EC">
        <w:t>an</w:t>
      </w:r>
      <w:r w:rsidR="006A6839" w:rsidRPr="002574EC">
        <w:t xml:space="preserve"> announcement </w:t>
      </w:r>
      <w:r w:rsidR="0079476E" w:rsidRPr="002574EC">
        <w:t>made by</w:t>
      </w:r>
      <w:r w:rsidR="006A6839" w:rsidRPr="002574EC">
        <w:t xml:space="preserve"> the University Sector Planning </w:t>
      </w:r>
      <w:r w:rsidR="00E23AED" w:rsidRPr="002574EC">
        <w:t>Office (OPSU)</w:t>
      </w:r>
      <w:r w:rsidR="003E034C" w:rsidRPr="002574EC">
        <w:t xml:space="preserve"> </w:t>
      </w:r>
      <w:r w:rsidR="00C022A3" w:rsidRPr="002574EC">
        <w:t xml:space="preserve">that </w:t>
      </w:r>
      <w:r w:rsidR="003E034C" w:rsidRPr="002574EC">
        <w:t xml:space="preserve">payment of </w:t>
      </w:r>
      <w:r w:rsidR="007B116D" w:rsidRPr="002574EC">
        <w:t>public university faculty and staff</w:t>
      </w:r>
      <w:r w:rsidR="005B3BE6" w:rsidRPr="002574EC">
        <w:t xml:space="preserve"> payroll </w:t>
      </w:r>
      <w:r w:rsidR="00931CBB" w:rsidRPr="002574EC">
        <w:t xml:space="preserve">would be </w:t>
      </w:r>
      <w:r w:rsidR="00872E81" w:rsidRPr="002574EC">
        <w:t>through the Homeland System (</w:t>
      </w:r>
      <w:r w:rsidR="00872E81" w:rsidRPr="002574EC">
        <w:rPr>
          <w:i/>
          <w:iCs/>
        </w:rPr>
        <w:t>Sistema Patria</w:t>
      </w:r>
      <w:r w:rsidR="00872E81" w:rsidRPr="002574EC">
        <w:t>)</w:t>
      </w:r>
      <w:r w:rsidR="00A82CC8" w:rsidRPr="002574EC">
        <w:t>.</w:t>
      </w:r>
      <w:r w:rsidR="00D24896" w:rsidRPr="002574EC">
        <w:rPr>
          <w:rStyle w:val="FootnoteReference"/>
        </w:rPr>
        <w:footnoteReference w:id="309"/>
      </w:r>
      <w:r w:rsidR="00D45839" w:rsidRPr="002574EC">
        <w:t xml:space="preserve"> </w:t>
      </w:r>
      <w:r w:rsidR="00A82CC8" w:rsidRPr="002574EC">
        <w:t>B</w:t>
      </w:r>
      <w:r w:rsidR="00502C92" w:rsidRPr="002574EC">
        <w:t xml:space="preserve">ecause this system </w:t>
      </w:r>
      <w:r w:rsidR="00D45839" w:rsidRPr="002574EC">
        <w:t xml:space="preserve">is directly associated with political factors, </w:t>
      </w:r>
      <w:r w:rsidR="002B794A" w:rsidRPr="002574EC">
        <w:t xml:space="preserve">it could become a tool of social control </w:t>
      </w:r>
      <w:r w:rsidR="00671487" w:rsidRPr="002574EC">
        <w:t xml:space="preserve">whereby retaliation </w:t>
      </w:r>
      <w:r w:rsidR="00E65488" w:rsidRPr="002574EC">
        <w:t xml:space="preserve">and measures are taken </w:t>
      </w:r>
      <w:r w:rsidR="00A0744E" w:rsidRPr="002574EC">
        <w:t>against</w:t>
      </w:r>
      <w:r w:rsidR="00E73121" w:rsidRPr="002574EC">
        <w:t xml:space="preserve"> university</w:t>
      </w:r>
      <w:r w:rsidR="00A0744E" w:rsidRPr="002574EC">
        <w:t xml:space="preserve"> faculty members and staff</w:t>
      </w:r>
      <w:r w:rsidR="00096B40" w:rsidRPr="002574EC">
        <w:t xml:space="preserve"> for political reasons</w:t>
      </w:r>
      <w:r w:rsidR="00D24896" w:rsidRPr="002574EC">
        <w:t>. </w:t>
      </w:r>
      <w:r w:rsidR="00DB6E49" w:rsidRPr="002574EC">
        <w:t xml:space="preserve">This decision </w:t>
      </w:r>
      <w:r w:rsidR="006919EF" w:rsidRPr="002574EC">
        <w:t xml:space="preserve">was put into practice </w:t>
      </w:r>
      <w:r w:rsidR="008535B4" w:rsidRPr="002574EC">
        <w:t>through direct deposit</w:t>
      </w:r>
      <w:r w:rsidR="008F55CB" w:rsidRPr="002574EC">
        <w:t xml:space="preserve">s from the Central Bank of Venezuela </w:t>
      </w:r>
      <w:r w:rsidR="004B1ABD" w:rsidRPr="002574EC">
        <w:t>in mid-March, which in addition to undermining the budget autonomy</w:t>
      </w:r>
      <w:r w:rsidR="008C4486" w:rsidRPr="002574EC">
        <w:t xml:space="preserve"> of public universi</w:t>
      </w:r>
      <w:r w:rsidR="00E35972" w:rsidRPr="002574EC">
        <w:t xml:space="preserve">ties, </w:t>
      </w:r>
      <w:r w:rsidR="000C515D" w:rsidRPr="002574EC">
        <w:t xml:space="preserve">it further erodes the already precarious economic situation of university staff. </w:t>
      </w:r>
      <w:r w:rsidR="004B1ABD" w:rsidRPr="002574EC">
        <w:t xml:space="preserve"> </w:t>
      </w:r>
    </w:p>
    <w:p w14:paraId="66EA27CF" w14:textId="77777777" w:rsidR="00D24896" w:rsidRPr="002574EC" w:rsidRDefault="00D24896" w:rsidP="002245EC">
      <w:pPr>
        <w:pStyle w:val="ListParagraph"/>
        <w:numPr>
          <w:ilvl w:val="0"/>
          <w:numId w:val="0"/>
        </w:numPr>
        <w:ind w:left="720"/>
      </w:pPr>
    </w:p>
    <w:p w14:paraId="40060EAF" w14:textId="265FEA76" w:rsidR="00D24896" w:rsidRPr="002574EC" w:rsidRDefault="008D3BCA" w:rsidP="00F85814">
      <w:pPr>
        <w:pStyle w:val="ListParagraph"/>
      </w:pPr>
      <w:r w:rsidRPr="002574EC">
        <w:lastRenderedPageBreak/>
        <w:t xml:space="preserve">Thus, </w:t>
      </w:r>
      <w:r w:rsidR="00BA481D" w:rsidRPr="002574EC">
        <w:t>in defiance of</w:t>
      </w:r>
      <w:r w:rsidRPr="002574EC">
        <w:t xml:space="preserve"> the right to a decent wage, the</w:t>
      </w:r>
      <w:r w:rsidR="00D24896" w:rsidRPr="002574EC">
        <w:t xml:space="preserve"> REDESCA </w:t>
      </w:r>
      <w:r w:rsidRPr="002574EC">
        <w:t xml:space="preserve">received information that the payments </w:t>
      </w:r>
      <w:r w:rsidR="000D0A6E" w:rsidRPr="002574EC">
        <w:t xml:space="preserve">were considerably lower than the low salaries </w:t>
      </w:r>
      <w:r w:rsidR="0088103C" w:rsidRPr="002574EC">
        <w:t xml:space="preserve">that faculty </w:t>
      </w:r>
      <w:r w:rsidR="008807A7" w:rsidRPr="002574EC">
        <w:t xml:space="preserve">had already been </w:t>
      </w:r>
      <w:r w:rsidR="0088103C" w:rsidRPr="002574EC">
        <w:t>receiving</w:t>
      </w:r>
      <w:r w:rsidR="00CD7AFA" w:rsidRPr="002574EC">
        <w:t xml:space="preserve"> in the first place</w:t>
      </w:r>
      <w:r w:rsidR="00FC479B" w:rsidRPr="002574EC">
        <w:t xml:space="preserve">, </w:t>
      </w:r>
      <w:r w:rsidR="00A813C3" w:rsidRPr="002574EC">
        <w:t xml:space="preserve">further </w:t>
      </w:r>
      <w:r w:rsidR="00CD1283" w:rsidRPr="002574EC">
        <w:t xml:space="preserve">eroding their economic wellbeing. </w:t>
      </w:r>
      <w:r w:rsidR="0038789F" w:rsidRPr="002574EC">
        <w:t xml:space="preserve">This information </w:t>
      </w:r>
      <w:r w:rsidR="00774C1D" w:rsidRPr="002574EC">
        <w:t xml:space="preserve">was posted online with a number of </w:t>
      </w:r>
      <w:r w:rsidR="009E4E4B" w:rsidRPr="002574EC">
        <w:t xml:space="preserve">reports received by the </w:t>
      </w:r>
      <w:r w:rsidR="00E05B32" w:rsidRPr="002574EC">
        <w:t xml:space="preserve">REDESCA from civil society, </w:t>
      </w:r>
      <w:r w:rsidR="00D017C3" w:rsidRPr="002574EC">
        <w:t xml:space="preserve">warning that the faculty and staff </w:t>
      </w:r>
      <w:r w:rsidR="00B2536D" w:rsidRPr="002574EC">
        <w:t>are being paid precarious salaries that do not enable them to lead a decent life</w:t>
      </w:r>
      <w:r w:rsidR="00280487" w:rsidRPr="002574EC">
        <w:t>, as is the case with other sectors, such as healthcare.</w:t>
      </w:r>
      <w:r w:rsidR="00D24896" w:rsidRPr="002574EC">
        <w:rPr>
          <w:rStyle w:val="FootnoteReference"/>
          <w:color w:val="000000"/>
        </w:rPr>
        <w:footnoteReference w:id="310"/>
      </w:r>
      <w:r w:rsidR="00D24896" w:rsidRPr="002574EC">
        <w:rPr>
          <w:color w:val="000000"/>
        </w:rPr>
        <w:t xml:space="preserve"> </w:t>
      </w:r>
    </w:p>
    <w:p w14:paraId="436E2B49" w14:textId="77777777" w:rsidR="00D24896" w:rsidRPr="002574EC" w:rsidRDefault="00D24896" w:rsidP="002245EC">
      <w:pPr>
        <w:pStyle w:val="ListParagraph"/>
        <w:numPr>
          <w:ilvl w:val="0"/>
          <w:numId w:val="0"/>
        </w:numPr>
        <w:ind w:left="720"/>
      </w:pPr>
    </w:p>
    <w:p w14:paraId="747F75F2" w14:textId="4ED60F71" w:rsidR="00D24896" w:rsidRPr="002574EC" w:rsidRDefault="00F53780" w:rsidP="00F85814">
      <w:pPr>
        <w:pStyle w:val="ListParagraph"/>
      </w:pPr>
      <w:r w:rsidRPr="002574EC">
        <w:t xml:space="preserve">Add to this situation the aggravating factor that, in the context of the pandemic and consequent </w:t>
      </w:r>
      <w:r w:rsidR="00411B35" w:rsidRPr="002574EC">
        <w:t xml:space="preserve">school closures, teachers and professors </w:t>
      </w:r>
      <w:r w:rsidR="002D044A" w:rsidRPr="002574EC">
        <w:t xml:space="preserve">have been pressured to return to in-person classes, under punishment of being replaced by young members of the </w:t>
      </w:r>
      <w:r w:rsidR="002D044A" w:rsidRPr="002574EC">
        <w:rPr>
          <w:i/>
          <w:iCs/>
        </w:rPr>
        <w:t>Plan Chamba Juvenil</w:t>
      </w:r>
      <w:r w:rsidR="002D044A" w:rsidRPr="002574EC">
        <w:t xml:space="preserve"> (‘Youth Work Plan’).</w:t>
      </w:r>
      <w:r w:rsidR="00D24896" w:rsidRPr="002574EC">
        <w:rPr>
          <w:rStyle w:val="FootnoteReference"/>
          <w:color w:val="000000"/>
        </w:rPr>
        <w:footnoteReference w:id="311"/>
      </w:r>
      <w:r w:rsidR="002D044A" w:rsidRPr="002574EC">
        <w:t xml:space="preserve"> </w:t>
      </w:r>
      <w:r w:rsidR="00CF627E" w:rsidRPr="002574EC">
        <w:t xml:space="preserve">It should be explained that this demand was made to them, even though they had not been given priority </w:t>
      </w:r>
      <w:r w:rsidR="004B6675" w:rsidRPr="002574EC">
        <w:t>for access to vaccines in the country, nor access to adequate facilities, among other things, due to lack of electricity and water at some schools.</w:t>
      </w:r>
      <w:r w:rsidR="00D24896" w:rsidRPr="002574EC">
        <w:rPr>
          <w:rStyle w:val="FootnoteReference"/>
          <w:color w:val="000000"/>
        </w:rPr>
        <w:footnoteReference w:id="312"/>
      </w:r>
      <w:r w:rsidR="00D24896" w:rsidRPr="002574EC">
        <w:t xml:space="preserve"> </w:t>
      </w:r>
    </w:p>
    <w:p w14:paraId="58DCAA5E" w14:textId="77777777" w:rsidR="00D24896" w:rsidRPr="002574EC" w:rsidRDefault="00D24896" w:rsidP="002245EC">
      <w:pPr>
        <w:pStyle w:val="ListParagraph"/>
        <w:numPr>
          <w:ilvl w:val="0"/>
          <w:numId w:val="0"/>
        </w:numPr>
        <w:ind w:left="720"/>
      </w:pPr>
    </w:p>
    <w:p w14:paraId="2480AFE4" w14:textId="00776E5F" w:rsidR="00D24896" w:rsidRPr="002574EC" w:rsidRDefault="00AB675A" w:rsidP="00F85814">
      <w:pPr>
        <w:pStyle w:val="ListParagraph"/>
      </w:pPr>
      <w:r w:rsidRPr="002574EC">
        <w:t xml:space="preserve">In view of </w:t>
      </w:r>
      <w:r w:rsidR="001254A2" w:rsidRPr="002574EC">
        <w:t>these conditions and pursuant to</w:t>
      </w:r>
      <w:r w:rsidR="00E1461E" w:rsidRPr="002574EC">
        <w:t xml:space="preserve"> the standards of the</w:t>
      </w:r>
      <w:r w:rsidR="001254A2" w:rsidRPr="002574EC">
        <w:t xml:space="preserve"> </w:t>
      </w:r>
      <w:r w:rsidR="00BC3568" w:rsidRPr="002574EC">
        <w:t xml:space="preserve">Inter-American human rights system, </w:t>
      </w:r>
      <w:r w:rsidR="008734AC" w:rsidRPr="002574EC">
        <w:t xml:space="preserve">it should be recalled that </w:t>
      </w:r>
      <w:r w:rsidR="00BC3568" w:rsidRPr="002574EC">
        <w:t>the right to strike</w:t>
      </w:r>
      <w:r w:rsidR="00E35C2C" w:rsidRPr="002574EC">
        <w:t xml:space="preserve">, along with </w:t>
      </w:r>
      <w:r w:rsidR="00925D29" w:rsidRPr="002574EC">
        <w:t>freedom of association</w:t>
      </w:r>
      <w:r w:rsidR="00A17CD6" w:rsidRPr="002574EC">
        <w:t xml:space="preserve"> and collective bargaining</w:t>
      </w:r>
      <w:r w:rsidR="00E71732" w:rsidRPr="002574EC">
        <w:t xml:space="preserve">, are the foundational pillars </w:t>
      </w:r>
      <w:r w:rsidR="00AD13C5" w:rsidRPr="002574EC">
        <w:t xml:space="preserve">to </w:t>
      </w:r>
      <w:r w:rsidR="004E571C" w:rsidRPr="002574EC">
        <w:t>guarantee</w:t>
      </w:r>
      <w:r w:rsidR="00191092" w:rsidRPr="002574EC">
        <w:t xml:space="preserve"> </w:t>
      </w:r>
      <w:r w:rsidR="004E571C" w:rsidRPr="002574EC">
        <w:t>the right to work</w:t>
      </w:r>
      <w:r w:rsidR="00E43295" w:rsidRPr="002574EC">
        <w:t xml:space="preserve"> and fair and equitable </w:t>
      </w:r>
      <w:r w:rsidR="002D6A66" w:rsidRPr="002574EC">
        <w:t xml:space="preserve">working </w:t>
      </w:r>
      <w:r w:rsidR="00E43295" w:rsidRPr="002574EC">
        <w:t>conditions</w:t>
      </w:r>
      <w:r w:rsidR="00A96A6B" w:rsidRPr="002574EC">
        <w:t xml:space="preserve">. </w:t>
      </w:r>
      <w:r w:rsidR="008734AC" w:rsidRPr="002574EC">
        <w:t xml:space="preserve"> T</w:t>
      </w:r>
      <w:r w:rsidR="009C3738" w:rsidRPr="002574EC">
        <w:t xml:space="preserve">he </w:t>
      </w:r>
      <w:r w:rsidR="00BC3568" w:rsidRPr="002574EC">
        <w:t xml:space="preserve"> </w:t>
      </w:r>
      <w:r w:rsidR="00D24896" w:rsidRPr="002574EC">
        <w:t xml:space="preserve">REDESCA </w:t>
      </w:r>
      <w:r w:rsidR="009C3738" w:rsidRPr="002574EC">
        <w:t xml:space="preserve">takes note </w:t>
      </w:r>
      <w:r w:rsidR="008A1E31" w:rsidRPr="002574EC">
        <w:t xml:space="preserve">of how the Federation of University Professor Associations of Venezuela </w:t>
      </w:r>
      <w:r w:rsidR="00D24896" w:rsidRPr="002574EC">
        <w:t xml:space="preserve">(FAPUV) </w:t>
      </w:r>
      <w:r w:rsidR="008A1E31" w:rsidRPr="002574EC">
        <w:t xml:space="preserve">and the associations of university professors of the main public universities </w:t>
      </w:r>
      <w:r w:rsidR="00F34CA2" w:rsidRPr="002574EC">
        <w:t xml:space="preserve">have </w:t>
      </w:r>
      <w:r w:rsidRPr="002574EC">
        <w:t>not been taken into account</w:t>
      </w:r>
      <w:r w:rsidR="00930E58" w:rsidRPr="002574EC">
        <w:t xml:space="preserve"> and, in fact, have been excluded</w:t>
      </w:r>
      <w:r w:rsidR="00233D77" w:rsidRPr="002574EC">
        <w:t xml:space="preserve"> as a mechanism of retaliation</w:t>
      </w:r>
      <w:r w:rsidR="00930E58" w:rsidRPr="002574EC">
        <w:t xml:space="preserve"> in the discussion on collective bargaining contracts</w:t>
      </w:r>
      <w:r w:rsidR="00FD1416" w:rsidRPr="002574EC">
        <w:t xml:space="preserve"> and other scen</w:t>
      </w:r>
      <w:r w:rsidR="000A0661" w:rsidRPr="002574EC">
        <w:t xml:space="preserve">arios </w:t>
      </w:r>
      <w:r w:rsidR="00275445" w:rsidRPr="002574EC">
        <w:t>of discussion relating to their labor rights</w:t>
      </w:r>
      <w:r w:rsidR="00E343AB" w:rsidRPr="002574EC">
        <w:t xml:space="preserve">, </w:t>
      </w:r>
      <w:r w:rsidR="00AB6F31" w:rsidRPr="002574EC">
        <w:t xml:space="preserve">because of criticism of </w:t>
      </w:r>
      <w:r w:rsidR="009567D6" w:rsidRPr="002574EC">
        <w:t>S</w:t>
      </w:r>
      <w:r w:rsidR="00C416D6" w:rsidRPr="002574EC">
        <w:t>tate policies.</w:t>
      </w:r>
      <w:r w:rsidR="00D24896" w:rsidRPr="002574EC">
        <w:rPr>
          <w:rStyle w:val="FootnoteReference"/>
        </w:rPr>
        <w:footnoteReference w:id="313"/>
      </w:r>
      <w:r w:rsidR="00E417B7" w:rsidRPr="002574EC">
        <w:t xml:space="preserve"> As a result of this exclusion, in late July 2021, </w:t>
      </w:r>
      <w:r w:rsidR="00525395" w:rsidRPr="002574EC">
        <w:t xml:space="preserve">the IV Single Collective Agreement </w:t>
      </w:r>
      <w:r w:rsidR="00491C6A" w:rsidRPr="002574EC">
        <w:t xml:space="preserve">of the University Sector was unilaterally signed. </w:t>
      </w:r>
      <w:r w:rsidR="00BA3752" w:rsidRPr="002574EC">
        <w:t xml:space="preserve">In addition to </w:t>
      </w:r>
      <w:r w:rsidR="00536748" w:rsidRPr="002574EC">
        <w:t xml:space="preserve">being rife with </w:t>
      </w:r>
      <w:r w:rsidR="005B7B47" w:rsidRPr="002574EC">
        <w:t xml:space="preserve">flaws because it precluded </w:t>
      </w:r>
      <w:r w:rsidR="00E05547" w:rsidRPr="002574EC">
        <w:t>their participation</w:t>
      </w:r>
      <w:r w:rsidR="00F3734D" w:rsidRPr="002574EC">
        <w:t xml:space="preserve">, despite </w:t>
      </w:r>
      <w:r w:rsidR="00E16D16" w:rsidRPr="002574EC">
        <w:t xml:space="preserve">several organizations </w:t>
      </w:r>
      <w:r w:rsidR="00931F3E" w:rsidRPr="002574EC">
        <w:t>flat</w:t>
      </w:r>
      <w:r w:rsidR="005027EB" w:rsidRPr="002574EC">
        <w:t xml:space="preserve"> </w:t>
      </w:r>
      <w:r w:rsidR="00931F3E" w:rsidRPr="002574EC">
        <w:t xml:space="preserve">out rejecting </w:t>
      </w:r>
      <w:r w:rsidR="006915A6" w:rsidRPr="002574EC">
        <w:t xml:space="preserve">it, it undermines the wellbeing </w:t>
      </w:r>
      <w:r w:rsidR="00CB6C7B" w:rsidRPr="002574EC">
        <w:t xml:space="preserve">of faculty members and their </w:t>
      </w:r>
      <w:r w:rsidR="007D74DC" w:rsidRPr="002574EC">
        <w:t xml:space="preserve">labor </w:t>
      </w:r>
      <w:r w:rsidR="00CB6C7B" w:rsidRPr="002574EC">
        <w:t>rights</w:t>
      </w:r>
      <w:r w:rsidR="003F292D" w:rsidRPr="002574EC">
        <w:t xml:space="preserve">, such as the right to receive </w:t>
      </w:r>
      <w:r w:rsidR="00B37A4E" w:rsidRPr="002574EC">
        <w:t xml:space="preserve">a decent wage, as well as other things that </w:t>
      </w:r>
      <w:r w:rsidR="00B821D4" w:rsidRPr="002574EC">
        <w:t>introduc</w:t>
      </w:r>
      <w:r w:rsidR="005F5DC6" w:rsidRPr="002574EC">
        <w:t>e</w:t>
      </w:r>
      <w:r w:rsidR="00B821D4" w:rsidRPr="002574EC">
        <w:t xml:space="preserve"> </w:t>
      </w:r>
      <w:r w:rsidR="006E4A98" w:rsidRPr="002574EC">
        <w:t>ideol</w:t>
      </w:r>
      <w:r w:rsidR="005027EB" w:rsidRPr="002574EC">
        <w:t>i</w:t>
      </w:r>
      <w:r w:rsidR="006E4A98" w:rsidRPr="002574EC">
        <w:t>z</w:t>
      </w:r>
      <w:r w:rsidR="00E8210F" w:rsidRPr="002574EC">
        <w:t>ation</w:t>
      </w:r>
      <w:r w:rsidR="006E4A98" w:rsidRPr="002574EC">
        <w:t xml:space="preserve"> and indoctrinat</w:t>
      </w:r>
      <w:r w:rsidR="00E8210F" w:rsidRPr="002574EC">
        <w:t>ion</w:t>
      </w:r>
      <w:r w:rsidR="00574BCF" w:rsidRPr="002574EC">
        <w:t xml:space="preserve"> in</w:t>
      </w:r>
      <w:r w:rsidR="006E5776" w:rsidRPr="002574EC">
        <w:t>to</w:t>
      </w:r>
      <w:r w:rsidR="00574BCF" w:rsidRPr="002574EC">
        <w:t xml:space="preserve"> education.</w:t>
      </w:r>
      <w:r w:rsidR="00D24896" w:rsidRPr="002574EC">
        <w:rPr>
          <w:rStyle w:val="FootnoteReference"/>
        </w:rPr>
        <w:footnoteReference w:id="314"/>
      </w:r>
      <w:r w:rsidR="00D24896" w:rsidRPr="002574EC">
        <w:t xml:space="preserve"> </w:t>
      </w:r>
    </w:p>
    <w:p w14:paraId="77E88C33" w14:textId="77777777" w:rsidR="00D24896" w:rsidRPr="002574EC" w:rsidRDefault="00D24896" w:rsidP="00E07D06">
      <w:pPr>
        <w:ind w:left="426" w:hanging="426"/>
        <w:jc w:val="both"/>
        <w:rPr>
          <w:rFonts w:ascii="Cambria" w:hAnsi="Cambria"/>
          <w:sz w:val="20"/>
          <w:szCs w:val="20"/>
        </w:rPr>
      </w:pPr>
    </w:p>
    <w:p w14:paraId="2F578095" w14:textId="1525349A" w:rsidR="00D24896" w:rsidRPr="002574EC" w:rsidRDefault="00F04DD2" w:rsidP="00F85814">
      <w:pPr>
        <w:pStyle w:val="ListParagraph"/>
      </w:pPr>
      <w:r w:rsidRPr="002574EC">
        <w:t xml:space="preserve">In the face of the </w:t>
      </w:r>
      <w:r w:rsidR="009420FF" w:rsidRPr="002574EC">
        <w:t>situation described above</w:t>
      </w:r>
      <w:r w:rsidRPr="002574EC">
        <w:t xml:space="preserve"> and the economic crisis </w:t>
      </w:r>
      <w:r w:rsidR="0028653A" w:rsidRPr="002574EC">
        <w:t>Venezuela is undergoing, universities</w:t>
      </w:r>
      <w:r w:rsidR="00C65646" w:rsidRPr="002574EC">
        <w:t xml:space="preserve"> will continue to </w:t>
      </w:r>
      <w:r w:rsidR="000B3213" w:rsidRPr="002574EC">
        <w:t xml:space="preserve">confront budget </w:t>
      </w:r>
      <w:r w:rsidR="004F05F3" w:rsidRPr="002574EC">
        <w:t xml:space="preserve">asphyxiation, </w:t>
      </w:r>
      <w:r w:rsidR="008F2A76" w:rsidRPr="002574EC">
        <w:t xml:space="preserve">leading to further </w:t>
      </w:r>
      <w:r w:rsidR="00911AFE" w:rsidRPr="002574EC">
        <w:t>loss of student services</w:t>
      </w:r>
      <w:r w:rsidR="00EA43DC" w:rsidRPr="002574EC">
        <w:t xml:space="preserve"> (such as food, transportation and library </w:t>
      </w:r>
      <w:r w:rsidR="00EF47DC" w:rsidRPr="002574EC">
        <w:t xml:space="preserve">access), diminished education quality, increased student dropout rates and the emigration of </w:t>
      </w:r>
      <w:r w:rsidR="00302B6F" w:rsidRPr="002574EC">
        <w:t xml:space="preserve">professors and members of the academic community. </w:t>
      </w:r>
      <w:r w:rsidR="005A7B71" w:rsidRPr="002574EC">
        <w:t xml:space="preserve">In </w:t>
      </w:r>
      <w:r w:rsidR="00D24896" w:rsidRPr="002574EC">
        <w:t xml:space="preserve">2021, </w:t>
      </w:r>
      <w:r w:rsidR="005A7B71" w:rsidRPr="002574EC">
        <w:t xml:space="preserve">it was reported that the situation </w:t>
      </w:r>
      <w:r w:rsidR="004129BB" w:rsidRPr="002574EC">
        <w:t>has been</w:t>
      </w:r>
      <w:r w:rsidR="005A7B71" w:rsidRPr="002574EC">
        <w:t xml:space="preserve"> growing worse </w:t>
      </w:r>
      <w:r w:rsidR="004129BB" w:rsidRPr="002574EC">
        <w:t>o</w:t>
      </w:r>
      <w:r w:rsidR="00D067A9" w:rsidRPr="002574EC">
        <w:t xml:space="preserve">ver the past years and there are universities that </w:t>
      </w:r>
      <w:r w:rsidR="00672E70" w:rsidRPr="002574EC">
        <w:t xml:space="preserve">are facing </w:t>
      </w:r>
      <w:r w:rsidR="0026026C" w:rsidRPr="002574EC">
        <w:t xml:space="preserve">cuts of </w:t>
      </w:r>
      <w:r w:rsidR="00672E70" w:rsidRPr="002574EC">
        <w:t xml:space="preserve">99% </w:t>
      </w:r>
      <w:r w:rsidR="008B167B" w:rsidRPr="002574EC">
        <w:t>of their budget allocation</w:t>
      </w:r>
      <w:r w:rsidR="00007F2D" w:rsidRPr="002574EC">
        <w:t>.</w:t>
      </w:r>
      <w:r w:rsidR="00D24896" w:rsidRPr="002574EC">
        <w:rPr>
          <w:rStyle w:val="FootnoteReference"/>
        </w:rPr>
        <w:footnoteReference w:id="315"/>
      </w:r>
    </w:p>
    <w:p w14:paraId="75DFB19E" w14:textId="77777777" w:rsidR="00D24896" w:rsidRPr="002574EC" w:rsidRDefault="00D24896" w:rsidP="00E07D06">
      <w:pPr>
        <w:widowControl w:val="0"/>
        <w:pBdr>
          <w:top w:val="nil"/>
          <w:left w:val="nil"/>
          <w:bottom w:val="nil"/>
          <w:right w:val="nil"/>
          <w:between w:val="nil"/>
        </w:pBdr>
        <w:ind w:left="426" w:hanging="426"/>
        <w:jc w:val="both"/>
        <w:rPr>
          <w:rFonts w:ascii="Cambria" w:hAnsi="Cambria"/>
          <w:b/>
          <w:bCs/>
          <w:sz w:val="20"/>
          <w:szCs w:val="20"/>
        </w:rPr>
      </w:pPr>
    </w:p>
    <w:p w14:paraId="51F9713F" w14:textId="77777777" w:rsidR="002245EC" w:rsidRDefault="002245EC">
      <w:pPr>
        <w:rPr>
          <w:rFonts w:ascii="Cambria" w:eastAsia="Cambria" w:hAnsi="Cambria" w:cs="Cambria"/>
          <w:b/>
          <w:bCs/>
          <w:color w:val="000000" w:themeColor="text1"/>
          <w:sz w:val="20"/>
          <w:szCs w:val="20"/>
        </w:rPr>
      </w:pPr>
      <w:r>
        <w:br w:type="page"/>
      </w:r>
    </w:p>
    <w:p w14:paraId="63015564" w14:textId="7FDCBADB" w:rsidR="00DA1FE6" w:rsidRPr="002574EC" w:rsidRDefault="002523D6" w:rsidP="002245EC">
      <w:pPr>
        <w:pStyle w:val="Heading1"/>
      </w:pPr>
      <w:r w:rsidRPr="002574EC">
        <w:lastRenderedPageBreak/>
        <w:t>G</w:t>
      </w:r>
      <w:r w:rsidR="00AF1533" w:rsidRPr="002574EC">
        <w:t xml:space="preserve">ROUPS IN VULNERABLE SITUATIONS AND DISCRIMINATION </w:t>
      </w:r>
    </w:p>
    <w:p w14:paraId="3C4755AF" w14:textId="77777777" w:rsidR="00DA1FE6" w:rsidRPr="002574EC" w:rsidRDefault="00DA1FE6" w:rsidP="002245EC">
      <w:pPr>
        <w:pStyle w:val="ListParagraph"/>
        <w:numPr>
          <w:ilvl w:val="0"/>
          <w:numId w:val="0"/>
        </w:numPr>
        <w:ind w:left="720"/>
      </w:pPr>
    </w:p>
    <w:p w14:paraId="2748352A" w14:textId="4D80E13E" w:rsidR="00046E0A" w:rsidRPr="002574EC" w:rsidRDefault="003F4684" w:rsidP="007E075D">
      <w:pPr>
        <w:pStyle w:val="Heading2"/>
        <w:numPr>
          <w:ilvl w:val="0"/>
          <w:numId w:val="11"/>
        </w:numPr>
      </w:pPr>
      <w:r w:rsidRPr="002574EC">
        <w:t>Women</w:t>
      </w:r>
    </w:p>
    <w:p w14:paraId="14BFBD7F" w14:textId="1A422C70" w:rsidR="006962F6" w:rsidRPr="002574EC" w:rsidRDefault="006962F6" w:rsidP="00E07D06">
      <w:pPr>
        <w:widowControl w:val="0"/>
        <w:pBdr>
          <w:top w:val="nil"/>
          <w:left w:val="nil"/>
          <w:bottom w:val="nil"/>
          <w:right w:val="nil"/>
          <w:between w:val="nil"/>
        </w:pBdr>
        <w:ind w:left="426" w:hanging="426"/>
        <w:jc w:val="both"/>
        <w:rPr>
          <w:rFonts w:ascii="Cambria" w:hAnsi="Cambria"/>
          <w:b/>
          <w:bCs/>
          <w:sz w:val="20"/>
          <w:szCs w:val="20"/>
        </w:rPr>
      </w:pPr>
    </w:p>
    <w:p w14:paraId="6A33C663" w14:textId="4D42CA0D" w:rsidR="006962F6" w:rsidRPr="002574EC" w:rsidRDefault="00A12955" w:rsidP="00F85814">
      <w:pPr>
        <w:pStyle w:val="ListParagraph"/>
      </w:pPr>
      <w:r w:rsidRPr="002574EC">
        <w:t xml:space="preserve">As to the situation of violence faced by women in Venezuela, the IACHR </w:t>
      </w:r>
      <w:r w:rsidR="00BD31CA" w:rsidRPr="002574EC">
        <w:t xml:space="preserve">notes </w:t>
      </w:r>
      <w:r w:rsidRPr="002574EC">
        <w:t>that</w:t>
      </w:r>
      <w:r w:rsidR="0022640A" w:rsidRPr="002574EC">
        <w:t xml:space="preserve"> </w:t>
      </w:r>
      <w:r w:rsidR="001C02B8" w:rsidRPr="002574EC">
        <w:t xml:space="preserve">even though femicide has </w:t>
      </w:r>
      <w:r w:rsidR="003F520B" w:rsidRPr="002574EC">
        <w:t xml:space="preserve">appeared </w:t>
      </w:r>
      <w:r w:rsidR="00B63CAA" w:rsidRPr="002574EC">
        <w:t>a</w:t>
      </w:r>
      <w:r w:rsidR="0022640A" w:rsidRPr="002574EC">
        <w:t xml:space="preserve"> </w:t>
      </w:r>
      <w:r w:rsidR="00B63CAA" w:rsidRPr="002574EC">
        <w:t>crime in the penal code since 2016, the State still does not maintain any records of official statistics</w:t>
      </w:r>
      <w:r w:rsidR="006E42BB" w:rsidRPr="002574EC">
        <w:t xml:space="preserve"> </w:t>
      </w:r>
      <w:r w:rsidR="00F94219" w:rsidRPr="002574EC">
        <w:t>about it</w:t>
      </w:r>
      <w:r w:rsidR="006E42BB" w:rsidRPr="002574EC">
        <w:t>.</w:t>
      </w:r>
      <w:r w:rsidR="006962F6" w:rsidRPr="002574EC">
        <w:rPr>
          <w:vertAlign w:val="superscript"/>
        </w:rPr>
        <w:footnoteReference w:id="316"/>
      </w:r>
      <w:r w:rsidR="00877C44" w:rsidRPr="002574EC">
        <w:t xml:space="preserve">  </w:t>
      </w:r>
      <w:r w:rsidR="006962F6" w:rsidRPr="002574EC">
        <w:t xml:space="preserve"> </w:t>
      </w:r>
      <w:r w:rsidR="00AA0088" w:rsidRPr="002574EC">
        <w:t xml:space="preserve">In this regard, the Commission takes note </w:t>
      </w:r>
      <w:r w:rsidR="00DC5584" w:rsidRPr="002574EC">
        <w:t xml:space="preserve">of </w:t>
      </w:r>
      <w:r w:rsidR="00AA0088" w:rsidRPr="002574EC">
        <w:t>information gathered by civil society organizations</w:t>
      </w:r>
      <w:r w:rsidR="00897A6D" w:rsidRPr="002574EC">
        <w:t xml:space="preserve"> </w:t>
      </w:r>
      <w:r w:rsidR="005B27B1" w:rsidRPr="002574EC">
        <w:t xml:space="preserve">reporting </w:t>
      </w:r>
      <w:r w:rsidR="00DC3EF2" w:rsidRPr="002574EC">
        <w:t>that from January 1 to September 10, 2021, at least 2</w:t>
      </w:r>
      <w:r w:rsidR="005B0807" w:rsidRPr="002574EC">
        <w:t>3</w:t>
      </w:r>
      <w:r w:rsidR="00DC3EF2" w:rsidRPr="002574EC">
        <w:t>7 femicides</w:t>
      </w:r>
      <w:r w:rsidR="005B0807" w:rsidRPr="002574EC">
        <w:rPr>
          <w:rStyle w:val="FootnoteReference"/>
        </w:rPr>
        <w:footnoteReference w:id="317"/>
      </w:r>
      <w:r w:rsidR="00DC3EF2" w:rsidRPr="002574EC">
        <w:t xml:space="preserve"> were perpetrated </w:t>
      </w:r>
      <w:r w:rsidR="0047520F" w:rsidRPr="002574EC">
        <w:t xml:space="preserve">and there were at least 41 instances of </w:t>
      </w:r>
      <w:r w:rsidR="0016663A" w:rsidRPr="002574EC">
        <w:t xml:space="preserve">attempted and </w:t>
      </w:r>
      <w:r w:rsidR="0047520F" w:rsidRPr="002574EC">
        <w:t xml:space="preserve">thwarted </w:t>
      </w:r>
      <w:r w:rsidR="00E75B17" w:rsidRPr="002574EC">
        <w:t>femicide.</w:t>
      </w:r>
      <w:r w:rsidR="002125CC" w:rsidRPr="002574EC">
        <w:rPr>
          <w:rStyle w:val="FootnoteReference"/>
        </w:rPr>
        <w:footnoteReference w:id="318"/>
      </w:r>
    </w:p>
    <w:p w14:paraId="5F4EC1EB" w14:textId="77777777" w:rsidR="006962F6" w:rsidRPr="002574EC" w:rsidRDefault="006962F6" w:rsidP="00E07D06">
      <w:pPr>
        <w:ind w:left="426" w:hanging="426"/>
        <w:contextualSpacing/>
        <w:jc w:val="both"/>
        <w:rPr>
          <w:rFonts w:ascii="Cambria" w:eastAsia="Cambria" w:hAnsi="Cambria" w:cs="Cambria"/>
          <w:sz w:val="20"/>
          <w:szCs w:val="20"/>
        </w:rPr>
      </w:pPr>
    </w:p>
    <w:p w14:paraId="6B723B2C" w14:textId="7F951282" w:rsidR="006962F6" w:rsidRPr="002574EC" w:rsidRDefault="00DF606A" w:rsidP="00F85814">
      <w:pPr>
        <w:pStyle w:val="ListParagraph"/>
      </w:pPr>
      <w:r w:rsidRPr="002574EC">
        <w:t xml:space="preserve">The Commission also received information about undermining of measures </w:t>
      </w:r>
      <w:r w:rsidR="00147F35" w:rsidRPr="002574EC">
        <w:t>for the</w:t>
      </w:r>
      <w:r w:rsidRPr="002574EC">
        <w:t xml:space="preserve"> protection</w:t>
      </w:r>
      <w:r w:rsidR="00D33C39" w:rsidRPr="002574EC">
        <w:t xml:space="preserve"> of women against </w:t>
      </w:r>
      <w:r w:rsidR="002214EF" w:rsidRPr="002574EC">
        <w:t xml:space="preserve">violence in the context of the COVID-19 pandemic. </w:t>
      </w:r>
      <w:r w:rsidRPr="002574EC">
        <w:t xml:space="preserve"> </w:t>
      </w:r>
      <w:r w:rsidR="001C3784" w:rsidRPr="002574EC">
        <w:t xml:space="preserve">On this score, civil society organizations report that the restricted hours of assistance </w:t>
      </w:r>
      <w:r w:rsidR="00792C7E" w:rsidRPr="002574EC">
        <w:t>on</w:t>
      </w:r>
      <w:r w:rsidR="001C3784" w:rsidRPr="002574EC">
        <w:t xml:space="preserve"> the VEN911 line</w:t>
      </w:r>
      <w:r w:rsidR="00792C7E" w:rsidRPr="002574EC">
        <w:t xml:space="preserve">, </w:t>
      </w:r>
      <w:r w:rsidR="00EF0D9A" w:rsidRPr="002574EC">
        <w:t xml:space="preserve">the </w:t>
      </w:r>
      <w:r w:rsidR="00792C7E" w:rsidRPr="002574EC">
        <w:t xml:space="preserve">purpose </w:t>
      </w:r>
      <w:r w:rsidR="00205376" w:rsidRPr="002574EC">
        <w:t>of which is</w:t>
      </w:r>
      <w:r w:rsidR="00792C7E" w:rsidRPr="002574EC">
        <w:t xml:space="preserve"> to </w:t>
      </w:r>
      <w:r w:rsidR="007A7762" w:rsidRPr="002574EC">
        <w:t>act as a nation</w:t>
      </w:r>
      <w:r w:rsidR="00EF2189" w:rsidRPr="002574EC">
        <w:t xml:space="preserve">wide </w:t>
      </w:r>
      <w:r w:rsidR="007A7762" w:rsidRPr="002574EC">
        <w:t xml:space="preserve">emergency </w:t>
      </w:r>
      <w:r w:rsidR="00EB11C0" w:rsidRPr="002574EC">
        <w:t>tele</w:t>
      </w:r>
      <w:r w:rsidR="007A7762" w:rsidRPr="002574EC">
        <w:t>phone line to respond</w:t>
      </w:r>
      <w:r w:rsidR="00A00DEE" w:rsidRPr="002574EC">
        <w:t xml:space="preserve"> to cases of violence, limit the effectiveness </w:t>
      </w:r>
      <w:r w:rsidR="009F3D01" w:rsidRPr="002574EC">
        <w:t xml:space="preserve">of the measure to </w:t>
      </w:r>
      <w:r w:rsidR="00980034" w:rsidRPr="002574EC">
        <w:t xml:space="preserve">address </w:t>
      </w:r>
      <w:r w:rsidR="009F3D01" w:rsidRPr="002574EC">
        <w:t xml:space="preserve">cases of violence against women. </w:t>
      </w:r>
      <w:r w:rsidR="007A7762" w:rsidRPr="002574EC">
        <w:t xml:space="preserve"> </w:t>
      </w:r>
      <w:r w:rsidR="007F47EC" w:rsidRPr="002574EC">
        <w:t xml:space="preserve">They further report </w:t>
      </w:r>
      <w:r w:rsidR="00E607EC" w:rsidRPr="002574EC">
        <w:t xml:space="preserve">that other governmental hot lines </w:t>
      </w:r>
      <w:r w:rsidR="00992170" w:rsidRPr="002574EC">
        <w:t xml:space="preserve">to assist women in situations of violence have </w:t>
      </w:r>
      <w:r w:rsidR="002E3CED" w:rsidRPr="002574EC">
        <w:t>been</w:t>
      </w:r>
      <w:r w:rsidR="00316E44" w:rsidRPr="002574EC">
        <w:t xml:space="preserve"> taken down</w:t>
      </w:r>
      <w:r w:rsidR="00E62CEB" w:rsidRPr="002574EC">
        <w:t>.</w:t>
      </w:r>
      <w:r w:rsidR="006962F6" w:rsidRPr="002574EC">
        <w:rPr>
          <w:vertAlign w:val="superscript"/>
        </w:rPr>
        <w:footnoteReference w:id="319"/>
      </w:r>
      <w:r w:rsidR="000E5AF1" w:rsidRPr="002574EC">
        <w:t xml:space="preserve"> </w:t>
      </w:r>
      <w:r w:rsidR="006962F6" w:rsidRPr="002574EC">
        <w:t xml:space="preserve"> </w:t>
      </w:r>
      <w:r w:rsidR="00E70F32" w:rsidRPr="002574EC">
        <w:t>In this vein, the Commission takes note of information provided to it noting that in the first half of 2021, 43 violent intrafamily assaults</w:t>
      </w:r>
      <w:r w:rsidR="0067370B" w:rsidRPr="002574EC">
        <w:t xml:space="preserve"> against women in the state of Zulia were reported.</w:t>
      </w:r>
      <w:r w:rsidR="006962F6" w:rsidRPr="002574EC">
        <w:rPr>
          <w:rStyle w:val="FootnoteReference"/>
        </w:rPr>
        <w:footnoteReference w:id="320"/>
      </w:r>
    </w:p>
    <w:p w14:paraId="1854E8EB" w14:textId="77777777" w:rsidR="006962F6" w:rsidRPr="002574EC" w:rsidRDefault="006962F6" w:rsidP="00E07D06">
      <w:pPr>
        <w:ind w:left="426" w:hanging="426"/>
        <w:contextualSpacing/>
        <w:jc w:val="both"/>
        <w:rPr>
          <w:rFonts w:ascii="Cambria" w:eastAsia="Cambria" w:hAnsi="Cambria" w:cs="Cambria"/>
          <w:sz w:val="20"/>
          <w:szCs w:val="20"/>
        </w:rPr>
      </w:pPr>
    </w:p>
    <w:p w14:paraId="0C78426F" w14:textId="7111A965" w:rsidR="006962F6" w:rsidRPr="002574EC" w:rsidRDefault="00E84C8B" w:rsidP="00F85814">
      <w:pPr>
        <w:pStyle w:val="ListParagraph"/>
      </w:pPr>
      <w:r w:rsidRPr="002574EC">
        <w:t xml:space="preserve">The Commission reminds the State of the importance </w:t>
      </w:r>
      <w:r w:rsidR="000202A8" w:rsidRPr="002574EC">
        <w:t xml:space="preserve">of having mechanisms in place to </w:t>
      </w:r>
      <w:r w:rsidR="00A1476F" w:rsidRPr="002574EC">
        <w:t xml:space="preserve">gather data and provide </w:t>
      </w:r>
      <w:r w:rsidR="006C3174" w:rsidRPr="002574EC">
        <w:t xml:space="preserve">comprehensive, disaggregated and reliable data periodically, </w:t>
      </w:r>
      <w:r w:rsidR="00C53FD1" w:rsidRPr="002574EC">
        <w:t xml:space="preserve">as well as </w:t>
      </w:r>
      <w:r w:rsidR="006C3174" w:rsidRPr="002574EC">
        <w:t xml:space="preserve">meeting its obligation to </w:t>
      </w:r>
      <w:r w:rsidR="00DF11BD" w:rsidRPr="002574EC">
        <w:t xml:space="preserve">publicly disclose </w:t>
      </w:r>
      <w:r w:rsidR="00342417" w:rsidRPr="002574EC">
        <w:t>and d</w:t>
      </w:r>
      <w:r w:rsidR="005255EF" w:rsidRPr="002574EC">
        <w:t>i</w:t>
      </w:r>
      <w:r w:rsidR="00342417" w:rsidRPr="002574EC">
        <w:t>s</w:t>
      </w:r>
      <w:r w:rsidR="005255EF" w:rsidRPr="002574EC">
        <w:t>s</w:t>
      </w:r>
      <w:r w:rsidR="00342417" w:rsidRPr="002574EC">
        <w:t xml:space="preserve">eminate </w:t>
      </w:r>
      <w:r w:rsidR="00DF11BD" w:rsidRPr="002574EC">
        <w:t>that information</w:t>
      </w:r>
      <w:r w:rsidR="007A5601" w:rsidRPr="002574EC">
        <w:t>.</w:t>
      </w:r>
      <w:r w:rsidR="006962F6" w:rsidRPr="002574EC">
        <w:rPr>
          <w:rStyle w:val="FootnoteReference"/>
        </w:rPr>
        <w:footnoteReference w:id="321"/>
      </w:r>
      <w:r w:rsidR="00D8169E" w:rsidRPr="002574EC">
        <w:t xml:space="preserve"> </w:t>
      </w:r>
      <w:r w:rsidR="00EA0025" w:rsidRPr="002574EC">
        <w:t xml:space="preserve">It also issues a reminder about the State’s obligation to </w:t>
      </w:r>
      <w:r w:rsidR="00081C00" w:rsidRPr="002574EC">
        <w:t xml:space="preserve">take measures to prevent acts of violence against women and girls and ensure </w:t>
      </w:r>
      <w:r w:rsidR="00914662" w:rsidRPr="002574EC">
        <w:t>that victims of violence</w:t>
      </w:r>
      <w:r w:rsidR="00227CC6" w:rsidRPr="002574EC">
        <w:t>,</w:t>
      </w:r>
      <w:r w:rsidR="00914662" w:rsidRPr="002574EC">
        <w:t xml:space="preserve"> or </w:t>
      </w:r>
      <w:r w:rsidR="008E540C" w:rsidRPr="002574EC">
        <w:t xml:space="preserve">women and girls </w:t>
      </w:r>
      <w:r w:rsidR="00914662" w:rsidRPr="002574EC">
        <w:t>who are at risk of sustaining violence</w:t>
      </w:r>
      <w:r w:rsidR="00227CC6" w:rsidRPr="002574EC">
        <w:t>,</w:t>
      </w:r>
      <w:r w:rsidR="00914662" w:rsidRPr="002574EC">
        <w:t xml:space="preserve"> have access to measures of protection and effective judicial guarantees.</w:t>
      </w:r>
      <w:r w:rsidR="006962F6" w:rsidRPr="002574EC">
        <w:rPr>
          <w:rStyle w:val="FootnoteReference"/>
        </w:rPr>
        <w:footnoteReference w:id="322"/>
      </w:r>
      <w:r w:rsidR="009C0F94" w:rsidRPr="002574EC">
        <w:t xml:space="preserve"> On this score, the Commission stresses that policies </w:t>
      </w:r>
      <w:r w:rsidR="005F1011" w:rsidRPr="002574EC">
        <w:t xml:space="preserve">designed for protection </w:t>
      </w:r>
      <w:r w:rsidR="00226EC1" w:rsidRPr="002574EC">
        <w:t>from violence against women</w:t>
      </w:r>
      <w:r w:rsidR="00A91A3F" w:rsidRPr="002574EC">
        <w:t xml:space="preserve"> should </w:t>
      </w:r>
      <w:r w:rsidR="004359B1" w:rsidRPr="002574EC">
        <w:t>be grounded in statistics regarding the causes, consequences and frequency of attacks</w:t>
      </w:r>
      <w:r w:rsidR="00CB45EE" w:rsidRPr="002574EC">
        <w:t>, using a comprehensive approach that addresses the different forms of violence.</w:t>
      </w:r>
      <w:r w:rsidR="006962F6" w:rsidRPr="002574EC">
        <w:t xml:space="preserve"> </w:t>
      </w:r>
    </w:p>
    <w:p w14:paraId="7C99659A" w14:textId="77777777" w:rsidR="006962F6" w:rsidRPr="002574EC" w:rsidRDefault="006962F6" w:rsidP="00E07D06">
      <w:pPr>
        <w:ind w:left="426" w:hanging="426"/>
        <w:contextualSpacing/>
        <w:jc w:val="both"/>
        <w:rPr>
          <w:rFonts w:ascii="Cambria" w:eastAsia="Cambria" w:hAnsi="Cambria" w:cs="Cambria"/>
          <w:sz w:val="20"/>
          <w:szCs w:val="20"/>
        </w:rPr>
      </w:pPr>
    </w:p>
    <w:p w14:paraId="23DBB783" w14:textId="155E7713" w:rsidR="006962F6" w:rsidRPr="002574EC" w:rsidRDefault="00C92D3E" w:rsidP="00F85814">
      <w:pPr>
        <w:pStyle w:val="ListParagraph"/>
      </w:pPr>
      <w:r w:rsidRPr="002574EC">
        <w:t>In relation to access to justice</w:t>
      </w:r>
      <w:r w:rsidR="00EC1AEB" w:rsidRPr="002574EC">
        <w:t xml:space="preserve">, the Commission has received information about the different roadblocks faced by women, </w:t>
      </w:r>
      <w:r w:rsidR="00626AD7" w:rsidRPr="002574EC">
        <w:t>stressing the lack of adequate victim assistance</w:t>
      </w:r>
      <w:r w:rsidR="005F4DA1" w:rsidRPr="002574EC">
        <w:t xml:space="preserve"> and the lack of training for public </w:t>
      </w:r>
      <w:r w:rsidR="005F4DA1" w:rsidRPr="002574EC">
        <w:lastRenderedPageBreak/>
        <w:t>servants on the subject of a gender-based perspective</w:t>
      </w:r>
      <w:r w:rsidR="00B121DA" w:rsidRPr="002574EC">
        <w:t>,</w:t>
      </w:r>
      <w:r w:rsidR="006962F6" w:rsidRPr="002574EC">
        <w:rPr>
          <w:vertAlign w:val="superscript"/>
        </w:rPr>
        <w:footnoteReference w:id="323"/>
      </w:r>
      <w:r w:rsidR="0028152F" w:rsidRPr="002574EC">
        <w:t xml:space="preserve"> </w:t>
      </w:r>
      <w:r w:rsidR="00B121DA" w:rsidRPr="002574EC">
        <w:t>the consequence of which is a</w:t>
      </w:r>
      <w:r w:rsidR="00EB1D28" w:rsidRPr="002574EC">
        <w:t xml:space="preserve">n </w:t>
      </w:r>
      <w:r w:rsidR="003B1DAF" w:rsidRPr="002574EC">
        <w:t>pr</w:t>
      </w:r>
      <w:r w:rsidR="00027510" w:rsidRPr="002574EC">
        <w:t>e-estab</w:t>
      </w:r>
      <w:r w:rsidR="001A360F" w:rsidRPr="002574EC">
        <w:t>l</w:t>
      </w:r>
      <w:r w:rsidR="00027510" w:rsidRPr="002574EC">
        <w:t xml:space="preserve">ished </w:t>
      </w:r>
      <w:r w:rsidR="00B121DA" w:rsidRPr="002574EC">
        <w:t xml:space="preserve">stereotyped assessment of social or sexual behavior </w:t>
      </w:r>
      <w:r w:rsidR="009C3B97" w:rsidRPr="002574EC">
        <w:t xml:space="preserve">of </w:t>
      </w:r>
      <w:r w:rsidR="00B121DA" w:rsidRPr="002574EC">
        <w:t xml:space="preserve">victims </w:t>
      </w:r>
      <w:r w:rsidR="009B2669" w:rsidRPr="002574EC">
        <w:t>of gender violence.</w:t>
      </w:r>
      <w:r w:rsidR="006962F6" w:rsidRPr="002574EC">
        <w:rPr>
          <w:vertAlign w:val="superscript"/>
        </w:rPr>
        <w:footnoteReference w:id="324"/>
      </w:r>
      <w:r w:rsidR="009856A3" w:rsidRPr="002574EC">
        <w:t xml:space="preserve"> </w:t>
      </w:r>
      <w:r w:rsidR="00693E8C" w:rsidRPr="002574EC">
        <w:t xml:space="preserve">In this respect, the Commission reminds the State of its obligation to guarantee </w:t>
      </w:r>
      <w:r w:rsidR="00D20CA5" w:rsidRPr="002574EC">
        <w:t>access to justice with</w:t>
      </w:r>
      <w:r w:rsidR="0028152F" w:rsidRPr="002574EC">
        <w:t>out</w:t>
      </w:r>
      <w:r w:rsidR="00D20CA5" w:rsidRPr="002574EC">
        <w:t xml:space="preserve"> any discrimination</w:t>
      </w:r>
      <w:r w:rsidR="000F10C4" w:rsidRPr="002574EC">
        <w:t>, noting the duty of due diligence requ</w:t>
      </w:r>
      <w:r w:rsidR="0011112E" w:rsidRPr="002574EC">
        <w:t>iring</w:t>
      </w:r>
      <w:r w:rsidR="000F10C4" w:rsidRPr="002574EC">
        <w:t xml:space="preserve"> investigations into acts of violence against </w:t>
      </w:r>
      <w:r w:rsidR="00592A2B" w:rsidRPr="002574EC">
        <w:t xml:space="preserve">women </w:t>
      </w:r>
      <w:r w:rsidR="00A94D01" w:rsidRPr="002574EC">
        <w:t xml:space="preserve">to be </w:t>
      </w:r>
      <w:r w:rsidR="00A95A23" w:rsidRPr="002574EC">
        <w:t xml:space="preserve">performed </w:t>
      </w:r>
      <w:r w:rsidR="005B577F" w:rsidRPr="002574EC">
        <w:t xml:space="preserve">by competent and impartial </w:t>
      </w:r>
      <w:r w:rsidR="00CC6766" w:rsidRPr="002574EC">
        <w:t>personnel</w:t>
      </w:r>
      <w:r w:rsidR="007B77C8" w:rsidRPr="002574EC">
        <w:t xml:space="preserve"> in the area of gender</w:t>
      </w:r>
      <w:r w:rsidR="00947826" w:rsidRPr="002574EC">
        <w:t xml:space="preserve">, women’s rights and assistance to victims of </w:t>
      </w:r>
      <w:r w:rsidR="00903491" w:rsidRPr="002574EC">
        <w:t xml:space="preserve">gender-based </w:t>
      </w:r>
      <w:r w:rsidR="00947826" w:rsidRPr="002574EC">
        <w:t>discrimination and violence</w:t>
      </w:r>
      <w:r w:rsidR="00CE172A" w:rsidRPr="002574EC">
        <w:t>.</w:t>
      </w:r>
      <w:r w:rsidR="006962F6" w:rsidRPr="002574EC">
        <w:rPr>
          <w:rStyle w:val="FootnoteReference"/>
        </w:rPr>
        <w:footnoteReference w:id="325"/>
      </w:r>
      <w:r w:rsidR="006962F6" w:rsidRPr="002574EC">
        <w:t xml:space="preserve"> </w:t>
      </w:r>
    </w:p>
    <w:p w14:paraId="3F1BEC17" w14:textId="77777777" w:rsidR="006962F6" w:rsidRPr="002574EC" w:rsidRDefault="006962F6" w:rsidP="00E07D06">
      <w:pPr>
        <w:ind w:left="426" w:hanging="426"/>
        <w:contextualSpacing/>
        <w:jc w:val="both"/>
        <w:rPr>
          <w:rFonts w:ascii="Cambria" w:eastAsia="Cambria" w:hAnsi="Cambria" w:cs="Cambria"/>
          <w:sz w:val="20"/>
          <w:szCs w:val="20"/>
        </w:rPr>
      </w:pPr>
    </w:p>
    <w:p w14:paraId="2D3CFD7B" w14:textId="75F30546" w:rsidR="006962F6" w:rsidRPr="002574EC" w:rsidRDefault="00BD481A" w:rsidP="00F85814">
      <w:pPr>
        <w:pStyle w:val="ListParagraph"/>
      </w:pPr>
      <w:r w:rsidRPr="002574EC">
        <w:t xml:space="preserve">Accordingly, the Commission urges the State to adopt and maintain </w:t>
      </w:r>
      <w:r w:rsidR="00B861A8" w:rsidRPr="002574EC">
        <w:t>mandator</w:t>
      </w:r>
      <w:r w:rsidR="00C34AF6" w:rsidRPr="002574EC">
        <w:t>y</w:t>
      </w:r>
      <w:r w:rsidR="00B861A8" w:rsidRPr="002574EC">
        <w:t xml:space="preserve"> and con</w:t>
      </w:r>
      <w:r w:rsidR="00C34AF6" w:rsidRPr="002574EC">
        <w:t>stant</w:t>
      </w:r>
      <w:r w:rsidR="00B861A8" w:rsidRPr="002574EC">
        <w:t xml:space="preserve"> training for </w:t>
      </w:r>
      <w:r w:rsidR="00A369FD" w:rsidRPr="002574EC">
        <w:t xml:space="preserve">public servants, especially </w:t>
      </w:r>
      <w:r w:rsidR="00D9425E" w:rsidRPr="002574EC">
        <w:t xml:space="preserve">officers of the courts, on the subjects of </w:t>
      </w:r>
      <w:r w:rsidR="006522B0" w:rsidRPr="002574EC">
        <w:t xml:space="preserve">gender, women’s and victims’ rights. </w:t>
      </w:r>
      <w:r w:rsidR="005B1044" w:rsidRPr="002574EC">
        <w:t xml:space="preserve">Likewise, it urges the State to incorporate a gender </w:t>
      </w:r>
      <w:r w:rsidR="00825318" w:rsidRPr="002574EC">
        <w:t xml:space="preserve">and intersectional perspective </w:t>
      </w:r>
      <w:r w:rsidR="00B82B2D" w:rsidRPr="002574EC">
        <w:t>into the investigation,</w:t>
      </w:r>
      <w:r w:rsidR="00707164" w:rsidRPr="002574EC">
        <w:t xml:space="preserve"> prosecution</w:t>
      </w:r>
      <w:r w:rsidR="00181F22" w:rsidRPr="002574EC">
        <w:t xml:space="preserve">, </w:t>
      </w:r>
      <w:r w:rsidR="00707164" w:rsidRPr="002574EC">
        <w:t xml:space="preserve">punishment and reparation of all forms of violence against women.  It also </w:t>
      </w:r>
      <w:r w:rsidR="006B41C7" w:rsidRPr="002574EC">
        <w:t xml:space="preserve">reiterates the call to </w:t>
      </w:r>
      <w:r w:rsidR="0099750D" w:rsidRPr="002574EC">
        <w:t>put adequate accountability mechanism</w:t>
      </w:r>
      <w:r w:rsidR="008415C4" w:rsidRPr="002574EC">
        <w:t xml:space="preserve">s </w:t>
      </w:r>
      <w:r w:rsidR="0099750D" w:rsidRPr="002574EC">
        <w:t xml:space="preserve">in place </w:t>
      </w:r>
      <w:r w:rsidR="00C06E97" w:rsidRPr="002574EC">
        <w:t>for conduct of justice operators</w:t>
      </w:r>
      <w:r w:rsidR="00FA2094" w:rsidRPr="002574EC">
        <w:t xml:space="preserve"> th</w:t>
      </w:r>
      <w:r w:rsidR="006237CD" w:rsidRPr="002574EC">
        <w:t>a</w:t>
      </w:r>
      <w:r w:rsidR="00FA2094" w:rsidRPr="002574EC">
        <w:t>t runs afoul of these duties.</w:t>
      </w:r>
      <w:r w:rsidR="006962F6" w:rsidRPr="002574EC">
        <w:rPr>
          <w:rStyle w:val="FootnoteReference"/>
        </w:rPr>
        <w:footnoteReference w:id="326"/>
      </w:r>
      <w:r w:rsidR="006962F6" w:rsidRPr="002574EC">
        <w:t xml:space="preserve"> </w:t>
      </w:r>
    </w:p>
    <w:p w14:paraId="17D52A55" w14:textId="77777777" w:rsidR="006962F6" w:rsidRPr="002574EC" w:rsidRDefault="006962F6" w:rsidP="00E07D06">
      <w:pPr>
        <w:ind w:left="426" w:hanging="426"/>
        <w:contextualSpacing/>
        <w:jc w:val="both"/>
        <w:rPr>
          <w:rFonts w:ascii="Cambria" w:eastAsia="Cambria" w:hAnsi="Cambria" w:cs="Cambria"/>
          <w:sz w:val="20"/>
          <w:szCs w:val="20"/>
        </w:rPr>
      </w:pPr>
    </w:p>
    <w:p w14:paraId="67C5BFC4" w14:textId="5E0AB634" w:rsidR="006962F6" w:rsidRPr="002574EC" w:rsidRDefault="006237CD" w:rsidP="00F85814">
      <w:pPr>
        <w:pStyle w:val="ListParagraph"/>
      </w:pPr>
      <w:r w:rsidRPr="002574EC">
        <w:t>In addition, the Commission has voiced its concern over the lack of access to sexual and reproductive health services.</w:t>
      </w:r>
      <w:r w:rsidR="006962F6" w:rsidRPr="002574EC">
        <w:rPr>
          <w:rStyle w:val="FootnoteReference"/>
        </w:rPr>
        <w:footnoteReference w:id="327"/>
      </w:r>
      <w:r w:rsidR="00B0134C" w:rsidRPr="002574EC">
        <w:t xml:space="preserve"> </w:t>
      </w:r>
      <w:r w:rsidR="006563E2" w:rsidRPr="002574EC">
        <w:t xml:space="preserve">Specifically, it takes note of the lack of </w:t>
      </w:r>
      <w:r w:rsidR="00BE35D5" w:rsidRPr="002574EC">
        <w:t xml:space="preserve">access to family planning information and services, </w:t>
      </w:r>
      <w:r w:rsidR="00504ED4" w:rsidRPr="002574EC">
        <w:t xml:space="preserve">which has </w:t>
      </w:r>
      <w:r w:rsidR="00EB0339" w:rsidRPr="002574EC">
        <w:t xml:space="preserve">had an impact on </w:t>
      </w:r>
      <w:r w:rsidR="0067780F" w:rsidRPr="002574EC">
        <w:t xml:space="preserve">maternal mortality rates. </w:t>
      </w:r>
      <w:r w:rsidR="008A0A24" w:rsidRPr="002574EC">
        <w:t xml:space="preserve"> </w:t>
      </w:r>
      <w:r w:rsidR="00B801D2" w:rsidRPr="002574EC">
        <w:t xml:space="preserve">On this score, it </w:t>
      </w:r>
      <w:r w:rsidR="00B57E74" w:rsidRPr="002574EC">
        <w:t xml:space="preserve">stresses </w:t>
      </w:r>
      <w:r w:rsidR="00B801D2" w:rsidRPr="002574EC">
        <w:t xml:space="preserve">the lack of up-to-date government statistics, </w:t>
      </w:r>
      <w:r w:rsidR="00B50933" w:rsidRPr="002574EC">
        <w:t xml:space="preserve">with the latest official registry being the </w:t>
      </w:r>
      <w:r w:rsidR="00C34023" w:rsidRPr="002574EC">
        <w:t xml:space="preserve">same </w:t>
      </w:r>
      <w:r w:rsidR="00B50933" w:rsidRPr="002574EC">
        <w:t xml:space="preserve">figures </w:t>
      </w:r>
      <w:r w:rsidR="00B230C6" w:rsidRPr="002574EC">
        <w:t xml:space="preserve">as those </w:t>
      </w:r>
      <w:r w:rsidR="00B50933" w:rsidRPr="002574EC">
        <w:t xml:space="preserve">released in the Epidemiological Bulletin </w:t>
      </w:r>
      <w:r w:rsidR="003B5D8B" w:rsidRPr="002574EC">
        <w:t xml:space="preserve">of the Ministry of Health in May 2017, which indicates that from 2015 to 2016, maternal mortality increased </w:t>
      </w:r>
      <w:r w:rsidR="00BE2068" w:rsidRPr="002574EC">
        <w:t>by 66%.</w:t>
      </w:r>
      <w:r w:rsidR="006962F6" w:rsidRPr="002574EC">
        <w:rPr>
          <w:vertAlign w:val="superscript"/>
        </w:rPr>
        <w:footnoteReference w:id="328"/>
      </w:r>
      <w:r w:rsidR="006962F6" w:rsidRPr="002574EC">
        <w:t xml:space="preserve">  </w:t>
      </w:r>
    </w:p>
    <w:p w14:paraId="285AA795" w14:textId="77777777" w:rsidR="006962F6" w:rsidRPr="002574EC" w:rsidRDefault="006962F6" w:rsidP="00E07D06">
      <w:pPr>
        <w:ind w:left="426" w:hanging="426"/>
        <w:contextualSpacing/>
        <w:jc w:val="both"/>
        <w:rPr>
          <w:rFonts w:ascii="Cambria" w:eastAsia="Cambria" w:hAnsi="Cambria" w:cs="Cambria"/>
          <w:sz w:val="20"/>
          <w:szCs w:val="20"/>
        </w:rPr>
      </w:pPr>
    </w:p>
    <w:p w14:paraId="38DBCFC1" w14:textId="3C7E79B0" w:rsidR="006962F6" w:rsidRPr="002574EC" w:rsidRDefault="00FA7787" w:rsidP="00F85814">
      <w:pPr>
        <w:pStyle w:val="ListParagraph"/>
      </w:pPr>
      <w:r w:rsidRPr="002574EC">
        <w:t xml:space="preserve">The IACHR takes note of the </w:t>
      </w:r>
      <w:r w:rsidR="009E7B89" w:rsidRPr="002574EC">
        <w:t>United Nations Population Fund</w:t>
      </w:r>
      <w:r w:rsidR="004C756A" w:rsidRPr="002574EC">
        <w:t xml:space="preserve"> 2021 report</w:t>
      </w:r>
      <w:r w:rsidR="00D41AFA" w:rsidRPr="002574EC">
        <w:t xml:space="preserve">, which </w:t>
      </w:r>
      <w:r w:rsidR="008B7490" w:rsidRPr="002574EC">
        <w:t xml:space="preserve">cites </w:t>
      </w:r>
      <w:r w:rsidR="00D62169" w:rsidRPr="002574EC">
        <w:t xml:space="preserve">rising </w:t>
      </w:r>
      <w:r w:rsidR="006D292C" w:rsidRPr="002574EC">
        <w:t>maternal mortality rates</w:t>
      </w:r>
      <w:r w:rsidR="00290C7A" w:rsidRPr="002574EC">
        <w:t xml:space="preserve"> in the country</w:t>
      </w:r>
      <w:r w:rsidR="006D292C" w:rsidRPr="002574EC">
        <w:t xml:space="preserve">, </w:t>
      </w:r>
      <w:r w:rsidR="00A27FF3" w:rsidRPr="002574EC">
        <w:t xml:space="preserve">at </w:t>
      </w:r>
      <w:r w:rsidR="006D292C" w:rsidRPr="002574EC">
        <w:t xml:space="preserve">98.87 deaths </w:t>
      </w:r>
      <w:r w:rsidR="006D40FD" w:rsidRPr="002574EC">
        <w:t xml:space="preserve">per </w:t>
      </w:r>
      <w:r w:rsidR="006D292C" w:rsidRPr="002574EC">
        <w:t>100,000 live births.</w:t>
      </w:r>
      <w:r w:rsidR="006962F6" w:rsidRPr="002574EC">
        <w:rPr>
          <w:vertAlign w:val="superscript"/>
        </w:rPr>
        <w:footnoteReference w:id="329"/>
      </w:r>
      <w:r w:rsidR="009D7677" w:rsidRPr="002574EC">
        <w:t xml:space="preserve"> </w:t>
      </w:r>
      <w:r w:rsidR="006962F6" w:rsidRPr="002574EC">
        <w:t xml:space="preserve">  </w:t>
      </w:r>
      <w:r w:rsidR="002F6824" w:rsidRPr="002574EC">
        <w:t xml:space="preserve">Likewise, the Commission has received information that </w:t>
      </w:r>
      <w:r w:rsidR="00AA48B5" w:rsidRPr="002574EC">
        <w:t xml:space="preserve">the shortage </w:t>
      </w:r>
      <w:r w:rsidR="00886719" w:rsidRPr="002574EC">
        <w:t xml:space="preserve">of contraception </w:t>
      </w:r>
      <w:r w:rsidR="00AA48B5" w:rsidRPr="002574EC">
        <w:t xml:space="preserve">in pharmacies of five of Venezuela’s largest cities </w:t>
      </w:r>
      <w:r w:rsidR="002D121A" w:rsidRPr="002574EC">
        <w:t xml:space="preserve">is higher than </w:t>
      </w:r>
      <w:r w:rsidR="00856DEB" w:rsidRPr="002574EC">
        <w:t>80%</w:t>
      </w:r>
      <w:r w:rsidR="00A14BCE" w:rsidRPr="002574EC">
        <w:t>.</w:t>
      </w:r>
      <w:r w:rsidR="006962F6" w:rsidRPr="002574EC">
        <w:rPr>
          <w:vertAlign w:val="superscript"/>
        </w:rPr>
        <w:footnoteReference w:id="330"/>
      </w:r>
      <w:r w:rsidR="00A14BCE" w:rsidRPr="002574EC">
        <w:t xml:space="preserve">  On this score, the </w:t>
      </w:r>
      <w:r w:rsidR="00467C7C" w:rsidRPr="002574EC">
        <w:t xml:space="preserve">IACHR observes that civil society organizations </w:t>
      </w:r>
      <w:r w:rsidR="003825C0" w:rsidRPr="002574EC">
        <w:t>report that youn</w:t>
      </w:r>
      <w:r w:rsidR="001301A4" w:rsidRPr="002574EC">
        <w:t xml:space="preserve">g women </w:t>
      </w:r>
      <w:r w:rsidR="007C7E69" w:rsidRPr="002574EC">
        <w:t>of</w:t>
      </w:r>
      <w:r w:rsidR="001301A4" w:rsidRPr="002574EC">
        <w:t xml:space="preserve"> reproductive age </w:t>
      </w:r>
      <w:r w:rsidR="003A1CEA" w:rsidRPr="002574EC">
        <w:t xml:space="preserve">feel compelled </w:t>
      </w:r>
      <w:r w:rsidR="00DF463B" w:rsidRPr="002574EC">
        <w:t xml:space="preserve">to resort to sterilization </w:t>
      </w:r>
      <w:r w:rsidR="00550DBF" w:rsidRPr="002574EC">
        <w:t>because of the short supply of contr</w:t>
      </w:r>
      <w:r w:rsidR="00721136" w:rsidRPr="002574EC">
        <w:t>a</w:t>
      </w:r>
      <w:r w:rsidR="00550DBF" w:rsidRPr="002574EC">
        <w:t>ceptive methods.</w:t>
      </w:r>
      <w:r w:rsidR="00754C8D" w:rsidRPr="002574EC">
        <w:rPr>
          <w:vertAlign w:val="superscript"/>
        </w:rPr>
        <w:footnoteReference w:id="331"/>
      </w:r>
      <w:r w:rsidR="00550DBF" w:rsidRPr="002574EC">
        <w:t xml:space="preserve"> </w:t>
      </w:r>
      <w:r w:rsidR="00754C8D" w:rsidRPr="002574EC">
        <w:t xml:space="preserve"> </w:t>
      </w:r>
      <w:r w:rsidR="00846D80" w:rsidRPr="002574EC">
        <w:t xml:space="preserve">In this context, civil society organizations report that young women </w:t>
      </w:r>
      <w:r w:rsidR="00C00C64" w:rsidRPr="002574EC">
        <w:t xml:space="preserve">of reproductive age </w:t>
      </w:r>
      <w:r w:rsidR="00770365" w:rsidRPr="002574EC">
        <w:t xml:space="preserve">are being </w:t>
      </w:r>
      <w:r w:rsidR="0064606D" w:rsidRPr="002574EC">
        <w:lastRenderedPageBreak/>
        <w:t>coerced to undergo sterilization</w:t>
      </w:r>
      <w:r w:rsidR="006962F6" w:rsidRPr="002574EC">
        <w:rPr>
          <w:vertAlign w:val="superscript"/>
        </w:rPr>
        <w:footnoteReference w:id="332"/>
      </w:r>
      <w:r w:rsidR="006962F6" w:rsidRPr="002574EC">
        <w:t xml:space="preserve"> </w:t>
      </w:r>
      <w:r w:rsidR="007B1C6A" w:rsidRPr="002574EC">
        <w:t>as a contraception method</w:t>
      </w:r>
      <w:r w:rsidR="00F92A77" w:rsidRPr="002574EC">
        <w:t>,</w:t>
      </w:r>
      <w:r w:rsidR="006962F6" w:rsidRPr="002574EC">
        <w:rPr>
          <w:vertAlign w:val="superscript"/>
        </w:rPr>
        <w:footnoteReference w:id="333"/>
      </w:r>
      <w:r w:rsidR="006962F6" w:rsidRPr="002574EC">
        <w:t xml:space="preserve"> </w:t>
      </w:r>
      <w:r w:rsidR="00F92A77" w:rsidRPr="002574EC">
        <w:t xml:space="preserve">in </w:t>
      </w:r>
      <w:r w:rsidR="002553D0" w:rsidRPr="002574EC">
        <w:t xml:space="preserve">flagrant </w:t>
      </w:r>
      <w:r w:rsidR="00F92A77" w:rsidRPr="002574EC">
        <w:t>violation of the right to physical integrity</w:t>
      </w:r>
      <w:r w:rsidR="008B2867" w:rsidRPr="002574EC">
        <w:t>, equality and non</w:t>
      </w:r>
      <w:r w:rsidR="00526F56" w:rsidRPr="002574EC">
        <w:t>-</w:t>
      </w:r>
      <w:r w:rsidR="008B2867" w:rsidRPr="002574EC">
        <w:t>discrimination</w:t>
      </w:r>
      <w:r w:rsidR="00F7756F" w:rsidRPr="002574EC">
        <w:t xml:space="preserve">, to health, to privacy and respect for the autonomy of women and persons with </w:t>
      </w:r>
      <w:r w:rsidR="00183845" w:rsidRPr="002574EC">
        <w:t>the capacity to gestate</w:t>
      </w:r>
      <w:r w:rsidR="00F7756F" w:rsidRPr="002574EC">
        <w:t>.</w:t>
      </w:r>
      <w:r w:rsidR="006962F6" w:rsidRPr="002574EC">
        <w:t xml:space="preserve">  </w:t>
      </w:r>
      <w:r w:rsidR="005508A1" w:rsidRPr="002574EC">
        <w:t xml:space="preserve">Lastly, the IACHR notes the persistent </w:t>
      </w:r>
      <w:r w:rsidR="00C75577" w:rsidRPr="002574EC">
        <w:t>use of criminalization</w:t>
      </w:r>
      <w:r w:rsidR="00891033" w:rsidRPr="002574EC">
        <w:t xml:space="preserve"> of voluntary termination of pregnancy, except when </w:t>
      </w:r>
      <w:r w:rsidR="00C730FC" w:rsidRPr="002574EC">
        <w:t xml:space="preserve">the life of </w:t>
      </w:r>
      <w:r w:rsidR="00891033" w:rsidRPr="002574EC">
        <w:t>the woman or gestating person</w:t>
      </w:r>
      <w:r w:rsidR="002B2353" w:rsidRPr="002574EC">
        <w:t xml:space="preserve"> is at risk.</w:t>
      </w:r>
      <w:r w:rsidR="006962F6" w:rsidRPr="002574EC">
        <w:rPr>
          <w:vertAlign w:val="superscript"/>
        </w:rPr>
        <w:footnoteReference w:id="334"/>
      </w:r>
    </w:p>
    <w:p w14:paraId="63BDE3AC" w14:textId="77777777" w:rsidR="006962F6" w:rsidRPr="002574EC" w:rsidRDefault="006962F6" w:rsidP="00E07D06">
      <w:pPr>
        <w:ind w:left="426" w:hanging="426"/>
        <w:contextualSpacing/>
        <w:rPr>
          <w:rFonts w:ascii="Cambria" w:hAnsi="Cambria"/>
          <w:sz w:val="20"/>
          <w:szCs w:val="20"/>
        </w:rPr>
      </w:pPr>
    </w:p>
    <w:p w14:paraId="5E2B08C3" w14:textId="6D1F87DC" w:rsidR="0071577F" w:rsidRPr="002574EC" w:rsidRDefault="008D723D" w:rsidP="00F85814">
      <w:pPr>
        <w:pStyle w:val="ListParagraph"/>
      </w:pPr>
      <w:r w:rsidRPr="002574EC">
        <w:t>In view of the foregoing, the Commiss</w:t>
      </w:r>
      <w:r w:rsidR="00511ABB" w:rsidRPr="002574EC">
        <w:t>ion</w:t>
      </w:r>
      <w:r w:rsidRPr="002574EC">
        <w:t xml:space="preserve"> reiterates the call to the State to bring down the </w:t>
      </w:r>
      <w:r w:rsidRPr="002574EC">
        <w:rPr>
          <w:i/>
          <w:iCs/>
        </w:rPr>
        <w:t xml:space="preserve">de jure </w:t>
      </w:r>
      <w:r w:rsidRPr="002574EC">
        <w:t xml:space="preserve">and </w:t>
      </w:r>
      <w:r w:rsidRPr="002574EC">
        <w:rPr>
          <w:i/>
          <w:iCs/>
        </w:rPr>
        <w:t xml:space="preserve">de facto </w:t>
      </w:r>
      <w:r w:rsidRPr="002574EC">
        <w:t xml:space="preserve">barriers standing in the way of access </w:t>
      </w:r>
      <w:r w:rsidR="002D3423" w:rsidRPr="002574EC">
        <w:t xml:space="preserve">to </w:t>
      </w:r>
      <w:r w:rsidR="007A7EC9" w:rsidRPr="002574EC">
        <w:t xml:space="preserve">sexual, reproductive and maternal </w:t>
      </w:r>
      <w:r w:rsidR="0073718C" w:rsidRPr="002574EC">
        <w:t xml:space="preserve">health </w:t>
      </w:r>
      <w:r w:rsidR="007A7EC9" w:rsidRPr="002574EC">
        <w:t>services,</w:t>
      </w:r>
      <w:r w:rsidR="006962F6" w:rsidRPr="002574EC">
        <w:rPr>
          <w:rStyle w:val="FootnoteReference"/>
        </w:rPr>
        <w:footnoteReference w:id="335"/>
      </w:r>
      <w:r w:rsidR="001059BB" w:rsidRPr="002574EC">
        <w:t xml:space="preserve"> as well as overhauling its restrictive legislation on </w:t>
      </w:r>
      <w:r w:rsidR="003463ED" w:rsidRPr="002574EC">
        <w:t>voluntary termination of pregnancy.</w:t>
      </w:r>
      <w:r w:rsidR="006962F6" w:rsidRPr="002574EC">
        <w:rPr>
          <w:rStyle w:val="FootnoteReference"/>
        </w:rPr>
        <w:footnoteReference w:id="336"/>
      </w:r>
      <w:r w:rsidR="00862E7C" w:rsidRPr="002574EC">
        <w:t xml:space="preserve">  </w:t>
      </w:r>
      <w:r w:rsidR="00332F32" w:rsidRPr="002574EC">
        <w:t>The Commission recalls that the lack of access to health services and supplies</w:t>
      </w:r>
      <w:r w:rsidR="00935D12" w:rsidRPr="002574EC">
        <w:t xml:space="preserve"> that are only required by women and persons with the capacity to gestate</w:t>
      </w:r>
      <w:r w:rsidR="00F420B0" w:rsidRPr="002574EC">
        <w:t xml:space="preserve">, </w:t>
      </w:r>
      <w:r w:rsidR="00A9291A" w:rsidRPr="002574EC">
        <w:t xml:space="preserve">amounts to </w:t>
      </w:r>
      <w:r w:rsidR="00AC6BF4" w:rsidRPr="002574EC">
        <w:t>a violation of the principle of equality and non-discrimination</w:t>
      </w:r>
      <w:r w:rsidR="00472B99" w:rsidRPr="002574EC">
        <w:t xml:space="preserve">, in addition to </w:t>
      </w:r>
      <w:r w:rsidR="001D17BB" w:rsidRPr="002574EC">
        <w:t xml:space="preserve">infringing </w:t>
      </w:r>
      <w:r w:rsidR="00822F2D" w:rsidRPr="002574EC">
        <w:t xml:space="preserve">their rights to physical, emotional and moral integrity. </w:t>
      </w:r>
      <w:r w:rsidR="006962F6" w:rsidRPr="002574EC">
        <w:t xml:space="preserve"> </w:t>
      </w:r>
      <w:r w:rsidR="00051402" w:rsidRPr="002574EC">
        <w:t xml:space="preserve">It also recalls that </w:t>
      </w:r>
      <w:r w:rsidR="002119A2" w:rsidRPr="002574EC">
        <w:t>absolute criminalization of voluntary termination of pregnancy</w:t>
      </w:r>
      <w:r w:rsidR="00247AB0" w:rsidRPr="002574EC">
        <w:t xml:space="preserve">, including when the pregnancy is the product of </w:t>
      </w:r>
      <w:r w:rsidR="00ED72D0" w:rsidRPr="002574EC">
        <w:t xml:space="preserve">rape or incest, places a disproportionate burden on the exercise </w:t>
      </w:r>
      <w:r w:rsidR="00727A91" w:rsidRPr="002574EC">
        <w:t>of the fundamental rights of women and girls and persons with a capacity to gestate</w:t>
      </w:r>
      <w:r w:rsidR="009E2BD9" w:rsidRPr="002574EC">
        <w:t xml:space="preserve">, and creates a context that </w:t>
      </w:r>
      <w:r w:rsidR="00AC23E2" w:rsidRPr="002574EC">
        <w:t xml:space="preserve">paves the way for </w:t>
      </w:r>
      <w:r w:rsidR="009E2BD9" w:rsidRPr="002574EC">
        <w:t>unsafe abortions and high mortality rates.</w:t>
      </w:r>
      <w:r w:rsidR="006962F6" w:rsidRPr="002574EC">
        <w:rPr>
          <w:rStyle w:val="FootnoteReference"/>
        </w:rPr>
        <w:footnoteReference w:id="337"/>
      </w:r>
      <w:r w:rsidR="006962F6" w:rsidRPr="002574EC">
        <w:t xml:space="preserve"> </w:t>
      </w:r>
    </w:p>
    <w:p w14:paraId="7EA38DC0" w14:textId="77777777" w:rsidR="0071577F" w:rsidRPr="002574EC" w:rsidRDefault="0071577F" w:rsidP="00E07D06">
      <w:pPr>
        <w:ind w:left="426" w:hanging="426"/>
        <w:contextualSpacing/>
        <w:jc w:val="both"/>
        <w:rPr>
          <w:rFonts w:ascii="Cambria" w:hAnsi="Cambria"/>
          <w:sz w:val="20"/>
          <w:szCs w:val="20"/>
        </w:rPr>
      </w:pPr>
    </w:p>
    <w:p w14:paraId="06D41F0B" w14:textId="77034333" w:rsidR="006962F6" w:rsidRPr="002574EC" w:rsidRDefault="00D83E92" w:rsidP="00F85814">
      <w:pPr>
        <w:pStyle w:val="ListParagraph"/>
      </w:pPr>
      <w:r w:rsidRPr="002574EC">
        <w:t xml:space="preserve">Lastly, the Commission urges the State to </w:t>
      </w:r>
      <w:r w:rsidR="00CE7C89" w:rsidRPr="002574EC">
        <w:t xml:space="preserve">take legislative, budgetary, public policy and any other measures that are necessary to ensure, without any discrimination, the availability, accessibility, appropriateness and quality of sexual and reproductive health facilities, goods and services, under an intersectional and gender approach, including </w:t>
      </w:r>
      <w:r w:rsidR="009175CC" w:rsidRPr="002574EC">
        <w:t xml:space="preserve">access to voluntary termination of pregnancy </w:t>
      </w:r>
      <w:r w:rsidR="00A943C0" w:rsidRPr="002574EC">
        <w:t>when life or health are at risk, as well as in cases of rape or incest</w:t>
      </w:r>
      <w:r w:rsidR="006962F6" w:rsidRPr="002574EC">
        <w:t xml:space="preserve">. </w:t>
      </w:r>
    </w:p>
    <w:p w14:paraId="22866AF6" w14:textId="77777777" w:rsidR="006962F6" w:rsidRPr="002574EC" w:rsidRDefault="006962F6" w:rsidP="00E07D06">
      <w:pPr>
        <w:widowControl w:val="0"/>
        <w:pBdr>
          <w:top w:val="nil"/>
          <w:left w:val="nil"/>
          <w:bottom w:val="nil"/>
          <w:right w:val="nil"/>
          <w:between w:val="nil"/>
        </w:pBdr>
        <w:ind w:left="426" w:hanging="426"/>
        <w:jc w:val="both"/>
        <w:rPr>
          <w:rFonts w:ascii="Cambria" w:hAnsi="Cambria"/>
          <w:b/>
          <w:bCs/>
          <w:sz w:val="20"/>
          <w:szCs w:val="20"/>
        </w:rPr>
      </w:pPr>
    </w:p>
    <w:p w14:paraId="1B1B3311" w14:textId="77777777" w:rsidR="00762AC5" w:rsidRPr="002574EC" w:rsidRDefault="00762AC5" w:rsidP="00E07D06">
      <w:pPr>
        <w:widowControl w:val="0"/>
        <w:pBdr>
          <w:top w:val="nil"/>
          <w:left w:val="nil"/>
          <w:bottom w:val="nil"/>
          <w:right w:val="nil"/>
          <w:between w:val="nil"/>
        </w:pBdr>
        <w:ind w:left="426" w:hanging="426"/>
        <w:jc w:val="both"/>
        <w:rPr>
          <w:rFonts w:ascii="Cambria" w:hAnsi="Cambria"/>
          <w:b/>
          <w:bCs/>
          <w:sz w:val="20"/>
          <w:szCs w:val="20"/>
        </w:rPr>
      </w:pPr>
    </w:p>
    <w:p w14:paraId="00FA0729" w14:textId="516B5407" w:rsidR="002523D6" w:rsidRPr="002574EC" w:rsidRDefault="00417A5D" w:rsidP="007E075D">
      <w:pPr>
        <w:pStyle w:val="Heading2"/>
      </w:pPr>
      <w:r w:rsidRPr="002574EC">
        <w:t xml:space="preserve">Human rights defenders </w:t>
      </w:r>
    </w:p>
    <w:p w14:paraId="318877CF" w14:textId="77777777" w:rsidR="00CD6E7D" w:rsidRPr="002574EC" w:rsidRDefault="00CD6E7D" w:rsidP="00E07D06">
      <w:pPr>
        <w:widowControl w:val="0"/>
        <w:pBdr>
          <w:top w:val="nil"/>
          <w:left w:val="nil"/>
          <w:bottom w:val="nil"/>
          <w:right w:val="nil"/>
          <w:between w:val="nil"/>
        </w:pBdr>
        <w:ind w:left="426" w:hanging="426"/>
        <w:jc w:val="both"/>
        <w:rPr>
          <w:rFonts w:ascii="Cambria" w:hAnsi="Cambria"/>
          <w:b/>
          <w:bCs/>
          <w:sz w:val="20"/>
          <w:szCs w:val="20"/>
        </w:rPr>
      </w:pPr>
    </w:p>
    <w:p w14:paraId="5B690043" w14:textId="50E4653A" w:rsidR="00CD6E7D" w:rsidRPr="002574EC" w:rsidRDefault="00417A5D" w:rsidP="00F85814">
      <w:pPr>
        <w:pStyle w:val="ListParagraph"/>
      </w:pPr>
      <w:r w:rsidRPr="002574EC">
        <w:t xml:space="preserve">The situation of human rights defenders in Venezuela has been of constant concern to the IACHR. </w:t>
      </w:r>
      <w:r w:rsidR="00155A7F" w:rsidRPr="002574EC">
        <w:t xml:space="preserve"> In 2021, the Commission continued to observe </w:t>
      </w:r>
      <w:r w:rsidR="007215FC" w:rsidRPr="002574EC">
        <w:t xml:space="preserve">that the </w:t>
      </w:r>
      <w:r w:rsidR="005276E2" w:rsidRPr="002574EC">
        <w:t xml:space="preserve">exercise of the defense of human rights in Venezuela </w:t>
      </w:r>
      <w:r w:rsidR="00C353F7" w:rsidRPr="002574EC">
        <w:t xml:space="preserve">takes place in </w:t>
      </w:r>
      <w:r w:rsidR="00674395" w:rsidRPr="002574EC">
        <w:t>a hostile environment</w:t>
      </w:r>
      <w:r w:rsidR="003E12B3" w:rsidRPr="002574EC">
        <w:t xml:space="preserve">, </w:t>
      </w:r>
      <w:r w:rsidR="0009106E" w:rsidRPr="002574EC">
        <w:t xml:space="preserve">where </w:t>
      </w:r>
      <w:r w:rsidR="002D14EB" w:rsidRPr="002574EC">
        <w:t xml:space="preserve">intense smear campaigns, </w:t>
      </w:r>
      <w:r w:rsidR="004C08F2" w:rsidRPr="002574EC">
        <w:t xml:space="preserve">stigmatization and acts of </w:t>
      </w:r>
      <w:r w:rsidR="000418E0" w:rsidRPr="002574EC">
        <w:t>harassment as retaliation to the activity</w:t>
      </w:r>
      <w:r w:rsidR="00761D7C" w:rsidRPr="002574EC">
        <w:t>,</w:t>
      </w:r>
      <w:r w:rsidR="007442DE" w:rsidRPr="002574EC">
        <w:t xml:space="preserve"> are prevalent. </w:t>
      </w:r>
      <w:r w:rsidR="00642DD3" w:rsidRPr="002574EC">
        <w:t xml:space="preserve"> On this score, the commission </w:t>
      </w:r>
      <w:r w:rsidR="00343049" w:rsidRPr="002574EC">
        <w:t xml:space="preserve">views with concern </w:t>
      </w:r>
      <w:r w:rsidR="00F45358" w:rsidRPr="002574EC">
        <w:t>a persistent</w:t>
      </w:r>
      <w:r w:rsidR="00AF3E7C" w:rsidRPr="002574EC">
        <w:t xml:space="preserve"> and</w:t>
      </w:r>
      <w:r w:rsidR="001B3B8E" w:rsidRPr="002574EC">
        <w:t xml:space="preserve"> dire </w:t>
      </w:r>
      <w:r w:rsidR="00B07EC8" w:rsidRPr="002574EC">
        <w:t>scenario of human rights violations of the rights of defenders themselves</w:t>
      </w:r>
      <w:r w:rsidR="00837EE0" w:rsidRPr="002574EC">
        <w:t xml:space="preserve">, which keeps them from being able to </w:t>
      </w:r>
      <w:r w:rsidR="00D72071" w:rsidRPr="002574EC">
        <w:t xml:space="preserve">go about their </w:t>
      </w:r>
      <w:r w:rsidR="00660339" w:rsidRPr="002574EC">
        <w:t xml:space="preserve">activities free of </w:t>
      </w:r>
      <w:r w:rsidR="0093313E" w:rsidRPr="002574EC">
        <w:t>intimidation.</w:t>
      </w:r>
      <w:r w:rsidR="00CD6E7D" w:rsidRPr="002574EC">
        <w:t xml:space="preserve"> </w:t>
      </w:r>
    </w:p>
    <w:p w14:paraId="663BEFCA" w14:textId="77777777" w:rsidR="00CD6E7D" w:rsidRPr="002574EC" w:rsidRDefault="00CD6E7D" w:rsidP="00E07D06">
      <w:pPr>
        <w:ind w:left="426" w:hanging="426"/>
        <w:contextualSpacing/>
        <w:jc w:val="both"/>
        <w:rPr>
          <w:rFonts w:ascii="Cambria" w:eastAsia="Cambria" w:hAnsi="Cambria" w:cs="Cambria"/>
          <w:sz w:val="20"/>
          <w:szCs w:val="20"/>
        </w:rPr>
      </w:pPr>
    </w:p>
    <w:p w14:paraId="58BB2FED" w14:textId="5D701D23" w:rsidR="00CD6E7D" w:rsidRPr="002574EC" w:rsidRDefault="00AB2AB1" w:rsidP="00F85814">
      <w:pPr>
        <w:pStyle w:val="ListParagraph"/>
      </w:pPr>
      <w:r w:rsidRPr="002574EC">
        <w:t>In general, the IACHR has received information about a steady increase in assaults on human rights defenders and organizations</w:t>
      </w:r>
      <w:r w:rsidR="00B5126F" w:rsidRPr="002574EC">
        <w:t xml:space="preserve"> over the past years. </w:t>
      </w:r>
      <w:r w:rsidR="00455C5D" w:rsidRPr="002574EC">
        <w:t xml:space="preserve">As of September 2021, </w:t>
      </w:r>
      <w:r w:rsidR="00C632A2" w:rsidRPr="002574EC">
        <w:t>the</w:t>
      </w:r>
      <w:r w:rsidR="00CD6E7D" w:rsidRPr="002574EC">
        <w:t xml:space="preserve"> Centro para los Defensores y la Justicia </w:t>
      </w:r>
      <w:r w:rsidR="00C632A2" w:rsidRPr="002574EC">
        <w:t xml:space="preserve">reported </w:t>
      </w:r>
      <w:r w:rsidR="00CD6E7D" w:rsidRPr="002574EC">
        <w:t>609 a</w:t>
      </w:r>
      <w:r w:rsidR="00C7522B" w:rsidRPr="002574EC">
        <w:t>ssaults in the following forms:</w:t>
      </w:r>
      <w:r w:rsidR="00CD6E7D" w:rsidRPr="002574EC">
        <w:t xml:space="preserve"> </w:t>
      </w:r>
      <w:r w:rsidR="00C7522B" w:rsidRPr="002574EC">
        <w:t xml:space="preserve">stigmatization </w:t>
      </w:r>
      <w:r w:rsidR="00CD6E7D" w:rsidRPr="002574EC">
        <w:t xml:space="preserve">(711), </w:t>
      </w:r>
      <w:r w:rsidR="00C7522B" w:rsidRPr="002574EC">
        <w:t xml:space="preserve">intimidation and harassment </w:t>
      </w:r>
      <w:r w:rsidR="00CD6E7D" w:rsidRPr="002574EC">
        <w:t xml:space="preserve">(159); </w:t>
      </w:r>
      <w:r w:rsidR="00810744" w:rsidRPr="002574EC">
        <w:t xml:space="preserve">threats </w:t>
      </w:r>
      <w:r w:rsidR="00CD6E7D" w:rsidRPr="002574EC">
        <w:t xml:space="preserve">(64); </w:t>
      </w:r>
      <w:r w:rsidR="00810744" w:rsidRPr="002574EC">
        <w:t xml:space="preserve">arbitrary detention </w:t>
      </w:r>
      <w:r w:rsidR="00CD6E7D" w:rsidRPr="002574EC">
        <w:t xml:space="preserve">(35); </w:t>
      </w:r>
      <w:r w:rsidR="001F1A76" w:rsidRPr="002574EC">
        <w:t xml:space="preserve">raids </w:t>
      </w:r>
      <w:r w:rsidR="00CD6E7D" w:rsidRPr="002574EC">
        <w:t xml:space="preserve">(14); </w:t>
      </w:r>
      <w:r w:rsidR="001F1A76" w:rsidRPr="002574EC">
        <w:t xml:space="preserve">digital attacks </w:t>
      </w:r>
      <w:r w:rsidR="00CD6E7D" w:rsidRPr="002574EC">
        <w:t xml:space="preserve">(29); </w:t>
      </w:r>
      <w:r w:rsidR="002840B8" w:rsidRPr="002574EC">
        <w:t xml:space="preserve">prosecution </w:t>
      </w:r>
      <w:r w:rsidR="00CD6E7D" w:rsidRPr="002574EC">
        <w:t xml:space="preserve">(20); </w:t>
      </w:r>
      <w:r w:rsidR="002840B8" w:rsidRPr="002574EC">
        <w:t>other</w:t>
      </w:r>
      <w:r w:rsidR="00CD6E7D" w:rsidRPr="002574EC">
        <w:t xml:space="preserve"> (15). </w:t>
      </w:r>
      <w:r w:rsidR="002840B8" w:rsidRPr="002574EC">
        <w:t xml:space="preserve">These figures evince a considerable rise over 2020, when </w:t>
      </w:r>
      <w:r w:rsidR="00CD6E7D" w:rsidRPr="002574EC">
        <w:t xml:space="preserve">303 </w:t>
      </w:r>
      <w:r w:rsidR="002840B8" w:rsidRPr="002574EC">
        <w:t xml:space="preserve">attacks were reported, and </w:t>
      </w:r>
      <w:r w:rsidR="00CD6E7D" w:rsidRPr="002574EC">
        <w:t xml:space="preserve">2019, </w:t>
      </w:r>
      <w:r w:rsidR="002840B8" w:rsidRPr="002574EC">
        <w:t xml:space="preserve">with </w:t>
      </w:r>
      <w:r w:rsidR="00CD6E7D" w:rsidRPr="002574EC">
        <w:t>135</w:t>
      </w:r>
      <w:r w:rsidR="002840B8" w:rsidRPr="002574EC">
        <w:t xml:space="preserve"> </w:t>
      </w:r>
      <w:r w:rsidR="002840B8" w:rsidRPr="002574EC">
        <w:lastRenderedPageBreak/>
        <w:t>reported attacks.</w:t>
      </w:r>
      <w:r w:rsidR="00CD6E7D" w:rsidRPr="002574EC">
        <w:rPr>
          <w:rStyle w:val="FootnoteReference"/>
        </w:rPr>
        <w:footnoteReference w:id="338"/>
      </w:r>
      <w:r w:rsidR="002840B8" w:rsidRPr="002574EC">
        <w:t xml:space="preserve">  Specifically, in 2021, the IACHR ascertained that raids on human rights </w:t>
      </w:r>
      <w:r w:rsidR="004255F2" w:rsidRPr="002574EC">
        <w:t xml:space="preserve">and humanitarian action </w:t>
      </w:r>
      <w:r w:rsidR="002840B8" w:rsidRPr="002574EC">
        <w:t>organizations continued</w:t>
      </w:r>
      <w:r w:rsidR="005F3D47" w:rsidRPr="002574EC">
        <w:t xml:space="preserve">, as well as detentions of human rights defenders. </w:t>
      </w:r>
      <w:r w:rsidR="002840B8" w:rsidRPr="002574EC">
        <w:t xml:space="preserve"> </w:t>
      </w:r>
      <w:r w:rsidR="00CD6E7D" w:rsidRPr="002574EC">
        <w:t xml:space="preserve"> </w:t>
      </w:r>
      <w:r w:rsidR="00277B1C" w:rsidRPr="002574EC">
        <w:t xml:space="preserve">In this regard, the Commission </w:t>
      </w:r>
      <w:r w:rsidR="00460E1A" w:rsidRPr="002574EC">
        <w:t>was informed about a raid on the main office of the organization</w:t>
      </w:r>
      <w:r w:rsidR="00CD6E7D" w:rsidRPr="002574EC">
        <w:t xml:space="preserve"> Azul Positivo </w:t>
      </w:r>
      <w:r w:rsidR="005E07CE" w:rsidRPr="002574EC">
        <w:t xml:space="preserve">on January </w:t>
      </w:r>
      <w:r w:rsidR="00CD6E7D" w:rsidRPr="002574EC">
        <w:t>12</w:t>
      </w:r>
      <w:r w:rsidR="005E07CE" w:rsidRPr="002574EC">
        <w:t>,</w:t>
      </w:r>
      <w:r w:rsidR="00CD6E7D" w:rsidRPr="002574EC">
        <w:t xml:space="preserve"> 2021. </w:t>
      </w:r>
      <w:r w:rsidR="004026BA" w:rsidRPr="002574EC">
        <w:t xml:space="preserve">According to </w:t>
      </w:r>
      <w:r w:rsidR="005A7C3D" w:rsidRPr="002574EC">
        <w:t>public information, following the raid on their offices in Maracaibo, 5 members of this organization were detained and held in custody for several days.</w:t>
      </w:r>
      <w:r w:rsidR="00CD6E7D" w:rsidRPr="002574EC">
        <w:rPr>
          <w:rStyle w:val="FootnoteReference"/>
        </w:rPr>
        <w:footnoteReference w:id="339"/>
      </w:r>
      <w:r w:rsidR="00CD6E7D" w:rsidRPr="002574EC">
        <w:t xml:space="preserve"> </w:t>
      </w:r>
    </w:p>
    <w:p w14:paraId="202A8073" w14:textId="77777777" w:rsidR="00CD6E7D" w:rsidRPr="002574EC" w:rsidRDefault="00CD6E7D" w:rsidP="00E07D06">
      <w:pPr>
        <w:ind w:left="426" w:hanging="426"/>
        <w:contextualSpacing/>
        <w:jc w:val="both"/>
        <w:rPr>
          <w:rFonts w:ascii="Cambria" w:hAnsi="Cambria"/>
          <w:sz w:val="20"/>
          <w:szCs w:val="20"/>
        </w:rPr>
      </w:pPr>
    </w:p>
    <w:p w14:paraId="198E7E17" w14:textId="70BEF84A" w:rsidR="00CD6E7D" w:rsidRPr="002574EC" w:rsidRDefault="004938E7" w:rsidP="00F85814">
      <w:pPr>
        <w:pStyle w:val="ListParagraph"/>
      </w:pPr>
      <w:r w:rsidRPr="002574EC">
        <w:t xml:space="preserve">Likewise, </w:t>
      </w:r>
      <w:r w:rsidR="00D93F19" w:rsidRPr="002574EC">
        <w:t>on March</w:t>
      </w:r>
      <w:r w:rsidR="00CD6E7D" w:rsidRPr="002574EC">
        <w:t xml:space="preserve"> 31</w:t>
      </w:r>
      <w:r w:rsidR="00D93F19" w:rsidRPr="002574EC">
        <w:t>,</w:t>
      </w:r>
      <w:r w:rsidR="00CD6E7D" w:rsidRPr="002574EC">
        <w:t xml:space="preserve"> 2021, </w:t>
      </w:r>
      <w:r w:rsidR="00D93F19" w:rsidRPr="002574EC">
        <w:t xml:space="preserve">the IACHR received information claiming that </w:t>
      </w:r>
      <w:r w:rsidR="00CD6E7D" w:rsidRPr="002574EC">
        <w:t xml:space="preserve">Juan Carlos Salazar </w:t>
      </w:r>
      <w:r w:rsidR="00D93F19" w:rsidRPr="002574EC">
        <w:t>and</w:t>
      </w:r>
      <w:r w:rsidR="00CD6E7D" w:rsidRPr="002574EC">
        <w:t xml:space="preserve"> Diógenes Tirado, a</w:t>
      </w:r>
      <w:r w:rsidR="008812F3" w:rsidRPr="002574EC">
        <w:t xml:space="preserve">ctivists of </w:t>
      </w:r>
      <w:r w:rsidR="00CD6E7D" w:rsidRPr="002574EC">
        <w:t xml:space="preserve">FundaRederes, </w:t>
      </w:r>
      <w:r w:rsidR="00A740F1" w:rsidRPr="002574EC">
        <w:t xml:space="preserve">had been detained by the Bolivarian National Guard in the town of Victoria, state of Apure, </w:t>
      </w:r>
      <w:r w:rsidR="003D3F88" w:rsidRPr="002574EC">
        <w:t xml:space="preserve">while they were documenting </w:t>
      </w:r>
      <w:r w:rsidR="00F16A6A" w:rsidRPr="002574EC">
        <w:t>the situation of armed conflict in the area</w:t>
      </w:r>
      <w:r w:rsidR="00CD6E7D" w:rsidRPr="002574EC">
        <w:t xml:space="preserve">. </w:t>
      </w:r>
      <w:r w:rsidR="0058472D" w:rsidRPr="002574EC">
        <w:t xml:space="preserve">Of particular concern to the Commission are reports that these individuals were held incommunicado for more than 25 hours and that </w:t>
      </w:r>
      <w:r w:rsidR="00BC713A" w:rsidRPr="002574EC">
        <w:t>both their cellphones and audiovisual materials were seized</w:t>
      </w:r>
      <w:r w:rsidR="00C442BA" w:rsidRPr="002574EC">
        <w:t>.</w:t>
      </w:r>
      <w:r w:rsidR="00CD6E7D" w:rsidRPr="002574EC">
        <w:rPr>
          <w:rStyle w:val="FootnoteReference"/>
        </w:rPr>
        <w:footnoteReference w:id="340"/>
      </w:r>
    </w:p>
    <w:p w14:paraId="0A8808AF" w14:textId="77777777" w:rsidR="00CD6E7D" w:rsidRPr="002574EC" w:rsidRDefault="00CD6E7D" w:rsidP="00E07D06">
      <w:pPr>
        <w:ind w:left="426" w:hanging="426"/>
        <w:contextualSpacing/>
        <w:jc w:val="both"/>
        <w:rPr>
          <w:rFonts w:ascii="Cambria" w:hAnsi="Cambria"/>
          <w:sz w:val="20"/>
          <w:szCs w:val="20"/>
        </w:rPr>
      </w:pPr>
    </w:p>
    <w:p w14:paraId="1FC1CA43" w14:textId="11718086" w:rsidR="00CD6E7D" w:rsidRPr="002574EC" w:rsidRDefault="00EC5F57" w:rsidP="00F85814">
      <w:pPr>
        <w:pStyle w:val="ListParagraph"/>
      </w:pPr>
      <w:r w:rsidRPr="002574EC">
        <w:t>Similarly, on July</w:t>
      </w:r>
      <w:r w:rsidR="00CD6E7D" w:rsidRPr="002574EC">
        <w:t xml:space="preserve"> 2</w:t>
      </w:r>
      <w:r w:rsidRPr="002574EC">
        <w:t xml:space="preserve">, </w:t>
      </w:r>
      <w:r w:rsidR="00CD6E7D" w:rsidRPr="002574EC">
        <w:t xml:space="preserve"> 2021</w:t>
      </w:r>
      <w:r w:rsidR="002063BB" w:rsidRPr="002574EC">
        <w:t xml:space="preserve">, the director general of the organization FundaRedes, Javier Tarazona was </w:t>
      </w:r>
      <w:r w:rsidR="00CE417D" w:rsidRPr="002574EC">
        <w:t xml:space="preserve">detained </w:t>
      </w:r>
      <w:r w:rsidR="002063BB" w:rsidRPr="002574EC">
        <w:t xml:space="preserve">while he </w:t>
      </w:r>
      <w:r w:rsidR="00CE417D" w:rsidRPr="002574EC">
        <w:t>showed up at the main building of the Office of the Superior Prosecuting Attorney of the State of Falcon</w:t>
      </w:r>
      <w:r w:rsidR="007E1D91" w:rsidRPr="002574EC">
        <w:t xml:space="preserve"> to be interviewed </w:t>
      </w:r>
      <w:r w:rsidR="00B74740" w:rsidRPr="002574EC">
        <w:t xml:space="preserve">by the Chief Prosecutor of the state in order to </w:t>
      </w:r>
      <w:r w:rsidR="00A706A9" w:rsidRPr="002574EC">
        <w:t xml:space="preserve">report the acts of intimidation </w:t>
      </w:r>
      <w:r w:rsidR="00BC4FAB" w:rsidRPr="002574EC">
        <w:t xml:space="preserve">by SEBIN members.  </w:t>
      </w:r>
      <w:r w:rsidR="008F2190" w:rsidRPr="002574EC">
        <w:t xml:space="preserve">Along with Tarazona, activists </w:t>
      </w:r>
      <w:r w:rsidR="00A762AC" w:rsidRPr="002574EC">
        <w:t xml:space="preserve">Rafael Tarazona </w:t>
      </w:r>
      <w:r w:rsidR="00F66F67" w:rsidRPr="002574EC">
        <w:t>and</w:t>
      </w:r>
      <w:r w:rsidR="00A762AC" w:rsidRPr="002574EC">
        <w:t xml:space="preserve"> Omar de Dios García Marín</w:t>
      </w:r>
      <w:r w:rsidR="003C386D" w:rsidRPr="002574EC">
        <w:t>,</w:t>
      </w:r>
      <w:r w:rsidR="00A762AC" w:rsidRPr="002574EC">
        <w:t xml:space="preserve"> </w:t>
      </w:r>
      <w:r w:rsidR="003C386D" w:rsidRPr="002574EC">
        <w:t xml:space="preserve">as well as </w:t>
      </w:r>
      <w:r w:rsidR="00CD6E7D" w:rsidRPr="002574EC">
        <w:t xml:space="preserve">Jhonny Romero, director </w:t>
      </w:r>
      <w:r w:rsidR="003C386D" w:rsidRPr="002574EC">
        <w:t>of the National Committee of Famil</w:t>
      </w:r>
      <w:r w:rsidR="003A3210" w:rsidRPr="002574EC">
        <w:t xml:space="preserve">ies of </w:t>
      </w:r>
      <w:r w:rsidR="003C386D" w:rsidRPr="002574EC">
        <w:t>Victi</w:t>
      </w:r>
      <w:r w:rsidR="003A3210" w:rsidRPr="002574EC">
        <w:t>m</w:t>
      </w:r>
      <w:r w:rsidR="003C386D" w:rsidRPr="002574EC">
        <w:t>s of Forced Disappearance on the Venezuelan Coasts, were detained.</w:t>
      </w:r>
      <w:r w:rsidR="00CD6E7D" w:rsidRPr="002574EC">
        <w:rPr>
          <w:rStyle w:val="FootnoteReference"/>
        </w:rPr>
        <w:footnoteReference w:id="341"/>
      </w:r>
      <w:r w:rsidR="00F666CC" w:rsidRPr="002574EC">
        <w:t xml:space="preserve"> According to </w:t>
      </w:r>
      <w:r w:rsidR="0066303E" w:rsidRPr="002574EC">
        <w:t xml:space="preserve">information provided by civil society organizations, the authorities </w:t>
      </w:r>
      <w:r w:rsidR="00326AEA" w:rsidRPr="002574EC">
        <w:t xml:space="preserve">were reluctant to </w:t>
      </w:r>
      <w:r w:rsidR="00907DB1" w:rsidRPr="002574EC">
        <w:t>report on the whereabouts and transfer of the individuals in custody</w:t>
      </w:r>
      <w:r w:rsidR="00CD6E7D" w:rsidRPr="002574EC">
        <w:t xml:space="preserve">. </w:t>
      </w:r>
      <w:r w:rsidR="00B6338D" w:rsidRPr="002574EC">
        <w:t xml:space="preserve">They further claimed they were denied the assistance </w:t>
      </w:r>
      <w:r w:rsidR="0044298D" w:rsidRPr="002574EC">
        <w:t>of trusted legal counsel</w:t>
      </w:r>
      <w:r w:rsidR="004733F5" w:rsidRPr="002574EC">
        <w:t xml:space="preserve"> while they were being held in pre-trial detention</w:t>
      </w:r>
      <w:r w:rsidR="004D6B49" w:rsidRPr="002574EC">
        <w:t xml:space="preserve"> for allegedly committing the criminal offenses of “incitement of hatred,” treason against the homeland” and “terrorism.</w:t>
      </w:r>
      <w:r w:rsidR="00CD6E7D" w:rsidRPr="002574EC">
        <w:t>”</w:t>
      </w:r>
      <w:r w:rsidR="00CD6E7D" w:rsidRPr="002574EC">
        <w:rPr>
          <w:rStyle w:val="FootnoteReference"/>
        </w:rPr>
        <w:footnoteReference w:id="342"/>
      </w:r>
      <w:r w:rsidR="00CD6E7D" w:rsidRPr="002574EC">
        <w:t xml:space="preserve"> </w:t>
      </w:r>
    </w:p>
    <w:p w14:paraId="68793804" w14:textId="77777777" w:rsidR="00CD6E7D" w:rsidRPr="002574EC" w:rsidRDefault="00CD6E7D" w:rsidP="00E07D06">
      <w:pPr>
        <w:ind w:left="426" w:hanging="426"/>
        <w:jc w:val="both"/>
        <w:rPr>
          <w:sz w:val="20"/>
          <w:szCs w:val="20"/>
        </w:rPr>
      </w:pPr>
    </w:p>
    <w:p w14:paraId="0D66DCD4" w14:textId="22682DF9" w:rsidR="00CD6E7D" w:rsidRPr="002574EC" w:rsidRDefault="000E75F5" w:rsidP="00F85814">
      <w:pPr>
        <w:pStyle w:val="ListParagraph"/>
      </w:pPr>
      <w:r w:rsidRPr="002574EC">
        <w:t xml:space="preserve">Furthermore, </w:t>
      </w:r>
      <w:r w:rsidR="00051723" w:rsidRPr="002574EC">
        <w:t xml:space="preserve">the IACHR has observed persistent </w:t>
      </w:r>
      <w:r w:rsidR="00FB5466" w:rsidRPr="002574EC">
        <w:t>accusat</w:t>
      </w:r>
      <w:r w:rsidR="00AD2CB7" w:rsidRPr="002574EC">
        <w:t>ory</w:t>
      </w:r>
      <w:r w:rsidR="00FB5466" w:rsidRPr="002574EC">
        <w:t xml:space="preserve"> and stigmatizing </w:t>
      </w:r>
      <w:r w:rsidR="00C1425D" w:rsidRPr="002574EC">
        <w:t xml:space="preserve">speech from senior officials of the State against </w:t>
      </w:r>
      <w:r w:rsidR="00596F71" w:rsidRPr="002574EC">
        <w:t xml:space="preserve">human rights defenders in Venezuela. </w:t>
      </w:r>
      <w:r w:rsidR="00906ED2" w:rsidRPr="002574EC">
        <w:t xml:space="preserve">On this score, on January 13, 2021, </w:t>
      </w:r>
      <w:r w:rsidR="009D6B09" w:rsidRPr="002574EC">
        <w:t>during the broadcast of a television pro</w:t>
      </w:r>
      <w:r w:rsidR="00691F8D" w:rsidRPr="002574EC">
        <w:t xml:space="preserve">gram, a deputy </w:t>
      </w:r>
      <w:r w:rsidR="00264A8A" w:rsidRPr="002574EC">
        <w:t xml:space="preserve">called </w:t>
      </w:r>
      <w:r w:rsidR="00E33196" w:rsidRPr="002574EC">
        <w:t xml:space="preserve">human rights defender organizations “instruments to destabilize peoples.”  </w:t>
      </w:r>
      <w:r w:rsidR="0054333B" w:rsidRPr="002574EC">
        <w:t xml:space="preserve">Likewise, </w:t>
      </w:r>
      <w:r w:rsidR="00205DFE" w:rsidRPr="002574EC">
        <w:t xml:space="preserve">on April 7, 2021, government party leader Diosdado Cabello said on the television program “Con el Mazo Dando” that in the state of Apure </w:t>
      </w:r>
      <w:r w:rsidR="0096638A" w:rsidRPr="002574EC">
        <w:t xml:space="preserve">there was no armed conflict </w:t>
      </w:r>
      <w:r w:rsidR="004B40FF" w:rsidRPr="002574EC">
        <w:t>as had been reported by media outlets and civil society organizations</w:t>
      </w:r>
      <w:r w:rsidR="00580E49" w:rsidRPr="002574EC">
        <w:t>, adding that “we are going to fight FundaRedes or whatever it’s called.</w:t>
      </w:r>
      <w:r w:rsidR="00CD6E7D" w:rsidRPr="002574EC">
        <w:t>”</w:t>
      </w:r>
      <w:r w:rsidR="00CD6E7D" w:rsidRPr="002574EC">
        <w:rPr>
          <w:rStyle w:val="FootnoteReference"/>
        </w:rPr>
        <w:footnoteReference w:id="343"/>
      </w:r>
      <w:r w:rsidR="00CD6E7D" w:rsidRPr="002574EC">
        <w:t xml:space="preserve"> </w:t>
      </w:r>
    </w:p>
    <w:p w14:paraId="3E326FA8" w14:textId="77777777" w:rsidR="00CD6E7D" w:rsidRPr="002574EC" w:rsidRDefault="00CD6E7D" w:rsidP="00E07D06">
      <w:pPr>
        <w:ind w:left="426" w:hanging="426"/>
        <w:jc w:val="both"/>
        <w:rPr>
          <w:sz w:val="20"/>
          <w:szCs w:val="20"/>
        </w:rPr>
      </w:pPr>
    </w:p>
    <w:p w14:paraId="2FF2542D" w14:textId="282A29EA" w:rsidR="00CD6E7D" w:rsidRPr="002574EC" w:rsidRDefault="00A25B49" w:rsidP="00F85814">
      <w:pPr>
        <w:pStyle w:val="ListParagraph"/>
      </w:pPr>
      <w:r w:rsidRPr="002574EC">
        <w:t xml:space="preserve">On this score, the IACHR urges the State to </w:t>
      </w:r>
      <w:r w:rsidR="002D0AD9" w:rsidRPr="002574EC">
        <w:t>make sure that its officials refrain from making statements that stigmatize human rights defenders</w:t>
      </w:r>
      <w:r w:rsidR="00637FDA" w:rsidRPr="002574EC">
        <w:t>, or that suggest that the organizations act improperly or illegally, merely for the fact that they engage in the promotion and defense of human rights</w:t>
      </w:r>
      <w:r w:rsidR="00CD6E7D" w:rsidRPr="002574EC">
        <w:t xml:space="preserve">. </w:t>
      </w:r>
      <w:r w:rsidR="00E62D53" w:rsidRPr="002574EC">
        <w:t xml:space="preserve">The Commission recalls that </w:t>
      </w:r>
      <w:r w:rsidR="009348FA" w:rsidRPr="002574EC">
        <w:t xml:space="preserve">repeated stigmatizing statements against defenders can contribute to exacerbating the climate of hostility and intolerance </w:t>
      </w:r>
      <w:r w:rsidR="00C933F0" w:rsidRPr="002574EC">
        <w:t>by different sectors of the population</w:t>
      </w:r>
      <w:r w:rsidR="005F4AB5" w:rsidRPr="002574EC">
        <w:t xml:space="preserve"> which</w:t>
      </w:r>
      <w:r w:rsidR="008D7056" w:rsidRPr="002574EC">
        <w:t>,</w:t>
      </w:r>
      <w:r w:rsidR="005F4AB5" w:rsidRPr="002574EC">
        <w:t xml:space="preserve"> in turn</w:t>
      </w:r>
      <w:r w:rsidR="008D7056" w:rsidRPr="002574EC">
        <w:t>,</w:t>
      </w:r>
      <w:r w:rsidR="005F4AB5" w:rsidRPr="002574EC">
        <w:t xml:space="preserve"> </w:t>
      </w:r>
      <w:r w:rsidR="00677CA8" w:rsidRPr="002574EC">
        <w:t xml:space="preserve">could give rise to the violation </w:t>
      </w:r>
      <w:r w:rsidR="006E704C" w:rsidRPr="002574EC">
        <w:t xml:space="preserve">of the right to life or physical integrity </w:t>
      </w:r>
      <w:r w:rsidR="00E22DC2" w:rsidRPr="002574EC">
        <w:t>of defender</w:t>
      </w:r>
      <w:r w:rsidR="00011E2B" w:rsidRPr="002574EC">
        <w:t>s</w:t>
      </w:r>
      <w:r w:rsidR="00E22DC2" w:rsidRPr="002574EC">
        <w:t xml:space="preserve">, </w:t>
      </w:r>
      <w:r w:rsidR="008D7056" w:rsidRPr="002574EC">
        <w:t xml:space="preserve">thus </w:t>
      </w:r>
      <w:r w:rsidR="007B4172" w:rsidRPr="002574EC">
        <w:t xml:space="preserve">making </w:t>
      </w:r>
      <w:r w:rsidR="00327B7E" w:rsidRPr="002574EC">
        <w:t xml:space="preserve">them </w:t>
      </w:r>
      <w:r w:rsidR="007B4172" w:rsidRPr="002574EC">
        <w:t>more vulnerable.</w:t>
      </w:r>
      <w:r w:rsidR="00B1050D" w:rsidRPr="002574EC">
        <w:rPr>
          <w:rStyle w:val="FootnoteReference"/>
        </w:rPr>
        <w:footnoteReference w:id="344"/>
      </w:r>
    </w:p>
    <w:p w14:paraId="7E941B82" w14:textId="77777777" w:rsidR="00CD6E7D" w:rsidRPr="002574EC" w:rsidRDefault="00CD6E7D" w:rsidP="00E07D06">
      <w:pPr>
        <w:ind w:left="426" w:hanging="426"/>
        <w:jc w:val="both"/>
        <w:rPr>
          <w:rFonts w:ascii="Cambria" w:hAnsi="Cambria"/>
          <w:sz w:val="20"/>
          <w:szCs w:val="20"/>
        </w:rPr>
      </w:pPr>
    </w:p>
    <w:p w14:paraId="12F05047" w14:textId="10A43FE8" w:rsidR="00CD6E7D" w:rsidRPr="002574EC" w:rsidRDefault="00637BEB" w:rsidP="00F85814">
      <w:pPr>
        <w:pStyle w:val="ListParagraph"/>
      </w:pPr>
      <w:r w:rsidRPr="002574EC">
        <w:t>I</w:t>
      </w:r>
      <w:r w:rsidR="00CD6E7D" w:rsidRPr="002574EC">
        <w:t xml:space="preserve">n 2021, </w:t>
      </w:r>
      <w:r w:rsidR="00A179A5" w:rsidRPr="002574EC">
        <w:t xml:space="preserve">the Commission and its SRFE also documented </w:t>
      </w:r>
      <w:r w:rsidR="00A16B94" w:rsidRPr="002574EC">
        <w:t xml:space="preserve">an increase in </w:t>
      </w:r>
      <w:r w:rsidR="00A179A5" w:rsidRPr="002574EC">
        <w:t xml:space="preserve">stigmatization </w:t>
      </w:r>
      <w:r w:rsidR="005A1EA6" w:rsidRPr="002574EC">
        <w:t xml:space="preserve">on </w:t>
      </w:r>
      <w:r w:rsidR="00A16B94" w:rsidRPr="002574EC">
        <w:t xml:space="preserve">some official </w:t>
      </w:r>
      <w:r w:rsidR="005A1EA6" w:rsidRPr="002574EC">
        <w:t xml:space="preserve">websites and social media accounts </w:t>
      </w:r>
      <w:r w:rsidR="00AB5654" w:rsidRPr="002574EC">
        <w:t xml:space="preserve">in an attempt to </w:t>
      </w:r>
      <w:r w:rsidR="00013B29" w:rsidRPr="002574EC">
        <w:t>d</w:t>
      </w:r>
      <w:r w:rsidR="00AB5654" w:rsidRPr="002574EC">
        <w:t xml:space="preserve">iscredit </w:t>
      </w:r>
      <w:r w:rsidR="00B71FA8" w:rsidRPr="002574EC">
        <w:t xml:space="preserve">the work of </w:t>
      </w:r>
      <w:r w:rsidR="00FA224B" w:rsidRPr="002574EC">
        <w:t xml:space="preserve">media </w:t>
      </w:r>
      <w:r w:rsidR="008C3197" w:rsidRPr="002574EC">
        <w:t xml:space="preserve">outlets </w:t>
      </w:r>
      <w:r w:rsidR="00FA224B" w:rsidRPr="002574EC">
        <w:t xml:space="preserve">and civil </w:t>
      </w:r>
      <w:r w:rsidR="00C34619" w:rsidRPr="002574EC">
        <w:t xml:space="preserve">society </w:t>
      </w:r>
      <w:r w:rsidR="00C34619" w:rsidRPr="002574EC">
        <w:lastRenderedPageBreak/>
        <w:t xml:space="preserve">organizations </w:t>
      </w:r>
      <w:r w:rsidR="00C47232" w:rsidRPr="002574EC">
        <w:t xml:space="preserve">that have received </w:t>
      </w:r>
      <w:r w:rsidR="003A534E" w:rsidRPr="002574EC">
        <w:t xml:space="preserve">international </w:t>
      </w:r>
      <w:r w:rsidR="00C069AB" w:rsidRPr="002574EC">
        <w:t xml:space="preserve">cooperation </w:t>
      </w:r>
      <w:r w:rsidR="003A534E" w:rsidRPr="002574EC">
        <w:t>resources</w:t>
      </w:r>
      <w:r w:rsidR="004E5E8F" w:rsidRPr="002574EC">
        <w:t>, including</w:t>
      </w:r>
      <w:r w:rsidR="001844FB" w:rsidRPr="002574EC">
        <w:t xml:space="preserve"> the Center for Justice and Peace</w:t>
      </w:r>
      <w:r w:rsidR="009968F5" w:rsidRPr="002574EC">
        <w:t xml:space="preserve"> </w:t>
      </w:r>
      <w:r w:rsidR="00CD6E7D" w:rsidRPr="002574EC">
        <w:t xml:space="preserve">Paz (CEPAZ), </w:t>
      </w:r>
      <w:r w:rsidR="001844FB" w:rsidRPr="002574EC">
        <w:t xml:space="preserve">the organization </w:t>
      </w:r>
      <w:r w:rsidR="00CD6E7D" w:rsidRPr="002574EC">
        <w:t xml:space="preserve">Espacio Público, </w:t>
      </w:r>
      <w:r w:rsidR="001844FB" w:rsidRPr="002574EC">
        <w:t xml:space="preserve">the Press and Society Institute </w:t>
      </w:r>
      <w:r w:rsidR="00CD6E7D" w:rsidRPr="002574EC">
        <w:t xml:space="preserve">(IPYS) </w:t>
      </w:r>
      <w:r w:rsidR="004C3F32" w:rsidRPr="002574EC">
        <w:t>and Transparency</w:t>
      </w:r>
      <w:r w:rsidR="00CD6E7D" w:rsidRPr="002574EC">
        <w:t xml:space="preserve"> Venezuela. </w:t>
      </w:r>
      <w:r w:rsidR="000A532D" w:rsidRPr="002574EC">
        <w:t xml:space="preserve">On this score, the IACHR and its SRFE </w:t>
      </w:r>
      <w:r w:rsidR="00D60B99" w:rsidRPr="002574EC">
        <w:t>re</w:t>
      </w:r>
      <w:r w:rsidR="008F5CF0" w:rsidRPr="002574EC">
        <w:t>mind the State that everyone has the right</w:t>
      </w:r>
      <w:r w:rsidR="00B11968" w:rsidRPr="002574EC">
        <w:t xml:space="preserve"> </w:t>
      </w:r>
      <w:r w:rsidR="008F5CF0" w:rsidRPr="002574EC">
        <w:t>to</w:t>
      </w:r>
      <w:r w:rsidR="00973232" w:rsidRPr="002574EC">
        <w:t xml:space="preserve"> request</w:t>
      </w:r>
      <w:r w:rsidR="008F5CF0" w:rsidRPr="002574EC">
        <w:t>, receive and use resources</w:t>
      </w:r>
      <w:r w:rsidR="008B28D0" w:rsidRPr="002574EC">
        <w:t xml:space="preserve"> </w:t>
      </w:r>
      <w:r w:rsidR="00DA72D6" w:rsidRPr="002574EC">
        <w:t>individually or collectively</w:t>
      </w:r>
      <w:r w:rsidR="00ED44A1" w:rsidRPr="002574EC">
        <w:t xml:space="preserve"> </w:t>
      </w:r>
      <w:r w:rsidR="008F5CF0" w:rsidRPr="002574EC">
        <w:t>for the express purpose of promoting and protecting</w:t>
      </w:r>
      <w:r w:rsidR="00DF3F7C" w:rsidRPr="002574EC">
        <w:t xml:space="preserve"> </w:t>
      </w:r>
      <w:r w:rsidR="008F5CF0" w:rsidRPr="002574EC">
        <w:t>human rights and fundamental freedoms</w:t>
      </w:r>
      <w:r w:rsidR="000C14EC" w:rsidRPr="002574EC">
        <w:t xml:space="preserve"> through peaceful means</w:t>
      </w:r>
      <w:r w:rsidR="008F5CF0" w:rsidRPr="002574EC">
        <w:t>.</w:t>
      </w:r>
      <w:r w:rsidR="00CD6E7D" w:rsidRPr="002574EC">
        <w:rPr>
          <w:rStyle w:val="FootnoteReference"/>
        </w:rPr>
        <w:footnoteReference w:id="345"/>
      </w:r>
    </w:p>
    <w:p w14:paraId="2844659F" w14:textId="77777777" w:rsidR="00CD6E7D" w:rsidRPr="002574EC" w:rsidRDefault="00CD6E7D" w:rsidP="00E07D06">
      <w:pPr>
        <w:ind w:left="426" w:hanging="426"/>
        <w:jc w:val="both"/>
        <w:textAlignment w:val="baseline"/>
        <w:rPr>
          <w:rFonts w:ascii="Cambria" w:hAnsi="Cambria"/>
          <w:sz w:val="20"/>
          <w:szCs w:val="20"/>
        </w:rPr>
      </w:pPr>
    </w:p>
    <w:p w14:paraId="62FB5695" w14:textId="0BCCF2E2" w:rsidR="00CD6E7D" w:rsidRPr="002574EC" w:rsidRDefault="000A20B6" w:rsidP="00F85814">
      <w:pPr>
        <w:pStyle w:val="ListParagraph"/>
      </w:pPr>
      <w:r w:rsidRPr="002574EC">
        <w:t>Additionally, the IACHR expressed concern over the approval of Administrative Decision</w:t>
      </w:r>
      <w:r w:rsidR="00CD6E7D" w:rsidRPr="002574EC">
        <w:t xml:space="preserve"> No. 001-2021, </w:t>
      </w:r>
      <w:r w:rsidRPr="002574EC">
        <w:t xml:space="preserve">which was published in Official Gazette </w:t>
      </w:r>
      <w:r w:rsidR="00CD6E7D" w:rsidRPr="002574EC">
        <w:t xml:space="preserve">42098 </w:t>
      </w:r>
      <w:r w:rsidR="009B2A6A" w:rsidRPr="002574EC">
        <w:t xml:space="preserve">on March </w:t>
      </w:r>
      <w:r w:rsidR="00CD6E7D" w:rsidRPr="002574EC">
        <w:t>30</w:t>
      </w:r>
      <w:r w:rsidR="009B2A6A" w:rsidRPr="002574EC">
        <w:t>,</w:t>
      </w:r>
      <w:r w:rsidR="00CD6E7D" w:rsidRPr="002574EC">
        <w:t xml:space="preserve"> 2021. </w:t>
      </w:r>
      <w:r w:rsidR="009B2A6A" w:rsidRPr="002574EC">
        <w:t xml:space="preserve">According to the information </w:t>
      </w:r>
      <w:r w:rsidR="00317923" w:rsidRPr="002574EC">
        <w:t>it received</w:t>
      </w:r>
      <w:r w:rsidR="00EB237B" w:rsidRPr="002574EC">
        <w:t xml:space="preserve">, this </w:t>
      </w:r>
      <w:r w:rsidR="0063463E" w:rsidRPr="002574EC">
        <w:t>rule</w:t>
      </w:r>
      <w:r w:rsidR="00E55734" w:rsidRPr="002574EC">
        <w:t xml:space="preserve">, </w:t>
      </w:r>
      <w:r w:rsidR="00852A92" w:rsidRPr="002574EC">
        <w:t>ranked just below a law</w:t>
      </w:r>
      <w:r w:rsidR="004C3A63" w:rsidRPr="002574EC">
        <w:t xml:space="preserve">, requires </w:t>
      </w:r>
      <w:r w:rsidR="006D130B" w:rsidRPr="002574EC">
        <w:t xml:space="preserve">civil society </w:t>
      </w:r>
      <w:r w:rsidR="004C3A63" w:rsidRPr="002574EC">
        <w:t>organ</w:t>
      </w:r>
      <w:r w:rsidR="00F722E0" w:rsidRPr="002574EC">
        <w:t>iz</w:t>
      </w:r>
      <w:r w:rsidR="004C3A63" w:rsidRPr="002574EC">
        <w:t xml:space="preserve">ations in Venezuela to enroll with the </w:t>
      </w:r>
      <w:r w:rsidR="006A626D" w:rsidRPr="002574EC">
        <w:t xml:space="preserve">National Office against Organized Crime and </w:t>
      </w:r>
      <w:r w:rsidR="003A53BB" w:rsidRPr="002574EC">
        <w:t xml:space="preserve">Terrorism </w:t>
      </w:r>
      <w:r w:rsidR="006A626D" w:rsidRPr="002574EC">
        <w:t xml:space="preserve">Financing </w:t>
      </w:r>
      <w:r w:rsidR="00CD6E7D" w:rsidRPr="002574EC">
        <w:t>(ONCDOFT)</w:t>
      </w:r>
      <w:r w:rsidR="00BF5427" w:rsidRPr="002574EC">
        <w:t>.</w:t>
      </w:r>
      <w:r w:rsidR="00CD6E7D" w:rsidRPr="002574EC">
        <w:rPr>
          <w:rStyle w:val="FootnoteReference"/>
          <w:color w:val="000000"/>
        </w:rPr>
        <w:footnoteReference w:id="346"/>
      </w:r>
      <w:r w:rsidR="00BF5427" w:rsidRPr="002574EC">
        <w:t xml:space="preserve"> </w:t>
      </w:r>
      <w:r w:rsidR="00A14CF8" w:rsidRPr="002574EC">
        <w:t xml:space="preserve">In this regard, </w:t>
      </w:r>
      <w:r w:rsidR="00AF0D1F" w:rsidRPr="002574EC">
        <w:t xml:space="preserve">the IACHR warns that </w:t>
      </w:r>
      <w:r w:rsidR="006C2F8B" w:rsidRPr="002574EC">
        <w:t xml:space="preserve">requiring </w:t>
      </w:r>
      <w:r w:rsidR="00624AF6" w:rsidRPr="002574EC">
        <w:t>not</w:t>
      </w:r>
      <w:r w:rsidR="00F06DC2" w:rsidRPr="002574EC">
        <w:t xml:space="preserve">-for-profit </w:t>
      </w:r>
      <w:r w:rsidR="006C2F8B" w:rsidRPr="002574EC">
        <w:t xml:space="preserve">organizations </w:t>
      </w:r>
      <w:r w:rsidR="00CD6E7D" w:rsidRPr="002574EC">
        <w:t> </w:t>
      </w:r>
      <w:r w:rsidR="009E237C" w:rsidRPr="002574EC">
        <w:t xml:space="preserve">to register with the ONCDOFT and report on their donors has the potential to lead to the stigmatization of human rights organizations and defenders. </w:t>
      </w:r>
      <w:r w:rsidR="00204EC8" w:rsidRPr="002574EC">
        <w:t>In light of this, it recalls that it is not legitimate for an anti</w:t>
      </w:r>
      <w:r w:rsidR="004214D6" w:rsidRPr="002574EC">
        <w:t>-</w:t>
      </w:r>
      <w:r w:rsidR="00204EC8" w:rsidRPr="002574EC">
        <w:t xml:space="preserve">terrorism statute to be used to repress the activities of organizations </w:t>
      </w:r>
      <w:r w:rsidR="00816A66" w:rsidRPr="002574EC">
        <w:t>that work to defend human rights.</w:t>
      </w:r>
      <w:r w:rsidR="00CD6E7D" w:rsidRPr="002574EC">
        <w:rPr>
          <w:rStyle w:val="FootnoteReference"/>
          <w:color w:val="000000"/>
        </w:rPr>
        <w:footnoteReference w:id="347"/>
      </w:r>
    </w:p>
    <w:p w14:paraId="5F357974" w14:textId="77777777" w:rsidR="00CD6E7D" w:rsidRPr="002574EC" w:rsidRDefault="00CD6E7D" w:rsidP="00E07D06">
      <w:pPr>
        <w:ind w:left="426" w:hanging="426"/>
        <w:jc w:val="both"/>
        <w:textAlignment w:val="baseline"/>
        <w:rPr>
          <w:rFonts w:ascii="Cambria" w:hAnsi="Cambria"/>
          <w:color w:val="000000"/>
          <w:sz w:val="20"/>
          <w:szCs w:val="20"/>
        </w:rPr>
      </w:pPr>
    </w:p>
    <w:p w14:paraId="5DA27BF1" w14:textId="6DF30F72" w:rsidR="00CD6E7D" w:rsidRPr="002574EC" w:rsidRDefault="003C7E50" w:rsidP="00F85814">
      <w:pPr>
        <w:pStyle w:val="ListParagraph"/>
        <w:rPr>
          <w:color w:val="000000"/>
        </w:rPr>
      </w:pPr>
      <w:r w:rsidRPr="002574EC">
        <w:t xml:space="preserve">In this context, the Commission </w:t>
      </w:r>
      <w:r w:rsidR="006536FC" w:rsidRPr="002574EC">
        <w:t xml:space="preserve">finds that </w:t>
      </w:r>
      <w:r w:rsidR="00A03C00" w:rsidRPr="002574EC">
        <w:t>the restrictions and attacks described herein</w:t>
      </w:r>
      <w:r w:rsidR="0067399B" w:rsidRPr="002574EC">
        <w:t xml:space="preserve"> </w:t>
      </w:r>
      <w:r w:rsidR="00BF44E8" w:rsidRPr="002574EC">
        <w:t>are not isolated incidents</w:t>
      </w:r>
      <w:r w:rsidR="004B1161" w:rsidRPr="002574EC">
        <w:t xml:space="preserve">, but </w:t>
      </w:r>
      <w:r w:rsidR="00567A50" w:rsidRPr="002574EC">
        <w:t xml:space="preserve">are part of a smear </w:t>
      </w:r>
      <w:r w:rsidR="008848FE" w:rsidRPr="002574EC">
        <w:t xml:space="preserve">and stigmatization campaign </w:t>
      </w:r>
      <w:r w:rsidR="00CD2A95" w:rsidRPr="002574EC">
        <w:t>waged by the most senior officials of the State</w:t>
      </w:r>
      <w:r w:rsidR="003355A4" w:rsidRPr="002574EC">
        <w:t xml:space="preserve">, as a consequence of </w:t>
      </w:r>
      <w:r w:rsidR="000646E3" w:rsidRPr="002574EC">
        <w:t xml:space="preserve">these organizations </w:t>
      </w:r>
      <w:r w:rsidR="008942FF" w:rsidRPr="002574EC">
        <w:t>speaking out against</w:t>
      </w:r>
      <w:r w:rsidR="003F5E56" w:rsidRPr="002574EC">
        <w:t xml:space="preserve"> the deep human rights crisis</w:t>
      </w:r>
      <w:r w:rsidR="00E35E2F" w:rsidRPr="002574EC">
        <w:t xml:space="preserve"> faced by the country. The IACHR reiterates the importance of the work of </w:t>
      </w:r>
      <w:r w:rsidR="0049600A" w:rsidRPr="002574EC">
        <w:t>defenders in building a solid and enduring democratic society</w:t>
      </w:r>
      <w:r w:rsidR="001A4DE4" w:rsidRPr="002574EC">
        <w:t>, and their leading role in the process of full achievement of the rule of law and strengthening democracy</w:t>
      </w:r>
      <w:r w:rsidR="00CD6E7D" w:rsidRPr="002574EC">
        <w:t xml:space="preserve">. </w:t>
      </w:r>
      <w:r w:rsidR="00B31CE4" w:rsidRPr="002574EC">
        <w:t xml:space="preserve">It is urgent for the State of Venezuela to restore the rule of law and democracy through </w:t>
      </w:r>
      <w:r w:rsidR="00E04697" w:rsidRPr="002574EC">
        <w:t xml:space="preserve">measures aimed at ensuring </w:t>
      </w:r>
      <w:r w:rsidR="00E927C5" w:rsidRPr="002574EC">
        <w:t xml:space="preserve">the </w:t>
      </w:r>
      <w:r w:rsidR="00CF7FFE" w:rsidRPr="002574EC">
        <w:t>independence</w:t>
      </w:r>
      <w:r w:rsidR="002F5DDD" w:rsidRPr="002574EC">
        <w:t xml:space="preserve"> and balance of the branches of government, participation in public affairs without any type of discrimination, and citizen oversight of the conduct of the different branches of the government.</w:t>
      </w:r>
    </w:p>
    <w:p w14:paraId="0384FDEA" w14:textId="77777777" w:rsidR="00762AC5" w:rsidRPr="002574EC" w:rsidRDefault="00762AC5" w:rsidP="00E07D06">
      <w:pPr>
        <w:widowControl w:val="0"/>
        <w:pBdr>
          <w:top w:val="nil"/>
          <w:left w:val="nil"/>
          <w:bottom w:val="nil"/>
          <w:right w:val="nil"/>
          <w:between w:val="nil"/>
        </w:pBdr>
        <w:ind w:left="426" w:hanging="426"/>
        <w:jc w:val="both"/>
        <w:rPr>
          <w:rFonts w:ascii="Cambria" w:hAnsi="Cambria"/>
          <w:b/>
          <w:sz w:val="20"/>
          <w:szCs w:val="20"/>
        </w:rPr>
      </w:pPr>
    </w:p>
    <w:p w14:paraId="26A908C5" w14:textId="3B91F691" w:rsidR="002523D6" w:rsidRPr="007E075D" w:rsidRDefault="00FD27F9" w:rsidP="007E075D">
      <w:pPr>
        <w:pStyle w:val="Heading2"/>
        <w:rPr>
          <w:lang w:val="en-US"/>
        </w:rPr>
      </w:pPr>
      <w:r w:rsidRPr="007E075D">
        <w:rPr>
          <w:lang w:val="en-US"/>
        </w:rPr>
        <w:t xml:space="preserve">Migrants, </w:t>
      </w:r>
      <w:r w:rsidR="007E075D" w:rsidRPr="007E075D">
        <w:rPr>
          <w:lang w:val="en-US"/>
        </w:rPr>
        <w:t xml:space="preserve">Asylum Seekers, Refuges, Beneficiaries </w:t>
      </w:r>
      <w:r w:rsidRPr="007E075D">
        <w:rPr>
          <w:lang w:val="en-US"/>
        </w:rPr>
        <w:t xml:space="preserve">of </w:t>
      </w:r>
      <w:r w:rsidR="007E075D" w:rsidRPr="007E075D">
        <w:rPr>
          <w:lang w:val="en-US"/>
        </w:rPr>
        <w:t xml:space="preserve">Complementary Protection </w:t>
      </w:r>
    </w:p>
    <w:p w14:paraId="7617D8D3" w14:textId="77777777" w:rsidR="00AA19FB" w:rsidRPr="002574EC" w:rsidRDefault="00AA19FB" w:rsidP="00E07D06">
      <w:pPr>
        <w:ind w:left="426" w:hanging="426"/>
        <w:jc w:val="both"/>
        <w:rPr>
          <w:rFonts w:ascii="Cambria" w:hAnsi="Cambria"/>
          <w:sz w:val="20"/>
          <w:szCs w:val="20"/>
        </w:rPr>
      </w:pPr>
    </w:p>
    <w:p w14:paraId="0BE60254" w14:textId="736CFF01" w:rsidR="00AA19FB" w:rsidRPr="002574EC" w:rsidRDefault="00396524" w:rsidP="00F85814">
      <w:pPr>
        <w:pStyle w:val="ListParagraph"/>
      </w:pPr>
      <w:r w:rsidRPr="002574EC">
        <w:t xml:space="preserve">As for Venezuelan migrants, refugees, asylum seekers and returnees, the Commission has been monitoring </w:t>
      </w:r>
      <w:r w:rsidR="00F71115" w:rsidRPr="002574EC">
        <w:t xml:space="preserve">their distribution </w:t>
      </w:r>
      <w:r w:rsidR="007732FE" w:rsidRPr="002574EC">
        <w:t xml:space="preserve">in </w:t>
      </w:r>
      <w:r w:rsidR="001F4D00" w:rsidRPr="002574EC">
        <w:t xml:space="preserve">host countries </w:t>
      </w:r>
      <w:r w:rsidR="0054223B" w:rsidRPr="002574EC">
        <w:t xml:space="preserve">and the major factors that have given rise to </w:t>
      </w:r>
      <w:r w:rsidR="000D4B96" w:rsidRPr="002574EC">
        <w:t>their</w:t>
      </w:r>
      <w:r w:rsidR="0040452D" w:rsidRPr="002574EC">
        <w:t xml:space="preserve"> movement</w:t>
      </w:r>
      <w:r w:rsidR="000D4B96" w:rsidRPr="002574EC">
        <w:t xml:space="preserve">, such as impairment in the enjoyment and access to economic, social, cultural and environmental rights. </w:t>
      </w:r>
      <w:r w:rsidR="00AF3845" w:rsidRPr="002574EC">
        <w:t>In this regard, it has observed that food and medicine shortages</w:t>
      </w:r>
      <w:r w:rsidR="007F4148" w:rsidRPr="002574EC">
        <w:t xml:space="preserve">, combined with constant </w:t>
      </w:r>
      <w:r w:rsidR="005F3EB3" w:rsidRPr="002574EC">
        <w:t xml:space="preserve">interruption of </w:t>
      </w:r>
      <w:r w:rsidR="007F4148" w:rsidRPr="002574EC">
        <w:t>wate</w:t>
      </w:r>
      <w:r w:rsidR="009927C0" w:rsidRPr="002574EC">
        <w:t>r and</w:t>
      </w:r>
      <w:r w:rsidR="007F4148" w:rsidRPr="002574EC">
        <w:t xml:space="preserve"> gas</w:t>
      </w:r>
      <w:r w:rsidR="005F3EB3" w:rsidRPr="002574EC">
        <w:t xml:space="preserve"> supplies</w:t>
      </w:r>
      <w:r w:rsidR="007F4148" w:rsidRPr="002574EC">
        <w:t xml:space="preserve"> and electric power outages </w:t>
      </w:r>
      <w:r w:rsidR="00D46D58" w:rsidRPr="002574EC">
        <w:t xml:space="preserve">have seriously </w:t>
      </w:r>
      <w:r w:rsidR="00635E09" w:rsidRPr="002574EC">
        <w:t xml:space="preserve">impinged upon </w:t>
      </w:r>
      <w:r w:rsidR="00F31DDB" w:rsidRPr="002574EC">
        <w:t>rights such as health, food and education</w:t>
      </w:r>
      <w:r w:rsidR="006A58F5" w:rsidRPr="002574EC">
        <w:t xml:space="preserve">, with the </w:t>
      </w:r>
      <w:r w:rsidR="005F59CB" w:rsidRPr="002574EC">
        <w:t xml:space="preserve">current </w:t>
      </w:r>
      <w:r w:rsidR="006A58F5" w:rsidRPr="002574EC">
        <w:t xml:space="preserve">outbreak of potentially lethal and preventable </w:t>
      </w:r>
      <w:r w:rsidR="00AF7DE2" w:rsidRPr="002574EC">
        <w:t xml:space="preserve">diseases standing as one example. </w:t>
      </w:r>
      <w:r w:rsidR="009233A2" w:rsidRPr="002574EC">
        <w:t xml:space="preserve">In the face of this scenario, the State </w:t>
      </w:r>
      <w:r w:rsidR="004E4BA4" w:rsidRPr="002574EC">
        <w:t xml:space="preserve">response </w:t>
      </w:r>
      <w:r w:rsidR="00B36EE0" w:rsidRPr="002574EC">
        <w:t>has fallen</w:t>
      </w:r>
      <w:r w:rsidR="000B1D00" w:rsidRPr="002574EC">
        <w:t xml:space="preserve"> </w:t>
      </w:r>
      <w:r w:rsidR="00B36EE0" w:rsidRPr="002574EC">
        <w:t>short</w:t>
      </w:r>
      <w:r w:rsidR="004D5ACC" w:rsidRPr="002574EC">
        <w:t>,</w:t>
      </w:r>
      <w:r w:rsidR="00BB3C7C" w:rsidRPr="002574EC">
        <w:t xml:space="preserve"> </w:t>
      </w:r>
      <w:r w:rsidR="00610F0F" w:rsidRPr="002574EC">
        <w:t xml:space="preserve">taking a </w:t>
      </w:r>
      <w:r w:rsidR="004D5ACC" w:rsidRPr="002574EC">
        <w:t xml:space="preserve">heavy </w:t>
      </w:r>
      <w:r w:rsidR="00610F0F" w:rsidRPr="002574EC">
        <w:t xml:space="preserve">toll </w:t>
      </w:r>
      <w:r w:rsidR="004D5ACC" w:rsidRPr="002574EC">
        <w:t>particularly</w:t>
      </w:r>
      <w:r w:rsidR="00B51E81" w:rsidRPr="002574EC">
        <w:t xml:space="preserve"> on</w:t>
      </w:r>
      <w:r w:rsidR="004D5ACC" w:rsidRPr="002574EC">
        <w:t xml:space="preserve"> </w:t>
      </w:r>
      <w:r w:rsidR="00610F0F" w:rsidRPr="002574EC">
        <w:t>children, pregnant women and older adults.</w:t>
      </w:r>
      <w:r w:rsidR="00AA19FB" w:rsidRPr="002574EC">
        <w:rPr>
          <w:vertAlign w:val="superscript"/>
        </w:rPr>
        <w:footnoteReference w:id="348"/>
      </w:r>
    </w:p>
    <w:p w14:paraId="11F404BE" w14:textId="77777777" w:rsidR="00AA19FB" w:rsidRPr="002574EC" w:rsidRDefault="00AA19FB" w:rsidP="00E07D06">
      <w:pPr>
        <w:ind w:left="426" w:hanging="426"/>
        <w:jc w:val="both"/>
        <w:rPr>
          <w:rFonts w:ascii="Cambria" w:hAnsi="Cambria"/>
          <w:sz w:val="20"/>
          <w:szCs w:val="20"/>
        </w:rPr>
      </w:pPr>
    </w:p>
    <w:p w14:paraId="5966B7A7" w14:textId="5DFE959A" w:rsidR="00AA19FB" w:rsidRPr="002574EC" w:rsidRDefault="002B4BB3" w:rsidP="00F85814">
      <w:pPr>
        <w:pStyle w:val="ListParagraph"/>
      </w:pPr>
      <w:r w:rsidRPr="002574EC">
        <w:t xml:space="preserve">The IACHR </w:t>
      </w:r>
      <w:r w:rsidR="00484819" w:rsidRPr="002574EC">
        <w:t xml:space="preserve">understands the humanitarian crisis to be the main factor </w:t>
      </w:r>
      <w:r w:rsidR="007A72D8" w:rsidRPr="002574EC">
        <w:t>driving</w:t>
      </w:r>
      <w:r w:rsidR="00484819" w:rsidRPr="002574EC">
        <w:t xml:space="preserve"> displacement of Venezuela</w:t>
      </w:r>
      <w:r w:rsidR="004F207D" w:rsidRPr="002574EC">
        <w:t>n</w:t>
      </w:r>
      <w:r w:rsidR="00484819" w:rsidRPr="002574EC">
        <w:t xml:space="preserve">s.  In this context, </w:t>
      </w:r>
      <w:r w:rsidR="004F207D" w:rsidRPr="002574EC">
        <w:t xml:space="preserve">according to international organizations, the Venezuelan population is </w:t>
      </w:r>
      <w:r w:rsidR="00E85F67" w:rsidRPr="002574EC">
        <w:t xml:space="preserve">ranked </w:t>
      </w:r>
      <w:r w:rsidR="004F207D" w:rsidRPr="002574EC">
        <w:t xml:space="preserve">second </w:t>
      </w:r>
      <w:r w:rsidR="00E85F67" w:rsidRPr="002574EC">
        <w:t xml:space="preserve">for having the </w:t>
      </w:r>
      <w:r w:rsidR="004F207D" w:rsidRPr="002574EC">
        <w:t xml:space="preserve">highest </w:t>
      </w:r>
      <w:r w:rsidR="00E85F67" w:rsidRPr="002574EC">
        <w:t xml:space="preserve">number </w:t>
      </w:r>
      <w:r w:rsidR="001F1074" w:rsidRPr="002574EC">
        <w:t>of refugees in the world, and first in the region.</w:t>
      </w:r>
      <w:r w:rsidR="00AA19FB" w:rsidRPr="002574EC">
        <w:rPr>
          <w:vertAlign w:val="superscript"/>
        </w:rPr>
        <w:footnoteReference w:id="349"/>
      </w:r>
      <w:r w:rsidR="00B7243F" w:rsidRPr="002574EC">
        <w:t xml:space="preserve">  According to the Regional Platform of Inter-Agency Coordination for Refugees and Migrants of Venezuela </w:t>
      </w:r>
      <w:r w:rsidR="00ED5E0C" w:rsidRPr="002574EC">
        <w:rPr>
          <w:rFonts w:cs="Calibri"/>
          <w:color w:val="000000"/>
        </w:rPr>
        <w:t xml:space="preserve">(R4V), </w:t>
      </w:r>
      <w:r w:rsidR="00B7243F" w:rsidRPr="002574EC">
        <w:rPr>
          <w:rFonts w:cs="Calibri"/>
          <w:color w:val="000000"/>
        </w:rPr>
        <w:t xml:space="preserve">jointly led </w:t>
      </w:r>
      <w:r w:rsidR="00D15B0F" w:rsidRPr="002574EC">
        <w:rPr>
          <w:rFonts w:cs="Calibri"/>
          <w:color w:val="000000"/>
        </w:rPr>
        <w:t>by</w:t>
      </w:r>
      <w:r w:rsidR="001C64BD" w:rsidRPr="002574EC">
        <w:rPr>
          <w:rFonts w:cs="Calibri"/>
          <w:color w:val="000000"/>
        </w:rPr>
        <w:t xml:space="preserve"> the</w:t>
      </w:r>
      <w:r w:rsidR="00D15B0F" w:rsidRPr="002574EC">
        <w:rPr>
          <w:rFonts w:cs="Calibri"/>
          <w:color w:val="000000"/>
        </w:rPr>
        <w:t xml:space="preserve"> UNHCR and the IOM</w:t>
      </w:r>
      <w:r w:rsidR="00ED5E0C" w:rsidRPr="002574EC">
        <w:rPr>
          <w:rFonts w:cs="Calibri"/>
          <w:color w:val="000000"/>
        </w:rPr>
        <w:t xml:space="preserve">, </w:t>
      </w:r>
      <w:r w:rsidR="005B1842" w:rsidRPr="002574EC">
        <w:rPr>
          <w:lang w:eastAsia="en-US"/>
        </w:rPr>
        <w:t xml:space="preserve">6,038,937 </w:t>
      </w:r>
      <w:r w:rsidR="00ED5E0C" w:rsidRPr="002574EC">
        <w:rPr>
          <w:rFonts w:cs="Calibri"/>
          <w:color w:val="000000"/>
        </w:rPr>
        <w:t>pe</w:t>
      </w:r>
      <w:r w:rsidR="009C68E6" w:rsidRPr="002574EC">
        <w:rPr>
          <w:rFonts w:cs="Calibri"/>
          <w:color w:val="000000"/>
        </w:rPr>
        <w:t xml:space="preserve">ople have emigrated </w:t>
      </w:r>
      <w:r w:rsidR="0015718D" w:rsidRPr="002574EC">
        <w:rPr>
          <w:rFonts w:cs="Calibri"/>
          <w:color w:val="000000"/>
        </w:rPr>
        <w:t xml:space="preserve">from that country </w:t>
      </w:r>
      <w:r w:rsidR="009C68E6" w:rsidRPr="002574EC">
        <w:rPr>
          <w:rFonts w:cs="Calibri"/>
          <w:color w:val="000000"/>
        </w:rPr>
        <w:t>as of 2015</w:t>
      </w:r>
      <w:r w:rsidR="00ED5E0C" w:rsidRPr="002574EC">
        <w:rPr>
          <w:rFonts w:cs="Calibri"/>
          <w:color w:val="000000"/>
        </w:rPr>
        <w:t xml:space="preserve">. </w:t>
      </w:r>
      <w:r w:rsidR="00CB205D" w:rsidRPr="002574EC">
        <w:rPr>
          <w:rFonts w:cs="Calibri"/>
          <w:color w:val="000000"/>
        </w:rPr>
        <w:t xml:space="preserve"> Out of this total </w:t>
      </w:r>
      <w:r w:rsidR="00CB205D" w:rsidRPr="002574EC">
        <w:rPr>
          <w:rFonts w:cs="Calibri"/>
          <w:color w:val="000000"/>
        </w:rPr>
        <w:lastRenderedPageBreak/>
        <w:t xml:space="preserve">number, </w:t>
      </w:r>
      <w:r w:rsidR="00527C4D" w:rsidRPr="002574EC">
        <w:rPr>
          <w:rFonts w:cs="Calibri"/>
          <w:color w:val="000000"/>
        </w:rPr>
        <w:t>4,992,664</w:t>
      </w:r>
      <w:r w:rsidR="00ED5E0C" w:rsidRPr="002574EC">
        <w:rPr>
          <w:rFonts w:cs="Calibri"/>
          <w:color w:val="000000"/>
        </w:rPr>
        <w:t xml:space="preserve"> </w:t>
      </w:r>
      <w:r w:rsidR="00CB205D" w:rsidRPr="002574EC">
        <w:rPr>
          <w:rFonts w:cs="Calibri"/>
          <w:color w:val="000000"/>
        </w:rPr>
        <w:t xml:space="preserve">have specifically </w:t>
      </w:r>
      <w:r w:rsidR="00D36B37" w:rsidRPr="002574EC">
        <w:rPr>
          <w:rFonts w:cs="Calibri"/>
          <w:color w:val="000000"/>
        </w:rPr>
        <w:t xml:space="preserve">gone to Latin America and the Caribbean. </w:t>
      </w:r>
      <w:r w:rsidR="00854024" w:rsidRPr="002574EC">
        <w:rPr>
          <w:rFonts w:cs="Calibri"/>
          <w:color w:val="000000"/>
        </w:rPr>
        <w:t xml:space="preserve"> </w:t>
      </w:r>
      <w:r w:rsidR="001E1D97" w:rsidRPr="002574EC">
        <w:rPr>
          <w:rFonts w:cs="Calibri"/>
          <w:color w:val="000000"/>
        </w:rPr>
        <w:t xml:space="preserve">The </w:t>
      </w:r>
      <w:r w:rsidR="00C80F68" w:rsidRPr="002574EC">
        <w:rPr>
          <w:rFonts w:cs="Calibri"/>
          <w:color w:val="000000"/>
        </w:rPr>
        <w:t xml:space="preserve"> </w:t>
      </w:r>
      <w:r w:rsidR="00854024" w:rsidRPr="002574EC">
        <w:rPr>
          <w:rFonts w:cs="Calibri"/>
          <w:color w:val="000000"/>
        </w:rPr>
        <w:t xml:space="preserve">countries </w:t>
      </w:r>
      <w:r w:rsidR="00C80F68" w:rsidRPr="002574EC">
        <w:rPr>
          <w:rFonts w:cs="Calibri"/>
          <w:color w:val="000000"/>
        </w:rPr>
        <w:t>taking in the most people</w:t>
      </w:r>
      <w:r w:rsidR="004D1209" w:rsidRPr="002574EC">
        <w:rPr>
          <w:rFonts w:cs="Calibri"/>
          <w:color w:val="000000"/>
        </w:rPr>
        <w:t xml:space="preserve"> in</w:t>
      </w:r>
      <w:r w:rsidR="00C80F68" w:rsidRPr="002574EC">
        <w:rPr>
          <w:rFonts w:cs="Calibri"/>
          <w:color w:val="000000"/>
        </w:rPr>
        <w:t xml:space="preserve"> from Venezuela are Colombia with</w:t>
      </w:r>
      <w:r w:rsidR="00ED5E0C" w:rsidRPr="002574EC">
        <w:rPr>
          <w:rFonts w:cs="Calibri"/>
          <w:color w:val="000000"/>
        </w:rPr>
        <w:t xml:space="preserve"> 1,742,927; Per</w:t>
      </w:r>
      <w:r w:rsidR="00C80F68" w:rsidRPr="002574EC">
        <w:rPr>
          <w:rFonts w:cs="Calibri"/>
          <w:color w:val="000000"/>
        </w:rPr>
        <w:t>u with</w:t>
      </w:r>
      <w:r w:rsidR="00ED5E0C" w:rsidRPr="002574EC">
        <w:rPr>
          <w:rFonts w:cs="Calibri"/>
          <w:color w:val="000000"/>
        </w:rPr>
        <w:t xml:space="preserve"> 1,288,464; Ecuador </w:t>
      </w:r>
      <w:r w:rsidR="00C80F68" w:rsidRPr="002574EC">
        <w:rPr>
          <w:rFonts w:cs="Calibri"/>
          <w:color w:val="000000"/>
        </w:rPr>
        <w:t xml:space="preserve">with </w:t>
      </w:r>
      <w:r w:rsidR="00ED5E0C" w:rsidRPr="002574EC">
        <w:rPr>
          <w:rFonts w:cs="Calibri"/>
          <w:color w:val="000000"/>
        </w:rPr>
        <w:t xml:space="preserve">482,897; Chile </w:t>
      </w:r>
      <w:r w:rsidR="00C43B4B" w:rsidRPr="002574EC">
        <w:rPr>
          <w:rFonts w:cs="Calibri"/>
          <w:color w:val="000000"/>
        </w:rPr>
        <w:t xml:space="preserve">with </w:t>
      </w:r>
      <w:r w:rsidR="00ED5E0C" w:rsidRPr="002574EC">
        <w:rPr>
          <w:rFonts w:cs="Calibri"/>
          <w:color w:val="000000"/>
        </w:rPr>
        <w:t>448,138</w:t>
      </w:r>
      <w:r w:rsidR="00C43B4B" w:rsidRPr="002574EC">
        <w:rPr>
          <w:rFonts w:cs="Calibri"/>
          <w:color w:val="000000"/>
        </w:rPr>
        <w:t>;</w:t>
      </w:r>
      <w:r w:rsidR="00ED5E0C" w:rsidRPr="002574EC">
        <w:rPr>
          <w:rFonts w:cs="Calibri"/>
          <w:color w:val="000000"/>
        </w:rPr>
        <w:t xml:space="preserve"> </w:t>
      </w:r>
      <w:r w:rsidR="00C43B4B" w:rsidRPr="002574EC">
        <w:rPr>
          <w:rFonts w:cs="Calibri"/>
          <w:color w:val="000000"/>
        </w:rPr>
        <w:t>and</w:t>
      </w:r>
      <w:r w:rsidR="00ED5E0C" w:rsidRPr="002574EC">
        <w:rPr>
          <w:rFonts w:cs="Calibri"/>
          <w:color w:val="000000"/>
        </w:rPr>
        <w:t xml:space="preserve"> Bra</w:t>
      </w:r>
      <w:r w:rsidR="00C43B4B" w:rsidRPr="002574EC">
        <w:rPr>
          <w:rFonts w:cs="Calibri"/>
          <w:color w:val="000000"/>
        </w:rPr>
        <w:t>z</w:t>
      </w:r>
      <w:r w:rsidR="00ED5E0C" w:rsidRPr="002574EC">
        <w:rPr>
          <w:rFonts w:cs="Calibri"/>
          <w:color w:val="000000"/>
        </w:rPr>
        <w:t xml:space="preserve">il </w:t>
      </w:r>
      <w:r w:rsidR="00C43B4B" w:rsidRPr="002574EC">
        <w:rPr>
          <w:rFonts w:cs="Calibri"/>
          <w:color w:val="000000"/>
        </w:rPr>
        <w:t>with</w:t>
      </w:r>
      <w:r w:rsidR="00ED5E0C" w:rsidRPr="002574EC">
        <w:rPr>
          <w:rFonts w:cs="Calibri"/>
          <w:color w:val="000000"/>
        </w:rPr>
        <w:t xml:space="preserve"> 261,441. </w:t>
      </w:r>
      <w:r w:rsidR="00B37E2A" w:rsidRPr="002574EC">
        <w:rPr>
          <w:rFonts w:cs="Calibri"/>
          <w:color w:val="000000"/>
        </w:rPr>
        <w:t>Although most Venezuelans have gone to South American countries, the Commission observes that the flow of migration has expanded to the Caribbean, North America and Europe.</w:t>
      </w:r>
      <w:r w:rsidR="00AA19FB" w:rsidRPr="002574EC">
        <w:rPr>
          <w:vertAlign w:val="superscript"/>
        </w:rPr>
        <w:footnoteReference w:id="350"/>
      </w:r>
    </w:p>
    <w:p w14:paraId="072F2CC2" w14:textId="77777777" w:rsidR="00AA19FB" w:rsidRPr="002574EC" w:rsidRDefault="00AA19FB" w:rsidP="00E07D06">
      <w:pPr>
        <w:ind w:left="426" w:hanging="426"/>
        <w:jc w:val="both"/>
        <w:rPr>
          <w:rFonts w:ascii="Cambria" w:eastAsia="Calibri" w:hAnsi="Cambria" w:cs="Calibri"/>
          <w:sz w:val="20"/>
          <w:szCs w:val="20"/>
        </w:rPr>
      </w:pPr>
    </w:p>
    <w:p w14:paraId="37D4CC38" w14:textId="1F5B1519" w:rsidR="00AA19FB" w:rsidRPr="002574EC" w:rsidRDefault="00AF048D" w:rsidP="00F85814">
      <w:pPr>
        <w:pStyle w:val="ListParagraph"/>
      </w:pPr>
      <w:bookmarkStart w:id="2" w:name="_3znysh7" w:colFirst="0" w:colLast="0"/>
      <w:bookmarkEnd w:id="2"/>
      <w:r w:rsidRPr="002574EC">
        <w:t xml:space="preserve">The Commission also </w:t>
      </w:r>
      <w:r w:rsidR="00FF4C8B" w:rsidRPr="002574EC">
        <w:t>caut</w:t>
      </w:r>
      <w:r w:rsidR="00E328D7" w:rsidRPr="002574EC">
        <w:t>i</w:t>
      </w:r>
      <w:r w:rsidR="00FF4C8B" w:rsidRPr="002574EC">
        <w:t xml:space="preserve">ons </w:t>
      </w:r>
      <w:r w:rsidR="00A05484" w:rsidRPr="002574EC">
        <w:t>that many Venezuelans</w:t>
      </w:r>
      <w:r w:rsidR="00E328D7" w:rsidRPr="002574EC">
        <w:t xml:space="preserve"> are precluded from migrating </w:t>
      </w:r>
      <w:r w:rsidR="00367BD5" w:rsidRPr="002574EC">
        <w:t xml:space="preserve">properly because they lack </w:t>
      </w:r>
      <w:r w:rsidR="00B3062E" w:rsidRPr="002574EC">
        <w:t xml:space="preserve">documentation such as passports, identity cards or birth certificates in the case of children. </w:t>
      </w:r>
      <w:r w:rsidR="00900CFA" w:rsidRPr="002574EC">
        <w:t xml:space="preserve">Likewise, the IACHR has been informed that </w:t>
      </w:r>
      <w:r w:rsidR="00E24583" w:rsidRPr="002574EC">
        <w:t xml:space="preserve">approximately </w:t>
      </w:r>
      <w:r w:rsidR="005A2190" w:rsidRPr="002574EC">
        <w:t xml:space="preserve">two million Venezuelans </w:t>
      </w:r>
      <w:r w:rsidR="007B3500" w:rsidRPr="002574EC">
        <w:t xml:space="preserve">did not have a passport because of </w:t>
      </w:r>
      <w:r w:rsidR="001E7779" w:rsidRPr="002574EC">
        <w:t>a variety of obstacles.</w:t>
      </w:r>
      <w:r w:rsidR="00AA19FB" w:rsidRPr="002574EC">
        <w:rPr>
          <w:vertAlign w:val="superscript"/>
        </w:rPr>
        <w:footnoteReference w:id="351"/>
      </w:r>
      <w:r w:rsidR="00B67264" w:rsidRPr="002574EC">
        <w:t xml:space="preserve"> In accordance with data from the civil society organization </w:t>
      </w:r>
      <w:r w:rsidR="00AA19FB" w:rsidRPr="002574EC">
        <w:t xml:space="preserve"> </w:t>
      </w:r>
      <w:r w:rsidR="00AA19FB" w:rsidRPr="002574EC">
        <w:rPr>
          <w:i/>
          <w:iCs/>
        </w:rPr>
        <w:t>Save my identity</w:t>
      </w:r>
      <w:r w:rsidR="00AA19FB" w:rsidRPr="002574EC">
        <w:t xml:space="preserve">, </w:t>
      </w:r>
      <w:r w:rsidR="00B67264" w:rsidRPr="002574EC">
        <w:t>obstacles to acquire a passport include:</w:t>
      </w:r>
      <w:r w:rsidR="00AA19FB" w:rsidRPr="002574EC">
        <w:t xml:space="preserve"> i) </w:t>
      </w:r>
      <w:r w:rsidR="00137BC9" w:rsidRPr="002574EC">
        <w:t>ongoing rise in cost</w:t>
      </w:r>
      <w:r w:rsidR="00AA19FB" w:rsidRPr="002574EC">
        <w:t xml:space="preserve">; ii) </w:t>
      </w:r>
      <w:r w:rsidR="00137BC9" w:rsidRPr="002574EC">
        <w:t xml:space="preserve">delay of up to 3 years </w:t>
      </w:r>
      <w:r w:rsidR="00C246B0" w:rsidRPr="002574EC">
        <w:t>in the procedure</w:t>
      </w:r>
      <w:r w:rsidR="00AA19FB" w:rsidRPr="002574EC">
        <w:t xml:space="preserve">; </w:t>
      </w:r>
      <w:r w:rsidR="00C246B0" w:rsidRPr="002574EC">
        <w:t>and</w:t>
      </w:r>
      <w:r w:rsidR="00AA19FB" w:rsidRPr="002574EC">
        <w:t xml:space="preserve"> iii) d</w:t>
      </w:r>
      <w:r w:rsidR="000039AA" w:rsidRPr="002574EC">
        <w:t xml:space="preserve">ifficulties in the </w:t>
      </w:r>
      <w:r w:rsidR="005151D1" w:rsidRPr="002574EC">
        <w:t xml:space="preserve">application process, including </w:t>
      </w:r>
      <w:r w:rsidR="000302CE" w:rsidRPr="002574EC">
        <w:t xml:space="preserve">technical system failures and </w:t>
      </w:r>
      <w:r w:rsidR="006E290D" w:rsidRPr="002574EC">
        <w:t>inability to access the system to make appointments.</w:t>
      </w:r>
      <w:r w:rsidR="00AA19FB" w:rsidRPr="002574EC">
        <w:rPr>
          <w:vertAlign w:val="superscript"/>
        </w:rPr>
        <w:footnoteReference w:id="352"/>
      </w:r>
    </w:p>
    <w:p w14:paraId="79AB4D97" w14:textId="77777777" w:rsidR="00AA19FB" w:rsidRPr="002574EC" w:rsidRDefault="00AA19FB" w:rsidP="00E07D06">
      <w:pPr>
        <w:ind w:left="426" w:hanging="426"/>
        <w:jc w:val="both"/>
        <w:rPr>
          <w:rFonts w:ascii="Cambria" w:hAnsi="Cambria"/>
          <w:sz w:val="20"/>
          <w:szCs w:val="20"/>
        </w:rPr>
      </w:pPr>
    </w:p>
    <w:p w14:paraId="5A00689F" w14:textId="24548A0E" w:rsidR="00863653" w:rsidRPr="002574EC" w:rsidRDefault="006E290D" w:rsidP="00F85814">
      <w:pPr>
        <w:pStyle w:val="ListParagraph"/>
      </w:pPr>
      <w:r w:rsidRPr="002574EC">
        <w:t>The Commission views with concern that this situation, in addition to the inability to exercise the right to free movement, places Venezuelans in a situation of greater vulnerability</w:t>
      </w:r>
      <w:r w:rsidR="00A37A46" w:rsidRPr="002574EC">
        <w:t xml:space="preserve">, inasmuch as they are impaired from accessing services and exercising their rights in transit and host countries. </w:t>
      </w:r>
      <w:r w:rsidR="00B201E9" w:rsidRPr="002574EC">
        <w:t xml:space="preserve">On this score, the Commission recalls that, pursuant to the Inter-American Principles </w:t>
      </w:r>
      <w:r w:rsidR="00FD5C0E" w:rsidRPr="002574EC">
        <w:t>on the Human Rights of All Migrants, Refugees, Stateless Persons</w:t>
      </w:r>
      <w:r w:rsidR="00112B84" w:rsidRPr="002574EC">
        <w:t>,</w:t>
      </w:r>
      <w:r w:rsidR="00FD5C0E" w:rsidRPr="002574EC">
        <w:t xml:space="preserve"> and Victims of Human Trafficking, States must be willing to </w:t>
      </w:r>
      <w:r w:rsidR="00425766" w:rsidRPr="002574EC">
        <w:t xml:space="preserve">adopt a more flexible approach to </w:t>
      </w:r>
      <w:r w:rsidR="00FD5C0E" w:rsidRPr="002574EC">
        <w:t xml:space="preserve">domestic requirements </w:t>
      </w:r>
      <w:r w:rsidR="000E0616" w:rsidRPr="002574EC">
        <w:t xml:space="preserve">in considering </w:t>
      </w:r>
      <w:r w:rsidR="006768D5" w:rsidRPr="002574EC">
        <w:t xml:space="preserve">documents issued overseas, especially when this situation jeopardizes the exercise of rights </w:t>
      </w:r>
      <w:r w:rsidR="000C51D4" w:rsidRPr="002574EC">
        <w:t xml:space="preserve">such as </w:t>
      </w:r>
      <w:r w:rsidR="00BB35B1" w:rsidRPr="002574EC">
        <w:t xml:space="preserve">the </w:t>
      </w:r>
      <w:r w:rsidR="000C51D4" w:rsidRPr="002574EC">
        <w:t xml:space="preserve">education </w:t>
      </w:r>
      <w:r w:rsidR="00BB35B1" w:rsidRPr="002574EC">
        <w:t xml:space="preserve">and health </w:t>
      </w:r>
      <w:r w:rsidR="00A76E8B" w:rsidRPr="002574EC">
        <w:t>of children</w:t>
      </w:r>
      <w:r w:rsidR="003974EB" w:rsidRPr="002574EC">
        <w:t xml:space="preserve"> and adolescents.</w:t>
      </w:r>
      <w:r w:rsidR="00AA19FB" w:rsidRPr="002574EC">
        <w:rPr>
          <w:vertAlign w:val="superscript"/>
        </w:rPr>
        <w:footnoteReference w:id="353"/>
      </w:r>
    </w:p>
    <w:p w14:paraId="7F121FD4" w14:textId="77777777" w:rsidR="00762AC5" w:rsidRPr="002574EC" w:rsidRDefault="00762AC5" w:rsidP="00E07D06">
      <w:pPr>
        <w:pBdr>
          <w:top w:val="nil"/>
          <w:left w:val="nil"/>
          <w:bottom w:val="nil"/>
          <w:right w:val="nil"/>
          <w:between w:val="nil"/>
        </w:pBdr>
        <w:ind w:left="426" w:hanging="426"/>
        <w:jc w:val="both"/>
        <w:rPr>
          <w:rFonts w:ascii="Cambria" w:hAnsi="Cambria"/>
          <w:sz w:val="20"/>
          <w:szCs w:val="20"/>
        </w:rPr>
      </w:pPr>
    </w:p>
    <w:p w14:paraId="7F68C3E6" w14:textId="45C8EB97" w:rsidR="002523D6" w:rsidRPr="002574EC" w:rsidRDefault="002523D6" w:rsidP="007E075D">
      <w:pPr>
        <w:pStyle w:val="Heading2"/>
        <w:rPr>
          <w:bCs/>
        </w:rPr>
      </w:pPr>
      <w:bookmarkStart w:id="3" w:name="_2et92p0" w:colFirst="0" w:colLast="0"/>
      <w:bookmarkStart w:id="4" w:name="_2xcytpi" w:colFirst="0" w:colLast="0"/>
      <w:bookmarkStart w:id="5" w:name="_1ci93xb" w:colFirst="0" w:colLast="0"/>
      <w:bookmarkEnd w:id="3"/>
      <w:bookmarkEnd w:id="4"/>
      <w:bookmarkEnd w:id="5"/>
      <w:r w:rsidRPr="002574EC">
        <w:t>Persons</w:t>
      </w:r>
      <w:r w:rsidR="00483296" w:rsidRPr="002574EC">
        <w:t xml:space="preserve"> </w:t>
      </w:r>
      <w:r w:rsidR="007E075D" w:rsidRPr="002574EC">
        <w:t xml:space="preserve">Deprived </w:t>
      </w:r>
      <w:r w:rsidR="00483296" w:rsidRPr="002574EC">
        <w:t xml:space="preserve">of </w:t>
      </w:r>
      <w:r w:rsidR="007E075D" w:rsidRPr="002574EC">
        <w:t>Liberty</w:t>
      </w:r>
      <w:r w:rsidR="00EA4C93" w:rsidRPr="002574EC">
        <w:rPr>
          <w:rStyle w:val="FootnoteReference"/>
          <w:bCs/>
          <w:sz w:val="20"/>
        </w:rPr>
        <w:footnoteReference w:id="354"/>
      </w:r>
    </w:p>
    <w:p w14:paraId="331E7408" w14:textId="4E870521" w:rsidR="009E16E8" w:rsidRPr="002574EC" w:rsidRDefault="009E16E8" w:rsidP="00E07D06">
      <w:pPr>
        <w:widowControl w:val="0"/>
        <w:pBdr>
          <w:top w:val="nil"/>
          <w:left w:val="nil"/>
          <w:bottom w:val="nil"/>
          <w:right w:val="nil"/>
          <w:between w:val="nil"/>
        </w:pBdr>
        <w:ind w:left="426" w:hanging="426"/>
        <w:jc w:val="both"/>
        <w:rPr>
          <w:rFonts w:ascii="Cambria" w:hAnsi="Cambria"/>
          <w:b/>
          <w:bCs/>
          <w:sz w:val="20"/>
          <w:szCs w:val="20"/>
        </w:rPr>
      </w:pPr>
    </w:p>
    <w:p w14:paraId="40D7C292" w14:textId="6ED7FF64" w:rsidR="00BC769A" w:rsidRPr="002574EC" w:rsidRDefault="007B500D" w:rsidP="00F85814">
      <w:pPr>
        <w:pStyle w:val="ListParagraph"/>
        <w:rPr>
          <w:color w:val="000000"/>
        </w:rPr>
      </w:pPr>
      <w:r w:rsidRPr="002574EC">
        <w:t xml:space="preserve">Over the past years, the IACHR </w:t>
      </w:r>
      <w:r w:rsidR="0076037A" w:rsidRPr="002574EC">
        <w:t xml:space="preserve">has </w:t>
      </w:r>
      <w:r w:rsidRPr="002574EC">
        <w:t xml:space="preserve">paid close attention to </w:t>
      </w:r>
      <w:r w:rsidR="00162A49" w:rsidRPr="002574EC">
        <w:t xml:space="preserve">the situation of persons deprived of liberty in Venezuela, which is one of the most dire </w:t>
      </w:r>
      <w:r w:rsidR="00DA295A" w:rsidRPr="002574EC">
        <w:t xml:space="preserve">scenarios </w:t>
      </w:r>
      <w:r w:rsidR="00162A49" w:rsidRPr="002574EC">
        <w:t>in the region</w:t>
      </w:r>
      <w:r w:rsidR="000D18B3" w:rsidRPr="002574EC">
        <w:t xml:space="preserve">.  </w:t>
      </w:r>
      <w:r w:rsidR="008B3761" w:rsidRPr="002574EC">
        <w:t xml:space="preserve">Specifically, </w:t>
      </w:r>
      <w:r w:rsidR="00F8342A" w:rsidRPr="002574EC">
        <w:t xml:space="preserve">this situation is </w:t>
      </w:r>
      <w:r w:rsidR="003A136F" w:rsidRPr="002574EC">
        <w:t xml:space="preserve">characterized </w:t>
      </w:r>
      <w:r w:rsidR="00F8342A" w:rsidRPr="002574EC">
        <w:t>by critical levels of overcrowding</w:t>
      </w:r>
      <w:r w:rsidR="009E56FE" w:rsidRPr="002574EC">
        <w:t xml:space="preserve"> at prisons and pretrial detention facilities</w:t>
      </w:r>
      <w:r w:rsidR="00B95E56" w:rsidRPr="002574EC">
        <w:t>, as well as a lack of up-to-date official statistics</w:t>
      </w:r>
      <w:r w:rsidR="005966BC" w:rsidRPr="002574EC">
        <w:t xml:space="preserve"> and deplorable </w:t>
      </w:r>
      <w:r w:rsidR="00283B37" w:rsidRPr="002574EC">
        <w:t>conditions of detention</w:t>
      </w:r>
      <w:r w:rsidR="00BC769A" w:rsidRPr="002574EC">
        <w:t>.</w:t>
      </w:r>
      <w:r w:rsidR="00FF3615" w:rsidRPr="002574EC">
        <w:t xml:space="preserve"> </w:t>
      </w:r>
      <w:r w:rsidR="005054FB" w:rsidRPr="002574EC">
        <w:t xml:space="preserve">The Commission </w:t>
      </w:r>
      <w:r w:rsidR="00F612EC" w:rsidRPr="002574EC">
        <w:t xml:space="preserve">calls attention to the lack of prison policies </w:t>
      </w:r>
      <w:r w:rsidR="001B6C1F" w:rsidRPr="002574EC">
        <w:t xml:space="preserve">with a gender perspective to meet the particular needs of women deprived of liberty and to </w:t>
      </w:r>
      <w:r w:rsidR="00D406F0" w:rsidRPr="002574EC">
        <w:t>protect</w:t>
      </w:r>
      <w:r w:rsidR="00574787" w:rsidRPr="002574EC">
        <w:t xml:space="preserve"> </w:t>
      </w:r>
      <w:r w:rsidR="001B6C1F" w:rsidRPr="002574EC">
        <w:t xml:space="preserve">their physical integrity. </w:t>
      </w:r>
      <w:r w:rsidR="00496B5C" w:rsidRPr="002574EC">
        <w:t>It is also concerned about the networks of corruption and organized crime within prisons and pretrial detention facilities</w:t>
      </w:r>
      <w:r w:rsidR="0079217F" w:rsidRPr="002574EC">
        <w:t xml:space="preserve">, which </w:t>
      </w:r>
      <w:r w:rsidR="00AF4488" w:rsidRPr="002574EC">
        <w:t>exposes</w:t>
      </w:r>
      <w:r w:rsidR="005E11B3" w:rsidRPr="002574EC">
        <w:t xml:space="preserve"> </w:t>
      </w:r>
      <w:r w:rsidR="002A1274" w:rsidRPr="002574EC">
        <w:t>the aut</w:t>
      </w:r>
      <w:r w:rsidR="000A4979" w:rsidRPr="002574EC">
        <w:t>h</w:t>
      </w:r>
      <w:r w:rsidR="002A1274" w:rsidRPr="002574EC">
        <w:t>orities’</w:t>
      </w:r>
      <w:r w:rsidR="005E11B3" w:rsidRPr="002574EC">
        <w:t xml:space="preserve"> lack </w:t>
      </w:r>
      <w:r w:rsidR="00CB5C65" w:rsidRPr="002574EC">
        <w:t>of actual control</w:t>
      </w:r>
      <w:r w:rsidR="00BC769A" w:rsidRPr="002574EC">
        <w:t>.</w:t>
      </w:r>
    </w:p>
    <w:p w14:paraId="6F050A55" w14:textId="2F6A5A23" w:rsidR="00BC769A" w:rsidRPr="002574EC" w:rsidRDefault="00BC769A" w:rsidP="00E07D06">
      <w:pPr>
        <w:pBdr>
          <w:top w:val="nil"/>
          <w:left w:val="nil"/>
          <w:bottom w:val="nil"/>
          <w:right w:val="nil"/>
          <w:between w:val="nil"/>
        </w:pBdr>
        <w:ind w:left="426" w:hanging="426"/>
        <w:jc w:val="both"/>
        <w:rPr>
          <w:rFonts w:ascii="Cambria" w:eastAsia="Cambria" w:hAnsi="Cambria" w:cs="Cambria"/>
          <w:color w:val="000000"/>
          <w:sz w:val="20"/>
          <w:szCs w:val="20"/>
        </w:rPr>
      </w:pPr>
    </w:p>
    <w:p w14:paraId="5DBC7C0A" w14:textId="7C4DBA87" w:rsidR="00BC769A" w:rsidRPr="002574EC" w:rsidRDefault="00282BBC" w:rsidP="00F85814">
      <w:pPr>
        <w:pStyle w:val="ListParagraph"/>
        <w:rPr>
          <w:color w:val="000000"/>
        </w:rPr>
      </w:pPr>
      <w:r w:rsidRPr="002574EC">
        <w:t xml:space="preserve">The Commission reiterates in general that one of the biggest obstacles to the respect </w:t>
      </w:r>
      <w:r w:rsidR="000A62FE" w:rsidRPr="002574EC">
        <w:t xml:space="preserve">for </w:t>
      </w:r>
      <w:r w:rsidRPr="002574EC">
        <w:t>and guarantee</w:t>
      </w:r>
      <w:r w:rsidR="000A62FE" w:rsidRPr="002574EC">
        <w:t xml:space="preserve"> of the rights of persons deprived of liberty is the existence of </w:t>
      </w:r>
      <w:r w:rsidR="00BF4463" w:rsidRPr="002574EC">
        <w:t xml:space="preserve">a dual prison system. One official system, which in 2019 held more than 40 thousand people in 45 jail facilities under the Ministry of </w:t>
      </w:r>
      <w:r w:rsidR="00CD75D6" w:rsidRPr="002574EC">
        <w:t xml:space="preserve">the </w:t>
      </w:r>
      <w:r w:rsidR="00BF4463" w:rsidRPr="002574EC">
        <w:t>P</w:t>
      </w:r>
      <w:r w:rsidR="005407B9" w:rsidRPr="002574EC">
        <w:t>enitentiary</w:t>
      </w:r>
      <w:r w:rsidR="00BF4463" w:rsidRPr="002574EC">
        <w:t xml:space="preserve"> Service</w:t>
      </w:r>
      <w:r w:rsidR="00BC769A" w:rsidRPr="002574EC">
        <w:t>,</w:t>
      </w:r>
      <w:r w:rsidR="00BF4463" w:rsidRPr="002574EC">
        <w:t xml:space="preserve"> and the other parallel system, </w:t>
      </w:r>
      <w:r w:rsidR="00A155A7" w:rsidRPr="002574EC">
        <w:t>made up of approximately</w:t>
      </w:r>
      <w:r w:rsidR="00BC769A" w:rsidRPr="002574EC">
        <w:t xml:space="preserve"> 500 </w:t>
      </w:r>
      <w:r w:rsidR="007F5A22" w:rsidRPr="002574EC">
        <w:t xml:space="preserve">pretrial detention </w:t>
      </w:r>
      <w:r w:rsidR="00E76B63" w:rsidRPr="002574EC">
        <w:t>s</w:t>
      </w:r>
      <w:r w:rsidR="00DA24D3" w:rsidRPr="002574EC">
        <w:t>paces</w:t>
      </w:r>
      <w:r w:rsidR="00BC769A" w:rsidRPr="002574EC">
        <w:t>,</w:t>
      </w:r>
      <w:r w:rsidR="00E76B63" w:rsidRPr="002574EC">
        <w:t xml:space="preserve"> which in </w:t>
      </w:r>
      <w:r w:rsidR="00BC769A" w:rsidRPr="002574EC">
        <w:t xml:space="preserve">2019 </w:t>
      </w:r>
      <w:r w:rsidR="00E76B63" w:rsidRPr="002574EC">
        <w:t>held more than 60 thousand people.</w:t>
      </w:r>
      <w:r w:rsidR="00BD235A" w:rsidRPr="002574EC">
        <w:t xml:space="preserve">  The Commission was unable to access any official data on the population deprived of liberty in 2021</w:t>
      </w:r>
      <w:r w:rsidR="00BC769A" w:rsidRPr="002574EC">
        <w:t xml:space="preserve">. </w:t>
      </w:r>
      <w:r w:rsidR="004D571E" w:rsidRPr="002574EC">
        <w:t xml:space="preserve">Nonetheless, in any case, it notes that this situation is extremely dire, because the pretrial detention </w:t>
      </w:r>
      <w:r w:rsidR="00C24FC4" w:rsidRPr="002574EC">
        <w:t xml:space="preserve">cells are not suitable to hold people for more than 48 hours and the Ministry </w:t>
      </w:r>
      <w:r w:rsidR="00C24FC4" w:rsidRPr="002574EC">
        <w:lastRenderedPageBreak/>
        <w:t xml:space="preserve">of the Penitentiary Service does not protect the rights of these individuals, claiming that they are the responsibility of the police. </w:t>
      </w:r>
    </w:p>
    <w:p w14:paraId="55467DE9" w14:textId="38FF3ADF" w:rsidR="00BC769A" w:rsidRPr="002574EC" w:rsidRDefault="00BC769A" w:rsidP="00E07D06">
      <w:pPr>
        <w:pBdr>
          <w:top w:val="nil"/>
          <w:left w:val="nil"/>
          <w:bottom w:val="nil"/>
          <w:right w:val="nil"/>
          <w:between w:val="nil"/>
        </w:pBdr>
        <w:shd w:val="clear" w:color="auto" w:fill="FFFFFF"/>
        <w:ind w:left="426" w:hanging="426"/>
        <w:jc w:val="both"/>
        <w:rPr>
          <w:rFonts w:ascii="Cambria" w:eastAsia="Cambria" w:hAnsi="Cambria" w:cs="Cambria"/>
          <w:color w:val="000000"/>
          <w:sz w:val="20"/>
          <w:szCs w:val="20"/>
        </w:rPr>
      </w:pPr>
    </w:p>
    <w:p w14:paraId="331418DF" w14:textId="1F8C800E" w:rsidR="00CD0FCC" w:rsidRPr="002574EC" w:rsidRDefault="00AD2E17" w:rsidP="00E07D06">
      <w:pPr>
        <w:pBdr>
          <w:top w:val="nil"/>
          <w:left w:val="nil"/>
          <w:bottom w:val="nil"/>
          <w:right w:val="nil"/>
          <w:between w:val="nil"/>
        </w:pBdr>
        <w:shd w:val="clear" w:color="auto" w:fill="FFFFFF"/>
        <w:ind w:left="426" w:hanging="426"/>
        <w:jc w:val="both"/>
        <w:rPr>
          <w:rFonts w:ascii="Cambria" w:eastAsia="Cambria" w:hAnsi="Cambria" w:cs="Cambria"/>
          <w:b/>
          <w:bCs/>
          <w:i/>
          <w:iCs/>
          <w:color w:val="000000"/>
          <w:sz w:val="20"/>
          <w:szCs w:val="20"/>
        </w:rPr>
      </w:pPr>
      <w:r w:rsidRPr="002574EC">
        <w:rPr>
          <w:rFonts w:ascii="Cambria" w:eastAsia="Cambria" w:hAnsi="Cambria" w:cs="Cambria"/>
          <w:b/>
          <w:bCs/>
          <w:i/>
          <w:iCs/>
          <w:color w:val="000000"/>
          <w:sz w:val="20"/>
          <w:szCs w:val="20"/>
        </w:rPr>
        <w:t xml:space="preserve">Conditions of detention </w:t>
      </w:r>
    </w:p>
    <w:p w14:paraId="63D9155A" w14:textId="77777777" w:rsidR="00762AC5" w:rsidRPr="002574EC" w:rsidRDefault="00762AC5" w:rsidP="00E07D06">
      <w:pPr>
        <w:pBdr>
          <w:top w:val="nil"/>
          <w:left w:val="nil"/>
          <w:bottom w:val="nil"/>
          <w:right w:val="nil"/>
          <w:between w:val="nil"/>
        </w:pBdr>
        <w:shd w:val="clear" w:color="auto" w:fill="FFFFFF"/>
        <w:ind w:left="426" w:hanging="426"/>
        <w:jc w:val="both"/>
        <w:rPr>
          <w:rFonts w:ascii="Cambria" w:eastAsia="Cambria" w:hAnsi="Cambria" w:cs="Cambria"/>
          <w:i/>
          <w:iCs/>
          <w:color w:val="000000"/>
          <w:sz w:val="20"/>
          <w:szCs w:val="20"/>
        </w:rPr>
      </w:pPr>
    </w:p>
    <w:p w14:paraId="5CCF734F" w14:textId="795A87AC" w:rsidR="00622696" w:rsidRPr="002574EC" w:rsidRDefault="00B84491" w:rsidP="00F85814">
      <w:pPr>
        <w:pStyle w:val="ListParagraph"/>
      </w:pPr>
      <w:r w:rsidRPr="002574EC">
        <w:t xml:space="preserve">As was mentioned above, one of the major </w:t>
      </w:r>
      <w:r w:rsidR="008B455E" w:rsidRPr="002574EC">
        <w:t xml:space="preserve">issues with deprivation of liberty is </w:t>
      </w:r>
      <w:r w:rsidR="001D6784" w:rsidRPr="002574EC">
        <w:t>the use of police</w:t>
      </w:r>
      <w:r w:rsidR="00C70CD9" w:rsidRPr="002574EC">
        <w:t xml:space="preserve"> </w:t>
      </w:r>
      <w:r w:rsidR="00485781" w:rsidRPr="002574EC">
        <w:t xml:space="preserve">station </w:t>
      </w:r>
      <w:r w:rsidR="001D6784" w:rsidRPr="002574EC">
        <w:t xml:space="preserve">holding cells (colloquially </w:t>
      </w:r>
      <w:r w:rsidR="005A378E" w:rsidRPr="002574EC">
        <w:t xml:space="preserve">known </w:t>
      </w:r>
      <w:r w:rsidR="001D6784" w:rsidRPr="002574EC">
        <w:t xml:space="preserve">as </w:t>
      </w:r>
      <w:r w:rsidR="00996409" w:rsidRPr="002574EC">
        <w:rPr>
          <w:i/>
          <w:iCs/>
        </w:rPr>
        <w:t>calabozos</w:t>
      </w:r>
      <w:r w:rsidR="00996409" w:rsidRPr="002574EC">
        <w:t xml:space="preserve">) -which are </w:t>
      </w:r>
      <w:r w:rsidR="00C70CD9" w:rsidRPr="002574EC">
        <w:t xml:space="preserve">temporary holding cells </w:t>
      </w:r>
      <w:r w:rsidR="00BD7B20" w:rsidRPr="002574EC">
        <w:t>–</w:t>
      </w:r>
      <w:r w:rsidR="00996409" w:rsidRPr="002574EC">
        <w:t xml:space="preserve"> </w:t>
      </w:r>
      <w:r w:rsidR="00BD7B20" w:rsidRPr="002574EC">
        <w:t xml:space="preserve">to </w:t>
      </w:r>
      <w:r w:rsidR="00F776FD" w:rsidRPr="002574EC">
        <w:t>permanently hold the population deprived of liberty.  The Commission</w:t>
      </w:r>
      <w:r w:rsidR="00F01B3E" w:rsidRPr="002574EC">
        <w:t xml:space="preserve"> notices that the conditions of detention at police detention facilities </w:t>
      </w:r>
      <w:r w:rsidR="009E3119" w:rsidRPr="002574EC">
        <w:t xml:space="preserve">are inhuman, mostly because they are not outfitted to hold people for prolonged periods of time, as well as because of the critical levels of overcrowding </w:t>
      </w:r>
      <w:r w:rsidR="00B05964" w:rsidRPr="002574EC">
        <w:t xml:space="preserve">further aggravating </w:t>
      </w:r>
      <w:r w:rsidR="00A33546" w:rsidRPr="002574EC">
        <w:t xml:space="preserve">conditions. </w:t>
      </w:r>
      <w:r w:rsidR="008673C2" w:rsidRPr="002574EC">
        <w:t xml:space="preserve">According to the organization </w:t>
      </w:r>
      <w:r w:rsidR="00622696" w:rsidRPr="002574EC">
        <w:t xml:space="preserve">Una Ventana a la Libertad, </w:t>
      </w:r>
      <w:r w:rsidR="008673C2" w:rsidRPr="002574EC">
        <w:t xml:space="preserve">in the first half of 2021, only 22.21% of people held at these facilities </w:t>
      </w:r>
      <w:r w:rsidR="002F0593" w:rsidRPr="002574EC">
        <w:t>were in pretrial custody, while the rest were serving or awaiting sentence.</w:t>
      </w:r>
      <w:r w:rsidR="00622696" w:rsidRPr="002574EC">
        <w:rPr>
          <w:rStyle w:val="FootnoteReference"/>
          <w:color w:val="000000"/>
        </w:rPr>
        <w:footnoteReference w:id="355"/>
      </w:r>
      <w:r w:rsidR="00622696" w:rsidRPr="002574EC">
        <w:t xml:space="preserve"> </w:t>
      </w:r>
    </w:p>
    <w:p w14:paraId="193CDA45" w14:textId="77777777" w:rsidR="00CD0FCC" w:rsidRPr="002574EC" w:rsidRDefault="00CD0FCC" w:rsidP="00E07D06">
      <w:pPr>
        <w:pBdr>
          <w:top w:val="nil"/>
          <w:left w:val="nil"/>
          <w:bottom w:val="nil"/>
          <w:right w:val="nil"/>
          <w:between w:val="nil"/>
        </w:pBdr>
        <w:shd w:val="clear" w:color="auto" w:fill="FFFFFF"/>
        <w:ind w:left="426" w:hanging="426"/>
        <w:jc w:val="both"/>
        <w:rPr>
          <w:rFonts w:ascii="Cambria" w:eastAsia="Cambria" w:hAnsi="Cambria" w:cs="Cambria"/>
          <w:i/>
          <w:iCs/>
          <w:color w:val="000000"/>
          <w:sz w:val="20"/>
          <w:szCs w:val="20"/>
        </w:rPr>
      </w:pPr>
    </w:p>
    <w:p w14:paraId="1E9E6E4A" w14:textId="6266646B" w:rsidR="00D9528C" w:rsidRPr="002574EC" w:rsidRDefault="0040309C" w:rsidP="00F85814">
      <w:pPr>
        <w:pStyle w:val="ListParagraph"/>
      </w:pPr>
      <w:r w:rsidRPr="002574EC">
        <w:t>Likewise, in the first half of 2021, out of 289 Pretrial Detention Centers (CDP) examined</w:t>
      </w:r>
      <w:r w:rsidR="008B6FE2" w:rsidRPr="002574EC">
        <w:t xml:space="preserve"> in different regions of the country by the organization </w:t>
      </w:r>
      <w:r w:rsidR="00927A6E" w:rsidRPr="002574EC">
        <w:t>Una Ventana a la Libertad</w:t>
      </w:r>
      <w:r w:rsidR="00CD0FCC" w:rsidRPr="002574EC">
        <w:t>, 241 (83</w:t>
      </w:r>
      <w:r w:rsidR="008B6FE2" w:rsidRPr="002574EC">
        <w:t>.</w:t>
      </w:r>
      <w:r w:rsidR="00CD0FCC" w:rsidRPr="002574EC">
        <w:t xml:space="preserve">39%) </w:t>
      </w:r>
      <w:r w:rsidR="008B6FE2" w:rsidRPr="002574EC">
        <w:t>presented over</w:t>
      </w:r>
      <w:r w:rsidR="00724B74" w:rsidRPr="002574EC">
        <w:t>crowding, with 25,186 people being held in facil</w:t>
      </w:r>
      <w:r w:rsidR="00AC564A" w:rsidRPr="002574EC">
        <w:t>i</w:t>
      </w:r>
      <w:r w:rsidR="00724B74" w:rsidRPr="002574EC">
        <w:t xml:space="preserve">ties with a </w:t>
      </w:r>
      <w:r w:rsidR="00E51AD5" w:rsidRPr="002574EC">
        <w:t xml:space="preserve">maximum </w:t>
      </w:r>
      <w:r w:rsidR="00724B74" w:rsidRPr="002574EC">
        <w:t>capacity of 8,634; in other words, 291.71% over capacity.</w:t>
      </w:r>
      <w:r w:rsidR="00927A6E" w:rsidRPr="002574EC">
        <w:rPr>
          <w:rStyle w:val="FootnoteReference"/>
          <w:color w:val="000000"/>
        </w:rPr>
        <w:footnoteReference w:id="356"/>
      </w:r>
      <w:r w:rsidR="00D9528C" w:rsidRPr="002574EC">
        <w:t xml:space="preserve"> </w:t>
      </w:r>
      <w:r w:rsidR="000F74EB" w:rsidRPr="002574EC">
        <w:t xml:space="preserve">Ninety of the pretrial detention facilities examined </w:t>
      </w:r>
      <w:r w:rsidR="00120B23" w:rsidRPr="002574EC">
        <w:t>held only men</w:t>
      </w:r>
      <w:r w:rsidR="0049631B" w:rsidRPr="002574EC">
        <w:t xml:space="preserve">; </w:t>
      </w:r>
      <w:r w:rsidR="00120B23" w:rsidRPr="002574EC">
        <w:t>eight, only women</w:t>
      </w:r>
      <w:r w:rsidR="0049631B" w:rsidRPr="002574EC">
        <w:t xml:space="preserve">; </w:t>
      </w:r>
      <w:r w:rsidR="00120B23" w:rsidRPr="002574EC">
        <w:t>and 191</w:t>
      </w:r>
      <w:r w:rsidR="0049631B" w:rsidRPr="002574EC">
        <w:t xml:space="preserve"> held both</w:t>
      </w:r>
      <w:r w:rsidR="00120B23" w:rsidRPr="002574EC">
        <w:t>.</w:t>
      </w:r>
      <w:r w:rsidR="0049631B" w:rsidRPr="002574EC">
        <w:t xml:space="preserve"> </w:t>
      </w:r>
      <w:r w:rsidR="00FF68CD" w:rsidRPr="002574EC">
        <w:t xml:space="preserve">186 of these facilities (97.38%) </w:t>
      </w:r>
      <w:r w:rsidR="00C07EA0" w:rsidRPr="002574EC">
        <w:t>held women in a segregated section.</w:t>
      </w:r>
      <w:r w:rsidR="00A805E8" w:rsidRPr="002574EC">
        <w:rPr>
          <w:rStyle w:val="FootnoteReference"/>
          <w:color w:val="000000"/>
        </w:rPr>
        <w:footnoteReference w:id="357"/>
      </w:r>
      <w:r w:rsidR="00622696" w:rsidRPr="002574EC">
        <w:t xml:space="preserve"> </w:t>
      </w:r>
    </w:p>
    <w:p w14:paraId="51341B4D" w14:textId="35BF7968" w:rsidR="00196878" w:rsidRPr="002574EC" w:rsidRDefault="00196878" w:rsidP="00E07D06">
      <w:pPr>
        <w:pBdr>
          <w:top w:val="nil"/>
          <w:left w:val="nil"/>
          <w:bottom w:val="nil"/>
          <w:right w:val="nil"/>
          <w:between w:val="nil"/>
        </w:pBdr>
        <w:shd w:val="clear" w:color="auto" w:fill="FFFFFF"/>
        <w:ind w:left="426" w:hanging="426"/>
        <w:jc w:val="both"/>
        <w:rPr>
          <w:rFonts w:ascii="Cambria" w:eastAsia="Cambria" w:hAnsi="Cambria" w:cs="Cambria"/>
          <w:color w:val="000000"/>
          <w:sz w:val="20"/>
          <w:szCs w:val="20"/>
        </w:rPr>
      </w:pPr>
    </w:p>
    <w:p w14:paraId="0DA159E9" w14:textId="7C960898" w:rsidR="00196878" w:rsidRPr="002574EC" w:rsidRDefault="0011373A" w:rsidP="00F85814">
      <w:pPr>
        <w:pStyle w:val="ListParagraph"/>
      </w:pPr>
      <w:r w:rsidRPr="002574EC">
        <w:t>Ad</w:t>
      </w:r>
      <w:r w:rsidR="000A0CBA" w:rsidRPr="002574EC">
        <w:t xml:space="preserve">ditionally, in April </w:t>
      </w:r>
      <w:r w:rsidR="00196878" w:rsidRPr="002574EC">
        <w:t xml:space="preserve">2021, 244 </w:t>
      </w:r>
      <w:r w:rsidR="00A56871" w:rsidRPr="002574EC">
        <w:t xml:space="preserve">of the 289 </w:t>
      </w:r>
      <w:r w:rsidR="002E67A5" w:rsidRPr="002574EC">
        <w:t>pretrial detention centers</w:t>
      </w:r>
      <w:r w:rsidR="00DD70A5" w:rsidRPr="002574EC">
        <w:t xml:space="preserve"> (CPDs)</w:t>
      </w:r>
      <w:r w:rsidR="00A56871" w:rsidRPr="002574EC">
        <w:t xml:space="preserve"> examined </w:t>
      </w:r>
      <w:r w:rsidR="008613D1" w:rsidRPr="002574EC">
        <w:t>had suspended visits</w:t>
      </w:r>
      <w:r w:rsidR="006D589E" w:rsidRPr="002574EC">
        <w:t xml:space="preserve">, presumably because of the COVID-19 pandemic. </w:t>
      </w:r>
      <w:r w:rsidR="00F55AB1" w:rsidRPr="002574EC">
        <w:t xml:space="preserve">According to information provided by civil society organizations, these restrictions </w:t>
      </w:r>
      <w:r w:rsidR="00E86E9D" w:rsidRPr="002574EC">
        <w:t>negatively impacted the persons deprived of liberty, because their access to medicine, food and drinking water is dependent to a great extent on visits.</w:t>
      </w:r>
      <w:r w:rsidR="00627CEE" w:rsidRPr="002574EC">
        <w:rPr>
          <w:rStyle w:val="FootnoteReference"/>
          <w:color w:val="000000"/>
        </w:rPr>
        <w:footnoteReference w:id="358"/>
      </w:r>
      <w:r w:rsidR="00627CEE" w:rsidRPr="002574EC">
        <w:t xml:space="preserve"> </w:t>
      </w:r>
    </w:p>
    <w:p w14:paraId="59CC459C" w14:textId="77777777" w:rsidR="008D459B" w:rsidRPr="002574EC" w:rsidRDefault="008D459B" w:rsidP="00E07D06">
      <w:pPr>
        <w:pBdr>
          <w:top w:val="nil"/>
          <w:left w:val="nil"/>
          <w:bottom w:val="nil"/>
          <w:right w:val="nil"/>
          <w:between w:val="nil"/>
        </w:pBdr>
        <w:shd w:val="clear" w:color="auto" w:fill="FFFFFF"/>
        <w:ind w:left="426" w:hanging="426"/>
        <w:jc w:val="both"/>
        <w:rPr>
          <w:rFonts w:ascii="Cambria" w:eastAsia="Cambria" w:hAnsi="Cambria" w:cs="Cambria"/>
          <w:color w:val="000000"/>
          <w:sz w:val="20"/>
          <w:szCs w:val="20"/>
        </w:rPr>
      </w:pPr>
    </w:p>
    <w:p w14:paraId="02290474" w14:textId="20CD38AD" w:rsidR="00F7397C" w:rsidRPr="002574EC" w:rsidRDefault="001F2F66" w:rsidP="00F85814">
      <w:pPr>
        <w:pStyle w:val="ListParagraph"/>
      </w:pPr>
      <w:r w:rsidRPr="002574EC">
        <w:t xml:space="preserve">In relation to the </w:t>
      </w:r>
      <w:r w:rsidR="00F411AF" w:rsidRPr="002574EC">
        <w:t xml:space="preserve">situation of pregnant women, of the 289 CPDs examined by </w:t>
      </w:r>
      <w:r w:rsidR="00F7397C" w:rsidRPr="002574EC">
        <w:t>Una Ventana a la Libertad</w:t>
      </w:r>
      <w:r w:rsidR="008D459B" w:rsidRPr="002574EC">
        <w:t>,</w:t>
      </w:r>
      <w:r w:rsidR="00F7397C" w:rsidRPr="002574EC">
        <w:t xml:space="preserve"> </w:t>
      </w:r>
      <w:r w:rsidR="00F411AF" w:rsidRPr="002574EC">
        <w:t xml:space="preserve">only one woman acknowledged </w:t>
      </w:r>
      <w:r w:rsidR="009E6EE5" w:rsidRPr="002574EC">
        <w:t xml:space="preserve">that </w:t>
      </w:r>
      <w:r w:rsidR="006B02E6" w:rsidRPr="002574EC">
        <w:t xml:space="preserve">care </w:t>
      </w:r>
      <w:r w:rsidR="009E6EE5" w:rsidRPr="002574EC">
        <w:t xml:space="preserve">was provided </w:t>
      </w:r>
      <w:r w:rsidR="006B02E6" w:rsidRPr="002574EC">
        <w:t>through medical staf</w:t>
      </w:r>
      <w:r w:rsidR="00071DE3" w:rsidRPr="002574EC">
        <w:t xml:space="preserve">f, 15 claimed </w:t>
      </w:r>
      <w:r w:rsidR="002E7CC8" w:rsidRPr="002574EC">
        <w:t xml:space="preserve">that this care is provided through religious groups or civil society organizations, 13 stated that </w:t>
      </w:r>
      <w:r w:rsidR="00C56F8D" w:rsidRPr="002574EC">
        <w:t>these women</w:t>
      </w:r>
      <w:r w:rsidR="005B2287" w:rsidRPr="002574EC">
        <w:t xml:space="preserve"> are transferred</w:t>
      </w:r>
      <w:r w:rsidR="00C56F8D" w:rsidRPr="002574EC">
        <w:t xml:space="preserve"> t</w:t>
      </w:r>
      <w:r w:rsidR="00D24245" w:rsidRPr="002574EC">
        <w:t>o other places for prenatal or sporadic check-ups, while 19 asserted that the women are only moved when they give birth.</w:t>
      </w:r>
      <w:r w:rsidR="008D459B" w:rsidRPr="002574EC">
        <w:rPr>
          <w:rStyle w:val="FootnoteReference"/>
          <w:color w:val="000000"/>
        </w:rPr>
        <w:footnoteReference w:id="359"/>
      </w:r>
      <w:r w:rsidR="005849A5" w:rsidRPr="002574EC">
        <w:t xml:space="preserve"> With respect to non-pregnant women, civil society organizations </w:t>
      </w:r>
      <w:r w:rsidR="00B76A22" w:rsidRPr="002574EC">
        <w:t xml:space="preserve">reported that it is the responsibility of </w:t>
      </w:r>
      <w:r w:rsidR="00BF01F1" w:rsidRPr="002574EC">
        <w:t xml:space="preserve">family members to provide </w:t>
      </w:r>
      <w:r w:rsidR="002225FB" w:rsidRPr="002574EC">
        <w:t>feminine hygiene supplie</w:t>
      </w:r>
      <w:r w:rsidR="00D16286" w:rsidRPr="002574EC">
        <w:t xml:space="preserve">s, such as sanitary napkins and medicines for </w:t>
      </w:r>
      <w:r w:rsidR="007E531F" w:rsidRPr="002574EC">
        <w:t xml:space="preserve">menstrual </w:t>
      </w:r>
      <w:r w:rsidR="00D168F2" w:rsidRPr="002574EC">
        <w:t xml:space="preserve">disorders. </w:t>
      </w:r>
      <w:r w:rsidR="00770449" w:rsidRPr="002574EC">
        <w:t xml:space="preserve">Cases </w:t>
      </w:r>
      <w:r w:rsidR="00BB187D" w:rsidRPr="002574EC">
        <w:t xml:space="preserve">of diarrhea, </w:t>
      </w:r>
      <w:r w:rsidR="000C1456" w:rsidRPr="002574EC">
        <w:t xml:space="preserve">dengue and zika have also been documented </w:t>
      </w:r>
      <w:r w:rsidR="00D761EB" w:rsidRPr="002574EC">
        <w:t>among this population.</w:t>
      </w:r>
      <w:r w:rsidR="00EA4C93" w:rsidRPr="002574EC">
        <w:rPr>
          <w:rStyle w:val="FootnoteReference"/>
          <w:color w:val="000000"/>
        </w:rPr>
        <w:footnoteReference w:id="360"/>
      </w:r>
    </w:p>
    <w:p w14:paraId="58FBBDBC" w14:textId="77777777" w:rsidR="00196878" w:rsidRPr="002574EC" w:rsidRDefault="00196878" w:rsidP="00E07D06">
      <w:pPr>
        <w:pBdr>
          <w:top w:val="nil"/>
          <w:left w:val="nil"/>
          <w:bottom w:val="nil"/>
          <w:right w:val="nil"/>
          <w:between w:val="nil"/>
        </w:pBdr>
        <w:shd w:val="clear" w:color="auto" w:fill="FFFFFF"/>
        <w:ind w:left="426" w:hanging="426"/>
        <w:jc w:val="both"/>
        <w:rPr>
          <w:rFonts w:ascii="Cambria" w:eastAsia="Cambria" w:hAnsi="Cambria" w:cs="Cambria"/>
          <w:i/>
          <w:iCs/>
          <w:color w:val="000000"/>
          <w:sz w:val="20"/>
          <w:szCs w:val="20"/>
        </w:rPr>
      </w:pPr>
    </w:p>
    <w:p w14:paraId="3282567A" w14:textId="4E9CD56D" w:rsidR="00CD0FCC" w:rsidRPr="002574EC" w:rsidRDefault="00CD0FCC" w:rsidP="00E07D06">
      <w:pPr>
        <w:pBdr>
          <w:top w:val="nil"/>
          <w:left w:val="nil"/>
          <w:bottom w:val="nil"/>
          <w:right w:val="nil"/>
          <w:between w:val="nil"/>
        </w:pBdr>
        <w:shd w:val="clear" w:color="auto" w:fill="FFFFFF"/>
        <w:ind w:left="426" w:hanging="426"/>
        <w:jc w:val="both"/>
        <w:rPr>
          <w:rFonts w:ascii="Cambria" w:eastAsia="Cambria" w:hAnsi="Cambria" w:cs="Cambria"/>
          <w:b/>
          <w:bCs/>
          <w:i/>
          <w:iCs/>
          <w:color w:val="000000"/>
          <w:sz w:val="20"/>
          <w:szCs w:val="20"/>
        </w:rPr>
      </w:pPr>
      <w:r w:rsidRPr="002574EC">
        <w:rPr>
          <w:rFonts w:ascii="Cambria" w:eastAsia="Cambria" w:hAnsi="Cambria" w:cs="Cambria"/>
          <w:b/>
          <w:bCs/>
          <w:i/>
          <w:iCs/>
          <w:color w:val="000000"/>
          <w:sz w:val="20"/>
          <w:szCs w:val="20"/>
        </w:rPr>
        <w:t>T</w:t>
      </w:r>
      <w:r w:rsidR="00D761EB" w:rsidRPr="002574EC">
        <w:rPr>
          <w:rFonts w:ascii="Cambria" w:eastAsia="Cambria" w:hAnsi="Cambria" w:cs="Cambria"/>
          <w:b/>
          <w:bCs/>
          <w:i/>
          <w:iCs/>
          <w:color w:val="000000"/>
          <w:sz w:val="20"/>
          <w:szCs w:val="20"/>
        </w:rPr>
        <w:t>ran</w:t>
      </w:r>
      <w:r w:rsidR="00DA4E95" w:rsidRPr="002574EC">
        <w:rPr>
          <w:rFonts w:ascii="Cambria" w:eastAsia="Cambria" w:hAnsi="Cambria" w:cs="Cambria"/>
          <w:b/>
          <w:bCs/>
          <w:i/>
          <w:iCs/>
          <w:color w:val="000000"/>
          <w:sz w:val="20"/>
          <w:szCs w:val="20"/>
        </w:rPr>
        <w:t>s</w:t>
      </w:r>
      <w:r w:rsidR="00D761EB" w:rsidRPr="002574EC">
        <w:rPr>
          <w:rFonts w:ascii="Cambria" w:eastAsia="Cambria" w:hAnsi="Cambria" w:cs="Cambria"/>
          <w:b/>
          <w:bCs/>
          <w:i/>
          <w:iCs/>
          <w:color w:val="000000"/>
          <w:sz w:val="20"/>
          <w:szCs w:val="20"/>
        </w:rPr>
        <w:t xml:space="preserve">fers of persons deprived of liberty </w:t>
      </w:r>
    </w:p>
    <w:p w14:paraId="1F8F9E96" w14:textId="77777777" w:rsidR="00CD0FCC" w:rsidRPr="002574EC" w:rsidRDefault="00CD0FCC" w:rsidP="00E07D06">
      <w:pPr>
        <w:pBdr>
          <w:top w:val="nil"/>
          <w:left w:val="nil"/>
          <w:bottom w:val="nil"/>
          <w:right w:val="nil"/>
          <w:between w:val="nil"/>
        </w:pBdr>
        <w:shd w:val="clear" w:color="auto" w:fill="FFFFFF"/>
        <w:ind w:left="426" w:hanging="426"/>
        <w:jc w:val="both"/>
        <w:rPr>
          <w:rFonts w:ascii="Cambria" w:eastAsia="Cambria" w:hAnsi="Cambria" w:cs="Cambria"/>
          <w:color w:val="000000"/>
          <w:sz w:val="20"/>
          <w:szCs w:val="20"/>
        </w:rPr>
      </w:pPr>
    </w:p>
    <w:p w14:paraId="792D1810" w14:textId="01B9C18A" w:rsidR="00BC769A" w:rsidRPr="002574EC" w:rsidRDefault="00DD7506" w:rsidP="00F85814">
      <w:pPr>
        <w:pStyle w:val="ListParagraph"/>
      </w:pPr>
      <w:r w:rsidRPr="002574EC">
        <w:t xml:space="preserve">In </w:t>
      </w:r>
      <w:r w:rsidR="00BC769A" w:rsidRPr="002574EC">
        <w:t xml:space="preserve">2021, </w:t>
      </w:r>
      <w:r w:rsidRPr="002574EC">
        <w:t xml:space="preserve">the IACHR takes note of Executive Decrees </w:t>
      </w:r>
      <w:r w:rsidR="00BC769A" w:rsidRPr="002574EC">
        <w:t xml:space="preserve">No. 4.610 </w:t>
      </w:r>
      <w:r w:rsidRPr="002574EC">
        <w:t>and</w:t>
      </w:r>
      <w:r w:rsidR="00BC769A" w:rsidRPr="002574EC">
        <w:t xml:space="preserve"> No. 4.534, </w:t>
      </w:r>
      <w:r w:rsidR="00F01385" w:rsidRPr="002574EC">
        <w:t xml:space="preserve">of May and July, respectively, ordering that persons in the custody of the SEBIN and the </w:t>
      </w:r>
      <w:r w:rsidR="00BC769A" w:rsidRPr="002574EC">
        <w:t xml:space="preserve">DGCIM </w:t>
      </w:r>
      <w:r w:rsidR="00E817F0" w:rsidRPr="002574EC">
        <w:t xml:space="preserve">be transferred to facilities of the Ministry of the Penitentiary Service </w:t>
      </w:r>
      <w:r w:rsidR="00BC769A" w:rsidRPr="002574EC">
        <w:t>(MPPSP).</w:t>
      </w:r>
      <w:r w:rsidR="00B1050D" w:rsidRPr="002574EC">
        <w:t xml:space="preserve"> </w:t>
      </w:r>
      <w:r w:rsidR="00E817F0" w:rsidRPr="002574EC">
        <w:t xml:space="preserve">The Commission observes that the UNHCHR </w:t>
      </w:r>
      <w:r w:rsidR="002625E0" w:rsidRPr="002574EC">
        <w:t>welcomed the measure</w:t>
      </w:r>
      <w:r w:rsidR="00B1050D" w:rsidRPr="002574EC">
        <w:rPr>
          <w:rStyle w:val="FootnoteReference"/>
          <w:color w:val="000000"/>
        </w:rPr>
        <w:footnoteReference w:id="361"/>
      </w:r>
      <w:r w:rsidR="00B1050D" w:rsidRPr="002574EC">
        <w:t xml:space="preserve"> </w:t>
      </w:r>
      <w:r w:rsidR="002625E0" w:rsidRPr="002574EC">
        <w:t xml:space="preserve">and </w:t>
      </w:r>
      <w:r w:rsidR="00CC7620" w:rsidRPr="002574EC">
        <w:t xml:space="preserve">acknowledges that </w:t>
      </w:r>
      <w:r w:rsidR="006649A1" w:rsidRPr="002574EC">
        <w:t xml:space="preserve">it could contribute to preventing torture and other cruel, inhuman and </w:t>
      </w:r>
      <w:r w:rsidR="006649A1" w:rsidRPr="002574EC">
        <w:lastRenderedPageBreak/>
        <w:t xml:space="preserve">degrading punishment. </w:t>
      </w:r>
      <w:r w:rsidR="00927611" w:rsidRPr="002574EC">
        <w:t xml:space="preserve">Nonetheless, the Inter-American Commission received testimonies claiming that </w:t>
      </w:r>
      <w:r w:rsidR="0075529E" w:rsidRPr="002574EC">
        <w:t xml:space="preserve">many transfers </w:t>
      </w:r>
      <w:r w:rsidR="00553930" w:rsidRPr="002574EC">
        <w:t xml:space="preserve">were carried out without informing next of kin </w:t>
      </w:r>
      <w:r w:rsidR="0084424B" w:rsidRPr="002574EC">
        <w:t xml:space="preserve">about the new location </w:t>
      </w:r>
      <w:r w:rsidR="00A13765" w:rsidRPr="002574EC">
        <w:t xml:space="preserve">where their loved ones were being held, </w:t>
      </w:r>
      <w:r w:rsidR="00127B10" w:rsidRPr="002574EC">
        <w:t xml:space="preserve">and that some </w:t>
      </w:r>
      <w:r w:rsidR="00AF0761" w:rsidRPr="002574EC">
        <w:t xml:space="preserve">people had been transferred </w:t>
      </w:r>
      <w:r w:rsidR="00476851" w:rsidRPr="002574EC">
        <w:t>to prison facilities in other s</w:t>
      </w:r>
      <w:r w:rsidR="005267E5" w:rsidRPr="002574EC">
        <w:t>t</w:t>
      </w:r>
      <w:r w:rsidR="00476851" w:rsidRPr="002574EC">
        <w:t>ates of the country, making it difficult for their family members to be able to visit them.</w:t>
      </w:r>
      <w:r w:rsidR="0071565F" w:rsidRPr="002574EC">
        <w:rPr>
          <w:rStyle w:val="FootnoteReference"/>
          <w:color w:val="000000"/>
        </w:rPr>
        <w:footnoteReference w:id="362"/>
      </w:r>
    </w:p>
    <w:p w14:paraId="6D86A191" w14:textId="77777777" w:rsidR="00BC769A" w:rsidRPr="002574EC" w:rsidRDefault="00BC769A" w:rsidP="00E07D06">
      <w:pPr>
        <w:pStyle w:val="NormalWeb"/>
        <w:spacing w:before="0" w:beforeAutospacing="0" w:after="0" w:afterAutospacing="0"/>
        <w:ind w:left="426" w:hanging="426"/>
        <w:jc w:val="both"/>
        <w:rPr>
          <w:rFonts w:ascii="Cambria" w:hAnsi="Cambria"/>
          <w:sz w:val="20"/>
          <w:szCs w:val="20"/>
        </w:rPr>
      </w:pPr>
    </w:p>
    <w:p w14:paraId="1D961AEB" w14:textId="6CFCBDEE" w:rsidR="00BC769A" w:rsidRPr="002574EC" w:rsidRDefault="001826D2" w:rsidP="00F85814">
      <w:pPr>
        <w:pStyle w:val="ListParagraph"/>
      </w:pPr>
      <w:r w:rsidRPr="002574EC">
        <w:t xml:space="preserve">Specifically, the IACHR is concerned about reports </w:t>
      </w:r>
      <w:r w:rsidR="0002194F" w:rsidRPr="002574EC">
        <w:t xml:space="preserve">from </w:t>
      </w:r>
      <w:r w:rsidRPr="002574EC">
        <w:t>family members of indigenous persons deprived of libert</w:t>
      </w:r>
      <w:r w:rsidR="00777267" w:rsidRPr="002574EC">
        <w:t>y</w:t>
      </w:r>
      <w:r w:rsidRPr="002574EC">
        <w:t xml:space="preserve"> from the state of Amazonas</w:t>
      </w:r>
      <w:r w:rsidR="0065234E" w:rsidRPr="002574EC">
        <w:t xml:space="preserve"> that at least ei</w:t>
      </w:r>
      <w:r w:rsidR="00CF0FDC" w:rsidRPr="002574EC">
        <w:t>ght</w:t>
      </w:r>
      <w:r w:rsidR="0065234E" w:rsidRPr="002574EC">
        <w:t xml:space="preserve"> </w:t>
      </w:r>
      <w:r w:rsidR="00235DC9" w:rsidRPr="002574EC">
        <w:t>PDLs</w:t>
      </w:r>
      <w:r w:rsidR="005267E5" w:rsidRPr="002574EC">
        <w:t xml:space="preserve"> (Persons Deprived of Liberty)</w:t>
      </w:r>
      <w:r w:rsidR="0065234E" w:rsidRPr="002574EC">
        <w:t xml:space="preserve"> have </w:t>
      </w:r>
      <w:r w:rsidR="001A411B" w:rsidRPr="002574EC">
        <w:t xml:space="preserve">been </w:t>
      </w:r>
      <w:r w:rsidR="0065234E" w:rsidRPr="002574EC">
        <w:t xml:space="preserve">transferred </w:t>
      </w:r>
      <w:r w:rsidR="00BC769A" w:rsidRPr="002574EC">
        <w:t xml:space="preserve"> </w:t>
      </w:r>
      <w:r w:rsidR="00121E8D" w:rsidRPr="002574EC">
        <w:t xml:space="preserve">since July 25 without prior notice </w:t>
      </w:r>
      <w:r w:rsidR="00A75DA4" w:rsidRPr="002574EC">
        <w:t xml:space="preserve">or information </w:t>
      </w:r>
      <w:r w:rsidR="00D319F3" w:rsidRPr="002574EC">
        <w:t xml:space="preserve">being provided to anyone </w:t>
      </w:r>
      <w:r w:rsidR="00A75DA4" w:rsidRPr="002574EC">
        <w:t>about their whereabout</w:t>
      </w:r>
      <w:r w:rsidR="00C07702" w:rsidRPr="002574EC">
        <w:t>s</w:t>
      </w:r>
      <w:r w:rsidR="00A21A8C" w:rsidRPr="002574EC">
        <w:t xml:space="preserve"> and health status</w:t>
      </w:r>
      <w:r w:rsidR="004825B8" w:rsidRPr="002574EC">
        <w:t xml:space="preserve"> for at least 5 days. </w:t>
      </w:r>
      <w:r w:rsidR="00F743BE" w:rsidRPr="002574EC">
        <w:t xml:space="preserve">On this score, the Commission </w:t>
      </w:r>
      <w:r w:rsidR="00B05C2A" w:rsidRPr="002574EC">
        <w:t xml:space="preserve">reaffirms </w:t>
      </w:r>
      <w:r w:rsidR="00F743BE" w:rsidRPr="002574EC">
        <w:t xml:space="preserve">the right </w:t>
      </w:r>
      <w:r w:rsidR="00FC60FA" w:rsidRPr="002574EC">
        <w:t>of every person</w:t>
      </w:r>
      <w:r w:rsidR="008C2673" w:rsidRPr="002574EC">
        <w:t xml:space="preserve"> held in detention and their next of kin to receive accurate information about </w:t>
      </w:r>
      <w:r w:rsidR="00DF0A01" w:rsidRPr="002574EC">
        <w:t xml:space="preserve">the location of </w:t>
      </w:r>
      <w:r w:rsidR="00A96FE2" w:rsidRPr="002574EC">
        <w:t xml:space="preserve">detention. </w:t>
      </w:r>
      <w:r w:rsidR="00C8625A" w:rsidRPr="002574EC">
        <w:t xml:space="preserve">It further reiterates that States have the obligation to </w:t>
      </w:r>
      <w:r w:rsidR="00682A4C" w:rsidRPr="002574EC">
        <w:t xml:space="preserve">put into place the necessary conditions </w:t>
      </w:r>
      <w:r w:rsidR="006C7EAD" w:rsidRPr="002574EC">
        <w:t xml:space="preserve">for persons deprived of liberty to </w:t>
      </w:r>
      <w:r w:rsidR="00126924" w:rsidRPr="002574EC">
        <w:t xml:space="preserve">effectively make contact with </w:t>
      </w:r>
      <w:r w:rsidR="00264692" w:rsidRPr="002574EC">
        <w:t xml:space="preserve">their families, as well as </w:t>
      </w:r>
      <w:r w:rsidR="00770FC4" w:rsidRPr="002574EC">
        <w:t>to guarantee the entry of medicines, food and supplies for personal hygiene.</w:t>
      </w:r>
      <w:r w:rsidR="0071565F" w:rsidRPr="002574EC">
        <w:rPr>
          <w:rStyle w:val="FootnoteReference"/>
          <w:color w:val="000000"/>
        </w:rPr>
        <w:footnoteReference w:id="363"/>
      </w:r>
      <w:r w:rsidR="00BC769A" w:rsidRPr="002574EC">
        <w:t> </w:t>
      </w:r>
    </w:p>
    <w:p w14:paraId="1E6FE1B7" w14:textId="77777777" w:rsidR="00BC769A" w:rsidRPr="002574EC" w:rsidRDefault="00BC769A" w:rsidP="00E07D06">
      <w:pPr>
        <w:pStyle w:val="NormalWeb"/>
        <w:spacing w:before="0" w:beforeAutospacing="0" w:after="0" w:afterAutospacing="0"/>
        <w:ind w:left="426" w:hanging="426"/>
        <w:jc w:val="both"/>
        <w:rPr>
          <w:rFonts w:ascii="Cambria" w:hAnsi="Cambria"/>
          <w:sz w:val="20"/>
          <w:szCs w:val="20"/>
        </w:rPr>
      </w:pPr>
    </w:p>
    <w:p w14:paraId="2CDC91D0" w14:textId="5AC2EB19" w:rsidR="00BC769A" w:rsidRPr="002574EC" w:rsidRDefault="00B94409" w:rsidP="00F85814">
      <w:pPr>
        <w:pStyle w:val="ListParagraph"/>
        <w:rPr>
          <w:shd w:val="clear" w:color="auto" w:fill="FFFFFF"/>
        </w:rPr>
      </w:pPr>
      <w:r w:rsidRPr="002574EC">
        <w:rPr>
          <w:shd w:val="clear" w:color="auto" w:fill="FFFFFF"/>
        </w:rPr>
        <w:t xml:space="preserve">In view of the foregoing, the IACHR calls on the State to take measures to respect the right of persons deprived of liberty to </w:t>
      </w:r>
      <w:r w:rsidR="002C3D87" w:rsidRPr="002574EC">
        <w:rPr>
          <w:shd w:val="clear" w:color="auto" w:fill="FFFFFF"/>
        </w:rPr>
        <w:t xml:space="preserve">be held </w:t>
      </w:r>
      <w:r w:rsidR="00A83972" w:rsidRPr="002574EC">
        <w:rPr>
          <w:shd w:val="clear" w:color="auto" w:fill="FFFFFF"/>
        </w:rPr>
        <w:t>in locations nearby their famil</w:t>
      </w:r>
      <w:r w:rsidR="00FB7B24" w:rsidRPr="002574EC">
        <w:rPr>
          <w:shd w:val="clear" w:color="auto" w:fill="FFFFFF"/>
        </w:rPr>
        <w:t xml:space="preserve">y, community, defense attorney and </w:t>
      </w:r>
      <w:r w:rsidR="000C0A16" w:rsidRPr="002574EC">
        <w:rPr>
          <w:shd w:val="clear" w:color="auto" w:fill="FFFFFF"/>
        </w:rPr>
        <w:t xml:space="preserve">the </w:t>
      </w:r>
      <w:r w:rsidR="00FB7B24" w:rsidRPr="002574EC">
        <w:rPr>
          <w:shd w:val="clear" w:color="auto" w:fill="FFFFFF"/>
        </w:rPr>
        <w:t>court</w:t>
      </w:r>
      <w:r w:rsidR="00507891" w:rsidRPr="002574EC">
        <w:rPr>
          <w:shd w:val="clear" w:color="auto" w:fill="FFFFFF"/>
        </w:rPr>
        <w:t xml:space="preserve"> hearing their case</w:t>
      </w:r>
      <w:r w:rsidR="00FB7B24" w:rsidRPr="002574EC">
        <w:rPr>
          <w:shd w:val="clear" w:color="auto" w:fill="FFFFFF"/>
        </w:rPr>
        <w:t>.</w:t>
      </w:r>
      <w:r w:rsidR="00556E04" w:rsidRPr="002574EC">
        <w:rPr>
          <w:shd w:val="clear" w:color="auto" w:fill="FFFFFF"/>
        </w:rPr>
        <w:t xml:space="preserve"> </w:t>
      </w:r>
      <w:r w:rsidR="00EF5ED9" w:rsidRPr="002574EC">
        <w:rPr>
          <w:shd w:val="clear" w:color="auto" w:fill="FFFFFF"/>
        </w:rPr>
        <w:t xml:space="preserve">Additionally, </w:t>
      </w:r>
      <w:r w:rsidR="00EA70FC" w:rsidRPr="002574EC">
        <w:rPr>
          <w:shd w:val="clear" w:color="auto" w:fill="FFFFFF"/>
        </w:rPr>
        <w:t xml:space="preserve">it urges it to take measures with a differentiated approach to ensure protection of persons deprived of liberty in a special situation of risk, such as indigenous people, older adults, </w:t>
      </w:r>
      <w:r w:rsidR="006F5B37" w:rsidRPr="002574EC">
        <w:rPr>
          <w:shd w:val="clear" w:color="auto" w:fill="FFFFFF"/>
        </w:rPr>
        <w:t>persons with disability</w:t>
      </w:r>
      <w:r w:rsidR="007265C0" w:rsidRPr="002574EC">
        <w:rPr>
          <w:shd w:val="clear" w:color="auto" w:fill="FFFFFF"/>
        </w:rPr>
        <w:t xml:space="preserve"> and persons with diseases, and to ensure respect for </w:t>
      </w:r>
      <w:r w:rsidR="003E55D6" w:rsidRPr="002574EC">
        <w:rPr>
          <w:shd w:val="clear" w:color="auto" w:fill="FFFFFF"/>
        </w:rPr>
        <w:t xml:space="preserve">their </w:t>
      </w:r>
      <w:r w:rsidR="0060114B" w:rsidRPr="002574EC">
        <w:rPr>
          <w:shd w:val="clear" w:color="auto" w:fill="FFFFFF"/>
        </w:rPr>
        <w:t xml:space="preserve">specific needs </w:t>
      </w:r>
      <w:r w:rsidR="00297E22" w:rsidRPr="002574EC">
        <w:rPr>
          <w:shd w:val="clear" w:color="auto" w:fill="FFFFFF"/>
        </w:rPr>
        <w:t xml:space="preserve">stemming from </w:t>
      </w:r>
      <w:r w:rsidR="0017588C" w:rsidRPr="002574EC">
        <w:rPr>
          <w:shd w:val="clear" w:color="auto" w:fill="FFFFFF"/>
        </w:rPr>
        <w:t xml:space="preserve">their condition with regard to both transfers and conditions of detention. </w:t>
      </w:r>
      <w:r w:rsidR="005E1277" w:rsidRPr="002574EC">
        <w:rPr>
          <w:shd w:val="clear" w:color="auto" w:fill="FFFFFF"/>
        </w:rPr>
        <w:t xml:space="preserve">Specifically, </w:t>
      </w:r>
      <w:r w:rsidR="00CF69FB" w:rsidRPr="002574EC">
        <w:rPr>
          <w:shd w:val="clear" w:color="auto" w:fill="FFFFFF"/>
        </w:rPr>
        <w:t xml:space="preserve">the Commission urges the State to </w:t>
      </w:r>
      <w:r w:rsidR="00A40FD7" w:rsidRPr="002574EC">
        <w:rPr>
          <w:shd w:val="clear" w:color="auto" w:fill="FFFFFF"/>
        </w:rPr>
        <w:t>take measures to guarantee that persons deprived of liberty belonging to indigenous peoples are held at detention facilities close to their families, communities and ancestral lands, and recalls that these ties are essential to the preservation of their cultural identity.</w:t>
      </w:r>
      <w:r w:rsidR="0071565F" w:rsidRPr="002574EC">
        <w:rPr>
          <w:rStyle w:val="FootnoteReference"/>
          <w:color w:val="000000"/>
          <w:shd w:val="clear" w:color="auto" w:fill="FFFFFF"/>
        </w:rPr>
        <w:footnoteReference w:id="364"/>
      </w:r>
      <w:r w:rsidR="00BC769A" w:rsidRPr="002574EC">
        <w:rPr>
          <w:shd w:val="clear" w:color="auto" w:fill="FFFFFF"/>
        </w:rPr>
        <w:t xml:space="preserve"> </w:t>
      </w:r>
    </w:p>
    <w:p w14:paraId="6D7EFA36" w14:textId="3B51D417" w:rsidR="005B6C99" w:rsidRPr="002574EC" w:rsidRDefault="005B6C99" w:rsidP="00E07D06">
      <w:pPr>
        <w:ind w:left="426" w:hanging="426"/>
        <w:jc w:val="both"/>
        <w:rPr>
          <w:rFonts w:ascii="Cambria" w:hAnsi="Cambria"/>
          <w:color w:val="000000"/>
          <w:sz w:val="20"/>
          <w:szCs w:val="20"/>
          <w:shd w:val="clear" w:color="auto" w:fill="FFFFFF"/>
        </w:rPr>
      </w:pPr>
    </w:p>
    <w:p w14:paraId="4D42548A" w14:textId="667E8C4F" w:rsidR="005B6C99" w:rsidRPr="002574EC" w:rsidRDefault="0040182A" w:rsidP="00E07D06">
      <w:pPr>
        <w:ind w:left="426" w:hanging="426"/>
        <w:jc w:val="both"/>
        <w:rPr>
          <w:rFonts w:ascii="Cambria" w:hAnsi="Cambria"/>
          <w:b/>
          <w:bCs/>
          <w:i/>
          <w:iCs/>
          <w:color w:val="000000"/>
          <w:sz w:val="20"/>
          <w:szCs w:val="20"/>
          <w:shd w:val="clear" w:color="auto" w:fill="FFFFFF"/>
        </w:rPr>
      </w:pPr>
      <w:r w:rsidRPr="002574EC">
        <w:rPr>
          <w:rFonts w:ascii="Cambria" w:hAnsi="Cambria"/>
          <w:b/>
          <w:bCs/>
          <w:i/>
          <w:iCs/>
          <w:color w:val="000000"/>
          <w:sz w:val="20"/>
          <w:szCs w:val="20"/>
          <w:shd w:val="clear" w:color="auto" w:fill="FFFFFF"/>
        </w:rPr>
        <w:t xml:space="preserve"> “Judicial Revolution” Program</w:t>
      </w:r>
    </w:p>
    <w:p w14:paraId="15C3C9D2" w14:textId="77777777" w:rsidR="005B6C99" w:rsidRPr="002574EC" w:rsidRDefault="005B6C99" w:rsidP="00E07D06">
      <w:pPr>
        <w:ind w:left="426" w:hanging="426"/>
        <w:jc w:val="both"/>
        <w:rPr>
          <w:rFonts w:ascii="Cambria" w:hAnsi="Cambria"/>
          <w:i/>
          <w:iCs/>
          <w:color w:val="000000"/>
          <w:sz w:val="20"/>
          <w:szCs w:val="20"/>
          <w:shd w:val="clear" w:color="auto" w:fill="FFFFFF"/>
        </w:rPr>
      </w:pPr>
    </w:p>
    <w:p w14:paraId="4C2C0136" w14:textId="3CBA2037" w:rsidR="00662FF8" w:rsidRPr="002574EC" w:rsidRDefault="0040182A" w:rsidP="00F85814">
      <w:pPr>
        <w:pStyle w:val="ListParagraph"/>
      </w:pPr>
      <w:r w:rsidRPr="002574EC">
        <w:t xml:space="preserve">On Monday June </w:t>
      </w:r>
      <w:r w:rsidR="00A242AF" w:rsidRPr="002574EC">
        <w:t>21</w:t>
      </w:r>
      <w:r w:rsidRPr="002574EC">
        <w:t>,</w:t>
      </w:r>
      <w:r w:rsidR="00605EDA" w:rsidRPr="002574EC">
        <w:t xml:space="preserve"> 2021, </w:t>
      </w:r>
      <w:r w:rsidRPr="002574EC">
        <w:t xml:space="preserve">President </w:t>
      </w:r>
      <w:r w:rsidR="00605EDA" w:rsidRPr="002574EC">
        <w:t xml:space="preserve">Nicolás Maduro </w:t>
      </w:r>
      <w:r w:rsidRPr="002574EC">
        <w:t>announced the creation of a Commission for the “Reform of the Judicial Branch” as part of the “Judicial Revolution” program, the purpose of which would be “to put an end in 60 days to overcrowding</w:t>
      </w:r>
      <w:r w:rsidR="000F1E38" w:rsidRPr="002574EC">
        <w:t xml:space="preserve">, </w:t>
      </w:r>
      <w:r w:rsidR="00BF3555" w:rsidRPr="002574EC">
        <w:t xml:space="preserve">clearing out </w:t>
      </w:r>
      <w:r w:rsidR="003439F2" w:rsidRPr="002574EC">
        <w:t xml:space="preserve">Preventive Detention Centers </w:t>
      </w:r>
      <w:r w:rsidR="00662FF8" w:rsidRPr="002574EC">
        <w:t>– CDP</w:t>
      </w:r>
      <w:r w:rsidR="00E1379F" w:rsidRPr="002574EC">
        <w:t>s -</w:t>
      </w:r>
      <w:r w:rsidR="00662FF8" w:rsidRPr="002574EC">
        <w:t xml:space="preserve"> </w:t>
      </w:r>
      <w:r w:rsidR="003439F2" w:rsidRPr="002574EC">
        <w:t>nationwide.”</w:t>
      </w:r>
      <w:r w:rsidR="00FE13C8" w:rsidRPr="002574EC">
        <w:t xml:space="preserve">  This Commission </w:t>
      </w:r>
      <w:r w:rsidR="005374BA" w:rsidRPr="002574EC">
        <w:t xml:space="preserve">is made up of Deputy </w:t>
      </w:r>
      <w:r w:rsidR="00A242AF" w:rsidRPr="002574EC">
        <w:t>Diosdado Cabello</w:t>
      </w:r>
      <w:r w:rsidR="00605EDA" w:rsidRPr="002574EC">
        <w:t>,</w:t>
      </w:r>
      <w:r w:rsidR="00A242AF" w:rsidRPr="002574EC">
        <w:t xml:space="preserve"> </w:t>
      </w:r>
      <w:r w:rsidR="00DA4C19" w:rsidRPr="002574EC">
        <w:t xml:space="preserve">Deputy </w:t>
      </w:r>
      <w:r w:rsidR="00A242AF" w:rsidRPr="002574EC">
        <w:t>Cilia Flores</w:t>
      </w:r>
      <w:r w:rsidR="00605EDA" w:rsidRPr="002574EC">
        <w:t xml:space="preserve"> </w:t>
      </w:r>
      <w:r w:rsidR="002F06E3" w:rsidRPr="002574EC">
        <w:t xml:space="preserve">and the President of the Constitutional Chamber of the Supreme Court of Justice </w:t>
      </w:r>
      <w:r w:rsidR="00A242AF" w:rsidRPr="002574EC">
        <w:t>(TSJ)</w:t>
      </w:r>
      <w:r w:rsidR="00662FF8" w:rsidRPr="002574EC">
        <w:t>,</w:t>
      </w:r>
      <w:r w:rsidR="00A242AF" w:rsidRPr="002574EC">
        <w:t xml:space="preserve"> Lourdes Suárez Anderson</w:t>
      </w:r>
      <w:r w:rsidR="00627F1A" w:rsidRPr="002574EC">
        <w:t>.</w:t>
      </w:r>
      <w:r w:rsidR="00B1050D" w:rsidRPr="002574EC">
        <w:rPr>
          <w:rStyle w:val="FootnoteReference"/>
        </w:rPr>
        <w:footnoteReference w:id="365"/>
      </w:r>
      <w:r w:rsidR="00A242AF" w:rsidRPr="002574EC">
        <w:t xml:space="preserve"> </w:t>
      </w:r>
    </w:p>
    <w:p w14:paraId="10996A76" w14:textId="0F964AF5" w:rsidR="0071565F" w:rsidRPr="002574EC" w:rsidRDefault="0071565F" w:rsidP="00E07D06">
      <w:pPr>
        <w:ind w:left="426" w:hanging="426"/>
        <w:jc w:val="both"/>
        <w:rPr>
          <w:rFonts w:ascii="Cambria" w:hAnsi="Cambria"/>
          <w:color w:val="000000"/>
          <w:sz w:val="20"/>
          <w:szCs w:val="20"/>
          <w:shd w:val="clear" w:color="auto" w:fill="FFFFFF"/>
        </w:rPr>
      </w:pPr>
    </w:p>
    <w:p w14:paraId="73D9E2FA" w14:textId="225951C1" w:rsidR="005751D3" w:rsidRPr="002574EC" w:rsidRDefault="008F39FF" w:rsidP="00F85814">
      <w:pPr>
        <w:pStyle w:val="ListParagraph"/>
      </w:pPr>
      <w:r w:rsidRPr="002574EC">
        <w:t>According to reports from civil society, 60 day</w:t>
      </w:r>
      <w:r w:rsidR="001F4EC4" w:rsidRPr="002574EC">
        <w:t>s</w:t>
      </w:r>
      <w:r w:rsidRPr="002574EC">
        <w:t xml:space="preserve"> </w:t>
      </w:r>
      <w:r w:rsidR="00E1379F" w:rsidRPr="002574EC">
        <w:t xml:space="preserve">after </w:t>
      </w:r>
      <w:r w:rsidRPr="002574EC">
        <w:t>the launch date of the government judicial revolution program</w:t>
      </w:r>
      <w:r w:rsidR="00DE78DD" w:rsidRPr="002574EC">
        <w:t xml:space="preserve"> </w:t>
      </w:r>
      <w:r w:rsidR="008D68A0" w:rsidRPr="002574EC">
        <w:t xml:space="preserve">when the deadline </w:t>
      </w:r>
      <w:r w:rsidR="00DE78DD" w:rsidRPr="002574EC">
        <w:t>had elapsed</w:t>
      </w:r>
      <w:r w:rsidRPr="002574EC">
        <w:t xml:space="preserve">, </w:t>
      </w:r>
      <w:r w:rsidR="001F4EC4" w:rsidRPr="002574EC">
        <w:t xml:space="preserve">the Commission for the Reform of the Judicial Branch had only visited 332 of the 500 holding cells and some jails </w:t>
      </w:r>
      <w:r w:rsidR="0022177C" w:rsidRPr="002574EC">
        <w:t xml:space="preserve">of the country </w:t>
      </w:r>
      <w:r w:rsidR="001F4EC4" w:rsidRPr="002574EC">
        <w:t xml:space="preserve">in the states of </w:t>
      </w:r>
      <w:r w:rsidR="00F4788B" w:rsidRPr="002574EC">
        <w:t xml:space="preserve">Táchira, Lara, Monagas </w:t>
      </w:r>
      <w:r w:rsidR="0022177C" w:rsidRPr="002574EC">
        <w:t>and</w:t>
      </w:r>
      <w:r w:rsidR="00F4788B" w:rsidRPr="002574EC">
        <w:t xml:space="preserve"> Zulia. </w:t>
      </w:r>
      <w:r w:rsidR="005751D3" w:rsidRPr="002574EC">
        <w:t>Ad</w:t>
      </w:r>
      <w:r w:rsidR="00CB523D" w:rsidRPr="002574EC">
        <w:t>ditionally</w:t>
      </w:r>
      <w:r w:rsidR="005751D3" w:rsidRPr="002574EC">
        <w:t xml:space="preserve">, </w:t>
      </w:r>
      <w:r w:rsidR="00CB523D" w:rsidRPr="002574EC">
        <w:t xml:space="preserve">based on information received by the IACHR, an estimated 8,446 people held at pretrial detention facilities, including 75 women, were released, in other words, 21.80% of the total </w:t>
      </w:r>
      <w:r w:rsidR="001274AB" w:rsidRPr="002574EC">
        <w:t>number officially</w:t>
      </w:r>
      <w:r w:rsidR="00630390" w:rsidRPr="002574EC">
        <w:t xml:space="preserve"> registered. </w:t>
      </w:r>
      <w:r w:rsidR="006B71A5" w:rsidRPr="002574EC">
        <w:t xml:space="preserve">Civil society organizations </w:t>
      </w:r>
      <w:r w:rsidR="00085793" w:rsidRPr="002574EC">
        <w:t xml:space="preserve">highlighted that this measure did not </w:t>
      </w:r>
      <w:r w:rsidR="006D41AF" w:rsidRPr="002574EC">
        <w:t xml:space="preserve">help in any considerable way to decrease overcrowding at CDPs and that the best measure to combat this problem is by complying with </w:t>
      </w:r>
      <w:r w:rsidR="00C41281" w:rsidRPr="002574EC">
        <w:t xml:space="preserve">the rules of </w:t>
      </w:r>
      <w:r w:rsidR="006D41AF" w:rsidRPr="002574EC">
        <w:t>criminal procedur</w:t>
      </w:r>
      <w:r w:rsidR="00315C03" w:rsidRPr="002574EC">
        <w:t>e.</w:t>
      </w:r>
      <w:r w:rsidR="000D474B" w:rsidRPr="002574EC">
        <w:rPr>
          <w:rStyle w:val="FootnoteReference"/>
        </w:rPr>
        <w:footnoteReference w:id="366"/>
      </w:r>
      <w:r w:rsidR="000D474B" w:rsidRPr="002574EC">
        <w:t xml:space="preserve"> </w:t>
      </w:r>
    </w:p>
    <w:p w14:paraId="1F9B09CA" w14:textId="13E16A71" w:rsidR="00CD0FCC" w:rsidRPr="002574EC" w:rsidRDefault="009662DA" w:rsidP="00E07D06">
      <w:pPr>
        <w:ind w:left="426" w:hanging="426"/>
        <w:jc w:val="both"/>
        <w:rPr>
          <w:rFonts w:ascii="Cambria" w:hAnsi="Cambria"/>
          <w:b/>
          <w:bCs/>
          <w:i/>
          <w:iCs/>
          <w:color w:val="000000"/>
          <w:sz w:val="20"/>
          <w:szCs w:val="20"/>
          <w:shd w:val="clear" w:color="auto" w:fill="FFFFFF"/>
        </w:rPr>
      </w:pPr>
      <w:r w:rsidRPr="002574EC">
        <w:rPr>
          <w:rFonts w:ascii="Cambria" w:hAnsi="Cambria"/>
          <w:b/>
          <w:bCs/>
          <w:i/>
          <w:iCs/>
          <w:color w:val="000000"/>
          <w:sz w:val="20"/>
          <w:szCs w:val="20"/>
          <w:shd w:val="clear" w:color="auto" w:fill="FFFFFF"/>
        </w:rPr>
        <w:lastRenderedPageBreak/>
        <w:t>In</w:t>
      </w:r>
      <w:r w:rsidR="0063228F" w:rsidRPr="002574EC">
        <w:rPr>
          <w:rFonts w:ascii="Cambria" w:hAnsi="Cambria"/>
          <w:b/>
          <w:bCs/>
          <w:i/>
          <w:iCs/>
          <w:color w:val="000000"/>
          <w:sz w:val="20"/>
          <w:szCs w:val="20"/>
          <w:shd w:val="clear" w:color="auto" w:fill="FFFFFF"/>
        </w:rPr>
        <w:t>-</w:t>
      </w:r>
      <w:r w:rsidRPr="002574EC">
        <w:rPr>
          <w:rFonts w:ascii="Cambria" w:hAnsi="Cambria"/>
          <w:b/>
          <w:bCs/>
          <w:i/>
          <w:iCs/>
          <w:color w:val="000000"/>
          <w:sz w:val="20"/>
          <w:szCs w:val="20"/>
          <w:shd w:val="clear" w:color="auto" w:fill="FFFFFF"/>
        </w:rPr>
        <w:t>custody death</w:t>
      </w:r>
      <w:r w:rsidR="0063228F" w:rsidRPr="002574EC">
        <w:rPr>
          <w:rFonts w:ascii="Cambria" w:hAnsi="Cambria"/>
          <w:b/>
          <w:bCs/>
          <w:i/>
          <w:iCs/>
          <w:color w:val="000000"/>
          <w:sz w:val="20"/>
          <w:szCs w:val="20"/>
          <w:shd w:val="clear" w:color="auto" w:fill="FFFFFF"/>
        </w:rPr>
        <w:t>s</w:t>
      </w:r>
      <w:r w:rsidRPr="002574EC">
        <w:rPr>
          <w:rFonts w:ascii="Cambria" w:hAnsi="Cambria"/>
          <w:b/>
          <w:bCs/>
          <w:i/>
          <w:iCs/>
          <w:color w:val="000000"/>
          <w:sz w:val="20"/>
          <w:szCs w:val="20"/>
          <w:shd w:val="clear" w:color="auto" w:fill="FFFFFF"/>
        </w:rPr>
        <w:t xml:space="preserve"> of persons deprived of liberty </w:t>
      </w:r>
    </w:p>
    <w:p w14:paraId="7F8AA1AA" w14:textId="77777777" w:rsidR="00762AC5" w:rsidRPr="002574EC" w:rsidRDefault="00762AC5" w:rsidP="00E07D06">
      <w:pPr>
        <w:ind w:left="426" w:hanging="426"/>
        <w:jc w:val="both"/>
        <w:rPr>
          <w:rFonts w:ascii="Cambria" w:hAnsi="Cambria"/>
          <w:color w:val="000000"/>
          <w:sz w:val="20"/>
          <w:szCs w:val="20"/>
          <w:shd w:val="clear" w:color="auto" w:fill="FFFFFF"/>
        </w:rPr>
      </w:pPr>
    </w:p>
    <w:p w14:paraId="5015958E" w14:textId="7695E9AD" w:rsidR="00B73321" w:rsidRPr="002574EC" w:rsidRDefault="00F31EEE" w:rsidP="00F85814">
      <w:pPr>
        <w:pStyle w:val="ListParagraph"/>
        <w:rPr>
          <w:shd w:val="clear" w:color="auto" w:fill="FFFFFF"/>
        </w:rPr>
      </w:pPr>
      <w:r w:rsidRPr="002574EC">
        <w:rPr>
          <w:shd w:val="clear" w:color="auto" w:fill="FFFFFF"/>
        </w:rPr>
        <w:t xml:space="preserve">According to the Venezuela Observatory on Prisons, from 2020 to mid-2021, 588 persons deprived of liberty </w:t>
      </w:r>
      <w:r w:rsidR="00A0150B" w:rsidRPr="002574EC">
        <w:rPr>
          <w:shd w:val="clear" w:color="auto" w:fill="FFFFFF"/>
        </w:rPr>
        <w:t xml:space="preserve">died in </w:t>
      </w:r>
      <w:r w:rsidR="00856B01" w:rsidRPr="002574EC">
        <w:rPr>
          <w:shd w:val="clear" w:color="auto" w:fill="FFFFFF"/>
        </w:rPr>
        <w:t>prison or pretrial detention facilities</w:t>
      </w:r>
      <w:r w:rsidR="00E512F8" w:rsidRPr="002574EC">
        <w:rPr>
          <w:shd w:val="clear" w:color="auto" w:fill="FFFFFF"/>
        </w:rPr>
        <w:t xml:space="preserve"> in Venezuela.</w:t>
      </w:r>
      <w:r w:rsidR="00B811A7" w:rsidRPr="002574EC">
        <w:rPr>
          <w:rStyle w:val="FootnoteReference"/>
          <w:color w:val="000000"/>
          <w:shd w:val="clear" w:color="auto" w:fill="FFFFFF"/>
        </w:rPr>
        <w:footnoteReference w:id="367"/>
      </w:r>
      <w:r w:rsidR="001D2A58" w:rsidRPr="002574EC">
        <w:rPr>
          <w:shd w:val="clear" w:color="auto" w:fill="FFFFFF"/>
        </w:rPr>
        <w:t xml:space="preserve"> The Commission regards as particularly </w:t>
      </w:r>
      <w:r w:rsidR="00630390" w:rsidRPr="002574EC">
        <w:rPr>
          <w:shd w:val="clear" w:color="auto" w:fill="FFFFFF"/>
        </w:rPr>
        <w:t xml:space="preserve">troubling </w:t>
      </w:r>
      <w:r w:rsidR="00A820E3" w:rsidRPr="002574EC">
        <w:rPr>
          <w:shd w:val="clear" w:color="auto" w:fill="FFFFFF"/>
        </w:rPr>
        <w:t xml:space="preserve">in-custody deaths of persons considered to be political prisoners </w:t>
      </w:r>
      <w:r w:rsidR="00CB33DF" w:rsidRPr="002574EC">
        <w:rPr>
          <w:shd w:val="clear" w:color="auto" w:fill="FFFFFF"/>
        </w:rPr>
        <w:t>by civil society organizations.</w:t>
      </w:r>
      <w:r w:rsidR="00B73321" w:rsidRPr="002574EC">
        <w:rPr>
          <w:rStyle w:val="FootnoteReference"/>
          <w:color w:val="000000"/>
          <w:shd w:val="clear" w:color="auto" w:fill="FFFFFF"/>
        </w:rPr>
        <w:footnoteReference w:id="368"/>
      </w:r>
      <w:r w:rsidR="00F26388" w:rsidRPr="002574EC">
        <w:rPr>
          <w:shd w:val="clear" w:color="auto" w:fill="FFFFFF"/>
        </w:rPr>
        <w:t xml:space="preserve"> </w:t>
      </w:r>
      <w:r w:rsidR="00B811A7" w:rsidRPr="002574EC">
        <w:rPr>
          <w:shd w:val="clear" w:color="auto" w:fill="FFFFFF"/>
        </w:rPr>
        <w:t xml:space="preserve"> </w:t>
      </w:r>
      <w:r w:rsidR="00A21C98" w:rsidRPr="002574EC">
        <w:rPr>
          <w:shd w:val="clear" w:color="auto" w:fill="FFFFFF"/>
        </w:rPr>
        <w:t xml:space="preserve">On this score, the IACHR underscores the case of </w:t>
      </w:r>
      <w:r w:rsidR="0006107B" w:rsidRPr="002574EC">
        <w:rPr>
          <w:shd w:val="clear" w:color="auto" w:fill="FFFFFF"/>
        </w:rPr>
        <w:t xml:space="preserve">the Pemon </w:t>
      </w:r>
      <w:r w:rsidR="00A21C98" w:rsidRPr="002574EC">
        <w:rPr>
          <w:shd w:val="clear" w:color="auto" w:fill="FFFFFF"/>
        </w:rPr>
        <w:t xml:space="preserve">indigenous </w:t>
      </w:r>
      <w:r w:rsidR="0006107B" w:rsidRPr="002574EC">
        <w:rPr>
          <w:shd w:val="clear" w:color="auto" w:fill="FFFFFF"/>
        </w:rPr>
        <w:t xml:space="preserve">ethnic group member </w:t>
      </w:r>
      <w:r w:rsidR="00A061B4" w:rsidRPr="002574EC">
        <w:rPr>
          <w:shd w:val="clear" w:color="auto" w:fill="FFFFFF"/>
        </w:rPr>
        <w:t xml:space="preserve">Salvador Franco, who </w:t>
      </w:r>
      <w:r w:rsidR="007D3995" w:rsidRPr="002574EC">
        <w:rPr>
          <w:shd w:val="clear" w:color="auto" w:fill="FFFFFF"/>
        </w:rPr>
        <w:t xml:space="preserve">died on January 3, 2021 while he was deprived of liberty. </w:t>
      </w:r>
      <w:r w:rsidR="00DD7E8F" w:rsidRPr="002574EC">
        <w:rPr>
          <w:shd w:val="clear" w:color="auto" w:fill="FFFFFF"/>
        </w:rPr>
        <w:t xml:space="preserve">According to the information received, there was a </w:t>
      </w:r>
      <w:r w:rsidR="00EA3EE0" w:rsidRPr="002574EC">
        <w:rPr>
          <w:shd w:val="clear" w:color="auto" w:fill="FFFFFF"/>
        </w:rPr>
        <w:t>un</w:t>
      </w:r>
      <w:r w:rsidR="00DD7E8F" w:rsidRPr="002574EC">
        <w:rPr>
          <w:shd w:val="clear" w:color="auto" w:fill="FFFFFF"/>
        </w:rPr>
        <w:t xml:space="preserve">executed </w:t>
      </w:r>
      <w:r w:rsidR="00CB5F57" w:rsidRPr="002574EC">
        <w:rPr>
          <w:shd w:val="clear" w:color="auto" w:fill="FFFFFF"/>
        </w:rPr>
        <w:t xml:space="preserve">judicial order of transfer to </w:t>
      </w:r>
      <w:r w:rsidR="00B203F0" w:rsidRPr="002574EC">
        <w:rPr>
          <w:shd w:val="clear" w:color="auto" w:fill="FFFFFF"/>
        </w:rPr>
        <w:t xml:space="preserve">hospital </w:t>
      </w:r>
      <w:r w:rsidR="00F20858" w:rsidRPr="002574EC">
        <w:rPr>
          <w:shd w:val="clear" w:color="auto" w:fill="FFFFFF"/>
        </w:rPr>
        <w:t>in effect</w:t>
      </w:r>
      <w:r w:rsidR="00DD7E8F" w:rsidRPr="002574EC">
        <w:rPr>
          <w:shd w:val="clear" w:color="auto" w:fill="FFFFFF"/>
        </w:rPr>
        <w:t xml:space="preserve"> </w:t>
      </w:r>
      <w:r w:rsidR="00B203F0" w:rsidRPr="002574EC">
        <w:rPr>
          <w:shd w:val="clear" w:color="auto" w:fill="FFFFFF"/>
        </w:rPr>
        <w:t xml:space="preserve">for </w:t>
      </w:r>
      <w:r w:rsidR="00DD7E8F" w:rsidRPr="002574EC">
        <w:rPr>
          <w:shd w:val="clear" w:color="auto" w:fill="FFFFFF"/>
        </w:rPr>
        <w:t>Salvador Franco</w:t>
      </w:r>
      <w:r w:rsidR="00BC4081" w:rsidRPr="002574EC">
        <w:rPr>
          <w:shd w:val="clear" w:color="auto" w:fill="FFFFFF"/>
        </w:rPr>
        <w:t xml:space="preserve"> on account of his </w:t>
      </w:r>
      <w:r w:rsidR="0091580F" w:rsidRPr="002574EC">
        <w:rPr>
          <w:shd w:val="clear" w:color="auto" w:fill="FFFFFF"/>
        </w:rPr>
        <w:t>evident and delica</w:t>
      </w:r>
      <w:r w:rsidR="00350FE9" w:rsidRPr="002574EC">
        <w:rPr>
          <w:shd w:val="clear" w:color="auto" w:fill="FFFFFF"/>
        </w:rPr>
        <w:t>t</w:t>
      </w:r>
      <w:r w:rsidR="0091580F" w:rsidRPr="002574EC">
        <w:rPr>
          <w:shd w:val="clear" w:color="auto" w:fill="FFFFFF"/>
        </w:rPr>
        <w:t>e health status.</w:t>
      </w:r>
      <w:r w:rsidR="0099701B" w:rsidRPr="002574EC">
        <w:rPr>
          <w:rStyle w:val="FootnoteReference"/>
          <w:color w:val="000000"/>
          <w:shd w:val="clear" w:color="auto" w:fill="FFFFFF"/>
        </w:rPr>
        <w:footnoteReference w:id="369"/>
      </w:r>
      <w:r w:rsidR="00133193" w:rsidRPr="002574EC">
        <w:rPr>
          <w:shd w:val="clear" w:color="auto" w:fill="FFFFFF"/>
        </w:rPr>
        <w:t xml:space="preserve">  </w:t>
      </w:r>
      <w:r w:rsidR="004E5C4A" w:rsidRPr="002574EC">
        <w:rPr>
          <w:shd w:val="clear" w:color="auto" w:fill="FFFFFF"/>
        </w:rPr>
        <w:t>Likewise, the Inter-American Commission</w:t>
      </w:r>
      <w:r w:rsidR="00B459B9" w:rsidRPr="002574EC">
        <w:rPr>
          <w:shd w:val="clear" w:color="auto" w:fill="FFFFFF"/>
        </w:rPr>
        <w:t>, cites the case</w:t>
      </w:r>
      <w:r w:rsidR="005A07BD" w:rsidRPr="002574EC">
        <w:rPr>
          <w:shd w:val="clear" w:color="auto" w:fill="FFFFFF"/>
        </w:rPr>
        <w:t>s</w:t>
      </w:r>
      <w:r w:rsidR="00B459B9" w:rsidRPr="002574EC">
        <w:rPr>
          <w:shd w:val="clear" w:color="auto" w:fill="FFFFFF"/>
        </w:rPr>
        <w:t xml:space="preserve"> of </w:t>
      </w:r>
      <w:r w:rsidR="005A07BD" w:rsidRPr="002574EC">
        <w:rPr>
          <w:shd w:val="clear" w:color="auto" w:fill="FFFFFF"/>
        </w:rPr>
        <w:t xml:space="preserve">Gabriel Medina Diaz, who died on August 29, and of </w:t>
      </w:r>
      <w:r w:rsidR="00B459B9" w:rsidRPr="002574EC">
        <w:rPr>
          <w:shd w:val="clear" w:color="auto" w:fill="FFFFFF"/>
        </w:rPr>
        <w:t xml:space="preserve">the former military </w:t>
      </w:r>
      <w:r w:rsidR="009A69C9" w:rsidRPr="002574EC">
        <w:rPr>
          <w:shd w:val="clear" w:color="auto" w:fill="FFFFFF"/>
        </w:rPr>
        <w:t xml:space="preserve">officer </w:t>
      </w:r>
      <w:r w:rsidR="00B459B9" w:rsidRPr="002574EC">
        <w:rPr>
          <w:shd w:val="clear" w:color="auto" w:fill="FFFFFF"/>
        </w:rPr>
        <w:t xml:space="preserve">and Minister of Defense </w:t>
      </w:r>
      <w:r w:rsidR="00B73321" w:rsidRPr="002574EC">
        <w:rPr>
          <w:shd w:val="clear" w:color="auto" w:fill="FFFFFF"/>
        </w:rPr>
        <w:t>Raúl Baduel</w:t>
      </w:r>
      <w:r w:rsidR="0025242E" w:rsidRPr="002574EC">
        <w:rPr>
          <w:shd w:val="clear" w:color="auto" w:fill="FFFFFF"/>
        </w:rPr>
        <w:t xml:space="preserve">, </w:t>
      </w:r>
      <w:r w:rsidR="00050912" w:rsidRPr="002574EC">
        <w:rPr>
          <w:shd w:val="clear" w:color="auto" w:fill="FFFFFF"/>
        </w:rPr>
        <w:t xml:space="preserve">who died on October 12, while in custody at the Helicoide prison facility of the SEBIN, allegedly </w:t>
      </w:r>
      <w:r w:rsidR="00030F1C" w:rsidRPr="002574EC">
        <w:rPr>
          <w:shd w:val="clear" w:color="auto" w:fill="FFFFFF"/>
        </w:rPr>
        <w:t>for complications associated with COVID-19.</w:t>
      </w:r>
      <w:r w:rsidR="00DE12B4" w:rsidRPr="002574EC">
        <w:rPr>
          <w:rStyle w:val="FootnoteReference"/>
          <w:color w:val="000000"/>
          <w:shd w:val="clear" w:color="auto" w:fill="FFFFFF"/>
        </w:rPr>
        <w:footnoteReference w:id="370"/>
      </w:r>
      <w:r w:rsidR="00B73321" w:rsidRPr="002574EC">
        <w:rPr>
          <w:shd w:val="clear" w:color="auto" w:fill="FFFFFF"/>
        </w:rPr>
        <w:t xml:space="preserve"> </w:t>
      </w:r>
    </w:p>
    <w:p w14:paraId="20383042" w14:textId="26A02414" w:rsidR="00B73321" w:rsidRPr="002574EC" w:rsidRDefault="00B73321" w:rsidP="00E07D06">
      <w:pPr>
        <w:ind w:left="426" w:hanging="426"/>
        <w:jc w:val="both"/>
        <w:rPr>
          <w:rFonts w:ascii="Cambria" w:hAnsi="Cambria"/>
          <w:color w:val="000000"/>
          <w:sz w:val="20"/>
          <w:szCs w:val="20"/>
          <w:shd w:val="clear" w:color="auto" w:fill="FFFFFF"/>
        </w:rPr>
      </w:pPr>
    </w:p>
    <w:p w14:paraId="35A04451" w14:textId="16617E7E" w:rsidR="0099701B" w:rsidRPr="002574EC" w:rsidRDefault="0015745B" w:rsidP="00F85814">
      <w:pPr>
        <w:pStyle w:val="ListParagraph"/>
        <w:rPr>
          <w:shd w:val="clear" w:color="auto" w:fill="FFFFFF"/>
        </w:rPr>
      </w:pPr>
      <w:r w:rsidRPr="002574EC">
        <w:rPr>
          <w:shd w:val="clear" w:color="auto" w:fill="FFFFFF"/>
        </w:rPr>
        <w:t>The Commission observes that family members of Raul Baduel</w:t>
      </w:r>
      <w:r w:rsidR="002C3DFB" w:rsidRPr="002574EC">
        <w:rPr>
          <w:shd w:val="clear" w:color="auto" w:fill="FFFFFF"/>
        </w:rPr>
        <w:t xml:space="preserve">, who visited him a few days prior to his death, </w:t>
      </w:r>
      <w:r w:rsidR="008B1FAC" w:rsidRPr="002574EC">
        <w:rPr>
          <w:shd w:val="clear" w:color="auto" w:fill="FFFFFF"/>
        </w:rPr>
        <w:t>claim that he did not present any symptom</w:t>
      </w:r>
      <w:r w:rsidR="00E2185E" w:rsidRPr="002574EC">
        <w:rPr>
          <w:shd w:val="clear" w:color="auto" w:fill="FFFFFF"/>
        </w:rPr>
        <w:t xml:space="preserve"> and so this </w:t>
      </w:r>
      <w:r w:rsidR="00DA31FD" w:rsidRPr="002574EC">
        <w:rPr>
          <w:shd w:val="clear" w:color="auto" w:fill="FFFFFF"/>
        </w:rPr>
        <w:t xml:space="preserve">undermines </w:t>
      </w:r>
      <w:r w:rsidR="004413F5" w:rsidRPr="002574EC">
        <w:rPr>
          <w:shd w:val="clear" w:color="auto" w:fill="FFFFFF"/>
        </w:rPr>
        <w:t xml:space="preserve">the credibility </w:t>
      </w:r>
      <w:r w:rsidR="001440F5" w:rsidRPr="002574EC">
        <w:rPr>
          <w:shd w:val="clear" w:color="auto" w:fill="FFFFFF"/>
        </w:rPr>
        <w:t xml:space="preserve">of the hypothesis </w:t>
      </w:r>
      <w:r w:rsidR="00E867BF" w:rsidRPr="002574EC">
        <w:rPr>
          <w:shd w:val="clear" w:color="auto" w:fill="FFFFFF"/>
        </w:rPr>
        <w:t xml:space="preserve">of the cause of death. </w:t>
      </w:r>
      <w:r w:rsidR="00B5239C" w:rsidRPr="002574EC">
        <w:rPr>
          <w:shd w:val="clear" w:color="auto" w:fill="FFFFFF"/>
        </w:rPr>
        <w:t xml:space="preserve">In this regard, the IACHR urges authorities to </w:t>
      </w:r>
      <w:r w:rsidR="00517D3C" w:rsidRPr="002574EC">
        <w:rPr>
          <w:shd w:val="clear" w:color="auto" w:fill="FFFFFF"/>
        </w:rPr>
        <w:t xml:space="preserve">open without delay a serious, impartial and effective investigation </w:t>
      </w:r>
      <w:r w:rsidR="00CA598F" w:rsidRPr="002574EC">
        <w:rPr>
          <w:shd w:val="clear" w:color="auto" w:fill="FFFFFF"/>
        </w:rPr>
        <w:t xml:space="preserve">to determine </w:t>
      </w:r>
      <w:r w:rsidR="00094D17" w:rsidRPr="002574EC">
        <w:rPr>
          <w:shd w:val="clear" w:color="auto" w:fill="FFFFFF"/>
        </w:rPr>
        <w:t>the truth</w:t>
      </w:r>
      <w:r w:rsidR="00C049FE" w:rsidRPr="002574EC">
        <w:rPr>
          <w:shd w:val="clear" w:color="auto" w:fill="FFFFFF"/>
        </w:rPr>
        <w:t xml:space="preserve"> and, </w:t>
      </w:r>
      <w:r w:rsidR="008808D1" w:rsidRPr="002574EC">
        <w:rPr>
          <w:shd w:val="clear" w:color="auto" w:fill="FFFFFF"/>
        </w:rPr>
        <w:t>eventually, punish those who were responsible to any extent for the death</w:t>
      </w:r>
      <w:r w:rsidR="00AD4580" w:rsidRPr="002574EC">
        <w:rPr>
          <w:shd w:val="clear" w:color="auto" w:fill="FFFFFF"/>
        </w:rPr>
        <w:t xml:space="preserve">s of </w:t>
      </w:r>
      <w:r w:rsidR="00896EEA" w:rsidRPr="002574EC">
        <w:rPr>
          <w:shd w:val="clear" w:color="auto" w:fill="FFFFFF"/>
        </w:rPr>
        <w:t>Raúl</w:t>
      </w:r>
      <w:r w:rsidR="0099701B" w:rsidRPr="002574EC">
        <w:rPr>
          <w:shd w:val="clear" w:color="auto" w:fill="FFFFFF"/>
        </w:rPr>
        <w:t xml:space="preserve"> Baduel</w:t>
      </w:r>
      <w:r w:rsidR="00DE12B4" w:rsidRPr="002574EC">
        <w:rPr>
          <w:shd w:val="clear" w:color="auto" w:fill="FFFFFF"/>
        </w:rPr>
        <w:t xml:space="preserve"> </w:t>
      </w:r>
      <w:r w:rsidR="007A2C5B" w:rsidRPr="002574EC">
        <w:rPr>
          <w:shd w:val="clear" w:color="auto" w:fill="FFFFFF"/>
        </w:rPr>
        <w:t>and</w:t>
      </w:r>
      <w:r w:rsidR="00DE12B4" w:rsidRPr="002574EC">
        <w:rPr>
          <w:shd w:val="clear" w:color="auto" w:fill="FFFFFF"/>
        </w:rPr>
        <w:t xml:space="preserve"> Salvador Franco</w:t>
      </w:r>
      <w:r w:rsidR="00E54C77" w:rsidRPr="002574EC">
        <w:rPr>
          <w:shd w:val="clear" w:color="auto" w:fill="FFFFFF"/>
        </w:rPr>
        <w:t>.</w:t>
      </w:r>
    </w:p>
    <w:p w14:paraId="42916566" w14:textId="77777777" w:rsidR="00BC769A" w:rsidRPr="002574EC" w:rsidRDefault="00BC769A" w:rsidP="00E07D06">
      <w:pPr>
        <w:widowControl w:val="0"/>
        <w:pBdr>
          <w:top w:val="nil"/>
          <w:left w:val="nil"/>
          <w:bottom w:val="nil"/>
          <w:right w:val="nil"/>
          <w:between w:val="nil"/>
        </w:pBdr>
        <w:ind w:left="426" w:hanging="426"/>
        <w:jc w:val="both"/>
        <w:rPr>
          <w:rFonts w:ascii="Cambria" w:hAnsi="Cambria"/>
          <w:b/>
          <w:bCs/>
          <w:sz w:val="20"/>
          <w:szCs w:val="20"/>
        </w:rPr>
      </w:pPr>
    </w:p>
    <w:p w14:paraId="74B166B1" w14:textId="018CDE79" w:rsidR="002523D6" w:rsidRPr="002574EC" w:rsidRDefault="00930CCC" w:rsidP="007E075D">
      <w:pPr>
        <w:pStyle w:val="Heading2"/>
      </w:pPr>
      <w:r w:rsidRPr="002574EC">
        <w:t xml:space="preserve">Children and </w:t>
      </w:r>
      <w:r w:rsidR="007E075D" w:rsidRPr="002574EC">
        <w:t>Adolescents</w:t>
      </w:r>
    </w:p>
    <w:p w14:paraId="5D65C852" w14:textId="3D399F48" w:rsidR="009E16E8" w:rsidRPr="002574EC" w:rsidRDefault="009E16E8" w:rsidP="00E07D06">
      <w:pPr>
        <w:widowControl w:val="0"/>
        <w:pBdr>
          <w:top w:val="nil"/>
          <w:left w:val="nil"/>
          <w:bottom w:val="nil"/>
          <w:right w:val="nil"/>
          <w:between w:val="nil"/>
        </w:pBdr>
        <w:ind w:left="426" w:hanging="426"/>
        <w:jc w:val="both"/>
        <w:rPr>
          <w:rFonts w:ascii="Cambria" w:hAnsi="Cambria"/>
          <w:b/>
          <w:bCs/>
          <w:sz w:val="20"/>
          <w:szCs w:val="20"/>
        </w:rPr>
      </w:pPr>
    </w:p>
    <w:p w14:paraId="2F631B6D" w14:textId="272B6C46" w:rsidR="00184CF0" w:rsidRPr="002574EC" w:rsidRDefault="002B612D" w:rsidP="00F85814">
      <w:pPr>
        <w:pStyle w:val="ListParagraph"/>
      </w:pPr>
      <w:r w:rsidRPr="002574EC">
        <w:t xml:space="preserve">On </w:t>
      </w:r>
      <w:r w:rsidR="0003481A" w:rsidRPr="002574EC">
        <w:t xml:space="preserve">the </w:t>
      </w:r>
      <w:r w:rsidRPr="002574EC">
        <w:t xml:space="preserve">subject of children and adolescents, in 2021, the IACHR took note of the joint efforts made by the Ministry of Water with the </w:t>
      </w:r>
      <w:r w:rsidR="00EC3968" w:rsidRPr="002574EC">
        <w:rPr>
          <w:i/>
          <w:iCs/>
          <w:color w:val="000000"/>
          <w:shd w:val="clear" w:color="auto" w:fill="FFFFFF"/>
        </w:rPr>
        <w:t>United Nations International Children's Emergency Fund</w:t>
      </w:r>
      <w:r w:rsidR="00EC3968" w:rsidRPr="002574EC">
        <w:rPr>
          <w:color w:val="000000"/>
          <w:shd w:val="clear" w:color="auto" w:fill="FFFFFF"/>
        </w:rPr>
        <w:t xml:space="preserve"> (</w:t>
      </w:r>
      <w:r w:rsidR="003A623E" w:rsidRPr="002574EC">
        <w:rPr>
          <w:color w:val="000000"/>
          <w:shd w:val="clear" w:color="auto" w:fill="FFFFFF"/>
        </w:rPr>
        <w:t>hereinafter “</w:t>
      </w:r>
      <w:r w:rsidR="00184CF0" w:rsidRPr="002574EC">
        <w:t>UNICEF</w:t>
      </w:r>
      <w:r w:rsidR="00EC3968" w:rsidRPr="002574EC">
        <w:t>”)</w:t>
      </w:r>
      <w:r w:rsidR="00184CF0" w:rsidRPr="002574EC">
        <w:t xml:space="preserve"> </w:t>
      </w:r>
      <w:r w:rsidR="002E03B0" w:rsidRPr="002574EC">
        <w:t xml:space="preserve">to move </w:t>
      </w:r>
      <w:r w:rsidR="00FF12D6" w:rsidRPr="002574EC">
        <w:t xml:space="preserve">ahead with </w:t>
      </w:r>
      <w:r w:rsidR="002E03B0" w:rsidRPr="002574EC">
        <w:t xml:space="preserve">several projects </w:t>
      </w:r>
      <w:r w:rsidR="00D27A6F" w:rsidRPr="002574EC">
        <w:t xml:space="preserve">to </w:t>
      </w:r>
      <w:r w:rsidR="002E03B0" w:rsidRPr="002574EC">
        <w:t xml:space="preserve">help improve access to </w:t>
      </w:r>
      <w:r w:rsidR="007F20A5" w:rsidRPr="002574EC">
        <w:t xml:space="preserve">safe </w:t>
      </w:r>
      <w:r w:rsidR="002E03B0" w:rsidRPr="002574EC">
        <w:t xml:space="preserve">water </w:t>
      </w:r>
      <w:r w:rsidR="007D7653" w:rsidRPr="002574EC">
        <w:t xml:space="preserve">for more than 1.7 million </w:t>
      </w:r>
      <w:r w:rsidR="00FC2CD9" w:rsidRPr="002574EC">
        <w:t xml:space="preserve">people in the states of Bolivar, </w:t>
      </w:r>
      <w:r w:rsidR="00184CF0" w:rsidRPr="002574EC">
        <w:t xml:space="preserve">Delta Amacuro, Zulia </w:t>
      </w:r>
      <w:r w:rsidR="007D73D2" w:rsidRPr="002574EC">
        <w:t>and</w:t>
      </w:r>
      <w:r w:rsidR="00184CF0" w:rsidRPr="002574EC">
        <w:t xml:space="preserve"> Táchira</w:t>
      </w:r>
      <w:r w:rsidR="008E3C76" w:rsidRPr="002574EC">
        <w:t>.</w:t>
      </w:r>
      <w:r w:rsidR="00184CF0" w:rsidRPr="002574EC">
        <w:rPr>
          <w:rStyle w:val="FootnoteReference"/>
        </w:rPr>
        <w:footnoteReference w:id="371"/>
      </w:r>
      <w:r w:rsidR="005C1D07" w:rsidRPr="002574EC">
        <w:t xml:space="preserve"> </w:t>
      </w:r>
      <w:r w:rsidR="006E0CAA" w:rsidRPr="002574EC">
        <w:t>Likewise, as was reported by the UNHCHR, the government of Venezuela and the World Food Program reached an agreement in April 2021 to provide food assistance to 185,000 children and adolescents in schools in 2021 with plans to</w:t>
      </w:r>
      <w:r w:rsidR="00A362D9" w:rsidRPr="002574EC">
        <w:t xml:space="preserve"> expand to </w:t>
      </w:r>
      <w:r w:rsidR="00FC129D" w:rsidRPr="002574EC">
        <w:t xml:space="preserve">1.5 million </w:t>
      </w:r>
      <w:r w:rsidR="0091606A" w:rsidRPr="002574EC">
        <w:t>by</w:t>
      </w:r>
      <w:r w:rsidR="00FC129D" w:rsidRPr="002574EC">
        <w:t xml:space="preserve"> 2023.</w:t>
      </w:r>
      <w:r w:rsidR="00184CF0" w:rsidRPr="002574EC">
        <w:rPr>
          <w:rStyle w:val="FootnoteReference"/>
        </w:rPr>
        <w:footnoteReference w:id="372"/>
      </w:r>
    </w:p>
    <w:p w14:paraId="2A3B1485" w14:textId="378F07BC" w:rsidR="00184CF0" w:rsidRPr="002574EC" w:rsidRDefault="00184CF0" w:rsidP="00E07D06">
      <w:pPr>
        <w:ind w:left="426" w:hanging="426"/>
        <w:jc w:val="both"/>
        <w:rPr>
          <w:rFonts w:ascii="Cambria" w:hAnsi="Cambria"/>
          <w:sz w:val="20"/>
          <w:szCs w:val="20"/>
        </w:rPr>
      </w:pPr>
    </w:p>
    <w:p w14:paraId="00BC38BC" w14:textId="7A052364" w:rsidR="00184CF0" w:rsidRPr="002574EC" w:rsidRDefault="00EA5A6F" w:rsidP="00F85814">
      <w:pPr>
        <w:pStyle w:val="ListParagraph"/>
      </w:pPr>
      <w:r w:rsidRPr="002574EC">
        <w:t>Additionally</w:t>
      </w:r>
      <w:r w:rsidR="00F03D38" w:rsidRPr="002574EC">
        <w:t xml:space="preserve">, the Commission is concerned about the 3.2 million children and adolescents </w:t>
      </w:r>
      <w:r w:rsidR="000A098B" w:rsidRPr="002574EC">
        <w:t>in need of humanitarian assistance.</w:t>
      </w:r>
      <w:r w:rsidR="00184CF0" w:rsidRPr="002574EC">
        <w:rPr>
          <w:rStyle w:val="FootnoteReference"/>
        </w:rPr>
        <w:footnoteReference w:id="373"/>
      </w:r>
      <w:r w:rsidR="00F91825" w:rsidRPr="002574EC">
        <w:t xml:space="preserve"> </w:t>
      </w:r>
      <w:r w:rsidR="00B326A8" w:rsidRPr="002574EC">
        <w:t>I</w:t>
      </w:r>
      <w:r w:rsidR="00F91825" w:rsidRPr="002574EC">
        <w:t xml:space="preserve">t </w:t>
      </w:r>
      <w:r w:rsidR="00B326A8" w:rsidRPr="002574EC">
        <w:t xml:space="preserve">also </w:t>
      </w:r>
      <w:r w:rsidR="00A0320D" w:rsidRPr="002574EC">
        <w:t xml:space="preserve">notes </w:t>
      </w:r>
      <w:r w:rsidR="00F91825" w:rsidRPr="002574EC">
        <w:t xml:space="preserve">the need for humanitarian assistance programs </w:t>
      </w:r>
      <w:r w:rsidR="00DE1B5A" w:rsidRPr="002574EC">
        <w:t>for</w:t>
      </w:r>
      <w:r w:rsidR="00F91825" w:rsidRPr="002574EC">
        <w:t xml:space="preserve"> children </w:t>
      </w:r>
      <w:r w:rsidR="00FD45BE" w:rsidRPr="002574EC">
        <w:t xml:space="preserve">to receive </w:t>
      </w:r>
      <w:r w:rsidR="00F91825" w:rsidRPr="002574EC">
        <w:t>care for physical and psychological damages</w:t>
      </w:r>
      <w:r w:rsidR="00FD45BE" w:rsidRPr="002574EC">
        <w:t xml:space="preserve"> caused by different types of abuse, as well as </w:t>
      </w:r>
      <w:r w:rsidR="00F65A8D" w:rsidRPr="002574EC">
        <w:t xml:space="preserve">to have </w:t>
      </w:r>
      <w:r w:rsidR="00F63D5C" w:rsidRPr="002574EC">
        <w:t xml:space="preserve">a mechanism in place </w:t>
      </w:r>
      <w:r w:rsidR="00774D40" w:rsidRPr="002574EC">
        <w:t>to report situations of mistreatment.</w:t>
      </w:r>
      <w:r w:rsidR="00184CF0" w:rsidRPr="002574EC">
        <w:t xml:space="preserve"> </w:t>
      </w:r>
    </w:p>
    <w:p w14:paraId="1B77D195" w14:textId="5EAFF74D" w:rsidR="00184CF0" w:rsidRPr="002574EC" w:rsidRDefault="00184CF0" w:rsidP="00E07D06">
      <w:pPr>
        <w:ind w:left="426" w:hanging="426"/>
        <w:jc w:val="both"/>
        <w:rPr>
          <w:rFonts w:ascii="Cambria" w:hAnsi="Cambria"/>
          <w:color w:val="000000" w:themeColor="text1"/>
          <w:sz w:val="20"/>
          <w:szCs w:val="20"/>
        </w:rPr>
      </w:pPr>
    </w:p>
    <w:p w14:paraId="7E83A873" w14:textId="44690B81" w:rsidR="007121FD" w:rsidRPr="002574EC" w:rsidRDefault="004B6DE1" w:rsidP="00F85814">
      <w:pPr>
        <w:pStyle w:val="ListParagraph"/>
      </w:pPr>
      <w:r w:rsidRPr="002574EC">
        <w:t>A</w:t>
      </w:r>
      <w:r w:rsidR="00915DCB" w:rsidRPr="002574EC">
        <w:t>s</w:t>
      </w:r>
      <w:r w:rsidRPr="002574EC">
        <w:t xml:space="preserve"> for the right to health, the IACHR </w:t>
      </w:r>
      <w:r w:rsidR="00E0683C" w:rsidRPr="002574EC">
        <w:t xml:space="preserve">became aware </w:t>
      </w:r>
      <w:r w:rsidRPr="002574EC">
        <w:t xml:space="preserve">of 5,559 children and adolescents (2,835 boys and 2,724 girls), who </w:t>
      </w:r>
      <w:r w:rsidR="00A105AE" w:rsidRPr="002574EC">
        <w:t xml:space="preserve">suffered </w:t>
      </w:r>
      <w:r w:rsidRPr="002574EC">
        <w:t xml:space="preserve">acute </w:t>
      </w:r>
      <w:r w:rsidR="00272E2E" w:rsidRPr="002574EC">
        <w:t xml:space="preserve">diseases </w:t>
      </w:r>
      <w:r w:rsidRPr="002574EC">
        <w:t xml:space="preserve">in 2021, including </w:t>
      </w:r>
      <w:r w:rsidR="00031EAC" w:rsidRPr="002574EC">
        <w:t>1,422 with grave acute malnutrition</w:t>
      </w:r>
      <w:r w:rsidR="00E47F1C" w:rsidRPr="002574EC">
        <w:t xml:space="preserve"> (766 boys and 656 girls), according to data provided by UNICEF.</w:t>
      </w:r>
      <w:r w:rsidR="00184CF0" w:rsidRPr="002574EC">
        <w:rPr>
          <w:rStyle w:val="FootnoteReference"/>
        </w:rPr>
        <w:footnoteReference w:id="374"/>
      </w:r>
      <w:r w:rsidR="00184CF0" w:rsidRPr="002574EC">
        <w:t xml:space="preserve"> </w:t>
      </w:r>
      <w:r w:rsidR="00FA4341" w:rsidRPr="002574EC">
        <w:t xml:space="preserve">In this regard, the Inter-American Commission </w:t>
      </w:r>
      <w:r w:rsidR="001020B5" w:rsidRPr="002574EC">
        <w:t xml:space="preserve">is especially concerned about the deaths of 11 children and adolescents from January to August 2021, who </w:t>
      </w:r>
      <w:r w:rsidR="001020B5" w:rsidRPr="002574EC">
        <w:lastRenderedPageBreak/>
        <w:t>were awai</w:t>
      </w:r>
      <w:r w:rsidR="00E7063B" w:rsidRPr="002574EC">
        <w:t>t</w:t>
      </w:r>
      <w:r w:rsidR="001020B5" w:rsidRPr="002574EC">
        <w:t xml:space="preserve">ing transplants and nephrology services </w:t>
      </w:r>
      <w:r w:rsidR="00392806" w:rsidRPr="002574EC">
        <w:t>at the J.M. de los Rios Hospital,</w:t>
      </w:r>
      <w:r w:rsidR="00BB6B15" w:rsidRPr="002574EC">
        <w:rPr>
          <w:rStyle w:val="FootnoteReference"/>
        </w:rPr>
        <w:footnoteReference w:id="375"/>
      </w:r>
      <w:r w:rsidR="00735454" w:rsidRPr="002574EC">
        <w:t xml:space="preserve"> </w:t>
      </w:r>
      <w:r w:rsidR="002A4A71" w:rsidRPr="002574EC">
        <w:t xml:space="preserve">a medical facility </w:t>
      </w:r>
      <w:r w:rsidR="002376CC" w:rsidRPr="002574EC">
        <w:t xml:space="preserve">with </w:t>
      </w:r>
      <w:r w:rsidR="00BD3F22" w:rsidRPr="002574EC">
        <w:t xml:space="preserve">child patients in </w:t>
      </w:r>
      <w:r w:rsidR="002376CC" w:rsidRPr="002574EC">
        <w:t xml:space="preserve">several areas of service </w:t>
      </w:r>
      <w:r w:rsidR="00AA52D5" w:rsidRPr="002574EC">
        <w:t xml:space="preserve">covered by </w:t>
      </w:r>
      <w:r w:rsidR="00776620" w:rsidRPr="002574EC">
        <w:t>precautionary measures</w:t>
      </w:r>
      <w:r w:rsidR="0014076F" w:rsidRPr="002574EC">
        <w:t>.</w:t>
      </w:r>
      <w:r w:rsidR="00612E03" w:rsidRPr="002574EC">
        <w:rPr>
          <w:rStyle w:val="FootnoteReference"/>
        </w:rPr>
        <w:footnoteReference w:id="376"/>
      </w:r>
    </w:p>
    <w:p w14:paraId="541A118D" w14:textId="77777777" w:rsidR="007121FD" w:rsidRPr="002574EC" w:rsidRDefault="007121FD" w:rsidP="00E07D06">
      <w:pPr>
        <w:ind w:left="426" w:hanging="426"/>
        <w:jc w:val="both"/>
        <w:rPr>
          <w:rFonts w:ascii="Cambria" w:hAnsi="Cambria"/>
          <w:color w:val="000000" w:themeColor="text1"/>
          <w:sz w:val="20"/>
          <w:szCs w:val="20"/>
        </w:rPr>
      </w:pPr>
    </w:p>
    <w:p w14:paraId="7D3261EC" w14:textId="3DAF030F" w:rsidR="00184CF0" w:rsidRPr="002574EC" w:rsidRDefault="00733328" w:rsidP="00F85814">
      <w:pPr>
        <w:pStyle w:val="ListParagraph"/>
      </w:pPr>
      <w:r w:rsidRPr="002574EC">
        <w:rPr>
          <w:rStyle w:val="Hyperlink"/>
          <w:color w:val="000000" w:themeColor="text1"/>
          <w:u w:val="none"/>
        </w:rPr>
        <w:t xml:space="preserve">With respect to </w:t>
      </w:r>
      <w:r w:rsidR="00A323D3" w:rsidRPr="002574EC">
        <w:rPr>
          <w:rStyle w:val="Hyperlink"/>
          <w:color w:val="000000" w:themeColor="text1"/>
          <w:u w:val="none"/>
        </w:rPr>
        <w:t xml:space="preserve">the right to education, the Inter-American Commission </w:t>
      </w:r>
      <w:r w:rsidR="00A529F1" w:rsidRPr="002574EC">
        <w:rPr>
          <w:rStyle w:val="Hyperlink"/>
          <w:color w:val="000000" w:themeColor="text1"/>
          <w:u w:val="none"/>
        </w:rPr>
        <w:t xml:space="preserve">expresses </w:t>
      </w:r>
      <w:r w:rsidR="0067684C" w:rsidRPr="002574EC">
        <w:rPr>
          <w:rStyle w:val="Hyperlink"/>
          <w:color w:val="000000" w:themeColor="text1"/>
          <w:u w:val="none"/>
        </w:rPr>
        <w:t>its concern over the 1</w:t>
      </w:r>
      <w:r w:rsidR="00232BCF" w:rsidRPr="002574EC">
        <w:rPr>
          <w:rStyle w:val="Hyperlink"/>
          <w:color w:val="000000" w:themeColor="text1"/>
          <w:u w:val="none"/>
        </w:rPr>
        <w:t>.</w:t>
      </w:r>
      <w:r w:rsidR="0067684C" w:rsidRPr="002574EC">
        <w:rPr>
          <w:rStyle w:val="Hyperlink"/>
          <w:color w:val="000000" w:themeColor="text1"/>
          <w:u w:val="none"/>
        </w:rPr>
        <w:t>3 million children and adolescents with limited access because of the pandemic.</w:t>
      </w:r>
      <w:r w:rsidR="00184CF0" w:rsidRPr="002574EC">
        <w:rPr>
          <w:rStyle w:val="FootnoteReference"/>
        </w:rPr>
        <w:footnoteReference w:id="377"/>
      </w:r>
      <w:r w:rsidR="000B35D4" w:rsidRPr="002574EC">
        <w:rPr>
          <w:rStyle w:val="Hyperlink"/>
          <w:color w:val="000000" w:themeColor="text1"/>
          <w:u w:val="none"/>
        </w:rPr>
        <w:t xml:space="preserve"> According to the UNHCHR, preexisting challenges </w:t>
      </w:r>
      <w:r w:rsidR="005B722A" w:rsidRPr="002574EC">
        <w:rPr>
          <w:rStyle w:val="Hyperlink"/>
          <w:color w:val="000000" w:themeColor="text1"/>
          <w:u w:val="none"/>
        </w:rPr>
        <w:t>i</w:t>
      </w:r>
      <w:r w:rsidR="00FC3A46" w:rsidRPr="002574EC">
        <w:rPr>
          <w:rStyle w:val="Hyperlink"/>
          <w:color w:val="000000" w:themeColor="text1"/>
          <w:u w:val="none"/>
        </w:rPr>
        <w:t>n</w:t>
      </w:r>
      <w:r w:rsidR="005B722A" w:rsidRPr="002574EC">
        <w:rPr>
          <w:rStyle w:val="Hyperlink"/>
          <w:color w:val="000000" w:themeColor="text1"/>
          <w:u w:val="none"/>
        </w:rPr>
        <w:t xml:space="preserve"> the area of education </w:t>
      </w:r>
      <w:r w:rsidR="008643F4" w:rsidRPr="002574EC">
        <w:rPr>
          <w:rStyle w:val="Hyperlink"/>
          <w:color w:val="000000" w:themeColor="text1"/>
          <w:u w:val="none"/>
        </w:rPr>
        <w:t xml:space="preserve">have </w:t>
      </w:r>
      <w:r w:rsidR="00C70555" w:rsidRPr="002574EC">
        <w:rPr>
          <w:rStyle w:val="Hyperlink"/>
          <w:color w:val="000000" w:themeColor="text1"/>
          <w:u w:val="none"/>
        </w:rPr>
        <w:t xml:space="preserve">become more acute </w:t>
      </w:r>
      <w:r w:rsidR="0069499F" w:rsidRPr="002574EC">
        <w:rPr>
          <w:rStyle w:val="Hyperlink"/>
          <w:color w:val="000000" w:themeColor="text1"/>
          <w:u w:val="none"/>
        </w:rPr>
        <w:t>since the pandemic</w:t>
      </w:r>
      <w:r w:rsidR="00AB6B59" w:rsidRPr="002574EC">
        <w:rPr>
          <w:rStyle w:val="Hyperlink"/>
          <w:color w:val="000000" w:themeColor="text1"/>
          <w:u w:val="none"/>
        </w:rPr>
        <w:t xml:space="preserve">. </w:t>
      </w:r>
      <w:r w:rsidR="00DD3EA1" w:rsidRPr="002574EC">
        <w:rPr>
          <w:rStyle w:val="Hyperlink"/>
          <w:color w:val="000000" w:themeColor="text1"/>
          <w:u w:val="none"/>
        </w:rPr>
        <w:t xml:space="preserve">Additionally, </w:t>
      </w:r>
      <w:r w:rsidR="00FB7514" w:rsidRPr="002574EC">
        <w:rPr>
          <w:rStyle w:val="Hyperlink"/>
          <w:color w:val="000000" w:themeColor="text1"/>
          <w:u w:val="none"/>
        </w:rPr>
        <w:t xml:space="preserve">according to reports from civil society, </w:t>
      </w:r>
      <w:r w:rsidR="00E87620" w:rsidRPr="002574EC">
        <w:rPr>
          <w:rStyle w:val="Hyperlink"/>
          <w:color w:val="000000" w:themeColor="text1"/>
          <w:u w:val="none"/>
        </w:rPr>
        <w:t>50% of primary education students</w:t>
      </w:r>
      <w:r w:rsidR="00323288" w:rsidRPr="002574EC">
        <w:rPr>
          <w:rStyle w:val="Hyperlink"/>
          <w:color w:val="000000" w:themeColor="text1"/>
          <w:u w:val="none"/>
        </w:rPr>
        <w:t xml:space="preserve"> have dropped out </w:t>
      </w:r>
      <w:r w:rsidR="00902230" w:rsidRPr="002574EC">
        <w:rPr>
          <w:rStyle w:val="Hyperlink"/>
          <w:color w:val="000000" w:themeColor="text1"/>
          <w:u w:val="none"/>
        </w:rPr>
        <w:t>of school in 2021.</w:t>
      </w:r>
      <w:r w:rsidR="00184CF0" w:rsidRPr="002574EC">
        <w:rPr>
          <w:rStyle w:val="FootnoteReference"/>
        </w:rPr>
        <w:footnoteReference w:id="378"/>
      </w:r>
      <w:r w:rsidR="00184CF0" w:rsidRPr="002574EC">
        <w:t xml:space="preserve"> </w:t>
      </w:r>
    </w:p>
    <w:p w14:paraId="528EE598" w14:textId="77777777" w:rsidR="00184CF0" w:rsidRPr="002574EC" w:rsidRDefault="00184CF0" w:rsidP="00E07D06">
      <w:pPr>
        <w:ind w:left="426" w:hanging="426"/>
        <w:jc w:val="both"/>
        <w:rPr>
          <w:rStyle w:val="Hyperlink"/>
          <w:rFonts w:ascii="Cambria" w:hAnsi="Cambria"/>
          <w:color w:val="000000" w:themeColor="text1"/>
          <w:sz w:val="20"/>
          <w:szCs w:val="20"/>
          <w:u w:val="none"/>
        </w:rPr>
      </w:pPr>
    </w:p>
    <w:p w14:paraId="089EA536" w14:textId="31286BE9" w:rsidR="00184CF0" w:rsidRPr="002574EC" w:rsidRDefault="00BF4274" w:rsidP="00F85814">
      <w:pPr>
        <w:pStyle w:val="ListParagraph"/>
      </w:pPr>
      <w:r w:rsidRPr="002574EC">
        <w:t>I</w:t>
      </w:r>
      <w:r w:rsidR="00CB492B" w:rsidRPr="002574EC">
        <w:t xml:space="preserve">n 2021, </w:t>
      </w:r>
      <w:r w:rsidR="00572581" w:rsidRPr="002574EC">
        <w:t xml:space="preserve">the UNHCHR also reported </w:t>
      </w:r>
      <w:r w:rsidR="00CF60B4" w:rsidRPr="002574EC">
        <w:t>inad</w:t>
      </w:r>
      <w:r w:rsidR="007B55A1" w:rsidRPr="002574EC">
        <w:t>e</w:t>
      </w:r>
      <w:r w:rsidR="00CF60B4" w:rsidRPr="002574EC">
        <w:t>q</w:t>
      </w:r>
      <w:r w:rsidR="00EF46C3" w:rsidRPr="002574EC">
        <w:t>u</w:t>
      </w:r>
      <w:r w:rsidR="00CF60B4" w:rsidRPr="002574EC">
        <w:t xml:space="preserve">ate </w:t>
      </w:r>
      <w:r w:rsidR="00CA1955" w:rsidRPr="002574EC">
        <w:t xml:space="preserve">infrastructure </w:t>
      </w:r>
      <w:r w:rsidR="00711C69" w:rsidRPr="002574EC">
        <w:t>at</w:t>
      </w:r>
      <w:r w:rsidR="003A3DAC" w:rsidRPr="002574EC">
        <w:t xml:space="preserve"> primary, sec</w:t>
      </w:r>
      <w:r w:rsidR="005E0C2A" w:rsidRPr="002574EC">
        <w:t>ond</w:t>
      </w:r>
      <w:r w:rsidR="003A3DAC" w:rsidRPr="002574EC">
        <w:t>ary and higher education</w:t>
      </w:r>
      <w:r w:rsidR="003A3AE8" w:rsidRPr="002574EC">
        <w:t xml:space="preserve"> facilities</w:t>
      </w:r>
      <w:r w:rsidR="006D13D6" w:rsidRPr="002574EC">
        <w:t xml:space="preserve"> due to a failure to maintain</w:t>
      </w:r>
      <w:r w:rsidR="00BB6414" w:rsidRPr="002574EC">
        <w:t>, as well as limited access to basic services such as water and electricity</w:t>
      </w:r>
      <w:r w:rsidR="00D52CF1" w:rsidRPr="002574EC">
        <w:t xml:space="preserve">. </w:t>
      </w:r>
      <w:r w:rsidR="003A3AE8" w:rsidRPr="002574EC">
        <w:t xml:space="preserve"> </w:t>
      </w:r>
      <w:r w:rsidR="003D5BB9" w:rsidRPr="002574EC">
        <w:t>It has also been reported that, in January 2021, more than 50% of teachers were absent or had quit their positions.</w:t>
      </w:r>
      <w:r w:rsidR="00184CF0" w:rsidRPr="002574EC">
        <w:rPr>
          <w:rStyle w:val="FootnoteReference"/>
        </w:rPr>
        <w:footnoteReference w:id="379"/>
      </w:r>
      <w:r w:rsidR="00B15130" w:rsidRPr="002574EC">
        <w:t xml:space="preserve">  Additionally, the Inter-American Commission </w:t>
      </w:r>
      <w:r w:rsidR="003D3779" w:rsidRPr="002574EC">
        <w:t xml:space="preserve">received information </w:t>
      </w:r>
      <w:r w:rsidR="00907FF3" w:rsidRPr="002574EC">
        <w:t xml:space="preserve">that in the state of Nueva Esparta, approximately 313 public education facilities (90%) had been looted by criminals, making it difficult for the 120 thousand students on Margarita and Coche </w:t>
      </w:r>
      <w:r w:rsidR="003D7170" w:rsidRPr="002574EC">
        <w:t xml:space="preserve">Islands </w:t>
      </w:r>
      <w:r w:rsidR="00907FF3" w:rsidRPr="002574EC">
        <w:t>to return to classes.</w:t>
      </w:r>
      <w:r w:rsidR="00184CF0" w:rsidRPr="002574EC">
        <w:rPr>
          <w:rStyle w:val="FootnoteReference"/>
        </w:rPr>
        <w:footnoteReference w:id="380"/>
      </w:r>
      <w:r w:rsidR="00184CF0" w:rsidRPr="002574EC">
        <w:t xml:space="preserve">  </w:t>
      </w:r>
    </w:p>
    <w:p w14:paraId="66A0517D" w14:textId="77777777" w:rsidR="00184CF0" w:rsidRPr="002574EC" w:rsidRDefault="00184CF0" w:rsidP="00E07D06">
      <w:pPr>
        <w:widowControl w:val="0"/>
        <w:pBdr>
          <w:top w:val="nil"/>
          <w:left w:val="nil"/>
          <w:bottom w:val="nil"/>
          <w:right w:val="nil"/>
          <w:between w:val="nil"/>
        </w:pBdr>
        <w:ind w:left="426" w:hanging="426"/>
        <w:jc w:val="both"/>
        <w:rPr>
          <w:rFonts w:ascii="Cambria" w:hAnsi="Cambria"/>
          <w:b/>
          <w:bCs/>
          <w:sz w:val="20"/>
          <w:szCs w:val="20"/>
        </w:rPr>
      </w:pPr>
    </w:p>
    <w:p w14:paraId="643C0E25" w14:textId="60BD1686" w:rsidR="002523D6" w:rsidRPr="002574EC" w:rsidRDefault="002523D6" w:rsidP="007E075D">
      <w:pPr>
        <w:pStyle w:val="Heading2"/>
      </w:pPr>
      <w:r w:rsidRPr="002574EC">
        <w:t>P</w:t>
      </w:r>
      <w:r w:rsidR="001064D8" w:rsidRPr="002574EC">
        <w:t xml:space="preserve">ersons with </w:t>
      </w:r>
      <w:r w:rsidR="007E075D" w:rsidRPr="002574EC">
        <w:t xml:space="preserve">Disability </w:t>
      </w:r>
    </w:p>
    <w:p w14:paraId="25A84BD1" w14:textId="77777777" w:rsidR="00E07D06" w:rsidRPr="002574EC" w:rsidRDefault="00E07D06" w:rsidP="007E075D"/>
    <w:p w14:paraId="31CC38B7" w14:textId="1393B1E9" w:rsidR="00D813D6" w:rsidRPr="002574EC" w:rsidRDefault="00907FF3" w:rsidP="00F85814">
      <w:pPr>
        <w:pStyle w:val="ListParagraph"/>
      </w:pPr>
      <w:r w:rsidRPr="002574EC">
        <w:t>The IACHR is concerned over the lack of official information about the human rights situation of persons with disabilities</w:t>
      </w:r>
      <w:r w:rsidR="00737943" w:rsidRPr="002574EC">
        <w:t>,</w:t>
      </w:r>
      <w:r w:rsidR="00B24FFD" w:rsidRPr="002574EC">
        <w:t xml:space="preserve"> particularly</w:t>
      </w:r>
      <w:r w:rsidR="00737943" w:rsidRPr="002574EC">
        <w:t xml:space="preserve"> </w:t>
      </w:r>
      <w:r w:rsidR="00D65545" w:rsidRPr="002574EC">
        <w:t xml:space="preserve">access to economic, social, cultural and environmental rights. </w:t>
      </w:r>
    </w:p>
    <w:p w14:paraId="02A89794" w14:textId="77777777" w:rsidR="00D813D6" w:rsidRPr="002574EC" w:rsidRDefault="00D813D6" w:rsidP="00E07D06">
      <w:pPr>
        <w:ind w:left="426" w:hanging="426"/>
        <w:jc w:val="both"/>
        <w:rPr>
          <w:rFonts w:ascii="Cambria" w:hAnsi="Cambria"/>
          <w:color w:val="000000" w:themeColor="text1"/>
          <w:sz w:val="20"/>
          <w:szCs w:val="20"/>
        </w:rPr>
      </w:pPr>
    </w:p>
    <w:p w14:paraId="18CBCD1A" w14:textId="5B8ABF99" w:rsidR="00D813D6" w:rsidRPr="002574EC" w:rsidRDefault="006B3FB7" w:rsidP="00F85814">
      <w:pPr>
        <w:pStyle w:val="ListParagraph"/>
      </w:pPr>
      <w:r w:rsidRPr="002574EC">
        <w:t xml:space="preserve">In relation to access to health of persons with disability, civil society organizations reported that significant barriers persist </w:t>
      </w:r>
      <w:r w:rsidR="0033182F" w:rsidRPr="002574EC">
        <w:t>in the guarantee of these rights</w:t>
      </w:r>
      <w:r w:rsidR="00961AE3" w:rsidRPr="002574EC">
        <w:t xml:space="preserve">.  In this regard, a survey conducted by </w:t>
      </w:r>
      <w:r w:rsidR="0077619D" w:rsidRPr="002574EC">
        <w:t xml:space="preserve">the organization </w:t>
      </w:r>
      <w:r w:rsidR="00DB023F" w:rsidRPr="002574EC">
        <w:t>CONSORVEN</w:t>
      </w:r>
      <w:r w:rsidR="001B01FE" w:rsidRPr="002574EC">
        <w:t>, in which</w:t>
      </w:r>
      <w:r w:rsidR="003A5555" w:rsidRPr="002574EC">
        <w:t xml:space="preserve"> 103 pe</w:t>
      </w:r>
      <w:r w:rsidR="00E10DEB" w:rsidRPr="002574EC">
        <w:t xml:space="preserve">rsons with disability </w:t>
      </w:r>
      <w:r w:rsidR="00732A0A" w:rsidRPr="002574EC">
        <w:t xml:space="preserve">in 8 states of the country </w:t>
      </w:r>
      <w:r w:rsidR="00E10DEB" w:rsidRPr="002574EC">
        <w:t>participated</w:t>
      </w:r>
      <w:r w:rsidR="001B01FE" w:rsidRPr="002574EC">
        <w:t xml:space="preserve">, </w:t>
      </w:r>
      <w:r w:rsidR="00DF5271" w:rsidRPr="002574EC">
        <w:t>revealed that 89%</w:t>
      </w:r>
      <w:r w:rsidR="007E1EEB" w:rsidRPr="002574EC">
        <w:t xml:space="preserve"> have no access to medicines </w:t>
      </w:r>
      <w:r w:rsidR="00B1211A" w:rsidRPr="002574EC">
        <w:t xml:space="preserve">because they cannot afford them; 84% require medical care associated with their disability; 68% state that </w:t>
      </w:r>
      <w:r w:rsidR="00CF55B4" w:rsidRPr="002574EC">
        <w:t xml:space="preserve">the quality of their </w:t>
      </w:r>
      <w:r w:rsidR="00B1211A" w:rsidRPr="002574EC">
        <w:t xml:space="preserve">disability care has </w:t>
      </w:r>
      <w:r w:rsidR="00CF55B4" w:rsidRPr="002574EC">
        <w:t xml:space="preserve">deteriorated </w:t>
      </w:r>
      <w:r w:rsidR="00E04D58" w:rsidRPr="002574EC">
        <w:t>since social distancing measures</w:t>
      </w:r>
      <w:r w:rsidR="007D658B" w:rsidRPr="002574EC">
        <w:t xml:space="preserve"> </w:t>
      </w:r>
      <w:r w:rsidR="00E04D58" w:rsidRPr="002574EC">
        <w:t>have been put in place;</w:t>
      </w:r>
      <w:r w:rsidR="005B1ACE" w:rsidRPr="002574EC">
        <w:rPr>
          <w:rStyle w:val="FootnoteReference"/>
        </w:rPr>
        <w:footnoteReference w:id="381"/>
      </w:r>
      <w:r w:rsidR="00305A71" w:rsidRPr="002574EC">
        <w:t xml:space="preserve"> and </w:t>
      </w:r>
      <w:r w:rsidR="00DB023F" w:rsidRPr="002574EC">
        <w:t xml:space="preserve">51% </w:t>
      </w:r>
      <w:r w:rsidR="00305A71" w:rsidRPr="002574EC">
        <w:t>state that healthcare facilities are not accessible.</w:t>
      </w:r>
      <w:r w:rsidR="00D813D6" w:rsidRPr="002574EC">
        <w:rPr>
          <w:rStyle w:val="FootnoteReference"/>
        </w:rPr>
        <w:footnoteReference w:id="382"/>
      </w:r>
    </w:p>
    <w:p w14:paraId="6EAF09FE" w14:textId="4C1F56AD" w:rsidR="005B1ACE" w:rsidRPr="002574EC" w:rsidRDefault="005B1ACE" w:rsidP="00E07D06">
      <w:pPr>
        <w:ind w:left="426" w:hanging="426"/>
        <w:jc w:val="both"/>
        <w:rPr>
          <w:rFonts w:ascii="Cambria" w:hAnsi="Cambria"/>
          <w:sz w:val="20"/>
          <w:szCs w:val="20"/>
        </w:rPr>
      </w:pPr>
    </w:p>
    <w:p w14:paraId="1890026F" w14:textId="002C7D69" w:rsidR="005B1ACE" w:rsidRPr="002574EC" w:rsidRDefault="00023148" w:rsidP="00F85814">
      <w:pPr>
        <w:pStyle w:val="ListParagraph"/>
      </w:pPr>
      <w:r w:rsidRPr="002574EC">
        <w:t xml:space="preserve">Specifically, with respect to vaccinations of persons with disability, an interview conducted by the organization </w:t>
      </w:r>
      <w:r w:rsidR="005B1ACE" w:rsidRPr="002574EC">
        <w:t xml:space="preserve">CONSORVEN </w:t>
      </w:r>
      <w:r w:rsidRPr="002574EC">
        <w:t xml:space="preserve">of </w:t>
      </w:r>
      <w:r w:rsidR="005B1ACE" w:rsidRPr="002574EC">
        <w:t xml:space="preserve">336 </w:t>
      </w:r>
      <w:r w:rsidRPr="002574EC">
        <w:t>people in 8 states of the country, including the Capital District, revealed that: 9 ou</w:t>
      </w:r>
      <w:r w:rsidR="0047618B" w:rsidRPr="002574EC">
        <w:t>t</w:t>
      </w:r>
      <w:r w:rsidRPr="002574EC">
        <w:t xml:space="preserve"> of every 10 persons with disability </w:t>
      </w:r>
      <w:r w:rsidR="006614C4" w:rsidRPr="002574EC">
        <w:t>have not been vaccinated</w:t>
      </w:r>
      <w:r w:rsidR="005B1ACE" w:rsidRPr="002574EC">
        <w:t xml:space="preserve">. </w:t>
      </w:r>
      <w:r w:rsidR="00BF7031" w:rsidRPr="002574EC">
        <w:t>Additionally, vaccination facilities did not have sign language interpreters available and information about the vaccination campaign was not available in simple, clear and descriptive language.</w:t>
      </w:r>
      <w:r w:rsidR="005B1ACE" w:rsidRPr="002574EC">
        <w:rPr>
          <w:rStyle w:val="FootnoteReference"/>
        </w:rPr>
        <w:footnoteReference w:id="383"/>
      </w:r>
    </w:p>
    <w:p w14:paraId="6326DC8C" w14:textId="64E7D560" w:rsidR="00D813D6" w:rsidRPr="002574EC" w:rsidRDefault="00D813D6" w:rsidP="00E07D06">
      <w:pPr>
        <w:ind w:left="426" w:hanging="426"/>
        <w:jc w:val="both"/>
        <w:rPr>
          <w:rFonts w:ascii="Cambria" w:hAnsi="Cambria"/>
          <w:sz w:val="20"/>
          <w:szCs w:val="20"/>
        </w:rPr>
      </w:pPr>
    </w:p>
    <w:p w14:paraId="3641D464" w14:textId="1EEB73DF" w:rsidR="00DB023F" w:rsidRPr="002574EC" w:rsidRDefault="009C711E" w:rsidP="00F85814">
      <w:pPr>
        <w:pStyle w:val="ListParagraph"/>
      </w:pPr>
      <w:r w:rsidRPr="002574EC">
        <w:t xml:space="preserve">With respect to access to the right to education </w:t>
      </w:r>
      <w:r w:rsidR="00C96A3F" w:rsidRPr="002574EC">
        <w:t xml:space="preserve">of persons with disability, organized civil society reported that </w:t>
      </w:r>
      <w:r w:rsidR="00340071" w:rsidRPr="002574EC">
        <w:t>barriers also persist</w:t>
      </w:r>
      <w:r w:rsidR="005B1ACE" w:rsidRPr="002574EC">
        <w:t>.</w:t>
      </w:r>
      <w:r w:rsidR="00D813D6" w:rsidRPr="002574EC">
        <w:t xml:space="preserve"> </w:t>
      </w:r>
      <w:r w:rsidR="00BD20B0" w:rsidRPr="002574EC">
        <w:t xml:space="preserve">The Commission learned of a study conducted by the organization </w:t>
      </w:r>
      <w:r w:rsidR="00D813D6" w:rsidRPr="002574EC">
        <w:lastRenderedPageBreak/>
        <w:t xml:space="preserve">CONSEORVEN, </w:t>
      </w:r>
      <w:r w:rsidR="00050D09" w:rsidRPr="002574EC">
        <w:t xml:space="preserve">which analyzed a sampling of </w:t>
      </w:r>
      <w:r w:rsidR="001E37A6" w:rsidRPr="002574EC">
        <w:t>78 children and adolescents with disability (33 girls and 45 boys) in 5 states of the country, revealing that 37% of the responde</w:t>
      </w:r>
      <w:r w:rsidR="00180E5D" w:rsidRPr="002574EC">
        <w:t>nt</w:t>
      </w:r>
      <w:r w:rsidR="001E37A6" w:rsidRPr="002574EC">
        <w:t xml:space="preserve">s have </w:t>
      </w:r>
      <w:r w:rsidR="00C43FC6" w:rsidRPr="002574EC">
        <w:t xml:space="preserve">transportation </w:t>
      </w:r>
      <w:r w:rsidR="001E37A6" w:rsidRPr="002574EC">
        <w:t>difficulties</w:t>
      </w:r>
      <w:r w:rsidR="009249F9" w:rsidRPr="002574EC">
        <w:t xml:space="preserve"> and 33% have difficulties of an economic nature</w:t>
      </w:r>
      <w:r w:rsidR="004354E8" w:rsidRPr="002574EC">
        <w:t xml:space="preserve"> in accessing educaion</w:t>
      </w:r>
      <w:r w:rsidR="00273844" w:rsidRPr="002574EC">
        <w:t>.</w:t>
      </w:r>
      <w:r w:rsidR="005B1ACE" w:rsidRPr="002574EC">
        <w:rPr>
          <w:rStyle w:val="FootnoteReference"/>
        </w:rPr>
        <w:footnoteReference w:id="384"/>
      </w:r>
    </w:p>
    <w:p w14:paraId="066D4C21" w14:textId="77777777" w:rsidR="00DE40D1" w:rsidRPr="002574EC" w:rsidRDefault="00DE40D1" w:rsidP="00E07D06">
      <w:pPr>
        <w:widowControl w:val="0"/>
        <w:pBdr>
          <w:top w:val="nil"/>
          <w:left w:val="nil"/>
          <w:bottom w:val="nil"/>
          <w:right w:val="nil"/>
          <w:between w:val="nil"/>
        </w:pBdr>
        <w:ind w:left="426" w:hanging="426"/>
        <w:jc w:val="both"/>
        <w:rPr>
          <w:rFonts w:ascii="Cambria" w:hAnsi="Cambria"/>
          <w:b/>
          <w:bCs/>
          <w:sz w:val="20"/>
          <w:szCs w:val="20"/>
        </w:rPr>
      </w:pPr>
    </w:p>
    <w:p w14:paraId="5340E59C" w14:textId="698E4FBF" w:rsidR="002523D6" w:rsidRPr="002574EC" w:rsidRDefault="00666250" w:rsidP="007E075D">
      <w:pPr>
        <w:pStyle w:val="Heading2"/>
      </w:pPr>
      <w:r w:rsidRPr="002574EC">
        <w:t xml:space="preserve">Older persons </w:t>
      </w:r>
    </w:p>
    <w:p w14:paraId="3C8F2033" w14:textId="668AB15F" w:rsidR="00C17D7C" w:rsidRPr="002574EC" w:rsidRDefault="00C17D7C" w:rsidP="00E07D06">
      <w:pPr>
        <w:pStyle w:val="paragraph"/>
        <w:spacing w:before="0" w:beforeAutospacing="0" w:after="0" w:afterAutospacing="0"/>
        <w:ind w:left="426" w:hanging="426"/>
        <w:jc w:val="both"/>
        <w:textAlignment w:val="baseline"/>
        <w:rPr>
          <w:rFonts w:ascii="Cambria" w:hAnsi="Cambria"/>
          <w:sz w:val="18"/>
          <w:szCs w:val="18"/>
        </w:rPr>
      </w:pPr>
    </w:p>
    <w:p w14:paraId="3D3F9730" w14:textId="5EACD19E" w:rsidR="00C17D7C" w:rsidRPr="002574EC" w:rsidRDefault="00C10127" w:rsidP="00F85814">
      <w:pPr>
        <w:pStyle w:val="ListParagraph"/>
      </w:pPr>
      <w:r w:rsidRPr="002574EC">
        <w:t xml:space="preserve">The Commission </w:t>
      </w:r>
      <w:r w:rsidR="00ED630C" w:rsidRPr="002574EC">
        <w:t xml:space="preserve">has received information suggesting that thousands of pensioners in Venezuela </w:t>
      </w:r>
      <w:r w:rsidR="004F5E36" w:rsidRPr="002574EC">
        <w:t xml:space="preserve">are forced to choose between food or medicines, because their monthly check amounts are </w:t>
      </w:r>
      <w:r w:rsidR="00992C8B" w:rsidRPr="002574EC">
        <w:t xml:space="preserve">below </w:t>
      </w:r>
      <w:r w:rsidR="004F5E36" w:rsidRPr="002574EC">
        <w:t xml:space="preserve">10 </w:t>
      </w:r>
      <w:r w:rsidR="00992C8B" w:rsidRPr="002574EC">
        <w:t xml:space="preserve">US </w:t>
      </w:r>
      <w:r w:rsidR="004F5E36" w:rsidRPr="002574EC">
        <w:t xml:space="preserve">dollars. </w:t>
      </w:r>
      <w:r w:rsidR="007201F6" w:rsidRPr="002574EC">
        <w:t xml:space="preserve">The loss of purchasing power due to hyperinflation </w:t>
      </w:r>
      <w:r w:rsidR="009E0532" w:rsidRPr="002574EC">
        <w:t xml:space="preserve">has led to an economic and moral </w:t>
      </w:r>
      <w:r w:rsidR="00BD6BEC" w:rsidRPr="002574EC">
        <w:t xml:space="preserve">blow </w:t>
      </w:r>
      <w:r w:rsidR="009E0532" w:rsidRPr="002574EC">
        <w:t>against older persons, who must cho</w:t>
      </w:r>
      <w:r w:rsidR="0061753B" w:rsidRPr="002574EC">
        <w:t>o</w:t>
      </w:r>
      <w:r w:rsidR="009E0532" w:rsidRPr="002574EC">
        <w:t>se between ne</w:t>
      </w:r>
      <w:r w:rsidR="005D4882" w:rsidRPr="002574EC">
        <w:t>cessities.</w:t>
      </w:r>
      <w:r w:rsidR="00C17D7C" w:rsidRPr="002574EC">
        <w:rPr>
          <w:rStyle w:val="FootnoteReference"/>
        </w:rPr>
        <w:footnoteReference w:id="385"/>
      </w:r>
      <w:r w:rsidR="00C17D7C" w:rsidRPr="002574EC">
        <w:t xml:space="preserve"> </w:t>
      </w:r>
    </w:p>
    <w:p w14:paraId="4B97EAD9" w14:textId="77777777" w:rsidR="00C17D7C" w:rsidRPr="002574EC" w:rsidRDefault="00C17D7C" w:rsidP="007E075D">
      <w:pPr>
        <w:pStyle w:val="ListParagraph"/>
        <w:numPr>
          <w:ilvl w:val="0"/>
          <w:numId w:val="0"/>
        </w:numPr>
        <w:ind w:left="720"/>
      </w:pPr>
    </w:p>
    <w:p w14:paraId="672C78A5" w14:textId="2AA95D7A" w:rsidR="006F6BEE" w:rsidRPr="002574EC" w:rsidRDefault="00B62ED6" w:rsidP="00F85814">
      <w:pPr>
        <w:pStyle w:val="ListParagraph"/>
      </w:pPr>
      <w:r w:rsidRPr="002574EC">
        <w:t xml:space="preserve">According to the </w:t>
      </w:r>
      <w:r w:rsidR="00C17D7C" w:rsidRPr="002574EC">
        <w:rPr>
          <w:i/>
          <w:iCs/>
        </w:rPr>
        <w:t>Help Age International</w:t>
      </w:r>
      <w:r w:rsidRPr="002574EC">
        <w:t xml:space="preserve"> index, </w:t>
      </w:r>
      <w:r w:rsidR="00C17D7C" w:rsidRPr="002574EC">
        <w:t xml:space="preserve">Venezuela </w:t>
      </w:r>
      <w:r w:rsidR="003A6991" w:rsidRPr="002574EC">
        <w:t xml:space="preserve">is one of the worse countries </w:t>
      </w:r>
      <w:r w:rsidR="0077162D" w:rsidRPr="002574EC">
        <w:t>for older adults</w:t>
      </w:r>
      <w:r w:rsidR="007C6005" w:rsidRPr="002574EC">
        <w:t xml:space="preserve">, given that </w:t>
      </w:r>
      <w:r w:rsidR="003E0C4A" w:rsidRPr="002574EC">
        <w:t xml:space="preserve">their </w:t>
      </w:r>
      <w:r w:rsidR="00473A21" w:rsidRPr="002574EC">
        <w:t xml:space="preserve">basic needs are </w:t>
      </w:r>
      <w:r w:rsidR="00FF6A44" w:rsidRPr="002574EC">
        <w:t>rendered invisible.</w:t>
      </w:r>
      <w:r w:rsidR="00473A21" w:rsidRPr="002574EC">
        <w:t xml:space="preserve"> </w:t>
      </w:r>
      <w:r w:rsidR="006225B7" w:rsidRPr="002574EC">
        <w:t xml:space="preserve">Thus, one out of every 10 older adults </w:t>
      </w:r>
      <w:r w:rsidR="00D65FA4" w:rsidRPr="002574EC">
        <w:t>g</w:t>
      </w:r>
      <w:r w:rsidR="006225B7" w:rsidRPr="002574EC">
        <w:t xml:space="preserve">oes to bed hungry </w:t>
      </w:r>
      <w:r w:rsidR="00286C40" w:rsidRPr="002574EC">
        <w:t xml:space="preserve">and many of these people </w:t>
      </w:r>
      <w:r w:rsidR="00543CE9" w:rsidRPr="002574EC">
        <w:t xml:space="preserve">are only able to support themselves </w:t>
      </w:r>
      <w:r w:rsidR="000B7D4B" w:rsidRPr="002574EC">
        <w:t xml:space="preserve">because of charity and the kindness of civil society organizations and religious groups. </w:t>
      </w:r>
      <w:r w:rsidR="005D0C7D" w:rsidRPr="002574EC">
        <w:t xml:space="preserve">Additionally, </w:t>
      </w:r>
      <w:r w:rsidR="00EF3966" w:rsidRPr="002574EC">
        <w:t>senior citizen</w:t>
      </w:r>
      <w:r w:rsidR="00484872" w:rsidRPr="002574EC">
        <w:t xml:space="preserve"> homes</w:t>
      </w:r>
      <w:r w:rsidR="00EF3966" w:rsidRPr="002574EC">
        <w:t xml:space="preserve"> </w:t>
      </w:r>
      <w:r w:rsidR="00FB16E8" w:rsidRPr="002574EC">
        <w:t>operate as a business which</w:t>
      </w:r>
      <w:r w:rsidR="00D306E5" w:rsidRPr="002574EC">
        <w:t xml:space="preserve"> in tough times </w:t>
      </w:r>
      <w:r w:rsidR="00232C2B" w:rsidRPr="002574EC">
        <w:t>has less budget available to guarantee the dignity of its patients.</w:t>
      </w:r>
      <w:r w:rsidR="00124113" w:rsidRPr="002574EC">
        <w:rPr>
          <w:rStyle w:val="FootnoteReference"/>
        </w:rPr>
        <w:footnoteReference w:id="386"/>
      </w:r>
      <w:r w:rsidR="00C17D7C" w:rsidRPr="002574EC">
        <w:t xml:space="preserve"> </w:t>
      </w:r>
    </w:p>
    <w:p w14:paraId="6C13D315" w14:textId="77777777" w:rsidR="006F6BEE" w:rsidRPr="002574EC" w:rsidRDefault="006F6BEE" w:rsidP="00E07D06">
      <w:pPr>
        <w:ind w:left="426" w:hanging="426"/>
        <w:jc w:val="both"/>
        <w:rPr>
          <w:rFonts w:ascii="Cambria" w:hAnsi="Cambria"/>
          <w:sz w:val="20"/>
          <w:szCs w:val="20"/>
        </w:rPr>
      </w:pPr>
    </w:p>
    <w:p w14:paraId="1E195B94" w14:textId="20E3192A" w:rsidR="00C17D7C" w:rsidRPr="002574EC" w:rsidRDefault="00641552" w:rsidP="00F85814">
      <w:pPr>
        <w:pStyle w:val="ListParagraph"/>
      </w:pPr>
      <w:r w:rsidRPr="002574EC">
        <w:t>I</w:t>
      </w:r>
      <w:r w:rsidR="00124113" w:rsidRPr="002574EC">
        <w:t xml:space="preserve">n 2021, </w:t>
      </w:r>
      <w:r w:rsidR="00CD38EB" w:rsidRPr="002574EC">
        <w:t xml:space="preserve">the organization </w:t>
      </w:r>
      <w:r w:rsidR="00C17D7C" w:rsidRPr="002574EC">
        <w:t>Convite</w:t>
      </w:r>
      <w:r w:rsidR="00124113" w:rsidRPr="002574EC">
        <w:t xml:space="preserve"> </w:t>
      </w:r>
      <w:r w:rsidR="00056EEA" w:rsidRPr="002574EC">
        <w:t xml:space="preserve">released its annual report </w:t>
      </w:r>
      <w:r w:rsidR="00B45108" w:rsidRPr="002574EC">
        <w:t xml:space="preserve">stating that </w:t>
      </w:r>
      <w:r w:rsidR="00C528B2" w:rsidRPr="002574EC">
        <w:t>86.9% of older adults live in a situation of poverty</w:t>
      </w:r>
      <w:r w:rsidR="004B5B88" w:rsidRPr="002574EC">
        <w:t xml:space="preserve">. </w:t>
      </w:r>
      <w:r w:rsidR="009862AF" w:rsidRPr="002574EC">
        <w:t xml:space="preserve">Additionally, </w:t>
      </w:r>
      <w:r w:rsidR="00A3431F" w:rsidRPr="002574EC">
        <w:t xml:space="preserve">a </w:t>
      </w:r>
      <w:r w:rsidR="00410CDE" w:rsidRPr="002574EC">
        <w:t xml:space="preserve">number of surveys </w:t>
      </w:r>
      <w:r w:rsidR="00FA7FEF" w:rsidRPr="002574EC">
        <w:t>conducted by this organization revealed that 42% of the respondents</w:t>
      </w:r>
      <w:r w:rsidR="00EC54C3" w:rsidRPr="002574EC">
        <w:t xml:space="preserve"> claimed that lately they have had to reduce portions of food, as well as having difficulties </w:t>
      </w:r>
      <w:r w:rsidR="00BF52CC" w:rsidRPr="002574EC">
        <w:t>accessing medicines.</w:t>
      </w:r>
      <w:r w:rsidR="00C17D7C" w:rsidRPr="002574EC">
        <w:rPr>
          <w:rStyle w:val="FootnoteReference"/>
        </w:rPr>
        <w:footnoteReference w:id="387"/>
      </w:r>
      <w:r w:rsidR="009D3BEF" w:rsidRPr="002574EC">
        <w:t xml:space="preserve">  </w:t>
      </w:r>
      <w:r w:rsidR="00B454DE" w:rsidRPr="002574EC">
        <w:t xml:space="preserve">Additionally, 83% of the older adults responding to the survey claimed that they depend on others to cover their basic needs, </w:t>
      </w:r>
      <w:r w:rsidR="00CC7F11" w:rsidRPr="002574EC">
        <w:t xml:space="preserve">21% are totally dependent on others </w:t>
      </w:r>
      <w:r w:rsidR="00341F80" w:rsidRPr="002574EC">
        <w:t xml:space="preserve">in their daily activities, 93% </w:t>
      </w:r>
      <w:r w:rsidR="004602B6" w:rsidRPr="002574EC">
        <w:t xml:space="preserve">depend on an old age pension that is the equivalent of less than 2 dollars per month, while 62% has </w:t>
      </w:r>
      <w:r w:rsidR="00647000" w:rsidRPr="002574EC">
        <w:t xml:space="preserve">an income </w:t>
      </w:r>
      <w:r w:rsidR="00417404" w:rsidRPr="002574EC">
        <w:t xml:space="preserve">under </w:t>
      </w:r>
      <w:r w:rsidR="00647000" w:rsidRPr="002574EC">
        <w:t xml:space="preserve">five </w:t>
      </w:r>
      <w:r w:rsidR="00AD7186" w:rsidRPr="002574EC">
        <w:t xml:space="preserve">US </w:t>
      </w:r>
      <w:r w:rsidR="00647000" w:rsidRPr="002574EC">
        <w:t>dollars per month.</w:t>
      </w:r>
      <w:r w:rsidR="006F6BEE" w:rsidRPr="002574EC">
        <w:rPr>
          <w:rStyle w:val="FootnoteReference"/>
        </w:rPr>
        <w:footnoteReference w:id="388"/>
      </w:r>
      <w:r w:rsidR="006F6BEE" w:rsidRPr="002574EC">
        <w:t xml:space="preserve"> </w:t>
      </w:r>
    </w:p>
    <w:p w14:paraId="56851213" w14:textId="4A134C53" w:rsidR="00E036EA" w:rsidRPr="002574EC" w:rsidRDefault="00E036EA" w:rsidP="00E07D06">
      <w:pPr>
        <w:ind w:left="426" w:hanging="426"/>
        <w:jc w:val="both"/>
        <w:rPr>
          <w:rFonts w:ascii="Cambria" w:hAnsi="Cambria"/>
          <w:sz w:val="20"/>
          <w:szCs w:val="20"/>
        </w:rPr>
      </w:pPr>
    </w:p>
    <w:p w14:paraId="53BF8D50" w14:textId="01944451" w:rsidR="00E036EA" w:rsidRPr="002574EC" w:rsidRDefault="00856967" w:rsidP="00F85814">
      <w:pPr>
        <w:pStyle w:val="ListParagraph"/>
      </w:pPr>
      <w:r w:rsidRPr="002574EC">
        <w:t xml:space="preserve">Convite’s report “Assessment of living conditions and health of </w:t>
      </w:r>
      <w:r w:rsidR="00AA75A1" w:rsidRPr="002574EC">
        <w:t xml:space="preserve">older persons in Venezuela” is based on a number of surveys </w:t>
      </w:r>
      <w:r w:rsidR="00D86877" w:rsidRPr="002574EC">
        <w:t>that</w:t>
      </w:r>
      <w:r w:rsidR="00AA75A1" w:rsidRPr="002574EC">
        <w:t xml:space="preserve"> </w:t>
      </w:r>
      <w:r w:rsidR="00E63C6A" w:rsidRPr="002574EC">
        <w:t xml:space="preserve">shed light on </w:t>
      </w:r>
      <w:r w:rsidR="00AA75A1" w:rsidRPr="002574EC">
        <w:t>the situation</w:t>
      </w:r>
      <w:r w:rsidR="00F43B38" w:rsidRPr="002574EC">
        <w:t xml:space="preserve"> of this community</w:t>
      </w:r>
      <w:r w:rsidR="00B72C56" w:rsidRPr="002574EC">
        <w:t>.  The report</w:t>
      </w:r>
      <w:r w:rsidR="004D6445" w:rsidRPr="002574EC">
        <w:t xml:space="preserve"> found that 89% lives in homes with structural-type </w:t>
      </w:r>
      <w:r w:rsidR="0073615D" w:rsidRPr="002574EC">
        <w:t>hazards</w:t>
      </w:r>
      <w:r w:rsidR="00AD068D" w:rsidRPr="002574EC">
        <w:t xml:space="preserve">.  Additionally, 96% </w:t>
      </w:r>
      <w:r w:rsidR="00C21B99" w:rsidRPr="002574EC">
        <w:t xml:space="preserve">of the 1,202 respondents </w:t>
      </w:r>
      <w:r w:rsidR="00856C32" w:rsidRPr="002574EC">
        <w:t xml:space="preserve">stated that they were experiencing </w:t>
      </w:r>
      <w:r w:rsidR="00CA6CFE" w:rsidRPr="002574EC">
        <w:t>power outages that usually last from one to six hours</w:t>
      </w:r>
      <w:r w:rsidR="00463DA5" w:rsidRPr="002574EC">
        <w:t xml:space="preserve"> per day. </w:t>
      </w:r>
      <w:r w:rsidR="00AA75A1" w:rsidRPr="002574EC">
        <w:t xml:space="preserve"> </w:t>
      </w:r>
      <w:r w:rsidR="00E036EA" w:rsidRPr="002574EC">
        <w:t xml:space="preserve"> 85%</w:t>
      </w:r>
      <w:r w:rsidR="00DC02CB" w:rsidRPr="002574EC">
        <w:t xml:space="preserve"> of the older persons surveyed claim that water service is spotty and often cut, which forces them to purchase </w:t>
      </w:r>
      <w:r w:rsidR="002A0F1F" w:rsidRPr="002574EC">
        <w:t xml:space="preserve">jugs of drinking water and/or hire tank trucks. </w:t>
      </w:r>
      <w:r w:rsidR="00E036EA" w:rsidRPr="002574EC">
        <w:t xml:space="preserve"> </w:t>
      </w:r>
      <w:r w:rsidR="00F25369" w:rsidRPr="002574EC">
        <w:t xml:space="preserve">With respect to </w:t>
      </w:r>
      <w:r w:rsidR="0027247C" w:rsidRPr="002574EC">
        <w:t>gas</w:t>
      </w:r>
      <w:r w:rsidR="006A6719" w:rsidRPr="002574EC">
        <w:t xml:space="preserve"> for stoves and heaters</w:t>
      </w:r>
      <w:r w:rsidR="00F25369" w:rsidRPr="002574EC">
        <w:t xml:space="preserve">, most older persons </w:t>
      </w:r>
      <w:r w:rsidR="00FB52F5" w:rsidRPr="002574EC">
        <w:t>have this service in their houses</w:t>
      </w:r>
      <w:r w:rsidR="00E50E30" w:rsidRPr="002574EC">
        <w:t>;</w:t>
      </w:r>
      <w:r w:rsidR="00A27B3E" w:rsidRPr="002574EC">
        <w:t xml:space="preserve"> however, 43% claimed that it</w:t>
      </w:r>
      <w:r w:rsidR="007C0731" w:rsidRPr="002574EC">
        <w:t xml:space="preserve"> cuts on and off for periods of time. </w:t>
      </w:r>
      <w:r w:rsidR="00E50E30" w:rsidRPr="002574EC">
        <w:t>As far as solid waste collection services</w:t>
      </w:r>
      <w:r w:rsidR="005259C2" w:rsidRPr="002574EC">
        <w:t xml:space="preserve">, only 64% of older adults </w:t>
      </w:r>
      <w:r w:rsidR="00977D79" w:rsidRPr="002574EC">
        <w:t xml:space="preserve">have access to </w:t>
      </w:r>
      <w:r w:rsidR="00804E5B" w:rsidRPr="002574EC">
        <w:t>urban sanitation service, that is, garbage trucks</w:t>
      </w:r>
      <w:r w:rsidR="00B14A91" w:rsidRPr="002574EC">
        <w:t xml:space="preserve">, while </w:t>
      </w:r>
      <w:r w:rsidR="004727E2" w:rsidRPr="002574EC">
        <w:t xml:space="preserve">the rest </w:t>
      </w:r>
      <w:r w:rsidR="001D3ED8" w:rsidRPr="002574EC">
        <w:t>have to dispose of their waste on their own</w:t>
      </w:r>
      <w:r w:rsidR="00E036EA" w:rsidRPr="002574EC">
        <w:t xml:space="preserve">. </w:t>
      </w:r>
      <w:r w:rsidR="000F1988" w:rsidRPr="002574EC">
        <w:t xml:space="preserve">Regarding telephone land lines, </w:t>
      </w:r>
      <w:r w:rsidR="00D2043F" w:rsidRPr="002574EC">
        <w:t>68% of the population responding to the survey stated that they had no land line telephone service, whil</w:t>
      </w:r>
      <w:r w:rsidR="00633411" w:rsidRPr="002574EC">
        <w:t>e</w:t>
      </w:r>
      <w:r w:rsidR="00D2043F" w:rsidRPr="002574EC">
        <w:t xml:space="preserve"> 65% said they had </w:t>
      </w:r>
      <w:r w:rsidR="00353D3D" w:rsidRPr="002574EC">
        <w:t xml:space="preserve">cellphone service. </w:t>
      </w:r>
      <w:r w:rsidR="00633411" w:rsidRPr="002574EC">
        <w:t xml:space="preserve">Lastly, regarding internet service, 67% do not have access to it, not only because of a lack of subscription to the service, but also because </w:t>
      </w:r>
      <w:r w:rsidR="009D3A1B" w:rsidRPr="002574EC">
        <w:t>providers fail to fix problems.</w:t>
      </w:r>
      <w:r w:rsidR="00E036EA" w:rsidRPr="002574EC">
        <w:rPr>
          <w:rStyle w:val="FootnoteReference"/>
        </w:rPr>
        <w:footnoteReference w:id="389"/>
      </w:r>
      <w:r w:rsidR="00E036EA" w:rsidRPr="002574EC">
        <w:t xml:space="preserve"> </w:t>
      </w:r>
    </w:p>
    <w:p w14:paraId="769D057C" w14:textId="77777777" w:rsidR="00E036EA" w:rsidRPr="002574EC" w:rsidRDefault="00E036EA" w:rsidP="00E07D06">
      <w:pPr>
        <w:ind w:left="426" w:hanging="426"/>
        <w:jc w:val="both"/>
        <w:rPr>
          <w:rFonts w:ascii="Cambria" w:hAnsi="Cambria"/>
          <w:sz w:val="20"/>
          <w:szCs w:val="20"/>
        </w:rPr>
      </w:pPr>
    </w:p>
    <w:p w14:paraId="00E85492" w14:textId="08B50AE3" w:rsidR="00E036EA" w:rsidRPr="002574EC" w:rsidRDefault="009D3A1B" w:rsidP="00F85814">
      <w:pPr>
        <w:pStyle w:val="ListParagraph"/>
      </w:pPr>
      <w:r w:rsidRPr="002574EC">
        <w:t xml:space="preserve">Based on the above-cited report, </w:t>
      </w:r>
      <w:r w:rsidR="00E036EA" w:rsidRPr="002574EC">
        <w:t xml:space="preserve">72% </w:t>
      </w:r>
      <w:r w:rsidRPr="002574EC">
        <w:t xml:space="preserve">of older persons no longer </w:t>
      </w:r>
      <w:r w:rsidR="00566A88" w:rsidRPr="002574EC">
        <w:t xml:space="preserve">work, although those </w:t>
      </w:r>
      <w:r w:rsidR="00284EE1" w:rsidRPr="002574EC">
        <w:t>who</w:t>
      </w:r>
      <w:r w:rsidR="00566A88" w:rsidRPr="002574EC">
        <w:t xml:space="preserve"> do</w:t>
      </w:r>
      <w:r w:rsidR="00A257AD" w:rsidRPr="002574EC">
        <w:t>,</w:t>
      </w:r>
      <w:r w:rsidR="00566A88" w:rsidRPr="002574EC">
        <w:t xml:space="preserve"> mostly engage in informal activities or </w:t>
      </w:r>
      <w:r w:rsidR="00620FBB" w:rsidRPr="002574EC">
        <w:t>construction site work.</w:t>
      </w:r>
      <w:r w:rsidR="00E036EA" w:rsidRPr="002574EC">
        <w:t xml:space="preserve"> 37% </w:t>
      </w:r>
      <w:r w:rsidR="00620FBB" w:rsidRPr="002574EC">
        <w:t xml:space="preserve">are </w:t>
      </w:r>
      <w:r w:rsidR="00FA3DFB" w:rsidRPr="002574EC">
        <w:t>pensioners</w:t>
      </w:r>
      <w:r w:rsidR="00E036EA" w:rsidRPr="002574EC">
        <w:t>,</w:t>
      </w:r>
      <w:r w:rsidR="00FA3DFB" w:rsidRPr="002574EC">
        <w:t xml:space="preserve"> </w:t>
      </w:r>
      <w:r w:rsidR="00E036EA" w:rsidRPr="002574EC">
        <w:t xml:space="preserve">32% </w:t>
      </w:r>
      <w:r w:rsidR="00FA3DFB" w:rsidRPr="002574EC">
        <w:t>of the persons are registered in the social mission “Amor Mayor” [</w:t>
      </w:r>
      <w:r w:rsidR="00FB5598" w:rsidRPr="002574EC">
        <w:t>‘</w:t>
      </w:r>
      <w:r w:rsidR="00FA3DFB" w:rsidRPr="002574EC">
        <w:t>Older Love</w:t>
      </w:r>
      <w:r w:rsidR="00FB5598" w:rsidRPr="002574EC">
        <w:t>’</w:t>
      </w:r>
      <w:r w:rsidR="00FA3DFB" w:rsidRPr="002574EC">
        <w:t xml:space="preserve">] and only 9% </w:t>
      </w:r>
      <w:r w:rsidR="00FB5598" w:rsidRPr="002574EC">
        <w:t xml:space="preserve">receive </w:t>
      </w:r>
      <w:r w:rsidR="00FA3DFB" w:rsidRPr="002574EC">
        <w:t>a retirement stipend.</w:t>
      </w:r>
      <w:r w:rsidR="003E3783" w:rsidRPr="002574EC">
        <w:t xml:space="preserve"> </w:t>
      </w:r>
      <w:r w:rsidR="00500643" w:rsidRPr="002574EC">
        <w:lastRenderedPageBreak/>
        <w:t xml:space="preserve">Moreover, approximately 80% of the survey respondents </w:t>
      </w:r>
      <w:r w:rsidR="00EE6260" w:rsidRPr="002574EC">
        <w:t xml:space="preserve">state that they collect income ranging from less than one and to up to ten US dollars per month, but they may end up spending </w:t>
      </w:r>
      <w:r w:rsidR="00F54DFC" w:rsidRPr="002574EC">
        <w:t>more than 100 US dollars to cover their monthly expenses.  Thus, 75% stated that they have to resort to their family members to cover the gap between what they take in and what they spend each month.</w:t>
      </w:r>
      <w:r w:rsidR="00E036EA" w:rsidRPr="002574EC">
        <w:rPr>
          <w:rStyle w:val="FootnoteReference"/>
        </w:rPr>
        <w:footnoteReference w:id="390"/>
      </w:r>
      <w:r w:rsidR="00E036EA" w:rsidRPr="002574EC">
        <w:t xml:space="preserve"> </w:t>
      </w:r>
    </w:p>
    <w:p w14:paraId="6C011584" w14:textId="77777777" w:rsidR="00E036EA" w:rsidRPr="002574EC" w:rsidRDefault="00E036EA" w:rsidP="00E07D06">
      <w:pPr>
        <w:ind w:left="426" w:hanging="426"/>
        <w:jc w:val="both"/>
        <w:rPr>
          <w:rFonts w:ascii="Cambria" w:hAnsi="Cambria"/>
          <w:sz w:val="20"/>
          <w:szCs w:val="20"/>
        </w:rPr>
      </w:pPr>
    </w:p>
    <w:p w14:paraId="00A356CE" w14:textId="4311FF40" w:rsidR="00E036EA" w:rsidRPr="002574EC" w:rsidRDefault="00AB02D2" w:rsidP="00F85814">
      <w:pPr>
        <w:pStyle w:val="ListParagraph"/>
      </w:pPr>
      <w:r w:rsidRPr="002574EC">
        <w:t>Also</w:t>
      </w:r>
      <w:r w:rsidR="00A120B5" w:rsidRPr="002574EC">
        <w:t>,</w:t>
      </w:r>
      <w:r w:rsidRPr="002574EC">
        <w:t xml:space="preserve"> regarding this same report, only 8% of those surveyed stated they have 3 meals per day, because most of them have had to reduce their daily meals</w:t>
      </w:r>
      <w:r w:rsidR="00C83CF6" w:rsidRPr="002574EC">
        <w:t xml:space="preserve"> because of low purchasing power. </w:t>
      </w:r>
      <w:r w:rsidR="00E036EA" w:rsidRPr="002574EC">
        <w:t xml:space="preserve">48% </w:t>
      </w:r>
      <w:r w:rsidR="006D3B53" w:rsidRPr="002574EC">
        <w:t xml:space="preserve">claim that they obtain their food through the food box or bag allocated by the Local Supply and Production Committees, a benefit that is supposed to </w:t>
      </w:r>
      <w:r w:rsidR="00F05D8F" w:rsidRPr="002574EC">
        <w:t xml:space="preserve">reach </w:t>
      </w:r>
      <w:r w:rsidR="005D2111" w:rsidRPr="002574EC">
        <w:t xml:space="preserve">the beneficiaries </w:t>
      </w:r>
      <w:r w:rsidR="00855B57" w:rsidRPr="002574EC">
        <w:t>on</w:t>
      </w:r>
      <w:r w:rsidR="00396C02" w:rsidRPr="002574EC">
        <w:t>c</w:t>
      </w:r>
      <w:r w:rsidR="00855B57" w:rsidRPr="002574EC">
        <w:t>e a month</w:t>
      </w:r>
      <w:r w:rsidR="001914AD" w:rsidRPr="002574EC">
        <w:t xml:space="preserve">, but 36% state that they receive it every three months, </w:t>
      </w:r>
      <w:r w:rsidR="00097691" w:rsidRPr="002574EC">
        <w:t>w</w:t>
      </w:r>
      <w:r w:rsidR="00FD3A39" w:rsidRPr="002574EC">
        <w:t>hile</w:t>
      </w:r>
      <w:r w:rsidR="00097691" w:rsidRPr="002574EC">
        <w:t xml:space="preserve"> the food</w:t>
      </w:r>
      <w:r w:rsidR="00FD3A39" w:rsidRPr="002574EC">
        <w:t xml:space="preserve"> provided in it</w:t>
      </w:r>
      <w:r w:rsidR="00097691" w:rsidRPr="002574EC">
        <w:t xml:space="preserve"> is used up in 15 days.</w:t>
      </w:r>
      <w:r w:rsidR="00E036EA" w:rsidRPr="002574EC">
        <w:t xml:space="preserve"> </w:t>
      </w:r>
      <w:r w:rsidR="0044253F" w:rsidRPr="002574EC">
        <w:t xml:space="preserve">According to the survey, 42% of older persons </w:t>
      </w:r>
      <w:r w:rsidR="000E2763" w:rsidRPr="002574EC">
        <w:t xml:space="preserve">say they have reduced their portions </w:t>
      </w:r>
      <w:r w:rsidR="0091096C" w:rsidRPr="002574EC">
        <w:t xml:space="preserve">of food on some occasion in order to </w:t>
      </w:r>
      <w:r w:rsidR="00393749" w:rsidRPr="002574EC">
        <w:t xml:space="preserve">make food last because of high costs.  </w:t>
      </w:r>
      <w:r w:rsidR="0036711D" w:rsidRPr="002574EC">
        <w:t xml:space="preserve">Additionally, </w:t>
      </w:r>
      <w:r w:rsidR="009458F6" w:rsidRPr="002574EC">
        <w:t>50% claim to consume animal protein from two to three times per week, and 20% only eat meat once every two weeks.</w:t>
      </w:r>
      <w:r w:rsidR="00E036EA" w:rsidRPr="002574EC">
        <w:rPr>
          <w:rStyle w:val="FootnoteReference"/>
        </w:rPr>
        <w:footnoteReference w:id="391"/>
      </w:r>
      <w:r w:rsidR="00E036EA" w:rsidRPr="002574EC">
        <w:t xml:space="preserve"> </w:t>
      </w:r>
    </w:p>
    <w:p w14:paraId="1545C06E" w14:textId="77777777" w:rsidR="00E036EA" w:rsidRPr="002574EC" w:rsidRDefault="00E036EA" w:rsidP="00E07D06">
      <w:pPr>
        <w:ind w:left="426" w:hanging="426"/>
        <w:jc w:val="both"/>
        <w:rPr>
          <w:rFonts w:ascii="Cambria" w:hAnsi="Cambria"/>
          <w:sz w:val="20"/>
          <w:szCs w:val="20"/>
        </w:rPr>
      </w:pPr>
    </w:p>
    <w:p w14:paraId="03BF9E54" w14:textId="1AAF93D6" w:rsidR="00E036EA" w:rsidRPr="002574EC" w:rsidRDefault="00427610" w:rsidP="00F85814">
      <w:pPr>
        <w:pStyle w:val="ListParagraph"/>
      </w:pPr>
      <w:r w:rsidRPr="002574EC">
        <w:t xml:space="preserve">The report also </w:t>
      </w:r>
      <w:r w:rsidR="00F023C2" w:rsidRPr="002574EC">
        <w:t>notes that only 78% of the sampling claims to have access to public and private healthcare services</w:t>
      </w:r>
      <w:r w:rsidR="00F84C65" w:rsidRPr="002574EC">
        <w:t xml:space="preserve">, although 92% of older persons </w:t>
      </w:r>
      <w:r w:rsidR="00401197" w:rsidRPr="002574EC">
        <w:t>have no health insurance</w:t>
      </w:r>
      <w:r w:rsidR="00E036EA" w:rsidRPr="002574EC">
        <w:t xml:space="preserve">. </w:t>
      </w:r>
      <w:r w:rsidR="00B1393B" w:rsidRPr="002574EC">
        <w:t xml:space="preserve"> Even though </w:t>
      </w:r>
      <w:r w:rsidR="002B4BAE" w:rsidRPr="002574EC">
        <w:t>38</w:t>
      </w:r>
      <w:r w:rsidR="00B1393B" w:rsidRPr="002574EC">
        <w:t xml:space="preserve">% has stated that their health has deteriorated thus far this year, 59% has not been able to </w:t>
      </w:r>
      <w:r w:rsidR="005F42DC" w:rsidRPr="002574EC">
        <w:t xml:space="preserve">go to a healthcare facility </w:t>
      </w:r>
      <w:r w:rsidR="006D7B84" w:rsidRPr="002574EC">
        <w:t xml:space="preserve">for reasons of restricted </w:t>
      </w:r>
      <w:r w:rsidR="00F70607" w:rsidRPr="002574EC">
        <w:t xml:space="preserve">mobility and financial constraints. </w:t>
      </w:r>
      <w:r w:rsidR="000E2157" w:rsidRPr="002574EC">
        <w:t xml:space="preserve">Additionally, though most respondents </w:t>
      </w:r>
      <w:r w:rsidR="0003476D" w:rsidRPr="002574EC">
        <w:t xml:space="preserve">claimed to </w:t>
      </w:r>
      <w:r w:rsidR="00DB3D2D" w:rsidRPr="002574EC">
        <w:t xml:space="preserve">be </w:t>
      </w:r>
      <w:r w:rsidR="00461B22" w:rsidRPr="002574EC">
        <w:t xml:space="preserve">receiving </w:t>
      </w:r>
      <w:r w:rsidR="006B0F06" w:rsidRPr="002574EC">
        <w:t xml:space="preserve">some </w:t>
      </w:r>
      <w:r w:rsidR="00461B22" w:rsidRPr="002574EC">
        <w:t xml:space="preserve">treatment to control </w:t>
      </w:r>
      <w:r w:rsidR="00A61DEB" w:rsidRPr="002574EC">
        <w:t xml:space="preserve">ailments, only 5% can afford </w:t>
      </w:r>
      <w:r w:rsidR="00724607" w:rsidRPr="002574EC">
        <w:t>the necessary medicines</w:t>
      </w:r>
      <w:r w:rsidR="00D86DCD" w:rsidRPr="002574EC">
        <w:t xml:space="preserve">, while the rest must make economic trade-offs. </w:t>
      </w:r>
      <w:r w:rsidR="004A5118" w:rsidRPr="002574EC">
        <w:t>Among this population, the most common cause of morbidity is high blood pressure</w:t>
      </w:r>
      <w:r w:rsidR="00431241" w:rsidRPr="002574EC">
        <w:t xml:space="preserve">, and 93% of those who responded </w:t>
      </w:r>
      <w:r w:rsidR="00FF48F7" w:rsidRPr="002574EC">
        <w:t xml:space="preserve">also claim </w:t>
      </w:r>
      <w:r w:rsidR="00431241" w:rsidRPr="002574EC">
        <w:t>that they have a condition of disability</w:t>
      </w:r>
      <w:r w:rsidR="00713B6F" w:rsidRPr="002574EC">
        <w:t xml:space="preserve"> </w:t>
      </w:r>
      <w:r w:rsidR="003A1184" w:rsidRPr="002574EC">
        <w:t xml:space="preserve">and do </w:t>
      </w:r>
      <w:r w:rsidR="00713B6F" w:rsidRPr="002574EC">
        <w:t xml:space="preserve">not </w:t>
      </w:r>
      <w:r w:rsidR="000148C4" w:rsidRPr="002574EC">
        <w:t xml:space="preserve">have </w:t>
      </w:r>
      <w:r w:rsidR="00C135FC" w:rsidRPr="002574EC">
        <w:t xml:space="preserve">the </w:t>
      </w:r>
      <w:r w:rsidR="00713B6F" w:rsidRPr="002574EC">
        <w:t>card granted by CONAPDIS</w:t>
      </w:r>
      <w:r w:rsidR="003F18BB" w:rsidRPr="002574EC">
        <w:t xml:space="preserve"> to receive benefits</w:t>
      </w:r>
      <w:r w:rsidR="00713B6F" w:rsidRPr="002574EC">
        <w:t>.</w:t>
      </w:r>
      <w:r w:rsidR="00E036EA" w:rsidRPr="002574EC">
        <w:rPr>
          <w:rStyle w:val="FootnoteReference"/>
        </w:rPr>
        <w:footnoteReference w:id="392"/>
      </w:r>
      <w:r w:rsidR="00211A57" w:rsidRPr="002574EC">
        <w:t xml:space="preserve">  </w:t>
      </w:r>
      <w:r w:rsidR="007B5F7B" w:rsidRPr="002574EC">
        <w:t xml:space="preserve">Of the total 1,202 survey respondents, 120 older adults </w:t>
      </w:r>
      <w:r w:rsidR="002F2CDF" w:rsidRPr="002574EC">
        <w:t xml:space="preserve">are living </w:t>
      </w:r>
      <w:r w:rsidR="002D3515" w:rsidRPr="002574EC">
        <w:t xml:space="preserve">alone because their children or other close family members have all emigrated. </w:t>
      </w:r>
      <w:r w:rsidR="00E036EA" w:rsidRPr="002574EC">
        <w:t xml:space="preserve"> </w:t>
      </w:r>
      <w:r w:rsidR="007F1AF4" w:rsidRPr="002574EC">
        <w:t xml:space="preserve">Of this number, </w:t>
      </w:r>
      <w:r w:rsidR="00E036EA" w:rsidRPr="002574EC">
        <w:t xml:space="preserve">87% </w:t>
      </w:r>
      <w:r w:rsidR="007F1AF4" w:rsidRPr="002574EC">
        <w:t>still receive help from their family to subsist</w:t>
      </w:r>
      <w:r w:rsidR="008C3E89" w:rsidRPr="002574EC">
        <w:t>, as well as from close loved ones in the event of an emergency.</w:t>
      </w:r>
      <w:r w:rsidR="00E036EA" w:rsidRPr="002574EC">
        <w:rPr>
          <w:rStyle w:val="FootnoteReference"/>
        </w:rPr>
        <w:footnoteReference w:id="393"/>
      </w:r>
      <w:r w:rsidR="00E036EA" w:rsidRPr="002574EC">
        <w:t xml:space="preserve"> </w:t>
      </w:r>
    </w:p>
    <w:p w14:paraId="4DDB00F3" w14:textId="77777777" w:rsidR="00C17D7C" w:rsidRPr="002574EC" w:rsidRDefault="00C17D7C" w:rsidP="00E07D06">
      <w:pPr>
        <w:ind w:left="426" w:hanging="426"/>
        <w:jc w:val="both"/>
        <w:rPr>
          <w:rFonts w:ascii="Cambria" w:hAnsi="Cambria"/>
          <w:sz w:val="20"/>
          <w:szCs w:val="20"/>
        </w:rPr>
      </w:pPr>
    </w:p>
    <w:p w14:paraId="531B708F" w14:textId="023B200B" w:rsidR="009E16E8" w:rsidRPr="002574EC" w:rsidRDefault="00F03AEF" w:rsidP="00F85814">
      <w:pPr>
        <w:pStyle w:val="ListParagraph"/>
      </w:pPr>
      <w:r w:rsidRPr="002574EC">
        <w:t>In relation to violence against older persons, according to the organization</w:t>
      </w:r>
      <w:r w:rsidR="00237094" w:rsidRPr="002574EC">
        <w:t xml:space="preserve"> </w:t>
      </w:r>
      <w:r w:rsidR="00932D4A" w:rsidRPr="002574EC">
        <w:t xml:space="preserve">Convite, </w:t>
      </w:r>
      <w:r w:rsidRPr="002574EC">
        <w:t>i</w:t>
      </w:r>
      <w:r w:rsidR="00832932" w:rsidRPr="002574EC">
        <w:t xml:space="preserve">n Venezuela </w:t>
      </w:r>
      <w:r w:rsidR="005B0175" w:rsidRPr="002574EC">
        <w:t xml:space="preserve">in the first half of 2021, 102 violent deaths </w:t>
      </w:r>
      <w:r w:rsidR="00FD364D" w:rsidRPr="002574EC">
        <w:t>were reported</w:t>
      </w:r>
      <w:r w:rsidR="00187BC9" w:rsidRPr="002574EC">
        <w:t xml:space="preserve"> of older persons, while </w:t>
      </w:r>
      <w:r w:rsidR="00373598" w:rsidRPr="002574EC">
        <w:t xml:space="preserve">in the second half, more than 100 were reported. </w:t>
      </w:r>
      <w:r w:rsidR="0042367D" w:rsidRPr="002574EC">
        <w:t xml:space="preserve">Of these deaths, </w:t>
      </w:r>
      <w:r w:rsidR="00C17D7C" w:rsidRPr="002574EC">
        <w:t xml:space="preserve">44% </w:t>
      </w:r>
      <w:r w:rsidR="0042367D" w:rsidRPr="002574EC">
        <w:t>were from mechanical asphyxiation</w:t>
      </w:r>
      <w:r w:rsidR="00AF0383" w:rsidRPr="002574EC">
        <w:t xml:space="preserve">, cutting weapons, firearms and beatings in the context of alleged robberies. </w:t>
      </w:r>
      <w:r w:rsidR="00DD52C0" w:rsidRPr="002574EC">
        <w:t xml:space="preserve"> That NGO also documented 14 deaths </w:t>
      </w:r>
      <w:r w:rsidR="007F5A0D" w:rsidRPr="002574EC">
        <w:t xml:space="preserve">from carelessness, negligence or </w:t>
      </w:r>
      <w:r w:rsidR="00405C30" w:rsidRPr="002574EC">
        <w:t>lack of expertise</w:t>
      </w:r>
      <w:r w:rsidR="003E28EC" w:rsidRPr="002574EC">
        <w:t>.</w:t>
      </w:r>
      <w:r w:rsidR="00C17D7C" w:rsidRPr="002574EC">
        <w:rPr>
          <w:rStyle w:val="FootnoteReference"/>
        </w:rPr>
        <w:footnoteReference w:id="394"/>
      </w:r>
      <w:r w:rsidR="00C17D7C" w:rsidRPr="002574EC">
        <w:t xml:space="preserve"> </w:t>
      </w:r>
    </w:p>
    <w:p w14:paraId="1DC5E4AE" w14:textId="77777777" w:rsidR="009E16E8" w:rsidRPr="002574EC" w:rsidRDefault="009E16E8" w:rsidP="00E07D06">
      <w:pPr>
        <w:ind w:left="426" w:hanging="426"/>
        <w:jc w:val="both"/>
        <w:rPr>
          <w:rFonts w:ascii="Cambria" w:hAnsi="Cambria"/>
          <w:sz w:val="20"/>
          <w:szCs w:val="20"/>
        </w:rPr>
      </w:pPr>
    </w:p>
    <w:p w14:paraId="783E8C14" w14:textId="0DCBE155" w:rsidR="009E16E8" w:rsidRPr="002574EC" w:rsidRDefault="00E46A46" w:rsidP="00F85814">
      <w:pPr>
        <w:pStyle w:val="ListParagraph"/>
        <w:rPr>
          <w:rStyle w:val="eop"/>
        </w:rPr>
      </w:pPr>
      <w:r w:rsidRPr="002574EC">
        <w:rPr>
          <w:rStyle w:val="normaltextrun"/>
          <w:rFonts w:cs="Calibri"/>
        </w:rPr>
        <w:t>O</w:t>
      </w:r>
      <w:r w:rsidR="00E044FE" w:rsidRPr="002574EC">
        <w:rPr>
          <w:rStyle w:val="normaltextrun"/>
          <w:rFonts w:cs="Calibri"/>
        </w:rPr>
        <w:t>n September</w:t>
      </w:r>
      <w:r w:rsidR="009E16E8" w:rsidRPr="002574EC">
        <w:rPr>
          <w:rStyle w:val="normaltextrun"/>
          <w:rFonts w:cs="Calibri"/>
        </w:rPr>
        <w:t xml:space="preserve"> 13</w:t>
      </w:r>
      <w:r w:rsidR="00E044FE" w:rsidRPr="002574EC">
        <w:rPr>
          <w:rStyle w:val="normaltextrun"/>
          <w:rFonts w:cs="Calibri"/>
        </w:rPr>
        <w:t>,</w:t>
      </w:r>
      <w:r w:rsidR="009E16E8" w:rsidRPr="002574EC">
        <w:rPr>
          <w:rStyle w:val="normaltextrun"/>
          <w:rFonts w:cs="Calibri"/>
        </w:rPr>
        <w:t xml:space="preserve"> 2021, </w:t>
      </w:r>
      <w:r w:rsidR="00E044FE" w:rsidRPr="002574EC">
        <w:rPr>
          <w:rStyle w:val="normaltextrun"/>
          <w:rFonts w:cs="Calibri"/>
        </w:rPr>
        <w:t xml:space="preserve">the National Assembly approved in a second round of debate, the Organic Law for the Comprehensive Care and Development of Older Adults, the purpose of which is to ensure respect for the human dignity of </w:t>
      </w:r>
      <w:r w:rsidR="00143375" w:rsidRPr="002574EC">
        <w:rPr>
          <w:rStyle w:val="normaltextrun"/>
          <w:rFonts w:cs="Calibri"/>
        </w:rPr>
        <w:t>older adults and full enjoyment of their rights and protections, compliance with their duties and responsibilities</w:t>
      </w:r>
      <w:r w:rsidR="00FF4CF0" w:rsidRPr="002574EC">
        <w:rPr>
          <w:rStyle w:val="normaltextrun"/>
          <w:rFonts w:cs="Calibri"/>
        </w:rPr>
        <w:t xml:space="preserve">, recognition of their autonomy </w:t>
      </w:r>
      <w:r w:rsidR="00B47B1E" w:rsidRPr="002574EC">
        <w:rPr>
          <w:rStyle w:val="normaltextrun"/>
          <w:rFonts w:cs="Calibri"/>
        </w:rPr>
        <w:t xml:space="preserve">and free </w:t>
      </w:r>
      <w:r w:rsidR="00CB181B" w:rsidRPr="002574EC">
        <w:rPr>
          <w:rStyle w:val="normaltextrun"/>
          <w:rFonts w:cs="Calibri"/>
        </w:rPr>
        <w:t>development of the personality</w:t>
      </w:r>
      <w:r w:rsidR="00AB6154" w:rsidRPr="002574EC">
        <w:rPr>
          <w:rStyle w:val="normaltextrun"/>
          <w:rFonts w:cs="Calibri"/>
        </w:rPr>
        <w:t xml:space="preserve">, through </w:t>
      </w:r>
      <w:r w:rsidR="004824DB" w:rsidRPr="002574EC">
        <w:rPr>
          <w:rStyle w:val="normaltextrun"/>
          <w:rFonts w:cs="Calibri"/>
        </w:rPr>
        <w:t xml:space="preserve">the </w:t>
      </w:r>
      <w:r w:rsidR="00AB6154" w:rsidRPr="002574EC">
        <w:rPr>
          <w:rStyle w:val="normaltextrun"/>
          <w:rFonts w:cs="Calibri"/>
        </w:rPr>
        <w:t>comprehensive care</w:t>
      </w:r>
      <w:r w:rsidR="00C740B7" w:rsidRPr="002574EC">
        <w:rPr>
          <w:rStyle w:val="normaltextrun"/>
          <w:rFonts w:cs="Calibri"/>
        </w:rPr>
        <w:t xml:space="preserve"> that the State, families and society should provide</w:t>
      </w:r>
      <w:r w:rsidR="003D16E4" w:rsidRPr="002574EC">
        <w:rPr>
          <w:rStyle w:val="normaltextrun"/>
          <w:rFonts w:cs="Calibri"/>
        </w:rPr>
        <w:t xml:space="preserve"> in order ensure </w:t>
      </w:r>
      <w:r w:rsidR="0056215F" w:rsidRPr="002574EC">
        <w:rPr>
          <w:rStyle w:val="normaltextrun"/>
          <w:rFonts w:cs="Calibri"/>
        </w:rPr>
        <w:t>that they live properly</w:t>
      </w:r>
      <w:r w:rsidR="003D16E4" w:rsidRPr="002574EC">
        <w:rPr>
          <w:rStyle w:val="normaltextrun"/>
          <w:rFonts w:cs="Calibri"/>
        </w:rPr>
        <w:t>,</w:t>
      </w:r>
      <w:r w:rsidR="0056215F" w:rsidRPr="002574EC">
        <w:rPr>
          <w:rStyle w:val="normaltextrun"/>
          <w:rFonts w:cs="Calibri"/>
        </w:rPr>
        <w:t xml:space="preserve"> they have well</w:t>
      </w:r>
      <w:r w:rsidR="002C14D2" w:rsidRPr="002574EC">
        <w:rPr>
          <w:rStyle w:val="normaltextrun"/>
          <w:rFonts w:cs="Calibri"/>
        </w:rPr>
        <w:t xml:space="preserve">being, </w:t>
      </w:r>
      <w:r w:rsidR="003D16E4" w:rsidRPr="002574EC">
        <w:rPr>
          <w:rStyle w:val="normaltextrun"/>
          <w:rFonts w:cs="Calibri"/>
        </w:rPr>
        <w:t>quality of life, security</w:t>
      </w:r>
      <w:r w:rsidR="00A70D1D" w:rsidRPr="002574EC">
        <w:rPr>
          <w:rStyle w:val="normaltextrun"/>
          <w:rFonts w:cs="Calibri"/>
        </w:rPr>
        <w:t xml:space="preserve">, </w:t>
      </w:r>
      <w:r w:rsidR="00B86A70" w:rsidRPr="002574EC">
        <w:rPr>
          <w:rStyle w:val="normaltextrun"/>
          <w:rFonts w:cs="Calibri"/>
        </w:rPr>
        <w:t xml:space="preserve">and age </w:t>
      </w:r>
      <w:r w:rsidR="00A70D1D" w:rsidRPr="002574EC">
        <w:rPr>
          <w:rStyle w:val="normaltextrun"/>
          <w:rFonts w:cs="Calibri"/>
        </w:rPr>
        <w:t>active</w:t>
      </w:r>
      <w:r w:rsidR="00B86A70" w:rsidRPr="002574EC">
        <w:rPr>
          <w:rStyle w:val="normaltextrun"/>
          <w:rFonts w:cs="Calibri"/>
        </w:rPr>
        <w:t>ly</w:t>
      </w:r>
      <w:r w:rsidR="00A70D1D" w:rsidRPr="002574EC">
        <w:rPr>
          <w:rStyle w:val="normaltextrun"/>
          <w:rFonts w:cs="Calibri"/>
        </w:rPr>
        <w:t>, decent</w:t>
      </w:r>
      <w:r w:rsidR="00B86A70" w:rsidRPr="002574EC">
        <w:rPr>
          <w:rStyle w:val="normaltextrun"/>
          <w:rFonts w:cs="Calibri"/>
        </w:rPr>
        <w:t>ly and happily</w:t>
      </w:r>
      <w:r w:rsidR="00A70D1D" w:rsidRPr="002574EC">
        <w:rPr>
          <w:rStyle w:val="normaltextrun"/>
          <w:rFonts w:cs="Calibri"/>
        </w:rPr>
        <w:t>.</w:t>
      </w:r>
      <w:r w:rsidR="009E16E8" w:rsidRPr="002574EC">
        <w:rPr>
          <w:rStyle w:val="FootnoteReference"/>
          <w:rFonts w:cs="Calibri"/>
        </w:rPr>
        <w:footnoteReference w:id="395"/>
      </w:r>
      <w:r w:rsidR="009E16E8" w:rsidRPr="002574EC">
        <w:rPr>
          <w:rStyle w:val="eop"/>
          <w:rFonts w:cs="Calibri"/>
        </w:rPr>
        <w:t> </w:t>
      </w:r>
    </w:p>
    <w:p w14:paraId="1290DC85" w14:textId="77777777" w:rsidR="009E16E8" w:rsidRPr="002574EC" w:rsidRDefault="009E16E8" w:rsidP="00E07D06">
      <w:pPr>
        <w:pStyle w:val="paragraph"/>
        <w:spacing w:before="0" w:beforeAutospacing="0" w:after="0" w:afterAutospacing="0"/>
        <w:ind w:left="426" w:hanging="426"/>
        <w:jc w:val="both"/>
        <w:textAlignment w:val="baseline"/>
        <w:rPr>
          <w:rStyle w:val="eop"/>
          <w:rFonts w:ascii="Cambria" w:hAnsi="Cambria" w:cs="Calibri"/>
          <w:sz w:val="20"/>
          <w:szCs w:val="20"/>
        </w:rPr>
      </w:pPr>
    </w:p>
    <w:p w14:paraId="3F13DE28" w14:textId="6F43E8B5" w:rsidR="009E16E8" w:rsidRPr="002574EC" w:rsidRDefault="008749A1" w:rsidP="00F85814">
      <w:pPr>
        <w:pStyle w:val="ListParagraph"/>
      </w:pPr>
      <w:r w:rsidRPr="002574EC">
        <w:rPr>
          <w:rStyle w:val="eop"/>
          <w:rFonts w:cs="Calibri"/>
        </w:rPr>
        <w:t xml:space="preserve">Specifically, the IACHR </w:t>
      </w:r>
      <w:r w:rsidR="00236BF5" w:rsidRPr="002574EC">
        <w:rPr>
          <w:rStyle w:val="eop"/>
          <w:rFonts w:cs="Calibri"/>
        </w:rPr>
        <w:t xml:space="preserve">welcomes </w:t>
      </w:r>
      <w:r w:rsidRPr="002574EC">
        <w:rPr>
          <w:rStyle w:val="eop"/>
          <w:rFonts w:cs="Calibri"/>
        </w:rPr>
        <w:t xml:space="preserve">that the law recognizes the autonomy </w:t>
      </w:r>
      <w:r w:rsidR="00586D5B" w:rsidRPr="002574EC">
        <w:rPr>
          <w:rStyle w:val="eop"/>
          <w:rFonts w:cs="Calibri"/>
        </w:rPr>
        <w:t>of older persons, as well as their right to healthy and active aging</w:t>
      </w:r>
      <w:r w:rsidR="00D7236A" w:rsidRPr="002574EC">
        <w:rPr>
          <w:rStyle w:val="eop"/>
          <w:rFonts w:cs="Calibri"/>
        </w:rPr>
        <w:t xml:space="preserve">, and </w:t>
      </w:r>
      <w:r w:rsidR="008236DC" w:rsidRPr="002574EC">
        <w:rPr>
          <w:rStyle w:val="eop"/>
          <w:rFonts w:cs="Calibri"/>
        </w:rPr>
        <w:t xml:space="preserve">urges it to be promptly and effectively implemented. </w:t>
      </w:r>
      <w:r w:rsidR="0010779D" w:rsidRPr="002574EC">
        <w:rPr>
          <w:rStyle w:val="eop"/>
          <w:rFonts w:cs="Calibri"/>
        </w:rPr>
        <w:t xml:space="preserve">In this vein, it recalls that, when </w:t>
      </w:r>
      <w:r w:rsidR="007243E2" w:rsidRPr="002574EC">
        <w:rPr>
          <w:rStyle w:val="eop"/>
          <w:rFonts w:cs="Calibri"/>
        </w:rPr>
        <w:t xml:space="preserve">it comes to </w:t>
      </w:r>
      <w:r w:rsidR="0010779D" w:rsidRPr="002574EC">
        <w:rPr>
          <w:rStyle w:val="eop"/>
          <w:rFonts w:cs="Calibri"/>
        </w:rPr>
        <w:t>older persons, there is a</w:t>
      </w:r>
      <w:r w:rsidR="0079365C" w:rsidRPr="002574EC">
        <w:rPr>
          <w:rStyle w:val="eop"/>
          <w:rFonts w:cs="Calibri"/>
        </w:rPr>
        <w:t xml:space="preserve"> heightened obligation to respect and guarantee their right to health. </w:t>
      </w:r>
      <w:r w:rsidR="00E65A91" w:rsidRPr="002574EC">
        <w:rPr>
          <w:rStyle w:val="eop"/>
          <w:rFonts w:cs="Calibri"/>
        </w:rPr>
        <w:t xml:space="preserve">This translates into the obligation to provide them </w:t>
      </w:r>
      <w:r w:rsidR="00FD503F" w:rsidRPr="002574EC">
        <w:rPr>
          <w:rStyle w:val="eop"/>
          <w:rFonts w:cs="Calibri"/>
        </w:rPr>
        <w:t xml:space="preserve">efficiently and continually </w:t>
      </w:r>
      <w:r w:rsidR="00E65A91" w:rsidRPr="002574EC">
        <w:rPr>
          <w:rStyle w:val="eop"/>
          <w:rFonts w:cs="Calibri"/>
        </w:rPr>
        <w:t xml:space="preserve">with the </w:t>
      </w:r>
      <w:r w:rsidR="00E65A91" w:rsidRPr="002574EC">
        <w:rPr>
          <w:rStyle w:val="eop"/>
          <w:rFonts w:cs="Calibri"/>
        </w:rPr>
        <w:lastRenderedPageBreak/>
        <w:t xml:space="preserve">healthcare benefits that are necessary, including in the event of </w:t>
      </w:r>
      <w:r w:rsidR="00072CCA" w:rsidRPr="002574EC">
        <w:rPr>
          <w:rStyle w:val="eop"/>
          <w:rFonts w:cs="Calibri"/>
        </w:rPr>
        <w:t>chronic disease and terminal phas</w:t>
      </w:r>
      <w:r w:rsidR="00392DD8" w:rsidRPr="002574EC">
        <w:rPr>
          <w:rStyle w:val="eop"/>
          <w:rFonts w:cs="Calibri"/>
        </w:rPr>
        <w:t>es of illness.</w:t>
      </w:r>
      <w:r w:rsidR="009E16E8" w:rsidRPr="002574EC">
        <w:rPr>
          <w:rStyle w:val="FootnoteReference"/>
        </w:rPr>
        <w:footnoteReference w:id="396"/>
      </w:r>
      <w:r w:rsidR="009E16E8" w:rsidRPr="002574EC">
        <w:t xml:space="preserve"> </w:t>
      </w:r>
    </w:p>
    <w:p w14:paraId="54490022" w14:textId="77777777" w:rsidR="00661988" w:rsidRPr="002574EC" w:rsidRDefault="00661988" w:rsidP="00E07D06">
      <w:pPr>
        <w:widowControl w:val="0"/>
        <w:pBdr>
          <w:top w:val="nil"/>
          <w:left w:val="nil"/>
          <w:bottom w:val="nil"/>
          <w:right w:val="nil"/>
          <w:between w:val="nil"/>
        </w:pBdr>
        <w:ind w:left="426" w:hanging="426"/>
        <w:jc w:val="both"/>
        <w:rPr>
          <w:rFonts w:ascii="Cambria" w:hAnsi="Cambria"/>
          <w:b/>
          <w:bCs/>
          <w:sz w:val="20"/>
          <w:szCs w:val="20"/>
        </w:rPr>
      </w:pPr>
    </w:p>
    <w:p w14:paraId="0E7CF572" w14:textId="3750FCA3" w:rsidR="002523D6" w:rsidRPr="002574EC" w:rsidRDefault="006977F4" w:rsidP="007E075D">
      <w:pPr>
        <w:pStyle w:val="Heading2"/>
      </w:pPr>
      <w:r w:rsidRPr="002574EC">
        <w:t xml:space="preserve">Indigenous </w:t>
      </w:r>
      <w:r w:rsidR="007E075D" w:rsidRPr="002574EC">
        <w:t xml:space="preserve">Peoples </w:t>
      </w:r>
    </w:p>
    <w:p w14:paraId="00CE58B9" w14:textId="77777777" w:rsidR="00E07D06" w:rsidRPr="002574EC" w:rsidRDefault="00E07D06" w:rsidP="007E075D"/>
    <w:p w14:paraId="09890022" w14:textId="60C794A9" w:rsidR="00BB6F87" w:rsidRPr="002574EC" w:rsidRDefault="00D37D70" w:rsidP="00F85814">
      <w:pPr>
        <w:pStyle w:val="ListParagraph"/>
        <w:rPr>
          <w:rFonts w:cs="Arial"/>
          <w:shd w:val="clear" w:color="auto" w:fill="FFFFFF"/>
        </w:rPr>
      </w:pPr>
      <w:r w:rsidRPr="002574EC">
        <w:t xml:space="preserve">The Inter-American Commission observes that indigenous peoples account for approximately 2.8% of the total population in Venezuela </w:t>
      </w:r>
      <w:r w:rsidR="002B1014" w:rsidRPr="002574EC">
        <w:rPr>
          <w:rFonts w:cs="Arial"/>
          <w:shd w:val="clear" w:color="auto" w:fill="FFFFFF"/>
        </w:rPr>
        <w:t>(</w:t>
      </w:r>
      <w:r w:rsidRPr="002574EC">
        <w:rPr>
          <w:rFonts w:cs="Arial"/>
          <w:shd w:val="clear" w:color="auto" w:fill="FFFFFF"/>
        </w:rPr>
        <w:t xml:space="preserve">which </w:t>
      </w:r>
      <w:r w:rsidR="00FD503F" w:rsidRPr="002574EC">
        <w:rPr>
          <w:rFonts w:cs="Arial"/>
          <w:shd w:val="clear" w:color="auto" w:fill="FFFFFF"/>
        </w:rPr>
        <w:t xml:space="preserve">is over </w:t>
      </w:r>
      <w:r w:rsidRPr="002574EC">
        <w:rPr>
          <w:rFonts w:cs="Arial"/>
          <w:shd w:val="clear" w:color="auto" w:fill="FFFFFF"/>
        </w:rPr>
        <w:t>32 million people</w:t>
      </w:r>
      <w:r w:rsidR="002B1014" w:rsidRPr="002574EC">
        <w:rPr>
          <w:rFonts w:cs="Arial"/>
          <w:shd w:val="clear" w:color="auto" w:fill="FFFFFF"/>
        </w:rPr>
        <w:t>)</w:t>
      </w:r>
      <w:r w:rsidR="007A0809" w:rsidRPr="002574EC">
        <w:rPr>
          <w:rFonts w:cs="Arial"/>
          <w:shd w:val="clear" w:color="auto" w:fill="FFFFFF"/>
        </w:rPr>
        <w:t xml:space="preserve">. </w:t>
      </w:r>
      <w:r w:rsidRPr="002574EC">
        <w:rPr>
          <w:rFonts w:cs="Arial"/>
          <w:shd w:val="clear" w:color="auto" w:fill="FFFFFF"/>
        </w:rPr>
        <w:t>According to the 2011 census, there are 51 indigenous peoples in Venezuela.</w:t>
      </w:r>
      <w:r w:rsidR="007A0809" w:rsidRPr="002574EC">
        <w:rPr>
          <w:rStyle w:val="FootnoteReference"/>
          <w:rFonts w:cs="Arial"/>
          <w:shd w:val="clear" w:color="auto" w:fill="FFFFFF"/>
        </w:rPr>
        <w:footnoteReference w:id="397"/>
      </w:r>
      <w:r w:rsidR="007A0809" w:rsidRPr="002574EC">
        <w:rPr>
          <w:rFonts w:cs="Arial"/>
          <w:shd w:val="clear" w:color="auto" w:fill="FFFFFF"/>
        </w:rPr>
        <w:t xml:space="preserve"> </w:t>
      </w:r>
    </w:p>
    <w:p w14:paraId="3913B622" w14:textId="77777777" w:rsidR="00BB6F87" w:rsidRPr="002574EC" w:rsidRDefault="00BB6F87" w:rsidP="007E075D">
      <w:pPr>
        <w:pStyle w:val="ListParagraph"/>
        <w:numPr>
          <w:ilvl w:val="0"/>
          <w:numId w:val="0"/>
        </w:numPr>
        <w:ind w:left="720"/>
        <w:rPr>
          <w:shd w:val="clear" w:color="auto" w:fill="FFFFFF"/>
        </w:rPr>
      </w:pPr>
    </w:p>
    <w:p w14:paraId="1A543DC5" w14:textId="68A926D4" w:rsidR="00BB6F87" w:rsidRPr="002574EC" w:rsidRDefault="0049584F" w:rsidP="00F85814">
      <w:pPr>
        <w:pStyle w:val="ListParagraph"/>
        <w:rPr>
          <w:shd w:val="clear" w:color="auto" w:fill="FFFFFF"/>
        </w:rPr>
      </w:pPr>
      <w:r w:rsidRPr="002574EC">
        <w:rPr>
          <w:shd w:val="clear" w:color="auto" w:fill="FFFFFF"/>
        </w:rPr>
        <w:t>I</w:t>
      </w:r>
      <w:r w:rsidR="007A0809" w:rsidRPr="002574EC">
        <w:rPr>
          <w:shd w:val="clear" w:color="auto" w:fill="FFFFFF"/>
        </w:rPr>
        <w:t>n 2021,</w:t>
      </w:r>
      <w:r w:rsidR="009D2BC6" w:rsidRPr="002574EC">
        <w:rPr>
          <w:shd w:val="clear" w:color="auto" w:fill="FFFFFF"/>
        </w:rPr>
        <w:t xml:space="preserve"> the Inter-American commission continued to receive information about illegal mining and organized crime on indigenous territories</w:t>
      </w:r>
      <w:r w:rsidR="00A83CDB" w:rsidRPr="002574EC">
        <w:rPr>
          <w:shd w:val="clear" w:color="auto" w:fill="FFFFFF"/>
        </w:rPr>
        <w:t xml:space="preserve">, </w:t>
      </w:r>
      <w:r w:rsidR="00A62A09" w:rsidRPr="002574EC">
        <w:rPr>
          <w:shd w:val="clear" w:color="auto" w:fill="FFFFFF"/>
        </w:rPr>
        <w:t>which has led to internal and cross</w:t>
      </w:r>
      <w:r w:rsidR="002A3FBF" w:rsidRPr="002574EC">
        <w:rPr>
          <w:shd w:val="clear" w:color="auto" w:fill="FFFFFF"/>
        </w:rPr>
        <w:t>-</w:t>
      </w:r>
      <w:r w:rsidR="00A62A09" w:rsidRPr="002574EC">
        <w:rPr>
          <w:shd w:val="clear" w:color="auto" w:fill="FFFFFF"/>
        </w:rPr>
        <w:t>border displacement</w:t>
      </w:r>
      <w:r w:rsidR="00ED6730" w:rsidRPr="002574EC">
        <w:rPr>
          <w:shd w:val="clear" w:color="auto" w:fill="FFFFFF"/>
        </w:rPr>
        <w:t xml:space="preserve">, </w:t>
      </w:r>
      <w:r w:rsidR="009C39B8" w:rsidRPr="002574EC">
        <w:rPr>
          <w:shd w:val="clear" w:color="auto" w:fill="FFFFFF"/>
        </w:rPr>
        <w:t xml:space="preserve">jeopardizing </w:t>
      </w:r>
      <w:r w:rsidR="008D3FC5" w:rsidRPr="002574EC">
        <w:rPr>
          <w:shd w:val="clear" w:color="auto" w:fill="FFFFFF"/>
        </w:rPr>
        <w:t>the survival</w:t>
      </w:r>
      <w:r w:rsidR="001512EE" w:rsidRPr="002574EC">
        <w:rPr>
          <w:shd w:val="clear" w:color="auto" w:fill="FFFFFF"/>
        </w:rPr>
        <w:t xml:space="preserve"> of these indigenous peoples</w:t>
      </w:r>
      <w:r w:rsidR="007B0B4B" w:rsidRPr="002574EC">
        <w:rPr>
          <w:shd w:val="clear" w:color="auto" w:fill="FFFFFF"/>
        </w:rPr>
        <w:t>.</w:t>
      </w:r>
      <w:r w:rsidR="007A0809" w:rsidRPr="002574EC">
        <w:rPr>
          <w:rStyle w:val="FootnoteReference"/>
          <w:rFonts w:cs="Arial"/>
          <w:shd w:val="clear" w:color="auto" w:fill="FFFFFF"/>
        </w:rPr>
        <w:footnoteReference w:id="398"/>
      </w:r>
      <w:r w:rsidR="007B0B4B" w:rsidRPr="002574EC">
        <w:rPr>
          <w:shd w:val="clear" w:color="auto" w:fill="FFFFFF"/>
        </w:rPr>
        <w:t xml:space="preserve"> In this regard, the regional consultations with groups who have been disproportionately impacted</w:t>
      </w:r>
      <w:r w:rsidR="00AE5A58" w:rsidRPr="002574EC">
        <w:rPr>
          <w:shd w:val="clear" w:color="auto" w:fill="FFFFFF"/>
        </w:rPr>
        <w:t xml:space="preserve"> via the R4V platform reveals that Venezuelan indigenous migrants face the following challenges</w:t>
      </w:r>
      <w:r w:rsidR="00766BE2" w:rsidRPr="002574EC">
        <w:rPr>
          <w:shd w:val="clear" w:color="auto" w:fill="FFFFFF"/>
        </w:rPr>
        <w:t xml:space="preserve"> </w:t>
      </w:r>
      <w:r w:rsidR="00FC6BE9" w:rsidRPr="002574EC">
        <w:rPr>
          <w:shd w:val="clear" w:color="auto" w:fill="FFFFFF"/>
        </w:rPr>
        <w:t xml:space="preserve">in terms of access to services: </w:t>
      </w:r>
      <w:r w:rsidR="00EC4757" w:rsidRPr="002574EC">
        <w:rPr>
          <w:shd w:val="clear" w:color="auto" w:fill="FFFFFF"/>
        </w:rPr>
        <w:t>adapting basic services to specific needs; translation services in non</w:t>
      </w:r>
      <w:r w:rsidR="00E318FA" w:rsidRPr="002574EC">
        <w:rPr>
          <w:shd w:val="clear" w:color="auto" w:fill="FFFFFF"/>
        </w:rPr>
        <w:t>-</w:t>
      </w:r>
      <w:r w:rsidR="00EC4757" w:rsidRPr="002574EC">
        <w:rPr>
          <w:shd w:val="clear" w:color="auto" w:fill="FFFFFF"/>
        </w:rPr>
        <w:t>Spanish</w:t>
      </w:r>
      <w:r w:rsidR="00E318FA" w:rsidRPr="002574EC">
        <w:rPr>
          <w:shd w:val="clear" w:color="auto" w:fill="FFFFFF"/>
        </w:rPr>
        <w:t>-</w:t>
      </w:r>
      <w:r w:rsidR="00EC4757" w:rsidRPr="002574EC">
        <w:rPr>
          <w:shd w:val="clear" w:color="auto" w:fill="FFFFFF"/>
        </w:rPr>
        <w:t xml:space="preserve">speaking </w:t>
      </w:r>
      <w:r w:rsidR="00F74437" w:rsidRPr="002574EC">
        <w:rPr>
          <w:shd w:val="clear" w:color="auto" w:fill="FFFFFF"/>
        </w:rPr>
        <w:t xml:space="preserve">countries; mental health </w:t>
      </w:r>
      <w:r w:rsidR="000A06DD" w:rsidRPr="002574EC">
        <w:rPr>
          <w:shd w:val="clear" w:color="auto" w:fill="FFFFFF"/>
        </w:rPr>
        <w:t xml:space="preserve">services in dealing with traumas of children and adolescents; </w:t>
      </w:r>
      <w:r w:rsidR="00EF654D" w:rsidRPr="002574EC">
        <w:rPr>
          <w:shd w:val="clear" w:color="auto" w:fill="FFFFFF"/>
        </w:rPr>
        <w:t xml:space="preserve">escape </w:t>
      </w:r>
      <w:r w:rsidR="00AA58CA" w:rsidRPr="002574EC">
        <w:rPr>
          <w:shd w:val="clear" w:color="auto" w:fill="FFFFFF"/>
        </w:rPr>
        <w:t xml:space="preserve">routes to assist survivors of gender-based violence, particularly, domestic and sexual </w:t>
      </w:r>
      <w:r w:rsidR="00766BE2" w:rsidRPr="002574EC">
        <w:rPr>
          <w:shd w:val="clear" w:color="auto" w:fill="FFFFFF"/>
        </w:rPr>
        <w:t xml:space="preserve">violence; </w:t>
      </w:r>
      <w:r w:rsidR="004061CD" w:rsidRPr="002574EC">
        <w:rPr>
          <w:shd w:val="clear" w:color="auto" w:fill="FFFFFF"/>
        </w:rPr>
        <w:t xml:space="preserve">access to </w:t>
      </w:r>
      <w:r w:rsidR="0099092F" w:rsidRPr="002574EC">
        <w:rPr>
          <w:shd w:val="clear" w:color="auto" w:fill="FFFFFF"/>
        </w:rPr>
        <w:t xml:space="preserve">equal opportunity </w:t>
      </w:r>
      <w:r w:rsidR="00627375" w:rsidRPr="002574EC">
        <w:rPr>
          <w:shd w:val="clear" w:color="auto" w:fill="FFFFFF"/>
        </w:rPr>
        <w:t>education options</w:t>
      </w:r>
      <w:r w:rsidR="00BB6F87" w:rsidRPr="002574EC">
        <w:rPr>
          <w:shd w:val="clear" w:color="auto" w:fill="FFFFFF"/>
        </w:rPr>
        <w:t xml:space="preserve">; </w:t>
      </w:r>
      <w:r w:rsidR="0099092F" w:rsidRPr="002574EC">
        <w:rPr>
          <w:shd w:val="clear" w:color="auto" w:fill="FFFFFF"/>
        </w:rPr>
        <w:t xml:space="preserve">training to </w:t>
      </w:r>
      <w:r w:rsidR="0028302A" w:rsidRPr="002574EC">
        <w:rPr>
          <w:shd w:val="clear" w:color="auto" w:fill="FFFFFF"/>
        </w:rPr>
        <w:t>join the labor market; adequate housing and territory for communities that wish to remain in rural settings; training of public officials on self-determination and self-government.</w:t>
      </w:r>
      <w:r w:rsidR="002B1014" w:rsidRPr="002574EC">
        <w:rPr>
          <w:rStyle w:val="FootnoteReference"/>
          <w:rFonts w:cs="Arial"/>
          <w:shd w:val="clear" w:color="auto" w:fill="FFFFFF"/>
        </w:rPr>
        <w:footnoteReference w:id="399"/>
      </w:r>
    </w:p>
    <w:p w14:paraId="1C8E4EC9" w14:textId="53B8E94C" w:rsidR="00C33A0A" w:rsidRPr="002574EC" w:rsidRDefault="00C33A0A" w:rsidP="00E07D06">
      <w:pPr>
        <w:widowControl w:val="0"/>
        <w:pBdr>
          <w:top w:val="nil"/>
          <w:left w:val="nil"/>
          <w:bottom w:val="nil"/>
          <w:right w:val="nil"/>
          <w:between w:val="nil"/>
        </w:pBdr>
        <w:ind w:left="426" w:hanging="426"/>
        <w:jc w:val="both"/>
        <w:rPr>
          <w:rFonts w:ascii="Cambria" w:hAnsi="Cambria"/>
          <w:color w:val="000000" w:themeColor="text1"/>
          <w:sz w:val="20"/>
          <w:szCs w:val="20"/>
        </w:rPr>
      </w:pPr>
    </w:p>
    <w:p w14:paraId="0F286A43" w14:textId="308671F9" w:rsidR="00C33A0A" w:rsidRPr="002574EC" w:rsidRDefault="000F41AC" w:rsidP="00F85814">
      <w:pPr>
        <w:pStyle w:val="ListParagraph"/>
      </w:pPr>
      <w:r w:rsidRPr="002574EC">
        <w:t xml:space="preserve">The IACHR notes that, although </w:t>
      </w:r>
      <w:r w:rsidR="00687108" w:rsidRPr="002574EC">
        <w:t xml:space="preserve">cross-border </w:t>
      </w:r>
      <w:r w:rsidRPr="002574EC">
        <w:t xml:space="preserve">indigenous peoples </w:t>
      </w:r>
      <w:r w:rsidR="007E2499" w:rsidRPr="002574EC">
        <w:t xml:space="preserve">are considered to be binational Colombian-Venezuelan peoples, there is no agreement between the two countries for </w:t>
      </w:r>
      <w:r w:rsidR="0047378D" w:rsidRPr="002574EC">
        <w:t xml:space="preserve">recognition </w:t>
      </w:r>
      <w:r w:rsidR="00E62440" w:rsidRPr="002574EC">
        <w:t>of Colombian nationality</w:t>
      </w:r>
      <w:r w:rsidR="00EB6083" w:rsidRPr="002574EC">
        <w:t xml:space="preserve"> for persons born in Venezuela. </w:t>
      </w:r>
      <w:r w:rsidR="00406026" w:rsidRPr="002574EC">
        <w:t xml:space="preserve"> This has a particularly harmful effect on </w:t>
      </w:r>
      <w:r w:rsidR="009577B6" w:rsidRPr="002574EC">
        <w:t xml:space="preserve">peoples such as the Wayuu or the Motilón Barí.  Additionally, </w:t>
      </w:r>
      <w:r w:rsidR="008571C3" w:rsidRPr="002574EC">
        <w:t xml:space="preserve">the Inter-American Commission stresses that deterioration of living conditions and consequent displacement of indigenous peoples to cities has </w:t>
      </w:r>
      <w:r w:rsidR="00FB3841" w:rsidRPr="002574EC">
        <w:t xml:space="preserve">exposed </w:t>
      </w:r>
      <w:r w:rsidR="008571C3" w:rsidRPr="002574EC">
        <w:t xml:space="preserve">them to food insecurity </w:t>
      </w:r>
      <w:r w:rsidR="00C355C9" w:rsidRPr="002574EC">
        <w:t xml:space="preserve">and </w:t>
      </w:r>
      <w:r w:rsidR="002C7E4F" w:rsidRPr="002574EC">
        <w:t xml:space="preserve">forced them to take to </w:t>
      </w:r>
      <w:r w:rsidR="00C355C9" w:rsidRPr="002574EC">
        <w:t>begging.</w:t>
      </w:r>
      <w:r w:rsidR="00E61C94" w:rsidRPr="002574EC">
        <w:rPr>
          <w:rStyle w:val="FootnoteReference"/>
        </w:rPr>
        <w:footnoteReference w:id="400"/>
      </w:r>
    </w:p>
    <w:p w14:paraId="09EADBEB" w14:textId="77777777" w:rsidR="00E07D06" w:rsidRPr="002574EC" w:rsidRDefault="00E07D06" w:rsidP="007E075D"/>
    <w:p w14:paraId="23F3945F" w14:textId="1C741E44" w:rsidR="002523D6" w:rsidRPr="007E075D" w:rsidRDefault="00275360" w:rsidP="007E075D">
      <w:pPr>
        <w:pStyle w:val="Heading2"/>
        <w:rPr>
          <w:lang w:val="en-US"/>
        </w:rPr>
      </w:pPr>
      <w:r w:rsidRPr="007E075D">
        <w:rPr>
          <w:lang w:val="en-US"/>
        </w:rPr>
        <w:t xml:space="preserve">Lesbian, </w:t>
      </w:r>
      <w:r w:rsidR="007E075D" w:rsidRPr="007E075D">
        <w:rPr>
          <w:lang w:val="en-US"/>
        </w:rPr>
        <w:t xml:space="preserve">Gay, Bisexual, Trans </w:t>
      </w:r>
      <w:r w:rsidRPr="007E075D">
        <w:rPr>
          <w:lang w:val="en-US"/>
        </w:rPr>
        <w:t xml:space="preserve">and </w:t>
      </w:r>
      <w:r w:rsidR="007B586B" w:rsidRPr="007E075D">
        <w:rPr>
          <w:lang w:val="en-US"/>
        </w:rPr>
        <w:t xml:space="preserve">Intersex </w:t>
      </w:r>
      <w:r w:rsidRPr="007E075D">
        <w:rPr>
          <w:lang w:val="en-US"/>
        </w:rPr>
        <w:t xml:space="preserve">(LGBTI) </w:t>
      </w:r>
      <w:r w:rsidR="007B586B" w:rsidRPr="007E075D">
        <w:rPr>
          <w:lang w:val="en-US"/>
        </w:rPr>
        <w:t>Persons</w:t>
      </w:r>
    </w:p>
    <w:p w14:paraId="047A10CF" w14:textId="77777777" w:rsidR="00E07D06" w:rsidRPr="002574EC" w:rsidRDefault="00E07D06" w:rsidP="007E075D"/>
    <w:p w14:paraId="571462C2" w14:textId="1C07CDFC" w:rsidR="00BA6A95" w:rsidRPr="002574EC" w:rsidRDefault="00BD54B3" w:rsidP="00F85814">
      <w:pPr>
        <w:pStyle w:val="ListParagraph"/>
      </w:pPr>
      <w:r w:rsidRPr="002574EC">
        <w:t xml:space="preserve">The IACHR received information about acts of violence against LGBTI persons, including murders </w:t>
      </w:r>
      <w:r w:rsidR="007C4E44" w:rsidRPr="002574EC">
        <w:t xml:space="preserve">that </w:t>
      </w:r>
      <w:r w:rsidR="008E459E" w:rsidRPr="002574EC">
        <w:t xml:space="preserve">evince particularly </w:t>
      </w:r>
      <w:r w:rsidR="00713EC0" w:rsidRPr="002574EC">
        <w:t xml:space="preserve">high degrees of viciousness </w:t>
      </w:r>
      <w:r w:rsidR="00933998" w:rsidRPr="002574EC">
        <w:t xml:space="preserve">and cruelty. </w:t>
      </w:r>
      <w:r w:rsidR="008E3993" w:rsidRPr="002574EC">
        <w:t xml:space="preserve">In this regard, the Commission condemns the murders of two gay men and a trans woman that took place from June 13 to 14 in Caracas.  </w:t>
      </w:r>
      <w:r w:rsidR="0016616D" w:rsidRPr="002574EC">
        <w:t>Additional</w:t>
      </w:r>
      <w:r w:rsidR="003545A6" w:rsidRPr="002574EC">
        <w:t>ly</w:t>
      </w:r>
      <w:r w:rsidR="0016616D" w:rsidRPr="002574EC">
        <w:t xml:space="preserve">, it had information about the murder of trans women in </w:t>
      </w:r>
      <w:r w:rsidR="00BA6A95" w:rsidRPr="002574EC">
        <w:t xml:space="preserve">San Carlos, </w:t>
      </w:r>
      <w:r w:rsidR="0016616D" w:rsidRPr="002574EC">
        <w:t xml:space="preserve">state of </w:t>
      </w:r>
      <w:r w:rsidR="00BA6A95" w:rsidRPr="002574EC">
        <w:t>Cojedes</w:t>
      </w:r>
      <w:r w:rsidR="003377EA" w:rsidRPr="002574EC">
        <w:t>,</w:t>
      </w:r>
      <w:r w:rsidR="00BA6A95" w:rsidRPr="002574EC">
        <w:rPr>
          <w:rStyle w:val="FootnoteReference"/>
          <w:color w:val="0F1419"/>
        </w:rPr>
        <w:footnoteReference w:id="401"/>
      </w:r>
      <w:r w:rsidR="003377EA" w:rsidRPr="002574EC">
        <w:t xml:space="preserve"> </w:t>
      </w:r>
      <w:r w:rsidR="00BA6A95" w:rsidRPr="002574EC">
        <w:t xml:space="preserve">Mérida </w:t>
      </w:r>
      <w:r w:rsidR="003377EA" w:rsidRPr="002574EC">
        <w:t>and</w:t>
      </w:r>
      <w:r w:rsidR="00BA6A95" w:rsidRPr="002574EC">
        <w:t xml:space="preserve"> Miranda</w:t>
      </w:r>
      <w:r w:rsidR="00F00186" w:rsidRPr="002574EC">
        <w:t>.</w:t>
      </w:r>
      <w:r w:rsidR="00BA6A95" w:rsidRPr="002574EC">
        <w:rPr>
          <w:rStyle w:val="FootnoteReference"/>
          <w:color w:val="0F1419"/>
        </w:rPr>
        <w:footnoteReference w:id="402"/>
      </w:r>
      <w:r w:rsidR="00F00186" w:rsidRPr="002574EC">
        <w:t xml:space="preserve">  According to information provided by civil society, as of </w:t>
      </w:r>
      <w:r w:rsidR="0062621A" w:rsidRPr="002574EC">
        <w:t>November</w:t>
      </w:r>
      <w:r w:rsidR="00F00186" w:rsidRPr="002574EC">
        <w:t xml:space="preserve"> 2021, there were 1</w:t>
      </w:r>
      <w:r w:rsidR="0062621A" w:rsidRPr="002574EC">
        <w:t>6</w:t>
      </w:r>
      <w:r w:rsidR="00F00186" w:rsidRPr="002574EC">
        <w:t xml:space="preserve"> cases of </w:t>
      </w:r>
      <w:r w:rsidR="0062621A" w:rsidRPr="002574EC">
        <w:t>killings</w:t>
      </w:r>
      <w:r w:rsidR="00F00186" w:rsidRPr="002574EC">
        <w:t xml:space="preserve"> </w:t>
      </w:r>
      <w:r w:rsidR="0062621A" w:rsidRPr="002574EC">
        <w:t>of</w:t>
      </w:r>
      <w:r w:rsidR="00F00186" w:rsidRPr="002574EC">
        <w:t xml:space="preserve"> LGBTI persons reported.</w:t>
      </w:r>
      <w:r w:rsidR="00BA6A95" w:rsidRPr="002574EC">
        <w:rPr>
          <w:rStyle w:val="FootnoteReference"/>
          <w:color w:val="0F1419"/>
        </w:rPr>
        <w:footnoteReference w:id="403"/>
      </w:r>
      <w:r w:rsidR="00BA6A95" w:rsidRPr="002574EC">
        <w:t xml:space="preserve"> </w:t>
      </w:r>
    </w:p>
    <w:p w14:paraId="441DA317" w14:textId="77777777" w:rsidR="00BA6A95" w:rsidRPr="002574EC" w:rsidRDefault="00BA6A95" w:rsidP="00E07D06">
      <w:pPr>
        <w:ind w:left="426" w:hanging="426"/>
        <w:jc w:val="both"/>
        <w:rPr>
          <w:rFonts w:ascii="Cambria" w:eastAsia="Cambria" w:hAnsi="Cambria" w:cs="Cambria"/>
          <w:color w:val="0F1419"/>
          <w:sz w:val="20"/>
          <w:szCs w:val="20"/>
        </w:rPr>
      </w:pPr>
    </w:p>
    <w:p w14:paraId="40067170" w14:textId="3437D30C" w:rsidR="00BA6A95" w:rsidRPr="002574EC" w:rsidRDefault="00693439" w:rsidP="00F85814">
      <w:pPr>
        <w:pStyle w:val="ListParagraph"/>
      </w:pPr>
      <w:r w:rsidRPr="002574EC">
        <w:lastRenderedPageBreak/>
        <w:t xml:space="preserve">The Commission notes that the data on violence are collected mostly by civil society organizations rather than by the State. On this score, the IACHR continues to receive reports of the lack of State initiatives to gather and analyze data on </w:t>
      </w:r>
      <w:r w:rsidR="00CE0FED" w:rsidRPr="002574EC">
        <w:t xml:space="preserve">violence against LGBTI persons. </w:t>
      </w:r>
      <w:r w:rsidR="00195E5F" w:rsidRPr="002574EC">
        <w:t xml:space="preserve">Accordingly, the Commission reiterates that States must </w:t>
      </w:r>
      <w:r w:rsidR="00430AA3" w:rsidRPr="002574EC">
        <w:t xml:space="preserve">systematically </w:t>
      </w:r>
      <w:r w:rsidR="00195E5F" w:rsidRPr="002574EC">
        <w:t>gather and analyze statistical data</w:t>
      </w:r>
      <w:r w:rsidR="00290B63" w:rsidRPr="002574EC">
        <w:t xml:space="preserve"> on the prevalence and nature of violence and discrimination </w:t>
      </w:r>
      <w:r w:rsidR="00955611" w:rsidRPr="002574EC">
        <w:t xml:space="preserve">based on prejudice against LGBTI persons, or </w:t>
      </w:r>
      <w:r w:rsidR="003026C1" w:rsidRPr="002574EC">
        <w:t xml:space="preserve">persons </w:t>
      </w:r>
      <w:r w:rsidR="00955611" w:rsidRPr="002574EC">
        <w:t xml:space="preserve">perceived as such. </w:t>
      </w:r>
      <w:r w:rsidR="00195E5F" w:rsidRPr="002574EC">
        <w:t xml:space="preserve"> </w:t>
      </w:r>
    </w:p>
    <w:p w14:paraId="523AA57C" w14:textId="77777777" w:rsidR="00BA6A95" w:rsidRPr="002574EC" w:rsidRDefault="00BA6A95" w:rsidP="00E07D06">
      <w:pPr>
        <w:ind w:left="426" w:hanging="426"/>
        <w:jc w:val="both"/>
        <w:rPr>
          <w:rFonts w:ascii="Cambria" w:eastAsia="Cambria" w:hAnsi="Cambria" w:cs="Cambria"/>
          <w:color w:val="0F1419"/>
          <w:sz w:val="20"/>
          <w:szCs w:val="20"/>
        </w:rPr>
      </w:pPr>
    </w:p>
    <w:p w14:paraId="10C72612" w14:textId="3427863B" w:rsidR="00BA6A95" w:rsidRPr="002574EC" w:rsidRDefault="005633DA" w:rsidP="00F85814">
      <w:pPr>
        <w:pStyle w:val="ListParagraph"/>
      </w:pPr>
      <w:r w:rsidRPr="002574EC">
        <w:t xml:space="preserve">Additionally, the Commission notes that the </w:t>
      </w:r>
      <w:r w:rsidR="00D15108" w:rsidRPr="002574EC">
        <w:t xml:space="preserve">overhaul of </w:t>
      </w:r>
      <w:r w:rsidRPr="002574EC">
        <w:t xml:space="preserve">the Organic Code of Military </w:t>
      </w:r>
      <w:r w:rsidR="00F73CC2" w:rsidRPr="002574EC">
        <w:t>Justice</w:t>
      </w:r>
      <w:r w:rsidR="00AE26C2" w:rsidRPr="002574EC">
        <w:t xml:space="preserve">, </w:t>
      </w:r>
      <w:r w:rsidR="008F6452" w:rsidRPr="002574EC">
        <w:t xml:space="preserve">which was </w:t>
      </w:r>
      <w:r w:rsidR="00C4126C" w:rsidRPr="002574EC">
        <w:t xml:space="preserve">enacted in September 2021, kept Article 565 in place, which establishes a punishment of 1 to 3 years in prison </w:t>
      </w:r>
      <w:r w:rsidR="00E03E16" w:rsidRPr="002574EC">
        <w:t xml:space="preserve">for military members who “commit sexual acts against nature,” criminalizing </w:t>
      </w:r>
      <w:r w:rsidR="00367C0B" w:rsidRPr="002574EC">
        <w:t>consensual sexual relations between persons of the same gender within the military service.</w:t>
      </w:r>
      <w:r w:rsidR="00BA6A95" w:rsidRPr="002574EC">
        <w:rPr>
          <w:rStyle w:val="FootnoteReference"/>
          <w:color w:val="0F1419"/>
        </w:rPr>
        <w:footnoteReference w:id="404"/>
      </w:r>
      <w:r w:rsidR="00D15108" w:rsidRPr="002574EC">
        <w:t xml:space="preserve"> </w:t>
      </w:r>
      <w:r w:rsidR="00BA6A95" w:rsidRPr="002574EC">
        <w:t xml:space="preserve"> </w:t>
      </w:r>
      <w:r w:rsidR="00791DCE" w:rsidRPr="002574EC">
        <w:t xml:space="preserve">On this score, the IACHR reminds the State of Venezuela of the duty to repeal this provision because it </w:t>
      </w:r>
      <w:r w:rsidR="00213454" w:rsidRPr="002574EC">
        <w:t xml:space="preserve">is at odds with the right to equality and non-discrimination. </w:t>
      </w:r>
      <w:r w:rsidR="008C7300" w:rsidRPr="002574EC">
        <w:t xml:space="preserve">Additionally, </w:t>
      </w:r>
      <w:r w:rsidR="00862DB3" w:rsidRPr="002574EC">
        <w:t>it recalls that the existence of laws that crimin</w:t>
      </w:r>
      <w:r w:rsidR="00CE3687" w:rsidRPr="002574EC">
        <w:t>a</w:t>
      </w:r>
      <w:r w:rsidR="00862DB3" w:rsidRPr="002574EC">
        <w:t>l</w:t>
      </w:r>
      <w:r w:rsidR="00CE3687" w:rsidRPr="002574EC">
        <w:t>i</w:t>
      </w:r>
      <w:r w:rsidR="00862DB3" w:rsidRPr="002574EC">
        <w:t xml:space="preserve">ze </w:t>
      </w:r>
      <w:r w:rsidR="00CE3687" w:rsidRPr="002574EC">
        <w:t xml:space="preserve">consensual relations </w:t>
      </w:r>
      <w:r w:rsidR="001E16DE" w:rsidRPr="002574EC">
        <w:t xml:space="preserve">can contribute </w:t>
      </w:r>
      <w:r w:rsidR="0034303E" w:rsidRPr="002574EC">
        <w:t xml:space="preserve">to a social setting in which </w:t>
      </w:r>
      <w:r w:rsidR="008A39D1" w:rsidRPr="002574EC">
        <w:t xml:space="preserve">it is understood that </w:t>
      </w:r>
      <w:r w:rsidR="008C7D5D" w:rsidRPr="002574EC">
        <w:t>discrimination and violence against LGBTI persons is tacitly permitted and tolerated</w:t>
      </w:r>
      <w:r w:rsidR="00BA6A95" w:rsidRPr="002574EC">
        <w:t>.</w:t>
      </w:r>
    </w:p>
    <w:p w14:paraId="430C3178" w14:textId="77777777" w:rsidR="00BA6A95" w:rsidRPr="002574EC" w:rsidRDefault="00BA6A95" w:rsidP="00E07D06">
      <w:pPr>
        <w:ind w:left="426" w:hanging="426"/>
        <w:jc w:val="both"/>
        <w:rPr>
          <w:rFonts w:ascii="Cambria" w:hAnsi="Cambria"/>
          <w:color w:val="0F1419"/>
          <w:sz w:val="20"/>
          <w:szCs w:val="20"/>
        </w:rPr>
      </w:pPr>
    </w:p>
    <w:p w14:paraId="73A404B6" w14:textId="682F20DA" w:rsidR="00BA6A95" w:rsidRPr="002574EC" w:rsidRDefault="00A8740E" w:rsidP="00F85814">
      <w:pPr>
        <w:pStyle w:val="ListParagraph"/>
      </w:pPr>
      <w:r w:rsidRPr="002574EC">
        <w:t xml:space="preserve">The Commission also takes note of the public testimonies of trans, non-binary and gender diverse persons, who have decried acts of discrimination </w:t>
      </w:r>
      <w:r w:rsidR="00091B1F" w:rsidRPr="002574EC">
        <w:t xml:space="preserve">in the face of a lack of identity documents </w:t>
      </w:r>
      <w:r w:rsidR="00D9659C" w:rsidRPr="002574EC">
        <w:t xml:space="preserve">and records that adequately </w:t>
      </w:r>
      <w:r w:rsidR="000D2032" w:rsidRPr="002574EC">
        <w:t>reflect their gender identity and expression</w:t>
      </w:r>
      <w:r w:rsidR="00F5401D" w:rsidRPr="002574EC">
        <w:t>.</w:t>
      </w:r>
      <w:r w:rsidR="00BA6A95" w:rsidRPr="002574EC">
        <w:rPr>
          <w:rStyle w:val="FootnoteReference"/>
          <w:color w:val="0F1419"/>
        </w:rPr>
        <w:footnoteReference w:id="405"/>
      </w:r>
      <w:r w:rsidR="00CD7F79" w:rsidRPr="002574EC">
        <w:t xml:space="preserve">  Based on the foregoing, </w:t>
      </w:r>
      <w:r w:rsidR="00607AEC" w:rsidRPr="002574EC">
        <w:t xml:space="preserve">the IACHR </w:t>
      </w:r>
      <w:r w:rsidR="00496924" w:rsidRPr="002574EC">
        <w:t>reiterates to the State its call to guarantee the gender identity of trans, non-binary and gender diverse persons</w:t>
      </w:r>
      <w:r w:rsidR="00780C25" w:rsidRPr="002574EC">
        <w:t xml:space="preserve"> through the rectification </w:t>
      </w:r>
      <w:r w:rsidR="003F31D8" w:rsidRPr="002574EC">
        <w:t>of image, name and sex/gender markers on records and identity documents</w:t>
      </w:r>
      <w:r w:rsidR="00AC4A6B" w:rsidRPr="002574EC">
        <w:t xml:space="preserve"> through </w:t>
      </w:r>
      <w:r w:rsidR="004A4D49" w:rsidRPr="002574EC">
        <w:t xml:space="preserve">simple and expeditious </w:t>
      </w:r>
      <w:r w:rsidR="00600A03" w:rsidRPr="002574EC">
        <w:t>domestic remedies</w:t>
      </w:r>
      <w:r w:rsidR="00F10396" w:rsidRPr="002574EC">
        <w:t xml:space="preserve">, preferably of an administrative nature, that are made available to </w:t>
      </w:r>
      <w:r w:rsidR="00DA7C07" w:rsidRPr="002574EC">
        <w:t xml:space="preserve">persons who are located in Venezuela and overseas. </w:t>
      </w:r>
      <w:r w:rsidR="00600A03" w:rsidRPr="002574EC">
        <w:t xml:space="preserve"> </w:t>
      </w:r>
    </w:p>
    <w:p w14:paraId="32F4E954" w14:textId="77777777" w:rsidR="00E07D06" w:rsidRPr="007B586B" w:rsidRDefault="00E07D06" w:rsidP="007B586B">
      <w:pPr>
        <w:rPr>
          <w:rFonts w:eastAsia="Cambria"/>
        </w:rPr>
      </w:pPr>
    </w:p>
    <w:p w14:paraId="587D5356" w14:textId="647296C3" w:rsidR="000A54D6" w:rsidRPr="002574EC" w:rsidRDefault="000A54D6" w:rsidP="007B586B">
      <w:pPr>
        <w:pStyle w:val="Heading1"/>
      </w:pPr>
      <w:r w:rsidRPr="002574EC">
        <w:t>RECOM</w:t>
      </w:r>
      <w:r w:rsidR="000A7739" w:rsidRPr="002574EC">
        <w:t>M</w:t>
      </w:r>
      <w:r w:rsidRPr="002574EC">
        <w:t>ENDA</w:t>
      </w:r>
      <w:r w:rsidR="000A7739" w:rsidRPr="002574EC">
        <w:t xml:space="preserve">TIONS </w:t>
      </w:r>
    </w:p>
    <w:p w14:paraId="6CC07072" w14:textId="77777777" w:rsidR="00C24A1F" w:rsidRPr="002574EC" w:rsidRDefault="00C24A1F" w:rsidP="00E07D06">
      <w:pPr>
        <w:ind w:left="426" w:hanging="426"/>
        <w:rPr>
          <w:rFonts w:ascii="Cambria" w:hAnsi="Cambria"/>
          <w:sz w:val="20"/>
          <w:szCs w:val="20"/>
        </w:rPr>
      </w:pPr>
    </w:p>
    <w:p w14:paraId="5AF2E5BA" w14:textId="239D9C9A" w:rsidR="000A54D6" w:rsidRPr="002574EC" w:rsidRDefault="000A54D6" w:rsidP="007C4A3F">
      <w:pPr>
        <w:ind w:left="709" w:hanging="283"/>
        <w:rPr>
          <w:rFonts w:ascii="Cambria" w:hAnsi="Cambria"/>
          <w:b/>
          <w:bCs/>
          <w:sz w:val="20"/>
          <w:szCs w:val="20"/>
        </w:rPr>
      </w:pPr>
      <w:r w:rsidRPr="002574EC">
        <w:rPr>
          <w:rFonts w:ascii="Cambria" w:hAnsi="Cambria"/>
          <w:b/>
          <w:bCs/>
          <w:sz w:val="20"/>
          <w:szCs w:val="20"/>
        </w:rPr>
        <w:t>P</w:t>
      </w:r>
      <w:r w:rsidR="00F24E4F" w:rsidRPr="002574EC">
        <w:rPr>
          <w:rFonts w:ascii="Cambria" w:hAnsi="Cambria"/>
          <w:b/>
          <w:bCs/>
          <w:sz w:val="20"/>
          <w:szCs w:val="20"/>
        </w:rPr>
        <w:t xml:space="preserve">osition of the State toward the Inter-American System </w:t>
      </w:r>
    </w:p>
    <w:p w14:paraId="33640875" w14:textId="77777777" w:rsidR="000A54D6" w:rsidRPr="002574EC" w:rsidRDefault="000A54D6" w:rsidP="007C4A3F">
      <w:pPr>
        <w:ind w:left="709" w:hanging="283"/>
        <w:rPr>
          <w:rFonts w:ascii="Cambria" w:hAnsi="Cambria"/>
          <w:sz w:val="20"/>
          <w:szCs w:val="20"/>
        </w:rPr>
      </w:pPr>
      <w:r w:rsidRPr="002574EC">
        <w:rPr>
          <w:rFonts w:ascii="Cambria" w:hAnsi="Cambria"/>
          <w:i/>
          <w:iCs/>
          <w:sz w:val="20"/>
          <w:szCs w:val="20"/>
        </w:rPr>
        <w:t> </w:t>
      </w:r>
    </w:p>
    <w:p w14:paraId="1FA53BF6" w14:textId="23C99F8E" w:rsidR="000A54D6" w:rsidRPr="002574EC" w:rsidRDefault="00FA1BCD" w:rsidP="00F85814">
      <w:pPr>
        <w:pStyle w:val="ListParagraph"/>
        <w:numPr>
          <w:ilvl w:val="0"/>
          <w:numId w:val="9"/>
        </w:numPr>
      </w:pPr>
      <w:r w:rsidRPr="002574EC">
        <w:t>Fully comply with the decisions and recommendations of the Inter</w:t>
      </w:r>
      <w:r w:rsidR="002D630A" w:rsidRPr="002574EC">
        <w:t>-American human rights system.</w:t>
      </w:r>
    </w:p>
    <w:p w14:paraId="20F9FC79" w14:textId="7B3A642D" w:rsidR="000A54D6" w:rsidRPr="002574EC" w:rsidRDefault="000A54D6" w:rsidP="007C4A3F">
      <w:pPr>
        <w:ind w:left="709" w:hanging="283"/>
        <w:rPr>
          <w:rFonts w:ascii="Cambria" w:hAnsi="Cambria"/>
          <w:sz w:val="20"/>
          <w:szCs w:val="20"/>
        </w:rPr>
      </w:pPr>
    </w:p>
    <w:p w14:paraId="315778F6" w14:textId="202D6F4A" w:rsidR="000A54D6" w:rsidRPr="002574EC" w:rsidRDefault="00981AE6" w:rsidP="007C4A3F">
      <w:pPr>
        <w:ind w:left="709" w:hanging="283"/>
        <w:rPr>
          <w:rFonts w:ascii="Cambria" w:hAnsi="Cambria"/>
          <w:b/>
          <w:bCs/>
          <w:sz w:val="20"/>
          <w:szCs w:val="20"/>
        </w:rPr>
      </w:pPr>
      <w:r w:rsidRPr="002574EC">
        <w:rPr>
          <w:rFonts w:ascii="Cambria" w:hAnsi="Cambria"/>
          <w:b/>
          <w:bCs/>
          <w:sz w:val="20"/>
          <w:szCs w:val="20"/>
        </w:rPr>
        <w:t xml:space="preserve">Democratic Institutions </w:t>
      </w:r>
    </w:p>
    <w:p w14:paraId="763E4150" w14:textId="77777777" w:rsidR="000A54D6" w:rsidRPr="002574EC" w:rsidRDefault="000A54D6" w:rsidP="007C4A3F">
      <w:pPr>
        <w:ind w:left="709" w:hanging="283"/>
        <w:rPr>
          <w:rFonts w:ascii="Cambria" w:hAnsi="Cambria"/>
          <w:sz w:val="20"/>
          <w:szCs w:val="20"/>
        </w:rPr>
      </w:pPr>
    </w:p>
    <w:p w14:paraId="358DE1B2" w14:textId="26443545" w:rsidR="000A54D6" w:rsidRPr="002574EC" w:rsidRDefault="000A54D6" w:rsidP="00F85814">
      <w:pPr>
        <w:pStyle w:val="ListParagraph"/>
        <w:numPr>
          <w:ilvl w:val="0"/>
          <w:numId w:val="9"/>
        </w:numPr>
      </w:pPr>
      <w:r w:rsidRPr="002574EC">
        <w:t>P</w:t>
      </w:r>
      <w:r w:rsidR="0062550E" w:rsidRPr="002574EC">
        <w:t>romote mechanisms of dialogue be</w:t>
      </w:r>
      <w:r w:rsidR="0036469D" w:rsidRPr="002574EC">
        <w:t>t</w:t>
      </w:r>
      <w:r w:rsidR="0062550E" w:rsidRPr="002574EC">
        <w:t>ween the different political actors and civil society with a view to</w:t>
      </w:r>
      <w:r w:rsidR="00291177" w:rsidRPr="002574EC">
        <w:t>ward urgent rebuilding of the democratic institutional framework of the country.</w:t>
      </w:r>
    </w:p>
    <w:p w14:paraId="1F183A70" w14:textId="0340959A" w:rsidR="000A54D6" w:rsidRPr="002574EC" w:rsidRDefault="000A54D6" w:rsidP="007B586B">
      <w:pPr>
        <w:pStyle w:val="ListParagraph"/>
        <w:numPr>
          <w:ilvl w:val="0"/>
          <w:numId w:val="0"/>
        </w:numPr>
        <w:ind w:left="720"/>
      </w:pPr>
    </w:p>
    <w:p w14:paraId="7F86AD2E" w14:textId="2555349A" w:rsidR="000A54D6" w:rsidRPr="002574EC" w:rsidRDefault="008B7CA6" w:rsidP="00F85814">
      <w:pPr>
        <w:pStyle w:val="ListParagraph"/>
        <w:numPr>
          <w:ilvl w:val="0"/>
          <w:numId w:val="9"/>
        </w:numPr>
      </w:pPr>
      <w:r w:rsidRPr="002574EC">
        <w:t xml:space="preserve">Restore the constitutional order </w:t>
      </w:r>
      <w:r w:rsidR="00230C22" w:rsidRPr="002574EC">
        <w:t>by guaranteeing</w:t>
      </w:r>
      <w:r w:rsidR="000A54D6" w:rsidRPr="002574EC">
        <w:t xml:space="preserve"> (i) </w:t>
      </w:r>
      <w:r w:rsidR="001A49BF" w:rsidRPr="002574EC">
        <w:t xml:space="preserve">the independence of the branches of government and the balance of powers, </w:t>
      </w:r>
      <w:r w:rsidR="000A54D6" w:rsidRPr="002574EC">
        <w:t xml:space="preserve">(ii) </w:t>
      </w:r>
      <w:r w:rsidR="001A49BF" w:rsidRPr="002574EC">
        <w:t xml:space="preserve">the participation </w:t>
      </w:r>
      <w:r w:rsidR="00CB2E07" w:rsidRPr="002574EC">
        <w:t>of the whole population</w:t>
      </w:r>
      <w:r w:rsidR="006144D1" w:rsidRPr="002574EC">
        <w:t xml:space="preserve"> in the political process</w:t>
      </w:r>
      <w:r w:rsidR="00CB2E07" w:rsidRPr="002574EC">
        <w:t xml:space="preserve"> without discrimination</w:t>
      </w:r>
      <w:r w:rsidR="009D0B21" w:rsidRPr="002574EC">
        <w:t xml:space="preserve">, and </w:t>
      </w:r>
      <w:r w:rsidR="000A54D6" w:rsidRPr="002574EC">
        <w:t xml:space="preserve">(iii) </w:t>
      </w:r>
      <w:r w:rsidR="000F53AF" w:rsidRPr="002574EC">
        <w:t xml:space="preserve">citizen </w:t>
      </w:r>
      <w:r w:rsidR="00D117BB" w:rsidRPr="002574EC">
        <w:t xml:space="preserve">control </w:t>
      </w:r>
      <w:r w:rsidR="000F53AF" w:rsidRPr="002574EC">
        <w:t xml:space="preserve">over </w:t>
      </w:r>
      <w:r w:rsidR="00CD70E0" w:rsidRPr="002574EC">
        <w:t>the conduct of the different branches of government.</w:t>
      </w:r>
    </w:p>
    <w:p w14:paraId="6CAEBD63" w14:textId="51D12E68" w:rsidR="000A54D6" w:rsidRPr="002574EC" w:rsidRDefault="000A54D6" w:rsidP="007B586B">
      <w:pPr>
        <w:pStyle w:val="ListParagraph"/>
        <w:numPr>
          <w:ilvl w:val="0"/>
          <w:numId w:val="0"/>
        </w:numPr>
        <w:ind w:left="720"/>
      </w:pPr>
    </w:p>
    <w:p w14:paraId="06A46C97" w14:textId="76E6626B" w:rsidR="000A54D6" w:rsidRPr="002574EC" w:rsidRDefault="000A54D6" w:rsidP="00F85814">
      <w:pPr>
        <w:pStyle w:val="ListParagraph"/>
        <w:numPr>
          <w:ilvl w:val="0"/>
          <w:numId w:val="9"/>
        </w:numPr>
      </w:pPr>
      <w:r w:rsidRPr="002574EC">
        <w:t>A</w:t>
      </w:r>
      <w:r w:rsidR="00AA6CA8" w:rsidRPr="002574EC">
        <w:t xml:space="preserve">dopt </w:t>
      </w:r>
      <w:r w:rsidR="005216D8" w:rsidRPr="002574EC">
        <w:t>decisive measures to guarantee the separation of powers and the proper exercise of the constitutional functions of the National Assembly and the Supreme Court of Justice</w:t>
      </w:r>
    </w:p>
    <w:p w14:paraId="6CE68670" w14:textId="60EE2DA3" w:rsidR="000A54D6" w:rsidRPr="002574EC" w:rsidRDefault="000A54D6" w:rsidP="007B586B">
      <w:pPr>
        <w:pStyle w:val="ListParagraph"/>
        <w:numPr>
          <w:ilvl w:val="0"/>
          <w:numId w:val="0"/>
        </w:numPr>
        <w:ind w:left="720"/>
      </w:pPr>
    </w:p>
    <w:p w14:paraId="62C06F9F" w14:textId="5A8C3066" w:rsidR="000A54D6" w:rsidRPr="002574EC" w:rsidRDefault="003B54FF" w:rsidP="00F85814">
      <w:pPr>
        <w:pStyle w:val="ListParagraph"/>
        <w:numPr>
          <w:ilvl w:val="0"/>
          <w:numId w:val="9"/>
        </w:numPr>
      </w:pPr>
      <w:r w:rsidRPr="002574EC">
        <w:t xml:space="preserve">Ensure that the provisions </w:t>
      </w:r>
      <w:r w:rsidR="005D139F" w:rsidRPr="002574EC">
        <w:t>related to state</w:t>
      </w:r>
      <w:r w:rsidR="00152599" w:rsidRPr="002574EC">
        <w:t>s</w:t>
      </w:r>
      <w:r w:rsidR="005D139F" w:rsidRPr="002574EC">
        <w:t xml:space="preserve"> of emergency </w:t>
      </w:r>
      <w:r w:rsidR="003E44F6" w:rsidRPr="002574EC">
        <w:t>are used in situations of extreme gravity and real emergency</w:t>
      </w:r>
      <w:r w:rsidR="0070178F" w:rsidRPr="002574EC">
        <w:t xml:space="preserve">, and adhere strictly </w:t>
      </w:r>
      <w:r w:rsidR="00A763AA" w:rsidRPr="002574EC">
        <w:t>and reasonably t</w:t>
      </w:r>
      <w:r w:rsidR="0070178F" w:rsidRPr="002574EC">
        <w:t>o the needs of the s</w:t>
      </w:r>
      <w:r w:rsidR="008F2B61" w:rsidRPr="002574EC">
        <w:t>ituation in question</w:t>
      </w:r>
      <w:r w:rsidR="004137AB" w:rsidRPr="002574EC">
        <w:t>, without going beyond what is strictly necessary,</w:t>
      </w:r>
      <w:r w:rsidR="00152599" w:rsidRPr="002574EC">
        <w:t xml:space="preserve"> or</w:t>
      </w:r>
      <w:r w:rsidR="004137AB" w:rsidRPr="002574EC">
        <w:t xml:space="preserve"> extending excessively over time</w:t>
      </w:r>
      <w:r w:rsidR="00F56972" w:rsidRPr="002574EC">
        <w:t xml:space="preserve">, </w:t>
      </w:r>
      <w:r w:rsidR="00AC6BE9" w:rsidRPr="002574EC">
        <w:t xml:space="preserve">without any </w:t>
      </w:r>
      <w:r w:rsidR="00F56972" w:rsidRPr="002574EC">
        <w:t xml:space="preserve">disproportionality, deviation, </w:t>
      </w:r>
      <w:r w:rsidR="00D76D6E" w:rsidRPr="002574EC">
        <w:t>or abuse of power.</w:t>
      </w:r>
    </w:p>
    <w:p w14:paraId="0B870733" w14:textId="77777777" w:rsidR="000A54D6" w:rsidRPr="002574EC" w:rsidRDefault="000A54D6" w:rsidP="007C4A3F">
      <w:pPr>
        <w:ind w:left="709" w:hanging="283"/>
        <w:rPr>
          <w:rFonts w:ascii="Cambria" w:hAnsi="Cambria"/>
          <w:sz w:val="20"/>
          <w:szCs w:val="20"/>
        </w:rPr>
      </w:pPr>
      <w:r w:rsidRPr="002574EC">
        <w:rPr>
          <w:rFonts w:ascii="Cambria" w:hAnsi="Cambria"/>
          <w:sz w:val="20"/>
          <w:szCs w:val="20"/>
        </w:rPr>
        <w:t> </w:t>
      </w:r>
    </w:p>
    <w:p w14:paraId="30339D67" w14:textId="77777777" w:rsidR="007B586B" w:rsidRDefault="007B586B">
      <w:pPr>
        <w:rPr>
          <w:rFonts w:ascii="Cambria" w:hAnsi="Cambria"/>
          <w:b/>
          <w:bCs/>
          <w:sz w:val="20"/>
          <w:szCs w:val="20"/>
        </w:rPr>
      </w:pPr>
      <w:r>
        <w:rPr>
          <w:rFonts w:ascii="Cambria" w:hAnsi="Cambria"/>
          <w:b/>
          <w:bCs/>
          <w:sz w:val="20"/>
          <w:szCs w:val="20"/>
        </w:rPr>
        <w:br w:type="page"/>
      </w:r>
    </w:p>
    <w:p w14:paraId="562BDA3C" w14:textId="725489B3" w:rsidR="000A54D6" w:rsidRPr="002574EC" w:rsidRDefault="000A54D6" w:rsidP="007C4A3F">
      <w:pPr>
        <w:ind w:left="709" w:hanging="283"/>
        <w:rPr>
          <w:rFonts w:ascii="Cambria" w:hAnsi="Cambria"/>
          <w:b/>
          <w:bCs/>
          <w:sz w:val="20"/>
          <w:szCs w:val="20"/>
        </w:rPr>
      </w:pPr>
      <w:r w:rsidRPr="002574EC">
        <w:rPr>
          <w:rFonts w:ascii="Cambria" w:hAnsi="Cambria"/>
          <w:b/>
          <w:bCs/>
          <w:sz w:val="20"/>
          <w:szCs w:val="20"/>
        </w:rPr>
        <w:lastRenderedPageBreak/>
        <w:t>Administra</w:t>
      </w:r>
      <w:r w:rsidR="00830618" w:rsidRPr="002574EC">
        <w:rPr>
          <w:rFonts w:ascii="Cambria" w:hAnsi="Cambria"/>
          <w:b/>
          <w:bCs/>
          <w:sz w:val="20"/>
          <w:szCs w:val="20"/>
        </w:rPr>
        <w:t xml:space="preserve">tion of Justice and Judicial Independence </w:t>
      </w:r>
    </w:p>
    <w:p w14:paraId="6B601E2A" w14:textId="77777777" w:rsidR="000A54D6" w:rsidRPr="002574EC" w:rsidRDefault="000A54D6" w:rsidP="007C4A3F">
      <w:pPr>
        <w:ind w:left="709" w:hanging="283"/>
        <w:rPr>
          <w:rFonts w:ascii="Cambria" w:hAnsi="Cambria"/>
          <w:sz w:val="20"/>
          <w:szCs w:val="20"/>
        </w:rPr>
      </w:pPr>
      <w:r w:rsidRPr="002574EC">
        <w:rPr>
          <w:rFonts w:ascii="Cambria" w:hAnsi="Cambria"/>
          <w:sz w:val="20"/>
          <w:szCs w:val="20"/>
        </w:rPr>
        <w:t> </w:t>
      </w:r>
    </w:p>
    <w:p w14:paraId="61722073" w14:textId="4AE0E33C" w:rsidR="000A54D6" w:rsidRPr="002574EC" w:rsidRDefault="000A54D6" w:rsidP="00F85814">
      <w:pPr>
        <w:pStyle w:val="ListParagraph"/>
        <w:numPr>
          <w:ilvl w:val="0"/>
          <w:numId w:val="9"/>
        </w:numPr>
      </w:pPr>
      <w:r w:rsidRPr="002574EC">
        <w:t>A</w:t>
      </w:r>
      <w:r w:rsidR="006341C5" w:rsidRPr="002574EC">
        <w:t xml:space="preserve">dopt </w:t>
      </w:r>
      <w:r w:rsidR="003A498F" w:rsidRPr="002574EC">
        <w:t xml:space="preserve">urgent measures to </w:t>
      </w:r>
      <w:r w:rsidRPr="002574EC">
        <w:t>(i)</w:t>
      </w:r>
      <w:r w:rsidR="00071108" w:rsidRPr="002574EC">
        <w:t xml:space="preserve"> significantly</w:t>
      </w:r>
      <w:r w:rsidRPr="002574EC">
        <w:t xml:space="preserve"> reduc</w:t>
      </w:r>
      <w:r w:rsidR="00365D1E" w:rsidRPr="002574EC">
        <w:t xml:space="preserve">e </w:t>
      </w:r>
      <w:r w:rsidRPr="002574EC">
        <w:t xml:space="preserve"> </w:t>
      </w:r>
      <w:r w:rsidR="00464BF9" w:rsidRPr="002574EC">
        <w:t xml:space="preserve">the number of acting judges and increase the number of </w:t>
      </w:r>
      <w:r w:rsidR="00DD5686" w:rsidRPr="002574EC">
        <w:t xml:space="preserve">permanent </w:t>
      </w:r>
      <w:r w:rsidR="00B7428B" w:rsidRPr="002574EC">
        <w:t>judges;</w:t>
      </w:r>
      <w:r w:rsidRPr="002574EC">
        <w:t xml:space="preserve"> (ii) </w:t>
      </w:r>
      <w:r w:rsidR="00F512A5" w:rsidRPr="002574EC">
        <w:t>ensure that even acting judges can only be removed through a disciplinary proce</w:t>
      </w:r>
      <w:r w:rsidR="00E94546" w:rsidRPr="002574EC">
        <w:t>eding</w:t>
      </w:r>
      <w:r w:rsidR="00F512A5" w:rsidRPr="002574EC">
        <w:t xml:space="preserve"> that respects due process guarantees, especially the duty </w:t>
      </w:r>
      <w:r w:rsidR="00136B53" w:rsidRPr="002574EC">
        <w:t>to</w:t>
      </w:r>
      <w:r w:rsidR="00F512A5" w:rsidRPr="002574EC">
        <w:t xml:space="preserve"> provide proper grounds; and </w:t>
      </w:r>
      <w:r w:rsidRPr="002574EC">
        <w:t xml:space="preserve">(iii) </w:t>
      </w:r>
      <w:r w:rsidR="00DB0F0B" w:rsidRPr="002574EC">
        <w:t xml:space="preserve">guarantee </w:t>
      </w:r>
      <w:r w:rsidR="009B4332" w:rsidRPr="002574EC">
        <w:t>the stability of the position.</w:t>
      </w:r>
    </w:p>
    <w:p w14:paraId="7253CAE5" w14:textId="2C59A899" w:rsidR="000A54D6" w:rsidRPr="002574EC" w:rsidRDefault="000A54D6" w:rsidP="007B586B">
      <w:pPr>
        <w:pStyle w:val="ListParagraph"/>
        <w:numPr>
          <w:ilvl w:val="0"/>
          <w:numId w:val="0"/>
        </w:numPr>
        <w:ind w:left="720"/>
      </w:pPr>
    </w:p>
    <w:p w14:paraId="139B9B58" w14:textId="1CCA34FD" w:rsidR="000A54D6" w:rsidRPr="002574EC" w:rsidRDefault="00772F2E" w:rsidP="00F85814">
      <w:pPr>
        <w:pStyle w:val="ListParagraph"/>
        <w:numPr>
          <w:ilvl w:val="0"/>
          <w:numId w:val="9"/>
        </w:numPr>
      </w:pPr>
      <w:r w:rsidRPr="002574EC">
        <w:t xml:space="preserve">Ensure that the procedures for selecting and appointing the magistrates of the Supreme Court of Justice include the prior dissemination of the announcement of the process, terms, and procedures; guarantees of equal and inclusive access for the candidate; the participation of civil society; and selection based on merit and professional capacity. </w:t>
      </w:r>
    </w:p>
    <w:p w14:paraId="53A34507" w14:textId="06A5BC05" w:rsidR="000A54D6" w:rsidRPr="002574EC" w:rsidRDefault="000A54D6" w:rsidP="007B586B">
      <w:pPr>
        <w:pStyle w:val="ListParagraph"/>
        <w:numPr>
          <w:ilvl w:val="0"/>
          <w:numId w:val="0"/>
        </w:numPr>
        <w:ind w:left="720"/>
      </w:pPr>
    </w:p>
    <w:p w14:paraId="399BF104" w14:textId="1AC4C0F7" w:rsidR="000A54D6" w:rsidRPr="002574EC" w:rsidRDefault="00772F2E" w:rsidP="00F85814">
      <w:pPr>
        <w:pStyle w:val="ListParagraph"/>
        <w:numPr>
          <w:ilvl w:val="0"/>
          <w:numId w:val="9"/>
        </w:numPr>
      </w:pPr>
      <w:r w:rsidRPr="002574EC">
        <w:t>Take the measures necessary</w:t>
      </w:r>
      <w:r w:rsidR="000A54D6" w:rsidRPr="002574EC">
        <w:t xml:space="preserve">, </w:t>
      </w:r>
      <w:r w:rsidRPr="002574EC">
        <w:t xml:space="preserve">including legislative measures, to ensure civilians are not investigated, prosecuted </w:t>
      </w:r>
      <w:r w:rsidR="00DA4483" w:rsidRPr="002574EC">
        <w:t>and/or brought to trial under the military criminal jurisdiction</w:t>
      </w:r>
      <w:r w:rsidR="003A2E45" w:rsidRPr="002574EC">
        <w:t>, and, where necessary, retry them in civilian courts.</w:t>
      </w:r>
      <w:r w:rsidR="000A54D6" w:rsidRPr="002574EC">
        <w:t>.</w:t>
      </w:r>
    </w:p>
    <w:p w14:paraId="2E79E744" w14:textId="16305E71" w:rsidR="000A54D6" w:rsidRPr="002574EC" w:rsidRDefault="000A54D6" w:rsidP="007C4A3F">
      <w:pPr>
        <w:ind w:left="709" w:hanging="283"/>
        <w:rPr>
          <w:rFonts w:ascii="Cambria" w:hAnsi="Cambria"/>
          <w:sz w:val="20"/>
          <w:szCs w:val="20"/>
        </w:rPr>
      </w:pPr>
    </w:p>
    <w:p w14:paraId="15A9FA1E" w14:textId="59993725" w:rsidR="000A54D6" w:rsidRPr="002574EC" w:rsidRDefault="001D0954" w:rsidP="007C4A3F">
      <w:pPr>
        <w:ind w:left="709" w:hanging="283"/>
        <w:rPr>
          <w:rFonts w:ascii="Cambria" w:hAnsi="Cambria"/>
          <w:b/>
          <w:bCs/>
          <w:sz w:val="20"/>
          <w:szCs w:val="20"/>
        </w:rPr>
      </w:pPr>
      <w:r w:rsidRPr="002574EC">
        <w:rPr>
          <w:rFonts w:ascii="Cambria" w:hAnsi="Cambria"/>
          <w:b/>
          <w:bCs/>
          <w:sz w:val="20"/>
          <w:szCs w:val="20"/>
        </w:rPr>
        <w:t>Political Rights and Right to Participate in Public Life</w:t>
      </w:r>
    </w:p>
    <w:p w14:paraId="34ECFF48" w14:textId="77777777" w:rsidR="000A54D6" w:rsidRPr="002574EC" w:rsidRDefault="000A54D6" w:rsidP="007C4A3F">
      <w:pPr>
        <w:ind w:left="709" w:hanging="283"/>
        <w:rPr>
          <w:rFonts w:ascii="Cambria" w:hAnsi="Cambria"/>
          <w:sz w:val="20"/>
          <w:szCs w:val="20"/>
        </w:rPr>
      </w:pPr>
      <w:r w:rsidRPr="002574EC">
        <w:rPr>
          <w:rFonts w:ascii="Cambria" w:hAnsi="Cambria"/>
          <w:sz w:val="20"/>
          <w:szCs w:val="20"/>
        </w:rPr>
        <w:t> </w:t>
      </w:r>
    </w:p>
    <w:p w14:paraId="030A3158" w14:textId="64959228" w:rsidR="000A54D6" w:rsidRPr="002574EC" w:rsidRDefault="00894A4E" w:rsidP="00F85814">
      <w:pPr>
        <w:pStyle w:val="ListParagraph"/>
        <w:numPr>
          <w:ilvl w:val="0"/>
          <w:numId w:val="9"/>
        </w:numPr>
      </w:pPr>
      <w:r w:rsidRPr="002574EC">
        <w:t>Refrain from making illegal or arbitrary detentions, and when a person is deprived of liberty, ensure that the measure complies with all due process guarantees, including swift</w:t>
      </w:r>
      <w:r w:rsidR="006120D9" w:rsidRPr="002574EC">
        <w:t xml:space="preserve"> </w:t>
      </w:r>
      <w:r w:rsidRPr="002574EC">
        <w:t>presentation before a judicial authority in order to prevent forced disappearances, torture, and other cruel and inhuman treatment</w:t>
      </w:r>
      <w:r w:rsidR="000A54D6" w:rsidRPr="002574EC">
        <w:t>.</w:t>
      </w:r>
    </w:p>
    <w:p w14:paraId="3913BBAF" w14:textId="1F2AB567" w:rsidR="000A54D6" w:rsidRPr="002574EC" w:rsidRDefault="000A54D6" w:rsidP="007B586B">
      <w:pPr>
        <w:pStyle w:val="ListParagraph"/>
        <w:numPr>
          <w:ilvl w:val="0"/>
          <w:numId w:val="0"/>
        </w:numPr>
        <w:ind w:left="720"/>
      </w:pPr>
    </w:p>
    <w:p w14:paraId="451403B0" w14:textId="4A9F4AAF" w:rsidR="000A54D6" w:rsidRPr="002574EC" w:rsidRDefault="003063BE" w:rsidP="00F85814">
      <w:pPr>
        <w:pStyle w:val="ListParagraph"/>
        <w:numPr>
          <w:ilvl w:val="0"/>
          <w:numId w:val="9"/>
        </w:numPr>
      </w:pPr>
      <w:r w:rsidRPr="002574EC">
        <w:t>Remove legal obstacles to the legitimate exercise of the right to protest, specifically by eliminating the requirement of prior authorization to hold demonstration</w:t>
      </w:r>
      <w:r w:rsidR="008C470C" w:rsidRPr="002574EC">
        <w:t>s</w:t>
      </w:r>
      <w:r w:rsidRPr="002574EC">
        <w:t>.</w:t>
      </w:r>
    </w:p>
    <w:p w14:paraId="2BDE62FC" w14:textId="447E02FD" w:rsidR="000A54D6" w:rsidRPr="002574EC" w:rsidRDefault="000A54D6" w:rsidP="007B586B">
      <w:pPr>
        <w:pStyle w:val="ListParagraph"/>
        <w:numPr>
          <w:ilvl w:val="0"/>
          <w:numId w:val="0"/>
        </w:numPr>
        <w:ind w:left="720"/>
      </w:pPr>
    </w:p>
    <w:p w14:paraId="0D88348B" w14:textId="72C51028" w:rsidR="000A54D6" w:rsidRPr="002574EC" w:rsidRDefault="00955459" w:rsidP="00F85814">
      <w:pPr>
        <w:pStyle w:val="ListParagraph"/>
        <w:numPr>
          <w:ilvl w:val="0"/>
          <w:numId w:val="9"/>
        </w:numPr>
      </w:pPr>
      <w:r w:rsidRPr="002574EC">
        <w:t xml:space="preserve">Take a variety of measures, including legal measures, to ensure that firearms are not used to control social protests, as well as establish guidelines to ensure the use of less-lethal weapons. </w:t>
      </w:r>
    </w:p>
    <w:p w14:paraId="3D54678D" w14:textId="31458432" w:rsidR="000A54D6" w:rsidRPr="002574EC" w:rsidRDefault="000A54D6" w:rsidP="007B586B">
      <w:pPr>
        <w:pStyle w:val="ListParagraph"/>
        <w:numPr>
          <w:ilvl w:val="0"/>
          <w:numId w:val="0"/>
        </w:numPr>
        <w:ind w:left="720"/>
      </w:pPr>
    </w:p>
    <w:p w14:paraId="6A1568C2" w14:textId="026BC24E" w:rsidR="000A54D6" w:rsidRPr="002574EC" w:rsidRDefault="00955459" w:rsidP="00F85814">
      <w:pPr>
        <w:pStyle w:val="ListParagraph"/>
        <w:numPr>
          <w:ilvl w:val="0"/>
          <w:numId w:val="9"/>
        </w:numPr>
      </w:pPr>
      <w:r w:rsidRPr="002574EC">
        <w:t>Grant journalists the highest level of protection to ensure that they are not detained, threatened, or attacked for practicing their profession</w:t>
      </w:r>
      <w:r w:rsidR="00CE0878" w:rsidRPr="002574EC">
        <w:t>, especially during a public demonstration. Their work materials and tools must not be destroyed or confiscated.  The State must guarantee national and foreign media the ability to broadcast live during demonstrations and public even</w:t>
      </w:r>
      <w:r w:rsidR="00D9728E" w:rsidRPr="002574EC">
        <w:t>t</w:t>
      </w:r>
      <w:r w:rsidR="00CE0878" w:rsidRPr="002574EC">
        <w:t>s and not adopt measures to regulate or limit the free circulation of information.</w:t>
      </w:r>
    </w:p>
    <w:p w14:paraId="5260C0D4" w14:textId="52ED354D" w:rsidR="000A54D6" w:rsidRPr="002574EC" w:rsidRDefault="000A54D6" w:rsidP="007B586B">
      <w:pPr>
        <w:pStyle w:val="ListParagraph"/>
        <w:numPr>
          <w:ilvl w:val="0"/>
          <w:numId w:val="0"/>
        </w:numPr>
        <w:ind w:left="720"/>
      </w:pPr>
    </w:p>
    <w:p w14:paraId="64D26380" w14:textId="65343847" w:rsidR="000A54D6" w:rsidRPr="002574EC" w:rsidRDefault="00E6177E" w:rsidP="00F85814">
      <w:pPr>
        <w:pStyle w:val="ListParagraph"/>
        <w:numPr>
          <w:ilvl w:val="0"/>
          <w:numId w:val="9"/>
        </w:numPr>
      </w:pPr>
      <w:r w:rsidRPr="002574EC">
        <w:t>Facilitate public demonstrations</w:t>
      </w:r>
      <w:r w:rsidR="00D50B31" w:rsidRPr="002574EC">
        <w:t xml:space="preserve"> </w:t>
      </w:r>
      <w:r w:rsidRPr="002574EC">
        <w:t xml:space="preserve">and cooperate with the organizers of demonstrations to help them </w:t>
      </w:r>
      <w:r w:rsidR="00D50B31" w:rsidRPr="002574EC">
        <w:t>to perform their function</w:t>
      </w:r>
      <w:r w:rsidR="00B9149F" w:rsidRPr="002574EC">
        <w:t>, without discrimination based on political opinion.</w:t>
      </w:r>
    </w:p>
    <w:p w14:paraId="76400136" w14:textId="71229B38" w:rsidR="000A54D6" w:rsidRPr="002574EC" w:rsidRDefault="000A54D6" w:rsidP="007B586B">
      <w:pPr>
        <w:pStyle w:val="ListParagraph"/>
        <w:numPr>
          <w:ilvl w:val="0"/>
          <w:numId w:val="0"/>
        </w:numPr>
        <w:ind w:left="720"/>
      </w:pPr>
    </w:p>
    <w:p w14:paraId="107B5B0C" w14:textId="5C8C2371" w:rsidR="000A54D6" w:rsidRPr="002574EC" w:rsidRDefault="00D50B31" w:rsidP="00F85814">
      <w:pPr>
        <w:pStyle w:val="ListParagraph"/>
        <w:numPr>
          <w:ilvl w:val="0"/>
          <w:numId w:val="9"/>
        </w:numPr>
      </w:pPr>
      <w:r w:rsidRPr="002574EC">
        <w:t xml:space="preserve">Change ambiguous or imprecise criminal laws that disproportionately limit freedom of expression, such as laws intended to protect the honor of ideas or institutions or that seek to protect national security or public peace, in order to protect national security or public peace, </w:t>
      </w:r>
      <w:r w:rsidR="00345493" w:rsidRPr="002574EC">
        <w:t xml:space="preserve">to ensure that </w:t>
      </w:r>
      <w:r w:rsidRPr="002574EC">
        <w:t>criminal proceedings</w:t>
      </w:r>
      <w:r w:rsidR="00345493" w:rsidRPr="002574EC">
        <w:t xml:space="preserve"> are not used</w:t>
      </w:r>
      <w:r w:rsidRPr="002574EC">
        <w:t xml:space="preserve"> to inhibit free democratic debate on matters of public interest and the full exercise of political rights</w:t>
      </w:r>
      <w:r w:rsidR="000A54D6" w:rsidRPr="002574EC">
        <w:t>.</w:t>
      </w:r>
    </w:p>
    <w:p w14:paraId="67609A86" w14:textId="57A9A1C9" w:rsidR="000A54D6" w:rsidRPr="002574EC" w:rsidRDefault="000A54D6" w:rsidP="007B586B">
      <w:pPr>
        <w:pStyle w:val="ListParagraph"/>
        <w:numPr>
          <w:ilvl w:val="0"/>
          <w:numId w:val="0"/>
        </w:numPr>
        <w:ind w:left="720"/>
      </w:pPr>
    </w:p>
    <w:p w14:paraId="0014E53E" w14:textId="78AEB902" w:rsidR="000A54D6" w:rsidRPr="002574EC" w:rsidRDefault="00545F87" w:rsidP="00F85814">
      <w:pPr>
        <w:pStyle w:val="ListParagraph"/>
        <w:numPr>
          <w:ilvl w:val="0"/>
          <w:numId w:val="9"/>
        </w:numPr>
      </w:pPr>
      <w:r w:rsidRPr="002574EC">
        <w:t>Ensure that crimes against freedom of expression are subject to independent, quick and effective investigations and judicial proceedings</w:t>
      </w:r>
      <w:r w:rsidR="00065BF3" w:rsidRPr="002574EC">
        <w:t>.  In addition to criminal investigations, discipl</w:t>
      </w:r>
      <w:r w:rsidR="00C7358D" w:rsidRPr="002574EC">
        <w:t>ina</w:t>
      </w:r>
      <w:r w:rsidR="00065BF3" w:rsidRPr="002574EC">
        <w:t xml:space="preserve">ry proceedings should be launched when there is evidence that public officials have violated freedom of expression in the course of their professional conduct. </w:t>
      </w:r>
    </w:p>
    <w:p w14:paraId="3CAB37D7" w14:textId="21B09255" w:rsidR="000A54D6" w:rsidRPr="002574EC" w:rsidRDefault="000A54D6" w:rsidP="007B586B">
      <w:pPr>
        <w:pStyle w:val="ListParagraph"/>
        <w:numPr>
          <w:ilvl w:val="0"/>
          <w:numId w:val="0"/>
        </w:numPr>
        <w:ind w:left="720"/>
      </w:pPr>
    </w:p>
    <w:p w14:paraId="0F8A156B" w14:textId="0762DCD1" w:rsidR="000A54D6" w:rsidRPr="002574EC" w:rsidRDefault="000A54D6" w:rsidP="00F85814">
      <w:pPr>
        <w:pStyle w:val="ListParagraph"/>
        <w:numPr>
          <w:ilvl w:val="0"/>
          <w:numId w:val="9"/>
        </w:numPr>
      </w:pPr>
      <w:r w:rsidRPr="002574EC">
        <w:t>A</w:t>
      </w:r>
      <w:r w:rsidR="00E94084" w:rsidRPr="002574EC">
        <w:t xml:space="preserve">dopt legislation on access to public information in keeping with Inter-American standards in order to provide all people with tools </w:t>
      </w:r>
      <w:r w:rsidR="00D80AD5" w:rsidRPr="002574EC">
        <w:t xml:space="preserve">to </w:t>
      </w:r>
      <w:r w:rsidR="00E94084" w:rsidRPr="002574EC">
        <w:t>effectively monitor State operations, public administration, and contro</w:t>
      </w:r>
      <w:r w:rsidR="00B36BA2" w:rsidRPr="002574EC">
        <w:t>l</w:t>
      </w:r>
      <w:r w:rsidR="00E94084" w:rsidRPr="002574EC">
        <w:t xml:space="preserve"> corruption, all of which </w:t>
      </w:r>
      <w:r w:rsidR="0031502E" w:rsidRPr="002574EC">
        <w:t xml:space="preserve">is </w:t>
      </w:r>
      <w:r w:rsidR="00E94084" w:rsidRPr="002574EC">
        <w:t xml:space="preserve">essential </w:t>
      </w:r>
      <w:r w:rsidR="005448A9" w:rsidRPr="002574EC">
        <w:t>to</w:t>
      </w:r>
      <w:r w:rsidR="00E94084" w:rsidRPr="002574EC">
        <w:t xml:space="preserve"> democracy. </w:t>
      </w:r>
    </w:p>
    <w:p w14:paraId="3F64509C" w14:textId="0DEA9974" w:rsidR="000A54D6" w:rsidRPr="002574EC" w:rsidRDefault="000A54D6" w:rsidP="007B586B">
      <w:pPr>
        <w:pStyle w:val="ListParagraph"/>
        <w:numPr>
          <w:ilvl w:val="0"/>
          <w:numId w:val="0"/>
        </w:numPr>
        <w:ind w:left="720"/>
      </w:pPr>
    </w:p>
    <w:p w14:paraId="067546FE" w14:textId="4E84FA6B" w:rsidR="000A54D6" w:rsidRPr="002574EC" w:rsidRDefault="00333201" w:rsidP="00F85814">
      <w:pPr>
        <w:pStyle w:val="ListParagraph"/>
        <w:numPr>
          <w:ilvl w:val="0"/>
          <w:numId w:val="9"/>
        </w:numPr>
      </w:pPr>
      <w:r w:rsidRPr="002574EC">
        <w:lastRenderedPageBreak/>
        <w:t xml:space="preserve">Refrain from limiting the functioning of webpages, blogs, apps </w:t>
      </w:r>
      <w:r w:rsidR="001F07CE" w:rsidRPr="002574EC">
        <w:t xml:space="preserve">or other systems for disseminating information over the internet, electronically, or otherwise, including support systems such as ISPs or search engines. </w:t>
      </w:r>
      <w:r w:rsidR="00B81CB9" w:rsidRPr="002574EC">
        <w:t>These limitations are permissible only when they are compatible with the conditions governing the limitation of freedom of expression.</w:t>
      </w:r>
    </w:p>
    <w:p w14:paraId="5C313B57" w14:textId="77777777" w:rsidR="000A54D6" w:rsidRPr="002574EC" w:rsidRDefault="000A54D6" w:rsidP="007C4A3F">
      <w:pPr>
        <w:ind w:left="709" w:hanging="283"/>
        <w:rPr>
          <w:rFonts w:ascii="Cambria" w:hAnsi="Cambria"/>
          <w:sz w:val="20"/>
          <w:szCs w:val="20"/>
        </w:rPr>
      </w:pPr>
      <w:r w:rsidRPr="002574EC">
        <w:rPr>
          <w:rFonts w:ascii="Cambria" w:hAnsi="Cambria"/>
          <w:sz w:val="20"/>
          <w:szCs w:val="20"/>
        </w:rPr>
        <w:t> </w:t>
      </w:r>
    </w:p>
    <w:p w14:paraId="67BE53DE" w14:textId="3520B139" w:rsidR="000A54D6" w:rsidRPr="002574EC" w:rsidRDefault="000A54D6" w:rsidP="007C4A3F">
      <w:pPr>
        <w:ind w:left="709" w:hanging="283"/>
        <w:rPr>
          <w:rFonts w:ascii="Cambria" w:hAnsi="Cambria"/>
          <w:b/>
          <w:bCs/>
          <w:sz w:val="20"/>
          <w:szCs w:val="20"/>
        </w:rPr>
      </w:pPr>
      <w:r w:rsidRPr="002574EC">
        <w:rPr>
          <w:rFonts w:ascii="Cambria" w:hAnsi="Cambria"/>
          <w:b/>
          <w:bCs/>
          <w:sz w:val="20"/>
          <w:szCs w:val="20"/>
        </w:rPr>
        <w:t>Violenc</w:t>
      </w:r>
      <w:r w:rsidR="004415F9" w:rsidRPr="002574EC">
        <w:rPr>
          <w:rFonts w:ascii="Cambria" w:hAnsi="Cambria"/>
          <w:b/>
          <w:bCs/>
          <w:sz w:val="20"/>
          <w:szCs w:val="20"/>
        </w:rPr>
        <w:t>e and Citizen Security</w:t>
      </w:r>
    </w:p>
    <w:p w14:paraId="2A250214" w14:textId="77777777" w:rsidR="007C4A3F" w:rsidRPr="002574EC" w:rsidRDefault="007C4A3F" w:rsidP="007C4A3F">
      <w:pPr>
        <w:ind w:left="709" w:hanging="283"/>
        <w:rPr>
          <w:rFonts w:ascii="Cambria" w:hAnsi="Cambria"/>
          <w:b/>
          <w:bCs/>
          <w:sz w:val="20"/>
          <w:szCs w:val="20"/>
        </w:rPr>
      </w:pPr>
    </w:p>
    <w:p w14:paraId="39694E4E" w14:textId="59B68388" w:rsidR="000A54D6" w:rsidRPr="002574EC" w:rsidRDefault="000F1973" w:rsidP="00F85814">
      <w:pPr>
        <w:pStyle w:val="ListParagraph"/>
        <w:numPr>
          <w:ilvl w:val="0"/>
          <w:numId w:val="9"/>
        </w:numPr>
      </w:pPr>
      <w:r w:rsidRPr="002574EC">
        <w:t xml:space="preserve">Produce disaggregated official information that is accessible to the public about </w:t>
      </w:r>
      <w:r w:rsidR="00852BB0" w:rsidRPr="002574EC">
        <w:t>the causes, victims, and perpetrators of deaths</w:t>
      </w:r>
      <w:r w:rsidR="00C22E66" w:rsidRPr="002574EC">
        <w:t xml:space="preserve"> that take place during citizen security operations. </w:t>
      </w:r>
    </w:p>
    <w:p w14:paraId="13832159" w14:textId="77777777" w:rsidR="000A54D6" w:rsidRPr="002574EC" w:rsidRDefault="000A54D6" w:rsidP="007B586B">
      <w:pPr>
        <w:pStyle w:val="ListParagraph"/>
        <w:numPr>
          <w:ilvl w:val="0"/>
          <w:numId w:val="0"/>
        </w:numPr>
        <w:ind w:left="720"/>
      </w:pPr>
    </w:p>
    <w:p w14:paraId="1B1177C8" w14:textId="18C1D76F" w:rsidR="000A54D6" w:rsidRPr="002574EC" w:rsidRDefault="008D133E" w:rsidP="00F85814">
      <w:pPr>
        <w:pStyle w:val="ListParagraph"/>
        <w:numPr>
          <w:ilvl w:val="0"/>
          <w:numId w:val="9"/>
        </w:numPr>
      </w:pPr>
      <w:r w:rsidRPr="002574EC">
        <w:t xml:space="preserve">Ensure that force is used in strict compliance with the principles of exceptionality, legality, necessity, proportionality, </w:t>
      </w:r>
      <w:r w:rsidR="002B0492" w:rsidRPr="002574EC">
        <w:t>n</w:t>
      </w:r>
      <w:r w:rsidRPr="002574EC">
        <w:t xml:space="preserve">on-discrimination, and accountability; and launch, </w:t>
      </w:r>
      <w:r w:rsidRPr="002574EC">
        <w:rPr>
          <w:i/>
          <w:iCs/>
        </w:rPr>
        <w:t>ex officio</w:t>
      </w:r>
      <w:r w:rsidRPr="002574EC">
        <w:t>, and without delay</w:t>
      </w:r>
      <w:r w:rsidR="00036894" w:rsidRPr="002574EC">
        <w:t>,</w:t>
      </w:r>
      <w:r w:rsidRPr="002574EC">
        <w:t xml:space="preserve"> </w:t>
      </w:r>
      <w:r w:rsidR="00481023" w:rsidRPr="002574EC">
        <w:t xml:space="preserve">a </w:t>
      </w:r>
      <w:r w:rsidRPr="002574EC">
        <w:t>serious, impartial, and effective investigation that is open to public scrutiny into facts related to the potentially excessive use of force</w:t>
      </w:r>
      <w:r w:rsidR="000A54D6" w:rsidRPr="002574EC">
        <w:t>.</w:t>
      </w:r>
    </w:p>
    <w:p w14:paraId="0E3DFBEE" w14:textId="68CD80D2" w:rsidR="000A54D6" w:rsidRPr="002574EC" w:rsidRDefault="000A54D6" w:rsidP="007B586B">
      <w:pPr>
        <w:pStyle w:val="ListParagraph"/>
        <w:numPr>
          <w:ilvl w:val="0"/>
          <w:numId w:val="0"/>
        </w:numPr>
        <w:ind w:left="720"/>
      </w:pPr>
    </w:p>
    <w:p w14:paraId="4029F850" w14:textId="63F276BA" w:rsidR="000A54D6" w:rsidRPr="002574EC" w:rsidRDefault="001847F5" w:rsidP="00F85814">
      <w:pPr>
        <w:pStyle w:val="ListParagraph"/>
        <w:numPr>
          <w:ilvl w:val="0"/>
          <w:numId w:val="9"/>
        </w:numPr>
      </w:pPr>
      <w:r w:rsidRPr="002574EC">
        <w:t>Immediately and decisively adopt measures to exclude the military, armed forces, and armed civilian groups from performing citizen security</w:t>
      </w:r>
      <w:r w:rsidR="003F3FAE" w:rsidRPr="002574EC">
        <w:t xml:space="preserve"> </w:t>
      </w:r>
      <w:r w:rsidR="00BD381E" w:rsidRPr="002574EC">
        <w:t>functions</w:t>
      </w:r>
      <w:r w:rsidR="005C2488" w:rsidRPr="002574EC">
        <w:t xml:space="preserve">. </w:t>
      </w:r>
      <w:r w:rsidR="00F673AF" w:rsidRPr="002574EC">
        <w:t>In exceptional cases</w:t>
      </w:r>
      <w:r w:rsidR="00A610A9" w:rsidRPr="002574EC">
        <w:t>, when</w:t>
      </w:r>
      <w:r w:rsidR="00CF5D3D" w:rsidRPr="002574EC">
        <w:t xml:space="preserve"> members of the military participat</w:t>
      </w:r>
      <w:r w:rsidR="0054483F" w:rsidRPr="002574EC">
        <w:t xml:space="preserve">e </w:t>
      </w:r>
      <w:r w:rsidR="00CF5D3D" w:rsidRPr="002574EC">
        <w:t>in public order operations</w:t>
      </w:r>
      <w:r w:rsidR="00764DC8" w:rsidRPr="002574EC">
        <w:t xml:space="preserve">, which are the responsibility of the police, they must be placed under civilian authority. </w:t>
      </w:r>
      <w:r w:rsidR="00CF5D3D" w:rsidRPr="002574EC">
        <w:t xml:space="preserve"> </w:t>
      </w:r>
    </w:p>
    <w:p w14:paraId="7B0B7CA8" w14:textId="77777777" w:rsidR="00847A6D" w:rsidRPr="002574EC" w:rsidRDefault="00847A6D" w:rsidP="00847A6D">
      <w:pPr>
        <w:rPr>
          <w:rFonts w:ascii="Cambria" w:hAnsi="Cambria"/>
          <w:sz w:val="20"/>
          <w:szCs w:val="20"/>
        </w:rPr>
      </w:pPr>
    </w:p>
    <w:p w14:paraId="08D3DC48" w14:textId="12A5870D" w:rsidR="000A54D6" w:rsidRPr="002574EC" w:rsidRDefault="00FD7FA2" w:rsidP="00F85814">
      <w:pPr>
        <w:pStyle w:val="ListParagraph"/>
        <w:numPr>
          <w:ilvl w:val="0"/>
          <w:numId w:val="9"/>
        </w:numPr>
      </w:pPr>
      <w:r w:rsidRPr="002574EC">
        <w:t xml:space="preserve">Instruct State security agents </w:t>
      </w:r>
      <w:r w:rsidR="00810BC6" w:rsidRPr="002574EC">
        <w:t>to eschew stereotype-based reasoning in the use of force, especially toward young men in situations of poverty.</w:t>
      </w:r>
    </w:p>
    <w:p w14:paraId="42B6735F" w14:textId="764F2E02" w:rsidR="000A54D6" w:rsidRPr="002574EC" w:rsidRDefault="000A54D6" w:rsidP="007B586B">
      <w:pPr>
        <w:pStyle w:val="ListParagraph"/>
        <w:numPr>
          <w:ilvl w:val="0"/>
          <w:numId w:val="0"/>
        </w:numPr>
        <w:ind w:left="720"/>
      </w:pPr>
    </w:p>
    <w:p w14:paraId="6C74ECB5" w14:textId="01B8AFCB" w:rsidR="000A54D6" w:rsidRPr="002574EC" w:rsidRDefault="000A54D6" w:rsidP="007C4A3F">
      <w:pPr>
        <w:ind w:left="709" w:hanging="283"/>
        <w:rPr>
          <w:rFonts w:ascii="Cambria" w:hAnsi="Cambria"/>
          <w:b/>
          <w:bCs/>
          <w:sz w:val="20"/>
          <w:szCs w:val="20"/>
        </w:rPr>
      </w:pPr>
      <w:r w:rsidRPr="002574EC">
        <w:rPr>
          <w:rFonts w:ascii="Cambria" w:hAnsi="Cambria"/>
          <w:b/>
          <w:bCs/>
          <w:sz w:val="20"/>
          <w:szCs w:val="20"/>
        </w:rPr>
        <w:t>P</w:t>
      </w:r>
      <w:r w:rsidR="003B7D48" w:rsidRPr="002574EC">
        <w:rPr>
          <w:rFonts w:ascii="Cambria" w:hAnsi="Cambria"/>
          <w:b/>
          <w:bCs/>
          <w:sz w:val="20"/>
          <w:szCs w:val="20"/>
        </w:rPr>
        <w:t>overty and ESCE</w:t>
      </w:r>
      <w:r w:rsidR="002F1496" w:rsidRPr="002574EC">
        <w:rPr>
          <w:rFonts w:ascii="Cambria" w:hAnsi="Cambria"/>
          <w:b/>
          <w:bCs/>
          <w:sz w:val="20"/>
          <w:szCs w:val="20"/>
        </w:rPr>
        <w:t xml:space="preserve"> Rights</w:t>
      </w:r>
      <w:r w:rsidR="003B7D48" w:rsidRPr="002574EC">
        <w:rPr>
          <w:rFonts w:ascii="Cambria" w:hAnsi="Cambria"/>
          <w:b/>
          <w:bCs/>
          <w:sz w:val="20"/>
          <w:szCs w:val="20"/>
        </w:rPr>
        <w:t xml:space="preserve"> </w:t>
      </w:r>
    </w:p>
    <w:p w14:paraId="5CA9DCDB" w14:textId="77777777" w:rsidR="000A54D6" w:rsidRPr="002574EC" w:rsidRDefault="000A54D6" w:rsidP="007C4A3F">
      <w:pPr>
        <w:ind w:left="709" w:hanging="283"/>
        <w:rPr>
          <w:rFonts w:ascii="Cambria" w:hAnsi="Cambria"/>
          <w:sz w:val="20"/>
          <w:szCs w:val="20"/>
        </w:rPr>
      </w:pPr>
      <w:r w:rsidRPr="002574EC">
        <w:rPr>
          <w:rFonts w:ascii="Cambria" w:hAnsi="Cambria"/>
          <w:sz w:val="20"/>
          <w:szCs w:val="20"/>
        </w:rPr>
        <w:t> </w:t>
      </w:r>
    </w:p>
    <w:p w14:paraId="7B8A9632" w14:textId="0F9BD540" w:rsidR="000A54D6" w:rsidRPr="002574EC" w:rsidRDefault="000A54D6" w:rsidP="00F85814">
      <w:pPr>
        <w:pStyle w:val="ListParagraph"/>
        <w:numPr>
          <w:ilvl w:val="0"/>
          <w:numId w:val="9"/>
        </w:numPr>
      </w:pPr>
      <w:r w:rsidRPr="002574EC">
        <w:t>Monitor</w:t>
      </w:r>
      <w:r w:rsidR="003B7D48" w:rsidRPr="002574EC">
        <w:t xml:space="preserve"> the avail</w:t>
      </w:r>
      <w:r w:rsidR="00972B1F" w:rsidRPr="002574EC">
        <w:t xml:space="preserve">ability of and access to medicine and healthcare services and take new measures to ensure the availability </w:t>
      </w:r>
      <w:r w:rsidR="00971FD3" w:rsidRPr="002574EC">
        <w:t xml:space="preserve">and quality of healthcare services, ensuring </w:t>
      </w:r>
      <w:r w:rsidR="002B4CEB" w:rsidRPr="002574EC">
        <w:t>that facilities have sufficient medications and medical equipment.</w:t>
      </w:r>
    </w:p>
    <w:p w14:paraId="0EB0F7CD" w14:textId="6152B04B" w:rsidR="000A54D6" w:rsidRPr="002574EC" w:rsidRDefault="000A54D6" w:rsidP="007B586B">
      <w:pPr>
        <w:pStyle w:val="ListParagraph"/>
        <w:numPr>
          <w:ilvl w:val="0"/>
          <w:numId w:val="0"/>
        </w:numPr>
        <w:ind w:left="720"/>
      </w:pPr>
    </w:p>
    <w:p w14:paraId="361F1BDC" w14:textId="1AEAD341" w:rsidR="000A54D6" w:rsidRPr="002574EC" w:rsidRDefault="000A54D6" w:rsidP="00F85814">
      <w:pPr>
        <w:pStyle w:val="ListParagraph"/>
        <w:numPr>
          <w:ilvl w:val="0"/>
          <w:numId w:val="9"/>
        </w:numPr>
      </w:pPr>
      <w:r w:rsidRPr="002574EC">
        <w:t>Adopt</w:t>
      </w:r>
      <w:r w:rsidR="001B5D9E" w:rsidRPr="002574EC">
        <w:t xml:space="preserve"> measures to guarantee the availability </w:t>
      </w:r>
      <w:r w:rsidR="00DA2356" w:rsidRPr="002574EC">
        <w:t xml:space="preserve">and quality of water by ensuring </w:t>
      </w:r>
      <w:r w:rsidR="00D607B0" w:rsidRPr="002574EC">
        <w:t>that</w:t>
      </w:r>
      <w:r w:rsidR="00C938BC" w:rsidRPr="002574EC">
        <w:t xml:space="preserve"> drinking water supply</w:t>
      </w:r>
      <w:r w:rsidR="00D607B0" w:rsidRPr="002574EC">
        <w:t xml:space="preserve"> systems are not damaged or affected in ways that could impact the water supply.</w:t>
      </w:r>
    </w:p>
    <w:p w14:paraId="61A350D9" w14:textId="6641FE17" w:rsidR="000A54D6" w:rsidRPr="002574EC" w:rsidRDefault="000A54D6" w:rsidP="007B586B">
      <w:pPr>
        <w:pStyle w:val="ListParagraph"/>
        <w:numPr>
          <w:ilvl w:val="0"/>
          <w:numId w:val="0"/>
        </w:numPr>
        <w:ind w:left="720"/>
      </w:pPr>
      <w:r w:rsidRPr="002574EC">
        <w:br/>
      </w:r>
      <w:r w:rsidR="00C938BC" w:rsidRPr="002574EC">
        <w:t xml:space="preserve">Refrain from any action or conduct </w:t>
      </w:r>
      <w:r w:rsidR="00B175BC" w:rsidRPr="002574EC">
        <w:t>that</w:t>
      </w:r>
      <w:r w:rsidR="00C938BC" w:rsidRPr="002574EC">
        <w:t xml:space="preserve"> could limit the autonomy of universities, investigating, as well as reviewing and amending all legislation or practices that </w:t>
      </w:r>
      <w:r w:rsidR="00EC72E8" w:rsidRPr="002574EC">
        <w:t xml:space="preserve">undermine </w:t>
      </w:r>
      <w:r w:rsidR="00C938BC" w:rsidRPr="002574EC">
        <w:t xml:space="preserve">it. </w:t>
      </w:r>
    </w:p>
    <w:p w14:paraId="51617856" w14:textId="4B788022" w:rsidR="000A54D6" w:rsidRPr="002574EC" w:rsidRDefault="000A54D6" w:rsidP="00847A6D">
      <w:pPr>
        <w:rPr>
          <w:rFonts w:ascii="Cambria" w:hAnsi="Cambria"/>
          <w:sz w:val="20"/>
          <w:szCs w:val="20"/>
        </w:rPr>
      </w:pPr>
    </w:p>
    <w:p w14:paraId="23525D7A" w14:textId="7D26F99B" w:rsidR="000A54D6" w:rsidRPr="002574EC" w:rsidRDefault="000F14FE" w:rsidP="00F85814">
      <w:pPr>
        <w:pStyle w:val="ListParagraph"/>
        <w:numPr>
          <w:ilvl w:val="0"/>
          <w:numId w:val="9"/>
        </w:numPr>
      </w:pPr>
      <w:r w:rsidRPr="002574EC">
        <w:t xml:space="preserve">Conduct an environmental </w:t>
      </w:r>
      <w:r w:rsidR="00E93A03" w:rsidRPr="002574EC">
        <w:t xml:space="preserve">and social impact </w:t>
      </w:r>
      <w:r w:rsidR="005C5F92" w:rsidRPr="002574EC">
        <w:t xml:space="preserve">assessment </w:t>
      </w:r>
      <w:r w:rsidR="00E93A03" w:rsidRPr="002574EC">
        <w:t xml:space="preserve">for the entire Orinoco </w:t>
      </w:r>
      <w:r w:rsidR="000C333E" w:rsidRPr="002574EC">
        <w:t xml:space="preserve">River </w:t>
      </w:r>
      <w:r w:rsidR="00E93A03" w:rsidRPr="002574EC">
        <w:t>Mining Crescent and set up a program for regular soil and water quality monitoring.</w:t>
      </w:r>
    </w:p>
    <w:p w14:paraId="29D8C9D1" w14:textId="77777777" w:rsidR="000A54D6" w:rsidRPr="002574EC" w:rsidRDefault="000A54D6" w:rsidP="007C4A3F">
      <w:pPr>
        <w:ind w:left="709" w:hanging="283"/>
        <w:rPr>
          <w:rFonts w:ascii="Cambria" w:hAnsi="Cambria"/>
          <w:sz w:val="20"/>
          <w:szCs w:val="20"/>
        </w:rPr>
      </w:pPr>
      <w:r w:rsidRPr="002574EC">
        <w:rPr>
          <w:rFonts w:ascii="Cambria" w:hAnsi="Cambria"/>
          <w:sz w:val="20"/>
          <w:szCs w:val="20"/>
        </w:rPr>
        <w:t> </w:t>
      </w:r>
    </w:p>
    <w:p w14:paraId="7CC32F1D" w14:textId="7643470D" w:rsidR="000A54D6" w:rsidRPr="002574EC" w:rsidRDefault="000A54D6" w:rsidP="007C4A3F">
      <w:pPr>
        <w:ind w:left="709" w:hanging="283"/>
        <w:rPr>
          <w:rFonts w:ascii="Cambria" w:hAnsi="Cambria"/>
          <w:b/>
          <w:bCs/>
          <w:sz w:val="20"/>
          <w:szCs w:val="20"/>
        </w:rPr>
      </w:pPr>
      <w:r w:rsidRPr="002574EC">
        <w:rPr>
          <w:rFonts w:ascii="Cambria" w:hAnsi="Cambria"/>
          <w:b/>
          <w:bCs/>
          <w:sz w:val="20"/>
          <w:szCs w:val="20"/>
        </w:rPr>
        <w:t xml:space="preserve">Persons </w:t>
      </w:r>
      <w:r w:rsidR="00D07A62" w:rsidRPr="002574EC">
        <w:rPr>
          <w:rFonts w:ascii="Cambria" w:hAnsi="Cambria"/>
          <w:b/>
          <w:bCs/>
          <w:sz w:val="20"/>
          <w:szCs w:val="20"/>
        </w:rPr>
        <w:t xml:space="preserve">Deprived of Liberty </w:t>
      </w:r>
    </w:p>
    <w:p w14:paraId="66F363B8" w14:textId="77777777" w:rsidR="000A54D6" w:rsidRPr="002574EC" w:rsidRDefault="000A54D6" w:rsidP="007C4A3F">
      <w:pPr>
        <w:ind w:left="709" w:hanging="283"/>
        <w:rPr>
          <w:rFonts w:ascii="Cambria" w:hAnsi="Cambria"/>
          <w:sz w:val="20"/>
          <w:szCs w:val="20"/>
        </w:rPr>
      </w:pPr>
      <w:r w:rsidRPr="002574EC">
        <w:rPr>
          <w:rFonts w:ascii="Cambria" w:hAnsi="Cambria"/>
          <w:sz w:val="20"/>
          <w:szCs w:val="20"/>
        </w:rPr>
        <w:t> </w:t>
      </w:r>
    </w:p>
    <w:p w14:paraId="2245712C" w14:textId="25F24C82" w:rsidR="000A54D6" w:rsidRPr="002574EC" w:rsidRDefault="000A54D6" w:rsidP="00F85814">
      <w:pPr>
        <w:pStyle w:val="ListParagraph"/>
        <w:numPr>
          <w:ilvl w:val="0"/>
          <w:numId w:val="9"/>
        </w:numPr>
      </w:pPr>
      <w:r w:rsidRPr="002574EC">
        <w:t>P</w:t>
      </w:r>
      <w:r w:rsidR="009B623C" w:rsidRPr="002574EC">
        <w:t xml:space="preserve">romote the use of alternative measures to deprivation of liberty and to the use of pretrial </w:t>
      </w:r>
      <w:r w:rsidR="006C391C" w:rsidRPr="002574EC">
        <w:t xml:space="preserve">detention that is in keeping </w:t>
      </w:r>
      <w:r w:rsidR="00BF5C3C" w:rsidRPr="002574EC">
        <w:t xml:space="preserve">with its exceptional nature and limited by the principles of legality, presumption of innocence, necessity, and proportionality. </w:t>
      </w:r>
    </w:p>
    <w:p w14:paraId="5D136AF7" w14:textId="54AD44AC" w:rsidR="000A54D6" w:rsidRPr="002574EC" w:rsidRDefault="000A54D6" w:rsidP="007B586B">
      <w:pPr>
        <w:pStyle w:val="ListParagraph"/>
        <w:numPr>
          <w:ilvl w:val="0"/>
          <w:numId w:val="0"/>
        </w:numPr>
        <w:ind w:left="720"/>
      </w:pPr>
    </w:p>
    <w:p w14:paraId="4CFB7898" w14:textId="0FA74733" w:rsidR="000A54D6" w:rsidRPr="002574EC" w:rsidRDefault="00BF5C3C" w:rsidP="00F85814">
      <w:pPr>
        <w:pStyle w:val="ListParagraph"/>
        <w:numPr>
          <w:ilvl w:val="0"/>
          <w:numId w:val="9"/>
        </w:numPr>
      </w:pPr>
      <w:r w:rsidRPr="002574EC">
        <w:t>Take urgent and necessary measures to stop using police jails as permanent prisons.</w:t>
      </w:r>
    </w:p>
    <w:p w14:paraId="664E4A84" w14:textId="1AEEC2A0" w:rsidR="000A54D6" w:rsidRPr="002574EC" w:rsidRDefault="000A54D6" w:rsidP="007B586B">
      <w:pPr>
        <w:pStyle w:val="ListParagraph"/>
        <w:numPr>
          <w:ilvl w:val="0"/>
          <w:numId w:val="0"/>
        </w:numPr>
        <w:ind w:left="720"/>
      </w:pPr>
    </w:p>
    <w:p w14:paraId="648D87FC" w14:textId="07F37969" w:rsidR="000A54D6" w:rsidRPr="002574EC" w:rsidRDefault="00EC6E78" w:rsidP="00F85814">
      <w:pPr>
        <w:pStyle w:val="ListParagraph"/>
        <w:numPr>
          <w:ilvl w:val="0"/>
          <w:numId w:val="9"/>
        </w:numPr>
      </w:pPr>
      <w:r w:rsidRPr="002574EC">
        <w:t xml:space="preserve">Adopt the </w:t>
      </w:r>
      <w:r w:rsidR="00A33ED3" w:rsidRPr="002574EC">
        <w:t xml:space="preserve">penitentiary </w:t>
      </w:r>
      <w:r w:rsidRPr="002574EC">
        <w:t xml:space="preserve">policies </w:t>
      </w:r>
      <w:r w:rsidR="005C6D54" w:rsidRPr="002574EC">
        <w:t xml:space="preserve">necessary </w:t>
      </w:r>
      <w:r w:rsidRPr="002574EC">
        <w:t>to</w:t>
      </w:r>
      <w:r w:rsidR="000A54D6" w:rsidRPr="002574EC">
        <w:t xml:space="preserve">: i) </w:t>
      </w:r>
      <w:r w:rsidR="000D5733" w:rsidRPr="002574EC">
        <w:t xml:space="preserve">allow </w:t>
      </w:r>
      <w:r w:rsidR="00A31098" w:rsidRPr="002574EC">
        <w:t xml:space="preserve">sufficient </w:t>
      </w:r>
      <w:r w:rsidR="001A5062" w:rsidRPr="002574EC">
        <w:t xml:space="preserve">access to drinking water and food </w:t>
      </w:r>
      <w:r w:rsidR="00C464A3" w:rsidRPr="002574EC">
        <w:t xml:space="preserve">in </w:t>
      </w:r>
      <w:r w:rsidR="001A5062" w:rsidRPr="002574EC">
        <w:t>adequate</w:t>
      </w:r>
      <w:r w:rsidR="00A31098" w:rsidRPr="002574EC">
        <w:t xml:space="preserve"> quantity, quality and conditions</w:t>
      </w:r>
      <w:r w:rsidR="001A5062" w:rsidRPr="002574EC">
        <w:t xml:space="preserve"> of cleanliness</w:t>
      </w:r>
      <w:r w:rsidR="0083734C" w:rsidRPr="002574EC">
        <w:t xml:space="preserve">; </w:t>
      </w:r>
      <w:r w:rsidR="000A54D6" w:rsidRPr="002574EC">
        <w:t xml:space="preserve">ii) </w:t>
      </w:r>
      <w:r w:rsidR="00AB531A" w:rsidRPr="002574EC">
        <w:t>guarantee adequate medical care; and</w:t>
      </w:r>
      <w:r w:rsidR="000A54D6" w:rsidRPr="002574EC">
        <w:t xml:space="preserve"> iii) </w:t>
      </w:r>
      <w:r w:rsidR="00AB531A" w:rsidRPr="002574EC">
        <w:t>provide appropriate conditions of health and hygiene, access to light and ventilation</w:t>
      </w:r>
      <w:r w:rsidR="000A54D6" w:rsidRPr="002574EC">
        <w:t>.</w:t>
      </w:r>
    </w:p>
    <w:p w14:paraId="24A6CD2D" w14:textId="05A5C5A1" w:rsidR="000A54D6" w:rsidRPr="002574EC" w:rsidRDefault="000A54D6" w:rsidP="007B586B">
      <w:pPr>
        <w:pStyle w:val="ListParagraph"/>
        <w:numPr>
          <w:ilvl w:val="0"/>
          <w:numId w:val="0"/>
        </w:numPr>
        <w:ind w:left="720"/>
      </w:pPr>
    </w:p>
    <w:p w14:paraId="2E1A1024" w14:textId="7D9657F0" w:rsidR="000A54D6" w:rsidRPr="002574EC" w:rsidRDefault="00780A95" w:rsidP="00F85814">
      <w:pPr>
        <w:pStyle w:val="ListParagraph"/>
        <w:numPr>
          <w:ilvl w:val="0"/>
          <w:numId w:val="9"/>
        </w:numPr>
      </w:pPr>
      <w:r w:rsidRPr="002574EC">
        <w:t>Incorporate a gender approach that allows for deprivation of liberty that takes into account the specific needs of women on issues of health, gender identity and social reintegration</w:t>
      </w:r>
      <w:r w:rsidR="000A54D6" w:rsidRPr="002574EC">
        <w:t>.</w:t>
      </w:r>
    </w:p>
    <w:p w14:paraId="38E9F1EC" w14:textId="665C8478" w:rsidR="000A54D6" w:rsidRPr="002574EC" w:rsidRDefault="000A54D6" w:rsidP="007B586B">
      <w:pPr>
        <w:pStyle w:val="ListParagraph"/>
        <w:numPr>
          <w:ilvl w:val="0"/>
          <w:numId w:val="0"/>
        </w:numPr>
        <w:ind w:left="720"/>
      </w:pPr>
    </w:p>
    <w:p w14:paraId="01F2B119" w14:textId="30F01F7F" w:rsidR="000A54D6" w:rsidRPr="002574EC" w:rsidRDefault="000A54D6" w:rsidP="00F85814">
      <w:pPr>
        <w:pStyle w:val="ListParagraph"/>
        <w:numPr>
          <w:ilvl w:val="0"/>
          <w:numId w:val="9"/>
        </w:numPr>
      </w:pPr>
      <w:r w:rsidRPr="002574EC">
        <w:lastRenderedPageBreak/>
        <w:t>Implement</w:t>
      </w:r>
      <w:r w:rsidR="00F72F50" w:rsidRPr="002574EC">
        <w:t xml:space="preserve"> </w:t>
      </w:r>
      <w:r w:rsidR="00DB0745" w:rsidRPr="002574EC">
        <w:t xml:space="preserve">measures that take into account the situation of special risk of gender-based violence, and in this context, establish </w:t>
      </w:r>
      <w:r w:rsidR="00B67FF4" w:rsidRPr="002574EC">
        <w:t xml:space="preserve">mechanisms </w:t>
      </w:r>
      <w:r w:rsidR="003D5429" w:rsidRPr="002574EC">
        <w:t>to prevent</w:t>
      </w:r>
      <w:r w:rsidR="00FE35AD" w:rsidRPr="002574EC">
        <w:t xml:space="preserve">, investigate, prosecute and punish incidents </w:t>
      </w:r>
      <w:r w:rsidR="002A77CE" w:rsidRPr="002574EC">
        <w:t>that could constitute acts of sexual harassment, abuse, or assault within penitentiary facilities.</w:t>
      </w:r>
    </w:p>
    <w:p w14:paraId="5680AEB3" w14:textId="77777777" w:rsidR="000A54D6" w:rsidRPr="002574EC" w:rsidRDefault="000A54D6" w:rsidP="007C4A3F">
      <w:pPr>
        <w:ind w:left="709" w:hanging="283"/>
        <w:rPr>
          <w:rFonts w:ascii="Cambria" w:hAnsi="Cambria"/>
          <w:sz w:val="20"/>
          <w:szCs w:val="20"/>
        </w:rPr>
      </w:pPr>
      <w:r w:rsidRPr="002574EC">
        <w:rPr>
          <w:rFonts w:ascii="Cambria" w:hAnsi="Cambria"/>
          <w:sz w:val="20"/>
          <w:szCs w:val="20"/>
        </w:rPr>
        <w:t> </w:t>
      </w:r>
    </w:p>
    <w:p w14:paraId="21BADFB9" w14:textId="1C5E248D" w:rsidR="000A54D6" w:rsidRPr="002574EC" w:rsidRDefault="004338D8" w:rsidP="007C4A3F">
      <w:pPr>
        <w:ind w:left="709" w:hanging="283"/>
        <w:rPr>
          <w:rFonts w:ascii="Cambria" w:hAnsi="Cambria"/>
          <w:b/>
          <w:bCs/>
          <w:sz w:val="20"/>
          <w:szCs w:val="20"/>
        </w:rPr>
      </w:pPr>
      <w:r w:rsidRPr="002574EC">
        <w:rPr>
          <w:rFonts w:ascii="Cambria" w:hAnsi="Cambria"/>
          <w:b/>
          <w:bCs/>
          <w:sz w:val="20"/>
          <w:szCs w:val="20"/>
        </w:rPr>
        <w:t xml:space="preserve">Women </w:t>
      </w:r>
    </w:p>
    <w:p w14:paraId="19258CC2" w14:textId="77777777" w:rsidR="000A54D6" w:rsidRPr="002574EC" w:rsidRDefault="000A54D6" w:rsidP="007C4A3F">
      <w:pPr>
        <w:ind w:left="709" w:hanging="283"/>
        <w:rPr>
          <w:rFonts w:ascii="Cambria" w:hAnsi="Cambria"/>
          <w:sz w:val="20"/>
          <w:szCs w:val="20"/>
        </w:rPr>
      </w:pPr>
      <w:r w:rsidRPr="002574EC">
        <w:rPr>
          <w:rFonts w:ascii="Cambria" w:hAnsi="Cambria"/>
          <w:sz w:val="20"/>
          <w:szCs w:val="20"/>
        </w:rPr>
        <w:t> </w:t>
      </w:r>
    </w:p>
    <w:p w14:paraId="5095AC11" w14:textId="74D45F8A" w:rsidR="000A54D6" w:rsidRPr="002574EC" w:rsidRDefault="004338D8" w:rsidP="00F85814">
      <w:pPr>
        <w:pStyle w:val="ListParagraph"/>
        <w:numPr>
          <w:ilvl w:val="0"/>
          <w:numId w:val="9"/>
        </w:numPr>
      </w:pPr>
      <w:r w:rsidRPr="002574EC">
        <w:t xml:space="preserve">Regularly produce </w:t>
      </w:r>
      <w:r w:rsidR="00083DDB" w:rsidRPr="002574EC">
        <w:t xml:space="preserve">complete statistics </w:t>
      </w:r>
      <w:r w:rsidR="000656CD" w:rsidRPr="002574EC">
        <w:t xml:space="preserve">on violence and discrimination against women, disaggregated by gender, age, ethnicity, socioeconomic status, disability, sexual orientation, and gender identity, as well as the location of the incidents, with the aim of mapping the specific ways in which violence and discrimination  affect women. </w:t>
      </w:r>
    </w:p>
    <w:p w14:paraId="18F6EDDB" w14:textId="171D9EA9" w:rsidR="000A54D6" w:rsidRPr="002574EC" w:rsidRDefault="000A54D6" w:rsidP="007B586B">
      <w:pPr>
        <w:pStyle w:val="ListParagraph"/>
        <w:numPr>
          <w:ilvl w:val="0"/>
          <w:numId w:val="0"/>
        </w:numPr>
        <w:ind w:left="720"/>
      </w:pPr>
    </w:p>
    <w:p w14:paraId="540FB0B1" w14:textId="3D6BC97B" w:rsidR="000A54D6" w:rsidRPr="002574EC" w:rsidRDefault="00070A7D" w:rsidP="00F85814">
      <w:pPr>
        <w:pStyle w:val="ListParagraph"/>
        <w:numPr>
          <w:ilvl w:val="0"/>
          <w:numId w:val="9"/>
        </w:numPr>
      </w:pPr>
      <w:r w:rsidRPr="002574EC">
        <w:t>P</w:t>
      </w:r>
      <w:r w:rsidR="005966ED" w:rsidRPr="002574EC">
        <w:t xml:space="preserve">ublish and disseminate </w:t>
      </w:r>
      <w:r w:rsidR="004F5C12" w:rsidRPr="002574EC">
        <w:t xml:space="preserve">on its own initiative </w:t>
      </w:r>
      <w:r w:rsidR="004C6B1B" w:rsidRPr="002574EC">
        <w:t xml:space="preserve">statistical information produced on gender-based violence. </w:t>
      </w:r>
    </w:p>
    <w:p w14:paraId="78FA50BC" w14:textId="7377B0E9" w:rsidR="000A54D6" w:rsidRPr="002574EC" w:rsidRDefault="000A54D6" w:rsidP="007B586B">
      <w:pPr>
        <w:pStyle w:val="ListParagraph"/>
        <w:numPr>
          <w:ilvl w:val="0"/>
          <w:numId w:val="0"/>
        </w:numPr>
        <w:ind w:left="720"/>
      </w:pPr>
    </w:p>
    <w:p w14:paraId="35F845B7" w14:textId="5A89BC0F" w:rsidR="000A54D6" w:rsidRPr="002574EC" w:rsidRDefault="000A54D6" w:rsidP="00F85814">
      <w:pPr>
        <w:pStyle w:val="ListParagraph"/>
        <w:numPr>
          <w:ilvl w:val="0"/>
          <w:numId w:val="9"/>
        </w:numPr>
      </w:pPr>
      <w:r w:rsidRPr="002574EC">
        <w:t>A</w:t>
      </w:r>
      <w:r w:rsidR="00AA04CA" w:rsidRPr="002574EC">
        <w:t xml:space="preserve">dopt all measures necessary to comply with the State’s obligation </w:t>
      </w:r>
      <w:r w:rsidR="00383A50" w:rsidRPr="002574EC">
        <w:t xml:space="preserve">of due diligence in the prevention, protection, investigation, sanction and reparation </w:t>
      </w:r>
      <w:r w:rsidR="00F80ED4" w:rsidRPr="002574EC">
        <w:t xml:space="preserve">of all forms of violence against women. </w:t>
      </w:r>
      <w:r w:rsidR="0059725A" w:rsidRPr="002574EC">
        <w:t xml:space="preserve">This includes guaranteeing justice without barriers or discrimination </w:t>
      </w:r>
      <w:r w:rsidR="00E86DBB" w:rsidRPr="002574EC">
        <w:t xml:space="preserve">for women who are victims of violence. </w:t>
      </w:r>
    </w:p>
    <w:p w14:paraId="10975C6B" w14:textId="56A4FF55" w:rsidR="000A54D6" w:rsidRPr="002574EC" w:rsidRDefault="000A54D6" w:rsidP="007B586B">
      <w:pPr>
        <w:pStyle w:val="ListParagraph"/>
        <w:numPr>
          <w:ilvl w:val="0"/>
          <w:numId w:val="0"/>
        </w:numPr>
        <w:ind w:left="720"/>
      </w:pPr>
    </w:p>
    <w:p w14:paraId="19C12DAB" w14:textId="0289EFA2" w:rsidR="000A54D6" w:rsidRPr="002574EC" w:rsidRDefault="004B3664" w:rsidP="00F85814">
      <w:pPr>
        <w:pStyle w:val="ListParagraph"/>
        <w:numPr>
          <w:ilvl w:val="0"/>
          <w:numId w:val="9"/>
        </w:numPr>
      </w:pPr>
      <w:r w:rsidRPr="002574EC">
        <w:t xml:space="preserve">Step up efforts to ensure pregnant women receive vaccinations, medications and </w:t>
      </w:r>
      <w:r w:rsidR="005E64BA" w:rsidRPr="002574EC">
        <w:t>essentials</w:t>
      </w:r>
      <w:r w:rsidR="00EB7A59" w:rsidRPr="002574EC">
        <w:t xml:space="preserve">; and to ensure they have effective access without discrimination </w:t>
      </w:r>
      <w:r w:rsidR="000753E1" w:rsidRPr="002574EC">
        <w:t xml:space="preserve">to prenatal </w:t>
      </w:r>
      <w:r w:rsidR="00AB4A21" w:rsidRPr="002574EC">
        <w:t>checkups</w:t>
      </w:r>
      <w:r w:rsidR="00C05C4E" w:rsidRPr="002574EC">
        <w:t xml:space="preserve"> and checkups for newborns and to decisively reduce </w:t>
      </w:r>
      <w:r w:rsidR="005A6736" w:rsidRPr="002574EC">
        <w:t>maternal mortality.</w:t>
      </w:r>
    </w:p>
    <w:p w14:paraId="2301C6D3" w14:textId="12E43C6B" w:rsidR="000A54D6" w:rsidRPr="002574EC" w:rsidRDefault="000A54D6" w:rsidP="007B586B">
      <w:pPr>
        <w:pStyle w:val="ListParagraph"/>
        <w:numPr>
          <w:ilvl w:val="0"/>
          <w:numId w:val="0"/>
        </w:numPr>
        <w:ind w:left="720"/>
      </w:pPr>
    </w:p>
    <w:p w14:paraId="16354DFE" w14:textId="58A8883B" w:rsidR="000A54D6" w:rsidRPr="002574EC" w:rsidRDefault="000A54D6" w:rsidP="00F85814">
      <w:pPr>
        <w:pStyle w:val="ListParagraph"/>
        <w:numPr>
          <w:ilvl w:val="0"/>
          <w:numId w:val="9"/>
        </w:numPr>
      </w:pPr>
      <w:r w:rsidRPr="002574EC">
        <w:t>P</w:t>
      </w:r>
      <w:r w:rsidR="00B846BC" w:rsidRPr="002574EC">
        <w:t xml:space="preserve">roduce statistical information </w:t>
      </w:r>
      <w:r w:rsidR="005A7CDA" w:rsidRPr="002574EC">
        <w:t xml:space="preserve">on the subject of maternal and infant mortality and publish it periodically and </w:t>
      </w:r>
      <w:r w:rsidR="000C3B51" w:rsidRPr="002574EC">
        <w:t>on its own initiative</w:t>
      </w:r>
      <w:r w:rsidRPr="002574EC">
        <w:t>.</w:t>
      </w:r>
    </w:p>
    <w:p w14:paraId="15FDCBBD" w14:textId="321CD4D4" w:rsidR="000A54D6" w:rsidRPr="002574EC" w:rsidRDefault="000A54D6" w:rsidP="007B586B">
      <w:pPr>
        <w:pStyle w:val="ListParagraph"/>
        <w:numPr>
          <w:ilvl w:val="0"/>
          <w:numId w:val="0"/>
        </w:numPr>
        <w:ind w:left="720"/>
      </w:pPr>
    </w:p>
    <w:p w14:paraId="447DC98F" w14:textId="5A54BF3A" w:rsidR="000A54D6" w:rsidRPr="002574EC" w:rsidRDefault="000A54D6" w:rsidP="00F85814">
      <w:pPr>
        <w:pStyle w:val="ListParagraph"/>
        <w:numPr>
          <w:ilvl w:val="0"/>
          <w:numId w:val="9"/>
        </w:numPr>
      </w:pPr>
      <w:r w:rsidRPr="002574EC">
        <w:t>A</w:t>
      </w:r>
      <w:r w:rsidR="00862BFF" w:rsidRPr="002574EC">
        <w:t xml:space="preserve">dopt the measures necessary to ensure </w:t>
      </w:r>
      <w:r w:rsidR="009A3FD5" w:rsidRPr="002574EC">
        <w:t xml:space="preserve">that all women living with HIV or AIDS </w:t>
      </w:r>
      <w:r w:rsidR="000B1B14" w:rsidRPr="002574EC">
        <w:t xml:space="preserve">have access to </w:t>
      </w:r>
      <w:r w:rsidR="000B10BE" w:rsidRPr="002574EC">
        <w:t xml:space="preserve">adequate treatment and the pertinent medical care with </w:t>
      </w:r>
      <w:r w:rsidR="00D3052A" w:rsidRPr="002574EC">
        <w:t xml:space="preserve">a view toward </w:t>
      </w:r>
      <w:r w:rsidR="000B10BE" w:rsidRPr="002574EC">
        <w:t>preventing significant damage to their he</w:t>
      </w:r>
      <w:r w:rsidR="002474BC" w:rsidRPr="002574EC">
        <w:t>al</w:t>
      </w:r>
      <w:r w:rsidR="000B10BE" w:rsidRPr="002574EC">
        <w:t xml:space="preserve">th and preserving their </w:t>
      </w:r>
      <w:r w:rsidR="00143F50" w:rsidRPr="002574EC">
        <w:t>physical integrity</w:t>
      </w:r>
      <w:r w:rsidRPr="002574EC">
        <w:t>.</w:t>
      </w:r>
    </w:p>
    <w:p w14:paraId="28AA39C2" w14:textId="5FB7DB9B" w:rsidR="000A54D6" w:rsidRPr="002574EC" w:rsidRDefault="000A54D6" w:rsidP="007B586B">
      <w:pPr>
        <w:pStyle w:val="ListParagraph"/>
        <w:numPr>
          <w:ilvl w:val="0"/>
          <w:numId w:val="0"/>
        </w:numPr>
        <w:ind w:left="720"/>
      </w:pPr>
    </w:p>
    <w:p w14:paraId="257693E8" w14:textId="619E2B4F" w:rsidR="000A54D6" w:rsidRPr="002574EC" w:rsidRDefault="00D3052A" w:rsidP="00F85814">
      <w:pPr>
        <w:pStyle w:val="ListParagraph"/>
        <w:numPr>
          <w:ilvl w:val="0"/>
          <w:numId w:val="9"/>
        </w:numPr>
      </w:pPr>
      <w:r w:rsidRPr="002574EC">
        <w:t>Take all urgent measures to make available a varied, accessible, and acceptable array of</w:t>
      </w:r>
      <w:r w:rsidR="00F9150C" w:rsidRPr="002574EC">
        <w:t xml:space="preserve"> both female and male</w:t>
      </w:r>
      <w:r w:rsidRPr="002574EC">
        <w:t xml:space="preserve"> contraceptive and family-planning methods</w:t>
      </w:r>
      <w:r w:rsidR="00C97FD9" w:rsidRPr="002574EC">
        <w:t xml:space="preserve"> </w:t>
      </w:r>
      <w:r w:rsidRPr="002574EC">
        <w:t xml:space="preserve">throughout the country. </w:t>
      </w:r>
    </w:p>
    <w:p w14:paraId="5114E93F" w14:textId="58EE94DC" w:rsidR="000A54D6" w:rsidRPr="002574EC" w:rsidRDefault="000A54D6" w:rsidP="007B586B">
      <w:pPr>
        <w:pStyle w:val="ListParagraph"/>
        <w:numPr>
          <w:ilvl w:val="0"/>
          <w:numId w:val="0"/>
        </w:numPr>
        <w:ind w:left="720"/>
      </w:pPr>
    </w:p>
    <w:p w14:paraId="32EC95E3" w14:textId="6F791DC4" w:rsidR="000A54D6" w:rsidRPr="002574EC" w:rsidRDefault="000A54D6" w:rsidP="00F85814">
      <w:pPr>
        <w:pStyle w:val="ListParagraph"/>
        <w:numPr>
          <w:ilvl w:val="0"/>
          <w:numId w:val="9"/>
        </w:numPr>
      </w:pPr>
      <w:r w:rsidRPr="002574EC">
        <w:t>R</w:t>
      </w:r>
      <w:r w:rsidR="004A063A" w:rsidRPr="002574EC">
        <w:t xml:space="preserve">evise </w:t>
      </w:r>
      <w:r w:rsidR="005A583A" w:rsidRPr="002574EC">
        <w:t xml:space="preserve">domestic legislation on the voluntary </w:t>
      </w:r>
      <w:r w:rsidR="00DC3CD8" w:rsidRPr="002574EC">
        <w:t xml:space="preserve">termination of pregnancy, </w:t>
      </w:r>
      <w:r w:rsidR="00AC009E" w:rsidRPr="002574EC">
        <w:t>to ensure the effective exercise of sexual and reproductive rights of girls, women and gestating persons of all</w:t>
      </w:r>
      <w:r w:rsidR="008F636C" w:rsidRPr="002574EC">
        <w:t xml:space="preserve"> ages.</w:t>
      </w:r>
      <w:r w:rsidRPr="002574EC">
        <w:br/>
      </w:r>
    </w:p>
    <w:p w14:paraId="393F01C7" w14:textId="1702DB96" w:rsidR="000A54D6" w:rsidRPr="002574EC" w:rsidRDefault="004001EF" w:rsidP="007C4A3F">
      <w:pPr>
        <w:ind w:left="709" w:hanging="283"/>
        <w:rPr>
          <w:rFonts w:ascii="Cambria" w:hAnsi="Cambria"/>
          <w:b/>
          <w:bCs/>
          <w:sz w:val="20"/>
          <w:szCs w:val="20"/>
        </w:rPr>
      </w:pPr>
      <w:r w:rsidRPr="002574EC">
        <w:rPr>
          <w:rFonts w:ascii="Cambria" w:hAnsi="Cambria"/>
          <w:b/>
          <w:bCs/>
          <w:sz w:val="20"/>
          <w:szCs w:val="20"/>
        </w:rPr>
        <w:t>Children and Adolescents</w:t>
      </w:r>
    </w:p>
    <w:p w14:paraId="413400BE" w14:textId="18FD2D81" w:rsidR="000A54D6" w:rsidRPr="002574EC" w:rsidRDefault="000A54D6" w:rsidP="007C4A3F">
      <w:pPr>
        <w:ind w:left="709" w:hanging="283"/>
        <w:rPr>
          <w:rFonts w:ascii="Cambria" w:hAnsi="Cambria"/>
          <w:sz w:val="20"/>
          <w:szCs w:val="20"/>
        </w:rPr>
      </w:pPr>
    </w:p>
    <w:p w14:paraId="2DFD7ED1" w14:textId="38E54587" w:rsidR="000A54D6" w:rsidRPr="002574EC" w:rsidRDefault="000A54D6" w:rsidP="00F85814">
      <w:pPr>
        <w:pStyle w:val="ListParagraph"/>
        <w:numPr>
          <w:ilvl w:val="0"/>
          <w:numId w:val="9"/>
        </w:numPr>
      </w:pPr>
      <w:r w:rsidRPr="002574EC">
        <w:t>G</w:t>
      </w:r>
      <w:r w:rsidR="00BB3B85" w:rsidRPr="002574EC">
        <w:t xml:space="preserve">uarantee the right of children and adolescents to peaceful </w:t>
      </w:r>
      <w:r w:rsidR="001330F6" w:rsidRPr="002574EC">
        <w:t xml:space="preserve">protest and participation in matters affecting them, providing </w:t>
      </w:r>
      <w:r w:rsidR="00667BE8" w:rsidRPr="002574EC">
        <w:t>them with safe environments for the exercise of these rights.</w:t>
      </w:r>
    </w:p>
    <w:p w14:paraId="7DB853CD" w14:textId="77777777" w:rsidR="00667BE8" w:rsidRPr="002574EC" w:rsidRDefault="00667BE8" w:rsidP="007B586B">
      <w:pPr>
        <w:pStyle w:val="ListParagraph"/>
        <w:numPr>
          <w:ilvl w:val="0"/>
          <w:numId w:val="0"/>
        </w:numPr>
        <w:ind w:left="720"/>
      </w:pPr>
    </w:p>
    <w:p w14:paraId="70F6E28E" w14:textId="0B9E003E" w:rsidR="000A54D6" w:rsidRPr="002574EC" w:rsidRDefault="000A54D6" w:rsidP="00F85814">
      <w:pPr>
        <w:pStyle w:val="ListParagraph"/>
        <w:numPr>
          <w:ilvl w:val="0"/>
          <w:numId w:val="9"/>
        </w:numPr>
      </w:pPr>
      <w:r w:rsidRPr="002574EC">
        <w:t>A</w:t>
      </w:r>
      <w:r w:rsidR="006F7FEB" w:rsidRPr="002574EC">
        <w:t xml:space="preserve">dopt the measures necessary to ensure that children have access </w:t>
      </w:r>
      <w:r w:rsidR="00AA0DAA" w:rsidRPr="002574EC">
        <w:t xml:space="preserve">to quality </w:t>
      </w:r>
      <w:r w:rsidR="00466E0C" w:rsidRPr="002574EC">
        <w:t xml:space="preserve">healthcare services, including the provision of medications, especially considering </w:t>
      </w:r>
      <w:r w:rsidR="003442E3" w:rsidRPr="002574EC">
        <w:t xml:space="preserve">the situation of children suffering from chronic illnesses. </w:t>
      </w:r>
    </w:p>
    <w:p w14:paraId="4A5E4F21" w14:textId="75D21F06" w:rsidR="000A54D6" w:rsidRPr="002574EC" w:rsidRDefault="000A54D6" w:rsidP="007B586B">
      <w:pPr>
        <w:pStyle w:val="ListParagraph"/>
        <w:numPr>
          <w:ilvl w:val="0"/>
          <w:numId w:val="0"/>
        </w:numPr>
        <w:ind w:left="720"/>
      </w:pPr>
    </w:p>
    <w:p w14:paraId="1F0E9469" w14:textId="572F2E3A" w:rsidR="000A54D6" w:rsidRPr="002574EC" w:rsidRDefault="000C61C2" w:rsidP="00F85814">
      <w:pPr>
        <w:pStyle w:val="ListParagraph"/>
        <w:numPr>
          <w:ilvl w:val="0"/>
          <w:numId w:val="9"/>
        </w:numPr>
      </w:pPr>
      <w:r w:rsidRPr="002574EC">
        <w:t xml:space="preserve">Ensure sufficient and adequate water supply to allow access to safe water for all families of the country and to prevent consequences in the exercise of other rights such as health and education. </w:t>
      </w:r>
    </w:p>
    <w:p w14:paraId="0D603772" w14:textId="11940009" w:rsidR="000A54D6" w:rsidRPr="002574EC" w:rsidRDefault="000A54D6" w:rsidP="007B586B">
      <w:pPr>
        <w:pStyle w:val="ListParagraph"/>
        <w:numPr>
          <w:ilvl w:val="0"/>
          <w:numId w:val="0"/>
        </w:numPr>
        <w:ind w:left="720"/>
      </w:pPr>
    </w:p>
    <w:p w14:paraId="73219022" w14:textId="43F90BE3" w:rsidR="000A54D6" w:rsidRPr="002574EC" w:rsidRDefault="000A54D6" w:rsidP="00F85814">
      <w:pPr>
        <w:pStyle w:val="ListParagraph"/>
        <w:numPr>
          <w:ilvl w:val="0"/>
          <w:numId w:val="9"/>
        </w:numPr>
      </w:pPr>
      <w:r w:rsidRPr="002574EC">
        <w:t>I</w:t>
      </w:r>
      <w:r w:rsidR="002A5519" w:rsidRPr="002574EC">
        <w:t xml:space="preserve">mplement nutrition programs that prioritize providing adequate and sufficient </w:t>
      </w:r>
      <w:r w:rsidR="009170F7" w:rsidRPr="002574EC">
        <w:t xml:space="preserve">food for children and adolescents, especially taking into consideration their </w:t>
      </w:r>
      <w:r w:rsidR="00A448A3" w:rsidRPr="002574EC">
        <w:t>state of growth and development</w:t>
      </w:r>
      <w:r w:rsidRPr="002574EC">
        <w:t>.</w:t>
      </w:r>
      <w:r w:rsidRPr="002574EC">
        <w:br/>
      </w:r>
    </w:p>
    <w:p w14:paraId="5371126B" w14:textId="77777777" w:rsidR="007B586B" w:rsidRDefault="007B586B">
      <w:pPr>
        <w:rPr>
          <w:rFonts w:ascii="Cambria" w:hAnsi="Cambria"/>
          <w:b/>
          <w:bCs/>
          <w:sz w:val="20"/>
          <w:szCs w:val="20"/>
        </w:rPr>
      </w:pPr>
      <w:r>
        <w:rPr>
          <w:rFonts w:ascii="Cambria" w:hAnsi="Cambria"/>
          <w:b/>
          <w:bCs/>
          <w:sz w:val="20"/>
          <w:szCs w:val="20"/>
        </w:rPr>
        <w:br w:type="page"/>
      </w:r>
    </w:p>
    <w:p w14:paraId="69A3700B" w14:textId="65003152" w:rsidR="000A54D6" w:rsidRPr="002574EC" w:rsidRDefault="00065ED8" w:rsidP="007B586B">
      <w:pPr>
        <w:rPr>
          <w:rFonts w:ascii="Cambria" w:hAnsi="Cambria"/>
          <w:b/>
          <w:bCs/>
          <w:sz w:val="20"/>
          <w:szCs w:val="20"/>
        </w:rPr>
      </w:pPr>
      <w:r w:rsidRPr="002574EC">
        <w:rPr>
          <w:rFonts w:ascii="Cambria" w:hAnsi="Cambria"/>
          <w:b/>
          <w:bCs/>
          <w:sz w:val="20"/>
          <w:szCs w:val="20"/>
        </w:rPr>
        <w:lastRenderedPageBreak/>
        <w:t xml:space="preserve">Migrants, Asylum Seekers, Refugees, Beneficiaries of Complementary Protection, Internally Displaced People, and Victims of Human Trafficking </w:t>
      </w:r>
    </w:p>
    <w:p w14:paraId="3E0E5467" w14:textId="0C36136D" w:rsidR="000A54D6" w:rsidRPr="002574EC" w:rsidRDefault="000A54D6" w:rsidP="007B586B">
      <w:pPr>
        <w:pStyle w:val="ListParagraph"/>
        <w:numPr>
          <w:ilvl w:val="0"/>
          <w:numId w:val="0"/>
        </w:numPr>
        <w:ind w:left="720"/>
      </w:pPr>
    </w:p>
    <w:p w14:paraId="46C8B74E" w14:textId="57915695" w:rsidR="000A54D6" w:rsidRPr="002574EC" w:rsidRDefault="000A54D6" w:rsidP="00F85814">
      <w:pPr>
        <w:pStyle w:val="ListParagraph"/>
        <w:numPr>
          <w:ilvl w:val="0"/>
          <w:numId w:val="9"/>
        </w:numPr>
      </w:pPr>
      <w:r w:rsidRPr="002574EC">
        <w:t>G</w:t>
      </w:r>
      <w:r w:rsidR="00684F00" w:rsidRPr="002574EC">
        <w:t xml:space="preserve">uarantee access to and provision of unobstructed humanitarian aid for the Venezuelan population that may need it, all of which should be provided in keeping with principles of humanity and impartiality </w:t>
      </w:r>
      <w:r w:rsidR="0095167C" w:rsidRPr="002574EC">
        <w:t xml:space="preserve">and without any discrimination. </w:t>
      </w:r>
    </w:p>
    <w:p w14:paraId="1D2CF48B" w14:textId="08DFC931" w:rsidR="000A54D6" w:rsidRPr="002574EC" w:rsidRDefault="000A54D6" w:rsidP="007B586B">
      <w:pPr>
        <w:pStyle w:val="ListParagraph"/>
        <w:numPr>
          <w:ilvl w:val="0"/>
          <w:numId w:val="0"/>
        </w:numPr>
        <w:ind w:left="720"/>
      </w:pPr>
    </w:p>
    <w:p w14:paraId="60AE3DBA" w14:textId="0BB529FE" w:rsidR="000A54D6" w:rsidRPr="002574EC" w:rsidRDefault="00CC2AE7" w:rsidP="00F85814">
      <w:pPr>
        <w:pStyle w:val="ListParagraph"/>
        <w:numPr>
          <w:ilvl w:val="0"/>
          <w:numId w:val="9"/>
        </w:numPr>
      </w:pPr>
      <w:r w:rsidRPr="002574EC">
        <w:t xml:space="preserve">Revoke all </w:t>
      </w:r>
      <w:r w:rsidR="00485050" w:rsidRPr="002574EC">
        <w:t xml:space="preserve">measures that hinder the right of all individuals </w:t>
      </w:r>
      <w:r w:rsidR="008F4553" w:rsidRPr="002574EC">
        <w:t xml:space="preserve">from leaving </w:t>
      </w:r>
      <w:r w:rsidR="00485050" w:rsidRPr="002574EC">
        <w:t xml:space="preserve">Venezuelan territory and </w:t>
      </w:r>
      <w:r w:rsidR="00E020C7" w:rsidRPr="002574EC">
        <w:t xml:space="preserve">who wish </w:t>
      </w:r>
      <w:r w:rsidR="00485050" w:rsidRPr="002574EC">
        <w:t>to seek and receive asylum, complementary protection, or other</w:t>
      </w:r>
      <w:r w:rsidR="00C8683D" w:rsidRPr="002574EC">
        <w:t xml:space="preserve"> forms of</w:t>
      </w:r>
      <w:r w:rsidR="00485050" w:rsidRPr="002574EC">
        <w:t xml:space="preserve"> protection. </w:t>
      </w:r>
    </w:p>
    <w:p w14:paraId="1783027B" w14:textId="29750223" w:rsidR="000A54D6" w:rsidRPr="002574EC" w:rsidRDefault="000A54D6" w:rsidP="007B586B">
      <w:pPr>
        <w:pStyle w:val="ListParagraph"/>
        <w:numPr>
          <w:ilvl w:val="0"/>
          <w:numId w:val="0"/>
        </w:numPr>
        <w:ind w:left="720"/>
      </w:pPr>
    </w:p>
    <w:p w14:paraId="1802F078" w14:textId="05EE600A" w:rsidR="000A54D6" w:rsidRPr="002574EC" w:rsidRDefault="00624F55" w:rsidP="00F85814">
      <w:pPr>
        <w:pStyle w:val="ListParagraph"/>
        <w:numPr>
          <w:ilvl w:val="0"/>
          <w:numId w:val="9"/>
        </w:numPr>
      </w:pPr>
      <w:r w:rsidRPr="002574EC">
        <w:t xml:space="preserve">Ensure the rights to juridical personality </w:t>
      </w:r>
      <w:r w:rsidR="00280833" w:rsidRPr="002574EC">
        <w:t xml:space="preserve">and identity documents in a timely fashion, including passports, </w:t>
      </w:r>
      <w:r w:rsidR="00D0414D" w:rsidRPr="002574EC">
        <w:t>identification documents</w:t>
      </w:r>
      <w:r w:rsidR="0075276B" w:rsidRPr="002574EC">
        <w:t xml:space="preserve">, civil registry certificates, and criminal background records. </w:t>
      </w:r>
    </w:p>
    <w:p w14:paraId="43CFDF85" w14:textId="10A51DCD" w:rsidR="000A54D6" w:rsidRPr="002574EC" w:rsidRDefault="000A54D6" w:rsidP="007B586B">
      <w:pPr>
        <w:pStyle w:val="ListParagraph"/>
        <w:numPr>
          <w:ilvl w:val="0"/>
          <w:numId w:val="0"/>
        </w:numPr>
        <w:ind w:left="720"/>
      </w:pPr>
    </w:p>
    <w:p w14:paraId="18BEC670" w14:textId="2E03BB7B" w:rsidR="000A54D6" w:rsidRPr="002574EC" w:rsidRDefault="002A3D46" w:rsidP="00F85814">
      <w:pPr>
        <w:pStyle w:val="ListParagraph"/>
        <w:numPr>
          <w:ilvl w:val="0"/>
          <w:numId w:val="9"/>
        </w:numPr>
      </w:pPr>
      <w:r w:rsidRPr="002574EC">
        <w:t xml:space="preserve">Take the necessary measures, including </w:t>
      </w:r>
      <w:r w:rsidR="00F235D4" w:rsidRPr="002574EC">
        <w:t xml:space="preserve">legislative, public policy and State programs, to address </w:t>
      </w:r>
      <w:r w:rsidR="003A3FBE" w:rsidRPr="002574EC">
        <w:t xml:space="preserve">the underlying </w:t>
      </w:r>
      <w:r w:rsidR="00917F7B" w:rsidRPr="002574EC">
        <w:t>causes of violence against trans and gender diverse persons</w:t>
      </w:r>
      <w:r w:rsidR="000A54D6" w:rsidRPr="002574EC">
        <w:t>.</w:t>
      </w:r>
      <w:r w:rsidR="00335AB2" w:rsidRPr="002574EC">
        <w:t xml:space="preserve"> </w:t>
      </w:r>
      <w:r w:rsidR="003B3559" w:rsidRPr="002574EC">
        <w:t xml:space="preserve">These measures should ensure that trans persons, among others, have access without discrimination, to formal employment, education, healthcare and housing. </w:t>
      </w:r>
    </w:p>
    <w:p w14:paraId="1D097C6F" w14:textId="77777777" w:rsidR="007C4A3F" w:rsidRPr="002574EC" w:rsidRDefault="007C4A3F" w:rsidP="007C4A3F">
      <w:pPr>
        <w:ind w:left="709" w:hanging="283"/>
        <w:rPr>
          <w:rFonts w:ascii="Cambria" w:hAnsi="Cambria"/>
          <w:sz w:val="20"/>
          <w:szCs w:val="20"/>
        </w:rPr>
      </w:pPr>
    </w:p>
    <w:p w14:paraId="5722882B" w14:textId="3794885F" w:rsidR="000A54D6" w:rsidRPr="002574EC" w:rsidRDefault="00D63E7C" w:rsidP="007C4A3F">
      <w:pPr>
        <w:ind w:left="709" w:hanging="283"/>
        <w:rPr>
          <w:rFonts w:ascii="Cambria" w:hAnsi="Cambria"/>
          <w:b/>
          <w:bCs/>
          <w:sz w:val="20"/>
          <w:szCs w:val="20"/>
        </w:rPr>
      </w:pPr>
      <w:r w:rsidRPr="002574EC">
        <w:rPr>
          <w:rFonts w:ascii="Cambria" w:hAnsi="Cambria"/>
          <w:b/>
          <w:bCs/>
          <w:sz w:val="20"/>
          <w:szCs w:val="20"/>
          <w:shd w:val="clear" w:color="auto" w:fill="FFFFFF"/>
        </w:rPr>
        <w:t xml:space="preserve">Human Rights Defenders </w:t>
      </w:r>
    </w:p>
    <w:p w14:paraId="62CEB69B" w14:textId="4C69C486" w:rsidR="000A54D6" w:rsidRPr="002574EC" w:rsidRDefault="000A54D6" w:rsidP="007C4A3F">
      <w:pPr>
        <w:ind w:left="709" w:hanging="283"/>
        <w:rPr>
          <w:rFonts w:ascii="Cambria" w:hAnsi="Cambria"/>
          <w:sz w:val="20"/>
          <w:szCs w:val="20"/>
        </w:rPr>
      </w:pPr>
    </w:p>
    <w:p w14:paraId="2F40421C" w14:textId="77A54292" w:rsidR="000A54D6" w:rsidRPr="002574EC" w:rsidRDefault="00750D41" w:rsidP="00F85814">
      <w:pPr>
        <w:pStyle w:val="ListParagraph"/>
        <w:numPr>
          <w:ilvl w:val="0"/>
          <w:numId w:val="9"/>
        </w:numPr>
      </w:pPr>
      <w:r w:rsidRPr="002574EC">
        <w:t xml:space="preserve">Refrain from </w:t>
      </w:r>
      <w:r w:rsidR="00FE56BD" w:rsidRPr="002574EC">
        <w:t xml:space="preserve">criminalizing </w:t>
      </w:r>
      <w:r w:rsidR="009C0B24" w:rsidRPr="002574EC">
        <w:t xml:space="preserve">human rights defenders who work for </w:t>
      </w:r>
      <w:r w:rsidR="00695342" w:rsidRPr="002574EC">
        <w:t xml:space="preserve">the </w:t>
      </w:r>
      <w:r w:rsidR="009C0B24" w:rsidRPr="002574EC">
        <w:t>sexual and reproductive right</w:t>
      </w:r>
      <w:r w:rsidR="00145123" w:rsidRPr="002574EC">
        <w:t xml:space="preserve">s of girls, women and gestating persons of all ages. </w:t>
      </w:r>
      <w:r w:rsidR="009C0B24" w:rsidRPr="002574EC">
        <w:t xml:space="preserve"> </w:t>
      </w:r>
    </w:p>
    <w:p w14:paraId="4F34F1EE" w14:textId="46DDF76C" w:rsidR="000A54D6" w:rsidRPr="002574EC" w:rsidRDefault="000A54D6" w:rsidP="007B586B">
      <w:pPr>
        <w:pStyle w:val="ListParagraph"/>
        <w:numPr>
          <w:ilvl w:val="0"/>
          <w:numId w:val="0"/>
        </w:numPr>
        <w:ind w:left="720"/>
      </w:pPr>
    </w:p>
    <w:p w14:paraId="3D32156C" w14:textId="42AE531C" w:rsidR="000A54D6" w:rsidRPr="002574EC" w:rsidRDefault="005F5F5E" w:rsidP="00F85814">
      <w:pPr>
        <w:pStyle w:val="ListParagraph"/>
        <w:numPr>
          <w:ilvl w:val="0"/>
          <w:numId w:val="9"/>
        </w:numPr>
      </w:pPr>
      <w:r w:rsidRPr="002574EC">
        <w:t xml:space="preserve">Refrain from requiring human rights organizations </w:t>
      </w:r>
      <w:r w:rsidR="00573790" w:rsidRPr="002574EC">
        <w:t xml:space="preserve">to register with anti-terrorism agencies, </w:t>
      </w:r>
      <w:r w:rsidR="00DC3CCD" w:rsidRPr="002574EC">
        <w:t xml:space="preserve">in particular requiring the organizations </w:t>
      </w:r>
      <w:r w:rsidR="002208F5" w:rsidRPr="002574EC">
        <w:t xml:space="preserve">to report the </w:t>
      </w:r>
      <w:r w:rsidR="00646C7B" w:rsidRPr="002574EC">
        <w:t>beneficiaries of their advocacy</w:t>
      </w:r>
      <w:r w:rsidR="00103CEB" w:rsidRPr="002574EC">
        <w:t xml:space="preserve">, inasmuch as </w:t>
      </w:r>
      <w:r w:rsidR="007A428F" w:rsidRPr="002574EC">
        <w:t xml:space="preserve">some of these individuals may </w:t>
      </w:r>
      <w:r w:rsidR="00CE5972" w:rsidRPr="002574EC">
        <w:t>be victims of human rights violations</w:t>
      </w:r>
      <w:r w:rsidR="008E711D" w:rsidRPr="002574EC">
        <w:t>.</w:t>
      </w:r>
      <w:r w:rsidR="000A54D6" w:rsidRPr="002574EC">
        <w:t> </w:t>
      </w:r>
    </w:p>
    <w:p w14:paraId="456CA188" w14:textId="1F5D215F" w:rsidR="000A54D6" w:rsidRPr="002574EC" w:rsidRDefault="000A54D6" w:rsidP="007C4A3F">
      <w:pPr>
        <w:ind w:left="709" w:hanging="283"/>
        <w:rPr>
          <w:rFonts w:ascii="Cambria" w:hAnsi="Cambria"/>
          <w:sz w:val="20"/>
          <w:szCs w:val="20"/>
        </w:rPr>
      </w:pPr>
    </w:p>
    <w:p w14:paraId="3987F542" w14:textId="427BFA93" w:rsidR="000A54D6" w:rsidRPr="002574EC" w:rsidRDefault="000A54D6" w:rsidP="007C4A3F">
      <w:pPr>
        <w:ind w:left="709" w:hanging="283"/>
        <w:rPr>
          <w:rFonts w:ascii="Cambria" w:hAnsi="Cambria"/>
          <w:b/>
          <w:bCs/>
          <w:sz w:val="20"/>
          <w:szCs w:val="20"/>
        </w:rPr>
      </w:pPr>
      <w:r w:rsidRPr="002574EC">
        <w:rPr>
          <w:rFonts w:ascii="Cambria" w:hAnsi="Cambria"/>
          <w:b/>
          <w:bCs/>
          <w:sz w:val="20"/>
          <w:szCs w:val="20"/>
        </w:rPr>
        <w:t>Person</w:t>
      </w:r>
      <w:r w:rsidR="00E50F11" w:rsidRPr="002574EC">
        <w:rPr>
          <w:rFonts w:ascii="Cambria" w:hAnsi="Cambria"/>
          <w:b/>
          <w:bCs/>
          <w:sz w:val="20"/>
          <w:szCs w:val="20"/>
        </w:rPr>
        <w:t xml:space="preserve">s with Disability </w:t>
      </w:r>
      <w:r w:rsidRPr="002574EC">
        <w:rPr>
          <w:rFonts w:ascii="Cambria" w:hAnsi="Cambria"/>
          <w:b/>
          <w:bCs/>
          <w:sz w:val="20"/>
          <w:szCs w:val="20"/>
        </w:rPr>
        <w:br/>
      </w:r>
    </w:p>
    <w:p w14:paraId="2FD8AEEF" w14:textId="776108A2" w:rsidR="000A54D6" w:rsidRPr="002574EC" w:rsidRDefault="002A0B0E" w:rsidP="00F85814">
      <w:pPr>
        <w:pStyle w:val="ListParagraph"/>
        <w:numPr>
          <w:ilvl w:val="0"/>
          <w:numId w:val="9"/>
        </w:numPr>
      </w:pPr>
      <w:r w:rsidRPr="002574EC">
        <w:t xml:space="preserve">Issue a regulation to the Law of Persons with Disability involving </w:t>
      </w:r>
      <w:r w:rsidR="00C90C2C" w:rsidRPr="002574EC">
        <w:t>civil society, especially persons with disability and organizations that advocate for their rights</w:t>
      </w:r>
      <w:r w:rsidR="000A54D6" w:rsidRPr="002574EC">
        <w:t>.</w:t>
      </w:r>
    </w:p>
    <w:p w14:paraId="26BBC504" w14:textId="10772BF4" w:rsidR="000A54D6" w:rsidRPr="002574EC" w:rsidRDefault="000A54D6" w:rsidP="007B586B">
      <w:pPr>
        <w:pStyle w:val="ListParagraph"/>
        <w:numPr>
          <w:ilvl w:val="0"/>
          <w:numId w:val="0"/>
        </w:numPr>
        <w:ind w:left="720"/>
      </w:pPr>
    </w:p>
    <w:p w14:paraId="0C81FB28" w14:textId="50DEE466" w:rsidR="000A54D6" w:rsidRPr="002574EC" w:rsidRDefault="008F5018" w:rsidP="00F85814">
      <w:pPr>
        <w:pStyle w:val="ListParagraph"/>
        <w:numPr>
          <w:ilvl w:val="0"/>
          <w:numId w:val="9"/>
        </w:numPr>
      </w:pPr>
      <w:r w:rsidRPr="002574EC">
        <w:t>Take measures to ensure access to comprehensive healthcare for persons with disability</w:t>
      </w:r>
      <w:r w:rsidR="000A54D6" w:rsidRPr="002574EC">
        <w:t>.</w:t>
      </w:r>
    </w:p>
    <w:p w14:paraId="718CD2B1" w14:textId="787DA334" w:rsidR="000A54D6" w:rsidRPr="002574EC" w:rsidRDefault="000A54D6" w:rsidP="007C4A3F">
      <w:pPr>
        <w:ind w:left="709" w:hanging="283"/>
        <w:rPr>
          <w:rFonts w:ascii="Cambria" w:hAnsi="Cambria"/>
          <w:sz w:val="20"/>
          <w:szCs w:val="20"/>
        </w:rPr>
      </w:pPr>
    </w:p>
    <w:p w14:paraId="427BD41A" w14:textId="2EC7656A" w:rsidR="000A54D6" w:rsidRPr="002574EC" w:rsidRDefault="00687FB1" w:rsidP="007C4A3F">
      <w:pPr>
        <w:ind w:left="709" w:hanging="283"/>
        <w:rPr>
          <w:rFonts w:ascii="Cambria" w:hAnsi="Cambria"/>
          <w:b/>
          <w:bCs/>
          <w:sz w:val="20"/>
          <w:szCs w:val="20"/>
        </w:rPr>
      </w:pPr>
      <w:r w:rsidRPr="002574EC">
        <w:rPr>
          <w:rFonts w:ascii="Cambria" w:hAnsi="Cambria"/>
          <w:b/>
          <w:bCs/>
          <w:sz w:val="20"/>
          <w:szCs w:val="20"/>
        </w:rPr>
        <w:t>Lesbians, Gays, Trans</w:t>
      </w:r>
      <w:r w:rsidR="00644BE7" w:rsidRPr="002574EC">
        <w:rPr>
          <w:rFonts w:ascii="Cambria" w:hAnsi="Cambria"/>
          <w:b/>
          <w:bCs/>
          <w:sz w:val="20"/>
          <w:szCs w:val="20"/>
        </w:rPr>
        <w:t>exual, Bisexual</w:t>
      </w:r>
      <w:r w:rsidR="00BD0330" w:rsidRPr="002574EC">
        <w:rPr>
          <w:rFonts w:ascii="Cambria" w:hAnsi="Cambria"/>
          <w:b/>
          <w:bCs/>
          <w:sz w:val="20"/>
          <w:szCs w:val="20"/>
        </w:rPr>
        <w:t xml:space="preserve"> and Intersex</w:t>
      </w:r>
      <w:r w:rsidR="000A54D6" w:rsidRPr="002574EC">
        <w:rPr>
          <w:rFonts w:ascii="Cambria" w:hAnsi="Cambria"/>
          <w:b/>
          <w:bCs/>
          <w:sz w:val="20"/>
          <w:szCs w:val="20"/>
        </w:rPr>
        <w:t xml:space="preserve"> (LGTBI)</w:t>
      </w:r>
      <w:r w:rsidR="00BD0330" w:rsidRPr="002574EC">
        <w:rPr>
          <w:rFonts w:ascii="Cambria" w:hAnsi="Cambria"/>
          <w:b/>
          <w:bCs/>
          <w:sz w:val="20"/>
          <w:szCs w:val="20"/>
        </w:rPr>
        <w:t xml:space="preserve"> Persons</w:t>
      </w:r>
    </w:p>
    <w:p w14:paraId="2384B068" w14:textId="77777777" w:rsidR="000A54D6" w:rsidRPr="002574EC" w:rsidRDefault="000A54D6" w:rsidP="007C4A3F">
      <w:pPr>
        <w:ind w:left="709" w:hanging="283"/>
        <w:rPr>
          <w:rFonts w:ascii="Cambria" w:hAnsi="Cambria"/>
          <w:sz w:val="20"/>
          <w:szCs w:val="20"/>
        </w:rPr>
      </w:pPr>
      <w:r w:rsidRPr="002574EC">
        <w:rPr>
          <w:rFonts w:ascii="Cambria" w:hAnsi="Cambria"/>
          <w:sz w:val="20"/>
          <w:szCs w:val="20"/>
        </w:rPr>
        <w:t> </w:t>
      </w:r>
    </w:p>
    <w:p w14:paraId="347039C8" w14:textId="344CFF70" w:rsidR="000A54D6" w:rsidRPr="002574EC" w:rsidRDefault="00273EFC" w:rsidP="00F85814">
      <w:pPr>
        <w:pStyle w:val="ListParagraph"/>
        <w:numPr>
          <w:ilvl w:val="0"/>
          <w:numId w:val="9"/>
        </w:numPr>
      </w:pPr>
      <w:r w:rsidRPr="002574EC">
        <w:t xml:space="preserve">Take </w:t>
      </w:r>
      <w:r w:rsidR="000D3816" w:rsidRPr="002574EC">
        <w:t xml:space="preserve">measures to prevent violence against LGBTI persons including </w:t>
      </w:r>
      <w:r w:rsidR="004C43C3" w:rsidRPr="002574EC">
        <w:t>effective</w:t>
      </w:r>
      <w:r w:rsidR="008955E4" w:rsidRPr="002574EC">
        <w:t xml:space="preserve"> and independent</w:t>
      </w:r>
      <w:r w:rsidR="00340100" w:rsidRPr="002574EC">
        <w:t xml:space="preserve"> procedures to </w:t>
      </w:r>
      <w:r w:rsidR="004C43C3" w:rsidRPr="002574EC">
        <w:t>report</w:t>
      </w:r>
      <w:r w:rsidR="0029480F" w:rsidRPr="002574EC">
        <w:t xml:space="preserve"> </w:t>
      </w:r>
      <w:r w:rsidR="004C62BA" w:rsidRPr="002574EC">
        <w:t>violations</w:t>
      </w:r>
      <w:r w:rsidR="00EB0C2A" w:rsidRPr="002574EC">
        <w:t xml:space="preserve"> </w:t>
      </w:r>
      <w:r w:rsidR="004E771B" w:rsidRPr="002574EC">
        <w:t>of</w:t>
      </w:r>
      <w:r w:rsidR="00EB0C2A" w:rsidRPr="002574EC">
        <w:t xml:space="preserve"> their rights</w:t>
      </w:r>
      <w:r w:rsidR="00334B62" w:rsidRPr="002574EC">
        <w:t>.</w:t>
      </w:r>
      <w:r w:rsidR="000A54D6" w:rsidRPr="002574EC">
        <w:t> </w:t>
      </w:r>
    </w:p>
    <w:p w14:paraId="506589BE" w14:textId="3CD5FBD3" w:rsidR="000A54D6" w:rsidRPr="002574EC" w:rsidRDefault="000A54D6" w:rsidP="007B586B">
      <w:pPr>
        <w:pStyle w:val="ListParagraph"/>
        <w:numPr>
          <w:ilvl w:val="0"/>
          <w:numId w:val="0"/>
        </w:numPr>
        <w:ind w:left="720"/>
      </w:pPr>
    </w:p>
    <w:p w14:paraId="626220ED" w14:textId="2E0EF266" w:rsidR="000A54D6" w:rsidRPr="002574EC" w:rsidRDefault="00EB0C2A" w:rsidP="00F85814">
      <w:pPr>
        <w:pStyle w:val="ListParagraph"/>
        <w:numPr>
          <w:ilvl w:val="0"/>
          <w:numId w:val="9"/>
        </w:numPr>
      </w:pPr>
      <w:r w:rsidRPr="002574EC">
        <w:t xml:space="preserve">Offer training </w:t>
      </w:r>
      <w:r w:rsidR="009048C4" w:rsidRPr="002574EC">
        <w:t xml:space="preserve">courses to raise awareness </w:t>
      </w:r>
      <w:r w:rsidR="00C904FC" w:rsidRPr="002574EC">
        <w:t xml:space="preserve">among State officials, especially justice and security </w:t>
      </w:r>
      <w:r w:rsidR="00C17523" w:rsidRPr="002574EC">
        <w:t>officers</w:t>
      </w:r>
      <w:r w:rsidR="00043AB5" w:rsidRPr="002574EC">
        <w:t xml:space="preserve"> and health</w:t>
      </w:r>
      <w:r w:rsidR="00955A84" w:rsidRPr="002574EC">
        <w:t xml:space="preserve"> administrators</w:t>
      </w:r>
      <w:r w:rsidR="00043AB5" w:rsidRPr="002574EC">
        <w:t xml:space="preserve"> and health</w:t>
      </w:r>
      <w:r w:rsidR="00AC43C0" w:rsidRPr="002574EC">
        <w:t>care</w:t>
      </w:r>
      <w:r w:rsidR="00043AB5" w:rsidRPr="002574EC">
        <w:t xml:space="preserve"> and education workers. </w:t>
      </w:r>
    </w:p>
    <w:p w14:paraId="69961B4E" w14:textId="186A3091" w:rsidR="000A54D6" w:rsidRPr="002574EC" w:rsidRDefault="000A54D6" w:rsidP="007B586B">
      <w:pPr>
        <w:pStyle w:val="ListParagraph"/>
        <w:numPr>
          <w:ilvl w:val="0"/>
          <w:numId w:val="0"/>
        </w:numPr>
        <w:ind w:left="720"/>
      </w:pPr>
    </w:p>
    <w:p w14:paraId="7AF54373" w14:textId="7548F19D" w:rsidR="000A54D6" w:rsidRPr="002574EC" w:rsidRDefault="008F0C02" w:rsidP="00F85814">
      <w:pPr>
        <w:pStyle w:val="ListParagraph"/>
        <w:numPr>
          <w:ilvl w:val="0"/>
          <w:numId w:val="9"/>
        </w:numPr>
      </w:pPr>
      <w:r w:rsidRPr="002574EC">
        <w:t xml:space="preserve">Take measures to </w:t>
      </w:r>
      <w:r w:rsidR="00610369" w:rsidRPr="002574EC">
        <w:t xml:space="preserve">repeal </w:t>
      </w:r>
      <w:r w:rsidR="00781EA8" w:rsidRPr="002574EC">
        <w:t xml:space="preserve">provisions of the law that criminalize consensual </w:t>
      </w:r>
      <w:r w:rsidR="001913F7" w:rsidRPr="002574EC">
        <w:t xml:space="preserve">sexual relations between persons of the same sex, as is the case of Article 565 of the Organic Code of Military Justice. </w:t>
      </w:r>
      <w:r w:rsidR="000A54D6" w:rsidRPr="002574EC">
        <w:br/>
      </w:r>
    </w:p>
    <w:p w14:paraId="2E2980C6" w14:textId="38220EE9" w:rsidR="000A54D6" w:rsidRPr="002574EC" w:rsidRDefault="002060E1" w:rsidP="00F85814">
      <w:pPr>
        <w:pStyle w:val="ListParagraph"/>
        <w:numPr>
          <w:ilvl w:val="0"/>
          <w:numId w:val="9"/>
        </w:numPr>
      </w:pPr>
      <w:r w:rsidRPr="002574EC">
        <w:t>Enact gender identity laws that rec</w:t>
      </w:r>
      <w:r w:rsidR="002853B3" w:rsidRPr="002574EC">
        <w:t xml:space="preserve">ognize </w:t>
      </w:r>
      <w:r w:rsidR="00780BEA" w:rsidRPr="002574EC">
        <w:t xml:space="preserve">the right of trans and gender diverse persons </w:t>
      </w:r>
      <w:r w:rsidR="00042377" w:rsidRPr="002574EC">
        <w:t xml:space="preserve">to rectify their </w:t>
      </w:r>
      <w:r w:rsidR="00173BF9" w:rsidRPr="002574EC">
        <w:t>names and the stated sex or gender on their birth certificates, identity documents and other legal documents.</w:t>
      </w:r>
    </w:p>
    <w:p w14:paraId="093DF849" w14:textId="5517EFC2" w:rsidR="000A54D6" w:rsidRPr="002574EC" w:rsidRDefault="000A54D6" w:rsidP="007B586B">
      <w:pPr>
        <w:pStyle w:val="ListParagraph"/>
        <w:numPr>
          <w:ilvl w:val="0"/>
          <w:numId w:val="0"/>
        </w:numPr>
        <w:ind w:left="720"/>
      </w:pPr>
    </w:p>
    <w:p w14:paraId="7F42113A" w14:textId="416AE261" w:rsidR="000A54D6" w:rsidRPr="002574EC" w:rsidRDefault="00BC5E77" w:rsidP="00F85814">
      <w:pPr>
        <w:pStyle w:val="ListParagraph"/>
        <w:numPr>
          <w:ilvl w:val="0"/>
          <w:numId w:val="9"/>
        </w:numPr>
      </w:pPr>
      <w:r w:rsidRPr="002574EC">
        <w:t xml:space="preserve">Extend legal recognition to same sex unions or marriages, granting </w:t>
      </w:r>
      <w:r w:rsidR="009C06A4" w:rsidRPr="002574EC">
        <w:t xml:space="preserve">the same rights as those granted </w:t>
      </w:r>
      <w:r w:rsidR="00CC104A" w:rsidRPr="002574EC">
        <w:t xml:space="preserve">to </w:t>
      </w:r>
      <w:r w:rsidR="009D6BDF" w:rsidRPr="002574EC">
        <w:t xml:space="preserve">opposite </w:t>
      </w:r>
      <w:r w:rsidR="00CC104A" w:rsidRPr="002574EC">
        <w:t xml:space="preserve">sex couples, including </w:t>
      </w:r>
      <w:r w:rsidR="00413400" w:rsidRPr="002574EC">
        <w:t xml:space="preserve">property rights, and all other rights arising from </w:t>
      </w:r>
      <w:r w:rsidR="00053598" w:rsidRPr="002574EC">
        <w:t xml:space="preserve">that relationship, without </w:t>
      </w:r>
      <w:r w:rsidR="00952A65" w:rsidRPr="002574EC">
        <w:t>any distinction of sexual orientation or gender identity.</w:t>
      </w:r>
    </w:p>
    <w:p w14:paraId="5415DCAD" w14:textId="77777777" w:rsidR="00BA4008" w:rsidRDefault="00BA4008">
      <w:pPr>
        <w:rPr>
          <w:rFonts w:ascii="Cambria" w:hAnsi="Cambria"/>
          <w:b/>
          <w:bCs/>
          <w:sz w:val="20"/>
          <w:szCs w:val="20"/>
        </w:rPr>
      </w:pPr>
      <w:r>
        <w:rPr>
          <w:rFonts w:ascii="Cambria" w:hAnsi="Cambria"/>
          <w:b/>
          <w:bCs/>
          <w:sz w:val="20"/>
          <w:szCs w:val="20"/>
        </w:rPr>
        <w:br w:type="page"/>
      </w:r>
    </w:p>
    <w:p w14:paraId="249BDBF4" w14:textId="2AE5FC89" w:rsidR="000A54D6" w:rsidRPr="002574EC" w:rsidRDefault="00106E07" w:rsidP="007C4A3F">
      <w:pPr>
        <w:ind w:left="709" w:hanging="283"/>
        <w:rPr>
          <w:rFonts w:ascii="Cambria" w:hAnsi="Cambria"/>
          <w:b/>
          <w:bCs/>
          <w:sz w:val="20"/>
          <w:szCs w:val="20"/>
        </w:rPr>
      </w:pPr>
      <w:r w:rsidRPr="002574EC">
        <w:rPr>
          <w:rFonts w:ascii="Cambria" w:hAnsi="Cambria"/>
          <w:b/>
          <w:bCs/>
          <w:sz w:val="20"/>
          <w:szCs w:val="20"/>
        </w:rPr>
        <w:lastRenderedPageBreak/>
        <w:t xml:space="preserve">Afro-descendants </w:t>
      </w:r>
    </w:p>
    <w:p w14:paraId="0A51D91D" w14:textId="1F97AB16" w:rsidR="000A54D6" w:rsidRPr="002574EC" w:rsidRDefault="000A54D6" w:rsidP="007C4A3F">
      <w:pPr>
        <w:ind w:left="709" w:hanging="283"/>
        <w:rPr>
          <w:rFonts w:ascii="Cambria" w:hAnsi="Cambria"/>
          <w:sz w:val="20"/>
          <w:szCs w:val="20"/>
        </w:rPr>
      </w:pPr>
    </w:p>
    <w:p w14:paraId="0102ED3A" w14:textId="09CD1C50" w:rsidR="000A54D6" w:rsidRPr="002574EC" w:rsidRDefault="000A54D6" w:rsidP="00F85814">
      <w:pPr>
        <w:pStyle w:val="ListParagraph"/>
        <w:numPr>
          <w:ilvl w:val="0"/>
          <w:numId w:val="9"/>
        </w:numPr>
      </w:pPr>
      <w:r w:rsidRPr="002574EC">
        <w:t>A</w:t>
      </w:r>
      <w:r w:rsidR="009320EE" w:rsidRPr="002574EC">
        <w:t>dopt an ethno-ra</w:t>
      </w:r>
      <w:r w:rsidR="004A4E1F" w:rsidRPr="002574EC">
        <w:t>ci</w:t>
      </w:r>
      <w:r w:rsidR="009320EE" w:rsidRPr="002574EC">
        <w:t xml:space="preserve">al approach </w:t>
      </w:r>
      <w:r w:rsidR="00F60F47" w:rsidRPr="002574EC">
        <w:t xml:space="preserve">in </w:t>
      </w:r>
      <w:r w:rsidR="00104310" w:rsidRPr="002574EC">
        <w:t xml:space="preserve">anti-poverty </w:t>
      </w:r>
      <w:r w:rsidR="00F60F47" w:rsidRPr="002574EC">
        <w:t xml:space="preserve">social policies </w:t>
      </w:r>
      <w:r w:rsidR="00104310" w:rsidRPr="002574EC">
        <w:t xml:space="preserve">in order to </w:t>
      </w:r>
      <w:r w:rsidR="00F7459B" w:rsidRPr="002574EC">
        <w:t xml:space="preserve">address </w:t>
      </w:r>
      <w:r w:rsidR="008E631D" w:rsidRPr="002574EC">
        <w:t xml:space="preserve">the specific </w:t>
      </w:r>
      <w:r w:rsidR="00B34529" w:rsidRPr="002574EC">
        <w:t>situation of people of African descent, particularly women and children</w:t>
      </w:r>
      <w:r w:rsidR="008F3D40" w:rsidRPr="002574EC">
        <w:t>.</w:t>
      </w:r>
    </w:p>
    <w:p w14:paraId="68538CAE" w14:textId="06665A02" w:rsidR="000A54D6" w:rsidRPr="002574EC" w:rsidRDefault="000A54D6" w:rsidP="007B586B">
      <w:pPr>
        <w:pStyle w:val="ListParagraph"/>
        <w:numPr>
          <w:ilvl w:val="0"/>
          <w:numId w:val="0"/>
        </w:numPr>
        <w:ind w:left="720"/>
      </w:pPr>
    </w:p>
    <w:p w14:paraId="6848DB68" w14:textId="7E968E0D" w:rsidR="000A54D6" w:rsidRPr="002574EC" w:rsidRDefault="000A54D6" w:rsidP="00F85814">
      <w:pPr>
        <w:pStyle w:val="ListParagraph"/>
        <w:numPr>
          <w:ilvl w:val="0"/>
          <w:numId w:val="9"/>
        </w:numPr>
      </w:pPr>
      <w:r w:rsidRPr="002574EC">
        <w:t>A</w:t>
      </w:r>
      <w:r w:rsidR="004466EC" w:rsidRPr="002574EC">
        <w:t xml:space="preserve">dopt affirmative action measures to prioritize the inclusion </w:t>
      </w:r>
      <w:r w:rsidR="003D0D59" w:rsidRPr="002574EC">
        <w:t xml:space="preserve">of the Afro-descendant </w:t>
      </w:r>
      <w:r w:rsidR="00946951" w:rsidRPr="002574EC">
        <w:t>population at all levels of the labor market and educational</w:t>
      </w:r>
      <w:r w:rsidR="00F7344A" w:rsidRPr="002574EC">
        <w:t xml:space="preserve"> settings</w:t>
      </w:r>
      <w:r w:rsidR="00946951" w:rsidRPr="002574EC">
        <w:t xml:space="preserve">, both public and private. </w:t>
      </w:r>
    </w:p>
    <w:p w14:paraId="4E16152C" w14:textId="2F811744" w:rsidR="000A54D6" w:rsidRPr="002574EC" w:rsidRDefault="000A54D6" w:rsidP="007B586B">
      <w:pPr>
        <w:pStyle w:val="ListParagraph"/>
        <w:numPr>
          <w:ilvl w:val="0"/>
          <w:numId w:val="0"/>
        </w:numPr>
        <w:ind w:left="720"/>
      </w:pPr>
    </w:p>
    <w:p w14:paraId="1E805BCE" w14:textId="00372C70" w:rsidR="000A54D6" w:rsidRPr="002574EC" w:rsidRDefault="00F7344A" w:rsidP="00F85814">
      <w:pPr>
        <w:pStyle w:val="ListParagraph"/>
        <w:numPr>
          <w:ilvl w:val="0"/>
          <w:numId w:val="9"/>
        </w:numPr>
      </w:pPr>
      <w:r w:rsidRPr="002574EC">
        <w:t>Change school</w:t>
      </w:r>
      <w:r w:rsidR="00462552" w:rsidRPr="002574EC">
        <w:t xml:space="preserve"> curricula </w:t>
      </w:r>
      <w:r w:rsidR="001A346D" w:rsidRPr="002574EC">
        <w:t xml:space="preserve">in order to take account of the contribution of the Afro-descendant </w:t>
      </w:r>
      <w:r w:rsidR="00337DAF" w:rsidRPr="002574EC">
        <w:t xml:space="preserve">population </w:t>
      </w:r>
      <w:r w:rsidR="00F84555" w:rsidRPr="002574EC">
        <w:t xml:space="preserve">and promote </w:t>
      </w:r>
      <w:r w:rsidR="00651A84" w:rsidRPr="002574EC">
        <w:t xml:space="preserve">more inclusive education aimed at eradicating </w:t>
      </w:r>
      <w:r w:rsidR="00AC61BE" w:rsidRPr="002574EC">
        <w:t xml:space="preserve">racial prejudice, </w:t>
      </w:r>
      <w:r w:rsidR="00C75A7F" w:rsidRPr="002574EC">
        <w:t xml:space="preserve">raising the profile of the cultures of the nation and promoting </w:t>
      </w:r>
      <w:r w:rsidR="003702D3" w:rsidRPr="002574EC">
        <w:t xml:space="preserve">real equality </w:t>
      </w:r>
      <w:r w:rsidR="00952263" w:rsidRPr="002574EC">
        <w:t xml:space="preserve">between people. </w:t>
      </w:r>
    </w:p>
    <w:p w14:paraId="5FB06BB9" w14:textId="77777777" w:rsidR="00053CC8" w:rsidRPr="002574EC" w:rsidRDefault="00053CC8" w:rsidP="00053CC8">
      <w:pPr>
        <w:rPr>
          <w:rFonts w:ascii="Cambria" w:hAnsi="Cambria"/>
          <w:sz w:val="20"/>
          <w:szCs w:val="20"/>
        </w:rPr>
      </w:pPr>
    </w:p>
    <w:p w14:paraId="3D4EB9BD" w14:textId="39CAC6F0" w:rsidR="000A54D6" w:rsidRPr="002574EC" w:rsidRDefault="00053CC8" w:rsidP="007C4A3F">
      <w:pPr>
        <w:ind w:left="709" w:hanging="283"/>
        <w:rPr>
          <w:rFonts w:ascii="Cambria" w:hAnsi="Cambria"/>
          <w:b/>
          <w:bCs/>
          <w:sz w:val="20"/>
          <w:szCs w:val="20"/>
        </w:rPr>
      </w:pPr>
      <w:r w:rsidRPr="002574EC">
        <w:rPr>
          <w:rFonts w:ascii="Cambria" w:hAnsi="Cambria"/>
          <w:b/>
          <w:bCs/>
          <w:sz w:val="20"/>
          <w:szCs w:val="20"/>
        </w:rPr>
        <w:t xml:space="preserve">Older Persons </w:t>
      </w:r>
    </w:p>
    <w:p w14:paraId="10386194" w14:textId="5629F00B" w:rsidR="000A54D6" w:rsidRPr="002574EC" w:rsidRDefault="000A54D6" w:rsidP="007C4A3F">
      <w:pPr>
        <w:ind w:left="709" w:hanging="283"/>
        <w:rPr>
          <w:rFonts w:ascii="Cambria" w:hAnsi="Cambria"/>
          <w:sz w:val="20"/>
          <w:szCs w:val="20"/>
        </w:rPr>
      </w:pPr>
    </w:p>
    <w:p w14:paraId="5E041D0A" w14:textId="09D8913E" w:rsidR="000A54D6" w:rsidRPr="002574EC" w:rsidRDefault="007D189D" w:rsidP="00F85814">
      <w:pPr>
        <w:pStyle w:val="ListParagraph"/>
        <w:numPr>
          <w:ilvl w:val="0"/>
          <w:numId w:val="9"/>
        </w:numPr>
      </w:pPr>
      <w:r w:rsidRPr="002574EC">
        <w:t>Take urgent measures to provide the protection</w:t>
      </w:r>
      <w:r w:rsidR="00F6784F" w:rsidRPr="002574EC">
        <w:t xml:space="preserve"> required by older persons, prioritizing </w:t>
      </w:r>
      <w:r w:rsidR="00596F34" w:rsidRPr="002574EC">
        <w:t>their access to food, comprehensive healthcare and old-age pensions.</w:t>
      </w:r>
      <w:r w:rsidR="000A54D6" w:rsidRPr="002574EC">
        <w:t>. </w:t>
      </w:r>
    </w:p>
    <w:p w14:paraId="5EDB0443" w14:textId="48508C01" w:rsidR="000A54D6" w:rsidRPr="002574EC" w:rsidRDefault="000A54D6" w:rsidP="007B586B">
      <w:pPr>
        <w:ind w:left="360"/>
      </w:pPr>
    </w:p>
    <w:p w14:paraId="133F734E" w14:textId="35B26C75" w:rsidR="000A54D6" w:rsidRPr="002574EC" w:rsidRDefault="002309A7" w:rsidP="00F85814">
      <w:pPr>
        <w:pStyle w:val="ListParagraph"/>
        <w:numPr>
          <w:ilvl w:val="0"/>
          <w:numId w:val="9"/>
        </w:numPr>
      </w:pPr>
      <w:r w:rsidRPr="002574EC">
        <w:t xml:space="preserve">Carry out, urgently and on a preferential basis, </w:t>
      </w:r>
      <w:r w:rsidR="00BF0D41" w:rsidRPr="002574EC">
        <w:t xml:space="preserve">payment </w:t>
      </w:r>
      <w:r w:rsidR="00CA4D5B" w:rsidRPr="002574EC">
        <w:t xml:space="preserve">of pensions and retirement </w:t>
      </w:r>
      <w:r w:rsidR="00E10020" w:rsidRPr="002574EC">
        <w:t xml:space="preserve">owed to </w:t>
      </w:r>
      <w:r w:rsidR="007352E3" w:rsidRPr="002574EC">
        <w:t xml:space="preserve">older Venezuelan persons </w:t>
      </w:r>
      <w:r w:rsidR="002950B4" w:rsidRPr="002574EC">
        <w:t xml:space="preserve">who are overseas.  </w:t>
      </w:r>
      <w:r w:rsidR="008973F1" w:rsidRPr="002574EC">
        <w:t xml:space="preserve">For this purpose, </w:t>
      </w:r>
      <w:r w:rsidR="003C6E55" w:rsidRPr="002574EC">
        <w:t xml:space="preserve">enable </w:t>
      </w:r>
      <w:r w:rsidR="00272BBE" w:rsidRPr="002574EC">
        <w:t xml:space="preserve">measure of </w:t>
      </w:r>
      <w:r w:rsidR="006700C2" w:rsidRPr="002574EC">
        <w:t xml:space="preserve">ready </w:t>
      </w:r>
      <w:r w:rsidR="00272BBE" w:rsidRPr="002574EC">
        <w:t xml:space="preserve">access </w:t>
      </w:r>
      <w:r w:rsidR="006700C2" w:rsidRPr="002574EC">
        <w:t xml:space="preserve">to </w:t>
      </w:r>
      <w:r w:rsidR="00272BBE" w:rsidRPr="002574EC">
        <w:t xml:space="preserve">payment for these people, taking into account their specific needs. </w:t>
      </w:r>
    </w:p>
    <w:p w14:paraId="45B26099" w14:textId="77777777" w:rsidR="00BD17B0" w:rsidRPr="007D1643" w:rsidRDefault="00BD17B0" w:rsidP="007B586B">
      <w:pPr>
        <w:pStyle w:val="ListParagraph"/>
        <w:numPr>
          <w:ilvl w:val="0"/>
          <w:numId w:val="0"/>
        </w:numPr>
        <w:ind w:left="720"/>
      </w:pPr>
    </w:p>
    <w:sectPr w:rsidR="00BD17B0" w:rsidRPr="007D1643" w:rsidSect="00992153">
      <w:headerReference w:type="default" r:id="rId10"/>
      <w:footerReference w:type="default" r:id="rId11"/>
      <w:headerReference w:type="first" r:id="rId12"/>
      <w:pgSz w:w="12240" w:h="15840"/>
      <w:pgMar w:top="1440" w:right="1440" w:bottom="1440" w:left="1440" w:header="708" w:footer="708" w:gutter="0"/>
      <w:pgNumType w:start="8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3299" w14:textId="77777777" w:rsidR="00791E8D" w:rsidRDefault="00791E8D" w:rsidP="00672733">
      <w:r>
        <w:separator/>
      </w:r>
    </w:p>
  </w:endnote>
  <w:endnote w:type="continuationSeparator" w:id="0">
    <w:p w14:paraId="441EA7F1" w14:textId="77777777" w:rsidR="00791E8D" w:rsidRDefault="00791E8D" w:rsidP="00672733">
      <w:r>
        <w:continuationSeparator/>
      </w:r>
    </w:p>
  </w:endnote>
  <w:endnote w:type="continuationNotice" w:id="1">
    <w:p w14:paraId="7630D067" w14:textId="77777777" w:rsidR="00791E8D" w:rsidRDefault="00791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Noto Serif">
    <w:charset w:val="00"/>
    <w:family w:val="roman"/>
    <w:pitch w:val="variable"/>
    <w:sig w:usb0="E00002FF" w:usb1="500078FF" w:usb2="00000029"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992153" w:rsidRDefault="00E516AB">
    <w:pPr>
      <w:pStyle w:val="Footer"/>
      <w:tabs>
        <w:tab w:val="clear" w:pos="4680"/>
        <w:tab w:val="clear" w:pos="9360"/>
      </w:tabs>
      <w:jc w:val="center"/>
      <w:rPr>
        <w:rFonts w:asciiTheme="minorHAnsi" w:hAnsiTheme="minorHAnsi" w:cstheme="minorHAnsi"/>
        <w:caps/>
        <w:noProof/>
        <w:color w:val="000000" w:themeColor="text1"/>
        <w:sz w:val="20"/>
        <w:szCs w:val="20"/>
      </w:rPr>
    </w:pPr>
    <w:r w:rsidRPr="00992153">
      <w:rPr>
        <w:rFonts w:asciiTheme="minorHAnsi" w:hAnsiTheme="minorHAnsi" w:cstheme="minorHAnsi"/>
        <w:caps/>
        <w:color w:val="000000" w:themeColor="text1"/>
        <w:sz w:val="20"/>
        <w:szCs w:val="20"/>
      </w:rPr>
      <w:fldChar w:fldCharType="begin"/>
    </w:r>
    <w:r w:rsidRPr="00992153">
      <w:rPr>
        <w:rFonts w:asciiTheme="minorHAnsi" w:hAnsiTheme="minorHAnsi" w:cstheme="minorHAnsi"/>
        <w:caps/>
        <w:color w:val="000000" w:themeColor="text1"/>
        <w:sz w:val="20"/>
        <w:szCs w:val="20"/>
      </w:rPr>
      <w:instrText xml:space="preserve"> PAGE   \* MERGEFORMAT </w:instrText>
    </w:r>
    <w:r w:rsidRPr="00992153">
      <w:rPr>
        <w:rFonts w:asciiTheme="minorHAnsi" w:hAnsiTheme="minorHAnsi" w:cstheme="minorHAnsi"/>
        <w:caps/>
        <w:color w:val="000000" w:themeColor="text1"/>
        <w:sz w:val="20"/>
        <w:szCs w:val="20"/>
      </w:rPr>
      <w:fldChar w:fldCharType="separate"/>
    </w:r>
    <w:r w:rsidR="00EA0262" w:rsidRPr="00992153">
      <w:rPr>
        <w:rFonts w:asciiTheme="minorHAnsi" w:hAnsiTheme="minorHAnsi" w:cstheme="minorHAnsi"/>
        <w:caps/>
        <w:noProof/>
        <w:color w:val="000000" w:themeColor="text1"/>
        <w:sz w:val="20"/>
        <w:szCs w:val="20"/>
      </w:rPr>
      <w:t>2</w:t>
    </w:r>
    <w:r w:rsidRPr="00992153">
      <w:rPr>
        <w:rFonts w:asciiTheme="minorHAnsi" w:hAnsiTheme="minorHAnsi" w:cstheme="minorHAnsi"/>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0F10" w14:textId="77777777" w:rsidR="00791E8D" w:rsidRDefault="00791E8D" w:rsidP="00672733">
      <w:r>
        <w:separator/>
      </w:r>
    </w:p>
  </w:footnote>
  <w:footnote w:type="continuationSeparator" w:id="0">
    <w:p w14:paraId="776E2837" w14:textId="77777777" w:rsidR="00791E8D" w:rsidRDefault="00791E8D" w:rsidP="00672733">
      <w:r>
        <w:continuationSeparator/>
      </w:r>
    </w:p>
  </w:footnote>
  <w:footnote w:type="continuationNotice" w:id="1">
    <w:p w14:paraId="05EE79E6" w14:textId="77777777" w:rsidR="00791E8D" w:rsidRDefault="00791E8D"/>
  </w:footnote>
  <w:footnote w:id="2">
    <w:p w14:paraId="3751F9CE" w14:textId="6506D6AC" w:rsidR="009C2E09" w:rsidRPr="009035C0" w:rsidRDefault="009C2E09" w:rsidP="00F85814">
      <w:pPr>
        <w:pStyle w:val="FootnoteText"/>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035C0" w:rsidRPr="009035C0">
        <w:rPr>
          <w:rFonts w:ascii="Cambria" w:hAnsi="Cambria"/>
          <w:color w:val="000000" w:themeColor="text1"/>
          <w:sz w:val="16"/>
          <w:szCs w:val="16"/>
        </w:rPr>
        <w:t xml:space="preserve">IACHR, 2020 Annual Report </w:t>
      </w:r>
    </w:p>
  </w:footnote>
  <w:footnote w:id="3">
    <w:p w14:paraId="3569717C" w14:textId="2796B15B" w:rsidR="007E6D19" w:rsidRPr="009035C0" w:rsidRDefault="007E6D19" w:rsidP="00F85814">
      <w:pPr>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Pr="009035C0">
        <w:rPr>
          <w:rFonts w:ascii="Cambria" w:hAnsi="Cambria" w:cs="Arial"/>
          <w:color w:val="000000" w:themeColor="text1"/>
          <w:sz w:val="16"/>
          <w:szCs w:val="16"/>
          <w:shd w:val="clear" w:color="auto" w:fill="FFFFFF"/>
        </w:rPr>
        <w:t xml:space="preserve">Brookings, </w:t>
      </w:r>
      <w:r w:rsidR="00D33DE4">
        <w:rPr>
          <w:rFonts w:ascii="Cambria" w:hAnsi="Cambria" w:cs="Arial"/>
          <w:color w:val="000000" w:themeColor="text1"/>
          <w:sz w:val="16"/>
          <w:szCs w:val="16"/>
          <w:shd w:val="clear" w:color="auto" w:fill="FFFFFF"/>
        </w:rPr>
        <w:t xml:space="preserve">Venezuela </w:t>
      </w:r>
      <w:r w:rsidR="00FD360F">
        <w:rPr>
          <w:rFonts w:ascii="Cambria" w:hAnsi="Cambria" w:cs="Arial"/>
          <w:color w:val="000000" w:themeColor="text1"/>
          <w:sz w:val="16"/>
          <w:szCs w:val="16"/>
          <w:shd w:val="clear" w:color="auto" w:fill="FFFFFF"/>
        </w:rPr>
        <w:t xml:space="preserve">refugee crisis </w:t>
      </w:r>
      <w:r w:rsidR="00D33DE4">
        <w:rPr>
          <w:rFonts w:ascii="Cambria" w:hAnsi="Cambria" w:cs="Arial"/>
          <w:color w:val="000000" w:themeColor="text1"/>
          <w:sz w:val="16"/>
          <w:szCs w:val="16"/>
          <w:shd w:val="clear" w:color="auto" w:fill="FFFFFF"/>
        </w:rPr>
        <w:t xml:space="preserve">to </w:t>
      </w:r>
      <w:r w:rsidR="00FD360F">
        <w:rPr>
          <w:rFonts w:ascii="Cambria" w:hAnsi="Cambria" w:cs="Arial"/>
          <w:color w:val="000000" w:themeColor="text1"/>
          <w:sz w:val="16"/>
          <w:szCs w:val="16"/>
          <w:shd w:val="clear" w:color="auto" w:fill="FFFFFF"/>
        </w:rPr>
        <w:t>b</w:t>
      </w:r>
      <w:r w:rsidR="00D33DE4">
        <w:rPr>
          <w:rFonts w:ascii="Cambria" w:hAnsi="Cambria" w:cs="Arial"/>
          <w:color w:val="000000" w:themeColor="text1"/>
          <w:sz w:val="16"/>
          <w:szCs w:val="16"/>
          <w:shd w:val="clear" w:color="auto" w:fill="FFFFFF"/>
        </w:rPr>
        <w:t xml:space="preserve">ecome the </w:t>
      </w:r>
      <w:r w:rsidR="00E321D8">
        <w:rPr>
          <w:rFonts w:ascii="Cambria" w:hAnsi="Cambria" w:cs="Arial"/>
          <w:color w:val="000000" w:themeColor="text1"/>
          <w:sz w:val="16"/>
          <w:szCs w:val="16"/>
          <w:shd w:val="clear" w:color="auto" w:fill="FFFFFF"/>
        </w:rPr>
        <w:t>l</w:t>
      </w:r>
      <w:r w:rsidR="00D33DE4">
        <w:rPr>
          <w:rFonts w:ascii="Cambria" w:hAnsi="Cambria" w:cs="Arial"/>
          <w:color w:val="000000" w:themeColor="text1"/>
          <w:sz w:val="16"/>
          <w:szCs w:val="16"/>
          <w:shd w:val="clear" w:color="auto" w:fill="FFFFFF"/>
        </w:rPr>
        <w:t>argest and least funded in modern history</w:t>
      </w:r>
      <w:r w:rsidRPr="009035C0">
        <w:rPr>
          <w:rFonts w:ascii="Cambria" w:hAnsi="Cambria" w:cs="Arial"/>
          <w:color w:val="000000" w:themeColor="text1"/>
          <w:sz w:val="16"/>
          <w:szCs w:val="16"/>
          <w:shd w:val="clear" w:color="auto" w:fill="FFFFFF"/>
        </w:rPr>
        <w:t xml:space="preserve">, </w:t>
      </w:r>
      <w:r w:rsidR="00D33DE4">
        <w:rPr>
          <w:rFonts w:ascii="Cambria" w:hAnsi="Cambria" w:cs="Arial"/>
          <w:color w:val="000000" w:themeColor="text1"/>
          <w:sz w:val="16"/>
          <w:szCs w:val="16"/>
          <w:shd w:val="clear" w:color="auto" w:fill="FFFFFF"/>
        </w:rPr>
        <w:t xml:space="preserve">December </w:t>
      </w:r>
      <w:r w:rsidRPr="009035C0">
        <w:rPr>
          <w:rFonts w:ascii="Cambria" w:hAnsi="Cambria" w:cs="Arial"/>
          <w:color w:val="000000" w:themeColor="text1"/>
          <w:sz w:val="16"/>
          <w:szCs w:val="16"/>
          <w:shd w:val="clear" w:color="auto" w:fill="FFFFFF"/>
        </w:rPr>
        <w:t>9</w:t>
      </w:r>
      <w:r w:rsidR="00D33DE4">
        <w:rPr>
          <w:rFonts w:ascii="Cambria" w:hAnsi="Cambria" w:cs="Arial"/>
          <w:color w:val="000000" w:themeColor="text1"/>
          <w:sz w:val="16"/>
          <w:szCs w:val="16"/>
          <w:shd w:val="clear" w:color="auto" w:fill="FFFFFF"/>
        </w:rPr>
        <w:t>,</w:t>
      </w:r>
      <w:r w:rsidRPr="009035C0">
        <w:rPr>
          <w:rFonts w:ascii="Cambria" w:hAnsi="Cambria" w:cs="Arial"/>
          <w:color w:val="000000" w:themeColor="text1"/>
          <w:sz w:val="16"/>
          <w:szCs w:val="16"/>
          <w:shd w:val="clear" w:color="auto" w:fill="FFFFFF"/>
        </w:rPr>
        <w:t xml:space="preserve"> 2019. </w:t>
      </w:r>
      <w:r w:rsidR="00BB1286">
        <w:rPr>
          <w:rFonts w:ascii="Cambria" w:hAnsi="Cambria" w:cs="Arial"/>
          <w:iCs/>
          <w:color w:val="000000" w:themeColor="text1"/>
          <w:sz w:val="16"/>
          <w:szCs w:val="16"/>
          <w:shd w:val="clear" w:color="auto" w:fill="FFFFFF"/>
        </w:rPr>
        <w:t>See</w:t>
      </w:r>
      <w:r w:rsidR="009A3756">
        <w:rPr>
          <w:rFonts w:ascii="Cambria" w:hAnsi="Cambria" w:cs="Arial"/>
          <w:iCs/>
          <w:color w:val="000000" w:themeColor="text1"/>
          <w:sz w:val="16"/>
          <w:szCs w:val="16"/>
          <w:shd w:val="clear" w:color="auto" w:fill="FFFFFF"/>
        </w:rPr>
        <w:t>:</w:t>
      </w:r>
      <w:r w:rsidRPr="009035C0">
        <w:rPr>
          <w:rFonts w:ascii="Cambria" w:hAnsi="Cambria" w:cs="Arial"/>
          <w:color w:val="000000" w:themeColor="text1"/>
          <w:sz w:val="16"/>
          <w:szCs w:val="16"/>
          <w:shd w:val="clear" w:color="auto" w:fill="FFFFFF"/>
        </w:rPr>
        <w:t xml:space="preserve"> UNHCR, Venezuela situation, 2021.</w:t>
      </w:r>
    </w:p>
  </w:footnote>
  <w:footnote w:id="4">
    <w:p w14:paraId="48B6A6F6" w14:textId="38148CB6" w:rsidR="00EA0082" w:rsidRPr="009035C0" w:rsidRDefault="00EA0082" w:rsidP="00F85814">
      <w:pPr>
        <w:spacing w:after="120"/>
        <w:ind w:firstLine="720"/>
        <w:contextualSpacing/>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633874">
        <w:rPr>
          <w:rFonts w:ascii="Cambria" w:hAnsi="Cambria"/>
          <w:color w:val="000000" w:themeColor="text1"/>
          <w:sz w:val="16"/>
          <w:szCs w:val="16"/>
        </w:rPr>
        <w:t xml:space="preserve">UN, General Assembly, Final Document of the </w:t>
      </w:r>
      <w:r w:rsidR="007D6DC8">
        <w:rPr>
          <w:rFonts w:ascii="Cambria" w:hAnsi="Cambria"/>
          <w:color w:val="000000" w:themeColor="text1"/>
          <w:sz w:val="16"/>
          <w:szCs w:val="16"/>
        </w:rPr>
        <w:t xml:space="preserve">2005 </w:t>
      </w:r>
      <w:r w:rsidR="00633874">
        <w:rPr>
          <w:rFonts w:ascii="Cambria" w:hAnsi="Cambria"/>
          <w:color w:val="000000" w:themeColor="text1"/>
          <w:sz w:val="16"/>
          <w:szCs w:val="16"/>
        </w:rPr>
        <w:t>World Summit</w:t>
      </w:r>
      <w:r w:rsidR="007D6DC8">
        <w:rPr>
          <w:rFonts w:ascii="Cambria" w:hAnsi="Cambria"/>
          <w:color w:val="000000" w:themeColor="text1"/>
          <w:sz w:val="16"/>
          <w:szCs w:val="16"/>
        </w:rPr>
        <w:t xml:space="preserve">, </w:t>
      </w:r>
      <w:r w:rsidRPr="009035C0">
        <w:rPr>
          <w:rFonts w:ascii="Cambria" w:hAnsi="Cambria"/>
          <w:color w:val="000000" w:themeColor="text1"/>
          <w:sz w:val="16"/>
          <w:szCs w:val="16"/>
        </w:rPr>
        <w:t xml:space="preserve">, A/60/L.1, </w:t>
      </w:r>
      <w:r w:rsidR="007D6DC8">
        <w:rPr>
          <w:rFonts w:ascii="Cambria" w:hAnsi="Cambria"/>
          <w:color w:val="000000" w:themeColor="text1"/>
          <w:sz w:val="16"/>
          <w:szCs w:val="16"/>
        </w:rPr>
        <w:t xml:space="preserve">September </w:t>
      </w:r>
      <w:r w:rsidRPr="009035C0">
        <w:rPr>
          <w:rFonts w:ascii="Cambria" w:hAnsi="Cambria"/>
          <w:color w:val="000000" w:themeColor="text1"/>
          <w:sz w:val="16"/>
          <w:szCs w:val="16"/>
        </w:rPr>
        <w:t>15</w:t>
      </w:r>
      <w:r w:rsidR="007D6DC8">
        <w:rPr>
          <w:rFonts w:ascii="Cambria" w:hAnsi="Cambria"/>
          <w:color w:val="000000" w:themeColor="text1"/>
          <w:sz w:val="16"/>
          <w:szCs w:val="16"/>
        </w:rPr>
        <w:t>,</w:t>
      </w:r>
      <w:r w:rsidRPr="009035C0">
        <w:rPr>
          <w:rFonts w:ascii="Cambria" w:hAnsi="Cambria"/>
          <w:color w:val="000000" w:themeColor="text1"/>
          <w:sz w:val="16"/>
          <w:szCs w:val="16"/>
        </w:rPr>
        <w:t xml:space="preserve"> 2005, p</w:t>
      </w:r>
      <w:r w:rsidR="007D6DC8">
        <w:rPr>
          <w:rFonts w:ascii="Cambria" w:hAnsi="Cambria"/>
          <w:color w:val="000000" w:themeColor="text1"/>
          <w:sz w:val="16"/>
          <w:szCs w:val="16"/>
        </w:rPr>
        <w:t>a</w:t>
      </w:r>
      <w:r w:rsidRPr="009035C0">
        <w:rPr>
          <w:rFonts w:ascii="Cambria" w:hAnsi="Cambria"/>
          <w:color w:val="000000" w:themeColor="text1"/>
          <w:sz w:val="16"/>
          <w:szCs w:val="16"/>
        </w:rPr>
        <w:t xml:space="preserve">r. 135. </w:t>
      </w:r>
    </w:p>
  </w:footnote>
  <w:footnote w:id="5">
    <w:p w14:paraId="13CC6A31" w14:textId="3D325D55" w:rsidR="00EA0082" w:rsidRPr="009035C0" w:rsidRDefault="00EA0082" w:rsidP="00F85814">
      <w:pPr>
        <w:spacing w:after="120"/>
        <w:ind w:firstLine="720"/>
        <w:contextualSpacing/>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Art</w:t>
      </w:r>
      <w:r w:rsidR="0073171E">
        <w:rPr>
          <w:rFonts w:ascii="Cambria" w:hAnsi="Cambria"/>
          <w:color w:val="000000" w:themeColor="text1"/>
          <w:sz w:val="16"/>
          <w:szCs w:val="16"/>
        </w:rPr>
        <w:t xml:space="preserve">icle </w:t>
      </w:r>
      <w:r w:rsidRPr="009035C0">
        <w:rPr>
          <w:rFonts w:ascii="Cambria" w:hAnsi="Cambria"/>
          <w:color w:val="000000" w:themeColor="text1"/>
          <w:sz w:val="16"/>
          <w:szCs w:val="16"/>
        </w:rPr>
        <w:t>7</w:t>
      </w:r>
      <w:r w:rsidR="0073171E">
        <w:rPr>
          <w:rFonts w:ascii="Cambria" w:hAnsi="Cambria"/>
          <w:color w:val="000000" w:themeColor="text1"/>
          <w:sz w:val="16"/>
          <w:szCs w:val="16"/>
        </w:rPr>
        <w:t xml:space="preserve"> of the Inter-American Democratic Charter</w:t>
      </w:r>
      <w:r w:rsidRPr="009035C0">
        <w:rPr>
          <w:rFonts w:ascii="Cambria" w:hAnsi="Cambria"/>
          <w:color w:val="000000" w:themeColor="text1"/>
          <w:sz w:val="16"/>
          <w:szCs w:val="16"/>
        </w:rPr>
        <w:t xml:space="preserve">. </w:t>
      </w:r>
    </w:p>
  </w:footnote>
  <w:footnote w:id="6">
    <w:p w14:paraId="01EBEE4F" w14:textId="276C530D" w:rsidR="00EA0082" w:rsidRPr="009035C0" w:rsidRDefault="00EA0082" w:rsidP="00F85814">
      <w:pPr>
        <w:spacing w:after="120"/>
        <w:ind w:firstLine="720"/>
        <w:contextualSpacing/>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Pr="009035C0">
        <w:rPr>
          <w:rFonts w:ascii="Cambria" w:hAnsi="Cambria"/>
          <w:color w:val="000000" w:themeColor="text1"/>
          <w:sz w:val="16"/>
          <w:szCs w:val="16"/>
          <w:shd w:val="clear" w:color="auto" w:fill="FFFFFF"/>
        </w:rPr>
        <w:t>Art</w:t>
      </w:r>
      <w:r w:rsidR="002F78D3">
        <w:rPr>
          <w:rFonts w:ascii="Cambria" w:hAnsi="Cambria"/>
          <w:color w:val="000000" w:themeColor="text1"/>
          <w:sz w:val="16"/>
          <w:szCs w:val="16"/>
          <w:shd w:val="clear" w:color="auto" w:fill="FFFFFF"/>
        </w:rPr>
        <w:t xml:space="preserve">icle </w:t>
      </w:r>
      <w:r w:rsidRPr="009035C0">
        <w:rPr>
          <w:rFonts w:ascii="Cambria" w:hAnsi="Cambria"/>
          <w:color w:val="000000" w:themeColor="text1"/>
          <w:sz w:val="16"/>
          <w:szCs w:val="16"/>
          <w:shd w:val="clear" w:color="auto" w:fill="FFFFFF"/>
        </w:rPr>
        <w:t>3</w:t>
      </w:r>
      <w:r w:rsidR="002F78D3">
        <w:rPr>
          <w:rFonts w:ascii="Cambria" w:hAnsi="Cambria"/>
          <w:color w:val="000000" w:themeColor="text1"/>
          <w:sz w:val="16"/>
          <w:szCs w:val="16"/>
          <w:shd w:val="clear" w:color="auto" w:fill="FFFFFF"/>
        </w:rPr>
        <w:t xml:space="preserve"> of the Inter-American Democratic Charter; and UN, Human Rights Commission</w:t>
      </w:r>
      <w:r w:rsidRPr="009035C0">
        <w:rPr>
          <w:rFonts w:ascii="Cambria" w:hAnsi="Cambria"/>
          <w:color w:val="000000" w:themeColor="text1"/>
          <w:sz w:val="16"/>
          <w:szCs w:val="16"/>
          <w:shd w:val="clear" w:color="auto" w:fill="FFFFFF"/>
        </w:rPr>
        <w:t xml:space="preserve">, </w:t>
      </w:r>
      <w:r w:rsidR="002F78D3">
        <w:rPr>
          <w:rFonts w:ascii="Cambria" w:hAnsi="Cambria"/>
          <w:color w:val="000000" w:themeColor="text1"/>
          <w:sz w:val="16"/>
          <w:szCs w:val="16"/>
          <w:shd w:val="clear" w:color="auto" w:fill="FFFFFF"/>
        </w:rPr>
        <w:t xml:space="preserve">Resolution </w:t>
      </w:r>
      <w:r w:rsidRPr="009035C0">
        <w:rPr>
          <w:rFonts w:ascii="Cambria" w:hAnsi="Cambria"/>
          <w:color w:val="000000" w:themeColor="text1"/>
          <w:sz w:val="16"/>
          <w:szCs w:val="16"/>
          <w:shd w:val="clear" w:color="auto" w:fill="FFFFFF"/>
        </w:rPr>
        <w:t xml:space="preserve">2000/47, </w:t>
      </w:r>
      <w:r w:rsidR="002F78D3">
        <w:rPr>
          <w:rFonts w:ascii="Cambria" w:hAnsi="Cambria"/>
          <w:color w:val="000000" w:themeColor="text1"/>
          <w:sz w:val="16"/>
          <w:szCs w:val="16"/>
          <w:shd w:val="clear" w:color="auto" w:fill="FFFFFF"/>
        </w:rPr>
        <w:t xml:space="preserve">Promoting and Consolidating Democracy, April </w:t>
      </w:r>
      <w:r w:rsidRPr="009035C0">
        <w:rPr>
          <w:rFonts w:ascii="Cambria" w:hAnsi="Cambria"/>
          <w:color w:val="000000" w:themeColor="text1"/>
          <w:sz w:val="16"/>
          <w:szCs w:val="16"/>
          <w:shd w:val="clear" w:color="auto" w:fill="FFFFFF"/>
        </w:rPr>
        <w:t>25</w:t>
      </w:r>
      <w:r w:rsidR="002F78D3">
        <w:rPr>
          <w:rFonts w:ascii="Cambria" w:hAnsi="Cambria"/>
          <w:color w:val="000000" w:themeColor="text1"/>
          <w:sz w:val="16"/>
          <w:szCs w:val="16"/>
          <w:shd w:val="clear" w:color="auto" w:fill="FFFFFF"/>
        </w:rPr>
        <w:t>,</w:t>
      </w:r>
      <w:r w:rsidRPr="009035C0">
        <w:rPr>
          <w:rFonts w:ascii="Cambria" w:hAnsi="Cambria"/>
          <w:color w:val="000000" w:themeColor="text1"/>
          <w:sz w:val="16"/>
          <w:szCs w:val="16"/>
          <w:shd w:val="clear" w:color="auto" w:fill="FFFFFF"/>
        </w:rPr>
        <w:t xml:space="preserve"> 2000.</w:t>
      </w:r>
    </w:p>
  </w:footnote>
  <w:footnote w:id="7">
    <w:p w14:paraId="2A28F2A8" w14:textId="3503EAE6" w:rsidR="00EA0082" w:rsidRPr="00F85814" w:rsidRDefault="00EA0082" w:rsidP="00F85814">
      <w:pPr>
        <w:spacing w:after="120"/>
        <w:ind w:firstLine="720"/>
        <w:contextualSpacing/>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D2B34">
        <w:rPr>
          <w:rFonts w:ascii="Cambria" w:hAnsi="Cambria"/>
          <w:color w:val="000000" w:themeColor="text1"/>
          <w:sz w:val="16"/>
          <w:szCs w:val="16"/>
        </w:rPr>
        <w:t>IACHR, 2020 Annual Report, Chapter</w:t>
      </w:r>
      <w:r w:rsidRPr="009035C0">
        <w:rPr>
          <w:rFonts w:ascii="Cambria" w:hAnsi="Cambria"/>
          <w:color w:val="000000" w:themeColor="text1"/>
          <w:sz w:val="16"/>
          <w:szCs w:val="16"/>
        </w:rPr>
        <w:t xml:space="preserve"> IV.B, </w:t>
      </w:r>
      <w:r w:rsidR="00ED2B34">
        <w:rPr>
          <w:rFonts w:ascii="Cambria" w:hAnsi="Cambria"/>
          <w:color w:val="000000" w:themeColor="text1"/>
          <w:sz w:val="16"/>
          <w:szCs w:val="16"/>
        </w:rPr>
        <w:t>IACHR, 2019 Annual Report</w:t>
      </w:r>
      <w:r w:rsidRPr="009035C0">
        <w:rPr>
          <w:rFonts w:ascii="Cambria" w:hAnsi="Cambria"/>
          <w:color w:val="000000" w:themeColor="text1"/>
          <w:sz w:val="16"/>
          <w:szCs w:val="16"/>
        </w:rPr>
        <w:t>, C</w:t>
      </w:r>
      <w:r w:rsidR="00ED2B34">
        <w:rPr>
          <w:rFonts w:ascii="Cambria" w:hAnsi="Cambria"/>
          <w:color w:val="000000" w:themeColor="text1"/>
          <w:sz w:val="16"/>
          <w:szCs w:val="16"/>
        </w:rPr>
        <w:t xml:space="preserve">hapter </w:t>
      </w:r>
      <w:r w:rsidRPr="009035C0">
        <w:rPr>
          <w:rFonts w:ascii="Cambria" w:hAnsi="Cambria"/>
          <w:color w:val="000000" w:themeColor="text1"/>
          <w:sz w:val="16"/>
          <w:szCs w:val="16"/>
        </w:rPr>
        <w:t xml:space="preserve">IV.B, </w:t>
      </w:r>
      <w:r w:rsidR="00420295">
        <w:rPr>
          <w:rFonts w:ascii="Cambria" w:hAnsi="Cambria"/>
          <w:color w:val="000000" w:themeColor="text1"/>
          <w:sz w:val="16"/>
          <w:szCs w:val="16"/>
        </w:rPr>
        <w:t xml:space="preserve">IACHR, </w:t>
      </w:r>
      <w:r w:rsidR="00062D24">
        <w:rPr>
          <w:rFonts w:ascii="Cambria" w:hAnsi="Cambria"/>
          <w:color w:val="000000" w:themeColor="text1"/>
          <w:sz w:val="16"/>
          <w:szCs w:val="16"/>
        </w:rPr>
        <w:t xml:space="preserve">2018 </w:t>
      </w:r>
      <w:r w:rsidR="00420295">
        <w:rPr>
          <w:rFonts w:ascii="Cambria" w:hAnsi="Cambria"/>
          <w:color w:val="000000" w:themeColor="text1"/>
          <w:sz w:val="16"/>
          <w:szCs w:val="16"/>
        </w:rPr>
        <w:t>Annual Report</w:t>
      </w:r>
      <w:r w:rsidRPr="009035C0">
        <w:rPr>
          <w:rFonts w:ascii="Cambria" w:hAnsi="Cambria"/>
          <w:color w:val="000000" w:themeColor="text1"/>
          <w:sz w:val="16"/>
          <w:szCs w:val="16"/>
        </w:rPr>
        <w:t>,</w:t>
      </w:r>
      <w:r w:rsidR="00062D24">
        <w:rPr>
          <w:rFonts w:ascii="Cambria" w:hAnsi="Cambria"/>
          <w:color w:val="000000" w:themeColor="text1"/>
          <w:sz w:val="16"/>
          <w:szCs w:val="16"/>
        </w:rPr>
        <w:t xml:space="preserve"> Chapter </w:t>
      </w:r>
      <w:r w:rsidRPr="009035C0">
        <w:rPr>
          <w:rFonts w:ascii="Cambria" w:hAnsi="Cambria"/>
          <w:color w:val="000000" w:themeColor="text1"/>
          <w:sz w:val="16"/>
          <w:szCs w:val="16"/>
        </w:rPr>
        <w:t xml:space="preserve">IV.B, </w:t>
      </w:r>
      <w:r w:rsidR="007064C4">
        <w:rPr>
          <w:rFonts w:ascii="Cambria" w:hAnsi="Cambria"/>
          <w:color w:val="000000" w:themeColor="text1"/>
          <w:sz w:val="16"/>
          <w:szCs w:val="16"/>
        </w:rPr>
        <w:t xml:space="preserve">IACHR, 2017 Annual Report, Chapter </w:t>
      </w:r>
      <w:r w:rsidRPr="009035C0">
        <w:rPr>
          <w:rFonts w:ascii="Cambria" w:hAnsi="Cambria"/>
          <w:color w:val="000000" w:themeColor="text1"/>
          <w:sz w:val="16"/>
          <w:szCs w:val="16"/>
        </w:rPr>
        <w:t xml:space="preserve">IV.B </w:t>
      </w:r>
      <w:r w:rsidR="007064C4">
        <w:rPr>
          <w:rFonts w:ascii="Cambria" w:hAnsi="Cambria"/>
          <w:color w:val="000000" w:themeColor="text1"/>
          <w:sz w:val="16"/>
          <w:szCs w:val="16"/>
        </w:rPr>
        <w:t>IACHR</w:t>
      </w:r>
      <w:r w:rsidRPr="009035C0">
        <w:rPr>
          <w:rFonts w:ascii="Cambria" w:hAnsi="Cambria"/>
          <w:color w:val="000000" w:themeColor="text1"/>
          <w:sz w:val="16"/>
          <w:szCs w:val="16"/>
          <w:shd w:val="clear" w:color="auto" w:fill="FFFFFF"/>
        </w:rPr>
        <w:t xml:space="preserve">. </w:t>
      </w:r>
      <w:r w:rsidR="007064C4">
        <w:rPr>
          <w:rFonts w:ascii="Cambria" w:hAnsi="Cambria"/>
          <w:color w:val="000000" w:themeColor="text1"/>
          <w:sz w:val="16"/>
          <w:szCs w:val="16"/>
          <w:shd w:val="clear" w:color="auto" w:fill="FFFFFF"/>
        </w:rPr>
        <w:t>Also see 2016 Annual Report, Chapter</w:t>
      </w:r>
      <w:r w:rsidRPr="009035C0">
        <w:rPr>
          <w:rFonts w:ascii="Cambria" w:hAnsi="Cambria"/>
          <w:color w:val="000000" w:themeColor="text1"/>
          <w:sz w:val="16"/>
          <w:szCs w:val="16"/>
          <w:shd w:val="clear" w:color="auto" w:fill="FFFFFF"/>
        </w:rPr>
        <w:t xml:space="preserve"> IV.B, Venezuela, p</w:t>
      </w:r>
      <w:r w:rsidR="007064C4">
        <w:rPr>
          <w:rFonts w:ascii="Cambria" w:hAnsi="Cambria"/>
          <w:color w:val="000000" w:themeColor="text1"/>
          <w:sz w:val="16"/>
          <w:szCs w:val="16"/>
          <w:shd w:val="clear" w:color="auto" w:fill="FFFFFF"/>
        </w:rPr>
        <w:t>ar</w:t>
      </w:r>
      <w:r w:rsidRPr="009035C0">
        <w:rPr>
          <w:rFonts w:ascii="Cambria" w:hAnsi="Cambria"/>
          <w:color w:val="000000" w:themeColor="text1"/>
          <w:sz w:val="16"/>
          <w:szCs w:val="16"/>
          <w:shd w:val="clear" w:color="auto" w:fill="FFFFFF"/>
        </w:rPr>
        <w:t xml:space="preserve">s. 70-87 </w:t>
      </w:r>
      <w:r w:rsidR="001974F8">
        <w:rPr>
          <w:rFonts w:ascii="Cambria" w:hAnsi="Cambria"/>
          <w:color w:val="000000" w:themeColor="text1"/>
          <w:sz w:val="16"/>
          <w:szCs w:val="16"/>
          <w:shd w:val="clear" w:color="auto" w:fill="FFFFFF"/>
        </w:rPr>
        <w:t>and</w:t>
      </w:r>
      <w:r w:rsidRPr="009035C0">
        <w:rPr>
          <w:rFonts w:ascii="Cambria" w:hAnsi="Cambria"/>
          <w:color w:val="000000" w:themeColor="text1"/>
          <w:sz w:val="16"/>
          <w:szCs w:val="16"/>
          <w:shd w:val="clear" w:color="auto" w:fill="FFFFFF"/>
        </w:rPr>
        <w:t xml:space="preserve"> 88-119; </w:t>
      </w:r>
      <w:r w:rsidR="001974F8">
        <w:rPr>
          <w:rFonts w:ascii="Cambria" w:hAnsi="Cambria"/>
          <w:color w:val="000000" w:themeColor="text1"/>
          <w:sz w:val="16"/>
          <w:szCs w:val="16"/>
          <w:shd w:val="clear" w:color="auto" w:fill="FFFFFF"/>
        </w:rPr>
        <w:t>2015 Annual Report</w:t>
      </w:r>
      <w:r w:rsidRPr="009035C0">
        <w:rPr>
          <w:rFonts w:ascii="Cambria" w:hAnsi="Cambria"/>
          <w:color w:val="000000" w:themeColor="text1"/>
          <w:sz w:val="16"/>
          <w:szCs w:val="16"/>
          <w:shd w:val="clear" w:color="auto" w:fill="FFFFFF"/>
        </w:rPr>
        <w:t xml:space="preserve">, </w:t>
      </w:r>
      <w:r w:rsidR="001974F8">
        <w:rPr>
          <w:rFonts w:ascii="Cambria" w:hAnsi="Cambria"/>
          <w:color w:val="000000" w:themeColor="text1"/>
          <w:sz w:val="16"/>
          <w:szCs w:val="16"/>
          <w:shd w:val="clear" w:color="auto" w:fill="FFFFFF"/>
        </w:rPr>
        <w:t xml:space="preserve">Chapter </w:t>
      </w:r>
      <w:r w:rsidRPr="009035C0">
        <w:rPr>
          <w:rFonts w:ascii="Cambria" w:hAnsi="Cambria"/>
          <w:color w:val="000000" w:themeColor="text1"/>
          <w:sz w:val="16"/>
          <w:szCs w:val="16"/>
          <w:shd w:val="clear" w:color="auto" w:fill="FFFFFF"/>
        </w:rPr>
        <w:t>IV.B, Venezuela, p</w:t>
      </w:r>
      <w:r w:rsidR="001974F8">
        <w:rPr>
          <w:rFonts w:ascii="Cambria" w:hAnsi="Cambria"/>
          <w:color w:val="000000" w:themeColor="text1"/>
          <w:sz w:val="16"/>
          <w:szCs w:val="16"/>
          <w:shd w:val="clear" w:color="auto" w:fill="FFFFFF"/>
        </w:rPr>
        <w:t>a</w:t>
      </w:r>
      <w:r w:rsidRPr="009035C0">
        <w:rPr>
          <w:rFonts w:ascii="Cambria" w:hAnsi="Cambria"/>
          <w:color w:val="000000" w:themeColor="text1"/>
          <w:sz w:val="16"/>
          <w:szCs w:val="16"/>
          <w:shd w:val="clear" w:color="auto" w:fill="FFFFFF"/>
        </w:rPr>
        <w:t xml:space="preserve">rs. 71-113; </w:t>
      </w:r>
      <w:r w:rsidR="001974F8">
        <w:rPr>
          <w:rFonts w:ascii="Cambria" w:hAnsi="Cambria"/>
          <w:color w:val="000000" w:themeColor="text1"/>
          <w:sz w:val="16"/>
          <w:szCs w:val="16"/>
          <w:shd w:val="clear" w:color="auto" w:fill="FFFFFF"/>
        </w:rPr>
        <w:t>2014 Annual Report</w:t>
      </w:r>
      <w:r w:rsidRPr="009035C0">
        <w:rPr>
          <w:rFonts w:ascii="Cambria" w:hAnsi="Cambria"/>
          <w:color w:val="000000" w:themeColor="text1"/>
          <w:sz w:val="16"/>
          <w:szCs w:val="16"/>
          <w:shd w:val="clear" w:color="auto" w:fill="FFFFFF"/>
        </w:rPr>
        <w:t>, C</w:t>
      </w:r>
      <w:r w:rsidR="001974F8">
        <w:rPr>
          <w:rFonts w:ascii="Cambria" w:hAnsi="Cambria"/>
          <w:color w:val="000000" w:themeColor="text1"/>
          <w:sz w:val="16"/>
          <w:szCs w:val="16"/>
          <w:shd w:val="clear" w:color="auto" w:fill="FFFFFF"/>
        </w:rPr>
        <w:t xml:space="preserve">hapter </w:t>
      </w:r>
      <w:r w:rsidRPr="009035C0">
        <w:rPr>
          <w:rFonts w:ascii="Cambria" w:hAnsi="Cambria"/>
          <w:color w:val="000000" w:themeColor="text1"/>
          <w:sz w:val="16"/>
          <w:szCs w:val="16"/>
          <w:shd w:val="clear" w:color="auto" w:fill="FFFFFF"/>
        </w:rPr>
        <w:t>IV.B, Venezuela, p</w:t>
      </w:r>
      <w:r w:rsidR="001974F8">
        <w:rPr>
          <w:rFonts w:ascii="Cambria" w:hAnsi="Cambria"/>
          <w:color w:val="000000" w:themeColor="text1"/>
          <w:sz w:val="16"/>
          <w:szCs w:val="16"/>
          <w:shd w:val="clear" w:color="auto" w:fill="FFFFFF"/>
        </w:rPr>
        <w:t>ar</w:t>
      </w:r>
      <w:r w:rsidRPr="009035C0">
        <w:rPr>
          <w:rFonts w:ascii="Cambria" w:hAnsi="Cambria"/>
          <w:color w:val="000000" w:themeColor="text1"/>
          <w:sz w:val="16"/>
          <w:szCs w:val="16"/>
          <w:shd w:val="clear" w:color="auto" w:fill="FFFFFF"/>
        </w:rPr>
        <w:t xml:space="preserve">s. 360-397; </w:t>
      </w:r>
      <w:r w:rsidR="001974F8">
        <w:rPr>
          <w:rFonts w:ascii="Cambria" w:hAnsi="Cambria"/>
          <w:color w:val="000000" w:themeColor="text1"/>
          <w:sz w:val="16"/>
          <w:szCs w:val="16"/>
          <w:shd w:val="clear" w:color="auto" w:fill="FFFFFF"/>
        </w:rPr>
        <w:t>2013 Annual Report</w:t>
      </w:r>
      <w:r w:rsidRPr="009035C0">
        <w:rPr>
          <w:rFonts w:ascii="Cambria" w:hAnsi="Cambria"/>
          <w:color w:val="000000" w:themeColor="text1"/>
          <w:sz w:val="16"/>
          <w:szCs w:val="16"/>
          <w:shd w:val="clear" w:color="auto" w:fill="FFFFFF"/>
        </w:rPr>
        <w:t>, C</w:t>
      </w:r>
      <w:r w:rsidR="001974F8">
        <w:rPr>
          <w:rFonts w:ascii="Cambria" w:hAnsi="Cambria"/>
          <w:color w:val="000000" w:themeColor="text1"/>
          <w:sz w:val="16"/>
          <w:szCs w:val="16"/>
          <w:shd w:val="clear" w:color="auto" w:fill="FFFFFF"/>
        </w:rPr>
        <w:t xml:space="preserve">hapter </w:t>
      </w:r>
      <w:r w:rsidRPr="009035C0">
        <w:rPr>
          <w:rFonts w:ascii="Cambria" w:hAnsi="Cambria"/>
          <w:color w:val="000000" w:themeColor="text1"/>
          <w:sz w:val="16"/>
          <w:szCs w:val="16"/>
          <w:shd w:val="clear" w:color="auto" w:fill="FFFFFF"/>
        </w:rPr>
        <w:t>IV.B, Venezuela, p</w:t>
      </w:r>
      <w:r w:rsidR="001974F8">
        <w:rPr>
          <w:rFonts w:ascii="Cambria" w:hAnsi="Cambria"/>
          <w:color w:val="000000" w:themeColor="text1"/>
          <w:sz w:val="16"/>
          <w:szCs w:val="16"/>
          <w:shd w:val="clear" w:color="auto" w:fill="FFFFFF"/>
        </w:rPr>
        <w:t>ar</w:t>
      </w:r>
      <w:r w:rsidRPr="009035C0">
        <w:rPr>
          <w:rFonts w:ascii="Cambria" w:hAnsi="Cambria"/>
          <w:color w:val="000000" w:themeColor="text1"/>
          <w:sz w:val="16"/>
          <w:szCs w:val="16"/>
          <w:shd w:val="clear" w:color="auto" w:fill="FFFFFF"/>
        </w:rPr>
        <w:t xml:space="preserve">s. 476-518; </w:t>
      </w:r>
      <w:r w:rsidR="00BA1F82">
        <w:rPr>
          <w:rFonts w:ascii="Cambria" w:hAnsi="Cambria"/>
          <w:color w:val="000000" w:themeColor="text1"/>
          <w:sz w:val="16"/>
          <w:szCs w:val="16"/>
          <w:shd w:val="clear" w:color="auto" w:fill="FFFFFF"/>
        </w:rPr>
        <w:t>2012 Annual Report</w:t>
      </w:r>
      <w:r w:rsidRPr="009035C0">
        <w:rPr>
          <w:rFonts w:ascii="Cambria" w:hAnsi="Cambria"/>
          <w:color w:val="000000" w:themeColor="text1"/>
          <w:sz w:val="16"/>
          <w:szCs w:val="16"/>
          <w:shd w:val="clear" w:color="auto" w:fill="FFFFFF"/>
        </w:rPr>
        <w:t>, C</w:t>
      </w:r>
      <w:r w:rsidR="00BA1F82">
        <w:rPr>
          <w:rFonts w:ascii="Cambria" w:hAnsi="Cambria"/>
          <w:color w:val="000000" w:themeColor="text1"/>
          <w:sz w:val="16"/>
          <w:szCs w:val="16"/>
          <w:shd w:val="clear" w:color="auto" w:fill="FFFFFF"/>
        </w:rPr>
        <w:t xml:space="preserve">hapter </w:t>
      </w:r>
      <w:r w:rsidRPr="009035C0">
        <w:rPr>
          <w:rFonts w:ascii="Cambria" w:hAnsi="Cambria"/>
          <w:color w:val="000000" w:themeColor="text1"/>
          <w:sz w:val="16"/>
          <w:szCs w:val="16"/>
          <w:shd w:val="clear" w:color="auto" w:fill="FFFFFF"/>
        </w:rPr>
        <w:t>IV, Venezuela, p</w:t>
      </w:r>
      <w:r w:rsidR="00BA1F82">
        <w:rPr>
          <w:rFonts w:ascii="Cambria" w:hAnsi="Cambria"/>
          <w:color w:val="000000" w:themeColor="text1"/>
          <w:sz w:val="16"/>
          <w:szCs w:val="16"/>
          <w:shd w:val="clear" w:color="auto" w:fill="FFFFFF"/>
        </w:rPr>
        <w:t>ar</w:t>
      </w:r>
      <w:r w:rsidRPr="009035C0">
        <w:rPr>
          <w:rFonts w:ascii="Cambria" w:hAnsi="Cambria"/>
          <w:color w:val="000000" w:themeColor="text1"/>
          <w:sz w:val="16"/>
          <w:szCs w:val="16"/>
          <w:shd w:val="clear" w:color="auto" w:fill="FFFFFF"/>
        </w:rPr>
        <w:t xml:space="preserve">s. 383-388; </w:t>
      </w:r>
      <w:r w:rsidR="00D952A0">
        <w:rPr>
          <w:rFonts w:ascii="Cambria" w:hAnsi="Cambria"/>
          <w:color w:val="000000" w:themeColor="text1"/>
          <w:sz w:val="16"/>
          <w:szCs w:val="16"/>
          <w:shd w:val="clear" w:color="auto" w:fill="FFFFFF"/>
        </w:rPr>
        <w:t>2011 Annual Report</w:t>
      </w:r>
      <w:r w:rsidRPr="009035C0">
        <w:rPr>
          <w:rFonts w:ascii="Cambria" w:hAnsi="Cambria"/>
          <w:color w:val="000000" w:themeColor="text1"/>
          <w:sz w:val="16"/>
          <w:szCs w:val="16"/>
          <w:shd w:val="clear" w:color="auto" w:fill="FFFFFF"/>
        </w:rPr>
        <w:t xml:space="preserve">, </w:t>
      </w:r>
      <w:r w:rsidR="00D952A0">
        <w:rPr>
          <w:rFonts w:ascii="Cambria" w:hAnsi="Cambria"/>
          <w:color w:val="000000" w:themeColor="text1"/>
          <w:sz w:val="16"/>
          <w:szCs w:val="16"/>
          <w:shd w:val="clear" w:color="auto" w:fill="FFFFFF"/>
        </w:rPr>
        <w:t xml:space="preserve">Chapter </w:t>
      </w:r>
      <w:r w:rsidRPr="009035C0">
        <w:rPr>
          <w:rFonts w:ascii="Cambria" w:hAnsi="Cambria"/>
          <w:color w:val="000000" w:themeColor="text1"/>
          <w:sz w:val="16"/>
          <w:szCs w:val="16"/>
          <w:shd w:val="clear" w:color="auto" w:fill="FFFFFF"/>
        </w:rPr>
        <w:t>IV, Venezuela, p</w:t>
      </w:r>
      <w:r w:rsidR="00D952A0">
        <w:rPr>
          <w:rFonts w:ascii="Cambria" w:hAnsi="Cambria"/>
          <w:color w:val="000000" w:themeColor="text1"/>
          <w:sz w:val="16"/>
          <w:szCs w:val="16"/>
          <w:shd w:val="clear" w:color="auto" w:fill="FFFFFF"/>
        </w:rPr>
        <w:t>ar</w:t>
      </w:r>
      <w:r w:rsidRPr="009035C0">
        <w:rPr>
          <w:rFonts w:ascii="Cambria" w:hAnsi="Cambria"/>
          <w:color w:val="000000" w:themeColor="text1"/>
          <w:sz w:val="16"/>
          <w:szCs w:val="16"/>
          <w:shd w:val="clear" w:color="auto" w:fill="FFFFFF"/>
        </w:rPr>
        <w:t xml:space="preserve">s. 412-420; </w:t>
      </w:r>
      <w:r w:rsidR="003608BF">
        <w:rPr>
          <w:rFonts w:ascii="Cambria" w:hAnsi="Cambria"/>
          <w:color w:val="000000" w:themeColor="text1"/>
          <w:sz w:val="16"/>
          <w:szCs w:val="16"/>
          <w:shd w:val="clear" w:color="auto" w:fill="FFFFFF"/>
        </w:rPr>
        <w:t>2010 Annual Report</w:t>
      </w:r>
      <w:r w:rsidRPr="009035C0">
        <w:rPr>
          <w:rFonts w:ascii="Cambria" w:hAnsi="Cambria"/>
          <w:color w:val="000000" w:themeColor="text1"/>
          <w:sz w:val="16"/>
          <w:szCs w:val="16"/>
          <w:shd w:val="clear" w:color="auto" w:fill="FFFFFF"/>
        </w:rPr>
        <w:t>, C</w:t>
      </w:r>
      <w:r w:rsidR="003608BF">
        <w:rPr>
          <w:rFonts w:ascii="Cambria" w:hAnsi="Cambria"/>
          <w:color w:val="000000" w:themeColor="text1"/>
          <w:sz w:val="16"/>
          <w:szCs w:val="16"/>
          <w:shd w:val="clear" w:color="auto" w:fill="FFFFFF"/>
        </w:rPr>
        <w:t xml:space="preserve">hapter </w:t>
      </w:r>
      <w:r w:rsidRPr="009035C0">
        <w:rPr>
          <w:rFonts w:ascii="Cambria" w:hAnsi="Cambria"/>
          <w:color w:val="000000" w:themeColor="text1"/>
          <w:sz w:val="16"/>
          <w:szCs w:val="16"/>
          <w:shd w:val="clear" w:color="auto" w:fill="FFFFFF"/>
        </w:rPr>
        <w:t>IV, Venezuela, p</w:t>
      </w:r>
      <w:r w:rsidR="003608BF">
        <w:rPr>
          <w:rFonts w:ascii="Cambria" w:hAnsi="Cambria"/>
          <w:color w:val="000000" w:themeColor="text1"/>
          <w:sz w:val="16"/>
          <w:szCs w:val="16"/>
          <w:shd w:val="clear" w:color="auto" w:fill="FFFFFF"/>
        </w:rPr>
        <w:t>a</w:t>
      </w:r>
      <w:r w:rsidRPr="009035C0">
        <w:rPr>
          <w:rFonts w:ascii="Cambria" w:hAnsi="Cambria"/>
          <w:color w:val="000000" w:themeColor="text1"/>
          <w:sz w:val="16"/>
          <w:szCs w:val="16"/>
          <w:shd w:val="clear" w:color="auto" w:fill="FFFFFF"/>
        </w:rPr>
        <w:t xml:space="preserve">rs. 615-649 </w:t>
      </w:r>
      <w:r w:rsidR="005A4A29">
        <w:rPr>
          <w:rFonts w:ascii="Cambria" w:hAnsi="Cambria"/>
          <w:color w:val="000000" w:themeColor="text1"/>
          <w:sz w:val="16"/>
          <w:szCs w:val="16"/>
          <w:shd w:val="clear" w:color="auto" w:fill="FFFFFF"/>
        </w:rPr>
        <w:t>and</w:t>
      </w:r>
      <w:r w:rsidRPr="009035C0">
        <w:rPr>
          <w:rFonts w:ascii="Cambria" w:hAnsi="Cambria"/>
          <w:color w:val="000000" w:themeColor="text1"/>
          <w:sz w:val="16"/>
          <w:szCs w:val="16"/>
          <w:shd w:val="clear" w:color="auto" w:fill="FFFFFF"/>
        </w:rPr>
        <w:t xml:space="preserve"> 677-684; </w:t>
      </w:r>
      <w:r w:rsidR="00610284">
        <w:rPr>
          <w:rFonts w:ascii="Cambria" w:hAnsi="Cambria"/>
          <w:color w:val="000000" w:themeColor="text1"/>
          <w:sz w:val="16"/>
          <w:szCs w:val="16"/>
          <w:shd w:val="clear" w:color="auto" w:fill="FFFFFF"/>
        </w:rPr>
        <w:t xml:space="preserve">2009 Annual Report </w:t>
      </w:r>
      <w:r w:rsidRPr="009035C0">
        <w:rPr>
          <w:rFonts w:ascii="Cambria" w:hAnsi="Cambria"/>
          <w:color w:val="000000" w:themeColor="text1"/>
          <w:sz w:val="16"/>
          <w:szCs w:val="16"/>
          <w:shd w:val="clear" w:color="auto" w:fill="FFFFFF"/>
        </w:rPr>
        <w:t>2009, C</w:t>
      </w:r>
      <w:r w:rsidR="00610284">
        <w:rPr>
          <w:rFonts w:ascii="Cambria" w:hAnsi="Cambria"/>
          <w:color w:val="000000" w:themeColor="text1"/>
          <w:sz w:val="16"/>
          <w:szCs w:val="16"/>
          <w:shd w:val="clear" w:color="auto" w:fill="FFFFFF"/>
        </w:rPr>
        <w:t xml:space="preserve">hapter </w:t>
      </w:r>
      <w:r w:rsidRPr="009035C0">
        <w:rPr>
          <w:rFonts w:ascii="Cambria" w:hAnsi="Cambria"/>
          <w:color w:val="000000" w:themeColor="text1"/>
          <w:sz w:val="16"/>
          <w:szCs w:val="16"/>
          <w:shd w:val="clear" w:color="auto" w:fill="FFFFFF"/>
        </w:rPr>
        <w:t>IV, Venezuela, p</w:t>
      </w:r>
      <w:r w:rsidR="00610284">
        <w:rPr>
          <w:rFonts w:ascii="Cambria" w:hAnsi="Cambria"/>
          <w:color w:val="000000" w:themeColor="text1"/>
          <w:sz w:val="16"/>
          <w:szCs w:val="16"/>
          <w:shd w:val="clear" w:color="auto" w:fill="FFFFFF"/>
        </w:rPr>
        <w:t>a</w:t>
      </w:r>
      <w:r w:rsidRPr="009035C0">
        <w:rPr>
          <w:rFonts w:ascii="Cambria" w:hAnsi="Cambria"/>
          <w:color w:val="000000" w:themeColor="text1"/>
          <w:sz w:val="16"/>
          <w:szCs w:val="16"/>
          <w:shd w:val="clear" w:color="auto" w:fill="FFFFFF"/>
        </w:rPr>
        <w:t xml:space="preserve">rs. 473-477; </w:t>
      </w:r>
      <w:r w:rsidR="00B33A21">
        <w:rPr>
          <w:rFonts w:ascii="Cambria" w:hAnsi="Cambria"/>
          <w:color w:val="000000" w:themeColor="text1"/>
          <w:sz w:val="16"/>
          <w:szCs w:val="16"/>
          <w:shd w:val="clear" w:color="auto" w:fill="FFFFFF"/>
        </w:rPr>
        <w:t>2008 Annual Report</w:t>
      </w:r>
      <w:r w:rsidRPr="009035C0">
        <w:rPr>
          <w:rFonts w:ascii="Cambria" w:hAnsi="Cambria"/>
          <w:color w:val="000000" w:themeColor="text1"/>
          <w:sz w:val="16"/>
          <w:szCs w:val="16"/>
          <w:shd w:val="clear" w:color="auto" w:fill="FFFFFF"/>
        </w:rPr>
        <w:t>, C</w:t>
      </w:r>
      <w:r w:rsidR="00B33A21">
        <w:rPr>
          <w:rFonts w:ascii="Cambria" w:hAnsi="Cambria"/>
          <w:color w:val="000000" w:themeColor="text1"/>
          <w:sz w:val="16"/>
          <w:szCs w:val="16"/>
          <w:shd w:val="clear" w:color="auto" w:fill="FFFFFF"/>
        </w:rPr>
        <w:t xml:space="preserve">hapter </w:t>
      </w:r>
      <w:r w:rsidRPr="009035C0">
        <w:rPr>
          <w:rFonts w:ascii="Cambria" w:hAnsi="Cambria"/>
          <w:color w:val="000000" w:themeColor="text1"/>
          <w:sz w:val="16"/>
          <w:szCs w:val="16"/>
          <w:shd w:val="clear" w:color="auto" w:fill="FFFFFF"/>
        </w:rPr>
        <w:t>IV, Venezuela, p</w:t>
      </w:r>
      <w:r w:rsidR="00B33A21">
        <w:rPr>
          <w:rFonts w:ascii="Cambria" w:hAnsi="Cambria"/>
          <w:color w:val="000000" w:themeColor="text1"/>
          <w:sz w:val="16"/>
          <w:szCs w:val="16"/>
          <w:shd w:val="clear" w:color="auto" w:fill="FFFFFF"/>
        </w:rPr>
        <w:t>a</w:t>
      </w:r>
      <w:r w:rsidRPr="009035C0">
        <w:rPr>
          <w:rFonts w:ascii="Cambria" w:hAnsi="Cambria"/>
          <w:color w:val="000000" w:themeColor="text1"/>
          <w:sz w:val="16"/>
          <w:szCs w:val="16"/>
          <w:shd w:val="clear" w:color="auto" w:fill="FFFFFF"/>
        </w:rPr>
        <w:t xml:space="preserve">rs. 335-345; </w:t>
      </w:r>
      <w:r w:rsidR="00B33A21">
        <w:rPr>
          <w:rFonts w:ascii="Cambria" w:hAnsi="Cambria"/>
          <w:color w:val="000000" w:themeColor="text1"/>
          <w:sz w:val="16"/>
          <w:szCs w:val="16"/>
          <w:shd w:val="clear" w:color="auto" w:fill="FFFFFF"/>
        </w:rPr>
        <w:t>and 2007 Annual Report</w:t>
      </w:r>
      <w:r w:rsidRPr="009035C0">
        <w:rPr>
          <w:rFonts w:ascii="Cambria" w:hAnsi="Cambria"/>
          <w:color w:val="000000" w:themeColor="text1"/>
          <w:sz w:val="16"/>
          <w:szCs w:val="16"/>
          <w:shd w:val="clear" w:color="auto" w:fill="FFFFFF"/>
        </w:rPr>
        <w:t>, C</w:t>
      </w:r>
      <w:r w:rsidR="00B33A21">
        <w:rPr>
          <w:rFonts w:ascii="Cambria" w:hAnsi="Cambria"/>
          <w:color w:val="000000" w:themeColor="text1"/>
          <w:sz w:val="16"/>
          <w:szCs w:val="16"/>
          <w:shd w:val="clear" w:color="auto" w:fill="FFFFFF"/>
        </w:rPr>
        <w:t xml:space="preserve">hapter </w:t>
      </w:r>
      <w:r w:rsidRPr="009035C0">
        <w:rPr>
          <w:rFonts w:ascii="Cambria" w:hAnsi="Cambria"/>
          <w:color w:val="000000" w:themeColor="text1"/>
          <w:sz w:val="16"/>
          <w:szCs w:val="16"/>
          <w:shd w:val="clear" w:color="auto" w:fill="FFFFFF"/>
        </w:rPr>
        <w:t>IV, Venezuela, p</w:t>
      </w:r>
      <w:r w:rsidR="00B33A21">
        <w:rPr>
          <w:rFonts w:ascii="Cambria" w:hAnsi="Cambria"/>
          <w:color w:val="000000" w:themeColor="text1"/>
          <w:sz w:val="16"/>
          <w:szCs w:val="16"/>
          <w:shd w:val="clear" w:color="auto" w:fill="FFFFFF"/>
        </w:rPr>
        <w:t>a</w:t>
      </w:r>
      <w:r w:rsidR="00C9777C">
        <w:rPr>
          <w:rFonts w:ascii="Cambria" w:hAnsi="Cambria"/>
          <w:color w:val="000000" w:themeColor="text1"/>
          <w:sz w:val="16"/>
          <w:szCs w:val="16"/>
          <w:shd w:val="clear" w:color="auto" w:fill="FFFFFF"/>
        </w:rPr>
        <w:t>r</w:t>
      </w:r>
      <w:r w:rsidRPr="009035C0">
        <w:rPr>
          <w:rFonts w:ascii="Cambria" w:hAnsi="Cambria"/>
          <w:color w:val="000000" w:themeColor="text1"/>
          <w:sz w:val="16"/>
          <w:szCs w:val="16"/>
          <w:shd w:val="clear" w:color="auto" w:fill="FFFFFF"/>
        </w:rPr>
        <w:t xml:space="preserve">s. </w:t>
      </w:r>
      <w:r w:rsidRPr="00F85814">
        <w:rPr>
          <w:rFonts w:ascii="Cambria" w:hAnsi="Cambria"/>
          <w:color w:val="000000" w:themeColor="text1"/>
          <w:sz w:val="16"/>
          <w:szCs w:val="16"/>
          <w:shd w:val="clear" w:color="auto" w:fill="FFFFFF"/>
          <w:lang w:val="es-US"/>
        </w:rPr>
        <w:t>269-276.</w:t>
      </w:r>
    </w:p>
  </w:footnote>
  <w:footnote w:id="8">
    <w:p w14:paraId="4AC1B08F" w14:textId="784FC359" w:rsidR="00EA0082" w:rsidRPr="00F85814" w:rsidRDefault="00EA0082"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w:t>
      </w:r>
      <w:r w:rsidR="00821962" w:rsidRPr="00F85814">
        <w:rPr>
          <w:rFonts w:ascii="Cambria" w:hAnsi="Cambria"/>
          <w:color w:val="000000" w:themeColor="text1"/>
          <w:sz w:val="16"/>
          <w:szCs w:val="16"/>
          <w:lang w:val="es-US"/>
        </w:rPr>
        <w:t xml:space="preserve">IACHR, </w:t>
      </w:r>
      <w:hyperlink r:id="rId1" w:history="1">
        <w:r w:rsidRPr="00F85814">
          <w:rPr>
            <w:rFonts w:ascii="Cambria" w:hAnsi="Cambria"/>
            <w:color w:val="000000" w:themeColor="text1"/>
            <w:sz w:val="16"/>
            <w:szCs w:val="16"/>
            <w:u w:val="single"/>
            <w:lang w:val="es-US"/>
          </w:rPr>
          <w:t>Informe Anual, Capítulo IV.B “Venezuela”</w:t>
        </w:r>
      </w:hyperlink>
      <w:r w:rsidRPr="00F85814">
        <w:rPr>
          <w:rFonts w:ascii="Cambria" w:hAnsi="Cambria"/>
          <w:color w:val="000000" w:themeColor="text1"/>
          <w:sz w:val="16"/>
          <w:szCs w:val="16"/>
          <w:lang w:val="es-US"/>
        </w:rPr>
        <w:t xml:space="preserve">, </w:t>
      </w:r>
      <w:r w:rsidR="00821962" w:rsidRPr="00F85814">
        <w:rPr>
          <w:rFonts w:ascii="Cambria" w:hAnsi="Cambria"/>
          <w:color w:val="000000" w:themeColor="text1"/>
          <w:sz w:val="16"/>
          <w:szCs w:val="16"/>
          <w:lang w:val="es-US"/>
        </w:rPr>
        <w:t xml:space="preserve">Annual Report Chapter IV.B “Venezuela:, </w:t>
      </w:r>
      <w:r w:rsidRPr="00F85814">
        <w:rPr>
          <w:rFonts w:ascii="Cambria" w:hAnsi="Cambria"/>
          <w:color w:val="000000" w:themeColor="text1"/>
          <w:sz w:val="16"/>
          <w:szCs w:val="16"/>
          <w:lang w:val="es-US"/>
        </w:rPr>
        <w:t>2019, p</w:t>
      </w:r>
      <w:r w:rsidR="00821962" w:rsidRPr="00F85814">
        <w:rPr>
          <w:rFonts w:ascii="Cambria" w:hAnsi="Cambria"/>
          <w:color w:val="000000" w:themeColor="text1"/>
          <w:sz w:val="16"/>
          <w:szCs w:val="16"/>
          <w:lang w:val="es-US"/>
        </w:rPr>
        <w:t>a</w:t>
      </w:r>
      <w:r w:rsidRPr="00F85814">
        <w:rPr>
          <w:rFonts w:ascii="Cambria" w:hAnsi="Cambria"/>
          <w:color w:val="000000" w:themeColor="text1"/>
          <w:sz w:val="16"/>
          <w:szCs w:val="16"/>
          <w:lang w:val="es-US"/>
        </w:rPr>
        <w:t>r. 17.</w:t>
      </w:r>
    </w:p>
  </w:footnote>
  <w:footnote w:id="9">
    <w:p w14:paraId="1206C581" w14:textId="0A87AD04" w:rsidR="00EA0082" w:rsidRPr="009035C0" w:rsidRDefault="00EA0082"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AC1AA6">
        <w:rPr>
          <w:rFonts w:ascii="Cambria" w:hAnsi="Cambria"/>
          <w:color w:val="000000" w:themeColor="text1"/>
          <w:sz w:val="16"/>
          <w:szCs w:val="16"/>
        </w:rPr>
        <w:t xml:space="preserve">IACHR, Press Release </w:t>
      </w:r>
      <w:hyperlink r:id="rId2" w:history="1">
        <w:r w:rsidRPr="009035C0">
          <w:rPr>
            <w:rFonts w:ascii="Cambria" w:hAnsi="Cambria"/>
            <w:color w:val="000000" w:themeColor="text1"/>
            <w:sz w:val="16"/>
            <w:szCs w:val="16"/>
            <w:u w:val="single"/>
          </w:rPr>
          <w:t>Comunicado de Prensa 132/2016</w:t>
        </w:r>
      </w:hyperlink>
      <w:r w:rsidRPr="009035C0">
        <w:rPr>
          <w:rFonts w:ascii="Cambria" w:hAnsi="Cambria"/>
          <w:color w:val="000000" w:themeColor="text1"/>
          <w:sz w:val="16"/>
          <w:szCs w:val="16"/>
        </w:rPr>
        <w:t xml:space="preserve">, </w:t>
      </w:r>
      <w:r w:rsidR="00AC1AA6">
        <w:rPr>
          <w:rFonts w:ascii="Cambria" w:hAnsi="Cambria"/>
          <w:color w:val="000000" w:themeColor="text1"/>
          <w:sz w:val="16"/>
          <w:szCs w:val="16"/>
        </w:rPr>
        <w:t xml:space="preserve">IACHR </w:t>
      </w:r>
      <w:r w:rsidRPr="009035C0">
        <w:rPr>
          <w:rFonts w:ascii="Cambria" w:hAnsi="Cambria"/>
          <w:color w:val="000000" w:themeColor="text1"/>
          <w:sz w:val="16"/>
          <w:szCs w:val="16"/>
        </w:rPr>
        <w:t xml:space="preserve">CIDH </w:t>
      </w:r>
      <w:r w:rsidR="001F0BE3">
        <w:rPr>
          <w:rFonts w:ascii="Cambria" w:hAnsi="Cambria"/>
          <w:color w:val="000000" w:themeColor="text1"/>
          <w:sz w:val="16"/>
          <w:szCs w:val="16"/>
        </w:rPr>
        <w:t>Expresses Concern Regarding Restrictions in the Exercise of Fundamental Rights in Venezuela</w:t>
      </w:r>
      <w:r w:rsidRPr="009035C0">
        <w:rPr>
          <w:rFonts w:ascii="Cambria" w:hAnsi="Cambria"/>
          <w:color w:val="000000" w:themeColor="text1"/>
          <w:sz w:val="16"/>
          <w:szCs w:val="16"/>
        </w:rPr>
        <w:t xml:space="preserve">, </w:t>
      </w:r>
      <w:r w:rsidR="001F0BE3">
        <w:rPr>
          <w:rFonts w:ascii="Cambria" w:hAnsi="Cambria"/>
          <w:color w:val="000000" w:themeColor="text1"/>
          <w:sz w:val="16"/>
          <w:szCs w:val="16"/>
        </w:rPr>
        <w:t xml:space="preserve">September </w:t>
      </w:r>
      <w:r w:rsidRPr="009035C0">
        <w:rPr>
          <w:rFonts w:ascii="Cambria" w:hAnsi="Cambria"/>
          <w:color w:val="000000" w:themeColor="text1"/>
          <w:sz w:val="16"/>
          <w:szCs w:val="16"/>
        </w:rPr>
        <w:t>14</w:t>
      </w:r>
      <w:r w:rsidR="001F0BE3">
        <w:rPr>
          <w:rFonts w:ascii="Cambria" w:hAnsi="Cambria"/>
          <w:color w:val="000000" w:themeColor="text1"/>
          <w:sz w:val="16"/>
          <w:szCs w:val="16"/>
        </w:rPr>
        <w:t>,</w:t>
      </w:r>
      <w:r w:rsidRPr="009035C0">
        <w:rPr>
          <w:rFonts w:ascii="Cambria" w:hAnsi="Cambria"/>
          <w:color w:val="000000" w:themeColor="text1"/>
          <w:sz w:val="16"/>
          <w:szCs w:val="16"/>
        </w:rPr>
        <w:t xml:space="preserve"> 2016.</w:t>
      </w:r>
    </w:p>
  </w:footnote>
  <w:footnote w:id="10">
    <w:p w14:paraId="7EFB7980" w14:textId="5925ABAA" w:rsidR="00EA0082" w:rsidRPr="00E7771A" w:rsidRDefault="00EA0082" w:rsidP="00F85814">
      <w:pPr>
        <w:pStyle w:val="NormalWeb"/>
        <w:spacing w:before="0" w:beforeAutospacing="0" w:after="120" w:afterAutospacing="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A210D8" w:rsidRPr="00E7771A">
        <w:rPr>
          <w:rFonts w:ascii="Cambria" w:hAnsi="Cambria"/>
          <w:color w:val="000000" w:themeColor="text1"/>
          <w:sz w:val="16"/>
          <w:szCs w:val="16"/>
          <w:lang w:val="es-US"/>
        </w:rPr>
        <w:t>IACHR,</w:t>
      </w:r>
      <w:r w:rsidRPr="00E7771A">
        <w:rPr>
          <w:rFonts w:ascii="Cambria" w:hAnsi="Cambria"/>
          <w:color w:val="000000" w:themeColor="text1"/>
          <w:sz w:val="16"/>
          <w:szCs w:val="16"/>
          <w:lang w:val="es-US"/>
        </w:rPr>
        <w:t xml:space="preserve"> </w:t>
      </w:r>
      <w:hyperlink r:id="rId3" w:history="1">
        <w:r w:rsidRPr="00E7771A">
          <w:rPr>
            <w:rFonts w:ascii="Cambria" w:hAnsi="Cambria"/>
            <w:color w:val="000000" w:themeColor="text1"/>
            <w:sz w:val="16"/>
            <w:szCs w:val="16"/>
            <w:u w:val="single"/>
            <w:lang w:val="es-US"/>
          </w:rPr>
          <w:t>Situación de los derechos Humanos en Venezuela – “Institucionalidad democrática, Estado de Derecho y derechos humanos en Venezuela”</w:t>
        </w:r>
      </w:hyperlink>
      <w:r w:rsidRPr="00E7771A">
        <w:rPr>
          <w:rFonts w:ascii="Cambria" w:hAnsi="Cambria"/>
          <w:color w:val="000000" w:themeColor="text1"/>
          <w:sz w:val="16"/>
          <w:szCs w:val="16"/>
          <w:lang w:val="es-US"/>
        </w:rPr>
        <w:t xml:space="preserve">, </w:t>
      </w:r>
      <w:r w:rsidR="00A210D8" w:rsidRPr="00E7771A">
        <w:rPr>
          <w:rFonts w:ascii="Cambria" w:hAnsi="Cambria"/>
          <w:color w:val="000000" w:themeColor="text1"/>
          <w:sz w:val="16"/>
          <w:szCs w:val="16"/>
          <w:lang w:val="es-US"/>
        </w:rPr>
        <w:t xml:space="preserve">Situation of Human Rights in Venezuela, </w:t>
      </w:r>
      <w:r w:rsidR="00464792" w:rsidRPr="00E7771A">
        <w:rPr>
          <w:rFonts w:ascii="Cambria" w:hAnsi="Cambria"/>
          <w:color w:val="000000" w:themeColor="text1"/>
          <w:sz w:val="16"/>
          <w:szCs w:val="16"/>
          <w:lang w:val="es-US"/>
        </w:rPr>
        <w:t>- “Democratic Institutions, Rule of Law and Human R</w:t>
      </w:r>
      <w:r w:rsidR="00C37FA2" w:rsidRPr="00E7771A">
        <w:rPr>
          <w:rFonts w:ascii="Cambria" w:hAnsi="Cambria"/>
          <w:color w:val="000000" w:themeColor="text1"/>
          <w:sz w:val="16"/>
          <w:szCs w:val="16"/>
          <w:lang w:val="es-US"/>
        </w:rPr>
        <w:t>ight</w:t>
      </w:r>
      <w:r w:rsidR="00464792" w:rsidRPr="00E7771A">
        <w:rPr>
          <w:rFonts w:ascii="Cambria" w:hAnsi="Cambria"/>
          <w:color w:val="000000" w:themeColor="text1"/>
          <w:sz w:val="16"/>
          <w:szCs w:val="16"/>
          <w:lang w:val="es-US"/>
        </w:rPr>
        <w:t>s in Veenzuela</w:t>
      </w:r>
      <w:r w:rsidRPr="00E7771A">
        <w:rPr>
          <w:rFonts w:ascii="Cambria" w:hAnsi="Cambria"/>
          <w:color w:val="000000" w:themeColor="text1"/>
          <w:sz w:val="16"/>
          <w:szCs w:val="16"/>
          <w:lang w:val="es-US"/>
        </w:rPr>
        <w:t>2017, p</w:t>
      </w:r>
      <w:r w:rsidR="00A210D8" w:rsidRPr="00E7771A">
        <w:rPr>
          <w:rFonts w:ascii="Cambria" w:hAnsi="Cambria"/>
          <w:color w:val="000000" w:themeColor="text1"/>
          <w:sz w:val="16"/>
          <w:szCs w:val="16"/>
          <w:lang w:val="es-US"/>
        </w:rPr>
        <w:t>a</w:t>
      </w:r>
      <w:r w:rsidRPr="00E7771A">
        <w:rPr>
          <w:rFonts w:ascii="Cambria" w:hAnsi="Cambria"/>
          <w:color w:val="000000" w:themeColor="text1"/>
          <w:sz w:val="16"/>
          <w:szCs w:val="16"/>
          <w:lang w:val="es-US"/>
        </w:rPr>
        <w:t>r. 94.</w:t>
      </w:r>
    </w:p>
  </w:footnote>
  <w:footnote w:id="11">
    <w:p w14:paraId="442C47B1" w14:textId="7204502A" w:rsidR="00E52FE4" w:rsidRPr="009035C0" w:rsidRDefault="00E52FE4"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464792">
        <w:rPr>
          <w:rFonts w:ascii="Cambria" w:hAnsi="Cambria"/>
          <w:color w:val="000000" w:themeColor="text1"/>
          <w:sz w:val="16"/>
          <w:szCs w:val="16"/>
        </w:rPr>
        <w:t xml:space="preserve">IACHR, Press Release </w:t>
      </w:r>
      <w:hyperlink r:id="rId4" w:history="1">
        <w:r w:rsidR="00464792" w:rsidRPr="009035C0">
          <w:rPr>
            <w:rFonts w:ascii="Cambria" w:hAnsi="Cambria"/>
            <w:color w:val="000000" w:themeColor="text1"/>
            <w:sz w:val="16"/>
            <w:szCs w:val="16"/>
            <w:u w:val="single"/>
          </w:rPr>
          <w:t>Comunicado de Prensa 132/2016</w:t>
        </w:r>
      </w:hyperlink>
      <w:r w:rsidR="00464792" w:rsidRPr="009035C0">
        <w:rPr>
          <w:rFonts w:ascii="Cambria" w:hAnsi="Cambria"/>
          <w:color w:val="000000" w:themeColor="text1"/>
          <w:sz w:val="16"/>
          <w:szCs w:val="16"/>
        </w:rPr>
        <w:t xml:space="preserve">, </w:t>
      </w:r>
      <w:r w:rsidR="00464792">
        <w:rPr>
          <w:rFonts w:ascii="Cambria" w:hAnsi="Cambria"/>
          <w:color w:val="000000" w:themeColor="text1"/>
          <w:sz w:val="16"/>
          <w:szCs w:val="16"/>
        </w:rPr>
        <w:t xml:space="preserve">IACHR </w:t>
      </w:r>
      <w:r w:rsidR="00464792" w:rsidRPr="009035C0">
        <w:rPr>
          <w:rFonts w:ascii="Cambria" w:hAnsi="Cambria"/>
          <w:color w:val="000000" w:themeColor="text1"/>
          <w:sz w:val="16"/>
          <w:szCs w:val="16"/>
        </w:rPr>
        <w:t xml:space="preserve">CIDH </w:t>
      </w:r>
      <w:r w:rsidR="00464792">
        <w:rPr>
          <w:rFonts w:ascii="Cambria" w:hAnsi="Cambria"/>
          <w:color w:val="000000" w:themeColor="text1"/>
          <w:sz w:val="16"/>
          <w:szCs w:val="16"/>
        </w:rPr>
        <w:t>Expresses Concern Regarding Restrictions in the Exercise of Fundamental Rights in Venezuela</w:t>
      </w:r>
      <w:r w:rsidR="00464792" w:rsidRPr="009035C0">
        <w:rPr>
          <w:rFonts w:ascii="Cambria" w:hAnsi="Cambria"/>
          <w:color w:val="000000" w:themeColor="text1"/>
          <w:sz w:val="16"/>
          <w:szCs w:val="16"/>
        </w:rPr>
        <w:t xml:space="preserve">, </w:t>
      </w:r>
      <w:r w:rsidR="00464792">
        <w:rPr>
          <w:rFonts w:ascii="Cambria" w:hAnsi="Cambria"/>
          <w:color w:val="000000" w:themeColor="text1"/>
          <w:sz w:val="16"/>
          <w:szCs w:val="16"/>
        </w:rPr>
        <w:t xml:space="preserve">September </w:t>
      </w:r>
      <w:r w:rsidR="00464792" w:rsidRPr="009035C0">
        <w:rPr>
          <w:rFonts w:ascii="Cambria" w:hAnsi="Cambria"/>
          <w:color w:val="000000" w:themeColor="text1"/>
          <w:sz w:val="16"/>
          <w:szCs w:val="16"/>
        </w:rPr>
        <w:t>14</w:t>
      </w:r>
      <w:r w:rsidR="00464792">
        <w:rPr>
          <w:rFonts w:ascii="Cambria" w:hAnsi="Cambria"/>
          <w:color w:val="000000" w:themeColor="text1"/>
          <w:sz w:val="16"/>
          <w:szCs w:val="16"/>
        </w:rPr>
        <w:t>,</w:t>
      </w:r>
      <w:r w:rsidR="00464792" w:rsidRPr="009035C0">
        <w:rPr>
          <w:rFonts w:ascii="Cambria" w:hAnsi="Cambria"/>
          <w:color w:val="000000" w:themeColor="text1"/>
          <w:sz w:val="16"/>
          <w:szCs w:val="16"/>
        </w:rPr>
        <w:t xml:space="preserve"> 2016</w:t>
      </w:r>
      <w:r w:rsidRPr="009035C0">
        <w:rPr>
          <w:rFonts w:ascii="Cambria" w:hAnsi="Cambria"/>
          <w:color w:val="000000" w:themeColor="text1"/>
          <w:sz w:val="16"/>
          <w:szCs w:val="16"/>
        </w:rPr>
        <w:t>.</w:t>
      </w:r>
    </w:p>
  </w:footnote>
  <w:footnote w:id="12">
    <w:p w14:paraId="697FF3A2" w14:textId="486830A0" w:rsidR="00E52FE4" w:rsidRPr="00E7771A" w:rsidRDefault="00E52FE4" w:rsidP="00F85814">
      <w:pPr>
        <w:pStyle w:val="NormalWeb"/>
        <w:spacing w:before="0" w:beforeAutospacing="0" w:after="120" w:afterAutospacing="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464792" w:rsidRPr="00E7771A">
        <w:rPr>
          <w:rFonts w:ascii="Cambria" w:hAnsi="Cambria"/>
          <w:color w:val="000000" w:themeColor="text1"/>
          <w:sz w:val="16"/>
          <w:szCs w:val="16"/>
          <w:lang w:val="es-US"/>
        </w:rPr>
        <w:t xml:space="preserve">IACHR, </w:t>
      </w:r>
      <w:hyperlink r:id="rId5" w:history="1">
        <w:r w:rsidRPr="00E7771A">
          <w:rPr>
            <w:rFonts w:ascii="Cambria" w:hAnsi="Cambria"/>
            <w:color w:val="000000" w:themeColor="text1"/>
            <w:sz w:val="16"/>
            <w:szCs w:val="16"/>
            <w:u w:val="single"/>
            <w:lang w:val="es-US"/>
          </w:rPr>
          <w:t>Situación de los derechos Humanos en Venezuela – “Institucionalidad democrática, Estado de Derecho y derechos humanos en Venezuela”</w:t>
        </w:r>
      </w:hyperlink>
      <w:r w:rsidRPr="00E7771A">
        <w:rPr>
          <w:rFonts w:ascii="Cambria" w:hAnsi="Cambria"/>
          <w:color w:val="000000" w:themeColor="text1"/>
          <w:sz w:val="16"/>
          <w:szCs w:val="16"/>
          <w:lang w:val="es-US"/>
        </w:rPr>
        <w:t xml:space="preserve">, </w:t>
      </w:r>
      <w:r w:rsidR="00464792" w:rsidRPr="00E7771A">
        <w:rPr>
          <w:rFonts w:ascii="Cambria" w:hAnsi="Cambria"/>
          <w:color w:val="000000" w:themeColor="text1"/>
          <w:sz w:val="16"/>
          <w:szCs w:val="16"/>
          <w:lang w:val="es-US"/>
        </w:rPr>
        <w:t>Situation of Human Rights in Venezuela, - “Democratic Institutions, Rule of Law and Human R</w:t>
      </w:r>
      <w:r w:rsidR="00135535" w:rsidRPr="00E7771A">
        <w:rPr>
          <w:rFonts w:ascii="Cambria" w:hAnsi="Cambria"/>
          <w:color w:val="000000" w:themeColor="text1"/>
          <w:sz w:val="16"/>
          <w:szCs w:val="16"/>
          <w:lang w:val="es-US"/>
        </w:rPr>
        <w:t>ight</w:t>
      </w:r>
      <w:r w:rsidR="00464792" w:rsidRPr="00E7771A">
        <w:rPr>
          <w:rFonts w:ascii="Cambria" w:hAnsi="Cambria"/>
          <w:color w:val="000000" w:themeColor="text1"/>
          <w:sz w:val="16"/>
          <w:szCs w:val="16"/>
          <w:lang w:val="es-US"/>
        </w:rPr>
        <w:t>s in Ven</w:t>
      </w:r>
      <w:r w:rsidR="004E29F6" w:rsidRPr="00E7771A">
        <w:rPr>
          <w:rFonts w:ascii="Cambria" w:hAnsi="Cambria"/>
          <w:color w:val="000000" w:themeColor="text1"/>
          <w:sz w:val="16"/>
          <w:szCs w:val="16"/>
          <w:lang w:val="es-US"/>
        </w:rPr>
        <w:t>e</w:t>
      </w:r>
      <w:r w:rsidR="00464792" w:rsidRPr="00E7771A">
        <w:rPr>
          <w:rFonts w:ascii="Cambria" w:hAnsi="Cambria"/>
          <w:color w:val="000000" w:themeColor="text1"/>
          <w:sz w:val="16"/>
          <w:szCs w:val="16"/>
          <w:lang w:val="es-US"/>
        </w:rPr>
        <w:t>zuela 2017, par.</w:t>
      </w:r>
      <w:r w:rsidRPr="00E7771A">
        <w:rPr>
          <w:rFonts w:ascii="Cambria" w:hAnsi="Cambria"/>
          <w:color w:val="000000" w:themeColor="text1"/>
          <w:sz w:val="16"/>
          <w:szCs w:val="16"/>
          <w:lang w:val="es-US"/>
        </w:rPr>
        <w:t xml:space="preserve"> 100.</w:t>
      </w:r>
    </w:p>
  </w:footnote>
  <w:footnote w:id="13">
    <w:p w14:paraId="3BDED14F" w14:textId="2591C10E" w:rsidR="00E52FE4" w:rsidRPr="009035C0" w:rsidRDefault="00E52FE4"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416B9F" w:rsidRPr="009035C0">
        <w:rPr>
          <w:rFonts w:ascii="Cambria" w:hAnsi="Cambria"/>
          <w:color w:val="000000" w:themeColor="text1"/>
          <w:sz w:val="16"/>
          <w:szCs w:val="16"/>
        </w:rPr>
        <w:t xml:space="preserve">TSJ, </w:t>
      </w:r>
      <w:r w:rsidR="004E5435">
        <w:rPr>
          <w:rFonts w:ascii="Cambria" w:hAnsi="Cambria"/>
          <w:color w:val="000000" w:themeColor="text1"/>
          <w:sz w:val="16"/>
          <w:szCs w:val="16"/>
        </w:rPr>
        <w:t>Constitutional Chamber</w:t>
      </w:r>
      <w:r w:rsidR="00416B9F" w:rsidRPr="009035C0">
        <w:rPr>
          <w:rFonts w:ascii="Cambria" w:hAnsi="Cambria"/>
          <w:color w:val="000000" w:themeColor="text1"/>
          <w:sz w:val="16"/>
          <w:szCs w:val="16"/>
        </w:rPr>
        <w:t>,</w:t>
      </w:r>
      <w:r w:rsidR="004E5435">
        <w:rPr>
          <w:rFonts w:ascii="Cambria" w:hAnsi="Cambria"/>
          <w:color w:val="000000" w:themeColor="text1"/>
          <w:sz w:val="16"/>
          <w:szCs w:val="16"/>
        </w:rPr>
        <w:t xml:space="preserve"> Judgment</w:t>
      </w:r>
      <w:r w:rsidR="00416B9F" w:rsidRPr="009035C0">
        <w:rPr>
          <w:rFonts w:ascii="Cambria" w:hAnsi="Cambria"/>
          <w:color w:val="000000" w:themeColor="text1"/>
          <w:sz w:val="16"/>
          <w:szCs w:val="16"/>
        </w:rPr>
        <w:t xml:space="preserve"> </w:t>
      </w:r>
      <w:hyperlink r:id="rId6" w:history="1">
        <w:r w:rsidR="00416B9F" w:rsidRPr="009035C0">
          <w:rPr>
            <w:rFonts w:ascii="Cambria" w:hAnsi="Cambria"/>
            <w:color w:val="000000" w:themeColor="text1"/>
            <w:sz w:val="16"/>
            <w:szCs w:val="16"/>
            <w:u w:val="single"/>
          </w:rPr>
          <w:t>No. 814</w:t>
        </w:r>
      </w:hyperlink>
      <w:r w:rsidR="00416B9F" w:rsidRPr="009035C0">
        <w:rPr>
          <w:rFonts w:ascii="Cambria" w:hAnsi="Cambria"/>
          <w:color w:val="000000" w:themeColor="text1"/>
          <w:sz w:val="16"/>
          <w:szCs w:val="16"/>
        </w:rPr>
        <w:t xml:space="preserve">, </w:t>
      </w:r>
      <w:r w:rsidR="004E5435">
        <w:rPr>
          <w:rFonts w:ascii="Cambria" w:hAnsi="Cambria"/>
          <w:color w:val="000000" w:themeColor="text1"/>
          <w:sz w:val="16"/>
          <w:szCs w:val="16"/>
        </w:rPr>
        <w:t xml:space="preserve">October </w:t>
      </w:r>
      <w:r w:rsidR="00416B9F" w:rsidRPr="009035C0">
        <w:rPr>
          <w:rFonts w:ascii="Cambria" w:hAnsi="Cambria"/>
          <w:color w:val="000000" w:themeColor="text1"/>
          <w:sz w:val="16"/>
          <w:szCs w:val="16"/>
        </w:rPr>
        <w:t>11</w:t>
      </w:r>
      <w:r w:rsidR="004E5435">
        <w:rPr>
          <w:rFonts w:ascii="Cambria" w:hAnsi="Cambria"/>
          <w:color w:val="000000" w:themeColor="text1"/>
          <w:sz w:val="16"/>
          <w:szCs w:val="16"/>
        </w:rPr>
        <w:t>,</w:t>
      </w:r>
      <w:r w:rsidR="00416B9F" w:rsidRPr="009035C0">
        <w:rPr>
          <w:rFonts w:ascii="Cambria" w:hAnsi="Cambria"/>
          <w:color w:val="000000" w:themeColor="text1"/>
          <w:sz w:val="16"/>
          <w:szCs w:val="16"/>
        </w:rPr>
        <w:t xml:space="preserve"> 2016.</w:t>
      </w:r>
    </w:p>
  </w:footnote>
  <w:footnote w:id="14">
    <w:p w14:paraId="46F837A9" w14:textId="40B76DC9" w:rsidR="00E52FE4" w:rsidRPr="009035C0" w:rsidRDefault="00E52FE4"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4E5435" w:rsidRPr="009035C0">
        <w:rPr>
          <w:rFonts w:ascii="Cambria" w:hAnsi="Cambria"/>
          <w:color w:val="000000" w:themeColor="text1"/>
          <w:sz w:val="16"/>
          <w:szCs w:val="16"/>
        </w:rPr>
        <w:t xml:space="preserve">TSJ, </w:t>
      </w:r>
      <w:r w:rsidR="004E5435">
        <w:rPr>
          <w:rFonts w:ascii="Cambria" w:hAnsi="Cambria"/>
          <w:color w:val="000000" w:themeColor="text1"/>
          <w:sz w:val="16"/>
          <w:szCs w:val="16"/>
        </w:rPr>
        <w:t>Constitutional Chamber</w:t>
      </w:r>
      <w:r w:rsidR="004E5435" w:rsidRPr="009035C0">
        <w:rPr>
          <w:rFonts w:ascii="Cambria" w:hAnsi="Cambria"/>
          <w:color w:val="000000" w:themeColor="text1"/>
          <w:sz w:val="16"/>
          <w:szCs w:val="16"/>
        </w:rPr>
        <w:t>,</w:t>
      </w:r>
      <w:r w:rsidR="004E5435">
        <w:rPr>
          <w:rFonts w:ascii="Cambria" w:hAnsi="Cambria"/>
          <w:color w:val="000000" w:themeColor="text1"/>
          <w:sz w:val="16"/>
          <w:szCs w:val="16"/>
        </w:rPr>
        <w:t xml:space="preserve"> Judgment</w:t>
      </w:r>
      <w:r w:rsidR="004E5435" w:rsidRPr="009035C0">
        <w:rPr>
          <w:rFonts w:ascii="Cambria" w:hAnsi="Cambria"/>
          <w:color w:val="000000" w:themeColor="text1"/>
          <w:sz w:val="16"/>
          <w:szCs w:val="16"/>
        </w:rPr>
        <w:t xml:space="preserve"> </w:t>
      </w:r>
      <w:hyperlink r:id="rId7" w:history="1">
        <w:r w:rsidR="00416B9F" w:rsidRPr="009035C0">
          <w:rPr>
            <w:rFonts w:ascii="Cambria" w:hAnsi="Cambria"/>
            <w:color w:val="000000" w:themeColor="text1"/>
            <w:sz w:val="16"/>
            <w:szCs w:val="16"/>
            <w:u w:val="single"/>
          </w:rPr>
          <w:t>No. 03</w:t>
        </w:r>
      </w:hyperlink>
      <w:r w:rsidR="00416B9F" w:rsidRPr="009035C0">
        <w:rPr>
          <w:rFonts w:ascii="Cambria" w:hAnsi="Cambria"/>
          <w:color w:val="000000" w:themeColor="text1"/>
          <w:sz w:val="16"/>
          <w:szCs w:val="16"/>
        </w:rPr>
        <w:t xml:space="preserve">, </w:t>
      </w:r>
      <w:r w:rsidR="004E5435">
        <w:rPr>
          <w:rFonts w:ascii="Cambria" w:hAnsi="Cambria"/>
          <w:color w:val="000000" w:themeColor="text1"/>
          <w:sz w:val="16"/>
          <w:szCs w:val="16"/>
        </w:rPr>
        <w:t xml:space="preserve">October </w:t>
      </w:r>
      <w:r w:rsidR="00416B9F" w:rsidRPr="009035C0">
        <w:rPr>
          <w:rFonts w:ascii="Cambria" w:hAnsi="Cambria"/>
          <w:color w:val="000000" w:themeColor="text1"/>
          <w:sz w:val="16"/>
          <w:szCs w:val="16"/>
        </w:rPr>
        <w:t>11</w:t>
      </w:r>
      <w:r w:rsidR="004E5435">
        <w:rPr>
          <w:rFonts w:ascii="Cambria" w:hAnsi="Cambria"/>
          <w:color w:val="000000" w:themeColor="text1"/>
          <w:sz w:val="16"/>
          <w:szCs w:val="16"/>
        </w:rPr>
        <w:t>,</w:t>
      </w:r>
      <w:r w:rsidR="00416B9F" w:rsidRPr="009035C0">
        <w:rPr>
          <w:rFonts w:ascii="Cambria" w:hAnsi="Cambria"/>
          <w:color w:val="000000" w:themeColor="text1"/>
          <w:sz w:val="16"/>
          <w:szCs w:val="16"/>
        </w:rPr>
        <w:t xml:space="preserve"> 2017. </w:t>
      </w:r>
    </w:p>
  </w:footnote>
  <w:footnote w:id="15">
    <w:p w14:paraId="2BA480B3" w14:textId="2C995E9B" w:rsidR="00E52FE4" w:rsidRPr="009035C0" w:rsidRDefault="00E52FE4"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416B9F" w:rsidRPr="009035C0">
        <w:rPr>
          <w:rFonts w:ascii="Cambria" w:hAnsi="Cambria"/>
          <w:color w:val="000000" w:themeColor="text1"/>
          <w:sz w:val="16"/>
          <w:szCs w:val="16"/>
        </w:rPr>
        <w:t xml:space="preserve">TSJ, </w:t>
      </w:r>
      <w:r w:rsidR="00616567">
        <w:rPr>
          <w:rFonts w:ascii="Cambria" w:hAnsi="Cambria"/>
          <w:color w:val="000000" w:themeColor="text1"/>
          <w:sz w:val="16"/>
          <w:szCs w:val="16"/>
        </w:rPr>
        <w:t>Constitutional Chamber</w:t>
      </w:r>
      <w:r w:rsidR="00616567" w:rsidRPr="009035C0">
        <w:rPr>
          <w:rFonts w:ascii="Cambria" w:hAnsi="Cambria"/>
          <w:color w:val="000000" w:themeColor="text1"/>
          <w:sz w:val="16"/>
          <w:szCs w:val="16"/>
        </w:rPr>
        <w:t>,</w:t>
      </w:r>
      <w:r w:rsidR="00616567">
        <w:rPr>
          <w:rFonts w:ascii="Cambria" w:hAnsi="Cambria"/>
          <w:color w:val="000000" w:themeColor="text1"/>
          <w:sz w:val="16"/>
          <w:szCs w:val="16"/>
        </w:rPr>
        <w:t xml:space="preserve"> Judgment</w:t>
      </w:r>
      <w:r w:rsidR="00416B9F" w:rsidRPr="009035C0">
        <w:rPr>
          <w:rFonts w:ascii="Cambria" w:hAnsi="Cambria"/>
          <w:color w:val="000000" w:themeColor="text1"/>
          <w:sz w:val="16"/>
          <w:szCs w:val="16"/>
        </w:rPr>
        <w:t xml:space="preserve"> </w:t>
      </w:r>
      <w:hyperlink r:id="rId8" w:history="1">
        <w:r w:rsidR="00416B9F" w:rsidRPr="009035C0">
          <w:rPr>
            <w:rFonts w:ascii="Cambria" w:hAnsi="Cambria"/>
            <w:color w:val="000000" w:themeColor="text1"/>
            <w:sz w:val="16"/>
            <w:szCs w:val="16"/>
            <w:u w:val="single"/>
          </w:rPr>
          <w:t>No. 156</w:t>
        </w:r>
      </w:hyperlink>
      <w:r w:rsidR="00416B9F" w:rsidRPr="009035C0">
        <w:rPr>
          <w:rFonts w:ascii="Cambria" w:hAnsi="Cambria"/>
          <w:color w:val="000000" w:themeColor="text1"/>
          <w:sz w:val="16"/>
          <w:szCs w:val="16"/>
        </w:rPr>
        <w:t xml:space="preserve">, </w:t>
      </w:r>
      <w:r w:rsidR="006B0538">
        <w:rPr>
          <w:rFonts w:ascii="Cambria" w:hAnsi="Cambria"/>
          <w:color w:val="000000" w:themeColor="text1"/>
          <w:sz w:val="16"/>
          <w:szCs w:val="16"/>
        </w:rPr>
        <w:t xml:space="preserve">March </w:t>
      </w:r>
      <w:r w:rsidR="00416B9F" w:rsidRPr="009035C0">
        <w:rPr>
          <w:rFonts w:ascii="Cambria" w:hAnsi="Cambria"/>
          <w:color w:val="000000" w:themeColor="text1"/>
          <w:sz w:val="16"/>
          <w:szCs w:val="16"/>
        </w:rPr>
        <w:t>29</w:t>
      </w:r>
      <w:r w:rsidR="006B0538">
        <w:rPr>
          <w:rFonts w:ascii="Cambria" w:hAnsi="Cambria"/>
          <w:color w:val="000000" w:themeColor="text1"/>
          <w:sz w:val="16"/>
          <w:szCs w:val="16"/>
        </w:rPr>
        <w:t>,</w:t>
      </w:r>
      <w:r w:rsidR="00416B9F" w:rsidRPr="009035C0">
        <w:rPr>
          <w:rFonts w:ascii="Cambria" w:hAnsi="Cambria"/>
          <w:color w:val="000000" w:themeColor="text1"/>
          <w:sz w:val="16"/>
          <w:szCs w:val="16"/>
        </w:rPr>
        <w:t xml:space="preserve"> 2019.</w:t>
      </w:r>
    </w:p>
  </w:footnote>
  <w:footnote w:id="16">
    <w:p w14:paraId="54D37B55" w14:textId="1ED17076" w:rsidR="00416B9F" w:rsidRPr="009035C0" w:rsidRDefault="00416B9F"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62B05">
        <w:rPr>
          <w:rFonts w:ascii="Cambria" w:hAnsi="Cambria"/>
          <w:color w:val="000000" w:themeColor="text1"/>
          <w:sz w:val="16"/>
          <w:szCs w:val="16"/>
        </w:rPr>
        <w:t>IACHR,</w:t>
      </w:r>
      <w:r w:rsidR="0025576B">
        <w:rPr>
          <w:rFonts w:ascii="Cambria" w:hAnsi="Cambria"/>
          <w:color w:val="000000" w:themeColor="text1"/>
          <w:sz w:val="16"/>
          <w:szCs w:val="16"/>
        </w:rPr>
        <w:t xml:space="preserve"> Press Release</w:t>
      </w:r>
      <w:r w:rsidR="00962B05">
        <w:rPr>
          <w:rFonts w:ascii="Cambria" w:hAnsi="Cambria"/>
          <w:color w:val="000000" w:themeColor="text1"/>
          <w:sz w:val="16"/>
          <w:szCs w:val="16"/>
        </w:rPr>
        <w:t xml:space="preserve"> </w:t>
      </w:r>
      <w:hyperlink r:id="rId9" w:history="1">
        <w:r w:rsidRPr="009035C0">
          <w:rPr>
            <w:rFonts w:ascii="Cambria" w:hAnsi="Cambria"/>
            <w:color w:val="000000" w:themeColor="text1"/>
            <w:sz w:val="16"/>
            <w:szCs w:val="16"/>
            <w:u w:val="single"/>
          </w:rPr>
          <w:t>Comunicado de Prensa 041/2017</w:t>
        </w:r>
      </w:hyperlink>
      <w:r w:rsidRPr="009035C0">
        <w:rPr>
          <w:rFonts w:ascii="Cambria" w:hAnsi="Cambria"/>
          <w:color w:val="000000" w:themeColor="text1"/>
          <w:sz w:val="16"/>
          <w:szCs w:val="16"/>
        </w:rPr>
        <w:t xml:space="preserve">, </w:t>
      </w:r>
      <w:r w:rsidR="00F91949">
        <w:rPr>
          <w:rFonts w:ascii="Cambria" w:hAnsi="Cambria"/>
          <w:color w:val="000000" w:themeColor="text1"/>
          <w:sz w:val="16"/>
          <w:szCs w:val="16"/>
        </w:rPr>
        <w:t xml:space="preserve">IACHR </w:t>
      </w:r>
      <w:r w:rsidR="00974293">
        <w:rPr>
          <w:rFonts w:ascii="Cambria" w:hAnsi="Cambria"/>
          <w:color w:val="000000" w:themeColor="text1"/>
          <w:sz w:val="16"/>
          <w:szCs w:val="16"/>
        </w:rPr>
        <w:t>Condem</w:t>
      </w:r>
      <w:r w:rsidR="00AF0DA8">
        <w:rPr>
          <w:rFonts w:ascii="Cambria" w:hAnsi="Cambria"/>
          <w:color w:val="000000" w:themeColor="text1"/>
          <w:sz w:val="16"/>
          <w:szCs w:val="16"/>
        </w:rPr>
        <w:t>n</w:t>
      </w:r>
      <w:r w:rsidR="00974293">
        <w:rPr>
          <w:rFonts w:ascii="Cambria" w:hAnsi="Cambria"/>
          <w:color w:val="000000" w:themeColor="text1"/>
          <w:sz w:val="16"/>
          <w:szCs w:val="16"/>
        </w:rPr>
        <w:t xml:space="preserve">s Supreme Court Rulings and the Alteration of the Constitutional and Democratic Order in Venezuela. March 31, </w:t>
      </w:r>
      <w:r w:rsidRPr="009035C0">
        <w:rPr>
          <w:rFonts w:ascii="Cambria" w:hAnsi="Cambria"/>
          <w:color w:val="000000" w:themeColor="text1"/>
          <w:sz w:val="16"/>
          <w:szCs w:val="16"/>
        </w:rPr>
        <w:t>2017.</w:t>
      </w:r>
    </w:p>
  </w:footnote>
  <w:footnote w:id="17">
    <w:p w14:paraId="0F321975" w14:textId="0A2F5943" w:rsidR="008C1966" w:rsidRPr="009035C0" w:rsidRDefault="008C1966"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74293">
        <w:rPr>
          <w:rFonts w:ascii="Cambria" w:hAnsi="Cambria"/>
          <w:color w:val="000000" w:themeColor="text1"/>
          <w:sz w:val="16"/>
          <w:szCs w:val="16"/>
        </w:rPr>
        <w:t xml:space="preserve">IACHR, Press Release </w:t>
      </w:r>
      <w:hyperlink r:id="rId10" w:history="1">
        <w:r w:rsidR="00974293" w:rsidRPr="009035C0">
          <w:rPr>
            <w:rFonts w:ascii="Cambria" w:hAnsi="Cambria"/>
            <w:color w:val="000000" w:themeColor="text1"/>
            <w:sz w:val="16"/>
            <w:szCs w:val="16"/>
            <w:u w:val="single"/>
          </w:rPr>
          <w:t>Comunicado de Prensa 041/2017</w:t>
        </w:r>
      </w:hyperlink>
      <w:r w:rsidR="00974293" w:rsidRPr="009035C0">
        <w:rPr>
          <w:rFonts w:ascii="Cambria" w:hAnsi="Cambria"/>
          <w:color w:val="000000" w:themeColor="text1"/>
          <w:sz w:val="16"/>
          <w:szCs w:val="16"/>
        </w:rPr>
        <w:t xml:space="preserve">, </w:t>
      </w:r>
      <w:r w:rsidR="00974293">
        <w:rPr>
          <w:rFonts w:ascii="Cambria" w:hAnsi="Cambria"/>
          <w:color w:val="000000" w:themeColor="text1"/>
          <w:sz w:val="16"/>
          <w:szCs w:val="16"/>
        </w:rPr>
        <w:t>IACHR Condem</w:t>
      </w:r>
      <w:r w:rsidR="00901F86">
        <w:rPr>
          <w:rFonts w:ascii="Cambria" w:hAnsi="Cambria"/>
          <w:color w:val="000000" w:themeColor="text1"/>
          <w:sz w:val="16"/>
          <w:szCs w:val="16"/>
        </w:rPr>
        <w:t>n</w:t>
      </w:r>
      <w:r w:rsidR="00974293">
        <w:rPr>
          <w:rFonts w:ascii="Cambria" w:hAnsi="Cambria"/>
          <w:color w:val="000000" w:themeColor="text1"/>
          <w:sz w:val="16"/>
          <w:szCs w:val="16"/>
        </w:rPr>
        <w:t xml:space="preserve">s Supreme Court Rulings and the Alteration of the Constitutional and Democratic Order in Venezuela. March 31, </w:t>
      </w:r>
      <w:r w:rsidR="00974293" w:rsidRPr="009035C0">
        <w:rPr>
          <w:rFonts w:ascii="Cambria" w:hAnsi="Cambria"/>
          <w:color w:val="000000" w:themeColor="text1"/>
          <w:sz w:val="16"/>
          <w:szCs w:val="16"/>
        </w:rPr>
        <w:t>2017.</w:t>
      </w:r>
    </w:p>
  </w:footnote>
  <w:footnote w:id="18">
    <w:p w14:paraId="1BD48C28" w14:textId="4A36A898" w:rsidR="008C1966" w:rsidRPr="009035C0" w:rsidRDefault="008C1966"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241D5">
        <w:rPr>
          <w:rFonts w:ascii="Cambria" w:hAnsi="Cambria"/>
          <w:color w:val="000000" w:themeColor="text1"/>
          <w:sz w:val="16"/>
          <w:szCs w:val="16"/>
        </w:rPr>
        <w:t>UNHCHR</w:t>
      </w:r>
      <w:r w:rsidRPr="009035C0">
        <w:rPr>
          <w:rFonts w:ascii="Cambria" w:hAnsi="Cambria"/>
          <w:color w:val="000000" w:themeColor="text1"/>
          <w:sz w:val="16"/>
          <w:szCs w:val="16"/>
        </w:rPr>
        <w:t xml:space="preserve">, </w:t>
      </w:r>
      <w:r w:rsidR="00E241D5">
        <w:rPr>
          <w:rFonts w:ascii="Cambria" w:hAnsi="Cambria"/>
          <w:color w:val="000000" w:themeColor="text1"/>
          <w:sz w:val="16"/>
          <w:szCs w:val="16"/>
        </w:rPr>
        <w:t xml:space="preserve">Human rights violations in the Bolivarian Republic of Venezuela: a </w:t>
      </w:r>
      <w:r w:rsidR="00282BA1">
        <w:rPr>
          <w:rFonts w:ascii="Cambria" w:hAnsi="Cambria"/>
          <w:color w:val="000000" w:themeColor="text1"/>
          <w:sz w:val="16"/>
          <w:szCs w:val="16"/>
        </w:rPr>
        <w:t xml:space="preserve">downward </w:t>
      </w:r>
      <w:r w:rsidR="00E241D5">
        <w:rPr>
          <w:rFonts w:ascii="Cambria" w:hAnsi="Cambria"/>
          <w:color w:val="000000" w:themeColor="text1"/>
          <w:sz w:val="16"/>
          <w:szCs w:val="16"/>
        </w:rPr>
        <w:t xml:space="preserve">spiral </w:t>
      </w:r>
      <w:r w:rsidR="00282BA1">
        <w:rPr>
          <w:rFonts w:ascii="Cambria" w:hAnsi="Cambria"/>
          <w:color w:val="000000" w:themeColor="text1"/>
          <w:sz w:val="16"/>
          <w:szCs w:val="16"/>
        </w:rPr>
        <w:t>with no end in sight</w:t>
      </w:r>
      <w:r w:rsidR="00E241D5">
        <w:rPr>
          <w:rFonts w:ascii="Cambria" w:hAnsi="Cambria"/>
          <w:color w:val="000000" w:themeColor="text1"/>
          <w:sz w:val="16"/>
          <w:szCs w:val="16"/>
        </w:rPr>
        <w:t xml:space="preserve">. June 2018. </w:t>
      </w:r>
    </w:p>
  </w:footnote>
  <w:footnote w:id="19">
    <w:p w14:paraId="604994C5" w14:textId="7EF4AD28" w:rsidR="008C1966" w:rsidRPr="009035C0" w:rsidRDefault="008C1966"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282BA1">
        <w:rPr>
          <w:rFonts w:ascii="Cambria" w:hAnsi="Cambria"/>
          <w:color w:val="000000" w:themeColor="text1"/>
          <w:sz w:val="16"/>
          <w:szCs w:val="16"/>
        </w:rPr>
        <w:t>International Commission of Jurists,</w:t>
      </w:r>
      <w:r w:rsidR="00176DF1">
        <w:rPr>
          <w:rFonts w:ascii="Cambria" w:hAnsi="Cambria"/>
          <w:color w:val="000000" w:themeColor="text1"/>
          <w:sz w:val="16"/>
          <w:szCs w:val="16"/>
        </w:rPr>
        <w:t xml:space="preserve"> No Room for Debate:</w:t>
      </w:r>
      <w:r w:rsidR="00282BA1">
        <w:rPr>
          <w:rFonts w:ascii="Cambria" w:hAnsi="Cambria"/>
          <w:color w:val="000000" w:themeColor="text1"/>
          <w:sz w:val="16"/>
          <w:szCs w:val="16"/>
        </w:rPr>
        <w:t xml:space="preserve"> </w:t>
      </w:r>
      <w:r w:rsidR="00AE385C">
        <w:rPr>
          <w:rFonts w:ascii="Cambria" w:hAnsi="Cambria"/>
          <w:color w:val="000000" w:themeColor="text1"/>
          <w:sz w:val="16"/>
          <w:szCs w:val="16"/>
        </w:rPr>
        <w:t>T</w:t>
      </w:r>
      <w:r w:rsidR="00282BA1">
        <w:rPr>
          <w:rFonts w:ascii="Cambria" w:hAnsi="Cambria"/>
          <w:color w:val="000000" w:themeColor="text1"/>
          <w:sz w:val="16"/>
          <w:szCs w:val="16"/>
        </w:rPr>
        <w:t xml:space="preserve">he National Constituent Assembly and the </w:t>
      </w:r>
      <w:r w:rsidR="00176DF1">
        <w:rPr>
          <w:rFonts w:ascii="Cambria" w:hAnsi="Cambria"/>
          <w:color w:val="000000" w:themeColor="text1"/>
          <w:sz w:val="16"/>
          <w:szCs w:val="16"/>
        </w:rPr>
        <w:t xml:space="preserve">Crumbling of the Rule of Law in </w:t>
      </w:r>
      <w:r w:rsidR="00282BA1">
        <w:rPr>
          <w:rFonts w:ascii="Cambria" w:hAnsi="Cambria"/>
          <w:color w:val="000000" w:themeColor="text1"/>
          <w:sz w:val="16"/>
          <w:szCs w:val="16"/>
        </w:rPr>
        <w:t xml:space="preserve">Venezuela, 2017, pg. 35. </w:t>
      </w:r>
    </w:p>
  </w:footnote>
  <w:footnote w:id="20">
    <w:p w14:paraId="23CE8DBC" w14:textId="0E4D2526" w:rsidR="008C1966" w:rsidRPr="009035C0" w:rsidRDefault="008C1966"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DE44BE">
        <w:rPr>
          <w:rFonts w:ascii="Cambria" w:hAnsi="Cambria"/>
          <w:color w:val="000000" w:themeColor="text1"/>
          <w:sz w:val="16"/>
          <w:szCs w:val="16"/>
        </w:rPr>
        <w:t>IACHR, Press Release</w:t>
      </w:r>
      <w:r w:rsidRPr="009035C0">
        <w:rPr>
          <w:rFonts w:ascii="Cambria" w:hAnsi="Cambria"/>
          <w:color w:val="000000" w:themeColor="text1"/>
          <w:sz w:val="16"/>
          <w:szCs w:val="16"/>
        </w:rPr>
        <w:t xml:space="preserve">, </w:t>
      </w:r>
      <w:hyperlink r:id="rId11" w:history="1">
        <w:r w:rsidRPr="009035C0">
          <w:rPr>
            <w:rFonts w:ascii="Cambria" w:hAnsi="Cambria"/>
            <w:color w:val="000000" w:themeColor="text1"/>
            <w:sz w:val="16"/>
            <w:szCs w:val="16"/>
            <w:u w:val="single"/>
          </w:rPr>
          <w:t>Comunicado de Prensa 005/2019</w:t>
        </w:r>
      </w:hyperlink>
      <w:r w:rsidRPr="009035C0">
        <w:rPr>
          <w:rFonts w:ascii="Cambria" w:hAnsi="Cambria"/>
          <w:color w:val="000000" w:themeColor="text1"/>
          <w:sz w:val="16"/>
          <w:szCs w:val="16"/>
        </w:rPr>
        <w:t xml:space="preserve">, </w:t>
      </w:r>
      <w:r w:rsidR="0053756C">
        <w:rPr>
          <w:rFonts w:ascii="Cambria" w:hAnsi="Cambria"/>
          <w:color w:val="000000" w:themeColor="text1"/>
          <w:sz w:val="16"/>
          <w:szCs w:val="16"/>
        </w:rPr>
        <w:t xml:space="preserve">IACHR Alerts About Further Weakening of Rule of Law in Venezuela Ahead of New Presidential Mandate, </w:t>
      </w:r>
      <w:r w:rsidR="00DE44BE">
        <w:rPr>
          <w:rFonts w:ascii="Cambria" w:hAnsi="Cambria"/>
          <w:color w:val="000000" w:themeColor="text1"/>
          <w:sz w:val="16"/>
          <w:szCs w:val="16"/>
        </w:rPr>
        <w:t xml:space="preserve">January </w:t>
      </w:r>
      <w:r w:rsidRPr="009035C0">
        <w:rPr>
          <w:rFonts w:ascii="Cambria" w:hAnsi="Cambria"/>
          <w:color w:val="000000" w:themeColor="text1"/>
          <w:sz w:val="16"/>
          <w:szCs w:val="16"/>
        </w:rPr>
        <w:t>9</w:t>
      </w:r>
      <w:r w:rsidR="00DE44BE">
        <w:rPr>
          <w:rFonts w:ascii="Cambria" w:hAnsi="Cambria"/>
          <w:color w:val="000000" w:themeColor="text1"/>
          <w:sz w:val="16"/>
          <w:szCs w:val="16"/>
        </w:rPr>
        <w:t>,</w:t>
      </w:r>
      <w:r w:rsidRPr="009035C0">
        <w:rPr>
          <w:rFonts w:ascii="Cambria" w:hAnsi="Cambria"/>
          <w:color w:val="000000" w:themeColor="text1"/>
          <w:sz w:val="16"/>
          <w:szCs w:val="16"/>
        </w:rPr>
        <w:t xml:space="preserve"> 2019. </w:t>
      </w:r>
    </w:p>
  </w:footnote>
  <w:footnote w:id="21">
    <w:p w14:paraId="4F51CA2E" w14:textId="7E1267FA" w:rsidR="008C1966" w:rsidRPr="009035C0" w:rsidRDefault="008C1966"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C</w:t>
      </w:r>
      <w:r w:rsidR="0053756C">
        <w:rPr>
          <w:rFonts w:ascii="Cambria" w:hAnsi="Cambria"/>
          <w:color w:val="000000" w:themeColor="text1"/>
          <w:sz w:val="16"/>
          <w:szCs w:val="16"/>
        </w:rPr>
        <w:t>onstitution of the Bolivarian Republic of Venezuela</w:t>
      </w:r>
      <w:r w:rsidRPr="009035C0">
        <w:rPr>
          <w:rFonts w:ascii="Cambria" w:hAnsi="Cambria"/>
          <w:color w:val="000000" w:themeColor="text1"/>
          <w:sz w:val="16"/>
          <w:szCs w:val="16"/>
        </w:rPr>
        <w:t xml:space="preserve">, </w:t>
      </w:r>
      <w:r w:rsidR="0053756C">
        <w:rPr>
          <w:rFonts w:ascii="Cambria" w:hAnsi="Cambria"/>
          <w:color w:val="000000" w:themeColor="text1"/>
          <w:sz w:val="16"/>
          <w:szCs w:val="16"/>
        </w:rPr>
        <w:t xml:space="preserve">Article </w:t>
      </w:r>
      <w:r w:rsidRPr="009035C0">
        <w:rPr>
          <w:rFonts w:ascii="Cambria" w:hAnsi="Cambria"/>
          <w:color w:val="000000" w:themeColor="text1"/>
          <w:sz w:val="16"/>
          <w:szCs w:val="16"/>
        </w:rPr>
        <w:t>22</w:t>
      </w:r>
      <w:r w:rsidR="003C13F4">
        <w:rPr>
          <w:rFonts w:ascii="Cambria" w:hAnsi="Cambria"/>
          <w:color w:val="000000" w:themeColor="text1"/>
          <w:sz w:val="16"/>
          <w:szCs w:val="16"/>
        </w:rPr>
        <w:t>.</w:t>
      </w:r>
    </w:p>
  </w:footnote>
  <w:footnote w:id="22">
    <w:p w14:paraId="1A88DB75" w14:textId="57368540" w:rsidR="008C1966" w:rsidRPr="009035C0" w:rsidRDefault="008C1966"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TSJ, </w:t>
      </w:r>
      <w:r w:rsidR="00184D40">
        <w:rPr>
          <w:rFonts w:ascii="Cambria" w:hAnsi="Cambria"/>
          <w:color w:val="000000" w:themeColor="text1"/>
          <w:sz w:val="16"/>
          <w:szCs w:val="16"/>
        </w:rPr>
        <w:t>Sitting en banc</w:t>
      </w:r>
      <w:r w:rsidRPr="009035C0">
        <w:rPr>
          <w:rFonts w:ascii="Cambria" w:hAnsi="Cambria"/>
          <w:color w:val="000000" w:themeColor="text1"/>
          <w:sz w:val="16"/>
          <w:szCs w:val="16"/>
        </w:rPr>
        <w:t xml:space="preserve">, </w:t>
      </w:r>
      <w:r w:rsidR="00184D40">
        <w:rPr>
          <w:rFonts w:ascii="Cambria" w:hAnsi="Cambria"/>
          <w:color w:val="000000" w:themeColor="text1"/>
          <w:sz w:val="16"/>
          <w:szCs w:val="16"/>
        </w:rPr>
        <w:t>Judgments</w:t>
      </w:r>
      <w:r w:rsidRPr="009035C0">
        <w:rPr>
          <w:rFonts w:ascii="Cambria" w:hAnsi="Cambria"/>
          <w:color w:val="000000" w:themeColor="text1"/>
          <w:sz w:val="16"/>
          <w:szCs w:val="16"/>
        </w:rPr>
        <w:t xml:space="preserve">: No. 0034 </w:t>
      </w:r>
      <w:r w:rsidR="00184D40">
        <w:rPr>
          <w:rFonts w:ascii="Cambria" w:hAnsi="Cambria"/>
          <w:color w:val="000000" w:themeColor="text1"/>
          <w:sz w:val="16"/>
          <w:szCs w:val="16"/>
        </w:rPr>
        <w:t xml:space="preserve">of May </w:t>
      </w:r>
      <w:r w:rsidRPr="009035C0">
        <w:rPr>
          <w:rFonts w:ascii="Cambria" w:hAnsi="Cambria"/>
          <w:color w:val="000000" w:themeColor="text1"/>
          <w:sz w:val="16"/>
          <w:szCs w:val="16"/>
        </w:rPr>
        <w:t>11</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2017; No. 66 </w:t>
      </w:r>
      <w:r w:rsidR="00184D40">
        <w:rPr>
          <w:rFonts w:ascii="Cambria" w:hAnsi="Cambria"/>
          <w:color w:val="000000" w:themeColor="text1"/>
          <w:sz w:val="16"/>
          <w:szCs w:val="16"/>
        </w:rPr>
        <w:t xml:space="preserve">of August </w:t>
      </w:r>
      <w:r w:rsidRPr="009035C0">
        <w:rPr>
          <w:rFonts w:ascii="Cambria" w:hAnsi="Cambria"/>
          <w:color w:val="000000" w:themeColor="text1"/>
          <w:sz w:val="16"/>
          <w:szCs w:val="16"/>
        </w:rPr>
        <w:t>16</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2017; No. 69 </w:t>
      </w:r>
      <w:r w:rsidR="00184D40">
        <w:rPr>
          <w:rFonts w:ascii="Cambria" w:hAnsi="Cambria"/>
          <w:color w:val="000000" w:themeColor="text1"/>
          <w:sz w:val="16"/>
          <w:szCs w:val="16"/>
        </w:rPr>
        <w:t xml:space="preserve">of November </w:t>
      </w:r>
      <w:r w:rsidRPr="009035C0">
        <w:rPr>
          <w:rFonts w:ascii="Cambria" w:hAnsi="Cambria"/>
          <w:color w:val="000000" w:themeColor="text1"/>
          <w:sz w:val="16"/>
          <w:szCs w:val="16"/>
        </w:rPr>
        <w:t>3</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2017; No. 49 </w:t>
      </w:r>
      <w:r w:rsidR="00184D40">
        <w:rPr>
          <w:rFonts w:ascii="Cambria" w:hAnsi="Cambria"/>
          <w:color w:val="000000" w:themeColor="text1"/>
          <w:sz w:val="16"/>
          <w:szCs w:val="16"/>
        </w:rPr>
        <w:t xml:space="preserve">of August </w:t>
      </w:r>
      <w:r w:rsidRPr="009035C0">
        <w:rPr>
          <w:rFonts w:ascii="Cambria" w:hAnsi="Cambria"/>
          <w:color w:val="000000" w:themeColor="text1"/>
          <w:sz w:val="16"/>
          <w:szCs w:val="16"/>
        </w:rPr>
        <w:t>8</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2018; No. 1 </w:t>
      </w:r>
      <w:r w:rsidR="00184D40">
        <w:rPr>
          <w:rFonts w:ascii="Cambria" w:hAnsi="Cambria"/>
          <w:color w:val="000000" w:themeColor="text1"/>
          <w:sz w:val="16"/>
          <w:szCs w:val="16"/>
        </w:rPr>
        <w:t xml:space="preserve">of January </w:t>
      </w:r>
      <w:r w:rsidRPr="009035C0">
        <w:rPr>
          <w:rFonts w:ascii="Cambria" w:hAnsi="Cambria"/>
          <w:color w:val="000000" w:themeColor="text1"/>
          <w:sz w:val="16"/>
          <w:szCs w:val="16"/>
        </w:rPr>
        <w:t>29</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2019; No. 17 </w:t>
      </w:r>
      <w:r w:rsidR="00184D40">
        <w:rPr>
          <w:rFonts w:ascii="Cambria" w:hAnsi="Cambria"/>
          <w:color w:val="000000" w:themeColor="text1"/>
          <w:sz w:val="16"/>
          <w:szCs w:val="16"/>
        </w:rPr>
        <w:t xml:space="preserve">of May </w:t>
      </w:r>
      <w:r w:rsidRPr="009035C0">
        <w:rPr>
          <w:rFonts w:ascii="Cambria" w:hAnsi="Cambria"/>
          <w:color w:val="000000" w:themeColor="text1"/>
          <w:sz w:val="16"/>
          <w:szCs w:val="16"/>
        </w:rPr>
        <w:t>2</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2019; No. 18 </w:t>
      </w:r>
      <w:r w:rsidR="00184D40">
        <w:rPr>
          <w:rFonts w:ascii="Cambria" w:hAnsi="Cambria"/>
          <w:color w:val="000000" w:themeColor="text1"/>
          <w:sz w:val="16"/>
          <w:szCs w:val="16"/>
        </w:rPr>
        <w:t xml:space="preserve">of May </w:t>
      </w:r>
      <w:r w:rsidRPr="009035C0">
        <w:rPr>
          <w:rFonts w:ascii="Cambria" w:hAnsi="Cambria"/>
          <w:color w:val="000000" w:themeColor="text1"/>
          <w:sz w:val="16"/>
          <w:szCs w:val="16"/>
        </w:rPr>
        <w:t>7</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2019; No. 19 </w:t>
      </w:r>
      <w:r w:rsidR="00184D40">
        <w:rPr>
          <w:rFonts w:ascii="Cambria" w:hAnsi="Cambria"/>
          <w:color w:val="000000" w:themeColor="text1"/>
          <w:sz w:val="16"/>
          <w:szCs w:val="16"/>
        </w:rPr>
        <w:t xml:space="preserve">of May </w:t>
      </w:r>
      <w:r w:rsidRPr="009035C0">
        <w:rPr>
          <w:rFonts w:ascii="Cambria" w:hAnsi="Cambria"/>
          <w:color w:val="000000" w:themeColor="text1"/>
          <w:sz w:val="16"/>
          <w:szCs w:val="16"/>
        </w:rPr>
        <w:t>9</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2019; No. 20 </w:t>
      </w:r>
      <w:r w:rsidR="00184D40">
        <w:rPr>
          <w:rFonts w:ascii="Cambria" w:hAnsi="Cambria"/>
          <w:color w:val="000000" w:themeColor="text1"/>
          <w:sz w:val="16"/>
          <w:szCs w:val="16"/>
        </w:rPr>
        <w:t xml:space="preserve">of May </w:t>
      </w:r>
      <w:r w:rsidRPr="009035C0">
        <w:rPr>
          <w:rFonts w:ascii="Cambria" w:hAnsi="Cambria"/>
          <w:color w:val="000000" w:themeColor="text1"/>
          <w:sz w:val="16"/>
          <w:szCs w:val="16"/>
        </w:rPr>
        <w:t>14</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2019; No. 33</w:t>
      </w:r>
      <w:r w:rsidR="00184D40">
        <w:rPr>
          <w:rFonts w:ascii="Cambria" w:hAnsi="Cambria"/>
          <w:color w:val="000000" w:themeColor="text1"/>
          <w:sz w:val="16"/>
          <w:szCs w:val="16"/>
        </w:rPr>
        <w:t xml:space="preserve"> of May </w:t>
      </w:r>
      <w:r w:rsidRPr="009035C0">
        <w:rPr>
          <w:rFonts w:ascii="Cambria" w:hAnsi="Cambria"/>
          <w:color w:val="000000" w:themeColor="text1"/>
          <w:sz w:val="16"/>
          <w:szCs w:val="16"/>
        </w:rPr>
        <w:t>28</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2019; No. 55 </w:t>
      </w:r>
      <w:r w:rsidR="00184D40">
        <w:rPr>
          <w:rFonts w:ascii="Cambria" w:hAnsi="Cambria"/>
          <w:color w:val="000000" w:themeColor="text1"/>
          <w:sz w:val="16"/>
          <w:szCs w:val="16"/>
        </w:rPr>
        <w:t xml:space="preserve">of August </w:t>
      </w:r>
      <w:r w:rsidRPr="009035C0">
        <w:rPr>
          <w:rFonts w:ascii="Cambria" w:hAnsi="Cambria"/>
          <w:color w:val="000000" w:themeColor="text1"/>
          <w:sz w:val="16"/>
          <w:szCs w:val="16"/>
        </w:rPr>
        <w:t>12</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2019; No. 52 </w:t>
      </w:r>
      <w:r w:rsidR="00184D40">
        <w:rPr>
          <w:rFonts w:ascii="Cambria" w:hAnsi="Cambria"/>
          <w:color w:val="000000" w:themeColor="text1"/>
          <w:sz w:val="16"/>
          <w:szCs w:val="16"/>
        </w:rPr>
        <w:t xml:space="preserve">of August </w:t>
      </w:r>
      <w:r w:rsidRPr="009035C0">
        <w:rPr>
          <w:rFonts w:ascii="Cambria" w:hAnsi="Cambria"/>
          <w:color w:val="000000" w:themeColor="text1"/>
          <w:sz w:val="16"/>
          <w:szCs w:val="16"/>
        </w:rPr>
        <w:t>12</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2019; No. 58 </w:t>
      </w:r>
      <w:r w:rsidR="00184D40">
        <w:rPr>
          <w:rFonts w:ascii="Cambria" w:hAnsi="Cambria"/>
          <w:color w:val="000000" w:themeColor="text1"/>
          <w:sz w:val="16"/>
          <w:szCs w:val="16"/>
        </w:rPr>
        <w:t xml:space="preserve">of October </w:t>
      </w:r>
      <w:r w:rsidRPr="009035C0">
        <w:rPr>
          <w:rFonts w:ascii="Cambria" w:hAnsi="Cambria"/>
          <w:color w:val="000000" w:themeColor="text1"/>
          <w:sz w:val="16"/>
          <w:szCs w:val="16"/>
        </w:rPr>
        <w:t>25</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2019; No. 76 </w:t>
      </w:r>
      <w:r w:rsidR="00184D40">
        <w:rPr>
          <w:rFonts w:ascii="Cambria" w:hAnsi="Cambria"/>
          <w:color w:val="000000" w:themeColor="text1"/>
          <w:sz w:val="16"/>
          <w:szCs w:val="16"/>
        </w:rPr>
        <w:t xml:space="preserve">of December </w:t>
      </w:r>
      <w:r w:rsidRPr="009035C0">
        <w:rPr>
          <w:rFonts w:ascii="Cambria" w:hAnsi="Cambria"/>
          <w:color w:val="000000" w:themeColor="text1"/>
          <w:sz w:val="16"/>
          <w:szCs w:val="16"/>
        </w:rPr>
        <w:t>16</w:t>
      </w:r>
      <w:r w:rsidR="00184D40">
        <w:rPr>
          <w:rFonts w:ascii="Cambria" w:hAnsi="Cambria"/>
          <w:color w:val="000000" w:themeColor="text1"/>
          <w:sz w:val="16"/>
          <w:szCs w:val="16"/>
        </w:rPr>
        <w:t>,</w:t>
      </w:r>
      <w:r w:rsidRPr="009035C0">
        <w:rPr>
          <w:rFonts w:ascii="Cambria" w:hAnsi="Cambria"/>
          <w:color w:val="000000" w:themeColor="text1"/>
          <w:sz w:val="16"/>
          <w:szCs w:val="16"/>
        </w:rPr>
        <w:t xml:space="preserve"> 2019. </w:t>
      </w:r>
    </w:p>
  </w:footnote>
  <w:footnote w:id="23">
    <w:p w14:paraId="6860FC21" w14:textId="507166E5" w:rsidR="008C1966" w:rsidRPr="009035C0" w:rsidRDefault="008C1966"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F01E8D" w:rsidRPr="009035C0">
        <w:rPr>
          <w:rFonts w:ascii="Cambria" w:hAnsi="Cambria"/>
          <w:color w:val="000000" w:themeColor="text1"/>
          <w:sz w:val="16"/>
          <w:szCs w:val="16"/>
        </w:rPr>
        <w:t> </w:t>
      </w:r>
      <w:r w:rsidR="0082263E">
        <w:rPr>
          <w:rFonts w:ascii="Cambria" w:hAnsi="Cambria"/>
          <w:color w:val="000000" w:themeColor="text1"/>
          <w:sz w:val="16"/>
          <w:szCs w:val="16"/>
        </w:rPr>
        <w:t xml:space="preserve">IACHR, Press Release </w:t>
      </w:r>
      <w:hyperlink r:id="rId12" w:history="1">
        <w:r w:rsidR="00F01E8D" w:rsidRPr="009035C0">
          <w:rPr>
            <w:rFonts w:ascii="Cambria" w:hAnsi="Cambria"/>
            <w:color w:val="000000" w:themeColor="text1"/>
            <w:sz w:val="16"/>
            <w:szCs w:val="16"/>
            <w:u w:val="single"/>
          </w:rPr>
          <w:t>Comunicado de Prensa 151/2020</w:t>
        </w:r>
      </w:hyperlink>
      <w:r w:rsidR="00F01E8D" w:rsidRPr="009035C0">
        <w:rPr>
          <w:rFonts w:ascii="Cambria" w:hAnsi="Cambria"/>
          <w:color w:val="000000" w:themeColor="text1"/>
          <w:sz w:val="16"/>
          <w:szCs w:val="16"/>
        </w:rPr>
        <w:t xml:space="preserve">, </w:t>
      </w:r>
      <w:r w:rsidR="00A70D6C">
        <w:rPr>
          <w:rFonts w:ascii="Cambria" w:hAnsi="Cambria"/>
          <w:color w:val="000000" w:themeColor="text1"/>
          <w:sz w:val="16"/>
          <w:szCs w:val="16"/>
        </w:rPr>
        <w:t>IACHR Rejects a Set of Recent Decisions by the Supreme Court of Justice of Venezuela That Threaten Democratic Institutions and Fundamental Freedoms</w:t>
      </w:r>
      <w:r w:rsidR="00F01E8D" w:rsidRPr="009035C0">
        <w:rPr>
          <w:rFonts w:ascii="Cambria" w:hAnsi="Cambria"/>
          <w:color w:val="000000" w:themeColor="text1"/>
          <w:sz w:val="16"/>
          <w:szCs w:val="16"/>
        </w:rPr>
        <w:t xml:space="preserve">, </w:t>
      </w:r>
      <w:r w:rsidR="00A70D6C">
        <w:rPr>
          <w:rFonts w:ascii="Cambria" w:hAnsi="Cambria"/>
          <w:color w:val="000000" w:themeColor="text1"/>
          <w:sz w:val="16"/>
          <w:szCs w:val="16"/>
        </w:rPr>
        <w:t xml:space="preserve">June </w:t>
      </w:r>
      <w:r w:rsidR="00F01E8D" w:rsidRPr="009035C0">
        <w:rPr>
          <w:rFonts w:ascii="Cambria" w:hAnsi="Cambria"/>
          <w:color w:val="000000" w:themeColor="text1"/>
          <w:sz w:val="16"/>
          <w:szCs w:val="16"/>
        </w:rPr>
        <w:t>27</w:t>
      </w:r>
      <w:r w:rsidR="00A70D6C">
        <w:rPr>
          <w:rFonts w:ascii="Cambria" w:hAnsi="Cambria"/>
          <w:color w:val="000000" w:themeColor="text1"/>
          <w:sz w:val="16"/>
          <w:szCs w:val="16"/>
        </w:rPr>
        <w:t>,</w:t>
      </w:r>
      <w:r w:rsidR="00F01E8D" w:rsidRPr="009035C0">
        <w:rPr>
          <w:rFonts w:ascii="Cambria" w:hAnsi="Cambria"/>
          <w:color w:val="000000" w:themeColor="text1"/>
          <w:sz w:val="16"/>
          <w:szCs w:val="16"/>
        </w:rPr>
        <w:t xml:space="preserve"> 2020.</w:t>
      </w:r>
    </w:p>
  </w:footnote>
  <w:footnote w:id="24">
    <w:p w14:paraId="480D8A7C" w14:textId="3129B804" w:rsidR="00F01E8D" w:rsidRPr="009035C0" w:rsidRDefault="00F01E8D"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BE4B30">
        <w:rPr>
          <w:rFonts w:ascii="Cambria" w:hAnsi="Cambria"/>
          <w:color w:val="000000" w:themeColor="text1"/>
          <w:sz w:val="16"/>
          <w:szCs w:val="16"/>
        </w:rPr>
        <w:t xml:space="preserve">IACHR, Press Release </w:t>
      </w:r>
      <w:hyperlink r:id="rId13" w:history="1">
        <w:r w:rsidR="00BE4B30" w:rsidRPr="009035C0">
          <w:rPr>
            <w:rFonts w:ascii="Cambria" w:hAnsi="Cambria"/>
            <w:color w:val="000000" w:themeColor="text1"/>
            <w:sz w:val="16"/>
            <w:szCs w:val="16"/>
            <w:u w:val="single"/>
          </w:rPr>
          <w:t>Comunicado de Prensa 151/2020</w:t>
        </w:r>
      </w:hyperlink>
      <w:r w:rsidR="00BE4B30" w:rsidRPr="009035C0">
        <w:rPr>
          <w:rFonts w:ascii="Cambria" w:hAnsi="Cambria"/>
          <w:color w:val="000000" w:themeColor="text1"/>
          <w:sz w:val="16"/>
          <w:szCs w:val="16"/>
        </w:rPr>
        <w:t xml:space="preserve">, </w:t>
      </w:r>
      <w:r w:rsidR="00BE4B30">
        <w:rPr>
          <w:rFonts w:ascii="Cambria" w:hAnsi="Cambria"/>
          <w:color w:val="000000" w:themeColor="text1"/>
          <w:sz w:val="16"/>
          <w:szCs w:val="16"/>
        </w:rPr>
        <w:t>IACHR Rejects a Set of Recent Decisions by the Supreme Court of Justice of Venezuela That Threaten Democratic Institutions and Fundamental Freedoms</w:t>
      </w:r>
      <w:r w:rsidR="00BE4B30" w:rsidRPr="009035C0">
        <w:rPr>
          <w:rFonts w:ascii="Cambria" w:hAnsi="Cambria"/>
          <w:color w:val="000000" w:themeColor="text1"/>
          <w:sz w:val="16"/>
          <w:szCs w:val="16"/>
        </w:rPr>
        <w:t xml:space="preserve">, </w:t>
      </w:r>
      <w:r w:rsidR="00BE4B30">
        <w:rPr>
          <w:rFonts w:ascii="Cambria" w:hAnsi="Cambria"/>
          <w:color w:val="000000" w:themeColor="text1"/>
          <w:sz w:val="16"/>
          <w:szCs w:val="16"/>
        </w:rPr>
        <w:t xml:space="preserve">June </w:t>
      </w:r>
      <w:r w:rsidR="00BE4B30" w:rsidRPr="009035C0">
        <w:rPr>
          <w:rFonts w:ascii="Cambria" w:hAnsi="Cambria"/>
          <w:color w:val="000000" w:themeColor="text1"/>
          <w:sz w:val="16"/>
          <w:szCs w:val="16"/>
        </w:rPr>
        <w:t>27</w:t>
      </w:r>
      <w:r w:rsidR="00BE4B30">
        <w:rPr>
          <w:rFonts w:ascii="Cambria" w:hAnsi="Cambria"/>
          <w:color w:val="000000" w:themeColor="text1"/>
          <w:sz w:val="16"/>
          <w:szCs w:val="16"/>
        </w:rPr>
        <w:t>,</w:t>
      </w:r>
      <w:r w:rsidR="00BE4B30" w:rsidRPr="009035C0">
        <w:rPr>
          <w:rFonts w:ascii="Cambria" w:hAnsi="Cambria"/>
          <w:color w:val="000000" w:themeColor="text1"/>
          <w:sz w:val="16"/>
          <w:szCs w:val="16"/>
        </w:rPr>
        <w:t xml:space="preserve"> 2020.</w:t>
      </w:r>
    </w:p>
  </w:footnote>
  <w:footnote w:id="25">
    <w:p w14:paraId="4ECCACEB" w14:textId="3A96E197" w:rsidR="00F01E8D" w:rsidRPr="00F85814" w:rsidRDefault="00F01E8D" w:rsidP="00F85814">
      <w:pPr>
        <w:pStyle w:val="NormalWeb"/>
        <w:spacing w:before="0" w:beforeAutospacing="0" w:after="120" w:afterAutospacing="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El Pitazo, Estos son los partidos políticos intervenidos por el Tribunal Supremo de Justicia, </w:t>
      </w:r>
      <w:r w:rsidR="007D27C0" w:rsidRPr="00F85814">
        <w:rPr>
          <w:rFonts w:ascii="Cambria" w:hAnsi="Cambria"/>
          <w:color w:val="000000" w:themeColor="text1"/>
          <w:sz w:val="16"/>
          <w:szCs w:val="16"/>
          <w:lang w:val="es-US"/>
        </w:rPr>
        <w:t xml:space="preserve"> [‘These are the political parties</w:t>
      </w:r>
      <w:r w:rsidR="002F615C" w:rsidRPr="00F85814">
        <w:rPr>
          <w:rFonts w:ascii="Cambria" w:hAnsi="Cambria"/>
          <w:color w:val="000000" w:themeColor="text1"/>
          <w:sz w:val="16"/>
          <w:szCs w:val="16"/>
          <w:lang w:val="es-US"/>
        </w:rPr>
        <w:t xml:space="preserve"> taken over by the Supreme Court of Justice, August</w:t>
      </w:r>
      <w:r w:rsidR="007D27C0" w:rsidRPr="00F85814">
        <w:rPr>
          <w:rFonts w:ascii="Cambria" w:hAnsi="Cambria"/>
          <w:color w:val="000000" w:themeColor="text1"/>
          <w:sz w:val="16"/>
          <w:szCs w:val="16"/>
          <w:lang w:val="es-US"/>
        </w:rPr>
        <w:t xml:space="preserve"> </w:t>
      </w:r>
      <w:r w:rsidRPr="00F85814">
        <w:rPr>
          <w:rFonts w:ascii="Cambria" w:hAnsi="Cambria"/>
          <w:color w:val="000000" w:themeColor="text1"/>
          <w:sz w:val="16"/>
          <w:szCs w:val="16"/>
          <w:lang w:val="es-US"/>
        </w:rPr>
        <w:t>26</w:t>
      </w:r>
      <w:r w:rsidR="002F615C" w:rsidRPr="00F85814">
        <w:rPr>
          <w:rFonts w:ascii="Cambria" w:hAnsi="Cambria"/>
          <w:color w:val="000000" w:themeColor="text1"/>
          <w:sz w:val="16"/>
          <w:szCs w:val="16"/>
          <w:lang w:val="es-US"/>
        </w:rPr>
        <w:t>,</w:t>
      </w:r>
      <w:r w:rsidRPr="00F85814">
        <w:rPr>
          <w:rFonts w:ascii="Cambria" w:hAnsi="Cambria"/>
          <w:color w:val="000000" w:themeColor="text1"/>
          <w:sz w:val="16"/>
          <w:szCs w:val="16"/>
          <w:lang w:val="es-US"/>
        </w:rPr>
        <w:t xml:space="preserve"> 2020.</w:t>
      </w:r>
    </w:p>
  </w:footnote>
  <w:footnote w:id="26">
    <w:p w14:paraId="0AA00B1B" w14:textId="0A8082C7" w:rsidR="00F01E8D" w:rsidRPr="009035C0" w:rsidRDefault="00F01E8D"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El Mundo, </w:t>
      </w:r>
      <w:r w:rsidR="00671F1E">
        <w:rPr>
          <w:rFonts w:ascii="Cambria" w:hAnsi="Cambria"/>
          <w:color w:val="000000" w:themeColor="text1"/>
          <w:sz w:val="16"/>
          <w:szCs w:val="16"/>
        </w:rPr>
        <w:t xml:space="preserve">The Supreme Court of </w:t>
      </w:r>
      <w:r w:rsidRPr="009035C0">
        <w:rPr>
          <w:rFonts w:ascii="Cambria" w:hAnsi="Cambria"/>
          <w:color w:val="000000" w:themeColor="text1"/>
          <w:sz w:val="16"/>
          <w:szCs w:val="16"/>
        </w:rPr>
        <w:t xml:space="preserve">Venezuela </w:t>
      </w:r>
      <w:r w:rsidR="00671F1E">
        <w:rPr>
          <w:rFonts w:ascii="Cambria" w:hAnsi="Cambria"/>
          <w:color w:val="000000" w:themeColor="text1"/>
          <w:sz w:val="16"/>
          <w:szCs w:val="16"/>
        </w:rPr>
        <w:t xml:space="preserve">takes </w:t>
      </w:r>
      <w:r w:rsidR="00BF4017">
        <w:rPr>
          <w:rFonts w:ascii="Cambria" w:hAnsi="Cambria"/>
          <w:color w:val="000000" w:themeColor="text1"/>
          <w:sz w:val="16"/>
          <w:szCs w:val="16"/>
        </w:rPr>
        <w:t>control over the executive board of the pro-Chaves party Pupamaro, August 19, 2020.</w:t>
      </w:r>
    </w:p>
  </w:footnote>
  <w:footnote w:id="27">
    <w:p w14:paraId="7D7EB01A" w14:textId="3856F245" w:rsidR="00F01E8D" w:rsidRPr="009035C0" w:rsidRDefault="00F01E8D"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TSJ, </w:t>
      </w:r>
      <w:r w:rsidR="00021FA7">
        <w:rPr>
          <w:rFonts w:ascii="Cambria" w:hAnsi="Cambria"/>
          <w:color w:val="000000" w:themeColor="text1"/>
          <w:sz w:val="16"/>
          <w:szCs w:val="16"/>
        </w:rPr>
        <w:t>Constitutional Chamber, Judgment</w:t>
      </w:r>
      <w:r w:rsidR="00544413">
        <w:rPr>
          <w:rFonts w:ascii="Cambria" w:hAnsi="Cambria"/>
          <w:color w:val="000000" w:themeColor="text1"/>
          <w:sz w:val="16"/>
          <w:szCs w:val="16"/>
        </w:rPr>
        <w:t xml:space="preserve">s </w:t>
      </w:r>
      <w:r w:rsidRPr="009035C0">
        <w:rPr>
          <w:rFonts w:ascii="Cambria" w:hAnsi="Cambria"/>
          <w:color w:val="000000" w:themeColor="text1"/>
          <w:sz w:val="16"/>
          <w:szCs w:val="16"/>
        </w:rPr>
        <w:t xml:space="preserve">No. 210 </w:t>
      </w:r>
      <w:r w:rsidR="00544413">
        <w:rPr>
          <w:rFonts w:ascii="Cambria" w:hAnsi="Cambria"/>
          <w:color w:val="000000" w:themeColor="text1"/>
          <w:sz w:val="16"/>
          <w:szCs w:val="16"/>
        </w:rPr>
        <w:t>and</w:t>
      </w:r>
      <w:r w:rsidRPr="009035C0">
        <w:rPr>
          <w:rFonts w:ascii="Cambria" w:hAnsi="Cambria"/>
          <w:color w:val="000000" w:themeColor="text1"/>
          <w:sz w:val="16"/>
          <w:szCs w:val="16"/>
        </w:rPr>
        <w:t xml:space="preserve"> 161 </w:t>
      </w:r>
      <w:r w:rsidR="000836CC">
        <w:rPr>
          <w:rFonts w:ascii="Cambria" w:hAnsi="Cambria"/>
          <w:color w:val="000000" w:themeColor="text1"/>
          <w:sz w:val="16"/>
          <w:szCs w:val="16"/>
        </w:rPr>
        <w:t xml:space="preserve">of September </w:t>
      </w:r>
      <w:r w:rsidRPr="009035C0">
        <w:rPr>
          <w:rFonts w:ascii="Cambria" w:hAnsi="Cambria"/>
          <w:color w:val="000000" w:themeColor="text1"/>
          <w:sz w:val="16"/>
          <w:szCs w:val="16"/>
        </w:rPr>
        <w:t>2</w:t>
      </w:r>
      <w:r w:rsidR="000836CC">
        <w:rPr>
          <w:rFonts w:ascii="Cambria" w:hAnsi="Cambria"/>
          <w:color w:val="000000" w:themeColor="text1"/>
          <w:sz w:val="16"/>
          <w:szCs w:val="16"/>
        </w:rPr>
        <w:t>,</w:t>
      </w:r>
      <w:r w:rsidRPr="009035C0">
        <w:rPr>
          <w:rFonts w:ascii="Cambria" w:hAnsi="Cambria"/>
          <w:color w:val="000000" w:themeColor="text1"/>
          <w:sz w:val="16"/>
          <w:szCs w:val="16"/>
        </w:rPr>
        <w:t xml:space="preserve"> 2020.</w:t>
      </w:r>
    </w:p>
  </w:footnote>
  <w:footnote w:id="28">
    <w:p w14:paraId="572EAD51" w14:textId="061CD21F" w:rsidR="00F01E8D" w:rsidRPr="009035C0" w:rsidRDefault="00F01E8D"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VPI, TSJ </w:t>
      </w:r>
      <w:r w:rsidR="000B7A7C">
        <w:rPr>
          <w:rFonts w:ascii="Cambria" w:hAnsi="Cambria"/>
          <w:color w:val="000000" w:themeColor="text1"/>
          <w:sz w:val="16"/>
          <w:szCs w:val="16"/>
        </w:rPr>
        <w:t xml:space="preserve">loyal to Maduro takes control of </w:t>
      </w:r>
      <w:r w:rsidRPr="009035C0">
        <w:rPr>
          <w:rFonts w:ascii="Cambria" w:hAnsi="Cambria"/>
          <w:color w:val="000000" w:themeColor="text1"/>
          <w:sz w:val="16"/>
          <w:szCs w:val="16"/>
        </w:rPr>
        <w:t>Nuvipa</w:t>
      </w:r>
      <w:r w:rsidR="000B7A7C">
        <w:rPr>
          <w:rFonts w:ascii="Cambria" w:hAnsi="Cambria"/>
          <w:color w:val="000000" w:themeColor="text1"/>
          <w:sz w:val="16"/>
          <w:szCs w:val="16"/>
        </w:rPr>
        <w:t xml:space="preserve"> party</w:t>
      </w:r>
      <w:r w:rsidRPr="009035C0">
        <w:rPr>
          <w:rFonts w:ascii="Cambria" w:hAnsi="Cambria"/>
          <w:color w:val="000000" w:themeColor="text1"/>
          <w:sz w:val="16"/>
          <w:szCs w:val="16"/>
        </w:rPr>
        <w:t>,</w:t>
      </w:r>
      <w:r w:rsidR="000B7A7C">
        <w:rPr>
          <w:rFonts w:ascii="Cambria" w:hAnsi="Cambria"/>
          <w:color w:val="000000" w:themeColor="text1"/>
          <w:sz w:val="16"/>
          <w:szCs w:val="16"/>
        </w:rPr>
        <w:t xml:space="preserve"> August</w:t>
      </w:r>
      <w:r w:rsidRPr="009035C0">
        <w:rPr>
          <w:rFonts w:ascii="Cambria" w:hAnsi="Cambria"/>
          <w:color w:val="000000" w:themeColor="text1"/>
          <w:sz w:val="16"/>
          <w:szCs w:val="16"/>
        </w:rPr>
        <w:t xml:space="preserve"> 2</w:t>
      </w:r>
      <w:r w:rsidR="000B7A7C">
        <w:rPr>
          <w:rFonts w:ascii="Cambria" w:hAnsi="Cambria"/>
          <w:color w:val="000000" w:themeColor="text1"/>
          <w:sz w:val="16"/>
          <w:szCs w:val="16"/>
        </w:rPr>
        <w:t>,</w:t>
      </w:r>
      <w:r w:rsidRPr="009035C0">
        <w:rPr>
          <w:rFonts w:ascii="Cambria" w:hAnsi="Cambria"/>
          <w:color w:val="000000" w:themeColor="text1"/>
          <w:sz w:val="16"/>
          <w:szCs w:val="16"/>
        </w:rPr>
        <w:t xml:space="preserve"> 2020.</w:t>
      </w:r>
    </w:p>
  </w:footnote>
  <w:footnote w:id="29">
    <w:p w14:paraId="63BAF35F" w14:textId="3543D7B8" w:rsidR="00F01E8D" w:rsidRPr="009035C0" w:rsidRDefault="00F01E8D"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485A40">
        <w:rPr>
          <w:rFonts w:ascii="Cambria" w:hAnsi="Cambria"/>
          <w:color w:val="000000" w:themeColor="text1"/>
          <w:sz w:val="16"/>
          <w:szCs w:val="16"/>
        </w:rPr>
        <w:t xml:space="preserve">IACHR, Press Release </w:t>
      </w:r>
      <w:hyperlink r:id="rId14" w:history="1">
        <w:r w:rsidR="00485A40" w:rsidRPr="009035C0">
          <w:rPr>
            <w:rFonts w:ascii="Cambria" w:hAnsi="Cambria"/>
            <w:color w:val="000000" w:themeColor="text1"/>
            <w:sz w:val="16"/>
            <w:szCs w:val="16"/>
            <w:u w:val="single"/>
          </w:rPr>
          <w:t>Comunicado de Prensa 151/2020</w:t>
        </w:r>
      </w:hyperlink>
      <w:r w:rsidR="00485A40" w:rsidRPr="009035C0">
        <w:rPr>
          <w:rFonts w:ascii="Cambria" w:hAnsi="Cambria"/>
          <w:color w:val="000000" w:themeColor="text1"/>
          <w:sz w:val="16"/>
          <w:szCs w:val="16"/>
        </w:rPr>
        <w:t xml:space="preserve">, </w:t>
      </w:r>
      <w:r w:rsidR="00485A40">
        <w:rPr>
          <w:rFonts w:ascii="Cambria" w:hAnsi="Cambria"/>
          <w:color w:val="000000" w:themeColor="text1"/>
          <w:sz w:val="16"/>
          <w:szCs w:val="16"/>
        </w:rPr>
        <w:t>IACHR Rejects a Set of Recent Decisions by the Supreme Court of Justice of Venezuela That Threaten Democratic Institutions and Fundamental Freedoms</w:t>
      </w:r>
      <w:r w:rsidR="00485A40" w:rsidRPr="009035C0">
        <w:rPr>
          <w:rFonts w:ascii="Cambria" w:hAnsi="Cambria"/>
          <w:color w:val="000000" w:themeColor="text1"/>
          <w:sz w:val="16"/>
          <w:szCs w:val="16"/>
        </w:rPr>
        <w:t xml:space="preserve">, </w:t>
      </w:r>
      <w:r w:rsidR="00485A40">
        <w:rPr>
          <w:rFonts w:ascii="Cambria" w:hAnsi="Cambria"/>
          <w:color w:val="000000" w:themeColor="text1"/>
          <w:sz w:val="16"/>
          <w:szCs w:val="16"/>
        </w:rPr>
        <w:t xml:space="preserve">June </w:t>
      </w:r>
      <w:r w:rsidR="00485A40" w:rsidRPr="009035C0">
        <w:rPr>
          <w:rFonts w:ascii="Cambria" w:hAnsi="Cambria"/>
          <w:color w:val="000000" w:themeColor="text1"/>
          <w:sz w:val="16"/>
          <w:szCs w:val="16"/>
        </w:rPr>
        <w:t>27</w:t>
      </w:r>
      <w:r w:rsidR="00485A40">
        <w:rPr>
          <w:rFonts w:ascii="Cambria" w:hAnsi="Cambria"/>
          <w:color w:val="000000" w:themeColor="text1"/>
          <w:sz w:val="16"/>
          <w:szCs w:val="16"/>
        </w:rPr>
        <w:t>,</w:t>
      </w:r>
      <w:r w:rsidR="00485A40" w:rsidRPr="009035C0">
        <w:rPr>
          <w:rFonts w:ascii="Cambria" w:hAnsi="Cambria"/>
          <w:color w:val="000000" w:themeColor="text1"/>
          <w:sz w:val="16"/>
          <w:szCs w:val="16"/>
        </w:rPr>
        <w:t xml:space="preserve"> 2020.</w:t>
      </w:r>
    </w:p>
  </w:footnote>
  <w:footnote w:id="30">
    <w:p w14:paraId="452525ED" w14:textId="3BD9D64A" w:rsidR="00F63F33" w:rsidRPr="002574EC" w:rsidRDefault="00F63F33" w:rsidP="00F85814">
      <w:pPr>
        <w:pStyle w:val="NormalWeb"/>
        <w:spacing w:before="0" w:beforeAutospacing="0" w:after="120" w:afterAutospacing="0"/>
        <w:ind w:firstLine="720"/>
        <w:jc w:val="both"/>
        <w:rPr>
          <w:rFonts w:ascii="Cambria" w:hAnsi="Cambria"/>
          <w:color w:val="000000" w:themeColor="text1"/>
          <w:sz w:val="16"/>
          <w:szCs w:val="16"/>
          <w:lang w:val="pt-BR"/>
        </w:rPr>
      </w:pPr>
      <w:r w:rsidRPr="009035C0">
        <w:rPr>
          <w:rStyle w:val="FootnoteReference"/>
          <w:rFonts w:ascii="Cambria" w:hAnsi="Cambria"/>
          <w:color w:val="000000" w:themeColor="text1"/>
          <w:sz w:val="16"/>
          <w:szCs w:val="16"/>
        </w:rPr>
        <w:footnoteRef/>
      </w:r>
      <w:r w:rsidRPr="002574EC">
        <w:rPr>
          <w:rFonts w:ascii="Cambria" w:hAnsi="Cambria"/>
          <w:color w:val="000000" w:themeColor="text1"/>
          <w:sz w:val="16"/>
          <w:szCs w:val="16"/>
          <w:lang w:val="pt-BR"/>
        </w:rPr>
        <w:t xml:space="preserve"> </w:t>
      </w:r>
      <w:r w:rsidR="005C6542" w:rsidRPr="002574EC">
        <w:rPr>
          <w:rFonts w:ascii="Cambria" w:hAnsi="Cambria"/>
          <w:color w:val="000000" w:themeColor="text1"/>
          <w:sz w:val="16"/>
          <w:szCs w:val="16"/>
          <w:lang w:val="pt-BR"/>
        </w:rPr>
        <w:t> </w:t>
      </w:r>
      <w:r w:rsidR="00485A40" w:rsidRPr="002574EC">
        <w:rPr>
          <w:rFonts w:ascii="Cambria" w:hAnsi="Cambria"/>
          <w:color w:val="000000" w:themeColor="text1"/>
          <w:sz w:val="16"/>
          <w:szCs w:val="16"/>
          <w:lang w:val="pt-BR"/>
        </w:rPr>
        <w:t xml:space="preserve">IACHR, Annual Report, Chapter IV.B “Venezuela”, </w:t>
      </w:r>
      <w:hyperlink r:id="rId15" w:history="1">
        <w:r w:rsidR="005C6542" w:rsidRPr="002574EC">
          <w:rPr>
            <w:rFonts w:ascii="Cambria" w:hAnsi="Cambria"/>
            <w:color w:val="000000" w:themeColor="text1"/>
            <w:sz w:val="16"/>
            <w:szCs w:val="16"/>
            <w:u w:val="single"/>
            <w:lang w:val="pt-BR"/>
          </w:rPr>
          <w:t>Informe Anual, Capítulo IV.B “Venezuela”</w:t>
        </w:r>
      </w:hyperlink>
      <w:r w:rsidR="005C6542" w:rsidRPr="002574EC">
        <w:rPr>
          <w:rFonts w:ascii="Cambria" w:hAnsi="Cambria"/>
          <w:color w:val="000000" w:themeColor="text1"/>
          <w:sz w:val="16"/>
          <w:szCs w:val="16"/>
          <w:lang w:val="pt-BR"/>
        </w:rPr>
        <w:t>, 2019, p</w:t>
      </w:r>
      <w:r w:rsidR="00485A40" w:rsidRPr="002574EC">
        <w:rPr>
          <w:rFonts w:ascii="Cambria" w:hAnsi="Cambria"/>
          <w:color w:val="000000" w:themeColor="text1"/>
          <w:sz w:val="16"/>
          <w:szCs w:val="16"/>
          <w:lang w:val="pt-BR"/>
        </w:rPr>
        <w:t>a</w:t>
      </w:r>
      <w:r w:rsidR="005C6542" w:rsidRPr="002574EC">
        <w:rPr>
          <w:rFonts w:ascii="Cambria" w:hAnsi="Cambria"/>
          <w:color w:val="000000" w:themeColor="text1"/>
          <w:sz w:val="16"/>
          <w:szCs w:val="16"/>
          <w:lang w:val="pt-BR"/>
        </w:rPr>
        <w:t>r. 4.</w:t>
      </w:r>
    </w:p>
  </w:footnote>
  <w:footnote w:id="31">
    <w:p w14:paraId="572995D7" w14:textId="2FACB586" w:rsidR="005C6542" w:rsidRPr="009035C0" w:rsidRDefault="005C6542"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2574EC">
        <w:rPr>
          <w:rFonts w:ascii="Cambria" w:hAnsi="Cambria"/>
          <w:color w:val="000000" w:themeColor="text1"/>
          <w:sz w:val="16"/>
          <w:szCs w:val="16"/>
          <w:lang w:val="pt-BR"/>
        </w:rPr>
        <w:t xml:space="preserve"> </w:t>
      </w:r>
      <w:r w:rsidR="009D5693" w:rsidRPr="002574EC">
        <w:rPr>
          <w:rFonts w:ascii="Cambria" w:hAnsi="Cambria"/>
          <w:color w:val="000000" w:themeColor="text1"/>
          <w:sz w:val="16"/>
          <w:szCs w:val="16"/>
          <w:lang w:val="pt-BR"/>
        </w:rPr>
        <w:t>IA Court of HR.</w:t>
      </w:r>
      <w:r w:rsidRPr="002574EC">
        <w:rPr>
          <w:rFonts w:ascii="Cambria" w:hAnsi="Cambria"/>
          <w:color w:val="000000" w:themeColor="text1"/>
          <w:sz w:val="16"/>
          <w:szCs w:val="16"/>
          <w:shd w:val="clear" w:color="auto" w:fill="FFFFFF"/>
          <w:lang w:val="pt-BR"/>
        </w:rPr>
        <w:t xml:space="preserve"> </w:t>
      </w:r>
      <w:hyperlink r:id="rId16" w:history="1">
        <w:r w:rsidRPr="009035C0">
          <w:rPr>
            <w:rFonts w:ascii="Cambria" w:hAnsi="Cambria"/>
            <w:color w:val="000000" w:themeColor="text1"/>
            <w:sz w:val="16"/>
            <w:szCs w:val="16"/>
            <w:u w:val="single"/>
            <w:shd w:val="clear" w:color="auto" w:fill="FFFFFF"/>
          </w:rPr>
          <w:t>Caso Chocrón Vs. Venezuela</w:t>
        </w:r>
      </w:hyperlink>
      <w:r w:rsidRPr="009035C0">
        <w:rPr>
          <w:rFonts w:ascii="Cambria" w:hAnsi="Cambria"/>
          <w:color w:val="000000" w:themeColor="text1"/>
          <w:sz w:val="16"/>
          <w:szCs w:val="16"/>
          <w:shd w:val="clear" w:color="auto" w:fill="FFFFFF"/>
        </w:rPr>
        <w:t xml:space="preserve">. </w:t>
      </w:r>
      <w:r w:rsidR="009D5693">
        <w:rPr>
          <w:rFonts w:ascii="Cambria" w:hAnsi="Cambria"/>
          <w:color w:val="000000" w:themeColor="text1"/>
          <w:sz w:val="16"/>
          <w:szCs w:val="16"/>
          <w:shd w:val="clear" w:color="auto" w:fill="FFFFFF"/>
        </w:rPr>
        <w:t>Case of Chocrón v. Venezuela.</w:t>
      </w:r>
      <w:r w:rsidR="00000B2B">
        <w:rPr>
          <w:rFonts w:ascii="Cambria" w:hAnsi="Cambria"/>
          <w:color w:val="000000" w:themeColor="text1"/>
          <w:sz w:val="16"/>
          <w:szCs w:val="16"/>
          <w:shd w:val="clear" w:color="auto" w:fill="FFFFFF"/>
        </w:rPr>
        <w:t xml:space="preserve"> </w:t>
      </w:r>
      <w:r w:rsidR="009D5693">
        <w:rPr>
          <w:rFonts w:ascii="Cambria" w:hAnsi="Cambria"/>
          <w:color w:val="000000" w:themeColor="text1"/>
          <w:sz w:val="16"/>
          <w:szCs w:val="16"/>
          <w:shd w:val="clear" w:color="auto" w:fill="FFFFFF"/>
        </w:rPr>
        <w:t>Preliminary Objection, Merits, Reparations and Costs. Judgment of July</w:t>
      </w:r>
      <w:r w:rsidRPr="009035C0">
        <w:rPr>
          <w:rFonts w:ascii="Cambria" w:hAnsi="Cambria"/>
          <w:color w:val="000000" w:themeColor="text1"/>
          <w:sz w:val="16"/>
          <w:szCs w:val="16"/>
          <w:shd w:val="clear" w:color="auto" w:fill="FFFFFF"/>
        </w:rPr>
        <w:t xml:space="preserve"> 1</w:t>
      </w:r>
      <w:r w:rsidR="009D5693">
        <w:rPr>
          <w:rFonts w:ascii="Cambria" w:hAnsi="Cambria"/>
          <w:color w:val="000000" w:themeColor="text1"/>
          <w:sz w:val="16"/>
          <w:szCs w:val="16"/>
          <w:shd w:val="clear" w:color="auto" w:fill="FFFFFF"/>
        </w:rPr>
        <w:t>,</w:t>
      </w:r>
      <w:r w:rsidRPr="009035C0">
        <w:rPr>
          <w:rFonts w:ascii="Cambria" w:hAnsi="Cambria"/>
          <w:color w:val="000000" w:themeColor="text1"/>
          <w:sz w:val="16"/>
          <w:szCs w:val="16"/>
          <w:shd w:val="clear" w:color="auto" w:fill="FFFFFF"/>
        </w:rPr>
        <w:t xml:space="preserve"> 2011. Serie</w:t>
      </w:r>
      <w:r w:rsidR="009D5693">
        <w:rPr>
          <w:rFonts w:ascii="Cambria" w:hAnsi="Cambria"/>
          <w:color w:val="000000" w:themeColor="text1"/>
          <w:sz w:val="16"/>
          <w:szCs w:val="16"/>
          <w:shd w:val="clear" w:color="auto" w:fill="FFFFFF"/>
        </w:rPr>
        <w:t>s</w:t>
      </w:r>
      <w:r w:rsidRPr="009035C0">
        <w:rPr>
          <w:rFonts w:ascii="Cambria" w:hAnsi="Cambria"/>
          <w:color w:val="000000" w:themeColor="text1"/>
          <w:sz w:val="16"/>
          <w:szCs w:val="16"/>
          <w:shd w:val="clear" w:color="auto" w:fill="FFFFFF"/>
        </w:rPr>
        <w:t xml:space="preserve"> C No. 227, p</w:t>
      </w:r>
      <w:r w:rsidR="009D5693">
        <w:rPr>
          <w:rFonts w:ascii="Cambria" w:hAnsi="Cambria"/>
          <w:color w:val="000000" w:themeColor="text1"/>
          <w:sz w:val="16"/>
          <w:szCs w:val="16"/>
          <w:shd w:val="clear" w:color="auto" w:fill="FFFFFF"/>
        </w:rPr>
        <w:t>a</w:t>
      </w:r>
      <w:r w:rsidRPr="009035C0">
        <w:rPr>
          <w:rFonts w:ascii="Cambria" w:hAnsi="Cambria"/>
          <w:color w:val="000000" w:themeColor="text1"/>
          <w:sz w:val="16"/>
          <w:szCs w:val="16"/>
          <w:shd w:val="clear" w:color="auto" w:fill="FFFFFF"/>
        </w:rPr>
        <w:t>r. 67-68.</w:t>
      </w:r>
    </w:p>
  </w:footnote>
  <w:footnote w:id="32">
    <w:p w14:paraId="56123BD7" w14:textId="74557642" w:rsidR="005C6542" w:rsidRPr="009035C0" w:rsidRDefault="005C6542"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Armandoinfo, </w:t>
      </w:r>
      <w:r w:rsidR="00932094">
        <w:rPr>
          <w:rFonts w:ascii="Cambria" w:hAnsi="Cambria"/>
          <w:color w:val="000000" w:themeColor="text1"/>
          <w:sz w:val="16"/>
          <w:szCs w:val="16"/>
        </w:rPr>
        <w:t>The Law of the Judiciary: the poorer the province, the more Chavista the judges, July</w:t>
      </w:r>
      <w:r w:rsidRPr="009035C0">
        <w:rPr>
          <w:rFonts w:ascii="Cambria" w:hAnsi="Cambria"/>
          <w:color w:val="000000" w:themeColor="text1"/>
          <w:sz w:val="16"/>
          <w:szCs w:val="16"/>
        </w:rPr>
        <w:t xml:space="preserve"> 7</w:t>
      </w:r>
      <w:r w:rsidR="00932094">
        <w:rPr>
          <w:rFonts w:ascii="Cambria" w:hAnsi="Cambria"/>
          <w:color w:val="000000" w:themeColor="text1"/>
          <w:sz w:val="16"/>
          <w:szCs w:val="16"/>
        </w:rPr>
        <w:t>,</w:t>
      </w:r>
      <w:r w:rsidRPr="009035C0">
        <w:rPr>
          <w:rFonts w:ascii="Cambria" w:hAnsi="Cambria"/>
          <w:color w:val="000000" w:themeColor="text1"/>
          <w:sz w:val="16"/>
          <w:szCs w:val="16"/>
        </w:rPr>
        <w:t xml:space="preserve"> 2019.</w:t>
      </w:r>
    </w:p>
  </w:footnote>
  <w:footnote w:id="33">
    <w:p w14:paraId="29EFF804" w14:textId="6A2F0425" w:rsidR="005C6542" w:rsidRPr="009035C0" w:rsidRDefault="005C6542"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B</w:t>
      </w:r>
      <w:r w:rsidR="004659A3">
        <w:rPr>
          <w:rFonts w:ascii="Cambria" w:hAnsi="Cambria"/>
          <w:color w:val="000000" w:themeColor="text1"/>
          <w:sz w:val="16"/>
          <w:szCs w:val="16"/>
        </w:rPr>
        <w:t>ody of Constitutional Law (</w:t>
      </w:r>
      <w:r w:rsidR="004659A3">
        <w:rPr>
          <w:rFonts w:ascii="Cambria" w:hAnsi="Cambria"/>
          <w:i/>
          <w:iCs/>
          <w:color w:val="000000" w:themeColor="text1"/>
          <w:sz w:val="16"/>
          <w:szCs w:val="16"/>
        </w:rPr>
        <w:t>Bloque constitucional</w:t>
      </w:r>
      <w:r w:rsidR="004659A3">
        <w:rPr>
          <w:rFonts w:ascii="Cambria" w:hAnsi="Cambria"/>
          <w:color w:val="000000" w:themeColor="text1"/>
          <w:sz w:val="16"/>
          <w:szCs w:val="16"/>
        </w:rPr>
        <w:t xml:space="preserve">)of </w:t>
      </w:r>
      <w:r w:rsidRPr="009035C0">
        <w:rPr>
          <w:rFonts w:ascii="Cambria" w:hAnsi="Cambria"/>
          <w:color w:val="000000" w:themeColor="text1"/>
          <w:sz w:val="16"/>
          <w:szCs w:val="16"/>
        </w:rPr>
        <w:t xml:space="preserve">Venezuela, </w:t>
      </w:r>
      <w:hyperlink r:id="rId17" w:history="1">
        <w:r w:rsidRPr="009035C0">
          <w:rPr>
            <w:rFonts w:ascii="Cambria" w:hAnsi="Cambria"/>
            <w:color w:val="000000" w:themeColor="text1"/>
            <w:sz w:val="16"/>
            <w:szCs w:val="16"/>
            <w:u w:val="single"/>
          </w:rPr>
          <w:t>Informe 2018</w:t>
        </w:r>
      </w:hyperlink>
      <w:r w:rsidRPr="009035C0">
        <w:rPr>
          <w:rFonts w:ascii="Cambria" w:hAnsi="Cambria"/>
          <w:color w:val="000000" w:themeColor="text1"/>
          <w:sz w:val="16"/>
          <w:szCs w:val="16"/>
        </w:rPr>
        <w:t>, pg. 37.</w:t>
      </w:r>
    </w:p>
  </w:footnote>
  <w:footnote w:id="34">
    <w:p w14:paraId="3C3ACD5B" w14:textId="36EF6B73" w:rsidR="005C6542" w:rsidRPr="009035C0" w:rsidRDefault="005C6542"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4659A3">
        <w:rPr>
          <w:rFonts w:ascii="Cambria" w:hAnsi="Cambria"/>
          <w:color w:val="000000" w:themeColor="text1"/>
          <w:sz w:val="16"/>
          <w:szCs w:val="16"/>
        </w:rPr>
        <w:t>International Commission of Jurists, Achieving justice for gross human rights violations in Venezuela</w:t>
      </w:r>
      <w:r w:rsidRPr="009035C0">
        <w:rPr>
          <w:rFonts w:ascii="Cambria" w:hAnsi="Cambria"/>
          <w:color w:val="000000" w:themeColor="text1"/>
          <w:sz w:val="16"/>
          <w:szCs w:val="16"/>
        </w:rPr>
        <w:t xml:space="preserve">, </w:t>
      </w:r>
      <w:hyperlink r:id="rId18" w:history="1">
        <w:r w:rsidRPr="009035C0">
          <w:rPr>
            <w:rFonts w:ascii="Cambria" w:hAnsi="Cambria"/>
            <w:color w:val="000000" w:themeColor="text1"/>
            <w:sz w:val="16"/>
            <w:szCs w:val="16"/>
            <w:u w:val="single"/>
          </w:rPr>
          <w:t>Lograr justicia por graves violaciones a los derechos humanos en Venezuela</w:t>
        </w:r>
      </w:hyperlink>
      <w:r w:rsidRPr="009035C0">
        <w:rPr>
          <w:rFonts w:ascii="Cambria" w:hAnsi="Cambria"/>
          <w:color w:val="000000" w:themeColor="text1"/>
          <w:sz w:val="16"/>
          <w:szCs w:val="16"/>
        </w:rPr>
        <w:t>, 2017, p</w:t>
      </w:r>
      <w:r w:rsidR="004659A3">
        <w:rPr>
          <w:rFonts w:ascii="Cambria" w:hAnsi="Cambria"/>
          <w:color w:val="000000" w:themeColor="text1"/>
          <w:sz w:val="16"/>
          <w:szCs w:val="16"/>
        </w:rPr>
        <w:t>a</w:t>
      </w:r>
      <w:r w:rsidRPr="009035C0">
        <w:rPr>
          <w:rFonts w:ascii="Cambria" w:hAnsi="Cambria"/>
          <w:color w:val="000000" w:themeColor="text1"/>
          <w:sz w:val="16"/>
          <w:szCs w:val="16"/>
        </w:rPr>
        <w:t>g. 25.</w:t>
      </w:r>
    </w:p>
  </w:footnote>
  <w:footnote w:id="35">
    <w:p w14:paraId="04BA9BD2" w14:textId="26A71ACD" w:rsidR="00F63F33" w:rsidRPr="009035C0" w:rsidRDefault="00F63F33"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825032" w:rsidRPr="009035C0">
        <w:rPr>
          <w:rFonts w:ascii="Cambria" w:hAnsi="Cambria"/>
          <w:color w:val="000000" w:themeColor="text1"/>
          <w:sz w:val="16"/>
          <w:szCs w:val="16"/>
        </w:rPr>
        <w:t> </w:t>
      </w:r>
      <w:r w:rsidR="00957697">
        <w:rPr>
          <w:rFonts w:ascii="Cambria" w:hAnsi="Cambria"/>
          <w:color w:val="000000" w:themeColor="text1"/>
          <w:sz w:val="16"/>
          <w:szCs w:val="16"/>
        </w:rPr>
        <w:t xml:space="preserve">Independent International Fact-Finding Mission on the Bolivarian Republic of Venezuela, Report of the Independent International Fact-Finding Mission on the Bolivarian Republic of Venezuela, September </w:t>
      </w:r>
      <w:r w:rsidR="00825032" w:rsidRPr="009035C0">
        <w:rPr>
          <w:rFonts w:ascii="Cambria" w:hAnsi="Cambria"/>
          <w:color w:val="000000" w:themeColor="text1"/>
          <w:sz w:val="16"/>
          <w:szCs w:val="16"/>
        </w:rPr>
        <w:t>16</w:t>
      </w:r>
      <w:r w:rsidR="00957697">
        <w:rPr>
          <w:rFonts w:ascii="Cambria" w:hAnsi="Cambria"/>
          <w:color w:val="000000" w:themeColor="text1"/>
          <w:sz w:val="16"/>
          <w:szCs w:val="16"/>
        </w:rPr>
        <w:t>,</w:t>
      </w:r>
      <w:r w:rsidR="00825032" w:rsidRPr="009035C0">
        <w:rPr>
          <w:rFonts w:ascii="Cambria" w:hAnsi="Cambria"/>
          <w:color w:val="000000" w:themeColor="text1"/>
          <w:sz w:val="16"/>
          <w:szCs w:val="16"/>
        </w:rPr>
        <w:t xml:space="preserve"> 2021, p</w:t>
      </w:r>
      <w:r w:rsidR="00957697">
        <w:rPr>
          <w:rFonts w:ascii="Cambria" w:hAnsi="Cambria"/>
          <w:color w:val="000000" w:themeColor="text1"/>
          <w:sz w:val="16"/>
          <w:szCs w:val="16"/>
        </w:rPr>
        <w:t>a</w:t>
      </w:r>
      <w:r w:rsidR="00825032" w:rsidRPr="009035C0">
        <w:rPr>
          <w:rFonts w:ascii="Cambria" w:hAnsi="Cambria"/>
          <w:color w:val="000000" w:themeColor="text1"/>
          <w:sz w:val="16"/>
          <w:szCs w:val="16"/>
        </w:rPr>
        <w:t>r. 2.</w:t>
      </w:r>
    </w:p>
  </w:footnote>
  <w:footnote w:id="36">
    <w:p w14:paraId="1969D78B" w14:textId="79C4C5DE" w:rsidR="005C6542" w:rsidRPr="009035C0" w:rsidRDefault="005C6542"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825032" w:rsidRPr="009035C0">
        <w:rPr>
          <w:rFonts w:ascii="Cambria" w:hAnsi="Cambria"/>
          <w:color w:val="000000" w:themeColor="text1"/>
          <w:sz w:val="16"/>
          <w:szCs w:val="16"/>
        </w:rPr>
        <w:t> </w:t>
      </w:r>
      <w:r w:rsidR="00AD3E7F">
        <w:rPr>
          <w:rFonts w:ascii="Cambria" w:hAnsi="Cambria"/>
          <w:color w:val="000000" w:themeColor="text1"/>
          <w:sz w:val="16"/>
          <w:szCs w:val="16"/>
        </w:rPr>
        <w:t xml:space="preserve">UNHCHR. Independence of the </w:t>
      </w:r>
      <w:r w:rsidR="004A7B38">
        <w:rPr>
          <w:rFonts w:ascii="Cambria" w:hAnsi="Cambria"/>
          <w:color w:val="000000" w:themeColor="text1"/>
          <w:sz w:val="16"/>
          <w:szCs w:val="16"/>
        </w:rPr>
        <w:t>j</w:t>
      </w:r>
      <w:r w:rsidR="00AD3E7F">
        <w:rPr>
          <w:rFonts w:ascii="Cambria" w:hAnsi="Cambria"/>
          <w:color w:val="000000" w:themeColor="text1"/>
          <w:sz w:val="16"/>
          <w:szCs w:val="16"/>
        </w:rPr>
        <w:t xml:space="preserve">ustice </w:t>
      </w:r>
      <w:r w:rsidR="004A7B38">
        <w:rPr>
          <w:rFonts w:ascii="Cambria" w:hAnsi="Cambria"/>
          <w:color w:val="000000" w:themeColor="text1"/>
          <w:sz w:val="16"/>
          <w:szCs w:val="16"/>
        </w:rPr>
        <w:t>s</w:t>
      </w:r>
      <w:r w:rsidR="00AD3E7F">
        <w:rPr>
          <w:rFonts w:ascii="Cambria" w:hAnsi="Cambria"/>
          <w:color w:val="000000" w:themeColor="text1"/>
          <w:sz w:val="16"/>
          <w:szCs w:val="16"/>
        </w:rPr>
        <w:t xml:space="preserve">ystem and </w:t>
      </w:r>
      <w:r w:rsidR="004A7B38">
        <w:rPr>
          <w:rFonts w:ascii="Cambria" w:hAnsi="Cambria"/>
          <w:color w:val="000000" w:themeColor="text1"/>
          <w:sz w:val="16"/>
          <w:szCs w:val="16"/>
        </w:rPr>
        <w:t>a</w:t>
      </w:r>
      <w:r w:rsidR="00AD3E7F">
        <w:rPr>
          <w:rFonts w:ascii="Cambria" w:hAnsi="Cambria"/>
          <w:color w:val="000000" w:themeColor="text1"/>
          <w:sz w:val="16"/>
          <w:szCs w:val="16"/>
        </w:rPr>
        <w:t xml:space="preserve">ccess to </w:t>
      </w:r>
      <w:r w:rsidR="004A7B38">
        <w:rPr>
          <w:rFonts w:ascii="Cambria" w:hAnsi="Cambria"/>
          <w:color w:val="000000" w:themeColor="text1"/>
          <w:sz w:val="16"/>
          <w:szCs w:val="16"/>
        </w:rPr>
        <w:t>j</w:t>
      </w:r>
      <w:r w:rsidR="00AD3E7F">
        <w:rPr>
          <w:rFonts w:ascii="Cambria" w:hAnsi="Cambria"/>
          <w:color w:val="000000" w:themeColor="text1"/>
          <w:sz w:val="16"/>
          <w:szCs w:val="16"/>
        </w:rPr>
        <w:t>ustice</w:t>
      </w:r>
      <w:r w:rsidR="004A7B38">
        <w:rPr>
          <w:rFonts w:ascii="Cambria" w:hAnsi="Cambria"/>
          <w:color w:val="000000" w:themeColor="text1"/>
          <w:sz w:val="16"/>
          <w:szCs w:val="16"/>
        </w:rPr>
        <w:t xml:space="preserve"> in the Bolivarian Republic of Venezuela, </w:t>
      </w:r>
      <w:r w:rsidR="00AD3E7F">
        <w:rPr>
          <w:rFonts w:ascii="Cambria" w:hAnsi="Cambria"/>
          <w:color w:val="000000" w:themeColor="text1"/>
          <w:sz w:val="16"/>
          <w:szCs w:val="16"/>
        </w:rPr>
        <w:t xml:space="preserve">including </w:t>
      </w:r>
      <w:r w:rsidR="004A7B38">
        <w:rPr>
          <w:rFonts w:ascii="Cambria" w:hAnsi="Cambria"/>
          <w:color w:val="000000" w:themeColor="text1"/>
          <w:sz w:val="16"/>
          <w:szCs w:val="16"/>
        </w:rPr>
        <w:t>for v</w:t>
      </w:r>
      <w:r w:rsidR="00AD3E7F">
        <w:rPr>
          <w:rFonts w:ascii="Cambria" w:hAnsi="Cambria"/>
          <w:color w:val="000000" w:themeColor="text1"/>
          <w:sz w:val="16"/>
          <w:szCs w:val="16"/>
        </w:rPr>
        <w:t xml:space="preserve">iolations of </w:t>
      </w:r>
      <w:r w:rsidR="004A7B38">
        <w:rPr>
          <w:rFonts w:ascii="Cambria" w:hAnsi="Cambria"/>
          <w:color w:val="000000" w:themeColor="text1"/>
          <w:sz w:val="16"/>
          <w:szCs w:val="16"/>
        </w:rPr>
        <w:t>e</w:t>
      </w:r>
      <w:r w:rsidR="00AD3E7F">
        <w:rPr>
          <w:rFonts w:ascii="Cambria" w:hAnsi="Cambria"/>
          <w:color w:val="000000" w:themeColor="text1"/>
          <w:sz w:val="16"/>
          <w:szCs w:val="16"/>
        </w:rPr>
        <w:t xml:space="preserve">conomic and </w:t>
      </w:r>
      <w:r w:rsidR="004A7B38">
        <w:rPr>
          <w:rFonts w:ascii="Cambria" w:hAnsi="Cambria"/>
          <w:color w:val="000000" w:themeColor="text1"/>
          <w:sz w:val="16"/>
          <w:szCs w:val="16"/>
        </w:rPr>
        <w:t>s</w:t>
      </w:r>
      <w:r w:rsidR="00AD3E7F">
        <w:rPr>
          <w:rFonts w:ascii="Cambria" w:hAnsi="Cambria"/>
          <w:color w:val="000000" w:themeColor="text1"/>
          <w:sz w:val="16"/>
          <w:szCs w:val="16"/>
        </w:rPr>
        <w:t xml:space="preserve">ocial </w:t>
      </w:r>
      <w:r w:rsidR="004A7B38">
        <w:rPr>
          <w:rFonts w:ascii="Cambria" w:hAnsi="Cambria"/>
          <w:color w:val="000000" w:themeColor="text1"/>
          <w:sz w:val="16"/>
          <w:szCs w:val="16"/>
        </w:rPr>
        <w:t>r</w:t>
      </w:r>
      <w:r w:rsidR="00AD3E7F">
        <w:rPr>
          <w:rFonts w:ascii="Cambria" w:hAnsi="Cambria"/>
          <w:color w:val="000000" w:themeColor="text1"/>
          <w:sz w:val="16"/>
          <w:szCs w:val="16"/>
        </w:rPr>
        <w:t>ights</w:t>
      </w:r>
      <w:r w:rsidR="004A7B38">
        <w:rPr>
          <w:rFonts w:ascii="Cambria" w:hAnsi="Cambria"/>
          <w:color w:val="000000" w:themeColor="text1"/>
          <w:sz w:val="16"/>
          <w:szCs w:val="16"/>
        </w:rPr>
        <w:t xml:space="preserve">, </w:t>
      </w:r>
      <w:r w:rsidR="00AD3E7F">
        <w:rPr>
          <w:rFonts w:ascii="Cambria" w:hAnsi="Cambria"/>
          <w:color w:val="000000" w:themeColor="text1"/>
          <w:sz w:val="16"/>
          <w:szCs w:val="16"/>
        </w:rPr>
        <w:t xml:space="preserve">and </w:t>
      </w:r>
      <w:r w:rsidR="000E228C">
        <w:rPr>
          <w:rFonts w:ascii="Cambria" w:hAnsi="Cambria"/>
          <w:color w:val="000000" w:themeColor="text1"/>
          <w:sz w:val="16"/>
          <w:szCs w:val="16"/>
        </w:rPr>
        <w:t>the s</w:t>
      </w:r>
      <w:r w:rsidR="00AD3E7F">
        <w:rPr>
          <w:rFonts w:ascii="Cambria" w:hAnsi="Cambria"/>
          <w:color w:val="000000" w:themeColor="text1"/>
          <w:sz w:val="16"/>
          <w:szCs w:val="16"/>
        </w:rPr>
        <w:t xml:space="preserve">ituation of </w:t>
      </w:r>
      <w:r w:rsidR="000E228C">
        <w:rPr>
          <w:rFonts w:ascii="Cambria" w:hAnsi="Cambria"/>
          <w:color w:val="000000" w:themeColor="text1"/>
          <w:sz w:val="16"/>
          <w:szCs w:val="16"/>
        </w:rPr>
        <w:t>h</w:t>
      </w:r>
      <w:r w:rsidR="00AD3E7F">
        <w:rPr>
          <w:rFonts w:ascii="Cambria" w:hAnsi="Cambria"/>
          <w:color w:val="000000" w:themeColor="text1"/>
          <w:sz w:val="16"/>
          <w:szCs w:val="16"/>
        </w:rPr>
        <w:t xml:space="preserve">uman </w:t>
      </w:r>
      <w:r w:rsidR="000E228C">
        <w:rPr>
          <w:rFonts w:ascii="Cambria" w:hAnsi="Cambria"/>
          <w:color w:val="000000" w:themeColor="text1"/>
          <w:sz w:val="16"/>
          <w:szCs w:val="16"/>
        </w:rPr>
        <w:t>r</w:t>
      </w:r>
      <w:r w:rsidR="00AD3E7F">
        <w:rPr>
          <w:rFonts w:ascii="Cambria" w:hAnsi="Cambria"/>
          <w:color w:val="000000" w:themeColor="text1"/>
          <w:sz w:val="16"/>
          <w:szCs w:val="16"/>
        </w:rPr>
        <w:t xml:space="preserve">ights in </w:t>
      </w:r>
      <w:r w:rsidR="000E228C">
        <w:rPr>
          <w:rFonts w:ascii="Cambria" w:hAnsi="Cambria"/>
          <w:color w:val="000000" w:themeColor="text1"/>
          <w:sz w:val="16"/>
          <w:szCs w:val="16"/>
        </w:rPr>
        <w:t xml:space="preserve">the </w:t>
      </w:r>
      <w:r w:rsidR="00AD3E7F">
        <w:rPr>
          <w:rFonts w:ascii="Cambria" w:hAnsi="Cambria"/>
          <w:color w:val="000000" w:themeColor="text1"/>
          <w:sz w:val="16"/>
          <w:szCs w:val="16"/>
        </w:rPr>
        <w:t>Arco Minero of the Orinoco</w:t>
      </w:r>
      <w:r w:rsidR="000E228C">
        <w:rPr>
          <w:rFonts w:ascii="Cambria" w:hAnsi="Cambria"/>
          <w:color w:val="000000" w:themeColor="text1"/>
          <w:sz w:val="16"/>
          <w:szCs w:val="16"/>
        </w:rPr>
        <w:t xml:space="preserve"> River region </w:t>
      </w:r>
      <w:r w:rsidR="00AD3E7F">
        <w:rPr>
          <w:rFonts w:ascii="Cambria" w:hAnsi="Cambria"/>
          <w:color w:val="000000" w:themeColor="text1"/>
          <w:sz w:val="16"/>
          <w:szCs w:val="16"/>
        </w:rPr>
        <w:t>, July 15, 2020, par. 8</w:t>
      </w:r>
      <w:r w:rsidR="00B87AEB">
        <w:rPr>
          <w:rFonts w:ascii="Cambria" w:hAnsi="Cambria"/>
          <w:color w:val="000000" w:themeColor="text1"/>
          <w:sz w:val="16"/>
          <w:szCs w:val="16"/>
        </w:rPr>
        <w:t>.</w:t>
      </w:r>
    </w:p>
  </w:footnote>
  <w:footnote w:id="37">
    <w:p w14:paraId="3DFAB394" w14:textId="1FC9158B" w:rsidR="005C6542" w:rsidRPr="009035C0" w:rsidRDefault="005C6542"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825032" w:rsidRPr="009035C0">
        <w:rPr>
          <w:rFonts w:ascii="Cambria" w:hAnsi="Cambria"/>
          <w:color w:val="000000" w:themeColor="text1"/>
          <w:sz w:val="16"/>
          <w:szCs w:val="16"/>
        </w:rPr>
        <w:t> </w:t>
      </w:r>
      <w:r w:rsidR="007C1B89">
        <w:rPr>
          <w:rFonts w:ascii="Cambria" w:hAnsi="Cambria"/>
          <w:color w:val="000000" w:themeColor="text1"/>
          <w:sz w:val="16"/>
          <w:szCs w:val="16"/>
        </w:rPr>
        <w:t>International Commission of Jurists, Judges on the tightrope, 2021, pgs.</w:t>
      </w:r>
      <w:r w:rsidR="00825032" w:rsidRPr="009035C0">
        <w:rPr>
          <w:rFonts w:ascii="Cambria" w:hAnsi="Cambria"/>
          <w:color w:val="000000" w:themeColor="text1"/>
          <w:sz w:val="16"/>
          <w:szCs w:val="16"/>
        </w:rPr>
        <w:t xml:space="preserve"> 13- 14.</w:t>
      </w:r>
    </w:p>
  </w:footnote>
  <w:footnote w:id="38">
    <w:p w14:paraId="60892AD5" w14:textId="39468268" w:rsidR="00825032" w:rsidRPr="002574EC" w:rsidRDefault="00825032" w:rsidP="00F85814">
      <w:pPr>
        <w:pStyle w:val="NormalWeb"/>
        <w:spacing w:before="0" w:beforeAutospacing="0" w:after="120" w:afterAutospacing="0"/>
        <w:ind w:firstLine="720"/>
        <w:jc w:val="both"/>
        <w:rPr>
          <w:rFonts w:ascii="Cambria" w:hAnsi="Cambria"/>
          <w:color w:val="000000" w:themeColor="text1"/>
          <w:sz w:val="16"/>
          <w:szCs w:val="16"/>
          <w:lang w:val="pt-BR"/>
        </w:rPr>
      </w:pPr>
      <w:r w:rsidRPr="009035C0">
        <w:rPr>
          <w:rStyle w:val="FootnoteReference"/>
          <w:rFonts w:ascii="Cambria" w:hAnsi="Cambria"/>
          <w:color w:val="000000" w:themeColor="text1"/>
          <w:sz w:val="16"/>
          <w:szCs w:val="16"/>
        </w:rPr>
        <w:footnoteRef/>
      </w:r>
      <w:r w:rsidRPr="002574EC">
        <w:rPr>
          <w:rFonts w:ascii="Cambria" w:hAnsi="Cambria"/>
          <w:color w:val="000000" w:themeColor="text1"/>
          <w:sz w:val="16"/>
          <w:szCs w:val="16"/>
          <w:lang w:val="pt-BR"/>
        </w:rPr>
        <w:t xml:space="preserve">  </w:t>
      </w:r>
      <w:r w:rsidR="008D4C17" w:rsidRPr="002574EC">
        <w:rPr>
          <w:rFonts w:ascii="Cambria" w:hAnsi="Cambria"/>
          <w:color w:val="000000" w:themeColor="text1"/>
          <w:sz w:val="16"/>
          <w:szCs w:val="16"/>
          <w:lang w:val="pt-BR"/>
        </w:rPr>
        <w:t>IACHR</w:t>
      </w:r>
      <w:r w:rsidRPr="002574EC">
        <w:rPr>
          <w:rFonts w:ascii="Cambria" w:hAnsi="Cambria"/>
          <w:color w:val="000000" w:themeColor="text1"/>
          <w:sz w:val="16"/>
          <w:szCs w:val="16"/>
          <w:lang w:val="pt-BR"/>
        </w:rPr>
        <w:t xml:space="preserve">, </w:t>
      </w:r>
      <w:hyperlink r:id="rId19" w:history="1">
        <w:r w:rsidRPr="002574EC">
          <w:rPr>
            <w:rFonts w:ascii="Cambria" w:hAnsi="Cambria"/>
            <w:color w:val="000000" w:themeColor="text1"/>
            <w:sz w:val="16"/>
            <w:szCs w:val="16"/>
            <w:u w:val="single"/>
            <w:lang w:val="pt-BR"/>
          </w:rPr>
          <w:t>Informe Anual, Capítulo IV.B “Venezuela”</w:t>
        </w:r>
      </w:hyperlink>
      <w:r w:rsidRPr="002574EC">
        <w:rPr>
          <w:rFonts w:ascii="Cambria" w:hAnsi="Cambria"/>
          <w:color w:val="000000" w:themeColor="text1"/>
          <w:sz w:val="16"/>
          <w:szCs w:val="16"/>
          <w:lang w:val="pt-BR"/>
        </w:rPr>
        <w:t xml:space="preserve">, </w:t>
      </w:r>
      <w:r w:rsidR="008D4C17" w:rsidRPr="002574EC">
        <w:rPr>
          <w:rFonts w:ascii="Cambria" w:hAnsi="Cambria"/>
          <w:color w:val="000000" w:themeColor="text1"/>
          <w:sz w:val="16"/>
          <w:szCs w:val="16"/>
          <w:lang w:val="pt-BR"/>
        </w:rPr>
        <w:t xml:space="preserve">2019 Annual Report, Chapter IV. B “Venezuela,” </w:t>
      </w:r>
      <w:r w:rsidRPr="002574EC">
        <w:rPr>
          <w:rFonts w:ascii="Cambria" w:hAnsi="Cambria"/>
          <w:color w:val="000000" w:themeColor="text1"/>
          <w:sz w:val="16"/>
          <w:szCs w:val="16"/>
          <w:lang w:val="pt-BR"/>
        </w:rPr>
        <w:t>2019, p</w:t>
      </w:r>
      <w:r w:rsidR="00A96029" w:rsidRPr="002574EC">
        <w:rPr>
          <w:rFonts w:ascii="Cambria" w:hAnsi="Cambria"/>
          <w:color w:val="000000" w:themeColor="text1"/>
          <w:sz w:val="16"/>
          <w:szCs w:val="16"/>
          <w:lang w:val="pt-BR"/>
        </w:rPr>
        <w:t>a</w:t>
      </w:r>
      <w:r w:rsidRPr="002574EC">
        <w:rPr>
          <w:rFonts w:ascii="Cambria" w:hAnsi="Cambria"/>
          <w:color w:val="000000" w:themeColor="text1"/>
          <w:sz w:val="16"/>
          <w:szCs w:val="16"/>
          <w:lang w:val="pt-BR"/>
        </w:rPr>
        <w:t>r. 45.</w:t>
      </w:r>
    </w:p>
  </w:footnote>
  <w:footnote w:id="39">
    <w:p w14:paraId="586D3AF1" w14:textId="675586A7" w:rsidR="00825032" w:rsidRPr="002574EC" w:rsidRDefault="00825032" w:rsidP="00F85814">
      <w:pPr>
        <w:pStyle w:val="NormalWeb"/>
        <w:spacing w:before="0" w:beforeAutospacing="0" w:after="120" w:afterAutospacing="0"/>
        <w:ind w:firstLine="720"/>
        <w:jc w:val="both"/>
        <w:rPr>
          <w:rFonts w:ascii="Cambria" w:hAnsi="Cambria"/>
          <w:color w:val="000000" w:themeColor="text1"/>
          <w:sz w:val="16"/>
          <w:szCs w:val="16"/>
          <w:lang w:val="pt-BR"/>
        </w:rPr>
      </w:pPr>
      <w:r w:rsidRPr="009035C0">
        <w:rPr>
          <w:rStyle w:val="FootnoteReference"/>
          <w:rFonts w:ascii="Cambria" w:hAnsi="Cambria"/>
          <w:color w:val="000000" w:themeColor="text1"/>
          <w:sz w:val="16"/>
          <w:szCs w:val="16"/>
        </w:rPr>
        <w:footnoteRef/>
      </w:r>
      <w:r w:rsidRPr="002574EC">
        <w:rPr>
          <w:rFonts w:ascii="Cambria" w:hAnsi="Cambria"/>
          <w:color w:val="000000" w:themeColor="text1"/>
          <w:sz w:val="16"/>
          <w:szCs w:val="16"/>
          <w:lang w:val="pt-BR"/>
        </w:rPr>
        <w:t xml:space="preserve">  Acceso a la Justicia,</w:t>
      </w:r>
      <w:r w:rsidR="00BD45CF" w:rsidRPr="002574EC">
        <w:rPr>
          <w:rFonts w:ascii="Cambria" w:hAnsi="Cambria"/>
          <w:color w:val="000000" w:themeColor="text1"/>
          <w:sz w:val="16"/>
          <w:szCs w:val="16"/>
          <w:lang w:val="pt-BR"/>
        </w:rPr>
        <w:t xml:space="preserve"> The Venezuelan Observatory on Justice,</w:t>
      </w:r>
      <w:r w:rsidRPr="002574EC">
        <w:rPr>
          <w:rFonts w:ascii="Cambria" w:hAnsi="Cambria"/>
          <w:color w:val="000000" w:themeColor="text1"/>
          <w:sz w:val="16"/>
          <w:szCs w:val="16"/>
          <w:lang w:val="pt-BR"/>
        </w:rPr>
        <w:t xml:space="preserve"> </w:t>
      </w:r>
      <w:hyperlink r:id="rId20" w:history="1">
        <w:r w:rsidRPr="002574EC">
          <w:rPr>
            <w:rFonts w:ascii="Cambria" w:hAnsi="Cambria"/>
            <w:color w:val="000000" w:themeColor="text1"/>
            <w:sz w:val="16"/>
            <w:szCs w:val="16"/>
            <w:u w:val="single"/>
            <w:lang w:val="pt-BR"/>
          </w:rPr>
          <w:t>TSJ: retardo y opacidad informativa</w:t>
        </w:r>
      </w:hyperlink>
      <w:r w:rsidRPr="002574EC">
        <w:rPr>
          <w:rFonts w:ascii="Cambria" w:hAnsi="Cambria"/>
          <w:color w:val="000000" w:themeColor="text1"/>
          <w:sz w:val="16"/>
          <w:szCs w:val="16"/>
          <w:lang w:val="pt-BR"/>
        </w:rPr>
        <w:t>,</w:t>
      </w:r>
      <w:r w:rsidR="00BD45CF" w:rsidRPr="002574EC">
        <w:rPr>
          <w:rFonts w:ascii="Cambria" w:hAnsi="Cambria"/>
          <w:color w:val="000000" w:themeColor="text1"/>
          <w:sz w:val="16"/>
          <w:szCs w:val="16"/>
          <w:lang w:val="pt-BR"/>
        </w:rPr>
        <w:t xml:space="preserve"> [‘TSJ: delay and informational opacity’], </w:t>
      </w:r>
      <w:r w:rsidRPr="002574EC">
        <w:rPr>
          <w:rFonts w:ascii="Cambria" w:hAnsi="Cambria"/>
          <w:color w:val="000000" w:themeColor="text1"/>
          <w:sz w:val="16"/>
          <w:szCs w:val="16"/>
          <w:lang w:val="pt-BR"/>
        </w:rPr>
        <w:t xml:space="preserve"> </w:t>
      </w:r>
      <w:r w:rsidR="00BD45CF" w:rsidRPr="002574EC">
        <w:rPr>
          <w:rFonts w:ascii="Cambria" w:hAnsi="Cambria"/>
          <w:color w:val="000000" w:themeColor="text1"/>
          <w:sz w:val="16"/>
          <w:szCs w:val="16"/>
          <w:lang w:val="pt-BR"/>
        </w:rPr>
        <w:t xml:space="preserve">April </w:t>
      </w:r>
      <w:r w:rsidRPr="002574EC">
        <w:rPr>
          <w:rFonts w:ascii="Cambria" w:hAnsi="Cambria"/>
          <w:color w:val="000000" w:themeColor="text1"/>
          <w:sz w:val="16"/>
          <w:szCs w:val="16"/>
          <w:lang w:val="pt-BR"/>
        </w:rPr>
        <w:t>22</w:t>
      </w:r>
      <w:r w:rsidR="00BD45CF" w:rsidRPr="002574EC">
        <w:rPr>
          <w:rFonts w:ascii="Cambria" w:hAnsi="Cambria"/>
          <w:color w:val="000000" w:themeColor="text1"/>
          <w:sz w:val="16"/>
          <w:szCs w:val="16"/>
          <w:lang w:val="pt-BR"/>
        </w:rPr>
        <w:t>,</w:t>
      </w:r>
      <w:r w:rsidRPr="002574EC">
        <w:rPr>
          <w:rFonts w:ascii="Cambria" w:hAnsi="Cambria"/>
          <w:color w:val="000000" w:themeColor="text1"/>
          <w:sz w:val="16"/>
          <w:szCs w:val="16"/>
          <w:lang w:val="pt-BR"/>
        </w:rPr>
        <w:t xml:space="preserve"> 2019. </w:t>
      </w:r>
    </w:p>
  </w:footnote>
  <w:footnote w:id="40">
    <w:p w14:paraId="599D1F1D" w14:textId="23053ACB" w:rsidR="005F1FEF" w:rsidRPr="009035C0" w:rsidRDefault="005F1FEF"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024416">
        <w:rPr>
          <w:rFonts w:ascii="Cambria" w:hAnsi="Cambria"/>
          <w:color w:val="000000" w:themeColor="text1"/>
          <w:sz w:val="16"/>
          <w:szCs w:val="16"/>
        </w:rPr>
        <w:t xml:space="preserve">Independent International Fact-Finding Mission on the Bolivarian Republic of Venezuela, Report of the Independent International Fact-Finding Mission on the Bolivarian Republic of Venezuela, September </w:t>
      </w:r>
      <w:r w:rsidR="00024416" w:rsidRPr="009035C0">
        <w:rPr>
          <w:rFonts w:ascii="Cambria" w:hAnsi="Cambria"/>
          <w:color w:val="000000" w:themeColor="text1"/>
          <w:sz w:val="16"/>
          <w:szCs w:val="16"/>
        </w:rPr>
        <w:t>16</w:t>
      </w:r>
      <w:r w:rsidR="00024416">
        <w:rPr>
          <w:rFonts w:ascii="Cambria" w:hAnsi="Cambria"/>
          <w:color w:val="000000" w:themeColor="text1"/>
          <w:sz w:val="16"/>
          <w:szCs w:val="16"/>
        </w:rPr>
        <w:t>,</w:t>
      </w:r>
      <w:r w:rsidR="00024416" w:rsidRPr="009035C0">
        <w:rPr>
          <w:rFonts w:ascii="Cambria" w:hAnsi="Cambria"/>
          <w:color w:val="000000" w:themeColor="text1"/>
          <w:sz w:val="16"/>
          <w:szCs w:val="16"/>
        </w:rPr>
        <w:t xml:space="preserve"> 2021, p</w:t>
      </w:r>
      <w:r w:rsidR="00024416">
        <w:rPr>
          <w:rFonts w:ascii="Cambria" w:hAnsi="Cambria"/>
          <w:color w:val="000000" w:themeColor="text1"/>
          <w:sz w:val="16"/>
          <w:szCs w:val="16"/>
        </w:rPr>
        <w:t>a</w:t>
      </w:r>
      <w:r w:rsidR="00024416" w:rsidRPr="009035C0">
        <w:rPr>
          <w:rFonts w:ascii="Cambria" w:hAnsi="Cambria"/>
          <w:color w:val="000000" w:themeColor="text1"/>
          <w:sz w:val="16"/>
          <w:szCs w:val="16"/>
        </w:rPr>
        <w:t>r</w:t>
      </w:r>
      <w:r w:rsidRPr="009035C0">
        <w:rPr>
          <w:rFonts w:ascii="Cambria" w:hAnsi="Cambria"/>
          <w:color w:val="000000" w:themeColor="text1"/>
          <w:sz w:val="16"/>
          <w:szCs w:val="16"/>
        </w:rPr>
        <w:t>. 82.</w:t>
      </w:r>
    </w:p>
  </w:footnote>
  <w:footnote w:id="41">
    <w:p w14:paraId="04265151" w14:textId="35C562E4" w:rsidR="005F1FEF" w:rsidRPr="009035C0" w:rsidRDefault="005F1FEF"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A1515E">
        <w:rPr>
          <w:rFonts w:ascii="Cambria" w:hAnsi="Cambria"/>
          <w:color w:val="000000" w:themeColor="text1"/>
          <w:sz w:val="16"/>
          <w:szCs w:val="16"/>
        </w:rPr>
        <w:t xml:space="preserve">IA Court of HR. Case of </w:t>
      </w:r>
      <w:r w:rsidRPr="009035C0">
        <w:rPr>
          <w:rFonts w:ascii="Cambria" w:hAnsi="Cambria"/>
          <w:color w:val="000000" w:themeColor="text1"/>
          <w:sz w:val="16"/>
          <w:szCs w:val="16"/>
          <w:shd w:val="clear" w:color="auto" w:fill="FFFFFF"/>
        </w:rPr>
        <w:t xml:space="preserve">Cabrera García </w:t>
      </w:r>
      <w:r w:rsidR="00A1515E">
        <w:rPr>
          <w:rFonts w:ascii="Cambria" w:hAnsi="Cambria"/>
          <w:color w:val="000000" w:themeColor="text1"/>
          <w:sz w:val="16"/>
          <w:szCs w:val="16"/>
          <w:shd w:val="clear" w:color="auto" w:fill="FFFFFF"/>
        </w:rPr>
        <w:t>and</w:t>
      </w:r>
      <w:r w:rsidRPr="009035C0">
        <w:rPr>
          <w:rFonts w:ascii="Cambria" w:hAnsi="Cambria"/>
          <w:color w:val="000000" w:themeColor="text1"/>
          <w:sz w:val="16"/>
          <w:szCs w:val="16"/>
          <w:shd w:val="clear" w:color="auto" w:fill="FFFFFF"/>
        </w:rPr>
        <w:t xml:space="preserve"> Montiel Flores </w:t>
      </w:r>
      <w:r w:rsidR="00A1515E">
        <w:rPr>
          <w:rFonts w:ascii="Cambria" w:hAnsi="Cambria"/>
          <w:color w:val="000000" w:themeColor="text1"/>
          <w:sz w:val="16"/>
          <w:szCs w:val="16"/>
          <w:shd w:val="clear" w:color="auto" w:fill="FFFFFF"/>
        </w:rPr>
        <w:t>v</w:t>
      </w:r>
      <w:r w:rsidRPr="009035C0">
        <w:rPr>
          <w:rFonts w:ascii="Cambria" w:hAnsi="Cambria"/>
          <w:color w:val="000000" w:themeColor="text1"/>
          <w:sz w:val="16"/>
          <w:szCs w:val="16"/>
          <w:shd w:val="clear" w:color="auto" w:fill="FFFFFF"/>
        </w:rPr>
        <w:t>. M</w:t>
      </w:r>
      <w:r w:rsidR="00A1515E">
        <w:rPr>
          <w:rFonts w:ascii="Cambria" w:hAnsi="Cambria"/>
          <w:color w:val="000000" w:themeColor="text1"/>
          <w:sz w:val="16"/>
          <w:szCs w:val="16"/>
          <w:shd w:val="clear" w:color="auto" w:fill="FFFFFF"/>
        </w:rPr>
        <w:t>ex</w:t>
      </w:r>
      <w:r w:rsidRPr="009035C0">
        <w:rPr>
          <w:rFonts w:ascii="Cambria" w:hAnsi="Cambria"/>
          <w:color w:val="000000" w:themeColor="text1"/>
          <w:sz w:val="16"/>
          <w:szCs w:val="16"/>
          <w:shd w:val="clear" w:color="auto" w:fill="FFFFFF"/>
        </w:rPr>
        <w:t xml:space="preserve">ico. </w:t>
      </w:r>
      <w:r w:rsidR="00A1515E">
        <w:rPr>
          <w:rFonts w:ascii="Cambria" w:hAnsi="Cambria"/>
          <w:color w:val="000000" w:themeColor="text1"/>
          <w:sz w:val="16"/>
          <w:szCs w:val="16"/>
          <w:shd w:val="clear" w:color="auto" w:fill="FFFFFF"/>
        </w:rPr>
        <w:t xml:space="preserve">Preliminary Objection, Merits, Reparations and Costs. Judgment of November </w:t>
      </w:r>
      <w:r w:rsidRPr="009035C0">
        <w:rPr>
          <w:rFonts w:ascii="Cambria" w:hAnsi="Cambria"/>
          <w:color w:val="000000" w:themeColor="text1"/>
          <w:sz w:val="16"/>
          <w:szCs w:val="16"/>
          <w:shd w:val="clear" w:color="auto" w:fill="FFFFFF"/>
        </w:rPr>
        <w:t>26</w:t>
      </w:r>
      <w:r w:rsidR="00A1515E">
        <w:rPr>
          <w:rFonts w:ascii="Cambria" w:hAnsi="Cambria"/>
          <w:color w:val="000000" w:themeColor="text1"/>
          <w:sz w:val="16"/>
          <w:szCs w:val="16"/>
          <w:shd w:val="clear" w:color="auto" w:fill="FFFFFF"/>
        </w:rPr>
        <w:t>,</w:t>
      </w:r>
      <w:r w:rsidRPr="009035C0">
        <w:rPr>
          <w:rFonts w:ascii="Cambria" w:hAnsi="Cambria"/>
          <w:color w:val="000000" w:themeColor="text1"/>
          <w:sz w:val="16"/>
          <w:szCs w:val="16"/>
          <w:shd w:val="clear" w:color="auto" w:fill="FFFFFF"/>
        </w:rPr>
        <w:t xml:space="preserve"> 2010. Serie</w:t>
      </w:r>
      <w:r w:rsidR="00A1515E">
        <w:rPr>
          <w:rFonts w:ascii="Cambria" w:hAnsi="Cambria"/>
          <w:color w:val="000000" w:themeColor="text1"/>
          <w:sz w:val="16"/>
          <w:szCs w:val="16"/>
          <w:shd w:val="clear" w:color="auto" w:fill="FFFFFF"/>
        </w:rPr>
        <w:t>s</w:t>
      </w:r>
      <w:r w:rsidRPr="009035C0">
        <w:rPr>
          <w:rFonts w:ascii="Cambria" w:hAnsi="Cambria"/>
          <w:color w:val="000000" w:themeColor="text1"/>
          <w:sz w:val="16"/>
          <w:szCs w:val="16"/>
          <w:shd w:val="clear" w:color="auto" w:fill="FFFFFF"/>
        </w:rPr>
        <w:t xml:space="preserve"> C No. 220, p</w:t>
      </w:r>
      <w:r w:rsidR="00A1515E">
        <w:rPr>
          <w:rFonts w:ascii="Cambria" w:hAnsi="Cambria"/>
          <w:color w:val="000000" w:themeColor="text1"/>
          <w:sz w:val="16"/>
          <w:szCs w:val="16"/>
          <w:shd w:val="clear" w:color="auto" w:fill="FFFFFF"/>
        </w:rPr>
        <w:t>a</w:t>
      </w:r>
      <w:r w:rsidRPr="009035C0">
        <w:rPr>
          <w:rFonts w:ascii="Cambria" w:hAnsi="Cambria"/>
          <w:color w:val="000000" w:themeColor="text1"/>
          <w:sz w:val="16"/>
          <w:szCs w:val="16"/>
          <w:shd w:val="clear" w:color="auto" w:fill="FFFFFF"/>
        </w:rPr>
        <w:t>r. 166.</w:t>
      </w:r>
    </w:p>
  </w:footnote>
  <w:footnote w:id="42">
    <w:p w14:paraId="4AD30004" w14:textId="31B98121" w:rsidR="005F1FEF" w:rsidRPr="009035C0" w:rsidRDefault="005F1FEF"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271B20">
        <w:rPr>
          <w:rFonts w:ascii="Cambria" w:hAnsi="Cambria"/>
          <w:color w:val="000000" w:themeColor="text1"/>
          <w:sz w:val="16"/>
          <w:szCs w:val="16"/>
        </w:rPr>
        <w:t xml:space="preserve">Independent International Fact-Finding Mission on the Bolivarian Republic of Venezuela, Report of the Independent International Fact-Finding Mission on the Bolivarian Republic of Venezuela, September </w:t>
      </w:r>
      <w:r w:rsidR="00271B20" w:rsidRPr="009035C0">
        <w:rPr>
          <w:rFonts w:ascii="Cambria" w:hAnsi="Cambria"/>
          <w:color w:val="000000" w:themeColor="text1"/>
          <w:sz w:val="16"/>
          <w:szCs w:val="16"/>
        </w:rPr>
        <w:t>16</w:t>
      </w:r>
      <w:r w:rsidR="00271B20">
        <w:rPr>
          <w:rFonts w:ascii="Cambria" w:hAnsi="Cambria"/>
          <w:color w:val="000000" w:themeColor="text1"/>
          <w:sz w:val="16"/>
          <w:szCs w:val="16"/>
        </w:rPr>
        <w:t>,</w:t>
      </w:r>
      <w:r w:rsidR="00271B20" w:rsidRPr="009035C0">
        <w:rPr>
          <w:rFonts w:ascii="Cambria" w:hAnsi="Cambria"/>
          <w:color w:val="000000" w:themeColor="text1"/>
          <w:sz w:val="16"/>
          <w:szCs w:val="16"/>
        </w:rPr>
        <w:t xml:space="preserve"> 2021, p</w:t>
      </w:r>
      <w:r w:rsidR="00271B20">
        <w:rPr>
          <w:rFonts w:ascii="Cambria" w:hAnsi="Cambria"/>
          <w:color w:val="000000" w:themeColor="text1"/>
          <w:sz w:val="16"/>
          <w:szCs w:val="16"/>
        </w:rPr>
        <w:t>a</w:t>
      </w:r>
      <w:r w:rsidR="00271B20" w:rsidRPr="009035C0">
        <w:rPr>
          <w:rFonts w:ascii="Cambria" w:hAnsi="Cambria"/>
          <w:color w:val="000000" w:themeColor="text1"/>
          <w:sz w:val="16"/>
          <w:szCs w:val="16"/>
        </w:rPr>
        <w:t>r</w:t>
      </w:r>
      <w:r w:rsidRPr="009035C0">
        <w:rPr>
          <w:rFonts w:ascii="Cambria" w:hAnsi="Cambria"/>
          <w:color w:val="000000" w:themeColor="text1"/>
          <w:sz w:val="16"/>
          <w:szCs w:val="16"/>
        </w:rPr>
        <w:t>. 92.</w:t>
      </w:r>
    </w:p>
  </w:footnote>
  <w:footnote w:id="43">
    <w:p w14:paraId="264BAE7E" w14:textId="7552C10F" w:rsidR="005F1FEF" w:rsidRPr="009035C0" w:rsidRDefault="005F1FEF"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6450CB">
        <w:rPr>
          <w:rFonts w:ascii="Cambria" w:hAnsi="Cambria"/>
          <w:color w:val="000000" w:themeColor="text1"/>
          <w:sz w:val="16"/>
          <w:szCs w:val="16"/>
        </w:rPr>
        <w:t xml:space="preserve">Independent International Fact-Finding Mission on the Bolivarian Republic of Venezuela, Report of the Independent International Fact-Finding Mission on the Bolivarian Republic of Venezuela, September </w:t>
      </w:r>
      <w:r w:rsidR="006450CB" w:rsidRPr="009035C0">
        <w:rPr>
          <w:rFonts w:ascii="Cambria" w:hAnsi="Cambria"/>
          <w:color w:val="000000" w:themeColor="text1"/>
          <w:sz w:val="16"/>
          <w:szCs w:val="16"/>
        </w:rPr>
        <w:t>16</w:t>
      </w:r>
      <w:r w:rsidR="006450CB">
        <w:rPr>
          <w:rFonts w:ascii="Cambria" w:hAnsi="Cambria"/>
          <w:color w:val="000000" w:themeColor="text1"/>
          <w:sz w:val="16"/>
          <w:szCs w:val="16"/>
        </w:rPr>
        <w:t>,</w:t>
      </w:r>
      <w:r w:rsidR="006450CB" w:rsidRPr="009035C0">
        <w:rPr>
          <w:rFonts w:ascii="Cambria" w:hAnsi="Cambria"/>
          <w:color w:val="000000" w:themeColor="text1"/>
          <w:sz w:val="16"/>
          <w:szCs w:val="16"/>
        </w:rPr>
        <w:t xml:space="preserve"> 2021, p</w:t>
      </w:r>
      <w:r w:rsidR="006450CB">
        <w:rPr>
          <w:rFonts w:ascii="Cambria" w:hAnsi="Cambria"/>
          <w:color w:val="000000" w:themeColor="text1"/>
          <w:sz w:val="16"/>
          <w:szCs w:val="16"/>
        </w:rPr>
        <w:t>a</w:t>
      </w:r>
      <w:r w:rsidR="006450CB" w:rsidRPr="009035C0">
        <w:rPr>
          <w:rFonts w:ascii="Cambria" w:hAnsi="Cambria"/>
          <w:color w:val="000000" w:themeColor="text1"/>
          <w:sz w:val="16"/>
          <w:szCs w:val="16"/>
        </w:rPr>
        <w:t>r</w:t>
      </w:r>
      <w:r w:rsidRPr="009035C0">
        <w:rPr>
          <w:rFonts w:ascii="Cambria" w:hAnsi="Cambria"/>
          <w:color w:val="000000" w:themeColor="text1"/>
          <w:sz w:val="16"/>
          <w:szCs w:val="16"/>
        </w:rPr>
        <w:t>. 93.</w:t>
      </w:r>
    </w:p>
  </w:footnote>
  <w:footnote w:id="44">
    <w:p w14:paraId="79D6779D" w14:textId="4E8EB06F" w:rsidR="004F0F91" w:rsidRPr="00F85814" w:rsidRDefault="004F0F91"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A4002A" w:rsidRPr="00E7771A">
        <w:rPr>
          <w:rFonts w:ascii="Cambria" w:hAnsi="Cambria"/>
          <w:color w:val="000000" w:themeColor="text1"/>
          <w:sz w:val="16"/>
          <w:szCs w:val="16"/>
          <w:lang w:val="es-US"/>
        </w:rPr>
        <w:t xml:space="preserve">IACHR, </w:t>
      </w:r>
      <w:hyperlink r:id="rId21" w:history="1">
        <w:r w:rsidRPr="00E7771A">
          <w:rPr>
            <w:rFonts w:ascii="Cambria" w:hAnsi="Cambria"/>
            <w:color w:val="000000" w:themeColor="text1"/>
            <w:sz w:val="16"/>
            <w:szCs w:val="16"/>
            <w:u w:val="single"/>
            <w:lang w:val="es-US"/>
          </w:rPr>
          <w:t>Situación de los derechos Humanos en Venezuela – “Institucionalidad democrática, Estado de Derecho y derechos humanos en Venezuela”</w:t>
        </w:r>
      </w:hyperlink>
      <w:r w:rsidRPr="00E7771A">
        <w:rPr>
          <w:rFonts w:ascii="Cambria" w:hAnsi="Cambria"/>
          <w:color w:val="000000" w:themeColor="text1"/>
          <w:sz w:val="16"/>
          <w:szCs w:val="16"/>
          <w:lang w:val="es-US"/>
        </w:rPr>
        <w:t xml:space="preserve">, </w:t>
      </w:r>
      <w:r w:rsidR="006D796B" w:rsidRPr="00E7771A">
        <w:rPr>
          <w:rFonts w:ascii="Cambria" w:hAnsi="Cambria"/>
          <w:color w:val="000000" w:themeColor="text1"/>
          <w:sz w:val="16"/>
          <w:szCs w:val="16"/>
          <w:lang w:val="es-US"/>
        </w:rPr>
        <w:t xml:space="preserve">Situation of Human Rights in Venezuela – Democratic Institutions. </w:t>
      </w:r>
      <w:r w:rsidR="006D796B" w:rsidRPr="00F85814">
        <w:rPr>
          <w:rFonts w:ascii="Cambria" w:hAnsi="Cambria"/>
          <w:color w:val="000000" w:themeColor="text1"/>
          <w:sz w:val="16"/>
          <w:szCs w:val="16"/>
          <w:lang w:val="es-US"/>
        </w:rPr>
        <w:t xml:space="preserve">Rule of Law and Human Rights in Venezuela. </w:t>
      </w:r>
      <w:r w:rsidRPr="00F85814">
        <w:rPr>
          <w:rFonts w:ascii="Cambria" w:hAnsi="Cambria"/>
          <w:color w:val="000000" w:themeColor="text1"/>
          <w:sz w:val="16"/>
          <w:szCs w:val="16"/>
          <w:lang w:val="es-US"/>
        </w:rPr>
        <w:t>2017, p</w:t>
      </w:r>
      <w:r w:rsidR="00A4002A" w:rsidRPr="00F85814">
        <w:rPr>
          <w:rFonts w:ascii="Cambria" w:hAnsi="Cambria"/>
          <w:color w:val="000000" w:themeColor="text1"/>
          <w:sz w:val="16"/>
          <w:szCs w:val="16"/>
          <w:lang w:val="es-US"/>
        </w:rPr>
        <w:t>a</w:t>
      </w:r>
      <w:r w:rsidRPr="00F85814">
        <w:rPr>
          <w:rFonts w:ascii="Cambria" w:hAnsi="Cambria"/>
          <w:color w:val="000000" w:themeColor="text1"/>
          <w:sz w:val="16"/>
          <w:szCs w:val="16"/>
          <w:lang w:val="es-US"/>
        </w:rPr>
        <w:t>r. 24.</w:t>
      </w:r>
    </w:p>
  </w:footnote>
  <w:footnote w:id="45">
    <w:p w14:paraId="03934A6F" w14:textId="20FAB870" w:rsidR="009508E2" w:rsidRPr="00F85814" w:rsidRDefault="009508E2"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w:t>
      </w:r>
      <w:r w:rsidR="00657F65" w:rsidRPr="00F85814">
        <w:rPr>
          <w:rFonts w:ascii="Cambria" w:hAnsi="Cambria"/>
          <w:color w:val="000000" w:themeColor="text1"/>
          <w:sz w:val="16"/>
          <w:szCs w:val="16"/>
          <w:lang w:val="es-US"/>
        </w:rPr>
        <w:t xml:space="preserve">Foro Penal, Reporte sobre la Represión en Venezuela, </w:t>
      </w:r>
      <w:r w:rsidR="006D796B" w:rsidRPr="00F85814">
        <w:rPr>
          <w:rFonts w:ascii="Cambria" w:hAnsi="Cambria"/>
          <w:color w:val="000000" w:themeColor="text1"/>
          <w:sz w:val="16"/>
          <w:szCs w:val="16"/>
          <w:lang w:val="es-US"/>
        </w:rPr>
        <w:t xml:space="preserve">[Report on Repression in Venezuela’], August </w:t>
      </w:r>
      <w:r w:rsidR="00657F65" w:rsidRPr="00F85814">
        <w:rPr>
          <w:rFonts w:ascii="Cambria" w:hAnsi="Cambria"/>
          <w:color w:val="000000" w:themeColor="text1"/>
          <w:sz w:val="16"/>
          <w:szCs w:val="16"/>
          <w:lang w:val="es-US"/>
        </w:rPr>
        <w:t>2021.</w:t>
      </w:r>
    </w:p>
  </w:footnote>
  <w:footnote w:id="46">
    <w:p w14:paraId="3F0C68FE" w14:textId="68D12683" w:rsidR="004F0F91" w:rsidRPr="009035C0" w:rsidRDefault="004F0F91"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272A2E">
        <w:rPr>
          <w:rFonts w:ascii="Cambria" w:hAnsi="Cambria"/>
          <w:color w:val="000000" w:themeColor="text1"/>
          <w:sz w:val="16"/>
          <w:szCs w:val="16"/>
        </w:rPr>
        <w:t>Office of the United Nations High Commissioner for Human Rights, Human Rights Violations in the Bolivarian Republic of Venezuela: a descending spiral with no end in sight, June 2018, pg. 25</w:t>
      </w:r>
      <w:r w:rsidR="00657F65" w:rsidRPr="009035C0">
        <w:rPr>
          <w:rFonts w:ascii="Cambria" w:hAnsi="Cambria" w:cs="Arial"/>
          <w:color w:val="000000" w:themeColor="text1"/>
          <w:sz w:val="16"/>
          <w:szCs w:val="16"/>
          <w:shd w:val="clear" w:color="auto" w:fill="FFFFFF"/>
        </w:rPr>
        <w:t>.</w:t>
      </w:r>
    </w:p>
  </w:footnote>
  <w:footnote w:id="47">
    <w:p w14:paraId="4CA91DC5" w14:textId="3F72F762" w:rsidR="006536AB" w:rsidRPr="009035C0" w:rsidRDefault="006536AB"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272A2E">
        <w:rPr>
          <w:rFonts w:ascii="Cambria" w:hAnsi="Cambria"/>
          <w:color w:val="000000" w:themeColor="text1"/>
          <w:sz w:val="16"/>
          <w:szCs w:val="16"/>
        </w:rPr>
        <w:t xml:space="preserve">IACHR, Press Release </w:t>
      </w:r>
      <w:r w:rsidR="00D32A93" w:rsidRPr="009035C0">
        <w:rPr>
          <w:rFonts w:ascii="Cambria" w:hAnsi="Cambria" w:cs="Arial"/>
          <w:color w:val="000000" w:themeColor="text1"/>
          <w:sz w:val="16"/>
          <w:szCs w:val="16"/>
          <w:shd w:val="clear" w:color="auto" w:fill="FFFFFF"/>
        </w:rPr>
        <w:t xml:space="preserve">071/2021, </w:t>
      </w:r>
      <w:r w:rsidR="00E1714E">
        <w:rPr>
          <w:rFonts w:ascii="Cambria" w:hAnsi="Cambria" w:cs="Arial"/>
          <w:color w:val="000000" w:themeColor="text1"/>
          <w:sz w:val="16"/>
          <w:szCs w:val="16"/>
          <w:shd w:val="clear" w:color="auto" w:fill="FFFFFF"/>
        </w:rPr>
        <w:t xml:space="preserve">The IACHR Urges Venezuela to </w:t>
      </w:r>
      <w:r w:rsidR="00D255DC">
        <w:rPr>
          <w:rFonts w:ascii="Cambria" w:hAnsi="Cambria" w:cs="Arial"/>
          <w:color w:val="000000" w:themeColor="text1"/>
          <w:sz w:val="16"/>
          <w:szCs w:val="16"/>
          <w:shd w:val="clear" w:color="auto" w:fill="FFFFFF"/>
        </w:rPr>
        <w:t xml:space="preserve">Permanently Stop Trying Civilians in Military Criminal Proceedings, March 24, </w:t>
      </w:r>
      <w:r w:rsidR="00D32A93" w:rsidRPr="009035C0">
        <w:rPr>
          <w:rFonts w:ascii="Cambria" w:hAnsi="Cambria" w:cs="Arial"/>
          <w:color w:val="000000" w:themeColor="text1"/>
          <w:sz w:val="16"/>
          <w:szCs w:val="16"/>
          <w:shd w:val="clear" w:color="auto" w:fill="FFFFFF"/>
        </w:rPr>
        <w:t>2021.</w:t>
      </w:r>
    </w:p>
  </w:footnote>
  <w:footnote w:id="48">
    <w:p w14:paraId="4D4915A7" w14:textId="238500E6" w:rsidR="00CD4E2F" w:rsidRPr="009035C0" w:rsidRDefault="00CD4E2F"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D255DC">
        <w:rPr>
          <w:rFonts w:ascii="Cambria" w:hAnsi="Cambria"/>
          <w:color w:val="000000" w:themeColor="text1"/>
          <w:sz w:val="16"/>
          <w:szCs w:val="16"/>
        </w:rPr>
        <w:t>IACHR, Press Release</w:t>
      </w:r>
      <w:r w:rsidRPr="009035C0">
        <w:rPr>
          <w:rFonts w:ascii="Cambria" w:hAnsi="Cambria" w:cs="Arial"/>
          <w:color w:val="000000" w:themeColor="text1"/>
          <w:sz w:val="16"/>
          <w:szCs w:val="16"/>
          <w:shd w:val="clear" w:color="auto" w:fill="FFFFFF"/>
        </w:rPr>
        <w:t xml:space="preserve">, </w:t>
      </w:r>
      <w:hyperlink r:id="rId22" w:history="1">
        <w:r w:rsidRPr="009035C0">
          <w:rPr>
            <w:rStyle w:val="Hyperlink"/>
            <w:rFonts w:ascii="Cambria" w:hAnsi="Cambria" w:cs="Arial"/>
            <w:color w:val="000000" w:themeColor="text1"/>
            <w:sz w:val="16"/>
            <w:szCs w:val="16"/>
            <w:shd w:val="clear" w:color="auto" w:fill="FFFFFF"/>
          </w:rPr>
          <w:t>Comunicado de Prensa 271/21</w:t>
        </w:r>
      </w:hyperlink>
      <w:r w:rsidRPr="009035C0">
        <w:rPr>
          <w:rFonts w:ascii="Cambria" w:hAnsi="Cambria" w:cs="Arial"/>
          <w:color w:val="000000" w:themeColor="text1"/>
          <w:sz w:val="16"/>
          <w:szCs w:val="16"/>
          <w:shd w:val="clear" w:color="auto" w:fill="FFFFFF"/>
        </w:rPr>
        <w:t xml:space="preserve">, </w:t>
      </w:r>
      <w:r w:rsidR="00D255DC">
        <w:rPr>
          <w:rFonts w:ascii="Cambria" w:hAnsi="Cambria" w:cs="Arial"/>
          <w:color w:val="000000" w:themeColor="text1"/>
          <w:sz w:val="16"/>
          <w:szCs w:val="16"/>
          <w:shd w:val="clear" w:color="auto" w:fill="FFFFFF"/>
        </w:rPr>
        <w:t>IACHR Welcomes Reform of Venezuela’s Military Criminal Court System, Calls for Effective and Immediate Implementation. October</w:t>
      </w:r>
      <w:r w:rsidRPr="009035C0">
        <w:rPr>
          <w:rFonts w:ascii="Cambria" w:hAnsi="Cambria" w:cs="Arial"/>
          <w:color w:val="000000" w:themeColor="text1"/>
          <w:sz w:val="16"/>
          <w:szCs w:val="16"/>
          <w:shd w:val="clear" w:color="auto" w:fill="FFFFFF"/>
        </w:rPr>
        <w:t xml:space="preserve"> 14</w:t>
      </w:r>
      <w:r w:rsidR="00D255DC">
        <w:rPr>
          <w:rFonts w:ascii="Cambria" w:hAnsi="Cambria" w:cs="Arial"/>
          <w:color w:val="000000" w:themeColor="text1"/>
          <w:sz w:val="16"/>
          <w:szCs w:val="16"/>
          <w:shd w:val="clear" w:color="auto" w:fill="FFFFFF"/>
        </w:rPr>
        <w:t>,</w:t>
      </w:r>
      <w:r w:rsidRPr="009035C0">
        <w:rPr>
          <w:rFonts w:ascii="Cambria" w:hAnsi="Cambria" w:cs="Arial"/>
          <w:color w:val="000000" w:themeColor="text1"/>
          <w:sz w:val="16"/>
          <w:szCs w:val="16"/>
          <w:shd w:val="clear" w:color="auto" w:fill="FFFFFF"/>
        </w:rPr>
        <w:t xml:space="preserve"> 2021.</w:t>
      </w:r>
    </w:p>
  </w:footnote>
  <w:footnote w:id="49">
    <w:p w14:paraId="130FA125" w14:textId="662EAF8A" w:rsidR="004F0F91" w:rsidRPr="00F85814" w:rsidRDefault="004F0F91"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D27737">
        <w:rPr>
          <w:rFonts w:ascii="Cambria" w:hAnsi="Cambria"/>
          <w:color w:val="000000" w:themeColor="text1"/>
          <w:sz w:val="16"/>
          <w:szCs w:val="16"/>
        </w:rPr>
        <w:t>IA Court of HR. Case of</w:t>
      </w:r>
      <w:r w:rsidR="00D32A93" w:rsidRPr="009035C0">
        <w:rPr>
          <w:rFonts w:ascii="Cambria" w:eastAsia="Cambria" w:hAnsi="Cambria" w:cs="Cambria"/>
          <w:color w:val="000000" w:themeColor="text1"/>
          <w:sz w:val="16"/>
          <w:szCs w:val="16"/>
        </w:rPr>
        <w:t xml:space="preserve"> Durand </w:t>
      </w:r>
      <w:r w:rsidR="00D27737">
        <w:rPr>
          <w:rFonts w:ascii="Cambria" w:eastAsia="Cambria" w:hAnsi="Cambria" w:cs="Cambria"/>
          <w:color w:val="000000" w:themeColor="text1"/>
          <w:sz w:val="16"/>
          <w:szCs w:val="16"/>
        </w:rPr>
        <w:t>and</w:t>
      </w:r>
      <w:r w:rsidR="00D32A93" w:rsidRPr="009035C0">
        <w:rPr>
          <w:rFonts w:ascii="Cambria" w:eastAsia="Cambria" w:hAnsi="Cambria" w:cs="Cambria"/>
          <w:color w:val="000000" w:themeColor="text1"/>
          <w:sz w:val="16"/>
          <w:szCs w:val="16"/>
        </w:rPr>
        <w:t xml:space="preserve"> Ugarte </w:t>
      </w:r>
      <w:r w:rsidR="0034713B">
        <w:rPr>
          <w:rFonts w:ascii="Cambria" w:eastAsia="Cambria" w:hAnsi="Cambria" w:cs="Cambria"/>
          <w:color w:val="000000" w:themeColor="text1"/>
          <w:sz w:val="16"/>
          <w:szCs w:val="16"/>
        </w:rPr>
        <w:t>v</w:t>
      </w:r>
      <w:r w:rsidR="00D32A93" w:rsidRPr="009035C0">
        <w:rPr>
          <w:rFonts w:ascii="Cambria" w:eastAsia="Cambria" w:hAnsi="Cambria" w:cs="Cambria"/>
          <w:color w:val="000000" w:themeColor="text1"/>
          <w:sz w:val="16"/>
          <w:szCs w:val="16"/>
        </w:rPr>
        <w:t>. Per</w:t>
      </w:r>
      <w:r w:rsidR="000134FF">
        <w:rPr>
          <w:rFonts w:ascii="Cambria" w:eastAsia="Cambria" w:hAnsi="Cambria" w:cs="Cambria"/>
          <w:color w:val="000000" w:themeColor="text1"/>
          <w:sz w:val="16"/>
          <w:szCs w:val="16"/>
        </w:rPr>
        <w:t>u</w:t>
      </w:r>
      <w:r w:rsidR="00D32A93" w:rsidRPr="009035C0">
        <w:rPr>
          <w:rFonts w:ascii="Cambria" w:eastAsia="Cambria" w:hAnsi="Cambria" w:cs="Cambria"/>
          <w:color w:val="000000" w:themeColor="text1"/>
          <w:sz w:val="16"/>
          <w:szCs w:val="16"/>
        </w:rPr>
        <w:t>. R</w:t>
      </w:r>
      <w:r w:rsidR="00555FC1">
        <w:rPr>
          <w:rFonts w:ascii="Cambria" w:eastAsia="Cambria" w:hAnsi="Cambria" w:cs="Cambria"/>
          <w:color w:val="000000" w:themeColor="text1"/>
          <w:sz w:val="16"/>
          <w:szCs w:val="16"/>
        </w:rPr>
        <w:t>eparations and Costs</w:t>
      </w:r>
      <w:r w:rsidR="00AF6AC3">
        <w:rPr>
          <w:rFonts w:ascii="Cambria" w:eastAsia="Cambria" w:hAnsi="Cambria" w:cs="Cambria"/>
          <w:color w:val="000000" w:themeColor="text1"/>
          <w:sz w:val="16"/>
          <w:szCs w:val="16"/>
        </w:rPr>
        <w:t>.</w:t>
      </w:r>
      <w:r w:rsidR="00555FC1">
        <w:rPr>
          <w:rFonts w:ascii="Cambria" w:eastAsia="Cambria" w:hAnsi="Cambria" w:cs="Cambria"/>
          <w:color w:val="000000" w:themeColor="text1"/>
          <w:sz w:val="16"/>
          <w:szCs w:val="16"/>
        </w:rPr>
        <w:t xml:space="preserve"> Judgment of December</w:t>
      </w:r>
      <w:r w:rsidR="00D32A93" w:rsidRPr="009035C0">
        <w:rPr>
          <w:rFonts w:ascii="Cambria" w:eastAsia="Cambria" w:hAnsi="Cambria" w:cs="Cambria"/>
          <w:color w:val="000000" w:themeColor="text1"/>
          <w:sz w:val="16"/>
          <w:szCs w:val="16"/>
        </w:rPr>
        <w:t xml:space="preserve"> 3</w:t>
      </w:r>
      <w:r w:rsidR="00555FC1">
        <w:rPr>
          <w:rFonts w:ascii="Cambria" w:eastAsia="Cambria" w:hAnsi="Cambria" w:cs="Cambria"/>
          <w:color w:val="000000" w:themeColor="text1"/>
          <w:sz w:val="16"/>
          <w:szCs w:val="16"/>
        </w:rPr>
        <w:t>,</w:t>
      </w:r>
      <w:r w:rsidR="00D32A93" w:rsidRPr="009035C0">
        <w:rPr>
          <w:rFonts w:ascii="Cambria" w:eastAsia="Cambria" w:hAnsi="Cambria" w:cs="Cambria"/>
          <w:color w:val="000000" w:themeColor="text1"/>
          <w:sz w:val="16"/>
          <w:szCs w:val="16"/>
        </w:rPr>
        <w:t xml:space="preserve"> 2001. </w:t>
      </w:r>
      <w:r w:rsidR="00D32A93" w:rsidRPr="00F85814">
        <w:rPr>
          <w:rFonts w:ascii="Cambria" w:eastAsia="Cambria" w:hAnsi="Cambria" w:cs="Cambria"/>
          <w:color w:val="000000" w:themeColor="text1"/>
          <w:sz w:val="16"/>
          <w:szCs w:val="16"/>
          <w:lang w:val="es-US"/>
        </w:rPr>
        <w:t>Serie</w:t>
      </w:r>
      <w:r w:rsidR="00555FC1" w:rsidRPr="00F85814">
        <w:rPr>
          <w:rFonts w:ascii="Cambria" w:eastAsia="Cambria" w:hAnsi="Cambria" w:cs="Cambria"/>
          <w:color w:val="000000" w:themeColor="text1"/>
          <w:sz w:val="16"/>
          <w:szCs w:val="16"/>
          <w:lang w:val="es-US"/>
        </w:rPr>
        <w:t>s</w:t>
      </w:r>
      <w:r w:rsidR="00D32A93" w:rsidRPr="00F85814">
        <w:rPr>
          <w:rFonts w:ascii="Cambria" w:eastAsia="Cambria" w:hAnsi="Cambria" w:cs="Cambria"/>
          <w:color w:val="000000" w:themeColor="text1"/>
          <w:sz w:val="16"/>
          <w:szCs w:val="16"/>
          <w:lang w:val="es-US"/>
        </w:rPr>
        <w:t xml:space="preserve"> C No. 89, p</w:t>
      </w:r>
      <w:r w:rsidR="00555FC1" w:rsidRPr="00F85814">
        <w:rPr>
          <w:rFonts w:ascii="Cambria" w:eastAsia="Cambria" w:hAnsi="Cambria" w:cs="Cambria"/>
          <w:color w:val="000000" w:themeColor="text1"/>
          <w:sz w:val="16"/>
          <w:szCs w:val="16"/>
          <w:lang w:val="es-US"/>
        </w:rPr>
        <w:t>a</w:t>
      </w:r>
      <w:r w:rsidR="00D32A93" w:rsidRPr="00F85814">
        <w:rPr>
          <w:rFonts w:ascii="Cambria" w:eastAsia="Cambria" w:hAnsi="Cambria" w:cs="Cambria"/>
          <w:color w:val="000000" w:themeColor="text1"/>
          <w:sz w:val="16"/>
          <w:szCs w:val="16"/>
          <w:lang w:val="es-US"/>
        </w:rPr>
        <w:t>r. 117.</w:t>
      </w:r>
    </w:p>
  </w:footnote>
  <w:footnote w:id="50">
    <w:p w14:paraId="5E26F176" w14:textId="1BDBEE93" w:rsidR="00F520A3" w:rsidRPr="009035C0" w:rsidRDefault="00F520A3"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w:t>
      </w:r>
      <w:r w:rsidR="00537200" w:rsidRPr="00F85814">
        <w:rPr>
          <w:rFonts w:ascii="Cambria" w:hAnsi="Cambria"/>
          <w:color w:val="000000" w:themeColor="text1"/>
          <w:sz w:val="16"/>
          <w:szCs w:val="16"/>
          <w:lang w:val="es-US"/>
        </w:rPr>
        <w:t>Access to justice</w:t>
      </w:r>
      <w:r w:rsidRPr="00F85814">
        <w:rPr>
          <w:rFonts w:ascii="Cambria" w:hAnsi="Cambria"/>
          <w:color w:val="000000" w:themeColor="text1"/>
          <w:sz w:val="16"/>
          <w:szCs w:val="16"/>
          <w:lang w:val="es-US"/>
        </w:rPr>
        <w:t xml:space="preserve">, </w:t>
      </w:r>
      <w:hyperlink r:id="rId23" w:history="1">
        <w:r w:rsidRPr="00F85814">
          <w:rPr>
            <w:rFonts w:ascii="Cambria" w:hAnsi="Cambria"/>
            <w:color w:val="000000" w:themeColor="text1"/>
            <w:sz w:val="16"/>
            <w:szCs w:val="16"/>
            <w:u w:val="single"/>
            <w:lang w:val="es-US"/>
          </w:rPr>
          <w:t>El Estado de Excepción en Venezuela</w:t>
        </w:r>
      </w:hyperlink>
      <w:r w:rsidRPr="00F85814">
        <w:rPr>
          <w:rFonts w:ascii="Cambria" w:hAnsi="Cambria"/>
          <w:color w:val="000000" w:themeColor="text1"/>
          <w:sz w:val="16"/>
          <w:szCs w:val="16"/>
          <w:lang w:val="es-US"/>
        </w:rPr>
        <w:t xml:space="preserve">, </w:t>
      </w:r>
      <w:r w:rsidR="00537200" w:rsidRPr="00F85814">
        <w:rPr>
          <w:rFonts w:ascii="Cambria" w:hAnsi="Cambria"/>
          <w:color w:val="000000" w:themeColor="text1"/>
          <w:sz w:val="16"/>
          <w:szCs w:val="16"/>
          <w:lang w:val="es-US"/>
        </w:rPr>
        <w:t xml:space="preserve">[The State of Emergency in Venezuela], July </w:t>
      </w:r>
      <w:r w:rsidRPr="00F85814">
        <w:rPr>
          <w:rFonts w:ascii="Cambria" w:hAnsi="Cambria"/>
          <w:color w:val="000000" w:themeColor="text1"/>
          <w:sz w:val="16"/>
          <w:szCs w:val="16"/>
          <w:lang w:val="es-US"/>
        </w:rPr>
        <w:t>20</w:t>
      </w:r>
      <w:r w:rsidR="00537200" w:rsidRPr="00F85814">
        <w:rPr>
          <w:rFonts w:ascii="Cambria" w:hAnsi="Cambria"/>
          <w:color w:val="000000" w:themeColor="text1"/>
          <w:sz w:val="16"/>
          <w:szCs w:val="16"/>
          <w:lang w:val="es-US"/>
        </w:rPr>
        <w:t>,</w:t>
      </w:r>
      <w:r w:rsidRPr="00F85814">
        <w:rPr>
          <w:rFonts w:ascii="Cambria" w:hAnsi="Cambria"/>
          <w:color w:val="000000" w:themeColor="text1"/>
          <w:sz w:val="16"/>
          <w:szCs w:val="16"/>
          <w:lang w:val="es-US"/>
        </w:rPr>
        <w:t xml:space="preserve"> 2020. </w:t>
      </w:r>
      <w:r w:rsidR="00537200">
        <w:rPr>
          <w:rFonts w:ascii="Cambria" w:hAnsi="Cambria"/>
          <w:color w:val="000000" w:themeColor="text1"/>
          <w:sz w:val="16"/>
          <w:szCs w:val="16"/>
        </w:rPr>
        <w:t>Also see: TSJ, Consti</w:t>
      </w:r>
      <w:r w:rsidR="0026751D">
        <w:rPr>
          <w:rFonts w:ascii="Cambria" w:hAnsi="Cambria"/>
          <w:color w:val="000000" w:themeColor="text1"/>
          <w:sz w:val="16"/>
          <w:szCs w:val="16"/>
        </w:rPr>
        <w:t>t</w:t>
      </w:r>
      <w:r w:rsidR="00537200">
        <w:rPr>
          <w:rFonts w:ascii="Cambria" w:hAnsi="Cambria"/>
          <w:color w:val="000000" w:themeColor="text1"/>
          <w:sz w:val="16"/>
          <w:szCs w:val="16"/>
        </w:rPr>
        <w:t xml:space="preserve">utional Chamber </w:t>
      </w:r>
      <w:r w:rsidR="0026751D">
        <w:rPr>
          <w:rFonts w:ascii="Cambria" w:hAnsi="Cambria"/>
          <w:color w:val="000000" w:themeColor="text1"/>
          <w:sz w:val="16"/>
          <w:szCs w:val="16"/>
        </w:rPr>
        <w:t>judgments</w:t>
      </w:r>
      <w:r w:rsidRPr="009035C0">
        <w:rPr>
          <w:rFonts w:ascii="Cambria" w:hAnsi="Cambria"/>
          <w:color w:val="000000" w:themeColor="text1"/>
          <w:sz w:val="16"/>
          <w:szCs w:val="16"/>
        </w:rPr>
        <w:t>: 20-01-2016; 17-03-2016; 19-05-2016; 19-07-2016; 21-09-2016; 21-11-2016; 19-01-2017; 20-03-2017; 24-05-2017; 25-07-2017; 25-09-2017; 22-11-2017; 17-01-2018; 20-03-2018; 20-03-2018; 23-05-2018; 25-07-2018; 20-09-2018; 22-11-2018; 25-01-2019; 28-03-2019; 23-05-2019; 18-07-2019; 24-09-2019; 22-11-2019; 14-01-2020; 19-03-2020; 15-05-2020; 15-05-2020; 13-07-2020.</w:t>
      </w:r>
    </w:p>
  </w:footnote>
  <w:footnote w:id="51">
    <w:p w14:paraId="7D9C95E7" w14:textId="32C82CBB" w:rsidR="00F520A3" w:rsidRPr="009035C0" w:rsidRDefault="00F520A3"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Pr="009035C0">
        <w:rPr>
          <w:rFonts w:ascii="Cambria" w:hAnsi="Cambria"/>
          <w:color w:val="000000" w:themeColor="text1"/>
          <w:sz w:val="16"/>
          <w:szCs w:val="16"/>
          <w:shd w:val="clear" w:color="auto" w:fill="FFFFFF"/>
        </w:rPr>
        <w:t>Art</w:t>
      </w:r>
      <w:r w:rsidR="00330AB4">
        <w:rPr>
          <w:rFonts w:ascii="Cambria" w:hAnsi="Cambria"/>
          <w:color w:val="000000" w:themeColor="text1"/>
          <w:sz w:val="16"/>
          <w:szCs w:val="16"/>
          <w:shd w:val="clear" w:color="auto" w:fill="FFFFFF"/>
        </w:rPr>
        <w:t>icle</w:t>
      </w:r>
      <w:r w:rsidRPr="009035C0">
        <w:rPr>
          <w:rFonts w:ascii="Cambria" w:hAnsi="Cambria"/>
          <w:color w:val="000000" w:themeColor="text1"/>
          <w:sz w:val="16"/>
          <w:szCs w:val="16"/>
          <w:shd w:val="clear" w:color="auto" w:fill="FFFFFF"/>
        </w:rPr>
        <w:t xml:space="preserve"> 339, C</w:t>
      </w:r>
      <w:r w:rsidR="00055F3D">
        <w:rPr>
          <w:rFonts w:ascii="Cambria" w:hAnsi="Cambria"/>
          <w:color w:val="000000" w:themeColor="text1"/>
          <w:sz w:val="16"/>
          <w:szCs w:val="16"/>
          <w:shd w:val="clear" w:color="auto" w:fill="FFFFFF"/>
        </w:rPr>
        <w:t>onstitution of the Bolivarian Republic: “</w:t>
      </w:r>
      <w:r w:rsidR="00F654E0">
        <w:rPr>
          <w:rFonts w:ascii="Cambria" w:hAnsi="Cambria"/>
          <w:color w:val="000000" w:themeColor="text1"/>
          <w:sz w:val="16"/>
          <w:szCs w:val="16"/>
          <w:shd w:val="clear" w:color="auto" w:fill="FFFFFF"/>
        </w:rPr>
        <w:t>A</w:t>
      </w:r>
      <w:r w:rsidR="00DB6164">
        <w:rPr>
          <w:rFonts w:ascii="Cambria" w:hAnsi="Cambria"/>
          <w:color w:val="000000" w:themeColor="text1"/>
          <w:sz w:val="16"/>
          <w:szCs w:val="16"/>
          <w:shd w:val="clear" w:color="auto" w:fill="FFFFFF"/>
        </w:rPr>
        <w:t xml:space="preserve"> </w:t>
      </w:r>
      <w:r w:rsidR="00055F3D">
        <w:rPr>
          <w:rFonts w:ascii="Cambria" w:hAnsi="Cambria"/>
          <w:color w:val="000000" w:themeColor="text1"/>
          <w:sz w:val="16"/>
          <w:szCs w:val="16"/>
          <w:shd w:val="clear" w:color="auto" w:fill="FFFFFF"/>
        </w:rPr>
        <w:t xml:space="preserve">decree </w:t>
      </w:r>
      <w:r w:rsidR="00DB6164">
        <w:rPr>
          <w:rFonts w:ascii="Cambria" w:hAnsi="Cambria"/>
          <w:color w:val="000000" w:themeColor="text1"/>
          <w:sz w:val="16"/>
          <w:szCs w:val="16"/>
          <w:shd w:val="clear" w:color="auto" w:fill="FFFFFF"/>
        </w:rPr>
        <w:t>declaring a state of</w:t>
      </w:r>
      <w:r w:rsidR="00673C7A">
        <w:rPr>
          <w:rFonts w:ascii="Cambria" w:hAnsi="Cambria"/>
          <w:color w:val="000000" w:themeColor="text1"/>
          <w:sz w:val="16"/>
          <w:szCs w:val="16"/>
          <w:shd w:val="clear" w:color="auto" w:fill="FFFFFF"/>
        </w:rPr>
        <w:t xml:space="preserve"> emergency</w:t>
      </w:r>
      <w:r w:rsidR="00DB6164">
        <w:rPr>
          <w:rFonts w:ascii="Cambria" w:hAnsi="Cambria"/>
          <w:color w:val="000000" w:themeColor="text1"/>
          <w:sz w:val="16"/>
          <w:szCs w:val="16"/>
          <w:shd w:val="clear" w:color="auto" w:fill="FFFFFF"/>
        </w:rPr>
        <w:t xml:space="preserve">, which </w:t>
      </w:r>
      <w:r w:rsidR="00BC5BE3">
        <w:rPr>
          <w:rFonts w:ascii="Cambria" w:hAnsi="Cambria"/>
          <w:color w:val="000000" w:themeColor="text1"/>
          <w:sz w:val="16"/>
          <w:szCs w:val="16"/>
          <w:shd w:val="clear" w:color="auto" w:fill="FFFFFF"/>
        </w:rPr>
        <w:t xml:space="preserve">will </w:t>
      </w:r>
      <w:r w:rsidR="00DB6164">
        <w:rPr>
          <w:rFonts w:ascii="Cambria" w:hAnsi="Cambria"/>
          <w:color w:val="000000" w:themeColor="text1"/>
          <w:sz w:val="16"/>
          <w:szCs w:val="16"/>
          <w:shd w:val="clear" w:color="auto" w:fill="FFFFFF"/>
        </w:rPr>
        <w:t>regulat</w:t>
      </w:r>
      <w:r w:rsidR="00D95BBE">
        <w:rPr>
          <w:rFonts w:ascii="Cambria" w:hAnsi="Cambria"/>
          <w:color w:val="000000" w:themeColor="text1"/>
          <w:sz w:val="16"/>
          <w:szCs w:val="16"/>
          <w:shd w:val="clear" w:color="auto" w:fill="FFFFFF"/>
        </w:rPr>
        <w:t>e</w:t>
      </w:r>
      <w:r w:rsidR="00DB6164">
        <w:rPr>
          <w:rFonts w:ascii="Cambria" w:hAnsi="Cambria"/>
          <w:color w:val="000000" w:themeColor="text1"/>
          <w:sz w:val="16"/>
          <w:szCs w:val="16"/>
          <w:shd w:val="clear" w:color="auto" w:fill="FFFFFF"/>
        </w:rPr>
        <w:t xml:space="preserve"> the</w:t>
      </w:r>
      <w:r w:rsidR="00A301AF">
        <w:rPr>
          <w:rFonts w:ascii="Cambria" w:hAnsi="Cambria"/>
          <w:color w:val="000000" w:themeColor="text1"/>
          <w:sz w:val="16"/>
          <w:szCs w:val="16"/>
          <w:shd w:val="clear" w:color="auto" w:fill="FFFFFF"/>
        </w:rPr>
        <w:t xml:space="preserve"> exercise of a</w:t>
      </w:r>
      <w:r w:rsidR="00DB6164">
        <w:rPr>
          <w:rFonts w:ascii="Cambria" w:hAnsi="Cambria"/>
          <w:color w:val="000000" w:themeColor="text1"/>
          <w:sz w:val="16"/>
          <w:szCs w:val="16"/>
          <w:shd w:val="clear" w:color="auto" w:fill="FFFFFF"/>
        </w:rPr>
        <w:t xml:space="preserve"> right whose guarantee is restricted, shall be submitted within eight days of promulgation for consideration and approval by the National Assembl</w:t>
      </w:r>
      <w:r w:rsidR="00E105E5">
        <w:rPr>
          <w:rFonts w:ascii="Cambria" w:hAnsi="Cambria"/>
          <w:color w:val="000000" w:themeColor="text1"/>
          <w:sz w:val="16"/>
          <w:szCs w:val="16"/>
          <w:shd w:val="clear" w:color="auto" w:fill="FFFFFF"/>
        </w:rPr>
        <w:t>y</w:t>
      </w:r>
      <w:r w:rsidR="00DB6164">
        <w:rPr>
          <w:rFonts w:ascii="Cambria" w:hAnsi="Cambria"/>
          <w:color w:val="000000" w:themeColor="text1"/>
          <w:sz w:val="16"/>
          <w:szCs w:val="16"/>
          <w:shd w:val="clear" w:color="auto" w:fill="FFFFFF"/>
        </w:rPr>
        <w:t>, or Delegated Committee and for a ruling by the Constitu</w:t>
      </w:r>
      <w:r w:rsidR="00400868">
        <w:rPr>
          <w:rFonts w:ascii="Cambria" w:hAnsi="Cambria"/>
          <w:color w:val="000000" w:themeColor="text1"/>
          <w:sz w:val="16"/>
          <w:szCs w:val="16"/>
          <w:shd w:val="clear" w:color="auto" w:fill="FFFFFF"/>
        </w:rPr>
        <w:t xml:space="preserve">tional Chamber of the Supreme Court of Justice on its constitutionality. </w:t>
      </w:r>
      <w:r w:rsidR="00955362">
        <w:rPr>
          <w:rFonts w:ascii="Cambria" w:hAnsi="Cambria"/>
          <w:color w:val="000000" w:themeColor="text1"/>
          <w:sz w:val="16"/>
          <w:szCs w:val="16"/>
          <w:shd w:val="clear" w:color="auto" w:fill="FFFFFF"/>
        </w:rPr>
        <w:t>The Decree mus</w:t>
      </w:r>
      <w:r w:rsidR="00737198">
        <w:rPr>
          <w:rFonts w:ascii="Cambria" w:hAnsi="Cambria"/>
          <w:color w:val="000000" w:themeColor="text1"/>
          <w:sz w:val="16"/>
          <w:szCs w:val="16"/>
          <w:shd w:val="clear" w:color="auto" w:fill="FFFFFF"/>
        </w:rPr>
        <w:t>t</w:t>
      </w:r>
      <w:r w:rsidR="00955362">
        <w:rPr>
          <w:rFonts w:ascii="Cambria" w:hAnsi="Cambria"/>
          <w:color w:val="000000" w:themeColor="text1"/>
          <w:sz w:val="16"/>
          <w:szCs w:val="16"/>
          <w:shd w:val="clear" w:color="auto" w:fill="FFFFFF"/>
        </w:rPr>
        <w:t xml:space="preserve"> be in compliance with the requirements, principles and guarantees established in the International Coven</w:t>
      </w:r>
      <w:r w:rsidR="00995A3F">
        <w:rPr>
          <w:rFonts w:ascii="Cambria" w:hAnsi="Cambria"/>
          <w:color w:val="000000" w:themeColor="text1"/>
          <w:sz w:val="16"/>
          <w:szCs w:val="16"/>
          <w:shd w:val="clear" w:color="auto" w:fill="FFFFFF"/>
        </w:rPr>
        <w:t xml:space="preserve">ant </w:t>
      </w:r>
      <w:r w:rsidR="00737198">
        <w:rPr>
          <w:rFonts w:ascii="Cambria" w:hAnsi="Cambria"/>
          <w:color w:val="000000" w:themeColor="text1"/>
          <w:sz w:val="16"/>
          <w:szCs w:val="16"/>
          <w:shd w:val="clear" w:color="auto" w:fill="FFFFFF"/>
        </w:rPr>
        <w:t>on Civil and Political Rights and in the American Convention on Human Rights</w:t>
      </w:r>
      <w:r w:rsidR="00BB0333">
        <w:rPr>
          <w:rFonts w:ascii="Cambria" w:hAnsi="Cambria"/>
          <w:color w:val="000000" w:themeColor="text1"/>
          <w:sz w:val="16"/>
          <w:szCs w:val="16"/>
          <w:shd w:val="clear" w:color="auto" w:fill="FFFFFF"/>
        </w:rPr>
        <w:t xml:space="preserve">. </w:t>
      </w:r>
      <w:r w:rsidR="005B4BC9">
        <w:rPr>
          <w:rFonts w:ascii="Cambria" w:hAnsi="Cambria"/>
          <w:color w:val="000000" w:themeColor="text1"/>
          <w:sz w:val="16"/>
          <w:szCs w:val="16"/>
          <w:shd w:val="clear" w:color="auto" w:fill="FFFFFF"/>
        </w:rPr>
        <w:t xml:space="preserve">The president of the Republic may request an extension thereof for an period of time </w:t>
      </w:r>
      <w:r w:rsidR="0007513F">
        <w:rPr>
          <w:rFonts w:ascii="Cambria" w:hAnsi="Cambria"/>
          <w:color w:val="000000" w:themeColor="text1"/>
          <w:sz w:val="16"/>
          <w:szCs w:val="16"/>
          <w:shd w:val="clear" w:color="auto" w:fill="FFFFFF"/>
        </w:rPr>
        <w:t xml:space="preserve">equal in length </w:t>
      </w:r>
      <w:r w:rsidR="005B4BC9">
        <w:rPr>
          <w:rFonts w:ascii="Cambria" w:hAnsi="Cambria"/>
          <w:color w:val="000000" w:themeColor="text1"/>
          <w:sz w:val="16"/>
          <w:szCs w:val="16"/>
          <w:shd w:val="clear" w:color="auto" w:fill="FFFFFF"/>
        </w:rPr>
        <w:t xml:space="preserve">and it shall be revoked by the National Executive or by the National Assembly or by its Delegated Commission, prior to the aforementioned period of time, upon the cessation of the reasons that </w:t>
      </w:r>
      <w:r w:rsidR="00E47278">
        <w:rPr>
          <w:rFonts w:ascii="Cambria" w:hAnsi="Cambria"/>
          <w:color w:val="000000" w:themeColor="text1"/>
          <w:sz w:val="16"/>
          <w:szCs w:val="16"/>
          <w:shd w:val="clear" w:color="auto" w:fill="FFFFFF"/>
        </w:rPr>
        <w:t>gave rise to it</w:t>
      </w:r>
      <w:r w:rsidR="004A352E">
        <w:rPr>
          <w:rFonts w:ascii="Cambria" w:hAnsi="Cambria"/>
          <w:color w:val="000000" w:themeColor="text1"/>
          <w:sz w:val="16"/>
          <w:szCs w:val="16"/>
          <w:shd w:val="clear" w:color="auto" w:fill="FFFFFF"/>
        </w:rPr>
        <w:t>.  The declaration of the state of emergency does not interrupt the functioning of the organs of the Public Administr</w:t>
      </w:r>
      <w:r w:rsidR="00292A51">
        <w:rPr>
          <w:rFonts w:ascii="Cambria" w:hAnsi="Cambria"/>
          <w:color w:val="000000" w:themeColor="text1"/>
          <w:sz w:val="16"/>
          <w:szCs w:val="16"/>
          <w:shd w:val="clear" w:color="auto" w:fill="FFFFFF"/>
        </w:rPr>
        <w:t>a</w:t>
      </w:r>
      <w:r w:rsidR="004A352E">
        <w:rPr>
          <w:rFonts w:ascii="Cambria" w:hAnsi="Cambria"/>
          <w:color w:val="000000" w:themeColor="text1"/>
          <w:sz w:val="16"/>
          <w:szCs w:val="16"/>
          <w:shd w:val="clear" w:color="auto" w:fill="FFFFFF"/>
        </w:rPr>
        <w:t>tion.”</w:t>
      </w:r>
    </w:p>
  </w:footnote>
  <w:footnote w:id="52">
    <w:p w14:paraId="075B998F" w14:textId="567ABA31" w:rsidR="00F520A3" w:rsidRPr="009035C0" w:rsidRDefault="00F520A3"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330AB4">
        <w:rPr>
          <w:rFonts w:ascii="Cambria" w:hAnsi="Cambria"/>
          <w:color w:val="000000" w:themeColor="text1"/>
          <w:sz w:val="16"/>
          <w:szCs w:val="16"/>
        </w:rPr>
        <w:t>IA Court of HR. Case of</w:t>
      </w:r>
      <w:r w:rsidRPr="009035C0">
        <w:rPr>
          <w:rFonts w:ascii="Cambria" w:hAnsi="Cambria"/>
          <w:color w:val="000000" w:themeColor="text1"/>
          <w:sz w:val="16"/>
          <w:szCs w:val="16"/>
          <w:shd w:val="clear" w:color="auto" w:fill="FFFFFF"/>
        </w:rPr>
        <w:t xml:space="preserve"> Zambrano Vélez </w:t>
      </w:r>
      <w:r w:rsidR="00330AB4">
        <w:rPr>
          <w:rFonts w:ascii="Cambria" w:hAnsi="Cambria"/>
          <w:color w:val="000000" w:themeColor="text1"/>
          <w:sz w:val="16"/>
          <w:szCs w:val="16"/>
          <w:shd w:val="clear" w:color="auto" w:fill="FFFFFF"/>
        </w:rPr>
        <w:t>et al v.</w:t>
      </w:r>
      <w:r w:rsidRPr="009035C0">
        <w:rPr>
          <w:rFonts w:ascii="Cambria" w:hAnsi="Cambria"/>
          <w:color w:val="000000" w:themeColor="text1"/>
          <w:sz w:val="16"/>
          <w:szCs w:val="16"/>
          <w:shd w:val="clear" w:color="auto" w:fill="FFFFFF"/>
        </w:rPr>
        <w:t xml:space="preserve"> Ecuador. </w:t>
      </w:r>
      <w:r w:rsidR="00330AB4">
        <w:rPr>
          <w:rFonts w:ascii="Cambria" w:hAnsi="Cambria"/>
          <w:color w:val="000000" w:themeColor="text1"/>
          <w:sz w:val="16"/>
          <w:szCs w:val="16"/>
          <w:shd w:val="clear" w:color="auto" w:fill="FFFFFF"/>
        </w:rPr>
        <w:t xml:space="preserve">Merits, Reparations and Costs. Judgment July </w:t>
      </w:r>
      <w:r w:rsidRPr="009035C0">
        <w:rPr>
          <w:rFonts w:ascii="Cambria" w:hAnsi="Cambria"/>
          <w:color w:val="000000" w:themeColor="text1"/>
          <w:sz w:val="16"/>
          <w:szCs w:val="16"/>
          <w:shd w:val="clear" w:color="auto" w:fill="FFFFFF"/>
        </w:rPr>
        <w:t xml:space="preserve"> 4</w:t>
      </w:r>
      <w:r w:rsidR="00330AB4">
        <w:rPr>
          <w:rFonts w:ascii="Cambria" w:hAnsi="Cambria"/>
          <w:color w:val="000000" w:themeColor="text1"/>
          <w:sz w:val="16"/>
          <w:szCs w:val="16"/>
          <w:shd w:val="clear" w:color="auto" w:fill="FFFFFF"/>
        </w:rPr>
        <w:t>,</w:t>
      </w:r>
      <w:r w:rsidRPr="009035C0">
        <w:rPr>
          <w:rFonts w:ascii="Cambria" w:hAnsi="Cambria"/>
          <w:color w:val="000000" w:themeColor="text1"/>
          <w:sz w:val="16"/>
          <w:szCs w:val="16"/>
          <w:shd w:val="clear" w:color="auto" w:fill="FFFFFF"/>
        </w:rPr>
        <w:t xml:space="preserve"> 2007. Serie</w:t>
      </w:r>
      <w:r w:rsidR="00330AB4">
        <w:rPr>
          <w:rFonts w:ascii="Cambria" w:hAnsi="Cambria"/>
          <w:color w:val="000000" w:themeColor="text1"/>
          <w:sz w:val="16"/>
          <w:szCs w:val="16"/>
          <w:shd w:val="clear" w:color="auto" w:fill="FFFFFF"/>
        </w:rPr>
        <w:t>s</w:t>
      </w:r>
      <w:r w:rsidRPr="009035C0">
        <w:rPr>
          <w:rFonts w:ascii="Cambria" w:hAnsi="Cambria"/>
          <w:color w:val="000000" w:themeColor="text1"/>
          <w:sz w:val="16"/>
          <w:szCs w:val="16"/>
          <w:shd w:val="clear" w:color="auto" w:fill="FFFFFF"/>
        </w:rPr>
        <w:t xml:space="preserve"> C No. 166, p</w:t>
      </w:r>
      <w:r w:rsidR="00D85580">
        <w:rPr>
          <w:rFonts w:ascii="Cambria" w:hAnsi="Cambria"/>
          <w:color w:val="000000" w:themeColor="text1"/>
          <w:sz w:val="16"/>
          <w:szCs w:val="16"/>
          <w:shd w:val="clear" w:color="auto" w:fill="FFFFFF"/>
        </w:rPr>
        <w:t>a</w:t>
      </w:r>
      <w:r w:rsidRPr="009035C0">
        <w:rPr>
          <w:rFonts w:ascii="Cambria" w:hAnsi="Cambria"/>
          <w:color w:val="000000" w:themeColor="text1"/>
          <w:sz w:val="16"/>
          <w:szCs w:val="16"/>
          <w:shd w:val="clear" w:color="auto" w:fill="FFFFFF"/>
        </w:rPr>
        <w:t>r. 47.</w:t>
      </w:r>
    </w:p>
  </w:footnote>
  <w:footnote w:id="53">
    <w:p w14:paraId="6E2F72E1" w14:textId="73456999" w:rsidR="00FA28D0" w:rsidRPr="009035C0" w:rsidRDefault="00FA28D0"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006551A4" w:rsidRPr="009035C0">
        <w:rPr>
          <w:rFonts w:ascii="Cambria" w:hAnsi="Cambria"/>
          <w:color w:val="000000" w:themeColor="text1"/>
          <w:sz w:val="16"/>
          <w:szCs w:val="16"/>
        </w:rPr>
        <w:t xml:space="preserve"> D</w:t>
      </w:r>
      <w:r w:rsidR="00D12F60">
        <w:rPr>
          <w:rFonts w:ascii="Cambria" w:hAnsi="Cambria"/>
          <w:color w:val="000000" w:themeColor="text1"/>
          <w:sz w:val="16"/>
          <w:szCs w:val="16"/>
        </w:rPr>
        <w:t xml:space="preserve">ecree </w:t>
      </w:r>
      <w:r w:rsidRPr="009035C0">
        <w:rPr>
          <w:rFonts w:ascii="Cambria" w:hAnsi="Cambria"/>
          <w:color w:val="000000" w:themeColor="text1"/>
          <w:sz w:val="16"/>
          <w:szCs w:val="16"/>
        </w:rPr>
        <w:t xml:space="preserve">No.2.830 </w:t>
      </w:r>
      <w:r w:rsidR="00D12F60">
        <w:rPr>
          <w:rFonts w:ascii="Cambria" w:hAnsi="Cambria"/>
          <w:color w:val="000000" w:themeColor="text1"/>
          <w:sz w:val="16"/>
          <w:szCs w:val="16"/>
        </w:rPr>
        <w:t xml:space="preserve">of May </w:t>
      </w:r>
      <w:r w:rsidRPr="009035C0">
        <w:rPr>
          <w:rFonts w:ascii="Cambria" w:hAnsi="Cambria"/>
          <w:color w:val="000000" w:themeColor="text1"/>
          <w:sz w:val="16"/>
          <w:szCs w:val="16"/>
        </w:rPr>
        <w:t>1</w:t>
      </w:r>
      <w:r w:rsidR="00D12F60">
        <w:rPr>
          <w:rFonts w:ascii="Cambria" w:hAnsi="Cambria"/>
          <w:color w:val="000000" w:themeColor="text1"/>
          <w:sz w:val="16"/>
          <w:szCs w:val="16"/>
        </w:rPr>
        <w:t>,</w:t>
      </w:r>
      <w:r w:rsidRPr="009035C0">
        <w:rPr>
          <w:rFonts w:ascii="Cambria" w:hAnsi="Cambria"/>
          <w:color w:val="000000" w:themeColor="text1"/>
          <w:sz w:val="16"/>
          <w:szCs w:val="16"/>
        </w:rPr>
        <w:t xml:space="preserve"> 2017.</w:t>
      </w:r>
    </w:p>
  </w:footnote>
  <w:footnote w:id="54">
    <w:p w14:paraId="298E4ABF" w14:textId="66BA5179" w:rsidR="006551A4" w:rsidRPr="009035C0" w:rsidRDefault="006551A4"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Art</w:t>
      </w:r>
      <w:r w:rsidR="00FF0392">
        <w:rPr>
          <w:rFonts w:ascii="Cambria" w:hAnsi="Cambria"/>
          <w:color w:val="000000" w:themeColor="text1"/>
          <w:sz w:val="16"/>
          <w:szCs w:val="16"/>
        </w:rPr>
        <w:t>icle</w:t>
      </w:r>
      <w:r w:rsidR="009C5DA1" w:rsidRPr="009035C0">
        <w:rPr>
          <w:rFonts w:ascii="Cambria" w:hAnsi="Cambria"/>
          <w:color w:val="000000" w:themeColor="text1"/>
          <w:sz w:val="16"/>
          <w:szCs w:val="16"/>
        </w:rPr>
        <w:t xml:space="preserve"> 347, </w:t>
      </w:r>
      <w:r w:rsidR="00FF0392">
        <w:rPr>
          <w:rFonts w:ascii="Cambria" w:hAnsi="Cambria"/>
          <w:color w:val="000000" w:themeColor="text1"/>
          <w:sz w:val="16"/>
          <w:szCs w:val="16"/>
        </w:rPr>
        <w:t xml:space="preserve">Constitution of the Bolivarian Republic of Venezuela </w:t>
      </w:r>
    </w:p>
  </w:footnote>
  <w:footnote w:id="55">
    <w:p w14:paraId="7FC8F830" w14:textId="283661C5" w:rsidR="006551A4" w:rsidRPr="009035C0" w:rsidRDefault="006551A4"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835EB1" w:rsidRPr="00E7771A">
        <w:rPr>
          <w:rFonts w:ascii="Cambria" w:hAnsi="Cambria"/>
          <w:color w:val="000000" w:themeColor="text1"/>
          <w:sz w:val="16"/>
          <w:szCs w:val="16"/>
          <w:lang w:val="es-US"/>
        </w:rPr>
        <w:t> </w:t>
      </w:r>
      <w:r w:rsidR="00993558" w:rsidRPr="00E7771A">
        <w:rPr>
          <w:rFonts w:ascii="Cambria" w:hAnsi="Cambria"/>
          <w:color w:val="000000" w:themeColor="text1"/>
          <w:sz w:val="16"/>
          <w:szCs w:val="16"/>
          <w:lang w:val="es-US"/>
        </w:rPr>
        <w:t xml:space="preserve">IACHR, </w:t>
      </w:r>
      <w:hyperlink r:id="rId24" w:history="1">
        <w:r w:rsidR="00835EB1" w:rsidRPr="00E7771A">
          <w:rPr>
            <w:rFonts w:ascii="Cambria" w:hAnsi="Cambria"/>
            <w:color w:val="000000" w:themeColor="text1"/>
            <w:sz w:val="16"/>
            <w:szCs w:val="16"/>
            <w:u w:val="single"/>
            <w:lang w:val="es-US"/>
          </w:rPr>
          <w:t>Situación de los derechos Humanos en Venezuela – “Institucionalidad democrática, Estado de Derecho y derechos humanos en Venezuela”</w:t>
        </w:r>
      </w:hyperlink>
      <w:r w:rsidR="00835EB1" w:rsidRPr="00E7771A">
        <w:rPr>
          <w:rFonts w:ascii="Cambria" w:hAnsi="Cambria"/>
          <w:color w:val="000000" w:themeColor="text1"/>
          <w:sz w:val="16"/>
          <w:szCs w:val="16"/>
          <w:lang w:val="es-US"/>
        </w:rPr>
        <w:t xml:space="preserve">, </w:t>
      </w:r>
      <w:r w:rsidR="00055F3D" w:rsidRPr="00E7771A">
        <w:rPr>
          <w:rFonts w:ascii="Cambria" w:hAnsi="Cambria"/>
          <w:color w:val="000000" w:themeColor="text1"/>
          <w:sz w:val="16"/>
          <w:szCs w:val="16"/>
          <w:lang w:val="es-US"/>
        </w:rPr>
        <w:t xml:space="preserve">Situation of Human Rights in Venezuela – Democratic Institutions. </w:t>
      </w:r>
      <w:r w:rsidR="00055F3D">
        <w:rPr>
          <w:rFonts w:ascii="Cambria" w:hAnsi="Cambria"/>
          <w:color w:val="000000" w:themeColor="text1"/>
          <w:sz w:val="16"/>
          <w:szCs w:val="16"/>
        </w:rPr>
        <w:t xml:space="preserve">Rule of Law and Human Rights in Venezuela. </w:t>
      </w:r>
      <w:r w:rsidR="00055F3D" w:rsidRPr="009035C0">
        <w:rPr>
          <w:rFonts w:ascii="Cambria" w:hAnsi="Cambria"/>
          <w:color w:val="000000" w:themeColor="text1"/>
          <w:sz w:val="16"/>
          <w:szCs w:val="16"/>
        </w:rPr>
        <w:t>2017, p</w:t>
      </w:r>
      <w:r w:rsidR="00055F3D">
        <w:rPr>
          <w:rFonts w:ascii="Cambria" w:hAnsi="Cambria"/>
          <w:color w:val="000000" w:themeColor="text1"/>
          <w:sz w:val="16"/>
          <w:szCs w:val="16"/>
        </w:rPr>
        <w:t>a</w:t>
      </w:r>
      <w:r w:rsidR="00055F3D" w:rsidRPr="009035C0">
        <w:rPr>
          <w:rFonts w:ascii="Cambria" w:hAnsi="Cambria"/>
          <w:color w:val="000000" w:themeColor="text1"/>
          <w:sz w:val="16"/>
          <w:szCs w:val="16"/>
        </w:rPr>
        <w:t>r</w:t>
      </w:r>
      <w:r w:rsidR="00835EB1" w:rsidRPr="009035C0">
        <w:rPr>
          <w:rFonts w:ascii="Cambria" w:hAnsi="Cambria"/>
          <w:color w:val="000000" w:themeColor="text1"/>
          <w:sz w:val="16"/>
          <w:szCs w:val="16"/>
        </w:rPr>
        <w:t>. 115.</w:t>
      </w:r>
    </w:p>
  </w:footnote>
  <w:footnote w:id="56">
    <w:p w14:paraId="12C3B44C" w14:textId="4D95780D" w:rsidR="009C5DA1" w:rsidRPr="009035C0" w:rsidRDefault="009C5DA1"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20239">
        <w:rPr>
          <w:rFonts w:ascii="Cambria" w:hAnsi="Cambria"/>
          <w:color w:val="000000" w:themeColor="text1"/>
          <w:sz w:val="16"/>
          <w:szCs w:val="16"/>
        </w:rPr>
        <w:t>International Commission of Jurists. No Room for Debate: The National Constituent Assembly and the Crumbling of the Rule of Law in Venezuela, 2017, pgs</w:t>
      </w:r>
      <w:r w:rsidRPr="009035C0">
        <w:rPr>
          <w:rFonts w:ascii="Cambria" w:hAnsi="Cambria"/>
          <w:color w:val="000000" w:themeColor="text1"/>
          <w:sz w:val="16"/>
          <w:szCs w:val="16"/>
        </w:rPr>
        <w:t>. 21, 25.</w:t>
      </w:r>
    </w:p>
  </w:footnote>
  <w:footnote w:id="57">
    <w:p w14:paraId="2BCD00EE" w14:textId="3AE4C897" w:rsidR="009C5DA1" w:rsidRPr="009035C0" w:rsidRDefault="009C5DA1"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116B2B">
        <w:rPr>
          <w:rFonts w:ascii="Cambria" w:hAnsi="Cambria"/>
          <w:color w:val="000000" w:themeColor="text1"/>
          <w:sz w:val="16"/>
          <w:szCs w:val="16"/>
        </w:rPr>
        <w:t>Global Alliance of National Institutions for the Promotion and Protection of Human Rights. Report and recommendations of the Accreditation Subcommittee session of May 9 to 13, 2016, pg. 56.</w:t>
      </w:r>
    </w:p>
  </w:footnote>
  <w:footnote w:id="58">
    <w:p w14:paraId="346D7CDC" w14:textId="37104A7B" w:rsidR="006A4855" w:rsidRPr="009035C0" w:rsidRDefault="006A4855"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F60D7E">
        <w:rPr>
          <w:rFonts w:ascii="Cambria" w:hAnsi="Cambria"/>
          <w:color w:val="000000" w:themeColor="text1"/>
          <w:sz w:val="16"/>
          <w:szCs w:val="16"/>
        </w:rPr>
        <w:t xml:space="preserve">IACHR, Press Release </w:t>
      </w:r>
      <w:hyperlink r:id="rId25" w:history="1">
        <w:r w:rsidRPr="009035C0">
          <w:rPr>
            <w:rFonts w:ascii="Cambria" w:hAnsi="Cambria"/>
            <w:color w:val="000000" w:themeColor="text1"/>
            <w:sz w:val="16"/>
            <w:szCs w:val="16"/>
            <w:u w:val="single"/>
          </w:rPr>
          <w:t>Comunicado de Prensa 112/2018</w:t>
        </w:r>
      </w:hyperlink>
      <w:r w:rsidRPr="009035C0">
        <w:rPr>
          <w:rFonts w:ascii="Cambria" w:hAnsi="Cambria"/>
          <w:color w:val="000000" w:themeColor="text1"/>
          <w:sz w:val="16"/>
          <w:szCs w:val="16"/>
        </w:rPr>
        <w:t xml:space="preserve">, </w:t>
      </w:r>
      <w:r w:rsidR="00DC57E5">
        <w:rPr>
          <w:rFonts w:ascii="Cambria" w:hAnsi="Cambria"/>
          <w:color w:val="000000" w:themeColor="text1"/>
          <w:sz w:val="16"/>
          <w:szCs w:val="16"/>
        </w:rPr>
        <w:t xml:space="preserve">IACHR Warns about </w:t>
      </w:r>
      <w:r w:rsidR="00E90193">
        <w:rPr>
          <w:rFonts w:ascii="Cambria" w:hAnsi="Cambria"/>
          <w:color w:val="000000" w:themeColor="text1"/>
          <w:sz w:val="16"/>
          <w:szCs w:val="16"/>
        </w:rPr>
        <w:t xml:space="preserve">Lack of Adequate Conditions to Hold </w:t>
      </w:r>
      <w:r w:rsidR="00BA273E">
        <w:rPr>
          <w:rFonts w:ascii="Cambria" w:hAnsi="Cambria"/>
          <w:color w:val="000000" w:themeColor="text1"/>
          <w:sz w:val="16"/>
          <w:szCs w:val="16"/>
        </w:rPr>
        <w:t>Free and Fair Elections in Venezuela.</w:t>
      </w:r>
      <w:r w:rsidRPr="009035C0">
        <w:rPr>
          <w:rFonts w:ascii="Cambria" w:hAnsi="Cambria"/>
          <w:color w:val="000000" w:themeColor="text1"/>
          <w:sz w:val="16"/>
          <w:szCs w:val="16"/>
        </w:rPr>
        <w:t xml:space="preserve"> </w:t>
      </w:r>
      <w:r w:rsidR="00F02A52">
        <w:rPr>
          <w:rFonts w:ascii="Cambria" w:hAnsi="Cambria"/>
          <w:color w:val="000000" w:themeColor="text1"/>
          <w:sz w:val="16"/>
          <w:szCs w:val="16"/>
        </w:rPr>
        <w:t xml:space="preserve">May </w:t>
      </w:r>
      <w:r w:rsidRPr="009035C0">
        <w:rPr>
          <w:rFonts w:ascii="Cambria" w:hAnsi="Cambria"/>
          <w:color w:val="000000" w:themeColor="text1"/>
          <w:sz w:val="16"/>
          <w:szCs w:val="16"/>
        </w:rPr>
        <w:t>18</w:t>
      </w:r>
      <w:r w:rsidR="00F02A52">
        <w:rPr>
          <w:rFonts w:ascii="Cambria" w:hAnsi="Cambria"/>
          <w:color w:val="000000" w:themeColor="text1"/>
          <w:sz w:val="16"/>
          <w:szCs w:val="16"/>
        </w:rPr>
        <w:t>,</w:t>
      </w:r>
      <w:r w:rsidRPr="009035C0">
        <w:rPr>
          <w:rFonts w:ascii="Cambria" w:hAnsi="Cambria"/>
          <w:color w:val="000000" w:themeColor="text1"/>
          <w:sz w:val="16"/>
          <w:szCs w:val="16"/>
        </w:rPr>
        <w:t xml:space="preserve"> 2018.</w:t>
      </w:r>
    </w:p>
  </w:footnote>
  <w:footnote w:id="59">
    <w:p w14:paraId="4543ABAC" w14:textId="7CE82844" w:rsidR="006A4855" w:rsidRPr="009035C0" w:rsidRDefault="006A4855"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7D2246">
        <w:rPr>
          <w:rFonts w:ascii="Cambria" w:hAnsi="Cambria"/>
          <w:color w:val="000000" w:themeColor="text1"/>
          <w:sz w:val="16"/>
          <w:szCs w:val="16"/>
        </w:rPr>
        <w:t xml:space="preserve">IACHR, Press Release </w:t>
      </w:r>
      <w:hyperlink r:id="rId26" w:history="1">
        <w:r w:rsidRPr="009035C0">
          <w:rPr>
            <w:rFonts w:ascii="Cambria" w:hAnsi="Cambria"/>
            <w:color w:val="000000" w:themeColor="text1"/>
            <w:sz w:val="16"/>
            <w:szCs w:val="16"/>
            <w:u w:val="single"/>
          </w:rPr>
          <w:t>Comunicado de Prensa 005/2019</w:t>
        </w:r>
      </w:hyperlink>
      <w:r w:rsidRPr="009035C0">
        <w:rPr>
          <w:rFonts w:ascii="Cambria" w:hAnsi="Cambria"/>
          <w:color w:val="000000" w:themeColor="text1"/>
          <w:sz w:val="16"/>
          <w:szCs w:val="16"/>
        </w:rPr>
        <w:t xml:space="preserve">, </w:t>
      </w:r>
      <w:r w:rsidR="00C75F9E">
        <w:rPr>
          <w:rFonts w:ascii="Cambria" w:hAnsi="Cambria"/>
          <w:color w:val="000000" w:themeColor="text1"/>
          <w:sz w:val="16"/>
          <w:szCs w:val="16"/>
        </w:rPr>
        <w:t xml:space="preserve">IACHR Alerts About Further Weakening of Rule of Law in Venezuela Ahead of New Presidential Mandate, January 9, </w:t>
      </w:r>
      <w:r w:rsidRPr="009035C0">
        <w:rPr>
          <w:rFonts w:ascii="Cambria" w:hAnsi="Cambria"/>
          <w:color w:val="000000" w:themeColor="text1"/>
          <w:sz w:val="16"/>
          <w:szCs w:val="16"/>
        </w:rPr>
        <w:t>2019.</w:t>
      </w:r>
    </w:p>
  </w:footnote>
  <w:footnote w:id="60">
    <w:p w14:paraId="03EF781B" w14:textId="7FC74160" w:rsidR="001E3479" w:rsidRPr="009035C0" w:rsidRDefault="001E3479"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7B70D7">
        <w:rPr>
          <w:rFonts w:ascii="Cambria" w:hAnsi="Cambria"/>
          <w:color w:val="000000" w:themeColor="text1"/>
          <w:sz w:val="16"/>
          <w:szCs w:val="16"/>
          <w:shd w:val="clear" w:color="auto" w:fill="FFFFFF"/>
        </w:rPr>
        <w:t>Special Rapporteurship for Freedom of Expression of the Inter-American Commission on Human Rights</w:t>
      </w:r>
      <w:r w:rsidR="00123562">
        <w:rPr>
          <w:rFonts w:ascii="Cambria" w:hAnsi="Cambria"/>
          <w:color w:val="000000" w:themeColor="text1"/>
          <w:sz w:val="16"/>
          <w:szCs w:val="16"/>
          <w:shd w:val="clear" w:color="auto" w:fill="FFFFFF"/>
        </w:rPr>
        <w:t>, Press Release</w:t>
      </w:r>
      <w:r w:rsidRPr="009035C0">
        <w:rPr>
          <w:rFonts w:ascii="Cambria" w:hAnsi="Cambria"/>
          <w:color w:val="000000" w:themeColor="text1"/>
          <w:sz w:val="16"/>
          <w:szCs w:val="16"/>
          <w:shd w:val="clear" w:color="auto" w:fill="FFFFFF"/>
        </w:rPr>
        <w:t>, </w:t>
      </w:r>
      <w:hyperlink r:id="rId27" w:history="1">
        <w:r w:rsidRPr="009035C0">
          <w:rPr>
            <w:rFonts w:ascii="Cambria" w:hAnsi="Cambria"/>
            <w:color w:val="000000" w:themeColor="text1"/>
            <w:sz w:val="16"/>
            <w:szCs w:val="16"/>
            <w:u w:val="single"/>
          </w:rPr>
          <w:t>Comunicado de prensa R179/17</w:t>
        </w:r>
      </w:hyperlink>
      <w:r w:rsidRPr="009035C0">
        <w:rPr>
          <w:rFonts w:ascii="Cambria" w:hAnsi="Cambria"/>
          <w:color w:val="000000" w:themeColor="text1"/>
          <w:sz w:val="16"/>
          <w:szCs w:val="16"/>
        </w:rPr>
        <w:t xml:space="preserve">, </w:t>
      </w:r>
      <w:r w:rsidR="00C74F27">
        <w:rPr>
          <w:rFonts w:ascii="Cambria" w:hAnsi="Cambria"/>
          <w:color w:val="000000" w:themeColor="text1"/>
          <w:sz w:val="16"/>
          <w:szCs w:val="16"/>
        </w:rPr>
        <w:t xml:space="preserve">November </w:t>
      </w:r>
      <w:r w:rsidRPr="009035C0">
        <w:rPr>
          <w:rFonts w:ascii="Cambria" w:hAnsi="Cambria"/>
          <w:color w:val="000000" w:themeColor="text1"/>
          <w:sz w:val="16"/>
          <w:szCs w:val="16"/>
        </w:rPr>
        <w:t>10</w:t>
      </w:r>
      <w:r w:rsidR="00C74F27">
        <w:rPr>
          <w:rFonts w:ascii="Cambria" w:hAnsi="Cambria"/>
          <w:color w:val="000000" w:themeColor="text1"/>
          <w:sz w:val="16"/>
          <w:szCs w:val="16"/>
        </w:rPr>
        <w:t>,</w:t>
      </w:r>
      <w:r w:rsidRPr="009035C0">
        <w:rPr>
          <w:rFonts w:ascii="Cambria" w:hAnsi="Cambria"/>
          <w:color w:val="000000" w:themeColor="text1"/>
          <w:sz w:val="16"/>
          <w:szCs w:val="16"/>
        </w:rPr>
        <w:t xml:space="preserve"> 2017.</w:t>
      </w:r>
    </w:p>
  </w:footnote>
  <w:footnote w:id="61">
    <w:p w14:paraId="70829E66" w14:textId="599C0A6F" w:rsidR="00A10E16" w:rsidRPr="009035C0" w:rsidRDefault="00A10E1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Pr="009035C0">
        <w:rPr>
          <w:rFonts w:ascii="Cambria" w:eastAsia="Cambria" w:hAnsi="Cambria" w:cs="Cambria"/>
          <w:color w:val="000000" w:themeColor="text1"/>
          <w:sz w:val="16"/>
          <w:szCs w:val="16"/>
        </w:rPr>
        <w:t>Acces</w:t>
      </w:r>
      <w:r w:rsidR="00492D05">
        <w:rPr>
          <w:rFonts w:ascii="Cambria" w:eastAsia="Cambria" w:hAnsi="Cambria" w:cs="Cambria"/>
          <w:color w:val="000000" w:themeColor="text1"/>
          <w:sz w:val="16"/>
          <w:szCs w:val="16"/>
        </w:rPr>
        <w:t>o a Justicia</w:t>
      </w:r>
      <w:r w:rsidRPr="009035C0">
        <w:rPr>
          <w:rFonts w:ascii="Cambria" w:eastAsia="Cambria" w:hAnsi="Cambria" w:cs="Cambria"/>
          <w:color w:val="000000" w:themeColor="text1"/>
          <w:sz w:val="16"/>
          <w:szCs w:val="16"/>
        </w:rPr>
        <w:t xml:space="preserve">, </w:t>
      </w:r>
      <w:hyperlink r:id="rId28">
        <w:r w:rsidRPr="009035C0">
          <w:rPr>
            <w:rFonts w:ascii="Cambria" w:eastAsia="Cambria" w:hAnsi="Cambria" w:cs="Cambria"/>
            <w:color w:val="000000" w:themeColor="text1"/>
            <w:sz w:val="16"/>
            <w:szCs w:val="16"/>
            <w:u w:val="single"/>
          </w:rPr>
          <w:t>Ocho claves sobre la fraudulenta ANC y el cese de sus funciones</w:t>
        </w:r>
      </w:hyperlink>
      <w:r w:rsidRPr="009035C0">
        <w:rPr>
          <w:rFonts w:ascii="Cambria" w:eastAsia="Cambria" w:hAnsi="Cambria" w:cs="Cambria"/>
          <w:color w:val="000000" w:themeColor="text1"/>
          <w:sz w:val="16"/>
          <w:szCs w:val="16"/>
        </w:rPr>
        <w:t xml:space="preserve">, </w:t>
      </w:r>
      <w:r w:rsidR="00A53C60">
        <w:rPr>
          <w:rFonts w:ascii="Cambria" w:eastAsia="Cambria" w:hAnsi="Cambria" w:cs="Cambria"/>
          <w:color w:val="000000" w:themeColor="text1"/>
          <w:sz w:val="16"/>
          <w:szCs w:val="16"/>
        </w:rPr>
        <w:t xml:space="preserve">[‘Eight keys to the fraudulent ANC and the stopping of its duties,] August </w:t>
      </w:r>
      <w:r w:rsidRPr="009035C0">
        <w:rPr>
          <w:rFonts w:ascii="Cambria" w:eastAsia="Cambria" w:hAnsi="Cambria" w:cs="Cambria"/>
          <w:color w:val="000000" w:themeColor="text1"/>
          <w:sz w:val="16"/>
          <w:szCs w:val="16"/>
        </w:rPr>
        <w:t>28</w:t>
      </w:r>
      <w:r w:rsidR="00A53C60">
        <w:rPr>
          <w:rFonts w:ascii="Cambria" w:eastAsia="Cambria" w:hAnsi="Cambria" w:cs="Cambria"/>
          <w:color w:val="000000" w:themeColor="text1"/>
          <w:sz w:val="16"/>
          <w:szCs w:val="16"/>
        </w:rPr>
        <w:t>,</w:t>
      </w:r>
      <w:r w:rsidRPr="009035C0">
        <w:rPr>
          <w:rFonts w:ascii="Cambria" w:eastAsia="Cambria" w:hAnsi="Cambria" w:cs="Cambria"/>
          <w:color w:val="000000" w:themeColor="text1"/>
          <w:sz w:val="16"/>
          <w:szCs w:val="16"/>
        </w:rPr>
        <w:t xml:space="preserve"> 2020.</w:t>
      </w:r>
    </w:p>
  </w:footnote>
  <w:footnote w:id="62">
    <w:p w14:paraId="517EF002" w14:textId="1AA78806" w:rsidR="00CD5D43" w:rsidRPr="009035C0" w:rsidRDefault="00CD5D43"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B62AFC">
        <w:rPr>
          <w:rFonts w:ascii="Cambria" w:hAnsi="Cambria"/>
          <w:color w:val="000000" w:themeColor="text1"/>
          <w:sz w:val="16"/>
          <w:szCs w:val="16"/>
        </w:rPr>
        <w:t>International Commission of Jurists. No Room for Debate: The National Constituent Assembly and the Crumbling of the Rule of Law in Venezuela, 2017, pgs</w:t>
      </w:r>
      <w:r w:rsidRPr="009035C0">
        <w:rPr>
          <w:rFonts w:ascii="Cambria" w:hAnsi="Cambria"/>
          <w:color w:val="000000" w:themeColor="text1"/>
          <w:sz w:val="16"/>
          <w:szCs w:val="16"/>
        </w:rPr>
        <w:t>. 21, 25.</w:t>
      </w:r>
    </w:p>
  </w:footnote>
  <w:footnote w:id="63">
    <w:p w14:paraId="068B7FA3" w14:textId="14DE102A" w:rsidR="00CD5D43" w:rsidRPr="009035C0" w:rsidRDefault="00CD5D43"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C1D8E" w:rsidRPr="009035C0">
        <w:rPr>
          <w:rFonts w:ascii="Cambria" w:hAnsi="Cambria"/>
          <w:color w:val="000000" w:themeColor="text1"/>
          <w:sz w:val="16"/>
          <w:szCs w:val="16"/>
        </w:rPr>
        <w:t> </w:t>
      </w:r>
      <w:r w:rsidR="00B62AFC">
        <w:rPr>
          <w:rFonts w:ascii="Cambria" w:hAnsi="Cambria"/>
          <w:color w:val="000000" w:themeColor="text1"/>
          <w:sz w:val="16"/>
          <w:szCs w:val="16"/>
        </w:rPr>
        <w:t>International Commission of Jurists. No Room for Debate: The National Constituent Assembly and the Crumbling of the Rule of Law in Venezuela, 2017, pg</w:t>
      </w:r>
      <w:r w:rsidR="00CC1D8E" w:rsidRPr="009035C0">
        <w:rPr>
          <w:rFonts w:ascii="Cambria" w:hAnsi="Cambria"/>
          <w:color w:val="000000" w:themeColor="text1"/>
          <w:sz w:val="16"/>
          <w:szCs w:val="16"/>
        </w:rPr>
        <w:t>. 24.</w:t>
      </w:r>
    </w:p>
  </w:footnote>
  <w:footnote w:id="64">
    <w:p w14:paraId="6282AB20" w14:textId="3EE9F062" w:rsidR="00CC1D8E" w:rsidRPr="009035C0" w:rsidRDefault="00CC1D8E"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8E01A0">
        <w:rPr>
          <w:rFonts w:ascii="Cambria" w:hAnsi="Cambria"/>
          <w:color w:val="000000" w:themeColor="text1"/>
          <w:sz w:val="16"/>
          <w:szCs w:val="16"/>
        </w:rPr>
        <w:t>International Commission of Jurists. No Room for Debate: The National Constituent Assembly and the Crumbling of the Rule of Law in Venezuela, 2017, pg</w:t>
      </w:r>
      <w:r w:rsidRPr="009035C0">
        <w:rPr>
          <w:rFonts w:ascii="Cambria" w:hAnsi="Cambria"/>
          <w:color w:val="000000" w:themeColor="text1"/>
          <w:sz w:val="16"/>
          <w:szCs w:val="16"/>
        </w:rPr>
        <w:t>. 21.</w:t>
      </w:r>
    </w:p>
  </w:footnote>
  <w:footnote w:id="65">
    <w:p w14:paraId="2C20B9B1" w14:textId="1608575A" w:rsidR="00CD5D43" w:rsidRPr="009035C0" w:rsidRDefault="00CD5D43"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C1D8E" w:rsidRPr="009035C0">
        <w:rPr>
          <w:rFonts w:ascii="Cambria" w:hAnsi="Cambria"/>
          <w:color w:val="000000" w:themeColor="text1"/>
          <w:sz w:val="16"/>
          <w:szCs w:val="16"/>
        </w:rPr>
        <w:t> </w:t>
      </w:r>
      <w:r w:rsidR="00DF64D8">
        <w:rPr>
          <w:rFonts w:ascii="Cambria" w:hAnsi="Cambria"/>
          <w:color w:val="000000" w:themeColor="text1"/>
          <w:sz w:val="16"/>
          <w:szCs w:val="16"/>
        </w:rPr>
        <w:t>International Commission of Jurists. No Room for Debate: The National Constituent Assembly and the Crumbling of the Rule of Law in Venezuela, 2017, pg</w:t>
      </w:r>
      <w:r w:rsidR="00CC1D8E" w:rsidRPr="009035C0">
        <w:rPr>
          <w:rFonts w:ascii="Cambria" w:hAnsi="Cambria"/>
          <w:color w:val="000000" w:themeColor="text1"/>
          <w:sz w:val="16"/>
          <w:szCs w:val="16"/>
        </w:rPr>
        <w:t>. 21.</w:t>
      </w:r>
    </w:p>
  </w:footnote>
  <w:footnote w:id="66">
    <w:p w14:paraId="4FBC057C" w14:textId="5C2295F9" w:rsidR="00CD5D43" w:rsidRPr="009035C0" w:rsidRDefault="00CD5D43"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C1D8E" w:rsidRPr="009035C0">
        <w:rPr>
          <w:rFonts w:ascii="Cambria" w:hAnsi="Cambria"/>
          <w:color w:val="000000" w:themeColor="text1"/>
          <w:sz w:val="16"/>
          <w:szCs w:val="16"/>
        </w:rPr>
        <w:t> </w:t>
      </w:r>
      <w:r w:rsidR="00EA4159">
        <w:rPr>
          <w:rFonts w:ascii="Cambria" w:hAnsi="Cambria"/>
          <w:color w:val="000000" w:themeColor="text1"/>
          <w:sz w:val="16"/>
          <w:szCs w:val="16"/>
        </w:rPr>
        <w:t>International Commission of Jurists. No Room for Debate: The National Constituent Assembly and the Crumbling of the Rule of Law in Venezuela, 2017, pg</w:t>
      </w:r>
      <w:r w:rsidR="00CC1D8E" w:rsidRPr="009035C0">
        <w:rPr>
          <w:rFonts w:ascii="Cambria" w:hAnsi="Cambria"/>
          <w:color w:val="000000" w:themeColor="text1"/>
          <w:sz w:val="16"/>
          <w:szCs w:val="16"/>
        </w:rPr>
        <w:t>. 30.</w:t>
      </w:r>
    </w:p>
  </w:footnote>
  <w:footnote w:id="67">
    <w:p w14:paraId="421A0E58" w14:textId="59923158" w:rsidR="00CC1D8E" w:rsidRPr="009035C0" w:rsidRDefault="00CC1D8E"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165448">
        <w:rPr>
          <w:rFonts w:ascii="Cambria" w:hAnsi="Cambria"/>
          <w:color w:val="000000" w:themeColor="text1"/>
          <w:sz w:val="16"/>
          <w:szCs w:val="16"/>
        </w:rPr>
        <w:t xml:space="preserve">Independent International Fact-Finding Mission on the Bolivarian Republic of Venezuela, Report of the Independent International Fact-Finding Mission on the Bolivarian Republic of Venezuela, September </w:t>
      </w:r>
      <w:r w:rsidR="00165448" w:rsidRPr="009035C0">
        <w:rPr>
          <w:rFonts w:ascii="Cambria" w:hAnsi="Cambria"/>
          <w:color w:val="000000" w:themeColor="text1"/>
          <w:sz w:val="16"/>
          <w:szCs w:val="16"/>
        </w:rPr>
        <w:t>16</w:t>
      </w:r>
      <w:r w:rsidR="00165448">
        <w:rPr>
          <w:rFonts w:ascii="Cambria" w:hAnsi="Cambria"/>
          <w:color w:val="000000" w:themeColor="text1"/>
          <w:sz w:val="16"/>
          <w:szCs w:val="16"/>
        </w:rPr>
        <w:t>,</w:t>
      </w:r>
      <w:r w:rsidR="00165448" w:rsidRPr="009035C0">
        <w:rPr>
          <w:rFonts w:ascii="Cambria" w:hAnsi="Cambria"/>
          <w:color w:val="000000" w:themeColor="text1"/>
          <w:sz w:val="16"/>
          <w:szCs w:val="16"/>
        </w:rPr>
        <w:t xml:space="preserve"> 2021, p</w:t>
      </w:r>
      <w:r w:rsidR="00165448">
        <w:rPr>
          <w:rFonts w:ascii="Cambria" w:hAnsi="Cambria"/>
          <w:color w:val="000000" w:themeColor="text1"/>
          <w:sz w:val="16"/>
          <w:szCs w:val="16"/>
        </w:rPr>
        <w:t>a</w:t>
      </w:r>
      <w:r w:rsidR="00165448" w:rsidRPr="009035C0">
        <w:rPr>
          <w:rFonts w:ascii="Cambria" w:hAnsi="Cambria"/>
          <w:color w:val="000000" w:themeColor="text1"/>
          <w:sz w:val="16"/>
          <w:szCs w:val="16"/>
        </w:rPr>
        <w:t>r</w:t>
      </w:r>
      <w:r w:rsidRPr="009035C0">
        <w:rPr>
          <w:rFonts w:ascii="Cambria" w:hAnsi="Cambria"/>
          <w:color w:val="000000" w:themeColor="text1"/>
          <w:sz w:val="16"/>
          <w:szCs w:val="16"/>
        </w:rPr>
        <w:t xml:space="preserve">. </w:t>
      </w:r>
      <w:r w:rsidR="001D03F4">
        <w:rPr>
          <w:rFonts w:ascii="Cambria" w:hAnsi="Cambria"/>
          <w:color w:val="000000" w:themeColor="text1"/>
          <w:sz w:val="16"/>
          <w:szCs w:val="16"/>
        </w:rPr>
        <w:t>30</w:t>
      </w:r>
      <w:r w:rsidRPr="009035C0">
        <w:rPr>
          <w:rFonts w:ascii="Cambria" w:hAnsi="Cambria"/>
          <w:color w:val="000000" w:themeColor="text1"/>
          <w:sz w:val="16"/>
          <w:szCs w:val="16"/>
        </w:rPr>
        <w:t>.</w:t>
      </w:r>
    </w:p>
  </w:footnote>
  <w:footnote w:id="68">
    <w:p w14:paraId="3B3E4DF0" w14:textId="7A6D038F" w:rsidR="00CD5D43" w:rsidRPr="009035C0" w:rsidRDefault="00CD5D43"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165448">
        <w:rPr>
          <w:rFonts w:ascii="Cambria" w:hAnsi="Cambria"/>
          <w:color w:val="000000" w:themeColor="text1"/>
          <w:sz w:val="16"/>
          <w:szCs w:val="16"/>
        </w:rPr>
        <w:t xml:space="preserve">Independent International Fact-Finding Mission on the Bolivarian Republic of Venezuela, Report of the Independent International Fact-Finding Mission on the Bolivarian Republic of Venezuela, September </w:t>
      </w:r>
      <w:r w:rsidR="00165448" w:rsidRPr="009035C0">
        <w:rPr>
          <w:rFonts w:ascii="Cambria" w:hAnsi="Cambria"/>
          <w:color w:val="000000" w:themeColor="text1"/>
          <w:sz w:val="16"/>
          <w:szCs w:val="16"/>
        </w:rPr>
        <w:t>16</w:t>
      </w:r>
      <w:r w:rsidR="00165448">
        <w:rPr>
          <w:rFonts w:ascii="Cambria" w:hAnsi="Cambria"/>
          <w:color w:val="000000" w:themeColor="text1"/>
          <w:sz w:val="16"/>
          <w:szCs w:val="16"/>
        </w:rPr>
        <w:t>,</w:t>
      </w:r>
      <w:r w:rsidR="00165448" w:rsidRPr="009035C0">
        <w:rPr>
          <w:rFonts w:ascii="Cambria" w:hAnsi="Cambria"/>
          <w:color w:val="000000" w:themeColor="text1"/>
          <w:sz w:val="16"/>
          <w:szCs w:val="16"/>
        </w:rPr>
        <w:t xml:space="preserve"> 2021, p</w:t>
      </w:r>
      <w:r w:rsidR="00165448">
        <w:rPr>
          <w:rFonts w:ascii="Cambria" w:hAnsi="Cambria"/>
          <w:color w:val="000000" w:themeColor="text1"/>
          <w:sz w:val="16"/>
          <w:szCs w:val="16"/>
        </w:rPr>
        <w:t>a</w:t>
      </w:r>
      <w:r w:rsidR="00165448" w:rsidRPr="009035C0">
        <w:rPr>
          <w:rFonts w:ascii="Cambria" w:hAnsi="Cambria"/>
          <w:color w:val="000000" w:themeColor="text1"/>
          <w:sz w:val="16"/>
          <w:szCs w:val="16"/>
        </w:rPr>
        <w:t>r. 27.</w:t>
      </w:r>
    </w:p>
  </w:footnote>
  <w:footnote w:id="69">
    <w:p w14:paraId="1521C1DE" w14:textId="7E768141" w:rsidR="00CD5D43" w:rsidRPr="00F85814" w:rsidRDefault="00CD5D43" w:rsidP="00F85814">
      <w:pPr>
        <w:pStyle w:val="NormalWeb"/>
        <w:spacing w:before="0" w:beforeAutospacing="0" w:after="120" w:afterAutospacing="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C1D8E" w:rsidRPr="009035C0">
        <w:rPr>
          <w:rFonts w:ascii="Cambria" w:hAnsi="Cambria"/>
          <w:color w:val="000000" w:themeColor="text1"/>
          <w:sz w:val="16"/>
          <w:szCs w:val="16"/>
        </w:rPr>
        <w:t> </w:t>
      </w:r>
      <w:r w:rsidR="001C3473">
        <w:rPr>
          <w:rFonts w:ascii="Cambria" w:hAnsi="Cambria"/>
          <w:color w:val="000000" w:themeColor="text1"/>
          <w:sz w:val="16"/>
          <w:szCs w:val="16"/>
        </w:rPr>
        <w:t>IA Court of HR. Case of</w:t>
      </w:r>
      <w:r w:rsidR="00CC1D8E" w:rsidRPr="009035C0">
        <w:rPr>
          <w:rFonts w:ascii="Cambria" w:hAnsi="Cambria" w:cs="Arial"/>
          <w:color w:val="000000" w:themeColor="text1"/>
          <w:sz w:val="16"/>
          <w:szCs w:val="16"/>
          <w:shd w:val="clear" w:color="auto" w:fill="FFFFFF"/>
        </w:rPr>
        <w:t xml:space="preserve"> Martínez Esquivia </w:t>
      </w:r>
      <w:r w:rsidR="001C3473">
        <w:rPr>
          <w:rFonts w:ascii="Cambria" w:hAnsi="Cambria" w:cs="Arial"/>
          <w:color w:val="000000" w:themeColor="text1"/>
          <w:sz w:val="16"/>
          <w:szCs w:val="16"/>
          <w:shd w:val="clear" w:color="auto" w:fill="FFFFFF"/>
        </w:rPr>
        <w:t>v</w:t>
      </w:r>
      <w:r w:rsidR="00CC1D8E" w:rsidRPr="009035C0">
        <w:rPr>
          <w:rFonts w:ascii="Cambria" w:hAnsi="Cambria" w:cs="Arial"/>
          <w:color w:val="000000" w:themeColor="text1"/>
          <w:sz w:val="16"/>
          <w:szCs w:val="16"/>
          <w:shd w:val="clear" w:color="auto" w:fill="FFFFFF"/>
        </w:rPr>
        <w:t xml:space="preserve">. Colombia. </w:t>
      </w:r>
      <w:r w:rsidR="00366670">
        <w:rPr>
          <w:rFonts w:ascii="Cambria" w:hAnsi="Cambria" w:cs="Arial"/>
          <w:color w:val="000000" w:themeColor="text1"/>
          <w:sz w:val="16"/>
          <w:szCs w:val="16"/>
          <w:shd w:val="clear" w:color="auto" w:fill="FFFFFF"/>
        </w:rPr>
        <w:t xml:space="preserve">Interpretation of Judgement on Preliminary Objections, Merits and Reparations. </w:t>
      </w:r>
      <w:r w:rsidR="00366670" w:rsidRPr="00F85814">
        <w:rPr>
          <w:rFonts w:ascii="Cambria" w:hAnsi="Cambria" w:cs="Arial"/>
          <w:color w:val="000000" w:themeColor="text1"/>
          <w:sz w:val="16"/>
          <w:szCs w:val="16"/>
          <w:shd w:val="clear" w:color="auto" w:fill="FFFFFF"/>
          <w:lang w:val="es-US"/>
        </w:rPr>
        <w:t xml:space="preserve">Judgment of June 21, 2021. </w:t>
      </w:r>
      <w:r w:rsidR="00CC1D8E" w:rsidRPr="00F85814">
        <w:rPr>
          <w:rFonts w:ascii="Cambria" w:hAnsi="Cambria" w:cs="Arial"/>
          <w:color w:val="000000" w:themeColor="text1"/>
          <w:sz w:val="16"/>
          <w:szCs w:val="16"/>
          <w:shd w:val="clear" w:color="auto" w:fill="FFFFFF"/>
          <w:lang w:val="es-US"/>
        </w:rPr>
        <w:t>Serie</w:t>
      </w:r>
      <w:r w:rsidR="00366670" w:rsidRPr="00F85814">
        <w:rPr>
          <w:rFonts w:ascii="Cambria" w:hAnsi="Cambria" w:cs="Arial"/>
          <w:color w:val="000000" w:themeColor="text1"/>
          <w:sz w:val="16"/>
          <w:szCs w:val="16"/>
          <w:shd w:val="clear" w:color="auto" w:fill="FFFFFF"/>
          <w:lang w:val="es-US"/>
        </w:rPr>
        <w:t>s</w:t>
      </w:r>
      <w:r w:rsidR="00CC1D8E" w:rsidRPr="00F85814">
        <w:rPr>
          <w:rFonts w:ascii="Cambria" w:hAnsi="Cambria" w:cs="Arial"/>
          <w:color w:val="000000" w:themeColor="text1"/>
          <w:sz w:val="16"/>
          <w:szCs w:val="16"/>
          <w:shd w:val="clear" w:color="auto" w:fill="FFFFFF"/>
          <w:lang w:val="es-US"/>
        </w:rPr>
        <w:t xml:space="preserve"> C No. 428, p</w:t>
      </w:r>
      <w:r w:rsidR="00366670" w:rsidRPr="00F85814">
        <w:rPr>
          <w:rFonts w:ascii="Cambria" w:hAnsi="Cambria" w:cs="Arial"/>
          <w:color w:val="000000" w:themeColor="text1"/>
          <w:sz w:val="16"/>
          <w:szCs w:val="16"/>
          <w:shd w:val="clear" w:color="auto" w:fill="FFFFFF"/>
          <w:lang w:val="es-US"/>
        </w:rPr>
        <w:t>a</w:t>
      </w:r>
      <w:r w:rsidR="00CC1D8E" w:rsidRPr="00F85814">
        <w:rPr>
          <w:rFonts w:ascii="Cambria" w:hAnsi="Cambria" w:cs="Arial"/>
          <w:color w:val="000000" w:themeColor="text1"/>
          <w:sz w:val="16"/>
          <w:szCs w:val="16"/>
          <w:shd w:val="clear" w:color="auto" w:fill="FFFFFF"/>
          <w:lang w:val="es-US"/>
        </w:rPr>
        <w:t>r. 99.</w:t>
      </w:r>
    </w:p>
  </w:footnote>
  <w:footnote w:id="70">
    <w:p w14:paraId="706B496D" w14:textId="0F8C79E2" w:rsidR="00726B0D" w:rsidRPr="00F85814" w:rsidRDefault="00726B0D"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w:t>
      </w:r>
      <w:r w:rsidR="0079516E" w:rsidRPr="00F85814">
        <w:rPr>
          <w:rFonts w:ascii="Cambria" w:hAnsi="Cambria"/>
          <w:color w:val="000000" w:themeColor="text1"/>
          <w:sz w:val="16"/>
          <w:szCs w:val="16"/>
          <w:lang w:val="es-US"/>
        </w:rPr>
        <w:t>IACHR,</w:t>
      </w:r>
      <w:r w:rsidRPr="00F85814">
        <w:rPr>
          <w:rFonts w:ascii="Cambria" w:hAnsi="Cambria"/>
          <w:color w:val="000000" w:themeColor="text1"/>
          <w:sz w:val="16"/>
          <w:szCs w:val="16"/>
          <w:lang w:val="es-US"/>
        </w:rPr>
        <w:t xml:space="preserve"> </w:t>
      </w:r>
      <w:hyperlink r:id="rId29" w:history="1">
        <w:r w:rsidRPr="00F85814">
          <w:rPr>
            <w:rFonts w:ascii="Cambria" w:hAnsi="Cambria"/>
            <w:color w:val="000000" w:themeColor="text1"/>
            <w:sz w:val="16"/>
            <w:szCs w:val="16"/>
            <w:u w:val="single"/>
            <w:lang w:val="es-US"/>
          </w:rPr>
          <w:t>Informe Anual, Capítulo IV.B “Venezuela”</w:t>
        </w:r>
      </w:hyperlink>
      <w:r w:rsidRPr="00F85814">
        <w:rPr>
          <w:rFonts w:ascii="Cambria" w:hAnsi="Cambria"/>
          <w:color w:val="000000" w:themeColor="text1"/>
          <w:sz w:val="16"/>
          <w:szCs w:val="16"/>
          <w:lang w:val="es-US"/>
        </w:rPr>
        <w:t xml:space="preserve">, </w:t>
      </w:r>
      <w:r w:rsidR="0079516E" w:rsidRPr="00F85814">
        <w:rPr>
          <w:rFonts w:ascii="Cambria" w:hAnsi="Cambria"/>
          <w:color w:val="000000" w:themeColor="text1"/>
          <w:sz w:val="16"/>
          <w:szCs w:val="16"/>
          <w:lang w:val="es-US"/>
        </w:rPr>
        <w:t xml:space="preserve">Annual Report, Chapter IV. B “Venezuela,” </w:t>
      </w:r>
      <w:r w:rsidRPr="00F85814">
        <w:rPr>
          <w:rFonts w:ascii="Cambria" w:hAnsi="Cambria"/>
          <w:color w:val="000000" w:themeColor="text1"/>
          <w:sz w:val="16"/>
          <w:szCs w:val="16"/>
          <w:lang w:val="es-US"/>
        </w:rPr>
        <w:t>2019, p</w:t>
      </w:r>
      <w:r w:rsidR="002C260E" w:rsidRPr="00F85814">
        <w:rPr>
          <w:rFonts w:ascii="Cambria" w:hAnsi="Cambria"/>
          <w:color w:val="000000" w:themeColor="text1"/>
          <w:sz w:val="16"/>
          <w:szCs w:val="16"/>
          <w:lang w:val="es-US"/>
        </w:rPr>
        <w:t>a</w:t>
      </w:r>
      <w:r w:rsidRPr="00F85814">
        <w:rPr>
          <w:rFonts w:ascii="Cambria" w:hAnsi="Cambria"/>
          <w:color w:val="000000" w:themeColor="text1"/>
          <w:sz w:val="16"/>
          <w:szCs w:val="16"/>
          <w:lang w:val="es-US"/>
        </w:rPr>
        <w:t>r. 4.</w:t>
      </w:r>
    </w:p>
  </w:footnote>
  <w:footnote w:id="71">
    <w:p w14:paraId="6BB67D00" w14:textId="1B19E159" w:rsidR="00726B0D" w:rsidRPr="009035C0" w:rsidRDefault="00726B0D"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815A6B">
        <w:rPr>
          <w:rFonts w:ascii="Cambria" w:hAnsi="Cambria"/>
          <w:color w:val="000000" w:themeColor="text1"/>
          <w:sz w:val="16"/>
          <w:szCs w:val="16"/>
        </w:rPr>
        <w:t xml:space="preserve">UNHCHR, </w:t>
      </w:r>
      <w:r w:rsidR="00466D7F">
        <w:rPr>
          <w:rFonts w:ascii="Cambria" w:hAnsi="Cambria"/>
          <w:color w:val="000000" w:themeColor="text1"/>
          <w:sz w:val="16"/>
          <w:szCs w:val="16"/>
        </w:rPr>
        <w:t>Outcomes of</w:t>
      </w:r>
      <w:r w:rsidR="00815A6B">
        <w:rPr>
          <w:rFonts w:ascii="Cambria" w:hAnsi="Cambria"/>
          <w:color w:val="000000" w:themeColor="text1"/>
          <w:sz w:val="16"/>
          <w:szCs w:val="16"/>
        </w:rPr>
        <w:t xml:space="preserve"> the Investigation </w:t>
      </w:r>
      <w:r w:rsidR="00466D7F">
        <w:rPr>
          <w:rFonts w:ascii="Cambria" w:hAnsi="Cambria"/>
          <w:color w:val="000000" w:themeColor="text1"/>
          <w:sz w:val="16"/>
          <w:szCs w:val="16"/>
        </w:rPr>
        <w:t xml:space="preserve">into allegations </w:t>
      </w:r>
      <w:r w:rsidR="00513E66">
        <w:rPr>
          <w:rFonts w:ascii="Cambria" w:hAnsi="Cambria"/>
          <w:color w:val="000000" w:themeColor="text1"/>
          <w:sz w:val="16"/>
          <w:szCs w:val="16"/>
        </w:rPr>
        <w:t xml:space="preserve">of possible </w:t>
      </w:r>
      <w:r w:rsidR="00815A6B">
        <w:rPr>
          <w:rFonts w:ascii="Cambria" w:hAnsi="Cambria"/>
          <w:color w:val="000000" w:themeColor="text1"/>
          <w:sz w:val="16"/>
          <w:szCs w:val="16"/>
        </w:rPr>
        <w:t>human right</w:t>
      </w:r>
      <w:r w:rsidR="00513E66">
        <w:rPr>
          <w:rFonts w:ascii="Cambria" w:hAnsi="Cambria"/>
          <w:color w:val="000000" w:themeColor="text1"/>
          <w:sz w:val="16"/>
          <w:szCs w:val="16"/>
        </w:rPr>
        <w:t xml:space="preserve"> violations of the human rights to </w:t>
      </w:r>
      <w:r w:rsidR="00815A6B">
        <w:rPr>
          <w:rFonts w:ascii="Cambria" w:hAnsi="Cambria"/>
          <w:color w:val="000000" w:themeColor="text1"/>
          <w:sz w:val="16"/>
          <w:szCs w:val="16"/>
        </w:rPr>
        <w:t>life, liberty and physical and moral integrity in the Bolivarian Republic of Venezuela, July</w:t>
      </w:r>
      <w:r w:rsidRPr="009035C0">
        <w:rPr>
          <w:rFonts w:ascii="Cambria" w:hAnsi="Cambria"/>
          <w:color w:val="000000" w:themeColor="text1"/>
          <w:sz w:val="16"/>
          <w:szCs w:val="16"/>
        </w:rPr>
        <w:t>, 2</w:t>
      </w:r>
      <w:r w:rsidR="00815A6B">
        <w:rPr>
          <w:rFonts w:ascii="Cambria" w:hAnsi="Cambria"/>
          <w:color w:val="000000" w:themeColor="text1"/>
          <w:sz w:val="16"/>
          <w:szCs w:val="16"/>
        </w:rPr>
        <w:t>,</w:t>
      </w:r>
      <w:r w:rsidRPr="009035C0">
        <w:rPr>
          <w:rFonts w:ascii="Cambria" w:hAnsi="Cambria"/>
          <w:color w:val="000000" w:themeColor="text1"/>
          <w:sz w:val="16"/>
          <w:szCs w:val="16"/>
        </w:rPr>
        <w:t xml:space="preserve"> 2020. </w:t>
      </w:r>
    </w:p>
  </w:footnote>
  <w:footnote w:id="72">
    <w:p w14:paraId="75C22D1B" w14:textId="5B8059DC" w:rsidR="00726B0D" w:rsidRPr="009035C0" w:rsidRDefault="00726B0D"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TSJ, </w:t>
      </w:r>
      <w:r w:rsidR="00346109">
        <w:rPr>
          <w:rFonts w:ascii="Cambria" w:hAnsi="Cambria"/>
          <w:color w:val="000000" w:themeColor="text1"/>
          <w:sz w:val="16"/>
          <w:szCs w:val="16"/>
        </w:rPr>
        <w:t>Chamber sitting en banc</w:t>
      </w:r>
      <w:r w:rsidRPr="009035C0">
        <w:rPr>
          <w:rFonts w:ascii="Cambria" w:hAnsi="Cambria"/>
          <w:color w:val="000000" w:themeColor="text1"/>
          <w:sz w:val="16"/>
          <w:szCs w:val="16"/>
        </w:rPr>
        <w:t xml:space="preserve">, </w:t>
      </w:r>
      <w:r w:rsidR="00346109">
        <w:rPr>
          <w:rFonts w:ascii="Cambria" w:hAnsi="Cambria"/>
          <w:color w:val="000000" w:themeColor="text1"/>
          <w:sz w:val="16"/>
          <w:szCs w:val="16"/>
        </w:rPr>
        <w:t>Judgments</w:t>
      </w:r>
      <w:r w:rsidRPr="009035C0">
        <w:rPr>
          <w:rFonts w:ascii="Cambria" w:hAnsi="Cambria"/>
          <w:color w:val="000000" w:themeColor="text1"/>
          <w:sz w:val="16"/>
          <w:szCs w:val="16"/>
        </w:rPr>
        <w:t xml:space="preserve">: No. 0034 </w:t>
      </w:r>
      <w:r w:rsidR="00346109">
        <w:rPr>
          <w:rFonts w:ascii="Cambria" w:hAnsi="Cambria"/>
          <w:color w:val="000000" w:themeColor="text1"/>
          <w:sz w:val="16"/>
          <w:szCs w:val="16"/>
        </w:rPr>
        <w:t xml:space="preserve">of May </w:t>
      </w:r>
      <w:r w:rsidRPr="009035C0">
        <w:rPr>
          <w:rFonts w:ascii="Cambria" w:hAnsi="Cambria"/>
          <w:color w:val="000000" w:themeColor="text1"/>
          <w:sz w:val="16"/>
          <w:szCs w:val="16"/>
        </w:rPr>
        <w:t>11</w:t>
      </w:r>
      <w:r w:rsidR="00346109">
        <w:rPr>
          <w:rFonts w:ascii="Cambria" w:hAnsi="Cambria"/>
          <w:color w:val="000000" w:themeColor="text1"/>
          <w:sz w:val="16"/>
          <w:szCs w:val="16"/>
        </w:rPr>
        <w:t>,</w:t>
      </w:r>
      <w:r w:rsidRPr="009035C0">
        <w:rPr>
          <w:rFonts w:ascii="Cambria" w:hAnsi="Cambria"/>
          <w:color w:val="000000" w:themeColor="text1"/>
          <w:sz w:val="16"/>
          <w:szCs w:val="16"/>
        </w:rPr>
        <w:t xml:space="preserve"> 2017; No. 66 </w:t>
      </w:r>
      <w:r w:rsidR="00346109">
        <w:rPr>
          <w:rFonts w:ascii="Cambria" w:hAnsi="Cambria"/>
          <w:color w:val="000000" w:themeColor="text1"/>
          <w:sz w:val="16"/>
          <w:szCs w:val="16"/>
        </w:rPr>
        <w:t xml:space="preserve">of August </w:t>
      </w:r>
      <w:r w:rsidRPr="009035C0">
        <w:rPr>
          <w:rFonts w:ascii="Cambria" w:hAnsi="Cambria"/>
          <w:color w:val="000000" w:themeColor="text1"/>
          <w:sz w:val="16"/>
          <w:szCs w:val="16"/>
        </w:rPr>
        <w:t>16</w:t>
      </w:r>
      <w:r w:rsidR="00346109">
        <w:rPr>
          <w:rFonts w:ascii="Cambria" w:hAnsi="Cambria"/>
          <w:color w:val="000000" w:themeColor="text1"/>
          <w:sz w:val="16"/>
          <w:szCs w:val="16"/>
        </w:rPr>
        <w:t>,</w:t>
      </w:r>
      <w:r w:rsidRPr="009035C0">
        <w:rPr>
          <w:rFonts w:ascii="Cambria" w:hAnsi="Cambria"/>
          <w:color w:val="000000" w:themeColor="text1"/>
          <w:sz w:val="16"/>
          <w:szCs w:val="16"/>
        </w:rPr>
        <w:t xml:space="preserve"> 2017; No. 69 </w:t>
      </w:r>
      <w:r w:rsidR="009B6DC8">
        <w:rPr>
          <w:rFonts w:ascii="Cambria" w:hAnsi="Cambria"/>
          <w:color w:val="000000" w:themeColor="text1"/>
          <w:sz w:val="16"/>
          <w:szCs w:val="16"/>
        </w:rPr>
        <w:t xml:space="preserve">of November </w:t>
      </w:r>
      <w:r w:rsidRPr="009035C0">
        <w:rPr>
          <w:rFonts w:ascii="Cambria" w:hAnsi="Cambria"/>
          <w:color w:val="000000" w:themeColor="text1"/>
          <w:sz w:val="16"/>
          <w:szCs w:val="16"/>
        </w:rPr>
        <w:t>3</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2017; No. 49 </w:t>
      </w:r>
      <w:r w:rsidR="009B6DC8">
        <w:rPr>
          <w:rFonts w:ascii="Cambria" w:hAnsi="Cambria"/>
          <w:color w:val="000000" w:themeColor="text1"/>
          <w:sz w:val="16"/>
          <w:szCs w:val="16"/>
        </w:rPr>
        <w:t xml:space="preserve">of August </w:t>
      </w:r>
      <w:r w:rsidRPr="009035C0">
        <w:rPr>
          <w:rFonts w:ascii="Cambria" w:hAnsi="Cambria"/>
          <w:color w:val="000000" w:themeColor="text1"/>
          <w:sz w:val="16"/>
          <w:szCs w:val="16"/>
        </w:rPr>
        <w:t>8</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2018; No. 1 </w:t>
      </w:r>
      <w:r w:rsidR="009B6DC8">
        <w:rPr>
          <w:rFonts w:ascii="Cambria" w:hAnsi="Cambria"/>
          <w:color w:val="000000" w:themeColor="text1"/>
          <w:sz w:val="16"/>
          <w:szCs w:val="16"/>
        </w:rPr>
        <w:t xml:space="preserve">of January </w:t>
      </w:r>
      <w:r w:rsidRPr="009035C0">
        <w:rPr>
          <w:rFonts w:ascii="Cambria" w:hAnsi="Cambria"/>
          <w:color w:val="000000" w:themeColor="text1"/>
          <w:sz w:val="16"/>
          <w:szCs w:val="16"/>
        </w:rPr>
        <w:t>29</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2019; No. 17 </w:t>
      </w:r>
      <w:r w:rsidR="009B6DC8">
        <w:rPr>
          <w:rFonts w:ascii="Cambria" w:hAnsi="Cambria"/>
          <w:color w:val="000000" w:themeColor="text1"/>
          <w:sz w:val="16"/>
          <w:szCs w:val="16"/>
        </w:rPr>
        <w:t xml:space="preserve">of May </w:t>
      </w:r>
      <w:r w:rsidRPr="009035C0">
        <w:rPr>
          <w:rFonts w:ascii="Cambria" w:hAnsi="Cambria"/>
          <w:color w:val="000000" w:themeColor="text1"/>
          <w:sz w:val="16"/>
          <w:szCs w:val="16"/>
        </w:rPr>
        <w:t>2</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2019; No. 18 </w:t>
      </w:r>
      <w:r w:rsidR="009B6DC8">
        <w:rPr>
          <w:rFonts w:ascii="Cambria" w:hAnsi="Cambria"/>
          <w:color w:val="000000" w:themeColor="text1"/>
          <w:sz w:val="16"/>
          <w:szCs w:val="16"/>
        </w:rPr>
        <w:t xml:space="preserve">of May </w:t>
      </w:r>
      <w:r w:rsidRPr="009035C0">
        <w:rPr>
          <w:rFonts w:ascii="Cambria" w:hAnsi="Cambria"/>
          <w:color w:val="000000" w:themeColor="text1"/>
          <w:sz w:val="16"/>
          <w:szCs w:val="16"/>
        </w:rPr>
        <w:t>7</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2019; No. 19 </w:t>
      </w:r>
      <w:r w:rsidR="009B6DC8">
        <w:rPr>
          <w:rFonts w:ascii="Cambria" w:hAnsi="Cambria"/>
          <w:color w:val="000000" w:themeColor="text1"/>
          <w:sz w:val="16"/>
          <w:szCs w:val="16"/>
        </w:rPr>
        <w:t xml:space="preserve">of May </w:t>
      </w:r>
      <w:r w:rsidRPr="009035C0">
        <w:rPr>
          <w:rFonts w:ascii="Cambria" w:hAnsi="Cambria"/>
          <w:color w:val="000000" w:themeColor="text1"/>
          <w:sz w:val="16"/>
          <w:szCs w:val="16"/>
        </w:rPr>
        <w:t>9</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2019; No. 20 </w:t>
      </w:r>
      <w:r w:rsidR="009B6DC8">
        <w:rPr>
          <w:rFonts w:ascii="Cambria" w:hAnsi="Cambria"/>
          <w:color w:val="000000" w:themeColor="text1"/>
          <w:sz w:val="16"/>
          <w:szCs w:val="16"/>
        </w:rPr>
        <w:t xml:space="preserve">of May </w:t>
      </w:r>
      <w:r w:rsidRPr="009035C0">
        <w:rPr>
          <w:rFonts w:ascii="Cambria" w:hAnsi="Cambria"/>
          <w:color w:val="000000" w:themeColor="text1"/>
          <w:sz w:val="16"/>
          <w:szCs w:val="16"/>
        </w:rPr>
        <w:t>14</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2019; No. 33 </w:t>
      </w:r>
      <w:r w:rsidR="009B6DC8">
        <w:rPr>
          <w:rFonts w:ascii="Cambria" w:hAnsi="Cambria"/>
          <w:color w:val="000000" w:themeColor="text1"/>
          <w:sz w:val="16"/>
          <w:szCs w:val="16"/>
        </w:rPr>
        <w:t xml:space="preserve">of May </w:t>
      </w:r>
      <w:r w:rsidRPr="009035C0">
        <w:rPr>
          <w:rFonts w:ascii="Cambria" w:hAnsi="Cambria"/>
          <w:color w:val="000000" w:themeColor="text1"/>
          <w:sz w:val="16"/>
          <w:szCs w:val="16"/>
        </w:rPr>
        <w:t>28</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2019; No. 55 </w:t>
      </w:r>
      <w:r w:rsidR="009B6DC8">
        <w:rPr>
          <w:rFonts w:ascii="Cambria" w:hAnsi="Cambria"/>
          <w:color w:val="000000" w:themeColor="text1"/>
          <w:sz w:val="16"/>
          <w:szCs w:val="16"/>
        </w:rPr>
        <w:t xml:space="preserve">of August </w:t>
      </w:r>
      <w:r w:rsidRPr="009035C0">
        <w:rPr>
          <w:rFonts w:ascii="Cambria" w:hAnsi="Cambria"/>
          <w:color w:val="000000" w:themeColor="text1"/>
          <w:sz w:val="16"/>
          <w:szCs w:val="16"/>
        </w:rPr>
        <w:t>12</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2019; No. 52 </w:t>
      </w:r>
      <w:r w:rsidR="009B6DC8">
        <w:rPr>
          <w:rFonts w:ascii="Cambria" w:hAnsi="Cambria"/>
          <w:color w:val="000000" w:themeColor="text1"/>
          <w:sz w:val="16"/>
          <w:szCs w:val="16"/>
        </w:rPr>
        <w:t xml:space="preserve">of August </w:t>
      </w:r>
      <w:r w:rsidRPr="009035C0">
        <w:rPr>
          <w:rFonts w:ascii="Cambria" w:hAnsi="Cambria"/>
          <w:color w:val="000000" w:themeColor="text1"/>
          <w:sz w:val="16"/>
          <w:szCs w:val="16"/>
        </w:rPr>
        <w:t>12</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2019; No. 58 </w:t>
      </w:r>
      <w:r w:rsidR="009B6DC8">
        <w:rPr>
          <w:rFonts w:ascii="Cambria" w:hAnsi="Cambria"/>
          <w:color w:val="000000" w:themeColor="text1"/>
          <w:sz w:val="16"/>
          <w:szCs w:val="16"/>
        </w:rPr>
        <w:t xml:space="preserve">of October </w:t>
      </w:r>
      <w:r w:rsidRPr="009035C0">
        <w:rPr>
          <w:rFonts w:ascii="Cambria" w:hAnsi="Cambria"/>
          <w:color w:val="000000" w:themeColor="text1"/>
          <w:sz w:val="16"/>
          <w:szCs w:val="16"/>
        </w:rPr>
        <w:t>25</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2019; No. 76 </w:t>
      </w:r>
      <w:r w:rsidR="009B6DC8">
        <w:rPr>
          <w:rFonts w:ascii="Cambria" w:hAnsi="Cambria"/>
          <w:color w:val="000000" w:themeColor="text1"/>
          <w:sz w:val="16"/>
          <w:szCs w:val="16"/>
        </w:rPr>
        <w:t xml:space="preserve">of December </w:t>
      </w:r>
      <w:r w:rsidRPr="009035C0">
        <w:rPr>
          <w:rFonts w:ascii="Cambria" w:hAnsi="Cambria"/>
          <w:color w:val="000000" w:themeColor="text1"/>
          <w:sz w:val="16"/>
          <w:szCs w:val="16"/>
        </w:rPr>
        <w:t>16</w:t>
      </w:r>
      <w:r w:rsidR="009B6DC8">
        <w:rPr>
          <w:rFonts w:ascii="Cambria" w:hAnsi="Cambria"/>
          <w:color w:val="000000" w:themeColor="text1"/>
          <w:sz w:val="16"/>
          <w:szCs w:val="16"/>
        </w:rPr>
        <w:t>,</w:t>
      </w:r>
      <w:r w:rsidRPr="009035C0">
        <w:rPr>
          <w:rFonts w:ascii="Cambria" w:hAnsi="Cambria"/>
          <w:color w:val="000000" w:themeColor="text1"/>
          <w:sz w:val="16"/>
          <w:szCs w:val="16"/>
        </w:rPr>
        <w:t xml:space="preserve"> 2019. </w:t>
      </w:r>
    </w:p>
  </w:footnote>
  <w:footnote w:id="73">
    <w:p w14:paraId="3B5ABAA8" w14:textId="06492D00" w:rsidR="00726B0D" w:rsidRPr="009035C0" w:rsidRDefault="00726B0D"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5B36F1">
        <w:rPr>
          <w:rFonts w:ascii="Cambria" w:hAnsi="Cambria"/>
          <w:color w:val="000000" w:themeColor="text1"/>
          <w:sz w:val="16"/>
          <w:szCs w:val="16"/>
        </w:rPr>
        <w:t xml:space="preserve">National Assembly, </w:t>
      </w:r>
      <w:hyperlink r:id="rId30" w:history="1">
        <w:r w:rsidR="00CC1D8E" w:rsidRPr="009035C0">
          <w:rPr>
            <w:rFonts w:ascii="Cambria" w:hAnsi="Cambria"/>
            <w:color w:val="000000" w:themeColor="text1"/>
            <w:sz w:val="16"/>
            <w:szCs w:val="16"/>
            <w:u w:val="single"/>
          </w:rPr>
          <w:t>Informe sobre la Situación de Parlamentarios Venezolanos (periodo legislativo 2016-2021)</w:t>
        </w:r>
      </w:hyperlink>
      <w:r w:rsidR="00CC1D8E" w:rsidRPr="009035C0">
        <w:rPr>
          <w:rFonts w:ascii="Cambria" w:hAnsi="Cambria"/>
          <w:color w:val="000000" w:themeColor="text1"/>
          <w:sz w:val="16"/>
          <w:szCs w:val="16"/>
        </w:rPr>
        <w:t xml:space="preserve">, </w:t>
      </w:r>
      <w:r w:rsidR="003516CE">
        <w:rPr>
          <w:rFonts w:ascii="Cambria" w:hAnsi="Cambria"/>
          <w:color w:val="000000" w:themeColor="text1"/>
          <w:sz w:val="16"/>
          <w:szCs w:val="16"/>
        </w:rPr>
        <w:t xml:space="preserve">[‘Report on the Situation of Venezuelan Parliamentarians (legislative term 2016-2021)’], September </w:t>
      </w:r>
      <w:r w:rsidR="00CC1D8E" w:rsidRPr="009035C0">
        <w:rPr>
          <w:rFonts w:ascii="Cambria" w:hAnsi="Cambria"/>
          <w:color w:val="000000" w:themeColor="text1"/>
          <w:sz w:val="16"/>
          <w:szCs w:val="16"/>
        </w:rPr>
        <w:t>26</w:t>
      </w:r>
      <w:r w:rsidR="003516CE">
        <w:rPr>
          <w:rFonts w:ascii="Cambria" w:hAnsi="Cambria"/>
          <w:color w:val="000000" w:themeColor="text1"/>
          <w:sz w:val="16"/>
          <w:szCs w:val="16"/>
        </w:rPr>
        <w:t>,</w:t>
      </w:r>
      <w:r w:rsidR="00CC1D8E" w:rsidRPr="009035C0">
        <w:rPr>
          <w:rFonts w:ascii="Cambria" w:hAnsi="Cambria"/>
          <w:color w:val="000000" w:themeColor="text1"/>
          <w:sz w:val="16"/>
          <w:szCs w:val="16"/>
        </w:rPr>
        <w:t xml:space="preserve"> 2019.</w:t>
      </w:r>
    </w:p>
  </w:footnote>
  <w:footnote w:id="74">
    <w:p w14:paraId="4A7C5F1D" w14:textId="6DFD312F" w:rsidR="00726B0D" w:rsidRPr="009035C0" w:rsidRDefault="00726B0D"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C1D8E" w:rsidRPr="009035C0">
        <w:rPr>
          <w:rFonts w:ascii="Cambria" w:hAnsi="Cambria"/>
          <w:color w:val="000000" w:themeColor="text1"/>
          <w:sz w:val="16"/>
          <w:szCs w:val="16"/>
        </w:rPr>
        <w:t xml:space="preserve">Telesur Tv, </w:t>
      </w:r>
      <w:hyperlink r:id="rId31" w:history="1">
        <w:r w:rsidR="00CC1D8E" w:rsidRPr="009035C0">
          <w:rPr>
            <w:rFonts w:ascii="Cambria" w:hAnsi="Cambria"/>
            <w:color w:val="000000" w:themeColor="text1"/>
            <w:sz w:val="16"/>
            <w:szCs w:val="16"/>
            <w:u w:val="single"/>
          </w:rPr>
          <w:t>Contraloría venezolana inhabilita a Guaidó y otros 27 exdiputados</w:t>
        </w:r>
      </w:hyperlink>
      <w:r w:rsidR="00CC1D8E" w:rsidRPr="009035C0">
        <w:rPr>
          <w:rFonts w:ascii="Cambria" w:hAnsi="Cambria"/>
          <w:color w:val="000000" w:themeColor="text1"/>
          <w:sz w:val="16"/>
          <w:szCs w:val="16"/>
        </w:rPr>
        <w:t xml:space="preserve">, </w:t>
      </w:r>
      <w:r w:rsidR="00DE1C4E">
        <w:rPr>
          <w:rFonts w:ascii="Cambria" w:hAnsi="Cambria"/>
          <w:color w:val="000000" w:themeColor="text1"/>
          <w:sz w:val="16"/>
          <w:szCs w:val="16"/>
        </w:rPr>
        <w:t xml:space="preserve">[‘Venezuelan Comptroller’s Office disqualifies Guaidó and another 27 former deputies’], February </w:t>
      </w:r>
      <w:r w:rsidR="00CC1D8E" w:rsidRPr="009035C0">
        <w:rPr>
          <w:rFonts w:ascii="Cambria" w:hAnsi="Cambria"/>
          <w:color w:val="000000" w:themeColor="text1"/>
          <w:sz w:val="16"/>
          <w:szCs w:val="16"/>
        </w:rPr>
        <w:t>24</w:t>
      </w:r>
      <w:r w:rsidR="00DE1C4E">
        <w:rPr>
          <w:rFonts w:ascii="Cambria" w:hAnsi="Cambria"/>
          <w:color w:val="000000" w:themeColor="text1"/>
          <w:sz w:val="16"/>
          <w:szCs w:val="16"/>
        </w:rPr>
        <w:t>,</w:t>
      </w:r>
      <w:r w:rsidR="00CC1D8E" w:rsidRPr="009035C0">
        <w:rPr>
          <w:rFonts w:ascii="Cambria" w:hAnsi="Cambria"/>
          <w:color w:val="000000" w:themeColor="text1"/>
          <w:sz w:val="16"/>
          <w:szCs w:val="16"/>
        </w:rPr>
        <w:t xml:space="preserve"> 2021.</w:t>
      </w:r>
    </w:p>
  </w:footnote>
  <w:footnote w:id="75">
    <w:p w14:paraId="6D5E8B33" w14:textId="17B65ECE" w:rsidR="00726B0D" w:rsidRPr="009035C0" w:rsidRDefault="00726B0D" w:rsidP="00F85814">
      <w:pPr>
        <w:pStyle w:val="NormalWeb"/>
        <w:spacing w:before="0" w:beforeAutospacing="0" w:after="120" w:afterAutospacing="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C1D8E" w:rsidRPr="009035C0">
        <w:rPr>
          <w:rFonts w:ascii="Cambria" w:hAnsi="Cambria"/>
          <w:color w:val="000000" w:themeColor="text1"/>
          <w:sz w:val="16"/>
          <w:szCs w:val="16"/>
        </w:rPr>
        <w:t> </w:t>
      </w:r>
      <w:r w:rsidR="00BD1803">
        <w:rPr>
          <w:rFonts w:ascii="Cambria" w:hAnsi="Cambria"/>
          <w:color w:val="000000" w:themeColor="text1"/>
          <w:sz w:val="16"/>
          <w:szCs w:val="16"/>
        </w:rPr>
        <w:t>IA Court of HR.</w:t>
      </w:r>
      <w:r w:rsidR="00CC1D8E" w:rsidRPr="009035C0">
        <w:rPr>
          <w:rFonts w:ascii="Cambria" w:hAnsi="Cambria"/>
          <w:color w:val="000000" w:themeColor="text1"/>
          <w:sz w:val="16"/>
          <w:szCs w:val="16"/>
          <w:shd w:val="clear" w:color="auto" w:fill="FFFFFF"/>
        </w:rPr>
        <w:t xml:space="preserve"> Cas</w:t>
      </w:r>
      <w:r w:rsidR="00BD1803">
        <w:rPr>
          <w:rFonts w:ascii="Cambria" w:hAnsi="Cambria"/>
          <w:color w:val="000000" w:themeColor="text1"/>
          <w:sz w:val="16"/>
          <w:szCs w:val="16"/>
          <w:shd w:val="clear" w:color="auto" w:fill="FFFFFF"/>
        </w:rPr>
        <w:t>e of</w:t>
      </w:r>
      <w:r w:rsidR="00CC1D8E" w:rsidRPr="009035C0">
        <w:rPr>
          <w:rFonts w:ascii="Cambria" w:hAnsi="Cambria"/>
          <w:color w:val="000000" w:themeColor="text1"/>
          <w:sz w:val="16"/>
          <w:szCs w:val="16"/>
          <w:shd w:val="clear" w:color="auto" w:fill="FFFFFF"/>
        </w:rPr>
        <w:t xml:space="preserve"> Petro Urrego </w:t>
      </w:r>
      <w:r w:rsidR="00D928DD">
        <w:rPr>
          <w:rFonts w:ascii="Cambria" w:hAnsi="Cambria"/>
          <w:color w:val="000000" w:themeColor="text1"/>
          <w:sz w:val="16"/>
          <w:szCs w:val="16"/>
          <w:shd w:val="clear" w:color="auto" w:fill="FFFFFF"/>
        </w:rPr>
        <w:t>v.</w:t>
      </w:r>
      <w:r w:rsidR="00CC1D8E" w:rsidRPr="009035C0">
        <w:rPr>
          <w:rFonts w:ascii="Cambria" w:hAnsi="Cambria"/>
          <w:color w:val="000000" w:themeColor="text1"/>
          <w:sz w:val="16"/>
          <w:szCs w:val="16"/>
          <w:shd w:val="clear" w:color="auto" w:fill="FFFFFF"/>
        </w:rPr>
        <w:t xml:space="preserve"> Colombia. </w:t>
      </w:r>
      <w:r w:rsidR="00C3460E">
        <w:rPr>
          <w:rFonts w:ascii="Cambria" w:hAnsi="Cambria"/>
          <w:color w:val="000000" w:themeColor="text1"/>
          <w:sz w:val="16"/>
          <w:szCs w:val="16"/>
          <w:shd w:val="clear" w:color="auto" w:fill="FFFFFF"/>
        </w:rPr>
        <w:t>Preliminary Objections, Merits, Reparations and Costs</w:t>
      </w:r>
      <w:r w:rsidR="00CC1D8E" w:rsidRPr="009035C0">
        <w:rPr>
          <w:rFonts w:ascii="Cambria" w:hAnsi="Cambria"/>
          <w:color w:val="000000" w:themeColor="text1"/>
          <w:sz w:val="16"/>
          <w:szCs w:val="16"/>
          <w:shd w:val="clear" w:color="auto" w:fill="FFFFFF"/>
        </w:rPr>
        <w:t>.</w:t>
      </w:r>
      <w:r w:rsidR="00C3460E">
        <w:rPr>
          <w:rFonts w:ascii="Cambria" w:hAnsi="Cambria"/>
          <w:color w:val="000000" w:themeColor="text1"/>
          <w:sz w:val="16"/>
          <w:szCs w:val="16"/>
          <w:shd w:val="clear" w:color="auto" w:fill="FFFFFF"/>
        </w:rPr>
        <w:t xml:space="preserve"> Judgment of July 8, 2020.</w:t>
      </w:r>
      <w:r w:rsidR="00CC1D8E" w:rsidRPr="009035C0">
        <w:rPr>
          <w:rFonts w:ascii="Cambria" w:hAnsi="Cambria"/>
          <w:color w:val="000000" w:themeColor="text1"/>
          <w:sz w:val="16"/>
          <w:szCs w:val="16"/>
          <w:shd w:val="clear" w:color="auto" w:fill="FFFFFF"/>
        </w:rPr>
        <w:t xml:space="preserve"> Serie</w:t>
      </w:r>
      <w:r w:rsidR="009E4FDB">
        <w:rPr>
          <w:rFonts w:ascii="Cambria" w:hAnsi="Cambria"/>
          <w:color w:val="000000" w:themeColor="text1"/>
          <w:sz w:val="16"/>
          <w:szCs w:val="16"/>
          <w:shd w:val="clear" w:color="auto" w:fill="FFFFFF"/>
        </w:rPr>
        <w:t>s</w:t>
      </w:r>
      <w:r w:rsidR="00CC1D8E" w:rsidRPr="009035C0">
        <w:rPr>
          <w:rFonts w:ascii="Cambria" w:hAnsi="Cambria"/>
          <w:color w:val="000000" w:themeColor="text1"/>
          <w:sz w:val="16"/>
          <w:szCs w:val="16"/>
          <w:shd w:val="clear" w:color="auto" w:fill="FFFFFF"/>
        </w:rPr>
        <w:t xml:space="preserve"> C No. 406, p</w:t>
      </w:r>
      <w:r w:rsidR="00036EC6">
        <w:rPr>
          <w:rFonts w:ascii="Cambria" w:hAnsi="Cambria"/>
          <w:color w:val="000000" w:themeColor="text1"/>
          <w:sz w:val="16"/>
          <w:szCs w:val="16"/>
          <w:shd w:val="clear" w:color="auto" w:fill="FFFFFF"/>
        </w:rPr>
        <w:t>a</w:t>
      </w:r>
      <w:r w:rsidR="00CC1D8E" w:rsidRPr="009035C0">
        <w:rPr>
          <w:rFonts w:ascii="Cambria" w:hAnsi="Cambria"/>
          <w:color w:val="000000" w:themeColor="text1"/>
          <w:sz w:val="16"/>
          <w:szCs w:val="16"/>
          <w:shd w:val="clear" w:color="auto" w:fill="FFFFFF"/>
        </w:rPr>
        <w:t>r. 96.</w:t>
      </w:r>
    </w:p>
  </w:footnote>
  <w:footnote w:id="76">
    <w:p w14:paraId="624C5C51" w14:textId="26340DE2" w:rsidR="00726B0D" w:rsidRPr="00E7771A" w:rsidRDefault="00726B0D" w:rsidP="00F85814">
      <w:pPr>
        <w:pStyle w:val="NormalWeb"/>
        <w:spacing w:before="0" w:beforeAutospacing="0" w:after="120" w:afterAutospacing="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C1D8E" w:rsidRPr="009035C0">
        <w:rPr>
          <w:rFonts w:ascii="Cambria" w:hAnsi="Cambria"/>
          <w:color w:val="000000" w:themeColor="text1"/>
          <w:sz w:val="16"/>
          <w:szCs w:val="16"/>
        </w:rPr>
        <w:t> </w:t>
      </w:r>
      <w:r w:rsidR="003F3A5F">
        <w:rPr>
          <w:rFonts w:ascii="Cambria" w:hAnsi="Cambria"/>
          <w:color w:val="000000" w:themeColor="text1"/>
          <w:sz w:val="16"/>
          <w:szCs w:val="16"/>
        </w:rPr>
        <w:t>IA Court of HR.</w:t>
      </w:r>
      <w:r w:rsidR="00CC1D8E" w:rsidRPr="009035C0">
        <w:rPr>
          <w:rFonts w:ascii="Cambria" w:hAnsi="Cambria"/>
          <w:color w:val="000000" w:themeColor="text1"/>
          <w:sz w:val="16"/>
          <w:szCs w:val="16"/>
          <w:shd w:val="clear" w:color="auto" w:fill="FFFFFF"/>
        </w:rPr>
        <w:t xml:space="preserve"> Cas</w:t>
      </w:r>
      <w:r w:rsidR="005234EC">
        <w:rPr>
          <w:rFonts w:ascii="Cambria" w:hAnsi="Cambria"/>
          <w:color w:val="000000" w:themeColor="text1"/>
          <w:sz w:val="16"/>
          <w:szCs w:val="16"/>
          <w:shd w:val="clear" w:color="auto" w:fill="FFFFFF"/>
        </w:rPr>
        <w:t>e of</w:t>
      </w:r>
      <w:r w:rsidR="00CC1D8E" w:rsidRPr="009035C0">
        <w:rPr>
          <w:rFonts w:ascii="Cambria" w:hAnsi="Cambria"/>
          <w:color w:val="000000" w:themeColor="text1"/>
          <w:sz w:val="16"/>
          <w:szCs w:val="16"/>
          <w:shd w:val="clear" w:color="auto" w:fill="FFFFFF"/>
        </w:rPr>
        <w:t xml:space="preserve"> López Mendoza </w:t>
      </w:r>
      <w:r w:rsidR="00136F1D">
        <w:rPr>
          <w:rFonts w:ascii="Cambria" w:hAnsi="Cambria"/>
          <w:color w:val="000000" w:themeColor="text1"/>
          <w:sz w:val="16"/>
          <w:szCs w:val="16"/>
          <w:shd w:val="clear" w:color="auto" w:fill="FFFFFF"/>
        </w:rPr>
        <w:t>v</w:t>
      </w:r>
      <w:r w:rsidR="00CC1D8E" w:rsidRPr="009035C0">
        <w:rPr>
          <w:rFonts w:ascii="Cambria" w:hAnsi="Cambria"/>
          <w:color w:val="000000" w:themeColor="text1"/>
          <w:sz w:val="16"/>
          <w:szCs w:val="16"/>
          <w:shd w:val="clear" w:color="auto" w:fill="FFFFFF"/>
        </w:rPr>
        <w:t xml:space="preserve">. Venezuela. </w:t>
      </w:r>
      <w:r w:rsidR="000E35B5">
        <w:rPr>
          <w:rFonts w:ascii="Cambria" w:hAnsi="Cambria"/>
          <w:color w:val="000000" w:themeColor="text1"/>
          <w:sz w:val="16"/>
          <w:szCs w:val="16"/>
          <w:shd w:val="clear" w:color="auto" w:fill="FFFFFF"/>
        </w:rPr>
        <w:t xml:space="preserve">Merits, Reparations and Costs. </w:t>
      </w:r>
      <w:r w:rsidR="000E35B5" w:rsidRPr="00E7771A">
        <w:rPr>
          <w:rFonts w:ascii="Cambria" w:hAnsi="Cambria"/>
          <w:color w:val="000000" w:themeColor="text1"/>
          <w:sz w:val="16"/>
          <w:szCs w:val="16"/>
          <w:shd w:val="clear" w:color="auto" w:fill="FFFFFF"/>
          <w:lang w:val="es-US"/>
        </w:rPr>
        <w:t xml:space="preserve">Judgment of September </w:t>
      </w:r>
      <w:r w:rsidR="00CC1D8E" w:rsidRPr="00E7771A">
        <w:rPr>
          <w:rFonts w:ascii="Cambria" w:hAnsi="Cambria"/>
          <w:color w:val="000000" w:themeColor="text1"/>
          <w:sz w:val="16"/>
          <w:szCs w:val="16"/>
          <w:shd w:val="clear" w:color="auto" w:fill="FFFFFF"/>
          <w:lang w:val="es-US"/>
        </w:rPr>
        <w:t>1</w:t>
      </w:r>
      <w:r w:rsidR="000E35B5" w:rsidRPr="00E7771A">
        <w:rPr>
          <w:rFonts w:ascii="Cambria" w:hAnsi="Cambria"/>
          <w:color w:val="000000" w:themeColor="text1"/>
          <w:sz w:val="16"/>
          <w:szCs w:val="16"/>
          <w:shd w:val="clear" w:color="auto" w:fill="FFFFFF"/>
          <w:lang w:val="es-US"/>
        </w:rPr>
        <w:t>,</w:t>
      </w:r>
      <w:r w:rsidR="00CC1D8E" w:rsidRPr="00E7771A">
        <w:rPr>
          <w:rFonts w:ascii="Cambria" w:hAnsi="Cambria"/>
          <w:color w:val="000000" w:themeColor="text1"/>
          <w:sz w:val="16"/>
          <w:szCs w:val="16"/>
          <w:shd w:val="clear" w:color="auto" w:fill="FFFFFF"/>
          <w:lang w:val="es-US"/>
        </w:rPr>
        <w:t xml:space="preserve"> 2011. Serie</w:t>
      </w:r>
      <w:r w:rsidR="000E35B5" w:rsidRPr="00E7771A">
        <w:rPr>
          <w:rFonts w:ascii="Cambria" w:hAnsi="Cambria"/>
          <w:color w:val="000000" w:themeColor="text1"/>
          <w:sz w:val="16"/>
          <w:szCs w:val="16"/>
          <w:shd w:val="clear" w:color="auto" w:fill="FFFFFF"/>
          <w:lang w:val="es-US"/>
        </w:rPr>
        <w:t>s</w:t>
      </w:r>
      <w:r w:rsidR="00CC1D8E" w:rsidRPr="00E7771A">
        <w:rPr>
          <w:rFonts w:ascii="Cambria" w:hAnsi="Cambria"/>
          <w:color w:val="000000" w:themeColor="text1"/>
          <w:sz w:val="16"/>
          <w:szCs w:val="16"/>
          <w:shd w:val="clear" w:color="auto" w:fill="FFFFFF"/>
          <w:lang w:val="es-US"/>
        </w:rPr>
        <w:t xml:space="preserve"> C No. 233, p</w:t>
      </w:r>
      <w:r w:rsidR="0014113D" w:rsidRPr="00E7771A">
        <w:rPr>
          <w:rFonts w:ascii="Cambria" w:hAnsi="Cambria"/>
          <w:color w:val="000000" w:themeColor="text1"/>
          <w:sz w:val="16"/>
          <w:szCs w:val="16"/>
          <w:shd w:val="clear" w:color="auto" w:fill="FFFFFF"/>
          <w:lang w:val="es-US"/>
        </w:rPr>
        <w:t>a</w:t>
      </w:r>
      <w:r w:rsidR="00CC1D8E" w:rsidRPr="00E7771A">
        <w:rPr>
          <w:rFonts w:ascii="Cambria" w:hAnsi="Cambria"/>
          <w:color w:val="000000" w:themeColor="text1"/>
          <w:sz w:val="16"/>
          <w:szCs w:val="16"/>
          <w:shd w:val="clear" w:color="auto" w:fill="FFFFFF"/>
          <w:lang w:val="es-US"/>
        </w:rPr>
        <w:t>r. 207-249.</w:t>
      </w:r>
    </w:p>
  </w:footnote>
  <w:footnote w:id="77">
    <w:p w14:paraId="4B1BA0A2" w14:textId="283DD899" w:rsidR="00726B0D" w:rsidRPr="00F85814" w:rsidRDefault="00726B0D"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95035F" w:rsidRPr="00E7771A">
        <w:rPr>
          <w:rFonts w:ascii="Cambria" w:hAnsi="Cambria"/>
          <w:color w:val="000000" w:themeColor="text1"/>
          <w:sz w:val="16"/>
          <w:szCs w:val="16"/>
          <w:lang w:val="es-US"/>
        </w:rPr>
        <w:t xml:space="preserve">IACHR, </w:t>
      </w:r>
      <w:hyperlink r:id="rId32" w:history="1">
        <w:r w:rsidR="00CC1D8E" w:rsidRPr="00E7771A">
          <w:rPr>
            <w:rFonts w:ascii="Cambria" w:hAnsi="Cambria"/>
            <w:color w:val="000000" w:themeColor="text1"/>
            <w:sz w:val="16"/>
            <w:szCs w:val="16"/>
            <w:u w:val="single"/>
            <w:lang w:val="es-US"/>
          </w:rPr>
          <w:t>Situación de los derechos Humanos en Venezuela – “Institucionalidad democrática, Estado de Derecho y derechos humanos en Venezuela”</w:t>
        </w:r>
      </w:hyperlink>
      <w:r w:rsidR="00CC1D8E" w:rsidRPr="00E7771A">
        <w:rPr>
          <w:rFonts w:ascii="Cambria" w:hAnsi="Cambria"/>
          <w:color w:val="000000" w:themeColor="text1"/>
          <w:sz w:val="16"/>
          <w:szCs w:val="16"/>
          <w:lang w:val="es-US"/>
        </w:rPr>
        <w:t xml:space="preserve"> , </w:t>
      </w:r>
      <w:r w:rsidR="00F502D9" w:rsidRPr="00E7771A">
        <w:rPr>
          <w:rFonts w:ascii="Cambria" w:hAnsi="Cambria"/>
          <w:color w:val="000000" w:themeColor="text1"/>
          <w:sz w:val="16"/>
          <w:szCs w:val="16"/>
          <w:lang w:val="es-US"/>
        </w:rPr>
        <w:t xml:space="preserve">Situation of Human Rights in Venezuela – Democratic Institutions. </w:t>
      </w:r>
      <w:r w:rsidR="00F502D9" w:rsidRPr="00F85814">
        <w:rPr>
          <w:rFonts w:ascii="Cambria" w:hAnsi="Cambria"/>
          <w:color w:val="000000" w:themeColor="text1"/>
          <w:sz w:val="16"/>
          <w:szCs w:val="16"/>
          <w:lang w:val="es-US"/>
        </w:rPr>
        <w:t xml:space="preserve">Rule of Law and Human Rights in Venezuela. </w:t>
      </w:r>
      <w:r w:rsidR="00CC1D8E" w:rsidRPr="00F85814">
        <w:rPr>
          <w:rFonts w:ascii="Cambria" w:hAnsi="Cambria"/>
          <w:color w:val="000000" w:themeColor="text1"/>
          <w:sz w:val="16"/>
          <w:szCs w:val="16"/>
          <w:lang w:val="es-US"/>
        </w:rPr>
        <w:t>2018, recom</w:t>
      </w:r>
      <w:r w:rsidR="00F502D9" w:rsidRPr="00F85814">
        <w:rPr>
          <w:rFonts w:ascii="Cambria" w:hAnsi="Cambria"/>
          <w:color w:val="000000" w:themeColor="text1"/>
          <w:sz w:val="16"/>
          <w:szCs w:val="16"/>
          <w:lang w:val="es-US"/>
        </w:rPr>
        <w:t>m</w:t>
      </w:r>
      <w:r w:rsidR="00CC1D8E" w:rsidRPr="00F85814">
        <w:rPr>
          <w:rFonts w:ascii="Cambria" w:hAnsi="Cambria"/>
          <w:color w:val="000000" w:themeColor="text1"/>
          <w:sz w:val="16"/>
          <w:szCs w:val="16"/>
          <w:lang w:val="es-US"/>
        </w:rPr>
        <w:t>enda</w:t>
      </w:r>
      <w:r w:rsidR="00F502D9" w:rsidRPr="00F85814">
        <w:rPr>
          <w:rFonts w:ascii="Cambria" w:hAnsi="Cambria"/>
          <w:color w:val="000000" w:themeColor="text1"/>
          <w:sz w:val="16"/>
          <w:szCs w:val="16"/>
          <w:lang w:val="es-US"/>
        </w:rPr>
        <w:t>tion</w:t>
      </w:r>
      <w:r w:rsidR="00CC1D8E" w:rsidRPr="00F85814">
        <w:rPr>
          <w:rFonts w:ascii="Cambria" w:hAnsi="Cambria"/>
          <w:color w:val="000000" w:themeColor="text1"/>
          <w:sz w:val="16"/>
          <w:szCs w:val="16"/>
          <w:lang w:val="es-US"/>
        </w:rPr>
        <w:t xml:space="preserve"> 16. </w:t>
      </w:r>
    </w:p>
  </w:footnote>
  <w:footnote w:id="78">
    <w:p w14:paraId="4EC9110C" w14:textId="60929235" w:rsidR="00A92476" w:rsidRPr="00F85814" w:rsidRDefault="00A9247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Acceso a la Justicia, La toma del poder absoluto en Venezuela, </w:t>
      </w:r>
      <w:r w:rsidR="00BF00A5" w:rsidRPr="00F85814">
        <w:rPr>
          <w:rFonts w:ascii="Cambria" w:hAnsi="Cambria"/>
          <w:color w:val="000000" w:themeColor="text1"/>
          <w:sz w:val="16"/>
          <w:szCs w:val="16"/>
          <w:lang w:val="es-US"/>
        </w:rPr>
        <w:t>[‘Tak</w:t>
      </w:r>
      <w:r w:rsidR="007143FA" w:rsidRPr="00F85814">
        <w:rPr>
          <w:rFonts w:ascii="Cambria" w:hAnsi="Cambria"/>
          <w:color w:val="000000" w:themeColor="text1"/>
          <w:sz w:val="16"/>
          <w:szCs w:val="16"/>
          <w:lang w:val="es-US"/>
        </w:rPr>
        <w:t>i</w:t>
      </w:r>
      <w:r w:rsidR="00BF00A5" w:rsidRPr="00F85814">
        <w:rPr>
          <w:rFonts w:ascii="Cambria" w:hAnsi="Cambria"/>
          <w:color w:val="000000" w:themeColor="text1"/>
          <w:sz w:val="16"/>
          <w:szCs w:val="16"/>
          <w:lang w:val="es-US"/>
        </w:rPr>
        <w:t xml:space="preserve">ng absolute power in Venezuela’], September </w:t>
      </w:r>
      <w:r w:rsidRPr="00F85814">
        <w:rPr>
          <w:rFonts w:ascii="Cambria" w:hAnsi="Cambria"/>
          <w:color w:val="000000" w:themeColor="text1"/>
          <w:sz w:val="16"/>
          <w:szCs w:val="16"/>
          <w:lang w:val="es-US"/>
        </w:rPr>
        <w:t>20</w:t>
      </w:r>
      <w:r w:rsidR="00BF00A5" w:rsidRPr="00F85814">
        <w:rPr>
          <w:rFonts w:ascii="Cambria" w:hAnsi="Cambria"/>
          <w:color w:val="000000" w:themeColor="text1"/>
          <w:sz w:val="16"/>
          <w:szCs w:val="16"/>
          <w:lang w:val="es-US"/>
        </w:rPr>
        <w:t>,</w:t>
      </w:r>
      <w:r w:rsidRPr="00F85814">
        <w:rPr>
          <w:rFonts w:ascii="Cambria" w:hAnsi="Cambria"/>
          <w:color w:val="000000" w:themeColor="text1"/>
          <w:sz w:val="16"/>
          <w:szCs w:val="16"/>
          <w:lang w:val="es-US"/>
        </w:rPr>
        <w:t xml:space="preserve"> 2019.</w:t>
      </w:r>
    </w:p>
  </w:footnote>
  <w:footnote w:id="79">
    <w:p w14:paraId="2D84B9E5" w14:textId="6481FE1B" w:rsidR="00A92476" w:rsidRPr="00F85814" w:rsidRDefault="00A9247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Acceso a la Justicia, La historia de un fraude (III): el secuestro del Poder Electoral, </w:t>
      </w:r>
      <w:r w:rsidR="00BF00A5" w:rsidRPr="00F85814">
        <w:rPr>
          <w:rFonts w:ascii="Cambria" w:hAnsi="Cambria"/>
          <w:color w:val="000000" w:themeColor="text1"/>
          <w:sz w:val="16"/>
          <w:szCs w:val="16"/>
          <w:lang w:val="es-US"/>
        </w:rPr>
        <w:t xml:space="preserve">[‘The history of fraud (III): the abduction of the Electoral Branch’], September </w:t>
      </w:r>
      <w:r w:rsidRPr="00F85814">
        <w:rPr>
          <w:rFonts w:ascii="Cambria" w:hAnsi="Cambria"/>
          <w:color w:val="000000" w:themeColor="text1"/>
          <w:sz w:val="16"/>
          <w:szCs w:val="16"/>
          <w:lang w:val="es-US"/>
        </w:rPr>
        <w:t>21</w:t>
      </w:r>
      <w:r w:rsidR="00BF00A5" w:rsidRPr="00F85814">
        <w:rPr>
          <w:rFonts w:ascii="Cambria" w:hAnsi="Cambria"/>
          <w:color w:val="000000" w:themeColor="text1"/>
          <w:sz w:val="16"/>
          <w:szCs w:val="16"/>
          <w:lang w:val="es-US"/>
        </w:rPr>
        <w:t>,</w:t>
      </w:r>
      <w:r w:rsidRPr="00F85814">
        <w:rPr>
          <w:rFonts w:ascii="Cambria" w:hAnsi="Cambria"/>
          <w:color w:val="000000" w:themeColor="text1"/>
          <w:sz w:val="16"/>
          <w:szCs w:val="16"/>
          <w:lang w:val="es-US"/>
        </w:rPr>
        <w:t xml:space="preserve"> 2019</w:t>
      </w:r>
      <w:r w:rsidR="003B0F07" w:rsidRPr="00F85814">
        <w:rPr>
          <w:rFonts w:ascii="Cambria" w:hAnsi="Cambria"/>
          <w:color w:val="000000" w:themeColor="text1"/>
          <w:sz w:val="16"/>
          <w:szCs w:val="16"/>
          <w:lang w:val="es-US"/>
        </w:rPr>
        <w:t>.</w:t>
      </w:r>
    </w:p>
  </w:footnote>
  <w:footnote w:id="80">
    <w:p w14:paraId="6AEF69C0" w14:textId="74F3D633" w:rsidR="00A92476" w:rsidRPr="009035C0" w:rsidRDefault="00A9247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1E1DBC">
        <w:rPr>
          <w:rFonts w:ascii="Cambria" w:hAnsi="Cambria"/>
          <w:color w:val="000000" w:themeColor="text1"/>
          <w:sz w:val="16"/>
          <w:szCs w:val="16"/>
        </w:rPr>
        <w:t xml:space="preserve">Information </w:t>
      </w:r>
      <w:r w:rsidR="00E2180B">
        <w:rPr>
          <w:rFonts w:ascii="Cambria" w:hAnsi="Cambria"/>
          <w:color w:val="000000" w:themeColor="text1"/>
          <w:sz w:val="16"/>
          <w:szCs w:val="16"/>
        </w:rPr>
        <w:t>provided by civil society organizations in the framework of the hearing “Venezuela: political rights,” held at the 156</w:t>
      </w:r>
      <w:r w:rsidR="00E2180B" w:rsidRPr="00E2180B">
        <w:rPr>
          <w:rFonts w:ascii="Cambria" w:hAnsi="Cambria"/>
          <w:color w:val="000000" w:themeColor="text1"/>
          <w:sz w:val="16"/>
          <w:szCs w:val="16"/>
          <w:vertAlign w:val="superscript"/>
        </w:rPr>
        <w:t>th</w:t>
      </w:r>
      <w:r w:rsidR="00E2180B">
        <w:rPr>
          <w:rFonts w:ascii="Cambria" w:hAnsi="Cambria"/>
          <w:color w:val="000000" w:themeColor="text1"/>
          <w:sz w:val="16"/>
          <w:szCs w:val="16"/>
        </w:rPr>
        <w:t xml:space="preserve"> Session of the IACHR. </w:t>
      </w:r>
    </w:p>
  </w:footnote>
  <w:footnote w:id="81">
    <w:p w14:paraId="6796E4FA" w14:textId="4E9F6EA1" w:rsidR="00A92476" w:rsidRPr="009035C0" w:rsidRDefault="00A92476"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O</w:t>
      </w:r>
      <w:r w:rsidR="00E2180B">
        <w:rPr>
          <w:rFonts w:ascii="Cambria" w:hAnsi="Cambria"/>
          <w:color w:val="000000" w:themeColor="text1"/>
          <w:sz w:val="16"/>
          <w:szCs w:val="16"/>
        </w:rPr>
        <w:t>AS</w:t>
      </w:r>
      <w:r w:rsidRPr="009035C0">
        <w:rPr>
          <w:rFonts w:ascii="Cambria" w:hAnsi="Cambria"/>
          <w:color w:val="000000" w:themeColor="text1"/>
          <w:sz w:val="16"/>
          <w:szCs w:val="16"/>
        </w:rPr>
        <w:t xml:space="preserve">, </w:t>
      </w:r>
      <w:hyperlink r:id="rId33">
        <w:r w:rsidRPr="009035C0">
          <w:rPr>
            <w:rFonts w:ascii="Cambria" w:hAnsi="Cambria"/>
            <w:color w:val="000000" w:themeColor="text1"/>
            <w:sz w:val="16"/>
            <w:szCs w:val="16"/>
            <w:u w:val="single"/>
          </w:rPr>
          <w:t>Sesión Extraordinaria</w:t>
        </w:r>
      </w:hyperlink>
      <w:r w:rsidRPr="009035C0">
        <w:rPr>
          <w:rFonts w:ascii="Cambria" w:hAnsi="Cambria"/>
          <w:color w:val="000000" w:themeColor="text1"/>
          <w:sz w:val="16"/>
          <w:szCs w:val="16"/>
        </w:rPr>
        <w:t xml:space="preserve"> </w:t>
      </w:r>
      <w:r w:rsidR="00E2180B">
        <w:rPr>
          <w:rFonts w:ascii="Cambria" w:hAnsi="Cambria"/>
          <w:color w:val="000000" w:themeColor="text1"/>
          <w:sz w:val="16"/>
          <w:szCs w:val="16"/>
        </w:rPr>
        <w:t xml:space="preserve">Permanent Council Executive Session, September </w:t>
      </w:r>
      <w:r w:rsidRPr="009035C0">
        <w:rPr>
          <w:rFonts w:ascii="Cambria" w:hAnsi="Cambria"/>
          <w:color w:val="000000" w:themeColor="text1"/>
          <w:sz w:val="16"/>
          <w:szCs w:val="16"/>
        </w:rPr>
        <w:t>20</w:t>
      </w:r>
      <w:r w:rsidR="00E2180B">
        <w:rPr>
          <w:rFonts w:ascii="Cambria" w:hAnsi="Cambria"/>
          <w:color w:val="000000" w:themeColor="text1"/>
          <w:sz w:val="16"/>
          <w:szCs w:val="16"/>
        </w:rPr>
        <w:t>,</w:t>
      </w:r>
      <w:r w:rsidRPr="009035C0">
        <w:rPr>
          <w:rFonts w:ascii="Cambria" w:hAnsi="Cambria"/>
          <w:color w:val="000000" w:themeColor="text1"/>
          <w:sz w:val="16"/>
          <w:szCs w:val="16"/>
        </w:rPr>
        <w:t xml:space="preserve"> 2020.</w:t>
      </w:r>
    </w:p>
  </w:footnote>
  <w:footnote w:id="82">
    <w:p w14:paraId="049D56E9" w14:textId="774F0660" w:rsidR="00A92476" w:rsidRPr="009035C0" w:rsidRDefault="00A92476"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C</w:t>
      </w:r>
      <w:r w:rsidR="00EB4810">
        <w:rPr>
          <w:rFonts w:ascii="Cambria" w:hAnsi="Cambria"/>
          <w:color w:val="000000" w:themeColor="text1"/>
          <w:sz w:val="16"/>
          <w:szCs w:val="16"/>
        </w:rPr>
        <w:t>onstitution of the Bolivarian Republic of Venezuela, Article</w:t>
      </w:r>
      <w:r w:rsidRPr="009035C0">
        <w:rPr>
          <w:rFonts w:ascii="Cambria" w:hAnsi="Cambria"/>
          <w:color w:val="000000" w:themeColor="text1"/>
          <w:sz w:val="16"/>
          <w:szCs w:val="16"/>
        </w:rPr>
        <w:t xml:space="preserve"> 296.</w:t>
      </w:r>
    </w:p>
  </w:footnote>
  <w:footnote w:id="83">
    <w:p w14:paraId="79FDA849" w14:textId="39F8F87F" w:rsidR="00A92476" w:rsidRPr="009035C0" w:rsidRDefault="00A9247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6505E9">
        <w:rPr>
          <w:rFonts w:ascii="Cambria" w:hAnsi="Cambria"/>
          <w:color w:val="000000" w:themeColor="text1"/>
          <w:sz w:val="16"/>
          <w:szCs w:val="16"/>
        </w:rPr>
        <w:t xml:space="preserve">IACHR, Press Release </w:t>
      </w:r>
      <w:hyperlink r:id="rId34">
        <w:r w:rsidRPr="009035C0">
          <w:rPr>
            <w:rFonts w:ascii="Cambria" w:hAnsi="Cambria"/>
            <w:color w:val="000000" w:themeColor="text1"/>
            <w:sz w:val="16"/>
            <w:szCs w:val="16"/>
            <w:u w:val="single"/>
          </w:rPr>
          <w:t>Comunicado de Prensa 151/2020</w:t>
        </w:r>
      </w:hyperlink>
      <w:r w:rsidRPr="009035C0">
        <w:rPr>
          <w:rFonts w:ascii="Cambria" w:hAnsi="Cambria"/>
          <w:color w:val="000000" w:themeColor="text1"/>
          <w:sz w:val="16"/>
          <w:szCs w:val="16"/>
        </w:rPr>
        <w:t xml:space="preserve">, </w:t>
      </w:r>
      <w:r w:rsidR="00885DE2">
        <w:rPr>
          <w:rFonts w:ascii="Cambria" w:hAnsi="Cambria"/>
          <w:color w:val="000000" w:themeColor="text1"/>
          <w:sz w:val="16"/>
          <w:szCs w:val="16"/>
        </w:rPr>
        <w:t>IACHR Rejects a Set of Recent Decisions by the Supreme Court of Justice of Venezuela That Threaten Democratic Institutions and Fundamental Freedoms</w:t>
      </w:r>
      <w:r w:rsidR="00885DE2" w:rsidRPr="009035C0">
        <w:rPr>
          <w:rFonts w:ascii="Cambria" w:hAnsi="Cambria"/>
          <w:color w:val="000000" w:themeColor="text1"/>
          <w:sz w:val="16"/>
          <w:szCs w:val="16"/>
        </w:rPr>
        <w:t xml:space="preserve">, </w:t>
      </w:r>
      <w:r w:rsidR="00885DE2">
        <w:rPr>
          <w:rFonts w:ascii="Cambria" w:hAnsi="Cambria"/>
          <w:color w:val="000000" w:themeColor="text1"/>
          <w:sz w:val="16"/>
          <w:szCs w:val="16"/>
        </w:rPr>
        <w:t xml:space="preserve">June </w:t>
      </w:r>
      <w:r w:rsidR="00885DE2" w:rsidRPr="009035C0">
        <w:rPr>
          <w:rFonts w:ascii="Cambria" w:hAnsi="Cambria"/>
          <w:color w:val="000000" w:themeColor="text1"/>
          <w:sz w:val="16"/>
          <w:szCs w:val="16"/>
        </w:rPr>
        <w:t>27</w:t>
      </w:r>
      <w:r w:rsidR="00885DE2">
        <w:rPr>
          <w:rFonts w:ascii="Cambria" w:hAnsi="Cambria"/>
          <w:color w:val="000000" w:themeColor="text1"/>
          <w:sz w:val="16"/>
          <w:szCs w:val="16"/>
        </w:rPr>
        <w:t>,</w:t>
      </w:r>
      <w:r w:rsidR="00885DE2" w:rsidRPr="009035C0">
        <w:rPr>
          <w:rFonts w:ascii="Cambria" w:hAnsi="Cambria"/>
          <w:color w:val="000000" w:themeColor="text1"/>
          <w:sz w:val="16"/>
          <w:szCs w:val="16"/>
        </w:rPr>
        <w:t xml:space="preserve"> 2020</w:t>
      </w:r>
      <w:r w:rsidRPr="009035C0">
        <w:rPr>
          <w:rFonts w:ascii="Cambria" w:hAnsi="Cambria"/>
          <w:color w:val="000000" w:themeColor="text1"/>
          <w:sz w:val="16"/>
          <w:szCs w:val="16"/>
        </w:rPr>
        <w:t>.</w:t>
      </w:r>
    </w:p>
  </w:footnote>
  <w:footnote w:id="84">
    <w:p w14:paraId="67541CF5" w14:textId="4860DCD6" w:rsidR="00A92476" w:rsidRPr="009035C0" w:rsidRDefault="00A9247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C0D3A">
        <w:rPr>
          <w:rFonts w:ascii="Cambria" w:hAnsi="Cambria"/>
          <w:color w:val="000000" w:themeColor="text1"/>
          <w:sz w:val="16"/>
          <w:szCs w:val="16"/>
        </w:rPr>
        <w:t>Venezuelan Electoral Observatory</w:t>
      </w:r>
      <w:r w:rsidRPr="009035C0">
        <w:rPr>
          <w:rFonts w:ascii="Cambria" w:hAnsi="Cambria"/>
          <w:color w:val="000000" w:themeColor="text1"/>
          <w:sz w:val="16"/>
          <w:szCs w:val="16"/>
        </w:rPr>
        <w:t xml:space="preserve">, </w:t>
      </w:r>
      <w:r w:rsidR="009C0D3A">
        <w:rPr>
          <w:rFonts w:ascii="Cambria" w:hAnsi="Cambria"/>
          <w:color w:val="000000" w:themeColor="text1"/>
          <w:sz w:val="16"/>
          <w:szCs w:val="16"/>
        </w:rPr>
        <w:t xml:space="preserve">Bulletin </w:t>
      </w:r>
      <w:r w:rsidRPr="009035C0">
        <w:rPr>
          <w:rFonts w:ascii="Cambria" w:hAnsi="Cambria"/>
          <w:color w:val="000000" w:themeColor="text1"/>
          <w:sz w:val="16"/>
          <w:szCs w:val="16"/>
        </w:rPr>
        <w:t>56 | En marcha el proceso para designar nuevo CNE</w:t>
      </w:r>
      <w:r w:rsidR="009C0D3A">
        <w:rPr>
          <w:rFonts w:ascii="Cambria" w:hAnsi="Cambria"/>
          <w:color w:val="000000" w:themeColor="text1"/>
          <w:sz w:val="16"/>
          <w:szCs w:val="16"/>
        </w:rPr>
        <w:t xml:space="preserve"> [‘Process to appoint new CNE under way’], January </w:t>
      </w:r>
      <w:r w:rsidRPr="009035C0">
        <w:rPr>
          <w:rFonts w:ascii="Cambria" w:hAnsi="Cambria"/>
          <w:color w:val="000000" w:themeColor="text1"/>
          <w:sz w:val="16"/>
          <w:szCs w:val="16"/>
        </w:rPr>
        <w:t>2021.</w:t>
      </w:r>
    </w:p>
  </w:footnote>
  <w:footnote w:id="85">
    <w:p w14:paraId="66A92279" w14:textId="70F9057F" w:rsidR="00A92476" w:rsidRPr="00E7771A" w:rsidRDefault="00A9247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BBC, Crisis en Venezuela: un nuevo Consejo Electoral y otros 4 hechos recientes que pueden tener un impacto en el país, </w:t>
      </w:r>
      <w:r w:rsidR="00F83C5F" w:rsidRPr="00E7771A">
        <w:rPr>
          <w:rFonts w:ascii="Cambria" w:hAnsi="Cambria"/>
          <w:color w:val="000000" w:themeColor="text1"/>
          <w:sz w:val="16"/>
          <w:szCs w:val="16"/>
          <w:lang w:val="es-US"/>
        </w:rPr>
        <w:t xml:space="preserve">[‘Crisis in Venezuela: a new electoral Council and 4 </w:t>
      </w:r>
      <w:r w:rsidR="004D666E" w:rsidRPr="00E7771A">
        <w:rPr>
          <w:rFonts w:ascii="Cambria" w:hAnsi="Cambria"/>
          <w:color w:val="000000" w:themeColor="text1"/>
          <w:sz w:val="16"/>
          <w:szCs w:val="16"/>
          <w:lang w:val="es-US"/>
        </w:rPr>
        <w:t xml:space="preserve">other </w:t>
      </w:r>
      <w:r w:rsidR="00F83C5F" w:rsidRPr="00E7771A">
        <w:rPr>
          <w:rFonts w:ascii="Cambria" w:hAnsi="Cambria"/>
          <w:color w:val="000000" w:themeColor="text1"/>
          <w:sz w:val="16"/>
          <w:szCs w:val="16"/>
          <w:lang w:val="es-US"/>
        </w:rPr>
        <w:t xml:space="preserve">recent events that can have an impact on the country’], May </w:t>
      </w:r>
      <w:r w:rsidRPr="00E7771A">
        <w:rPr>
          <w:rFonts w:ascii="Cambria" w:hAnsi="Cambria"/>
          <w:color w:val="000000" w:themeColor="text1"/>
          <w:sz w:val="16"/>
          <w:szCs w:val="16"/>
          <w:lang w:val="es-US"/>
        </w:rPr>
        <w:t>4</w:t>
      </w:r>
      <w:r w:rsidR="00F83C5F"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86">
    <w:p w14:paraId="650FCDAD" w14:textId="14F2BB9E" w:rsidR="00A92476" w:rsidRPr="00E7771A" w:rsidRDefault="00A9247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Acceso a la Justicia, El nuevo CNE designado por la AN oficialista viene con defecto de fábrica</w:t>
      </w:r>
      <w:r w:rsidR="00D312EF" w:rsidRPr="00E7771A">
        <w:rPr>
          <w:rFonts w:ascii="Cambria" w:hAnsi="Cambria"/>
          <w:color w:val="000000" w:themeColor="text1"/>
          <w:sz w:val="16"/>
          <w:szCs w:val="16"/>
          <w:lang w:val="es-US"/>
        </w:rPr>
        <w:t xml:space="preserve"> [‘The new CNE appointed by the government controlled AN comes with factory defect’], May</w:t>
      </w:r>
      <w:r w:rsidRPr="00E7771A">
        <w:rPr>
          <w:rFonts w:ascii="Cambria" w:hAnsi="Cambria"/>
          <w:color w:val="000000" w:themeColor="text1"/>
          <w:sz w:val="16"/>
          <w:szCs w:val="16"/>
          <w:lang w:val="es-US"/>
        </w:rPr>
        <w:t xml:space="preserve"> 19</w:t>
      </w:r>
      <w:r w:rsidR="00D312EF"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87">
    <w:p w14:paraId="4E990A72" w14:textId="10A28FAB" w:rsidR="00A92476" w:rsidRPr="00E7771A" w:rsidRDefault="00A9247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Acceso a la Justicia, El nuevo CNE designado por la AN oficialista viene con defecto de fábrica, </w:t>
      </w:r>
      <w:r w:rsidR="003D27A6" w:rsidRPr="00E7771A">
        <w:rPr>
          <w:rFonts w:ascii="Cambria" w:hAnsi="Cambria"/>
          <w:color w:val="000000" w:themeColor="text1"/>
          <w:sz w:val="16"/>
          <w:szCs w:val="16"/>
          <w:lang w:val="es-US"/>
        </w:rPr>
        <w:t>[‘The new CNE appointed by the government controlled AN comes with factory defect’], May 19, 2021.</w:t>
      </w:r>
    </w:p>
  </w:footnote>
  <w:footnote w:id="88">
    <w:p w14:paraId="225A44CA" w14:textId="398BDD8B" w:rsidR="00A92476" w:rsidRPr="00E7771A" w:rsidRDefault="00A9247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El País, El chavismo retoma la Asamblea Nacional y se hace con el control de todas las instituciones de Venezuela, </w:t>
      </w:r>
      <w:r w:rsidR="003D27A6" w:rsidRPr="00E7771A">
        <w:rPr>
          <w:rFonts w:ascii="Cambria" w:hAnsi="Cambria"/>
          <w:color w:val="000000" w:themeColor="text1"/>
          <w:sz w:val="16"/>
          <w:szCs w:val="16"/>
          <w:lang w:val="es-US"/>
        </w:rPr>
        <w:t xml:space="preserve">[‘Chaves supporters retake the National Assembly and </w:t>
      </w:r>
      <w:r w:rsidR="00D845B5" w:rsidRPr="00E7771A">
        <w:rPr>
          <w:rFonts w:ascii="Cambria" w:hAnsi="Cambria"/>
          <w:color w:val="000000" w:themeColor="text1"/>
          <w:sz w:val="16"/>
          <w:szCs w:val="16"/>
          <w:lang w:val="es-US"/>
        </w:rPr>
        <w:t xml:space="preserve">win control of all institutions of Venezuela in a power play’], January </w:t>
      </w:r>
      <w:r w:rsidRPr="00E7771A">
        <w:rPr>
          <w:rFonts w:ascii="Cambria" w:hAnsi="Cambria"/>
          <w:color w:val="000000" w:themeColor="text1"/>
          <w:sz w:val="16"/>
          <w:szCs w:val="16"/>
          <w:lang w:val="es-US"/>
        </w:rPr>
        <w:t>5</w:t>
      </w:r>
      <w:r w:rsidR="00D845B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89">
    <w:p w14:paraId="25C3D086" w14:textId="6CBC1544" w:rsidR="00A92476" w:rsidRPr="009035C0" w:rsidRDefault="00A9247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Sumáte, Comunicado ante designación inconstitucional de rectores del Poder Electoral, </w:t>
      </w:r>
      <w:r w:rsidR="007450F3">
        <w:rPr>
          <w:rFonts w:ascii="Cambria" w:hAnsi="Cambria"/>
          <w:color w:val="000000" w:themeColor="text1"/>
          <w:sz w:val="16"/>
          <w:szCs w:val="16"/>
        </w:rPr>
        <w:t xml:space="preserve">[‘Communique in response to the unconstitutional appointment of the members of the electoral branch of government’], May </w:t>
      </w:r>
      <w:r w:rsidRPr="009035C0">
        <w:rPr>
          <w:rFonts w:ascii="Cambria" w:hAnsi="Cambria"/>
          <w:color w:val="000000" w:themeColor="text1"/>
          <w:sz w:val="16"/>
          <w:szCs w:val="16"/>
        </w:rPr>
        <w:t>7</w:t>
      </w:r>
      <w:r w:rsidR="007450F3">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90">
    <w:p w14:paraId="77FBF6D9" w14:textId="23E1A54A" w:rsidR="00A92476" w:rsidRPr="009035C0" w:rsidRDefault="00A9247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Acceso a la Justicia, El nuevo CNE designado por la AN oficialista viene con defecto de fábrica, </w:t>
      </w:r>
      <w:r w:rsidR="00F24E56">
        <w:rPr>
          <w:rFonts w:ascii="Cambria" w:hAnsi="Cambria"/>
          <w:color w:val="000000" w:themeColor="text1"/>
          <w:sz w:val="16"/>
          <w:szCs w:val="16"/>
        </w:rPr>
        <w:t>[‘The new CNE appointed by the government controlled AN comes with factory defect’], May</w:t>
      </w:r>
      <w:r w:rsidR="00F24E56" w:rsidRPr="009035C0">
        <w:rPr>
          <w:rFonts w:ascii="Cambria" w:hAnsi="Cambria"/>
          <w:color w:val="000000" w:themeColor="text1"/>
          <w:sz w:val="16"/>
          <w:szCs w:val="16"/>
        </w:rPr>
        <w:t xml:space="preserve"> 19</w:t>
      </w:r>
      <w:r w:rsidR="00F24E56">
        <w:rPr>
          <w:rFonts w:ascii="Cambria" w:hAnsi="Cambria"/>
          <w:color w:val="000000" w:themeColor="text1"/>
          <w:sz w:val="16"/>
          <w:szCs w:val="16"/>
        </w:rPr>
        <w:t>,</w:t>
      </w:r>
      <w:r w:rsidR="00F24E56" w:rsidRPr="009035C0">
        <w:rPr>
          <w:rFonts w:ascii="Cambria" w:hAnsi="Cambria"/>
          <w:color w:val="000000" w:themeColor="text1"/>
          <w:sz w:val="16"/>
          <w:szCs w:val="16"/>
        </w:rPr>
        <w:t xml:space="preserve"> 2021.</w:t>
      </w:r>
    </w:p>
  </w:footnote>
  <w:footnote w:id="91">
    <w:p w14:paraId="52DC129C" w14:textId="3C78DFA2" w:rsidR="009A0510" w:rsidRPr="009035C0" w:rsidRDefault="009A051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4E0BDE">
        <w:rPr>
          <w:rFonts w:ascii="Cambria" w:hAnsi="Cambria"/>
          <w:color w:val="000000" w:themeColor="text1"/>
          <w:sz w:val="16"/>
          <w:szCs w:val="16"/>
        </w:rPr>
        <w:t>IACHR.</w:t>
      </w:r>
      <w:r w:rsidR="006C01E2">
        <w:rPr>
          <w:rFonts w:ascii="Cambria" w:hAnsi="Cambria"/>
          <w:color w:val="000000" w:themeColor="text1"/>
          <w:sz w:val="16"/>
          <w:szCs w:val="16"/>
        </w:rPr>
        <w:t xml:space="preserve"> Press Release</w:t>
      </w:r>
      <w:r w:rsidRPr="009035C0">
        <w:rPr>
          <w:rFonts w:ascii="Cambria" w:hAnsi="Cambria"/>
          <w:color w:val="000000" w:themeColor="text1"/>
          <w:sz w:val="16"/>
          <w:szCs w:val="16"/>
        </w:rPr>
        <w:t xml:space="preserve"> </w:t>
      </w:r>
      <w:hyperlink r:id="rId35">
        <w:r w:rsidRPr="009035C0">
          <w:rPr>
            <w:rFonts w:ascii="Cambria" w:hAnsi="Cambria"/>
            <w:color w:val="000000" w:themeColor="text1"/>
            <w:sz w:val="16"/>
            <w:szCs w:val="16"/>
            <w:u w:val="single"/>
          </w:rPr>
          <w:t>Comunicado de Prensa No. 217/21</w:t>
        </w:r>
      </w:hyperlink>
      <w:r w:rsidRPr="009035C0">
        <w:rPr>
          <w:rFonts w:ascii="Cambria" w:hAnsi="Cambria"/>
          <w:color w:val="000000" w:themeColor="text1"/>
          <w:sz w:val="16"/>
          <w:szCs w:val="16"/>
        </w:rPr>
        <w:t xml:space="preserve">, </w:t>
      </w:r>
      <w:r w:rsidR="00906AC2">
        <w:rPr>
          <w:rFonts w:ascii="Cambria" w:hAnsi="Cambria"/>
          <w:color w:val="000000" w:themeColor="text1"/>
          <w:sz w:val="16"/>
          <w:szCs w:val="16"/>
        </w:rPr>
        <w:t xml:space="preserve">IACHR Calls for Serious, Broad, Inclusive Dialogue for the Urgent Reconstruction of Democratic Institutions in Venezuela. </w:t>
      </w:r>
      <w:r w:rsidR="00774255">
        <w:rPr>
          <w:rFonts w:ascii="Cambria" w:hAnsi="Cambria"/>
          <w:color w:val="000000" w:themeColor="text1"/>
          <w:sz w:val="16"/>
          <w:szCs w:val="16"/>
        </w:rPr>
        <w:t xml:space="preserve">August </w:t>
      </w:r>
      <w:r w:rsidRPr="009035C0">
        <w:rPr>
          <w:rFonts w:ascii="Cambria" w:hAnsi="Cambria"/>
          <w:color w:val="000000" w:themeColor="text1"/>
          <w:sz w:val="16"/>
          <w:szCs w:val="16"/>
        </w:rPr>
        <w:t>23</w:t>
      </w:r>
      <w:r w:rsidR="00774255">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92">
    <w:p w14:paraId="5FC2BAD8" w14:textId="7A1C8DBB" w:rsidR="009A0510" w:rsidRPr="009035C0" w:rsidRDefault="009A051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Sputnik Mundo, </w:t>
      </w:r>
      <w:hyperlink r:id="rId36">
        <w:r w:rsidRPr="009035C0">
          <w:rPr>
            <w:rFonts w:ascii="Cambria" w:hAnsi="Cambria"/>
            <w:color w:val="000000" w:themeColor="text1"/>
            <w:sz w:val="16"/>
            <w:szCs w:val="16"/>
            <w:u w:val="single"/>
          </w:rPr>
          <w:t>Aquí les presentamos el texto completo del memorándum de entendimiento firmado por el Gobierno y la oposición de Venezuela en México</w:t>
        </w:r>
      </w:hyperlink>
      <w:r w:rsidRPr="009035C0">
        <w:rPr>
          <w:rFonts w:ascii="Cambria" w:hAnsi="Cambria"/>
          <w:color w:val="000000" w:themeColor="text1"/>
          <w:sz w:val="16"/>
          <w:szCs w:val="16"/>
        </w:rPr>
        <w:t xml:space="preserve">, </w:t>
      </w:r>
      <w:r w:rsidR="00FD5741">
        <w:rPr>
          <w:rFonts w:ascii="Cambria" w:hAnsi="Cambria"/>
          <w:color w:val="000000" w:themeColor="text1"/>
          <w:sz w:val="16"/>
          <w:szCs w:val="16"/>
        </w:rPr>
        <w:t>[‘</w:t>
      </w:r>
      <w:r w:rsidR="00A757C3">
        <w:rPr>
          <w:rFonts w:ascii="Cambria" w:hAnsi="Cambria"/>
          <w:color w:val="000000" w:themeColor="text1"/>
          <w:sz w:val="16"/>
          <w:szCs w:val="16"/>
        </w:rPr>
        <w:t xml:space="preserve">We provide hereunder the full text of the memorandum of understanding signed by the government and the Venezuelan opposition in Mexico’], </w:t>
      </w:r>
      <w:r w:rsidR="00916D89">
        <w:rPr>
          <w:rFonts w:ascii="Cambria" w:hAnsi="Cambria"/>
          <w:color w:val="000000" w:themeColor="text1"/>
          <w:sz w:val="16"/>
          <w:szCs w:val="16"/>
        </w:rPr>
        <w:t xml:space="preserve">August </w:t>
      </w:r>
      <w:r w:rsidRPr="009035C0">
        <w:rPr>
          <w:rFonts w:ascii="Cambria" w:hAnsi="Cambria"/>
          <w:color w:val="000000" w:themeColor="text1"/>
          <w:sz w:val="16"/>
          <w:szCs w:val="16"/>
        </w:rPr>
        <w:t>14</w:t>
      </w:r>
      <w:r w:rsidR="00916D89">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93">
    <w:p w14:paraId="4C86D7F2" w14:textId="6A60EF5C" w:rsidR="009A0510" w:rsidRPr="009035C0" w:rsidRDefault="009A051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5070A4">
        <w:rPr>
          <w:rFonts w:ascii="Cambria" w:hAnsi="Cambria"/>
          <w:color w:val="000000" w:themeColor="text1"/>
          <w:sz w:val="16"/>
          <w:szCs w:val="16"/>
        </w:rPr>
        <w:t>IACHR,</w:t>
      </w:r>
      <w:r w:rsidR="00547499">
        <w:rPr>
          <w:rFonts w:ascii="Cambria" w:hAnsi="Cambria"/>
          <w:color w:val="000000" w:themeColor="text1"/>
          <w:sz w:val="16"/>
          <w:szCs w:val="16"/>
        </w:rPr>
        <w:t xml:space="preserve"> Press Release</w:t>
      </w:r>
      <w:r w:rsidR="005070A4">
        <w:rPr>
          <w:rFonts w:ascii="Cambria" w:hAnsi="Cambria"/>
          <w:color w:val="000000" w:themeColor="text1"/>
          <w:sz w:val="16"/>
          <w:szCs w:val="16"/>
        </w:rPr>
        <w:t xml:space="preserve"> </w:t>
      </w:r>
      <w:hyperlink r:id="rId37">
        <w:r w:rsidRPr="009035C0">
          <w:rPr>
            <w:rFonts w:ascii="Cambria" w:hAnsi="Cambria"/>
            <w:color w:val="000000" w:themeColor="text1"/>
            <w:sz w:val="16"/>
            <w:szCs w:val="16"/>
            <w:u w:val="single"/>
          </w:rPr>
          <w:t>Comunicado de Prensa No. 217/2</w:t>
        </w:r>
      </w:hyperlink>
      <w:r w:rsidRPr="009035C0">
        <w:rPr>
          <w:rFonts w:ascii="Cambria" w:hAnsi="Cambria"/>
          <w:color w:val="000000" w:themeColor="text1"/>
          <w:sz w:val="16"/>
          <w:szCs w:val="16"/>
        </w:rPr>
        <w:t xml:space="preserve">1, </w:t>
      </w:r>
      <w:r w:rsidR="001529C9">
        <w:rPr>
          <w:rFonts w:ascii="Cambria" w:hAnsi="Cambria"/>
          <w:color w:val="000000" w:themeColor="text1"/>
          <w:sz w:val="16"/>
          <w:szCs w:val="16"/>
        </w:rPr>
        <w:t>IACHR Calls for Serious, Broad, Inclusive Dial</w:t>
      </w:r>
      <w:r w:rsidR="00066BED">
        <w:rPr>
          <w:rFonts w:ascii="Cambria" w:hAnsi="Cambria"/>
          <w:color w:val="000000" w:themeColor="text1"/>
          <w:sz w:val="16"/>
          <w:szCs w:val="16"/>
        </w:rPr>
        <w:t>ogu</w:t>
      </w:r>
      <w:r w:rsidR="001529C9">
        <w:rPr>
          <w:rFonts w:ascii="Cambria" w:hAnsi="Cambria"/>
          <w:color w:val="000000" w:themeColor="text1"/>
          <w:sz w:val="16"/>
          <w:szCs w:val="16"/>
        </w:rPr>
        <w:t xml:space="preserve">e for the Urgent Reconstruction of Democratic Institutions in Venezuela. August </w:t>
      </w:r>
      <w:r w:rsidRPr="009035C0">
        <w:rPr>
          <w:rFonts w:ascii="Cambria" w:hAnsi="Cambria"/>
          <w:color w:val="000000" w:themeColor="text1"/>
          <w:sz w:val="16"/>
          <w:szCs w:val="16"/>
        </w:rPr>
        <w:t>23</w:t>
      </w:r>
      <w:r w:rsidR="001529C9">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94">
    <w:p w14:paraId="6C1732D5" w14:textId="460BDED7" w:rsidR="009A0510" w:rsidRPr="009035C0" w:rsidRDefault="009A051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A3B55">
        <w:rPr>
          <w:rFonts w:ascii="Cambria" w:hAnsi="Cambria"/>
          <w:color w:val="000000" w:themeColor="text1"/>
          <w:sz w:val="16"/>
          <w:szCs w:val="16"/>
        </w:rPr>
        <w:t xml:space="preserve">IA Court of HR. The denunciation of the American Convention on Human Rights and of the Charter of the Organization of American States and the effects thereof on states’ human rights obligations (Interpretation and scope of Articles </w:t>
      </w:r>
      <w:r w:rsidRPr="009035C0">
        <w:rPr>
          <w:rFonts w:ascii="Cambria" w:hAnsi="Cambria"/>
          <w:color w:val="000000" w:themeColor="text1"/>
          <w:sz w:val="16"/>
          <w:szCs w:val="16"/>
        </w:rPr>
        <w:t xml:space="preserve">1, 2, 27, 29, 30, 31, 32, 33 </w:t>
      </w:r>
      <w:r w:rsidR="009A3B55">
        <w:rPr>
          <w:rFonts w:ascii="Cambria" w:hAnsi="Cambria"/>
          <w:color w:val="000000" w:themeColor="text1"/>
          <w:sz w:val="16"/>
          <w:szCs w:val="16"/>
        </w:rPr>
        <w:t>to</w:t>
      </w:r>
      <w:r w:rsidRPr="009035C0">
        <w:rPr>
          <w:rFonts w:ascii="Cambria" w:hAnsi="Cambria"/>
          <w:color w:val="000000" w:themeColor="text1"/>
          <w:sz w:val="16"/>
          <w:szCs w:val="16"/>
        </w:rPr>
        <w:t xml:space="preserve"> 65 </w:t>
      </w:r>
      <w:r w:rsidR="009A3B55">
        <w:rPr>
          <w:rFonts w:ascii="Cambria" w:hAnsi="Cambria"/>
          <w:color w:val="000000" w:themeColor="text1"/>
          <w:sz w:val="16"/>
          <w:szCs w:val="16"/>
        </w:rPr>
        <w:t>and</w:t>
      </w:r>
      <w:r w:rsidRPr="009035C0">
        <w:rPr>
          <w:rFonts w:ascii="Cambria" w:hAnsi="Cambria"/>
          <w:color w:val="000000" w:themeColor="text1"/>
          <w:sz w:val="16"/>
          <w:szCs w:val="16"/>
        </w:rPr>
        <w:t xml:space="preserve"> 78 </w:t>
      </w:r>
      <w:r w:rsidR="0071228B">
        <w:rPr>
          <w:rFonts w:ascii="Cambria" w:hAnsi="Cambria"/>
          <w:color w:val="000000" w:themeColor="text1"/>
          <w:sz w:val="16"/>
          <w:szCs w:val="16"/>
        </w:rPr>
        <w:t xml:space="preserve">of the American Convention on Human Rights and </w:t>
      </w:r>
      <w:r w:rsidRPr="009035C0">
        <w:rPr>
          <w:rFonts w:ascii="Cambria" w:hAnsi="Cambria"/>
          <w:color w:val="000000" w:themeColor="text1"/>
          <w:sz w:val="16"/>
          <w:szCs w:val="16"/>
        </w:rPr>
        <w:t xml:space="preserve">3.l), 17, 45, 53, 106 </w:t>
      </w:r>
      <w:r w:rsidR="0071228B">
        <w:rPr>
          <w:rFonts w:ascii="Cambria" w:hAnsi="Cambria"/>
          <w:color w:val="000000" w:themeColor="text1"/>
          <w:sz w:val="16"/>
          <w:szCs w:val="16"/>
        </w:rPr>
        <w:t>and</w:t>
      </w:r>
      <w:r w:rsidRPr="009035C0">
        <w:rPr>
          <w:rFonts w:ascii="Cambria" w:hAnsi="Cambria"/>
          <w:color w:val="000000" w:themeColor="text1"/>
          <w:sz w:val="16"/>
          <w:szCs w:val="16"/>
        </w:rPr>
        <w:t xml:space="preserve"> 143 </w:t>
      </w:r>
      <w:r w:rsidR="000E7308">
        <w:rPr>
          <w:rFonts w:ascii="Cambria" w:hAnsi="Cambria"/>
          <w:color w:val="000000" w:themeColor="text1"/>
          <w:sz w:val="16"/>
          <w:szCs w:val="16"/>
        </w:rPr>
        <w:t>of the Charter of the Organization of American States. Advisory Opinion</w:t>
      </w:r>
      <w:r w:rsidRPr="009035C0">
        <w:rPr>
          <w:rFonts w:ascii="Cambria" w:hAnsi="Cambria"/>
          <w:color w:val="000000" w:themeColor="text1"/>
          <w:sz w:val="16"/>
          <w:szCs w:val="16"/>
        </w:rPr>
        <w:t xml:space="preserve"> OC-26/20 </w:t>
      </w:r>
      <w:r w:rsidR="00C7418A">
        <w:rPr>
          <w:rFonts w:ascii="Cambria" w:hAnsi="Cambria"/>
          <w:color w:val="000000" w:themeColor="text1"/>
          <w:sz w:val="16"/>
          <w:szCs w:val="16"/>
        </w:rPr>
        <w:t xml:space="preserve">of November </w:t>
      </w:r>
      <w:r w:rsidRPr="009035C0">
        <w:rPr>
          <w:rFonts w:ascii="Cambria" w:hAnsi="Cambria"/>
          <w:color w:val="000000" w:themeColor="text1"/>
          <w:sz w:val="16"/>
          <w:szCs w:val="16"/>
        </w:rPr>
        <w:t>9</w:t>
      </w:r>
      <w:r w:rsidR="00C7418A">
        <w:rPr>
          <w:rFonts w:ascii="Cambria" w:hAnsi="Cambria"/>
          <w:color w:val="000000" w:themeColor="text1"/>
          <w:sz w:val="16"/>
          <w:szCs w:val="16"/>
        </w:rPr>
        <w:t>,</w:t>
      </w:r>
      <w:r w:rsidRPr="009035C0">
        <w:rPr>
          <w:rFonts w:ascii="Cambria" w:hAnsi="Cambria"/>
          <w:color w:val="000000" w:themeColor="text1"/>
          <w:sz w:val="16"/>
          <w:szCs w:val="16"/>
        </w:rPr>
        <w:t xml:space="preserve"> 2020. Serie</w:t>
      </w:r>
      <w:r w:rsidR="000E2A11">
        <w:rPr>
          <w:rFonts w:ascii="Cambria" w:hAnsi="Cambria"/>
          <w:color w:val="000000" w:themeColor="text1"/>
          <w:sz w:val="16"/>
          <w:szCs w:val="16"/>
        </w:rPr>
        <w:t>s</w:t>
      </w:r>
      <w:r w:rsidRPr="009035C0">
        <w:rPr>
          <w:rFonts w:ascii="Cambria" w:hAnsi="Cambria"/>
          <w:color w:val="000000" w:themeColor="text1"/>
          <w:sz w:val="16"/>
          <w:szCs w:val="16"/>
        </w:rPr>
        <w:t xml:space="preserve"> A No. 26, p</w:t>
      </w:r>
      <w:r w:rsidR="00E27B66">
        <w:rPr>
          <w:rFonts w:ascii="Cambria" w:hAnsi="Cambria"/>
          <w:color w:val="000000" w:themeColor="text1"/>
          <w:sz w:val="16"/>
          <w:szCs w:val="16"/>
        </w:rPr>
        <w:t>a</w:t>
      </w:r>
      <w:r w:rsidRPr="009035C0">
        <w:rPr>
          <w:rFonts w:ascii="Cambria" w:hAnsi="Cambria"/>
          <w:color w:val="000000" w:themeColor="text1"/>
          <w:sz w:val="16"/>
          <w:szCs w:val="16"/>
        </w:rPr>
        <w:t>r. 163.</w:t>
      </w:r>
    </w:p>
  </w:footnote>
  <w:footnote w:id="95">
    <w:p w14:paraId="51060000" w14:textId="7630B275" w:rsidR="009A0510" w:rsidRPr="009035C0" w:rsidRDefault="009A051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A1E24">
        <w:rPr>
          <w:rFonts w:ascii="Cambria" w:hAnsi="Cambria"/>
          <w:color w:val="000000" w:themeColor="text1"/>
          <w:sz w:val="16"/>
          <w:szCs w:val="16"/>
        </w:rPr>
        <w:t>IACHR,</w:t>
      </w:r>
      <w:r w:rsidR="00B3180B">
        <w:rPr>
          <w:rFonts w:ascii="Cambria" w:hAnsi="Cambria"/>
          <w:color w:val="000000" w:themeColor="text1"/>
          <w:sz w:val="16"/>
          <w:szCs w:val="16"/>
        </w:rPr>
        <w:t xml:space="preserve"> Press Release </w:t>
      </w:r>
      <w:r w:rsidRPr="009035C0">
        <w:rPr>
          <w:rFonts w:ascii="Cambria" w:hAnsi="Cambria"/>
          <w:color w:val="000000" w:themeColor="text1"/>
          <w:sz w:val="16"/>
          <w:szCs w:val="16"/>
        </w:rPr>
        <w:t xml:space="preserve"> </w:t>
      </w:r>
      <w:hyperlink r:id="rId38">
        <w:r w:rsidRPr="009035C0">
          <w:rPr>
            <w:rFonts w:ascii="Cambria" w:hAnsi="Cambria"/>
            <w:color w:val="000000" w:themeColor="text1"/>
            <w:sz w:val="16"/>
            <w:szCs w:val="16"/>
            <w:u w:val="single"/>
          </w:rPr>
          <w:t>Comunicado de Prensa No. 217/21</w:t>
        </w:r>
      </w:hyperlink>
      <w:r w:rsidRPr="009035C0">
        <w:rPr>
          <w:rFonts w:ascii="Cambria" w:hAnsi="Cambria"/>
          <w:color w:val="000000" w:themeColor="text1"/>
          <w:sz w:val="16"/>
          <w:szCs w:val="16"/>
        </w:rPr>
        <w:t xml:space="preserve">, </w:t>
      </w:r>
      <w:r w:rsidR="00233B1A">
        <w:rPr>
          <w:rFonts w:ascii="Cambria" w:hAnsi="Cambria"/>
          <w:color w:val="000000" w:themeColor="text1"/>
          <w:sz w:val="16"/>
          <w:szCs w:val="16"/>
        </w:rPr>
        <w:t>IACHR Calls for Serious, Broad, Inclusive Dial</w:t>
      </w:r>
      <w:r w:rsidR="00840FE9">
        <w:rPr>
          <w:rFonts w:ascii="Cambria" w:hAnsi="Cambria"/>
          <w:color w:val="000000" w:themeColor="text1"/>
          <w:sz w:val="16"/>
          <w:szCs w:val="16"/>
        </w:rPr>
        <w:t>o</w:t>
      </w:r>
      <w:r w:rsidR="00233B1A">
        <w:rPr>
          <w:rFonts w:ascii="Cambria" w:hAnsi="Cambria"/>
          <w:color w:val="000000" w:themeColor="text1"/>
          <w:sz w:val="16"/>
          <w:szCs w:val="16"/>
        </w:rPr>
        <w:t xml:space="preserve">gue for the Urgent Reconstruction of Democratic Institutions in Venezuela. August </w:t>
      </w:r>
      <w:r w:rsidR="00233B1A" w:rsidRPr="009035C0">
        <w:rPr>
          <w:rFonts w:ascii="Cambria" w:hAnsi="Cambria"/>
          <w:color w:val="000000" w:themeColor="text1"/>
          <w:sz w:val="16"/>
          <w:szCs w:val="16"/>
        </w:rPr>
        <w:t>23</w:t>
      </w:r>
      <w:r w:rsidR="00233B1A">
        <w:rPr>
          <w:rFonts w:ascii="Cambria" w:hAnsi="Cambria"/>
          <w:color w:val="000000" w:themeColor="text1"/>
          <w:sz w:val="16"/>
          <w:szCs w:val="16"/>
        </w:rPr>
        <w:t>,</w:t>
      </w:r>
      <w:r w:rsidR="00233B1A" w:rsidRPr="009035C0">
        <w:rPr>
          <w:rFonts w:ascii="Cambria" w:hAnsi="Cambria"/>
          <w:color w:val="000000" w:themeColor="text1"/>
          <w:sz w:val="16"/>
          <w:szCs w:val="16"/>
        </w:rPr>
        <w:t xml:space="preserve"> 2021</w:t>
      </w:r>
      <w:r w:rsidRPr="009035C0">
        <w:rPr>
          <w:rFonts w:ascii="Cambria" w:hAnsi="Cambria"/>
          <w:color w:val="000000" w:themeColor="text1"/>
          <w:sz w:val="16"/>
          <w:szCs w:val="16"/>
        </w:rPr>
        <w:t xml:space="preserve">. </w:t>
      </w:r>
    </w:p>
  </w:footnote>
  <w:footnote w:id="96">
    <w:p w14:paraId="4D44C9E8" w14:textId="636A9E29" w:rsidR="00A9390F" w:rsidRPr="009035C0" w:rsidRDefault="00A9390F"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8D63B6">
        <w:rPr>
          <w:rFonts w:ascii="Cambria" w:hAnsi="Cambria"/>
          <w:color w:val="000000" w:themeColor="text1"/>
          <w:sz w:val="16"/>
          <w:szCs w:val="16"/>
        </w:rPr>
        <w:t>International Criminal Court, Mr</w:t>
      </w:r>
      <w:r w:rsidR="000E46E7" w:rsidRPr="009035C0">
        <w:rPr>
          <w:rFonts w:ascii="Cambria" w:hAnsi="Cambria" w:cs="Arial"/>
          <w:color w:val="000000" w:themeColor="text1"/>
          <w:sz w:val="16"/>
          <w:szCs w:val="16"/>
          <w:shd w:val="clear" w:color="auto" w:fill="FFFFFF"/>
        </w:rPr>
        <w:t xml:space="preserve">. Karim A.A. Khan QC, </w:t>
      </w:r>
      <w:r w:rsidR="00B01D08">
        <w:rPr>
          <w:rFonts w:ascii="Cambria" w:hAnsi="Cambria" w:cs="Arial"/>
          <w:color w:val="000000" w:themeColor="text1"/>
          <w:sz w:val="16"/>
          <w:szCs w:val="16"/>
          <w:shd w:val="clear" w:color="auto" w:fill="FFFFFF"/>
        </w:rPr>
        <w:t xml:space="preserve">ICC </w:t>
      </w:r>
      <w:r w:rsidR="008D63B6">
        <w:rPr>
          <w:rFonts w:ascii="Cambria" w:hAnsi="Cambria" w:cs="Arial"/>
          <w:color w:val="000000" w:themeColor="text1"/>
          <w:sz w:val="16"/>
          <w:szCs w:val="16"/>
          <w:shd w:val="clear" w:color="auto" w:fill="FFFFFF"/>
        </w:rPr>
        <w:t>Prosecutor</w:t>
      </w:r>
      <w:r w:rsidR="000E46E7" w:rsidRPr="009035C0">
        <w:rPr>
          <w:rFonts w:ascii="Cambria" w:hAnsi="Cambria" w:cs="Arial"/>
          <w:color w:val="000000" w:themeColor="text1"/>
          <w:sz w:val="16"/>
          <w:szCs w:val="16"/>
          <w:shd w:val="clear" w:color="auto" w:fill="FFFFFF"/>
        </w:rPr>
        <w:t>,</w:t>
      </w:r>
      <w:r w:rsidR="008D63B6">
        <w:rPr>
          <w:rFonts w:ascii="Cambria" w:hAnsi="Cambria" w:cs="Arial"/>
          <w:color w:val="000000" w:themeColor="text1"/>
          <w:sz w:val="16"/>
          <w:szCs w:val="16"/>
          <w:shd w:val="clear" w:color="auto" w:fill="FFFFFF"/>
        </w:rPr>
        <w:t xml:space="preserve"> opens an investigation into the situation in Venezuela and </w:t>
      </w:r>
      <w:r w:rsidR="00B01D08">
        <w:rPr>
          <w:rFonts w:ascii="Cambria" w:hAnsi="Cambria" w:cs="Arial"/>
          <w:color w:val="000000" w:themeColor="text1"/>
          <w:sz w:val="16"/>
          <w:szCs w:val="16"/>
          <w:shd w:val="clear" w:color="auto" w:fill="FFFFFF"/>
        </w:rPr>
        <w:t xml:space="preserve">concludes a Memorandum of Understanding with the Government. November 5, </w:t>
      </w:r>
      <w:r w:rsidR="000E46E7" w:rsidRPr="009035C0">
        <w:rPr>
          <w:rFonts w:ascii="Cambria" w:hAnsi="Cambria" w:cs="Arial"/>
          <w:color w:val="000000" w:themeColor="text1"/>
          <w:sz w:val="16"/>
          <w:szCs w:val="16"/>
          <w:shd w:val="clear" w:color="auto" w:fill="FFFFFF"/>
        </w:rPr>
        <w:t>2021.</w:t>
      </w:r>
    </w:p>
  </w:footnote>
  <w:footnote w:id="97">
    <w:p w14:paraId="526FE6B1" w14:textId="2A7E2A1C" w:rsidR="003657CB" w:rsidRPr="009035C0" w:rsidRDefault="003657CB"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Art</w:t>
      </w:r>
      <w:r w:rsidR="00926868">
        <w:rPr>
          <w:rFonts w:ascii="Cambria" w:hAnsi="Cambria"/>
          <w:color w:val="000000" w:themeColor="text1"/>
          <w:sz w:val="16"/>
          <w:szCs w:val="16"/>
        </w:rPr>
        <w:t>icle</w:t>
      </w:r>
      <w:r w:rsidRPr="009035C0">
        <w:rPr>
          <w:rFonts w:ascii="Cambria" w:hAnsi="Cambria"/>
          <w:color w:val="000000" w:themeColor="text1"/>
          <w:sz w:val="16"/>
          <w:szCs w:val="16"/>
        </w:rPr>
        <w:t xml:space="preserve"> 7, </w:t>
      </w:r>
      <w:r w:rsidR="00926868">
        <w:rPr>
          <w:rFonts w:ascii="Cambria" w:hAnsi="Cambria"/>
          <w:color w:val="000000" w:themeColor="text1"/>
          <w:sz w:val="16"/>
          <w:szCs w:val="16"/>
        </w:rPr>
        <w:t>Rome Statute of the International Criminal Court</w:t>
      </w:r>
      <w:r w:rsidRPr="009035C0">
        <w:rPr>
          <w:rFonts w:ascii="Cambria" w:hAnsi="Cambria"/>
          <w:color w:val="000000" w:themeColor="text1"/>
          <w:sz w:val="16"/>
          <w:szCs w:val="16"/>
        </w:rPr>
        <w:t>.</w:t>
      </w:r>
    </w:p>
  </w:footnote>
  <w:footnote w:id="98">
    <w:p w14:paraId="29F1EAEB" w14:textId="60E50DA0" w:rsidR="003657CB" w:rsidRPr="009035C0" w:rsidRDefault="003657CB"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O</w:t>
      </w:r>
      <w:r w:rsidR="002B7C7E">
        <w:rPr>
          <w:rFonts w:ascii="Cambria" w:hAnsi="Cambria"/>
          <w:color w:val="000000" w:themeColor="text1"/>
          <w:sz w:val="16"/>
          <w:szCs w:val="16"/>
        </w:rPr>
        <w:t>AS</w:t>
      </w:r>
      <w:r w:rsidRPr="009035C0">
        <w:rPr>
          <w:rFonts w:ascii="Cambria" w:hAnsi="Cambria"/>
          <w:color w:val="000000" w:themeColor="text1"/>
          <w:sz w:val="16"/>
          <w:szCs w:val="16"/>
        </w:rPr>
        <w:t xml:space="preserve">, </w:t>
      </w:r>
      <w:r w:rsidR="002B7C7E">
        <w:rPr>
          <w:rFonts w:ascii="Cambria" w:hAnsi="Cambria"/>
          <w:color w:val="000000" w:themeColor="text1"/>
          <w:sz w:val="16"/>
          <w:szCs w:val="16"/>
        </w:rPr>
        <w:t xml:space="preserve">Fostering </w:t>
      </w:r>
      <w:r w:rsidR="00A22D85">
        <w:rPr>
          <w:rFonts w:ascii="Cambria" w:hAnsi="Cambria"/>
          <w:color w:val="000000" w:themeColor="text1"/>
          <w:sz w:val="16"/>
          <w:szCs w:val="16"/>
        </w:rPr>
        <w:t>I</w:t>
      </w:r>
      <w:r w:rsidR="002B7C7E">
        <w:rPr>
          <w:rFonts w:ascii="Cambria" w:hAnsi="Cambria"/>
          <w:color w:val="000000" w:themeColor="text1"/>
          <w:sz w:val="16"/>
          <w:szCs w:val="16"/>
        </w:rPr>
        <w:t xml:space="preserve">mpunity: The </w:t>
      </w:r>
      <w:r w:rsidR="00A22D85">
        <w:rPr>
          <w:rFonts w:ascii="Cambria" w:hAnsi="Cambria"/>
          <w:color w:val="000000" w:themeColor="text1"/>
          <w:sz w:val="16"/>
          <w:szCs w:val="16"/>
        </w:rPr>
        <w:t>I</w:t>
      </w:r>
      <w:r w:rsidR="002B7C7E">
        <w:rPr>
          <w:rFonts w:ascii="Cambria" w:hAnsi="Cambria"/>
          <w:color w:val="000000" w:themeColor="text1"/>
          <w:sz w:val="16"/>
          <w:szCs w:val="16"/>
        </w:rPr>
        <w:t xml:space="preserve">mpact of the </w:t>
      </w:r>
      <w:r w:rsidR="00A22D85">
        <w:rPr>
          <w:rFonts w:ascii="Cambria" w:hAnsi="Cambria"/>
          <w:color w:val="000000" w:themeColor="text1"/>
          <w:sz w:val="16"/>
          <w:szCs w:val="16"/>
        </w:rPr>
        <w:t xml:space="preserve">Failure of the Prosecutor of the </w:t>
      </w:r>
      <w:r w:rsidR="002B7C7E">
        <w:rPr>
          <w:rFonts w:ascii="Cambria" w:hAnsi="Cambria"/>
          <w:color w:val="000000" w:themeColor="text1"/>
          <w:sz w:val="16"/>
          <w:szCs w:val="16"/>
        </w:rPr>
        <w:t>International Criminal</w:t>
      </w:r>
      <w:r w:rsidR="0046282A">
        <w:rPr>
          <w:rFonts w:ascii="Cambria" w:hAnsi="Cambria"/>
          <w:color w:val="000000" w:themeColor="text1"/>
          <w:sz w:val="16"/>
          <w:szCs w:val="16"/>
        </w:rPr>
        <w:t xml:space="preserve"> Court </w:t>
      </w:r>
      <w:r w:rsidR="00A22D85">
        <w:rPr>
          <w:rFonts w:ascii="Cambria" w:hAnsi="Cambria"/>
          <w:color w:val="000000" w:themeColor="text1"/>
          <w:sz w:val="16"/>
          <w:szCs w:val="16"/>
        </w:rPr>
        <w:t xml:space="preserve">to Open an Investigation into </w:t>
      </w:r>
      <w:r w:rsidR="00EC0B19">
        <w:rPr>
          <w:rFonts w:ascii="Cambria" w:hAnsi="Cambria"/>
          <w:color w:val="000000" w:themeColor="text1"/>
          <w:sz w:val="16"/>
          <w:szCs w:val="16"/>
        </w:rPr>
        <w:t xml:space="preserve">the </w:t>
      </w:r>
      <w:r w:rsidR="00A22D85">
        <w:rPr>
          <w:rFonts w:ascii="Cambria" w:hAnsi="Cambria"/>
          <w:color w:val="000000" w:themeColor="text1"/>
          <w:sz w:val="16"/>
          <w:szCs w:val="16"/>
        </w:rPr>
        <w:t>P</w:t>
      </w:r>
      <w:r w:rsidR="00241A8F">
        <w:rPr>
          <w:rFonts w:ascii="Cambria" w:hAnsi="Cambria"/>
          <w:color w:val="000000" w:themeColor="text1"/>
          <w:sz w:val="16"/>
          <w:szCs w:val="16"/>
        </w:rPr>
        <w:t>ossible</w:t>
      </w:r>
      <w:r w:rsidR="00EC0B19">
        <w:rPr>
          <w:rFonts w:ascii="Cambria" w:hAnsi="Cambria"/>
          <w:color w:val="000000" w:themeColor="text1"/>
          <w:sz w:val="16"/>
          <w:szCs w:val="16"/>
        </w:rPr>
        <w:t xml:space="preserve"> Commission of</w:t>
      </w:r>
      <w:r w:rsidR="00241A8F">
        <w:rPr>
          <w:rFonts w:ascii="Cambria" w:hAnsi="Cambria"/>
          <w:color w:val="000000" w:themeColor="text1"/>
          <w:sz w:val="16"/>
          <w:szCs w:val="16"/>
        </w:rPr>
        <w:t xml:space="preserve"> </w:t>
      </w:r>
      <w:r w:rsidR="00A22D85">
        <w:rPr>
          <w:rFonts w:ascii="Cambria" w:hAnsi="Cambria"/>
          <w:color w:val="000000" w:themeColor="text1"/>
          <w:sz w:val="16"/>
          <w:szCs w:val="16"/>
        </w:rPr>
        <w:t>C</w:t>
      </w:r>
      <w:r w:rsidR="00241A8F">
        <w:rPr>
          <w:rFonts w:ascii="Cambria" w:hAnsi="Cambria"/>
          <w:color w:val="000000" w:themeColor="text1"/>
          <w:sz w:val="16"/>
          <w:szCs w:val="16"/>
        </w:rPr>
        <w:t xml:space="preserve">rimes against </w:t>
      </w:r>
      <w:r w:rsidR="00A22D85">
        <w:rPr>
          <w:rFonts w:ascii="Cambria" w:hAnsi="Cambria"/>
          <w:color w:val="000000" w:themeColor="text1"/>
          <w:sz w:val="16"/>
          <w:szCs w:val="16"/>
        </w:rPr>
        <w:t>H</w:t>
      </w:r>
      <w:r w:rsidR="00241A8F">
        <w:rPr>
          <w:rFonts w:ascii="Cambria" w:hAnsi="Cambria"/>
          <w:color w:val="000000" w:themeColor="text1"/>
          <w:sz w:val="16"/>
          <w:szCs w:val="16"/>
        </w:rPr>
        <w:t>umanity in Venezuela, December 2,</w:t>
      </w:r>
      <w:r w:rsidRPr="009035C0">
        <w:rPr>
          <w:rFonts w:ascii="Cambria" w:hAnsi="Cambria"/>
          <w:color w:val="000000" w:themeColor="text1"/>
          <w:sz w:val="16"/>
          <w:szCs w:val="16"/>
        </w:rPr>
        <w:t xml:space="preserve"> 2020, pg. 18.</w:t>
      </w:r>
    </w:p>
  </w:footnote>
  <w:footnote w:id="99">
    <w:p w14:paraId="2997B468" w14:textId="5A840E0A" w:rsidR="003325C0" w:rsidRPr="00E7771A" w:rsidRDefault="003325C0" w:rsidP="00F85814">
      <w:pPr>
        <w:pBdr>
          <w:top w:val="nil"/>
          <w:left w:val="nil"/>
          <w:bottom w:val="nil"/>
          <w:right w:val="nil"/>
          <w:between w:val="nil"/>
        </w:pBd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E43D1B" w:rsidRPr="00E7771A">
        <w:rPr>
          <w:rFonts w:ascii="Cambria" w:hAnsi="Cambria"/>
          <w:color w:val="000000" w:themeColor="text1"/>
          <w:sz w:val="16"/>
          <w:szCs w:val="16"/>
          <w:lang w:val="es-US"/>
        </w:rPr>
        <w:t>IACHR.</w:t>
      </w:r>
      <w:r w:rsidRPr="00E7771A">
        <w:rPr>
          <w:rFonts w:ascii="Cambria" w:hAnsi="Cambria"/>
          <w:color w:val="000000" w:themeColor="text1"/>
          <w:sz w:val="16"/>
          <w:szCs w:val="16"/>
          <w:lang w:val="es-US"/>
        </w:rPr>
        <w:t xml:space="preserve"> </w:t>
      </w:r>
      <w:hyperlink r:id="rId39">
        <w:r w:rsidRPr="00E7771A">
          <w:rPr>
            <w:rFonts w:ascii="Cambria" w:hAnsi="Cambria"/>
            <w:color w:val="000000" w:themeColor="text1"/>
            <w:sz w:val="16"/>
            <w:szCs w:val="16"/>
            <w:u w:val="single"/>
            <w:lang w:val="es-US"/>
          </w:rPr>
          <w:t>Informe sobre la situación de los Derechos Humanos en Venezuela, 2003,</w:t>
        </w:r>
      </w:hyperlink>
      <w:r w:rsidRPr="00E7771A">
        <w:rPr>
          <w:rFonts w:ascii="Cambria" w:hAnsi="Cambria"/>
          <w:color w:val="000000" w:themeColor="text1"/>
          <w:sz w:val="16"/>
          <w:szCs w:val="16"/>
          <w:lang w:val="es-US"/>
        </w:rPr>
        <w:t xml:space="preserve"> </w:t>
      </w:r>
      <w:r w:rsidR="009127A8" w:rsidRPr="00E7771A">
        <w:rPr>
          <w:rFonts w:ascii="Cambria" w:hAnsi="Cambria"/>
          <w:color w:val="000000" w:themeColor="text1"/>
          <w:sz w:val="16"/>
          <w:szCs w:val="16"/>
          <w:lang w:val="es-US"/>
        </w:rPr>
        <w:t>Report on the Situation of Human Righ</w:t>
      </w:r>
      <w:r w:rsidR="003C337C" w:rsidRPr="00E7771A">
        <w:rPr>
          <w:rFonts w:ascii="Cambria" w:hAnsi="Cambria"/>
          <w:color w:val="000000" w:themeColor="text1"/>
          <w:sz w:val="16"/>
          <w:szCs w:val="16"/>
          <w:lang w:val="es-US"/>
        </w:rPr>
        <w:t>t</w:t>
      </w:r>
      <w:r w:rsidR="009127A8" w:rsidRPr="00E7771A">
        <w:rPr>
          <w:rFonts w:ascii="Cambria" w:hAnsi="Cambria"/>
          <w:color w:val="000000" w:themeColor="text1"/>
          <w:sz w:val="16"/>
          <w:szCs w:val="16"/>
          <w:lang w:val="es-US"/>
        </w:rPr>
        <w:t xml:space="preserve">s in Venezuela, </w:t>
      </w:r>
      <w:r w:rsidRPr="00E7771A">
        <w:rPr>
          <w:rFonts w:ascii="Cambria" w:hAnsi="Cambria"/>
          <w:color w:val="000000" w:themeColor="text1"/>
          <w:sz w:val="16"/>
          <w:szCs w:val="16"/>
          <w:lang w:val="es-US"/>
        </w:rPr>
        <w:t>p</w:t>
      </w:r>
      <w:r w:rsidR="009127A8" w:rsidRPr="00E7771A">
        <w:rPr>
          <w:rFonts w:ascii="Cambria" w:hAnsi="Cambria"/>
          <w:color w:val="000000" w:themeColor="text1"/>
          <w:sz w:val="16"/>
          <w:szCs w:val="16"/>
          <w:lang w:val="es-US"/>
        </w:rPr>
        <w:t>a</w:t>
      </w:r>
      <w:r w:rsidRPr="00E7771A">
        <w:rPr>
          <w:rFonts w:ascii="Cambria" w:hAnsi="Cambria"/>
          <w:color w:val="000000" w:themeColor="text1"/>
          <w:sz w:val="16"/>
          <w:szCs w:val="16"/>
          <w:lang w:val="es-US"/>
        </w:rPr>
        <w:t xml:space="preserve">r. 272; </w:t>
      </w:r>
      <w:r w:rsidR="00826F17" w:rsidRPr="00E7771A">
        <w:rPr>
          <w:rFonts w:ascii="Cambria" w:hAnsi="Cambria"/>
          <w:color w:val="000000" w:themeColor="text1"/>
          <w:sz w:val="16"/>
          <w:szCs w:val="16"/>
          <w:lang w:val="es-US"/>
        </w:rPr>
        <w:t xml:space="preserve">IACHR, </w:t>
      </w:r>
      <w:hyperlink r:id="rId40">
        <w:r w:rsidRPr="00E7771A">
          <w:rPr>
            <w:rFonts w:ascii="Cambria" w:hAnsi="Cambria"/>
            <w:color w:val="000000" w:themeColor="text1"/>
            <w:sz w:val="16"/>
            <w:szCs w:val="16"/>
            <w:u w:val="single"/>
            <w:lang w:val="es-US"/>
          </w:rPr>
          <w:t>Informe sobre seguridad ciudadana y derechos humanos</w:t>
        </w:r>
      </w:hyperlink>
      <w:r w:rsidRPr="00E7771A">
        <w:rPr>
          <w:rFonts w:ascii="Cambria" w:hAnsi="Cambria"/>
          <w:color w:val="000000" w:themeColor="text1"/>
          <w:sz w:val="16"/>
          <w:szCs w:val="16"/>
          <w:lang w:val="es-US"/>
        </w:rPr>
        <w:t xml:space="preserve">, </w:t>
      </w:r>
      <w:r w:rsidR="00826F17" w:rsidRPr="00E7771A">
        <w:rPr>
          <w:rFonts w:ascii="Cambria" w:hAnsi="Cambria"/>
          <w:color w:val="000000" w:themeColor="text1"/>
          <w:sz w:val="16"/>
          <w:szCs w:val="16"/>
          <w:lang w:val="es-US"/>
        </w:rPr>
        <w:t xml:space="preserve">Report on citizen security and human rights, December </w:t>
      </w:r>
      <w:r w:rsidRPr="00E7771A">
        <w:rPr>
          <w:rFonts w:ascii="Cambria" w:hAnsi="Cambria"/>
          <w:color w:val="000000" w:themeColor="text1"/>
          <w:sz w:val="16"/>
          <w:szCs w:val="16"/>
          <w:lang w:val="es-US"/>
        </w:rPr>
        <w:t>31</w:t>
      </w:r>
      <w:r w:rsidR="00826F17"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2009, p</w:t>
      </w:r>
      <w:r w:rsidR="00826F17" w:rsidRPr="00E7771A">
        <w:rPr>
          <w:rFonts w:ascii="Cambria" w:hAnsi="Cambria"/>
          <w:color w:val="000000" w:themeColor="text1"/>
          <w:sz w:val="16"/>
          <w:szCs w:val="16"/>
          <w:lang w:val="es-US"/>
        </w:rPr>
        <w:t>a</w:t>
      </w:r>
      <w:r w:rsidRPr="00E7771A">
        <w:rPr>
          <w:rFonts w:ascii="Cambria" w:hAnsi="Cambria"/>
          <w:color w:val="000000" w:themeColor="text1"/>
          <w:sz w:val="16"/>
          <w:szCs w:val="16"/>
          <w:lang w:val="es-US"/>
        </w:rPr>
        <w:t>r. 101.</w:t>
      </w:r>
    </w:p>
  </w:footnote>
  <w:footnote w:id="100">
    <w:p w14:paraId="3F22BD42" w14:textId="3B5AA47A" w:rsidR="001505FA" w:rsidRPr="00F85814" w:rsidRDefault="001505FA" w:rsidP="00F85814">
      <w:pPr>
        <w:spacing w:after="120"/>
        <w:ind w:firstLine="720"/>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w:t>
      </w:r>
      <w:r w:rsidR="008E7453" w:rsidRPr="00F85814">
        <w:rPr>
          <w:rFonts w:ascii="Cambria" w:hAnsi="Cambria" w:cs="Arial"/>
          <w:color w:val="000000" w:themeColor="text1"/>
          <w:sz w:val="16"/>
          <w:szCs w:val="16"/>
          <w:shd w:val="clear" w:color="auto" w:fill="FFFFFF"/>
          <w:lang w:val="es-US"/>
        </w:rPr>
        <w:t>Lupa por la vida, Alta letalidad policial y militar produjo el asesinato de 825 personas en primer semestre de 2021,</w:t>
      </w:r>
      <w:r w:rsidR="003C337C" w:rsidRPr="00F85814">
        <w:rPr>
          <w:rFonts w:ascii="Cambria" w:hAnsi="Cambria" w:cs="Arial"/>
          <w:color w:val="000000" w:themeColor="text1"/>
          <w:sz w:val="16"/>
          <w:szCs w:val="16"/>
          <w:shd w:val="clear" w:color="auto" w:fill="FFFFFF"/>
          <w:lang w:val="es-US"/>
        </w:rPr>
        <w:t xml:space="preserve"> [‘High </w:t>
      </w:r>
      <w:r w:rsidR="0046219D" w:rsidRPr="00F85814">
        <w:rPr>
          <w:rFonts w:ascii="Cambria" w:hAnsi="Cambria" w:cs="Arial"/>
          <w:color w:val="000000" w:themeColor="text1"/>
          <w:sz w:val="16"/>
          <w:szCs w:val="16"/>
          <w:shd w:val="clear" w:color="auto" w:fill="FFFFFF"/>
          <w:lang w:val="es-US"/>
        </w:rPr>
        <w:t>level of lethal force by police and military leads to murder of 825 people in first half of 2021’],</w:t>
      </w:r>
      <w:r w:rsidR="008E7453" w:rsidRPr="00F85814">
        <w:rPr>
          <w:rFonts w:ascii="Cambria" w:hAnsi="Cambria" w:cs="Arial"/>
          <w:color w:val="000000" w:themeColor="text1"/>
          <w:sz w:val="16"/>
          <w:szCs w:val="16"/>
          <w:shd w:val="clear" w:color="auto" w:fill="FFFFFF"/>
          <w:lang w:val="es-US"/>
        </w:rPr>
        <w:t xml:space="preserve">  </w:t>
      </w:r>
      <w:r w:rsidR="002E6186" w:rsidRPr="00F85814">
        <w:rPr>
          <w:rFonts w:ascii="Cambria" w:hAnsi="Cambria" w:cs="Arial"/>
          <w:color w:val="000000" w:themeColor="text1"/>
          <w:sz w:val="16"/>
          <w:szCs w:val="16"/>
          <w:shd w:val="clear" w:color="auto" w:fill="FFFFFF"/>
          <w:lang w:val="es-US"/>
        </w:rPr>
        <w:t xml:space="preserve">July </w:t>
      </w:r>
      <w:r w:rsidR="008E7453" w:rsidRPr="00F85814">
        <w:rPr>
          <w:rFonts w:ascii="Cambria" w:hAnsi="Cambria" w:cs="Arial"/>
          <w:color w:val="000000" w:themeColor="text1"/>
          <w:sz w:val="16"/>
          <w:szCs w:val="16"/>
          <w:shd w:val="clear" w:color="auto" w:fill="FFFFFF"/>
          <w:lang w:val="es-US"/>
        </w:rPr>
        <w:t>19</w:t>
      </w:r>
      <w:r w:rsidR="002E6186" w:rsidRPr="00F85814">
        <w:rPr>
          <w:rFonts w:ascii="Cambria" w:hAnsi="Cambria" w:cs="Arial"/>
          <w:color w:val="000000" w:themeColor="text1"/>
          <w:sz w:val="16"/>
          <w:szCs w:val="16"/>
          <w:shd w:val="clear" w:color="auto" w:fill="FFFFFF"/>
          <w:lang w:val="es-US"/>
        </w:rPr>
        <w:t>,</w:t>
      </w:r>
      <w:r w:rsidR="008E7453" w:rsidRPr="00F85814">
        <w:rPr>
          <w:rFonts w:ascii="Cambria" w:hAnsi="Cambria" w:cs="Arial"/>
          <w:color w:val="000000" w:themeColor="text1"/>
          <w:sz w:val="16"/>
          <w:szCs w:val="16"/>
          <w:shd w:val="clear" w:color="auto" w:fill="FFFFFF"/>
          <w:lang w:val="es-US"/>
        </w:rPr>
        <w:t xml:space="preserve"> 2021.</w:t>
      </w:r>
    </w:p>
  </w:footnote>
  <w:footnote w:id="101">
    <w:p w14:paraId="602A87A2" w14:textId="201D7790" w:rsidR="00132934" w:rsidRPr="009035C0" w:rsidRDefault="00132934"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BC5FA7">
        <w:rPr>
          <w:rFonts w:ascii="Cambria" w:hAnsi="Cambria"/>
          <w:color w:val="000000" w:themeColor="text1"/>
          <w:sz w:val="16"/>
          <w:szCs w:val="16"/>
        </w:rPr>
        <w:t xml:space="preserve">General Secretariat of the Organization of American States </w:t>
      </w:r>
      <w:r w:rsidRPr="009035C0">
        <w:rPr>
          <w:rFonts w:ascii="Cambria" w:hAnsi="Cambria"/>
          <w:color w:val="000000" w:themeColor="text1"/>
          <w:sz w:val="16"/>
          <w:szCs w:val="16"/>
        </w:rPr>
        <w:t>(O</w:t>
      </w:r>
      <w:r w:rsidR="00BC5FA7">
        <w:rPr>
          <w:rFonts w:ascii="Cambria" w:hAnsi="Cambria"/>
          <w:color w:val="000000" w:themeColor="text1"/>
          <w:sz w:val="16"/>
          <w:szCs w:val="16"/>
        </w:rPr>
        <w:t>AS</w:t>
      </w:r>
      <w:r w:rsidRPr="009035C0">
        <w:rPr>
          <w:rFonts w:ascii="Cambria" w:hAnsi="Cambria"/>
          <w:color w:val="000000" w:themeColor="text1"/>
          <w:sz w:val="16"/>
          <w:szCs w:val="16"/>
        </w:rPr>
        <w:t xml:space="preserve">), </w:t>
      </w:r>
      <w:r w:rsidR="004C347E">
        <w:rPr>
          <w:rFonts w:ascii="Cambria" w:hAnsi="Cambria"/>
          <w:color w:val="000000" w:themeColor="text1"/>
          <w:sz w:val="16"/>
          <w:szCs w:val="16"/>
        </w:rPr>
        <w:t xml:space="preserve">Fostering impunity: the impact of the failure of the Prosecutor of the International Criminal Court to Open an Investigation into possible Crimes against Humanity in Venezuela, pg. </w:t>
      </w:r>
      <w:r w:rsidRPr="009035C0">
        <w:rPr>
          <w:rFonts w:ascii="Cambria" w:hAnsi="Cambria"/>
          <w:color w:val="000000" w:themeColor="text1"/>
          <w:sz w:val="16"/>
          <w:szCs w:val="16"/>
        </w:rPr>
        <w:t>18.</w:t>
      </w:r>
    </w:p>
  </w:footnote>
  <w:footnote w:id="102">
    <w:p w14:paraId="1E66C9CB" w14:textId="5E11A7F2" w:rsidR="003325C0" w:rsidRPr="009035C0" w:rsidRDefault="003325C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2C7259">
        <w:rPr>
          <w:rFonts w:ascii="Cambria" w:hAnsi="Cambria"/>
          <w:color w:val="000000" w:themeColor="text1"/>
          <w:sz w:val="16"/>
          <w:szCs w:val="16"/>
        </w:rPr>
        <w:t>IA Court of HR. Case of</w:t>
      </w:r>
      <w:r w:rsidRPr="009035C0">
        <w:rPr>
          <w:rFonts w:ascii="Cambria" w:hAnsi="Cambria"/>
          <w:color w:val="000000" w:themeColor="text1"/>
          <w:sz w:val="16"/>
          <w:szCs w:val="16"/>
        </w:rPr>
        <w:t xml:space="preserve"> Guerrero, Molina </w:t>
      </w:r>
      <w:r w:rsidR="002C7259">
        <w:rPr>
          <w:rFonts w:ascii="Cambria" w:hAnsi="Cambria"/>
          <w:color w:val="000000" w:themeColor="text1"/>
          <w:sz w:val="16"/>
          <w:szCs w:val="16"/>
        </w:rPr>
        <w:t>et al v.</w:t>
      </w:r>
      <w:r w:rsidRPr="009035C0">
        <w:rPr>
          <w:rFonts w:ascii="Cambria" w:hAnsi="Cambria"/>
          <w:color w:val="000000" w:themeColor="text1"/>
          <w:sz w:val="16"/>
          <w:szCs w:val="16"/>
        </w:rPr>
        <w:t xml:space="preserve"> Venezuela. </w:t>
      </w:r>
      <w:r w:rsidR="002C7259">
        <w:rPr>
          <w:rFonts w:ascii="Cambria" w:hAnsi="Cambria"/>
          <w:color w:val="000000" w:themeColor="text1"/>
          <w:sz w:val="16"/>
          <w:szCs w:val="16"/>
        </w:rPr>
        <w:t>Mer</w:t>
      </w:r>
      <w:r w:rsidR="002A4EAE">
        <w:rPr>
          <w:rFonts w:ascii="Cambria" w:hAnsi="Cambria"/>
          <w:color w:val="000000" w:themeColor="text1"/>
          <w:sz w:val="16"/>
          <w:szCs w:val="16"/>
        </w:rPr>
        <w:t>it</w:t>
      </w:r>
      <w:r w:rsidR="002C7259">
        <w:rPr>
          <w:rFonts w:ascii="Cambria" w:hAnsi="Cambria"/>
          <w:color w:val="000000" w:themeColor="text1"/>
          <w:sz w:val="16"/>
          <w:szCs w:val="16"/>
        </w:rPr>
        <w:t>s, Reparations and Costs.</w:t>
      </w:r>
      <w:r w:rsidR="0060594B">
        <w:rPr>
          <w:rFonts w:ascii="Cambria" w:hAnsi="Cambria"/>
          <w:color w:val="000000" w:themeColor="text1"/>
          <w:sz w:val="16"/>
          <w:szCs w:val="16"/>
        </w:rPr>
        <w:t xml:space="preserve"> Judgment of June </w:t>
      </w:r>
      <w:r w:rsidRPr="009035C0">
        <w:rPr>
          <w:rFonts w:ascii="Cambria" w:hAnsi="Cambria"/>
          <w:color w:val="000000" w:themeColor="text1"/>
          <w:sz w:val="16"/>
          <w:szCs w:val="16"/>
        </w:rPr>
        <w:t>3</w:t>
      </w:r>
      <w:r w:rsidR="0060594B">
        <w:rPr>
          <w:rFonts w:ascii="Cambria" w:hAnsi="Cambria"/>
          <w:color w:val="000000" w:themeColor="text1"/>
          <w:sz w:val="16"/>
          <w:szCs w:val="16"/>
        </w:rPr>
        <w:t>,</w:t>
      </w:r>
      <w:r w:rsidRPr="009035C0">
        <w:rPr>
          <w:rFonts w:ascii="Cambria" w:hAnsi="Cambria"/>
          <w:color w:val="000000" w:themeColor="text1"/>
          <w:sz w:val="16"/>
          <w:szCs w:val="16"/>
        </w:rPr>
        <w:t xml:space="preserve"> 2021. Serie</w:t>
      </w:r>
      <w:r w:rsidR="0060594B">
        <w:rPr>
          <w:rFonts w:ascii="Cambria" w:hAnsi="Cambria"/>
          <w:color w:val="000000" w:themeColor="text1"/>
          <w:sz w:val="16"/>
          <w:szCs w:val="16"/>
        </w:rPr>
        <w:t>s</w:t>
      </w:r>
      <w:r w:rsidRPr="009035C0">
        <w:rPr>
          <w:rFonts w:ascii="Cambria" w:hAnsi="Cambria"/>
          <w:color w:val="000000" w:themeColor="text1"/>
          <w:sz w:val="16"/>
          <w:szCs w:val="16"/>
        </w:rPr>
        <w:t xml:space="preserve"> C No. 424, p</w:t>
      </w:r>
      <w:r w:rsidR="0060594B">
        <w:rPr>
          <w:rFonts w:ascii="Cambria" w:hAnsi="Cambria"/>
          <w:color w:val="000000" w:themeColor="text1"/>
          <w:sz w:val="16"/>
          <w:szCs w:val="16"/>
        </w:rPr>
        <w:t>a</w:t>
      </w:r>
      <w:r w:rsidRPr="009035C0">
        <w:rPr>
          <w:rFonts w:ascii="Cambria" w:hAnsi="Cambria"/>
          <w:color w:val="000000" w:themeColor="text1"/>
          <w:sz w:val="16"/>
          <w:szCs w:val="16"/>
        </w:rPr>
        <w:t>r. 45.</w:t>
      </w:r>
    </w:p>
  </w:footnote>
  <w:footnote w:id="103">
    <w:p w14:paraId="68583288" w14:textId="31E30E4D" w:rsidR="003325C0" w:rsidRPr="00F85814" w:rsidRDefault="003325C0"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354B98">
        <w:rPr>
          <w:rFonts w:ascii="Cambria" w:hAnsi="Cambria"/>
          <w:color w:val="000000" w:themeColor="text1"/>
          <w:sz w:val="16"/>
          <w:szCs w:val="16"/>
        </w:rPr>
        <w:t xml:space="preserve">IACHR. Report </w:t>
      </w:r>
      <w:r w:rsidRPr="009035C0">
        <w:rPr>
          <w:rFonts w:ascii="Cambria" w:hAnsi="Cambria"/>
          <w:color w:val="000000" w:themeColor="text1"/>
          <w:sz w:val="16"/>
          <w:szCs w:val="16"/>
        </w:rPr>
        <w:t>No. 160/18, Cas</w:t>
      </w:r>
      <w:r w:rsidR="00354B98">
        <w:rPr>
          <w:rFonts w:ascii="Cambria" w:hAnsi="Cambria"/>
          <w:color w:val="000000" w:themeColor="text1"/>
          <w:sz w:val="16"/>
          <w:szCs w:val="16"/>
        </w:rPr>
        <w:t>e</w:t>
      </w:r>
      <w:r w:rsidRPr="009035C0">
        <w:rPr>
          <w:rFonts w:ascii="Cambria" w:hAnsi="Cambria"/>
          <w:color w:val="000000" w:themeColor="text1"/>
          <w:sz w:val="16"/>
          <w:szCs w:val="16"/>
        </w:rPr>
        <w:t xml:space="preserve">s 12.805. </w:t>
      </w:r>
      <w:r w:rsidRPr="00F85814">
        <w:rPr>
          <w:rFonts w:ascii="Cambria" w:hAnsi="Cambria"/>
          <w:color w:val="000000" w:themeColor="text1"/>
          <w:sz w:val="16"/>
          <w:szCs w:val="16"/>
          <w:lang w:val="es-US"/>
        </w:rPr>
        <w:t xml:space="preserve">Jimmy Guerrero, Ramón Molina Pérez </w:t>
      </w:r>
      <w:r w:rsidR="00354B98" w:rsidRPr="00F85814">
        <w:rPr>
          <w:rFonts w:ascii="Cambria" w:hAnsi="Cambria"/>
          <w:color w:val="000000" w:themeColor="text1"/>
          <w:sz w:val="16"/>
          <w:szCs w:val="16"/>
          <w:lang w:val="es-US"/>
        </w:rPr>
        <w:t>and Family Members</w:t>
      </w:r>
      <w:r w:rsidRPr="00F85814">
        <w:rPr>
          <w:rFonts w:ascii="Cambria" w:hAnsi="Cambria"/>
          <w:color w:val="000000" w:themeColor="text1"/>
          <w:sz w:val="16"/>
          <w:szCs w:val="16"/>
          <w:lang w:val="es-US"/>
        </w:rPr>
        <w:t>. Venezuela</w:t>
      </w:r>
      <w:r w:rsidR="00995D74" w:rsidRPr="00F85814">
        <w:rPr>
          <w:rFonts w:ascii="Cambria" w:hAnsi="Cambria"/>
          <w:color w:val="000000" w:themeColor="text1"/>
          <w:sz w:val="16"/>
          <w:szCs w:val="16"/>
          <w:lang w:val="es-US"/>
        </w:rPr>
        <w:t>.</w:t>
      </w:r>
      <w:r w:rsidRPr="00F85814">
        <w:rPr>
          <w:rFonts w:ascii="Cambria" w:hAnsi="Cambria"/>
          <w:color w:val="000000" w:themeColor="text1"/>
          <w:sz w:val="16"/>
          <w:szCs w:val="16"/>
          <w:lang w:val="es-US"/>
        </w:rPr>
        <w:t xml:space="preserve"> </w:t>
      </w:r>
      <w:r w:rsidR="00354B98" w:rsidRPr="00F85814">
        <w:rPr>
          <w:rFonts w:ascii="Cambria" w:hAnsi="Cambria"/>
          <w:color w:val="000000" w:themeColor="text1"/>
          <w:sz w:val="16"/>
          <w:szCs w:val="16"/>
          <w:lang w:val="es-US"/>
        </w:rPr>
        <w:t xml:space="preserve">December </w:t>
      </w:r>
      <w:r w:rsidRPr="00F85814">
        <w:rPr>
          <w:rFonts w:ascii="Cambria" w:hAnsi="Cambria"/>
          <w:color w:val="000000" w:themeColor="text1"/>
          <w:sz w:val="16"/>
          <w:szCs w:val="16"/>
          <w:lang w:val="es-US"/>
        </w:rPr>
        <w:t>7</w:t>
      </w:r>
      <w:r w:rsidR="00354B98" w:rsidRPr="00F85814">
        <w:rPr>
          <w:rFonts w:ascii="Cambria" w:hAnsi="Cambria"/>
          <w:color w:val="000000" w:themeColor="text1"/>
          <w:sz w:val="16"/>
          <w:szCs w:val="16"/>
          <w:lang w:val="es-US"/>
        </w:rPr>
        <w:t>,</w:t>
      </w:r>
      <w:r w:rsidRPr="00F85814">
        <w:rPr>
          <w:rFonts w:ascii="Cambria" w:hAnsi="Cambria"/>
          <w:color w:val="000000" w:themeColor="text1"/>
          <w:sz w:val="16"/>
          <w:szCs w:val="16"/>
          <w:lang w:val="es-US"/>
        </w:rPr>
        <w:t xml:space="preserve"> 2018, p</w:t>
      </w:r>
      <w:r w:rsidR="00354B98" w:rsidRPr="00F85814">
        <w:rPr>
          <w:rFonts w:ascii="Cambria" w:hAnsi="Cambria"/>
          <w:color w:val="000000" w:themeColor="text1"/>
          <w:sz w:val="16"/>
          <w:szCs w:val="16"/>
          <w:lang w:val="es-US"/>
        </w:rPr>
        <w:t>a</w:t>
      </w:r>
      <w:r w:rsidRPr="00F85814">
        <w:rPr>
          <w:rFonts w:ascii="Cambria" w:hAnsi="Cambria"/>
          <w:color w:val="000000" w:themeColor="text1"/>
          <w:sz w:val="16"/>
          <w:szCs w:val="16"/>
          <w:lang w:val="es-US"/>
        </w:rPr>
        <w:t>r. 21.</w:t>
      </w:r>
    </w:p>
  </w:footnote>
  <w:footnote w:id="104">
    <w:p w14:paraId="1A9777AE" w14:textId="66CE3451" w:rsidR="003325C0" w:rsidRPr="00F85814" w:rsidRDefault="003325C0" w:rsidP="00F85814">
      <w:pPr>
        <w:spacing w:after="120"/>
        <w:ind w:firstLine="720"/>
        <w:jc w:val="both"/>
        <w:rPr>
          <w:rFonts w:ascii="Cambria" w:hAnsi="Cambria"/>
          <w:color w:val="000000" w:themeColor="text1"/>
          <w:sz w:val="16"/>
          <w:szCs w:val="16"/>
          <w:lang w:val="es-US"/>
        </w:rPr>
      </w:pPr>
      <w:r w:rsidRPr="008072D5">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w:t>
      </w:r>
      <w:r w:rsidR="00495BAF" w:rsidRPr="00F85814">
        <w:rPr>
          <w:rFonts w:ascii="Cambria" w:hAnsi="Cambria"/>
          <w:color w:val="000000" w:themeColor="text1"/>
          <w:sz w:val="16"/>
          <w:szCs w:val="16"/>
          <w:lang w:val="es-US"/>
        </w:rPr>
        <w:t xml:space="preserve">IACHR, </w:t>
      </w:r>
      <w:hyperlink r:id="rId41">
        <w:r w:rsidRPr="00F85814">
          <w:rPr>
            <w:rFonts w:ascii="Cambria" w:hAnsi="Cambria"/>
            <w:color w:val="000000" w:themeColor="text1"/>
            <w:sz w:val="16"/>
            <w:szCs w:val="16"/>
            <w:u w:val="single"/>
            <w:lang w:val="es-US"/>
          </w:rPr>
          <w:t>Informe Anual, Capítulo IV.B “Venezuela”</w:t>
        </w:r>
      </w:hyperlink>
      <w:r w:rsidRPr="00F85814">
        <w:rPr>
          <w:rFonts w:ascii="Cambria" w:hAnsi="Cambria"/>
          <w:color w:val="000000" w:themeColor="text1"/>
          <w:sz w:val="16"/>
          <w:szCs w:val="16"/>
          <w:lang w:val="es-US"/>
        </w:rPr>
        <w:t xml:space="preserve">, </w:t>
      </w:r>
      <w:r w:rsidR="00495BAF" w:rsidRPr="00F85814">
        <w:rPr>
          <w:rFonts w:ascii="Cambria" w:hAnsi="Cambria"/>
          <w:color w:val="000000" w:themeColor="text1"/>
          <w:sz w:val="16"/>
          <w:szCs w:val="16"/>
          <w:lang w:val="es-US"/>
        </w:rPr>
        <w:t xml:space="preserve">Annual Report, Chapter IV.B “Venezuela”], </w:t>
      </w:r>
      <w:r w:rsidRPr="00F85814">
        <w:rPr>
          <w:rFonts w:ascii="Cambria" w:hAnsi="Cambria"/>
          <w:color w:val="000000" w:themeColor="text1"/>
          <w:sz w:val="16"/>
          <w:szCs w:val="16"/>
          <w:lang w:val="es-US"/>
        </w:rPr>
        <w:t xml:space="preserve">2019, </w:t>
      </w:r>
      <w:r w:rsidR="00227339" w:rsidRPr="00F85814">
        <w:rPr>
          <w:rFonts w:ascii="Cambria" w:hAnsi="Cambria"/>
          <w:color w:val="000000" w:themeColor="text1"/>
          <w:sz w:val="16"/>
          <w:szCs w:val="16"/>
          <w:lang w:val="es-US"/>
        </w:rPr>
        <w:t>par</w:t>
      </w:r>
      <w:r w:rsidRPr="00F85814">
        <w:rPr>
          <w:rFonts w:ascii="Cambria" w:hAnsi="Cambria"/>
          <w:color w:val="000000" w:themeColor="text1"/>
          <w:sz w:val="16"/>
          <w:szCs w:val="16"/>
          <w:lang w:val="es-US"/>
        </w:rPr>
        <w:t>. 28.</w:t>
      </w:r>
    </w:p>
  </w:footnote>
  <w:footnote w:id="105">
    <w:p w14:paraId="722536FD" w14:textId="05C437EB" w:rsidR="00730438" w:rsidRPr="00F85814" w:rsidRDefault="00730438" w:rsidP="00F85814">
      <w:pPr>
        <w:spacing w:after="120"/>
        <w:ind w:firstLine="720"/>
        <w:rPr>
          <w:rFonts w:ascii="Cambria" w:hAnsi="Cambria"/>
          <w:sz w:val="16"/>
          <w:szCs w:val="16"/>
          <w:lang w:val="es-US"/>
        </w:rPr>
      </w:pPr>
      <w:r w:rsidRPr="008072D5">
        <w:rPr>
          <w:rStyle w:val="FootnoteReference"/>
          <w:rFonts w:ascii="Cambria" w:hAnsi="Cambria"/>
          <w:sz w:val="16"/>
          <w:szCs w:val="16"/>
        </w:rPr>
        <w:footnoteRef/>
      </w:r>
      <w:r w:rsidRPr="008072D5">
        <w:rPr>
          <w:rFonts w:ascii="Cambria" w:hAnsi="Cambria"/>
          <w:sz w:val="16"/>
          <w:szCs w:val="16"/>
          <w:lang w:val="es-ES"/>
        </w:rPr>
        <w:t xml:space="preserve"> </w:t>
      </w:r>
      <w:r w:rsidR="00AD7717" w:rsidRPr="00F85814">
        <w:rPr>
          <w:rFonts w:ascii="Cambria" w:hAnsi="Cambria" w:cs="Arial"/>
          <w:color w:val="222222"/>
          <w:sz w:val="16"/>
          <w:szCs w:val="16"/>
          <w:shd w:val="clear" w:color="auto" w:fill="FFFFFF"/>
          <w:lang w:val="es-US"/>
        </w:rPr>
        <w:t>BBC, Venezuela: qué se sabe de la operación policial en Caracas que terminó en una "masacre", 12 de enero de 2021.</w:t>
      </w:r>
    </w:p>
  </w:footnote>
  <w:footnote w:id="106">
    <w:p w14:paraId="3DA917A4" w14:textId="59337EA1" w:rsidR="00730438" w:rsidRPr="008072D5" w:rsidRDefault="00730438" w:rsidP="00F85814">
      <w:pPr>
        <w:pStyle w:val="FootnoteText"/>
        <w:spacing w:after="120"/>
        <w:ind w:firstLine="720"/>
        <w:rPr>
          <w:rFonts w:ascii="Cambria" w:hAnsi="Cambria"/>
          <w:sz w:val="16"/>
          <w:szCs w:val="16"/>
          <w:lang w:val="es-ES"/>
        </w:rPr>
      </w:pPr>
      <w:r w:rsidRPr="008072D5">
        <w:rPr>
          <w:rStyle w:val="FootnoteReference"/>
          <w:rFonts w:ascii="Cambria" w:hAnsi="Cambria"/>
          <w:sz w:val="16"/>
          <w:szCs w:val="16"/>
        </w:rPr>
        <w:footnoteRef/>
      </w:r>
      <w:r w:rsidRPr="008072D5">
        <w:rPr>
          <w:rFonts w:ascii="Cambria" w:hAnsi="Cambria"/>
          <w:sz w:val="16"/>
          <w:szCs w:val="16"/>
          <w:lang w:val="es-ES"/>
        </w:rPr>
        <w:t xml:space="preserve"> </w:t>
      </w:r>
      <w:r w:rsidR="003D27E5" w:rsidRPr="00F85814">
        <w:rPr>
          <w:rFonts w:ascii="Cambria" w:hAnsi="Cambria" w:cs="Arial"/>
          <w:color w:val="222222"/>
          <w:sz w:val="16"/>
          <w:szCs w:val="16"/>
          <w:shd w:val="clear" w:color="auto" w:fill="FFFFFF"/>
          <w:lang w:val="es-US"/>
        </w:rPr>
        <w:t>BBC, Venezuela: Cota 905, el barrio de Caracas que durante 3 días fue escenario de una batalla campal entre fuerzas especiales y bandas delincuenciales, 12 de julio de 2021.</w:t>
      </w:r>
    </w:p>
  </w:footnote>
  <w:footnote w:id="107">
    <w:p w14:paraId="071DE4B3" w14:textId="373EA856" w:rsidR="00730438" w:rsidRPr="00F85814" w:rsidRDefault="00730438" w:rsidP="00F85814">
      <w:pPr>
        <w:pStyle w:val="FootnoteText"/>
        <w:spacing w:after="120"/>
        <w:ind w:firstLine="720"/>
        <w:rPr>
          <w:lang w:val="es-US"/>
        </w:rPr>
      </w:pPr>
      <w:r w:rsidRPr="008072D5">
        <w:rPr>
          <w:rStyle w:val="FootnoteReference"/>
          <w:rFonts w:ascii="Cambria" w:hAnsi="Cambria"/>
          <w:sz w:val="16"/>
          <w:szCs w:val="16"/>
        </w:rPr>
        <w:footnoteRef/>
      </w:r>
      <w:r w:rsidRPr="008072D5">
        <w:rPr>
          <w:rFonts w:ascii="Cambria" w:hAnsi="Cambria"/>
          <w:sz w:val="16"/>
          <w:szCs w:val="16"/>
          <w:lang w:val="es-ES"/>
        </w:rPr>
        <w:t xml:space="preserve"> </w:t>
      </w:r>
      <w:r w:rsidR="008072D5" w:rsidRPr="00F85814">
        <w:rPr>
          <w:rFonts w:ascii="Cambria" w:hAnsi="Cambria"/>
          <w:sz w:val="16"/>
          <w:szCs w:val="16"/>
          <w:lang w:val="es-US"/>
        </w:rPr>
        <w:t>Misión Permanente de la República Bolivariana de Venezuela,Observaciones al Capítulo IV. B Venezuela del Informe Anual 2021, 23 de Diciembre de 2021.</w:t>
      </w:r>
    </w:p>
  </w:footnote>
  <w:footnote w:id="108">
    <w:p w14:paraId="5B79C492" w14:textId="1DCD91D9" w:rsidR="00BC11D0" w:rsidRPr="00F85814" w:rsidRDefault="00BC11D0" w:rsidP="00F85814">
      <w:pPr>
        <w:pBdr>
          <w:top w:val="nil"/>
          <w:left w:val="nil"/>
          <w:bottom w:val="nil"/>
          <w:right w:val="nil"/>
          <w:between w:val="nil"/>
        </w:pBd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w:t>
      </w:r>
      <w:r w:rsidR="000921ED" w:rsidRPr="00F85814">
        <w:rPr>
          <w:rFonts w:ascii="Cambria" w:hAnsi="Cambria"/>
          <w:color w:val="000000" w:themeColor="text1"/>
          <w:sz w:val="16"/>
          <w:szCs w:val="16"/>
          <w:lang w:val="es-US"/>
        </w:rPr>
        <w:t xml:space="preserve">IA Court of HR, Case of Women Victims of Sexual Torture in </w:t>
      </w:r>
      <w:r w:rsidRPr="00F85814">
        <w:rPr>
          <w:rFonts w:ascii="Cambria" w:hAnsi="Cambria"/>
          <w:color w:val="000000" w:themeColor="text1"/>
          <w:sz w:val="16"/>
          <w:szCs w:val="16"/>
          <w:lang w:val="es-US"/>
        </w:rPr>
        <w:t>Atenco v. M</w:t>
      </w:r>
      <w:r w:rsidR="000921ED" w:rsidRPr="00F85814">
        <w:rPr>
          <w:rFonts w:ascii="Cambria" w:hAnsi="Cambria"/>
          <w:color w:val="000000" w:themeColor="text1"/>
          <w:sz w:val="16"/>
          <w:szCs w:val="16"/>
          <w:lang w:val="es-US"/>
        </w:rPr>
        <w:t>ex</w:t>
      </w:r>
      <w:r w:rsidRPr="00F85814">
        <w:rPr>
          <w:rFonts w:ascii="Cambria" w:hAnsi="Cambria"/>
          <w:color w:val="000000" w:themeColor="text1"/>
          <w:sz w:val="16"/>
          <w:szCs w:val="16"/>
          <w:lang w:val="es-US"/>
        </w:rPr>
        <w:t xml:space="preserve">ico, </w:t>
      </w:r>
      <w:r w:rsidR="00512638" w:rsidRPr="00F85814">
        <w:rPr>
          <w:rFonts w:ascii="Cambria" w:hAnsi="Cambria"/>
          <w:color w:val="000000" w:themeColor="text1"/>
          <w:sz w:val="16"/>
          <w:szCs w:val="16"/>
          <w:lang w:val="es-US"/>
        </w:rPr>
        <w:t xml:space="preserve">Judgment of November </w:t>
      </w:r>
      <w:r w:rsidRPr="00F85814">
        <w:rPr>
          <w:rFonts w:ascii="Cambria" w:hAnsi="Cambria"/>
          <w:color w:val="000000" w:themeColor="text1"/>
          <w:sz w:val="16"/>
          <w:szCs w:val="16"/>
          <w:lang w:val="es-US"/>
        </w:rPr>
        <w:t>28</w:t>
      </w:r>
      <w:r w:rsidR="00512638" w:rsidRPr="00F85814">
        <w:rPr>
          <w:rFonts w:ascii="Cambria" w:hAnsi="Cambria"/>
          <w:color w:val="000000" w:themeColor="text1"/>
          <w:sz w:val="16"/>
          <w:szCs w:val="16"/>
          <w:lang w:val="es-US"/>
        </w:rPr>
        <w:t>,</w:t>
      </w:r>
      <w:r w:rsidRPr="00F85814">
        <w:rPr>
          <w:rFonts w:ascii="Cambria" w:hAnsi="Cambria"/>
          <w:color w:val="000000" w:themeColor="text1"/>
          <w:sz w:val="16"/>
          <w:szCs w:val="16"/>
          <w:lang w:val="es-US"/>
        </w:rPr>
        <w:t xml:space="preserve"> 2018, p</w:t>
      </w:r>
      <w:r w:rsidR="00512638" w:rsidRPr="00F85814">
        <w:rPr>
          <w:rFonts w:ascii="Cambria" w:hAnsi="Cambria"/>
          <w:color w:val="000000" w:themeColor="text1"/>
          <w:sz w:val="16"/>
          <w:szCs w:val="16"/>
          <w:lang w:val="es-US"/>
        </w:rPr>
        <w:t>a</w:t>
      </w:r>
      <w:r w:rsidRPr="00F85814">
        <w:rPr>
          <w:rFonts w:ascii="Cambria" w:hAnsi="Cambria"/>
          <w:color w:val="000000" w:themeColor="text1"/>
          <w:sz w:val="16"/>
          <w:szCs w:val="16"/>
          <w:lang w:val="es-US"/>
        </w:rPr>
        <w:t>r.168.</w:t>
      </w:r>
    </w:p>
  </w:footnote>
  <w:footnote w:id="109">
    <w:p w14:paraId="6977013C" w14:textId="3778D75C" w:rsidR="00BC11D0" w:rsidRPr="009035C0" w:rsidRDefault="00BC11D0" w:rsidP="00F85814">
      <w:pPr>
        <w:pBdr>
          <w:top w:val="nil"/>
          <w:left w:val="nil"/>
          <w:bottom w:val="nil"/>
          <w:right w:val="nil"/>
          <w:between w:val="nil"/>
        </w:pBd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3188C">
        <w:rPr>
          <w:rFonts w:ascii="Cambria" w:hAnsi="Cambria"/>
          <w:color w:val="000000" w:themeColor="text1"/>
          <w:sz w:val="16"/>
          <w:szCs w:val="16"/>
        </w:rPr>
        <w:t>IA Court of HR, Case of</w:t>
      </w:r>
      <w:r w:rsidRPr="009035C0">
        <w:rPr>
          <w:rFonts w:ascii="Cambria" w:hAnsi="Cambria"/>
          <w:color w:val="000000" w:themeColor="text1"/>
          <w:sz w:val="16"/>
          <w:szCs w:val="16"/>
        </w:rPr>
        <w:t xml:space="preserve"> Alvarado Espinoza v. M</w:t>
      </w:r>
      <w:r w:rsidR="00C3188C">
        <w:rPr>
          <w:rFonts w:ascii="Cambria" w:hAnsi="Cambria"/>
          <w:color w:val="000000" w:themeColor="text1"/>
          <w:sz w:val="16"/>
          <w:szCs w:val="16"/>
        </w:rPr>
        <w:t>e</w:t>
      </w:r>
      <w:r w:rsidRPr="009035C0">
        <w:rPr>
          <w:rFonts w:ascii="Cambria" w:hAnsi="Cambria"/>
          <w:color w:val="000000" w:themeColor="text1"/>
          <w:sz w:val="16"/>
          <w:szCs w:val="16"/>
        </w:rPr>
        <w:t xml:space="preserve">xico, </w:t>
      </w:r>
      <w:r w:rsidR="00C3188C">
        <w:rPr>
          <w:rFonts w:ascii="Cambria" w:hAnsi="Cambria"/>
          <w:color w:val="000000" w:themeColor="text1"/>
          <w:sz w:val="16"/>
          <w:szCs w:val="16"/>
        </w:rPr>
        <w:t xml:space="preserve">Judgment of November </w:t>
      </w:r>
      <w:r w:rsidRPr="009035C0">
        <w:rPr>
          <w:rFonts w:ascii="Cambria" w:hAnsi="Cambria"/>
          <w:color w:val="000000" w:themeColor="text1"/>
          <w:sz w:val="16"/>
          <w:szCs w:val="16"/>
        </w:rPr>
        <w:t>28</w:t>
      </w:r>
      <w:r w:rsidR="00C3188C">
        <w:rPr>
          <w:rFonts w:ascii="Cambria" w:hAnsi="Cambria"/>
          <w:color w:val="000000" w:themeColor="text1"/>
          <w:sz w:val="16"/>
          <w:szCs w:val="16"/>
        </w:rPr>
        <w:t>,</w:t>
      </w:r>
      <w:r w:rsidRPr="009035C0">
        <w:rPr>
          <w:rFonts w:ascii="Cambria" w:hAnsi="Cambria"/>
          <w:color w:val="000000" w:themeColor="text1"/>
          <w:sz w:val="16"/>
          <w:szCs w:val="16"/>
        </w:rPr>
        <w:t xml:space="preserve"> 2018, p</w:t>
      </w:r>
      <w:r w:rsidR="00C3188C">
        <w:rPr>
          <w:rFonts w:ascii="Cambria" w:hAnsi="Cambria"/>
          <w:color w:val="000000" w:themeColor="text1"/>
          <w:sz w:val="16"/>
          <w:szCs w:val="16"/>
        </w:rPr>
        <w:t>a</w:t>
      </w:r>
      <w:r w:rsidRPr="009035C0">
        <w:rPr>
          <w:rFonts w:ascii="Cambria" w:hAnsi="Cambria"/>
          <w:color w:val="000000" w:themeColor="text1"/>
          <w:sz w:val="16"/>
          <w:szCs w:val="16"/>
        </w:rPr>
        <w:t>r. 182.</w:t>
      </w:r>
    </w:p>
  </w:footnote>
  <w:footnote w:id="110">
    <w:p w14:paraId="15773FBA" w14:textId="1D20B786" w:rsidR="00BC11D0" w:rsidRPr="009035C0" w:rsidRDefault="00BC11D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C7541">
        <w:rPr>
          <w:rFonts w:ascii="Cambria" w:hAnsi="Cambria"/>
          <w:color w:val="000000" w:themeColor="text1"/>
          <w:sz w:val="16"/>
          <w:szCs w:val="16"/>
        </w:rPr>
        <w:t xml:space="preserve">IA Court of HR, </w:t>
      </w:r>
      <w:r w:rsidRPr="009035C0">
        <w:rPr>
          <w:rFonts w:ascii="Cambria" w:hAnsi="Cambria"/>
          <w:color w:val="000000" w:themeColor="text1"/>
          <w:sz w:val="16"/>
          <w:szCs w:val="16"/>
        </w:rPr>
        <w:t>Cas</w:t>
      </w:r>
      <w:r w:rsidR="00F6591E">
        <w:rPr>
          <w:rFonts w:ascii="Cambria" w:hAnsi="Cambria"/>
          <w:color w:val="000000" w:themeColor="text1"/>
          <w:sz w:val="16"/>
          <w:szCs w:val="16"/>
        </w:rPr>
        <w:t>e of</w:t>
      </w:r>
      <w:r w:rsidRPr="009035C0">
        <w:rPr>
          <w:rFonts w:ascii="Cambria" w:hAnsi="Cambria"/>
          <w:color w:val="000000" w:themeColor="text1"/>
          <w:sz w:val="16"/>
          <w:szCs w:val="16"/>
        </w:rPr>
        <w:t xml:space="preserve"> Nadege Dorzema </w:t>
      </w:r>
      <w:r w:rsidR="00F6591E">
        <w:rPr>
          <w:rFonts w:ascii="Cambria" w:hAnsi="Cambria"/>
          <w:color w:val="000000" w:themeColor="text1"/>
          <w:sz w:val="16"/>
          <w:szCs w:val="16"/>
        </w:rPr>
        <w:t>et al v. Dominican Republic.  Reparations and Costs</w:t>
      </w:r>
      <w:r w:rsidR="00084BB8">
        <w:rPr>
          <w:rFonts w:ascii="Cambria" w:hAnsi="Cambria"/>
          <w:color w:val="000000" w:themeColor="text1"/>
          <w:sz w:val="16"/>
          <w:szCs w:val="16"/>
        </w:rPr>
        <w:t xml:space="preserve">. </w:t>
      </w:r>
      <w:r w:rsidR="00F6591E">
        <w:rPr>
          <w:rFonts w:ascii="Cambria" w:hAnsi="Cambria"/>
          <w:color w:val="000000" w:themeColor="text1"/>
          <w:sz w:val="16"/>
          <w:szCs w:val="16"/>
        </w:rPr>
        <w:t xml:space="preserve"> Judgment </w:t>
      </w:r>
      <w:r w:rsidR="00CD5189">
        <w:rPr>
          <w:rFonts w:ascii="Cambria" w:hAnsi="Cambria"/>
          <w:color w:val="000000" w:themeColor="text1"/>
          <w:sz w:val="16"/>
          <w:szCs w:val="16"/>
        </w:rPr>
        <w:t>of October</w:t>
      </w:r>
      <w:r w:rsidRPr="009035C0">
        <w:rPr>
          <w:rFonts w:ascii="Cambria" w:hAnsi="Cambria"/>
          <w:color w:val="000000" w:themeColor="text1"/>
          <w:sz w:val="16"/>
          <w:szCs w:val="16"/>
        </w:rPr>
        <w:t xml:space="preserve"> 24</w:t>
      </w:r>
      <w:r w:rsidR="00CD5189">
        <w:rPr>
          <w:rFonts w:ascii="Cambria" w:hAnsi="Cambria"/>
          <w:color w:val="000000" w:themeColor="text1"/>
          <w:sz w:val="16"/>
          <w:szCs w:val="16"/>
        </w:rPr>
        <w:t>,</w:t>
      </w:r>
      <w:r w:rsidRPr="009035C0">
        <w:rPr>
          <w:rFonts w:ascii="Cambria" w:hAnsi="Cambria"/>
          <w:color w:val="000000" w:themeColor="text1"/>
          <w:sz w:val="16"/>
          <w:szCs w:val="16"/>
        </w:rPr>
        <w:t xml:space="preserve"> 2012, Serie</w:t>
      </w:r>
      <w:r w:rsidR="004D3F1A">
        <w:rPr>
          <w:rFonts w:ascii="Cambria" w:hAnsi="Cambria"/>
          <w:color w:val="000000" w:themeColor="text1"/>
          <w:sz w:val="16"/>
          <w:szCs w:val="16"/>
        </w:rPr>
        <w:t>s</w:t>
      </w:r>
      <w:r w:rsidRPr="009035C0">
        <w:rPr>
          <w:rFonts w:ascii="Cambria" w:hAnsi="Cambria"/>
          <w:color w:val="000000" w:themeColor="text1"/>
          <w:sz w:val="16"/>
          <w:szCs w:val="16"/>
        </w:rPr>
        <w:t xml:space="preserve"> C No. 251, p</w:t>
      </w:r>
      <w:r w:rsidR="004D3F1A">
        <w:rPr>
          <w:rFonts w:ascii="Cambria" w:hAnsi="Cambria"/>
          <w:color w:val="000000" w:themeColor="text1"/>
          <w:sz w:val="16"/>
          <w:szCs w:val="16"/>
        </w:rPr>
        <w:t>a</w:t>
      </w:r>
      <w:r w:rsidRPr="009035C0">
        <w:rPr>
          <w:rFonts w:ascii="Cambria" w:hAnsi="Cambria"/>
          <w:color w:val="000000" w:themeColor="text1"/>
          <w:sz w:val="16"/>
          <w:szCs w:val="16"/>
        </w:rPr>
        <w:t>rr. 85</w:t>
      </w:r>
    </w:p>
  </w:footnote>
  <w:footnote w:id="111">
    <w:p w14:paraId="1AD48FC0" w14:textId="4780CAE2" w:rsidR="00BC11D0" w:rsidRPr="009035C0" w:rsidRDefault="00BC11D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F94A5A">
        <w:rPr>
          <w:rFonts w:ascii="Cambria" w:hAnsi="Cambria"/>
          <w:color w:val="000000" w:themeColor="text1"/>
          <w:sz w:val="16"/>
          <w:szCs w:val="16"/>
        </w:rPr>
        <w:t>IACHR. Observations and recommendations Visit: June 2021 Working Visit to Colombia, July 7, 2021.</w:t>
      </w:r>
    </w:p>
  </w:footnote>
  <w:footnote w:id="112">
    <w:p w14:paraId="34E4808E" w14:textId="73592E27" w:rsidR="00356D9B" w:rsidRPr="009035C0" w:rsidRDefault="00356D9B" w:rsidP="00F85814">
      <w:pPr>
        <w:pStyle w:val="FootnoteText"/>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7538EC">
        <w:rPr>
          <w:rFonts w:ascii="Cambria" w:hAnsi="Cambria"/>
          <w:color w:val="000000" w:themeColor="text1"/>
          <w:sz w:val="16"/>
          <w:szCs w:val="16"/>
        </w:rPr>
        <w:t xml:space="preserve">Official Data Base of </w:t>
      </w:r>
      <w:r w:rsidRPr="009035C0">
        <w:rPr>
          <w:rFonts w:ascii="Cambria" w:hAnsi="Cambria"/>
          <w:color w:val="000000" w:themeColor="text1"/>
          <w:sz w:val="16"/>
          <w:szCs w:val="16"/>
        </w:rPr>
        <w:t>Foro Penal, 2021</w:t>
      </w:r>
    </w:p>
  </w:footnote>
  <w:footnote w:id="113">
    <w:p w14:paraId="45B47556" w14:textId="74FBA963" w:rsidR="00BC11D0" w:rsidRPr="00E7771A" w:rsidRDefault="00BC11D0"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Foro Penal, La represión en Venezuela en cifras, </w:t>
      </w:r>
      <w:r w:rsidR="008C0E43" w:rsidRPr="00E7771A">
        <w:rPr>
          <w:rFonts w:ascii="Cambria" w:hAnsi="Cambria"/>
          <w:color w:val="000000" w:themeColor="text1"/>
          <w:sz w:val="16"/>
          <w:szCs w:val="16"/>
          <w:lang w:val="es-US"/>
        </w:rPr>
        <w:t xml:space="preserve">[Repression in Venezuela in figures], </w:t>
      </w:r>
      <w:r w:rsidR="007538EC"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31</w:t>
      </w:r>
      <w:r w:rsidR="007538E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p>
  </w:footnote>
  <w:footnote w:id="114">
    <w:p w14:paraId="37063B76" w14:textId="5A6548ED" w:rsidR="00BC11D0" w:rsidRPr="009035C0" w:rsidRDefault="00BC11D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211F03">
        <w:rPr>
          <w:rFonts w:ascii="Cambria" w:hAnsi="Cambria"/>
          <w:color w:val="000000" w:themeColor="text1"/>
          <w:sz w:val="16"/>
          <w:szCs w:val="16"/>
        </w:rPr>
        <w:t>UNHCHR, Human Rights Violations in the Bolivarian Republic of Venezuela: a</w:t>
      </w:r>
      <w:r w:rsidR="0009055E">
        <w:rPr>
          <w:rFonts w:ascii="Cambria" w:hAnsi="Cambria"/>
          <w:color w:val="000000" w:themeColor="text1"/>
          <w:sz w:val="16"/>
          <w:szCs w:val="16"/>
        </w:rPr>
        <w:t xml:space="preserve"> downward spiral with no end in sight, June </w:t>
      </w:r>
      <w:r w:rsidRPr="009035C0">
        <w:rPr>
          <w:rFonts w:ascii="Cambria" w:hAnsi="Cambria"/>
          <w:color w:val="000000" w:themeColor="text1"/>
          <w:sz w:val="16"/>
          <w:szCs w:val="16"/>
        </w:rPr>
        <w:t>2018.</w:t>
      </w:r>
    </w:p>
  </w:footnote>
  <w:footnote w:id="115">
    <w:p w14:paraId="0523E1D5" w14:textId="41A2BC90" w:rsidR="00BC11D0" w:rsidRPr="009035C0" w:rsidRDefault="00BC11D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CIDH, </w:t>
      </w:r>
      <w:hyperlink r:id="rId42">
        <w:r w:rsidRPr="00E7771A">
          <w:rPr>
            <w:rFonts w:ascii="Cambria" w:hAnsi="Cambria"/>
            <w:color w:val="000000" w:themeColor="text1"/>
            <w:sz w:val="16"/>
            <w:szCs w:val="16"/>
            <w:u w:val="single"/>
            <w:lang w:val="es-US"/>
          </w:rPr>
          <w:t>Situación de los derechos Humanos en Venezuela – “Institucionalidad democrática, Estado de Derecho y derechos humanos en Venezuela”</w:t>
        </w:r>
      </w:hyperlink>
      <w:r w:rsidRPr="00E7771A">
        <w:rPr>
          <w:rFonts w:ascii="Cambria" w:hAnsi="Cambria"/>
          <w:color w:val="000000" w:themeColor="text1"/>
          <w:sz w:val="16"/>
          <w:szCs w:val="16"/>
          <w:lang w:val="es-US"/>
        </w:rPr>
        <w:t xml:space="preserve">, </w:t>
      </w:r>
      <w:r w:rsidR="001F10CB" w:rsidRPr="00E7771A">
        <w:rPr>
          <w:rFonts w:ascii="Cambria" w:hAnsi="Cambria"/>
          <w:color w:val="000000" w:themeColor="text1"/>
          <w:sz w:val="16"/>
          <w:szCs w:val="16"/>
          <w:lang w:val="es-US"/>
        </w:rPr>
        <w:t xml:space="preserve">Situation of Human Rights in Venezuela – Democratic Institutions. </w:t>
      </w:r>
      <w:r w:rsidR="001F10CB">
        <w:rPr>
          <w:rFonts w:ascii="Cambria" w:hAnsi="Cambria"/>
          <w:color w:val="000000" w:themeColor="text1"/>
          <w:sz w:val="16"/>
          <w:szCs w:val="16"/>
        </w:rPr>
        <w:t xml:space="preserve">Rule of Law and Human Rights in Venezuela. </w:t>
      </w:r>
      <w:r w:rsidRPr="009035C0">
        <w:rPr>
          <w:rFonts w:ascii="Cambria" w:hAnsi="Cambria"/>
          <w:color w:val="000000" w:themeColor="text1"/>
          <w:sz w:val="16"/>
          <w:szCs w:val="16"/>
        </w:rPr>
        <w:t>2017, p</w:t>
      </w:r>
      <w:r w:rsidR="0009055E">
        <w:rPr>
          <w:rFonts w:ascii="Cambria" w:hAnsi="Cambria"/>
          <w:color w:val="000000" w:themeColor="text1"/>
          <w:sz w:val="16"/>
          <w:szCs w:val="16"/>
        </w:rPr>
        <w:t>a</w:t>
      </w:r>
      <w:r w:rsidRPr="009035C0">
        <w:rPr>
          <w:rFonts w:ascii="Cambria" w:hAnsi="Cambria"/>
          <w:color w:val="000000" w:themeColor="text1"/>
          <w:sz w:val="16"/>
          <w:szCs w:val="16"/>
        </w:rPr>
        <w:t>r. 238.</w:t>
      </w:r>
    </w:p>
  </w:footnote>
  <w:footnote w:id="116">
    <w:p w14:paraId="4C9B5230" w14:textId="4A888A5A" w:rsidR="00BC11D0" w:rsidRPr="009035C0" w:rsidRDefault="00BC11D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1F10CB">
        <w:rPr>
          <w:rFonts w:ascii="Cambria" w:hAnsi="Cambria"/>
          <w:color w:val="000000" w:themeColor="text1"/>
          <w:sz w:val="16"/>
          <w:szCs w:val="16"/>
        </w:rPr>
        <w:t xml:space="preserve">IACHR, Press Release </w:t>
      </w:r>
      <w:hyperlink r:id="rId43">
        <w:r w:rsidRPr="009035C0">
          <w:rPr>
            <w:rFonts w:ascii="Cambria" w:hAnsi="Cambria"/>
            <w:color w:val="000000" w:themeColor="text1"/>
            <w:sz w:val="16"/>
            <w:szCs w:val="16"/>
            <w:u w:val="single"/>
          </w:rPr>
          <w:t>Comunicado de Prensa 071/2021</w:t>
        </w:r>
      </w:hyperlink>
      <w:r w:rsidRPr="009035C0">
        <w:rPr>
          <w:rFonts w:ascii="Cambria" w:hAnsi="Cambria"/>
          <w:color w:val="000000" w:themeColor="text1"/>
          <w:sz w:val="16"/>
          <w:szCs w:val="16"/>
        </w:rPr>
        <w:t xml:space="preserve">, </w:t>
      </w:r>
      <w:r w:rsidR="001F10CB">
        <w:rPr>
          <w:rFonts w:ascii="Cambria" w:hAnsi="Cambria"/>
          <w:color w:val="000000" w:themeColor="text1"/>
          <w:sz w:val="16"/>
          <w:szCs w:val="16"/>
        </w:rPr>
        <w:t>IACHR Urges Venezuela to Permanently Stop Trying Civilians in Military Criminal</w:t>
      </w:r>
      <w:r w:rsidR="00E030D6">
        <w:rPr>
          <w:rFonts w:ascii="Cambria" w:hAnsi="Cambria"/>
          <w:color w:val="000000" w:themeColor="text1"/>
          <w:sz w:val="16"/>
          <w:szCs w:val="16"/>
        </w:rPr>
        <w:t xml:space="preserve"> Proceedings</w:t>
      </w:r>
      <w:r w:rsidR="001F10CB">
        <w:rPr>
          <w:rFonts w:ascii="Cambria" w:hAnsi="Cambria"/>
          <w:color w:val="000000" w:themeColor="text1"/>
          <w:sz w:val="16"/>
          <w:szCs w:val="16"/>
        </w:rPr>
        <w:t xml:space="preserve">, March 24, 2021. </w:t>
      </w:r>
    </w:p>
  </w:footnote>
  <w:footnote w:id="117">
    <w:p w14:paraId="46F2E2F7" w14:textId="6CED08FC" w:rsidR="00BC11D0" w:rsidRPr="009035C0" w:rsidRDefault="00BC11D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030D6">
        <w:rPr>
          <w:rFonts w:ascii="Cambria" w:hAnsi="Cambria"/>
          <w:color w:val="000000" w:themeColor="text1"/>
          <w:sz w:val="16"/>
          <w:szCs w:val="16"/>
        </w:rPr>
        <w:t xml:space="preserve">Independent International Fact-Finding Mission on </w:t>
      </w:r>
      <w:r w:rsidR="00F84E12">
        <w:rPr>
          <w:rFonts w:ascii="Cambria" w:hAnsi="Cambria"/>
          <w:color w:val="000000" w:themeColor="text1"/>
          <w:sz w:val="16"/>
          <w:szCs w:val="16"/>
        </w:rPr>
        <w:t xml:space="preserve">the Bolivarian Republic of Venezuela, Report of the Independent International Fact-Finding Mission </w:t>
      </w:r>
      <w:r w:rsidR="007A34C7">
        <w:rPr>
          <w:rFonts w:ascii="Cambria" w:hAnsi="Cambria"/>
          <w:color w:val="000000" w:themeColor="text1"/>
          <w:sz w:val="16"/>
          <w:szCs w:val="16"/>
        </w:rPr>
        <w:t xml:space="preserve">on the Bolivarian Republic of Venezuela, September 16, 2021, par. </w:t>
      </w:r>
      <w:r w:rsidR="00995D74" w:rsidRPr="009035C0">
        <w:rPr>
          <w:rFonts w:ascii="Cambria" w:hAnsi="Cambria"/>
          <w:color w:val="000000" w:themeColor="text1"/>
          <w:sz w:val="16"/>
          <w:szCs w:val="16"/>
        </w:rPr>
        <w:t>86.</w:t>
      </w:r>
    </w:p>
  </w:footnote>
  <w:footnote w:id="118">
    <w:p w14:paraId="6EF9FBB0" w14:textId="3E10D5AF" w:rsidR="00BC11D0" w:rsidRPr="00E7771A" w:rsidRDefault="00BC11D0"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A2591A" w:rsidRPr="00E7771A">
        <w:rPr>
          <w:rFonts w:ascii="Cambria" w:hAnsi="Cambria"/>
          <w:color w:val="000000" w:themeColor="text1"/>
          <w:sz w:val="16"/>
          <w:szCs w:val="16"/>
          <w:lang w:val="es-US"/>
        </w:rPr>
        <w:t xml:space="preserve">IACHR, </w:t>
      </w:r>
      <w:hyperlink r:id="rId44">
        <w:r w:rsidRPr="00E7771A">
          <w:rPr>
            <w:rFonts w:ascii="Cambria" w:hAnsi="Cambria"/>
            <w:color w:val="000000" w:themeColor="text1"/>
            <w:sz w:val="16"/>
            <w:szCs w:val="16"/>
            <w:u w:val="single"/>
            <w:lang w:val="es-US"/>
          </w:rPr>
          <w:t>Criminalización de la labor de las defensoras y los defensores de derechos humanos</w:t>
        </w:r>
      </w:hyperlink>
      <w:r w:rsidRPr="00E7771A">
        <w:rPr>
          <w:rFonts w:ascii="Cambria" w:hAnsi="Cambria"/>
          <w:color w:val="000000" w:themeColor="text1"/>
          <w:sz w:val="16"/>
          <w:szCs w:val="16"/>
          <w:lang w:val="es-US"/>
        </w:rPr>
        <w:t xml:space="preserve">, </w:t>
      </w:r>
      <w:r w:rsidR="00A2591A" w:rsidRPr="00E7771A">
        <w:rPr>
          <w:rFonts w:ascii="Cambria" w:hAnsi="Cambria"/>
          <w:color w:val="000000" w:themeColor="text1"/>
          <w:sz w:val="16"/>
          <w:szCs w:val="16"/>
          <w:lang w:val="es-US"/>
        </w:rPr>
        <w:t>Criminalization of Human</w:t>
      </w:r>
      <w:r w:rsidR="001C272A" w:rsidRPr="00E7771A">
        <w:rPr>
          <w:rFonts w:ascii="Cambria" w:hAnsi="Cambria"/>
          <w:color w:val="000000" w:themeColor="text1"/>
          <w:sz w:val="16"/>
          <w:szCs w:val="16"/>
          <w:lang w:val="es-US"/>
        </w:rPr>
        <w:t xml:space="preserve"> </w:t>
      </w:r>
      <w:r w:rsidR="00A2591A" w:rsidRPr="00E7771A">
        <w:rPr>
          <w:rFonts w:ascii="Cambria" w:hAnsi="Cambria"/>
          <w:color w:val="000000" w:themeColor="text1"/>
          <w:sz w:val="16"/>
          <w:szCs w:val="16"/>
          <w:lang w:val="es-US"/>
        </w:rPr>
        <w:t xml:space="preserve">Rights Defenders, December </w:t>
      </w:r>
      <w:r w:rsidRPr="00E7771A">
        <w:rPr>
          <w:rFonts w:ascii="Cambria" w:hAnsi="Cambria"/>
          <w:color w:val="000000" w:themeColor="text1"/>
          <w:sz w:val="16"/>
          <w:szCs w:val="16"/>
          <w:lang w:val="es-US"/>
        </w:rPr>
        <w:t>31</w:t>
      </w:r>
      <w:r w:rsidR="00A2591A" w:rsidRPr="00E7771A">
        <w:rPr>
          <w:rFonts w:ascii="Cambria" w:hAnsi="Cambria"/>
          <w:color w:val="000000" w:themeColor="text1"/>
          <w:sz w:val="16"/>
          <w:szCs w:val="16"/>
          <w:lang w:val="es-US"/>
        </w:rPr>
        <w:t>, 2015</w:t>
      </w:r>
      <w:r w:rsidRPr="00E7771A">
        <w:rPr>
          <w:rFonts w:ascii="Cambria" w:hAnsi="Cambria"/>
          <w:color w:val="000000" w:themeColor="text1"/>
          <w:sz w:val="16"/>
          <w:szCs w:val="16"/>
          <w:lang w:val="es-US"/>
        </w:rPr>
        <w:t>, p</w:t>
      </w:r>
      <w:r w:rsidR="00A2591A" w:rsidRPr="00E7771A">
        <w:rPr>
          <w:rFonts w:ascii="Cambria" w:hAnsi="Cambria"/>
          <w:color w:val="000000" w:themeColor="text1"/>
          <w:sz w:val="16"/>
          <w:szCs w:val="16"/>
          <w:lang w:val="es-US"/>
        </w:rPr>
        <w:t>a</w:t>
      </w:r>
      <w:r w:rsidRPr="00E7771A">
        <w:rPr>
          <w:rFonts w:ascii="Cambria" w:hAnsi="Cambria"/>
          <w:color w:val="000000" w:themeColor="text1"/>
          <w:sz w:val="16"/>
          <w:szCs w:val="16"/>
          <w:lang w:val="es-US"/>
        </w:rPr>
        <w:t>r. 187.</w:t>
      </w:r>
    </w:p>
  </w:footnote>
  <w:footnote w:id="119">
    <w:p w14:paraId="0739869A" w14:textId="40644506" w:rsidR="00BC11D0" w:rsidRPr="009035C0" w:rsidRDefault="00BC11D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57669">
        <w:rPr>
          <w:rFonts w:ascii="Cambria" w:hAnsi="Cambria"/>
          <w:color w:val="000000" w:themeColor="text1"/>
          <w:sz w:val="16"/>
          <w:szCs w:val="16"/>
        </w:rPr>
        <w:t>IA Court of HR. Case of</w:t>
      </w:r>
      <w:r w:rsidRPr="009035C0">
        <w:rPr>
          <w:rFonts w:ascii="Cambria" w:hAnsi="Cambria"/>
          <w:color w:val="000000" w:themeColor="text1"/>
          <w:sz w:val="16"/>
          <w:szCs w:val="16"/>
        </w:rPr>
        <w:t xml:space="preserve"> Durand </w:t>
      </w:r>
      <w:r w:rsidR="00957669">
        <w:rPr>
          <w:rFonts w:ascii="Cambria" w:hAnsi="Cambria"/>
          <w:color w:val="000000" w:themeColor="text1"/>
          <w:sz w:val="16"/>
          <w:szCs w:val="16"/>
        </w:rPr>
        <w:t>and</w:t>
      </w:r>
      <w:r w:rsidRPr="009035C0">
        <w:rPr>
          <w:rFonts w:ascii="Cambria" w:hAnsi="Cambria"/>
          <w:color w:val="000000" w:themeColor="text1"/>
          <w:sz w:val="16"/>
          <w:szCs w:val="16"/>
        </w:rPr>
        <w:t xml:space="preserve"> Ugarte </w:t>
      </w:r>
      <w:r w:rsidR="00957669">
        <w:rPr>
          <w:rFonts w:ascii="Cambria" w:hAnsi="Cambria"/>
          <w:color w:val="000000" w:themeColor="text1"/>
          <w:sz w:val="16"/>
          <w:szCs w:val="16"/>
        </w:rPr>
        <w:t>v</w:t>
      </w:r>
      <w:r w:rsidRPr="009035C0">
        <w:rPr>
          <w:rFonts w:ascii="Cambria" w:hAnsi="Cambria"/>
          <w:color w:val="000000" w:themeColor="text1"/>
          <w:sz w:val="16"/>
          <w:szCs w:val="16"/>
        </w:rPr>
        <w:t>. Per</w:t>
      </w:r>
      <w:r w:rsidR="00957669">
        <w:rPr>
          <w:rFonts w:ascii="Cambria" w:hAnsi="Cambria"/>
          <w:color w:val="000000" w:themeColor="text1"/>
          <w:sz w:val="16"/>
          <w:szCs w:val="16"/>
        </w:rPr>
        <w:t>u</w:t>
      </w:r>
      <w:r w:rsidRPr="009035C0">
        <w:rPr>
          <w:rFonts w:ascii="Cambria" w:hAnsi="Cambria"/>
          <w:color w:val="000000" w:themeColor="text1"/>
          <w:sz w:val="16"/>
          <w:szCs w:val="16"/>
        </w:rPr>
        <w:t xml:space="preserve">. </w:t>
      </w:r>
      <w:r w:rsidR="00957669">
        <w:rPr>
          <w:rFonts w:ascii="Cambria" w:hAnsi="Cambria"/>
          <w:color w:val="000000" w:themeColor="text1"/>
          <w:sz w:val="16"/>
          <w:szCs w:val="16"/>
        </w:rPr>
        <w:t>Reparations and Costs. Judgment of December</w:t>
      </w:r>
      <w:r w:rsidRPr="009035C0">
        <w:rPr>
          <w:rFonts w:ascii="Cambria" w:hAnsi="Cambria"/>
          <w:color w:val="000000" w:themeColor="text1"/>
          <w:sz w:val="16"/>
          <w:szCs w:val="16"/>
        </w:rPr>
        <w:t xml:space="preserve"> 3</w:t>
      </w:r>
      <w:r w:rsidR="00957669">
        <w:rPr>
          <w:rFonts w:ascii="Cambria" w:hAnsi="Cambria"/>
          <w:color w:val="000000" w:themeColor="text1"/>
          <w:sz w:val="16"/>
          <w:szCs w:val="16"/>
        </w:rPr>
        <w:t>,</w:t>
      </w:r>
      <w:r w:rsidRPr="009035C0">
        <w:rPr>
          <w:rFonts w:ascii="Cambria" w:hAnsi="Cambria"/>
          <w:color w:val="000000" w:themeColor="text1"/>
          <w:sz w:val="16"/>
          <w:szCs w:val="16"/>
        </w:rPr>
        <w:t xml:space="preserve"> 2001. Serie</w:t>
      </w:r>
      <w:r w:rsidR="00957669">
        <w:rPr>
          <w:rFonts w:ascii="Cambria" w:hAnsi="Cambria"/>
          <w:color w:val="000000" w:themeColor="text1"/>
          <w:sz w:val="16"/>
          <w:szCs w:val="16"/>
        </w:rPr>
        <w:t>s</w:t>
      </w:r>
      <w:r w:rsidRPr="009035C0">
        <w:rPr>
          <w:rFonts w:ascii="Cambria" w:hAnsi="Cambria"/>
          <w:color w:val="000000" w:themeColor="text1"/>
          <w:sz w:val="16"/>
          <w:szCs w:val="16"/>
        </w:rPr>
        <w:t xml:space="preserve"> C No. 89, </w:t>
      </w:r>
      <w:r w:rsidR="00957669">
        <w:rPr>
          <w:rFonts w:ascii="Cambria" w:hAnsi="Cambria"/>
          <w:color w:val="000000" w:themeColor="text1"/>
          <w:sz w:val="16"/>
          <w:szCs w:val="16"/>
        </w:rPr>
        <w:t>pa</w:t>
      </w:r>
      <w:r w:rsidRPr="009035C0">
        <w:rPr>
          <w:rFonts w:ascii="Cambria" w:hAnsi="Cambria"/>
          <w:color w:val="000000" w:themeColor="text1"/>
          <w:sz w:val="16"/>
          <w:szCs w:val="16"/>
        </w:rPr>
        <w:t>r. 117.</w:t>
      </w:r>
    </w:p>
  </w:footnote>
  <w:footnote w:id="120">
    <w:p w14:paraId="44ED7891" w14:textId="1DC6C99A" w:rsidR="00BC11D0" w:rsidRPr="009035C0" w:rsidRDefault="00BC11D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Art</w:t>
      </w:r>
      <w:r w:rsidR="00F470E6">
        <w:rPr>
          <w:rFonts w:ascii="Cambria" w:hAnsi="Cambria"/>
          <w:color w:val="000000" w:themeColor="text1"/>
          <w:sz w:val="16"/>
          <w:szCs w:val="16"/>
        </w:rPr>
        <w:t>icle</w:t>
      </w:r>
      <w:r w:rsidRPr="009035C0">
        <w:rPr>
          <w:rFonts w:ascii="Cambria" w:hAnsi="Cambria"/>
          <w:color w:val="000000" w:themeColor="text1"/>
          <w:sz w:val="16"/>
          <w:szCs w:val="16"/>
        </w:rPr>
        <w:t xml:space="preserve"> 7, </w:t>
      </w:r>
      <w:r w:rsidR="00652C96">
        <w:rPr>
          <w:rFonts w:ascii="Cambria" w:hAnsi="Cambria"/>
          <w:color w:val="000000" w:themeColor="text1"/>
          <w:sz w:val="16"/>
          <w:szCs w:val="16"/>
        </w:rPr>
        <w:t>Rome Statute of the International Criminal Court</w:t>
      </w:r>
      <w:r w:rsidRPr="009035C0">
        <w:rPr>
          <w:rFonts w:ascii="Cambria" w:hAnsi="Cambria"/>
          <w:color w:val="000000" w:themeColor="text1"/>
          <w:sz w:val="16"/>
          <w:szCs w:val="16"/>
        </w:rPr>
        <w:t>.</w:t>
      </w:r>
    </w:p>
  </w:footnote>
  <w:footnote w:id="121">
    <w:p w14:paraId="2B5BA433" w14:textId="73344A37" w:rsidR="00E17A4F" w:rsidRPr="009035C0" w:rsidRDefault="00E17A4F" w:rsidP="00F85814">
      <w:pPr>
        <w:pStyle w:val="FootnoteText"/>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5112F4">
        <w:rPr>
          <w:rFonts w:ascii="Cambria" w:hAnsi="Cambria"/>
          <w:color w:val="000000" w:themeColor="text1"/>
          <w:sz w:val="16"/>
          <w:szCs w:val="16"/>
        </w:rPr>
        <w:t xml:space="preserve">Official Data Base of </w:t>
      </w:r>
      <w:r w:rsidR="00C738C9" w:rsidRPr="009035C0">
        <w:rPr>
          <w:rFonts w:ascii="Cambria" w:hAnsi="Cambria"/>
          <w:color w:val="000000" w:themeColor="text1"/>
          <w:sz w:val="16"/>
          <w:szCs w:val="16"/>
        </w:rPr>
        <w:t>Foro Penal, 2021</w:t>
      </w:r>
    </w:p>
  </w:footnote>
  <w:footnote w:id="122">
    <w:p w14:paraId="4147C950" w14:textId="61B65586" w:rsidR="00586359" w:rsidRPr="00E7771A" w:rsidRDefault="00586359"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Foro Penal, Robert F. Kennedy Human Rights, La desaparición forzada como herramienta de represión política en Venezuela,</w:t>
      </w:r>
      <w:r w:rsidR="00D7043A" w:rsidRPr="00E7771A">
        <w:rPr>
          <w:rFonts w:ascii="Cambria" w:hAnsi="Cambria"/>
          <w:color w:val="000000" w:themeColor="text1"/>
          <w:sz w:val="16"/>
          <w:szCs w:val="16"/>
          <w:lang w:val="es-US"/>
        </w:rPr>
        <w:t>[‘Forced Disappearance as a Tool of Political Repression in Venezuela], June</w:t>
      </w:r>
      <w:r w:rsidRPr="00E7771A">
        <w:rPr>
          <w:rFonts w:ascii="Cambria" w:hAnsi="Cambria"/>
          <w:color w:val="000000" w:themeColor="text1"/>
          <w:sz w:val="16"/>
          <w:szCs w:val="16"/>
          <w:lang w:val="es-US"/>
        </w:rPr>
        <w:t xml:space="preserve"> 19</w:t>
      </w:r>
      <w:r w:rsidR="00D7043A"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2020, pg. 4.</w:t>
      </w:r>
    </w:p>
  </w:footnote>
  <w:footnote w:id="123">
    <w:p w14:paraId="0DC64C06" w14:textId="6D0875D2" w:rsidR="00586359" w:rsidRPr="009035C0" w:rsidRDefault="0058635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Art</w:t>
      </w:r>
      <w:r w:rsidR="00632CE8">
        <w:rPr>
          <w:rFonts w:ascii="Cambria" w:hAnsi="Cambria"/>
          <w:color w:val="000000" w:themeColor="text1"/>
          <w:sz w:val="16"/>
          <w:szCs w:val="16"/>
        </w:rPr>
        <w:t>icle</w:t>
      </w:r>
      <w:r w:rsidRPr="009035C0">
        <w:rPr>
          <w:rFonts w:ascii="Cambria" w:hAnsi="Cambria"/>
          <w:color w:val="000000" w:themeColor="text1"/>
          <w:sz w:val="16"/>
          <w:szCs w:val="16"/>
        </w:rPr>
        <w:t xml:space="preserve"> 2, </w:t>
      </w:r>
      <w:r w:rsidR="00F9138D">
        <w:rPr>
          <w:rFonts w:ascii="Cambria" w:hAnsi="Cambria"/>
          <w:color w:val="000000" w:themeColor="text1"/>
          <w:sz w:val="16"/>
          <w:szCs w:val="16"/>
        </w:rPr>
        <w:t>Inter-American Convention on the Forced Disappearance of Persons</w:t>
      </w:r>
      <w:r w:rsidRPr="009035C0">
        <w:rPr>
          <w:rFonts w:ascii="Cambria" w:hAnsi="Cambria"/>
          <w:color w:val="000000" w:themeColor="text1"/>
          <w:sz w:val="16"/>
          <w:szCs w:val="16"/>
        </w:rPr>
        <w:t>.</w:t>
      </w:r>
    </w:p>
  </w:footnote>
  <w:footnote w:id="124">
    <w:p w14:paraId="0B5F46F8" w14:textId="14482C6F" w:rsidR="00586359" w:rsidRPr="009035C0" w:rsidRDefault="0058635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656617">
        <w:rPr>
          <w:rFonts w:ascii="Cambria" w:hAnsi="Cambria"/>
          <w:color w:val="000000" w:themeColor="text1"/>
          <w:sz w:val="16"/>
          <w:szCs w:val="16"/>
        </w:rPr>
        <w:t xml:space="preserve">United Nations Human Rights Council, Report of the Working Group on </w:t>
      </w:r>
      <w:r w:rsidR="00BE0530">
        <w:rPr>
          <w:rFonts w:ascii="Cambria" w:hAnsi="Cambria"/>
          <w:color w:val="000000" w:themeColor="text1"/>
          <w:sz w:val="16"/>
          <w:szCs w:val="16"/>
        </w:rPr>
        <w:t>Enf</w:t>
      </w:r>
      <w:r w:rsidR="00656617">
        <w:rPr>
          <w:rFonts w:ascii="Cambria" w:hAnsi="Cambria"/>
          <w:color w:val="000000" w:themeColor="text1"/>
          <w:sz w:val="16"/>
          <w:szCs w:val="16"/>
        </w:rPr>
        <w:t>orced or Involuntary Disappearances, August</w:t>
      </w:r>
      <w:r w:rsidRPr="009035C0">
        <w:rPr>
          <w:rFonts w:ascii="Cambria" w:hAnsi="Cambria"/>
          <w:color w:val="000000" w:themeColor="text1"/>
          <w:sz w:val="16"/>
          <w:szCs w:val="16"/>
        </w:rPr>
        <w:t xml:space="preserve"> 10</w:t>
      </w:r>
      <w:r w:rsidR="00656617">
        <w:rPr>
          <w:rFonts w:ascii="Cambria" w:hAnsi="Cambria"/>
          <w:color w:val="000000" w:themeColor="text1"/>
          <w:sz w:val="16"/>
          <w:szCs w:val="16"/>
        </w:rPr>
        <w:t>,</w:t>
      </w:r>
      <w:r w:rsidRPr="009035C0">
        <w:rPr>
          <w:rFonts w:ascii="Cambria" w:hAnsi="Cambria"/>
          <w:color w:val="000000" w:themeColor="text1"/>
          <w:sz w:val="16"/>
          <w:szCs w:val="16"/>
        </w:rPr>
        <w:t xml:space="preserve"> 2015, A/HRC/30/38, p</w:t>
      </w:r>
      <w:r w:rsidR="00656617">
        <w:rPr>
          <w:rFonts w:ascii="Cambria" w:hAnsi="Cambria"/>
          <w:color w:val="000000" w:themeColor="text1"/>
          <w:sz w:val="16"/>
          <w:szCs w:val="16"/>
        </w:rPr>
        <w:t>a</w:t>
      </w:r>
      <w:r w:rsidRPr="009035C0">
        <w:rPr>
          <w:rFonts w:ascii="Cambria" w:hAnsi="Cambria"/>
          <w:color w:val="000000" w:themeColor="text1"/>
          <w:sz w:val="16"/>
          <w:szCs w:val="16"/>
        </w:rPr>
        <w:t>r. 102.</w:t>
      </w:r>
    </w:p>
  </w:footnote>
  <w:footnote w:id="125">
    <w:p w14:paraId="613241D4" w14:textId="36199031" w:rsidR="00586359" w:rsidRPr="009035C0" w:rsidRDefault="0058635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F907BC">
        <w:rPr>
          <w:rFonts w:ascii="Cambria" w:hAnsi="Cambria"/>
          <w:color w:val="000000" w:themeColor="text1"/>
          <w:sz w:val="16"/>
          <w:szCs w:val="16"/>
        </w:rPr>
        <w:t>IA Court of HR. Case of</w:t>
      </w:r>
      <w:r w:rsidRPr="009035C0">
        <w:rPr>
          <w:rFonts w:ascii="Cambria" w:hAnsi="Cambria"/>
          <w:color w:val="000000" w:themeColor="text1"/>
          <w:sz w:val="16"/>
          <w:szCs w:val="16"/>
        </w:rPr>
        <w:t xml:space="preserve"> Radilla Pacheco </w:t>
      </w:r>
      <w:r w:rsidR="00F907BC">
        <w:rPr>
          <w:rFonts w:ascii="Cambria" w:hAnsi="Cambria"/>
          <w:color w:val="000000" w:themeColor="text1"/>
          <w:sz w:val="16"/>
          <w:szCs w:val="16"/>
        </w:rPr>
        <w:t>v</w:t>
      </w:r>
      <w:r w:rsidRPr="009035C0">
        <w:rPr>
          <w:rFonts w:ascii="Cambria" w:hAnsi="Cambria"/>
          <w:color w:val="000000" w:themeColor="text1"/>
          <w:sz w:val="16"/>
          <w:szCs w:val="16"/>
        </w:rPr>
        <w:t>. M</w:t>
      </w:r>
      <w:r w:rsidR="00F907BC">
        <w:rPr>
          <w:rFonts w:ascii="Cambria" w:hAnsi="Cambria"/>
          <w:color w:val="000000" w:themeColor="text1"/>
          <w:sz w:val="16"/>
          <w:szCs w:val="16"/>
        </w:rPr>
        <w:t>ex</w:t>
      </w:r>
      <w:r w:rsidRPr="009035C0">
        <w:rPr>
          <w:rFonts w:ascii="Cambria" w:hAnsi="Cambria"/>
          <w:color w:val="000000" w:themeColor="text1"/>
          <w:sz w:val="16"/>
          <w:szCs w:val="16"/>
        </w:rPr>
        <w:t xml:space="preserve">ico. </w:t>
      </w:r>
      <w:r w:rsidR="0073445B">
        <w:rPr>
          <w:rFonts w:ascii="Cambria" w:hAnsi="Cambria"/>
          <w:color w:val="000000" w:themeColor="text1"/>
          <w:sz w:val="16"/>
          <w:szCs w:val="16"/>
        </w:rPr>
        <w:t>Preliminary Objections, Merits, Reparations and Costs. Judgment of November</w:t>
      </w:r>
      <w:r w:rsidRPr="009035C0">
        <w:rPr>
          <w:rFonts w:ascii="Cambria" w:hAnsi="Cambria"/>
          <w:color w:val="000000" w:themeColor="text1"/>
          <w:sz w:val="16"/>
          <w:szCs w:val="16"/>
        </w:rPr>
        <w:t xml:space="preserve"> 23</w:t>
      </w:r>
      <w:r w:rsidR="0073445B">
        <w:rPr>
          <w:rFonts w:ascii="Cambria" w:hAnsi="Cambria"/>
          <w:color w:val="000000" w:themeColor="text1"/>
          <w:sz w:val="16"/>
          <w:szCs w:val="16"/>
        </w:rPr>
        <w:t>,</w:t>
      </w:r>
      <w:r w:rsidRPr="009035C0">
        <w:rPr>
          <w:rFonts w:ascii="Cambria" w:hAnsi="Cambria"/>
          <w:color w:val="000000" w:themeColor="text1"/>
          <w:sz w:val="16"/>
          <w:szCs w:val="16"/>
        </w:rPr>
        <w:t xml:space="preserve"> 2009. Serie</w:t>
      </w:r>
      <w:r w:rsidR="0073445B">
        <w:rPr>
          <w:rFonts w:ascii="Cambria" w:hAnsi="Cambria"/>
          <w:color w:val="000000" w:themeColor="text1"/>
          <w:sz w:val="16"/>
          <w:szCs w:val="16"/>
        </w:rPr>
        <w:t>s</w:t>
      </w:r>
      <w:r w:rsidRPr="009035C0">
        <w:rPr>
          <w:rFonts w:ascii="Cambria" w:hAnsi="Cambria"/>
          <w:color w:val="000000" w:themeColor="text1"/>
          <w:sz w:val="16"/>
          <w:szCs w:val="16"/>
        </w:rPr>
        <w:t xml:space="preserve"> C No. 209, p</w:t>
      </w:r>
      <w:r w:rsidR="0073445B">
        <w:rPr>
          <w:rFonts w:ascii="Cambria" w:hAnsi="Cambria"/>
          <w:color w:val="000000" w:themeColor="text1"/>
          <w:sz w:val="16"/>
          <w:szCs w:val="16"/>
        </w:rPr>
        <w:t>a</w:t>
      </w:r>
      <w:r w:rsidRPr="009035C0">
        <w:rPr>
          <w:rFonts w:ascii="Cambria" w:hAnsi="Cambria"/>
          <w:color w:val="000000" w:themeColor="text1"/>
          <w:sz w:val="16"/>
          <w:szCs w:val="16"/>
        </w:rPr>
        <w:t>r. 140.</w:t>
      </w:r>
    </w:p>
  </w:footnote>
  <w:footnote w:id="126">
    <w:p w14:paraId="60144286" w14:textId="6EBC3722" w:rsidR="00586359" w:rsidRPr="009035C0" w:rsidRDefault="0058635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1D6FC4">
        <w:rPr>
          <w:rFonts w:ascii="Cambria" w:hAnsi="Cambria"/>
          <w:color w:val="000000" w:themeColor="text1"/>
          <w:sz w:val="16"/>
          <w:szCs w:val="16"/>
        </w:rPr>
        <w:t>Rome Statue</w:t>
      </w:r>
      <w:r w:rsidRPr="009035C0">
        <w:rPr>
          <w:rFonts w:ascii="Cambria" w:hAnsi="Cambria"/>
          <w:color w:val="000000" w:themeColor="text1"/>
          <w:sz w:val="16"/>
          <w:szCs w:val="16"/>
        </w:rPr>
        <w:t xml:space="preserve">, </w:t>
      </w:r>
      <w:r w:rsidR="001D6FC4">
        <w:rPr>
          <w:rFonts w:ascii="Cambria" w:hAnsi="Cambria"/>
          <w:color w:val="000000" w:themeColor="text1"/>
          <w:sz w:val="16"/>
          <w:szCs w:val="16"/>
        </w:rPr>
        <w:t xml:space="preserve">Article </w:t>
      </w:r>
      <w:r w:rsidRPr="009035C0">
        <w:rPr>
          <w:rFonts w:ascii="Cambria" w:hAnsi="Cambria"/>
          <w:color w:val="000000" w:themeColor="text1"/>
          <w:sz w:val="16"/>
          <w:szCs w:val="16"/>
        </w:rPr>
        <w:t>7.i)</w:t>
      </w:r>
    </w:p>
  </w:footnote>
  <w:footnote w:id="127">
    <w:p w14:paraId="0448E6B9" w14:textId="4D2A8731" w:rsidR="00586359" w:rsidRPr="009035C0" w:rsidRDefault="0058635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56500F">
        <w:rPr>
          <w:rFonts w:ascii="Cambria" w:hAnsi="Cambria"/>
          <w:color w:val="000000" w:themeColor="text1"/>
          <w:sz w:val="16"/>
          <w:szCs w:val="16"/>
        </w:rPr>
        <w:t>IACHR, Press Release</w:t>
      </w:r>
      <w:r w:rsidRPr="009035C0">
        <w:rPr>
          <w:rFonts w:ascii="Cambria" w:hAnsi="Cambria"/>
          <w:color w:val="000000" w:themeColor="text1"/>
          <w:sz w:val="16"/>
          <w:szCs w:val="16"/>
        </w:rPr>
        <w:t xml:space="preserve">, </w:t>
      </w:r>
      <w:hyperlink r:id="rId45">
        <w:r w:rsidRPr="009035C0">
          <w:rPr>
            <w:rFonts w:ascii="Cambria" w:hAnsi="Cambria"/>
            <w:color w:val="000000" w:themeColor="text1"/>
            <w:sz w:val="16"/>
            <w:szCs w:val="16"/>
            <w:u w:val="single"/>
          </w:rPr>
          <w:t xml:space="preserve">Comunicado de Prensa </w:t>
        </w:r>
      </w:hyperlink>
      <w:hyperlink r:id="rId46">
        <w:r w:rsidRPr="009035C0">
          <w:rPr>
            <w:rFonts w:ascii="Cambria" w:hAnsi="Cambria"/>
            <w:color w:val="000000" w:themeColor="text1"/>
            <w:sz w:val="16"/>
            <w:szCs w:val="16"/>
            <w:u w:val="single"/>
          </w:rPr>
          <w:t>275/20</w:t>
        </w:r>
      </w:hyperlink>
      <w:r w:rsidRPr="009035C0">
        <w:rPr>
          <w:rFonts w:ascii="Cambria" w:hAnsi="Cambria"/>
          <w:color w:val="000000" w:themeColor="text1"/>
          <w:sz w:val="16"/>
          <w:szCs w:val="16"/>
        </w:rPr>
        <w:t xml:space="preserve">, </w:t>
      </w:r>
      <w:r w:rsidR="00547E8C">
        <w:rPr>
          <w:rFonts w:ascii="Cambria" w:hAnsi="Cambria"/>
          <w:color w:val="000000" w:themeColor="text1"/>
          <w:sz w:val="16"/>
          <w:szCs w:val="16"/>
        </w:rPr>
        <w:t xml:space="preserve">IACHR Condemns Human Rights Violations in the Context of Social Protests in </w:t>
      </w:r>
      <w:r w:rsidR="00B96883">
        <w:rPr>
          <w:rFonts w:ascii="Cambria" w:hAnsi="Cambria"/>
          <w:color w:val="000000" w:themeColor="text1"/>
          <w:sz w:val="16"/>
          <w:szCs w:val="16"/>
        </w:rPr>
        <w:t>P</w:t>
      </w:r>
      <w:r w:rsidR="00547E8C">
        <w:rPr>
          <w:rFonts w:ascii="Cambria" w:hAnsi="Cambria"/>
          <w:color w:val="000000" w:themeColor="text1"/>
          <w:sz w:val="16"/>
          <w:szCs w:val="16"/>
        </w:rPr>
        <w:t>eru, Calls for the On</w:t>
      </w:r>
      <w:r w:rsidR="00615AD2">
        <w:rPr>
          <w:rFonts w:ascii="Cambria" w:hAnsi="Cambria"/>
          <w:color w:val="000000" w:themeColor="text1"/>
          <w:sz w:val="16"/>
          <w:szCs w:val="16"/>
        </w:rPr>
        <w:t>g</w:t>
      </w:r>
      <w:r w:rsidR="00547E8C">
        <w:rPr>
          <w:rFonts w:ascii="Cambria" w:hAnsi="Cambria"/>
          <w:color w:val="000000" w:themeColor="text1"/>
          <w:sz w:val="16"/>
          <w:szCs w:val="16"/>
        </w:rPr>
        <w:t>oing Insti</w:t>
      </w:r>
      <w:r w:rsidR="0006111A">
        <w:rPr>
          <w:rFonts w:ascii="Cambria" w:hAnsi="Cambria"/>
          <w:color w:val="000000" w:themeColor="text1"/>
          <w:sz w:val="16"/>
          <w:szCs w:val="16"/>
        </w:rPr>
        <w:t>tut</w:t>
      </w:r>
      <w:r w:rsidR="00547E8C">
        <w:rPr>
          <w:rFonts w:ascii="Cambria" w:hAnsi="Cambria"/>
          <w:color w:val="000000" w:themeColor="text1"/>
          <w:sz w:val="16"/>
          <w:szCs w:val="16"/>
        </w:rPr>
        <w:t>ional Crisis to Be Solved Democratically, and Remains Available to Conduct a Working Visit When the Peruvian State Deems it Appropria</w:t>
      </w:r>
      <w:r w:rsidR="0006111A">
        <w:rPr>
          <w:rFonts w:ascii="Cambria" w:hAnsi="Cambria"/>
          <w:color w:val="000000" w:themeColor="text1"/>
          <w:sz w:val="16"/>
          <w:szCs w:val="16"/>
        </w:rPr>
        <w:t>te</w:t>
      </w:r>
      <w:r w:rsidR="00547E8C">
        <w:rPr>
          <w:rFonts w:ascii="Cambria" w:hAnsi="Cambria"/>
          <w:color w:val="000000" w:themeColor="text1"/>
          <w:sz w:val="16"/>
          <w:szCs w:val="16"/>
        </w:rPr>
        <w:t xml:space="preserve">. </w:t>
      </w:r>
      <w:r w:rsidRPr="009035C0">
        <w:rPr>
          <w:rFonts w:ascii="Cambria" w:hAnsi="Cambria"/>
          <w:color w:val="000000" w:themeColor="text1"/>
          <w:sz w:val="16"/>
          <w:szCs w:val="16"/>
        </w:rPr>
        <w:t xml:space="preserve"> </w:t>
      </w:r>
      <w:r w:rsidR="00547E8C">
        <w:rPr>
          <w:rFonts w:ascii="Cambria" w:hAnsi="Cambria"/>
          <w:color w:val="000000" w:themeColor="text1"/>
          <w:sz w:val="16"/>
          <w:szCs w:val="16"/>
        </w:rPr>
        <w:t xml:space="preserve">November </w:t>
      </w:r>
      <w:r w:rsidRPr="009035C0">
        <w:rPr>
          <w:rFonts w:ascii="Cambria" w:hAnsi="Cambria"/>
          <w:color w:val="000000" w:themeColor="text1"/>
          <w:sz w:val="16"/>
          <w:szCs w:val="16"/>
        </w:rPr>
        <w:t>16</w:t>
      </w:r>
      <w:r w:rsidR="00547E8C">
        <w:rPr>
          <w:rFonts w:ascii="Cambria" w:hAnsi="Cambria"/>
          <w:color w:val="000000" w:themeColor="text1"/>
          <w:sz w:val="16"/>
          <w:szCs w:val="16"/>
        </w:rPr>
        <w:t>,</w:t>
      </w:r>
      <w:r w:rsidRPr="009035C0">
        <w:rPr>
          <w:rFonts w:ascii="Cambria" w:hAnsi="Cambria"/>
          <w:color w:val="000000" w:themeColor="text1"/>
          <w:sz w:val="16"/>
          <w:szCs w:val="16"/>
        </w:rPr>
        <w:t xml:space="preserve"> 2020.</w:t>
      </w:r>
    </w:p>
  </w:footnote>
  <w:footnote w:id="128">
    <w:p w14:paraId="5E474670" w14:textId="06630E78" w:rsidR="00586359" w:rsidRPr="009035C0" w:rsidRDefault="00586359" w:rsidP="00F85814">
      <w:pPr>
        <w:pBdr>
          <w:top w:val="nil"/>
          <w:left w:val="nil"/>
          <w:bottom w:val="nil"/>
          <w:right w:val="nil"/>
          <w:between w:val="nil"/>
        </w:pBd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3956F0">
        <w:rPr>
          <w:rFonts w:ascii="Cambria" w:hAnsi="Cambria"/>
          <w:color w:val="000000" w:themeColor="text1"/>
          <w:sz w:val="16"/>
          <w:szCs w:val="16"/>
        </w:rPr>
        <w:t xml:space="preserve">IACHR, Press Release </w:t>
      </w:r>
      <w:hyperlink r:id="rId47">
        <w:r w:rsidRPr="009035C0">
          <w:rPr>
            <w:rFonts w:ascii="Cambria" w:hAnsi="Cambria"/>
            <w:color w:val="000000" w:themeColor="text1"/>
            <w:sz w:val="16"/>
            <w:szCs w:val="16"/>
            <w:u w:val="single"/>
          </w:rPr>
          <w:t>Comunicado de Prensa 106/20</w:t>
        </w:r>
      </w:hyperlink>
      <w:r w:rsidRPr="009035C0">
        <w:rPr>
          <w:rFonts w:ascii="Cambria" w:hAnsi="Cambria"/>
          <w:color w:val="000000" w:themeColor="text1"/>
          <w:sz w:val="16"/>
          <w:szCs w:val="16"/>
        </w:rPr>
        <w:t xml:space="preserve">, </w:t>
      </w:r>
      <w:r w:rsidR="00FA3075">
        <w:rPr>
          <w:rFonts w:ascii="Cambria" w:hAnsi="Cambria"/>
          <w:color w:val="000000" w:themeColor="text1"/>
          <w:sz w:val="16"/>
          <w:szCs w:val="16"/>
        </w:rPr>
        <w:t xml:space="preserve">IACHR Presents Preliminary Observations and Recommendations Following Historic  On-Site Visit to Monitor the Human Rights Situation in Venezuela, May 8, </w:t>
      </w:r>
      <w:r w:rsidRPr="009035C0">
        <w:rPr>
          <w:rFonts w:ascii="Cambria" w:hAnsi="Cambria"/>
          <w:color w:val="000000" w:themeColor="text1"/>
          <w:sz w:val="16"/>
          <w:szCs w:val="16"/>
        </w:rPr>
        <w:t>2020.</w:t>
      </w:r>
    </w:p>
  </w:footnote>
  <w:footnote w:id="129">
    <w:p w14:paraId="184FD96E" w14:textId="088B74FE" w:rsidR="00CF24C0" w:rsidRPr="009035C0" w:rsidRDefault="00CF24C0" w:rsidP="00F85814">
      <w:pPr>
        <w:pStyle w:val="FootnoteText"/>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3A780E">
        <w:rPr>
          <w:rFonts w:ascii="Cambria" w:hAnsi="Cambria"/>
          <w:color w:val="000000" w:themeColor="text1"/>
          <w:sz w:val="16"/>
          <w:szCs w:val="16"/>
        </w:rPr>
        <w:t xml:space="preserve">Official Data Base of </w:t>
      </w:r>
      <w:r w:rsidRPr="009035C0">
        <w:rPr>
          <w:rFonts w:ascii="Cambria" w:hAnsi="Cambria"/>
          <w:color w:val="000000" w:themeColor="text1"/>
          <w:sz w:val="16"/>
          <w:szCs w:val="16"/>
        </w:rPr>
        <w:t>Foro Penal, 2021</w:t>
      </w:r>
    </w:p>
  </w:footnote>
  <w:footnote w:id="130">
    <w:p w14:paraId="4A5521A9" w14:textId="7C2741E5" w:rsidR="00CF24C0" w:rsidRPr="009035C0" w:rsidRDefault="00CF24C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96810">
        <w:rPr>
          <w:rFonts w:ascii="Cambria" w:hAnsi="Cambria"/>
          <w:color w:val="000000" w:themeColor="text1"/>
          <w:sz w:val="16"/>
          <w:szCs w:val="16"/>
        </w:rPr>
        <w:t xml:space="preserve">General Secretariat of the Organization of American States </w:t>
      </w:r>
      <w:r w:rsidR="00E96810" w:rsidRPr="009035C0">
        <w:rPr>
          <w:rFonts w:ascii="Cambria" w:hAnsi="Cambria"/>
          <w:color w:val="000000" w:themeColor="text1"/>
          <w:sz w:val="16"/>
          <w:szCs w:val="16"/>
        </w:rPr>
        <w:t>(O</w:t>
      </w:r>
      <w:r w:rsidR="00E96810">
        <w:rPr>
          <w:rFonts w:ascii="Cambria" w:hAnsi="Cambria"/>
          <w:color w:val="000000" w:themeColor="text1"/>
          <w:sz w:val="16"/>
          <w:szCs w:val="16"/>
        </w:rPr>
        <w:t>AS</w:t>
      </w:r>
      <w:r w:rsidR="00E96810" w:rsidRPr="009035C0">
        <w:rPr>
          <w:rFonts w:ascii="Cambria" w:hAnsi="Cambria"/>
          <w:color w:val="000000" w:themeColor="text1"/>
          <w:sz w:val="16"/>
          <w:szCs w:val="16"/>
        </w:rPr>
        <w:t xml:space="preserve">), </w:t>
      </w:r>
      <w:r w:rsidR="00E96810">
        <w:rPr>
          <w:rFonts w:ascii="Cambria" w:hAnsi="Cambria"/>
          <w:color w:val="000000" w:themeColor="text1"/>
          <w:sz w:val="16"/>
          <w:szCs w:val="16"/>
        </w:rPr>
        <w:t>Fostering impunity: the impact of the failure of the Prosecutor of the International Criminal Court to Open an Investigation into possible Crimes against Humanity in Venezuela, pg.</w:t>
      </w:r>
      <w:r w:rsidRPr="009035C0">
        <w:rPr>
          <w:rFonts w:ascii="Cambria" w:hAnsi="Cambria"/>
          <w:color w:val="000000" w:themeColor="text1"/>
          <w:sz w:val="16"/>
          <w:szCs w:val="16"/>
        </w:rPr>
        <w:t xml:space="preserve"> 18.</w:t>
      </w:r>
    </w:p>
  </w:footnote>
  <w:footnote w:id="131">
    <w:p w14:paraId="3EF91BEC" w14:textId="19CBFFFB" w:rsidR="00CF24C0" w:rsidRPr="009035C0" w:rsidRDefault="00CF24C0"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514EB7">
        <w:rPr>
          <w:rFonts w:ascii="Cambria" w:hAnsi="Cambria"/>
          <w:color w:val="000000" w:themeColor="text1"/>
          <w:sz w:val="16"/>
          <w:szCs w:val="16"/>
        </w:rPr>
        <w:t xml:space="preserve">Independent International Fact-Finding Mission on the Bolivarian Republic of Venezuela, Detailed conclusions of the Independent International Fact-Finding Mission on the Bolivarian Republic of Venezuela, September 16, 2021, par. </w:t>
      </w:r>
      <w:r w:rsidRPr="009035C0">
        <w:rPr>
          <w:rFonts w:ascii="Cambria" w:hAnsi="Cambria"/>
          <w:color w:val="000000" w:themeColor="text1"/>
          <w:sz w:val="16"/>
          <w:szCs w:val="16"/>
        </w:rPr>
        <w:t>285.</w:t>
      </w:r>
    </w:p>
  </w:footnote>
  <w:footnote w:id="132">
    <w:p w14:paraId="6F660DAD" w14:textId="588D1C5B" w:rsidR="00586359" w:rsidRPr="009035C0" w:rsidRDefault="0058635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96810">
        <w:rPr>
          <w:rFonts w:ascii="Cambria" w:hAnsi="Cambria"/>
          <w:color w:val="000000" w:themeColor="text1"/>
          <w:sz w:val="16"/>
          <w:szCs w:val="16"/>
        </w:rPr>
        <w:t xml:space="preserve">Independent International Fact-Finding Mission on the Bolivarian Republic of Venezuela, Detailed conclusions of the Independent International Fact-Finding Mission on the Bolivarian Republic of Venezuela, September 16, 2021, par. </w:t>
      </w:r>
      <w:r w:rsidR="00E96810" w:rsidRPr="009035C0">
        <w:rPr>
          <w:rFonts w:ascii="Cambria" w:hAnsi="Cambria"/>
          <w:color w:val="000000" w:themeColor="text1"/>
          <w:sz w:val="16"/>
          <w:szCs w:val="16"/>
        </w:rPr>
        <w:t>285.</w:t>
      </w:r>
    </w:p>
  </w:footnote>
  <w:footnote w:id="133">
    <w:p w14:paraId="5F46CF8F" w14:textId="4B412E08" w:rsidR="00586359" w:rsidRPr="00E7771A" w:rsidRDefault="00586359" w:rsidP="00F85814">
      <w:pPr>
        <w:pBdr>
          <w:top w:val="nil"/>
          <w:left w:val="nil"/>
          <w:bottom w:val="nil"/>
          <w:right w:val="nil"/>
          <w:between w:val="nil"/>
        </w:pBd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203F50" w:rsidRPr="00E7771A">
        <w:rPr>
          <w:rFonts w:ascii="Cambria" w:hAnsi="Cambria"/>
          <w:color w:val="000000" w:themeColor="text1"/>
          <w:sz w:val="16"/>
          <w:szCs w:val="16"/>
          <w:lang w:val="es-US"/>
        </w:rPr>
        <w:t xml:space="preserve">IACHR, </w:t>
      </w:r>
      <w:hyperlink r:id="rId48">
        <w:r w:rsidRPr="00E7771A">
          <w:rPr>
            <w:rFonts w:ascii="Cambria" w:hAnsi="Cambria"/>
            <w:color w:val="000000" w:themeColor="text1"/>
            <w:sz w:val="16"/>
            <w:szCs w:val="16"/>
            <w:u w:val="single"/>
            <w:lang w:val="es-US"/>
          </w:rPr>
          <w:t>Informe Anual, Capítulo IV.B “Venezuela”</w:t>
        </w:r>
      </w:hyperlink>
      <w:r w:rsidRPr="00E7771A">
        <w:rPr>
          <w:rFonts w:ascii="Cambria" w:hAnsi="Cambria"/>
          <w:color w:val="000000" w:themeColor="text1"/>
          <w:sz w:val="16"/>
          <w:szCs w:val="16"/>
          <w:lang w:val="es-US"/>
        </w:rPr>
        <w:t xml:space="preserve">, </w:t>
      </w:r>
      <w:r w:rsidR="00203F50" w:rsidRPr="00E7771A">
        <w:rPr>
          <w:rFonts w:ascii="Cambria" w:hAnsi="Cambria"/>
          <w:color w:val="000000" w:themeColor="text1"/>
          <w:sz w:val="16"/>
          <w:szCs w:val="16"/>
          <w:lang w:val="es-US"/>
        </w:rPr>
        <w:t xml:space="preserve">Annual Report, Chapter IV.B “Venezuela”, </w:t>
      </w:r>
      <w:r w:rsidRPr="00E7771A">
        <w:rPr>
          <w:rFonts w:ascii="Cambria" w:hAnsi="Cambria"/>
          <w:color w:val="000000" w:themeColor="text1"/>
          <w:sz w:val="16"/>
          <w:szCs w:val="16"/>
          <w:lang w:val="es-US"/>
        </w:rPr>
        <w:t>2019, p</w:t>
      </w:r>
      <w:r w:rsidR="00203F50" w:rsidRPr="00E7771A">
        <w:rPr>
          <w:rFonts w:ascii="Cambria" w:hAnsi="Cambria"/>
          <w:color w:val="000000" w:themeColor="text1"/>
          <w:sz w:val="16"/>
          <w:szCs w:val="16"/>
          <w:lang w:val="es-US"/>
        </w:rPr>
        <w:t>a</w:t>
      </w:r>
      <w:r w:rsidRPr="00E7771A">
        <w:rPr>
          <w:rFonts w:ascii="Cambria" w:hAnsi="Cambria"/>
          <w:color w:val="000000" w:themeColor="text1"/>
          <w:sz w:val="16"/>
          <w:szCs w:val="16"/>
          <w:lang w:val="es-US"/>
        </w:rPr>
        <w:t>r. 124.</w:t>
      </w:r>
    </w:p>
  </w:footnote>
  <w:footnote w:id="134">
    <w:p w14:paraId="495200CC" w14:textId="7906E4EA" w:rsidR="003E732F" w:rsidRPr="00E7771A" w:rsidRDefault="003E732F" w:rsidP="00F85814">
      <w:pPr>
        <w:pStyle w:val="FootnoteText"/>
        <w:spacing w:after="120"/>
        <w:ind w:firstLine="720"/>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B64169" w:rsidRPr="00E7771A">
        <w:rPr>
          <w:rFonts w:ascii="Cambria" w:hAnsi="Cambria"/>
          <w:color w:val="000000" w:themeColor="text1"/>
          <w:sz w:val="16"/>
          <w:szCs w:val="16"/>
          <w:lang w:val="es-US"/>
        </w:rPr>
        <w:t xml:space="preserve">Una Ventana a la Libertad, Situación de los derechos humanos en los centros de reclusión del Servicio Bolivariano de </w:t>
      </w:r>
      <w:r w:rsidR="009C7BF9" w:rsidRPr="00E7771A">
        <w:rPr>
          <w:rFonts w:ascii="Cambria" w:hAnsi="Cambria"/>
          <w:color w:val="000000" w:themeColor="text1"/>
          <w:sz w:val="16"/>
          <w:szCs w:val="16"/>
          <w:lang w:val="es-US"/>
        </w:rPr>
        <w:t>Inteligencia Nacional (Sebin) y la Dirección General de Contrainteligencia Militar (Dgcim),</w:t>
      </w:r>
      <w:r w:rsidR="009D3C95" w:rsidRPr="00E7771A">
        <w:rPr>
          <w:rFonts w:ascii="Cambria" w:hAnsi="Cambria"/>
          <w:color w:val="000000" w:themeColor="text1"/>
          <w:sz w:val="16"/>
          <w:szCs w:val="16"/>
          <w:lang w:val="es-US"/>
        </w:rPr>
        <w:t xml:space="preserve"> Situation of Human Rights at prison facilities of the Bolivarian National Intelligence Service (Sebin) and the General Directorate of Military Intelligence (Dgcim),</w:t>
      </w:r>
      <w:r w:rsidR="009C7BF9" w:rsidRPr="00E7771A">
        <w:rPr>
          <w:rFonts w:ascii="Cambria" w:hAnsi="Cambria"/>
          <w:color w:val="000000" w:themeColor="text1"/>
          <w:sz w:val="16"/>
          <w:szCs w:val="16"/>
          <w:lang w:val="es-US"/>
        </w:rPr>
        <w:t xml:space="preserve"> 2020</w:t>
      </w:r>
      <w:r w:rsidR="005C482A" w:rsidRPr="00E7771A">
        <w:rPr>
          <w:rFonts w:ascii="Cambria" w:hAnsi="Cambria"/>
          <w:color w:val="000000" w:themeColor="text1"/>
          <w:sz w:val="16"/>
          <w:szCs w:val="16"/>
          <w:lang w:val="es-US"/>
        </w:rPr>
        <w:t>, pg. 15.</w:t>
      </w:r>
    </w:p>
  </w:footnote>
  <w:footnote w:id="135">
    <w:p w14:paraId="20BCDBA1" w14:textId="1E80FB7A" w:rsidR="00EE4563" w:rsidRPr="00E7771A" w:rsidRDefault="00EE4563" w:rsidP="00F85814">
      <w:pPr>
        <w:pStyle w:val="FootnoteText"/>
        <w:spacing w:after="120"/>
        <w:ind w:firstLine="720"/>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5C482A" w:rsidRPr="00E7771A">
        <w:rPr>
          <w:rFonts w:ascii="Cambria" w:hAnsi="Cambria"/>
          <w:color w:val="000000" w:themeColor="text1"/>
          <w:sz w:val="16"/>
          <w:szCs w:val="16"/>
          <w:lang w:val="es-US"/>
        </w:rPr>
        <w:t xml:space="preserve">Una Ventana a la Libertad, Situación de los derechos humanos en los centros de reclusión del Servicio Bolivariano de Inteligencia Nacional (Sebin) y la Dirección General de Contrainteligencia Militar (Dgcim), </w:t>
      </w:r>
      <w:r w:rsidR="00C44430" w:rsidRPr="00E7771A">
        <w:rPr>
          <w:rFonts w:ascii="Cambria" w:hAnsi="Cambria"/>
          <w:color w:val="000000" w:themeColor="text1"/>
          <w:sz w:val="16"/>
          <w:szCs w:val="16"/>
          <w:lang w:val="es-US"/>
        </w:rPr>
        <w:t>Situation of Human Rights at prison facilities of the Bolivarian National Intelligence Service (Sebin) and the General Directorate of Military Intelligence (Dgcim), 2020, pg.</w:t>
      </w:r>
      <w:r w:rsidR="005C482A" w:rsidRPr="00E7771A">
        <w:rPr>
          <w:rFonts w:ascii="Cambria" w:hAnsi="Cambria"/>
          <w:color w:val="000000" w:themeColor="text1"/>
          <w:sz w:val="16"/>
          <w:szCs w:val="16"/>
          <w:lang w:val="es-US"/>
        </w:rPr>
        <w:t xml:space="preserve"> 19.</w:t>
      </w:r>
    </w:p>
  </w:footnote>
  <w:footnote w:id="136">
    <w:p w14:paraId="3A958667" w14:textId="3F2A646F" w:rsidR="00586359" w:rsidRPr="009035C0" w:rsidRDefault="0058635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7A03B5">
        <w:rPr>
          <w:rFonts w:ascii="Cambria" w:hAnsi="Cambria"/>
          <w:color w:val="000000" w:themeColor="text1"/>
          <w:sz w:val="16"/>
          <w:szCs w:val="16"/>
        </w:rPr>
        <w:t xml:space="preserve">Official Gazette </w:t>
      </w:r>
      <w:r w:rsidRPr="009035C0">
        <w:rPr>
          <w:rFonts w:ascii="Cambria" w:hAnsi="Cambria"/>
          <w:color w:val="000000" w:themeColor="text1"/>
          <w:sz w:val="16"/>
          <w:szCs w:val="16"/>
        </w:rPr>
        <w:t xml:space="preserve">42.125, </w:t>
      </w:r>
      <w:r w:rsidR="009E06FA">
        <w:rPr>
          <w:rFonts w:ascii="Cambria" w:hAnsi="Cambria"/>
          <w:color w:val="000000" w:themeColor="text1"/>
          <w:sz w:val="16"/>
          <w:szCs w:val="16"/>
        </w:rPr>
        <w:t xml:space="preserve">Executive Decree </w:t>
      </w:r>
      <w:r w:rsidRPr="009035C0">
        <w:rPr>
          <w:rFonts w:ascii="Cambria" w:hAnsi="Cambria"/>
          <w:color w:val="000000" w:themeColor="text1"/>
          <w:sz w:val="16"/>
          <w:szCs w:val="16"/>
        </w:rPr>
        <w:t xml:space="preserve">4610, </w:t>
      </w:r>
      <w:r w:rsidR="009E06FA">
        <w:rPr>
          <w:rFonts w:ascii="Cambria" w:hAnsi="Cambria"/>
          <w:color w:val="000000" w:themeColor="text1"/>
          <w:sz w:val="16"/>
          <w:szCs w:val="16"/>
        </w:rPr>
        <w:t xml:space="preserve">May </w:t>
      </w:r>
      <w:r w:rsidRPr="009035C0">
        <w:rPr>
          <w:rFonts w:ascii="Cambria" w:hAnsi="Cambria"/>
          <w:color w:val="000000" w:themeColor="text1"/>
          <w:sz w:val="16"/>
          <w:szCs w:val="16"/>
        </w:rPr>
        <w:t>12</w:t>
      </w:r>
      <w:r w:rsidR="009E06FA">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137">
    <w:p w14:paraId="04313488" w14:textId="4F7EEC3E" w:rsidR="00586359" w:rsidRPr="009035C0" w:rsidRDefault="0058635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1A54B4">
        <w:rPr>
          <w:rFonts w:ascii="Cambria" w:hAnsi="Cambria"/>
          <w:color w:val="000000" w:themeColor="text1"/>
          <w:sz w:val="16"/>
          <w:szCs w:val="16"/>
        </w:rPr>
        <w:t xml:space="preserve">IACHR, </w:t>
      </w:r>
      <w:hyperlink r:id="rId49">
        <w:r w:rsidRPr="009035C0">
          <w:rPr>
            <w:rFonts w:ascii="Cambria" w:hAnsi="Cambria"/>
            <w:color w:val="000000" w:themeColor="text1"/>
            <w:sz w:val="16"/>
            <w:szCs w:val="16"/>
            <w:u w:val="single"/>
          </w:rPr>
          <w:t>Observaciones a Opinión Consultiva a la Corte Interamericana de Derechos Humanos</w:t>
        </w:r>
      </w:hyperlink>
      <w:r w:rsidRPr="009035C0">
        <w:rPr>
          <w:rFonts w:ascii="Cambria" w:hAnsi="Cambria"/>
          <w:color w:val="000000" w:themeColor="text1"/>
          <w:sz w:val="16"/>
          <w:szCs w:val="16"/>
        </w:rPr>
        <w:t xml:space="preserve"> </w:t>
      </w:r>
      <w:r w:rsidR="001A54B4">
        <w:rPr>
          <w:rFonts w:ascii="Cambria" w:hAnsi="Cambria"/>
          <w:color w:val="000000" w:themeColor="text1"/>
          <w:sz w:val="16"/>
          <w:szCs w:val="16"/>
        </w:rPr>
        <w:t>–</w:t>
      </w:r>
      <w:r w:rsidRPr="009035C0">
        <w:rPr>
          <w:rFonts w:ascii="Cambria" w:hAnsi="Cambria"/>
          <w:color w:val="000000" w:themeColor="text1"/>
          <w:sz w:val="16"/>
          <w:szCs w:val="16"/>
        </w:rPr>
        <w:t xml:space="preserve"> </w:t>
      </w:r>
      <w:r w:rsidR="001A54B4">
        <w:rPr>
          <w:rFonts w:ascii="Cambria" w:hAnsi="Cambria"/>
          <w:color w:val="000000" w:themeColor="text1"/>
          <w:sz w:val="16"/>
          <w:szCs w:val="16"/>
        </w:rPr>
        <w:t xml:space="preserve">Observations </w:t>
      </w:r>
      <w:r w:rsidR="00A41814">
        <w:rPr>
          <w:rFonts w:ascii="Cambria" w:hAnsi="Cambria"/>
          <w:color w:val="000000" w:themeColor="text1"/>
          <w:sz w:val="16"/>
          <w:szCs w:val="16"/>
        </w:rPr>
        <w:t xml:space="preserve">to the Inter-American Court of Human Rights on the request for an </w:t>
      </w:r>
      <w:r w:rsidR="001A54B4">
        <w:rPr>
          <w:rFonts w:ascii="Cambria" w:hAnsi="Cambria"/>
          <w:color w:val="000000" w:themeColor="text1"/>
          <w:sz w:val="16"/>
          <w:szCs w:val="16"/>
        </w:rPr>
        <w:t xml:space="preserve">Advisory Opinion </w:t>
      </w:r>
      <w:r w:rsidR="00A41814">
        <w:rPr>
          <w:rFonts w:ascii="Cambria" w:hAnsi="Cambria"/>
          <w:color w:val="000000" w:themeColor="text1"/>
          <w:sz w:val="16"/>
          <w:szCs w:val="16"/>
        </w:rPr>
        <w:t>submitted by the IACHR</w:t>
      </w:r>
      <w:r w:rsidR="001A54B4">
        <w:rPr>
          <w:rFonts w:ascii="Cambria" w:hAnsi="Cambria"/>
          <w:color w:val="000000" w:themeColor="text1"/>
          <w:sz w:val="16"/>
          <w:szCs w:val="16"/>
        </w:rPr>
        <w:t>. Differenti</w:t>
      </w:r>
      <w:r w:rsidR="00A41814">
        <w:rPr>
          <w:rFonts w:ascii="Cambria" w:hAnsi="Cambria"/>
          <w:color w:val="000000" w:themeColor="text1"/>
          <w:sz w:val="16"/>
          <w:szCs w:val="16"/>
        </w:rPr>
        <w:t>ated Approaches</w:t>
      </w:r>
      <w:r w:rsidR="001A54B4">
        <w:rPr>
          <w:rFonts w:ascii="Cambria" w:hAnsi="Cambria"/>
          <w:color w:val="000000" w:themeColor="text1"/>
          <w:sz w:val="16"/>
          <w:szCs w:val="16"/>
        </w:rPr>
        <w:t xml:space="preserve"> to </w:t>
      </w:r>
      <w:r w:rsidR="00A41814">
        <w:rPr>
          <w:rFonts w:ascii="Cambria" w:hAnsi="Cambria"/>
          <w:color w:val="000000" w:themeColor="text1"/>
          <w:sz w:val="16"/>
          <w:szCs w:val="16"/>
        </w:rPr>
        <w:t>P</w:t>
      </w:r>
      <w:r w:rsidR="001A54B4">
        <w:rPr>
          <w:rFonts w:ascii="Cambria" w:hAnsi="Cambria"/>
          <w:color w:val="000000" w:themeColor="text1"/>
          <w:sz w:val="16"/>
          <w:szCs w:val="16"/>
        </w:rPr>
        <w:t xml:space="preserve">ersons </w:t>
      </w:r>
      <w:r w:rsidR="00A41814">
        <w:rPr>
          <w:rFonts w:ascii="Cambria" w:hAnsi="Cambria"/>
          <w:color w:val="000000" w:themeColor="text1"/>
          <w:sz w:val="16"/>
          <w:szCs w:val="16"/>
        </w:rPr>
        <w:t>D</w:t>
      </w:r>
      <w:r w:rsidR="001A54B4">
        <w:rPr>
          <w:rFonts w:ascii="Cambria" w:hAnsi="Cambria"/>
          <w:color w:val="000000" w:themeColor="text1"/>
          <w:sz w:val="16"/>
          <w:szCs w:val="16"/>
        </w:rPr>
        <w:t xml:space="preserve">eprived of </w:t>
      </w:r>
      <w:r w:rsidR="00A41814">
        <w:rPr>
          <w:rFonts w:ascii="Cambria" w:hAnsi="Cambria"/>
          <w:color w:val="000000" w:themeColor="text1"/>
          <w:sz w:val="16"/>
          <w:szCs w:val="16"/>
        </w:rPr>
        <w:t>L</w:t>
      </w:r>
      <w:r w:rsidR="001A54B4">
        <w:rPr>
          <w:rFonts w:ascii="Cambria" w:hAnsi="Cambria"/>
          <w:color w:val="000000" w:themeColor="text1"/>
          <w:sz w:val="16"/>
          <w:szCs w:val="16"/>
        </w:rPr>
        <w:t>iberty, November 14, 2020, par. 85</w:t>
      </w:r>
      <w:r w:rsidR="00C02F2B">
        <w:rPr>
          <w:rFonts w:ascii="Cambria" w:hAnsi="Cambria"/>
          <w:color w:val="000000" w:themeColor="text1"/>
          <w:sz w:val="16"/>
          <w:szCs w:val="16"/>
        </w:rPr>
        <w:t>.</w:t>
      </w:r>
    </w:p>
  </w:footnote>
  <w:footnote w:id="138">
    <w:p w14:paraId="6EB900F9" w14:textId="1A931B4C" w:rsidR="00586359" w:rsidRPr="009035C0" w:rsidRDefault="0058635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Art</w:t>
      </w:r>
      <w:r w:rsidR="00C02F2B">
        <w:rPr>
          <w:rFonts w:ascii="Cambria" w:hAnsi="Cambria"/>
          <w:color w:val="000000" w:themeColor="text1"/>
          <w:sz w:val="16"/>
          <w:szCs w:val="16"/>
        </w:rPr>
        <w:t>icle</w:t>
      </w:r>
      <w:r w:rsidRPr="009035C0">
        <w:rPr>
          <w:rFonts w:ascii="Cambria" w:hAnsi="Cambria"/>
          <w:color w:val="000000" w:themeColor="text1"/>
          <w:sz w:val="16"/>
          <w:szCs w:val="16"/>
        </w:rPr>
        <w:t xml:space="preserve"> 2, </w:t>
      </w:r>
      <w:r w:rsidR="00C02F2B">
        <w:rPr>
          <w:rFonts w:ascii="Cambria" w:hAnsi="Cambria"/>
          <w:color w:val="000000" w:themeColor="text1"/>
          <w:sz w:val="16"/>
          <w:szCs w:val="16"/>
        </w:rPr>
        <w:t>Inter-American Convention to Prevent and Punish Torture.</w:t>
      </w:r>
      <w:r w:rsidRPr="009035C0">
        <w:rPr>
          <w:rFonts w:ascii="Cambria" w:hAnsi="Cambria"/>
          <w:color w:val="000000" w:themeColor="text1"/>
          <w:sz w:val="16"/>
          <w:szCs w:val="16"/>
        </w:rPr>
        <w:t xml:space="preserve"> </w:t>
      </w:r>
    </w:p>
  </w:footnote>
  <w:footnote w:id="139">
    <w:p w14:paraId="4A6739CE" w14:textId="0B04542F" w:rsidR="00586359" w:rsidRPr="009035C0" w:rsidRDefault="0058635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872163">
        <w:rPr>
          <w:rFonts w:ascii="Cambria" w:hAnsi="Cambria"/>
          <w:color w:val="000000" w:themeColor="text1"/>
          <w:sz w:val="16"/>
          <w:szCs w:val="16"/>
        </w:rPr>
        <w:t xml:space="preserve">IA Court of HR. Case of the </w:t>
      </w:r>
      <w:r w:rsidRPr="009035C0">
        <w:rPr>
          <w:rFonts w:ascii="Cambria" w:hAnsi="Cambria"/>
          <w:color w:val="000000" w:themeColor="text1"/>
          <w:sz w:val="16"/>
          <w:szCs w:val="16"/>
        </w:rPr>
        <w:t xml:space="preserve">Miguel Castro Castro </w:t>
      </w:r>
      <w:r w:rsidR="00872163">
        <w:rPr>
          <w:rFonts w:ascii="Cambria" w:hAnsi="Cambria"/>
          <w:color w:val="000000" w:themeColor="text1"/>
          <w:sz w:val="16"/>
          <w:szCs w:val="16"/>
        </w:rPr>
        <w:t>Prison v.</w:t>
      </w:r>
      <w:r w:rsidRPr="009035C0">
        <w:rPr>
          <w:rFonts w:ascii="Cambria" w:hAnsi="Cambria"/>
          <w:color w:val="000000" w:themeColor="text1"/>
          <w:sz w:val="16"/>
          <w:szCs w:val="16"/>
        </w:rPr>
        <w:t xml:space="preserve"> Per</w:t>
      </w:r>
      <w:r w:rsidR="00872163">
        <w:rPr>
          <w:rFonts w:ascii="Cambria" w:hAnsi="Cambria"/>
          <w:color w:val="000000" w:themeColor="text1"/>
          <w:sz w:val="16"/>
          <w:szCs w:val="16"/>
        </w:rPr>
        <w:t>u. Merits, Reparations and Costs. Judgment of November 25, 2006. Series</w:t>
      </w:r>
      <w:r w:rsidRPr="009035C0">
        <w:rPr>
          <w:rFonts w:ascii="Cambria" w:hAnsi="Cambria"/>
          <w:color w:val="000000" w:themeColor="text1"/>
          <w:sz w:val="16"/>
          <w:szCs w:val="16"/>
        </w:rPr>
        <w:t xml:space="preserve"> C No. 160, p</w:t>
      </w:r>
      <w:r w:rsidR="00872163">
        <w:rPr>
          <w:rFonts w:ascii="Cambria" w:hAnsi="Cambria"/>
          <w:color w:val="000000" w:themeColor="text1"/>
          <w:sz w:val="16"/>
          <w:szCs w:val="16"/>
        </w:rPr>
        <w:t>a</w:t>
      </w:r>
      <w:r w:rsidRPr="009035C0">
        <w:rPr>
          <w:rFonts w:ascii="Cambria" w:hAnsi="Cambria"/>
          <w:color w:val="000000" w:themeColor="text1"/>
          <w:sz w:val="16"/>
          <w:szCs w:val="16"/>
        </w:rPr>
        <w:t>r. 273.</w:t>
      </w:r>
    </w:p>
  </w:footnote>
  <w:footnote w:id="140">
    <w:p w14:paraId="18908A9C" w14:textId="76C1E195"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B27176">
        <w:rPr>
          <w:rFonts w:ascii="Cambria" w:hAnsi="Cambria"/>
          <w:color w:val="000000" w:themeColor="text1"/>
          <w:sz w:val="16"/>
          <w:szCs w:val="16"/>
        </w:rPr>
        <w:t>IACHR. Of</w:t>
      </w:r>
      <w:r w:rsidR="00D56672">
        <w:rPr>
          <w:rFonts w:ascii="Cambria" w:hAnsi="Cambria"/>
          <w:color w:val="000000" w:themeColor="text1"/>
          <w:sz w:val="16"/>
          <w:szCs w:val="16"/>
        </w:rPr>
        <w:t xml:space="preserve">fice of the Special Rapporteur for Freedom of Expression. </w:t>
      </w:r>
      <w:r w:rsidR="00D56672" w:rsidRPr="00E7771A">
        <w:rPr>
          <w:rFonts w:ascii="Cambria" w:hAnsi="Cambria"/>
          <w:color w:val="000000" w:themeColor="text1"/>
          <w:sz w:val="16"/>
          <w:szCs w:val="16"/>
          <w:lang w:val="es-US"/>
        </w:rPr>
        <w:t>February 5, 2021. Press Release</w:t>
      </w:r>
      <w:r w:rsidRPr="00E7771A">
        <w:rPr>
          <w:rFonts w:ascii="Cambria" w:hAnsi="Cambria"/>
          <w:color w:val="000000" w:themeColor="text1"/>
          <w:sz w:val="16"/>
          <w:szCs w:val="16"/>
          <w:lang w:val="es-US"/>
        </w:rPr>
        <w:t xml:space="preserve"> 25</w:t>
      </w:r>
      <w:r w:rsidRPr="00E7771A">
        <w:rPr>
          <w:rFonts w:ascii="Cambria" w:hAnsi="Cambria"/>
          <w:i/>
          <w:color w:val="000000" w:themeColor="text1"/>
          <w:sz w:val="16"/>
          <w:szCs w:val="16"/>
          <w:lang w:val="es-US"/>
        </w:rPr>
        <w:t xml:space="preserve">. </w:t>
      </w:r>
      <w:hyperlink r:id="rId50" w:history="1">
        <w:r w:rsidRPr="00E7771A">
          <w:rPr>
            <w:rStyle w:val="Hyperlink"/>
            <w:rFonts w:ascii="Cambria" w:hAnsi="Cambria"/>
            <w:color w:val="000000" w:themeColor="text1"/>
            <w:sz w:val="16"/>
            <w:szCs w:val="16"/>
            <w:lang w:val="es-US"/>
          </w:rPr>
          <w:t>La CIDH y su RELE condenan ataques contra personas defensoras de derechos humanos y periodistas, y advierten sobre cierre de los espacios democráticos en Venezuela.</w:t>
        </w:r>
      </w:hyperlink>
      <w:r w:rsidR="00D56672" w:rsidRPr="00E7771A">
        <w:rPr>
          <w:rStyle w:val="Hyperlink"/>
          <w:rFonts w:ascii="Cambria" w:hAnsi="Cambria"/>
          <w:color w:val="000000" w:themeColor="text1"/>
          <w:sz w:val="16"/>
          <w:szCs w:val="16"/>
          <w:lang w:val="es-US"/>
        </w:rPr>
        <w:t xml:space="preserve"> </w:t>
      </w:r>
      <w:r w:rsidR="00D56672">
        <w:rPr>
          <w:rStyle w:val="Hyperlink"/>
          <w:rFonts w:ascii="Cambria" w:hAnsi="Cambria"/>
          <w:color w:val="000000" w:themeColor="text1"/>
          <w:sz w:val="16"/>
          <w:szCs w:val="16"/>
        </w:rPr>
        <w:t>IACHR and OSRFE Condemn Attacks against Human Rights Defenders and Journalists and Warn of the Closure of Democratic Spaces in Venezuela.</w:t>
      </w:r>
    </w:p>
  </w:footnote>
  <w:footnote w:id="141">
    <w:p w14:paraId="7C222EBA" w14:textId="7136CC41" w:rsidR="005D7789" w:rsidRPr="00E7771A" w:rsidRDefault="005D7789" w:rsidP="00F85814">
      <w:pPr>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i/>
          <w:color w:val="000000" w:themeColor="text1"/>
          <w:sz w:val="16"/>
          <w:szCs w:val="16"/>
        </w:rPr>
        <w:t xml:space="preserve"> </w:t>
      </w:r>
      <w:r w:rsidRPr="009035C0">
        <w:rPr>
          <w:rFonts w:ascii="Cambria" w:hAnsi="Cambria"/>
          <w:color w:val="000000" w:themeColor="text1"/>
          <w:sz w:val="16"/>
          <w:szCs w:val="16"/>
        </w:rPr>
        <w:t xml:space="preserve">SwissInfo. </w:t>
      </w:r>
      <w:r w:rsidR="00C42891">
        <w:rPr>
          <w:rFonts w:ascii="Cambria" w:hAnsi="Cambria"/>
          <w:color w:val="000000" w:themeColor="text1"/>
          <w:sz w:val="16"/>
          <w:szCs w:val="16"/>
        </w:rPr>
        <w:t xml:space="preserve">March </w:t>
      </w:r>
      <w:r w:rsidRPr="009035C0">
        <w:rPr>
          <w:rFonts w:ascii="Cambria" w:hAnsi="Cambria"/>
          <w:color w:val="000000" w:themeColor="text1"/>
          <w:sz w:val="16"/>
          <w:szCs w:val="16"/>
        </w:rPr>
        <w:t>8</w:t>
      </w:r>
      <w:r w:rsidR="00C42891">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51" w:history="1">
        <w:r w:rsidRPr="009035C0">
          <w:rPr>
            <w:rStyle w:val="Hyperlink"/>
            <w:rFonts w:ascii="Cambria" w:hAnsi="Cambria"/>
            <w:color w:val="000000" w:themeColor="text1"/>
            <w:sz w:val="16"/>
            <w:szCs w:val="16"/>
          </w:rPr>
          <w:t>Detienen varias horas a un periodista venezolano que cubría protestas del 8M - SWI swissinfo.ch</w:t>
        </w:r>
      </w:hyperlink>
      <w:r w:rsidR="00C47E74">
        <w:rPr>
          <w:rStyle w:val="Hyperlink"/>
          <w:rFonts w:ascii="Cambria" w:hAnsi="Cambria"/>
          <w:color w:val="000000" w:themeColor="text1"/>
          <w:sz w:val="16"/>
          <w:szCs w:val="16"/>
        </w:rPr>
        <w:t xml:space="preserve"> ‘Venezuelan journalist covering the protests of March 8 detained for several hours</w:t>
      </w:r>
      <w:r w:rsidR="00C47E74">
        <w:rPr>
          <w:rFonts w:ascii="Cambria" w:hAnsi="Cambria"/>
          <w:color w:val="000000" w:themeColor="text1"/>
          <w:sz w:val="16"/>
          <w:szCs w:val="16"/>
        </w:rPr>
        <w:t>; E</w:t>
      </w:r>
      <w:r w:rsidRPr="009035C0">
        <w:rPr>
          <w:rFonts w:ascii="Cambria" w:hAnsi="Cambria"/>
          <w:color w:val="000000" w:themeColor="text1"/>
          <w:sz w:val="16"/>
          <w:szCs w:val="16"/>
        </w:rPr>
        <w:t xml:space="preserve">spacio Público. </w:t>
      </w:r>
      <w:r w:rsidR="00C47E74" w:rsidRPr="00F85814">
        <w:rPr>
          <w:rFonts w:ascii="Cambria" w:hAnsi="Cambria"/>
          <w:color w:val="000000" w:themeColor="text1"/>
          <w:sz w:val="16"/>
          <w:szCs w:val="16"/>
          <w:lang w:val="es-US"/>
        </w:rPr>
        <w:t xml:space="preserve">April </w:t>
      </w:r>
      <w:r w:rsidRPr="00F85814">
        <w:rPr>
          <w:rFonts w:ascii="Cambria" w:hAnsi="Cambria"/>
          <w:color w:val="000000" w:themeColor="text1"/>
          <w:sz w:val="16"/>
          <w:szCs w:val="16"/>
          <w:lang w:val="es-US"/>
        </w:rPr>
        <w:t>5</w:t>
      </w:r>
      <w:r w:rsidR="00C47E74" w:rsidRPr="00F85814">
        <w:rPr>
          <w:rFonts w:ascii="Cambria" w:hAnsi="Cambria"/>
          <w:color w:val="000000" w:themeColor="text1"/>
          <w:sz w:val="16"/>
          <w:szCs w:val="16"/>
          <w:lang w:val="es-US"/>
        </w:rPr>
        <w:t>,</w:t>
      </w:r>
      <w:r w:rsidRPr="00F85814">
        <w:rPr>
          <w:rFonts w:ascii="Cambria" w:hAnsi="Cambria"/>
          <w:color w:val="000000" w:themeColor="text1"/>
          <w:sz w:val="16"/>
          <w:szCs w:val="16"/>
          <w:lang w:val="es-US"/>
        </w:rPr>
        <w:t xml:space="preserve"> 2021. </w:t>
      </w:r>
      <w:hyperlink r:id="rId52" w:history="1">
        <w:r w:rsidRPr="00F85814">
          <w:rPr>
            <w:rStyle w:val="Hyperlink"/>
            <w:rFonts w:ascii="Cambria" w:hAnsi="Cambria"/>
            <w:color w:val="000000" w:themeColor="text1"/>
            <w:sz w:val="16"/>
            <w:szCs w:val="16"/>
            <w:lang w:val="es-US"/>
          </w:rPr>
          <w:t>Poliaragua detuvo a periodista y estudiante por fotografiar las afueras del HCM</w:t>
        </w:r>
      </w:hyperlink>
      <w:r w:rsidR="00C47E74" w:rsidRPr="00F85814">
        <w:rPr>
          <w:rFonts w:ascii="Cambria" w:hAnsi="Cambria"/>
          <w:color w:val="000000" w:themeColor="text1"/>
          <w:sz w:val="16"/>
          <w:szCs w:val="16"/>
          <w:lang w:val="es-US"/>
        </w:rPr>
        <w:t xml:space="preserve"> [‘Poliaragua detained journalist and student for photographing the outside of the HCM’]; </w:t>
      </w:r>
      <w:r w:rsidRPr="00F85814">
        <w:rPr>
          <w:rFonts w:ascii="Cambria" w:hAnsi="Cambria"/>
          <w:color w:val="000000" w:themeColor="text1"/>
          <w:sz w:val="16"/>
          <w:szCs w:val="16"/>
          <w:lang w:val="es-US"/>
        </w:rPr>
        <w:t xml:space="preserve">Instituto de Prensa y Sociedad Venezuela. </w:t>
      </w:r>
      <w:r w:rsidR="00C47E74" w:rsidRPr="00E7771A">
        <w:rPr>
          <w:rFonts w:ascii="Cambria" w:hAnsi="Cambria"/>
          <w:color w:val="000000" w:themeColor="text1"/>
          <w:sz w:val="16"/>
          <w:szCs w:val="16"/>
          <w:lang w:val="es-US"/>
        </w:rPr>
        <w:t xml:space="preserve">April </w:t>
      </w:r>
      <w:r w:rsidRPr="00E7771A">
        <w:rPr>
          <w:rFonts w:ascii="Cambria" w:hAnsi="Cambria"/>
          <w:color w:val="000000" w:themeColor="text1"/>
          <w:sz w:val="16"/>
          <w:szCs w:val="16"/>
          <w:lang w:val="es-US"/>
        </w:rPr>
        <w:t>13</w:t>
      </w:r>
      <w:r w:rsidR="00C47E74"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r w:rsidRPr="00E7771A">
        <w:rPr>
          <w:rFonts w:ascii="Cambria" w:hAnsi="Cambria"/>
          <w:i/>
          <w:color w:val="000000" w:themeColor="text1"/>
          <w:sz w:val="16"/>
          <w:szCs w:val="16"/>
          <w:lang w:val="es-US"/>
        </w:rPr>
        <w:t xml:space="preserve">. </w:t>
      </w:r>
      <w:hyperlink r:id="rId53" w:history="1">
        <w:r w:rsidRPr="00E7771A">
          <w:rPr>
            <w:rStyle w:val="Hyperlink"/>
            <w:rFonts w:ascii="Cambria" w:hAnsi="Cambria"/>
            <w:color w:val="000000" w:themeColor="text1"/>
            <w:sz w:val="16"/>
            <w:szCs w:val="16"/>
            <w:lang w:val="es-US"/>
          </w:rPr>
          <w:t>Dos detenciones arbitrarias se registraron en centros de salud en lo que va de abril;</w:t>
        </w:r>
      </w:hyperlink>
      <w:r w:rsidR="00C47E74" w:rsidRPr="00E7771A">
        <w:rPr>
          <w:rStyle w:val="Hyperlink"/>
          <w:rFonts w:ascii="Cambria" w:hAnsi="Cambria"/>
          <w:color w:val="000000" w:themeColor="text1"/>
          <w:sz w:val="16"/>
          <w:szCs w:val="16"/>
          <w:lang w:val="es-US"/>
        </w:rPr>
        <w:t xml:space="preserve"> [‘Two arbitrary detentions reported at health</w:t>
      </w:r>
      <w:r w:rsidR="00BD12C1" w:rsidRPr="00E7771A">
        <w:rPr>
          <w:rStyle w:val="Hyperlink"/>
          <w:rFonts w:ascii="Cambria" w:hAnsi="Cambria"/>
          <w:color w:val="000000" w:themeColor="text1"/>
          <w:sz w:val="16"/>
          <w:szCs w:val="16"/>
          <w:lang w:val="es-US"/>
        </w:rPr>
        <w:t>c</w:t>
      </w:r>
      <w:r w:rsidR="00C47E74" w:rsidRPr="00E7771A">
        <w:rPr>
          <w:rStyle w:val="Hyperlink"/>
          <w:rFonts w:ascii="Cambria" w:hAnsi="Cambria"/>
          <w:color w:val="000000" w:themeColor="text1"/>
          <w:sz w:val="16"/>
          <w:szCs w:val="16"/>
          <w:lang w:val="es-US"/>
        </w:rPr>
        <w:t>are facilities thus far this April’]</w:t>
      </w:r>
      <w:r w:rsidR="00C47E74" w:rsidRPr="00E7771A">
        <w:rPr>
          <w:rFonts w:ascii="Cambria" w:hAnsi="Cambria"/>
          <w:color w:val="000000" w:themeColor="text1"/>
          <w:sz w:val="16"/>
          <w:szCs w:val="16"/>
          <w:lang w:val="es-US"/>
        </w:rPr>
        <w:t xml:space="preserve"> C</w:t>
      </w:r>
      <w:r w:rsidRPr="00E7771A">
        <w:rPr>
          <w:rFonts w:ascii="Cambria" w:hAnsi="Cambria"/>
          <w:color w:val="000000" w:themeColor="text1"/>
          <w:sz w:val="16"/>
          <w:szCs w:val="16"/>
          <w:lang w:val="es-US"/>
        </w:rPr>
        <w:t xml:space="preserve">araota Digital. </w:t>
      </w:r>
      <w:r w:rsidR="00C47E74"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9</w:t>
      </w:r>
      <w:r w:rsidR="00C47E74"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54" w:history="1">
        <w:r w:rsidRPr="00E7771A">
          <w:rPr>
            <w:rStyle w:val="Hyperlink"/>
            <w:rFonts w:ascii="Cambria" w:hAnsi="Cambria"/>
            <w:color w:val="000000" w:themeColor="text1"/>
            <w:sz w:val="16"/>
            <w:szCs w:val="16"/>
            <w:lang w:val="es-US"/>
          </w:rPr>
          <w:t>Detienen al periodista Joan Camargo mientras cubría enfrentamientos.</w:t>
        </w:r>
      </w:hyperlink>
      <w:r w:rsidR="00C47E74" w:rsidRPr="00E7771A">
        <w:rPr>
          <w:rStyle w:val="Hyperlink"/>
          <w:rFonts w:ascii="Cambria" w:hAnsi="Cambria"/>
          <w:color w:val="000000" w:themeColor="text1"/>
          <w:sz w:val="16"/>
          <w:szCs w:val="16"/>
          <w:lang w:val="es-US"/>
        </w:rPr>
        <w:t>[‘Journalist Joan Camargo detained while covering confrontations’].</w:t>
      </w:r>
    </w:p>
  </w:footnote>
  <w:footnote w:id="142">
    <w:p w14:paraId="46678E48" w14:textId="5F1442E6"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Nacional. </w:t>
      </w:r>
      <w:r w:rsidR="006A186D" w:rsidRPr="00E7771A">
        <w:rPr>
          <w:rFonts w:ascii="Cambria" w:hAnsi="Cambria"/>
          <w:color w:val="000000" w:themeColor="text1"/>
          <w:sz w:val="16"/>
          <w:szCs w:val="16"/>
          <w:lang w:val="es-US"/>
        </w:rPr>
        <w:t xml:space="preserve">March </w:t>
      </w:r>
      <w:r w:rsidRPr="00E7771A">
        <w:rPr>
          <w:rFonts w:ascii="Cambria" w:hAnsi="Cambria"/>
          <w:color w:val="000000" w:themeColor="text1"/>
          <w:sz w:val="16"/>
          <w:szCs w:val="16"/>
          <w:lang w:val="es-US"/>
        </w:rPr>
        <w:t>31</w:t>
      </w:r>
      <w:r w:rsidR="006A186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55" w:history="1">
        <w:r w:rsidRPr="00E7771A">
          <w:rPr>
            <w:rStyle w:val="Hyperlink"/>
            <w:rFonts w:ascii="Cambria" w:hAnsi="Cambria"/>
            <w:color w:val="000000" w:themeColor="text1"/>
            <w:sz w:val="16"/>
            <w:szCs w:val="16"/>
            <w:lang w:val="es-US"/>
          </w:rPr>
          <w:t>Denuncian desaparición de 2 periodistas de NTN24 detenidos por la GNB mientras cubrían conflicto en Apure</w:t>
        </w:r>
      </w:hyperlink>
      <w:r w:rsidR="00411454" w:rsidRPr="00E7771A">
        <w:rPr>
          <w:rFonts w:ascii="Cambria" w:hAnsi="Cambria"/>
          <w:color w:val="000000" w:themeColor="text1"/>
          <w:sz w:val="16"/>
          <w:szCs w:val="16"/>
          <w:lang w:val="es-US"/>
        </w:rPr>
        <w:t xml:space="preserve"> [‘Disappearance of 2 NTN24 </w:t>
      </w:r>
      <w:r w:rsidR="00E86000" w:rsidRPr="00E7771A">
        <w:rPr>
          <w:rFonts w:ascii="Cambria" w:hAnsi="Cambria"/>
          <w:color w:val="000000" w:themeColor="text1"/>
          <w:sz w:val="16"/>
          <w:szCs w:val="16"/>
          <w:lang w:val="es-US"/>
        </w:rPr>
        <w:t xml:space="preserve">journalists </w:t>
      </w:r>
      <w:r w:rsidR="00411454" w:rsidRPr="00E7771A">
        <w:rPr>
          <w:rFonts w:ascii="Cambria" w:hAnsi="Cambria"/>
          <w:color w:val="000000" w:themeColor="text1"/>
          <w:sz w:val="16"/>
          <w:szCs w:val="16"/>
          <w:lang w:val="es-US"/>
        </w:rPr>
        <w:t xml:space="preserve">detained by the GNB while covering the conflict in Apure reported’], </w:t>
      </w:r>
      <w:r w:rsidRPr="00E7771A">
        <w:rPr>
          <w:rFonts w:ascii="Cambria" w:hAnsi="Cambria"/>
          <w:color w:val="000000" w:themeColor="text1"/>
          <w:sz w:val="16"/>
          <w:szCs w:val="16"/>
          <w:lang w:val="es-US"/>
        </w:rPr>
        <w:t xml:space="preserve">NTN24. </w:t>
      </w:r>
      <w:r w:rsidR="00055F9D" w:rsidRPr="00E7771A">
        <w:rPr>
          <w:rFonts w:ascii="Cambria" w:hAnsi="Cambria"/>
          <w:color w:val="000000" w:themeColor="text1"/>
          <w:sz w:val="16"/>
          <w:szCs w:val="16"/>
          <w:lang w:val="es-US"/>
        </w:rPr>
        <w:t xml:space="preserve">April </w:t>
      </w:r>
      <w:r w:rsidRPr="00E7771A">
        <w:rPr>
          <w:rFonts w:ascii="Cambria" w:hAnsi="Cambria"/>
          <w:color w:val="000000" w:themeColor="text1"/>
          <w:sz w:val="16"/>
          <w:szCs w:val="16"/>
          <w:lang w:val="es-US"/>
        </w:rPr>
        <w:t>1</w:t>
      </w:r>
      <w:r w:rsidR="00055F9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56" w:history="1">
        <w:r w:rsidRPr="00E7771A">
          <w:rPr>
            <w:rStyle w:val="Hyperlink"/>
            <w:rFonts w:ascii="Cambria" w:hAnsi="Cambria"/>
            <w:color w:val="000000" w:themeColor="text1"/>
            <w:sz w:val="16"/>
            <w:szCs w:val="16"/>
            <w:lang w:val="es-US"/>
          </w:rPr>
          <w:t>Liberados los periodistas de NTN24 y defensores de DDHH</w:t>
        </w:r>
      </w:hyperlink>
      <w:r w:rsidR="00D16DAC" w:rsidRPr="00E7771A">
        <w:rPr>
          <w:rFonts w:ascii="Cambria" w:hAnsi="Cambria"/>
          <w:color w:val="000000" w:themeColor="text1"/>
          <w:sz w:val="16"/>
          <w:szCs w:val="16"/>
          <w:lang w:val="es-US"/>
        </w:rPr>
        <w:t xml:space="preserve"> [‘NTN24 </w:t>
      </w:r>
      <w:r w:rsidR="00D544AB" w:rsidRPr="00E7771A">
        <w:rPr>
          <w:rFonts w:ascii="Cambria" w:hAnsi="Cambria"/>
          <w:color w:val="000000" w:themeColor="text1"/>
          <w:sz w:val="16"/>
          <w:szCs w:val="16"/>
          <w:lang w:val="es-US"/>
        </w:rPr>
        <w:t xml:space="preserve">journalists </w:t>
      </w:r>
      <w:r w:rsidR="00D16DAC" w:rsidRPr="00E7771A">
        <w:rPr>
          <w:rFonts w:ascii="Cambria" w:hAnsi="Cambria"/>
          <w:color w:val="000000" w:themeColor="text1"/>
          <w:sz w:val="16"/>
          <w:szCs w:val="16"/>
          <w:lang w:val="es-US"/>
        </w:rPr>
        <w:t>and human rights defenders released’],</w:t>
      </w:r>
      <w:r w:rsidRPr="00E7771A">
        <w:rPr>
          <w:rFonts w:ascii="Cambria" w:hAnsi="Cambria"/>
          <w:color w:val="000000" w:themeColor="text1"/>
          <w:sz w:val="16"/>
          <w:szCs w:val="16"/>
          <w:lang w:val="es-US"/>
        </w:rPr>
        <w:t xml:space="preserve"> Instituto de Prensa y Sociedad Venezuela. </w:t>
      </w:r>
      <w:r w:rsidR="00D16DAC" w:rsidRPr="00E7771A">
        <w:rPr>
          <w:rFonts w:ascii="Cambria" w:hAnsi="Cambria"/>
          <w:color w:val="000000" w:themeColor="text1"/>
          <w:sz w:val="16"/>
          <w:szCs w:val="16"/>
          <w:lang w:val="es-US"/>
        </w:rPr>
        <w:t xml:space="preserve">April </w:t>
      </w:r>
      <w:r w:rsidRPr="00E7771A">
        <w:rPr>
          <w:rFonts w:ascii="Cambria" w:hAnsi="Cambria"/>
          <w:color w:val="000000" w:themeColor="text1"/>
          <w:sz w:val="16"/>
          <w:szCs w:val="16"/>
          <w:lang w:val="es-US"/>
        </w:rPr>
        <w:t>1</w:t>
      </w:r>
      <w:r w:rsidR="00D16DA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57" w:history="1">
        <w:r w:rsidRPr="00E7771A">
          <w:rPr>
            <w:rStyle w:val="Hyperlink"/>
            <w:rFonts w:ascii="Cambria" w:hAnsi="Cambria"/>
            <w:color w:val="000000" w:themeColor="text1"/>
            <w:sz w:val="16"/>
            <w:szCs w:val="16"/>
            <w:lang w:val="es-US"/>
          </w:rPr>
          <w:t xml:space="preserve">Liberados los dos periodistas y los dos activistas que fueron detenidos y desaparecidos por la GNB en Apure. </w:t>
        </w:r>
      </w:hyperlink>
      <w:r w:rsidR="00865D52">
        <w:rPr>
          <w:rStyle w:val="Hyperlink"/>
          <w:rFonts w:ascii="Cambria" w:hAnsi="Cambria"/>
          <w:color w:val="000000" w:themeColor="text1"/>
          <w:sz w:val="16"/>
          <w:szCs w:val="16"/>
        </w:rPr>
        <w:t>[‘Two journalists and two activists, who were detained and disappeared by the GNB in Apure released’].</w:t>
      </w:r>
    </w:p>
  </w:footnote>
  <w:footnote w:id="143">
    <w:p w14:paraId="0DCA2B9D" w14:textId="766B29BA"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Tal Cual Digital. </w:t>
      </w:r>
      <w:r w:rsidR="00216109" w:rsidRPr="00E7771A">
        <w:rPr>
          <w:rFonts w:ascii="Cambria" w:hAnsi="Cambria"/>
          <w:color w:val="000000" w:themeColor="text1"/>
          <w:sz w:val="16"/>
          <w:szCs w:val="16"/>
          <w:lang w:val="es-US"/>
        </w:rPr>
        <w:t xml:space="preserve">April </w:t>
      </w:r>
      <w:r w:rsidRPr="00E7771A">
        <w:rPr>
          <w:rFonts w:ascii="Cambria" w:hAnsi="Cambria"/>
          <w:color w:val="000000" w:themeColor="text1"/>
          <w:sz w:val="16"/>
          <w:szCs w:val="16"/>
          <w:lang w:val="es-US"/>
        </w:rPr>
        <w:t>7</w:t>
      </w:r>
      <w:r w:rsidR="00216109"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58" w:history="1">
        <w:r w:rsidRPr="00E7771A">
          <w:rPr>
            <w:rStyle w:val="Hyperlink"/>
            <w:rFonts w:ascii="Cambria" w:hAnsi="Cambria"/>
            <w:color w:val="000000" w:themeColor="text1"/>
            <w:sz w:val="16"/>
            <w:szCs w:val="16"/>
            <w:lang w:val="es-US"/>
          </w:rPr>
          <w:t>Cabello: periodistas que cubran conflicto en Apure deben ser considerados enemigos</w:t>
        </w:r>
      </w:hyperlink>
      <w:r w:rsidRPr="00E7771A">
        <w:rPr>
          <w:rFonts w:ascii="Cambria" w:hAnsi="Cambria"/>
          <w:color w:val="000000" w:themeColor="text1"/>
          <w:sz w:val="16"/>
          <w:szCs w:val="16"/>
          <w:lang w:val="es-US"/>
        </w:rPr>
        <w:t>.Espacio Publico</w:t>
      </w:r>
      <w:r w:rsidR="0069270F" w:rsidRPr="00E7771A">
        <w:rPr>
          <w:rFonts w:ascii="Cambria" w:hAnsi="Cambria"/>
          <w:color w:val="000000" w:themeColor="text1"/>
          <w:sz w:val="16"/>
          <w:szCs w:val="16"/>
          <w:lang w:val="es-US"/>
        </w:rPr>
        <w:t xml:space="preserve"> [‘Cabello: journalists who cover conflict in Apure must be considered enemies’]. April </w:t>
      </w:r>
      <w:r w:rsidRPr="00E7771A">
        <w:rPr>
          <w:rFonts w:ascii="Cambria" w:hAnsi="Cambria"/>
          <w:color w:val="000000" w:themeColor="text1"/>
          <w:sz w:val="16"/>
          <w:szCs w:val="16"/>
          <w:lang w:val="es-US"/>
        </w:rPr>
        <w:t>8</w:t>
      </w:r>
      <w:r w:rsidR="0069270F"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59" w:history="1">
        <w:r w:rsidRPr="00E7771A">
          <w:rPr>
            <w:rStyle w:val="Hyperlink"/>
            <w:rFonts w:ascii="Cambria" w:hAnsi="Cambria"/>
            <w:color w:val="000000" w:themeColor="text1"/>
            <w:sz w:val="16"/>
            <w:szCs w:val="16"/>
            <w:lang w:val="es-US"/>
          </w:rPr>
          <w:t xml:space="preserve">Diosdado Cabello amenazó a periodistas que cubran conflicto en Apure. </w:t>
        </w:r>
      </w:hyperlink>
      <w:r w:rsidR="0069270F">
        <w:rPr>
          <w:rStyle w:val="Hyperlink"/>
          <w:rFonts w:ascii="Cambria" w:hAnsi="Cambria"/>
          <w:color w:val="000000" w:themeColor="text1"/>
          <w:sz w:val="16"/>
          <w:szCs w:val="16"/>
        </w:rPr>
        <w:t>[‘Diosdado Cabello threatened journalists who cover conflict in Apure’].</w:t>
      </w:r>
    </w:p>
  </w:footnote>
  <w:footnote w:id="144">
    <w:p w14:paraId="1FF7D624" w14:textId="5E46DE4F" w:rsidR="005D7789" w:rsidRPr="009035C0" w:rsidRDefault="005D7789" w:rsidP="00F85814">
      <w:pPr>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Noticero Digital. </w:t>
      </w:r>
      <w:r w:rsidR="0069270F">
        <w:rPr>
          <w:rFonts w:ascii="Cambria" w:hAnsi="Cambria"/>
          <w:color w:val="000000" w:themeColor="text1"/>
          <w:sz w:val="16"/>
          <w:szCs w:val="16"/>
        </w:rPr>
        <w:t xml:space="preserve">March </w:t>
      </w:r>
      <w:r w:rsidRPr="009035C0">
        <w:rPr>
          <w:rFonts w:ascii="Cambria" w:hAnsi="Cambria"/>
          <w:color w:val="000000" w:themeColor="text1"/>
          <w:sz w:val="16"/>
          <w:szCs w:val="16"/>
        </w:rPr>
        <w:t>16</w:t>
      </w:r>
      <w:r w:rsidR="0069270F">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60" w:history="1">
        <w:r w:rsidRPr="009035C0">
          <w:rPr>
            <w:rStyle w:val="Hyperlink"/>
            <w:rFonts w:ascii="Cambria" w:hAnsi="Cambria"/>
            <w:color w:val="000000" w:themeColor="text1"/>
            <w:sz w:val="16"/>
            <w:szCs w:val="16"/>
          </w:rPr>
          <w:t xml:space="preserve">PNB graba a periodistas mientras cubrían protesta en Aragua; </w:t>
        </w:r>
      </w:hyperlink>
      <w:r w:rsidR="0069270F">
        <w:rPr>
          <w:rStyle w:val="Hyperlink"/>
          <w:rFonts w:ascii="Cambria" w:hAnsi="Cambria"/>
          <w:color w:val="000000" w:themeColor="text1"/>
          <w:sz w:val="16"/>
          <w:szCs w:val="16"/>
        </w:rPr>
        <w:t>[‘PNB records journalists while they covered protest in Aragua’].</w:t>
      </w:r>
      <w:r w:rsidRPr="009035C0">
        <w:rPr>
          <w:rFonts w:ascii="Cambria" w:hAnsi="Cambria"/>
          <w:color w:val="000000" w:themeColor="text1"/>
          <w:sz w:val="16"/>
          <w:szCs w:val="16"/>
        </w:rPr>
        <w:t xml:space="preserve">Tal Cual Digital. </w:t>
      </w:r>
      <w:r w:rsidR="0069270F">
        <w:rPr>
          <w:rFonts w:ascii="Cambria" w:hAnsi="Cambria"/>
          <w:color w:val="000000" w:themeColor="text1"/>
          <w:sz w:val="16"/>
          <w:szCs w:val="16"/>
        </w:rPr>
        <w:t xml:space="preserve">June </w:t>
      </w:r>
      <w:r w:rsidRPr="009035C0">
        <w:rPr>
          <w:rFonts w:ascii="Cambria" w:hAnsi="Cambria"/>
          <w:color w:val="000000" w:themeColor="text1"/>
          <w:sz w:val="16"/>
          <w:szCs w:val="16"/>
        </w:rPr>
        <w:t>28</w:t>
      </w:r>
      <w:r w:rsidR="0069270F">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61" w:history="1">
        <w:r w:rsidRPr="009035C0">
          <w:rPr>
            <w:rStyle w:val="Hyperlink"/>
            <w:rFonts w:ascii="Cambria" w:hAnsi="Cambria"/>
            <w:color w:val="000000" w:themeColor="text1"/>
            <w:sz w:val="16"/>
            <w:szCs w:val="16"/>
          </w:rPr>
          <w:t>Directora del hospital Pérez de León acosó a periodista que trabaja allí</w:t>
        </w:r>
      </w:hyperlink>
      <w:r w:rsidR="0069270F">
        <w:rPr>
          <w:rFonts w:ascii="Cambria" w:hAnsi="Cambria"/>
          <w:color w:val="000000" w:themeColor="text1"/>
          <w:sz w:val="16"/>
          <w:szCs w:val="16"/>
        </w:rPr>
        <w:t xml:space="preserve"> [‘Hospital Director Perez de Lean harassed journalist </w:t>
      </w:r>
      <w:r w:rsidR="004A06E8">
        <w:rPr>
          <w:rFonts w:ascii="Cambria" w:hAnsi="Cambria"/>
          <w:color w:val="000000" w:themeColor="text1"/>
          <w:sz w:val="16"/>
          <w:szCs w:val="16"/>
        </w:rPr>
        <w:t xml:space="preserve">who works there’]; Twitter account of the National Union of Press Workers </w:t>
      </w:r>
      <w:r w:rsidRPr="009035C0">
        <w:rPr>
          <w:rFonts w:ascii="Cambria" w:hAnsi="Cambria"/>
          <w:color w:val="000000" w:themeColor="text1"/>
          <w:sz w:val="16"/>
          <w:szCs w:val="16"/>
        </w:rPr>
        <w:t xml:space="preserve">Prensa (@sntpvenezuela). </w:t>
      </w:r>
      <w:hyperlink r:id="rId62" w:history="1">
        <w:r w:rsidRPr="00E7771A">
          <w:rPr>
            <w:rStyle w:val="Hyperlink"/>
            <w:rFonts w:ascii="Cambria" w:hAnsi="Cambria"/>
            <w:color w:val="000000" w:themeColor="text1"/>
            <w:sz w:val="16"/>
            <w:szCs w:val="16"/>
            <w:lang w:val="es-US"/>
          </w:rPr>
          <w:t>13 de julio de 2021</w:t>
        </w:r>
      </w:hyperlink>
      <w:r w:rsidRPr="00E7771A">
        <w:rPr>
          <w:rFonts w:ascii="Cambria" w:hAnsi="Cambria"/>
          <w:color w:val="000000" w:themeColor="text1"/>
          <w:sz w:val="16"/>
          <w:szCs w:val="16"/>
          <w:lang w:val="es-US"/>
        </w:rPr>
        <w:t xml:space="preserve">; Espacio Público. </w:t>
      </w:r>
      <w:r w:rsidR="004A06E8" w:rsidRPr="00E7771A">
        <w:rPr>
          <w:rFonts w:ascii="Cambria" w:hAnsi="Cambria"/>
          <w:color w:val="000000" w:themeColor="text1"/>
          <w:sz w:val="16"/>
          <w:szCs w:val="16"/>
          <w:lang w:val="es-US"/>
        </w:rPr>
        <w:t xml:space="preserve">August </w:t>
      </w:r>
      <w:r w:rsidRPr="00E7771A">
        <w:rPr>
          <w:rFonts w:ascii="Cambria" w:hAnsi="Cambria"/>
          <w:color w:val="000000" w:themeColor="text1"/>
          <w:sz w:val="16"/>
          <w:szCs w:val="16"/>
          <w:lang w:val="es-US"/>
        </w:rPr>
        <w:t>17</w:t>
      </w:r>
      <w:r w:rsidR="004A06E8"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63" w:history="1">
        <w:r w:rsidRPr="00E7771A">
          <w:rPr>
            <w:rStyle w:val="Hyperlink"/>
            <w:rFonts w:ascii="Cambria" w:hAnsi="Cambria"/>
            <w:color w:val="000000" w:themeColor="text1"/>
            <w:sz w:val="16"/>
            <w:szCs w:val="16"/>
            <w:lang w:val="es-US"/>
          </w:rPr>
          <w:t>Amenazan a periodista por denunciar las precarias condiciones de un centro de salud en Barinas</w:t>
        </w:r>
      </w:hyperlink>
      <w:r w:rsidR="004A06E8" w:rsidRPr="00E7771A">
        <w:rPr>
          <w:rFonts w:ascii="Cambria" w:hAnsi="Cambria"/>
          <w:color w:val="000000" w:themeColor="text1"/>
          <w:sz w:val="16"/>
          <w:szCs w:val="16"/>
          <w:lang w:val="es-US"/>
        </w:rPr>
        <w:t xml:space="preserve"> [‘Journalist threatened for reporting precarious conditions of a healthcare center in Barinas’]; </w:t>
      </w:r>
      <w:r w:rsidRPr="00E7771A">
        <w:rPr>
          <w:rFonts w:ascii="Cambria" w:hAnsi="Cambria"/>
          <w:color w:val="000000" w:themeColor="text1"/>
          <w:sz w:val="16"/>
          <w:szCs w:val="16"/>
          <w:lang w:val="es-US"/>
        </w:rPr>
        <w:t xml:space="preserve">Crónica Uno. </w:t>
      </w:r>
      <w:r w:rsidR="004A06E8">
        <w:rPr>
          <w:rFonts w:ascii="Cambria" w:hAnsi="Cambria"/>
          <w:color w:val="000000" w:themeColor="text1"/>
          <w:sz w:val="16"/>
          <w:szCs w:val="16"/>
        </w:rPr>
        <w:t xml:space="preserve">October </w:t>
      </w:r>
      <w:r w:rsidRPr="009035C0">
        <w:rPr>
          <w:rFonts w:ascii="Cambria" w:hAnsi="Cambria"/>
          <w:color w:val="000000" w:themeColor="text1"/>
          <w:sz w:val="16"/>
          <w:szCs w:val="16"/>
        </w:rPr>
        <w:t>13</w:t>
      </w:r>
      <w:r w:rsidR="004A06E8">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64" w:history="1">
        <w:r w:rsidRPr="009035C0">
          <w:rPr>
            <w:rStyle w:val="Hyperlink"/>
            <w:rFonts w:ascii="Cambria" w:hAnsi="Cambria"/>
            <w:color w:val="000000" w:themeColor="text1"/>
            <w:sz w:val="16"/>
            <w:szCs w:val="16"/>
          </w:rPr>
          <w:t>Recrudece hostigamiento contra periodista Roberto Deniz.</w:t>
        </w:r>
      </w:hyperlink>
      <w:r w:rsidR="004A06E8">
        <w:rPr>
          <w:rStyle w:val="Hyperlink"/>
          <w:rFonts w:ascii="Cambria" w:hAnsi="Cambria"/>
          <w:color w:val="000000" w:themeColor="text1"/>
          <w:sz w:val="16"/>
          <w:szCs w:val="16"/>
        </w:rPr>
        <w:t xml:space="preserve"> [‘Harassment against journalist Roberto Beniz escalates’].</w:t>
      </w:r>
    </w:p>
  </w:footnote>
  <w:footnote w:id="145">
    <w:p w14:paraId="01DEEE16" w14:textId="129FF4AF"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4A06E8">
        <w:rPr>
          <w:rFonts w:ascii="Cambria" w:hAnsi="Cambria"/>
          <w:color w:val="000000" w:themeColor="text1"/>
          <w:sz w:val="16"/>
          <w:szCs w:val="16"/>
        </w:rPr>
        <w:t>Inter-American Press</w:t>
      </w:r>
      <w:r w:rsidR="00C00F87">
        <w:rPr>
          <w:rFonts w:ascii="Cambria" w:hAnsi="Cambria"/>
          <w:color w:val="000000" w:themeColor="text1"/>
          <w:sz w:val="16"/>
          <w:szCs w:val="16"/>
        </w:rPr>
        <w:t xml:space="preserve"> Association</w:t>
      </w:r>
      <w:r w:rsidRPr="009035C0">
        <w:rPr>
          <w:rFonts w:ascii="Cambria" w:hAnsi="Cambria"/>
          <w:color w:val="000000" w:themeColor="text1"/>
          <w:sz w:val="16"/>
          <w:szCs w:val="16"/>
        </w:rPr>
        <w:t xml:space="preserve">. </w:t>
      </w:r>
      <w:r w:rsidR="004A06E8" w:rsidRPr="002574EC">
        <w:rPr>
          <w:rFonts w:ascii="Cambria" w:hAnsi="Cambria"/>
          <w:color w:val="000000" w:themeColor="text1"/>
          <w:sz w:val="16"/>
          <w:szCs w:val="16"/>
          <w:lang w:val="es-US"/>
        </w:rPr>
        <w:t xml:space="preserve">October </w:t>
      </w:r>
      <w:r w:rsidRPr="002574EC">
        <w:rPr>
          <w:rFonts w:ascii="Cambria" w:hAnsi="Cambria"/>
          <w:color w:val="000000" w:themeColor="text1"/>
          <w:sz w:val="16"/>
          <w:szCs w:val="16"/>
          <w:lang w:val="es-US"/>
        </w:rPr>
        <w:t>15</w:t>
      </w:r>
      <w:r w:rsidR="004A06E8" w:rsidRPr="002574EC">
        <w:rPr>
          <w:rFonts w:ascii="Cambria" w:hAnsi="Cambria"/>
          <w:color w:val="000000" w:themeColor="text1"/>
          <w:sz w:val="16"/>
          <w:szCs w:val="16"/>
          <w:lang w:val="es-US"/>
        </w:rPr>
        <w:t>,</w:t>
      </w:r>
      <w:r w:rsidRPr="002574EC">
        <w:rPr>
          <w:rFonts w:ascii="Cambria" w:hAnsi="Cambria"/>
          <w:color w:val="000000" w:themeColor="text1"/>
          <w:sz w:val="16"/>
          <w:szCs w:val="16"/>
          <w:lang w:val="es-US"/>
        </w:rPr>
        <w:t xml:space="preserve"> 2021. </w:t>
      </w:r>
      <w:hyperlink r:id="rId65" w:history="1">
        <w:r w:rsidRPr="002574EC">
          <w:rPr>
            <w:rStyle w:val="Hyperlink"/>
            <w:rFonts w:ascii="Cambria" w:hAnsi="Cambria"/>
            <w:color w:val="000000" w:themeColor="text1"/>
            <w:sz w:val="16"/>
            <w:szCs w:val="16"/>
            <w:lang w:val="es-US"/>
          </w:rPr>
          <w:t>Venezuela - Informe ante la 77ª Asamblea General Virtual.</w:t>
        </w:r>
      </w:hyperlink>
      <w:r w:rsidR="004A06E8">
        <w:rPr>
          <w:rStyle w:val="Hyperlink"/>
          <w:rFonts w:ascii="Cambria" w:hAnsi="Cambria"/>
          <w:color w:val="000000" w:themeColor="text1"/>
          <w:sz w:val="16"/>
          <w:szCs w:val="16"/>
        </w:rPr>
        <w:t>[‘Venezuela – Report to the 77</w:t>
      </w:r>
      <w:r w:rsidR="004A06E8" w:rsidRPr="004A06E8">
        <w:rPr>
          <w:rStyle w:val="Hyperlink"/>
          <w:rFonts w:ascii="Cambria" w:hAnsi="Cambria"/>
          <w:color w:val="000000" w:themeColor="text1"/>
          <w:sz w:val="16"/>
          <w:szCs w:val="16"/>
          <w:vertAlign w:val="superscript"/>
        </w:rPr>
        <w:t>th</w:t>
      </w:r>
      <w:r w:rsidR="004A06E8">
        <w:rPr>
          <w:rStyle w:val="Hyperlink"/>
          <w:rFonts w:ascii="Cambria" w:hAnsi="Cambria"/>
          <w:color w:val="000000" w:themeColor="text1"/>
          <w:sz w:val="16"/>
          <w:szCs w:val="16"/>
        </w:rPr>
        <w:t xml:space="preserve"> Virtual General Assembly’]</w:t>
      </w:r>
    </w:p>
  </w:footnote>
  <w:footnote w:id="146">
    <w:p w14:paraId="60606EA6" w14:textId="1034E4ED"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5950B7">
        <w:rPr>
          <w:rFonts w:ascii="Cambria" w:hAnsi="Cambria"/>
          <w:color w:val="000000" w:themeColor="text1"/>
          <w:sz w:val="16"/>
          <w:szCs w:val="16"/>
        </w:rPr>
        <w:t xml:space="preserve">Twitter account of the </w:t>
      </w:r>
      <w:r w:rsidR="00D82D22">
        <w:rPr>
          <w:rFonts w:ascii="Cambria" w:hAnsi="Cambria"/>
          <w:color w:val="000000" w:themeColor="text1"/>
          <w:sz w:val="16"/>
          <w:szCs w:val="16"/>
        </w:rPr>
        <w:t xml:space="preserve">National Society of Press Workers of Venezuela </w:t>
      </w:r>
      <w:r w:rsidRPr="009035C0">
        <w:rPr>
          <w:rFonts w:ascii="Cambria" w:hAnsi="Cambria"/>
          <w:color w:val="000000" w:themeColor="text1"/>
          <w:sz w:val="16"/>
          <w:szCs w:val="16"/>
        </w:rPr>
        <w:t xml:space="preserve">(@sntpvenezuela). </w:t>
      </w:r>
      <w:r w:rsidR="00D82D22" w:rsidRPr="00E7771A">
        <w:rPr>
          <w:rFonts w:ascii="Cambria" w:hAnsi="Cambria"/>
          <w:color w:val="000000" w:themeColor="text1"/>
          <w:sz w:val="16"/>
          <w:szCs w:val="16"/>
          <w:lang w:val="es-US"/>
        </w:rPr>
        <w:t xml:space="preserve">March </w:t>
      </w:r>
      <w:r w:rsidRPr="00E7771A">
        <w:rPr>
          <w:rFonts w:ascii="Cambria" w:hAnsi="Cambria"/>
          <w:color w:val="000000" w:themeColor="text1"/>
          <w:sz w:val="16"/>
          <w:szCs w:val="16"/>
          <w:lang w:val="es-US"/>
        </w:rPr>
        <w:t>16</w:t>
      </w:r>
      <w:r w:rsidR="00D82D22"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Espacio Público. </w:t>
      </w:r>
      <w:r w:rsidR="00D82D22"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12</w:t>
      </w:r>
      <w:r w:rsidR="00D82D22"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66" w:history="1">
        <w:r w:rsidRPr="00E7771A">
          <w:rPr>
            <w:rStyle w:val="Hyperlink"/>
            <w:rFonts w:ascii="Cambria" w:hAnsi="Cambria"/>
            <w:color w:val="000000" w:themeColor="text1"/>
            <w:sz w:val="16"/>
            <w:szCs w:val="16"/>
            <w:lang w:val="es-US"/>
          </w:rPr>
          <w:t>Secretario de gobierno de Carabobo censuró a la prensa durante protesta de maestros.</w:t>
        </w:r>
      </w:hyperlink>
      <w:r w:rsidR="00A43B1F" w:rsidRPr="00E7771A">
        <w:rPr>
          <w:rFonts w:ascii="Cambria" w:hAnsi="Cambria"/>
          <w:color w:val="000000" w:themeColor="text1"/>
          <w:sz w:val="16"/>
          <w:szCs w:val="16"/>
          <w:lang w:val="es-US"/>
        </w:rPr>
        <w:t xml:space="preserve"> </w:t>
      </w:r>
      <w:r w:rsidR="00A43B1F">
        <w:rPr>
          <w:rFonts w:ascii="Cambria" w:hAnsi="Cambria"/>
          <w:color w:val="000000" w:themeColor="text1"/>
          <w:sz w:val="16"/>
          <w:szCs w:val="16"/>
        </w:rPr>
        <w:t>[‘Secretary of Government of Carabobo censured the press during school teach</w:t>
      </w:r>
      <w:r w:rsidR="00A7789E">
        <w:rPr>
          <w:rFonts w:ascii="Cambria" w:hAnsi="Cambria"/>
          <w:color w:val="000000" w:themeColor="text1"/>
          <w:sz w:val="16"/>
          <w:szCs w:val="16"/>
        </w:rPr>
        <w:t>e</w:t>
      </w:r>
      <w:r w:rsidR="00E31C49">
        <w:rPr>
          <w:rFonts w:ascii="Cambria" w:hAnsi="Cambria"/>
          <w:color w:val="000000" w:themeColor="text1"/>
          <w:sz w:val="16"/>
          <w:szCs w:val="16"/>
        </w:rPr>
        <w:t>rs’</w:t>
      </w:r>
      <w:r w:rsidR="00A43B1F">
        <w:rPr>
          <w:rFonts w:ascii="Cambria" w:hAnsi="Cambria"/>
          <w:color w:val="000000" w:themeColor="text1"/>
          <w:sz w:val="16"/>
          <w:szCs w:val="16"/>
        </w:rPr>
        <w:t xml:space="preserve"> protests’]; </w:t>
      </w:r>
      <w:r w:rsidRPr="009035C0">
        <w:rPr>
          <w:rFonts w:ascii="Cambria" w:hAnsi="Cambria"/>
          <w:color w:val="000000" w:themeColor="text1"/>
          <w:sz w:val="16"/>
          <w:szCs w:val="16"/>
        </w:rPr>
        <w:t xml:space="preserve">Instituto de Prensa y Sociedade Venezuela. </w:t>
      </w:r>
      <w:r w:rsidR="00E44278">
        <w:rPr>
          <w:rFonts w:ascii="Cambria" w:hAnsi="Cambria"/>
          <w:color w:val="000000" w:themeColor="text1"/>
          <w:sz w:val="16"/>
          <w:szCs w:val="16"/>
        </w:rPr>
        <w:t xml:space="preserve">June </w:t>
      </w:r>
      <w:r w:rsidRPr="009035C0">
        <w:rPr>
          <w:rFonts w:ascii="Cambria" w:hAnsi="Cambria"/>
          <w:color w:val="000000" w:themeColor="text1"/>
          <w:sz w:val="16"/>
          <w:szCs w:val="16"/>
        </w:rPr>
        <w:t>5</w:t>
      </w:r>
      <w:r w:rsidR="00E44278">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67" w:history="1">
        <w:r w:rsidRPr="009035C0">
          <w:rPr>
            <w:rStyle w:val="Hyperlink"/>
            <w:rFonts w:ascii="Cambria" w:hAnsi="Cambria"/>
            <w:color w:val="000000" w:themeColor="text1"/>
            <w:sz w:val="16"/>
            <w:szCs w:val="16"/>
          </w:rPr>
          <w:t>En menos de una semana impiden labor periodística a tres equipos de reporteros en Lara</w:t>
        </w:r>
      </w:hyperlink>
      <w:r w:rsidR="00E44278">
        <w:rPr>
          <w:rFonts w:ascii="Cambria" w:hAnsi="Cambria"/>
          <w:color w:val="000000" w:themeColor="text1"/>
          <w:sz w:val="16"/>
          <w:szCs w:val="16"/>
        </w:rPr>
        <w:t xml:space="preserve"> [‘In less than one week three teams of reporters are prevented from reporting’]; Twitter account of the National College of Journalists of Caracas </w:t>
      </w:r>
      <w:r w:rsidRPr="009035C0">
        <w:rPr>
          <w:rFonts w:ascii="Cambria" w:hAnsi="Cambria"/>
          <w:color w:val="000000" w:themeColor="text1"/>
          <w:sz w:val="16"/>
          <w:szCs w:val="16"/>
        </w:rPr>
        <w:t xml:space="preserve">(@cnpcaracas). </w:t>
      </w:r>
      <w:hyperlink r:id="rId68" w:history="1">
        <w:r w:rsidRPr="00E7771A">
          <w:rPr>
            <w:rStyle w:val="Hyperlink"/>
            <w:rFonts w:ascii="Cambria" w:hAnsi="Cambria"/>
            <w:color w:val="000000" w:themeColor="text1"/>
            <w:sz w:val="16"/>
            <w:szCs w:val="16"/>
            <w:lang w:val="es-US"/>
          </w:rPr>
          <w:t>21 de octubre de 2021</w:t>
        </w:r>
      </w:hyperlink>
      <w:r w:rsidRPr="00E7771A">
        <w:rPr>
          <w:rFonts w:ascii="Cambria" w:hAnsi="Cambria"/>
          <w:color w:val="000000" w:themeColor="text1"/>
          <w:sz w:val="16"/>
          <w:szCs w:val="16"/>
          <w:lang w:val="es-US"/>
        </w:rPr>
        <w:t>.</w:t>
      </w:r>
    </w:p>
  </w:footnote>
  <w:footnote w:id="147">
    <w:p w14:paraId="6E81BA09" w14:textId="21B0D208" w:rsidR="005D7789" w:rsidRPr="009035C0" w:rsidRDefault="005D7789" w:rsidP="00F85814">
      <w:pPr>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Carabobeño. </w:t>
      </w:r>
      <w:r w:rsidR="00D31F87" w:rsidRPr="00E7771A">
        <w:rPr>
          <w:rFonts w:ascii="Cambria" w:hAnsi="Cambria"/>
          <w:color w:val="000000" w:themeColor="text1"/>
          <w:sz w:val="16"/>
          <w:szCs w:val="16"/>
          <w:lang w:val="es-US"/>
        </w:rPr>
        <w:t xml:space="preserve">April </w:t>
      </w:r>
      <w:r w:rsidRPr="00E7771A">
        <w:rPr>
          <w:rFonts w:ascii="Cambria" w:hAnsi="Cambria"/>
          <w:color w:val="000000" w:themeColor="text1"/>
          <w:sz w:val="16"/>
          <w:szCs w:val="16"/>
          <w:lang w:val="es-US"/>
        </w:rPr>
        <w:t>12</w:t>
      </w:r>
      <w:r w:rsidR="00D31F87"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69" w:history="1">
        <w:r w:rsidRPr="00E7771A">
          <w:rPr>
            <w:rStyle w:val="Hyperlink"/>
            <w:rFonts w:ascii="Cambria" w:hAnsi="Cambria"/>
            <w:color w:val="000000" w:themeColor="text1"/>
            <w:sz w:val="16"/>
            <w:szCs w:val="16"/>
            <w:lang w:val="es-US"/>
          </w:rPr>
          <w:t>Reporteros de El Carabobeño fueron intimidados por sujetos desconocidos mientras hacían su labor periodística</w:t>
        </w:r>
      </w:hyperlink>
      <w:r w:rsidR="00D31F87" w:rsidRPr="00E7771A">
        <w:rPr>
          <w:rFonts w:ascii="Cambria" w:hAnsi="Cambria"/>
          <w:color w:val="000000" w:themeColor="text1"/>
          <w:sz w:val="16"/>
          <w:szCs w:val="16"/>
          <w:lang w:val="es-US"/>
        </w:rPr>
        <w:t xml:space="preserve"> [‘Reporters of El Carabobeño were intimidated by unknown individuals while they were doing their job as journalists’];</w:t>
      </w:r>
      <w:r w:rsidRPr="00E7771A">
        <w:rPr>
          <w:rFonts w:ascii="Cambria" w:hAnsi="Cambria"/>
          <w:color w:val="000000" w:themeColor="text1"/>
          <w:sz w:val="16"/>
          <w:szCs w:val="16"/>
          <w:lang w:val="es-US"/>
        </w:rPr>
        <w:t xml:space="preserve"> EVTV. </w:t>
      </w:r>
      <w:r w:rsidR="00D31F87">
        <w:rPr>
          <w:rFonts w:ascii="Cambria" w:hAnsi="Cambria"/>
          <w:color w:val="000000" w:themeColor="text1"/>
          <w:sz w:val="16"/>
          <w:szCs w:val="16"/>
        </w:rPr>
        <w:t xml:space="preserve">August </w:t>
      </w:r>
      <w:r w:rsidRPr="009035C0">
        <w:rPr>
          <w:rFonts w:ascii="Cambria" w:hAnsi="Cambria"/>
          <w:color w:val="000000" w:themeColor="text1"/>
          <w:sz w:val="16"/>
          <w:szCs w:val="16"/>
        </w:rPr>
        <w:t>5</w:t>
      </w:r>
      <w:r w:rsidR="00D31F87">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70" w:history="1">
        <w:r w:rsidRPr="009035C0">
          <w:rPr>
            <w:rStyle w:val="Hyperlink"/>
            <w:rFonts w:ascii="Cambria" w:hAnsi="Cambria"/>
            <w:color w:val="000000" w:themeColor="text1"/>
            <w:sz w:val="16"/>
            <w:szCs w:val="16"/>
          </w:rPr>
          <w:t xml:space="preserve">Intentan quitarle el celular a periodista en Sucre que grababa discusión entre oficialistas; </w:t>
        </w:r>
      </w:hyperlink>
      <w:r w:rsidR="00D31F87">
        <w:rPr>
          <w:rStyle w:val="Hyperlink"/>
          <w:rFonts w:ascii="Cambria" w:hAnsi="Cambria"/>
          <w:color w:val="000000" w:themeColor="text1"/>
          <w:sz w:val="16"/>
          <w:szCs w:val="16"/>
        </w:rPr>
        <w:t>[‘Attempt made to take cell phone away from journalist who was recording discussion between government party members’]</w:t>
      </w:r>
      <w:r w:rsidRPr="009035C0">
        <w:rPr>
          <w:rFonts w:ascii="Cambria" w:hAnsi="Cambria"/>
          <w:color w:val="000000" w:themeColor="text1"/>
          <w:sz w:val="16"/>
          <w:szCs w:val="16"/>
        </w:rPr>
        <w:t xml:space="preserve"> </w:t>
      </w:r>
      <w:r w:rsidR="00D31F87">
        <w:rPr>
          <w:rFonts w:ascii="Cambria" w:hAnsi="Cambria"/>
          <w:color w:val="000000" w:themeColor="text1"/>
          <w:sz w:val="16"/>
          <w:szCs w:val="16"/>
        </w:rPr>
        <w:t xml:space="preserve">Twitter account of the National Union of Press Workers of Venezuela </w:t>
      </w:r>
      <w:r w:rsidRPr="009035C0">
        <w:rPr>
          <w:rFonts w:ascii="Cambria" w:hAnsi="Cambria"/>
          <w:color w:val="000000" w:themeColor="text1"/>
          <w:sz w:val="16"/>
          <w:szCs w:val="16"/>
        </w:rPr>
        <w:t xml:space="preserve">(@sntpvenezuela). </w:t>
      </w:r>
      <w:hyperlink r:id="rId71" w:history="1">
        <w:r w:rsidRPr="009035C0">
          <w:rPr>
            <w:rStyle w:val="Hyperlink"/>
            <w:rFonts w:ascii="Cambria" w:hAnsi="Cambria"/>
            <w:color w:val="000000" w:themeColor="text1"/>
            <w:sz w:val="16"/>
            <w:szCs w:val="16"/>
          </w:rPr>
          <w:t>8 de agosto de 2021</w:t>
        </w:r>
      </w:hyperlink>
      <w:r w:rsidRPr="009035C0">
        <w:rPr>
          <w:rFonts w:ascii="Cambria" w:hAnsi="Cambria"/>
          <w:color w:val="000000" w:themeColor="text1"/>
          <w:sz w:val="16"/>
          <w:szCs w:val="16"/>
        </w:rPr>
        <w:t xml:space="preserve">; </w:t>
      </w:r>
      <w:r w:rsidR="00DC376C">
        <w:rPr>
          <w:rFonts w:ascii="Cambria" w:hAnsi="Cambria"/>
          <w:color w:val="000000" w:themeColor="text1"/>
          <w:sz w:val="16"/>
          <w:szCs w:val="16"/>
        </w:rPr>
        <w:t xml:space="preserve">Twitter account of the National Society of Press Workers </w:t>
      </w:r>
      <w:r w:rsidRPr="009035C0">
        <w:rPr>
          <w:rFonts w:ascii="Cambria" w:hAnsi="Cambria"/>
          <w:color w:val="000000" w:themeColor="text1"/>
          <w:sz w:val="16"/>
          <w:szCs w:val="16"/>
        </w:rPr>
        <w:t>(@sntpvenzuela</w:t>
      </w:r>
      <w:r w:rsidR="00995D74" w:rsidRPr="009035C0">
        <w:rPr>
          <w:rFonts w:ascii="Cambria" w:hAnsi="Cambria"/>
          <w:color w:val="000000" w:themeColor="text1"/>
          <w:sz w:val="16"/>
          <w:szCs w:val="16"/>
        </w:rPr>
        <w:t>).</w:t>
      </w:r>
      <w:r w:rsidRPr="009035C0">
        <w:rPr>
          <w:rFonts w:ascii="Cambria" w:hAnsi="Cambria"/>
          <w:color w:val="000000" w:themeColor="text1"/>
          <w:sz w:val="16"/>
          <w:szCs w:val="16"/>
        </w:rPr>
        <w:t xml:space="preserve"> </w:t>
      </w:r>
      <w:hyperlink r:id="rId72" w:history="1">
        <w:r w:rsidRPr="009035C0">
          <w:rPr>
            <w:rStyle w:val="Hyperlink"/>
            <w:rFonts w:ascii="Cambria" w:hAnsi="Cambria"/>
            <w:color w:val="000000" w:themeColor="text1"/>
            <w:sz w:val="16"/>
            <w:szCs w:val="16"/>
          </w:rPr>
          <w:t>8 de agosto de 2021 (2)</w:t>
        </w:r>
      </w:hyperlink>
      <w:r w:rsidRPr="009035C0">
        <w:rPr>
          <w:rFonts w:ascii="Cambria" w:hAnsi="Cambria"/>
          <w:color w:val="000000" w:themeColor="text1"/>
          <w:sz w:val="16"/>
          <w:szCs w:val="16"/>
        </w:rPr>
        <w:t xml:space="preserve">; </w:t>
      </w:r>
    </w:p>
  </w:footnote>
  <w:footnote w:id="148">
    <w:p w14:paraId="01CAD30D" w14:textId="46E8F2E1"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Archiv</w:t>
      </w:r>
      <w:r w:rsidR="00F9459C">
        <w:rPr>
          <w:rFonts w:ascii="Cambria" w:hAnsi="Cambria"/>
          <w:color w:val="000000" w:themeColor="text1"/>
          <w:sz w:val="16"/>
          <w:szCs w:val="16"/>
        </w:rPr>
        <w:t xml:space="preserve">es of the Special Rapporteurship, Meeting with Venezuelan journalists. </w:t>
      </w:r>
      <w:r w:rsidR="00F9459C" w:rsidRPr="00E7771A">
        <w:rPr>
          <w:rFonts w:ascii="Cambria" w:hAnsi="Cambria"/>
          <w:color w:val="000000" w:themeColor="text1"/>
          <w:sz w:val="16"/>
          <w:szCs w:val="16"/>
          <w:lang w:val="es-US"/>
        </w:rPr>
        <w:t>June 28, 2021 and July 15, 2021;</w:t>
      </w:r>
      <w:r w:rsidRPr="00E7771A">
        <w:rPr>
          <w:rFonts w:ascii="Cambria" w:hAnsi="Cambria"/>
          <w:color w:val="000000" w:themeColor="text1"/>
          <w:sz w:val="16"/>
          <w:szCs w:val="16"/>
          <w:lang w:val="es-US"/>
        </w:rPr>
        <w:t xml:space="preserve"> Espacio Público. </w:t>
      </w:r>
      <w:r w:rsidR="00F9459C"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23</w:t>
      </w:r>
      <w:r w:rsidR="00F9459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73" w:history="1">
        <w:r w:rsidRPr="00E7771A">
          <w:rPr>
            <w:rStyle w:val="Hyperlink"/>
            <w:rFonts w:ascii="Cambria" w:hAnsi="Cambria"/>
            <w:color w:val="000000" w:themeColor="text1"/>
            <w:sz w:val="16"/>
            <w:szCs w:val="16"/>
            <w:lang w:val="es-US"/>
          </w:rPr>
          <w:t>PNB graba a periodistas mientras cubrían protesta en Aragua.</w:t>
        </w:r>
      </w:hyperlink>
      <w:r w:rsidR="00B47362">
        <w:rPr>
          <w:rStyle w:val="Hyperlink"/>
          <w:rFonts w:ascii="Cambria" w:hAnsi="Cambria"/>
          <w:color w:val="000000" w:themeColor="text1"/>
          <w:sz w:val="16"/>
          <w:szCs w:val="16"/>
        </w:rPr>
        <w:t>[‘PNB records journalists while they cover protests in Aragua’].</w:t>
      </w:r>
    </w:p>
  </w:footnote>
  <w:footnote w:id="149">
    <w:p w14:paraId="5D0F3CDD" w14:textId="4F03638C"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Instituto Prensa y Sociedad Venezuela. </w:t>
      </w:r>
      <w:r w:rsidR="00AB46C7"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22</w:t>
      </w:r>
      <w:r w:rsidR="00AB46C7"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74" w:history="1">
        <w:r w:rsidRPr="00E7771A">
          <w:rPr>
            <w:rStyle w:val="Hyperlink"/>
            <w:rFonts w:ascii="Cambria" w:hAnsi="Cambria"/>
            <w:color w:val="000000" w:themeColor="text1"/>
            <w:sz w:val="16"/>
            <w:szCs w:val="16"/>
            <w:lang w:val="es-US"/>
          </w:rPr>
          <w:t>Al menos seis reporteros han sido limitados a cubrir operativos de vacunación en lo que va de junio</w:t>
        </w:r>
      </w:hyperlink>
      <w:r w:rsidR="00A5407D" w:rsidRPr="00E7771A">
        <w:rPr>
          <w:rFonts w:ascii="Cambria" w:hAnsi="Cambria"/>
          <w:color w:val="000000" w:themeColor="text1"/>
          <w:sz w:val="16"/>
          <w:szCs w:val="16"/>
          <w:lang w:val="es-US"/>
        </w:rPr>
        <w:t xml:space="preserve"> [‘At least six </w:t>
      </w:r>
      <w:r w:rsidR="00EA6BBB" w:rsidRPr="00E7771A">
        <w:rPr>
          <w:rFonts w:ascii="Cambria" w:hAnsi="Cambria"/>
          <w:color w:val="000000" w:themeColor="text1"/>
          <w:sz w:val="16"/>
          <w:szCs w:val="16"/>
          <w:lang w:val="es-US"/>
        </w:rPr>
        <w:t xml:space="preserve">reporters have been limited in covering vaccination operations thus far in June’]; </w:t>
      </w:r>
      <w:r w:rsidRPr="00E7771A">
        <w:rPr>
          <w:rFonts w:ascii="Cambria" w:hAnsi="Cambria"/>
          <w:color w:val="000000" w:themeColor="text1"/>
          <w:sz w:val="16"/>
          <w:szCs w:val="16"/>
          <w:lang w:val="es-US"/>
        </w:rPr>
        <w:t xml:space="preserve">Espacio Público. </w:t>
      </w:r>
      <w:r w:rsidR="00EA6BBB"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8</w:t>
      </w:r>
      <w:r w:rsidR="00EA6BB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75" w:history="1">
        <w:r w:rsidRPr="00E7771A">
          <w:rPr>
            <w:rStyle w:val="Hyperlink"/>
            <w:rFonts w:ascii="Cambria" w:hAnsi="Cambria"/>
            <w:color w:val="000000" w:themeColor="text1"/>
            <w:sz w:val="16"/>
            <w:szCs w:val="16"/>
            <w:lang w:val="es-US"/>
          </w:rPr>
          <w:t>Junio: ¡periodistas sin autorización para cubrir la vacunación!;</w:t>
        </w:r>
      </w:hyperlink>
      <w:r w:rsidRPr="00E7771A">
        <w:rPr>
          <w:rFonts w:ascii="Cambria" w:hAnsi="Cambria"/>
          <w:color w:val="000000" w:themeColor="text1"/>
          <w:sz w:val="16"/>
          <w:szCs w:val="16"/>
          <w:lang w:val="es-US"/>
        </w:rPr>
        <w:t xml:space="preserve"> </w:t>
      </w:r>
      <w:r w:rsidR="00EA6BBB" w:rsidRPr="00E7771A">
        <w:rPr>
          <w:rFonts w:ascii="Cambria" w:hAnsi="Cambria"/>
          <w:color w:val="000000" w:themeColor="text1"/>
          <w:sz w:val="16"/>
          <w:szCs w:val="16"/>
          <w:lang w:val="es-US"/>
        </w:rPr>
        <w:t xml:space="preserve">[‘June: journalists not authorized to cover vaccination’]; </w:t>
      </w:r>
      <w:r w:rsidRPr="00E7771A">
        <w:rPr>
          <w:rFonts w:ascii="Cambria" w:hAnsi="Cambria"/>
          <w:color w:val="000000" w:themeColor="text1"/>
          <w:sz w:val="16"/>
          <w:szCs w:val="16"/>
          <w:lang w:val="es-US"/>
        </w:rPr>
        <w:t xml:space="preserve">Espacio Público. </w:t>
      </w:r>
      <w:r w:rsidR="00EA6BBB"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31</w:t>
      </w:r>
      <w:r w:rsidR="00EA6BB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76" w:history="1">
        <w:r w:rsidRPr="00E7771A">
          <w:rPr>
            <w:rStyle w:val="Hyperlink"/>
            <w:rFonts w:ascii="Cambria" w:hAnsi="Cambria"/>
            <w:color w:val="000000" w:themeColor="text1"/>
            <w:sz w:val="16"/>
            <w:szCs w:val="16"/>
            <w:lang w:val="es-US"/>
          </w:rPr>
          <w:t xml:space="preserve">Intimidan al reportero Orlando Montlouis durante cobertura de vacunación. </w:t>
        </w:r>
      </w:hyperlink>
      <w:r w:rsidR="00EA6BBB">
        <w:rPr>
          <w:rStyle w:val="Hyperlink"/>
          <w:rFonts w:ascii="Cambria" w:hAnsi="Cambria"/>
          <w:color w:val="000000" w:themeColor="text1"/>
          <w:sz w:val="16"/>
          <w:szCs w:val="16"/>
        </w:rPr>
        <w:t>[‘Reporter Orlando Montlouis intimidated while covering vaccination’]</w:t>
      </w:r>
    </w:p>
  </w:footnote>
  <w:footnote w:id="150">
    <w:p w14:paraId="2C9ECB65" w14:textId="03E1809F"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EA6BBB">
        <w:rPr>
          <w:rFonts w:ascii="Cambria" w:hAnsi="Cambria"/>
          <w:color w:val="000000" w:themeColor="text1"/>
          <w:sz w:val="16"/>
          <w:szCs w:val="16"/>
        </w:rPr>
        <w:t xml:space="preserve">Twitter account of the National Press Workers’ Union of </w:t>
      </w:r>
      <w:r w:rsidRPr="009035C0">
        <w:rPr>
          <w:rFonts w:ascii="Cambria" w:hAnsi="Cambria"/>
          <w:color w:val="000000" w:themeColor="text1"/>
          <w:sz w:val="16"/>
          <w:szCs w:val="16"/>
        </w:rPr>
        <w:t xml:space="preserve">Venezuela (@sntpvenezuela). </w:t>
      </w:r>
      <w:hyperlink r:id="rId77" w:history="1">
        <w:r w:rsidRPr="00E7771A">
          <w:rPr>
            <w:rStyle w:val="Hyperlink"/>
            <w:rFonts w:ascii="Cambria" w:hAnsi="Cambria"/>
            <w:color w:val="000000" w:themeColor="text1"/>
            <w:sz w:val="16"/>
            <w:szCs w:val="16"/>
            <w:lang w:val="es-US"/>
          </w:rPr>
          <w:t>8 de agosto de 2021</w:t>
        </w:r>
      </w:hyperlink>
      <w:r w:rsidRPr="00E7771A">
        <w:rPr>
          <w:rFonts w:ascii="Cambria" w:hAnsi="Cambria"/>
          <w:color w:val="000000" w:themeColor="text1"/>
          <w:sz w:val="16"/>
          <w:szCs w:val="16"/>
          <w:lang w:val="es-US"/>
        </w:rPr>
        <w:t xml:space="preserve">; Guachimán Electora. </w:t>
      </w:r>
      <w:r w:rsidR="00EA6BBB" w:rsidRPr="00E7771A">
        <w:rPr>
          <w:rFonts w:ascii="Cambria" w:hAnsi="Cambria"/>
          <w:color w:val="000000" w:themeColor="text1"/>
          <w:sz w:val="16"/>
          <w:szCs w:val="16"/>
          <w:lang w:val="es-US"/>
        </w:rPr>
        <w:t xml:space="preserve">August </w:t>
      </w:r>
      <w:r w:rsidRPr="00E7771A">
        <w:rPr>
          <w:rFonts w:ascii="Cambria" w:hAnsi="Cambria"/>
          <w:color w:val="000000" w:themeColor="text1"/>
          <w:sz w:val="16"/>
          <w:szCs w:val="16"/>
          <w:lang w:val="es-US"/>
        </w:rPr>
        <w:t>9</w:t>
      </w:r>
      <w:r w:rsidR="00EA6BB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78" w:history="1">
        <w:r w:rsidRPr="00E7771A">
          <w:rPr>
            <w:rStyle w:val="Hyperlink"/>
            <w:rFonts w:ascii="Cambria" w:hAnsi="Cambria"/>
            <w:color w:val="000000" w:themeColor="text1"/>
            <w:sz w:val="16"/>
            <w:szCs w:val="16"/>
            <w:lang w:val="es-US"/>
          </w:rPr>
          <w:t>Se registraron cinco ataques a la prensa en la jornada de primarias PSUV</w:t>
        </w:r>
      </w:hyperlink>
      <w:r w:rsidR="00EA6BBB" w:rsidRPr="00E7771A">
        <w:rPr>
          <w:rFonts w:ascii="Cambria" w:hAnsi="Cambria"/>
          <w:color w:val="000000" w:themeColor="text1"/>
          <w:sz w:val="16"/>
          <w:szCs w:val="16"/>
          <w:lang w:val="es-US"/>
        </w:rPr>
        <w:t xml:space="preserve"> [‘Five attacks on the press were reported on PSUV primary election day’]; </w:t>
      </w:r>
      <w:r w:rsidRPr="00E7771A">
        <w:rPr>
          <w:rFonts w:ascii="Cambria" w:hAnsi="Cambria"/>
          <w:color w:val="000000" w:themeColor="text1"/>
          <w:sz w:val="16"/>
          <w:szCs w:val="16"/>
          <w:lang w:val="es-US"/>
        </w:rPr>
        <w:t xml:space="preserve">Guachimán Electoral. </w:t>
      </w:r>
      <w:r w:rsidR="00EA6BBB" w:rsidRPr="00E7771A">
        <w:rPr>
          <w:rFonts w:ascii="Cambria" w:hAnsi="Cambria"/>
          <w:color w:val="000000" w:themeColor="text1"/>
          <w:sz w:val="16"/>
          <w:szCs w:val="16"/>
          <w:lang w:val="es-US"/>
        </w:rPr>
        <w:t xml:space="preserve">August </w:t>
      </w:r>
      <w:r w:rsidRPr="00E7771A">
        <w:rPr>
          <w:rFonts w:ascii="Cambria" w:hAnsi="Cambria"/>
          <w:color w:val="000000" w:themeColor="text1"/>
          <w:sz w:val="16"/>
          <w:szCs w:val="16"/>
          <w:lang w:val="es-US"/>
        </w:rPr>
        <w:t>10</w:t>
      </w:r>
      <w:r w:rsidR="00EA6BB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79" w:history="1">
        <w:r w:rsidRPr="00E7771A">
          <w:rPr>
            <w:rStyle w:val="Hyperlink"/>
            <w:rFonts w:ascii="Cambria" w:hAnsi="Cambria"/>
            <w:color w:val="000000" w:themeColor="text1"/>
            <w:sz w:val="16"/>
            <w:szCs w:val="16"/>
            <w:lang w:val="es-US"/>
          </w:rPr>
          <w:t>SNTP denunció abusos del Plan República contra periodistas en cobertura del simulacro electoral</w:t>
        </w:r>
      </w:hyperlink>
      <w:r w:rsidR="00291C69" w:rsidRPr="00E7771A">
        <w:rPr>
          <w:rFonts w:ascii="Cambria" w:hAnsi="Cambria"/>
          <w:color w:val="000000" w:themeColor="text1"/>
          <w:sz w:val="16"/>
          <w:szCs w:val="16"/>
          <w:lang w:val="es-US"/>
        </w:rPr>
        <w:t xml:space="preserve"> [‘SNTP decries abuses of the Plan Republica against journalists in coverage of mock election’]; </w:t>
      </w:r>
      <w:r w:rsidRPr="00E7771A">
        <w:rPr>
          <w:rFonts w:ascii="Cambria" w:hAnsi="Cambria"/>
          <w:color w:val="000000" w:themeColor="text1"/>
          <w:sz w:val="16"/>
          <w:szCs w:val="16"/>
          <w:lang w:val="es-US"/>
        </w:rPr>
        <w:t xml:space="preserve">Espacio Publico. </w:t>
      </w:r>
      <w:r w:rsidR="00291C69"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29</w:t>
      </w:r>
      <w:r w:rsidR="00291C69"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80" w:history="1">
        <w:r w:rsidRPr="00E7771A">
          <w:rPr>
            <w:rStyle w:val="Hyperlink"/>
            <w:rFonts w:ascii="Cambria" w:hAnsi="Cambria"/>
            <w:color w:val="000000" w:themeColor="text1"/>
            <w:sz w:val="16"/>
            <w:szCs w:val="16"/>
            <w:lang w:val="es-US"/>
          </w:rPr>
          <w:t>Partidarios de la oposición intentaron impedir cobertura del reportero gráfico Daniel Sosa.</w:t>
        </w:r>
      </w:hyperlink>
      <w:r w:rsidR="00291C69">
        <w:rPr>
          <w:rStyle w:val="Hyperlink"/>
          <w:rFonts w:ascii="Cambria" w:hAnsi="Cambria"/>
          <w:color w:val="000000" w:themeColor="text1"/>
          <w:sz w:val="16"/>
          <w:szCs w:val="16"/>
        </w:rPr>
        <w:t>[‘Opposition supporters attempted to prevent coverage of graphic reporter Daniel Sosa’]</w:t>
      </w:r>
    </w:p>
  </w:footnote>
  <w:footnote w:id="151">
    <w:p w14:paraId="62EDBBC1" w14:textId="55686695"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El Carabobeño. </w:t>
      </w:r>
      <w:r w:rsidR="00291C69">
        <w:rPr>
          <w:rFonts w:ascii="Cambria" w:hAnsi="Cambria"/>
          <w:color w:val="000000" w:themeColor="text1"/>
          <w:sz w:val="16"/>
          <w:szCs w:val="16"/>
        </w:rPr>
        <w:t xml:space="preserve">April </w:t>
      </w:r>
      <w:r w:rsidRPr="009035C0">
        <w:rPr>
          <w:rFonts w:ascii="Cambria" w:hAnsi="Cambria"/>
          <w:color w:val="000000" w:themeColor="text1"/>
          <w:sz w:val="16"/>
          <w:szCs w:val="16"/>
        </w:rPr>
        <w:t>27</w:t>
      </w:r>
      <w:r w:rsidR="00291C69">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81" w:history="1">
        <w:r w:rsidRPr="009035C0">
          <w:rPr>
            <w:rStyle w:val="Hyperlink"/>
            <w:rFonts w:ascii="Cambria" w:hAnsi="Cambria"/>
            <w:color w:val="000000" w:themeColor="text1"/>
            <w:sz w:val="16"/>
            <w:szCs w:val="16"/>
          </w:rPr>
          <w:t>GNB detuvo, desnudó y borró el material a periodistas Edwin Prieto y Lenin Danieri</w:t>
        </w:r>
      </w:hyperlink>
      <w:r w:rsidR="00291C69">
        <w:rPr>
          <w:rStyle w:val="Hyperlink"/>
          <w:rFonts w:ascii="Cambria" w:hAnsi="Cambria"/>
          <w:color w:val="000000" w:themeColor="text1"/>
          <w:sz w:val="16"/>
          <w:szCs w:val="16"/>
        </w:rPr>
        <w:t xml:space="preserve"> [‘GNB detained, undressed and erased the material of journalists Edwin Prieto and Lenin Danieri’]</w:t>
      </w:r>
      <w:r w:rsidRPr="009035C0">
        <w:rPr>
          <w:rFonts w:ascii="Cambria" w:hAnsi="Cambria"/>
          <w:color w:val="000000" w:themeColor="text1"/>
          <w:sz w:val="16"/>
          <w:szCs w:val="16"/>
        </w:rPr>
        <w:t xml:space="preserve">; El Pitazo. </w:t>
      </w:r>
      <w:r w:rsidR="00291C69">
        <w:rPr>
          <w:rFonts w:ascii="Cambria" w:hAnsi="Cambria"/>
          <w:color w:val="000000" w:themeColor="text1"/>
          <w:sz w:val="16"/>
          <w:szCs w:val="16"/>
        </w:rPr>
        <w:t xml:space="preserve">April </w:t>
      </w:r>
      <w:r w:rsidRPr="009035C0">
        <w:rPr>
          <w:rFonts w:ascii="Cambria" w:hAnsi="Cambria"/>
          <w:color w:val="000000" w:themeColor="text1"/>
          <w:sz w:val="16"/>
          <w:szCs w:val="16"/>
        </w:rPr>
        <w:t>28</w:t>
      </w:r>
      <w:r w:rsidR="00291C69">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82" w:history="1">
        <w:r w:rsidRPr="009035C0">
          <w:rPr>
            <w:rStyle w:val="Hyperlink"/>
            <w:rFonts w:ascii="Cambria" w:hAnsi="Cambria"/>
            <w:color w:val="000000" w:themeColor="text1"/>
            <w:sz w:val="16"/>
            <w:szCs w:val="16"/>
          </w:rPr>
          <w:t>Sindicato de prensa denuncia que GN detuvo y desnudó a dos periodistas zulianos</w:t>
        </w:r>
      </w:hyperlink>
      <w:r w:rsidR="00291C69">
        <w:rPr>
          <w:rFonts w:ascii="Cambria" w:hAnsi="Cambria"/>
          <w:color w:val="000000" w:themeColor="text1"/>
          <w:sz w:val="16"/>
          <w:szCs w:val="16"/>
        </w:rPr>
        <w:t xml:space="preserve"> [‘Press union denounces that the GN</w:t>
      </w:r>
      <w:r w:rsidR="00E364DE">
        <w:rPr>
          <w:rFonts w:ascii="Cambria" w:hAnsi="Cambria"/>
          <w:color w:val="000000" w:themeColor="text1"/>
          <w:sz w:val="16"/>
          <w:szCs w:val="16"/>
        </w:rPr>
        <w:t>B</w:t>
      </w:r>
      <w:r w:rsidR="00291C69">
        <w:rPr>
          <w:rFonts w:ascii="Cambria" w:hAnsi="Cambria"/>
          <w:color w:val="000000" w:themeColor="text1"/>
          <w:sz w:val="16"/>
          <w:szCs w:val="16"/>
        </w:rPr>
        <w:t xml:space="preserve"> detained and undressed two journalists from Zulia’]; </w:t>
      </w:r>
      <w:r w:rsidRPr="009035C0">
        <w:rPr>
          <w:rFonts w:ascii="Cambria" w:hAnsi="Cambria"/>
          <w:color w:val="000000" w:themeColor="text1"/>
          <w:sz w:val="16"/>
          <w:szCs w:val="16"/>
        </w:rPr>
        <w:t xml:space="preserve">Espacio Publcio. </w:t>
      </w:r>
      <w:r w:rsidR="00291C69" w:rsidRPr="00E7771A">
        <w:rPr>
          <w:rFonts w:ascii="Cambria" w:hAnsi="Cambria"/>
          <w:color w:val="000000" w:themeColor="text1"/>
          <w:sz w:val="16"/>
          <w:szCs w:val="16"/>
          <w:lang w:val="es-US"/>
        </w:rPr>
        <w:t xml:space="preserve">April </w:t>
      </w:r>
      <w:r w:rsidRPr="00E7771A">
        <w:rPr>
          <w:rFonts w:ascii="Cambria" w:hAnsi="Cambria"/>
          <w:color w:val="000000" w:themeColor="text1"/>
          <w:sz w:val="16"/>
          <w:szCs w:val="16"/>
          <w:lang w:val="es-US"/>
        </w:rPr>
        <w:t>28</w:t>
      </w:r>
      <w:r w:rsidR="00291C69"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83" w:history="1">
        <w:r w:rsidRPr="00E7771A">
          <w:rPr>
            <w:rStyle w:val="Hyperlink"/>
            <w:rFonts w:ascii="Cambria" w:hAnsi="Cambria"/>
            <w:color w:val="000000" w:themeColor="text1"/>
            <w:sz w:val="16"/>
            <w:szCs w:val="16"/>
            <w:lang w:val="es-US"/>
          </w:rPr>
          <w:t>Detienen a dos periodistas por grabar protesta indígena en el Zulia.</w:t>
        </w:r>
      </w:hyperlink>
      <w:r w:rsidR="00291C69" w:rsidRPr="00E7771A">
        <w:rPr>
          <w:rStyle w:val="Hyperlink"/>
          <w:rFonts w:ascii="Cambria" w:hAnsi="Cambria"/>
          <w:color w:val="000000" w:themeColor="text1"/>
          <w:sz w:val="16"/>
          <w:szCs w:val="16"/>
          <w:lang w:val="es-US"/>
        </w:rPr>
        <w:t xml:space="preserve"> </w:t>
      </w:r>
      <w:r w:rsidR="00291C69">
        <w:rPr>
          <w:rStyle w:val="Hyperlink"/>
          <w:rFonts w:ascii="Cambria" w:hAnsi="Cambria"/>
          <w:color w:val="000000" w:themeColor="text1"/>
          <w:sz w:val="16"/>
          <w:szCs w:val="16"/>
        </w:rPr>
        <w:t>[‘Two journalists detained for recording indigenous protest in Zulia’].</w:t>
      </w:r>
    </w:p>
  </w:footnote>
  <w:footnote w:id="152">
    <w:p w14:paraId="5548C1B0" w14:textId="450F393A"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F85814">
        <w:rPr>
          <w:rFonts w:ascii="Cambria" w:hAnsi="Cambria"/>
          <w:color w:val="000000" w:themeColor="text1"/>
          <w:sz w:val="16"/>
          <w:szCs w:val="16"/>
        </w:rPr>
        <w:t xml:space="preserve"> Asociación Carabobeña de Noticias. </w:t>
      </w:r>
      <w:r w:rsidR="00291C69"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21</w:t>
      </w:r>
      <w:r w:rsidR="00291C69"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84" w:history="1">
        <w:r w:rsidRPr="00E7771A">
          <w:rPr>
            <w:rStyle w:val="Hyperlink"/>
            <w:rFonts w:ascii="Cambria" w:hAnsi="Cambria"/>
            <w:color w:val="000000" w:themeColor="text1"/>
            <w:sz w:val="16"/>
            <w:szCs w:val="16"/>
            <w:lang w:val="es-US"/>
          </w:rPr>
          <w:t xml:space="preserve">Llevan a juicio a supuesto periodista por difamación e incitación al odio; </w:t>
        </w:r>
      </w:hyperlink>
      <w:r w:rsidR="008E393B" w:rsidRPr="00E7771A">
        <w:rPr>
          <w:rStyle w:val="Hyperlink"/>
          <w:rFonts w:ascii="Cambria" w:hAnsi="Cambria"/>
          <w:color w:val="000000" w:themeColor="text1"/>
          <w:sz w:val="16"/>
          <w:szCs w:val="16"/>
          <w:lang w:val="es-US"/>
        </w:rPr>
        <w:t xml:space="preserve">[‘Alleged journalist brought to trial for defamation and incitement of hatred’] </w:t>
      </w:r>
      <w:r w:rsidRPr="00E7771A">
        <w:rPr>
          <w:rFonts w:ascii="Cambria" w:hAnsi="Cambria"/>
          <w:color w:val="000000" w:themeColor="text1"/>
          <w:sz w:val="16"/>
          <w:szCs w:val="16"/>
          <w:lang w:val="es-US"/>
        </w:rPr>
        <w:t xml:space="preserve">Instituto de Prensa y Sociedad Venezuela. </w:t>
      </w:r>
      <w:r w:rsidR="008E393B"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28</w:t>
      </w:r>
      <w:r w:rsidR="008E393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85" w:history="1">
        <w:r w:rsidRPr="00E7771A">
          <w:rPr>
            <w:rStyle w:val="Hyperlink"/>
            <w:rFonts w:ascii="Cambria" w:hAnsi="Cambria"/>
            <w:color w:val="000000" w:themeColor="text1"/>
            <w:sz w:val="16"/>
            <w:szCs w:val="16"/>
            <w:lang w:val="es-US"/>
          </w:rPr>
          <w:t>Columnista y medio de comunicación de Carabobo demandados por difamación e injuria</w:t>
        </w:r>
      </w:hyperlink>
      <w:r w:rsidR="00F6363C" w:rsidRPr="00E7771A">
        <w:rPr>
          <w:rFonts w:ascii="Cambria" w:hAnsi="Cambria"/>
          <w:color w:val="000000" w:themeColor="text1"/>
          <w:sz w:val="16"/>
          <w:szCs w:val="16"/>
          <w:lang w:val="es-US"/>
        </w:rPr>
        <w:t xml:space="preserve"> [‘Columnist and media outlet of Carabobo sued for defamation and </w:t>
      </w:r>
      <w:r w:rsidR="00467E9D" w:rsidRPr="00E7771A">
        <w:rPr>
          <w:rFonts w:ascii="Cambria" w:hAnsi="Cambria"/>
          <w:color w:val="000000" w:themeColor="text1"/>
          <w:sz w:val="16"/>
          <w:szCs w:val="16"/>
          <w:lang w:val="es-US"/>
        </w:rPr>
        <w:t>slander’].</w:t>
      </w:r>
    </w:p>
  </w:footnote>
  <w:footnote w:id="153">
    <w:p w14:paraId="633B7053" w14:textId="41FCBFD2"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Nacional. </w:t>
      </w:r>
      <w:r w:rsidR="00467E9D" w:rsidRPr="00E7771A">
        <w:rPr>
          <w:rFonts w:ascii="Cambria" w:hAnsi="Cambria"/>
          <w:color w:val="000000" w:themeColor="text1"/>
          <w:sz w:val="16"/>
          <w:szCs w:val="16"/>
          <w:lang w:val="es-US"/>
        </w:rPr>
        <w:t xml:space="preserve">April </w:t>
      </w:r>
      <w:r w:rsidRPr="00E7771A">
        <w:rPr>
          <w:rFonts w:ascii="Cambria" w:hAnsi="Cambria"/>
          <w:color w:val="000000" w:themeColor="text1"/>
          <w:sz w:val="16"/>
          <w:szCs w:val="16"/>
          <w:lang w:val="es-US"/>
        </w:rPr>
        <w:t>1</w:t>
      </w:r>
      <w:r w:rsidR="00467E9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86" w:history="1">
        <w:r w:rsidRPr="00E7771A">
          <w:rPr>
            <w:rStyle w:val="Hyperlink"/>
            <w:rFonts w:ascii="Cambria" w:hAnsi="Cambria"/>
            <w:color w:val="000000" w:themeColor="text1"/>
            <w:sz w:val="16"/>
            <w:szCs w:val="16"/>
            <w:lang w:val="es-US"/>
          </w:rPr>
          <w:t>Milagros Mata Gil, escritora venezolana, denuncia su detención;</w:t>
        </w:r>
      </w:hyperlink>
      <w:r w:rsidRPr="00E7771A">
        <w:rPr>
          <w:rFonts w:ascii="Cambria" w:hAnsi="Cambria"/>
          <w:color w:val="000000" w:themeColor="text1"/>
          <w:sz w:val="16"/>
          <w:szCs w:val="16"/>
          <w:lang w:val="es-US"/>
        </w:rPr>
        <w:t>SwissInfo</w:t>
      </w:r>
      <w:r w:rsidR="000D77E5" w:rsidRPr="00E7771A">
        <w:rPr>
          <w:rFonts w:ascii="Cambria" w:hAnsi="Cambria"/>
          <w:color w:val="000000" w:themeColor="text1"/>
          <w:sz w:val="16"/>
          <w:szCs w:val="16"/>
          <w:lang w:val="es-US"/>
        </w:rPr>
        <w:t xml:space="preserve"> [‘Milagros Mata Gil, Venezuelan writer, denounces her detention.’]; April </w:t>
      </w:r>
      <w:r w:rsidRPr="00E7771A">
        <w:rPr>
          <w:rFonts w:ascii="Cambria" w:hAnsi="Cambria"/>
          <w:color w:val="000000" w:themeColor="text1"/>
          <w:sz w:val="16"/>
          <w:szCs w:val="16"/>
          <w:lang w:val="es-US"/>
        </w:rPr>
        <w:t>1</w:t>
      </w:r>
      <w:r w:rsidR="000D77E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87" w:history="1">
        <w:r w:rsidRPr="00E7771A">
          <w:rPr>
            <w:rStyle w:val="Hyperlink"/>
            <w:rFonts w:ascii="Cambria" w:hAnsi="Cambria"/>
            <w:color w:val="000000" w:themeColor="text1"/>
            <w:sz w:val="16"/>
            <w:szCs w:val="16"/>
            <w:lang w:val="es-US"/>
          </w:rPr>
          <w:t xml:space="preserve">Excarcelada la escritora venezolana Milagros Mata Gil y su marido, según ONG. </w:t>
        </w:r>
      </w:hyperlink>
      <w:r w:rsidR="00066CF9">
        <w:rPr>
          <w:rStyle w:val="Hyperlink"/>
          <w:rFonts w:ascii="Cambria" w:hAnsi="Cambria"/>
          <w:color w:val="000000" w:themeColor="text1"/>
          <w:sz w:val="16"/>
          <w:szCs w:val="16"/>
        </w:rPr>
        <w:t>[‘Venezuelan writer Milagros Mata Gil and her husband released from prison, according to NGO’].</w:t>
      </w:r>
    </w:p>
  </w:footnote>
  <w:footnote w:id="154">
    <w:p w14:paraId="7A5115DD" w14:textId="149CFAA6"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Carabobeño. </w:t>
      </w:r>
      <w:r w:rsidR="00FF6563"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17</w:t>
      </w:r>
      <w:r w:rsidR="00FF6563"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88" w:history="1">
        <w:r w:rsidRPr="00E7771A">
          <w:rPr>
            <w:rStyle w:val="Hyperlink"/>
            <w:rFonts w:ascii="Cambria" w:hAnsi="Cambria"/>
            <w:color w:val="000000" w:themeColor="text1"/>
            <w:sz w:val="16"/>
            <w:szCs w:val="16"/>
            <w:lang w:val="es-US"/>
          </w:rPr>
          <w:t xml:space="preserve">La escritora venezolana Milagros Mata Gil sufre atentado en Anzoátegui. </w:t>
        </w:r>
      </w:hyperlink>
      <w:r w:rsidR="00FF6563">
        <w:rPr>
          <w:rStyle w:val="Hyperlink"/>
          <w:rFonts w:ascii="Cambria" w:hAnsi="Cambria"/>
          <w:color w:val="000000" w:themeColor="text1"/>
          <w:sz w:val="16"/>
          <w:szCs w:val="16"/>
        </w:rPr>
        <w:t>[‘Attempt on the life of Venezuelan writer Milagros Mata Gil in Anzoátegui’]</w:t>
      </w:r>
      <w:r w:rsidR="00FF6563">
        <w:rPr>
          <w:rFonts w:ascii="Cambria" w:hAnsi="Cambria"/>
          <w:color w:val="000000" w:themeColor="text1"/>
          <w:sz w:val="16"/>
          <w:szCs w:val="16"/>
        </w:rPr>
        <w:t xml:space="preserve"> E</w:t>
      </w:r>
      <w:r w:rsidRPr="009035C0">
        <w:rPr>
          <w:rFonts w:ascii="Cambria" w:hAnsi="Cambria"/>
          <w:color w:val="000000" w:themeColor="text1"/>
          <w:sz w:val="16"/>
          <w:szCs w:val="16"/>
        </w:rPr>
        <w:t xml:space="preserve">l Nacional. </w:t>
      </w:r>
      <w:r w:rsidR="00FF6563"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17</w:t>
      </w:r>
      <w:r w:rsidR="00FF6563"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89" w:history="1">
        <w:r w:rsidRPr="00E7771A">
          <w:rPr>
            <w:rStyle w:val="Hyperlink"/>
            <w:rFonts w:ascii="Cambria" w:hAnsi="Cambria"/>
            <w:color w:val="000000" w:themeColor="text1"/>
            <w:sz w:val="16"/>
            <w:szCs w:val="16"/>
            <w:lang w:val="es-US"/>
          </w:rPr>
          <w:t xml:space="preserve">Milagros Mata-Gil denunció que fue atacada con un cuchillo.  </w:t>
        </w:r>
      </w:hyperlink>
      <w:r w:rsidR="00FF6563">
        <w:rPr>
          <w:rStyle w:val="Hyperlink"/>
          <w:rFonts w:ascii="Cambria" w:hAnsi="Cambria"/>
          <w:color w:val="000000" w:themeColor="text1"/>
          <w:sz w:val="16"/>
          <w:szCs w:val="16"/>
        </w:rPr>
        <w:t>[‘Milagros Mata-Gil reported that she was attacked with a knife].</w:t>
      </w:r>
    </w:p>
  </w:footnote>
  <w:footnote w:id="155">
    <w:p w14:paraId="13C0A6D7" w14:textId="355E1EB0"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Efecto Cocuyo. </w:t>
      </w:r>
      <w:r w:rsidR="00FF6563"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4</w:t>
      </w:r>
      <w:r w:rsidR="00FF6563"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90" w:history="1">
        <w:r w:rsidRPr="00E7771A">
          <w:rPr>
            <w:rStyle w:val="Hyperlink"/>
            <w:rFonts w:ascii="Cambria" w:hAnsi="Cambria"/>
            <w:color w:val="000000" w:themeColor="text1"/>
            <w:sz w:val="16"/>
            <w:szCs w:val="16"/>
            <w:lang w:val="es-US"/>
          </w:rPr>
          <w:t xml:space="preserve">Denuncian detención del escritor Rafael Rattia por escribir un artículo </w:t>
        </w:r>
      </w:hyperlink>
      <w:r w:rsidR="00FF6563" w:rsidRPr="00E7771A">
        <w:rPr>
          <w:rFonts w:ascii="Cambria" w:hAnsi="Cambria"/>
          <w:color w:val="000000" w:themeColor="text1"/>
          <w:sz w:val="16"/>
          <w:szCs w:val="16"/>
          <w:lang w:val="es-US"/>
        </w:rPr>
        <w:t>[‘</w:t>
      </w:r>
      <w:r w:rsidR="003253FC" w:rsidRPr="00E7771A">
        <w:rPr>
          <w:rFonts w:ascii="Cambria" w:hAnsi="Cambria"/>
          <w:color w:val="000000" w:themeColor="text1"/>
          <w:sz w:val="16"/>
          <w:szCs w:val="16"/>
          <w:lang w:val="es-US"/>
        </w:rPr>
        <w:t>W</w:t>
      </w:r>
      <w:r w:rsidR="00FF6563" w:rsidRPr="00E7771A">
        <w:rPr>
          <w:rFonts w:ascii="Cambria" w:hAnsi="Cambria"/>
          <w:color w:val="000000" w:themeColor="text1"/>
          <w:sz w:val="16"/>
          <w:szCs w:val="16"/>
          <w:lang w:val="es-US"/>
        </w:rPr>
        <w:t>riter Rafael Rattia detained for writing an article</w:t>
      </w:r>
      <w:r w:rsidR="003F2170" w:rsidRPr="00E7771A">
        <w:rPr>
          <w:rFonts w:ascii="Cambria" w:hAnsi="Cambria"/>
          <w:color w:val="000000" w:themeColor="text1"/>
          <w:sz w:val="16"/>
          <w:szCs w:val="16"/>
          <w:lang w:val="es-US"/>
        </w:rPr>
        <w:t>’</w:t>
      </w:r>
      <w:r w:rsidR="00FF6563" w:rsidRPr="00E7771A">
        <w:rPr>
          <w:rFonts w:ascii="Cambria" w:hAnsi="Cambria"/>
          <w:color w:val="000000" w:themeColor="text1"/>
          <w:sz w:val="16"/>
          <w:szCs w:val="16"/>
          <w:lang w:val="es-US"/>
        </w:rPr>
        <w:t xml:space="preserve">] </w:t>
      </w:r>
      <w:r w:rsidRPr="00E7771A">
        <w:rPr>
          <w:rFonts w:ascii="Cambria" w:hAnsi="Cambria"/>
          <w:color w:val="000000" w:themeColor="text1"/>
          <w:sz w:val="16"/>
          <w:szCs w:val="16"/>
          <w:lang w:val="es-US"/>
        </w:rPr>
        <w:t xml:space="preserve">El Pitazo. </w:t>
      </w:r>
      <w:r w:rsidR="00FF6563"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6</w:t>
      </w:r>
      <w:r w:rsidR="00FF6563"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91" w:history="1">
        <w:r w:rsidRPr="00E7771A">
          <w:rPr>
            <w:rStyle w:val="Hyperlink"/>
            <w:rFonts w:ascii="Cambria" w:hAnsi="Cambria"/>
            <w:color w:val="000000" w:themeColor="text1"/>
            <w:sz w:val="16"/>
            <w:szCs w:val="16"/>
            <w:lang w:val="es-US"/>
          </w:rPr>
          <w:t xml:space="preserve">Escritor Rafael Rattia fue imputado por instigación al odio en Maturín. </w:t>
        </w:r>
      </w:hyperlink>
      <w:r w:rsidR="00A96AEB">
        <w:rPr>
          <w:rStyle w:val="Hyperlink"/>
          <w:rFonts w:ascii="Cambria" w:hAnsi="Cambria"/>
          <w:color w:val="000000" w:themeColor="text1"/>
          <w:sz w:val="16"/>
          <w:szCs w:val="16"/>
        </w:rPr>
        <w:t>[‘Writer Rafael Rattia was charged with incitement to hatred in Maturín’].</w:t>
      </w:r>
    </w:p>
  </w:footnote>
  <w:footnote w:id="156">
    <w:p w14:paraId="60CD3AC7" w14:textId="75C47D04"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Carabobeño. </w:t>
      </w:r>
      <w:r w:rsidR="00A96AEB" w:rsidRPr="00E7771A">
        <w:rPr>
          <w:rFonts w:ascii="Cambria" w:hAnsi="Cambria"/>
          <w:color w:val="000000" w:themeColor="text1"/>
          <w:sz w:val="16"/>
          <w:szCs w:val="16"/>
          <w:lang w:val="es-US"/>
        </w:rPr>
        <w:t xml:space="preserve">August </w:t>
      </w:r>
      <w:r w:rsidRPr="00E7771A">
        <w:rPr>
          <w:rFonts w:ascii="Cambria" w:hAnsi="Cambria"/>
          <w:color w:val="000000" w:themeColor="text1"/>
          <w:sz w:val="16"/>
          <w:szCs w:val="16"/>
          <w:lang w:val="es-US"/>
        </w:rPr>
        <w:t>5</w:t>
      </w:r>
      <w:r w:rsidR="00A96AE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92" w:history="1">
        <w:r w:rsidRPr="00E7771A">
          <w:rPr>
            <w:rStyle w:val="Hyperlink"/>
            <w:rFonts w:ascii="Cambria" w:hAnsi="Cambria"/>
            <w:color w:val="000000" w:themeColor="text1"/>
            <w:sz w:val="16"/>
            <w:szCs w:val="16"/>
            <w:lang w:val="es-US"/>
          </w:rPr>
          <w:t>Tribunal del Táchira emitió orden de detención contra el periodista Obeysser Prada;</w:t>
        </w:r>
      </w:hyperlink>
      <w:r w:rsidR="00685CE0" w:rsidRPr="00E7771A">
        <w:rPr>
          <w:rFonts w:ascii="Cambria" w:hAnsi="Cambria"/>
          <w:color w:val="000000" w:themeColor="text1"/>
          <w:sz w:val="16"/>
          <w:szCs w:val="16"/>
          <w:lang w:val="es-US"/>
        </w:rPr>
        <w:t xml:space="preserve">[‘Tachira Court issues arrest warrant for journalist Obeysser Prada’]; </w:t>
      </w:r>
      <w:r w:rsidRPr="00E7771A">
        <w:rPr>
          <w:rFonts w:ascii="Cambria" w:hAnsi="Cambria"/>
          <w:color w:val="000000" w:themeColor="text1"/>
          <w:sz w:val="16"/>
          <w:szCs w:val="16"/>
          <w:lang w:val="es-US"/>
        </w:rPr>
        <w:t xml:space="preserve">Radio Fe y Alegria. </w:t>
      </w:r>
      <w:r w:rsidR="00685CE0" w:rsidRPr="00E7771A">
        <w:rPr>
          <w:rFonts w:ascii="Cambria" w:hAnsi="Cambria"/>
          <w:color w:val="000000" w:themeColor="text1"/>
          <w:sz w:val="16"/>
          <w:szCs w:val="16"/>
          <w:lang w:val="es-US"/>
        </w:rPr>
        <w:t xml:space="preserve">August </w:t>
      </w:r>
      <w:r w:rsidRPr="00E7771A">
        <w:rPr>
          <w:rFonts w:ascii="Cambria" w:hAnsi="Cambria"/>
          <w:color w:val="000000" w:themeColor="text1"/>
          <w:sz w:val="16"/>
          <w:szCs w:val="16"/>
          <w:lang w:val="es-US"/>
        </w:rPr>
        <w:t>7</w:t>
      </w:r>
      <w:r w:rsidR="00685CE0"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93" w:history="1">
        <w:r w:rsidRPr="00E7771A">
          <w:rPr>
            <w:rStyle w:val="Hyperlink"/>
            <w:rFonts w:ascii="Cambria" w:hAnsi="Cambria"/>
            <w:color w:val="000000" w:themeColor="text1"/>
            <w:sz w:val="16"/>
            <w:szCs w:val="16"/>
            <w:lang w:val="es-US"/>
          </w:rPr>
          <w:t>Tribunal Penal del Táchira emite orden de detención contra el periodista Obeysser Prada - Radio Fe y Alegría Noticias</w:t>
        </w:r>
      </w:hyperlink>
      <w:r w:rsidRPr="00E7771A">
        <w:rPr>
          <w:rFonts w:ascii="Cambria" w:hAnsi="Cambria"/>
          <w:color w:val="000000" w:themeColor="text1"/>
          <w:sz w:val="16"/>
          <w:szCs w:val="16"/>
          <w:lang w:val="es-US"/>
        </w:rPr>
        <w:t xml:space="preserve">. </w:t>
      </w:r>
      <w:r w:rsidR="00685CE0">
        <w:rPr>
          <w:rFonts w:ascii="Cambria" w:hAnsi="Cambria"/>
          <w:color w:val="000000" w:themeColor="text1"/>
          <w:sz w:val="16"/>
          <w:szCs w:val="16"/>
        </w:rPr>
        <w:t>[‘Criminal Court of Tachira issues arrest warrant for journalist Obeysser Prada’]</w:t>
      </w:r>
      <w:r w:rsidRPr="009035C0">
        <w:rPr>
          <w:rFonts w:ascii="Cambria" w:hAnsi="Cambria"/>
          <w:color w:val="000000" w:themeColor="text1"/>
          <w:sz w:val="16"/>
          <w:szCs w:val="16"/>
        </w:rPr>
        <w:t xml:space="preserve"> </w:t>
      </w:r>
    </w:p>
  </w:footnote>
  <w:footnote w:id="157">
    <w:p w14:paraId="3C54D8BB" w14:textId="788A4277"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Instituto Prensa y Sociedad Venezuela. </w:t>
      </w:r>
      <w:r w:rsidR="00685CE0"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28</w:t>
      </w:r>
      <w:r w:rsidR="00685CE0"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94" w:history="1">
        <w:r w:rsidRPr="00E7771A">
          <w:rPr>
            <w:rStyle w:val="Hyperlink"/>
            <w:rFonts w:ascii="Cambria" w:hAnsi="Cambria"/>
            <w:color w:val="000000" w:themeColor="text1"/>
            <w:sz w:val="16"/>
            <w:szCs w:val="16"/>
            <w:lang w:val="es-US"/>
          </w:rPr>
          <w:t xml:space="preserve">Periodista Obeysser Prada denunció ser víctima de una investigación judicial en Táchira. </w:t>
        </w:r>
      </w:hyperlink>
      <w:r w:rsidR="00685CE0">
        <w:rPr>
          <w:rStyle w:val="Hyperlink"/>
          <w:rFonts w:ascii="Cambria" w:hAnsi="Cambria"/>
          <w:color w:val="000000" w:themeColor="text1"/>
          <w:sz w:val="16"/>
          <w:szCs w:val="16"/>
        </w:rPr>
        <w:t>[‘Journalist Obeysser Prada decried being victim of a judicial investigation in Tachira’]</w:t>
      </w:r>
    </w:p>
  </w:footnote>
  <w:footnote w:id="158">
    <w:p w14:paraId="1E0B621D" w14:textId="350240D6"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Archiv</w:t>
      </w:r>
      <w:r w:rsidR="00685CE0">
        <w:rPr>
          <w:rFonts w:ascii="Cambria" w:hAnsi="Cambria"/>
          <w:color w:val="000000" w:themeColor="text1"/>
          <w:sz w:val="16"/>
          <w:szCs w:val="16"/>
        </w:rPr>
        <w:t>e of the Office of the Special Rapporteur</w:t>
      </w:r>
      <w:r w:rsidRPr="009035C0">
        <w:rPr>
          <w:rFonts w:ascii="Cambria" w:hAnsi="Cambria"/>
          <w:color w:val="000000" w:themeColor="text1"/>
          <w:sz w:val="16"/>
          <w:szCs w:val="16"/>
        </w:rPr>
        <w:t xml:space="preserve">. </w:t>
      </w:r>
      <w:r w:rsidR="00685CE0">
        <w:rPr>
          <w:rFonts w:ascii="Cambria" w:hAnsi="Cambria"/>
          <w:color w:val="000000" w:themeColor="text1"/>
          <w:sz w:val="16"/>
          <w:szCs w:val="16"/>
        </w:rPr>
        <w:t xml:space="preserve">Report of the Case of </w:t>
      </w:r>
      <w:r w:rsidRPr="009035C0">
        <w:rPr>
          <w:rFonts w:ascii="Cambria" w:hAnsi="Cambria"/>
          <w:color w:val="000000" w:themeColor="text1"/>
          <w:sz w:val="16"/>
          <w:szCs w:val="16"/>
        </w:rPr>
        <w:t xml:space="preserve">Kurda Konducta.  </w:t>
      </w:r>
      <w:r w:rsidR="00685CE0">
        <w:rPr>
          <w:rFonts w:ascii="Cambria" w:hAnsi="Cambria"/>
          <w:color w:val="000000" w:themeColor="text1"/>
          <w:sz w:val="16"/>
          <w:szCs w:val="16"/>
        </w:rPr>
        <w:t xml:space="preserve">October </w:t>
      </w:r>
      <w:r w:rsidRPr="009035C0">
        <w:rPr>
          <w:rFonts w:ascii="Cambria" w:hAnsi="Cambria"/>
          <w:color w:val="000000" w:themeColor="text1"/>
          <w:sz w:val="16"/>
          <w:szCs w:val="16"/>
        </w:rPr>
        <w:t>23</w:t>
      </w:r>
      <w:r w:rsidR="00685CE0">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159">
    <w:p w14:paraId="35BFC6C1" w14:textId="4075EA96"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El País. </w:t>
      </w:r>
      <w:r w:rsidR="00A54BA2">
        <w:rPr>
          <w:rFonts w:ascii="Cambria" w:hAnsi="Cambria"/>
          <w:color w:val="000000" w:themeColor="text1"/>
          <w:sz w:val="16"/>
          <w:szCs w:val="16"/>
        </w:rPr>
        <w:t xml:space="preserve">October </w:t>
      </w:r>
      <w:r w:rsidRPr="009035C0">
        <w:rPr>
          <w:rFonts w:ascii="Cambria" w:hAnsi="Cambria"/>
          <w:color w:val="000000" w:themeColor="text1"/>
          <w:sz w:val="16"/>
          <w:szCs w:val="16"/>
        </w:rPr>
        <w:t>13</w:t>
      </w:r>
      <w:r w:rsidR="00A54BA2">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95" w:history="1">
        <w:r w:rsidRPr="009035C0">
          <w:rPr>
            <w:rStyle w:val="Hyperlink"/>
            <w:rFonts w:ascii="Cambria" w:hAnsi="Cambria"/>
            <w:color w:val="000000" w:themeColor="text1"/>
            <w:sz w:val="16"/>
            <w:szCs w:val="16"/>
          </w:rPr>
          <w:t>La Fiscalía chavista intensifica sus ataques al periodismo y arremete contra el reportero que destapó los negocios de Alex Saab, presunto testaferro de Maduro | Internacional;</w:t>
        </w:r>
      </w:hyperlink>
      <w:r w:rsidR="00040888">
        <w:rPr>
          <w:rFonts w:ascii="Cambria" w:hAnsi="Cambria"/>
          <w:color w:val="000000" w:themeColor="text1"/>
          <w:sz w:val="16"/>
          <w:szCs w:val="16"/>
        </w:rPr>
        <w:t xml:space="preserve">[‘The Pro-Chavez Prosecutor’s Office steps up its attacks on journalism and lashes out against </w:t>
      </w:r>
      <w:r w:rsidR="00E07C6D">
        <w:rPr>
          <w:rFonts w:ascii="Cambria" w:hAnsi="Cambria"/>
          <w:color w:val="000000" w:themeColor="text1"/>
          <w:sz w:val="16"/>
          <w:szCs w:val="16"/>
        </w:rPr>
        <w:t xml:space="preserve">the reporter who uncovered the business deals of Alex Saab, alleged straw man of Maduro’]; </w:t>
      </w:r>
      <w:r w:rsidRPr="009035C0">
        <w:rPr>
          <w:rFonts w:ascii="Cambria" w:hAnsi="Cambria"/>
          <w:color w:val="000000" w:themeColor="text1"/>
          <w:sz w:val="16"/>
          <w:szCs w:val="16"/>
        </w:rPr>
        <w:t xml:space="preserve">El Pitazo. </w:t>
      </w:r>
      <w:r w:rsidR="00E07C6D">
        <w:rPr>
          <w:rFonts w:ascii="Cambria" w:hAnsi="Cambria"/>
          <w:color w:val="000000" w:themeColor="text1"/>
          <w:sz w:val="16"/>
          <w:szCs w:val="16"/>
        </w:rPr>
        <w:t xml:space="preserve">October </w:t>
      </w:r>
      <w:r w:rsidRPr="009035C0">
        <w:rPr>
          <w:rFonts w:ascii="Cambria" w:hAnsi="Cambria"/>
          <w:color w:val="000000" w:themeColor="text1"/>
          <w:sz w:val="16"/>
          <w:szCs w:val="16"/>
        </w:rPr>
        <w:t>12</w:t>
      </w:r>
      <w:r w:rsidR="00E07C6D">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96" w:history="1">
        <w:r w:rsidRPr="009035C0">
          <w:rPr>
            <w:rStyle w:val="Hyperlink"/>
            <w:rFonts w:ascii="Cambria" w:hAnsi="Cambria"/>
            <w:color w:val="000000" w:themeColor="text1"/>
            <w:sz w:val="16"/>
            <w:szCs w:val="16"/>
          </w:rPr>
          <w:t>Periodista Roberto Deniz denuncia que seguidores de Saab le montan expediente con acusaciones falsas</w:t>
        </w:r>
      </w:hyperlink>
      <w:r w:rsidRPr="009035C0">
        <w:rPr>
          <w:rFonts w:ascii="Cambria" w:hAnsi="Cambria"/>
          <w:color w:val="000000" w:themeColor="text1"/>
          <w:sz w:val="16"/>
          <w:szCs w:val="16"/>
        </w:rPr>
        <w:t>.</w:t>
      </w:r>
      <w:r w:rsidR="00736220">
        <w:rPr>
          <w:rFonts w:ascii="Cambria" w:hAnsi="Cambria"/>
          <w:color w:val="000000" w:themeColor="text1"/>
          <w:sz w:val="16"/>
          <w:szCs w:val="16"/>
        </w:rPr>
        <w:t>[‘Journalist Roberto Deniz denounces that Saab’s followers framed him with false accusations’].</w:t>
      </w:r>
    </w:p>
  </w:footnote>
  <w:footnote w:id="160">
    <w:p w14:paraId="1938BA40" w14:textId="44DC8E7B"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736220">
        <w:rPr>
          <w:rFonts w:ascii="Cambria" w:hAnsi="Cambria"/>
          <w:color w:val="000000" w:themeColor="text1"/>
          <w:sz w:val="16"/>
          <w:szCs w:val="16"/>
        </w:rPr>
        <w:t xml:space="preserve">Twitter account of </w:t>
      </w:r>
      <w:r w:rsidRPr="009035C0">
        <w:rPr>
          <w:rFonts w:ascii="Cambria" w:hAnsi="Cambria"/>
          <w:color w:val="000000" w:themeColor="text1"/>
          <w:sz w:val="16"/>
          <w:szCs w:val="16"/>
        </w:rPr>
        <w:t xml:space="preserve">Roberto Deniz (@robertodeniz). </w:t>
      </w:r>
      <w:hyperlink r:id="rId97" w:history="1">
        <w:r w:rsidRPr="00E7771A">
          <w:rPr>
            <w:rStyle w:val="Hyperlink"/>
            <w:rFonts w:ascii="Cambria" w:hAnsi="Cambria"/>
            <w:color w:val="000000" w:themeColor="text1"/>
            <w:sz w:val="16"/>
            <w:szCs w:val="16"/>
            <w:lang w:val="es-US"/>
          </w:rPr>
          <w:t>13 de octubre de 2021</w:t>
        </w:r>
      </w:hyperlink>
      <w:r w:rsidRPr="00E7771A">
        <w:rPr>
          <w:rFonts w:ascii="Cambria" w:hAnsi="Cambria"/>
          <w:color w:val="000000" w:themeColor="text1"/>
          <w:sz w:val="16"/>
          <w:szCs w:val="16"/>
          <w:lang w:val="es-US"/>
        </w:rPr>
        <w:t xml:space="preserve">; </w:t>
      </w:r>
      <w:r w:rsidR="00736220" w:rsidRPr="00E7771A">
        <w:rPr>
          <w:rFonts w:ascii="Cambria" w:hAnsi="Cambria"/>
          <w:color w:val="000000" w:themeColor="text1"/>
          <w:sz w:val="16"/>
          <w:szCs w:val="16"/>
          <w:lang w:val="es-US"/>
        </w:rPr>
        <w:t xml:space="preserve">Twitter account of </w:t>
      </w:r>
      <w:r w:rsidRPr="00E7771A">
        <w:rPr>
          <w:rFonts w:ascii="Cambria" w:hAnsi="Cambria"/>
          <w:color w:val="000000" w:themeColor="text1"/>
          <w:sz w:val="16"/>
          <w:szCs w:val="16"/>
          <w:lang w:val="es-US"/>
        </w:rPr>
        <w:t xml:space="preserve">CPJ Américas. </w:t>
      </w:r>
      <w:hyperlink r:id="rId98" w:history="1">
        <w:r w:rsidRPr="00E7771A">
          <w:rPr>
            <w:rStyle w:val="Hyperlink"/>
            <w:rFonts w:ascii="Cambria" w:hAnsi="Cambria"/>
            <w:color w:val="000000" w:themeColor="text1"/>
            <w:sz w:val="16"/>
            <w:szCs w:val="16"/>
            <w:lang w:val="es-US"/>
          </w:rPr>
          <w:t>14 de Octubre de 2021</w:t>
        </w:r>
      </w:hyperlink>
      <w:r w:rsidRPr="00E7771A">
        <w:rPr>
          <w:rFonts w:ascii="Cambria" w:hAnsi="Cambria"/>
          <w:color w:val="000000" w:themeColor="text1"/>
          <w:sz w:val="16"/>
          <w:szCs w:val="16"/>
          <w:lang w:val="es-US"/>
        </w:rPr>
        <w:t xml:space="preserve">; FLIP. </w:t>
      </w:r>
      <w:r w:rsidR="00736220"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14</w:t>
      </w:r>
      <w:r w:rsidR="00736220"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99" w:history="1">
        <w:r w:rsidRPr="00E7771A">
          <w:rPr>
            <w:rStyle w:val="Hyperlink"/>
            <w:rFonts w:ascii="Cambria" w:hAnsi="Cambria"/>
            <w:color w:val="000000" w:themeColor="text1"/>
            <w:sz w:val="16"/>
            <w:szCs w:val="16"/>
            <w:lang w:val="es-US"/>
          </w:rPr>
          <w:t>Autoridades venezolanas orquestan montaje judicial en contra del periodista Roberto Deniz</w:t>
        </w:r>
      </w:hyperlink>
      <w:r w:rsidRPr="00E7771A">
        <w:rPr>
          <w:rFonts w:ascii="Cambria" w:hAnsi="Cambria"/>
          <w:color w:val="000000" w:themeColor="text1"/>
          <w:sz w:val="16"/>
          <w:szCs w:val="16"/>
          <w:lang w:val="es-US"/>
        </w:rPr>
        <w:t xml:space="preserve">. </w:t>
      </w:r>
      <w:r w:rsidR="00736220">
        <w:rPr>
          <w:rFonts w:ascii="Cambria" w:hAnsi="Cambria"/>
          <w:color w:val="000000" w:themeColor="text1"/>
          <w:sz w:val="16"/>
          <w:szCs w:val="16"/>
        </w:rPr>
        <w:t>[‘Venezuelan authorities orchestrate sham trial against journalist Roberto Deniz’].</w:t>
      </w:r>
    </w:p>
  </w:footnote>
  <w:footnote w:id="161">
    <w:p w14:paraId="304DDE73" w14:textId="61A0EB28"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D9389D">
        <w:rPr>
          <w:rFonts w:ascii="Cambria" w:hAnsi="Cambria"/>
          <w:color w:val="000000" w:themeColor="text1"/>
          <w:sz w:val="16"/>
          <w:szCs w:val="16"/>
        </w:rPr>
        <w:t>Bolivarian Republic of Venezuela</w:t>
      </w:r>
      <w:r w:rsidRPr="009035C0">
        <w:rPr>
          <w:rFonts w:ascii="Cambria" w:hAnsi="Cambria"/>
          <w:color w:val="000000" w:themeColor="text1"/>
          <w:sz w:val="16"/>
          <w:szCs w:val="16"/>
        </w:rPr>
        <w:t xml:space="preserve">. </w:t>
      </w:r>
      <w:r w:rsidR="00D9389D">
        <w:rPr>
          <w:rFonts w:ascii="Cambria" w:hAnsi="Cambria"/>
          <w:color w:val="000000" w:themeColor="text1"/>
          <w:sz w:val="16"/>
          <w:szCs w:val="16"/>
        </w:rPr>
        <w:t xml:space="preserve">October </w:t>
      </w:r>
      <w:r w:rsidRPr="009035C0">
        <w:rPr>
          <w:rFonts w:ascii="Cambria" w:hAnsi="Cambria"/>
          <w:color w:val="000000" w:themeColor="text1"/>
          <w:sz w:val="16"/>
          <w:szCs w:val="16"/>
        </w:rPr>
        <w:t>14</w:t>
      </w:r>
      <w:r w:rsidR="00D9389D">
        <w:rPr>
          <w:rFonts w:ascii="Cambria" w:hAnsi="Cambria"/>
          <w:color w:val="000000" w:themeColor="text1"/>
          <w:sz w:val="16"/>
          <w:szCs w:val="16"/>
        </w:rPr>
        <w:t>,</w:t>
      </w:r>
      <w:r w:rsidRPr="009035C0">
        <w:rPr>
          <w:rFonts w:ascii="Cambria" w:hAnsi="Cambria"/>
          <w:color w:val="000000" w:themeColor="text1"/>
          <w:sz w:val="16"/>
          <w:szCs w:val="16"/>
        </w:rPr>
        <w:t xml:space="preserve"> 2021. O</w:t>
      </w:r>
      <w:r w:rsidR="00D9389D">
        <w:rPr>
          <w:rFonts w:ascii="Cambria" w:hAnsi="Cambria"/>
          <w:color w:val="000000" w:themeColor="text1"/>
          <w:sz w:val="16"/>
          <w:szCs w:val="16"/>
        </w:rPr>
        <w:t xml:space="preserve">fficial letters </w:t>
      </w:r>
      <w:hyperlink r:id="rId100" w:history="1">
        <w:r w:rsidRPr="009035C0">
          <w:rPr>
            <w:rStyle w:val="Hyperlink"/>
            <w:rFonts w:ascii="Cambria" w:hAnsi="Cambria"/>
            <w:color w:val="000000" w:themeColor="text1"/>
            <w:sz w:val="16"/>
            <w:szCs w:val="16"/>
          </w:rPr>
          <w:t>301-21</w:t>
        </w:r>
      </w:hyperlink>
      <w:r w:rsidRPr="009035C0">
        <w:rPr>
          <w:rFonts w:ascii="Cambria" w:hAnsi="Cambria"/>
          <w:color w:val="000000" w:themeColor="text1"/>
          <w:sz w:val="16"/>
          <w:szCs w:val="16"/>
        </w:rPr>
        <w:t xml:space="preserve"> y </w:t>
      </w:r>
      <w:hyperlink r:id="rId101" w:history="1">
        <w:r w:rsidRPr="009035C0">
          <w:rPr>
            <w:rStyle w:val="Hyperlink"/>
            <w:rFonts w:ascii="Cambria" w:hAnsi="Cambria"/>
            <w:color w:val="000000" w:themeColor="text1"/>
            <w:sz w:val="16"/>
            <w:szCs w:val="16"/>
          </w:rPr>
          <w:t>304-21</w:t>
        </w:r>
      </w:hyperlink>
      <w:r w:rsidRPr="009035C0">
        <w:rPr>
          <w:rFonts w:ascii="Cambria" w:hAnsi="Cambria"/>
          <w:color w:val="000000" w:themeColor="text1"/>
          <w:sz w:val="16"/>
          <w:szCs w:val="16"/>
        </w:rPr>
        <w:t xml:space="preserve">. </w:t>
      </w:r>
      <w:r w:rsidR="00D9389D">
        <w:rPr>
          <w:rFonts w:ascii="Cambria" w:hAnsi="Cambria"/>
          <w:color w:val="000000" w:themeColor="text1"/>
          <w:sz w:val="16"/>
          <w:szCs w:val="16"/>
        </w:rPr>
        <w:t>Criminal Judicial Circuit of the Judicial District of the Metropolitan Area of Caracas Trial Court for Preliminary Matters on Duty No. 32.</w:t>
      </w:r>
      <w:r w:rsidRPr="009035C0">
        <w:rPr>
          <w:rFonts w:ascii="Cambria" w:hAnsi="Cambria"/>
          <w:color w:val="000000" w:themeColor="text1"/>
          <w:sz w:val="16"/>
          <w:szCs w:val="16"/>
        </w:rPr>
        <w:t xml:space="preserve">. </w:t>
      </w:r>
    </w:p>
  </w:footnote>
  <w:footnote w:id="162">
    <w:p w14:paraId="365BBA45" w14:textId="25DE7733"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CNN Español. </w:t>
      </w:r>
      <w:r w:rsidR="00D9389D">
        <w:rPr>
          <w:rFonts w:ascii="Cambria" w:hAnsi="Cambria"/>
          <w:color w:val="000000" w:themeColor="text1"/>
          <w:sz w:val="16"/>
          <w:szCs w:val="16"/>
        </w:rPr>
        <w:t xml:space="preserve">October </w:t>
      </w:r>
      <w:r w:rsidRPr="009035C0">
        <w:rPr>
          <w:rFonts w:ascii="Cambria" w:hAnsi="Cambria"/>
          <w:color w:val="000000" w:themeColor="text1"/>
          <w:sz w:val="16"/>
          <w:szCs w:val="16"/>
        </w:rPr>
        <w:t>15</w:t>
      </w:r>
      <w:r w:rsidR="00D9389D">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02" w:history="1">
        <w:r w:rsidRPr="009035C0">
          <w:rPr>
            <w:rStyle w:val="Hyperlink"/>
            <w:rFonts w:ascii="Cambria" w:hAnsi="Cambria"/>
            <w:color w:val="000000" w:themeColor="text1"/>
            <w:sz w:val="16"/>
            <w:szCs w:val="16"/>
          </w:rPr>
          <w:t>Denuncian allanamiento en casa de familiares del periodista venezolano Roberto Deniz</w:t>
        </w:r>
      </w:hyperlink>
      <w:r w:rsidRPr="009035C0">
        <w:rPr>
          <w:rFonts w:ascii="Cambria" w:hAnsi="Cambria"/>
          <w:color w:val="000000" w:themeColor="text1"/>
          <w:sz w:val="16"/>
          <w:szCs w:val="16"/>
        </w:rPr>
        <w:t xml:space="preserve">; </w:t>
      </w:r>
      <w:r w:rsidR="00F15DDC">
        <w:rPr>
          <w:rFonts w:ascii="Cambria" w:hAnsi="Cambria"/>
          <w:color w:val="000000" w:themeColor="text1"/>
          <w:sz w:val="16"/>
          <w:szCs w:val="16"/>
        </w:rPr>
        <w:t xml:space="preserve">[‘Raid on the house of family members of Venezuelan journalist Roberto Deniz denounced’]; </w:t>
      </w:r>
      <w:r w:rsidRPr="009035C0">
        <w:rPr>
          <w:rFonts w:ascii="Cambria" w:hAnsi="Cambria"/>
          <w:color w:val="000000" w:themeColor="text1"/>
          <w:sz w:val="16"/>
          <w:szCs w:val="16"/>
        </w:rPr>
        <w:t xml:space="preserve">Committee to Protect Journalists. </w:t>
      </w:r>
      <w:r w:rsidR="00F15DDC"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20</w:t>
      </w:r>
      <w:r w:rsidR="00F15DD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03" w:history="1">
        <w:r w:rsidRPr="00E7771A">
          <w:rPr>
            <w:rStyle w:val="Hyperlink"/>
            <w:rFonts w:ascii="Cambria" w:hAnsi="Cambria"/>
            <w:color w:val="000000" w:themeColor="text1"/>
            <w:sz w:val="16"/>
            <w:szCs w:val="16"/>
            <w:lang w:val="es-US"/>
          </w:rPr>
          <w:t xml:space="preserve">Las autoridades venezolanas dictan orden de arresto contra el periodista Roberto Deniz y allanan la casa de su familia. </w:t>
        </w:r>
      </w:hyperlink>
      <w:r w:rsidR="00290BBA">
        <w:rPr>
          <w:rStyle w:val="Hyperlink"/>
          <w:rFonts w:ascii="Cambria" w:hAnsi="Cambria"/>
          <w:color w:val="000000" w:themeColor="text1"/>
          <w:sz w:val="16"/>
          <w:szCs w:val="16"/>
        </w:rPr>
        <w:t>[‘Venezuelan authorities issue arrest warrant for Roberto Deniz and raid his family’s residence’]</w:t>
      </w:r>
    </w:p>
  </w:footnote>
  <w:footnote w:id="163">
    <w:p w14:paraId="7805B065" w14:textId="59220FFA"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533BC0">
        <w:rPr>
          <w:rFonts w:ascii="Cambria" w:hAnsi="Cambria"/>
          <w:color w:val="000000" w:themeColor="text1"/>
          <w:sz w:val="16"/>
          <w:szCs w:val="16"/>
        </w:rPr>
        <w:t xml:space="preserve">Twitter account of the National Press Workers’ Union </w:t>
      </w:r>
      <w:r w:rsidRPr="009035C0">
        <w:rPr>
          <w:rFonts w:ascii="Cambria" w:hAnsi="Cambria"/>
          <w:color w:val="000000" w:themeColor="text1"/>
          <w:sz w:val="16"/>
          <w:szCs w:val="16"/>
        </w:rPr>
        <w:t xml:space="preserve">(@sntpvenezuela). </w:t>
      </w:r>
      <w:hyperlink r:id="rId104" w:history="1">
        <w:r w:rsidRPr="00E7771A">
          <w:rPr>
            <w:rStyle w:val="Hyperlink"/>
            <w:rFonts w:ascii="Cambria" w:hAnsi="Cambria"/>
            <w:color w:val="000000" w:themeColor="text1"/>
            <w:sz w:val="16"/>
            <w:szCs w:val="16"/>
            <w:lang w:val="es-US"/>
          </w:rPr>
          <w:t>20 de septiembre de 2021</w:t>
        </w:r>
      </w:hyperlink>
      <w:r w:rsidRPr="00E7771A">
        <w:rPr>
          <w:rFonts w:ascii="Cambria" w:hAnsi="Cambria"/>
          <w:color w:val="000000" w:themeColor="text1"/>
          <w:sz w:val="16"/>
          <w:szCs w:val="16"/>
          <w:lang w:val="es-US"/>
        </w:rPr>
        <w:t xml:space="preserve">; </w:t>
      </w:r>
      <w:r w:rsidR="00533BC0" w:rsidRPr="00E7771A">
        <w:rPr>
          <w:rFonts w:ascii="Cambria" w:hAnsi="Cambria"/>
          <w:color w:val="000000" w:themeColor="text1"/>
          <w:sz w:val="16"/>
          <w:szCs w:val="16"/>
          <w:lang w:val="es-US"/>
        </w:rPr>
        <w:t xml:space="preserve">Twitter account of the </w:t>
      </w:r>
      <w:r w:rsidRPr="00E7771A">
        <w:rPr>
          <w:rFonts w:ascii="Cambria" w:hAnsi="Cambria"/>
          <w:color w:val="000000" w:themeColor="text1"/>
          <w:sz w:val="16"/>
          <w:szCs w:val="16"/>
          <w:lang w:val="es-US"/>
        </w:rPr>
        <w:t xml:space="preserve">Instituto de Prensa y Sociedad Venezuela (@ipysvenezuela). </w:t>
      </w:r>
      <w:hyperlink r:id="rId105" w:history="1">
        <w:r w:rsidRPr="009035C0">
          <w:rPr>
            <w:rStyle w:val="Hyperlink"/>
            <w:rFonts w:ascii="Cambria" w:hAnsi="Cambria"/>
            <w:color w:val="000000" w:themeColor="text1"/>
            <w:sz w:val="16"/>
            <w:szCs w:val="16"/>
          </w:rPr>
          <w:t>21 de septiembre de 2021</w:t>
        </w:r>
      </w:hyperlink>
      <w:r w:rsidRPr="009035C0">
        <w:rPr>
          <w:rFonts w:ascii="Cambria" w:hAnsi="Cambria"/>
          <w:color w:val="000000" w:themeColor="text1"/>
          <w:sz w:val="16"/>
          <w:szCs w:val="16"/>
        </w:rPr>
        <w:t xml:space="preserve">.  </w:t>
      </w:r>
    </w:p>
  </w:footnote>
  <w:footnote w:id="164">
    <w:p w14:paraId="0D4D0FE6" w14:textId="25F5318C"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533BC0">
        <w:rPr>
          <w:rFonts w:ascii="Cambria" w:hAnsi="Cambria"/>
          <w:color w:val="000000" w:themeColor="text1"/>
          <w:sz w:val="16"/>
          <w:szCs w:val="16"/>
        </w:rPr>
        <w:t xml:space="preserve">IACHR. Special Rapporteurship for Freedom of Expression. </w:t>
      </w:r>
      <w:r w:rsidR="00533BC0" w:rsidRPr="00E7771A">
        <w:rPr>
          <w:rFonts w:ascii="Cambria" w:hAnsi="Cambria"/>
          <w:color w:val="000000" w:themeColor="text1"/>
          <w:sz w:val="16"/>
          <w:szCs w:val="16"/>
          <w:lang w:val="es-US"/>
        </w:rPr>
        <w:t xml:space="preserve">April 21, 2021. Press Release 96 </w:t>
      </w:r>
      <w:r w:rsidRPr="00E7771A">
        <w:rPr>
          <w:rFonts w:ascii="Cambria" w:hAnsi="Cambria"/>
          <w:color w:val="000000" w:themeColor="text1"/>
          <w:sz w:val="16"/>
          <w:szCs w:val="16"/>
          <w:lang w:val="es-US"/>
        </w:rPr>
        <w:t xml:space="preserve"> </w:t>
      </w:r>
      <w:hyperlink r:id="rId106" w:history="1">
        <w:r w:rsidRPr="00E7771A">
          <w:rPr>
            <w:rStyle w:val="Hyperlink"/>
            <w:rFonts w:ascii="Cambria" w:hAnsi="Cambria"/>
            <w:color w:val="000000" w:themeColor="text1"/>
            <w:sz w:val="16"/>
            <w:szCs w:val="16"/>
            <w:lang w:val="es-US"/>
          </w:rPr>
          <w:t xml:space="preserve">La CIDH y su Relatoría Especial para la Libertad de Expresión manifiestan preocupación por la decisión que ordenó al diario El Nacional de Venezuela al pago de más de 13 millones de dólares. </w:t>
        </w:r>
      </w:hyperlink>
      <w:r w:rsidR="00533BC0">
        <w:rPr>
          <w:rStyle w:val="Hyperlink"/>
          <w:rFonts w:ascii="Cambria" w:hAnsi="Cambria"/>
          <w:color w:val="000000" w:themeColor="text1"/>
          <w:sz w:val="16"/>
          <w:szCs w:val="16"/>
        </w:rPr>
        <w:t>[IACHR and its Special Rapporteurship for Freedom of Expression express grave concern over ruling ordering the newspaper El Nacional in Venezuela to pay more than 13 million dollars. ]</w:t>
      </w:r>
    </w:p>
  </w:footnote>
  <w:footnote w:id="165">
    <w:p w14:paraId="6067B21C" w14:textId="2C2E4DF4"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EFE, </w:t>
      </w:r>
      <w:r w:rsidR="00533BC0"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15</w:t>
      </w:r>
      <w:r w:rsidR="00533BC0"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07" w:history="1">
        <w:r w:rsidRPr="00E7771A">
          <w:rPr>
            <w:rStyle w:val="Hyperlink"/>
            <w:rFonts w:ascii="Cambria" w:hAnsi="Cambria"/>
            <w:color w:val="000000" w:themeColor="text1"/>
            <w:sz w:val="16"/>
            <w:szCs w:val="16"/>
            <w:lang w:val="es-US"/>
          </w:rPr>
          <w:t>La justicia venezolana da otra vuelta de tuerca al embargar al diario El Nacional</w:t>
        </w:r>
      </w:hyperlink>
      <w:r w:rsidRPr="00E7771A">
        <w:rPr>
          <w:rFonts w:ascii="Cambria" w:hAnsi="Cambria"/>
          <w:color w:val="000000" w:themeColor="text1"/>
          <w:sz w:val="16"/>
          <w:szCs w:val="16"/>
          <w:lang w:val="es-US"/>
        </w:rPr>
        <w:t xml:space="preserve">; </w:t>
      </w:r>
      <w:r w:rsidR="00221266" w:rsidRPr="00E7771A">
        <w:rPr>
          <w:rFonts w:ascii="Cambria" w:hAnsi="Cambria"/>
          <w:color w:val="000000" w:themeColor="text1"/>
          <w:sz w:val="16"/>
          <w:szCs w:val="16"/>
          <w:lang w:val="es-US"/>
        </w:rPr>
        <w:t xml:space="preserve">[‘Venezuelan justice </w:t>
      </w:r>
      <w:r w:rsidR="000A1259" w:rsidRPr="00E7771A">
        <w:rPr>
          <w:rFonts w:ascii="Cambria" w:hAnsi="Cambria"/>
          <w:color w:val="000000" w:themeColor="text1"/>
          <w:sz w:val="16"/>
          <w:szCs w:val="16"/>
          <w:lang w:val="es-US"/>
        </w:rPr>
        <w:t xml:space="preserve">ratchets it up another notch by </w:t>
      </w:r>
      <w:r w:rsidR="00CF14EA" w:rsidRPr="00E7771A">
        <w:rPr>
          <w:rFonts w:ascii="Cambria" w:hAnsi="Cambria"/>
          <w:color w:val="000000" w:themeColor="text1"/>
          <w:sz w:val="16"/>
          <w:szCs w:val="16"/>
          <w:lang w:val="es-US"/>
        </w:rPr>
        <w:t xml:space="preserve">seizing </w:t>
      </w:r>
      <w:r w:rsidR="000A1259" w:rsidRPr="00E7771A">
        <w:rPr>
          <w:rFonts w:ascii="Cambria" w:hAnsi="Cambria"/>
          <w:color w:val="000000" w:themeColor="text1"/>
          <w:sz w:val="16"/>
          <w:szCs w:val="16"/>
          <w:lang w:val="es-US"/>
        </w:rPr>
        <w:t>the newspaper El Nacional</w:t>
      </w:r>
      <w:r w:rsidR="00CF14EA" w:rsidRPr="00E7771A">
        <w:rPr>
          <w:rFonts w:ascii="Cambria" w:hAnsi="Cambria"/>
          <w:color w:val="000000" w:themeColor="text1"/>
          <w:sz w:val="16"/>
          <w:szCs w:val="16"/>
          <w:lang w:val="es-US"/>
        </w:rPr>
        <w:t>’];</w:t>
      </w:r>
      <w:r w:rsidR="000A1259" w:rsidRPr="00E7771A">
        <w:rPr>
          <w:rFonts w:ascii="Cambria" w:hAnsi="Cambria"/>
          <w:color w:val="000000" w:themeColor="text1"/>
          <w:sz w:val="16"/>
          <w:szCs w:val="16"/>
          <w:lang w:val="es-US"/>
        </w:rPr>
        <w:t xml:space="preserve"> </w:t>
      </w:r>
      <w:r w:rsidRPr="00E7771A">
        <w:rPr>
          <w:rFonts w:ascii="Cambria" w:hAnsi="Cambria"/>
          <w:color w:val="000000" w:themeColor="text1"/>
          <w:sz w:val="16"/>
          <w:szCs w:val="16"/>
          <w:lang w:val="es-US"/>
        </w:rPr>
        <w:t xml:space="preserve">Infobae. </w:t>
      </w:r>
      <w:r w:rsidR="00CF14EA"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14</w:t>
      </w:r>
      <w:r w:rsidR="00CF14EA"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08" w:history="1">
        <w:r w:rsidRPr="00E7771A">
          <w:rPr>
            <w:rStyle w:val="Hyperlink"/>
            <w:rFonts w:ascii="Cambria" w:hAnsi="Cambria"/>
            <w:color w:val="000000" w:themeColor="text1"/>
            <w:sz w:val="16"/>
            <w:szCs w:val="16"/>
            <w:lang w:val="es-US"/>
          </w:rPr>
          <w:t>La dictadura de Nicolás Maduro embargó la sede del periódico venezolano El Nacional.</w:t>
        </w:r>
      </w:hyperlink>
      <w:r w:rsidRPr="00E7771A">
        <w:rPr>
          <w:rFonts w:ascii="Cambria" w:hAnsi="Cambria"/>
          <w:color w:val="000000" w:themeColor="text1"/>
          <w:sz w:val="16"/>
          <w:szCs w:val="16"/>
          <w:lang w:val="es-US"/>
        </w:rPr>
        <w:t xml:space="preserve"> </w:t>
      </w:r>
      <w:r w:rsidR="00CF14EA">
        <w:rPr>
          <w:rFonts w:ascii="Cambria" w:hAnsi="Cambria"/>
          <w:color w:val="000000" w:themeColor="text1"/>
          <w:sz w:val="16"/>
          <w:szCs w:val="16"/>
        </w:rPr>
        <w:t>[Dictatorship of Nicolas Maduro seized the main offices of the Venezuelan newspaper El Nacional’].</w:t>
      </w:r>
    </w:p>
  </w:footnote>
  <w:footnote w:id="166">
    <w:p w14:paraId="0528C7EC" w14:textId="68890BEF"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Nacional. </w:t>
      </w:r>
      <w:r w:rsidR="00CF14EA"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10</w:t>
      </w:r>
      <w:r w:rsidR="00CF14EA"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09" w:history="1">
        <w:r w:rsidRPr="00E7771A">
          <w:rPr>
            <w:rStyle w:val="Hyperlink"/>
            <w:rFonts w:ascii="Cambria" w:hAnsi="Cambria"/>
            <w:color w:val="000000" w:themeColor="text1"/>
            <w:sz w:val="16"/>
            <w:szCs w:val="16"/>
            <w:lang w:val="es-US"/>
          </w:rPr>
          <w:t>El régimen incrementó de 13 a 30 millones de dólares lo que El Nacional debe pagarle a Diosdado Cabello</w:t>
        </w:r>
      </w:hyperlink>
      <w:r w:rsidR="008362C5" w:rsidRPr="00E7771A">
        <w:rPr>
          <w:rFonts w:ascii="Cambria" w:hAnsi="Cambria"/>
          <w:color w:val="000000" w:themeColor="text1"/>
          <w:sz w:val="16"/>
          <w:szCs w:val="16"/>
          <w:lang w:val="es-US"/>
        </w:rPr>
        <w:t xml:space="preserve"> [‘The regime increases from 13 to 30 million dollars what El Nacional must pay Diosdado Cabello’]; </w:t>
      </w:r>
      <w:r w:rsidRPr="00E7771A">
        <w:rPr>
          <w:rFonts w:ascii="Cambria" w:hAnsi="Cambria"/>
          <w:color w:val="000000" w:themeColor="text1"/>
          <w:sz w:val="16"/>
          <w:szCs w:val="16"/>
          <w:lang w:val="es-US"/>
        </w:rPr>
        <w:t xml:space="preserve"> Swissinfo. </w:t>
      </w:r>
      <w:r w:rsidR="008362C5"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11</w:t>
      </w:r>
      <w:r w:rsidR="008362C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10" w:history="1">
        <w:r w:rsidRPr="00E7771A">
          <w:rPr>
            <w:rStyle w:val="Hyperlink"/>
            <w:rFonts w:ascii="Cambria" w:hAnsi="Cambria"/>
            <w:color w:val="000000" w:themeColor="text1"/>
            <w:sz w:val="16"/>
            <w:szCs w:val="16"/>
            <w:lang w:val="es-US"/>
          </w:rPr>
          <w:t>La Justicia venezolana eleva de 13 a 30 millones multa al diario El Nacional.</w:t>
        </w:r>
      </w:hyperlink>
      <w:r w:rsidR="008362C5">
        <w:rPr>
          <w:rStyle w:val="Hyperlink"/>
          <w:rFonts w:ascii="Cambria" w:hAnsi="Cambria"/>
          <w:color w:val="000000" w:themeColor="text1"/>
          <w:sz w:val="16"/>
          <w:szCs w:val="16"/>
        </w:rPr>
        <w:t>[‘Venezuelan justice raises fine to newspaper El Nacional from 13 to 30 million’]</w:t>
      </w:r>
    </w:p>
  </w:footnote>
  <w:footnote w:id="167">
    <w:p w14:paraId="088A63DB" w14:textId="6CE5BAA1"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Archiv</w:t>
      </w:r>
      <w:r w:rsidR="008362C5">
        <w:rPr>
          <w:rFonts w:ascii="Cambria" w:hAnsi="Cambria"/>
          <w:color w:val="000000" w:themeColor="text1"/>
          <w:sz w:val="16"/>
          <w:szCs w:val="16"/>
        </w:rPr>
        <w:t xml:space="preserve">e of the Rapporteurship. Urgent information update. Daily Newspaper El Nacional. August 20, 2021. </w:t>
      </w:r>
      <w:r w:rsidRPr="009035C0">
        <w:rPr>
          <w:rFonts w:ascii="Cambria" w:hAnsi="Cambria"/>
          <w:color w:val="000000" w:themeColor="text1"/>
          <w:sz w:val="16"/>
          <w:szCs w:val="16"/>
        </w:rPr>
        <w:t xml:space="preserve"> </w:t>
      </w:r>
    </w:p>
  </w:footnote>
  <w:footnote w:id="168">
    <w:p w14:paraId="40258819" w14:textId="71AA0126"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F85814">
        <w:rPr>
          <w:rFonts w:ascii="Cambria" w:hAnsi="Cambria"/>
          <w:color w:val="000000" w:themeColor="text1"/>
          <w:sz w:val="16"/>
          <w:szCs w:val="16"/>
        </w:rPr>
        <w:t xml:space="preserve"> Radio Fe y Alegría. </w:t>
      </w:r>
      <w:r w:rsidR="000D759A" w:rsidRPr="00F85814">
        <w:rPr>
          <w:rFonts w:ascii="Cambria" w:hAnsi="Cambria"/>
          <w:color w:val="000000" w:themeColor="text1"/>
          <w:sz w:val="16"/>
          <w:szCs w:val="16"/>
        </w:rPr>
        <w:t xml:space="preserve">July </w:t>
      </w:r>
      <w:r w:rsidRPr="00F85814">
        <w:rPr>
          <w:rFonts w:ascii="Cambria" w:hAnsi="Cambria"/>
          <w:color w:val="000000" w:themeColor="text1"/>
          <w:sz w:val="16"/>
          <w:szCs w:val="16"/>
        </w:rPr>
        <w:t>9</w:t>
      </w:r>
      <w:r w:rsidR="000D759A" w:rsidRPr="00F85814">
        <w:rPr>
          <w:rFonts w:ascii="Cambria" w:hAnsi="Cambria"/>
          <w:color w:val="000000" w:themeColor="text1"/>
          <w:sz w:val="16"/>
          <w:szCs w:val="16"/>
        </w:rPr>
        <w:t>,</w:t>
      </w:r>
      <w:r w:rsidRPr="00F85814">
        <w:rPr>
          <w:rFonts w:ascii="Cambria" w:hAnsi="Cambria"/>
          <w:color w:val="000000" w:themeColor="text1"/>
          <w:sz w:val="16"/>
          <w:szCs w:val="16"/>
        </w:rPr>
        <w:t xml:space="preserve"> 2021. </w:t>
      </w:r>
      <w:hyperlink r:id="rId111" w:history="1">
        <w:r w:rsidRPr="009035C0">
          <w:rPr>
            <w:rStyle w:val="Hyperlink"/>
            <w:rFonts w:ascii="Cambria" w:hAnsi="Cambria"/>
            <w:color w:val="000000" w:themeColor="text1"/>
            <w:sz w:val="16"/>
            <w:szCs w:val="16"/>
          </w:rPr>
          <w:t>Periodista Roland Carreño seguirá preso - Radio Fe y Alegría Noticias;</w:t>
        </w:r>
      </w:hyperlink>
      <w:r w:rsidRPr="009035C0">
        <w:rPr>
          <w:rFonts w:ascii="Cambria" w:hAnsi="Cambria"/>
          <w:color w:val="000000" w:themeColor="text1"/>
          <w:sz w:val="16"/>
          <w:szCs w:val="16"/>
        </w:rPr>
        <w:t xml:space="preserve"> </w:t>
      </w:r>
      <w:r w:rsidR="008070C6">
        <w:rPr>
          <w:rFonts w:ascii="Cambria" w:hAnsi="Cambria"/>
          <w:color w:val="000000" w:themeColor="text1"/>
          <w:sz w:val="16"/>
          <w:szCs w:val="16"/>
        </w:rPr>
        <w:t xml:space="preserve">[‘Journalist Roland Carreño will continue in jail’]; </w:t>
      </w:r>
      <w:r w:rsidRPr="009035C0">
        <w:rPr>
          <w:rFonts w:ascii="Cambria" w:hAnsi="Cambria"/>
          <w:color w:val="000000" w:themeColor="text1"/>
          <w:sz w:val="16"/>
          <w:szCs w:val="16"/>
        </w:rPr>
        <w:t xml:space="preserve">Efecto Cocuyo. </w:t>
      </w:r>
      <w:r w:rsidR="008070C6" w:rsidRPr="00F85814">
        <w:rPr>
          <w:rFonts w:ascii="Cambria" w:hAnsi="Cambria"/>
          <w:color w:val="000000" w:themeColor="text1"/>
          <w:sz w:val="16"/>
          <w:szCs w:val="16"/>
          <w:lang w:val="es-US"/>
        </w:rPr>
        <w:t xml:space="preserve">July </w:t>
      </w:r>
      <w:r w:rsidRPr="00F85814">
        <w:rPr>
          <w:rFonts w:ascii="Cambria" w:hAnsi="Cambria"/>
          <w:color w:val="000000" w:themeColor="text1"/>
          <w:sz w:val="16"/>
          <w:szCs w:val="16"/>
          <w:lang w:val="es-US"/>
        </w:rPr>
        <w:t>9</w:t>
      </w:r>
      <w:r w:rsidR="008070C6" w:rsidRPr="00F85814">
        <w:rPr>
          <w:rFonts w:ascii="Cambria" w:hAnsi="Cambria"/>
          <w:color w:val="000000" w:themeColor="text1"/>
          <w:sz w:val="16"/>
          <w:szCs w:val="16"/>
          <w:lang w:val="es-US"/>
        </w:rPr>
        <w:t>,</w:t>
      </w:r>
      <w:r w:rsidRPr="00F85814">
        <w:rPr>
          <w:rFonts w:ascii="Cambria" w:hAnsi="Cambria"/>
          <w:color w:val="000000" w:themeColor="text1"/>
          <w:sz w:val="16"/>
          <w:szCs w:val="16"/>
          <w:lang w:val="es-US"/>
        </w:rPr>
        <w:t xml:space="preserve"> 2021. </w:t>
      </w:r>
      <w:hyperlink r:id="rId112" w:history="1">
        <w:r w:rsidRPr="00E7771A">
          <w:rPr>
            <w:rStyle w:val="Hyperlink"/>
            <w:rFonts w:ascii="Cambria" w:hAnsi="Cambria"/>
            <w:color w:val="000000" w:themeColor="text1"/>
            <w:sz w:val="16"/>
            <w:szCs w:val="16"/>
            <w:lang w:val="es-US"/>
          </w:rPr>
          <w:t>Roland Carreño seguirá privado de libertad mientras dure su juicio, decide tribunal.</w:t>
        </w:r>
      </w:hyperlink>
      <w:r w:rsidR="00372DAC" w:rsidRPr="00E7771A">
        <w:rPr>
          <w:rStyle w:val="Hyperlink"/>
          <w:rFonts w:ascii="Cambria" w:hAnsi="Cambria"/>
          <w:color w:val="000000" w:themeColor="text1"/>
          <w:sz w:val="16"/>
          <w:szCs w:val="16"/>
          <w:lang w:val="es-US"/>
        </w:rPr>
        <w:t xml:space="preserve"> </w:t>
      </w:r>
      <w:r w:rsidR="00372DAC">
        <w:rPr>
          <w:rStyle w:val="Hyperlink"/>
          <w:rFonts w:ascii="Cambria" w:hAnsi="Cambria"/>
          <w:color w:val="000000" w:themeColor="text1"/>
          <w:sz w:val="16"/>
          <w:szCs w:val="16"/>
        </w:rPr>
        <w:t>[‘Roland Carreño will continue deprived of liberty while his trial lasts, the court decides’].</w:t>
      </w:r>
    </w:p>
  </w:footnote>
  <w:footnote w:id="169">
    <w:p w14:paraId="7AE3021E" w14:textId="4EEF9A9A"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Tal Cual. </w:t>
      </w:r>
      <w:r w:rsidR="00372DAC"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2</w:t>
      </w:r>
      <w:r w:rsidR="00372DA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13" w:history="1">
        <w:r w:rsidRPr="00E7771A">
          <w:rPr>
            <w:rStyle w:val="Hyperlink"/>
            <w:rFonts w:ascii="Cambria" w:hAnsi="Cambria"/>
            <w:color w:val="000000" w:themeColor="text1"/>
            <w:sz w:val="16"/>
            <w:szCs w:val="16"/>
            <w:lang w:val="es-US"/>
          </w:rPr>
          <w:t>Defensa de Roland Carreño pide nuevamente que sea revisado por médicos de confianza;</w:t>
        </w:r>
      </w:hyperlink>
      <w:r w:rsidR="00372DAC" w:rsidRPr="00E7771A">
        <w:rPr>
          <w:rStyle w:val="Hyperlink"/>
          <w:rFonts w:ascii="Cambria" w:hAnsi="Cambria"/>
          <w:color w:val="000000" w:themeColor="text1"/>
          <w:sz w:val="16"/>
          <w:szCs w:val="16"/>
          <w:lang w:val="es-US"/>
        </w:rPr>
        <w:t>[‘Defense of Roland Carreño again requests he be examined by trusted doctors’]</w:t>
      </w:r>
      <w:r w:rsidR="00372DAC" w:rsidRPr="00E7771A">
        <w:rPr>
          <w:rFonts w:ascii="Cambria" w:hAnsi="Cambria"/>
          <w:color w:val="000000" w:themeColor="text1"/>
          <w:sz w:val="16"/>
          <w:szCs w:val="16"/>
          <w:lang w:val="es-US"/>
        </w:rPr>
        <w:t xml:space="preserve"> E</w:t>
      </w:r>
      <w:r w:rsidRPr="00E7771A">
        <w:rPr>
          <w:rFonts w:ascii="Cambria" w:hAnsi="Cambria"/>
          <w:color w:val="000000" w:themeColor="text1"/>
          <w:sz w:val="16"/>
          <w:szCs w:val="16"/>
          <w:lang w:val="es-US"/>
        </w:rPr>
        <w:t xml:space="preserve">l Pitazo. </w:t>
      </w:r>
      <w:r w:rsidR="00372DAC"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6</w:t>
      </w:r>
      <w:r w:rsidR="00372DA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14" w:history="1">
        <w:r w:rsidRPr="00E7771A">
          <w:rPr>
            <w:rStyle w:val="Hyperlink"/>
            <w:rFonts w:ascii="Cambria" w:hAnsi="Cambria"/>
            <w:color w:val="000000" w:themeColor="text1"/>
            <w:sz w:val="16"/>
            <w:szCs w:val="16"/>
            <w:lang w:val="es-US"/>
          </w:rPr>
          <w:t>Periodista Roland Carreño es trasladado a una emergencia por crisis hipertensiva;</w:t>
        </w:r>
      </w:hyperlink>
      <w:r w:rsidR="00D873A1" w:rsidRPr="00E7771A">
        <w:rPr>
          <w:rStyle w:val="Hyperlink"/>
          <w:rFonts w:ascii="Cambria" w:hAnsi="Cambria"/>
          <w:color w:val="000000" w:themeColor="text1"/>
          <w:sz w:val="16"/>
          <w:szCs w:val="16"/>
          <w:lang w:val="es-US"/>
        </w:rPr>
        <w:t>[‘Journalist Roland Carreño is transferred to emergency care due to high blood pressure crisis’]</w:t>
      </w:r>
      <w:r w:rsidRPr="00E7771A">
        <w:rPr>
          <w:rFonts w:ascii="Cambria" w:hAnsi="Cambria"/>
          <w:color w:val="000000" w:themeColor="text1"/>
          <w:sz w:val="16"/>
          <w:szCs w:val="16"/>
          <w:lang w:val="es-US"/>
        </w:rPr>
        <w:t xml:space="preserve"> Crónica Uno. </w:t>
      </w:r>
      <w:r w:rsidR="00D873A1"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6</w:t>
      </w:r>
      <w:r w:rsidR="00D873A1"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15" w:history="1">
        <w:r w:rsidRPr="00E7771A">
          <w:rPr>
            <w:rStyle w:val="Hyperlink"/>
            <w:rFonts w:ascii="Cambria" w:hAnsi="Cambria"/>
            <w:color w:val="000000" w:themeColor="text1"/>
            <w:sz w:val="16"/>
            <w:szCs w:val="16"/>
            <w:lang w:val="es-US"/>
          </w:rPr>
          <w:t>Roland Carreño fue trasladado al Hospital de Clínicas Caracas</w:t>
        </w:r>
      </w:hyperlink>
      <w:r w:rsidRPr="00E7771A">
        <w:rPr>
          <w:rFonts w:ascii="Cambria" w:hAnsi="Cambria"/>
          <w:color w:val="000000" w:themeColor="text1"/>
          <w:sz w:val="16"/>
          <w:szCs w:val="16"/>
          <w:lang w:val="es-US"/>
        </w:rPr>
        <w:t>;</w:t>
      </w:r>
      <w:r w:rsidR="00641C4D" w:rsidRPr="00E7771A">
        <w:rPr>
          <w:rFonts w:ascii="Cambria" w:hAnsi="Cambria"/>
          <w:color w:val="000000" w:themeColor="text1"/>
          <w:sz w:val="16"/>
          <w:szCs w:val="16"/>
          <w:lang w:val="es-US"/>
        </w:rPr>
        <w:t xml:space="preserve"> [‘Roland Carreño was moved to Clinicas Caracas Hospital’]; </w:t>
      </w:r>
      <w:r w:rsidRPr="00E7771A">
        <w:rPr>
          <w:rFonts w:ascii="Cambria" w:hAnsi="Cambria"/>
          <w:color w:val="000000" w:themeColor="text1"/>
          <w:sz w:val="16"/>
          <w:szCs w:val="16"/>
          <w:lang w:val="es-US"/>
        </w:rPr>
        <w:t xml:space="preserve">Crónica Uno. </w:t>
      </w:r>
      <w:r w:rsidR="00641C4D"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7</w:t>
      </w:r>
      <w:r w:rsidR="00641C4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16" w:history="1">
        <w:r w:rsidRPr="00E7771A">
          <w:rPr>
            <w:rStyle w:val="Hyperlink"/>
            <w:rFonts w:ascii="Cambria" w:hAnsi="Cambria"/>
            <w:color w:val="000000" w:themeColor="text1"/>
            <w:sz w:val="16"/>
            <w:szCs w:val="16"/>
            <w:lang w:val="es-US"/>
          </w:rPr>
          <w:t>A Roland Carreño le han negado 6 pedidos de traslados médicos en 2021;</w:t>
        </w:r>
      </w:hyperlink>
      <w:r w:rsidRPr="00E7771A">
        <w:rPr>
          <w:rFonts w:ascii="Cambria" w:hAnsi="Cambria"/>
          <w:color w:val="000000" w:themeColor="text1"/>
          <w:sz w:val="16"/>
          <w:szCs w:val="16"/>
          <w:lang w:val="es-US"/>
        </w:rPr>
        <w:t xml:space="preserve"> </w:t>
      </w:r>
      <w:r w:rsidR="00641C4D" w:rsidRPr="00E7771A">
        <w:rPr>
          <w:rFonts w:ascii="Cambria" w:hAnsi="Cambria"/>
          <w:color w:val="000000" w:themeColor="text1"/>
          <w:sz w:val="16"/>
          <w:szCs w:val="16"/>
          <w:lang w:val="es-US"/>
        </w:rPr>
        <w:t xml:space="preserve">[‘6 motions for medical transfer denied for Roland Carreño in 2021’]; </w:t>
      </w:r>
      <w:r w:rsidRPr="00E7771A">
        <w:rPr>
          <w:rFonts w:ascii="Cambria" w:hAnsi="Cambria"/>
          <w:color w:val="000000" w:themeColor="text1"/>
          <w:sz w:val="16"/>
          <w:szCs w:val="16"/>
          <w:lang w:val="es-US"/>
        </w:rPr>
        <w:t xml:space="preserve">RSF. </w:t>
      </w:r>
      <w:r w:rsidR="00641C4D"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26</w:t>
      </w:r>
      <w:r w:rsidR="00641C4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17" w:history="1">
        <w:r w:rsidRPr="00E7771A">
          <w:rPr>
            <w:rStyle w:val="Hyperlink"/>
            <w:rFonts w:ascii="Cambria" w:hAnsi="Cambria"/>
            <w:color w:val="000000" w:themeColor="text1"/>
            <w:sz w:val="16"/>
            <w:szCs w:val="16"/>
            <w:lang w:val="es-US"/>
          </w:rPr>
          <w:t>RSF pide la liberación del periodista Roland Carreño, encarcelado arbitrariamente desde hace un año en Venezuela.</w:t>
        </w:r>
      </w:hyperlink>
      <w:r w:rsidR="00641C4D" w:rsidRPr="00E7771A">
        <w:rPr>
          <w:rStyle w:val="Hyperlink"/>
          <w:rFonts w:ascii="Cambria" w:hAnsi="Cambria"/>
          <w:color w:val="000000" w:themeColor="text1"/>
          <w:sz w:val="16"/>
          <w:szCs w:val="16"/>
          <w:lang w:val="es-US"/>
        </w:rPr>
        <w:t xml:space="preserve"> </w:t>
      </w:r>
      <w:r w:rsidR="00641C4D">
        <w:rPr>
          <w:rStyle w:val="Hyperlink"/>
          <w:rFonts w:ascii="Cambria" w:hAnsi="Cambria"/>
          <w:color w:val="000000" w:themeColor="text1"/>
          <w:sz w:val="16"/>
          <w:szCs w:val="16"/>
        </w:rPr>
        <w:t>[‘RSF files motion for release of journalist Roland Carreño, arbitrarily imprisoned since one year ago in Venezuela’].</w:t>
      </w:r>
    </w:p>
  </w:footnote>
  <w:footnote w:id="170">
    <w:p w14:paraId="71D52D56" w14:textId="0D53DD16"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RSF. </w:t>
      </w:r>
      <w:r w:rsidR="00641C4D"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26</w:t>
      </w:r>
      <w:r w:rsidR="00641C4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18" w:history="1">
        <w:r w:rsidRPr="00E7771A">
          <w:rPr>
            <w:rStyle w:val="Hyperlink"/>
            <w:rFonts w:ascii="Cambria" w:hAnsi="Cambria"/>
            <w:color w:val="000000" w:themeColor="text1"/>
            <w:sz w:val="16"/>
            <w:szCs w:val="16"/>
            <w:lang w:val="es-US"/>
          </w:rPr>
          <w:t>RSF pide la liberación del periodista Roland Carreño, encarcelado arbitrariamente desde hace un año en Venezuela.</w:t>
        </w:r>
      </w:hyperlink>
      <w:r w:rsidR="00641C4D" w:rsidRPr="00E7771A">
        <w:rPr>
          <w:rStyle w:val="Hyperlink"/>
          <w:rFonts w:ascii="Cambria" w:hAnsi="Cambria"/>
          <w:color w:val="000000" w:themeColor="text1"/>
          <w:sz w:val="16"/>
          <w:szCs w:val="16"/>
          <w:lang w:val="es-US"/>
        </w:rPr>
        <w:t xml:space="preserve"> </w:t>
      </w:r>
      <w:r w:rsidR="00641C4D">
        <w:rPr>
          <w:rStyle w:val="Hyperlink"/>
          <w:rFonts w:ascii="Cambria" w:hAnsi="Cambria"/>
          <w:color w:val="000000" w:themeColor="text1"/>
          <w:sz w:val="16"/>
          <w:szCs w:val="16"/>
        </w:rPr>
        <w:t>[‘RSF files motion for release of journalist Roland Carreño, arbitrarily imprisoned since one year ago in Venezuela’].</w:t>
      </w:r>
    </w:p>
  </w:footnote>
  <w:footnote w:id="171">
    <w:p w14:paraId="1A392093" w14:textId="1647A00F"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Nacional. </w:t>
      </w:r>
      <w:r w:rsidR="00641C4D"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10</w:t>
      </w:r>
      <w:r w:rsidR="00641C4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19" w:history="1">
        <w:r w:rsidRPr="00E7771A">
          <w:rPr>
            <w:rStyle w:val="Hyperlink"/>
            <w:rFonts w:ascii="Cambria" w:hAnsi="Cambria"/>
            <w:color w:val="000000" w:themeColor="text1"/>
            <w:sz w:val="16"/>
            <w:szCs w:val="16"/>
            <w:lang w:val="es-US"/>
          </w:rPr>
          <w:t>Declaran No Culpable a comunicador Braulio Jatar.</w:t>
        </w:r>
      </w:hyperlink>
      <w:r w:rsidRPr="00E7771A">
        <w:rPr>
          <w:rFonts w:ascii="Cambria" w:hAnsi="Cambria"/>
          <w:color w:val="000000" w:themeColor="text1"/>
          <w:sz w:val="16"/>
          <w:szCs w:val="16"/>
          <w:lang w:val="es-US"/>
        </w:rPr>
        <w:t xml:space="preserve"> </w:t>
      </w:r>
      <w:r w:rsidR="00641C4D" w:rsidRPr="00E7771A">
        <w:rPr>
          <w:rFonts w:ascii="Cambria" w:hAnsi="Cambria"/>
          <w:color w:val="000000" w:themeColor="text1"/>
          <w:sz w:val="16"/>
          <w:szCs w:val="16"/>
          <w:lang w:val="es-US"/>
        </w:rPr>
        <w:t xml:space="preserve">[‘Communicator Braulio Iatar found not guilty’]; </w:t>
      </w:r>
      <w:r w:rsidRPr="00E7771A">
        <w:rPr>
          <w:rFonts w:ascii="Cambria" w:hAnsi="Cambria"/>
          <w:color w:val="000000" w:themeColor="text1"/>
          <w:sz w:val="16"/>
          <w:szCs w:val="16"/>
          <w:lang w:val="es-US"/>
        </w:rPr>
        <w:t xml:space="preserve">El Carabobeño. </w:t>
      </w:r>
      <w:r w:rsidR="00641C4D"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10</w:t>
      </w:r>
      <w:r w:rsidR="00641C4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20" w:history="1">
        <w:r w:rsidRPr="00E7771A">
          <w:rPr>
            <w:rStyle w:val="Hyperlink"/>
            <w:rFonts w:ascii="Cambria" w:hAnsi="Cambria"/>
            <w:color w:val="000000" w:themeColor="text1"/>
            <w:sz w:val="16"/>
            <w:szCs w:val="16"/>
            <w:lang w:val="es-US"/>
          </w:rPr>
          <w:t>Libertad plena: Periodista Braulio Jatar fue declarado no culpable.</w:t>
        </w:r>
      </w:hyperlink>
      <w:r w:rsidR="00641C4D" w:rsidRPr="00E7771A">
        <w:rPr>
          <w:rStyle w:val="Hyperlink"/>
          <w:rFonts w:ascii="Cambria" w:hAnsi="Cambria"/>
          <w:color w:val="000000" w:themeColor="text1"/>
          <w:sz w:val="16"/>
          <w:szCs w:val="16"/>
          <w:lang w:val="es-US"/>
        </w:rPr>
        <w:t xml:space="preserve"> </w:t>
      </w:r>
      <w:r w:rsidR="00641C4D">
        <w:rPr>
          <w:rStyle w:val="Hyperlink"/>
          <w:rFonts w:ascii="Cambria" w:hAnsi="Cambria"/>
          <w:color w:val="000000" w:themeColor="text1"/>
          <w:sz w:val="16"/>
          <w:szCs w:val="16"/>
        </w:rPr>
        <w:t>[‘full release: Journalist Braulio Iatar was found no</w:t>
      </w:r>
      <w:r w:rsidR="00B5773A">
        <w:rPr>
          <w:rStyle w:val="Hyperlink"/>
          <w:rFonts w:ascii="Cambria" w:hAnsi="Cambria"/>
          <w:color w:val="000000" w:themeColor="text1"/>
          <w:sz w:val="16"/>
          <w:szCs w:val="16"/>
        </w:rPr>
        <w:t>t</w:t>
      </w:r>
      <w:r w:rsidR="00641C4D">
        <w:rPr>
          <w:rStyle w:val="Hyperlink"/>
          <w:rFonts w:ascii="Cambria" w:hAnsi="Cambria"/>
          <w:color w:val="000000" w:themeColor="text1"/>
          <w:sz w:val="16"/>
          <w:szCs w:val="16"/>
        </w:rPr>
        <w:t xml:space="preserve"> gu</w:t>
      </w:r>
      <w:r w:rsidR="00B5773A">
        <w:rPr>
          <w:rStyle w:val="Hyperlink"/>
          <w:rFonts w:ascii="Cambria" w:hAnsi="Cambria"/>
          <w:color w:val="000000" w:themeColor="text1"/>
          <w:sz w:val="16"/>
          <w:szCs w:val="16"/>
        </w:rPr>
        <w:t>i</w:t>
      </w:r>
      <w:r w:rsidR="00641C4D">
        <w:rPr>
          <w:rStyle w:val="Hyperlink"/>
          <w:rFonts w:ascii="Cambria" w:hAnsi="Cambria"/>
          <w:color w:val="000000" w:themeColor="text1"/>
          <w:sz w:val="16"/>
          <w:szCs w:val="16"/>
        </w:rPr>
        <w:t>l</w:t>
      </w:r>
      <w:r w:rsidR="00B5773A">
        <w:rPr>
          <w:rStyle w:val="Hyperlink"/>
          <w:rFonts w:ascii="Cambria" w:hAnsi="Cambria"/>
          <w:color w:val="000000" w:themeColor="text1"/>
          <w:sz w:val="16"/>
          <w:szCs w:val="16"/>
        </w:rPr>
        <w:t>t</w:t>
      </w:r>
      <w:r w:rsidR="00641C4D">
        <w:rPr>
          <w:rStyle w:val="Hyperlink"/>
          <w:rFonts w:ascii="Cambria" w:hAnsi="Cambria"/>
          <w:color w:val="000000" w:themeColor="text1"/>
          <w:sz w:val="16"/>
          <w:szCs w:val="16"/>
        </w:rPr>
        <w:t>y’].</w:t>
      </w:r>
    </w:p>
  </w:footnote>
  <w:footnote w:id="172">
    <w:p w14:paraId="1CA36346" w14:textId="2E13473D"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CPJ. </w:t>
      </w:r>
      <w:r w:rsidR="00641C4D">
        <w:rPr>
          <w:rFonts w:ascii="Cambria" w:hAnsi="Cambria"/>
          <w:color w:val="000000" w:themeColor="text1"/>
          <w:sz w:val="16"/>
          <w:szCs w:val="16"/>
        </w:rPr>
        <w:t xml:space="preserve">September </w:t>
      </w:r>
      <w:r w:rsidRPr="009035C0">
        <w:rPr>
          <w:rFonts w:ascii="Cambria" w:hAnsi="Cambria"/>
          <w:color w:val="000000" w:themeColor="text1"/>
          <w:sz w:val="16"/>
          <w:szCs w:val="16"/>
        </w:rPr>
        <w:t>13</w:t>
      </w:r>
      <w:r w:rsidR="00641C4D">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21" w:history="1">
        <w:r w:rsidRPr="009035C0">
          <w:rPr>
            <w:rStyle w:val="Hyperlink"/>
            <w:rFonts w:ascii="Cambria" w:hAnsi="Cambria"/>
            <w:color w:val="000000" w:themeColor="text1"/>
            <w:sz w:val="16"/>
            <w:szCs w:val="16"/>
          </w:rPr>
          <w:t xml:space="preserve">CPJ welcomes acquittal of Venezuelan journalist Braulio </w:t>
        </w:r>
        <w:r w:rsidR="00995D74" w:rsidRPr="009035C0">
          <w:rPr>
            <w:rStyle w:val="Hyperlink"/>
            <w:rFonts w:ascii="Cambria" w:hAnsi="Cambria"/>
            <w:color w:val="000000" w:themeColor="text1"/>
            <w:sz w:val="16"/>
            <w:szCs w:val="16"/>
          </w:rPr>
          <w:t>Jatar;</w:t>
        </w:r>
        <w:r w:rsidRPr="009035C0">
          <w:rPr>
            <w:rStyle w:val="Hyperlink"/>
            <w:rFonts w:ascii="Cambria" w:hAnsi="Cambria"/>
            <w:color w:val="000000" w:themeColor="text1"/>
            <w:sz w:val="16"/>
            <w:szCs w:val="16"/>
          </w:rPr>
          <w:t xml:space="preserve"> Journalists</w:t>
        </w:r>
      </w:hyperlink>
      <w:r w:rsidRPr="009035C0">
        <w:rPr>
          <w:rFonts w:ascii="Cambria" w:hAnsi="Cambria"/>
          <w:color w:val="000000" w:themeColor="text1"/>
          <w:sz w:val="16"/>
          <w:szCs w:val="16"/>
        </w:rPr>
        <w:t xml:space="preserve">; LatAm Journalism Review. </w:t>
      </w:r>
      <w:r w:rsidR="00B672EC"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9</w:t>
      </w:r>
      <w:r w:rsidR="00B672E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22" w:history="1">
        <w:r w:rsidRPr="00E7771A">
          <w:rPr>
            <w:rStyle w:val="Hyperlink"/>
            <w:rFonts w:ascii="Cambria" w:hAnsi="Cambria"/>
            <w:color w:val="000000" w:themeColor="text1"/>
            <w:sz w:val="16"/>
            <w:szCs w:val="16"/>
            <w:lang w:val="es-US"/>
          </w:rPr>
          <w:t xml:space="preserve">Periodista Braulio Jatar es liberado de arresto </w:t>
        </w:r>
        <w:r w:rsidR="00995D74" w:rsidRPr="00E7771A">
          <w:rPr>
            <w:rStyle w:val="Hyperlink"/>
            <w:rFonts w:ascii="Cambria" w:hAnsi="Cambria"/>
            <w:color w:val="000000" w:themeColor="text1"/>
            <w:sz w:val="16"/>
            <w:szCs w:val="16"/>
            <w:lang w:val="es-US"/>
          </w:rPr>
          <w:t>domiciliario,</w:t>
        </w:r>
        <w:r w:rsidRPr="00E7771A">
          <w:rPr>
            <w:rStyle w:val="Hyperlink"/>
            <w:rFonts w:ascii="Cambria" w:hAnsi="Cambria"/>
            <w:color w:val="000000" w:themeColor="text1"/>
            <w:sz w:val="16"/>
            <w:szCs w:val="16"/>
            <w:lang w:val="es-US"/>
          </w:rPr>
          <w:t xml:space="preserve"> pero tiene prohibido salir de Venezuela. </w:t>
        </w:r>
      </w:hyperlink>
      <w:r w:rsidR="007C4233">
        <w:rPr>
          <w:rStyle w:val="Hyperlink"/>
          <w:rFonts w:ascii="Cambria" w:hAnsi="Cambria"/>
          <w:color w:val="000000" w:themeColor="text1"/>
          <w:sz w:val="16"/>
          <w:szCs w:val="16"/>
        </w:rPr>
        <w:t>[‘Journalist Braulia Iatar is released from house arrest but is prohibited from leaving Venezuela’].</w:t>
      </w:r>
    </w:p>
  </w:footnote>
  <w:footnote w:id="173">
    <w:p w14:paraId="43242CED" w14:textId="70A490E0"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NTN-24. </w:t>
      </w:r>
      <w:r w:rsidR="007C4233" w:rsidRPr="00E7771A">
        <w:rPr>
          <w:rFonts w:ascii="Cambria" w:hAnsi="Cambria"/>
          <w:color w:val="000000" w:themeColor="text1"/>
          <w:sz w:val="16"/>
          <w:szCs w:val="16"/>
          <w:lang w:val="es-US"/>
        </w:rPr>
        <w:t xml:space="preserve">January </w:t>
      </w:r>
      <w:r w:rsidRPr="00E7771A">
        <w:rPr>
          <w:rFonts w:ascii="Cambria" w:hAnsi="Cambria"/>
          <w:color w:val="000000" w:themeColor="text1"/>
          <w:sz w:val="16"/>
          <w:szCs w:val="16"/>
          <w:lang w:val="es-US"/>
        </w:rPr>
        <w:t>8</w:t>
      </w:r>
      <w:r w:rsidR="007C4233"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23" w:history="1">
        <w:r w:rsidRPr="00E7771A">
          <w:rPr>
            <w:rStyle w:val="Hyperlink"/>
            <w:rFonts w:ascii="Cambria" w:hAnsi="Cambria"/>
            <w:color w:val="000000" w:themeColor="text1"/>
            <w:sz w:val="16"/>
            <w:szCs w:val="16"/>
            <w:lang w:val="es-US"/>
          </w:rPr>
          <w:t>Funcionarios del régimen venezolano le quitan los equipos al medio digital VPI TV;</w:t>
        </w:r>
      </w:hyperlink>
      <w:r w:rsidRPr="00E7771A">
        <w:rPr>
          <w:rFonts w:ascii="Cambria" w:hAnsi="Cambria"/>
          <w:color w:val="000000" w:themeColor="text1"/>
          <w:sz w:val="16"/>
          <w:szCs w:val="16"/>
          <w:lang w:val="es-US"/>
        </w:rPr>
        <w:t xml:space="preserve"> </w:t>
      </w:r>
      <w:r w:rsidR="005D673B" w:rsidRPr="00E7771A">
        <w:rPr>
          <w:rFonts w:ascii="Cambria" w:hAnsi="Cambria"/>
          <w:color w:val="000000" w:themeColor="text1"/>
          <w:sz w:val="16"/>
          <w:szCs w:val="16"/>
          <w:lang w:val="es-US"/>
        </w:rPr>
        <w:t>[‘</w:t>
      </w:r>
      <w:r w:rsidR="00057665" w:rsidRPr="00E7771A">
        <w:rPr>
          <w:rFonts w:ascii="Cambria" w:hAnsi="Cambria"/>
          <w:color w:val="000000" w:themeColor="text1"/>
          <w:sz w:val="16"/>
          <w:szCs w:val="16"/>
          <w:lang w:val="es-US"/>
        </w:rPr>
        <w:t xml:space="preserve">Officials of the Venezuela regime take away digital equipment from media outlet VPI TV’]. </w:t>
      </w:r>
      <w:r w:rsidRPr="00E7771A">
        <w:rPr>
          <w:rFonts w:ascii="Cambria" w:hAnsi="Cambria"/>
          <w:color w:val="000000" w:themeColor="text1"/>
          <w:sz w:val="16"/>
          <w:szCs w:val="16"/>
          <w:lang w:val="es-US"/>
        </w:rPr>
        <w:t xml:space="preserve">Deutsche Welle. </w:t>
      </w:r>
      <w:r w:rsidR="00057665" w:rsidRPr="00E7771A">
        <w:rPr>
          <w:rFonts w:ascii="Cambria" w:hAnsi="Cambria"/>
          <w:color w:val="000000" w:themeColor="text1"/>
          <w:sz w:val="16"/>
          <w:szCs w:val="16"/>
          <w:lang w:val="es-US"/>
        </w:rPr>
        <w:t xml:space="preserve">January </w:t>
      </w:r>
      <w:r w:rsidRPr="00E7771A">
        <w:rPr>
          <w:rFonts w:ascii="Cambria" w:hAnsi="Cambria"/>
          <w:color w:val="000000" w:themeColor="text1"/>
          <w:sz w:val="16"/>
          <w:szCs w:val="16"/>
          <w:lang w:val="es-US"/>
        </w:rPr>
        <w:t>9</w:t>
      </w:r>
      <w:r w:rsidR="00057665" w:rsidRPr="00E7771A">
        <w:rPr>
          <w:rFonts w:ascii="Cambria" w:hAnsi="Cambria"/>
          <w:color w:val="000000" w:themeColor="text1"/>
          <w:sz w:val="16"/>
          <w:szCs w:val="16"/>
          <w:lang w:val="es-US"/>
        </w:rPr>
        <w:t xml:space="preserve">, </w:t>
      </w:r>
      <w:r w:rsidRPr="00E7771A">
        <w:rPr>
          <w:rFonts w:ascii="Cambria" w:hAnsi="Cambria"/>
          <w:color w:val="000000" w:themeColor="text1"/>
          <w:sz w:val="16"/>
          <w:szCs w:val="16"/>
          <w:lang w:val="es-US"/>
        </w:rPr>
        <w:t xml:space="preserve">2021. </w:t>
      </w:r>
      <w:hyperlink r:id="rId124" w:history="1">
        <w:r w:rsidRPr="00E7771A">
          <w:rPr>
            <w:rStyle w:val="Hyperlink"/>
            <w:rFonts w:ascii="Cambria" w:eastAsiaTheme="majorEastAsia" w:hAnsi="Cambria"/>
            <w:color w:val="000000" w:themeColor="text1"/>
            <w:sz w:val="16"/>
            <w:szCs w:val="16"/>
            <w:lang w:val="es-US"/>
          </w:rPr>
          <w:t>Gobierno de Venezuela confisca equipos a canal de TV digital | Las noticias y análisis más importantes en América Latina</w:t>
        </w:r>
      </w:hyperlink>
      <w:r w:rsidRPr="00E7771A">
        <w:rPr>
          <w:rFonts w:ascii="Cambria" w:hAnsi="Cambria"/>
          <w:color w:val="000000" w:themeColor="text1"/>
          <w:sz w:val="16"/>
          <w:szCs w:val="16"/>
          <w:lang w:val="es-US"/>
        </w:rPr>
        <w:t xml:space="preserve">; </w:t>
      </w:r>
      <w:r w:rsidR="00057665" w:rsidRPr="00E7771A">
        <w:rPr>
          <w:rFonts w:ascii="Cambria" w:hAnsi="Cambria"/>
          <w:color w:val="000000" w:themeColor="text1"/>
          <w:sz w:val="16"/>
          <w:szCs w:val="16"/>
          <w:lang w:val="es-US"/>
        </w:rPr>
        <w:t xml:space="preserve">[‘Government of Venezuela confiscates equipment of digital TV channel’]; Twitter account of </w:t>
      </w:r>
      <w:r w:rsidRPr="00E7771A">
        <w:rPr>
          <w:rFonts w:ascii="Cambria" w:hAnsi="Cambria"/>
          <w:color w:val="000000" w:themeColor="text1"/>
          <w:sz w:val="16"/>
          <w:szCs w:val="16"/>
          <w:lang w:val="es-US"/>
        </w:rPr>
        <w:t xml:space="preserve">VPI-TV (@vpitv). </w:t>
      </w:r>
      <w:hyperlink r:id="rId125" w:history="1">
        <w:r w:rsidRPr="00E7771A">
          <w:rPr>
            <w:rStyle w:val="Hyperlink"/>
            <w:rFonts w:ascii="Cambria" w:hAnsi="Cambria"/>
            <w:color w:val="000000" w:themeColor="text1"/>
            <w:sz w:val="16"/>
            <w:szCs w:val="16"/>
            <w:lang w:val="es-US"/>
          </w:rPr>
          <w:t>10 de enero de 2021</w:t>
        </w:r>
      </w:hyperlink>
      <w:r w:rsidRPr="00E7771A">
        <w:rPr>
          <w:rFonts w:ascii="Cambria" w:hAnsi="Cambria"/>
          <w:color w:val="000000" w:themeColor="text1"/>
          <w:sz w:val="16"/>
          <w:szCs w:val="16"/>
          <w:lang w:val="es-US"/>
        </w:rPr>
        <w:t xml:space="preserve">. </w:t>
      </w:r>
    </w:p>
  </w:footnote>
  <w:footnote w:id="174">
    <w:p w14:paraId="5DDC5849" w14:textId="7037D02B"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Nacional. </w:t>
      </w:r>
      <w:r w:rsidR="009310BD" w:rsidRPr="00E7771A">
        <w:rPr>
          <w:rFonts w:ascii="Cambria" w:hAnsi="Cambria"/>
          <w:color w:val="000000" w:themeColor="text1"/>
          <w:sz w:val="16"/>
          <w:szCs w:val="16"/>
          <w:lang w:val="es-US"/>
        </w:rPr>
        <w:t xml:space="preserve">January </w:t>
      </w:r>
      <w:r w:rsidRPr="00E7771A">
        <w:rPr>
          <w:rFonts w:ascii="Cambria" w:hAnsi="Cambria"/>
          <w:color w:val="000000" w:themeColor="text1"/>
          <w:sz w:val="16"/>
          <w:szCs w:val="16"/>
          <w:lang w:val="es-US"/>
        </w:rPr>
        <w:t>8</w:t>
      </w:r>
      <w:r w:rsidR="009310B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26" w:history="1">
        <w:r w:rsidRPr="00E7771A">
          <w:rPr>
            <w:rStyle w:val="Hyperlink"/>
            <w:rFonts w:ascii="Cambria" w:eastAsiaTheme="majorEastAsia" w:hAnsi="Cambria"/>
            <w:color w:val="000000" w:themeColor="text1"/>
            <w:sz w:val="16"/>
            <w:szCs w:val="16"/>
            <w:lang w:val="es-US"/>
          </w:rPr>
          <w:t>Seniat clausuró por cinco días sede del diario Panorama</w:t>
        </w:r>
      </w:hyperlink>
      <w:r w:rsidRPr="00E7771A">
        <w:rPr>
          <w:rFonts w:ascii="Cambria" w:hAnsi="Cambria"/>
          <w:color w:val="000000" w:themeColor="text1"/>
          <w:sz w:val="16"/>
          <w:szCs w:val="16"/>
          <w:lang w:val="es-US"/>
        </w:rPr>
        <w:t>;</w:t>
      </w:r>
      <w:r w:rsidR="00A24F37" w:rsidRPr="00E7771A">
        <w:rPr>
          <w:rFonts w:ascii="Cambria" w:hAnsi="Cambria"/>
          <w:color w:val="000000" w:themeColor="text1"/>
          <w:sz w:val="16"/>
          <w:szCs w:val="16"/>
          <w:lang w:val="es-US"/>
        </w:rPr>
        <w:t>[‘</w:t>
      </w:r>
      <w:r w:rsidR="00721CBB" w:rsidRPr="00E7771A">
        <w:rPr>
          <w:rFonts w:ascii="Cambria" w:hAnsi="Cambria"/>
          <w:color w:val="000000" w:themeColor="text1"/>
          <w:sz w:val="16"/>
          <w:szCs w:val="16"/>
          <w:lang w:val="es-US"/>
        </w:rPr>
        <w:t xml:space="preserve">Seniat closed daily newspaper Panorama headquarters building for five days’]; </w:t>
      </w:r>
      <w:r w:rsidRPr="00E7771A">
        <w:rPr>
          <w:rFonts w:ascii="Cambria" w:hAnsi="Cambria"/>
          <w:color w:val="000000" w:themeColor="text1"/>
          <w:sz w:val="16"/>
          <w:szCs w:val="16"/>
          <w:lang w:val="es-US"/>
        </w:rPr>
        <w:t xml:space="preserve"> Instituto de Prensa y Sociedad Venezuela. </w:t>
      </w:r>
      <w:r w:rsidR="00721CBB" w:rsidRPr="00E7771A">
        <w:rPr>
          <w:rFonts w:ascii="Cambria" w:hAnsi="Cambria"/>
          <w:color w:val="000000" w:themeColor="text1"/>
          <w:sz w:val="16"/>
          <w:szCs w:val="16"/>
          <w:lang w:val="es-US"/>
        </w:rPr>
        <w:t xml:space="preserve">January </w:t>
      </w:r>
      <w:r w:rsidRPr="00E7771A">
        <w:rPr>
          <w:rFonts w:ascii="Cambria" w:hAnsi="Cambria"/>
          <w:color w:val="000000" w:themeColor="text1"/>
          <w:sz w:val="16"/>
          <w:szCs w:val="16"/>
          <w:lang w:val="es-US"/>
        </w:rPr>
        <w:t>15</w:t>
      </w:r>
      <w:r w:rsidR="00721CB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27" w:history="1">
        <w:r w:rsidRPr="00E7771A">
          <w:rPr>
            <w:rStyle w:val="Hyperlink"/>
            <w:rFonts w:ascii="Cambria" w:eastAsiaTheme="majorEastAsia" w:hAnsi="Cambria"/>
            <w:color w:val="000000" w:themeColor="text1"/>
            <w:sz w:val="16"/>
            <w:szCs w:val="16"/>
            <w:lang w:val="es-US"/>
          </w:rPr>
          <w:t xml:space="preserve"> Radio y prensa en medio de limitaciones durante las primeras semanas de enero</w:t>
        </w:r>
      </w:hyperlink>
      <w:r w:rsidR="00721CBB" w:rsidRPr="00E7771A">
        <w:rPr>
          <w:rFonts w:ascii="Cambria" w:hAnsi="Cambria"/>
          <w:color w:val="000000" w:themeColor="text1"/>
          <w:sz w:val="16"/>
          <w:szCs w:val="16"/>
          <w:lang w:val="es-US"/>
        </w:rPr>
        <w:t xml:space="preserve"> [‘Radio and press in midst of </w:t>
      </w:r>
      <w:r w:rsidR="006F13E8" w:rsidRPr="00E7771A">
        <w:rPr>
          <w:rFonts w:ascii="Cambria" w:hAnsi="Cambria"/>
          <w:color w:val="000000" w:themeColor="text1"/>
          <w:sz w:val="16"/>
          <w:szCs w:val="16"/>
          <w:lang w:val="es-US"/>
        </w:rPr>
        <w:t xml:space="preserve">restrictions </w:t>
      </w:r>
      <w:r w:rsidR="00721CBB" w:rsidRPr="00E7771A">
        <w:rPr>
          <w:rFonts w:ascii="Cambria" w:hAnsi="Cambria"/>
          <w:color w:val="000000" w:themeColor="text1"/>
          <w:sz w:val="16"/>
          <w:szCs w:val="16"/>
          <w:lang w:val="es-US"/>
        </w:rPr>
        <w:t>over first weeks of January’].</w:t>
      </w:r>
    </w:p>
  </w:footnote>
  <w:footnote w:id="175">
    <w:p w14:paraId="6933E0B4" w14:textId="09DE0CD7"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Instituto de Prensa y Sociedad Venezuela.</w:t>
      </w:r>
      <w:r w:rsidR="00721CBB" w:rsidRPr="00E7771A">
        <w:rPr>
          <w:rFonts w:ascii="Cambria" w:hAnsi="Cambria"/>
          <w:color w:val="000000" w:themeColor="text1"/>
          <w:sz w:val="16"/>
          <w:szCs w:val="16"/>
          <w:lang w:val="es-US"/>
        </w:rPr>
        <w:t xml:space="preserve"> March</w:t>
      </w:r>
      <w:r w:rsidRPr="00E7771A">
        <w:rPr>
          <w:rFonts w:ascii="Cambria" w:hAnsi="Cambria"/>
          <w:color w:val="000000" w:themeColor="text1"/>
          <w:sz w:val="16"/>
          <w:szCs w:val="16"/>
          <w:lang w:val="es-US"/>
        </w:rPr>
        <w:t xml:space="preserve"> 31</w:t>
      </w:r>
      <w:r w:rsidR="00721CB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28" w:history="1">
        <w:r w:rsidRPr="00E7771A">
          <w:rPr>
            <w:rStyle w:val="Hyperlink"/>
            <w:rFonts w:ascii="Cambria" w:hAnsi="Cambria"/>
            <w:color w:val="000000" w:themeColor="text1"/>
            <w:sz w:val="16"/>
            <w:szCs w:val="16"/>
            <w:lang w:val="es-US"/>
          </w:rPr>
          <w:t>Alerta IPYSve | Conatel cierra emisora comunitaria Aragua Mágica 88.1 FM;</w:t>
        </w:r>
      </w:hyperlink>
      <w:r w:rsidR="00721CBB" w:rsidRPr="00E7771A">
        <w:rPr>
          <w:rStyle w:val="Hyperlink"/>
          <w:rFonts w:ascii="Cambria" w:hAnsi="Cambria"/>
          <w:color w:val="000000" w:themeColor="text1"/>
          <w:sz w:val="16"/>
          <w:szCs w:val="16"/>
          <w:lang w:val="es-US"/>
        </w:rPr>
        <w:t xml:space="preserve"> [‘Conatel closes down community radio broadcaster Aragua Magica’]; </w:t>
      </w:r>
      <w:r w:rsidRPr="00E7771A">
        <w:rPr>
          <w:rFonts w:ascii="Cambria" w:hAnsi="Cambria"/>
          <w:color w:val="000000" w:themeColor="text1"/>
          <w:sz w:val="16"/>
          <w:szCs w:val="16"/>
          <w:lang w:val="es-US"/>
        </w:rPr>
        <w:t xml:space="preserve">Diario de Lara: La Prensa. </w:t>
      </w:r>
      <w:r w:rsidR="00721CBB" w:rsidRPr="00E7771A">
        <w:rPr>
          <w:rFonts w:ascii="Cambria" w:hAnsi="Cambria"/>
          <w:color w:val="000000" w:themeColor="text1"/>
          <w:sz w:val="16"/>
          <w:szCs w:val="16"/>
          <w:lang w:val="es-US"/>
        </w:rPr>
        <w:t>Undated</w:t>
      </w:r>
      <w:r w:rsidRPr="00E7771A">
        <w:rPr>
          <w:rFonts w:ascii="Cambria" w:hAnsi="Cambria"/>
          <w:color w:val="000000" w:themeColor="text1"/>
          <w:sz w:val="16"/>
          <w:szCs w:val="16"/>
          <w:lang w:val="es-US"/>
        </w:rPr>
        <w:t xml:space="preserve">. </w:t>
      </w:r>
      <w:hyperlink r:id="rId129" w:history="1">
        <w:r w:rsidRPr="00E7771A">
          <w:rPr>
            <w:rStyle w:val="Hyperlink"/>
            <w:rFonts w:ascii="Cambria" w:hAnsi="Cambria"/>
            <w:color w:val="000000" w:themeColor="text1"/>
            <w:sz w:val="16"/>
            <w:szCs w:val="16"/>
            <w:lang w:val="es-US"/>
          </w:rPr>
          <w:t>Periodistas denuncia cierre de la emisora Aragua Mágica 88.1 FM.</w:t>
        </w:r>
      </w:hyperlink>
      <w:r w:rsidR="00721CBB" w:rsidRPr="00E7771A">
        <w:rPr>
          <w:rStyle w:val="Hyperlink"/>
          <w:rFonts w:ascii="Cambria" w:hAnsi="Cambria"/>
          <w:color w:val="000000" w:themeColor="text1"/>
          <w:sz w:val="16"/>
          <w:szCs w:val="16"/>
          <w:lang w:val="es-US"/>
        </w:rPr>
        <w:t xml:space="preserve"> </w:t>
      </w:r>
      <w:r w:rsidR="00721CBB">
        <w:rPr>
          <w:rStyle w:val="Hyperlink"/>
          <w:rFonts w:ascii="Cambria" w:hAnsi="Cambria"/>
          <w:color w:val="000000" w:themeColor="text1"/>
          <w:sz w:val="16"/>
          <w:szCs w:val="16"/>
        </w:rPr>
        <w:t>[‘Journalists decry closure of radio station Aragua Magica 88.1 FM’]</w:t>
      </w:r>
    </w:p>
  </w:footnote>
  <w:footnote w:id="176">
    <w:p w14:paraId="064040B8" w14:textId="1C6F649E"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El pitazo. </w:t>
      </w:r>
      <w:r w:rsidR="00B34DC5">
        <w:rPr>
          <w:rFonts w:ascii="Cambria" w:hAnsi="Cambria"/>
          <w:color w:val="000000" w:themeColor="text1"/>
          <w:sz w:val="16"/>
          <w:szCs w:val="16"/>
        </w:rPr>
        <w:t xml:space="preserve">February </w:t>
      </w:r>
      <w:r w:rsidRPr="009035C0">
        <w:rPr>
          <w:rFonts w:ascii="Cambria" w:hAnsi="Cambria"/>
          <w:color w:val="000000" w:themeColor="text1"/>
          <w:sz w:val="16"/>
          <w:szCs w:val="16"/>
        </w:rPr>
        <w:t>26</w:t>
      </w:r>
      <w:r w:rsidR="00B34DC5">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30" w:history="1">
        <w:r w:rsidRPr="009035C0">
          <w:rPr>
            <w:rStyle w:val="Hyperlink"/>
            <w:rFonts w:ascii="Cambria" w:eastAsiaTheme="majorEastAsia" w:hAnsi="Cambria"/>
            <w:color w:val="000000" w:themeColor="text1"/>
            <w:sz w:val="16"/>
            <w:szCs w:val="16"/>
          </w:rPr>
          <w:t xml:space="preserve"> Conatel apaga señal radiofónica de emisora VEA 100.7 FM</w:t>
        </w:r>
        <w:r w:rsidRPr="009035C0">
          <w:rPr>
            <w:rStyle w:val="Hyperlink"/>
            <w:rFonts w:ascii="Cambria" w:hAnsi="Cambria"/>
            <w:color w:val="000000" w:themeColor="text1"/>
            <w:sz w:val="16"/>
            <w:szCs w:val="16"/>
          </w:rPr>
          <w:t>;</w:t>
        </w:r>
      </w:hyperlink>
      <w:r w:rsidRPr="009035C0">
        <w:rPr>
          <w:rFonts w:ascii="Cambria" w:hAnsi="Cambria"/>
          <w:color w:val="000000" w:themeColor="text1"/>
          <w:sz w:val="16"/>
          <w:szCs w:val="16"/>
        </w:rPr>
        <w:t xml:space="preserve"> </w:t>
      </w:r>
      <w:r w:rsidR="00B34DC5">
        <w:rPr>
          <w:rFonts w:ascii="Cambria" w:hAnsi="Cambria"/>
          <w:color w:val="000000" w:themeColor="text1"/>
          <w:sz w:val="16"/>
          <w:szCs w:val="16"/>
        </w:rPr>
        <w:t xml:space="preserve">[‘ Conatal turns off radiophonic signal of radio station VEA 100.7 FM’]; </w:t>
      </w:r>
      <w:r w:rsidRPr="009035C0">
        <w:rPr>
          <w:rFonts w:ascii="Cambria" w:hAnsi="Cambria"/>
          <w:color w:val="000000" w:themeColor="text1"/>
          <w:sz w:val="16"/>
          <w:szCs w:val="16"/>
        </w:rPr>
        <w:t xml:space="preserve">Tal Cual. </w:t>
      </w:r>
      <w:r w:rsidR="00B34DC5" w:rsidRPr="00E7771A">
        <w:rPr>
          <w:rFonts w:ascii="Cambria" w:hAnsi="Cambria"/>
          <w:color w:val="000000" w:themeColor="text1"/>
          <w:sz w:val="16"/>
          <w:szCs w:val="16"/>
          <w:lang w:val="es-US"/>
        </w:rPr>
        <w:t xml:space="preserve">February </w:t>
      </w:r>
      <w:r w:rsidRPr="00E7771A">
        <w:rPr>
          <w:rFonts w:ascii="Cambria" w:hAnsi="Cambria"/>
          <w:color w:val="000000" w:themeColor="text1"/>
          <w:sz w:val="16"/>
          <w:szCs w:val="16"/>
          <w:lang w:val="es-US"/>
        </w:rPr>
        <w:t>27</w:t>
      </w:r>
      <w:r w:rsidR="00B34DC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31" w:history="1">
        <w:r w:rsidRPr="00E7771A">
          <w:rPr>
            <w:rStyle w:val="Hyperlink"/>
            <w:rFonts w:ascii="Cambria" w:eastAsiaTheme="majorEastAsia" w:hAnsi="Cambria"/>
            <w:color w:val="000000" w:themeColor="text1"/>
            <w:sz w:val="16"/>
            <w:szCs w:val="16"/>
            <w:lang w:val="es-US"/>
          </w:rPr>
          <w:t>Conatel saca del aire señal de emisora VEA 100.7 FM</w:t>
        </w:r>
        <w:r w:rsidRPr="00E7771A">
          <w:rPr>
            <w:rStyle w:val="Hyperlink"/>
            <w:rFonts w:ascii="Cambria" w:hAnsi="Cambria"/>
            <w:color w:val="000000" w:themeColor="text1"/>
            <w:sz w:val="16"/>
            <w:szCs w:val="16"/>
            <w:lang w:val="es-US"/>
          </w:rPr>
          <w:t>.</w:t>
        </w:r>
      </w:hyperlink>
      <w:r w:rsidRPr="00E7771A">
        <w:rPr>
          <w:rFonts w:ascii="Cambria" w:hAnsi="Cambria"/>
          <w:color w:val="000000" w:themeColor="text1"/>
          <w:sz w:val="16"/>
          <w:szCs w:val="16"/>
          <w:lang w:val="es-US"/>
        </w:rPr>
        <w:t xml:space="preserve"> </w:t>
      </w:r>
      <w:r w:rsidR="00B34DC5">
        <w:rPr>
          <w:rFonts w:ascii="Cambria" w:hAnsi="Cambria"/>
          <w:color w:val="000000" w:themeColor="text1"/>
          <w:sz w:val="16"/>
          <w:szCs w:val="16"/>
        </w:rPr>
        <w:t>[‘Conatel takes signal of radio broadcaster VEA 100.7 FM off air’].</w:t>
      </w:r>
    </w:p>
  </w:footnote>
  <w:footnote w:id="177">
    <w:p w14:paraId="69FF98D3" w14:textId="5941B0CC"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Nacional. </w:t>
      </w:r>
      <w:r w:rsidR="00B34DC5"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28</w:t>
      </w:r>
      <w:r w:rsidR="00B34DC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32" w:history="1">
        <w:r w:rsidRPr="00E7771A">
          <w:rPr>
            <w:rStyle w:val="Hyperlink"/>
            <w:rFonts w:ascii="Cambria" w:hAnsi="Cambria"/>
            <w:color w:val="000000" w:themeColor="text1"/>
            <w:sz w:val="16"/>
            <w:szCs w:val="16"/>
            <w:lang w:val="es-US"/>
          </w:rPr>
          <w:t xml:space="preserve">Conatel cerró la emisora Zeta 103.5 FM; </w:t>
        </w:r>
      </w:hyperlink>
      <w:r w:rsidR="00B34DC5" w:rsidRPr="00E7771A">
        <w:rPr>
          <w:rFonts w:ascii="Cambria" w:hAnsi="Cambria"/>
          <w:color w:val="000000" w:themeColor="text1"/>
          <w:sz w:val="16"/>
          <w:szCs w:val="16"/>
          <w:lang w:val="es-US"/>
        </w:rPr>
        <w:t xml:space="preserve">[‘Conatel closes down radio station Zeta 103.5 FM’]; </w:t>
      </w:r>
      <w:r w:rsidRPr="00E7771A">
        <w:rPr>
          <w:rFonts w:ascii="Cambria" w:hAnsi="Cambria"/>
          <w:color w:val="000000" w:themeColor="text1"/>
          <w:sz w:val="16"/>
          <w:szCs w:val="16"/>
          <w:lang w:val="es-US"/>
        </w:rPr>
        <w:t xml:space="preserve">Espacio Publico. </w:t>
      </w:r>
      <w:r w:rsidR="00B34DC5"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28</w:t>
      </w:r>
      <w:r w:rsidR="00B34DC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33" w:history="1">
        <w:r w:rsidRPr="00E7771A">
          <w:rPr>
            <w:rStyle w:val="Hyperlink"/>
            <w:rFonts w:ascii="Cambria" w:hAnsi="Cambria"/>
            <w:color w:val="000000" w:themeColor="text1"/>
            <w:sz w:val="16"/>
            <w:szCs w:val="16"/>
            <w:lang w:val="es-US"/>
          </w:rPr>
          <w:t xml:space="preserve">Conatel decomisa equipos y cierra la emisora Zeta 103.5 FM. </w:t>
        </w:r>
      </w:hyperlink>
      <w:r w:rsidR="00B34DC5">
        <w:rPr>
          <w:rStyle w:val="Hyperlink"/>
          <w:rFonts w:ascii="Cambria" w:hAnsi="Cambria"/>
          <w:color w:val="000000" w:themeColor="text1"/>
          <w:sz w:val="16"/>
          <w:szCs w:val="16"/>
        </w:rPr>
        <w:t>[‘Conatel seizes equipment and closes down radio station Zeta 103.5 FM’]</w:t>
      </w:r>
    </w:p>
  </w:footnote>
  <w:footnote w:id="178">
    <w:p w14:paraId="0D96C985" w14:textId="228322AF"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Noticero Digital. </w:t>
      </w:r>
      <w:r w:rsidR="00B34DC5">
        <w:rPr>
          <w:rFonts w:ascii="Cambria" w:hAnsi="Cambria"/>
          <w:color w:val="000000" w:themeColor="text1"/>
          <w:sz w:val="16"/>
          <w:szCs w:val="16"/>
        </w:rPr>
        <w:t xml:space="preserve">October </w:t>
      </w:r>
      <w:r w:rsidRPr="009035C0">
        <w:rPr>
          <w:rFonts w:ascii="Cambria" w:hAnsi="Cambria"/>
          <w:color w:val="000000" w:themeColor="text1"/>
          <w:sz w:val="16"/>
          <w:szCs w:val="16"/>
        </w:rPr>
        <w:t>15</w:t>
      </w:r>
      <w:r w:rsidR="00B34DC5">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34" w:history="1">
        <w:r w:rsidRPr="009035C0">
          <w:rPr>
            <w:rStyle w:val="Hyperlink"/>
            <w:rFonts w:ascii="Cambria" w:hAnsi="Cambria"/>
            <w:color w:val="000000" w:themeColor="text1"/>
            <w:sz w:val="16"/>
            <w:szCs w:val="16"/>
          </w:rPr>
          <w:t>Conatel confisca equipos de emisora Genial 89.9 FM en Guanare;</w:t>
        </w:r>
      </w:hyperlink>
      <w:r w:rsidR="00B34DC5">
        <w:rPr>
          <w:rStyle w:val="Hyperlink"/>
          <w:rFonts w:ascii="Cambria" w:hAnsi="Cambria"/>
          <w:color w:val="000000" w:themeColor="text1"/>
          <w:sz w:val="16"/>
          <w:szCs w:val="16"/>
        </w:rPr>
        <w:t>[‘Conatel confiscates equipment of radio station Genail 89.9 FM in Guanare’];</w:t>
      </w:r>
      <w:r w:rsidRPr="009035C0">
        <w:rPr>
          <w:rFonts w:ascii="Cambria" w:hAnsi="Cambria"/>
          <w:color w:val="000000" w:themeColor="text1"/>
          <w:sz w:val="16"/>
          <w:szCs w:val="16"/>
        </w:rPr>
        <w:t xml:space="preserve"> Espacio Publico. </w:t>
      </w:r>
      <w:r w:rsidR="00B34DC5"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18</w:t>
      </w:r>
      <w:r w:rsidR="00B34DC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35" w:history="1">
        <w:r w:rsidRPr="00E7771A">
          <w:rPr>
            <w:rStyle w:val="Hyperlink"/>
            <w:rFonts w:ascii="Cambria" w:hAnsi="Cambria"/>
            <w:color w:val="000000" w:themeColor="text1"/>
            <w:sz w:val="16"/>
            <w:szCs w:val="16"/>
            <w:lang w:val="es-US"/>
          </w:rPr>
          <w:t xml:space="preserve">Conatel confisca equipos de la emisora Genial 89.9 FM del estado Portuguesa. </w:t>
        </w:r>
      </w:hyperlink>
      <w:r w:rsidR="00B34DC5">
        <w:rPr>
          <w:rStyle w:val="Hyperlink"/>
          <w:rFonts w:ascii="Cambria" w:hAnsi="Cambria"/>
          <w:color w:val="000000" w:themeColor="text1"/>
          <w:sz w:val="16"/>
          <w:szCs w:val="16"/>
        </w:rPr>
        <w:t>[‘Conatel confiscates equipment of radio station Genial 89.9 FM of the state of Portugesa’]</w:t>
      </w:r>
    </w:p>
  </w:footnote>
  <w:footnote w:id="179">
    <w:p w14:paraId="6CBDB83F" w14:textId="20E2DB8E"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Instituto Prensa y Sociedad Venezuela. </w:t>
      </w:r>
      <w:r w:rsidR="00B34DC5"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14</w:t>
      </w:r>
      <w:r w:rsidR="00B34DC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36" w:history="1">
        <w:r w:rsidRPr="00E7771A">
          <w:rPr>
            <w:rStyle w:val="Hyperlink"/>
            <w:rFonts w:ascii="Cambria" w:hAnsi="Cambria"/>
            <w:color w:val="000000" w:themeColor="text1"/>
            <w:sz w:val="16"/>
            <w:szCs w:val="16"/>
            <w:lang w:val="es-US"/>
          </w:rPr>
          <w:t>Locutor y programa de denuncias censurados en Amazonas</w:t>
        </w:r>
      </w:hyperlink>
      <w:r w:rsidRPr="00E7771A">
        <w:rPr>
          <w:rFonts w:ascii="Cambria" w:hAnsi="Cambria"/>
          <w:color w:val="000000" w:themeColor="text1"/>
          <w:sz w:val="16"/>
          <w:szCs w:val="16"/>
          <w:lang w:val="es-US"/>
        </w:rPr>
        <w:t xml:space="preserve">; </w:t>
      </w:r>
      <w:r w:rsidR="00B34DC5" w:rsidRPr="00E7771A">
        <w:rPr>
          <w:rFonts w:ascii="Cambria" w:hAnsi="Cambria"/>
          <w:color w:val="000000" w:themeColor="text1"/>
          <w:sz w:val="16"/>
          <w:szCs w:val="16"/>
          <w:lang w:val="es-US"/>
        </w:rPr>
        <w:t xml:space="preserve">[‘Announcer and program of denunciations closed down in Amazonas’]; </w:t>
      </w:r>
      <w:r w:rsidRPr="00E7771A">
        <w:rPr>
          <w:rFonts w:ascii="Cambria" w:hAnsi="Cambria"/>
          <w:color w:val="000000" w:themeColor="text1"/>
          <w:sz w:val="16"/>
          <w:szCs w:val="16"/>
          <w:lang w:val="es-US"/>
        </w:rPr>
        <w:t xml:space="preserve">Espacio Público. </w:t>
      </w:r>
      <w:r w:rsidR="00B34DC5"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21</w:t>
      </w:r>
      <w:r w:rsidR="00B34DC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37" w:history="1">
        <w:r w:rsidRPr="00E7771A">
          <w:rPr>
            <w:rStyle w:val="Hyperlink"/>
            <w:rFonts w:ascii="Cambria" w:hAnsi="Cambria"/>
            <w:color w:val="000000" w:themeColor="text1"/>
            <w:sz w:val="16"/>
            <w:szCs w:val="16"/>
            <w:lang w:val="es-US"/>
          </w:rPr>
          <w:t>Cierran cinco programas de radio en el estado Zulia y Falcón.</w:t>
        </w:r>
      </w:hyperlink>
      <w:r w:rsidR="00B34DC5">
        <w:rPr>
          <w:rStyle w:val="Hyperlink"/>
          <w:rFonts w:ascii="Cambria" w:hAnsi="Cambria"/>
          <w:color w:val="000000" w:themeColor="text1"/>
          <w:sz w:val="16"/>
          <w:szCs w:val="16"/>
        </w:rPr>
        <w:t>[‘</w:t>
      </w:r>
      <w:r w:rsidR="00B71076">
        <w:rPr>
          <w:rStyle w:val="Hyperlink"/>
          <w:rFonts w:ascii="Cambria" w:hAnsi="Cambria"/>
          <w:color w:val="000000" w:themeColor="text1"/>
          <w:sz w:val="16"/>
          <w:szCs w:val="16"/>
        </w:rPr>
        <w:t>Five radio programs closed down in state of Zulia and Falcon’]</w:t>
      </w:r>
    </w:p>
  </w:footnote>
  <w:footnote w:id="180">
    <w:p w14:paraId="45524D49" w14:textId="7D45D99D"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IFEX. </w:t>
      </w:r>
      <w:r w:rsidR="00B71076"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11</w:t>
      </w:r>
      <w:r w:rsidR="00B71076"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38" w:history="1">
        <w:r w:rsidRPr="00E7771A">
          <w:rPr>
            <w:rStyle w:val="Hyperlink"/>
            <w:rFonts w:ascii="Cambria" w:hAnsi="Cambria"/>
            <w:color w:val="000000" w:themeColor="text1"/>
            <w:sz w:val="16"/>
            <w:szCs w:val="16"/>
            <w:lang w:val="es-US"/>
          </w:rPr>
          <w:t>Cierran programa de Barinas TV dedicado a denuncias de la comunidad</w:t>
        </w:r>
      </w:hyperlink>
      <w:r w:rsidRPr="00E7771A">
        <w:rPr>
          <w:rFonts w:ascii="Cambria" w:hAnsi="Cambria"/>
          <w:color w:val="000000" w:themeColor="text1"/>
          <w:sz w:val="16"/>
          <w:szCs w:val="16"/>
          <w:lang w:val="es-US"/>
        </w:rPr>
        <w:t xml:space="preserve">; </w:t>
      </w:r>
      <w:r w:rsidR="00481508" w:rsidRPr="00E7771A">
        <w:rPr>
          <w:rFonts w:ascii="Cambria" w:hAnsi="Cambria"/>
          <w:color w:val="000000" w:themeColor="text1"/>
          <w:sz w:val="16"/>
          <w:szCs w:val="16"/>
          <w:lang w:val="es-US"/>
        </w:rPr>
        <w:t xml:space="preserve">[‘Barinas community TV program dedicated to denunciations closed down’];  </w:t>
      </w:r>
      <w:r w:rsidRPr="00E7771A">
        <w:rPr>
          <w:rFonts w:ascii="Cambria" w:hAnsi="Cambria"/>
          <w:color w:val="000000" w:themeColor="text1"/>
          <w:sz w:val="16"/>
          <w:szCs w:val="16"/>
          <w:lang w:val="es-US"/>
        </w:rPr>
        <w:t xml:space="preserve">La Noticia - Barinas. </w:t>
      </w:r>
      <w:r w:rsidR="00481508"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8</w:t>
      </w:r>
      <w:r w:rsidR="00481508"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39" w:history="1">
        <w:r w:rsidRPr="00E7771A">
          <w:rPr>
            <w:rStyle w:val="Hyperlink"/>
            <w:rFonts w:ascii="Cambria" w:hAnsi="Cambria"/>
            <w:color w:val="000000" w:themeColor="text1"/>
            <w:sz w:val="16"/>
            <w:szCs w:val="16"/>
            <w:lang w:val="es-US"/>
          </w:rPr>
          <w:t>APR rechazó cierre de programa de Edecio García en Barinas TV.</w:t>
        </w:r>
      </w:hyperlink>
      <w:r w:rsidR="0032207C">
        <w:rPr>
          <w:rStyle w:val="Hyperlink"/>
          <w:rFonts w:ascii="Cambria" w:hAnsi="Cambria"/>
          <w:color w:val="000000" w:themeColor="text1"/>
          <w:sz w:val="16"/>
          <w:szCs w:val="16"/>
        </w:rPr>
        <w:t>[‘APR rejected closure of Edecio Garcia’s program on Barinas TV’]</w:t>
      </w:r>
    </w:p>
  </w:footnote>
  <w:footnote w:id="181">
    <w:p w14:paraId="016BC1DD" w14:textId="35BEEBCE"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Tal Cual. </w:t>
      </w:r>
      <w:r w:rsidR="0032207C">
        <w:rPr>
          <w:rFonts w:ascii="Cambria" w:hAnsi="Cambria"/>
          <w:color w:val="000000" w:themeColor="text1"/>
          <w:sz w:val="16"/>
          <w:szCs w:val="16"/>
        </w:rPr>
        <w:t xml:space="preserve">August </w:t>
      </w:r>
      <w:r w:rsidRPr="009035C0">
        <w:rPr>
          <w:rFonts w:ascii="Cambria" w:hAnsi="Cambria"/>
          <w:color w:val="000000" w:themeColor="text1"/>
          <w:sz w:val="16"/>
          <w:szCs w:val="16"/>
        </w:rPr>
        <w:t>3</w:t>
      </w:r>
      <w:r w:rsidR="0032207C">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40" w:history="1">
        <w:r w:rsidRPr="009035C0">
          <w:rPr>
            <w:rStyle w:val="Hyperlink"/>
            <w:rFonts w:ascii="Cambria" w:hAnsi="Cambria"/>
            <w:color w:val="000000" w:themeColor="text1"/>
            <w:sz w:val="16"/>
            <w:szCs w:val="16"/>
          </w:rPr>
          <w:t xml:space="preserve">Conatel saca del aire programa "Punto de Corte"; </w:t>
        </w:r>
      </w:hyperlink>
      <w:r w:rsidR="0032207C">
        <w:rPr>
          <w:rStyle w:val="Hyperlink"/>
          <w:rFonts w:ascii="Cambria" w:hAnsi="Cambria"/>
          <w:color w:val="000000" w:themeColor="text1"/>
          <w:sz w:val="16"/>
          <w:szCs w:val="16"/>
        </w:rPr>
        <w:t>[‘Conatel takes off air Program ‘Punto de Cort”]; Twitter account</w:t>
      </w:r>
      <w:r w:rsidR="0032207C">
        <w:rPr>
          <w:rFonts w:ascii="Cambria" w:hAnsi="Cambria"/>
          <w:color w:val="000000" w:themeColor="text1"/>
          <w:sz w:val="16"/>
          <w:szCs w:val="16"/>
        </w:rPr>
        <w:t xml:space="preserve"> of National College of Journalists of Caracas </w:t>
      </w:r>
      <w:r w:rsidRPr="009035C0">
        <w:rPr>
          <w:rFonts w:ascii="Cambria" w:hAnsi="Cambria"/>
          <w:color w:val="000000" w:themeColor="text1"/>
          <w:sz w:val="16"/>
          <w:szCs w:val="16"/>
        </w:rPr>
        <w:t xml:space="preserve">(@CNPCaracas). </w:t>
      </w:r>
      <w:hyperlink r:id="rId141" w:history="1">
        <w:r w:rsidRPr="009035C0">
          <w:rPr>
            <w:rStyle w:val="Hyperlink"/>
            <w:rFonts w:ascii="Cambria" w:hAnsi="Cambria"/>
            <w:color w:val="000000" w:themeColor="text1"/>
            <w:sz w:val="16"/>
            <w:szCs w:val="16"/>
          </w:rPr>
          <w:t>3 de agosto de 2021</w:t>
        </w:r>
      </w:hyperlink>
      <w:r w:rsidRPr="009035C0">
        <w:rPr>
          <w:rFonts w:ascii="Cambria" w:hAnsi="Cambria"/>
          <w:color w:val="000000" w:themeColor="text1"/>
          <w:sz w:val="16"/>
          <w:szCs w:val="16"/>
        </w:rPr>
        <w:t xml:space="preserve">. </w:t>
      </w:r>
    </w:p>
  </w:footnote>
  <w:footnote w:id="182">
    <w:p w14:paraId="1DF8F4AF" w14:textId="24288DA7"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Archiv</w:t>
      </w:r>
      <w:r w:rsidR="0032207C">
        <w:rPr>
          <w:rFonts w:ascii="Cambria" w:hAnsi="Cambria"/>
          <w:color w:val="000000" w:themeColor="text1"/>
          <w:sz w:val="16"/>
          <w:szCs w:val="16"/>
        </w:rPr>
        <w:t>e of the Special Rapporteurship</w:t>
      </w:r>
      <w:r w:rsidRPr="009035C0">
        <w:rPr>
          <w:rFonts w:ascii="Cambria" w:hAnsi="Cambria"/>
          <w:color w:val="000000" w:themeColor="text1"/>
          <w:sz w:val="16"/>
          <w:szCs w:val="16"/>
        </w:rPr>
        <w:t xml:space="preserve">. </w:t>
      </w:r>
      <w:r w:rsidR="0032207C">
        <w:rPr>
          <w:rFonts w:ascii="Cambria" w:hAnsi="Cambria"/>
          <w:color w:val="000000" w:themeColor="text1"/>
          <w:sz w:val="16"/>
          <w:szCs w:val="16"/>
        </w:rPr>
        <w:t>Meeting with journalists of Venezuela</w:t>
      </w:r>
      <w:r w:rsidRPr="009035C0">
        <w:rPr>
          <w:rFonts w:ascii="Cambria" w:hAnsi="Cambria"/>
          <w:color w:val="000000" w:themeColor="text1"/>
          <w:sz w:val="16"/>
          <w:szCs w:val="16"/>
        </w:rPr>
        <w:t xml:space="preserve">. </w:t>
      </w:r>
      <w:r w:rsidR="0032207C">
        <w:rPr>
          <w:rFonts w:ascii="Cambria" w:hAnsi="Cambria"/>
          <w:color w:val="000000" w:themeColor="text1"/>
          <w:sz w:val="16"/>
          <w:szCs w:val="16"/>
        </w:rPr>
        <w:t xml:space="preserve">June </w:t>
      </w:r>
      <w:r w:rsidRPr="009035C0">
        <w:rPr>
          <w:rFonts w:ascii="Cambria" w:hAnsi="Cambria"/>
          <w:color w:val="000000" w:themeColor="text1"/>
          <w:sz w:val="16"/>
          <w:szCs w:val="16"/>
        </w:rPr>
        <w:t>28</w:t>
      </w:r>
      <w:r w:rsidR="0032207C">
        <w:rPr>
          <w:rFonts w:ascii="Cambria" w:hAnsi="Cambria"/>
          <w:color w:val="000000" w:themeColor="text1"/>
          <w:sz w:val="16"/>
          <w:szCs w:val="16"/>
        </w:rPr>
        <w:t>,</w:t>
      </w:r>
      <w:r w:rsidRPr="009035C0">
        <w:rPr>
          <w:rFonts w:ascii="Cambria" w:hAnsi="Cambria"/>
          <w:color w:val="000000" w:themeColor="text1"/>
          <w:sz w:val="16"/>
          <w:szCs w:val="16"/>
        </w:rPr>
        <w:t xml:space="preserve"> 2021 </w:t>
      </w:r>
      <w:r w:rsidR="0032207C">
        <w:rPr>
          <w:rFonts w:ascii="Cambria" w:hAnsi="Cambria"/>
          <w:color w:val="000000" w:themeColor="text1"/>
          <w:sz w:val="16"/>
          <w:szCs w:val="16"/>
        </w:rPr>
        <w:t>and July</w:t>
      </w:r>
      <w:r w:rsidRPr="009035C0">
        <w:rPr>
          <w:rFonts w:ascii="Cambria" w:hAnsi="Cambria"/>
          <w:color w:val="000000" w:themeColor="text1"/>
          <w:sz w:val="16"/>
          <w:szCs w:val="16"/>
        </w:rPr>
        <w:t xml:space="preserve"> 15</w:t>
      </w:r>
      <w:r w:rsidR="0032207C">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183">
    <w:p w14:paraId="72CF964B" w14:textId="3942AB05"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B95DFB">
        <w:rPr>
          <w:rFonts w:ascii="Cambria" w:hAnsi="Cambria"/>
          <w:color w:val="000000" w:themeColor="text1"/>
          <w:sz w:val="16"/>
          <w:szCs w:val="16"/>
        </w:rPr>
        <w:t xml:space="preserve">Twitter account of National Press Workers’ Union </w:t>
      </w:r>
      <w:r w:rsidRPr="009035C0">
        <w:rPr>
          <w:rFonts w:ascii="Cambria" w:hAnsi="Cambria"/>
          <w:color w:val="000000" w:themeColor="text1"/>
          <w:sz w:val="16"/>
          <w:szCs w:val="16"/>
        </w:rPr>
        <w:t xml:space="preserve">(@sntpvenezuela). </w:t>
      </w:r>
      <w:hyperlink r:id="rId142" w:history="1">
        <w:r w:rsidRPr="00E7771A">
          <w:rPr>
            <w:rStyle w:val="Hyperlink"/>
            <w:rFonts w:ascii="Cambria" w:hAnsi="Cambria"/>
            <w:color w:val="000000" w:themeColor="text1"/>
            <w:sz w:val="16"/>
            <w:szCs w:val="16"/>
            <w:lang w:val="es-US"/>
          </w:rPr>
          <w:t>30 de agosto de 2021</w:t>
        </w:r>
      </w:hyperlink>
      <w:r w:rsidRPr="00E7771A">
        <w:rPr>
          <w:rFonts w:ascii="Cambria" w:hAnsi="Cambria"/>
          <w:color w:val="000000" w:themeColor="text1"/>
          <w:sz w:val="16"/>
          <w:szCs w:val="16"/>
          <w:lang w:val="es-US"/>
        </w:rPr>
        <w:t xml:space="preserve">. </w:t>
      </w:r>
    </w:p>
  </w:footnote>
  <w:footnote w:id="184">
    <w:p w14:paraId="20C5B3D8" w14:textId="2074F512"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Espacio Público. </w:t>
      </w:r>
      <w:r w:rsidR="00B95DFB"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13</w:t>
      </w:r>
      <w:r w:rsidR="00B95DF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43" w:history="1">
        <w:r w:rsidRPr="00E7771A">
          <w:rPr>
            <w:rStyle w:val="Hyperlink"/>
            <w:rFonts w:ascii="Cambria" w:hAnsi="Cambria"/>
            <w:color w:val="000000" w:themeColor="text1"/>
            <w:sz w:val="16"/>
            <w:szCs w:val="16"/>
            <w:lang w:val="es-US"/>
          </w:rPr>
          <w:t xml:space="preserve">Jorge Rodríguez vincula a medios digitales con violencia en Caracas. </w:t>
        </w:r>
      </w:hyperlink>
      <w:r w:rsidR="00B95DFB">
        <w:rPr>
          <w:rStyle w:val="Hyperlink"/>
          <w:rFonts w:ascii="Cambria" w:hAnsi="Cambria"/>
          <w:color w:val="000000" w:themeColor="text1"/>
          <w:sz w:val="16"/>
          <w:szCs w:val="16"/>
        </w:rPr>
        <w:t>[‘Jorge Rodriguez link</w:t>
      </w:r>
      <w:r w:rsidR="00482B8B">
        <w:rPr>
          <w:rStyle w:val="Hyperlink"/>
          <w:rFonts w:ascii="Cambria" w:hAnsi="Cambria"/>
          <w:color w:val="000000" w:themeColor="text1"/>
          <w:sz w:val="16"/>
          <w:szCs w:val="16"/>
        </w:rPr>
        <w:t>s</w:t>
      </w:r>
      <w:r w:rsidR="00B95DFB">
        <w:rPr>
          <w:rStyle w:val="Hyperlink"/>
          <w:rFonts w:ascii="Cambria" w:hAnsi="Cambria"/>
          <w:color w:val="000000" w:themeColor="text1"/>
          <w:sz w:val="16"/>
          <w:szCs w:val="16"/>
        </w:rPr>
        <w:t xml:space="preserve"> to digital media with violence in Caracas’]</w:t>
      </w:r>
    </w:p>
  </w:footnote>
  <w:footnote w:id="185">
    <w:p w14:paraId="5B91399D" w14:textId="48FB793F"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B95DFB">
        <w:rPr>
          <w:rFonts w:ascii="Cambria" w:hAnsi="Cambria"/>
          <w:color w:val="000000" w:themeColor="text1"/>
          <w:sz w:val="16"/>
          <w:szCs w:val="16"/>
        </w:rPr>
        <w:t xml:space="preserve">IACHR. Special Rapporteurship for Freedom of Expression. </w:t>
      </w:r>
      <w:r w:rsidR="00B95DFB" w:rsidRPr="00E7771A">
        <w:rPr>
          <w:rFonts w:ascii="Cambria" w:hAnsi="Cambria"/>
          <w:color w:val="000000" w:themeColor="text1"/>
          <w:sz w:val="16"/>
          <w:szCs w:val="16"/>
          <w:lang w:val="es-US"/>
        </w:rPr>
        <w:t>February</w:t>
      </w:r>
      <w:r w:rsidRPr="00E7771A">
        <w:rPr>
          <w:rFonts w:ascii="Cambria" w:hAnsi="Cambria"/>
          <w:color w:val="000000" w:themeColor="text1"/>
          <w:sz w:val="16"/>
          <w:szCs w:val="16"/>
          <w:lang w:val="es-US"/>
        </w:rPr>
        <w:t xml:space="preserve"> 5</w:t>
      </w:r>
      <w:r w:rsidR="00B95DF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r w:rsidR="00B95DFB" w:rsidRPr="00E7771A">
        <w:rPr>
          <w:rFonts w:ascii="Cambria" w:hAnsi="Cambria"/>
          <w:color w:val="000000" w:themeColor="text1"/>
          <w:sz w:val="16"/>
          <w:szCs w:val="16"/>
          <w:lang w:val="es-US"/>
        </w:rPr>
        <w:t xml:space="preserve"> Press Release </w:t>
      </w:r>
      <w:r w:rsidRPr="00E7771A">
        <w:rPr>
          <w:rFonts w:ascii="Cambria" w:hAnsi="Cambria"/>
          <w:color w:val="000000" w:themeColor="text1"/>
          <w:sz w:val="16"/>
          <w:szCs w:val="16"/>
          <w:lang w:val="es-US"/>
        </w:rPr>
        <w:t xml:space="preserve">25. </w:t>
      </w:r>
      <w:hyperlink r:id="rId144" w:history="1">
        <w:r w:rsidRPr="00E7771A">
          <w:rPr>
            <w:rStyle w:val="Hyperlink"/>
            <w:rFonts w:ascii="Cambria" w:hAnsi="Cambria"/>
            <w:color w:val="000000" w:themeColor="text1"/>
            <w:sz w:val="16"/>
            <w:szCs w:val="16"/>
            <w:lang w:val="es-US"/>
          </w:rPr>
          <w:t>La CIDH y su RELE condenan ataques contra personas defensoras de derechos humanos y periodistas, y advierten sobre cierre de los espacios democráticos en Venezuela.</w:t>
        </w:r>
      </w:hyperlink>
      <w:r w:rsidR="00B95DFB" w:rsidRPr="00E7771A">
        <w:rPr>
          <w:rStyle w:val="Hyperlink"/>
          <w:rFonts w:ascii="Cambria" w:hAnsi="Cambria"/>
          <w:color w:val="000000" w:themeColor="text1"/>
          <w:sz w:val="16"/>
          <w:szCs w:val="16"/>
          <w:lang w:val="es-US"/>
        </w:rPr>
        <w:t xml:space="preserve"> </w:t>
      </w:r>
      <w:r w:rsidR="00B95DFB">
        <w:rPr>
          <w:rStyle w:val="Hyperlink"/>
          <w:rFonts w:ascii="Cambria" w:hAnsi="Cambria"/>
          <w:color w:val="000000" w:themeColor="text1"/>
          <w:sz w:val="16"/>
          <w:szCs w:val="16"/>
        </w:rPr>
        <w:t>[‘IACHR and OSRFE Condemn Attacks Against Human Rights Defenders and Journalists and Warn of the Closure of Democratic Spaces in Venezuela’]</w:t>
      </w:r>
    </w:p>
  </w:footnote>
  <w:footnote w:id="186">
    <w:p w14:paraId="6D5C1533" w14:textId="2B5F6078"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B95DFB">
        <w:rPr>
          <w:rFonts w:ascii="Cambria" w:hAnsi="Cambria"/>
          <w:color w:val="000000" w:themeColor="text1"/>
          <w:sz w:val="16"/>
          <w:szCs w:val="16"/>
        </w:rPr>
        <w:t xml:space="preserve">IACHR. Special Rapporteurship for Freedom of Expression. </w:t>
      </w:r>
      <w:r w:rsidR="00B95DFB" w:rsidRPr="00E7771A">
        <w:rPr>
          <w:rFonts w:ascii="Cambria" w:hAnsi="Cambria"/>
          <w:color w:val="000000" w:themeColor="text1"/>
          <w:sz w:val="16"/>
          <w:szCs w:val="16"/>
          <w:lang w:val="es-US"/>
        </w:rPr>
        <w:t>February 5, 2021. Press Release 25</w:t>
      </w:r>
      <w:r w:rsidRPr="00E7771A">
        <w:rPr>
          <w:rFonts w:ascii="Cambria" w:hAnsi="Cambria"/>
          <w:color w:val="000000" w:themeColor="text1"/>
          <w:sz w:val="16"/>
          <w:szCs w:val="16"/>
          <w:lang w:val="es-US"/>
        </w:rPr>
        <w:t xml:space="preserve">. </w:t>
      </w:r>
      <w:hyperlink r:id="rId145" w:history="1">
        <w:r w:rsidRPr="00E7771A">
          <w:rPr>
            <w:rStyle w:val="Hyperlink"/>
            <w:rFonts w:ascii="Cambria" w:hAnsi="Cambria"/>
            <w:color w:val="000000" w:themeColor="text1"/>
            <w:sz w:val="16"/>
            <w:szCs w:val="16"/>
            <w:lang w:val="es-US"/>
          </w:rPr>
          <w:t>La CIDH y su RELE condenan ataques contra personas defensoras de derechos humanos y periodistas, y advierten sobre cierre de los espacios democráticos en Venezuela.</w:t>
        </w:r>
      </w:hyperlink>
      <w:r w:rsidR="00B95DFB" w:rsidRPr="00E7771A">
        <w:rPr>
          <w:rStyle w:val="Hyperlink"/>
          <w:rFonts w:ascii="Cambria" w:hAnsi="Cambria"/>
          <w:color w:val="000000" w:themeColor="text1"/>
          <w:sz w:val="16"/>
          <w:szCs w:val="16"/>
          <w:lang w:val="es-US"/>
        </w:rPr>
        <w:t xml:space="preserve"> </w:t>
      </w:r>
      <w:r w:rsidR="00B95DFB">
        <w:rPr>
          <w:rStyle w:val="Hyperlink"/>
          <w:rFonts w:ascii="Cambria" w:hAnsi="Cambria"/>
          <w:color w:val="000000" w:themeColor="text1"/>
          <w:sz w:val="16"/>
          <w:szCs w:val="16"/>
        </w:rPr>
        <w:t>[‘IACHR and OSRFE Condemn Attacks Against Human Rights Defenders and Journalists and Warn of the Closure of Democratic Spaces in Venezuela’]</w:t>
      </w:r>
    </w:p>
  </w:footnote>
  <w:footnote w:id="187">
    <w:p w14:paraId="00A62537" w14:textId="172DC864"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B95DFB">
        <w:rPr>
          <w:rFonts w:ascii="Cambria" w:hAnsi="Cambria"/>
          <w:color w:val="000000" w:themeColor="text1"/>
          <w:sz w:val="16"/>
          <w:szCs w:val="16"/>
        </w:rPr>
        <w:t xml:space="preserve">IACHR. Special Rapporteurship for Freedom of Expression. </w:t>
      </w:r>
      <w:r w:rsidR="00B95DFB" w:rsidRPr="00E7771A">
        <w:rPr>
          <w:rFonts w:ascii="Cambria" w:hAnsi="Cambria"/>
          <w:color w:val="000000" w:themeColor="text1"/>
          <w:sz w:val="16"/>
          <w:szCs w:val="16"/>
          <w:lang w:val="es-US"/>
        </w:rPr>
        <w:t>February 5, 2021. Press Release 25</w:t>
      </w:r>
      <w:r w:rsidRPr="00E7771A">
        <w:rPr>
          <w:rFonts w:ascii="Cambria" w:hAnsi="Cambria"/>
          <w:color w:val="000000" w:themeColor="text1"/>
          <w:sz w:val="16"/>
          <w:szCs w:val="16"/>
          <w:lang w:val="es-US"/>
        </w:rPr>
        <w:t xml:space="preserve">. </w:t>
      </w:r>
      <w:hyperlink r:id="rId146" w:history="1">
        <w:r w:rsidRPr="00E7771A">
          <w:rPr>
            <w:rStyle w:val="Hyperlink"/>
            <w:rFonts w:ascii="Cambria" w:hAnsi="Cambria"/>
            <w:color w:val="000000" w:themeColor="text1"/>
            <w:sz w:val="16"/>
            <w:szCs w:val="16"/>
            <w:lang w:val="es-US"/>
          </w:rPr>
          <w:t>La CIDH y su RELE condenan ataques contra personas defensoras de derechos humanos y periodistas, y advierten sobre cierre de los espacios democráticos en Venezuela</w:t>
        </w:r>
      </w:hyperlink>
      <w:r w:rsidRPr="00E7771A">
        <w:rPr>
          <w:rFonts w:ascii="Cambria" w:hAnsi="Cambria"/>
          <w:color w:val="000000" w:themeColor="text1"/>
          <w:sz w:val="16"/>
          <w:szCs w:val="16"/>
          <w:lang w:val="es-US"/>
        </w:rPr>
        <w:t xml:space="preserve">; </w:t>
      </w:r>
      <w:r w:rsidR="001A3D68" w:rsidRPr="00E7771A">
        <w:rPr>
          <w:rStyle w:val="Hyperlink"/>
          <w:rFonts w:ascii="Cambria" w:hAnsi="Cambria"/>
          <w:color w:val="000000" w:themeColor="text1"/>
          <w:sz w:val="16"/>
          <w:szCs w:val="16"/>
          <w:lang w:val="es-US"/>
        </w:rPr>
        <w:t xml:space="preserve">[‘IACHR and OSRFE Condemn Attacks Against Human Rights Defenders and Journalists and Warn of the Closure of Democratic Spaces in Venezuela’]; </w:t>
      </w:r>
      <w:r w:rsidRPr="00E7771A">
        <w:rPr>
          <w:rFonts w:ascii="Cambria" w:hAnsi="Cambria"/>
          <w:color w:val="000000" w:themeColor="text1"/>
          <w:sz w:val="16"/>
          <w:szCs w:val="16"/>
          <w:lang w:val="es-US"/>
        </w:rPr>
        <w:t xml:space="preserve">Tal Cual. </w:t>
      </w:r>
      <w:r w:rsidR="00B95DFB" w:rsidRPr="00E7771A">
        <w:rPr>
          <w:rFonts w:ascii="Cambria" w:hAnsi="Cambria"/>
          <w:color w:val="000000" w:themeColor="text1"/>
          <w:sz w:val="16"/>
          <w:szCs w:val="16"/>
          <w:lang w:val="es-US"/>
        </w:rPr>
        <w:t xml:space="preserve">January </w:t>
      </w:r>
      <w:r w:rsidRPr="00E7771A">
        <w:rPr>
          <w:rFonts w:ascii="Cambria" w:hAnsi="Cambria"/>
          <w:color w:val="000000" w:themeColor="text1"/>
          <w:sz w:val="16"/>
          <w:szCs w:val="16"/>
          <w:lang w:val="es-US"/>
        </w:rPr>
        <w:t>13</w:t>
      </w:r>
      <w:r w:rsidR="00B95DF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47" w:history="1">
        <w:r w:rsidRPr="00E7771A">
          <w:rPr>
            <w:rStyle w:val="Hyperlink"/>
            <w:rFonts w:ascii="Cambria" w:hAnsi="Cambria"/>
            <w:color w:val="000000" w:themeColor="text1"/>
            <w:sz w:val="16"/>
            <w:szCs w:val="16"/>
            <w:lang w:val="es-US"/>
          </w:rPr>
          <w:t xml:space="preserve">Cabello pide investigación contra Provea por señalar financiamiento exterior del PSUV. </w:t>
        </w:r>
      </w:hyperlink>
      <w:r w:rsidR="00B95DFB">
        <w:rPr>
          <w:rStyle w:val="Hyperlink"/>
          <w:rFonts w:ascii="Cambria" w:hAnsi="Cambria"/>
          <w:color w:val="000000" w:themeColor="text1"/>
          <w:sz w:val="16"/>
          <w:szCs w:val="16"/>
        </w:rPr>
        <w:t xml:space="preserve">[‘Cabello calls for investigation against Provea </w:t>
      </w:r>
      <w:r w:rsidR="005355A7">
        <w:rPr>
          <w:rStyle w:val="Hyperlink"/>
          <w:rFonts w:ascii="Cambria" w:hAnsi="Cambria"/>
          <w:color w:val="000000" w:themeColor="text1"/>
          <w:sz w:val="16"/>
          <w:szCs w:val="16"/>
        </w:rPr>
        <w:t>because</w:t>
      </w:r>
      <w:r w:rsidR="009848D2">
        <w:rPr>
          <w:rStyle w:val="Hyperlink"/>
          <w:rFonts w:ascii="Cambria" w:hAnsi="Cambria"/>
          <w:color w:val="000000" w:themeColor="text1"/>
          <w:sz w:val="16"/>
          <w:szCs w:val="16"/>
        </w:rPr>
        <w:t xml:space="preserve"> PSUV accus</w:t>
      </w:r>
      <w:r w:rsidR="005355A7">
        <w:rPr>
          <w:rStyle w:val="Hyperlink"/>
          <w:rFonts w:ascii="Cambria" w:hAnsi="Cambria"/>
          <w:color w:val="000000" w:themeColor="text1"/>
          <w:sz w:val="16"/>
          <w:szCs w:val="16"/>
        </w:rPr>
        <w:t>es</w:t>
      </w:r>
      <w:r w:rsidR="009848D2">
        <w:rPr>
          <w:rStyle w:val="Hyperlink"/>
          <w:rFonts w:ascii="Cambria" w:hAnsi="Cambria"/>
          <w:color w:val="000000" w:themeColor="text1"/>
          <w:sz w:val="16"/>
          <w:szCs w:val="16"/>
        </w:rPr>
        <w:t xml:space="preserve"> it of </w:t>
      </w:r>
      <w:r w:rsidR="00805660">
        <w:rPr>
          <w:rStyle w:val="Hyperlink"/>
          <w:rFonts w:ascii="Cambria" w:hAnsi="Cambria"/>
          <w:color w:val="000000" w:themeColor="text1"/>
          <w:sz w:val="16"/>
          <w:szCs w:val="16"/>
        </w:rPr>
        <w:t xml:space="preserve">receiving </w:t>
      </w:r>
      <w:r w:rsidR="009848D2">
        <w:rPr>
          <w:rStyle w:val="Hyperlink"/>
          <w:rFonts w:ascii="Cambria" w:hAnsi="Cambria"/>
          <w:color w:val="000000" w:themeColor="text1"/>
          <w:sz w:val="16"/>
          <w:szCs w:val="16"/>
        </w:rPr>
        <w:t>outside financing’]</w:t>
      </w:r>
    </w:p>
  </w:footnote>
  <w:footnote w:id="188">
    <w:p w14:paraId="00EE60D0" w14:textId="3AC60A55"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Espacio Público. </w:t>
      </w:r>
      <w:r w:rsidR="009848D2"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27</w:t>
      </w:r>
      <w:r w:rsidR="009848D2"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48" w:history="1">
        <w:r w:rsidRPr="00E7771A">
          <w:rPr>
            <w:rStyle w:val="Hyperlink"/>
            <w:rFonts w:ascii="Cambria" w:hAnsi="Cambria"/>
            <w:color w:val="000000" w:themeColor="text1"/>
            <w:sz w:val="16"/>
            <w:szCs w:val="16"/>
            <w:lang w:val="es-US"/>
          </w:rPr>
          <w:t>Diosdado Cabello acusa a Sebastiana Barráez de vínculos con el paramilitarismo colombiano;</w:t>
        </w:r>
      </w:hyperlink>
      <w:r w:rsidR="009848D2" w:rsidRPr="00E7771A">
        <w:rPr>
          <w:rStyle w:val="Hyperlink"/>
          <w:rFonts w:ascii="Cambria" w:hAnsi="Cambria"/>
          <w:color w:val="000000" w:themeColor="text1"/>
          <w:sz w:val="16"/>
          <w:szCs w:val="16"/>
          <w:lang w:val="es-US"/>
        </w:rPr>
        <w:t>[‘Diosdado Cabello accuses Sebastiana Barraez of links to Colombian paramilitary’]</w:t>
      </w:r>
      <w:r w:rsidRPr="00E7771A">
        <w:rPr>
          <w:rFonts w:ascii="Cambria" w:hAnsi="Cambria"/>
          <w:color w:val="000000" w:themeColor="text1"/>
          <w:sz w:val="16"/>
          <w:szCs w:val="16"/>
          <w:lang w:val="es-US"/>
        </w:rPr>
        <w:t xml:space="preserve"> Con el Mazo Dado. </w:t>
      </w:r>
      <w:hyperlink r:id="rId149" w:history="1">
        <w:r w:rsidRPr="009035C0">
          <w:rPr>
            <w:rStyle w:val="Hyperlink"/>
            <w:rFonts w:ascii="Cambria" w:hAnsi="Cambria"/>
            <w:color w:val="000000" w:themeColor="text1"/>
            <w:sz w:val="16"/>
            <w:szCs w:val="16"/>
          </w:rPr>
          <w:t>Programa 362</w:t>
        </w:r>
      </w:hyperlink>
      <w:r w:rsidRPr="009035C0">
        <w:rPr>
          <w:rFonts w:ascii="Cambria" w:hAnsi="Cambria"/>
          <w:color w:val="000000" w:themeColor="text1"/>
          <w:sz w:val="16"/>
          <w:szCs w:val="16"/>
        </w:rPr>
        <w:t xml:space="preserve">. </w:t>
      </w:r>
    </w:p>
  </w:footnote>
  <w:footnote w:id="189">
    <w:p w14:paraId="5404B705" w14:textId="2F477F9D"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Archiv</w:t>
      </w:r>
      <w:r w:rsidR="009848D2">
        <w:rPr>
          <w:rFonts w:ascii="Cambria" w:hAnsi="Cambria"/>
          <w:color w:val="000000" w:themeColor="text1"/>
          <w:sz w:val="16"/>
          <w:szCs w:val="16"/>
        </w:rPr>
        <w:t>e of the Special Rapporteurship. Meeting with journalists of Venezuela. June</w:t>
      </w:r>
      <w:r w:rsidRPr="009035C0">
        <w:rPr>
          <w:rFonts w:ascii="Cambria" w:hAnsi="Cambria"/>
          <w:color w:val="000000" w:themeColor="text1"/>
          <w:sz w:val="16"/>
          <w:szCs w:val="16"/>
        </w:rPr>
        <w:t>. 28</w:t>
      </w:r>
      <w:r w:rsidR="009848D2">
        <w:rPr>
          <w:rFonts w:ascii="Cambria" w:hAnsi="Cambria"/>
          <w:color w:val="000000" w:themeColor="text1"/>
          <w:sz w:val="16"/>
          <w:szCs w:val="16"/>
        </w:rPr>
        <w:t>,</w:t>
      </w:r>
      <w:r w:rsidRPr="009035C0">
        <w:rPr>
          <w:rFonts w:ascii="Cambria" w:hAnsi="Cambria"/>
          <w:color w:val="000000" w:themeColor="text1"/>
          <w:sz w:val="16"/>
          <w:szCs w:val="16"/>
        </w:rPr>
        <w:t xml:space="preserve"> 2021 </w:t>
      </w:r>
      <w:r w:rsidR="009848D2">
        <w:rPr>
          <w:rFonts w:ascii="Cambria" w:hAnsi="Cambria"/>
          <w:color w:val="000000" w:themeColor="text1"/>
          <w:sz w:val="16"/>
          <w:szCs w:val="16"/>
        </w:rPr>
        <w:t xml:space="preserve">and July </w:t>
      </w:r>
      <w:r w:rsidRPr="009035C0">
        <w:rPr>
          <w:rFonts w:ascii="Cambria" w:hAnsi="Cambria"/>
          <w:color w:val="000000" w:themeColor="text1"/>
          <w:sz w:val="16"/>
          <w:szCs w:val="16"/>
        </w:rPr>
        <w:t>15</w:t>
      </w:r>
      <w:r w:rsidR="009848D2">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190">
    <w:p w14:paraId="53EE2DA4" w14:textId="1B517289"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Espacio Público. </w:t>
      </w:r>
      <w:r w:rsidR="009848D2">
        <w:rPr>
          <w:rFonts w:ascii="Cambria" w:hAnsi="Cambria"/>
          <w:color w:val="000000" w:themeColor="text1"/>
          <w:sz w:val="16"/>
          <w:szCs w:val="16"/>
        </w:rPr>
        <w:t xml:space="preserve">April </w:t>
      </w:r>
      <w:r w:rsidRPr="009035C0">
        <w:rPr>
          <w:rFonts w:ascii="Cambria" w:hAnsi="Cambria"/>
          <w:color w:val="000000" w:themeColor="text1"/>
          <w:sz w:val="16"/>
          <w:szCs w:val="16"/>
        </w:rPr>
        <w:t>25</w:t>
      </w:r>
      <w:r w:rsidR="009848D2">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50" w:history="1">
        <w:r w:rsidRPr="009035C0">
          <w:rPr>
            <w:rStyle w:val="Hyperlink"/>
            <w:rFonts w:ascii="Cambria" w:hAnsi="Cambria"/>
            <w:color w:val="000000" w:themeColor="text1"/>
            <w:sz w:val="16"/>
            <w:szCs w:val="16"/>
          </w:rPr>
          <w:t>Fallas eléctricas dejan fuera del aire a Radio Rumbos 670 AM</w:t>
        </w:r>
      </w:hyperlink>
      <w:r w:rsidR="009848D2">
        <w:rPr>
          <w:rFonts w:ascii="Cambria" w:hAnsi="Cambria"/>
          <w:color w:val="000000" w:themeColor="text1"/>
          <w:sz w:val="16"/>
          <w:szCs w:val="16"/>
        </w:rPr>
        <w:t xml:space="preserve"> [‘Electric failures leave Radio Rumbos 670 AM off the air’];</w:t>
      </w:r>
      <w:r w:rsidRPr="009035C0">
        <w:rPr>
          <w:rFonts w:ascii="Cambria" w:hAnsi="Cambria"/>
          <w:color w:val="000000" w:themeColor="text1"/>
          <w:sz w:val="16"/>
          <w:szCs w:val="16"/>
        </w:rPr>
        <w:t xml:space="preserve"> Espacio Público. </w:t>
      </w:r>
      <w:r w:rsidR="009848D2"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15</w:t>
      </w:r>
      <w:r w:rsidR="009848D2"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51" w:history="1">
        <w:r w:rsidRPr="00E7771A">
          <w:rPr>
            <w:rStyle w:val="Hyperlink"/>
            <w:rFonts w:ascii="Cambria" w:hAnsi="Cambria"/>
            <w:color w:val="000000" w:themeColor="text1"/>
            <w:sz w:val="16"/>
            <w:szCs w:val="16"/>
            <w:lang w:val="es-US"/>
          </w:rPr>
          <w:t>Apagones afectaron la conectividad de varios estados de Venezuela.</w:t>
        </w:r>
      </w:hyperlink>
      <w:r w:rsidR="00120A52" w:rsidRPr="00E7771A">
        <w:rPr>
          <w:rStyle w:val="Hyperlink"/>
          <w:rFonts w:ascii="Cambria" w:hAnsi="Cambria"/>
          <w:color w:val="000000" w:themeColor="text1"/>
          <w:sz w:val="16"/>
          <w:szCs w:val="16"/>
          <w:lang w:val="es-US"/>
        </w:rPr>
        <w:t xml:space="preserve"> </w:t>
      </w:r>
      <w:r w:rsidR="009848D2" w:rsidRPr="00E7771A">
        <w:rPr>
          <w:rFonts w:ascii="Cambria" w:hAnsi="Cambria"/>
          <w:color w:val="000000" w:themeColor="text1"/>
          <w:sz w:val="16"/>
          <w:szCs w:val="16"/>
          <w:lang w:val="es-US"/>
        </w:rPr>
        <w:t xml:space="preserve">.[Outages impact connectivity of several States of Venezuela’]; </w:t>
      </w:r>
      <w:r w:rsidRPr="00E7771A">
        <w:rPr>
          <w:rFonts w:ascii="Cambria" w:hAnsi="Cambria"/>
          <w:color w:val="000000" w:themeColor="text1"/>
          <w:sz w:val="16"/>
          <w:szCs w:val="16"/>
          <w:lang w:val="es-US"/>
        </w:rPr>
        <w:t>Espacio Público</w:t>
      </w:r>
      <w:r w:rsidR="009848D2" w:rsidRPr="00E7771A">
        <w:rPr>
          <w:rFonts w:ascii="Cambria" w:hAnsi="Cambria"/>
          <w:color w:val="000000" w:themeColor="text1"/>
          <w:sz w:val="16"/>
          <w:szCs w:val="16"/>
          <w:lang w:val="es-US"/>
        </w:rPr>
        <w:t xml:space="preserve"> September </w:t>
      </w:r>
      <w:r w:rsidRPr="00E7771A">
        <w:rPr>
          <w:rFonts w:ascii="Cambria" w:hAnsi="Cambria"/>
          <w:color w:val="000000" w:themeColor="text1"/>
          <w:sz w:val="16"/>
          <w:szCs w:val="16"/>
          <w:lang w:val="es-US"/>
        </w:rPr>
        <w:t>20</w:t>
      </w:r>
      <w:r w:rsidR="009848D2"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52" w:history="1">
        <w:r w:rsidRPr="00E7771A">
          <w:rPr>
            <w:rStyle w:val="Hyperlink"/>
            <w:rFonts w:ascii="Cambria" w:hAnsi="Cambria"/>
            <w:color w:val="000000" w:themeColor="text1"/>
            <w:sz w:val="16"/>
            <w:szCs w:val="16"/>
            <w:lang w:val="es-US"/>
          </w:rPr>
          <w:t>Apagones dejan incomunicada a la población del país;</w:t>
        </w:r>
      </w:hyperlink>
      <w:r w:rsidRPr="00E7771A">
        <w:rPr>
          <w:rFonts w:ascii="Cambria" w:hAnsi="Cambria"/>
          <w:color w:val="000000" w:themeColor="text1"/>
          <w:sz w:val="16"/>
          <w:szCs w:val="16"/>
          <w:lang w:val="es-US"/>
        </w:rPr>
        <w:t xml:space="preserve"> </w:t>
      </w:r>
      <w:r w:rsidR="003F3B9B" w:rsidRPr="00E7771A">
        <w:rPr>
          <w:rFonts w:ascii="Cambria" w:hAnsi="Cambria"/>
          <w:color w:val="000000" w:themeColor="text1"/>
          <w:sz w:val="16"/>
          <w:szCs w:val="16"/>
          <w:lang w:val="es-US"/>
        </w:rPr>
        <w:t xml:space="preserve">[‘Power outages leave the population of the country incommunicado’]; </w:t>
      </w:r>
      <w:r w:rsidRPr="00E7771A">
        <w:rPr>
          <w:rFonts w:ascii="Cambria" w:hAnsi="Cambria"/>
          <w:color w:val="000000" w:themeColor="text1"/>
          <w:sz w:val="16"/>
          <w:szCs w:val="16"/>
          <w:lang w:val="es-US"/>
        </w:rPr>
        <w:t xml:space="preserve">Espacio Público. </w:t>
      </w:r>
      <w:r w:rsidR="003F3B9B"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4</w:t>
      </w:r>
      <w:r w:rsidR="003F3B9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53" w:history="1">
        <w:r w:rsidRPr="00E7771A">
          <w:rPr>
            <w:rStyle w:val="Hyperlink"/>
            <w:rFonts w:ascii="Cambria" w:hAnsi="Cambria"/>
            <w:color w:val="000000" w:themeColor="text1"/>
            <w:sz w:val="16"/>
            <w:szCs w:val="16"/>
            <w:lang w:val="es-US"/>
          </w:rPr>
          <w:t xml:space="preserve">Apagón deja sin información al estado Zulia. </w:t>
        </w:r>
      </w:hyperlink>
      <w:r w:rsidR="003F3B9B" w:rsidRPr="00E7771A">
        <w:rPr>
          <w:rStyle w:val="Hyperlink"/>
          <w:rFonts w:ascii="Cambria" w:hAnsi="Cambria"/>
          <w:color w:val="000000" w:themeColor="text1"/>
          <w:sz w:val="16"/>
          <w:szCs w:val="16"/>
          <w:lang w:val="es-US"/>
        </w:rPr>
        <w:t>[‘Power outage leaves state of Zulia without information’]</w:t>
      </w:r>
    </w:p>
  </w:footnote>
  <w:footnote w:id="191">
    <w:p w14:paraId="7359D09B" w14:textId="6F8515B7"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Instituto Prensa y Sociedad Venezuela. </w:t>
      </w:r>
      <w:r w:rsidR="00673B2B"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26</w:t>
      </w:r>
      <w:r w:rsidR="00673B2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54" w:history="1">
        <w:r w:rsidRPr="00E7771A">
          <w:rPr>
            <w:rStyle w:val="Hyperlink"/>
            <w:rFonts w:ascii="Cambria" w:hAnsi="Cambria"/>
            <w:color w:val="000000" w:themeColor="text1"/>
            <w:sz w:val="16"/>
            <w:szCs w:val="16"/>
            <w:lang w:val="es-US"/>
          </w:rPr>
          <w:t>Diario El Tiempo anunció cierre definitivo de su rotativa en Anzoátegui.</w:t>
        </w:r>
      </w:hyperlink>
      <w:r w:rsidR="00673B2B" w:rsidRPr="00E7771A">
        <w:rPr>
          <w:rStyle w:val="Hyperlink"/>
          <w:rFonts w:ascii="Cambria" w:hAnsi="Cambria"/>
          <w:color w:val="000000" w:themeColor="text1"/>
          <w:sz w:val="16"/>
          <w:szCs w:val="16"/>
          <w:lang w:val="es-US"/>
        </w:rPr>
        <w:t xml:space="preserve"> </w:t>
      </w:r>
      <w:r w:rsidR="00673B2B">
        <w:rPr>
          <w:rStyle w:val="Hyperlink"/>
          <w:rFonts w:ascii="Cambria" w:hAnsi="Cambria"/>
          <w:color w:val="000000" w:themeColor="text1"/>
          <w:sz w:val="16"/>
          <w:szCs w:val="16"/>
        </w:rPr>
        <w:t xml:space="preserve">[‘Daily newspaper El Tiempo announced </w:t>
      </w:r>
      <w:r w:rsidR="00F3395A">
        <w:rPr>
          <w:rStyle w:val="Hyperlink"/>
          <w:rFonts w:ascii="Cambria" w:hAnsi="Cambria"/>
          <w:color w:val="000000" w:themeColor="text1"/>
          <w:sz w:val="16"/>
          <w:szCs w:val="16"/>
        </w:rPr>
        <w:t xml:space="preserve">final </w:t>
      </w:r>
      <w:r w:rsidR="009B2BDE">
        <w:rPr>
          <w:rStyle w:val="Hyperlink"/>
          <w:rFonts w:ascii="Cambria" w:hAnsi="Cambria"/>
          <w:color w:val="000000" w:themeColor="text1"/>
          <w:sz w:val="16"/>
          <w:szCs w:val="16"/>
        </w:rPr>
        <w:t>closure of its press facilities in Anzoátegui’].</w:t>
      </w:r>
    </w:p>
  </w:footnote>
  <w:footnote w:id="192">
    <w:p w14:paraId="57A4B6F4" w14:textId="5D44B2DC"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Instituto Prensa y Sociedad Venezuela. </w:t>
      </w:r>
      <w:r w:rsidR="009B2BDE"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26</w:t>
      </w:r>
      <w:r w:rsidR="009B2BDE"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55" w:history="1">
        <w:r w:rsidRPr="00E7771A">
          <w:rPr>
            <w:rStyle w:val="Hyperlink"/>
            <w:rFonts w:ascii="Cambria" w:hAnsi="Cambria"/>
            <w:color w:val="000000" w:themeColor="text1"/>
            <w:sz w:val="16"/>
            <w:szCs w:val="16"/>
            <w:lang w:val="es-US"/>
          </w:rPr>
          <w:t>Diario El Tiempo anunció cierre definitivo de su rotativa en Anzoátegui</w:t>
        </w:r>
      </w:hyperlink>
      <w:r w:rsidRPr="00E7771A">
        <w:rPr>
          <w:rFonts w:ascii="Cambria" w:hAnsi="Cambria"/>
          <w:color w:val="000000" w:themeColor="text1"/>
          <w:sz w:val="16"/>
          <w:szCs w:val="16"/>
          <w:lang w:val="es-US"/>
        </w:rPr>
        <w:t>;</w:t>
      </w:r>
      <w:r w:rsidR="009B2BDE" w:rsidRPr="00E7771A">
        <w:rPr>
          <w:rStyle w:val="Hyperlink"/>
          <w:rFonts w:ascii="Cambria" w:hAnsi="Cambria"/>
          <w:color w:val="000000" w:themeColor="text1"/>
          <w:sz w:val="16"/>
          <w:szCs w:val="16"/>
          <w:lang w:val="es-US"/>
        </w:rPr>
        <w:t xml:space="preserve"> [‘Daily newspaper El Tiempo announced closure for good of its press facilities in Anzoátegui’].</w:t>
      </w:r>
      <w:r w:rsidRPr="00E7771A">
        <w:rPr>
          <w:rFonts w:ascii="Cambria" w:hAnsi="Cambria"/>
          <w:color w:val="000000" w:themeColor="text1"/>
          <w:sz w:val="16"/>
          <w:szCs w:val="16"/>
          <w:lang w:val="es-US"/>
        </w:rPr>
        <w:t xml:space="preserve"> El Pitazo. </w:t>
      </w:r>
      <w:r w:rsidR="009B2BDE"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25</w:t>
      </w:r>
      <w:r w:rsidR="009B2BDE"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de 2021. </w:t>
      </w:r>
      <w:hyperlink r:id="rId156" w:history="1">
        <w:r w:rsidRPr="00E7771A">
          <w:rPr>
            <w:rStyle w:val="Hyperlink"/>
            <w:rFonts w:ascii="Cambria" w:hAnsi="Cambria"/>
            <w:color w:val="000000" w:themeColor="text1"/>
            <w:sz w:val="16"/>
            <w:szCs w:val="16"/>
            <w:lang w:val="es-US"/>
          </w:rPr>
          <w:t>Diario El Tiempo deja de circular definitivamente en Anzoátegui.</w:t>
        </w:r>
      </w:hyperlink>
      <w:r w:rsidR="009B2BDE">
        <w:rPr>
          <w:rStyle w:val="Hyperlink"/>
          <w:rFonts w:ascii="Cambria" w:hAnsi="Cambria"/>
          <w:color w:val="000000" w:themeColor="text1"/>
          <w:sz w:val="16"/>
          <w:szCs w:val="16"/>
        </w:rPr>
        <w:t>[‘Daily paper El Tiempo stops circulating for good in Anzoátegui’].</w:t>
      </w:r>
    </w:p>
  </w:footnote>
  <w:footnote w:id="193">
    <w:p w14:paraId="650B972A" w14:textId="2E4FFBC6"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La Patilla. </w:t>
      </w:r>
      <w:r w:rsidR="00DA53F5">
        <w:rPr>
          <w:rFonts w:ascii="Cambria" w:hAnsi="Cambria"/>
          <w:color w:val="000000" w:themeColor="text1"/>
          <w:sz w:val="16"/>
          <w:szCs w:val="16"/>
        </w:rPr>
        <w:t xml:space="preserve">April </w:t>
      </w:r>
      <w:r w:rsidRPr="009035C0">
        <w:rPr>
          <w:rFonts w:ascii="Cambria" w:hAnsi="Cambria"/>
          <w:color w:val="000000" w:themeColor="text1"/>
          <w:sz w:val="16"/>
          <w:szCs w:val="16"/>
        </w:rPr>
        <w:t>25</w:t>
      </w:r>
      <w:r w:rsidR="00DA53F5">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57" w:history="1">
        <w:r w:rsidRPr="009035C0">
          <w:rPr>
            <w:rStyle w:val="Hyperlink"/>
            <w:rFonts w:ascii="Cambria" w:hAnsi="Cambria"/>
            <w:color w:val="000000" w:themeColor="text1"/>
            <w:sz w:val="16"/>
            <w:szCs w:val="16"/>
          </w:rPr>
          <w:t>Informe técnico de los bomberos reveló que el incendio en la sede del CNP en Sucre fue provocado</w:t>
        </w:r>
      </w:hyperlink>
      <w:r w:rsidRPr="009035C0">
        <w:rPr>
          <w:rFonts w:ascii="Cambria" w:hAnsi="Cambria"/>
          <w:color w:val="000000" w:themeColor="text1"/>
          <w:sz w:val="16"/>
          <w:szCs w:val="16"/>
        </w:rPr>
        <w:t xml:space="preserve">; </w:t>
      </w:r>
      <w:r w:rsidR="00DA53F5">
        <w:rPr>
          <w:rFonts w:ascii="Cambria" w:hAnsi="Cambria"/>
          <w:color w:val="000000" w:themeColor="text1"/>
          <w:sz w:val="16"/>
          <w:szCs w:val="16"/>
        </w:rPr>
        <w:t xml:space="preserve">[‘Technical report of firemen revealed that the fire at the CNP headquarters in Sucre was arson’]; </w:t>
      </w:r>
      <w:r w:rsidRPr="009035C0">
        <w:rPr>
          <w:rFonts w:ascii="Cambria" w:hAnsi="Cambria"/>
          <w:color w:val="000000" w:themeColor="text1"/>
          <w:sz w:val="16"/>
          <w:szCs w:val="16"/>
        </w:rPr>
        <w:t xml:space="preserve">NTN-24. </w:t>
      </w:r>
      <w:r w:rsidR="00DA53F5" w:rsidRPr="00E7771A">
        <w:rPr>
          <w:rFonts w:ascii="Cambria" w:hAnsi="Cambria"/>
          <w:color w:val="000000" w:themeColor="text1"/>
          <w:sz w:val="16"/>
          <w:szCs w:val="16"/>
          <w:lang w:val="es-US"/>
        </w:rPr>
        <w:t xml:space="preserve">April </w:t>
      </w:r>
      <w:r w:rsidRPr="00E7771A">
        <w:rPr>
          <w:rFonts w:ascii="Cambria" w:hAnsi="Cambria"/>
          <w:color w:val="000000" w:themeColor="text1"/>
          <w:sz w:val="16"/>
          <w:szCs w:val="16"/>
          <w:lang w:val="es-US"/>
        </w:rPr>
        <w:t xml:space="preserve">25. </w:t>
      </w:r>
      <w:hyperlink r:id="rId158" w:history="1">
        <w:r w:rsidRPr="00E7771A">
          <w:rPr>
            <w:rStyle w:val="Hyperlink"/>
            <w:rFonts w:ascii="Cambria" w:hAnsi="Cambria"/>
            <w:color w:val="000000" w:themeColor="text1"/>
            <w:sz w:val="16"/>
            <w:szCs w:val="16"/>
            <w:lang w:val="es-US"/>
          </w:rPr>
          <w:t>Incendio en sede de CNP en sucre fue provocado según informe de bomberos (ntn24.com)</w:t>
        </w:r>
      </w:hyperlink>
      <w:r w:rsidRPr="00E7771A">
        <w:rPr>
          <w:rFonts w:ascii="Cambria" w:hAnsi="Cambria"/>
          <w:color w:val="000000" w:themeColor="text1"/>
          <w:sz w:val="16"/>
          <w:szCs w:val="16"/>
          <w:lang w:val="es-US"/>
        </w:rPr>
        <w:t xml:space="preserve">. </w:t>
      </w:r>
      <w:r w:rsidR="00DA53F5">
        <w:rPr>
          <w:rFonts w:ascii="Cambria" w:hAnsi="Cambria"/>
          <w:color w:val="000000" w:themeColor="text1"/>
          <w:sz w:val="16"/>
          <w:szCs w:val="16"/>
        </w:rPr>
        <w:t xml:space="preserve">[‘Fire at CNP headquarters in Sucre was intentional according to firemen’s report’]; Twitter account of the National College of Journalists </w:t>
      </w:r>
      <w:r w:rsidRPr="009035C0">
        <w:rPr>
          <w:rFonts w:ascii="Cambria" w:hAnsi="Cambria"/>
          <w:color w:val="000000" w:themeColor="text1"/>
          <w:sz w:val="16"/>
          <w:szCs w:val="16"/>
        </w:rPr>
        <w:t xml:space="preserve">(@cnpven). </w:t>
      </w:r>
      <w:hyperlink r:id="rId159" w:history="1">
        <w:r w:rsidRPr="00E7771A">
          <w:rPr>
            <w:rStyle w:val="Hyperlink"/>
            <w:rFonts w:ascii="Cambria" w:hAnsi="Cambria"/>
            <w:color w:val="000000" w:themeColor="text1"/>
            <w:sz w:val="16"/>
            <w:szCs w:val="16"/>
            <w:lang w:val="es-US"/>
          </w:rPr>
          <w:t>25 de abril</w:t>
        </w:r>
      </w:hyperlink>
      <w:r w:rsidRPr="00E7771A">
        <w:rPr>
          <w:rFonts w:ascii="Cambria" w:hAnsi="Cambria"/>
          <w:color w:val="000000" w:themeColor="text1"/>
          <w:sz w:val="16"/>
          <w:szCs w:val="16"/>
          <w:lang w:val="es-US"/>
        </w:rPr>
        <w:t>.</w:t>
      </w:r>
    </w:p>
  </w:footnote>
  <w:footnote w:id="194">
    <w:p w14:paraId="08B30F03" w14:textId="4CF61CB2"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Fé y Alegria. </w:t>
      </w:r>
      <w:r w:rsidR="00DA53F5" w:rsidRPr="00E7771A">
        <w:rPr>
          <w:rFonts w:ascii="Cambria" w:hAnsi="Cambria"/>
          <w:color w:val="000000" w:themeColor="text1"/>
          <w:sz w:val="16"/>
          <w:szCs w:val="16"/>
          <w:lang w:val="es-US"/>
        </w:rPr>
        <w:t xml:space="preserve">August </w:t>
      </w:r>
      <w:r w:rsidRPr="00E7771A">
        <w:rPr>
          <w:rFonts w:ascii="Cambria" w:hAnsi="Cambria"/>
          <w:color w:val="000000" w:themeColor="text1"/>
          <w:sz w:val="16"/>
          <w:szCs w:val="16"/>
          <w:lang w:val="es-US"/>
        </w:rPr>
        <w:t>19</w:t>
      </w:r>
      <w:r w:rsidR="00DA53F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60" w:history="1">
        <w:r w:rsidRPr="00E7771A">
          <w:rPr>
            <w:rStyle w:val="Hyperlink"/>
            <w:rFonts w:ascii="Cambria" w:hAnsi="Cambria"/>
            <w:color w:val="000000" w:themeColor="text1"/>
            <w:sz w:val="16"/>
            <w:szCs w:val="16"/>
            <w:lang w:val="es-US"/>
          </w:rPr>
          <w:t>Robaron la malla de la antena radial de Radio Fe y Alegría Guasdualito - Radio Fe y Alegría Noticias.</w:t>
        </w:r>
      </w:hyperlink>
      <w:r w:rsidRPr="00E7771A">
        <w:rPr>
          <w:rFonts w:ascii="Cambria" w:hAnsi="Cambria"/>
          <w:color w:val="000000" w:themeColor="text1"/>
          <w:sz w:val="16"/>
          <w:szCs w:val="16"/>
          <w:lang w:val="es-US"/>
        </w:rPr>
        <w:t>;</w:t>
      </w:r>
      <w:r w:rsidR="00DA53F5" w:rsidRPr="00E7771A">
        <w:rPr>
          <w:rFonts w:ascii="Cambria" w:hAnsi="Cambria"/>
          <w:color w:val="000000" w:themeColor="text1"/>
          <w:sz w:val="16"/>
          <w:szCs w:val="16"/>
          <w:lang w:val="es-US"/>
        </w:rPr>
        <w:t xml:space="preserve">[‘Wire array of radio antenna of Radio Fe y Alegria Guasdualito stolen’]; </w:t>
      </w:r>
      <w:r w:rsidRPr="00E7771A">
        <w:rPr>
          <w:rFonts w:ascii="Cambria" w:hAnsi="Cambria"/>
          <w:color w:val="000000" w:themeColor="text1"/>
          <w:sz w:val="16"/>
          <w:szCs w:val="16"/>
          <w:lang w:val="es-US"/>
        </w:rPr>
        <w:t xml:space="preserve"> Fé y alegría. </w:t>
      </w:r>
      <w:r w:rsidR="00DA53F5"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20</w:t>
      </w:r>
      <w:r w:rsidR="00DA53F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61" w:history="1">
        <w:r w:rsidRPr="00E7771A">
          <w:rPr>
            <w:rStyle w:val="Hyperlink"/>
            <w:rFonts w:ascii="Cambria" w:hAnsi="Cambria"/>
            <w:color w:val="000000" w:themeColor="text1"/>
            <w:sz w:val="16"/>
            <w:szCs w:val="16"/>
            <w:lang w:val="es-US"/>
          </w:rPr>
          <w:t>Así también se silencia una radio - Radio Fe y Alegría Noticias.</w:t>
        </w:r>
      </w:hyperlink>
      <w:r w:rsidR="00AB3781" w:rsidRPr="00E7771A">
        <w:rPr>
          <w:rStyle w:val="Hyperlink"/>
          <w:rFonts w:ascii="Cambria" w:hAnsi="Cambria"/>
          <w:color w:val="000000" w:themeColor="text1"/>
          <w:sz w:val="16"/>
          <w:szCs w:val="16"/>
          <w:lang w:val="es-US"/>
        </w:rPr>
        <w:t xml:space="preserve"> </w:t>
      </w:r>
      <w:r w:rsidR="00AB3781">
        <w:rPr>
          <w:rStyle w:val="Hyperlink"/>
          <w:rFonts w:ascii="Cambria" w:hAnsi="Cambria"/>
          <w:color w:val="000000" w:themeColor="text1"/>
          <w:sz w:val="16"/>
          <w:szCs w:val="16"/>
        </w:rPr>
        <w:t>[</w:t>
      </w:r>
      <w:r w:rsidR="007D4FBE">
        <w:rPr>
          <w:rStyle w:val="Hyperlink"/>
          <w:rFonts w:ascii="Cambria" w:hAnsi="Cambria"/>
          <w:color w:val="000000" w:themeColor="text1"/>
          <w:sz w:val="16"/>
          <w:szCs w:val="16"/>
        </w:rPr>
        <w:t>‘And j</w:t>
      </w:r>
      <w:r w:rsidR="00AB3781">
        <w:rPr>
          <w:rStyle w:val="Hyperlink"/>
          <w:rFonts w:ascii="Cambria" w:hAnsi="Cambria"/>
          <w:color w:val="000000" w:themeColor="text1"/>
          <w:sz w:val="16"/>
          <w:szCs w:val="16"/>
        </w:rPr>
        <w:t>ust like that</w:t>
      </w:r>
      <w:r w:rsidR="007D4FBE">
        <w:rPr>
          <w:rStyle w:val="Hyperlink"/>
          <w:rFonts w:ascii="Cambria" w:hAnsi="Cambria"/>
          <w:color w:val="000000" w:themeColor="text1"/>
          <w:sz w:val="16"/>
          <w:szCs w:val="16"/>
        </w:rPr>
        <w:t xml:space="preserve"> </w:t>
      </w:r>
      <w:r w:rsidR="00AB3781">
        <w:rPr>
          <w:rStyle w:val="Hyperlink"/>
          <w:rFonts w:ascii="Cambria" w:hAnsi="Cambria"/>
          <w:color w:val="000000" w:themeColor="text1"/>
          <w:sz w:val="16"/>
          <w:szCs w:val="16"/>
        </w:rPr>
        <w:t>a radio station -Radio Fe y Alegria News- is silenced’].</w:t>
      </w:r>
    </w:p>
  </w:footnote>
  <w:footnote w:id="195">
    <w:p w14:paraId="58539704" w14:textId="29D2F732"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AB3781">
        <w:rPr>
          <w:rFonts w:ascii="Cambria" w:hAnsi="Cambria"/>
          <w:color w:val="000000" w:themeColor="text1"/>
          <w:sz w:val="16"/>
          <w:szCs w:val="16"/>
        </w:rPr>
        <w:t xml:space="preserve">IACHR. Special Rapporteurship for Freedom of Expression. </w:t>
      </w:r>
      <w:r w:rsidR="00AB3781" w:rsidRPr="00E7771A">
        <w:rPr>
          <w:rFonts w:ascii="Cambria" w:hAnsi="Cambria"/>
          <w:color w:val="000000" w:themeColor="text1"/>
          <w:sz w:val="16"/>
          <w:szCs w:val="16"/>
          <w:lang w:val="es-US"/>
        </w:rPr>
        <w:t>April</w:t>
      </w:r>
      <w:r w:rsidRPr="00E7771A">
        <w:rPr>
          <w:rFonts w:ascii="Cambria" w:hAnsi="Cambria"/>
          <w:color w:val="000000" w:themeColor="text1"/>
          <w:sz w:val="16"/>
          <w:szCs w:val="16"/>
          <w:lang w:val="es-US"/>
        </w:rPr>
        <w:t xml:space="preserve"> 30</w:t>
      </w:r>
      <w:r w:rsidR="00AB3781"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r w:rsidR="00AB3781" w:rsidRPr="00E7771A">
        <w:rPr>
          <w:rFonts w:ascii="Cambria" w:hAnsi="Cambria"/>
          <w:color w:val="000000" w:themeColor="text1"/>
          <w:sz w:val="16"/>
          <w:szCs w:val="16"/>
          <w:lang w:val="es-US"/>
        </w:rPr>
        <w:t xml:space="preserve">Press Release </w:t>
      </w:r>
      <w:r w:rsidRPr="00E7771A">
        <w:rPr>
          <w:rFonts w:ascii="Cambria" w:hAnsi="Cambria"/>
          <w:color w:val="000000" w:themeColor="text1"/>
          <w:sz w:val="16"/>
          <w:szCs w:val="16"/>
          <w:lang w:val="es-US"/>
        </w:rPr>
        <w:t xml:space="preserve">108. </w:t>
      </w:r>
      <w:hyperlink r:id="rId162" w:history="1">
        <w:r w:rsidRPr="00E7771A">
          <w:rPr>
            <w:rStyle w:val="Hyperlink"/>
            <w:rFonts w:ascii="Cambria" w:hAnsi="Cambria"/>
            <w:color w:val="000000" w:themeColor="text1"/>
            <w:sz w:val="16"/>
            <w:szCs w:val="16"/>
            <w:lang w:val="es-US"/>
          </w:rPr>
          <w:t>La CIDH y su RELE rechazan el registro de organizaciones sin fines de lucro ante la Oficina Nacional Contra la Delincuencia Organizada y Financiamiento al Terrorismo de Venezuela</w:t>
        </w:r>
      </w:hyperlink>
      <w:r w:rsidRPr="00E7771A">
        <w:rPr>
          <w:rStyle w:val="Hyperlink"/>
          <w:rFonts w:ascii="Cambria" w:hAnsi="Cambria"/>
          <w:color w:val="000000" w:themeColor="text1"/>
          <w:sz w:val="16"/>
          <w:szCs w:val="16"/>
          <w:lang w:val="es-US"/>
        </w:rPr>
        <w:t>.</w:t>
      </w:r>
      <w:r w:rsidR="004402E9" w:rsidRPr="00E7771A">
        <w:rPr>
          <w:rStyle w:val="Hyperlink"/>
          <w:rFonts w:ascii="Cambria" w:hAnsi="Cambria"/>
          <w:color w:val="000000" w:themeColor="text1"/>
          <w:sz w:val="16"/>
          <w:szCs w:val="16"/>
          <w:lang w:val="es-US"/>
        </w:rPr>
        <w:t xml:space="preserve"> </w:t>
      </w:r>
      <w:r w:rsidR="004402E9">
        <w:rPr>
          <w:rStyle w:val="Hyperlink"/>
          <w:rFonts w:ascii="Cambria" w:hAnsi="Cambria"/>
          <w:color w:val="000000" w:themeColor="text1"/>
          <w:sz w:val="16"/>
          <w:szCs w:val="16"/>
        </w:rPr>
        <w:t>[‘IACHR and RFOE Reject the Registering of Not-For-Profit Organizations with Venezuela’s National Office against Organized Crime and Terrorist Financing].</w:t>
      </w:r>
    </w:p>
  </w:footnote>
  <w:footnote w:id="196">
    <w:p w14:paraId="19D565BF" w14:textId="137A8E00"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4402E9">
        <w:rPr>
          <w:rFonts w:ascii="Cambria" w:hAnsi="Cambria"/>
          <w:color w:val="000000" w:themeColor="text1"/>
          <w:sz w:val="16"/>
          <w:szCs w:val="16"/>
        </w:rPr>
        <w:t>Bolivarian Republic of Venezuela</w:t>
      </w:r>
      <w:r w:rsidRPr="009035C0">
        <w:rPr>
          <w:rFonts w:ascii="Cambria" w:hAnsi="Cambria"/>
          <w:color w:val="000000" w:themeColor="text1"/>
          <w:sz w:val="16"/>
          <w:szCs w:val="16"/>
        </w:rPr>
        <w:t>.</w:t>
      </w:r>
      <w:r w:rsidR="004402E9">
        <w:rPr>
          <w:rFonts w:ascii="Cambria" w:hAnsi="Cambria"/>
          <w:color w:val="000000" w:themeColor="text1"/>
          <w:sz w:val="16"/>
          <w:szCs w:val="16"/>
        </w:rPr>
        <w:t xml:space="preserve"> May</w:t>
      </w:r>
      <w:r w:rsidRPr="009035C0">
        <w:rPr>
          <w:rFonts w:ascii="Cambria" w:hAnsi="Cambria"/>
          <w:color w:val="000000" w:themeColor="text1"/>
          <w:sz w:val="16"/>
          <w:szCs w:val="16"/>
        </w:rPr>
        <w:t xml:space="preserve"> 3</w:t>
      </w:r>
      <w:r w:rsidR="004402E9">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63" w:history="1">
        <w:r w:rsidRPr="009035C0">
          <w:rPr>
            <w:rStyle w:val="Hyperlink"/>
            <w:rFonts w:ascii="Cambria" w:hAnsi="Cambria"/>
            <w:color w:val="000000" w:themeColor="text1"/>
            <w:sz w:val="16"/>
            <w:szCs w:val="16"/>
          </w:rPr>
          <w:t>Providencia Administrativa 002-2021</w:t>
        </w:r>
      </w:hyperlink>
      <w:r w:rsidRPr="009035C0">
        <w:rPr>
          <w:rFonts w:ascii="Cambria" w:hAnsi="Cambria"/>
          <w:color w:val="000000" w:themeColor="text1"/>
          <w:sz w:val="16"/>
          <w:szCs w:val="16"/>
        </w:rPr>
        <w:t xml:space="preserve">. </w:t>
      </w:r>
      <w:r w:rsidR="004402E9">
        <w:rPr>
          <w:rFonts w:ascii="Cambria" w:hAnsi="Cambria"/>
          <w:color w:val="000000" w:themeColor="text1"/>
          <w:sz w:val="16"/>
          <w:szCs w:val="16"/>
        </w:rPr>
        <w:t>[Admin</w:t>
      </w:r>
      <w:r w:rsidR="00181C23">
        <w:rPr>
          <w:rFonts w:ascii="Cambria" w:hAnsi="Cambria"/>
          <w:color w:val="000000" w:themeColor="text1"/>
          <w:sz w:val="16"/>
          <w:szCs w:val="16"/>
        </w:rPr>
        <w:t>i</w:t>
      </w:r>
      <w:r w:rsidR="004402E9">
        <w:rPr>
          <w:rFonts w:ascii="Cambria" w:hAnsi="Cambria"/>
          <w:color w:val="000000" w:themeColor="text1"/>
          <w:sz w:val="16"/>
          <w:szCs w:val="16"/>
        </w:rPr>
        <w:t>strative decision], Official Gazette of the Bolivarian Republic of Venezuela Year</w:t>
      </w:r>
      <w:r w:rsidRPr="009035C0">
        <w:rPr>
          <w:rFonts w:ascii="Cambria" w:hAnsi="Cambria"/>
          <w:color w:val="000000" w:themeColor="text1"/>
          <w:sz w:val="16"/>
          <w:szCs w:val="16"/>
        </w:rPr>
        <w:t xml:space="preserve"> CXLVIII – M</w:t>
      </w:r>
      <w:r w:rsidR="004402E9">
        <w:rPr>
          <w:rFonts w:ascii="Cambria" w:hAnsi="Cambria"/>
          <w:color w:val="000000" w:themeColor="text1"/>
          <w:sz w:val="16"/>
          <w:szCs w:val="16"/>
        </w:rPr>
        <w:t>onth</w:t>
      </w:r>
      <w:r w:rsidRPr="009035C0">
        <w:rPr>
          <w:rFonts w:ascii="Cambria" w:hAnsi="Cambria"/>
          <w:color w:val="000000" w:themeColor="text1"/>
          <w:sz w:val="16"/>
          <w:szCs w:val="16"/>
        </w:rPr>
        <w:t xml:space="preserve"> VII, </w:t>
      </w:r>
      <w:r w:rsidR="004402E9">
        <w:rPr>
          <w:rFonts w:ascii="Cambria" w:hAnsi="Cambria"/>
          <w:color w:val="000000" w:themeColor="text1"/>
          <w:sz w:val="16"/>
          <w:szCs w:val="16"/>
        </w:rPr>
        <w:t xml:space="preserve">issue </w:t>
      </w:r>
      <w:r w:rsidRPr="009035C0">
        <w:rPr>
          <w:rFonts w:ascii="Cambria" w:hAnsi="Cambria"/>
          <w:color w:val="000000" w:themeColor="text1"/>
          <w:sz w:val="16"/>
          <w:szCs w:val="16"/>
        </w:rPr>
        <w:t>42.118.</w:t>
      </w:r>
    </w:p>
  </w:footnote>
  <w:footnote w:id="197">
    <w:p w14:paraId="2AAD1C71" w14:textId="3DFEDF1F"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La Patilla. </w:t>
      </w:r>
      <w:r w:rsidR="004402E9" w:rsidRPr="00E7771A">
        <w:rPr>
          <w:rFonts w:ascii="Cambria" w:hAnsi="Cambria"/>
          <w:color w:val="000000" w:themeColor="text1"/>
          <w:sz w:val="16"/>
          <w:szCs w:val="16"/>
          <w:lang w:val="es-US"/>
        </w:rPr>
        <w:t xml:space="preserve">April </w:t>
      </w:r>
      <w:r w:rsidRPr="00E7771A">
        <w:rPr>
          <w:rFonts w:ascii="Cambria" w:hAnsi="Cambria"/>
          <w:color w:val="000000" w:themeColor="text1"/>
          <w:sz w:val="16"/>
          <w:szCs w:val="16"/>
          <w:lang w:val="es-US"/>
        </w:rPr>
        <w:t>21</w:t>
      </w:r>
      <w:r w:rsidR="004402E9"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64" w:history="1">
        <w:r w:rsidRPr="00E7771A">
          <w:rPr>
            <w:rStyle w:val="Hyperlink"/>
            <w:rFonts w:ascii="Cambria" w:hAnsi="Cambria"/>
            <w:color w:val="000000" w:themeColor="text1"/>
            <w:sz w:val="16"/>
            <w:szCs w:val="16"/>
            <w:lang w:val="es-US"/>
          </w:rPr>
          <w:t>Diosdado dijo que “muchas” ONG venezolanas “están vinculadas al terrorismo</w:t>
        </w:r>
      </w:hyperlink>
      <w:r w:rsidRPr="00E7771A">
        <w:rPr>
          <w:rFonts w:ascii="Cambria" w:hAnsi="Cambria"/>
          <w:color w:val="000000" w:themeColor="text1"/>
          <w:sz w:val="16"/>
          <w:szCs w:val="16"/>
          <w:lang w:val="es-US"/>
        </w:rPr>
        <w:t xml:space="preserve">; </w:t>
      </w:r>
      <w:r w:rsidR="00D7203F" w:rsidRPr="00E7771A">
        <w:rPr>
          <w:rFonts w:ascii="Cambria" w:hAnsi="Cambria"/>
          <w:color w:val="000000" w:themeColor="text1"/>
          <w:sz w:val="16"/>
          <w:szCs w:val="16"/>
          <w:lang w:val="es-US"/>
        </w:rPr>
        <w:t xml:space="preserve">[‘Diosdado said that “many” Venezuelan NGOs “are linked to terrorism’]; </w:t>
      </w:r>
      <w:r w:rsidRPr="00E7771A">
        <w:rPr>
          <w:rFonts w:ascii="Cambria" w:hAnsi="Cambria"/>
          <w:color w:val="000000" w:themeColor="text1"/>
          <w:sz w:val="16"/>
          <w:szCs w:val="16"/>
          <w:lang w:val="es-US"/>
        </w:rPr>
        <w:t xml:space="preserve">El País. </w:t>
      </w:r>
      <w:r w:rsidR="00D7203F" w:rsidRPr="00E7771A">
        <w:rPr>
          <w:rFonts w:ascii="Cambria" w:hAnsi="Cambria"/>
          <w:color w:val="000000" w:themeColor="text1"/>
          <w:sz w:val="16"/>
          <w:szCs w:val="16"/>
          <w:lang w:val="es-US"/>
        </w:rPr>
        <w:t xml:space="preserve">April </w:t>
      </w:r>
      <w:r w:rsidRPr="00E7771A">
        <w:rPr>
          <w:rFonts w:ascii="Cambria" w:hAnsi="Cambria"/>
          <w:color w:val="000000" w:themeColor="text1"/>
          <w:sz w:val="16"/>
          <w:szCs w:val="16"/>
          <w:lang w:val="es-US"/>
        </w:rPr>
        <w:t>25</w:t>
      </w:r>
      <w:r w:rsidR="00D7203F"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65" w:history="1">
        <w:r w:rsidRPr="00E7771A">
          <w:rPr>
            <w:rStyle w:val="Hyperlink"/>
            <w:rFonts w:ascii="Cambria" w:hAnsi="Cambria"/>
            <w:color w:val="000000" w:themeColor="text1"/>
            <w:sz w:val="16"/>
            <w:szCs w:val="16"/>
            <w:lang w:val="es-US"/>
          </w:rPr>
          <w:t xml:space="preserve">Maduro somete a las ONG de Venezuela al control de la oficina contra el terrorismo. </w:t>
        </w:r>
      </w:hyperlink>
      <w:r w:rsidR="00D7203F">
        <w:rPr>
          <w:rStyle w:val="Hyperlink"/>
          <w:rFonts w:ascii="Cambria" w:hAnsi="Cambria"/>
          <w:color w:val="000000" w:themeColor="text1"/>
          <w:sz w:val="16"/>
          <w:szCs w:val="16"/>
        </w:rPr>
        <w:t>[‘Maduro subjects Venezuelan NGOs to control of anti-terrorism office’]</w:t>
      </w:r>
    </w:p>
  </w:footnote>
  <w:footnote w:id="198">
    <w:p w14:paraId="4E28DC8A" w14:textId="7BB7BBE9"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w:t>
      </w:r>
      <w:r w:rsidR="00FD3BAE" w:rsidRPr="00E7771A">
        <w:rPr>
          <w:rFonts w:ascii="Cambria" w:hAnsi="Cambria"/>
          <w:color w:val="000000" w:themeColor="text1"/>
          <w:sz w:val="16"/>
          <w:szCs w:val="16"/>
          <w:lang w:val="es-US"/>
        </w:rPr>
        <w:t>FundaRedes</w:t>
      </w:r>
      <w:r w:rsidRPr="00E7771A">
        <w:rPr>
          <w:rFonts w:ascii="Cambria" w:hAnsi="Cambria"/>
          <w:color w:val="000000" w:themeColor="text1"/>
          <w:sz w:val="16"/>
          <w:szCs w:val="16"/>
          <w:lang w:val="es-US"/>
        </w:rPr>
        <w:t xml:space="preserve">. </w:t>
      </w:r>
      <w:r w:rsidR="0051356B"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8</w:t>
      </w:r>
      <w:r w:rsidR="0051356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66" w:history="1">
        <w:r w:rsidRPr="00E7771A">
          <w:rPr>
            <w:rStyle w:val="Hyperlink"/>
            <w:rFonts w:ascii="Cambria" w:hAnsi="Cambria"/>
            <w:color w:val="000000" w:themeColor="text1"/>
            <w:sz w:val="16"/>
            <w:szCs w:val="16"/>
            <w:lang w:val="es-US"/>
          </w:rPr>
          <w:t xml:space="preserve">Cronología de la detención arbitraria de los Activistas de </w:t>
        </w:r>
        <w:r w:rsidR="00FD3BAE" w:rsidRPr="00E7771A">
          <w:rPr>
            <w:rStyle w:val="Hyperlink"/>
            <w:rFonts w:ascii="Cambria" w:hAnsi="Cambria"/>
            <w:color w:val="000000" w:themeColor="text1"/>
            <w:sz w:val="16"/>
            <w:szCs w:val="16"/>
            <w:lang w:val="es-US"/>
          </w:rPr>
          <w:t>FundaRedes</w:t>
        </w:r>
      </w:hyperlink>
      <w:r w:rsidRPr="00E7771A">
        <w:rPr>
          <w:rFonts w:ascii="Cambria" w:hAnsi="Cambria"/>
          <w:color w:val="000000" w:themeColor="text1"/>
          <w:sz w:val="16"/>
          <w:szCs w:val="16"/>
          <w:lang w:val="es-US"/>
        </w:rPr>
        <w:t xml:space="preserve">; </w:t>
      </w:r>
      <w:r w:rsidR="0051356B" w:rsidRPr="00E7771A">
        <w:rPr>
          <w:rFonts w:ascii="Cambria" w:hAnsi="Cambria"/>
          <w:color w:val="000000" w:themeColor="text1"/>
          <w:sz w:val="16"/>
          <w:szCs w:val="16"/>
          <w:lang w:val="es-US"/>
        </w:rPr>
        <w:t xml:space="preserve">[‘Timeline of arbitrary detention of FundaRedes Activists’]; </w:t>
      </w:r>
      <w:r w:rsidRPr="00E7771A">
        <w:rPr>
          <w:rFonts w:ascii="Cambria" w:hAnsi="Cambria"/>
          <w:color w:val="000000" w:themeColor="text1"/>
          <w:sz w:val="16"/>
          <w:szCs w:val="16"/>
          <w:lang w:val="es-US"/>
        </w:rPr>
        <w:t xml:space="preserve">El Nacional. </w:t>
      </w:r>
      <w:r w:rsidR="0051356B"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3</w:t>
      </w:r>
      <w:r w:rsidR="0051356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67" w:history="1">
        <w:r w:rsidRPr="00E7771A">
          <w:rPr>
            <w:rStyle w:val="Hyperlink"/>
            <w:rFonts w:ascii="Cambria" w:hAnsi="Cambria"/>
            <w:color w:val="000000" w:themeColor="text1"/>
            <w:sz w:val="16"/>
            <w:szCs w:val="16"/>
            <w:lang w:val="es-US"/>
          </w:rPr>
          <w:t xml:space="preserve">A Javier Tarazona, director de </w:t>
        </w:r>
        <w:r w:rsidR="00FD3BAE" w:rsidRPr="00E7771A">
          <w:rPr>
            <w:rStyle w:val="Hyperlink"/>
            <w:rFonts w:ascii="Cambria" w:hAnsi="Cambria"/>
            <w:color w:val="000000" w:themeColor="text1"/>
            <w:sz w:val="16"/>
            <w:szCs w:val="16"/>
            <w:lang w:val="es-US"/>
          </w:rPr>
          <w:t>FundaRedes</w:t>
        </w:r>
        <w:r w:rsidRPr="00E7771A">
          <w:rPr>
            <w:rStyle w:val="Hyperlink"/>
            <w:rFonts w:ascii="Cambria" w:hAnsi="Cambria"/>
            <w:color w:val="000000" w:themeColor="text1"/>
            <w:sz w:val="16"/>
            <w:szCs w:val="16"/>
            <w:lang w:val="es-US"/>
          </w:rPr>
          <w:t>, lo acusan de instigación al odio</w:t>
        </w:r>
      </w:hyperlink>
      <w:r w:rsidRPr="00E7771A">
        <w:rPr>
          <w:rFonts w:ascii="Cambria" w:hAnsi="Cambria"/>
          <w:color w:val="000000" w:themeColor="text1"/>
          <w:sz w:val="16"/>
          <w:szCs w:val="16"/>
          <w:lang w:val="es-US"/>
        </w:rPr>
        <w:t>;</w:t>
      </w:r>
      <w:r w:rsidR="0051356B" w:rsidRPr="00E7771A">
        <w:rPr>
          <w:rFonts w:ascii="Cambria" w:hAnsi="Cambria"/>
          <w:color w:val="000000" w:themeColor="text1"/>
          <w:sz w:val="16"/>
          <w:szCs w:val="16"/>
          <w:lang w:val="es-US"/>
        </w:rPr>
        <w:t>[‘Javier Tarazona, Director of FundaRedes, accused of incitement of hatred’];</w:t>
      </w:r>
      <w:r w:rsidRPr="00E7771A">
        <w:rPr>
          <w:rFonts w:ascii="Cambria" w:hAnsi="Cambria"/>
          <w:color w:val="000000" w:themeColor="text1"/>
          <w:sz w:val="16"/>
          <w:szCs w:val="16"/>
          <w:lang w:val="es-US"/>
        </w:rPr>
        <w:t xml:space="preserve"> SwissInfo.</w:t>
      </w:r>
      <w:r w:rsidR="0051356B" w:rsidRPr="00E7771A">
        <w:rPr>
          <w:rFonts w:ascii="Cambria" w:hAnsi="Cambria"/>
          <w:color w:val="000000" w:themeColor="text1"/>
          <w:sz w:val="16"/>
          <w:szCs w:val="16"/>
          <w:lang w:val="es-US"/>
        </w:rPr>
        <w:t xml:space="preserve"> July</w:t>
      </w:r>
      <w:r w:rsidRPr="00E7771A">
        <w:rPr>
          <w:rFonts w:ascii="Cambria" w:hAnsi="Cambria"/>
          <w:color w:val="000000" w:themeColor="text1"/>
          <w:sz w:val="16"/>
          <w:szCs w:val="16"/>
          <w:lang w:val="es-US"/>
        </w:rPr>
        <w:t xml:space="preserve"> 3</w:t>
      </w:r>
      <w:r w:rsidR="0051356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68" w:history="1">
        <w:r w:rsidRPr="00E7771A">
          <w:rPr>
            <w:rStyle w:val="Hyperlink"/>
            <w:rFonts w:ascii="Cambria" w:hAnsi="Cambria"/>
            <w:color w:val="000000" w:themeColor="text1"/>
            <w:sz w:val="16"/>
            <w:szCs w:val="16"/>
            <w:lang w:val="es-US"/>
          </w:rPr>
          <w:t>Imputan por incitación al odio a los tres activistas venezolanos detenidos.</w:t>
        </w:r>
      </w:hyperlink>
      <w:r w:rsidR="0051356B">
        <w:rPr>
          <w:rStyle w:val="Hyperlink"/>
          <w:rFonts w:ascii="Cambria" w:hAnsi="Cambria"/>
          <w:color w:val="000000" w:themeColor="text1"/>
          <w:sz w:val="16"/>
          <w:szCs w:val="16"/>
        </w:rPr>
        <w:t>[‘</w:t>
      </w:r>
      <w:r w:rsidR="00FB014D">
        <w:rPr>
          <w:rStyle w:val="Hyperlink"/>
          <w:rFonts w:ascii="Cambria" w:hAnsi="Cambria"/>
          <w:color w:val="000000" w:themeColor="text1"/>
          <w:sz w:val="16"/>
          <w:szCs w:val="16"/>
        </w:rPr>
        <w:t>The three detained Venezuelan activists charged with incitement of hatred’].</w:t>
      </w:r>
    </w:p>
  </w:footnote>
  <w:footnote w:id="199">
    <w:p w14:paraId="10A16A89" w14:textId="5DA41A9B"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Tal Cual. </w:t>
      </w:r>
      <w:r w:rsidR="00FB014D"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3</w:t>
      </w:r>
      <w:r w:rsidR="00FB014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69" w:history="1">
        <w:r w:rsidRPr="00E7771A">
          <w:rPr>
            <w:rStyle w:val="Hyperlink"/>
            <w:rFonts w:ascii="Cambria" w:hAnsi="Cambria"/>
            <w:color w:val="000000" w:themeColor="text1"/>
            <w:sz w:val="16"/>
            <w:szCs w:val="16"/>
            <w:lang w:val="es-US"/>
          </w:rPr>
          <w:t xml:space="preserve">Por cuarta vez difieren audiencia de activistas de </w:t>
        </w:r>
        <w:r w:rsidR="00FD3BAE" w:rsidRPr="00E7771A">
          <w:rPr>
            <w:rStyle w:val="Hyperlink"/>
            <w:rFonts w:ascii="Cambria" w:hAnsi="Cambria"/>
            <w:color w:val="000000" w:themeColor="text1"/>
            <w:sz w:val="16"/>
            <w:szCs w:val="16"/>
            <w:lang w:val="es-US"/>
          </w:rPr>
          <w:t>FundaRedes</w:t>
        </w:r>
        <w:r w:rsidRPr="00E7771A">
          <w:rPr>
            <w:rStyle w:val="Hyperlink"/>
            <w:rFonts w:ascii="Cambria" w:hAnsi="Cambria"/>
            <w:color w:val="000000" w:themeColor="text1"/>
            <w:sz w:val="16"/>
            <w:szCs w:val="16"/>
            <w:lang w:val="es-US"/>
          </w:rPr>
          <w:t>;</w:t>
        </w:r>
      </w:hyperlink>
      <w:r w:rsidRPr="00E7771A">
        <w:rPr>
          <w:rFonts w:ascii="Cambria" w:hAnsi="Cambria"/>
          <w:color w:val="000000" w:themeColor="text1"/>
          <w:sz w:val="16"/>
          <w:szCs w:val="16"/>
          <w:lang w:val="es-US"/>
        </w:rPr>
        <w:t xml:space="preserve"> </w:t>
      </w:r>
      <w:r w:rsidR="00FB014D" w:rsidRPr="00E7771A">
        <w:rPr>
          <w:rFonts w:ascii="Cambria" w:hAnsi="Cambria"/>
          <w:color w:val="000000" w:themeColor="text1"/>
          <w:sz w:val="16"/>
          <w:szCs w:val="16"/>
          <w:lang w:val="es-US"/>
        </w:rPr>
        <w:t>[‘</w:t>
      </w:r>
      <w:r w:rsidR="007E1A6B" w:rsidRPr="00E7771A">
        <w:rPr>
          <w:rFonts w:ascii="Cambria" w:hAnsi="Cambria"/>
          <w:color w:val="000000" w:themeColor="text1"/>
          <w:sz w:val="16"/>
          <w:szCs w:val="16"/>
          <w:lang w:val="es-US"/>
        </w:rPr>
        <w:t>Fourth postponement of h</w:t>
      </w:r>
      <w:r w:rsidR="00FB014D" w:rsidRPr="00E7771A">
        <w:rPr>
          <w:rFonts w:ascii="Cambria" w:hAnsi="Cambria"/>
          <w:color w:val="000000" w:themeColor="text1"/>
          <w:sz w:val="16"/>
          <w:szCs w:val="16"/>
          <w:lang w:val="es-US"/>
        </w:rPr>
        <w:t xml:space="preserve">earing of FundaRedes activists]; </w:t>
      </w:r>
      <w:r w:rsidRPr="00E7771A">
        <w:rPr>
          <w:rFonts w:ascii="Cambria" w:hAnsi="Cambria"/>
          <w:color w:val="000000" w:themeColor="text1"/>
          <w:sz w:val="16"/>
          <w:szCs w:val="16"/>
          <w:lang w:val="es-US"/>
        </w:rPr>
        <w:t xml:space="preserve">Tal Cual. </w:t>
      </w:r>
      <w:r w:rsidR="00FB014D"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13</w:t>
      </w:r>
      <w:r w:rsidR="00FB014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70" w:history="1">
        <w:r w:rsidRPr="00E7771A">
          <w:rPr>
            <w:rStyle w:val="Hyperlink"/>
            <w:rFonts w:ascii="Cambria" w:hAnsi="Cambria"/>
            <w:color w:val="000000" w:themeColor="text1"/>
            <w:sz w:val="16"/>
            <w:szCs w:val="16"/>
            <w:lang w:val="es-US"/>
          </w:rPr>
          <w:t>;</w:t>
        </w:r>
      </w:hyperlink>
      <w:r w:rsidRPr="00E7771A">
        <w:rPr>
          <w:rFonts w:ascii="Cambria" w:hAnsi="Cambria"/>
          <w:color w:val="000000" w:themeColor="text1"/>
          <w:sz w:val="16"/>
          <w:szCs w:val="16"/>
          <w:lang w:val="es-US"/>
        </w:rPr>
        <w:t xml:space="preserve">NTN-24. </w:t>
      </w:r>
      <w:r w:rsidR="00FB014D"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21</w:t>
      </w:r>
      <w:r w:rsidR="00FB014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71" w:history="1">
        <w:r w:rsidRPr="00E7771A">
          <w:rPr>
            <w:rStyle w:val="Hyperlink"/>
            <w:rFonts w:ascii="Cambria" w:hAnsi="Cambria"/>
            <w:color w:val="000000" w:themeColor="text1"/>
            <w:sz w:val="16"/>
            <w:szCs w:val="16"/>
            <w:lang w:val="es-US"/>
          </w:rPr>
          <w:t xml:space="preserve">Fue diferida por séptima vez la audiencia preliminar de </w:t>
        </w:r>
        <w:r w:rsidR="00FD3BAE" w:rsidRPr="00E7771A">
          <w:rPr>
            <w:rStyle w:val="Hyperlink"/>
            <w:rFonts w:ascii="Cambria" w:hAnsi="Cambria"/>
            <w:color w:val="000000" w:themeColor="text1"/>
            <w:sz w:val="16"/>
            <w:szCs w:val="16"/>
            <w:lang w:val="es-US"/>
          </w:rPr>
          <w:t>FundaRedes</w:t>
        </w:r>
        <w:r w:rsidRPr="00E7771A">
          <w:rPr>
            <w:rStyle w:val="Hyperlink"/>
            <w:rFonts w:ascii="Cambria" w:hAnsi="Cambria"/>
            <w:color w:val="000000" w:themeColor="text1"/>
            <w:sz w:val="16"/>
            <w:szCs w:val="16"/>
            <w:lang w:val="es-US"/>
          </w:rPr>
          <w:t>.</w:t>
        </w:r>
      </w:hyperlink>
      <w:r w:rsidR="00FB014D">
        <w:rPr>
          <w:rStyle w:val="Hyperlink"/>
          <w:rFonts w:ascii="Cambria" w:hAnsi="Cambria"/>
          <w:color w:val="000000" w:themeColor="text1"/>
          <w:sz w:val="16"/>
          <w:szCs w:val="16"/>
        </w:rPr>
        <w:t>[‘Preliminary hearing of FundaRedes postponed for the seventh time’].</w:t>
      </w:r>
    </w:p>
  </w:footnote>
  <w:footnote w:id="200">
    <w:p w14:paraId="1B80B96D" w14:textId="71F37866"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Tal Cual. </w:t>
      </w:r>
      <w:r w:rsidR="00FB014D"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21</w:t>
      </w:r>
      <w:r w:rsidR="00FB014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72" w:history="1">
        <w:r w:rsidR="00FD3BAE" w:rsidRPr="00E7771A">
          <w:rPr>
            <w:rStyle w:val="Hyperlink"/>
            <w:rFonts w:ascii="Cambria" w:hAnsi="Cambria"/>
            <w:color w:val="000000" w:themeColor="text1"/>
            <w:sz w:val="16"/>
            <w:szCs w:val="16"/>
            <w:lang w:val="es-US"/>
          </w:rPr>
          <w:t>FundaRedes</w:t>
        </w:r>
        <w:r w:rsidRPr="00E7771A">
          <w:rPr>
            <w:rStyle w:val="Hyperlink"/>
            <w:rFonts w:ascii="Cambria" w:hAnsi="Cambria"/>
            <w:color w:val="000000" w:themeColor="text1"/>
            <w:sz w:val="16"/>
            <w:szCs w:val="16"/>
            <w:lang w:val="es-US"/>
          </w:rPr>
          <w:t xml:space="preserve"> denuncia que Javier Tarazona y los demás activistas están incomunicados; </w:t>
        </w:r>
      </w:hyperlink>
      <w:r w:rsidR="00AD7CDC" w:rsidRPr="00E7771A">
        <w:rPr>
          <w:rFonts w:ascii="Cambria" w:hAnsi="Cambria"/>
          <w:color w:val="000000" w:themeColor="text1"/>
          <w:sz w:val="16"/>
          <w:szCs w:val="16"/>
          <w:lang w:val="es-US"/>
        </w:rPr>
        <w:t>[‘FundaRedes denounces that Javier Tarazona and the other activists are incommunicado’]; Diario</w:t>
      </w:r>
      <w:r w:rsidRPr="00E7771A">
        <w:rPr>
          <w:rFonts w:ascii="Cambria" w:hAnsi="Cambria"/>
          <w:color w:val="000000" w:themeColor="text1"/>
          <w:sz w:val="16"/>
          <w:szCs w:val="16"/>
          <w:lang w:val="es-US"/>
        </w:rPr>
        <w:t xml:space="preserve"> La Nación. </w:t>
      </w:r>
      <w:r w:rsidR="00AD7CDC"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24</w:t>
      </w:r>
      <w:r w:rsidR="00AD7CD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73" w:history="1">
        <w:r w:rsidRPr="00E7771A">
          <w:rPr>
            <w:rStyle w:val="Hyperlink"/>
            <w:rFonts w:ascii="Cambria" w:hAnsi="Cambria"/>
            <w:color w:val="000000" w:themeColor="text1"/>
            <w:sz w:val="16"/>
            <w:szCs w:val="16"/>
            <w:lang w:val="es-US"/>
          </w:rPr>
          <w:t xml:space="preserve">Todavía incomunicados activistas de </w:t>
        </w:r>
        <w:r w:rsidR="00FD3BAE" w:rsidRPr="00E7771A">
          <w:rPr>
            <w:rStyle w:val="Hyperlink"/>
            <w:rFonts w:ascii="Cambria" w:hAnsi="Cambria"/>
            <w:color w:val="000000" w:themeColor="text1"/>
            <w:sz w:val="16"/>
            <w:szCs w:val="16"/>
            <w:lang w:val="es-US"/>
          </w:rPr>
          <w:t>FundaRedes</w:t>
        </w:r>
        <w:r w:rsidRPr="00E7771A">
          <w:rPr>
            <w:rStyle w:val="Hyperlink"/>
            <w:rFonts w:ascii="Cambria" w:hAnsi="Cambria"/>
            <w:color w:val="000000" w:themeColor="text1"/>
            <w:sz w:val="16"/>
            <w:szCs w:val="16"/>
            <w:lang w:val="es-US"/>
          </w:rPr>
          <w:t xml:space="preserve"> presos en Caracas. </w:t>
        </w:r>
      </w:hyperlink>
      <w:r w:rsidR="00352AA5" w:rsidRPr="00E7771A">
        <w:rPr>
          <w:rStyle w:val="Hyperlink"/>
          <w:rFonts w:ascii="Cambria" w:hAnsi="Cambria"/>
          <w:color w:val="000000" w:themeColor="text1"/>
          <w:sz w:val="16"/>
          <w:szCs w:val="16"/>
          <w:lang w:val="es-US"/>
        </w:rPr>
        <w:t>[‘FundaRedes activists imprisoned in Caracas still incommunicado’].</w:t>
      </w:r>
    </w:p>
  </w:footnote>
  <w:footnote w:id="201">
    <w:p w14:paraId="34565228" w14:textId="1C3450CD"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352AA5">
        <w:rPr>
          <w:rFonts w:ascii="Cambria" w:hAnsi="Cambria"/>
          <w:color w:val="000000" w:themeColor="text1"/>
          <w:sz w:val="16"/>
          <w:szCs w:val="16"/>
        </w:rPr>
        <w:t xml:space="preserve">Twitter account of </w:t>
      </w:r>
      <w:r w:rsidR="00FD3BAE" w:rsidRPr="009035C0">
        <w:rPr>
          <w:rFonts w:ascii="Cambria" w:hAnsi="Cambria"/>
          <w:color w:val="000000" w:themeColor="text1"/>
          <w:sz w:val="16"/>
          <w:szCs w:val="16"/>
        </w:rPr>
        <w:t>FundaRedes</w:t>
      </w:r>
      <w:r w:rsidRPr="009035C0">
        <w:rPr>
          <w:rFonts w:ascii="Cambria" w:hAnsi="Cambria"/>
          <w:color w:val="000000" w:themeColor="text1"/>
          <w:sz w:val="16"/>
          <w:szCs w:val="16"/>
        </w:rPr>
        <w:t xml:space="preserve"> (@</w:t>
      </w:r>
      <w:r w:rsidR="00FD3BAE" w:rsidRPr="009035C0">
        <w:rPr>
          <w:rFonts w:ascii="Cambria" w:hAnsi="Cambria"/>
          <w:color w:val="000000" w:themeColor="text1"/>
          <w:sz w:val="16"/>
          <w:szCs w:val="16"/>
        </w:rPr>
        <w:t>FundaRedes</w:t>
      </w:r>
      <w:r w:rsidRPr="009035C0">
        <w:rPr>
          <w:rFonts w:ascii="Cambria" w:hAnsi="Cambria"/>
          <w:color w:val="000000" w:themeColor="text1"/>
          <w:sz w:val="16"/>
          <w:szCs w:val="16"/>
        </w:rPr>
        <w:t xml:space="preserve">_). </w:t>
      </w:r>
      <w:hyperlink r:id="rId174" w:history="1">
        <w:r w:rsidRPr="00E7771A">
          <w:rPr>
            <w:rStyle w:val="Hyperlink"/>
            <w:rFonts w:ascii="Cambria" w:hAnsi="Cambria"/>
            <w:color w:val="000000" w:themeColor="text1"/>
            <w:sz w:val="16"/>
            <w:szCs w:val="16"/>
            <w:lang w:val="es-US"/>
          </w:rPr>
          <w:t>13 de octubre de 2021</w:t>
        </w:r>
      </w:hyperlink>
      <w:r w:rsidRPr="00E7771A">
        <w:rPr>
          <w:rFonts w:ascii="Cambria" w:hAnsi="Cambria"/>
          <w:color w:val="000000" w:themeColor="text1"/>
          <w:sz w:val="16"/>
          <w:szCs w:val="16"/>
          <w:lang w:val="es-US"/>
        </w:rPr>
        <w:t>.</w:t>
      </w:r>
    </w:p>
  </w:footnote>
  <w:footnote w:id="202">
    <w:p w14:paraId="6E9A8DEA" w14:textId="4C78039E"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EFE. </w:t>
      </w:r>
      <w:r w:rsidR="00352AA5"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26</w:t>
      </w:r>
      <w:r w:rsidR="00352AA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75" w:history="1">
        <w:r w:rsidRPr="00E7771A">
          <w:rPr>
            <w:rStyle w:val="Hyperlink"/>
            <w:rFonts w:ascii="Cambria" w:hAnsi="Cambria"/>
            <w:color w:val="000000" w:themeColor="text1"/>
            <w:sz w:val="16"/>
            <w:szCs w:val="16"/>
            <w:lang w:val="es-US"/>
          </w:rPr>
          <w:t>Excarcelados dos activistas de una ONG venezolana que denunció un conflicto fronterizo;</w:t>
        </w:r>
      </w:hyperlink>
      <w:r w:rsidRPr="00E7771A">
        <w:rPr>
          <w:rFonts w:ascii="Cambria" w:hAnsi="Cambria"/>
          <w:color w:val="000000" w:themeColor="text1"/>
          <w:sz w:val="16"/>
          <w:szCs w:val="16"/>
          <w:lang w:val="es-US"/>
        </w:rPr>
        <w:t xml:space="preserve"> </w:t>
      </w:r>
      <w:r w:rsidR="00922069" w:rsidRPr="00E7771A">
        <w:rPr>
          <w:rFonts w:ascii="Cambria" w:hAnsi="Cambria"/>
          <w:color w:val="000000" w:themeColor="text1"/>
          <w:sz w:val="16"/>
          <w:szCs w:val="16"/>
          <w:lang w:val="es-US"/>
        </w:rPr>
        <w:t xml:space="preserve">[‘Two activists of Venezuelan NGO who denounced a border conflict release from jail’]; </w:t>
      </w:r>
      <w:r w:rsidRPr="00E7771A">
        <w:rPr>
          <w:rFonts w:ascii="Cambria" w:hAnsi="Cambria"/>
          <w:color w:val="000000" w:themeColor="text1"/>
          <w:sz w:val="16"/>
          <w:szCs w:val="16"/>
          <w:lang w:val="es-US"/>
        </w:rPr>
        <w:t xml:space="preserve">Deutsche Welle. </w:t>
      </w:r>
      <w:r w:rsidR="00922069"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26</w:t>
      </w:r>
      <w:r w:rsidR="00922069"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76" w:history="1">
        <w:r w:rsidRPr="00E7771A">
          <w:rPr>
            <w:rStyle w:val="Hyperlink"/>
            <w:rFonts w:ascii="Cambria" w:hAnsi="Cambria"/>
            <w:color w:val="000000" w:themeColor="text1"/>
            <w:sz w:val="16"/>
            <w:szCs w:val="16"/>
            <w:lang w:val="es-US"/>
          </w:rPr>
          <w:t xml:space="preserve">Corte de Venezuela excarcela a dos activistas de </w:t>
        </w:r>
        <w:r w:rsidR="00FD3BAE" w:rsidRPr="00E7771A">
          <w:rPr>
            <w:rStyle w:val="Hyperlink"/>
            <w:rFonts w:ascii="Cambria" w:hAnsi="Cambria"/>
            <w:color w:val="000000" w:themeColor="text1"/>
            <w:sz w:val="16"/>
            <w:szCs w:val="16"/>
            <w:lang w:val="es-US"/>
          </w:rPr>
          <w:t>FundaRedes</w:t>
        </w:r>
        <w:r w:rsidRPr="00E7771A">
          <w:rPr>
            <w:rStyle w:val="Hyperlink"/>
            <w:rFonts w:ascii="Cambria" w:hAnsi="Cambria"/>
            <w:color w:val="000000" w:themeColor="text1"/>
            <w:sz w:val="16"/>
            <w:szCs w:val="16"/>
            <w:lang w:val="es-US"/>
          </w:rPr>
          <w:t xml:space="preserve"> que denunciaron conflicto fronterizo.</w:t>
        </w:r>
      </w:hyperlink>
      <w:r w:rsidR="009B1212" w:rsidRPr="00E7771A">
        <w:rPr>
          <w:rStyle w:val="Hyperlink"/>
          <w:rFonts w:ascii="Cambria" w:hAnsi="Cambria"/>
          <w:color w:val="000000" w:themeColor="text1"/>
          <w:sz w:val="16"/>
          <w:szCs w:val="16"/>
          <w:lang w:val="es-US"/>
        </w:rPr>
        <w:t xml:space="preserve"> </w:t>
      </w:r>
      <w:r w:rsidR="009B1212">
        <w:rPr>
          <w:rStyle w:val="Hyperlink"/>
          <w:rFonts w:ascii="Cambria" w:hAnsi="Cambria"/>
          <w:color w:val="000000" w:themeColor="text1"/>
          <w:sz w:val="16"/>
          <w:szCs w:val="16"/>
        </w:rPr>
        <w:t>[‘</w:t>
      </w:r>
      <w:r w:rsidR="00B72761">
        <w:rPr>
          <w:rStyle w:val="Hyperlink"/>
          <w:rFonts w:ascii="Cambria" w:hAnsi="Cambria"/>
          <w:color w:val="000000" w:themeColor="text1"/>
          <w:sz w:val="16"/>
          <w:szCs w:val="16"/>
        </w:rPr>
        <w:t>Venezuelan Court releases from jail two FundaRedes activists who denounced border conflict’]</w:t>
      </w:r>
    </w:p>
  </w:footnote>
  <w:footnote w:id="203">
    <w:p w14:paraId="3A432B7D" w14:textId="54CBC189"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La Prensa de Lara. </w:t>
      </w:r>
      <w:r w:rsidR="00B72761"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14</w:t>
      </w:r>
      <w:r w:rsidR="00B72761"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Denuncian un allanamiento en la sede de </w:t>
      </w:r>
      <w:r w:rsidR="00FD3BAE" w:rsidRPr="00E7771A">
        <w:rPr>
          <w:rFonts w:ascii="Cambria" w:hAnsi="Cambria"/>
          <w:color w:val="000000" w:themeColor="text1"/>
          <w:sz w:val="16"/>
          <w:szCs w:val="16"/>
          <w:lang w:val="es-US"/>
        </w:rPr>
        <w:t>FundaRedes</w:t>
      </w:r>
      <w:r w:rsidR="00B72761" w:rsidRPr="00E7771A">
        <w:rPr>
          <w:rStyle w:val="Hyperlink"/>
          <w:rFonts w:ascii="Cambria" w:hAnsi="Cambria"/>
          <w:color w:val="000000" w:themeColor="text1"/>
          <w:sz w:val="16"/>
          <w:szCs w:val="16"/>
          <w:lang w:val="es-US"/>
        </w:rPr>
        <w:t xml:space="preserve"> [‘Raid on FundaRedes main office decried’]</w:t>
      </w:r>
      <w:r w:rsidR="00120A52" w:rsidRPr="00E7771A">
        <w:rPr>
          <w:rStyle w:val="Hyperlink"/>
          <w:rFonts w:ascii="Cambria" w:hAnsi="Cambria"/>
          <w:color w:val="000000" w:themeColor="text1"/>
          <w:sz w:val="16"/>
          <w:szCs w:val="16"/>
          <w:lang w:val="es-US"/>
        </w:rPr>
        <w:t xml:space="preserve"> </w:t>
      </w:r>
      <w:r w:rsidRPr="00E7771A">
        <w:rPr>
          <w:rFonts w:ascii="Cambria" w:hAnsi="Cambria"/>
          <w:color w:val="000000" w:themeColor="text1"/>
          <w:sz w:val="16"/>
          <w:szCs w:val="16"/>
          <w:lang w:val="es-US"/>
        </w:rPr>
        <w:t xml:space="preserve">Federación Internacional por los Derechos Humanos. </w:t>
      </w:r>
      <w:r w:rsidR="00B72761"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16</w:t>
      </w:r>
      <w:r w:rsidR="00B72761"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77" w:history="1">
        <w:r w:rsidRPr="00E7771A">
          <w:rPr>
            <w:rStyle w:val="Hyperlink"/>
            <w:rFonts w:ascii="Cambria" w:hAnsi="Cambria"/>
            <w:color w:val="000000" w:themeColor="text1"/>
            <w:sz w:val="16"/>
            <w:szCs w:val="16"/>
            <w:lang w:val="es-US"/>
          </w:rPr>
          <w:t xml:space="preserve">Venezuela: Allanamiento ilegal de la sede de </w:t>
        </w:r>
        <w:r w:rsidR="00FD3BAE" w:rsidRPr="00E7771A">
          <w:rPr>
            <w:rStyle w:val="Hyperlink"/>
            <w:rFonts w:ascii="Cambria" w:hAnsi="Cambria"/>
            <w:color w:val="000000" w:themeColor="text1"/>
            <w:sz w:val="16"/>
            <w:szCs w:val="16"/>
            <w:lang w:val="es-US"/>
          </w:rPr>
          <w:t>FundaRedes</w:t>
        </w:r>
        <w:r w:rsidRPr="00E7771A">
          <w:rPr>
            <w:rStyle w:val="Hyperlink"/>
            <w:rFonts w:ascii="Cambria" w:hAnsi="Cambria"/>
            <w:color w:val="000000" w:themeColor="text1"/>
            <w:sz w:val="16"/>
            <w:szCs w:val="16"/>
            <w:lang w:val="es-US"/>
          </w:rPr>
          <w:t xml:space="preserve"> y de la casa materna de su director.</w:t>
        </w:r>
      </w:hyperlink>
      <w:r w:rsidR="00B72761">
        <w:rPr>
          <w:rStyle w:val="Hyperlink"/>
          <w:rFonts w:ascii="Cambria" w:hAnsi="Cambria"/>
          <w:color w:val="000000" w:themeColor="text1"/>
          <w:sz w:val="16"/>
          <w:szCs w:val="16"/>
        </w:rPr>
        <w:t>[‘Venezuela: illegal raid of main office of FundaRedes and the director’s mother’s residence’].</w:t>
      </w:r>
    </w:p>
  </w:footnote>
  <w:footnote w:id="204">
    <w:p w14:paraId="3DE84063" w14:textId="027EB4E8"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Efecto Cocuyo. </w:t>
      </w:r>
      <w:r w:rsidR="00B72761"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26</w:t>
      </w:r>
      <w:r w:rsidR="00B72761"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78" w:history="1">
        <w:r w:rsidRPr="00E7771A">
          <w:rPr>
            <w:rStyle w:val="Hyperlink"/>
            <w:rFonts w:ascii="Cambria" w:hAnsi="Cambria"/>
            <w:color w:val="000000" w:themeColor="text1"/>
            <w:sz w:val="16"/>
            <w:szCs w:val="16"/>
            <w:lang w:val="es-US"/>
          </w:rPr>
          <w:t>Exigen libertad para enfermera Ada Macuare detenida en Anzoátegui;</w:t>
        </w:r>
      </w:hyperlink>
      <w:r w:rsidR="00D85D30" w:rsidRPr="00E7771A">
        <w:rPr>
          <w:rStyle w:val="Hyperlink"/>
          <w:rFonts w:ascii="Cambria" w:hAnsi="Cambria"/>
          <w:color w:val="000000" w:themeColor="text1"/>
          <w:sz w:val="16"/>
          <w:szCs w:val="16"/>
          <w:lang w:val="es-US"/>
        </w:rPr>
        <w:t>[‘Freedom demanded for nurse Ada Macuare detained in Anzoátgui’];</w:t>
      </w:r>
      <w:r w:rsidRPr="00E7771A">
        <w:rPr>
          <w:rFonts w:ascii="Cambria" w:hAnsi="Cambria"/>
          <w:color w:val="000000" w:themeColor="text1"/>
          <w:sz w:val="16"/>
          <w:szCs w:val="16"/>
          <w:lang w:val="es-US"/>
        </w:rPr>
        <w:t xml:space="preserve"> Espacio Publico. </w:t>
      </w:r>
      <w:r w:rsidR="00D85D30"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27</w:t>
      </w:r>
      <w:r w:rsidR="00D85D30"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79" w:history="1">
        <w:r w:rsidRPr="00E7771A">
          <w:rPr>
            <w:rStyle w:val="Hyperlink"/>
            <w:rFonts w:ascii="Cambria" w:hAnsi="Cambria"/>
            <w:color w:val="000000" w:themeColor="text1"/>
            <w:sz w:val="16"/>
            <w:szCs w:val="16"/>
            <w:lang w:val="es-US"/>
          </w:rPr>
          <w:t>Dictan privativa de libertad a enfermera por exigir mejoras salariales</w:t>
        </w:r>
      </w:hyperlink>
      <w:r w:rsidR="00D85D30" w:rsidRPr="00E7771A">
        <w:rPr>
          <w:rStyle w:val="Hyperlink"/>
          <w:rFonts w:ascii="Cambria" w:hAnsi="Cambria"/>
          <w:color w:val="000000" w:themeColor="text1"/>
          <w:sz w:val="16"/>
          <w:szCs w:val="16"/>
          <w:lang w:val="es-US"/>
        </w:rPr>
        <w:t xml:space="preserve"> [‘Nurse ordered to be deprived of liberty for demanding better salaries’]</w:t>
      </w:r>
      <w:r w:rsidRPr="00E7771A">
        <w:rPr>
          <w:rFonts w:ascii="Cambria" w:hAnsi="Cambria"/>
          <w:color w:val="000000" w:themeColor="text1"/>
          <w:sz w:val="16"/>
          <w:szCs w:val="16"/>
          <w:lang w:val="es-US"/>
        </w:rPr>
        <w:t xml:space="preserve">; El Carabobeño. </w:t>
      </w:r>
      <w:r w:rsidR="00D85D30" w:rsidRPr="00E7771A">
        <w:rPr>
          <w:rFonts w:ascii="Cambria" w:hAnsi="Cambria"/>
          <w:color w:val="000000" w:themeColor="text1"/>
          <w:sz w:val="16"/>
          <w:szCs w:val="16"/>
          <w:lang w:val="es-US"/>
        </w:rPr>
        <w:t xml:space="preserve">August </w:t>
      </w:r>
      <w:r w:rsidRPr="00E7771A">
        <w:rPr>
          <w:rFonts w:ascii="Cambria" w:hAnsi="Cambria"/>
          <w:color w:val="000000" w:themeColor="text1"/>
          <w:sz w:val="16"/>
          <w:szCs w:val="16"/>
          <w:lang w:val="es-US"/>
        </w:rPr>
        <w:t>5</w:t>
      </w:r>
      <w:r w:rsidR="00D85D30"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80" w:history="1">
        <w:r w:rsidRPr="00E7771A">
          <w:rPr>
            <w:rStyle w:val="Hyperlink"/>
            <w:rFonts w:ascii="Cambria" w:hAnsi="Cambria"/>
            <w:color w:val="000000" w:themeColor="text1"/>
            <w:sz w:val="16"/>
            <w:szCs w:val="16"/>
            <w:lang w:val="es-US"/>
          </w:rPr>
          <w:t>Libertad provisional para Ada Macuare detenida por denunciar escasez de insumos médicos.</w:t>
        </w:r>
      </w:hyperlink>
      <w:r w:rsidR="00D85D30">
        <w:rPr>
          <w:rStyle w:val="Hyperlink"/>
          <w:rFonts w:ascii="Cambria" w:hAnsi="Cambria"/>
          <w:color w:val="000000" w:themeColor="text1"/>
          <w:sz w:val="16"/>
          <w:szCs w:val="16"/>
        </w:rPr>
        <w:t>[‘</w:t>
      </w:r>
      <w:r w:rsidR="0043277F">
        <w:rPr>
          <w:rStyle w:val="Hyperlink"/>
          <w:rFonts w:ascii="Cambria" w:hAnsi="Cambria"/>
          <w:color w:val="000000" w:themeColor="text1"/>
          <w:sz w:val="16"/>
          <w:szCs w:val="16"/>
        </w:rPr>
        <w:t>Provisional release for Ada Macuare arrested for denouncing scarcity of medical supplies’]</w:t>
      </w:r>
    </w:p>
  </w:footnote>
  <w:footnote w:id="205">
    <w:p w14:paraId="11FAF7F9" w14:textId="1861D003"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EFE. </w:t>
      </w:r>
      <w:r w:rsidR="00452EEA"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23</w:t>
      </w:r>
      <w:r w:rsidR="00452EEA"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81" w:history="1">
        <w:r w:rsidRPr="00E7771A">
          <w:rPr>
            <w:rStyle w:val="Hyperlink"/>
            <w:rFonts w:ascii="Cambria" w:hAnsi="Cambria"/>
            <w:color w:val="000000" w:themeColor="text1"/>
            <w:sz w:val="16"/>
            <w:szCs w:val="16"/>
            <w:lang w:val="es-US"/>
          </w:rPr>
          <w:t>El sindicalismo, el otro foco de detenciones y "agresiones" en Venezuela | Política | Edición América.</w:t>
        </w:r>
      </w:hyperlink>
      <w:r w:rsidR="00452EEA">
        <w:rPr>
          <w:rStyle w:val="Hyperlink"/>
          <w:rFonts w:ascii="Cambria" w:hAnsi="Cambria"/>
          <w:color w:val="000000" w:themeColor="text1"/>
          <w:sz w:val="16"/>
          <w:szCs w:val="16"/>
        </w:rPr>
        <w:t>[‘Trade unionism, the other focus of detentions and “aggression” in Venezuela’]</w:t>
      </w:r>
    </w:p>
  </w:footnote>
  <w:footnote w:id="206">
    <w:p w14:paraId="6407D569" w14:textId="0D10B7BB"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452EEA">
        <w:rPr>
          <w:rFonts w:ascii="Cambria" w:hAnsi="Cambria"/>
          <w:color w:val="000000" w:themeColor="text1"/>
          <w:sz w:val="16"/>
          <w:szCs w:val="16"/>
        </w:rPr>
        <w:t xml:space="preserve">IACHR. Special Rapporteurship for Freedom of Expression. Special Rapporteurship for Economic, Social and Cultural Rights. </w:t>
      </w:r>
      <w:r w:rsidR="00452EEA" w:rsidRPr="00E7771A">
        <w:rPr>
          <w:rFonts w:ascii="Cambria" w:hAnsi="Cambria"/>
          <w:color w:val="000000" w:themeColor="text1"/>
          <w:sz w:val="16"/>
          <w:szCs w:val="16"/>
          <w:lang w:val="es-US"/>
        </w:rPr>
        <w:t>July 26, 2021. Press Release 192.</w:t>
      </w:r>
      <w:r w:rsidRPr="00E7771A">
        <w:rPr>
          <w:rFonts w:ascii="Cambria" w:hAnsi="Cambria"/>
          <w:color w:val="000000" w:themeColor="text1"/>
          <w:sz w:val="16"/>
          <w:szCs w:val="16"/>
          <w:lang w:val="es-US"/>
        </w:rPr>
        <w:t xml:space="preserve">  </w:t>
      </w:r>
      <w:hyperlink r:id="rId182" w:history="1">
        <w:r w:rsidRPr="00E7771A">
          <w:rPr>
            <w:rStyle w:val="Hyperlink"/>
            <w:rFonts w:ascii="Cambria" w:hAnsi="Cambria"/>
            <w:color w:val="000000" w:themeColor="text1"/>
            <w:sz w:val="16"/>
            <w:szCs w:val="16"/>
            <w:lang w:val="es-US"/>
          </w:rPr>
          <w:t>La CIDH y sus Relatorías Especiales expresan preocupación por la situación de la autonomía universitaria y la libertad académica en Venezuela</w:t>
        </w:r>
      </w:hyperlink>
      <w:r w:rsidRPr="00E7771A">
        <w:rPr>
          <w:rFonts w:ascii="Cambria" w:hAnsi="Cambria"/>
          <w:color w:val="000000" w:themeColor="text1"/>
          <w:sz w:val="16"/>
          <w:szCs w:val="16"/>
          <w:lang w:val="es-US"/>
        </w:rPr>
        <w:t xml:space="preserve">.  </w:t>
      </w:r>
      <w:r w:rsidR="00452EEA">
        <w:rPr>
          <w:rFonts w:ascii="Cambria" w:hAnsi="Cambria"/>
          <w:color w:val="000000" w:themeColor="text1"/>
          <w:sz w:val="16"/>
          <w:szCs w:val="16"/>
        </w:rPr>
        <w:t>[IACHR and Offices of Special Rapporteurs Express Concern Over University Autonomy and Academic Freedom in Venezuela’].</w:t>
      </w:r>
    </w:p>
  </w:footnote>
  <w:footnote w:id="207">
    <w:p w14:paraId="1B9301B3" w14:textId="37F07169" w:rsidR="005D7789" w:rsidRPr="00E7771A" w:rsidRDefault="005D7789" w:rsidP="00F85814">
      <w:pPr>
        <w:pStyle w:val="FootnoteText"/>
        <w:spacing w:after="120"/>
        <w:ind w:firstLine="720"/>
        <w:jc w:val="both"/>
        <w:rPr>
          <w:rStyle w:val="Hyperlink"/>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452EEA">
        <w:rPr>
          <w:rFonts w:ascii="Cambria" w:hAnsi="Cambria"/>
          <w:color w:val="000000" w:themeColor="text1"/>
          <w:sz w:val="16"/>
          <w:szCs w:val="16"/>
        </w:rPr>
        <w:t>Venezuelan Observatory on Social Conflict, July</w:t>
      </w:r>
      <w:r w:rsidRPr="009035C0">
        <w:rPr>
          <w:rFonts w:ascii="Cambria" w:hAnsi="Cambria"/>
          <w:color w:val="000000" w:themeColor="text1"/>
          <w:sz w:val="16"/>
          <w:szCs w:val="16"/>
        </w:rPr>
        <w:t xml:space="preserve"> 22</w:t>
      </w:r>
      <w:r w:rsidR="00452EEA">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83" w:history="1">
        <w:r w:rsidRPr="009035C0">
          <w:rPr>
            <w:rStyle w:val="Hyperlink"/>
            <w:rFonts w:ascii="Cambria" w:hAnsi="Cambria"/>
            <w:color w:val="000000" w:themeColor="text1"/>
            <w:sz w:val="16"/>
            <w:szCs w:val="16"/>
          </w:rPr>
          <w:t>Conflictividad Social: Venezuela: Primer Semestre de 2021</w:t>
        </w:r>
      </w:hyperlink>
      <w:r w:rsidRPr="009035C0">
        <w:rPr>
          <w:rFonts w:ascii="Cambria" w:hAnsi="Cambria"/>
          <w:color w:val="000000" w:themeColor="text1"/>
          <w:sz w:val="16"/>
          <w:szCs w:val="16"/>
        </w:rPr>
        <w:t>;</w:t>
      </w:r>
      <w:r w:rsidR="00452EEA">
        <w:rPr>
          <w:rFonts w:ascii="Cambria" w:hAnsi="Cambria"/>
          <w:color w:val="000000" w:themeColor="text1"/>
          <w:sz w:val="16"/>
          <w:szCs w:val="16"/>
        </w:rPr>
        <w:t>[‘Social Conflict: Venezuela: First half of 2021]; Venezuelan Observatory on Social Conflict</w:t>
      </w:r>
      <w:r w:rsidRPr="009035C0">
        <w:rPr>
          <w:rFonts w:ascii="Cambria" w:hAnsi="Cambria"/>
          <w:color w:val="000000" w:themeColor="text1"/>
          <w:sz w:val="16"/>
          <w:szCs w:val="16"/>
        </w:rPr>
        <w:t xml:space="preserve">. </w:t>
      </w:r>
      <w:r w:rsidR="00452EEA">
        <w:rPr>
          <w:rFonts w:ascii="Cambria" w:hAnsi="Cambria"/>
          <w:color w:val="000000" w:themeColor="text1"/>
          <w:sz w:val="16"/>
          <w:szCs w:val="16"/>
        </w:rPr>
        <w:t xml:space="preserve">August </w:t>
      </w:r>
      <w:r w:rsidRPr="009035C0">
        <w:rPr>
          <w:rFonts w:ascii="Cambria" w:hAnsi="Cambria"/>
          <w:color w:val="000000" w:themeColor="text1"/>
          <w:sz w:val="16"/>
          <w:szCs w:val="16"/>
        </w:rPr>
        <w:t>25</w:t>
      </w:r>
      <w:r w:rsidR="00452EEA">
        <w:rPr>
          <w:rFonts w:ascii="Cambria" w:hAnsi="Cambria"/>
          <w:color w:val="000000" w:themeColor="text1"/>
          <w:sz w:val="16"/>
          <w:szCs w:val="16"/>
        </w:rPr>
        <w:t>,</w:t>
      </w:r>
      <w:r w:rsidRPr="009035C0">
        <w:rPr>
          <w:rFonts w:ascii="Cambria" w:hAnsi="Cambria"/>
          <w:color w:val="000000" w:themeColor="text1"/>
          <w:sz w:val="16"/>
          <w:szCs w:val="16"/>
        </w:rPr>
        <w:t xml:space="preserve"> 2021. </w:t>
      </w:r>
      <w:r w:rsidR="00452EEA">
        <w:rPr>
          <w:rFonts w:ascii="Cambria" w:hAnsi="Cambria"/>
          <w:color w:val="000000" w:themeColor="text1"/>
          <w:sz w:val="16"/>
          <w:szCs w:val="16"/>
        </w:rPr>
        <w:t>Venezuelan Observatory on Social Conflict</w:t>
      </w:r>
      <w:r w:rsidR="00452EEA" w:rsidRPr="009035C0">
        <w:rPr>
          <w:rFonts w:ascii="Cambria" w:hAnsi="Cambria"/>
          <w:color w:val="000000" w:themeColor="text1"/>
          <w:sz w:val="16"/>
          <w:szCs w:val="16"/>
        </w:rPr>
        <w:t>.</w:t>
      </w:r>
      <w:r w:rsidRPr="009035C0">
        <w:rPr>
          <w:rFonts w:ascii="Cambria" w:hAnsi="Cambria"/>
          <w:color w:val="000000" w:themeColor="text1"/>
          <w:sz w:val="16"/>
          <w:szCs w:val="16"/>
        </w:rPr>
        <w:t xml:space="preserve"> </w:t>
      </w:r>
      <w:hyperlink r:id="rId184" w:history="1">
        <w:r w:rsidRPr="00E7771A">
          <w:rPr>
            <w:rStyle w:val="Hyperlink"/>
            <w:rFonts w:ascii="Cambria" w:hAnsi="Cambria"/>
            <w:color w:val="000000" w:themeColor="text1"/>
            <w:sz w:val="16"/>
            <w:szCs w:val="16"/>
            <w:lang w:val="es-US"/>
          </w:rPr>
          <w:t>Conflictividad Social: Venezuela: Julio de 2021</w:t>
        </w:r>
      </w:hyperlink>
      <w:r w:rsidR="00452EEA" w:rsidRPr="00E7771A">
        <w:rPr>
          <w:rFonts w:ascii="Cambria" w:hAnsi="Cambria"/>
          <w:color w:val="000000" w:themeColor="text1"/>
          <w:sz w:val="16"/>
          <w:szCs w:val="16"/>
          <w:lang w:val="es-US"/>
        </w:rPr>
        <w:t xml:space="preserve"> [‘Social Conflict: Venezuela: July 2021’]; September</w:t>
      </w:r>
      <w:r w:rsidRPr="00E7771A">
        <w:rPr>
          <w:rFonts w:ascii="Cambria" w:hAnsi="Cambria"/>
          <w:color w:val="000000" w:themeColor="text1"/>
          <w:sz w:val="16"/>
          <w:szCs w:val="16"/>
          <w:lang w:val="es-US"/>
        </w:rPr>
        <w:t xml:space="preserve"> 15</w:t>
      </w:r>
      <w:r w:rsidR="00452EEA"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85" w:history="1">
        <w:r w:rsidRPr="00E7771A">
          <w:rPr>
            <w:rStyle w:val="Hyperlink"/>
            <w:rFonts w:ascii="Cambria" w:hAnsi="Cambria"/>
            <w:color w:val="000000" w:themeColor="text1"/>
            <w:sz w:val="16"/>
            <w:szCs w:val="16"/>
            <w:lang w:val="es-US"/>
          </w:rPr>
          <w:t>Conflictividad Social: Venezuela: Agosto de 2021</w:t>
        </w:r>
      </w:hyperlink>
      <w:r w:rsidRPr="00E7771A">
        <w:rPr>
          <w:rFonts w:ascii="Cambria" w:hAnsi="Cambria"/>
          <w:color w:val="000000" w:themeColor="text1"/>
          <w:sz w:val="16"/>
          <w:szCs w:val="16"/>
          <w:lang w:val="es-US"/>
        </w:rPr>
        <w:t>;</w:t>
      </w:r>
      <w:r w:rsidR="007C5CC6" w:rsidRPr="00E7771A">
        <w:rPr>
          <w:rFonts w:ascii="Cambria" w:hAnsi="Cambria"/>
          <w:color w:val="000000" w:themeColor="text1"/>
          <w:sz w:val="16"/>
          <w:szCs w:val="16"/>
          <w:lang w:val="es-US"/>
        </w:rPr>
        <w:t>[‘Social Conflict: Venezuela: August 2021’]; Venezuelan Observatory on Social Conflict.</w:t>
      </w:r>
      <w:r w:rsidRPr="00E7771A">
        <w:rPr>
          <w:rFonts w:ascii="Cambria" w:hAnsi="Cambria"/>
          <w:color w:val="000000" w:themeColor="text1"/>
          <w:sz w:val="16"/>
          <w:szCs w:val="16"/>
          <w:lang w:val="es-US"/>
        </w:rPr>
        <w:t xml:space="preserve"> </w:t>
      </w:r>
      <w:r w:rsidR="007C5CC6"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26</w:t>
      </w:r>
      <w:r w:rsidR="007C5CC6"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r w:rsidRPr="00E7771A">
        <w:rPr>
          <w:rStyle w:val="Hyperlink"/>
          <w:rFonts w:ascii="Cambria" w:hAnsi="Cambria"/>
          <w:color w:val="000000" w:themeColor="text1"/>
          <w:sz w:val="16"/>
          <w:szCs w:val="16"/>
          <w:lang w:val="es-US"/>
        </w:rPr>
        <w:t xml:space="preserve">Conflictividad Social: Venezuela: </w:t>
      </w:r>
      <w:hyperlink r:id="rId186" w:history="1">
        <w:r w:rsidRPr="00E7771A">
          <w:rPr>
            <w:rStyle w:val="Hyperlink"/>
            <w:rFonts w:ascii="Cambria" w:hAnsi="Cambria"/>
            <w:color w:val="000000" w:themeColor="text1"/>
            <w:sz w:val="16"/>
            <w:szCs w:val="16"/>
            <w:lang w:val="es-US"/>
          </w:rPr>
          <w:t>Septiembre de 2021</w:t>
        </w:r>
      </w:hyperlink>
      <w:r w:rsidR="007C5CC6" w:rsidRPr="00E7771A">
        <w:rPr>
          <w:rStyle w:val="Hyperlink"/>
          <w:rFonts w:ascii="Cambria" w:hAnsi="Cambria"/>
          <w:color w:val="000000" w:themeColor="text1"/>
          <w:sz w:val="16"/>
          <w:szCs w:val="16"/>
          <w:lang w:val="es-US"/>
        </w:rPr>
        <w:t xml:space="preserve"> [‘Social Conflict: Venezuela: September 2021’].</w:t>
      </w:r>
      <w:r w:rsidRPr="00E7771A">
        <w:rPr>
          <w:rStyle w:val="Hyperlink"/>
          <w:rFonts w:ascii="Cambria" w:hAnsi="Cambria"/>
          <w:color w:val="000000" w:themeColor="text1"/>
          <w:sz w:val="16"/>
          <w:szCs w:val="16"/>
          <w:lang w:val="es-US"/>
        </w:rPr>
        <w:t>.</w:t>
      </w:r>
    </w:p>
  </w:footnote>
  <w:footnote w:id="208">
    <w:p w14:paraId="71B500B9" w14:textId="70CCE69D"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7C5CC6">
        <w:rPr>
          <w:rFonts w:ascii="Cambria" w:hAnsi="Cambria"/>
          <w:color w:val="000000" w:themeColor="text1"/>
          <w:sz w:val="16"/>
          <w:szCs w:val="16"/>
        </w:rPr>
        <w:t>Venezuelan Observatory on Social Conflict</w:t>
      </w:r>
      <w:r w:rsidR="007C5CC6" w:rsidRPr="009035C0">
        <w:rPr>
          <w:rFonts w:ascii="Cambria" w:hAnsi="Cambria"/>
          <w:color w:val="000000" w:themeColor="text1"/>
          <w:sz w:val="16"/>
          <w:szCs w:val="16"/>
        </w:rPr>
        <w:t>.</w:t>
      </w:r>
      <w:r w:rsidR="007C5CC6">
        <w:rPr>
          <w:rFonts w:ascii="Cambria" w:hAnsi="Cambria"/>
          <w:color w:val="000000" w:themeColor="text1"/>
          <w:sz w:val="16"/>
          <w:szCs w:val="16"/>
        </w:rPr>
        <w:t xml:space="preserve"> July</w:t>
      </w:r>
      <w:r w:rsidRPr="009035C0">
        <w:rPr>
          <w:rFonts w:ascii="Cambria" w:hAnsi="Cambria"/>
          <w:color w:val="000000" w:themeColor="text1"/>
          <w:sz w:val="16"/>
          <w:szCs w:val="16"/>
        </w:rPr>
        <w:t xml:space="preserve"> 22</w:t>
      </w:r>
      <w:r w:rsidR="007C5CC6">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87" w:history="1">
        <w:r w:rsidRPr="009035C0">
          <w:rPr>
            <w:rStyle w:val="Hyperlink"/>
            <w:rFonts w:ascii="Cambria" w:hAnsi="Cambria"/>
            <w:color w:val="000000" w:themeColor="text1"/>
            <w:sz w:val="16"/>
            <w:szCs w:val="16"/>
          </w:rPr>
          <w:t>Conflictividad Social: Venezuela: Primer Semestre de 2021</w:t>
        </w:r>
      </w:hyperlink>
      <w:r w:rsidR="007C5CC6">
        <w:rPr>
          <w:rStyle w:val="Hyperlink"/>
          <w:rFonts w:ascii="Cambria" w:hAnsi="Cambria"/>
          <w:color w:val="000000" w:themeColor="text1"/>
          <w:sz w:val="16"/>
          <w:szCs w:val="16"/>
        </w:rPr>
        <w:t xml:space="preserve"> [‘Social Conflict: Venezuela: First half of 2021’].</w:t>
      </w:r>
    </w:p>
  </w:footnote>
  <w:footnote w:id="209">
    <w:p w14:paraId="47E9AB19" w14:textId="7AB0C251"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7C5CC6">
        <w:rPr>
          <w:rFonts w:ascii="Cambria" w:hAnsi="Cambria"/>
          <w:color w:val="000000" w:themeColor="text1"/>
          <w:sz w:val="16"/>
          <w:szCs w:val="16"/>
        </w:rPr>
        <w:t>Venezuelan Observatory on Social Conflict</w:t>
      </w:r>
      <w:r w:rsidR="007C5CC6" w:rsidRPr="009035C0">
        <w:rPr>
          <w:rFonts w:ascii="Cambria" w:hAnsi="Cambria"/>
          <w:color w:val="000000" w:themeColor="text1"/>
          <w:sz w:val="16"/>
          <w:szCs w:val="16"/>
        </w:rPr>
        <w:t>.</w:t>
      </w:r>
      <w:r w:rsidR="007C5CC6">
        <w:rPr>
          <w:rFonts w:ascii="Cambria" w:hAnsi="Cambria"/>
          <w:color w:val="000000" w:themeColor="text1"/>
          <w:sz w:val="16"/>
          <w:szCs w:val="16"/>
        </w:rPr>
        <w:t xml:space="preserve"> July</w:t>
      </w:r>
      <w:r w:rsidRPr="009035C0">
        <w:rPr>
          <w:rFonts w:ascii="Cambria" w:hAnsi="Cambria"/>
          <w:color w:val="000000" w:themeColor="text1"/>
          <w:sz w:val="16"/>
          <w:szCs w:val="16"/>
        </w:rPr>
        <w:t xml:space="preserve"> 22</w:t>
      </w:r>
      <w:r w:rsidR="007C5CC6">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188" w:history="1">
        <w:r w:rsidRPr="009035C0">
          <w:rPr>
            <w:rStyle w:val="Hyperlink"/>
            <w:rFonts w:ascii="Cambria" w:hAnsi="Cambria"/>
            <w:color w:val="000000" w:themeColor="text1"/>
            <w:sz w:val="16"/>
            <w:szCs w:val="16"/>
          </w:rPr>
          <w:t>Conflictividad Social: Venezuela: Primer Semestre de 2021</w:t>
        </w:r>
      </w:hyperlink>
      <w:r w:rsidR="007C5CC6">
        <w:rPr>
          <w:rStyle w:val="Hyperlink"/>
          <w:rFonts w:ascii="Cambria" w:hAnsi="Cambria"/>
          <w:color w:val="000000" w:themeColor="text1"/>
          <w:sz w:val="16"/>
          <w:szCs w:val="16"/>
        </w:rPr>
        <w:t xml:space="preserve"> [‘Social Conflict: Venezuela: First half of 2021’].</w:t>
      </w:r>
    </w:p>
  </w:footnote>
  <w:footnote w:id="210">
    <w:p w14:paraId="6A55BB84" w14:textId="2F6EF522"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7C5CC6">
        <w:rPr>
          <w:rFonts w:ascii="Cambria" w:hAnsi="Cambria"/>
          <w:color w:val="000000" w:themeColor="text1"/>
          <w:sz w:val="16"/>
          <w:szCs w:val="16"/>
        </w:rPr>
        <w:t xml:space="preserve">Twitter account of </w:t>
      </w:r>
      <w:r w:rsidRPr="009035C0">
        <w:rPr>
          <w:rFonts w:ascii="Cambria" w:hAnsi="Cambria"/>
          <w:color w:val="000000" w:themeColor="text1"/>
          <w:sz w:val="16"/>
          <w:szCs w:val="16"/>
        </w:rPr>
        <w:t xml:space="preserve">Tarek William Saab (@tarekwilliamsaab). </w:t>
      </w:r>
      <w:hyperlink r:id="rId189" w:history="1">
        <w:r w:rsidRPr="00E7771A">
          <w:rPr>
            <w:rStyle w:val="Hyperlink"/>
            <w:rFonts w:ascii="Cambria" w:hAnsi="Cambria"/>
            <w:color w:val="000000" w:themeColor="text1"/>
            <w:sz w:val="16"/>
            <w:szCs w:val="16"/>
            <w:lang w:val="es-US"/>
          </w:rPr>
          <w:t>4 de octubre de 2021</w:t>
        </w:r>
      </w:hyperlink>
      <w:r w:rsidRPr="00E7771A">
        <w:rPr>
          <w:rFonts w:ascii="Cambria" w:hAnsi="Cambria"/>
          <w:color w:val="000000" w:themeColor="text1"/>
          <w:sz w:val="16"/>
          <w:szCs w:val="16"/>
          <w:lang w:val="es-US"/>
        </w:rPr>
        <w:t xml:space="preserve">. El Nacional. </w:t>
      </w:r>
      <w:r w:rsidR="007C5CC6"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5</w:t>
      </w:r>
      <w:r w:rsidR="007C5CC6"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90" w:history="1">
        <w:r w:rsidRPr="00E7771A">
          <w:rPr>
            <w:rStyle w:val="Hyperlink"/>
            <w:rFonts w:ascii="Cambria" w:hAnsi="Cambria"/>
            <w:color w:val="000000" w:themeColor="text1"/>
            <w:sz w:val="16"/>
            <w:szCs w:val="16"/>
            <w:lang w:val="es-US"/>
          </w:rPr>
          <w:t>Condenaron más de 25 a los dos policías que dejaron ciego a Rufo Chacón.</w:t>
        </w:r>
      </w:hyperlink>
      <w:r w:rsidR="007C5CC6">
        <w:rPr>
          <w:rStyle w:val="Hyperlink"/>
          <w:rFonts w:ascii="Cambria" w:hAnsi="Cambria"/>
          <w:color w:val="000000" w:themeColor="text1"/>
          <w:sz w:val="16"/>
          <w:szCs w:val="16"/>
        </w:rPr>
        <w:t>[‘Two policemen who left Rufo Chacon blind convicted to more than 25’].</w:t>
      </w:r>
    </w:p>
  </w:footnote>
  <w:footnote w:id="211">
    <w:p w14:paraId="7607A432" w14:textId="51D150D6"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7C5CC6">
        <w:rPr>
          <w:rFonts w:ascii="Cambria" w:hAnsi="Cambria"/>
          <w:color w:val="000000" w:themeColor="text1"/>
          <w:sz w:val="16"/>
          <w:szCs w:val="16"/>
        </w:rPr>
        <w:t>UNHCHR. Report of the United Nations High Commissioner for Human Rights.</w:t>
      </w:r>
      <w:r w:rsidRPr="009035C0">
        <w:rPr>
          <w:rFonts w:ascii="Cambria" w:hAnsi="Cambria"/>
          <w:color w:val="000000" w:themeColor="text1"/>
          <w:sz w:val="16"/>
          <w:szCs w:val="16"/>
        </w:rPr>
        <w:t xml:space="preserve"> </w:t>
      </w:r>
      <w:hyperlink r:id="rId191" w:history="1">
        <w:r w:rsidRPr="00E7771A">
          <w:rPr>
            <w:rStyle w:val="Hyperlink"/>
            <w:rFonts w:ascii="Cambria" w:hAnsi="Cambria"/>
            <w:color w:val="000000" w:themeColor="text1"/>
            <w:sz w:val="16"/>
            <w:szCs w:val="16"/>
            <w:lang w:val="es-US"/>
          </w:rPr>
          <w:t>Situación de los derechos humanos y la asistencia técnica en la República Bolivariana de Venezuela.</w:t>
        </w:r>
      </w:hyperlink>
      <w:r w:rsidRPr="00E7771A">
        <w:rPr>
          <w:rFonts w:ascii="Cambria" w:hAnsi="Cambria"/>
          <w:color w:val="000000" w:themeColor="text1"/>
          <w:sz w:val="16"/>
          <w:szCs w:val="16"/>
          <w:lang w:val="es-US"/>
        </w:rPr>
        <w:t xml:space="preserve"> </w:t>
      </w:r>
      <w:r w:rsidR="007C5CC6">
        <w:rPr>
          <w:rFonts w:ascii="Cambria" w:hAnsi="Cambria"/>
          <w:color w:val="000000" w:themeColor="text1"/>
          <w:sz w:val="16"/>
          <w:szCs w:val="16"/>
        </w:rPr>
        <w:t>[‘Situation of Human Rights and technical assistance in the Bolivarian Republic of Venezuel</w:t>
      </w:r>
      <w:r w:rsidR="007B30F6">
        <w:rPr>
          <w:rFonts w:ascii="Cambria" w:hAnsi="Cambria"/>
          <w:color w:val="000000" w:themeColor="text1"/>
          <w:sz w:val="16"/>
          <w:szCs w:val="16"/>
        </w:rPr>
        <w:t>a’</w:t>
      </w:r>
      <w:r w:rsidR="007C5CC6">
        <w:rPr>
          <w:rFonts w:ascii="Cambria" w:hAnsi="Cambria"/>
          <w:color w:val="000000" w:themeColor="text1"/>
          <w:sz w:val="16"/>
          <w:szCs w:val="16"/>
        </w:rPr>
        <w:t xml:space="preserve">]. </w:t>
      </w:r>
      <w:r w:rsidRPr="00E7771A">
        <w:rPr>
          <w:rFonts w:ascii="Cambria" w:hAnsi="Cambria"/>
          <w:color w:val="000000" w:themeColor="text1"/>
          <w:sz w:val="16"/>
          <w:szCs w:val="16"/>
          <w:lang w:val="es-US"/>
        </w:rPr>
        <w:t xml:space="preserve">A/HRC/48/1. </w:t>
      </w:r>
      <w:r w:rsidR="007C5CC6"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10</w:t>
      </w:r>
      <w:r w:rsidR="007C5CC6"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Par. 44.</w:t>
      </w:r>
    </w:p>
  </w:footnote>
  <w:footnote w:id="212">
    <w:p w14:paraId="1E330BED" w14:textId="724FCC8A"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Espacio Público. </w:t>
      </w:r>
      <w:r w:rsidR="007C5CC6"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9</w:t>
      </w:r>
      <w:r w:rsidR="007C5CC6"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92" w:history="1">
        <w:r w:rsidRPr="00E7771A">
          <w:rPr>
            <w:rStyle w:val="Hyperlink"/>
            <w:rFonts w:ascii="Cambria" w:hAnsi="Cambria"/>
            <w:color w:val="000000" w:themeColor="text1"/>
            <w:sz w:val="16"/>
            <w:szCs w:val="16"/>
            <w:lang w:val="es-US"/>
          </w:rPr>
          <w:t>Hidrocapital rechaza solicitud de información de cuatro comunidades.</w:t>
        </w:r>
      </w:hyperlink>
      <w:r w:rsidRPr="00E7771A">
        <w:rPr>
          <w:rFonts w:ascii="Cambria" w:hAnsi="Cambria"/>
          <w:color w:val="000000" w:themeColor="text1"/>
          <w:sz w:val="16"/>
          <w:szCs w:val="16"/>
          <w:lang w:val="es-US"/>
        </w:rPr>
        <w:t xml:space="preserve"> </w:t>
      </w:r>
      <w:r w:rsidR="007C5CC6">
        <w:rPr>
          <w:rFonts w:ascii="Cambria" w:hAnsi="Cambria"/>
          <w:color w:val="000000" w:themeColor="text1"/>
          <w:sz w:val="16"/>
          <w:szCs w:val="16"/>
        </w:rPr>
        <w:t xml:space="preserve">[‘Hidrocapital rejects request for information about four communities’]; </w:t>
      </w:r>
      <w:r w:rsidRPr="009035C0">
        <w:rPr>
          <w:rFonts w:ascii="Cambria" w:hAnsi="Cambria"/>
          <w:color w:val="000000" w:themeColor="text1"/>
          <w:sz w:val="16"/>
          <w:szCs w:val="16"/>
        </w:rPr>
        <w:t xml:space="preserve">Espacio Publico. </w:t>
      </w:r>
      <w:hyperlink r:id="rId193" w:history="1">
        <w:r w:rsidRPr="00E7771A">
          <w:rPr>
            <w:rStyle w:val="Hyperlink"/>
            <w:rFonts w:ascii="Cambria" w:hAnsi="Cambria"/>
            <w:color w:val="000000" w:themeColor="text1"/>
            <w:sz w:val="16"/>
            <w:szCs w:val="16"/>
            <w:lang w:val="es-US"/>
          </w:rPr>
          <w:t xml:space="preserve">BCV no respondió solicitud de información sobre el nuevo cono monetario. </w:t>
        </w:r>
      </w:hyperlink>
      <w:r w:rsidR="007C5CC6">
        <w:rPr>
          <w:rStyle w:val="Hyperlink"/>
          <w:rFonts w:ascii="Cambria" w:hAnsi="Cambria"/>
          <w:color w:val="000000" w:themeColor="text1"/>
          <w:sz w:val="16"/>
          <w:szCs w:val="16"/>
        </w:rPr>
        <w:t>[‘BCV did not respond to request for information about the new monetary cone’]</w:t>
      </w:r>
    </w:p>
  </w:footnote>
  <w:footnote w:id="213">
    <w:p w14:paraId="275D3D05" w14:textId="06E6C820"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Espacio Público. </w:t>
      </w:r>
      <w:r w:rsidR="007C5CC6"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26</w:t>
      </w:r>
      <w:r w:rsidR="007C5CC6"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94" w:history="1">
        <w:r w:rsidRPr="00E7771A">
          <w:rPr>
            <w:rStyle w:val="Hyperlink"/>
            <w:rFonts w:ascii="Cambria" w:hAnsi="Cambria"/>
            <w:color w:val="000000" w:themeColor="text1"/>
            <w:sz w:val="16"/>
            <w:szCs w:val="16"/>
            <w:lang w:val="es-US"/>
          </w:rPr>
          <w:t>El Estado venezolano no informa sobre los procesos de vacunación</w:t>
        </w:r>
      </w:hyperlink>
      <w:r w:rsidR="007C5CC6" w:rsidRPr="00E7771A">
        <w:rPr>
          <w:rStyle w:val="Hyperlink"/>
          <w:rFonts w:ascii="Cambria" w:hAnsi="Cambria"/>
          <w:color w:val="000000" w:themeColor="text1"/>
          <w:sz w:val="16"/>
          <w:szCs w:val="16"/>
          <w:lang w:val="es-US"/>
        </w:rPr>
        <w:t xml:space="preserve"> [‘Venezuelan State does not report on vaccination processes’]</w:t>
      </w:r>
      <w:r w:rsidRPr="00E7771A">
        <w:rPr>
          <w:rFonts w:ascii="Cambria" w:hAnsi="Cambria"/>
          <w:color w:val="000000" w:themeColor="text1"/>
          <w:sz w:val="16"/>
          <w:szCs w:val="16"/>
          <w:lang w:val="es-US"/>
        </w:rPr>
        <w:t xml:space="preserve">. </w:t>
      </w:r>
    </w:p>
  </w:footnote>
  <w:footnote w:id="214">
    <w:p w14:paraId="3EFAABF4" w14:textId="3068855E"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0E3B02">
        <w:rPr>
          <w:rFonts w:ascii="Cambria" w:hAnsi="Cambria"/>
          <w:color w:val="000000" w:themeColor="text1"/>
          <w:sz w:val="16"/>
          <w:szCs w:val="16"/>
        </w:rPr>
        <w:t>Bolivarian Republic of Venezuela</w:t>
      </w:r>
      <w:r w:rsidRPr="009035C0">
        <w:rPr>
          <w:rFonts w:ascii="Cambria" w:hAnsi="Cambria"/>
          <w:color w:val="000000" w:themeColor="text1"/>
          <w:sz w:val="16"/>
          <w:szCs w:val="16"/>
        </w:rPr>
        <w:t xml:space="preserve">. </w:t>
      </w:r>
      <w:r w:rsidR="000E3B02">
        <w:rPr>
          <w:rFonts w:ascii="Cambria" w:hAnsi="Cambria"/>
          <w:color w:val="000000" w:themeColor="text1"/>
          <w:sz w:val="16"/>
          <w:szCs w:val="16"/>
        </w:rPr>
        <w:t xml:space="preserve">September </w:t>
      </w:r>
      <w:r w:rsidRPr="009035C0">
        <w:rPr>
          <w:rFonts w:ascii="Cambria" w:hAnsi="Cambria"/>
          <w:color w:val="000000" w:themeColor="text1"/>
          <w:sz w:val="16"/>
          <w:szCs w:val="16"/>
        </w:rPr>
        <w:t>20</w:t>
      </w:r>
      <w:r w:rsidR="000E3B02">
        <w:rPr>
          <w:rFonts w:ascii="Cambria" w:hAnsi="Cambria"/>
          <w:color w:val="000000" w:themeColor="text1"/>
          <w:sz w:val="16"/>
          <w:szCs w:val="16"/>
        </w:rPr>
        <w:t>,</w:t>
      </w:r>
      <w:r w:rsidRPr="009035C0">
        <w:rPr>
          <w:rFonts w:ascii="Cambria" w:hAnsi="Cambria"/>
          <w:color w:val="000000" w:themeColor="text1"/>
          <w:sz w:val="16"/>
          <w:szCs w:val="16"/>
        </w:rPr>
        <w:t xml:space="preserve"> 2021</w:t>
      </w:r>
      <w:hyperlink r:id="rId195" w:history="1">
        <w:r w:rsidRPr="009035C0">
          <w:rPr>
            <w:rStyle w:val="Hyperlink"/>
            <w:rFonts w:ascii="Cambria" w:hAnsi="Cambria"/>
            <w:color w:val="000000" w:themeColor="text1"/>
            <w:sz w:val="16"/>
            <w:szCs w:val="16"/>
          </w:rPr>
          <w:t xml:space="preserve">. </w:t>
        </w:r>
        <w:r w:rsidRPr="00E7771A">
          <w:rPr>
            <w:rStyle w:val="Hyperlink"/>
            <w:rFonts w:ascii="Cambria" w:hAnsi="Cambria"/>
            <w:color w:val="000000" w:themeColor="text1"/>
            <w:sz w:val="16"/>
            <w:szCs w:val="16"/>
            <w:lang w:val="es-US"/>
          </w:rPr>
          <w:t>Ley de Transparencia y Acceso a la Información de Interés Público</w:t>
        </w:r>
      </w:hyperlink>
      <w:r w:rsidRPr="00E7771A">
        <w:rPr>
          <w:rFonts w:ascii="Cambria" w:hAnsi="Cambria"/>
          <w:color w:val="000000" w:themeColor="text1"/>
          <w:sz w:val="16"/>
          <w:szCs w:val="16"/>
          <w:lang w:val="es-US"/>
        </w:rPr>
        <w:t xml:space="preserve">. </w:t>
      </w:r>
      <w:r w:rsidR="000E3B02">
        <w:rPr>
          <w:rFonts w:ascii="Cambria" w:hAnsi="Cambria"/>
          <w:color w:val="000000" w:themeColor="text1"/>
          <w:sz w:val="16"/>
          <w:szCs w:val="16"/>
        </w:rPr>
        <w:t>[‘Law of Transparency and Access to Information of Public Interest’], Official Gazette of the Bolivarian Republic of Venezuela.</w:t>
      </w:r>
      <w:r w:rsidRPr="009035C0">
        <w:rPr>
          <w:rFonts w:ascii="Cambria" w:hAnsi="Cambria"/>
          <w:color w:val="000000" w:themeColor="text1"/>
          <w:sz w:val="16"/>
          <w:szCs w:val="16"/>
        </w:rPr>
        <w:t xml:space="preserve"> </w:t>
      </w:r>
      <w:r w:rsidRPr="00E7771A">
        <w:rPr>
          <w:rFonts w:ascii="Cambria" w:hAnsi="Cambria"/>
          <w:color w:val="000000" w:themeColor="text1"/>
          <w:sz w:val="16"/>
          <w:szCs w:val="16"/>
          <w:lang w:val="es-US"/>
        </w:rPr>
        <w:t>Año CXLVIII – Mes VII, n</w:t>
      </w:r>
      <w:r w:rsidR="000E3B02" w:rsidRPr="00E7771A">
        <w:rPr>
          <w:rFonts w:ascii="Cambria" w:hAnsi="Cambria"/>
          <w:color w:val="000000" w:themeColor="text1"/>
          <w:sz w:val="16"/>
          <w:szCs w:val="16"/>
          <w:lang w:val="es-US"/>
        </w:rPr>
        <w:t xml:space="preserve">umber </w:t>
      </w:r>
      <w:r w:rsidRPr="00E7771A">
        <w:rPr>
          <w:rFonts w:ascii="Cambria" w:hAnsi="Cambria"/>
          <w:color w:val="000000" w:themeColor="text1"/>
          <w:sz w:val="16"/>
          <w:szCs w:val="16"/>
          <w:lang w:val="es-US"/>
        </w:rPr>
        <w:t>42.118</w:t>
      </w:r>
      <w:r w:rsidR="00995D74" w:rsidRPr="00E7771A">
        <w:rPr>
          <w:rFonts w:ascii="Cambria" w:hAnsi="Cambria"/>
          <w:color w:val="000000" w:themeColor="text1"/>
          <w:sz w:val="16"/>
          <w:szCs w:val="16"/>
          <w:lang w:val="es-US"/>
        </w:rPr>
        <w:t>; VTV</w:t>
      </w:r>
      <w:r w:rsidRPr="00E7771A">
        <w:rPr>
          <w:rFonts w:ascii="Cambria" w:hAnsi="Cambria"/>
          <w:color w:val="000000" w:themeColor="text1"/>
          <w:sz w:val="16"/>
          <w:szCs w:val="16"/>
          <w:lang w:val="es-US"/>
        </w:rPr>
        <w:t xml:space="preserve">. </w:t>
      </w:r>
      <w:r w:rsidR="000E3B02"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17</w:t>
      </w:r>
      <w:r w:rsidR="000E3B02"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96" w:history="1">
        <w:r w:rsidRPr="00E7771A">
          <w:rPr>
            <w:rStyle w:val="Hyperlink"/>
            <w:rFonts w:ascii="Cambria" w:hAnsi="Cambria"/>
            <w:color w:val="000000" w:themeColor="text1"/>
            <w:sz w:val="16"/>
            <w:szCs w:val="16"/>
            <w:lang w:val="es-US"/>
          </w:rPr>
          <w:t>AN aprueba en segunda discusión el Proyecto de Ley de Transparencia y Acceso a la Información de Interés Público;</w:t>
        </w:r>
      </w:hyperlink>
      <w:r w:rsidR="002C7F0C" w:rsidRPr="00E7771A">
        <w:rPr>
          <w:rStyle w:val="Hyperlink"/>
          <w:rFonts w:ascii="Cambria" w:hAnsi="Cambria"/>
          <w:color w:val="000000" w:themeColor="text1"/>
          <w:sz w:val="16"/>
          <w:szCs w:val="16"/>
          <w:lang w:val="es-US"/>
        </w:rPr>
        <w:t xml:space="preserve">[‘National Assembly </w:t>
      </w:r>
      <w:r w:rsidR="00481E9C" w:rsidRPr="00E7771A">
        <w:rPr>
          <w:rStyle w:val="Hyperlink"/>
          <w:rFonts w:ascii="Cambria" w:hAnsi="Cambria"/>
          <w:color w:val="000000" w:themeColor="text1"/>
          <w:sz w:val="16"/>
          <w:szCs w:val="16"/>
          <w:lang w:val="es-US"/>
        </w:rPr>
        <w:t xml:space="preserve">approves </w:t>
      </w:r>
      <w:r w:rsidR="002C7F0C" w:rsidRPr="00E7771A">
        <w:rPr>
          <w:rStyle w:val="Hyperlink"/>
          <w:rFonts w:ascii="Cambria" w:hAnsi="Cambria"/>
          <w:color w:val="000000" w:themeColor="text1"/>
          <w:sz w:val="16"/>
          <w:szCs w:val="16"/>
          <w:lang w:val="es-US"/>
        </w:rPr>
        <w:t xml:space="preserve">in second round of debate Draft Transparency and Access to Information of Public Interest Law’] </w:t>
      </w:r>
      <w:r w:rsidRPr="00E7771A">
        <w:rPr>
          <w:rFonts w:ascii="Cambria" w:hAnsi="Cambria"/>
          <w:color w:val="000000" w:themeColor="text1"/>
          <w:sz w:val="16"/>
          <w:szCs w:val="16"/>
          <w:lang w:val="es-US"/>
        </w:rPr>
        <w:t xml:space="preserve">El Pitazo. </w:t>
      </w:r>
      <w:r w:rsidR="002C7F0C"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28</w:t>
      </w:r>
      <w:r w:rsidR="002C7F0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197" w:history="1">
        <w:r w:rsidRPr="00E7771A">
          <w:rPr>
            <w:rStyle w:val="Hyperlink"/>
            <w:rFonts w:ascii="Cambria" w:hAnsi="Cambria"/>
            <w:color w:val="000000" w:themeColor="text1"/>
            <w:sz w:val="16"/>
            <w:szCs w:val="16"/>
            <w:lang w:val="es-US"/>
          </w:rPr>
          <w:t>¿Qué plantea la ley de acceso a la información aprobada por AN madurista?</w:t>
        </w:r>
      </w:hyperlink>
      <w:r w:rsidR="002C7F0C">
        <w:rPr>
          <w:rStyle w:val="Hyperlink"/>
          <w:rFonts w:ascii="Cambria" w:hAnsi="Cambria"/>
          <w:color w:val="000000" w:themeColor="text1"/>
          <w:sz w:val="16"/>
          <w:szCs w:val="16"/>
        </w:rPr>
        <w:t>[‘What is proposed in the access to information law approved by the pro-Maduro National Assembly’]</w:t>
      </w:r>
    </w:p>
  </w:footnote>
  <w:footnote w:id="215">
    <w:p w14:paraId="31A37FE4" w14:textId="0361FB9A"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375A31">
        <w:rPr>
          <w:rFonts w:ascii="Cambria" w:hAnsi="Cambria"/>
          <w:color w:val="000000" w:themeColor="text1"/>
          <w:sz w:val="16"/>
          <w:szCs w:val="16"/>
        </w:rPr>
        <w:t>SRFE</w:t>
      </w:r>
      <w:r w:rsidRPr="009035C0">
        <w:rPr>
          <w:rFonts w:ascii="Cambria" w:hAnsi="Cambria"/>
          <w:color w:val="000000" w:themeColor="text1"/>
          <w:sz w:val="16"/>
          <w:szCs w:val="16"/>
        </w:rPr>
        <w:t xml:space="preserve">. </w:t>
      </w:r>
      <w:hyperlink r:id="rId198" w:history="1">
        <w:r w:rsidRPr="009035C0">
          <w:rPr>
            <w:rStyle w:val="Hyperlink"/>
            <w:rFonts w:ascii="Cambria" w:hAnsi="Cambria"/>
            <w:color w:val="000000" w:themeColor="text1"/>
            <w:sz w:val="16"/>
            <w:szCs w:val="16"/>
          </w:rPr>
          <w:t>Informe Anual 2021</w:t>
        </w:r>
      </w:hyperlink>
      <w:r w:rsidR="00D27E3E">
        <w:rPr>
          <w:rStyle w:val="Hyperlink"/>
          <w:rFonts w:ascii="Cambria" w:hAnsi="Cambria"/>
          <w:color w:val="000000" w:themeColor="text1"/>
          <w:sz w:val="16"/>
          <w:szCs w:val="16"/>
        </w:rPr>
        <w:t xml:space="preserve"> </w:t>
      </w:r>
      <w:r w:rsidR="00375A31">
        <w:rPr>
          <w:rFonts w:ascii="Cambria" w:hAnsi="Cambria"/>
          <w:color w:val="000000" w:themeColor="text1"/>
          <w:sz w:val="16"/>
          <w:szCs w:val="16"/>
        </w:rPr>
        <w:t>20</w:t>
      </w:r>
      <w:r w:rsidR="006479F8">
        <w:rPr>
          <w:rFonts w:ascii="Cambria" w:hAnsi="Cambria"/>
          <w:color w:val="000000" w:themeColor="text1"/>
          <w:sz w:val="16"/>
          <w:szCs w:val="16"/>
        </w:rPr>
        <w:t>11</w:t>
      </w:r>
      <w:r w:rsidR="00375A31">
        <w:rPr>
          <w:rFonts w:ascii="Cambria" w:hAnsi="Cambria"/>
          <w:color w:val="000000" w:themeColor="text1"/>
          <w:sz w:val="16"/>
          <w:szCs w:val="16"/>
        </w:rPr>
        <w:t xml:space="preserve"> Annual Report, Chapter III: The Right to Access to Information in the Americas</w:t>
      </w:r>
      <w:r w:rsidR="00F11069">
        <w:rPr>
          <w:rFonts w:ascii="Cambria" w:hAnsi="Cambria"/>
          <w:color w:val="000000" w:themeColor="text1"/>
          <w:sz w:val="16"/>
          <w:szCs w:val="16"/>
        </w:rPr>
        <w:t xml:space="preserve">, </w:t>
      </w:r>
      <w:r w:rsidRPr="009035C0">
        <w:rPr>
          <w:rFonts w:ascii="Cambria" w:hAnsi="Cambria"/>
          <w:color w:val="000000" w:themeColor="text1"/>
          <w:sz w:val="16"/>
          <w:szCs w:val="16"/>
        </w:rPr>
        <w:t xml:space="preserve">par. 21 </w:t>
      </w:r>
      <w:r w:rsidR="000F16A0">
        <w:rPr>
          <w:rFonts w:ascii="Cambria" w:hAnsi="Cambria"/>
          <w:color w:val="000000" w:themeColor="text1"/>
          <w:sz w:val="16"/>
          <w:szCs w:val="16"/>
        </w:rPr>
        <w:t>et seq.</w:t>
      </w:r>
      <w:r w:rsidRPr="009035C0">
        <w:rPr>
          <w:rFonts w:ascii="Cambria" w:hAnsi="Cambria"/>
          <w:color w:val="000000" w:themeColor="text1"/>
          <w:sz w:val="16"/>
          <w:szCs w:val="16"/>
        </w:rPr>
        <w:t xml:space="preserve"> </w:t>
      </w:r>
      <w:r w:rsidRPr="00E7771A">
        <w:rPr>
          <w:rFonts w:ascii="Cambria" w:hAnsi="Cambria"/>
          <w:color w:val="000000" w:themeColor="text1"/>
          <w:sz w:val="16"/>
          <w:szCs w:val="16"/>
          <w:lang w:val="es-US"/>
        </w:rPr>
        <w:t xml:space="preserve">OEA/Ser.L/V/II. Doc. 69 </w:t>
      </w:r>
      <w:r w:rsidR="006479F8" w:rsidRPr="00E7771A">
        <w:rPr>
          <w:rFonts w:ascii="Cambria" w:hAnsi="Cambria"/>
          <w:color w:val="000000" w:themeColor="text1"/>
          <w:sz w:val="16"/>
          <w:szCs w:val="16"/>
          <w:lang w:val="es-US"/>
        </w:rPr>
        <w:t xml:space="preserve">December </w:t>
      </w:r>
      <w:r w:rsidRPr="00E7771A">
        <w:rPr>
          <w:rFonts w:ascii="Cambria" w:hAnsi="Cambria"/>
          <w:color w:val="000000" w:themeColor="text1"/>
          <w:sz w:val="16"/>
          <w:szCs w:val="16"/>
          <w:lang w:val="es-US"/>
        </w:rPr>
        <w:t>30</w:t>
      </w:r>
      <w:r w:rsidR="006479F8" w:rsidRPr="00E7771A">
        <w:rPr>
          <w:rFonts w:ascii="Cambria" w:hAnsi="Cambria"/>
          <w:color w:val="000000" w:themeColor="text1"/>
          <w:sz w:val="16"/>
          <w:szCs w:val="16"/>
          <w:lang w:val="es-US"/>
        </w:rPr>
        <w:t>, 2011</w:t>
      </w:r>
    </w:p>
  </w:footnote>
  <w:footnote w:id="216">
    <w:p w14:paraId="686E15E8" w14:textId="427900AA"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O</w:t>
      </w:r>
      <w:r w:rsidR="00ED14A1" w:rsidRPr="00E7771A">
        <w:rPr>
          <w:rFonts w:ascii="Cambria" w:hAnsi="Cambria"/>
          <w:color w:val="000000" w:themeColor="text1"/>
          <w:sz w:val="16"/>
          <w:szCs w:val="16"/>
          <w:lang w:val="es-US"/>
        </w:rPr>
        <w:t>AS</w:t>
      </w:r>
      <w:r w:rsidRPr="00E7771A">
        <w:rPr>
          <w:rFonts w:ascii="Cambria" w:hAnsi="Cambria"/>
          <w:color w:val="000000" w:themeColor="text1"/>
          <w:sz w:val="16"/>
          <w:szCs w:val="16"/>
          <w:lang w:val="es-US"/>
        </w:rPr>
        <w:t xml:space="preserve">. </w:t>
      </w:r>
      <w:hyperlink r:id="rId199" w:history="1">
        <w:r w:rsidRPr="00E7771A">
          <w:rPr>
            <w:rStyle w:val="Hyperlink"/>
            <w:rFonts w:ascii="Cambria" w:hAnsi="Cambria"/>
            <w:color w:val="000000" w:themeColor="text1"/>
            <w:sz w:val="16"/>
            <w:szCs w:val="16"/>
            <w:lang w:val="es-US"/>
          </w:rPr>
          <w:t>Ley Modelo Interamericana 2.0 sobre Acceso a la Información Pública</w:t>
        </w:r>
      </w:hyperlink>
      <w:r w:rsidRPr="00E7771A">
        <w:rPr>
          <w:rFonts w:ascii="Cambria" w:hAnsi="Cambria"/>
          <w:color w:val="000000" w:themeColor="text1"/>
          <w:sz w:val="16"/>
          <w:szCs w:val="16"/>
          <w:lang w:val="es-US"/>
        </w:rPr>
        <w:t xml:space="preserve">. </w:t>
      </w:r>
      <w:r w:rsidR="003B382B">
        <w:rPr>
          <w:rFonts w:ascii="Cambria" w:hAnsi="Cambria"/>
          <w:color w:val="000000" w:themeColor="text1"/>
          <w:sz w:val="16"/>
          <w:szCs w:val="16"/>
        </w:rPr>
        <w:t xml:space="preserve">[Inter-American </w:t>
      </w:r>
      <w:r w:rsidR="00A23FB2">
        <w:rPr>
          <w:rFonts w:ascii="Cambria" w:hAnsi="Cambria"/>
          <w:color w:val="000000" w:themeColor="text1"/>
          <w:sz w:val="16"/>
          <w:szCs w:val="16"/>
        </w:rPr>
        <w:t xml:space="preserve">Model </w:t>
      </w:r>
      <w:r w:rsidR="003B382B">
        <w:rPr>
          <w:rFonts w:ascii="Cambria" w:hAnsi="Cambria"/>
          <w:color w:val="000000" w:themeColor="text1"/>
          <w:sz w:val="16"/>
          <w:szCs w:val="16"/>
        </w:rPr>
        <w:t xml:space="preserve">Law 2.0 on Access to Public Information’], </w:t>
      </w:r>
      <w:r w:rsidRPr="009035C0">
        <w:rPr>
          <w:rFonts w:ascii="Cambria" w:hAnsi="Cambria"/>
          <w:color w:val="000000" w:themeColor="text1"/>
          <w:sz w:val="16"/>
          <w:szCs w:val="16"/>
        </w:rPr>
        <w:t>OEA/Ser.D/XIX.12 2020. 2020.</w:t>
      </w:r>
      <w:r w:rsidR="00F11069">
        <w:rPr>
          <w:rFonts w:ascii="Cambria" w:hAnsi="Cambria"/>
          <w:color w:val="000000" w:themeColor="text1"/>
          <w:sz w:val="16"/>
          <w:szCs w:val="16"/>
        </w:rPr>
        <w:t xml:space="preserve"> </w:t>
      </w:r>
    </w:p>
  </w:footnote>
  <w:footnote w:id="217">
    <w:p w14:paraId="624B5B71" w14:textId="6F5A8274"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3B7CED">
        <w:rPr>
          <w:rFonts w:ascii="Cambria" w:hAnsi="Cambria"/>
          <w:color w:val="000000" w:themeColor="text1"/>
          <w:sz w:val="16"/>
          <w:szCs w:val="16"/>
        </w:rPr>
        <w:t xml:space="preserve">Joint </w:t>
      </w:r>
      <w:r w:rsidR="002B0EA2">
        <w:rPr>
          <w:rFonts w:ascii="Cambria" w:hAnsi="Cambria"/>
          <w:color w:val="000000" w:themeColor="text1"/>
          <w:sz w:val="16"/>
          <w:szCs w:val="16"/>
        </w:rPr>
        <w:t xml:space="preserve">Declaration </w:t>
      </w:r>
      <w:r w:rsidR="003B7CED">
        <w:rPr>
          <w:rFonts w:ascii="Cambria" w:hAnsi="Cambria"/>
          <w:color w:val="000000" w:themeColor="text1"/>
          <w:sz w:val="16"/>
          <w:szCs w:val="16"/>
        </w:rPr>
        <w:t>of the United Nations</w:t>
      </w:r>
      <w:r w:rsidR="006D5810">
        <w:rPr>
          <w:rFonts w:ascii="Cambria" w:hAnsi="Cambria"/>
          <w:color w:val="000000" w:themeColor="text1"/>
          <w:sz w:val="16"/>
          <w:szCs w:val="16"/>
        </w:rPr>
        <w:t xml:space="preserve"> </w:t>
      </w:r>
      <w:r w:rsidR="00446967">
        <w:rPr>
          <w:rFonts w:ascii="Cambria" w:hAnsi="Cambria"/>
          <w:color w:val="000000" w:themeColor="text1"/>
          <w:sz w:val="16"/>
          <w:szCs w:val="16"/>
        </w:rPr>
        <w:t xml:space="preserve">(UN) </w:t>
      </w:r>
      <w:r w:rsidR="003B7CED">
        <w:rPr>
          <w:rFonts w:ascii="Cambria" w:hAnsi="Cambria"/>
          <w:color w:val="000000" w:themeColor="text1"/>
          <w:sz w:val="16"/>
          <w:szCs w:val="16"/>
        </w:rPr>
        <w:t xml:space="preserve">Special Rapporteur </w:t>
      </w:r>
      <w:r w:rsidR="00CD5426">
        <w:rPr>
          <w:rFonts w:ascii="Cambria" w:hAnsi="Cambria"/>
          <w:color w:val="000000" w:themeColor="text1"/>
          <w:sz w:val="16"/>
          <w:szCs w:val="16"/>
        </w:rPr>
        <w:t xml:space="preserve">for Freedom of Opinion and Expression, </w:t>
      </w:r>
      <w:r w:rsidR="00F25533">
        <w:rPr>
          <w:rFonts w:ascii="Cambria" w:hAnsi="Cambria"/>
          <w:color w:val="000000" w:themeColor="text1"/>
          <w:sz w:val="16"/>
          <w:szCs w:val="16"/>
        </w:rPr>
        <w:t xml:space="preserve">the </w:t>
      </w:r>
      <w:r w:rsidR="00446967">
        <w:rPr>
          <w:rFonts w:ascii="Cambria" w:hAnsi="Cambria"/>
          <w:color w:val="000000" w:themeColor="text1"/>
          <w:sz w:val="16"/>
          <w:szCs w:val="16"/>
        </w:rPr>
        <w:t xml:space="preserve">Representative for Freedom of the Media of the Organization for Security and Cooperation in Europe (OSCE), and the Special Rapporteur of the Organization of American States (OAS) </w:t>
      </w:r>
      <w:r w:rsidR="00F36B68">
        <w:rPr>
          <w:rFonts w:ascii="Cambria" w:hAnsi="Cambria"/>
          <w:color w:val="000000" w:themeColor="text1"/>
          <w:sz w:val="16"/>
          <w:szCs w:val="16"/>
        </w:rPr>
        <w:t>for Freedom of Expression</w:t>
      </w:r>
      <w:r w:rsidR="001B351F">
        <w:rPr>
          <w:rFonts w:ascii="Cambria" w:hAnsi="Cambria"/>
          <w:color w:val="000000" w:themeColor="text1"/>
          <w:sz w:val="16"/>
          <w:szCs w:val="16"/>
        </w:rPr>
        <w:t>, 2004</w:t>
      </w:r>
      <w:r w:rsidRPr="009035C0">
        <w:rPr>
          <w:rFonts w:ascii="Cambria" w:hAnsi="Cambria"/>
          <w:color w:val="000000" w:themeColor="text1"/>
          <w:sz w:val="16"/>
          <w:szCs w:val="16"/>
        </w:rPr>
        <w:t xml:space="preserve">. </w:t>
      </w:r>
      <w:hyperlink r:id="rId200" w:history="1">
        <w:r w:rsidRPr="00E7771A">
          <w:rPr>
            <w:rStyle w:val="Hyperlink"/>
            <w:rFonts w:ascii="Cambria" w:hAnsi="Cambria"/>
            <w:color w:val="000000" w:themeColor="text1"/>
            <w:sz w:val="16"/>
            <w:szCs w:val="16"/>
            <w:lang w:val="es-US"/>
          </w:rPr>
          <w:t>Declaración Conjunta sobre Acceso a la Información y sobre la Legislación que Regula el Secreto</w:t>
        </w:r>
      </w:hyperlink>
      <w:r w:rsidRPr="00E7771A">
        <w:rPr>
          <w:rFonts w:ascii="Cambria" w:hAnsi="Cambria"/>
          <w:color w:val="000000" w:themeColor="text1"/>
          <w:sz w:val="16"/>
          <w:szCs w:val="16"/>
          <w:lang w:val="es-US"/>
        </w:rPr>
        <w:t>.</w:t>
      </w:r>
      <w:r w:rsidR="002B0EA2" w:rsidRPr="00E7771A">
        <w:rPr>
          <w:rFonts w:ascii="Cambria" w:hAnsi="Cambria"/>
          <w:color w:val="000000" w:themeColor="text1"/>
          <w:sz w:val="16"/>
          <w:szCs w:val="16"/>
          <w:lang w:val="es-US"/>
        </w:rPr>
        <w:t xml:space="preserve">[Joint </w:t>
      </w:r>
      <w:r w:rsidR="00A66CCA" w:rsidRPr="00E7771A">
        <w:rPr>
          <w:rFonts w:ascii="Cambria" w:hAnsi="Cambria"/>
          <w:color w:val="000000" w:themeColor="text1"/>
          <w:sz w:val="16"/>
          <w:szCs w:val="16"/>
          <w:lang w:val="es-US"/>
        </w:rPr>
        <w:t xml:space="preserve">Declaration </w:t>
      </w:r>
      <w:r w:rsidR="002B0EA2" w:rsidRPr="00E7771A">
        <w:rPr>
          <w:rFonts w:ascii="Cambria" w:hAnsi="Cambria"/>
          <w:color w:val="000000" w:themeColor="text1"/>
          <w:sz w:val="16"/>
          <w:szCs w:val="16"/>
          <w:lang w:val="es-US"/>
        </w:rPr>
        <w:t xml:space="preserve">on Access to Information and on </w:t>
      </w:r>
      <w:r w:rsidR="00D07CC7" w:rsidRPr="00E7771A">
        <w:rPr>
          <w:rFonts w:ascii="Cambria" w:hAnsi="Cambria"/>
          <w:color w:val="000000" w:themeColor="text1"/>
          <w:sz w:val="16"/>
          <w:szCs w:val="16"/>
          <w:lang w:val="es-US"/>
        </w:rPr>
        <w:t xml:space="preserve">Secrecy </w:t>
      </w:r>
      <w:r w:rsidR="002B0EA2" w:rsidRPr="00E7771A">
        <w:rPr>
          <w:rFonts w:ascii="Cambria" w:hAnsi="Cambria"/>
          <w:color w:val="000000" w:themeColor="text1"/>
          <w:sz w:val="16"/>
          <w:szCs w:val="16"/>
          <w:lang w:val="es-US"/>
        </w:rPr>
        <w:t>Legislation]</w:t>
      </w:r>
    </w:p>
  </w:footnote>
  <w:footnote w:id="218">
    <w:p w14:paraId="7FFFE90B" w14:textId="4B5AC577"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O</w:t>
      </w:r>
      <w:r w:rsidR="00AB0DEF" w:rsidRPr="00E7771A">
        <w:rPr>
          <w:rFonts w:ascii="Cambria" w:hAnsi="Cambria"/>
          <w:color w:val="000000" w:themeColor="text1"/>
          <w:sz w:val="16"/>
          <w:szCs w:val="16"/>
          <w:lang w:val="es-US"/>
        </w:rPr>
        <w:t>AS</w:t>
      </w:r>
      <w:r w:rsidRPr="00E7771A">
        <w:rPr>
          <w:rFonts w:ascii="Cambria" w:hAnsi="Cambria"/>
          <w:color w:val="000000" w:themeColor="text1"/>
          <w:sz w:val="16"/>
          <w:szCs w:val="16"/>
          <w:lang w:val="es-US"/>
        </w:rPr>
        <w:t xml:space="preserve">. </w:t>
      </w:r>
      <w:hyperlink r:id="rId201" w:history="1">
        <w:r w:rsidRPr="00E7771A">
          <w:rPr>
            <w:rStyle w:val="Hyperlink"/>
            <w:rFonts w:ascii="Cambria" w:hAnsi="Cambria"/>
            <w:color w:val="000000" w:themeColor="text1"/>
            <w:sz w:val="16"/>
            <w:szCs w:val="16"/>
            <w:lang w:val="es-US"/>
          </w:rPr>
          <w:t>Ley Modelo Interamericana 2.0 sobre Acceso a la Información Pública</w:t>
        </w:r>
      </w:hyperlink>
      <w:r w:rsidRPr="00E7771A">
        <w:rPr>
          <w:rFonts w:ascii="Cambria" w:hAnsi="Cambria"/>
          <w:color w:val="000000" w:themeColor="text1"/>
          <w:sz w:val="16"/>
          <w:szCs w:val="16"/>
          <w:lang w:val="es-US"/>
        </w:rPr>
        <w:t xml:space="preserve">. </w:t>
      </w:r>
      <w:r w:rsidR="00AB0DEF">
        <w:rPr>
          <w:rFonts w:ascii="Cambria" w:hAnsi="Cambria"/>
          <w:color w:val="000000" w:themeColor="text1"/>
          <w:sz w:val="16"/>
          <w:szCs w:val="16"/>
        </w:rPr>
        <w:t xml:space="preserve">Inter-American Model Law 2.0 on Access to Public Information’], </w:t>
      </w:r>
      <w:r w:rsidR="00AB0DEF" w:rsidRPr="009035C0">
        <w:rPr>
          <w:rFonts w:ascii="Cambria" w:hAnsi="Cambria"/>
          <w:color w:val="000000" w:themeColor="text1"/>
          <w:sz w:val="16"/>
          <w:szCs w:val="16"/>
        </w:rPr>
        <w:t>OEA/Ser.D/XIX.12 2020. 2020.</w:t>
      </w:r>
    </w:p>
  </w:footnote>
  <w:footnote w:id="219">
    <w:p w14:paraId="179C59E3" w14:textId="26AFA9F0"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AB0DEF">
        <w:rPr>
          <w:rFonts w:ascii="Cambria" w:hAnsi="Cambria"/>
          <w:color w:val="000000" w:themeColor="text1"/>
          <w:sz w:val="16"/>
          <w:szCs w:val="16"/>
        </w:rPr>
        <w:t>Joint Declaration of the United Nations (UN) Special Rapporteur for Freedom of Opinion and Expression, the Representative for Freedom of the Media of the Organization for Security and Cooperation in Europe (OSCE), and the Special Rapporteur of the Organization of American States (OAS) for Freedom of Expression, 2004</w:t>
      </w:r>
      <w:r w:rsidRPr="009035C0">
        <w:rPr>
          <w:rFonts w:ascii="Cambria" w:hAnsi="Cambria"/>
          <w:color w:val="000000" w:themeColor="text1"/>
          <w:sz w:val="16"/>
          <w:szCs w:val="16"/>
        </w:rPr>
        <w:t xml:space="preserve">. </w:t>
      </w:r>
      <w:hyperlink r:id="rId202" w:history="1">
        <w:r w:rsidRPr="00E7771A">
          <w:rPr>
            <w:rStyle w:val="Hyperlink"/>
            <w:rFonts w:ascii="Cambria" w:hAnsi="Cambria"/>
            <w:color w:val="000000" w:themeColor="text1"/>
            <w:sz w:val="16"/>
            <w:szCs w:val="16"/>
            <w:lang w:val="es-US"/>
          </w:rPr>
          <w:t>Declaración Conjunta sobre Acceso a la Información y sobre la Legislación que Regula el Secreto</w:t>
        </w:r>
      </w:hyperlink>
      <w:r w:rsidR="00AB0DEF" w:rsidRPr="00E7771A">
        <w:rPr>
          <w:rFonts w:ascii="Cambria" w:hAnsi="Cambria"/>
          <w:color w:val="000000" w:themeColor="text1"/>
          <w:sz w:val="16"/>
          <w:szCs w:val="16"/>
          <w:lang w:val="es-US"/>
        </w:rPr>
        <w:t xml:space="preserve">.[Joint Declaration on Access to Information and on </w:t>
      </w:r>
      <w:r w:rsidR="003E0C33" w:rsidRPr="00E7771A">
        <w:rPr>
          <w:rFonts w:ascii="Cambria" w:hAnsi="Cambria"/>
          <w:color w:val="000000" w:themeColor="text1"/>
          <w:sz w:val="16"/>
          <w:szCs w:val="16"/>
          <w:lang w:val="es-US"/>
        </w:rPr>
        <w:t xml:space="preserve">Secrecy </w:t>
      </w:r>
      <w:r w:rsidR="00AB0DEF" w:rsidRPr="00E7771A">
        <w:rPr>
          <w:rFonts w:ascii="Cambria" w:hAnsi="Cambria"/>
          <w:color w:val="000000" w:themeColor="text1"/>
          <w:sz w:val="16"/>
          <w:szCs w:val="16"/>
          <w:lang w:val="es-US"/>
        </w:rPr>
        <w:t>Legislation]</w:t>
      </w:r>
    </w:p>
  </w:footnote>
  <w:footnote w:id="220">
    <w:p w14:paraId="64311BED" w14:textId="6256B1B5"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AB0DEF">
        <w:rPr>
          <w:rFonts w:ascii="Cambria" w:hAnsi="Cambria"/>
          <w:color w:val="000000" w:themeColor="text1"/>
          <w:sz w:val="16"/>
          <w:szCs w:val="16"/>
        </w:rPr>
        <w:t>UNHCHR.  Report of the United Nations High Commissioner for Human Rights</w:t>
      </w:r>
      <w:r w:rsidR="00BE571C">
        <w:rPr>
          <w:rFonts w:ascii="Cambria" w:hAnsi="Cambria"/>
          <w:color w:val="000000" w:themeColor="text1"/>
          <w:sz w:val="16"/>
          <w:szCs w:val="16"/>
        </w:rPr>
        <w:t>.</w:t>
      </w:r>
      <w:r w:rsidRPr="009035C0">
        <w:rPr>
          <w:rFonts w:ascii="Cambria" w:hAnsi="Cambria"/>
          <w:color w:val="000000" w:themeColor="text1"/>
          <w:sz w:val="16"/>
          <w:szCs w:val="16"/>
        </w:rPr>
        <w:t xml:space="preserve"> </w:t>
      </w:r>
      <w:hyperlink r:id="rId203" w:history="1">
        <w:r w:rsidRPr="00E7771A">
          <w:rPr>
            <w:rStyle w:val="Hyperlink"/>
            <w:rFonts w:ascii="Cambria" w:hAnsi="Cambria"/>
            <w:color w:val="000000" w:themeColor="text1"/>
            <w:sz w:val="16"/>
            <w:szCs w:val="16"/>
            <w:lang w:val="es-US"/>
          </w:rPr>
          <w:t>Situación de los derechos humanos y la asistencia técnica en la República Bolivariana de Venezuela.</w:t>
        </w:r>
      </w:hyperlink>
      <w:r w:rsidRPr="00E7771A">
        <w:rPr>
          <w:rFonts w:ascii="Cambria" w:hAnsi="Cambria"/>
          <w:color w:val="000000" w:themeColor="text1"/>
          <w:sz w:val="16"/>
          <w:szCs w:val="16"/>
          <w:lang w:val="es-US"/>
        </w:rPr>
        <w:t xml:space="preserve"> </w:t>
      </w:r>
      <w:r w:rsidR="00446532">
        <w:rPr>
          <w:rFonts w:ascii="Cambria" w:hAnsi="Cambria"/>
          <w:color w:val="000000" w:themeColor="text1"/>
          <w:sz w:val="16"/>
          <w:szCs w:val="16"/>
        </w:rPr>
        <w:t xml:space="preserve">[Situation of Human Rights and Technical Assistance in the Bolivarian Republic of Venezuela’], </w:t>
      </w:r>
      <w:r w:rsidRPr="009035C0">
        <w:rPr>
          <w:rFonts w:ascii="Cambria" w:hAnsi="Cambria"/>
          <w:color w:val="000000" w:themeColor="text1"/>
          <w:sz w:val="16"/>
          <w:szCs w:val="16"/>
        </w:rPr>
        <w:t xml:space="preserve">A/HRC/48/1. </w:t>
      </w:r>
      <w:r w:rsidR="00446532"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10</w:t>
      </w:r>
      <w:r w:rsidR="00446532"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21">
    <w:p w14:paraId="4B09315B" w14:textId="33791E5D"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F85814">
        <w:rPr>
          <w:rFonts w:ascii="Cambria" w:hAnsi="Cambria"/>
          <w:color w:val="000000" w:themeColor="text1"/>
          <w:sz w:val="16"/>
          <w:szCs w:val="16"/>
          <w:lang w:val="es-US"/>
        </w:rPr>
        <w:t xml:space="preserve"> </w:t>
      </w:r>
      <w:r w:rsidR="0078671F" w:rsidRPr="00F85814">
        <w:rPr>
          <w:rFonts w:ascii="Cambria" w:hAnsi="Cambria"/>
          <w:color w:val="000000" w:themeColor="text1"/>
          <w:sz w:val="16"/>
          <w:szCs w:val="16"/>
          <w:lang w:val="es-US"/>
        </w:rPr>
        <w:t xml:space="preserve">Press and Society Institute </w:t>
      </w:r>
      <w:r w:rsidRPr="00F85814">
        <w:rPr>
          <w:rFonts w:ascii="Cambria" w:hAnsi="Cambria"/>
          <w:color w:val="000000" w:themeColor="text1"/>
          <w:sz w:val="16"/>
          <w:szCs w:val="16"/>
          <w:lang w:val="es-US"/>
        </w:rPr>
        <w:t xml:space="preserve">Venezuela. </w:t>
      </w:r>
      <w:r w:rsidR="0078671F" w:rsidRPr="00E7771A">
        <w:rPr>
          <w:rFonts w:ascii="Cambria" w:hAnsi="Cambria"/>
          <w:color w:val="000000" w:themeColor="text1"/>
          <w:sz w:val="16"/>
          <w:szCs w:val="16"/>
          <w:lang w:val="es-US"/>
        </w:rPr>
        <w:t xml:space="preserve">February </w:t>
      </w:r>
      <w:r w:rsidRPr="00E7771A">
        <w:rPr>
          <w:rFonts w:ascii="Cambria" w:hAnsi="Cambria"/>
          <w:color w:val="000000" w:themeColor="text1"/>
          <w:sz w:val="16"/>
          <w:szCs w:val="16"/>
          <w:lang w:val="es-US"/>
        </w:rPr>
        <w:t>1</w:t>
      </w:r>
      <w:r w:rsidR="0078671F"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04" w:history="1">
        <w:r w:rsidRPr="00E7771A">
          <w:rPr>
            <w:rStyle w:val="Hyperlink"/>
            <w:rFonts w:ascii="Cambria" w:hAnsi="Cambria"/>
            <w:color w:val="000000" w:themeColor="text1"/>
            <w:sz w:val="16"/>
            <w:szCs w:val="16"/>
            <w:lang w:val="es-US"/>
          </w:rPr>
          <w:t>Periodistas mujeres son las más afectadas por violencia en línea.</w:t>
        </w:r>
      </w:hyperlink>
      <w:r w:rsidR="006F1C3A">
        <w:rPr>
          <w:rStyle w:val="Hyperlink"/>
          <w:rFonts w:ascii="Cambria" w:hAnsi="Cambria"/>
          <w:color w:val="000000" w:themeColor="text1"/>
          <w:sz w:val="16"/>
          <w:szCs w:val="16"/>
        </w:rPr>
        <w:t>[‘Women Journalists are the most affected by on-line violence’]</w:t>
      </w:r>
    </w:p>
  </w:footnote>
  <w:footnote w:id="222">
    <w:p w14:paraId="3AB75D3B" w14:textId="3BACB849"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Espacio Público. </w:t>
      </w:r>
      <w:r w:rsidR="00B23155" w:rsidRPr="00E7771A">
        <w:rPr>
          <w:rFonts w:ascii="Cambria" w:hAnsi="Cambria"/>
          <w:color w:val="000000" w:themeColor="text1"/>
          <w:sz w:val="16"/>
          <w:szCs w:val="16"/>
          <w:lang w:val="es-US"/>
        </w:rPr>
        <w:t xml:space="preserve">August </w:t>
      </w:r>
      <w:r w:rsidRPr="00E7771A">
        <w:rPr>
          <w:rFonts w:ascii="Cambria" w:hAnsi="Cambria"/>
          <w:color w:val="000000" w:themeColor="text1"/>
          <w:sz w:val="16"/>
          <w:szCs w:val="16"/>
          <w:lang w:val="es-US"/>
        </w:rPr>
        <w:t>18</w:t>
      </w:r>
      <w:r w:rsidR="00B2315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05" w:history="1">
        <w:r w:rsidRPr="00E7771A">
          <w:rPr>
            <w:rStyle w:val="Hyperlink"/>
            <w:rFonts w:ascii="Cambria" w:hAnsi="Cambria"/>
            <w:color w:val="000000" w:themeColor="text1"/>
            <w:sz w:val="16"/>
            <w:szCs w:val="16"/>
            <w:lang w:val="es-US"/>
          </w:rPr>
          <w:t>La violencia digital contra las mujeres, un concepto que debe ser visibilizado.</w:t>
        </w:r>
      </w:hyperlink>
      <w:r w:rsidR="00B23155" w:rsidRPr="00E7771A">
        <w:rPr>
          <w:rStyle w:val="Hyperlink"/>
          <w:rFonts w:ascii="Cambria" w:hAnsi="Cambria"/>
          <w:color w:val="000000" w:themeColor="text1"/>
          <w:sz w:val="16"/>
          <w:szCs w:val="16"/>
          <w:lang w:val="es-US"/>
        </w:rPr>
        <w:t xml:space="preserve"> </w:t>
      </w:r>
      <w:r w:rsidR="00B23155">
        <w:rPr>
          <w:rStyle w:val="Hyperlink"/>
          <w:rFonts w:ascii="Cambria" w:hAnsi="Cambria"/>
          <w:color w:val="000000" w:themeColor="text1"/>
          <w:sz w:val="16"/>
          <w:szCs w:val="16"/>
        </w:rPr>
        <w:t>[‘Digital violence against women, a concept on which more light should be shed’]</w:t>
      </w:r>
    </w:p>
  </w:footnote>
  <w:footnote w:id="223">
    <w:p w14:paraId="27806CDD" w14:textId="383885DD"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Espcacio Público. 2021. </w:t>
      </w:r>
      <w:hyperlink r:id="rId206" w:history="1">
        <w:r w:rsidRPr="00E7771A">
          <w:rPr>
            <w:rStyle w:val="Hyperlink"/>
            <w:rFonts w:ascii="Cambria" w:hAnsi="Cambria"/>
            <w:color w:val="000000" w:themeColor="text1"/>
            <w:sz w:val="16"/>
            <w:szCs w:val="16"/>
            <w:lang w:val="es-US"/>
          </w:rPr>
          <w:t>Violencia digital de género contras las mujeres en Venezuela: Análisis de casos</w:t>
        </w:r>
      </w:hyperlink>
      <w:r w:rsidR="00EA52D7" w:rsidRPr="00E7771A">
        <w:rPr>
          <w:rStyle w:val="Hyperlink"/>
          <w:rFonts w:ascii="Cambria" w:hAnsi="Cambria"/>
          <w:color w:val="000000" w:themeColor="text1"/>
          <w:sz w:val="16"/>
          <w:szCs w:val="16"/>
          <w:lang w:val="es-US"/>
        </w:rPr>
        <w:t xml:space="preserve"> [‘Digital gender-based violence against women in Venezuela: Case study’].</w:t>
      </w:r>
    </w:p>
  </w:footnote>
  <w:footnote w:id="224">
    <w:p w14:paraId="04DD1841" w14:textId="153C1F12"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w:t>
      </w:r>
      <w:r w:rsidR="00526BDA" w:rsidRPr="00E7771A">
        <w:rPr>
          <w:rFonts w:ascii="Cambria" w:hAnsi="Cambria"/>
          <w:color w:val="000000" w:themeColor="text1"/>
          <w:sz w:val="16"/>
          <w:szCs w:val="16"/>
          <w:lang w:val="es-US"/>
        </w:rPr>
        <w:t xml:space="preserve">IACHR. September </w:t>
      </w:r>
      <w:r w:rsidRPr="00E7771A">
        <w:rPr>
          <w:rFonts w:ascii="Cambria" w:hAnsi="Cambria"/>
          <w:color w:val="000000" w:themeColor="text1"/>
          <w:sz w:val="16"/>
          <w:szCs w:val="16"/>
          <w:lang w:val="es-US"/>
        </w:rPr>
        <w:t>8</w:t>
      </w:r>
      <w:r w:rsidR="00526BDA"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r w:rsidR="00A311D4" w:rsidRPr="00E7771A">
        <w:rPr>
          <w:rFonts w:ascii="Cambria" w:hAnsi="Cambria"/>
          <w:color w:val="000000" w:themeColor="text1"/>
          <w:sz w:val="16"/>
          <w:szCs w:val="16"/>
          <w:lang w:val="es-US"/>
        </w:rPr>
        <w:t xml:space="preserve">Press Release </w:t>
      </w:r>
      <w:r w:rsidRPr="00E7771A">
        <w:rPr>
          <w:rFonts w:ascii="Cambria" w:hAnsi="Cambria"/>
          <w:color w:val="000000" w:themeColor="text1"/>
          <w:sz w:val="16"/>
          <w:szCs w:val="16"/>
          <w:lang w:val="es-US"/>
        </w:rPr>
        <w:t xml:space="preserve">235. </w:t>
      </w:r>
      <w:hyperlink r:id="rId207" w:history="1">
        <w:r w:rsidRPr="00E7771A">
          <w:rPr>
            <w:rStyle w:val="Hyperlink"/>
            <w:rFonts w:ascii="Cambria" w:hAnsi="Cambria"/>
            <w:color w:val="000000" w:themeColor="text1"/>
            <w:sz w:val="16"/>
            <w:szCs w:val="16"/>
            <w:lang w:val="es-US"/>
          </w:rPr>
          <w:t>La CIDH llama al Estado de Venezuela a garantizar los derechos de las personas LGBTI</w:t>
        </w:r>
      </w:hyperlink>
      <w:r w:rsidRPr="00E7771A">
        <w:rPr>
          <w:rFonts w:ascii="Cambria" w:hAnsi="Cambria"/>
          <w:color w:val="000000" w:themeColor="text1"/>
          <w:sz w:val="16"/>
          <w:szCs w:val="16"/>
          <w:lang w:val="es-US"/>
        </w:rPr>
        <w:t xml:space="preserve">. </w:t>
      </w:r>
      <w:r w:rsidR="00965A8E">
        <w:rPr>
          <w:rFonts w:ascii="Cambria" w:hAnsi="Cambria"/>
          <w:color w:val="000000" w:themeColor="text1"/>
          <w:sz w:val="16"/>
          <w:szCs w:val="16"/>
        </w:rPr>
        <w:t>[‘IACHR Calls on State of Venezuela to Guarantee Rights of LGBTI People’]</w:t>
      </w:r>
    </w:p>
  </w:footnote>
  <w:footnote w:id="225">
    <w:p w14:paraId="30F83168" w14:textId="577230E3"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554748">
        <w:rPr>
          <w:rFonts w:ascii="Cambria" w:hAnsi="Cambria"/>
          <w:color w:val="000000" w:themeColor="text1"/>
          <w:sz w:val="16"/>
          <w:szCs w:val="16"/>
        </w:rPr>
        <w:t>National Assembly</w:t>
      </w:r>
      <w:r w:rsidRPr="009035C0">
        <w:rPr>
          <w:rFonts w:ascii="Cambria" w:hAnsi="Cambria"/>
          <w:color w:val="000000" w:themeColor="text1"/>
          <w:sz w:val="16"/>
          <w:szCs w:val="16"/>
        </w:rPr>
        <w:t xml:space="preserve">. </w:t>
      </w:r>
      <w:r w:rsidR="00904C78">
        <w:rPr>
          <w:rFonts w:ascii="Cambria" w:hAnsi="Cambria"/>
          <w:color w:val="000000" w:themeColor="text1"/>
          <w:sz w:val="16"/>
          <w:szCs w:val="16"/>
        </w:rPr>
        <w:t xml:space="preserve">September </w:t>
      </w:r>
      <w:r w:rsidRPr="009035C0">
        <w:rPr>
          <w:rFonts w:ascii="Cambria" w:hAnsi="Cambria"/>
          <w:color w:val="000000" w:themeColor="text1"/>
          <w:sz w:val="16"/>
          <w:szCs w:val="16"/>
        </w:rPr>
        <w:t>30</w:t>
      </w:r>
      <w:r w:rsidR="00904C78">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208" w:history="1">
        <w:r w:rsidRPr="009035C0">
          <w:rPr>
            <w:rStyle w:val="Hyperlink"/>
            <w:rFonts w:ascii="Cambria" w:hAnsi="Cambria"/>
            <w:color w:val="000000" w:themeColor="text1"/>
            <w:sz w:val="16"/>
            <w:szCs w:val="16"/>
          </w:rPr>
          <w:t>Sancionada Ley para la Promoción y Uso del Lenguaje con Enfoque de Género</w:t>
        </w:r>
      </w:hyperlink>
      <w:r w:rsidRPr="009035C0">
        <w:rPr>
          <w:rFonts w:ascii="Cambria" w:hAnsi="Cambria"/>
          <w:color w:val="000000" w:themeColor="text1"/>
          <w:sz w:val="16"/>
          <w:szCs w:val="16"/>
        </w:rPr>
        <w:t xml:space="preserve">; </w:t>
      </w:r>
      <w:r w:rsidR="00904C78">
        <w:rPr>
          <w:rFonts w:ascii="Cambria" w:hAnsi="Cambria"/>
          <w:color w:val="000000" w:themeColor="text1"/>
          <w:sz w:val="16"/>
          <w:szCs w:val="16"/>
        </w:rPr>
        <w:t>[‘Law for the Promotion and Use of Language with a Gender</w:t>
      </w:r>
      <w:r w:rsidR="005B29CF">
        <w:rPr>
          <w:rFonts w:ascii="Cambria" w:hAnsi="Cambria"/>
          <w:color w:val="000000" w:themeColor="text1"/>
          <w:sz w:val="16"/>
          <w:szCs w:val="16"/>
        </w:rPr>
        <w:t xml:space="preserve"> Focus </w:t>
      </w:r>
      <w:r w:rsidR="00904C78">
        <w:rPr>
          <w:rFonts w:ascii="Cambria" w:hAnsi="Cambria"/>
          <w:color w:val="000000" w:themeColor="text1"/>
          <w:sz w:val="16"/>
          <w:szCs w:val="16"/>
        </w:rPr>
        <w:t xml:space="preserve">enacted’]. </w:t>
      </w:r>
      <w:r w:rsidRPr="00E7771A">
        <w:rPr>
          <w:rFonts w:ascii="Cambria" w:hAnsi="Cambria"/>
          <w:color w:val="000000" w:themeColor="text1"/>
          <w:sz w:val="16"/>
          <w:szCs w:val="16"/>
          <w:lang w:val="es-US"/>
        </w:rPr>
        <w:t xml:space="preserve">EFE. </w:t>
      </w:r>
      <w:r w:rsidR="00904C78"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1</w:t>
      </w:r>
      <w:r w:rsidR="00904C78"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09" w:history="1">
        <w:r w:rsidRPr="00E7771A">
          <w:rPr>
            <w:rStyle w:val="Hyperlink"/>
            <w:rFonts w:ascii="Cambria" w:hAnsi="Cambria"/>
            <w:color w:val="000000" w:themeColor="text1"/>
            <w:sz w:val="16"/>
            <w:szCs w:val="16"/>
            <w:lang w:val="es-US"/>
          </w:rPr>
          <w:t>El Parlamento venezolano aprueba una ley para el uso del lenguaje con "enfoque de género";</w:t>
        </w:r>
      </w:hyperlink>
      <w:r w:rsidR="002622C3" w:rsidRPr="00E7771A">
        <w:rPr>
          <w:rStyle w:val="Hyperlink"/>
          <w:rFonts w:ascii="Cambria" w:hAnsi="Cambria"/>
          <w:color w:val="000000" w:themeColor="text1"/>
          <w:sz w:val="16"/>
          <w:szCs w:val="16"/>
          <w:lang w:val="es-US"/>
        </w:rPr>
        <w:t xml:space="preserve"> [‘Venezuelan Parliament enacts Law to promote language with a gender</w:t>
      </w:r>
      <w:r w:rsidR="005B29CF" w:rsidRPr="00E7771A">
        <w:rPr>
          <w:rStyle w:val="Hyperlink"/>
          <w:rFonts w:ascii="Cambria" w:hAnsi="Cambria"/>
          <w:color w:val="000000" w:themeColor="text1"/>
          <w:sz w:val="16"/>
          <w:szCs w:val="16"/>
          <w:lang w:val="es-US"/>
        </w:rPr>
        <w:t xml:space="preserve"> focus</w:t>
      </w:r>
      <w:r w:rsidR="002622C3" w:rsidRPr="00E7771A">
        <w:rPr>
          <w:rStyle w:val="Hyperlink"/>
          <w:rFonts w:ascii="Cambria" w:hAnsi="Cambria"/>
          <w:color w:val="000000" w:themeColor="text1"/>
          <w:sz w:val="16"/>
          <w:szCs w:val="16"/>
          <w:lang w:val="es-US"/>
        </w:rPr>
        <w:t xml:space="preserve">]. </w:t>
      </w:r>
      <w:r w:rsidRPr="00E7771A">
        <w:rPr>
          <w:rFonts w:ascii="Cambria" w:hAnsi="Cambria"/>
          <w:color w:val="000000" w:themeColor="text1"/>
          <w:sz w:val="16"/>
          <w:szCs w:val="16"/>
          <w:lang w:val="es-US"/>
        </w:rPr>
        <w:t xml:space="preserve">Efecto Cocuyo. </w:t>
      </w:r>
      <w:r w:rsidR="002622C3"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30</w:t>
      </w:r>
      <w:r w:rsidR="002622C3"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10" w:history="1">
        <w:r w:rsidRPr="00E7771A">
          <w:rPr>
            <w:rStyle w:val="Hyperlink"/>
            <w:rFonts w:ascii="Cambria" w:hAnsi="Cambria"/>
            <w:color w:val="000000" w:themeColor="text1"/>
            <w:sz w:val="16"/>
            <w:szCs w:val="16"/>
            <w:lang w:val="es-US"/>
          </w:rPr>
          <w:t>AN del 6Dic sanciona Ley de Promoción y Uso del Lenguaje con Enfoque de Género.</w:t>
        </w:r>
      </w:hyperlink>
      <w:r w:rsidR="002622C3">
        <w:rPr>
          <w:rStyle w:val="Hyperlink"/>
          <w:rFonts w:ascii="Cambria" w:hAnsi="Cambria"/>
          <w:color w:val="000000" w:themeColor="text1"/>
          <w:sz w:val="16"/>
          <w:szCs w:val="16"/>
        </w:rPr>
        <w:t>[‘AN of Dec. 6 enacts Law for the Promotion and Use of Language with a Gender</w:t>
      </w:r>
      <w:r w:rsidR="005B29CF">
        <w:rPr>
          <w:rStyle w:val="Hyperlink"/>
          <w:rFonts w:ascii="Cambria" w:hAnsi="Cambria"/>
          <w:color w:val="000000" w:themeColor="text1"/>
          <w:sz w:val="16"/>
          <w:szCs w:val="16"/>
        </w:rPr>
        <w:t xml:space="preserve"> Focus</w:t>
      </w:r>
      <w:r w:rsidR="002622C3">
        <w:rPr>
          <w:rStyle w:val="Hyperlink"/>
          <w:rFonts w:ascii="Cambria" w:hAnsi="Cambria"/>
          <w:color w:val="000000" w:themeColor="text1"/>
          <w:sz w:val="16"/>
          <w:szCs w:val="16"/>
        </w:rPr>
        <w:t>’]</w:t>
      </w:r>
    </w:p>
  </w:footnote>
  <w:footnote w:id="226">
    <w:p w14:paraId="3C8C3AAC" w14:textId="4A2DBEF7"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Provea. </w:t>
      </w:r>
      <w:r w:rsidR="002622C3"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12</w:t>
      </w:r>
      <w:r w:rsidR="002622C3"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11" w:history="1">
        <w:r w:rsidRPr="00E7771A">
          <w:rPr>
            <w:rStyle w:val="Hyperlink"/>
            <w:rFonts w:ascii="Cambria" w:hAnsi="Cambria"/>
            <w:color w:val="000000" w:themeColor="text1"/>
            <w:sz w:val="16"/>
            <w:szCs w:val="16"/>
            <w:lang w:val="es-US"/>
          </w:rPr>
          <w:t>Amazonas: El estado indígena de Venezuela donde se discrimina a los pueblos originarios.</w:t>
        </w:r>
      </w:hyperlink>
      <w:r w:rsidR="002622C3" w:rsidRPr="00E7771A">
        <w:rPr>
          <w:rStyle w:val="Hyperlink"/>
          <w:rFonts w:ascii="Cambria" w:hAnsi="Cambria"/>
          <w:color w:val="000000" w:themeColor="text1"/>
          <w:sz w:val="16"/>
          <w:szCs w:val="16"/>
          <w:lang w:val="es-US"/>
        </w:rPr>
        <w:t xml:space="preserve"> </w:t>
      </w:r>
      <w:r w:rsidR="002622C3">
        <w:rPr>
          <w:rStyle w:val="Hyperlink"/>
          <w:rFonts w:ascii="Cambria" w:hAnsi="Cambria"/>
          <w:color w:val="000000" w:themeColor="text1"/>
          <w:sz w:val="16"/>
          <w:szCs w:val="16"/>
        </w:rPr>
        <w:t>[‘Amazonas: the indigenous status of Venezuela where original peoples are discriminated against’]</w:t>
      </w:r>
    </w:p>
  </w:footnote>
  <w:footnote w:id="227">
    <w:p w14:paraId="6AB3B4CB" w14:textId="77777777"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Freedom House. 2021. </w:t>
      </w:r>
      <w:hyperlink r:id="rId212" w:history="1">
        <w:r w:rsidRPr="009035C0">
          <w:rPr>
            <w:rStyle w:val="Hyperlink"/>
            <w:rFonts w:ascii="Cambria" w:hAnsi="Cambria"/>
            <w:color w:val="000000" w:themeColor="text1"/>
            <w:sz w:val="16"/>
            <w:szCs w:val="16"/>
          </w:rPr>
          <w:t>Freedom on the Net 2021: Venezuela</w:t>
        </w:r>
      </w:hyperlink>
      <w:r w:rsidRPr="009035C0">
        <w:rPr>
          <w:rFonts w:ascii="Cambria" w:hAnsi="Cambria"/>
          <w:color w:val="000000" w:themeColor="text1"/>
          <w:sz w:val="16"/>
          <w:szCs w:val="16"/>
        </w:rPr>
        <w:t>.</w:t>
      </w:r>
    </w:p>
  </w:footnote>
  <w:footnote w:id="228">
    <w:p w14:paraId="0B2BC78F" w14:textId="77777777"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Speedtest. Septiembre de 2021. </w:t>
      </w:r>
      <w:hyperlink r:id="rId213" w:history="1">
        <w:r w:rsidRPr="00E7771A">
          <w:rPr>
            <w:rStyle w:val="Hyperlink"/>
            <w:rFonts w:ascii="Cambria" w:hAnsi="Cambria"/>
            <w:color w:val="000000" w:themeColor="text1"/>
            <w:sz w:val="16"/>
            <w:szCs w:val="16"/>
            <w:lang w:val="es-US"/>
          </w:rPr>
          <w:t>Global Index</w:t>
        </w:r>
      </w:hyperlink>
      <w:r w:rsidRPr="00E7771A">
        <w:rPr>
          <w:rFonts w:ascii="Cambria" w:hAnsi="Cambria"/>
          <w:color w:val="000000" w:themeColor="text1"/>
          <w:sz w:val="16"/>
          <w:szCs w:val="16"/>
          <w:lang w:val="es-US"/>
        </w:rPr>
        <w:t xml:space="preserve">. </w:t>
      </w:r>
    </w:p>
  </w:footnote>
  <w:footnote w:id="229">
    <w:p w14:paraId="29937D6F" w14:textId="77777777"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Freedom House. 2021. </w:t>
      </w:r>
      <w:hyperlink r:id="rId214" w:history="1">
        <w:r w:rsidRPr="009035C0">
          <w:rPr>
            <w:rStyle w:val="Hyperlink"/>
            <w:rFonts w:ascii="Cambria" w:hAnsi="Cambria"/>
            <w:color w:val="000000" w:themeColor="text1"/>
            <w:sz w:val="16"/>
            <w:szCs w:val="16"/>
          </w:rPr>
          <w:t xml:space="preserve">Freedom on the Net 2021? </w:t>
        </w:r>
        <w:r w:rsidRPr="00E7771A">
          <w:rPr>
            <w:rStyle w:val="Hyperlink"/>
            <w:rFonts w:ascii="Cambria" w:hAnsi="Cambria"/>
            <w:color w:val="000000" w:themeColor="text1"/>
            <w:sz w:val="16"/>
            <w:szCs w:val="16"/>
            <w:lang w:val="es-US"/>
          </w:rPr>
          <w:t>Venezuela</w:t>
        </w:r>
      </w:hyperlink>
    </w:p>
  </w:footnote>
  <w:footnote w:id="230">
    <w:p w14:paraId="1A3FE5EA" w14:textId="067766F7"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OVSP. </w:t>
      </w:r>
      <w:r w:rsidR="00111179"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 xml:space="preserve">2021. </w:t>
      </w:r>
      <w:hyperlink r:id="rId215" w:history="1">
        <w:r w:rsidRPr="00E7771A">
          <w:rPr>
            <w:rStyle w:val="Hyperlink"/>
            <w:rFonts w:ascii="Cambria" w:hAnsi="Cambria"/>
            <w:color w:val="000000" w:themeColor="text1"/>
            <w:sz w:val="16"/>
            <w:szCs w:val="16"/>
            <w:lang w:val="es-US"/>
          </w:rPr>
          <w:t>Boletin Informativo del OVSP</w:t>
        </w:r>
      </w:hyperlink>
    </w:p>
  </w:footnote>
  <w:footnote w:id="231">
    <w:p w14:paraId="20640CA3" w14:textId="171BFE71"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F85814">
        <w:rPr>
          <w:rFonts w:ascii="Cambria" w:hAnsi="Cambria"/>
          <w:color w:val="000000" w:themeColor="text1"/>
          <w:sz w:val="16"/>
          <w:szCs w:val="16"/>
          <w:lang w:val="es-US"/>
        </w:rPr>
        <w:t xml:space="preserve"> </w:t>
      </w:r>
      <w:r w:rsidR="007D7021" w:rsidRPr="00F85814">
        <w:rPr>
          <w:rFonts w:ascii="Cambria" w:hAnsi="Cambria"/>
          <w:color w:val="000000" w:themeColor="text1"/>
          <w:sz w:val="16"/>
          <w:szCs w:val="16"/>
          <w:lang w:val="es-US"/>
        </w:rPr>
        <w:t xml:space="preserve">Twitter account of </w:t>
      </w:r>
      <w:r w:rsidRPr="00F85814">
        <w:rPr>
          <w:rFonts w:ascii="Cambria" w:hAnsi="Cambria"/>
          <w:color w:val="000000" w:themeColor="text1"/>
          <w:sz w:val="16"/>
          <w:szCs w:val="16"/>
          <w:lang w:val="es-US"/>
        </w:rPr>
        <w:t xml:space="preserve">VE sin Filtro (@vesinfiltro). </w:t>
      </w:r>
      <w:hyperlink r:id="rId216" w:history="1">
        <w:r w:rsidRPr="00E7771A">
          <w:rPr>
            <w:rStyle w:val="Hyperlink"/>
            <w:rFonts w:ascii="Cambria" w:hAnsi="Cambria"/>
            <w:color w:val="000000" w:themeColor="text1"/>
            <w:sz w:val="16"/>
            <w:szCs w:val="16"/>
            <w:lang w:val="es-US"/>
          </w:rPr>
          <w:t>10 de abril de 2021</w:t>
        </w:r>
      </w:hyperlink>
      <w:r w:rsidRPr="00E7771A">
        <w:rPr>
          <w:rFonts w:ascii="Cambria" w:hAnsi="Cambria"/>
          <w:color w:val="000000" w:themeColor="text1"/>
          <w:sz w:val="16"/>
          <w:szCs w:val="16"/>
          <w:lang w:val="es-US"/>
        </w:rPr>
        <w:t xml:space="preserve">; </w:t>
      </w:r>
      <w:hyperlink r:id="rId217" w:history="1">
        <w:r w:rsidRPr="00E7771A">
          <w:rPr>
            <w:rStyle w:val="Hyperlink"/>
            <w:rFonts w:ascii="Cambria" w:hAnsi="Cambria"/>
            <w:color w:val="000000" w:themeColor="text1"/>
            <w:sz w:val="16"/>
            <w:szCs w:val="16"/>
            <w:lang w:val="es-US"/>
          </w:rPr>
          <w:t>4 de mayo de 2021</w:t>
        </w:r>
      </w:hyperlink>
      <w:r w:rsidRPr="00E7771A">
        <w:rPr>
          <w:rFonts w:ascii="Cambria" w:hAnsi="Cambria"/>
          <w:color w:val="000000" w:themeColor="text1"/>
          <w:sz w:val="16"/>
          <w:szCs w:val="16"/>
          <w:lang w:val="es-US"/>
        </w:rPr>
        <w:t xml:space="preserve">; </w:t>
      </w:r>
      <w:hyperlink r:id="rId218" w:history="1">
        <w:r w:rsidRPr="00E7771A">
          <w:rPr>
            <w:rStyle w:val="Hyperlink"/>
            <w:rFonts w:ascii="Cambria" w:hAnsi="Cambria"/>
            <w:color w:val="000000" w:themeColor="text1"/>
            <w:sz w:val="16"/>
            <w:szCs w:val="16"/>
            <w:lang w:val="es-US"/>
          </w:rPr>
          <w:t>13 de junio de 2021</w:t>
        </w:r>
      </w:hyperlink>
      <w:r w:rsidRPr="00E7771A">
        <w:rPr>
          <w:rFonts w:ascii="Cambria" w:hAnsi="Cambria"/>
          <w:color w:val="000000" w:themeColor="text1"/>
          <w:sz w:val="16"/>
          <w:szCs w:val="16"/>
          <w:lang w:val="es-US"/>
        </w:rPr>
        <w:t xml:space="preserve">; </w:t>
      </w:r>
      <w:hyperlink r:id="rId219" w:history="1">
        <w:r w:rsidRPr="00E7771A">
          <w:rPr>
            <w:rStyle w:val="Hyperlink"/>
            <w:rFonts w:ascii="Cambria" w:hAnsi="Cambria"/>
            <w:color w:val="000000" w:themeColor="text1"/>
            <w:sz w:val="16"/>
            <w:szCs w:val="16"/>
            <w:lang w:val="es-US"/>
          </w:rPr>
          <w:t>29 de junio de 2021</w:t>
        </w:r>
      </w:hyperlink>
      <w:r w:rsidRPr="00E7771A">
        <w:rPr>
          <w:rFonts w:ascii="Cambria" w:hAnsi="Cambria"/>
          <w:color w:val="000000" w:themeColor="text1"/>
          <w:sz w:val="16"/>
          <w:szCs w:val="16"/>
          <w:lang w:val="es-US"/>
        </w:rPr>
        <w:t xml:space="preserve">; </w:t>
      </w:r>
      <w:hyperlink r:id="rId220" w:history="1">
        <w:r w:rsidRPr="00E7771A">
          <w:rPr>
            <w:rStyle w:val="Hyperlink"/>
            <w:rFonts w:ascii="Cambria" w:hAnsi="Cambria"/>
            <w:color w:val="000000" w:themeColor="text1"/>
            <w:sz w:val="16"/>
            <w:szCs w:val="16"/>
            <w:lang w:val="es-US"/>
          </w:rPr>
          <w:t>14 de julio de 2021</w:t>
        </w:r>
      </w:hyperlink>
      <w:r w:rsidRPr="00E7771A">
        <w:rPr>
          <w:rFonts w:ascii="Cambria" w:hAnsi="Cambria"/>
          <w:color w:val="000000" w:themeColor="text1"/>
          <w:sz w:val="16"/>
          <w:szCs w:val="16"/>
          <w:lang w:val="es-US"/>
        </w:rPr>
        <w:t xml:space="preserve">; </w:t>
      </w:r>
      <w:hyperlink r:id="rId221" w:history="1">
        <w:r w:rsidRPr="00E7771A">
          <w:rPr>
            <w:rStyle w:val="Hyperlink"/>
            <w:rFonts w:ascii="Cambria" w:hAnsi="Cambria"/>
            <w:color w:val="000000" w:themeColor="text1"/>
            <w:sz w:val="16"/>
            <w:szCs w:val="16"/>
            <w:lang w:val="es-US"/>
          </w:rPr>
          <w:t>16 de julio de 2021</w:t>
        </w:r>
      </w:hyperlink>
      <w:r w:rsidRPr="00E7771A">
        <w:rPr>
          <w:rFonts w:ascii="Cambria" w:hAnsi="Cambria"/>
          <w:color w:val="000000" w:themeColor="text1"/>
          <w:sz w:val="16"/>
          <w:szCs w:val="16"/>
          <w:lang w:val="es-US"/>
        </w:rPr>
        <w:t xml:space="preserve">; </w:t>
      </w:r>
      <w:hyperlink r:id="rId222" w:history="1">
        <w:r w:rsidRPr="00E7771A">
          <w:rPr>
            <w:rStyle w:val="Hyperlink"/>
            <w:rFonts w:ascii="Cambria" w:hAnsi="Cambria"/>
            <w:color w:val="000000" w:themeColor="text1"/>
            <w:sz w:val="16"/>
            <w:szCs w:val="16"/>
            <w:lang w:val="es-US"/>
          </w:rPr>
          <w:t>21 de julio de 2021</w:t>
        </w:r>
      </w:hyperlink>
      <w:r w:rsidRPr="00E7771A">
        <w:rPr>
          <w:rFonts w:ascii="Cambria" w:hAnsi="Cambria"/>
          <w:color w:val="000000" w:themeColor="text1"/>
          <w:sz w:val="16"/>
          <w:szCs w:val="16"/>
          <w:lang w:val="es-US"/>
        </w:rPr>
        <w:t xml:space="preserve">; </w:t>
      </w:r>
      <w:hyperlink r:id="rId223" w:history="1">
        <w:r w:rsidRPr="00E7771A">
          <w:rPr>
            <w:rStyle w:val="Hyperlink"/>
            <w:rFonts w:ascii="Cambria" w:hAnsi="Cambria"/>
            <w:color w:val="000000" w:themeColor="text1"/>
            <w:sz w:val="16"/>
            <w:szCs w:val="16"/>
            <w:lang w:val="es-US"/>
          </w:rPr>
          <w:t>2 de agosto de 2021</w:t>
        </w:r>
      </w:hyperlink>
      <w:r w:rsidRPr="00E7771A">
        <w:rPr>
          <w:rFonts w:ascii="Cambria" w:hAnsi="Cambria"/>
          <w:color w:val="000000" w:themeColor="text1"/>
          <w:sz w:val="16"/>
          <w:szCs w:val="16"/>
          <w:lang w:val="es-US"/>
        </w:rPr>
        <w:t xml:space="preserve">; </w:t>
      </w:r>
      <w:hyperlink r:id="rId224" w:history="1">
        <w:r w:rsidRPr="00E7771A">
          <w:rPr>
            <w:rStyle w:val="Hyperlink"/>
            <w:rFonts w:ascii="Cambria" w:hAnsi="Cambria"/>
            <w:color w:val="000000" w:themeColor="text1"/>
            <w:sz w:val="16"/>
            <w:szCs w:val="16"/>
            <w:lang w:val="es-US"/>
          </w:rPr>
          <w:t>19 de agosto de 2021</w:t>
        </w:r>
      </w:hyperlink>
      <w:r w:rsidRPr="00E7771A">
        <w:rPr>
          <w:rFonts w:ascii="Cambria" w:hAnsi="Cambria"/>
          <w:color w:val="000000" w:themeColor="text1"/>
          <w:sz w:val="16"/>
          <w:szCs w:val="16"/>
          <w:lang w:val="es-US"/>
        </w:rPr>
        <w:t xml:space="preserve">; </w:t>
      </w:r>
      <w:hyperlink r:id="rId225" w:history="1">
        <w:r w:rsidRPr="00E7771A">
          <w:rPr>
            <w:rStyle w:val="Hyperlink"/>
            <w:rFonts w:ascii="Cambria" w:hAnsi="Cambria"/>
            <w:color w:val="000000" w:themeColor="text1"/>
            <w:sz w:val="16"/>
            <w:szCs w:val="16"/>
            <w:lang w:val="es-US"/>
          </w:rPr>
          <w:t>12 de septiembre de 2021</w:t>
        </w:r>
      </w:hyperlink>
      <w:r w:rsidRPr="00E7771A">
        <w:rPr>
          <w:rFonts w:ascii="Cambria" w:hAnsi="Cambria"/>
          <w:color w:val="000000" w:themeColor="text1"/>
          <w:sz w:val="16"/>
          <w:szCs w:val="16"/>
          <w:lang w:val="es-US"/>
        </w:rPr>
        <w:t xml:space="preserve">; </w:t>
      </w:r>
      <w:hyperlink r:id="rId226" w:history="1">
        <w:r w:rsidRPr="00E7771A">
          <w:rPr>
            <w:rStyle w:val="Hyperlink"/>
            <w:rFonts w:ascii="Cambria" w:hAnsi="Cambria"/>
            <w:color w:val="000000" w:themeColor="text1"/>
            <w:sz w:val="16"/>
            <w:szCs w:val="16"/>
            <w:lang w:val="es-US"/>
          </w:rPr>
          <w:t>22 de septiembre de 2021</w:t>
        </w:r>
      </w:hyperlink>
      <w:r w:rsidRPr="00E7771A">
        <w:rPr>
          <w:rFonts w:ascii="Cambria" w:hAnsi="Cambria"/>
          <w:color w:val="000000" w:themeColor="text1"/>
          <w:sz w:val="16"/>
          <w:szCs w:val="16"/>
          <w:lang w:val="es-US"/>
        </w:rPr>
        <w:t xml:space="preserve">; </w:t>
      </w:r>
      <w:hyperlink r:id="rId227" w:history="1">
        <w:r w:rsidRPr="00E7771A">
          <w:rPr>
            <w:rStyle w:val="Hyperlink"/>
            <w:rFonts w:ascii="Cambria" w:hAnsi="Cambria"/>
            <w:color w:val="000000" w:themeColor="text1"/>
            <w:sz w:val="16"/>
            <w:szCs w:val="16"/>
            <w:lang w:val="es-US"/>
          </w:rPr>
          <w:t>25 de septiembre de 2021</w:t>
        </w:r>
      </w:hyperlink>
      <w:r w:rsidRPr="00E7771A">
        <w:rPr>
          <w:rFonts w:ascii="Cambria" w:hAnsi="Cambria"/>
          <w:color w:val="000000" w:themeColor="text1"/>
          <w:sz w:val="16"/>
          <w:szCs w:val="16"/>
          <w:lang w:val="es-US"/>
        </w:rPr>
        <w:t xml:space="preserve">; </w:t>
      </w:r>
      <w:hyperlink r:id="rId228" w:history="1">
        <w:r w:rsidRPr="00E7771A">
          <w:rPr>
            <w:rStyle w:val="Hyperlink"/>
            <w:rFonts w:ascii="Cambria" w:hAnsi="Cambria"/>
            <w:color w:val="000000" w:themeColor="text1"/>
            <w:sz w:val="16"/>
            <w:szCs w:val="16"/>
            <w:lang w:val="es-US"/>
          </w:rPr>
          <w:t>4 de octubre de 2021</w:t>
        </w:r>
      </w:hyperlink>
      <w:r w:rsidRPr="00E7771A">
        <w:rPr>
          <w:rFonts w:ascii="Cambria" w:hAnsi="Cambria"/>
          <w:color w:val="000000" w:themeColor="text1"/>
          <w:sz w:val="16"/>
          <w:szCs w:val="16"/>
          <w:lang w:val="es-US"/>
        </w:rPr>
        <w:t xml:space="preserve">; </w:t>
      </w:r>
      <w:hyperlink r:id="rId229" w:history="1">
        <w:r w:rsidRPr="00E7771A">
          <w:rPr>
            <w:rStyle w:val="Hyperlink"/>
            <w:rFonts w:ascii="Cambria" w:hAnsi="Cambria"/>
            <w:color w:val="000000" w:themeColor="text1"/>
            <w:sz w:val="16"/>
            <w:szCs w:val="16"/>
            <w:lang w:val="es-US"/>
          </w:rPr>
          <w:t>14 de octubre de 2021</w:t>
        </w:r>
      </w:hyperlink>
    </w:p>
  </w:footnote>
  <w:footnote w:id="232">
    <w:p w14:paraId="39459FC2" w14:textId="5E9EF7D8"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Instituto de Prensa y Sociedad Venezuela. </w:t>
      </w:r>
      <w:r w:rsidR="008448A6"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25</w:t>
      </w:r>
      <w:r w:rsidR="008448A6"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30" w:history="1">
        <w:r w:rsidRPr="00E7771A">
          <w:rPr>
            <w:rStyle w:val="Hyperlink"/>
            <w:rFonts w:ascii="Cambria" w:hAnsi="Cambria"/>
            <w:color w:val="000000" w:themeColor="text1"/>
            <w:sz w:val="16"/>
            <w:szCs w:val="16"/>
            <w:lang w:val="es-US"/>
          </w:rPr>
          <w:t>Venezuela: territorio desconectado.</w:t>
        </w:r>
      </w:hyperlink>
      <w:r w:rsidR="00D275EA" w:rsidRPr="00E7771A">
        <w:rPr>
          <w:rStyle w:val="Hyperlink"/>
          <w:rFonts w:ascii="Cambria" w:hAnsi="Cambria"/>
          <w:color w:val="000000" w:themeColor="text1"/>
          <w:sz w:val="16"/>
          <w:szCs w:val="16"/>
          <w:lang w:val="es-US"/>
        </w:rPr>
        <w:t>[‘Venezuela disconnected territory’]</w:t>
      </w:r>
    </w:p>
  </w:footnote>
  <w:footnote w:id="233">
    <w:p w14:paraId="3F0EA773" w14:textId="77777777"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Freedom House. 2021. </w:t>
      </w:r>
      <w:hyperlink r:id="rId231" w:history="1">
        <w:r w:rsidRPr="009035C0">
          <w:rPr>
            <w:rStyle w:val="Hyperlink"/>
            <w:rFonts w:ascii="Cambria" w:hAnsi="Cambria"/>
            <w:color w:val="000000" w:themeColor="text1"/>
            <w:sz w:val="16"/>
            <w:szCs w:val="16"/>
          </w:rPr>
          <w:t>Freedom on the Net 2021: Venezuela</w:t>
        </w:r>
      </w:hyperlink>
      <w:r w:rsidRPr="009035C0">
        <w:rPr>
          <w:rFonts w:ascii="Cambria" w:hAnsi="Cambria"/>
          <w:color w:val="000000" w:themeColor="text1"/>
          <w:sz w:val="16"/>
          <w:szCs w:val="16"/>
        </w:rPr>
        <w:t>.</w:t>
      </w:r>
    </w:p>
  </w:footnote>
  <w:footnote w:id="234">
    <w:p w14:paraId="303AB5AE" w14:textId="4AED71A9"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OVSP. Jun</w:t>
      </w:r>
      <w:r w:rsidR="00D275EA" w:rsidRPr="00E7771A">
        <w:rPr>
          <w:rFonts w:ascii="Cambria" w:hAnsi="Cambria"/>
          <w:color w:val="000000" w:themeColor="text1"/>
          <w:sz w:val="16"/>
          <w:szCs w:val="16"/>
          <w:lang w:val="es-US"/>
        </w:rPr>
        <w:t>e</w:t>
      </w:r>
      <w:r w:rsidRPr="00E7771A">
        <w:rPr>
          <w:rFonts w:ascii="Cambria" w:hAnsi="Cambria"/>
          <w:color w:val="000000" w:themeColor="text1"/>
          <w:sz w:val="16"/>
          <w:szCs w:val="16"/>
          <w:lang w:val="es-US"/>
        </w:rPr>
        <w:t xml:space="preserve"> 2021. </w:t>
      </w:r>
      <w:hyperlink r:id="rId232" w:history="1">
        <w:r w:rsidRPr="00E7771A">
          <w:rPr>
            <w:rStyle w:val="Hyperlink"/>
            <w:rFonts w:ascii="Cambria" w:hAnsi="Cambria"/>
            <w:color w:val="000000" w:themeColor="text1"/>
            <w:sz w:val="16"/>
            <w:szCs w:val="16"/>
            <w:lang w:val="es-US"/>
          </w:rPr>
          <w:t>Boletin Informativo del OVSP</w:t>
        </w:r>
      </w:hyperlink>
      <w:r w:rsidRPr="00E7771A">
        <w:rPr>
          <w:rFonts w:ascii="Cambria" w:hAnsi="Cambria"/>
          <w:color w:val="000000" w:themeColor="text1"/>
          <w:sz w:val="16"/>
          <w:szCs w:val="16"/>
          <w:lang w:val="es-US"/>
        </w:rPr>
        <w:t xml:space="preserve">. </w:t>
      </w:r>
    </w:p>
  </w:footnote>
  <w:footnote w:id="235">
    <w:p w14:paraId="575891F3" w14:textId="28B29973"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Nacional. </w:t>
      </w:r>
      <w:r w:rsidR="00D275EA" w:rsidRPr="00E7771A">
        <w:rPr>
          <w:rFonts w:ascii="Cambria" w:hAnsi="Cambria"/>
          <w:color w:val="000000" w:themeColor="text1"/>
          <w:sz w:val="16"/>
          <w:szCs w:val="16"/>
          <w:lang w:val="es-US"/>
        </w:rPr>
        <w:t xml:space="preserve">March </w:t>
      </w:r>
      <w:r w:rsidRPr="00E7771A">
        <w:rPr>
          <w:rFonts w:ascii="Cambria" w:hAnsi="Cambria"/>
          <w:color w:val="000000" w:themeColor="text1"/>
          <w:sz w:val="16"/>
          <w:szCs w:val="16"/>
          <w:lang w:val="es-US"/>
        </w:rPr>
        <w:t>13</w:t>
      </w:r>
      <w:r w:rsidR="00D275EA"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33" w:history="1">
        <w:r w:rsidRPr="00E7771A">
          <w:rPr>
            <w:rStyle w:val="Hyperlink"/>
            <w:rFonts w:ascii="Cambria" w:hAnsi="Cambria"/>
            <w:color w:val="000000" w:themeColor="text1"/>
            <w:sz w:val="16"/>
            <w:szCs w:val="16"/>
            <w:lang w:val="es-US"/>
          </w:rPr>
          <w:t>Cicpc detuvo a Tiktoker por criticar a hija de Omar Enrique</w:t>
        </w:r>
      </w:hyperlink>
      <w:r w:rsidRPr="00E7771A">
        <w:rPr>
          <w:rFonts w:ascii="Cambria" w:hAnsi="Cambria"/>
          <w:color w:val="000000" w:themeColor="text1"/>
          <w:sz w:val="16"/>
          <w:szCs w:val="16"/>
          <w:lang w:val="es-US"/>
        </w:rPr>
        <w:t xml:space="preserve">; </w:t>
      </w:r>
      <w:r w:rsidR="0055251E" w:rsidRPr="00E7771A">
        <w:rPr>
          <w:rFonts w:ascii="Cambria" w:hAnsi="Cambria"/>
          <w:color w:val="000000" w:themeColor="text1"/>
          <w:sz w:val="16"/>
          <w:szCs w:val="16"/>
          <w:lang w:val="es-US"/>
        </w:rPr>
        <w:t xml:space="preserve">[‘CICPC detained Tiktoker for criticizing Omar Enrique’s daughter’]; </w:t>
      </w:r>
      <w:r w:rsidRPr="00E7771A">
        <w:rPr>
          <w:rFonts w:ascii="Cambria" w:hAnsi="Cambria"/>
          <w:color w:val="000000" w:themeColor="text1"/>
          <w:sz w:val="16"/>
          <w:szCs w:val="16"/>
          <w:lang w:val="es-US"/>
        </w:rPr>
        <w:t xml:space="preserve">Aula Abierta. 2021. </w:t>
      </w:r>
      <w:hyperlink r:id="rId234" w:history="1">
        <w:r w:rsidRPr="00E7771A">
          <w:rPr>
            <w:rStyle w:val="Hyperlink"/>
            <w:rFonts w:ascii="Cambria" w:hAnsi="Cambria"/>
            <w:color w:val="000000" w:themeColor="text1"/>
            <w:sz w:val="16"/>
            <w:szCs w:val="16"/>
            <w:lang w:val="es-US"/>
          </w:rPr>
          <w:t>Informe preliminar: Situación de la Libertad de Expresión y Acceso a Internet de la Juventud Universitaria en Venezuela</w:t>
        </w:r>
      </w:hyperlink>
      <w:r w:rsidRPr="00E7771A">
        <w:rPr>
          <w:rFonts w:ascii="Cambria" w:hAnsi="Cambria"/>
          <w:color w:val="000000" w:themeColor="text1"/>
          <w:sz w:val="16"/>
          <w:szCs w:val="16"/>
          <w:lang w:val="es-US"/>
        </w:rPr>
        <w:t>.</w:t>
      </w:r>
      <w:r w:rsidR="0055251E" w:rsidRPr="00E7771A">
        <w:rPr>
          <w:rFonts w:ascii="Cambria" w:hAnsi="Cambria"/>
          <w:color w:val="000000" w:themeColor="text1"/>
          <w:sz w:val="16"/>
          <w:szCs w:val="16"/>
          <w:lang w:val="es-US"/>
        </w:rPr>
        <w:t>[‘Preliminary Report: Situation of Freedom of Expression and Access to Internet of University Students in Venezuela’].</w:t>
      </w:r>
      <w:r w:rsidRPr="00E7771A">
        <w:rPr>
          <w:rFonts w:ascii="Cambria" w:hAnsi="Cambria"/>
          <w:color w:val="000000" w:themeColor="text1"/>
          <w:sz w:val="16"/>
          <w:szCs w:val="16"/>
          <w:lang w:val="es-US"/>
        </w:rPr>
        <w:t xml:space="preserve"> </w:t>
      </w:r>
    </w:p>
  </w:footnote>
  <w:footnote w:id="236">
    <w:p w14:paraId="7BE40AE3" w14:textId="06438DFA"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VE sin filtro. </w:t>
      </w:r>
      <w:r w:rsidR="0055251E"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4</w:t>
      </w:r>
      <w:r w:rsidR="0055251E"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35" w:history="1">
        <w:r w:rsidRPr="00E7771A">
          <w:rPr>
            <w:rStyle w:val="Hyperlink"/>
            <w:rFonts w:ascii="Cambria" w:hAnsi="Cambria"/>
            <w:color w:val="000000" w:themeColor="text1"/>
            <w:sz w:val="16"/>
            <w:szCs w:val="16"/>
            <w:lang w:val="es-US"/>
          </w:rPr>
          <w:t>Arrecia la censura digital contra la prensa en Venezuela.</w:t>
        </w:r>
      </w:hyperlink>
      <w:r w:rsidR="0055251E" w:rsidRPr="00E7771A">
        <w:rPr>
          <w:rStyle w:val="Hyperlink"/>
          <w:rFonts w:ascii="Cambria" w:hAnsi="Cambria"/>
          <w:color w:val="000000" w:themeColor="text1"/>
          <w:sz w:val="16"/>
          <w:szCs w:val="16"/>
          <w:lang w:val="es-US"/>
        </w:rPr>
        <w:t xml:space="preserve"> </w:t>
      </w:r>
      <w:r w:rsidR="0055251E">
        <w:rPr>
          <w:rStyle w:val="Hyperlink"/>
          <w:rFonts w:ascii="Cambria" w:hAnsi="Cambria"/>
          <w:color w:val="000000" w:themeColor="text1"/>
          <w:sz w:val="16"/>
          <w:szCs w:val="16"/>
        </w:rPr>
        <w:t xml:space="preserve">[‘digital censorship </w:t>
      </w:r>
      <w:r w:rsidR="007F121F">
        <w:rPr>
          <w:rStyle w:val="Hyperlink"/>
          <w:rFonts w:ascii="Cambria" w:hAnsi="Cambria"/>
          <w:color w:val="000000" w:themeColor="text1"/>
          <w:sz w:val="16"/>
          <w:szCs w:val="16"/>
        </w:rPr>
        <w:t xml:space="preserve">intensifies </w:t>
      </w:r>
      <w:r w:rsidR="0055251E">
        <w:rPr>
          <w:rStyle w:val="Hyperlink"/>
          <w:rFonts w:ascii="Cambria" w:hAnsi="Cambria"/>
          <w:color w:val="000000" w:themeColor="text1"/>
          <w:sz w:val="16"/>
          <w:szCs w:val="16"/>
        </w:rPr>
        <w:t>against press in Venezuela’]</w:t>
      </w:r>
    </w:p>
  </w:footnote>
  <w:footnote w:id="237">
    <w:p w14:paraId="7682B114" w14:textId="2CE9DDB0"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F85814">
        <w:rPr>
          <w:rFonts w:ascii="Cambria" w:hAnsi="Cambria"/>
          <w:color w:val="000000" w:themeColor="text1"/>
          <w:sz w:val="16"/>
          <w:szCs w:val="16"/>
        </w:rPr>
        <w:t xml:space="preserve"> La patilla. </w:t>
      </w:r>
      <w:r w:rsidR="0055251E" w:rsidRPr="00F85814">
        <w:rPr>
          <w:rFonts w:ascii="Cambria" w:hAnsi="Cambria"/>
          <w:color w:val="000000" w:themeColor="text1"/>
          <w:sz w:val="16"/>
          <w:szCs w:val="16"/>
        </w:rPr>
        <w:t xml:space="preserve">May </w:t>
      </w:r>
      <w:r w:rsidRPr="00F85814">
        <w:rPr>
          <w:rFonts w:ascii="Cambria" w:hAnsi="Cambria"/>
          <w:color w:val="000000" w:themeColor="text1"/>
          <w:sz w:val="16"/>
          <w:szCs w:val="16"/>
        </w:rPr>
        <w:t>12</w:t>
      </w:r>
      <w:r w:rsidR="0055251E" w:rsidRPr="00F85814">
        <w:rPr>
          <w:rFonts w:ascii="Cambria" w:hAnsi="Cambria"/>
          <w:color w:val="000000" w:themeColor="text1"/>
          <w:sz w:val="16"/>
          <w:szCs w:val="16"/>
        </w:rPr>
        <w:t>,</w:t>
      </w:r>
      <w:r w:rsidRPr="00F85814">
        <w:rPr>
          <w:rFonts w:ascii="Cambria" w:hAnsi="Cambria"/>
          <w:color w:val="000000" w:themeColor="text1"/>
          <w:sz w:val="16"/>
          <w:szCs w:val="16"/>
        </w:rPr>
        <w:t xml:space="preserve"> 2021. </w:t>
      </w:r>
      <w:hyperlink r:id="rId236" w:history="1">
        <w:r w:rsidRPr="00E7771A">
          <w:rPr>
            <w:rStyle w:val="Hyperlink"/>
            <w:rFonts w:ascii="Cambria" w:hAnsi="Cambria"/>
            <w:color w:val="000000" w:themeColor="text1"/>
            <w:sz w:val="16"/>
            <w:szCs w:val="16"/>
            <w:lang w:val="es-US"/>
          </w:rPr>
          <w:t>Diosdado Cabello: Una vez que termine lo de El Nacional voy con La Patilla</w:t>
        </w:r>
      </w:hyperlink>
      <w:r w:rsidRPr="00E7771A">
        <w:rPr>
          <w:rFonts w:ascii="Cambria" w:hAnsi="Cambria"/>
          <w:color w:val="000000" w:themeColor="text1"/>
          <w:sz w:val="16"/>
          <w:szCs w:val="16"/>
          <w:lang w:val="es-US"/>
        </w:rPr>
        <w:t xml:space="preserve">; </w:t>
      </w:r>
      <w:r w:rsidR="00057566" w:rsidRPr="00E7771A">
        <w:rPr>
          <w:rFonts w:ascii="Cambria" w:hAnsi="Cambria"/>
          <w:color w:val="000000" w:themeColor="text1"/>
          <w:sz w:val="16"/>
          <w:szCs w:val="16"/>
          <w:lang w:val="es-US"/>
        </w:rPr>
        <w:t xml:space="preserve">[‘Diosdado Cabello: Once I finish business with El Nacional I move on to La Patilla’]; </w:t>
      </w:r>
      <w:r w:rsidRPr="00E7771A">
        <w:rPr>
          <w:rFonts w:ascii="Cambria" w:hAnsi="Cambria"/>
          <w:color w:val="000000" w:themeColor="text1"/>
          <w:sz w:val="16"/>
          <w:szCs w:val="16"/>
          <w:lang w:val="es-US"/>
        </w:rPr>
        <w:t xml:space="preserve">Espacio Publico. </w:t>
      </w:r>
      <w:r w:rsidR="00057566"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15</w:t>
      </w:r>
      <w:r w:rsidR="00057566"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37" w:history="1">
        <w:r w:rsidRPr="00E7771A">
          <w:rPr>
            <w:rStyle w:val="Hyperlink"/>
            <w:rFonts w:ascii="Cambria" w:hAnsi="Cambria"/>
            <w:color w:val="000000" w:themeColor="text1"/>
            <w:sz w:val="16"/>
            <w:szCs w:val="16"/>
            <w:lang w:val="es-US"/>
          </w:rPr>
          <w:t xml:space="preserve">Diosdado Cabello amenazó al portal web La Patilla. </w:t>
        </w:r>
      </w:hyperlink>
      <w:r w:rsidR="00057566" w:rsidRPr="00E7771A">
        <w:rPr>
          <w:rStyle w:val="Hyperlink"/>
          <w:rFonts w:ascii="Cambria" w:hAnsi="Cambria"/>
          <w:color w:val="000000" w:themeColor="text1"/>
          <w:sz w:val="16"/>
          <w:szCs w:val="16"/>
          <w:lang w:val="es-US"/>
        </w:rPr>
        <w:t>[‘Diosdado Cabello threatened web portal La Patilla’]</w:t>
      </w:r>
    </w:p>
  </w:footnote>
  <w:footnote w:id="238">
    <w:p w14:paraId="0ED04DF8" w14:textId="77777777"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Freedom House. 2021. </w:t>
      </w:r>
      <w:hyperlink r:id="rId238" w:history="1">
        <w:r w:rsidRPr="009035C0">
          <w:rPr>
            <w:rStyle w:val="Hyperlink"/>
            <w:rFonts w:ascii="Cambria" w:hAnsi="Cambria"/>
            <w:color w:val="000000" w:themeColor="text1"/>
            <w:sz w:val="16"/>
            <w:szCs w:val="16"/>
          </w:rPr>
          <w:t>Freedom on the Net 2021: Venezuela</w:t>
        </w:r>
      </w:hyperlink>
      <w:r w:rsidRPr="009035C0">
        <w:rPr>
          <w:rFonts w:ascii="Cambria" w:hAnsi="Cambria"/>
          <w:color w:val="000000" w:themeColor="text1"/>
          <w:sz w:val="16"/>
          <w:szCs w:val="16"/>
        </w:rPr>
        <w:t>.</w:t>
      </w:r>
    </w:p>
  </w:footnote>
  <w:footnote w:id="239">
    <w:p w14:paraId="684BE6C0" w14:textId="144E5D0F"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VE sin filtro. </w:t>
      </w:r>
      <w:r w:rsidR="00057566" w:rsidRPr="00E7771A">
        <w:rPr>
          <w:rFonts w:ascii="Cambria" w:hAnsi="Cambria"/>
          <w:color w:val="000000" w:themeColor="text1"/>
          <w:sz w:val="16"/>
          <w:szCs w:val="16"/>
          <w:lang w:val="es-US"/>
        </w:rPr>
        <w:t xml:space="preserve">June 4, </w:t>
      </w:r>
      <w:r w:rsidRPr="00E7771A">
        <w:rPr>
          <w:rFonts w:ascii="Cambria" w:hAnsi="Cambria"/>
          <w:color w:val="000000" w:themeColor="text1"/>
          <w:sz w:val="16"/>
          <w:szCs w:val="16"/>
          <w:lang w:val="es-US"/>
        </w:rPr>
        <w:t xml:space="preserve">2021. </w:t>
      </w:r>
      <w:hyperlink r:id="rId239" w:history="1">
        <w:r w:rsidRPr="00E7771A">
          <w:rPr>
            <w:rStyle w:val="Hyperlink"/>
            <w:rFonts w:ascii="Cambria" w:hAnsi="Cambria"/>
            <w:color w:val="000000" w:themeColor="text1"/>
            <w:sz w:val="16"/>
            <w:szCs w:val="16"/>
            <w:lang w:val="es-US"/>
          </w:rPr>
          <w:t>Arrecia la censura digital contra la prensa en Venezuela.</w:t>
        </w:r>
      </w:hyperlink>
      <w:r w:rsidR="00057566">
        <w:rPr>
          <w:rStyle w:val="Hyperlink"/>
          <w:rFonts w:ascii="Cambria" w:hAnsi="Cambria"/>
          <w:color w:val="000000" w:themeColor="text1"/>
          <w:sz w:val="16"/>
          <w:szCs w:val="16"/>
        </w:rPr>
        <w:t>[‘Digital censorship intensifies against press in Venezuela’]</w:t>
      </w:r>
    </w:p>
  </w:footnote>
  <w:footnote w:id="240">
    <w:p w14:paraId="42E054C7" w14:textId="7C090398"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Espacio Publcio. </w:t>
      </w:r>
      <w:r w:rsidR="00057566">
        <w:rPr>
          <w:rFonts w:ascii="Cambria" w:hAnsi="Cambria"/>
          <w:color w:val="000000" w:themeColor="text1"/>
          <w:sz w:val="16"/>
          <w:szCs w:val="16"/>
        </w:rPr>
        <w:t xml:space="preserve">August </w:t>
      </w:r>
      <w:r w:rsidRPr="009035C0">
        <w:rPr>
          <w:rFonts w:ascii="Cambria" w:hAnsi="Cambria"/>
          <w:color w:val="000000" w:themeColor="text1"/>
          <w:sz w:val="16"/>
          <w:szCs w:val="16"/>
        </w:rPr>
        <w:t>24</w:t>
      </w:r>
      <w:r w:rsidR="00057566">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240" w:history="1">
        <w:r w:rsidRPr="00E7771A">
          <w:rPr>
            <w:rStyle w:val="Hyperlink"/>
            <w:rFonts w:ascii="Cambria" w:hAnsi="Cambria"/>
            <w:color w:val="000000" w:themeColor="text1"/>
            <w:sz w:val="16"/>
            <w:szCs w:val="16"/>
            <w:lang w:val="es-US"/>
          </w:rPr>
          <w:t>Atacan sitio web del portal Qué pasa en Venezuela.</w:t>
        </w:r>
      </w:hyperlink>
      <w:r w:rsidR="001D340E" w:rsidRPr="00E7771A">
        <w:rPr>
          <w:rStyle w:val="Hyperlink"/>
          <w:rFonts w:ascii="Cambria" w:hAnsi="Cambria"/>
          <w:color w:val="000000" w:themeColor="text1"/>
          <w:sz w:val="16"/>
          <w:szCs w:val="16"/>
          <w:lang w:val="es-US"/>
        </w:rPr>
        <w:t>[‘web site of portal Qué pasa in Venezuela attacked’]</w:t>
      </w:r>
    </w:p>
  </w:footnote>
  <w:footnote w:id="241">
    <w:p w14:paraId="332127E4" w14:textId="5AA4542C"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1D340E">
        <w:rPr>
          <w:rFonts w:ascii="Cambria" w:hAnsi="Cambria"/>
          <w:color w:val="000000" w:themeColor="text1"/>
          <w:sz w:val="16"/>
          <w:szCs w:val="16"/>
        </w:rPr>
        <w:t xml:space="preserve">Twitter account of </w:t>
      </w:r>
      <w:r w:rsidRPr="009035C0">
        <w:rPr>
          <w:rFonts w:ascii="Cambria" w:hAnsi="Cambria"/>
          <w:color w:val="000000" w:themeColor="text1"/>
          <w:sz w:val="16"/>
          <w:szCs w:val="16"/>
        </w:rPr>
        <w:t xml:space="preserve">VPITV (@vpitv) </w:t>
      </w:r>
      <w:hyperlink r:id="rId241" w:history="1">
        <w:r w:rsidRPr="009035C0">
          <w:rPr>
            <w:rStyle w:val="Hyperlink"/>
            <w:rFonts w:ascii="Cambria" w:hAnsi="Cambria"/>
            <w:color w:val="000000" w:themeColor="text1"/>
            <w:sz w:val="16"/>
            <w:szCs w:val="16"/>
          </w:rPr>
          <w:t>15 de agosto de 2021</w:t>
        </w:r>
      </w:hyperlink>
      <w:r w:rsidRPr="009035C0">
        <w:rPr>
          <w:rFonts w:ascii="Cambria" w:hAnsi="Cambria"/>
          <w:color w:val="000000" w:themeColor="text1"/>
          <w:sz w:val="16"/>
          <w:szCs w:val="16"/>
        </w:rPr>
        <w:t xml:space="preserve">. </w:t>
      </w:r>
    </w:p>
  </w:footnote>
  <w:footnote w:id="242">
    <w:p w14:paraId="1A042840" w14:textId="52964990"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Tal Cual. </w:t>
      </w:r>
      <w:r w:rsidR="001D340E"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26</w:t>
      </w:r>
      <w:r w:rsidR="001D340E"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42" w:history="1">
        <w:r w:rsidRPr="00E7771A">
          <w:rPr>
            <w:rStyle w:val="Hyperlink"/>
            <w:rFonts w:ascii="Cambria" w:hAnsi="Cambria"/>
            <w:color w:val="000000" w:themeColor="text1"/>
            <w:sz w:val="16"/>
            <w:szCs w:val="16"/>
            <w:lang w:val="es-US"/>
          </w:rPr>
          <w:t>Punto de Corte denuncia que su portal está bajo un ciberataque;</w:t>
        </w:r>
      </w:hyperlink>
      <w:r w:rsidR="001D340E" w:rsidRPr="00E7771A">
        <w:rPr>
          <w:rStyle w:val="Hyperlink"/>
          <w:rFonts w:ascii="Cambria" w:hAnsi="Cambria"/>
          <w:color w:val="000000" w:themeColor="text1"/>
          <w:sz w:val="16"/>
          <w:szCs w:val="16"/>
          <w:lang w:val="es-US"/>
        </w:rPr>
        <w:t>[‘</w:t>
      </w:r>
      <w:r w:rsidR="00F5473E" w:rsidRPr="00E7771A">
        <w:rPr>
          <w:rStyle w:val="Hyperlink"/>
          <w:rFonts w:ascii="Cambria" w:hAnsi="Cambria"/>
          <w:color w:val="000000" w:themeColor="text1"/>
          <w:sz w:val="16"/>
          <w:szCs w:val="16"/>
          <w:lang w:val="es-US"/>
        </w:rPr>
        <w:t>Punto de Corte denounces that its portal is under cyberattack’]</w:t>
      </w:r>
      <w:r w:rsidRPr="00E7771A">
        <w:rPr>
          <w:rFonts w:ascii="Cambria" w:hAnsi="Cambria"/>
          <w:color w:val="000000" w:themeColor="text1"/>
          <w:sz w:val="16"/>
          <w:szCs w:val="16"/>
          <w:lang w:val="es-US"/>
        </w:rPr>
        <w:t xml:space="preserve"> Espacio Público </w:t>
      </w:r>
      <w:r w:rsidR="00F5473E" w:rsidRPr="00E7771A">
        <w:rPr>
          <w:rFonts w:ascii="Cambria" w:hAnsi="Cambria"/>
          <w:color w:val="000000" w:themeColor="text1"/>
          <w:sz w:val="16"/>
          <w:szCs w:val="16"/>
          <w:lang w:val="es-US"/>
        </w:rPr>
        <w:t xml:space="preserve">June </w:t>
      </w:r>
      <w:r w:rsidRPr="00E7771A">
        <w:rPr>
          <w:rFonts w:ascii="Cambria" w:hAnsi="Cambria"/>
          <w:color w:val="000000" w:themeColor="text1"/>
          <w:sz w:val="16"/>
          <w:szCs w:val="16"/>
          <w:lang w:val="es-US"/>
        </w:rPr>
        <w:t>27</w:t>
      </w:r>
      <w:r w:rsidR="00F5473E"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43" w:history="1">
        <w:r w:rsidRPr="00E7771A">
          <w:rPr>
            <w:rStyle w:val="Hyperlink"/>
            <w:rFonts w:ascii="Cambria" w:hAnsi="Cambria"/>
            <w:color w:val="000000" w:themeColor="text1"/>
            <w:sz w:val="16"/>
            <w:szCs w:val="16"/>
            <w:lang w:val="es-US"/>
          </w:rPr>
          <w:t>Atacan sitio web de Punto de Corte.</w:t>
        </w:r>
      </w:hyperlink>
      <w:r w:rsidR="009D4CAC" w:rsidRPr="00E7771A">
        <w:rPr>
          <w:rStyle w:val="Hyperlink"/>
          <w:rFonts w:ascii="Cambria" w:hAnsi="Cambria"/>
          <w:color w:val="000000" w:themeColor="text1"/>
          <w:sz w:val="16"/>
          <w:szCs w:val="16"/>
          <w:lang w:val="es-US"/>
        </w:rPr>
        <w:t>[‘Punto de Corte website attacked’]</w:t>
      </w:r>
    </w:p>
  </w:footnote>
  <w:footnote w:id="243">
    <w:p w14:paraId="2C88F199" w14:textId="6378171C"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Tal cual. </w:t>
      </w:r>
      <w:r w:rsidR="009D4CAC" w:rsidRPr="00E7771A">
        <w:rPr>
          <w:rFonts w:ascii="Cambria" w:hAnsi="Cambria"/>
          <w:color w:val="000000" w:themeColor="text1"/>
          <w:sz w:val="16"/>
          <w:szCs w:val="16"/>
          <w:lang w:val="es-US"/>
        </w:rPr>
        <w:t xml:space="preserve">January </w:t>
      </w:r>
      <w:r w:rsidRPr="00E7771A">
        <w:rPr>
          <w:rFonts w:ascii="Cambria" w:hAnsi="Cambria"/>
          <w:color w:val="000000" w:themeColor="text1"/>
          <w:sz w:val="16"/>
          <w:szCs w:val="16"/>
          <w:lang w:val="es-US"/>
        </w:rPr>
        <w:t>8</w:t>
      </w:r>
      <w:r w:rsidR="009D4CA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44" w:history="1">
        <w:r w:rsidRPr="00E7771A">
          <w:rPr>
            <w:rStyle w:val="Hyperlink"/>
            <w:rFonts w:ascii="Cambria" w:hAnsi="Cambria"/>
            <w:color w:val="000000" w:themeColor="text1"/>
            <w:sz w:val="16"/>
            <w:szCs w:val="16"/>
            <w:lang w:val="es-US"/>
          </w:rPr>
          <w:t>Página web de TalCual se recupera tras ataque cibernético;</w:t>
        </w:r>
      </w:hyperlink>
      <w:r w:rsidR="00AB7785" w:rsidRPr="00E7771A">
        <w:rPr>
          <w:rStyle w:val="Hyperlink"/>
          <w:rFonts w:ascii="Cambria" w:hAnsi="Cambria"/>
          <w:color w:val="000000" w:themeColor="text1"/>
          <w:sz w:val="16"/>
          <w:szCs w:val="16"/>
          <w:lang w:val="es-US"/>
        </w:rPr>
        <w:t xml:space="preserve"> [‘</w:t>
      </w:r>
      <w:r w:rsidR="004A302F" w:rsidRPr="00E7771A">
        <w:rPr>
          <w:rStyle w:val="Hyperlink"/>
          <w:rFonts w:ascii="Cambria" w:hAnsi="Cambria"/>
          <w:color w:val="000000" w:themeColor="text1"/>
          <w:sz w:val="16"/>
          <w:szCs w:val="16"/>
          <w:lang w:val="es-US"/>
        </w:rPr>
        <w:t>TalCual webpage recovers af</w:t>
      </w:r>
      <w:r w:rsidR="00E021F1" w:rsidRPr="00E7771A">
        <w:rPr>
          <w:rStyle w:val="Hyperlink"/>
          <w:rFonts w:ascii="Cambria" w:hAnsi="Cambria"/>
          <w:color w:val="000000" w:themeColor="text1"/>
          <w:sz w:val="16"/>
          <w:szCs w:val="16"/>
          <w:lang w:val="es-US"/>
        </w:rPr>
        <w:t>t</w:t>
      </w:r>
      <w:r w:rsidR="004A302F" w:rsidRPr="00E7771A">
        <w:rPr>
          <w:rStyle w:val="Hyperlink"/>
          <w:rFonts w:ascii="Cambria" w:hAnsi="Cambria"/>
          <w:color w:val="000000" w:themeColor="text1"/>
          <w:sz w:val="16"/>
          <w:szCs w:val="16"/>
          <w:lang w:val="es-US"/>
        </w:rPr>
        <w:t>er cyberattack’]</w:t>
      </w:r>
      <w:r w:rsidRPr="00E7771A">
        <w:rPr>
          <w:rFonts w:ascii="Cambria" w:hAnsi="Cambria"/>
          <w:color w:val="000000" w:themeColor="text1"/>
          <w:sz w:val="16"/>
          <w:szCs w:val="16"/>
          <w:lang w:val="es-US"/>
        </w:rPr>
        <w:t xml:space="preserve"> Espacio Publico. </w:t>
      </w:r>
      <w:r w:rsidR="004A302F" w:rsidRPr="00E7771A">
        <w:rPr>
          <w:rFonts w:ascii="Cambria" w:hAnsi="Cambria"/>
          <w:color w:val="000000" w:themeColor="text1"/>
          <w:sz w:val="16"/>
          <w:szCs w:val="16"/>
          <w:lang w:val="es-US"/>
        </w:rPr>
        <w:t>January</w:t>
      </w:r>
      <w:r w:rsidRPr="00E7771A">
        <w:rPr>
          <w:rFonts w:ascii="Cambria" w:hAnsi="Cambria"/>
          <w:color w:val="000000" w:themeColor="text1"/>
          <w:sz w:val="16"/>
          <w:szCs w:val="16"/>
          <w:lang w:val="es-US"/>
        </w:rPr>
        <w:t>11</w:t>
      </w:r>
      <w:r w:rsidR="004A302F" w:rsidRPr="00E7771A">
        <w:rPr>
          <w:rFonts w:ascii="Cambria" w:hAnsi="Cambria"/>
          <w:color w:val="000000" w:themeColor="text1"/>
          <w:sz w:val="16"/>
          <w:szCs w:val="16"/>
          <w:lang w:val="es-US"/>
        </w:rPr>
        <w:t xml:space="preserve">, </w:t>
      </w:r>
      <w:r w:rsidRPr="00E7771A">
        <w:rPr>
          <w:rFonts w:ascii="Cambria" w:hAnsi="Cambria"/>
          <w:color w:val="000000" w:themeColor="text1"/>
          <w:sz w:val="16"/>
          <w:szCs w:val="16"/>
          <w:lang w:val="es-US"/>
        </w:rPr>
        <w:t xml:space="preserve">2021. </w:t>
      </w:r>
      <w:hyperlink r:id="rId245" w:history="1">
        <w:r w:rsidRPr="00E7771A">
          <w:rPr>
            <w:rStyle w:val="Hyperlink"/>
            <w:rFonts w:ascii="Cambria" w:hAnsi="Cambria"/>
            <w:color w:val="000000" w:themeColor="text1"/>
            <w:sz w:val="16"/>
            <w:szCs w:val="16"/>
            <w:lang w:val="es-US"/>
          </w:rPr>
          <w:t xml:space="preserve">Tal Cual denuncia nueva vulneración a su sitio web; </w:t>
        </w:r>
      </w:hyperlink>
      <w:r w:rsidR="004A302F" w:rsidRPr="00E7771A">
        <w:rPr>
          <w:rFonts w:ascii="Cambria" w:hAnsi="Cambria"/>
          <w:color w:val="000000" w:themeColor="text1"/>
          <w:sz w:val="16"/>
          <w:szCs w:val="16"/>
          <w:lang w:val="es-US"/>
        </w:rPr>
        <w:t xml:space="preserve">‘Tal Cual denounces new </w:t>
      </w:r>
      <w:r w:rsidR="00E70DBE" w:rsidRPr="00E7771A">
        <w:rPr>
          <w:rFonts w:ascii="Cambria" w:hAnsi="Cambria"/>
          <w:color w:val="000000" w:themeColor="text1"/>
          <w:sz w:val="16"/>
          <w:szCs w:val="16"/>
          <w:lang w:val="es-US"/>
        </w:rPr>
        <w:t xml:space="preserve">breach into its web page’] </w:t>
      </w:r>
      <w:r w:rsidRPr="00E7771A">
        <w:rPr>
          <w:rFonts w:ascii="Cambria" w:hAnsi="Cambria"/>
          <w:color w:val="000000" w:themeColor="text1"/>
          <w:sz w:val="16"/>
          <w:szCs w:val="16"/>
          <w:lang w:val="es-US"/>
        </w:rPr>
        <w:t xml:space="preserve"> El Pitazo. </w:t>
      </w:r>
      <w:r w:rsidR="00E70DBE" w:rsidRPr="00E7771A">
        <w:rPr>
          <w:rFonts w:ascii="Cambria" w:hAnsi="Cambria"/>
          <w:color w:val="000000" w:themeColor="text1"/>
          <w:sz w:val="16"/>
          <w:szCs w:val="16"/>
          <w:lang w:val="es-US"/>
        </w:rPr>
        <w:t xml:space="preserve">March </w:t>
      </w:r>
      <w:r w:rsidRPr="00E7771A">
        <w:rPr>
          <w:rFonts w:ascii="Cambria" w:hAnsi="Cambria"/>
          <w:color w:val="000000" w:themeColor="text1"/>
          <w:sz w:val="16"/>
          <w:szCs w:val="16"/>
          <w:lang w:val="es-US"/>
        </w:rPr>
        <w:t>13</w:t>
      </w:r>
      <w:r w:rsidR="00E70DBE"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46" w:history="1">
        <w:r w:rsidRPr="00E7771A">
          <w:rPr>
            <w:rStyle w:val="Hyperlink"/>
            <w:rFonts w:ascii="Cambria" w:hAnsi="Cambria"/>
            <w:color w:val="000000" w:themeColor="text1"/>
            <w:sz w:val="16"/>
            <w:szCs w:val="16"/>
            <w:lang w:val="es-US"/>
          </w:rPr>
          <w:t>Diario Tal Cual denuncia ataque a su página web.</w:t>
        </w:r>
      </w:hyperlink>
      <w:r w:rsidR="0004341B">
        <w:rPr>
          <w:rStyle w:val="Hyperlink"/>
          <w:rFonts w:ascii="Cambria" w:hAnsi="Cambria"/>
          <w:color w:val="000000" w:themeColor="text1"/>
          <w:sz w:val="16"/>
          <w:szCs w:val="16"/>
        </w:rPr>
        <w:t>[‘Daily Newspaper Tal Cual denounces attack on its web page’]</w:t>
      </w:r>
    </w:p>
  </w:footnote>
  <w:footnote w:id="244">
    <w:p w14:paraId="1CA945F6" w14:textId="7B6EDF22" w:rsidR="005D7789" w:rsidRPr="00E7771A"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EFE. </w:t>
      </w:r>
      <w:r w:rsidR="0004341B">
        <w:rPr>
          <w:rFonts w:ascii="Cambria" w:hAnsi="Cambria"/>
          <w:color w:val="000000" w:themeColor="text1"/>
          <w:sz w:val="16"/>
          <w:szCs w:val="16"/>
        </w:rPr>
        <w:t xml:space="preserve">March </w:t>
      </w:r>
      <w:r w:rsidRPr="009035C0">
        <w:rPr>
          <w:rFonts w:ascii="Cambria" w:hAnsi="Cambria"/>
          <w:color w:val="000000" w:themeColor="text1"/>
          <w:sz w:val="16"/>
          <w:szCs w:val="16"/>
        </w:rPr>
        <w:t>27</w:t>
      </w:r>
      <w:r w:rsidR="0004341B">
        <w:rPr>
          <w:rFonts w:ascii="Cambria" w:hAnsi="Cambria"/>
          <w:color w:val="000000" w:themeColor="text1"/>
          <w:sz w:val="16"/>
          <w:szCs w:val="16"/>
        </w:rPr>
        <w:t>,</w:t>
      </w:r>
      <w:r w:rsidRPr="009035C0">
        <w:rPr>
          <w:rFonts w:ascii="Cambria" w:hAnsi="Cambria"/>
          <w:color w:val="000000" w:themeColor="text1"/>
          <w:sz w:val="16"/>
          <w:szCs w:val="16"/>
        </w:rPr>
        <w:t xml:space="preserve"> 2021. </w:t>
      </w:r>
      <w:hyperlink r:id="rId247" w:history="1">
        <w:r w:rsidRPr="009035C0">
          <w:rPr>
            <w:rStyle w:val="Hyperlink"/>
            <w:rFonts w:ascii="Cambria" w:hAnsi="Cambria"/>
            <w:color w:val="000000" w:themeColor="text1"/>
            <w:sz w:val="16"/>
            <w:szCs w:val="16"/>
          </w:rPr>
          <w:t xml:space="preserve">Facebook bloquea por un mes la cuenta de Maduro por "desinformar" sobre la </w:t>
        </w:r>
        <w:r w:rsidR="00A35246" w:rsidRPr="009035C0">
          <w:rPr>
            <w:rStyle w:val="Hyperlink"/>
            <w:rFonts w:ascii="Cambria" w:hAnsi="Cambria"/>
            <w:color w:val="000000" w:themeColor="text1"/>
            <w:sz w:val="16"/>
            <w:szCs w:val="16"/>
          </w:rPr>
          <w:t>COVID-19</w:t>
        </w:r>
        <w:r w:rsidRPr="009035C0">
          <w:rPr>
            <w:rStyle w:val="Hyperlink"/>
            <w:rFonts w:ascii="Cambria" w:hAnsi="Cambria"/>
            <w:color w:val="000000" w:themeColor="text1"/>
            <w:sz w:val="16"/>
            <w:szCs w:val="16"/>
          </w:rPr>
          <w:t>;</w:t>
        </w:r>
      </w:hyperlink>
      <w:r w:rsidR="00A247F9">
        <w:rPr>
          <w:rFonts w:ascii="Cambria" w:hAnsi="Cambria"/>
          <w:color w:val="000000" w:themeColor="text1"/>
          <w:sz w:val="16"/>
          <w:szCs w:val="16"/>
        </w:rPr>
        <w:t xml:space="preserve"> [‘Facebook blocks Maduro’s account for a month for ‘misinforming’ about COVID-19’]; </w:t>
      </w:r>
      <w:r w:rsidRPr="009035C0">
        <w:rPr>
          <w:rFonts w:ascii="Cambria" w:hAnsi="Cambria"/>
          <w:color w:val="000000" w:themeColor="text1"/>
          <w:sz w:val="16"/>
          <w:szCs w:val="16"/>
        </w:rPr>
        <w:t xml:space="preserve">CNN. </w:t>
      </w:r>
      <w:r w:rsidR="00A247F9" w:rsidRPr="00E7771A">
        <w:rPr>
          <w:rFonts w:ascii="Cambria" w:hAnsi="Cambria"/>
          <w:color w:val="000000" w:themeColor="text1"/>
          <w:sz w:val="16"/>
          <w:szCs w:val="16"/>
          <w:lang w:val="es-US"/>
        </w:rPr>
        <w:t xml:space="preserve">March </w:t>
      </w:r>
      <w:r w:rsidRPr="00E7771A">
        <w:rPr>
          <w:rFonts w:ascii="Cambria" w:hAnsi="Cambria"/>
          <w:color w:val="000000" w:themeColor="text1"/>
          <w:sz w:val="16"/>
          <w:szCs w:val="16"/>
          <w:lang w:val="es-US"/>
        </w:rPr>
        <w:t>28</w:t>
      </w:r>
      <w:r w:rsidR="00A247F9"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48" w:history="1">
        <w:r w:rsidRPr="00E7771A">
          <w:rPr>
            <w:rStyle w:val="Hyperlink"/>
            <w:rFonts w:ascii="Cambria" w:hAnsi="Cambria"/>
            <w:color w:val="000000" w:themeColor="text1"/>
            <w:sz w:val="16"/>
            <w:szCs w:val="16"/>
            <w:lang w:val="es-US"/>
          </w:rPr>
          <w:t>Facebook suspende temporalmente la página de Nicolás Maduro.</w:t>
        </w:r>
      </w:hyperlink>
      <w:r w:rsidR="00A247F9" w:rsidRPr="00E7771A">
        <w:rPr>
          <w:rStyle w:val="Hyperlink"/>
          <w:rFonts w:ascii="Cambria" w:hAnsi="Cambria"/>
          <w:color w:val="000000" w:themeColor="text1"/>
          <w:sz w:val="16"/>
          <w:szCs w:val="16"/>
          <w:lang w:val="es-US"/>
        </w:rPr>
        <w:t xml:space="preserve"> [‘Facebook temporarily suspends Nicolas Maduro’s page’].</w:t>
      </w:r>
    </w:p>
  </w:footnote>
  <w:footnote w:id="245">
    <w:p w14:paraId="24EDBDDE" w14:textId="1A17423A" w:rsidR="005D7789" w:rsidRPr="00F85814"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AFP. </w:t>
      </w:r>
      <w:r w:rsidR="00A247F9" w:rsidRPr="00E7771A">
        <w:rPr>
          <w:rFonts w:ascii="Cambria" w:hAnsi="Cambria"/>
          <w:color w:val="000000" w:themeColor="text1"/>
          <w:sz w:val="16"/>
          <w:szCs w:val="16"/>
          <w:lang w:val="es-US"/>
        </w:rPr>
        <w:t xml:space="preserve">March </w:t>
      </w:r>
      <w:r w:rsidRPr="00E7771A">
        <w:rPr>
          <w:rFonts w:ascii="Cambria" w:hAnsi="Cambria"/>
          <w:color w:val="000000" w:themeColor="text1"/>
          <w:sz w:val="16"/>
          <w:szCs w:val="16"/>
          <w:lang w:val="es-US"/>
        </w:rPr>
        <w:t>28</w:t>
      </w:r>
      <w:r w:rsidR="00A247F9"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49" w:history="1">
        <w:r w:rsidRPr="00E7771A">
          <w:rPr>
            <w:rStyle w:val="Hyperlink"/>
            <w:rFonts w:ascii="Cambria" w:hAnsi="Cambria"/>
            <w:color w:val="000000" w:themeColor="text1"/>
            <w:sz w:val="16"/>
            <w:szCs w:val="16"/>
            <w:lang w:val="es-US"/>
          </w:rPr>
          <w:t>Caracas acusa a Facebook de "totalitarismo digital" por bloquear página de Maduro</w:t>
        </w:r>
      </w:hyperlink>
      <w:r w:rsidR="005F22C2" w:rsidRPr="00E7771A">
        <w:rPr>
          <w:rFonts w:ascii="Cambria" w:hAnsi="Cambria"/>
          <w:color w:val="000000" w:themeColor="text1"/>
          <w:sz w:val="16"/>
          <w:szCs w:val="16"/>
          <w:lang w:val="es-US"/>
        </w:rPr>
        <w:t xml:space="preserve"> [‘Caracas accuses Facebook of “digital totalitarianism” for blocking Maduro’s page’]; </w:t>
      </w:r>
      <w:r w:rsidRPr="00E7771A">
        <w:rPr>
          <w:rFonts w:ascii="Cambria" w:hAnsi="Cambria"/>
          <w:color w:val="000000" w:themeColor="text1"/>
          <w:sz w:val="16"/>
          <w:szCs w:val="16"/>
          <w:lang w:val="es-US"/>
        </w:rPr>
        <w:t xml:space="preserve">EFE. </w:t>
      </w:r>
      <w:r w:rsidR="005F22C2" w:rsidRPr="00E7771A">
        <w:rPr>
          <w:rFonts w:ascii="Cambria" w:hAnsi="Cambria"/>
          <w:color w:val="000000" w:themeColor="text1"/>
          <w:sz w:val="16"/>
          <w:szCs w:val="16"/>
          <w:lang w:val="es-US"/>
        </w:rPr>
        <w:t xml:space="preserve">March </w:t>
      </w:r>
      <w:r w:rsidRPr="00E7771A">
        <w:rPr>
          <w:rFonts w:ascii="Cambria" w:hAnsi="Cambria"/>
          <w:color w:val="000000" w:themeColor="text1"/>
          <w:sz w:val="16"/>
          <w:szCs w:val="16"/>
          <w:lang w:val="es-US"/>
        </w:rPr>
        <w:t>28</w:t>
      </w:r>
      <w:r w:rsidR="005F22C2"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50" w:history="1">
        <w:r w:rsidRPr="00E7771A">
          <w:rPr>
            <w:rStyle w:val="Hyperlink"/>
            <w:rFonts w:ascii="Cambria" w:hAnsi="Cambria"/>
            <w:color w:val="000000" w:themeColor="text1"/>
            <w:sz w:val="16"/>
            <w:szCs w:val="16"/>
            <w:lang w:val="es-US"/>
          </w:rPr>
          <w:t>Venezuela denuncia el "totalitarismo digital" de Facebook por bloqueo a Maduro.</w:t>
        </w:r>
      </w:hyperlink>
      <w:r w:rsidR="005F22C2" w:rsidRPr="00F85814">
        <w:rPr>
          <w:rStyle w:val="Hyperlink"/>
          <w:rFonts w:ascii="Cambria" w:hAnsi="Cambria"/>
          <w:color w:val="000000" w:themeColor="text1"/>
          <w:sz w:val="16"/>
          <w:szCs w:val="16"/>
          <w:lang w:val="es-US"/>
        </w:rPr>
        <w:t>[‘Venezuela decries Facebook’s “digital totalitarianism” for blocking Maduro’].</w:t>
      </w:r>
    </w:p>
  </w:footnote>
  <w:footnote w:id="246">
    <w:p w14:paraId="4F99BCC6" w14:textId="691DD5F6" w:rsidR="005D7789" w:rsidRPr="00F85814" w:rsidRDefault="005D7789"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eastAsiaTheme="majorEastAsia" w:hAnsi="Cambria"/>
          <w:color w:val="000000" w:themeColor="text1"/>
          <w:sz w:val="16"/>
          <w:szCs w:val="16"/>
        </w:rPr>
        <w:footnoteRef/>
      </w:r>
      <w:r w:rsidRPr="00F85814">
        <w:rPr>
          <w:rFonts w:ascii="Cambria" w:hAnsi="Cambria"/>
          <w:color w:val="000000" w:themeColor="text1"/>
          <w:sz w:val="16"/>
          <w:szCs w:val="16"/>
          <w:lang w:val="es-US"/>
        </w:rPr>
        <w:t xml:space="preserve"> Semana. </w:t>
      </w:r>
      <w:r w:rsidR="005F22C2" w:rsidRPr="00F85814">
        <w:rPr>
          <w:rFonts w:ascii="Cambria" w:hAnsi="Cambria"/>
          <w:color w:val="000000" w:themeColor="text1"/>
          <w:sz w:val="16"/>
          <w:szCs w:val="16"/>
          <w:lang w:val="es-US"/>
        </w:rPr>
        <w:t xml:space="preserve">February </w:t>
      </w:r>
      <w:r w:rsidRPr="00F85814">
        <w:rPr>
          <w:rFonts w:ascii="Cambria" w:hAnsi="Cambria"/>
          <w:color w:val="000000" w:themeColor="text1"/>
          <w:sz w:val="16"/>
          <w:szCs w:val="16"/>
          <w:lang w:val="es-US"/>
        </w:rPr>
        <w:t>2</w:t>
      </w:r>
      <w:r w:rsidR="005F22C2" w:rsidRPr="00F85814">
        <w:rPr>
          <w:rFonts w:ascii="Cambria" w:hAnsi="Cambria"/>
          <w:color w:val="000000" w:themeColor="text1"/>
          <w:sz w:val="16"/>
          <w:szCs w:val="16"/>
          <w:lang w:val="es-US"/>
        </w:rPr>
        <w:t>,</w:t>
      </w:r>
      <w:r w:rsidRPr="00F85814">
        <w:rPr>
          <w:rFonts w:ascii="Cambria" w:hAnsi="Cambria"/>
          <w:color w:val="000000" w:themeColor="text1"/>
          <w:sz w:val="16"/>
          <w:szCs w:val="16"/>
          <w:lang w:val="es-US"/>
        </w:rPr>
        <w:t xml:space="preserve"> 2021. </w:t>
      </w:r>
      <w:hyperlink r:id="rId251" w:history="1">
        <w:r w:rsidRPr="00F85814">
          <w:rPr>
            <w:rStyle w:val="Hyperlink"/>
            <w:rFonts w:ascii="Cambria" w:hAnsi="Cambria"/>
            <w:color w:val="000000" w:themeColor="text1"/>
            <w:sz w:val="16"/>
            <w:szCs w:val="16"/>
            <w:lang w:val="es-US"/>
          </w:rPr>
          <w:t>Nicolás Maduro acusa a Facebook de censurar videos sobre sus “gotitas milagrosas” contra el coronavirus</w:t>
        </w:r>
      </w:hyperlink>
      <w:r w:rsidRPr="00F85814">
        <w:rPr>
          <w:rFonts w:ascii="Cambria" w:hAnsi="Cambria"/>
          <w:color w:val="000000" w:themeColor="text1"/>
          <w:sz w:val="16"/>
          <w:szCs w:val="16"/>
          <w:lang w:val="es-US"/>
        </w:rPr>
        <w:t>;</w:t>
      </w:r>
      <w:r w:rsidR="005F22C2" w:rsidRPr="00F85814">
        <w:rPr>
          <w:rFonts w:ascii="Cambria" w:hAnsi="Cambria"/>
          <w:color w:val="000000" w:themeColor="text1"/>
          <w:sz w:val="16"/>
          <w:szCs w:val="16"/>
          <w:lang w:val="es-US"/>
        </w:rPr>
        <w:t>[‘Nicolás Maduro accuses Facebook of censoring videos about his “miraculous drops” against the coron</w:t>
      </w:r>
      <w:r w:rsidR="00E021F1" w:rsidRPr="00F85814">
        <w:rPr>
          <w:rFonts w:ascii="Cambria" w:hAnsi="Cambria"/>
          <w:color w:val="000000" w:themeColor="text1"/>
          <w:sz w:val="16"/>
          <w:szCs w:val="16"/>
          <w:lang w:val="es-US"/>
        </w:rPr>
        <w:t>a</w:t>
      </w:r>
      <w:r w:rsidR="005F22C2" w:rsidRPr="00F85814">
        <w:rPr>
          <w:rFonts w:ascii="Cambria" w:hAnsi="Cambria"/>
          <w:color w:val="000000" w:themeColor="text1"/>
          <w:sz w:val="16"/>
          <w:szCs w:val="16"/>
          <w:lang w:val="es-US"/>
        </w:rPr>
        <w:t xml:space="preserve">virus’]; </w:t>
      </w:r>
      <w:r w:rsidRPr="00F85814">
        <w:rPr>
          <w:rFonts w:ascii="Cambria" w:hAnsi="Cambria"/>
          <w:color w:val="000000" w:themeColor="text1"/>
          <w:sz w:val="16"/>
          <w:szCs w:val="16"/>
          <w:lang w:val="es-US"/>
        </w:rPr>
        <w:t xml:space="preserve"> Swissinfo. </w:t>
      </w:r>
      <w:r w:rsidR="005F22C2" w:rsidRPr="00F85814">
        <w:rPr>
          <w:rFonts w:ascii="Cambria" w:hAnsi="Cambria"/>
          <w:color w:val="000000" w:themeColor="text1"/>
          <w:sz w:val="16"/>
          <w:szCs w:val="16"/>
          <w:lang w:val="es-US"/>
        </w:rPr>
        <w:t xml:space="preserve">February </w:t>
      </w:r>
      <w:r w:rsidRPr="00F85814">
        <w:rPr>
          <w:rFonts w:ascii="Cambria" w:hAnsi="Cambria"/>
          <w:color w:val="000000" w:themeColor="text1"/>
          <w:sz w:val="16"/>
          <w:szCs w:val="16"/>
          <w:lang w:val="es-US"/>
        </w:rPr>
        <w:t>3</w:t>
      </w:r>
      <w:r w:rsidR="005F22C2" w:rsidRPr="00F85814">
        <w:rPr>
          <w:rFonts w:ascii="Cambria" w:hAnsi="Cambria"/>
          <w:color w:val="000000" w:themeColor="text1"/>
          <w:sz w:val="16"/>
          <w:szCs w:val="16"/>
          <w:lang w:val="es-US"/>
        </w:rPr>
        <w:t>, 2021</w:t>
      </w:r>
      <w:r w:rsidRPr="00F85814">
        <w:rPr>
          <w:rFonts w:ascii="Cambria" w:hAnsi="Cambria"/>
          <w:color w:val="000000" w:themeColor="text1"/>
          <w:sz w:val="16"/>
          <w:szCs w:val="16"/>
          <w:lang w:val="es-US"/>
        </w:rPr>
        <w:t xml:space="preserve">. </w:t>
      </w:r>
      <w:hyperlink r:id="rId252" w:history="1">
        <w:r w:rsidRPr="00F85814">
          <w:rPr>
            <w:rStyle w:val="Hyperlink"/>
            <w:rFonts w:ascii="Cambria" w:hAnsi="Cambria"/>
            <w:color w:val="000000" w:themeColor="text1"/>
            <w:sz w:val="16"/>
            <w:szCs w:val="16"/>
            <w:lang w:val="es-US"/>
          </w:rPr>
          <w:t xml:space="preserve">Maduro acusa a Zuckerberg de "abusador" por censurar fármaco que él preconiza; </w:t>
        </w:r>
      </w:hyperlink>
      <w:r w:rsidR="005F22C2" w:rsidRPr="00F85814">
        <w:rPr>
          <w:rStyle w:val="Hyperlink"/>
          <w:rFonts w:ascii="Cambria" w:hAnsi="Cambria"/>
          <w:color w:val="000000" w:themeColor="text1"/>
          <w:sz w:val="16"/>
          <w:szCs w:val="16"/>
          <w:lang w:val="es-US"/>
        </w:rPr>
        <w:t xml:space="preserve">[‘Maduro accuses Zuckerberg of </w:t>
      </w:r>
      <w:r w:rsidR="00B04C3B" w:rsidRPr="00F85814">
        <w:rPr>
          <w:rStyle w:val="Hyperlink"/>
          <w:rFonts w:ascii="Cambria" w:hAnsi="Cambria"/>
          <w:color w:val="000000" w:themeColor="text1"/>
          <w:sz w:val="16"/>
          <w:szCs w:val="16"/>
          <w:lang w:val="es-US"/>
        </w:rPr>
        <w:t xml:space="preserve">being </w:t>
      </w:r>
      <w:r w:rsidR="005F22C2" w:rsidRPr="00F85814">
        <w:rPr>
          <w:rStyle w:val="Hyperlink"/>
          <w:rFonts w:ascii="Cambria" w:hAnsi="Cambria"/>
          <w:color w:val="000000" w:themeColor="text1"/>
          <w:sz w:val="16"/>
          <w:szCs w:val="16"/>
          <w:lang w:val="es-US"/>
        </w:rPr>
        <w:t xml:space="preserve">“abusive” for </w:t>
      </w:r>
      <w:r w:rsidR="00530111" w:rsidRPr="00F85814">
        <w:rPr>
          <w:rStyle w:val="Hyperlink"/>
          <w:rFonts w:ascii="Cambria" w:hAnsi="Cambria"/>
          <w:color w:val="000000" w:themeColor="text1"/>
          <w:sz w:val="16"/>
          <w:szCs w:val="16"/>
          <w:lang w:val="es-US"/>
        </w:rPr>
        <w:t>censoring a drug that he praises’].</w:t>
      </w:r>
    </w:p>
  </w:footnote>
  <w:footnote w:id="247">
    <w:p w14:paraId="57EBCA93" w14:textId="29590BAB"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E7771A">
        <w:rPr>
          <w:rFonts w:ascii="Cambria" w:hAnsi="Cambria"/>
          <w:color w:val="000000" w:themeColor="text1"/>
          <w:sz w:val="16"/>
          <w:szCs w:val="16"/>
          <w:lang w:val="es-US"/>
        </w:rPr>
        <w:t xml:space="preserve"> El Nacional. </w:t>
      </w:r>
      <w:r w:rsidR="00530111"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28</w:t>
      </w:r>
      <w:r w:rsidR="00530111"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53" w:history="1">
        <w:r w:rsidRPr="00E7771A">
          <w:rPr>
            <w:rStyle w:val="Hyperlink"/>
            <w:rFonts w:ascii="Cambria" w:hAnsi="Cambria"/>
            <w:color w:val="000000" w:themeColor="text1"/>
            <w:sz w:val="16"/>
            <w:szCs w:val="16"/>
            <w:lang w:val="es-US"/>
          </w:rPr>
          <w:t>Twitter suspendió la cuenta del programa Con el Mazo Dando;</w:t>
        </w:r>
      </w:hyperlink>
      <w:r w:rsidRPr="00E7771A">
        <w:rPr>
          <w:rFonts w:ascii="Cambria" w:hAnsi="Cambria"/>
          <w:color w:val="000000" w:themeColor="text1"/>
          <w:sz w:val="16"/>
          <w:szCs w:val="16"/>
          <w:lang w:val="es-US"/>
        </w:rPr>
        <w:t>.</w:t>
      </w:r>
      <w:r w:rsidR="005A6AAB" w:rsidRPr="00E7771A">
        <w:rPr>
          <w:rFonts w:ascii="Cambria" w:hAnsi="Cambria"/>
          <w:color w:val="000000" w:themeColor="text1"/>
          <w:sz w:val="16"/>
          <w:szCs w:val="16"/>
          <w:lang w:val="es-US"/>
        </w:rPr>
        <w:t>[‘Twitter suspended the program “Con el Mazo Dando’];</w:t>
      </w:r>
      <w:r w:rsidRPr="00E7771A">
        <w:rPr>
          <w:rFonts w:ascii="Cambria" w:hAnsi="Cambria"/>
          <w:color w:val="000000" w:themeColor="text1"/>
          <w:sz w:val="16"/>
          <w:szCs w:val="16"/>
          <w:lang w:val="es-US"/>
        </w:rPr>
        <w:t xml:space="preserve"> Deutsche Welle.</w:t>
      </w:r>
      <w:r w:rsidR="005A6AAB" w:rsidRPr="00E7771A">
        <w:rPr>
          <w:rFonts w:ascii="Cambria" w:hAnsi="Cambria"/>
          <w:color w:val="000000" w:themeColor="text1"/>
          <w:sz w:val="16"/>
          <w:szCs w:val="16"/>
          <w:lang w:val="es-US"/>
        </w:rPr>
        <w:t xml:space="preserve"> August </w:t>
      </w:r>
      <w:r w:rsidRPr="00E7771A">
        <w:rPr>
          <w:rFonts w:ascii="Cambria" w:hAnsi="Cambria"/>
          <w:color w:val="000000" w:themeColor="text1"/>
          <w:sz w:val="16"/>
          <w:szCs w:val="16"/>
          <w:lang w:val="es-US"/>
        </w:rPr>
        <w:t>5</w:t>
      </w:r>
      <w:r w:rsidR="005A6AA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hyperlink r:id="rId254" w:history="1">
        <w:r w:rsidRPr="00E7771A">
          <w:rPr>
            <w:rStyle w:val="Hyperlink"/>
            <w:rFonts w:ascii="Cambria" w:eastAsiaTheme="majorEastAsia" w:hAnsi="Cambria"/>
            <w:color w:val="000000" w:themeColor="text1"/>
            <w:sz w:val="16"/>
            <w:szCs w:val="16"/>
            <w:lang w:val="es-US"/>
          </w:rPr>
          <w:t>Venezuela: Diosdado Cabello acusa a Twitter de ″robar″ cuenta de su programa</w:t>
        </w:r>
        <w:r w:rsidRPr="00E7771A">
          <w:rPr>
            <w:rStyle w:val="Hyperlink"/>
            <w:rFonts w:ascii="Cambria" w:hAnsi="Cambria"/>
            <w:color w:val="000000" w:themeColor="text1"/>
            <w:sz w:val="16"/>
            <w:szCs w:val="16"/>
            <w:lang w:val="es-US"/>
          </w:rPr>
          <w:t>.</w:t>
        </w:r>
      </w:hyperlink>
      <w:r w:rsidR="005A6AAB">
        <w:rPr>
          <w:rStyle w:val="Hyperlink"/>
          <w:rFonts w:ascii="Cambria" w:hAnsi="Cambria"/>
          <w:color w:val="000000" w:themeColor="text1"/>
          <w:sz w:val="16"/>
          <w:szCs w:val="16"/>
        </w:rPr>
        <w:t>[‘Venezuela: Diosdado Cabello accuses Twitter of “stealing” his program’s account’]</w:t>
      </w:r>
    </w:p>
  </w:footnote>
  <w:footnote w:id="248">
    <w:p w14:paraId="0BC750A8" w14:textId="31A88B06" w:rsidR="005D7789" w:rsidRPr="009035C0" w:rsidRDefault="005D778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eastAsiaTheme="majorEastAsia" w:hAnsi="Cambria"/>
          <w:color w:val="000000" w:themeColor="text1"/>
          <w:sz w:val="16"/>
          <w:szCs w:val="16"/>
        </w:rPr>
        <w:footnoteRef/>
      </w:r>
      <w:r w:rsidRPr="009035C0">
        <w:rPr>
          <w:rFonts w:ascii="Cambria" w:hAnsi="Cambria"/>
          <w:color w:val="000000" w:themeColor="text1"/>
          <w:sz w:val="16"/>
          <w:szCs w:val="16"/>
        </w:rPr>
        <w:t xml:space="preserve"> </w:t>
      </w:r>
      <w:r w:rsidR="005A6AAB">
        <w:rPr>
          <w:rFonts w:ascii="Cambria" w:hAnsi="Cambria"/>
          <w:color w:val="000000" w:themeColor="text1"/>
          <w:sz w:val="16"/>
          <w:szCs w:val="16"/>
        </w:rPr>
        <w:t>Available at</w:t>
      </w:r>
      <w:r w:rsidRPr="009035C0">
        <w:rPr>
          <w:rFonts w:ascii="Cambria" w:hAnsi="Cambria"/>
          <w:color w:val="000000" w:themeColor="text1"/>
          <w:sz w:val="16"/>
          <w:szCs w:val="16"/>
        </w:rPr>
        <w:t xml:space="preserve"> https://mobile.twitter.com/conelmazodando</w:t>
      </w:r>
    </w:p>
  </w:footnote>
  <w:footnote w:id="249">
    <w:p w14:paraId="4B723350" w14:textId="5E4F115E" w:rsidR="005A09AA" w:rsidRPr="005B0807" w:rsidRDefault="005A09AA" w:rsidP="00F85814">
      <w:pPr>
        <w:pStyle w:val="FootnoteText"/>
        <w:spacing w:after="120"/>
        <w:ind w:firstLine="720"/>
        <w:rPr>
          <w:rFonts w:ascii="Cambria" w:hAnsi="Cambria"/>
          <w:sz w:val="16"/>
          <w:szCs w:val="16"/>
          <w:lang w:val="es-ES"/>
        </w:rPr>
      </w:pPr>
      <w:r w:rsidRPr="005B0807">
        <w:rPr>
          <w:rStyle w:val="FootnoteReference"/>
          <w:rFonts w:ascii="Cambria" w:hAnsi="Cambria"/>
          <w:sz w:val="16"/>
          <w:szCs w:val="16"/>
        </w:rPr>
        <w:footnoteRef/>
      </w:r>
      <w:r w:rsidRPr="005B0807">
        <w:rPr>
          <w:rFonts w:ascii="Cambria" w:hAnsi="Cambria"/>
          <w:sz w:val="16"/>
          <w:szCs w:val="16"/>
          <w:lang w:val="es-ES"/>
        </w:rPr>
        <w:t xml:space="preserve"> </w:t>
      </w:r>
      <w:r w:rsidR="005B0807" w:rsidRPr="005B0807">
        <w:rPr>
          <w:rFonts w:ascii="Cambria" w:hAnsi="Cambria" w:cs="Calibri"/>
          <w:color w:val="000000" w:themeColor="text1"/>
          <w:sz w:val="16"/>
          <w:szCs w:val="16"/>
          <w:lang w:val="es-ES"/>
        </w:rPr>
        <w:t>El Nacional, 792 trabajadores de la salud han fallecido en el país a causa del covid-19, 15 de noviembre de 2021.</w:t>
      </w:r>
    </w:p>
  </w:footnote>
  <w:footnote w:id="250">
    <w:p w14:paraId="63D8A78D" w14:textId="7272B8CA" w:rsidR="00D24896" w:rsidRPr="00F85814" w:rsidRDefault="00D24896" w:rsidP="00F85814">
      <w:pPr>
        <w:spacing w:after="120"/>
        <w:ind w:firstLine="720"/>
        <w:jc w:val="both"/>
        <w:rPr>
          <w:rFonts w:ascii="Cambria" w:hAnsi="Cambria"/>
          <w:color w:val="000000" w:themeColor="text1"/>
          <w:sz w:val="16"/>
          <w:szCs w:val="16"/>
          <w:lang w:val="es-E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ES"/>
        </w:rPr>
        <w:t xml:space="preserve"> </w:t>
      </w:r>
      <w:r w:rsidRPr="00F85814">
        <w:rPr>
          <w:rFonts w:ascii="Cambria" w:hAnsi="Cambria" w:cs="Calibri"/>
          <w:color w:val="000000" w:themeColor="text1"/>
          <w:sz w:val="16"/>
          <w:szCs w:val="16"/>
          <w:lang w:val="es-ES"/>
        </w:rPr>
        <w:t> </w:t>
      </w:r>
      <w:r w:rsidR="005E625D" w:rsidRPr="00F85814">
        <w:rPr>
          <w:rFonts w:ascii="Cambria" w:hAnsi="Cambria" w:cs="Calibri"/>
          <w:color w:val="000000" w:themeColor="text1"/>
          <w:sz w:val="16"/>
          <w:szCs w:val="16"/>
          <w:lang w:val="es-ES"/>
        </w:rPr>
        <w:t>PAHO</w:t>
      </w:r>
      <w:r w:rsidRPr="00F85814">
        <w:rPr>
          <w:rFonts w:ascii="Cambria" w:hAnsi="Cambria" w:cs="Calibri"/>
          <w:color w:val="000000" w:themeColor="text1"/>
          <w:sz w:val="16"/>
          <w:szCs w:val="16"/>
          <w:lang w:val="es-ES"/>
        </w:rPr>
        <w:t>,</w:t>
      </w:r>
      <w:r w:rsidR="005E625D" w:rsidRPr="00F85814">
        <w:rPr>
          <w:rFonts w:ascii="Cambria" w:hAnsi="Cambria" w:cs="Calibri"/>
          <w:color w:val="000000" w:themeColor="text1"/>
          <w:sz w:val="16"/>
          <w:szCs w:val="16"/>
          <w:lang w:val="es-ES"/>
        </w:rPr>
        <w:t xml:space="preserve"> Epidemiological update Coronavirus Disease </w:t>
      </w:r>
      <w:r w:rsidRPr="00F85814">
        <w:rPr>
          <w:rFonts w:ascii="Cambria" w:hAnsi="Cambria" w:cs="Calibri"/>
          <w:color w:val="000000" w:themeColor="text1"/>
          <w:sz w:val="16"/>
          <w:szCs w:val="16"/>
          <w:lang w:val="es-ES"/>
        </w:rPr>
        <w:t xml:space="preserve"> (COVID-19), </w:t>
      </w:r>
      <w:r w:rsidR="00C872FF" w:rsidRPr="00F85814">
        <w:rPr>
          <w:rFonts w:ascii="Cambria" w:hAnsi="Cambria" w:cs="Calibri"/>
          <w:color w:val="000000" w:themeColor="text1"/>
          <w:sz w:val="16"/>
          <w:szCs w:val="16"/>
          <w:lang w:val="es-ES"/>
        </w:rPr>
        <w:t xml:space="preserve">August </w:t>
      </w:r>
      <w:r w:rsidRPr="00F85814">
        <w:rPr>
          <w:rFonts w:ascii="Cambria" w:hAnsi="Cambria" w:cs="Calibri"/>
          <w:color w:val="000000" w:themeColor="text1"/>
          <w:sz w:val="16"/>
          <w:szCs w:val="16"/>
          <w:lang w:val="es-ES"/>
        </w:rPr>
        <w:t>21</w:t>
      </w:r>
      <w:r w:rsidR="00C872FF" w:rsidRPr="00F85814">
        <w:rPr>
          <w:rFonts w:ascii="Cambria" w:hAnsi="Cambria" w:cs="Calibri"/>
          <w:color w:val="000000" w:themeColor="text1"/>
          <w:sz w:val="16"/>
          <w:szCs w:val="16"/>
          <w:lang w:val="es-ES"/>
        </w:rPr>
        <w:t>,</w:t>
      </w:r>
      <w:r w:rsidRPr="00F85814">
        <w:rPr>
          <w:rFonts w:ascii="Cambria" w:hAnsi="Cambria" w:cs="Calibri"/>
          <w:color w:val="000000" w:themeColor="text1"/>
          <w:sz w:val="16"/>
          <w:szCs w:val="16"/>
          <w:lang w:val="es-ES"/>
        </w:rPr>
        <w:t xml:space="preserve"> 2021; El Pitazo, </w:t>
      </w:r>
      <w:hyperlink r:id="rId255" w:history="1">
        <w:r w:rsidRPr="00F85814">
          <w:rPr>
            <w:rFonts w:ascii="Cambria" w:hAnsi="Cambria" w:cs="Calibri"/>
            <w:color w:val="000000" w:themeColor="text1"/>
            <w:sz w:val="16"/>
            <w:szCs w:val="16"/>
            <w:u w:val="single"/>
            <w:lang w:val="es-ES"/>
          </w:rPr>
          <w:t>OPS: Venezuela encabeza tasa de letalidad por COVID-19 de personal sanitario en Suramérica</w:t>
        </w:r>
      </w:hyperlink>
      <w:r w:rsidRPr="00F85814">
        <w:rPr>
          <w:rFonts w:ascii="Cambria" w:hAnsi="Cambria" w:cs="Calibri"/>
          <w:color w:val="000000" w:themeColor="text1"/>
          <w:sz w:val="16"/>
          <w:szCs w:val="16"/>
          <w:lang w:val="es-ES"/>
        </w:rPr>
        <w:t xml:space="preserve">, </w:t>
      </w:r>
      <w:r w:rsidR="00C872FF" w:rsidRPr="00F85814">
        <w:rPr>
          <w:rFonts w:ascii="Cambria" w:hAnsi="Cambria" w:cs="Calibri"/>
          <w:color w:val="000000" w:themeColor="text1"/>
          <w:sz w:val="16"/>
          <w:szCs w:val="16"/>
          <w:lang w:val="es-ES"/>
        </w:rPr>
        <w:t xml:space="preserve">[‘PAHO: Venezuela leads in COVID-19 mortality of healthcare personnel in South America’], September </w:t>
      </w:r>
      <w:r w:rsidRPr="00F85814">
        <w:rPr>
          <w:rFonts w:ascii="Cambria" w:hAnsi="Cambria" w:cs="Calibri"/>
          <w:color w:val="000000" w:themeColor="text1"/>
          <w:sz w:val="16"/>
          <w:szCs w:val="16"/>
          <w:lang w:val="es-ES"/>
        </w:rPr>
        <w:t>19</w:t>
      </w:r>
      <w:r w:rsidR="00C872FF" w:rsidRPr="00F85814">
        <w:rPr>
          <w:rFonts w:ascii="Cambria" w:hAnsi="Cambria" w:cs="Calibri"/>
          <w:color w:val="000000" w:themeColor="text1"/>
          <w:sz w:val="16"/>
          <w:szCs w:val="16"/>
          <w:lang w:val="es-ES"/>
        </w:rPr>
        <w:t>,</w:t>
      </w:r>
      <w:r w:rsidRPr="00F85814">
        <w:rPr>
          <w:rFonts w:ascii="Cambria" w:hAnsi="Cambria" w:cs="Calibri"/>
          <w:color w:val="000000" w:themeColor="text1"/>
          <w:sz w:val="16"/>
          <w:szCs w:val="16"/>
          <w:lang w:val="es-ES"/>
        </w:rPr>
        <w:t xml:space="preserve"> 2021. </w:t>
      </w:r>
    </w:p>
  </w:footnote>
  <w:footnote w:id="251">
    <w:p w14:paraId="09A0B726" w14:textId="1C1ACD07" w:rsidR="00D24896" w:rsidRPr="00F85814" w:rsidRDefault="00D24896" w:rsidP="00F85814">
      <w:pPr>
        <w:pStyle w:val="FootnoteText"/>
        <w:spacing w:after="120"/>
        <w:ind w:firstLine="720"/>
        <w:rPr>
          <w:rFonts w:ascii="Cambria" w:eastAsia="Cambria" w:hAnsi="Cambria" w:cs="Cambria"/>
          <w:color w:val="000000" w:themeColor="text1"/>
          <w:sz w:val="16"/>
          <w:szCs w:val="16"/>
          <w:lang w:val="es-E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ES"/>
        </w:rPr>
        <w:t xml:space="preserve"> </w:t>
      </w:r>
      <w:r w:rsidRPr="00F85814">
        <w:rPr>
          <w:rFonts w:ascii="Cambria" w:eastAsia="Cambria" w:hAnsi="Cambria" w:cs="Cambria"/>
          <w:color w:val="000000" w:themeColor="text1"/>
          <w:sz w:val="16"/>
          <w:szCs w:val="16"/>
          <w:lang w:val="es-ES"/>
        </w:rPr>
        <w:t xml:space="preserve">Covid-19 Patria Blog, </w:t>
      </w:r>
      <w:hyperlink r:id="rId256">
        <w:r w:rsidRPr="00F85814">
          <w:rPr>
            <w:rStyle w:val="Hyperlink"/>
            <w:rFonts w:ascii="Cambria" w:eastAsia="Cambria" w:hAnsi="Cambria" w:cs="Cambria"/>
            <w:color w:val="000000" w:themeColor="text1"/>
            <w:sz w:val="16"/>
            <w:szCs w:val="16"/>
            <w:lang w:val="es-ES"/>
          </w:rPr>
          <w:t>Estadísticas Venezuela</w:t>
        </w:r>
      </w:hyperlink>
      <w:r w:rsidRPr="00F85814">
        <w:rPr>
          <w:rFonts w:ascii="Cambria" w:eastAsia="Cambria" w:hAnsi="Cambria" w:cs="Cambria"/>
          <w:color w:val="000000" w:themeColor="text1"/>
          <w:sz w:val="16"/>
          <w:szCs w:val="16"/>
          <w:lang w:val="es-ES"/>
        </w:rPr>
        <w:t xml:space="preserve">, </w:t>
      </w:r>
      <w:r w:rsidR="00C65747" w:rsidRPr="00F85814">
        <w:rPr>
          <w:rFonts w:ascii="Cambria" w:eastAsia="Cambria" w:hAnsi="Cambria" w:cs="Cambria"/>
          <w:color w:val="000000" w:themeColor="text1"/>
          <w:sz w:val="16"/>
          <w:szCs w:val="16"/>
          <w:lang w:val="es-ES"/>
        </w:rPr>
        <w:t xml:space="preserve">[Venezuela Statistics] November </w:t>
      </w:r>
      <w:r w:rsidRPr="00F85814">
        <w:rPr>
          <w:rFonts w:ascii="Cambria" w:eastAsia="Cambria" w:hAnsi="Cambria" w:cs="Cambria"/>
          <w:color w:val="000000" w:themeColor="text1"/>
          <w:sz w:val="16"/>
          <w:szCs w:val="16"/>
          <w:lang w:val="es-ES"/>
        </w:rPr>
        <w:t>2</w:t>
      </w:r>
      <w:r w:rsidR="00C65747" w:rsidRPr="00F85814">
        <w:rPr>
          <w:rFonts w:ascii="Cambria" w:eastAsia="Cambria" w:hAnsi="Cambria" w:cs="Cambria"/>
          <w:color w:val="000000" w:themeColor="text1"/>
          <w:sz w:val="16"/>
          <w:szCs w:val="16"/>
          <w:lang w:val="es-ES"/>
        </w:rPr>
        <w:t>,</w:t>
      </w:r>
      <w:r w:rsidRPr="00F85814">
        <w:rPr>
          <w:rFonts w:ascii="Cambria" w:eastAsia="Cambria" w:hAnsi="Cambria" w:cs="Cambria"/>
          <w:color w:val="000000" w:themeColor="text1"/>
          <w:sz w:val="16"/>
          <w:szCs w:val="16"/>
          <w:lang w:val="es-ES"/>
        </w:rPr>
        <w:t xml:space="preserve"> 2021; Worldometer.</w:t>
      </w:r>
      <w:hyperlink r:id="rId257">
        <w:r w:rsidRPr="00F85814">
          <w:rPr>
            <w:rStyle w:val="Hyperlink"/>
            <w:rFonts w:ascii="Cambria" w:eastAsia="Cambria" w:hAnsi="Cambria" w:cs="Cambria"/>
            <w:color w:val="000000" w:themeColor="text1"/>
            <w:sz w:val="16"/>
            <w:szCs w:val="16"/>
            <w:lang w:val="es-ES"/>
          </w:rPr>
          <w:t xml:space="preserve"> Coronavirus Cases in Venezuela</w:t>
        </w:r>
      </w:hyperlink>
      <w:r w:rsidRPr="00F85814">
        <w:rPr>
          <w:rFonts w:ascii="Cambria" w:eastAsia="Cambria" w:hAnsi="Cambria" w:cs="Cambria"/>
          <w:color w:val="000000" w:themeColor="text1"/>
          <w:sz w:val="16"/>
          <w:szCs w:val="16"/>
          <w:lang w:val="es-ES"/>
        </w:rPr>
        <w:t xml:space="preserve">, </w:t>
      </w:r>
      <w:r w:rsidR="003C29A6" w:rsidRPr="00F85814">
        <w:rPr>
          <w:rFonts w:ascii="Cambria" w:eastAsia="Cambria" w:hAnsi="Cambria" w:cs="Cambria"/>
          <w:color w:val="000000" w:themeColor="text1"/>
          <w:sz w:val="16"/>
          <w:szCs w:val="16"/>
          <w:lang w:val="es-ES"/>
        </w:rPr>
        <w:t xml:space="preserve">November </w:t>
      </w:r>
      <w:r w:rsidRPr="00F85814">
        <w:rPr>
          <w:rFonts w:ascii="Cambria" w:eastAsia="Cambria" w:hAnsi="Cambria" w:cs="Cambria"/>
          <w:color w:val="000000" w:themeColor="text1"/>
          <w:sz w:val="16"/>
          <w:szCs w:val="16"/>
          <w:lang w:val="es-ES"/>
        </w:rPr>
        <w:t>2</w:t>
      </w:r>
      <w:r w:rsidR="003C29A6" w:rsidRPr="00F85814">
        <w:rPr>
          <w:rFonts w:ascii="Cambria" w:eastAsia="Cambria" w:hAnsi="Cambria" w:cs="Cambria"/>
          <w:color w:val="000000" w:themeColor="text1"/>
          <w:sz w:val="16"/>
          <w:szCs w:val="16"/>
          <w:lang w:val="es-ES"/>
        </w:rPr>
        <w:t>,</w:t>
      </w:r>
      <w:r w:rsidRPr="00F85814">
        <w:rPr>
          <w:rFonts w:ascii="Cambria" w:eastAsia="Cambria" w:hAnsi="Cambria" w:cs="Cambria"/>
          <w:color w:val="000000" w:themeColor="text1"/>
          <w:sz w:val="16"/>
          <w:szCs w:val="16"/>
          <w:lang w:val="es-ES"/>
        </w:rPr>
        <w:t xml:space="preserve"> 2021.</w:t>
      </w:r>
    </w:p>
  </w:footnote>
  <w:footnote w:id="252">
    <w:p w14:paraId="759EE7FF" w14:textId="36280EAD" w:rsidR="00D24896" w:rsidRPr="00E7771A" w:rsidRDefault="00D24896"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ES"/>
        </w:rPr>
        <w:t xml:space="preserve"> </w:t>
      </w:r>
      <w:r w:rsidRPr="00F85814">
        <w:rPr>
          <w:rFonts w:ascii="Cambria" w:hAnsi="Cambria" w:cs="Calibri"/>
          <w:color w:val="000000" w:themeColor="text1"/>
          <w:sz w:val="16"/>
          <w:szCs w:val="16"/>
          <w:lang w:val="es-ES"/>
        </w:rPr>
        <w:t xml:space="preserve">Swissinfo, </w:t>
      </w:r>
      <w:hyperlink r:id="rId258" w:history="1">
        <w:r w:rsidRPr="00F85814">
          <w:rPr>
            <w:rFonts w:ascii="Cambria" w:hAnsi="Cambria" w:cs="Calibri"/>
            <w:color w:val="000000" w:themeColor="text1"/>
            <w:sz w:val="16"/>
            <w:szCs w:val="16"/>
            <w:u w:val="single"/>
            <w:lang w:val="es-ES"/>
          </w:rPr>
          <w:t>Oposición venezolana reporta casi doble de muertos por covid que el Gobierno</w:t>
        </w:r>
      </w:hyperlink>
      <w:r w:rsidRPr="00F85814">
        <w:rPr>
          <w:rFonts w:ascii="Cambria" w:hAnsi="Cambria" w:cs="Calibri"/>
          <w:color w:val="000000" w:themeColor="text1"/>
          <w:sz w:val="16"/>
          <w:szCs w:val="16"/>
          <w:lang w:val="es-ES"/>
        </w:rPr>
        <w:t xml:space="preserve">, </w:t>
      </w:r>
      <w:r w:rsidR="009C474B" w:rsidRPr="00F85814">
        <w:rPr>
          <w:rFonts w:ascii="Cambria" w:hAnsi="Cambria" w:cs="Calibri"/>
          <w:color w:val="000000" w:themeColor="text1"/>
          <w:sz w:val="16"/>
          <w:szCs w:val="16"/>
          <w:lang w:val="es-ES"/>
        </w:rPr>
        <w:t xml:space="preserve">[‘Venezuelan opposition reports almost double the COVID deaths than the Government’], January </w:t>
      </w:r>
      <w:r w:rsidRPr="00F85814">
        <w:rPr>
          <w:rFonts w:ascii="Cambria" w:hAnsi="Cambria" w:cs="Calibri"/>
          <w:color w:val="000000" w:themeColor="text1"/>
          <w:sz w:val="16"/>
          <w:szCs w:val="16"/>
          <w:lang w:val="es-ES"/>
        </w:rPr>
        <w:t>26</w:t>
      </w:r>
      <w:r w:rsidR="009C474B" w:rsidRPr="00F85814">
        <w:rPr>
          <w:rFonts w:ascii="Cambria" w:hAnsi="Cambria" w:cs="Calibri"/>
          <w:color w:val="000000" w:themeColor="text1"/>
          <w:sz w:val="16"/>
          <w:szCs w:val="16"/>
          <w:lang w:val="es-ES"/>
        </w:rPr>
        <w:t>.</w:t>
      </w:r>
      <w:r w:rsidRPr="00F85814">
        <w:rPr>
          <w:rFonts w:ascii="Cambria" w:hAnsi="Cambria" w:cs="Calibri"/>
          <w:color w:val="000000" w:themeColor="text1"/>
          <w:sz w:val="16"/>
          <w:szCs w:val="16"/>
          <w:lang w:val="es-ES"/>
        </w:rPr>
        <w:t xml:space="preserve"> </w:t>
      </w:r>
      <w:r w:rsidRPr="00E7771A">
        <w:rPr>
          <w:rFonts w:ascii="Cambria" w:hAnsi="Cambria" w:cs="Calibri"/>
          <w:color w:val="000000" w:themeColor="text1"/>
          <w:sz w:val="16"/>
          <w:szCs w:val="16"/>
          <w:lang w:val="es-US"/>
        </w:rPr>
        <w:t xml:space="preserve">2021; El País, </w:t>
      </w:r>
      <w:hyperlink r:id="rId259" w:history="1">
        <w:r w:rsidRPr="00E7771A">
          <w:rPr>
            <w:rStyle w:val="Hyperlink"/>
            <w:rFonts w:ascii="Cambria" w:eastAsiaTheme="majorEastAsia" w:hAnsi="Cambria" w:cs="Calibri"/>
            <w:color w:val="000000" w:themeColor="text1"/>
            <w:sz w:val="16"/>
            <w:szCs w:val="16"/>
            <w:lang w:val="es-US"/>
          </w:rPr>
          <w:t>La subida de casos de la covid-19 colapsa el sistema de salud de Venezuela</w:t>
        </w:r>
      </w:hyperlink>
      <w:r w:rsidRPr="00E7771A">
        <w:rPr>
          <w:rFonts w:ascii="Cambria" w:hAnsi="Cambria" w:cs="Calibri"/>
          <w:color w:val="000000" w:themeColor="text1"/>
          <w:sz w:val="16"/>
          <w:szCs w:val="16"/>
          <w:lang w:val="es-US"/>
        </w:rPr>
        <w:t xml:space="preserve">, </w:t>
      </w:r>
      <w:r w:rsidR="00B64475" w:rsidRPr="00E7771A">
        <w:rPr>
          <w:rFonts w:ascii="Cambria" w:hAnsi="Cambria" w:cs="Calibri"/>
          <w:color w:val="000000" w:themeColor="text1"/>
          <w:sz w:val="16"/>
          <w:szCs w:val="16"/>
          <w:lang w:val="es-US"/>
        </w:rPr>
        <w:t xml:space="preserve">[‘Rise in COVID-19 cases collapses the healthcare system of Venezuela’], March </w:t>
      </w:r>
      <w:r w:rsidRPr="00E7771A">
        <w:rPr>
          <w:rFonts w:ascii="Cambria" w:hAnsi="Cambria" w:cs="Calibri"/>
          <w:color w:val="000000" w:themeColor="text1"/>
          <w:sz w:val="16"/>
          <w:szCs w:val="16"/>
          <w:lang w:val="es-US"/>
        </w:rPr>
        <w:t>17</w:t>
      </w:r>
      <w:r w:rsidR="00B64475" w:rsidRPr="00E7771A">
        <w:rPr>
          <w:rFonts w:ascii="Cambria" w:hAnsi="Cambria" w:cs="Calibri"/>
          <w:color w:val="000000" w:themeColor="text1"/>
          <w:sz w:val="16"/>
          <w:szCs w:val="16"/>
          <w:lang w:val="es-US"/>
        </w:rPr>
        <w:t>,</w:t>
      </w:r>
      <w:r w:rsidRPr="00E7771A">
        <w:rPr>
          <w:rFonts w:ascii="Cambria" w:hAnsi="Cambria" w:cs="Calibri"/>
          <w:color w:val="000000" w:themeColor="text1"/>
          <w:sz w:val="16"/>
          <w:szCs w:val="16"/>
          <w:lang w:val="es-US"/>
        </w:rPr>
        <w:t xml:space="preserve"> 2021; CNN, </w:t>
      </w:r>
      <w:hyperlink r:id="rId260" w:history="1">
        <w:r w:rsidRPr="00E7771A">
          <w:rPr>
            <w:rFonts w:ascii="Cambria" w:hAnsi="Cambria" w:cs="Calibri"/>
            <w:color w:val="000000" w:themeColor="text1"/>
            <w:sz w:val="16"/>
            <w:szCs w:val="16"/>
            <w:u w:val="single"/>
            <w:lang w:val="es-US"/>
          </w:rPr>
          <w:t>Discrepancia en cifras de covid-19 en Venezuela: localidad reporta más del triple de muertes que cifras oficiales de todo un estado</w:t>
        </w:r>
      </w:hyperlink>
      <w:r w:rsidRPr="00E7771A">
        <w:rPr>
          <w:rFonts w:ascii="Cambria" w:hAnsi="Cambria" w:cs="Calibri"/>
          <w:color w:val="000000" w:themeColor="text1"/>
          <w:sz w:val="16"/>
          <w:szCs w:val="16"/>
          <w:lang w:val="es-US"/>
        </w:rPr>
        <w:t xml:space="preserve">, </w:t>
      </w:r>
      <w:r w:rsidR="003F4F27" w:rsidRPr="00E7771A">
        <w:rPr>
          <w:rFonts w:ascii="Cambria" w:hAnsi="Cambria" w:cs="Calibri"/>
          <w:color w:val="000000" w:themeColor="text1"/>
          <w:sz w:val="16"/>
          <w:szCs w:val="16"/>
          <w:lang w:val="es-US"/>
        </w:rPr>
        <w:t xml:space="preserve">[‘Discrepancy </w:t>
      </w:r>
      <w:r w:rsidR="00E33CB9" w:rsidRPr="00E7771A">
        <w:rPr>
          <w:rFonts w:ascii="Cambria" w:hAnsi="Cambria" w:cs="Calibri"/>
          <w:color w:val="000000" w:themeColor="text1"/>
          <w:sz w:val="16"/>
          <w:szCs w:val="16"/>
          <w:lang w:val="es-US"/>
        </w:rPr>
        <w:t xml:space="preserve">in </w:t>
      </w:r>
      <w:r w:rsidR="003F4F27" w:rsidRPr="00E7771A">
        <w:rPr>
          <w:rFonts w:ascii="Cambria" w:hAnsi="Cambria" w:cs="Calibri"/>
          <w:color w:val="000000" w:themeColor="text1"/>
          <w:sz w:val="16"/>
          <w:szCs w:val="16"/>
          <w:lang w:val="es-US"/>
        </w:rPr>
        <w:t>COVID</w:t>
      </w:r>
      <w:r w:rsidR="00E33CB9" w:rsidRPr="00E7771A">
        <w:rPr>
          <w:rFonts w:ascii="Cambria" w:hAnsi="Cambria" w:cs="Calibri"/>
          <w:color w:val="000000" w:themeColor="text1"/>
          <w:sz w:val="16"/>
          <w:szCs w:val="16"/>
          <w:lang w:val="es-US"/>
        </w:rPr>
        <w:t>-</w:t>
      </w:r>
      <w:r w:rsidRPr="00E7771A">
        <w:rPr>
          <w:rFonts w:ascii="Cambria" w:hAnsi="Cambria" w:cs="Calibri"/>
          <w:color w:val="000000" w:themeColor="text1"/>
          <w:sz w:val="16"/>
          <w:szCs w:val="16"/>
          <w:lang w:val="es-US"/>
        </w:rPr>
        <w:t xml:space="preserve">19 </w:t>
      </w:r>
      <w:r w:rsidR="00E33CB9" w:rsidRPr="00E7771A">
        <w:rPr>
          <w:rFonts w:ascii="Cambria" w:hAnsi="Cambria" w:cs="Calibri"/>
          <w:color w:val="000000" w:themeColor="text1"/>
          <w:sz w:val="16"/>
          <w:szCs w:val="16"/>
          <w:lang w:val="es-US"/>
        </w:rPr>
        <w:t xml:space="preserve"> figures in Venezuela: </w:t>
      </w:r>
      <w:r w:rsidR="00954BDB" w:rsidRPr="00E7771A">
        <w:rPr>
          <w:rFonts w:ascii="Cambria" w:hAnsi="Cambria" w:cs="Calibri"/>
          <w:color w:val="000000" w:themeColor="text1"/>
          <w:sz w:val="16"/>
          <w:szCs w:val="16"/>
          <w:lang w:val="es-US"/>
        </w:rPr>
        <w:t xml:space="preserve">locality reports more than triple the deaths than official figures of a whole state’], March 19, </w:t>
      </w:r>
      <w:r w:rsidRPr="00E7771A">
        <w:rPr>
          <w:rFonts w:ascii="Cambria" w:hAnsi="Cambria" w:cs="Calibri"/>
          <w:color w:val="000000" w:themeColor="text1"/>
          <w:sz w:val="16"/>
          <w:szCs w:val="16"/>
          <w:lang w:val="es-US"/>
        </w:rPr>
        <w:t xml:space="preserve">2021; DW, </w:t>
      </w:r>
      <w:hyperlink r:id="rId261" w:history="1">
        <w:r w:rsidRPr="00E7771A">
          <w:rPr>
            <w:rFonts w:ascii="Cambria" w:hAnsi="Cambria" w:cs="Arial"/>
            <w:color w:val="000000" w:themeColor="text1"/>
            <w:sz w:val="16"/>
            <w:szCs w:val="16"/>
            <w:u w:val="single"/>
            <w:lang w:val="es-US"/>
          </w:rPr>
          <w:t>La pandemia en Venezuela: manipulación de la información, cementerios llenos y aún sin plan de vacunación</w:t>
        </w:r>
      </w:hyperlink>
      <w:r w:rsidRPr="00E7771A">
        <w:rPr>
          <w:rFonts w:ascii="Cambria" w:hAnsi="Cambria" w:cs="Calibri"/>
          <w:color w:val="000000" w:themeColor="text1"/>
          <w:sz w:val="16"/>
          <w:szCs w:val="16"/>
          <w:lang w:val="es-US"/>
        </w:rPr>
        <w:t xml:space="preserve">, </w:t>
      </w:r>
      <w:r w:rsidR="00954BDB" w:rsidRPr="00E7771A">
        <w:rPr>
          <w:rFonts w:ascii="Cambria" w:hAnsi="Cambria" w:cs="Calibri"/>
          <w:color w:val="000000" w:themeColor="text1"/>
          <w:sz w:val="16"/>
          <w:szCs w:val="16"/>
          <w:lang w:val="es-US"/>
        </w:rPr>
        <w:t xml:space="preserve">[‘Pandemic in Venezuela: manipulation of information, cemeteries full and still no vaccination plan’], April </w:t>
      </w:r>
      <w:r w:rsidRPr="00E7771A">
        <w:rPr>
          <w:rFonts w:ascii="Cambria" w:hAnsi="Cambria" w:cs="Calibri"/>
          <w:color w:val="000000" w:themeColor="text1"/>
          <w:sz w:val="16"/>
          <w:szCs w:val="16"/>
          <w:lang w:val="es-US"/>
        </w:rPr>
        <w:t>19</w:t>
      </w:r>
      <w:r w:rsidR="00954BDB" w:rsidRPr="00E7771A">
        <w:rPr>
          <w:rFonts w:ascii="Cambria" w:hAnsi="Cambria" w:cs="Calibri"/>
          <w:color w:val="000000" w:themeColor="text1"/>
          <w:sz w:val="16"/>
          <w:szCs w:val="16"/>
          <w:lang w:val="es-US"/>
        </w:rPr>
        <w:t>,</w:t>
      </w:r>
      <w:r w:rsidRPr="00E7771A">
        <w:rPr>
          <w:rFonts w:ascii="Cambria" w:hAnsi="Cambria" w:cs="Calibri"/>
          <w:color w:val="000000" w:themeColor="text1"/>
          <w:sz w:val="16"/>
          <w:szCs w:val="16"/>
          <w:lang w:val="es-US"/>
        </w:rPr>
        <w:t xml:space="preserve"> 2021; Swissinfo, </w:t>
      </w:r>
      <w:hyperlink r:id="rId262" w:history="1">
        <w:r w:rsidRPr="00E7771A">
          <w:rPr>
            <w:rFonts w:ascii="Cambria" w:hAnsi="Cambria" w:cs="Calibri"/>
            <w:color w:val="000000" w:themeColor="text1"/>
            <w:sz w:val="16"/>
            <w:szCs w:val="16"/>
            <w:u w:val="single"/>
            <w:lang w:val="es-US"/>
          </w:rPr>
          <w:t>ONG denuncia manipulación de datos sobre la vacunación anticovid en Venezuela</w:t>
        </w:r>
      </w:hyperlink>
      <w:r w:rsidRPr="00E7771A">
        <w:rPr>
          <w:rFonts w:ascii="Cambria" w:hAnsi="Cambria" w:cs="Calibri"/>
          <w:color w:val="000000" w:themeColor="text1"/>
          <w:sz w:val="16"/>
          <w:szCs w:val="16"/>
          <w:lang w:val="es-US"/>
        </w:rPr>
        <w:t xml:space="preserve">, </w:t>
      </w:r>
      <w:r w:rsidR="00F136A2" w:rsidRPr="00E7771A">
        <w:rPr>
          <w:rFonts w:ascii="Cambria" w:hAnsi="Cambria" w:cs="Calibri"/>
          <w:color w:val="000000" w:themeColor="text1"/>
          <w:sz w:val="16"/>
          <w:szCs w:val="16"/>
          <w:lang w:val="es-US"/>
        </w:rPr>
        <w:t xml:space="preserve">[‘NGO denounces manipulation of data on anti-COVID vaccine in Venezuela’], June </w:t>
      </w:r>
      <w:r w:rsidRPr="00E7771A">
        <w:rPr>
          <w:rFonts w:ascii="Cambria" w:hAnsi="Cambria" w:cs="Calibri"/>
          <w:color w:val="000000" w:themeColor="text1"/>
          <w:sz w:val="16"/>
          <w:szCs w:val="16"/>
          <w:lang w:val="es-US"/>
        </w:rPr>
        <w:t>7</w:t>
      </w:r>
      <w:r w:rsidR="00F136A2" w:rsidRPr="00E7771A">
        <w:rPr>
          <w:rFonts w:ascii="Cambria" w:hAnsi="Cambria" w:cs="Calibri"/>
          <w:color w:val="000000" w:themeColor="text1"/>
          <w:sz w:val="16"/>
          <w:szCs w:val="16"/>
          <w:lang w:val="es-US"/>
        </w:rPr>
        <w:t>,</w:t>
      </w:r>
      <w:r w:rsidRPr="00E7771A">
        <w:rPr>
          <w:rFonts w:ascii="Cambria" w:hAnsi="Cambria" w:cs="Calibri"/>
          <w:color w:val="000000" w:themeColor="text1"/>
          <w:sz w:val="16"/>
          <w:szCs w:val="16"/>
          <w:lang w:val="es-US"/>
        </w:rPr>
        <w:t xml:space="preserve"> 2021; Swissinfo, </w:t>
      </w:r>
      <w:hyperlink r:id="rId263" w:history="1">
        <w:r w:rsidRPr="00E7771A">
          <w:rPr>
            <w:rStyle w:val="Hyperlink"/>
            <w:rFonts w:ascii="Cambria" w:hAnsi="Cambria" w:cs="Calibri"/>
            <w:color w:val="000000" w:themeColor="text1"/>
            <w:sz w:val="16"/>
            <w:szCs w:val="16"/>
            <w:lang w:val="es-US"/>
          </w:rPr>
          <w:t>Sindicato venezolano denuncia la muerte de 15 pacientes tras un apagón</w:t>
        </w:r>
      </w:hyperlink>
      <w:r w:rsidRPr="00E7771A">
        <w:rPr>
          <w:rFonts w:ascii="Cambria" w:hAnsi="Cambria" w:cs="Calibri"/>
          <w:color w:val="000000" w:themeColor="text1"/>
          <w:sz w:val="16"/>
          <w:szCs w:val="16"/>
          <w:lang w:val="es-US"/>
        </w:rPr>
        <w:t xml:space="preserve">, </w:t>
      </w:r>
      <w:r w:rsidR="00704241" w:rsidRPr="00E7771A">
        <w:rPr>
          <w:rFonts w:ascii="Cambria" w:hAnsi="Cambria" w:cs="Calibri"/>
          <w:color w:val="000000" w:themeColor="text1"/>
          <w:sz w:val="16"/>
          <w:szCs w:val="16"/>
          <w:lang w:val="es-US"/>
        </w:rPr>
        <w:t xml:space="preserve">[‘Venezuelan union </w:t>
      </w:r>
      <w:r w:rsidR="00F350E1" w:rsidRPr="00E7771A">
        <w:rPr>
          <w:rFonts w:ascii="Cambria" w:hAnsi="Cambria" w:cs="Calibri"/>
          <w:color w:val="000000" w:themeColor="text1"/>
          <w:sz w:val="16"/>
          <w:szCs w:val="16"/>
          <w:lang w:val="es-US"/>
        </w:rPr>
        <w:t xml:space="preserve">denounces death of 15 patients following power outage’], October </w:t>
      </w:r>
      <w:r w:rsidRPr="00E7771A">
        <w:rPr>
          <w:rFonts w:ascii="Cambria" w:hAnsi="Cambria" w:cs="Calibri"/>
          <w:color w:val="000000" w:themeColor="text1"/>
          <w:sz w:val="16"/>
          <w:szCs w:val="16"/>
          <w:lang w:val="es-US"/>
        </w:rPr>
        <w:t>6</w:t>
      </w:r>
      <w:r w:rsidR="00F350E1" w:rsidRPr="00E7771A">
        <w:rPr>
          <w:rFonts w:ascii="Cambria" w:hAnsi="Cambria" w:cs="Calibri"/>
          <w:color w:val="000000" w:themeColor="text1"/>
          <w:sz w:val="16"/>
          <w:szCs w:val="16"/>
          <w:lang w:val="es-US"/>
        </w:rPr>
        <w:t xml:space="preserve">, </w:t>
      </w:r>
      <w:r w:rsidRPr="00E7771A">
        <w:rPr>
          <w:rFonts w:ascii="Cambria" w:hAnsi="Cambria" w:cs="Calibri"/>
          <w:color w:val="000000" w:themeColor="text1"/>
          <w:sz w:val="16"/>
          <w:szCs w:val="16"/>
          <w:lang w:val="es-US"/>
        </w:rPr>
        <w:t xml:space="preserve">2021. </w:t>
      </w:r>
    </w:p>
  </w:footnote>
  <w:footnote w:id="253">
    <w:p w14:paraId="6C370E81" w14:textId="001D414F"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1147DC" w:rsidRPr="00E7771A">
        <w:rPr>
          <w:rFonts w:ascii="Cambria" w:hAnsi="Cambria"/>
          <w:color w:val="000000" w:themeColor="text1"/>
          <w:sz w:val="16"/>
          <w:szCs w:val="16"/>
          <w:lang w:val="es-US"/>
        </w:rPr>
        <w:t xml:space="preserve">IACHR, Resolution </w:t>
      </w:r>
      <w:r w:rsidRPr="00E7771A">
        <w:rPr>
          <w:rFonts w:ascii="Cambria" w:hAnsi="Cambria"/>
          <w:color w:val="000000" w:themeColor="text1"/>
          <w:sz w:val="16"/>
          <w:szCs w:val="16"/>
          <w:lang w:val="es-US"/>
        </w:rPr>
        <w:t>1/2020: Pandemia y Derechos Humanos</w:t>
      </w:r>
      <w:r w:rsidR="001147DC" w:rsidRPr="00E7771A">
        <w:rPr>
          <w:rFonts w:ascii="Cambria" w:hAnsi="Cambria"/>
          <w:color w:val="000000" w:themeColor="text1"/>
          <w:sz w:val="16"/>
          <w:szCs w:val="16"/>
          <w:lang w:val="es-US"/>
        </w:rPr>
        <w:t xml:space="preserve"> [‘Pandemic and Human Rights]</w:t>
      </w:r>
      <w:r w:rsidRPr="00E7771A">
        <w:rPr>
          <w:rFonts w:ascii="Cambria" w:hAnsi="Cambria"/>
          <w:color w:val="000000" w:themeColor="text1"/>
          <w:sz w:val="16"/>
          <w:szCs w:val="16"/>
          <w:lang w:val="es-US"/>
        </w:rPr>
        <w:t>,</w:t>
      </w:r>
      <w:r w:rsidR="001147DC" w:rsidRPr="00E7771A">
        <w:rPr>
          <w:rFonts w:ascii="Cambria" w:hAnsi="Cambria"/>
          <w:color w:val="000000" w:themeColor="text1"/>
          <w:sz w:val="16"/>
          <w:szCs w:val="16"/>
          <w:lang w:val="es-US"/>
        </w:rPr>
        <w:t xml:space="preserve"> April</w:t>
      </w:r>
      <w:r w:rsidRPr="00E7771A">
        <w:rPr>
          <w:rFonts w:ascii="Cambria" w:hAnsi="Cambria"/>
          <w:color w:val="000000" w:themeColor="text1"/>
          <w:sz w:val="16"/>
          <w:szCs w:val="16"/>
          <w:lang w:val="es-US"/>
        </w:rPr>
        <w:t xml:space="preserve"> 10</w:t>
      </w:r>
      <w:r w:rsidR="001147D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2020, p</w:t>
      </w:r>
      <w:r w:rsidR="001147DC" w:rsidRPr="00E7771A">
        <w:rPr>
          <w:rFonts w:ascii="Cambria" w:hAnsi="Cambria"/>
          <w:color w:val="000000" w:themeColor="text1"/>
          <w:sz w:val="16"/>
          <w:szCs w:val="16"/>
          <w:lang w:val="es-US"/>
        </w:rPr>
        <w:t>a</w:t>
      </w:r>
      <w:r w:rsidRPr="00E7771A">
        <w:rPr>
          <w:rFonts w:ascii="Cambria" w:hAnsi="Cambria"/>
          <w:color w:val="000000" w:themeColor="text1"/>
          <w:sz w:val="16"/>
          <w:szCs w:val="16"/>
          <w:lang w:val="es-US"/>
        </w:rPr>
        <w:t xml:space="preserve">r. 32. </w:t>
      </w:r>
    </w:p>
  </w:footnote>
  <w:footnote w:id="254">
    <w:p w14:paraId="333FE6C2" w14:textId="062C98E1"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367EB3" w:rsidRPr="00E7771A">
        <w:rPr>
          <w:rFonts w:ascii="Cambria" w:hAnsi="Cambria"/>
          <w:color w:val="000000" w:themeColor="text1"/>
          <w:sz w:val="16"/>
          <w:szCs w:val="16"/>
          <w:lang w:val="es-US"/>
        </w:rPr>
        <w:t>PAHO</w:t>
      </w:r>
      <w:r w:rsidRPr="00E7771A">
        <w:rPr>
          <w:rFonts w:ascii="Cambria" w:hAnsi="Cambria"/>
          <w:color w:val="000000" w:themeColor="text1"/>
          <w:sz w:val="16"/>
          <w:szCs w:val="16"/>
          <w:lang w:val="es-US"/>
        </w:rPr>
        <w:t xml:space="preserve">, </w:t>
      </w:r>
      <w:hyperlink r:id="rId264" w:history="1">
        <w:r w:rsidRPr="00E7771A">
          <w:rPr>
            <w:rStyle w:val="Hyperlink"/>
            <w:rFonts w:ascii="Cambria" w:eastAsiaTheme="majorEastAsia" w:hAnsi="Cambria"/>
            <w:color w:val="000000" w:themeColor="text1"/>
            <w:sz w:val="16"/>
            <w:szCs w:val="16"/>
            <w:lang w:val="es-US"/>
          </w:rPr>
          <w:t>Informe anual 2020 | Cooperación en salud - OPS/OMS en Venezuela</w:t>
        </w:r>
      </w:hyperlink>
      <w:r w:rsidRPr="00E7771A">
        <w:rPr>
          <w:rFonts w:ascii="Cambria" w:hAnsi="Cambria"/>
          <w:color w:val="000000" w:themeColor="text1"/>
          <w:sz w:val="16"/>
          <w:szCs w:val="16"/>
          <w:lang w:val="es-US"/>
        </w:rPr>
        <w:t xml:space="preserve">, </w:t>
      </w:r>
      <w:r w:rsidR="001B347B" w:rsidRPr="00E7771A">
        <w:rPr>
          <w:rFonts w:ascii="Cambria" w:hAnsi="Cambria"/>
          <w:color w:val="000000" w:themeColor="text1"/>
          <w:sz w:val="16"/>
          <w:szCs w:val="16"/>
          <w:lang w:val="es-US"/>
        </w:rPr>
        <w:t xml:space="preserve">[‘2020 Annual Report Health Cooperation PAHO/WHO in Venezuela’] February </w:t>
      </w:r>
      <w:r w:rsidRPr="00E7771A">
        <w:rPr>
          <w:rFonts w:ascii="Cambria" w:hAnsi="Cambria"/>
          <w:color w:val="000000" w:themeColor="text1"/>
          <w:sz w:val="16"/>
          <w:szCs w:val="16"/>
          <w:lang w:val="es-US"/>
        </w:rPr>
        <w:t>9</w:t>
      </w:r>
      <w:r w:rsidR="001B347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55">
    <w:p w14:paraId="358478AB" w14:textId="24C97394"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UNICEF, </w:t>
      </w:r>
      <w:hyperlink r:id="rId265" w:history="1">
        <w:r w:rsidRPr="00E7771A">
          <w:rPr>
            <w:rStyle w:val="Hyperlink"/>
            <w:rFonts w:ascii="Cambria" w:eastAsiaTheme="majorEastAsia" w:hAnsi="Cambria"/>
            <w:color w:val="000000" w:themeColor="text1"/>
            <w:sz w:val="16"/>
            <w:szCs w:val="16"/>
            <w:lang w:val="es-US"/>
          </w:rPr>
          <w:t>Respuesta de UNICEF Venezuela ante el COVID-19</w:t>
        </w:r>
      </w:hyperlink>
      <w:r w:rsidRPr="00E7771A">
        <w:rPr>
          <w:rFonts w:ascii="Cambria" w:hAnsi="Cambria"/>
          <w:color w:val="000000" w:themeColor="text1"/>
          <w:sz w:val="16"/>
          <w:szCs w:val="16"/>
          <w:lang w:val="es-US"/>
        </w:rPr>
        <w:t>,</w:t>
      </w:r>
      <w:r w:rsidR="009621A6" w:rsidRPr="00E7771A">
        <w:rPr>
          <w:rFonts w:ascii="Cambria" w:hAnsi="Cambria"/>
          <w:color w:val="000000" w:themeColor="text1"/>
          <w:sz w:val="16"/>
          <w:szCs w:val="16"/>
          <w:lang w:val="es-US"/>
        </w:rPr>
        <w:t xml:space="preserve"> [‘UNICEF response to COVID-19’], undated</w:t>
      </w:r>
      <w:r w:rsidRPr="00E7771A">
        <w:rPr>
          <w:rFonts w:ascii="Cambria" w:hAnsi="Cambria"/>
          <w:color w:val="000000" w:themeColor="text1"/>
          <w:sz w:val="16"/>
          <w:szCs w:val="16"/>
          <w:lang w:val="es-US"/>
        </w:rPr>
        <w:t xml:space="preserve">; </w:t>
      </w:r>
      <w:r w:rsidR="009621A6" w:rsidRPr="00E7771A">
        <w:rPr>
          <w:rFonts w:ascii="Cambria" w:hAnsi="Cambria"/>
          <w:color w:val="000000" w:themeColor="text1"/>
          <w:sz w:val="16"/>
          <w:szCs w:val="16"/>
          <w:lang w:val="es-US"/>
        </w:rPr>
        <w:t>PAHO</w:t>
      </w:r>
      <w:r w:rsidRPr="00E7771A">
        <w:rPr>
          <w:rFonts w:ascii="Cambria" w:hAnsi="Cambria"/>
          <w:color w:val="000000" w:themeColor="text1"/>
          <w:sz w:val="16"/>
          <w:szCs w:val="16"/>
          <w:lang w:val="es-US"/>
        </w:rPr>
        <w:t xml:space="preserve">, </w:t>
      </w:r>
      <w:hyperlink r:id="rId266" w:history="1">
        <w:r w:rsidRPr="00E7771A">
          <w:rPr>
            <w:rStyle w:val="Hyperlink"/>
            <w:rFonts w:ascii="Cambria" w:eastAsiaTheme="majorEastAsia" w:hAnsi="Cambria"/>
            <w:color w:val="000000" w:themeColor="text1"/>
            <w:sz w:val="16"/>
            <w:szCs w:val="16"/>
            <w:lang w:val="es-US"/>
          </w:rPr>
          <w:t>Informe anual 2020 | Cooperación en salud - OPS/OMS en Venezuela</w:t>
        </w:r>
      </w:hyperlink>
      <w:r w:rsidRPr="00E7771A">
        <w:rPr>
          <w:rFonts w:ascii="Cambria" w:hAnsi="Cambria"/>
          <w:color w:val="000000" w:themeColor="text1"/>
          <w:sz w:val="16"/>
          <w:szCs w:val="16"/>
          <w:lang w:val="es-US"/>
        </w:rPr>
        <w:t xml:space="preserve">, </w:t>
      </w:r>
      <w:r w:rsidR="009621A6" w:rsidRPr="00E7771A">
        <w:rPr>
          <w:rFonts w:ascii="Cambria" w:hAnsi="Cambria"/>
          <w:color w:val="000000" w:themeColor="text1"/>
          <w:sz w:val="16"/>
          <w:szCs w:val="16"/>
          <w:lang w:val="es-US"/>
        </w:rPr>
        <w:t>[</w:t>
      </w:r>
      <w:r w:rsidR="00B04DCF" w:rsidRPr="00E7771A">
        <w:rPr>
          <w:rFonts w:ascii="Cambria" w:hAnsi="Cambria"/>
          <w:color w:val="000000" w:themeColor="text1"/>
          <w:sz w:val="16"/>
          <w:szCs w:val="16"/>
          <w:lang w:val="es-US"/>
        </w:rPr>
        <w:t>‘</w:t>
      </w:r>
      <w:r w:rsidR="00282200" w:rsidRPr="00E7771A">
        <w:rPr>
          <w:rFonts w:ascii="Cambria" w:hAnsi="Cambria"/>
          <w:color w:val="000000" w:themeColor="text1"/>
          <w:sz w:val="16"/>
          <w:szCs w:val="16"/>
          <w:lang w:val="es-US"/>
        </w:rPr>
        <w:t>2</w:t>
      </w:r>
      <w:r w:rsidR="009621A6" w:rsidRPr="00E7771A">
        <w:rPr>
          <w:rFonts w:ascii="Cambria" w:hAnsi="Cambria"/>
          <w:color w:val="000000" w:themeColor="text1"/>
          <w:sz w:val="16"/>
          <w:szCs w:val="16"/>
          <w:lang w:val="es-US"/>
        </w:rPr>
        <w:t xml:space="preserve">020 Annual Report Health Cooperation PAHO/WHO in Venezuela’], February </w:t>
      </w:r>
      <w:r w:rsidRPr="00E7771A">
        <w:rPr>
          <w:rFonts w:ascii="Cambria" w:hAnsi="Cambria"/>
          <w:color w:val="000000" w:themeColor="text1"/>
          <w:sz w:val="16"/>
          <w:szCs w:val="16"/>
          <w:lang w:val="es-US"/>
        </w:rPr>
        <w:t>9</w:t>
      </w:r>
      <w:r w:rsidR="009621A6"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56">
    <w:p w14:paraId="361609F2" w14:textId="595182B0"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282200" w:rsidRPr="00E7771A">
        <w:rPr>
          <w:rFonts w:ascii="Cambria" w:hAnsi="Cambria"/>
          <w:color w:val="000000" w:themeColor="text1"/>
          <w:sz w:val="16"/>
          <w:szCs w:val="16"/>
          <w:lang w:val="es-US"/>
        </w:rPr>
        <w:t xml:space="preserve">PAHO, </w:t>
      </w:r>
      <w:hyperlink r:id="rId267" w:history="1">
        <w:r w:rsidRPr="00E7771A">
          <w:rPr>
            <w:rStyle w:val="Hyperlink"/>
            <w:rFonts w:ascii="Cambria" w:eastAsiaTheme="majorEastAsia" w:hAnsi="Cambria"/>
            <w:color w:val="000000" w:themeColor="text1"/>
            <w:sz w:val="16"/>
            <w:szCs w:val="16"/>
            <w:lang w:val="es-US"/>
          </w:rPr>
          <w:t>Informe anual 2020 | Cooperación en salud - OPS/OMS en Venezuela</w:t>
        </w:r>
      </w:hyperlink>
      <w:r w:rsidRPr="00E7771A">
        <w:rPr>
          <w:rFonts w:ascii="Cambria" w:hAnsi="Cambria"/>
          <w:color w:val="000000" w:themeColor="text1"/>
          <w:sz w:val="16"/>
          <w:szCs w:val="16"/>
          <w:lang w:val="es-US"/>
        </w:rPr>
        <w:t xml:space="preserve">, </w:t>
      </w:r>
      <w:r w:rsidR="001B0D46" w:rsidRPr="00E7771A">
        <w:rPr>
          <w:rFonts w:ascii="Cambria" w:hAnsi="Cambria"/>
          <w:color w:val="000000" w:themeColor="text1"/>
          <w:sz w:val="16"/>
          <w:szCs w:val="16"/>
          <w:lang w:val="es-US"/>
        </w:rPr>
        <w:t>[‘2020 Annual Report Health Cooperation PAHO/WHO in Venezuela’], February 9, 2021.</w:t>
      </w:r>
    </w:p>
  </w:footnote>
  <w:footnote w:id="257">
    <w:p w14:paraId="068849E1" w14:textId="6302EF2E"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El País, </w:t>
      </w:r>
      <w:hyperlink r:id="rId268" w:history="1">
        <w:r w:rsidRPr="00E7771A">
          <w:rPr>
            <w:rStyle w:val="Hyperlink"/>
            <w:rFonts w:ascii="Cambria" w:eastAsiaTheme="majorEastAsia" w:hAnsi="Cambria"/>
            <w:color w:val="000000" w:themeColor="text1"/>
            <w:sz w:val="16"/>
            <w:szCs w:val="16"/>
            <w:lang w:val="es-US"/>
          </w:rPr>
          <w:t>Gobierno y oposición logran un acuerdo para facilitar el acceso a las vacunas a Venezuela</w:t>
        </w:r>
      </w:hyperlink>
      <w:r w:rsidRPr="00E7771A">
        <w:rPr>
          <w:rFonts w:ascii="Cambria" w:hAnsi="Cambria"/>
          <w:color w:val="000000" w:themeColor="text1"/>
          <w:sz w:val="16"/>
          <w:szCs w:val="16"/>
          <w:lang w:val="es-US"/>
        </w:rPr>
        <w:t xml:space="preserve">, </w:t>
      </w:r>
      <w:r w:rsidR="001B0D46" w:rsidRPr="00E7771A">
        <w:rPr>
          <w:rFonts w:ascii="Cambria" w:hAnsi="Cambria"/>
          <w:color w:val="000000" w:themeColor="text1"/>
          <w:sz w:val="16"/>
          <w:szCs w:val="16"/>
          <w:lang w:val="es-US"/>
        </w:rPr>
        <w:t xml:space="preserve">[‘Government and opposition reach agreement to facilitate access to vaccines </w:t>
      </w:r>
      <w:r w:rsidR="006A2157" w:rsidRPr="00E7771A">
        <w:rPr>
          <w:rFonts w:ascii="Cambria" w:hAnsi="Cambria"/>
          <w:color w:val="000000" w:themeColor="text1"/>
          <w:sz w:val="16"/>
          <w:szCs w:val="16"/>
          <w:lang w:val="es-US"/>
        </w:rPr>
        <w:t xml:space="preserve">for Venezuela’], September </w:t>
      </w:r>
      <w:r w:rsidRPr="00E7771A">
        <w:rPr>
          <w:rFonts w:ascii="Cambria" w:hAnsi="Cambria"/>
          <w:color w:val="000000" w:themeColor="text1"/>
          <w:sz w:val="16"/>
          <w:szCs w:val="16"/>
          <w:lang w:val="es-US"/>
        </w:rPr>
        <w:t>6</w:t>
      </w:r>
      <w:r w:rsidR="006A2157"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58">
    <w:p w14:paraId="358702B9" w14:textId="5C0DAE7B"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Amnesty International, </w:t>
      </w:r>
      <w:hyperlink r:id="rId269" w:history="1">
        <w:r w:rsidRPr="00E7771A">
          <w:rPr>
            <w:rStyle w:val="Hyperlink"/>
            <w:rFonts w:ascii="Cambria" w:eastAsiaTheme="majorEastAsia" w:hAnsi="Cambria"/>
            <w:color w:val="000000" w:themeColor="text1"/>
            <w:sz w:val="16"/>
            <w:szCs w:val="16"/>
            <w:lang w:val="es-US"/>
          </w:rPr>
          <w:t>VACUNACIÓN DE PERSONAL DE SALUD DEBE SER PRIORIDAD EN VENEZUELA ANTE INCREMENTO DE MUERTES POR COVID- 19,</w:t>
        </w:r>
      </w:hyperlink>
      <w:r w:rsidRPr="00E7771A">
        <w:rPr>
          <w:rFonts w:ascii="Cambria" w:hAnsi="Cambria"/>
          <w:color w:val="000000" w:themeColor="text1"/>
          <w:sz w:val="16"/>
          <w:szCs w:val="16"/>
          <w:lang w:val="es-US"/>
        </w:rPr>
        <w:t xml:space="preserve"> </w:t>
      </w:r>
      <w:r w:rsidR="008671F5" w:rsidRPr="00E7771A">
        <w:rPr>
          <w:rFonts w:ascii="Cambria" w:hAnsi="Cambria"/>
          <w:color w:val="000000" w:themeColor="text1"/>
          <w:sz w:val="16"/>
          <w:szCs w:val="16"/>
          <w:lang w:val="es-US"/>
        </w:rPr>
        <w:t xml:space="preserve">[‘Vaccination of healthcare workers must be a priority in Venezuela in response to increased COVID-19 deaths’], September </w:t>
      </w:r>
      <w:r w:rsidRPr="00E7771A">
        <w:rPr>
          <w:rFonts w:ascii="Cambria" w:hAnsi="Cambria"/>
          <w:color w:val="000000" w:themeColor="text1"/>
          <w:sz w:val="16"/>
          <w:szCs w:val="16"/>
          <w:lang w:val="es-US"/>
        </w:rPr>
        <w:t>13</w:t>
      </w:r>
      <w:r w:rsidR="008671F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r w:rsidR="008671F5" w:rsidRPr="00E7771A">
        <w:rPr>
          <w:rFonts w:ascii="Cambria" w:hAnsi="Cambria"/>
          <w:color w:val="000000" w:themeColor="text1"/>
          <w:sz w:val="16"/>
          <w:szCs w:val="16"/>
          <w:lang w:val="es-US"/>
        </w:rPr>
        <w:t>Venezuelan Observatory on Social Conflict.</w:t>
      </w:r>
      <w:r w:rsidRPr="00E7771A">
        <w:rPr>
          <w:rFonts w:ascii="Cambria" w:hAnsi="Cambria"/>
          <w:color w:val="000000" w:themeColor="text1"/>
          <w:sz w:val="16"/>
          <w:szCs w:val="16"/>
          <w:lang w:val="es-US"/>
        </w:rPr>
        <w:t xml:space="preserve"> </w:t>
      </w:r>
      <w:hyperlink r:id="rId270" w:history="1">
        <w:r w:rsidRPr="009035C0">
          <w:rPr>
            <w:rStyle w:val="Hyperlink"/>
            <w:rFonts w:ascii="Cambria" w:eastAsiaTheme="majorEastAsia" w:hAnsi="Cambria"/>
            <w:color w:val="000000" w:themeColor="text1"/>
            <w:sz w:val="16"/>
            <w:szCs w:val="16"/>
          </w:rPr>
          <w:t>Protestas en Venezuela 1er trimestre 2020 vs. 2021</w:t>
        </w:r>
      </w:hyperlink>
      <w:r w:rsidRPr="009035C0">
        <w:rPr>
          <w:rFonts w:ascii="Cambria" w:hAnsi="Cambria"/>
          <w:color w:val="000000" w:themeColor="text1"/>
          <w:sz w:val="16"/>
          <w:szCs w:val="16"/>
        </w:rPr>
        <w:t>,</w:t>
      </w:r>
      <w:r w:rsidR="008671F5">
        <w:rPr>
          <w:rFonts w:ascii="Cambria" w:hAnsi="Cambria"/>
          <w:color w:val="000000" w:themeColor="text1"/>
          <w:sz w:val="16"/>
          <w:szCs w:val="16"/>
        </w:rPr>
        <w:t xml:space="preserve"> [‘Protests in Venezu</w:t>
      </w:r>
      <w:r w:rsidR="00841B2E">
        <w:rPr>
          <w:rFonts w:ascii="Cambria" w:hAnsi="Cambria"/>
          <w:color w:val="000000" w:themeColor="text1"/>
          <w:sz w:val="16"/>
          <w:szCs w:val="16"/>
        </w:rPr>
        <w:t>ela</w:t>
      </w:r>
      <w:r w:rsidR="008671F5">
        <w:rPr>
          <w:rFonts w:ascii="Cambria" w:hAnsi="Cambria"/>
          <w:color w:val="000000" w:themeColor="text1"/>
          <w:sz w:val="16"/>
          <w:szCs w:val="16"/>
        </w:rPr>
        <w:t xml:space="preserve"> first half of 2020 vs. 2021’], April</w:t>
      </w:r>
      <w:r w:rsidRPr="009035C0">
        <w:rPr>
          <w:rFonts w:ascii="Cambria" w:hAnsi="Cambria"/>
          <w:color w:val="000000" w:themeColor="text1"/>
          <w:sz w:val="16"/>
          <w:szCs w:val="16"/>
        </w:rPr>
        <w:t xml:space="preserve"> 22</w:t>
      </w:r>
      <w:r w:rsidR="008671F5">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259">
    <w:p w14:paraId="17803FB6" w14:textId="15D6201B"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Amn</w:t>
      </w:r>
      <w:r w:rsidR="008671F5">
        <w:rPr>
          <w:rFonts w:ascii="Cambria" w:hAnsi="Cambria"/>
          <w:color w:val="000000" w:themeColor="text1"/>
          <w:sz w:val="16"/>
          <w:szCs w:val="16"/>
        </w:rPr>
        <w:t xml:space="preserve">esty International. Vaccines in the Americas, March 2021;Amnesty </w:t>
      </w:r>
      <w:r w:rsidRPr="009035C0">
        <w:rPr>
          <w:rFonts w:ascii="Cambria" w:hAnsi="Cambria"/>
          <w:color w:val="000000" w:themeColor="text1"/>
          <w:sz w:val="16"/>
          <w:szCs w:val="16"/>
        </w:rPr>
        <w:t xml:space="preserve"> International, </w:t>
      </w:r>
      <w:hyperlink r:id="rId271" w:history="1">
        <w:r w:rsidRPr="009035C0">
          <w:rPr>
            <w:rStyle w:val="Hyperlink"/>
            <w:rFonts w:ascii="Cambria" w:eastAsiaTheme="majorEastAsia" w:hAnsi="Cambria"/>
            <w:color w:val="000000" w:themeColor="text1"/>
            <w:sz w:val="16"/>
            <w:szCs w:val="16"/>
          </w:rPr>
          <w:t>VACUNACIÓN DE PERSONAL DE SALUD DEBE SER PRIORIDAD EN VENEZUELA ANTE INCREMENTO DE MUERTES POR COVID- 19,</w:t>
        </w:r>
      </w:hyperlink>
      <w:r w:rsidRPr="009035C0">
        <w:rPr>
          <w:rFonts w:ascii="Cambria" w:hAnsi="Cambria"/>
          <w:color w:val="000000" w:themeColor="text1"/>
          <w:sz w:val="16"/>
          <w:szCs w:val="16"/>
        </w:rPr>
        <w:t xml:space="preserve"> </w:t>
      </w:r>
      <w:r w:rsidR="008671F5">
        <w:rPr>
          <w:rFonts w:ascii="Cambria" w:hAnsi="Cambria"/>
          <w:color w:val="000000" w:themeColor="text1"/>
          <w:sz w:val="16"/>
          <w:szCs w:val="16"/>
        </w:rPr>
        <w:t xml:space="preserve">[‘Vaccination of healthcare workers must be a priority in Venezuela in response to increased COVID-19 deaths’], September </w:t>
      </w:r>
      <w:r w:rsidR="008671F5" w:rsidRPr="009035C0">
        <w:rPr>
          <w:rFonts w:ascii="Cambria" w:hAnsi="Cambria"/>
          <w:color w:val="000000" w:themeColor="text1"/>
          <w:sz w:val="16"/>
          <w:szCs w:val="16"/>
        </w:rPr>
        <w:t>13</w:t>
      </w:r>
      <w:r w:rsidR="008671F5">
        <w:rPr>
          <w:rFonts w:ascii="Cambria" w:hAnsi="Cambria"/>
          <w:color w:val="000000" w:themeColor="text1"/>
          <w:sz w:val="16"/>
          <w:szCs w:val="16"/>
        </w:rPr>
        <w:t>,</w:t>
      </w:r>
      <w:r w:rsidR="008671F5" w:rsidRPr="009035C0">
        <w:rPr>
          <w:rFonts w:ascii="Cambria" w:hAnsi="Cambria"/>
          <w:color w:val="000000" w:themeColor="text1"/>
          <w:sz w:val="16"/>
          <w:szCs w:val="16"/>
        </w:rPr>
        <w:t xml:space="preserve"> 2021</w:t>
      </w:r>
      <w:r w:rsidR="008671F5">
        <w:rPr>
          <w:rFonts w:ascii="Cambria" w:hAnsi="Cambria"/>
          <w:color w:val="000000" w:themeColor="text1"/>
          <w:sz w:val="16"/>
          <w:szCs w:val="16"/>
        </w:rPr>
        <w:t>.</w:t>
      </w:r>
    </w:p>
  </w:footnote>
  <w:footnote w:id="260">
    <w:p w14:paraId="2E18EE0D" w14:textId="48F2BB62"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Infobae. </w:t>
      </w:r>
      <w:hyperlink r:id="rId272" w:history="1">
        <w:r w:rsidRPr="00E7771A">
          <w:rPr>
            <w:rStyle w:val="Hyperlink"/>
            <w:rFonts w:ascii="Cambria" w:eastAsiaTheme="majorEastAsia" w:hAnsi="Cambria"/>
            <w:color w:val="000000" w:themeColor="text1"/>
            <w:sz w:val="16"/>
            <w:szCs w:val="16"/>
            <w:lang w:val="es-US"/>
          </w:rPr>
          <w:t>Más de 600 trabajadores sanitarios murieron en Venezuela por coronavirus</w:t>
        </w:r>
      </w:hyperlink>
      <w:r w:rsidRPr="00E7771A">
        <w:rPr>
          <w:rFonts w:ascii="Cambria" w:hAnsi="Cambria"/>
          <w:color w:val="000000" w:themeColor="text1"/>
          <w:sz w:val="16"/>
          <w:szCs w:val="16"/>
          <w:lang w:val="es-US"/>
        </w:rPr>
        <w:t xml:space="preserve">, </w:t>
      </w:r>
      <w:r w:rsidR="008F7EBF" w:rsidRPr="00E7771A">
        <w:rPr>
          <w:rFonts w:ascii="Cambria" w:hAnsi="Cambria"/>
          <w:color w:val="000000" w:themeColor="text1"/>
          <w:sz w:val="16"/>
          <w:szCs w:val="16"/>
          <w:lang w:val="es-US"/>
        </w:rPr>
        <w:t xml:space="preserve">[‘More than 600 healthcare workers died in Venezuela from coronavirus’], June </w:t>
      </w:r>
      <w:r w:rsidRPr="00E7771A">
        <w:rPr>
          <w:rFonts w:ascii="Cambria" w:hAnsi="Cambria"/>
          <w:color w:val="000000" w:themeColor="text1"/>
          <w:sz w:val="16"/>
          <w:szCs w:val="16"/>
          <w:lang w:val="es-US"/>
        </w:rPr>
        <w:t>1</w:t>
      </w:r>
      <w:r w:rsidR="008F7EBF"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61">
    <w:p w14:paraId="4DB458BE" w14:textId="0D9B745C" w:rsidR="00D24896" w:rsidRPr="00E7771A" w:rsidRDefault="00D24896"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France24, </w:t>
      </w:r>
      <w:hyperlink r:id="rId273" w:history="1">
        <w:r w:rsidRPr="00E7771A">
          <w:rPr>
            <w:rStyle w:val="Hyperlink"/>
            <w:rFonts w:ascii="Cambria" w:eastAsiaTheme="majorEastAsia" w:hAnsi="Cambria"/>
            <w:color w:val="000000" w:themeColor="text1"/>
            <w:sz w:val="16"/>
            <w:szCs w:val="16"/>
            <w:lang w:val="es-US"/>
          </w:rPr>
          <w:t>Sin rastros de la segunda dosis de la vacuna rusa Sputnik V en Venezuela</w:t>
        </w:r>
      </w:hyperlink>
      <w:r w:rsidR="00003746" w:rsidRPr="00E7771A">
        <w:rPr>
          <w:rStyle w:val="Hyperlink"/>
          <w:rFonts w:ascii="Cambria" w:eastAsiaTheme="majorEastAsia" w:hAnsi="Cambria"/>
          <w:color w:val="000000" w:themeColor="text1"/>
          <w:sz w:val="16"/>
          <w:szCs w:val="16"/>
          <w:lang w:val="es-US"/>
        </w:rPr>
        <w:t xml:space="preserve"> [‘Without a trace of second dose of Russian vaccine Sputnik V in Venezuela’]</w:t>
      </w:r>
      <w:r w:rsidRPr="00E7771A">
        <w:rPr>
          <w:rFonts w:ascii="Cambria" w:hAnsi="Cambria"/>
          <w:color w:val="000000" w:themeColor="text1"/>
          <w:sz w:val="16"/>
          <w:szCs w:val="16"/>
          <w:lang w:val="es-US"/>
        </w:rPr>
        <w:t xml:space="preserve">, </w:t>
      </w:r>
      <w:r w:rsidR="00003746" w:rsidRPr="00E7771A">
        <w:rPr>
          <w:rFonts w:ascii="Cambria" w:hAnsi="Cambria"/>
          <w:color w:val="000000" w:themeColor="text1"/>
          <w:sz w:val="16"/>
          <w:szCs w:val="16"/>
          <w:lang w:val="es-US"/>
        </w:rPr>
        <w:t>August 2</w:t>
      </w:r>
      <w:r w:rsidRPr="00E7771A">
        <w:rPr>
          <w:rFonts w:ascii="Cambria" w:hAnsi="Cambria"/>
          <w:color w:val="000000" w:themeColor="text1"/>
          <w:sz w:val="16"/>
          <w:szCs w:val="16"/>
          <w:lang w:val="es-US"/>
        </w:rPr>
        <w:t>0</w:t>
      </w:r>
      <w:r w:rsidR="00003746"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62">
    <w:p w14:paraId="1ABD49D1" w14:textId="6A828501"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Transparen</w:t>
      </w:r>
      <w:r w:rsidR="00C14D9D" w:rsidRPr="00E7771A">
        <w:rPr>
          <w:rFonts w:ascii="Cambria" w:hAnsi="Cambria"/>
          <w:color w:val="000000" w:themeColor="text1"/>
          <w:sz w:val="16"/>
          <w:szCs w:val="16"/>
          <w:lang w:val="es-US"/>
        </w:rPr>
        <w:t>cia</w:t>
      </w:r>
      <w:r w:rsidRPr="00E7771A">
        <w:rPr>
          <w:rFonts w:ascii="Cambria" w:hAnsi="Cambria"/>
          <w:color w:val="000000" w:themeColor="text1"/>
          <w:sz w:val="16"/>
          <w:szCs w:val="16"/>
          <w:lang w:val="es-US"/>
        </w:rPr>
        <w:t xml:space="preserve"> Venezuela, </w:t>
      </w:r>
      <w:hyperlink r:id="rId274" w:history="1">
        <w:r w:rsidRPr="00E7771A">
          <w:rPr>
            <w:rStyle w:val="Hyperlink"/>
            <w:rFonts w:ascii="Cambria" w:eastAsiaTheme="majorEastAsia" w:hAnsi="Cambria"/>
            <w:color w:val="000000" w:themeColor="text1"/>
            <w:sz w:val="16"/>
            <w:szCs w:val="16"/>
            <w:lang w:val="es-US"/>
          </w:rPr>
          <w:t>EN VENEZUELA, LA OPACIDAD PRETENDE NEGAR LA MAGNITUD DE LA CRISIS</w:t>
        </w:r>
      </w:hyperlink>
      <w:r w:rsidRPr="00E7771A">
        <w:rPr>
          <w:rFonts w:ascii="Cambria" w:hAnsi="Cambria"/>
          <w:color w:val="000000" w:themeColor="text1"/>
          <w:sz w:val="16"/>
          <w:szCs w:val="16"/>
          <w:lang w:val="es-US"/>
        </w:rPr>
        <w:t xml:space="preserve">, </w:t>
      </w:r>
      <w:r w:rsidR="00C14D9D" w:rsidRPr="00E7771A">
        <w:rPr>
          <w:rFonts w:ascii="Cambria" w:hAnsi="Cambria"/>
          <w:color w:val="000000" w:themeColor="text1"/>
          <w:sz w:val="16"/>
          <w:szCs w:val="16"/>
          <w:lang w:val="es-US"/>
        </w:rPr>
        <w:t xml:space="preserve">[‘In Venezuela, opacity is meant to deny scope of the crisis’], September </w:t>
      </w:r>
      <w:r w:rsidRPr="00E7771A">
        <w:rPr>
          <w:rFonts w:ascii="Cambria" w:hAnsi="Cambria"/>
          <w:color w:val="000000" w:themeColor="text1"/>
          <w:sz w:val="16"/>
          <w:szCs w:val="16"/>
          <w:lang w:val="es-US"/>
        </w:rPr>
        <w:t>28</w:t>
      </w:r>
      <w:r w:rsidR="00C14D9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63">
    <w:p w14:paraId="6AC593C4" w14:textId="2456C6DB"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Amnesty International, </w:t>
      </w:r>
      <w:hyperlink r:id="rId275" w:history="1">
        <w:r w:rsidRPr="00E7771A">
          <w:rPr>
            <w:rStyle w:val="Hyperlink"/>
            <w:rFonts w:ascii="Cambria" w:eastAsiaTheme="majorEastAsia" w:hAnsi="Cambria"/>
            <w:color w:val="000000" w:themeColor="text1"/>
            <w:sz w:val="16"/>
            <w:szCs w:val="16"/>
            <w:lang w:val="es-US"/>
          </w:rPr>
          <w:t>VACUNACIÓN DE PERSONAL DE SALUD DEBE SER PRIORIDAD EN VENEZUELA ANTE INCREMENTO DE MUERTES POR COVID- 19,</w:t>
        </w:r>
      </w:hyperlink>
      <w:r w:rsidRPr="00E7771A">
        <w:rPr>
          <w:rFonts w:ascii="Cambria" w:hAnsi="Cambria"/>
          <w:color w:val="000000" w:themeColor="text1"/>
          <w:sz w:val="16"/>
          <w:szCs w:val="16"/>
          <w:lang w:val="es-US"/>
        </w:rPr>
        <w:t xml:space="preserve"> </w:t>
      </w:r>
      <w:r w:rsidR="00F36576" w:rsidRPr="00E7771A">
        <w:rPr>
          <w:rFonts w:ascii="Cambria" w:hAnsi="Cambria"/>
          <w:color w:val="000000" w:themeColor="text1"/>
          <w:sz w:val="16"/>
          <w:szCs w:val="16"/>
          <w:lang w:val="es-US"/>
        </w:rPr>
        <w:t>[‘Vaccination of healthcare workers must be a priority in Venezuela in response to increased COVID-19 deaths’], September 13, 2021.</w:t>
      </w:r>
    </w:p>
  </w:footnote>
  <w:footnote w:id="264">
    <w:p w14:paraId="38C2B2ED" w14:textId="30178445"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Amnesty International, </w:t>
      </w:r>
      <w:hyperlink r:id="rId276" w:history="1">
        <w:r w:rsidRPr="00E7771A">
          <w:rPr>
            <w:rStyle w:val="Hyperlink"/>
            <w:rFonts w:ascii="Cambria" w:eastAsiaTheme="majorEastAsia" w:hAnsi="Cambria"/>
            <w:color w:val="000000" w:themeColor="text1"/>
            <w:sz w:val="16"/>
            <w:szCs w:val="16"/>
            <w:lang w:val="es-US"/>
          </w:rPr>
          <w:t>VACUNACIÓN DE PERSONAL DE SALUD DEBE SER PRIORIDAD EN VENEZUELA ANTE INCREMENTO DE MUERTES POR COVID- 19,</w:t>
        </w:r>
      </w:hyperlink>
      <w:r w:rsidRPr="00E7771A">
        <w:rPr>
          <w:rFonts w:ascii="Cambria" w:hAnsi="Cambria"/>
          <w:color w:val="000000" w:themeColor="text1"/>
          <w:sz w:val="16"/>
          <w:szCs w:val="16"/>
          <w:lang w:val="es-US"/>
        </w:rPr>
        <w:t xml:space="preserve"> </w:t>
      </w:r>
      <w:r w:rsidR="00F36576" w:rsidRPr="00E7771A">
        <w:rPr>
          <w:rFonts w:ascii="Cambria" w:hAnsi="Cambria"/>
          <w:color w:val="000000" w:themeColor="text1"/>
          <w:sz w:val="16"/>
          <w:szCs w:val="16"/>
          <w:lang w:val="es-US"/>
        </w:rPr>
        <w:t>[‘Vaccination of healthcare workers must be a priority in Venezuela in response to increased COVID-19 deaths’], September 13, 2021</w:t>
      </w:r>
      <w:r w:rsidRPr="00E7771A">
        <w:rPr>
          <w:rFonts w:ascii="Cambria" w:hAnsi="Cambria"/>
          <w:color w:val="000000" w:themeColor="text1"/>
          <w:sz w:val="16"/>
          <w:szCs w:val="16"/>
          <w:lang w:val="es-US"/>
        </w:rPr>
        <w:t xml:space="preserve">; CNN, </w:t>
      </w:r>
      <w:hyperlink r:id="rId277" w:history="1">
        <w:r w:rsidRPr="00E7771A">
          <w:rPr>
            <w:rStyle w:val="Hyperlink"/>
            <w:rFonts w:ascii="Cambria" w:eastAsiaTheme="majorEastAsia" w:hAnsi="Cambria"/>
            <w:color w:val="000000" w:themeColor="text1"/>
            <w:sz w:val="16"/>
            <w:szCs w:val="16"/>
            <w:lang w:val="es-US"/>
          </w:rPr>
          <w:t>¿Cómo el plan de vacunación en Venezuela beneficia a los partidarios de Maduro?</w:t>
        </w:r>
      </w:hyperlink>
      <w:r w:rsidRPr="00E7771A">
        <w:rPr>
          <w:rFonts w:ascii="Cambria" w:hAnsi="Cambria"/>
          <w:color w:val="000000" w:themeColor="text1"/>
          <w:sz w:val="16"/>
          <w:szCs w:val="16"/>
          <w:lang w:val="es-US"/>
        </w:rPr>
        <w:t xml:space="preserve">, </w:t>
      </w:r>
      <w:r w:rsidR="00DE0261" w:rsidRPr="00E7771A">
        <w:rPr>
          <w:rFonts w:ascii="Cambria" w:hAnsi="Cambria"/>
          <w:color w:val="000000" w:themeColor="text1"/>
          <w:sz w:val="16"/>
          <w:szCs w:val="16"/>
          <w:lang w:val="es-US"/>
        </w:rPr>
        <w:t>[‘</w:t>
      </w:r>
      <w:r w:rsidR="00A2016C" w:rsidRPr="00E7771A">
        <w:rPr>
          <w:rFonts w:ascii="Cambria" w:hAnsi="Cambria"/>
          <w:color w:val="000000" w:themeColor="text1"/>
          <w:sz w:val="16"/>
          <w:szCs w:val="16"/>
          <w:lang w:val="es-US"/>
        </w:rPr>
        <w:t xml:space="preserve">How the vaccination plan in Venezuela benefits Maduro’s supporters’], February </w:t>
      </w:r>
      <w:r w:rsidRPr="00E7771A">
        <w:rPr>
          <w:rFonts w:ascii="Cambria" w:hAnsi="Cambria"/>
          <w:color w:val="000000" w:themeColor="text1"/>
          <w:sz w:val="16"/>
          <w:szCs w:val="16"/>
          <w:lang w:val="es-US"/>
        </w:rPr>
        <w:t>26</w:t>
      </w:r>
      <w:r w:rsidR="00A2016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Efecto Cocuyo, </w:t>
      </w:r>
      <w:hyperlink r:id="rId278" w:history="1">
        <w:r w:rsidRPr="00E7771A">
          <w:rPr>
            <w:rStyle w:val="Hyperlink"/>
            <w:rFonts w:ascii="Cambria" w:eastAsiaTheme="majorEastAsia" w:hAnsi="Cambria"/>
            <w:color w:val="000000" w:themeColor="text1"/>
            <w:sz w:val="16"/>
            <w:szCs w:val="16"/>
            <w:lang w:val="es-US"/>
          </w:rPr>
          <w:t>Exministro Oletta: Es inaceptable que vacunen primero a diputados que a adultos mayores</w:t>
        </w:r>
      </w:hyperlink>
      <w:r w:rsidRPr="00E7771A">
        <w:rPr>
          <w:rFonts w:ascii="Cambria" w:hAnsi="Cambria"/>
          <w:color w:val="000000" w:themeColor="text1"/>
          <w:sz w:val="16"/>
          <w:szCs w:val="16"/>
          <w:lang w:val="es-US"/>
        </w:rPr>
        <w:t xml:space="preserve">, </w:t>
      </w:r>
      <w:r w:rsidR="0091581C" w:rsidRPr="00E7771A">
        <w:rPr>
          <w:rFonts w:ascii="Cambria" w:hAnsi="Cambria"/>
          <w:color w:val="000000" w:themeColor="text1"/>
          <w:sz w:val="16"/>
          <w:szCs w:val="16"/>
          <w:lang w:val="es-US"/>
        </w:rPr>
        <w:t xml:space="preserve">[‘Former Minister Oletta: It is unacceptable to vaccinate deputies before older adults’], February </w:t>
      </w:r>
      <w:r w:rsidRPr="00E7771A">
        <w:rPr>
          <w:rFonts w:ascii="Cambria" w:hAnsi="Cambria"/>
          <w:color w:val="000000" w:themeColor="text1"/>
          <w:sz w:val="16"/>
          <w:szCs w:val="16"/>
          <w:lang w:val="es-US"/>
        </w:rPr>
        <w:t>24</w:t>
      </w:r>
      <w:r w:rsidR="0091581C"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65">
    <w:p w14:paraId="2056F728" w14:textId="4B7C9169"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El Nacional, </w:t>
      </w:r>
      <w:hyperlink r:id="rId279" w:history="1">
        <w:r w:rsidRPr="00E7771A">
          <w:rPr>
            <w:rStyle w:val="Hyperlink"/>
            <w:rFonts w:ascii="Cambria" w:eastAsiaTheme="majorEastAsia" w:hAnsi="Cambria"/>
            <w:color w:val="000000" w:themeColor="text1"/>
            <w:sz w:val="16"/>
            <w:szCs w:val="16"/>
            <w:lang w:val="es-US"/>
          </w:rPr>
          <w:t>Por no tener carnet de la patria: a trabajadores de la salud en Carabobo les negaron las vacunas anticovid</w:t>
        </w:r>
      </w:hyperlink>
      <w:r w:rsidRPr="00E7771A">
        <w:rPr>
          <w:rFonts w:ascii="Cambria" w:hAnsi="Cambria"/>
          <w:color w:val="000000" w:themeColor="text1"/>
          <w:sz w:val="16"/>
          <w:szCs w:val="16"/>
          <w:lang w:val="es-US"/>
        </w:rPr>
        <w:t xml:space="preserve">, </w:t>
      </w:r>
      <w:r w:rsidR="00DB6114" w:rsidRPr="00E7771A">
        <w:rPr>
          <w:rFonts w:ascii="Cambria" w:hAnsi="Cambria"/>
          <w:color w:val="000000" w:themeColor="text1"/>
          <w:sz w:val="16"/>
          <w:szCs w:val="16"/>
          <w:lang w:val="es-US"/>
        </w:rPr>
        <w:t xml:space="preserve">[‘anti-covid </w:t>
      </w:r>
      <w:r w:rsidR="00437CF2" w:rsidRPr="00E7771A">
        <w:rPr>
          <w:rFonts w:ascii="Cambria" w:hAnsi="Cambria"/>
          <w:color w:val="000000" w:themeColor="text1"/>
          <w:sz w:val="16"/>
          <w:szCs w:val="16"/>
          <w:lang w:val="es-US"/>
        </w:rPr>
        <w:t>v</w:t>
      </w:r>
      <w:r w:rsidR="00DB6114" w:rsidRPr="00E7771A">
        <w:rPr>
          <w:rFonts w:ascii="Cambria" w:hAnsi="Cambria"/>
          <w:color w:val="000000" w:themeColor="text1"/>
          <w:sz w:val="16"/>
          <w:szCs w:val="16"/>
          <w:lang w:val="es-US"/>
        </w:rPr>
        <w:t xml:space="preserve">accines denied to healthcare workers in Carabobo because they didn’t have the (pro-government) Patria card’], May </w:t>
      </w:r>
      <w:r w:rsidRPr="00E7771A">
        <w:rPr>
          <w:rFonts w:ascii="Cambria" w:hAnsi="Cambria"/>
          <w:color w:val="000000" w:themeColor="text1"/>
          <w:sz w:val="16"/>
          <w:szCs w:val="16"/>
          <w:lang w:val="es-US"/>
        </w:rPr>
        <w:t>12</w:t>
      </w:r>
      <w:r w:rsidR="00DB6114"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Amnesty International, </w:t>
      </w:r>
      <w:hyperlink r:id="rId280" w:history="1">
        <w:r w:rsidRPr="00E7771A">
          <w:rPr>
            <w:rStyle w:val="Hyperlink"/>
            <w:rFonts w:ascii="Cambria" w:eastAsiaTheme="majorEastAsia" w:hAnsi="Cambria"/>
            <w:color w:val="000000" w:themeColor="text1"/>
            <w:sz w:val="16"/>
            <w:szCs w:val="16"/>
            <w:lang w:val="es-US"/>
          </w:rPr>
          <w:t>VACUNACIÓN DE PERSONAL DE SALUD DEBE SER PRIORIDAD EN VENEZUELA ANTE INCREMENTO DE MUERTES POR COVID- 19,</w:t>
        </w:r>
      </w:hyperlink>
      <w:r w:rsidRPr="00E7771A">
        <w:rPr>
          <w:rFonts w:ascii="Cambria" w:hAnsi="Cambria"/>
          <w:color w:val="000000" w:themeColor="text1"/>
          <w:sz w:val="16"/>
          <w:szCs w:val="16"/>
          <w:lang w:val="es-US"/>
        </w:rPr>
        <w:t xml:space="preserve"> </w:t>
      </w:r>
      <w:r w:rsidR="00DB6114" w:rsidRPr="00E7771A">
        <w:rPr>
          <w:rFonts w:ascii="Cambria" w:hAnsi="Cambria"/>
          <w:color w:val="000000" w:themeColor="text1"/>
          <w:sz w:val="16"/>
          <w:szCs w:val="16"/>
          <w:lang w:val="es-US"/>
        </w:rPr>
        <w:t>[‘Vaccination of healthcare workers must be a priority in Venezuela in response to increased COVID-19 deaths’], September 13, 2021.</w:t>
      </w:r>
    </w:p>
  </w:footnote>
  <w:footnote w:id="266">
    <w:p w14:paraId="435470D4" w14:textId="647F8ADD"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1F038B" w:rsidRPr="00E7771A">
        <w:rPr>
          <w:rFonts w:ascii="Cambria" w:hAnsi="Cambria"/>
          <w:color w:val="000000" w:themeColor="text1"/>
          <w:sz w:val="16"/>
          <w:szCs w:val="16"/>
          <w:lang w:val="es-US"/>
        </w:rPr>
        <w:t>PAHO</w:t>
      </w:r>
      <w:r w:rsidRPr="00E7771A">
        <w:rPr>
          <w:rFonts w:ascii="Cambria" w:hAnsi="Cambria"/>
          <w:color w:val="000000" w:themeColor="text1"/>
          <w:sz w:val="16"/>
          <w:szCs w:val="16"/>
          <w:lang w:val="es-US"/>
        </w:rPr>
        <w:t xml:space="preserve">, </w:t>
      </w:r>
      <w:hyperlink r:id="rId281" w:history="1">
        <w:r w:rsidRPr="00E7771A">
          <w:rPr>
            <w:rStyle w:val="Hyperlink"/>
            <w:rFonts w:ascii="Cambria" w:eastAsiaTheme="majorEastAsia" w:hAnsi="Cambria"/>
            <w:color w:val="000000" w:themeColor="text1"/>
            <w:sz w:val="16"/>
            <w:szCs w:val="16"/>
            <w:lang w:val="es-US"/>
          </w:rPr>
          <w:t>OPS aumenta la adquisición de vacunas COVID-19 para las Américas</w:t>
        </w:r>
      </w:hyperlink>
      <w:r w:rsidRPr="00E7771A">
        <w:rPr>
          <w:rFonts w:ascii="Cambria" w:hAnsi="Cambria"/>
          <w:color w:val="000000" w:themeColor="text1"/>
          <w:sz w:val="16"/>
          <w:szCs w:val="16"/>
          <w:lang w:val="es-US"/>
        </w:rPr>
        <w:t xml:space="preserve">, </w:t>
      </w:r>
      <w:r w:rsidR="001F038B" w:rsidRPr="00E7771A">
        <w:rPr>
          <w:rFonts w:ascii="Cambria" w:hAnsi="Cambria"/>
          <w:color w:val="000000" w:themeColor="text1"/>
          <w:sz w:val="16"/>
          <w:szCs w:val="16"/>
          <w:lang w:val="es-US"/>
        </w:rPr>
        <w:t xml:space="preserve">September </w:t>
      </w:r>
      <w:r w:rsidRPr="00E7771A">
        <w:rPr>
          <w:rFonts w:ascii="Cambria" w:hAnsi="Cambria"/>
          <w:color w:val="000000" w:themeColor="text1"/>
          <w:sz w:val="16"/>
          <w:szCs w:val="16"/>
          <w:lang w:val="es-US"/>
        </w:rPr>
        <w:t>29</w:t>
      </w:r>
      <w:r w:rsidR="001F038B"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67">
    <w:p w14:paraId="197950CE" w14:textId="04E35711"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Amnesty International, </w:t>
      </w:r>
      <w:hyperlink r:id="rId282" w:history="1">
        <w:r w:rsidRPr="00E7771A">
          <w:rPr>
            <w:rStyle w:val="Hyperlink"/>
            <w:rFonts w:ascii="Cambria" w:eastAsiaTheme="majorEastAsia" w:hAnsi="Cambria"/>
            <w:color w:val="000000" w:themeColor="text1"/>
            <w:sz w:val="16"/>
            <w:szCs w:val="16"/>
            <w:lang w:val="es-US"/>
          </w:rPr>
          <w:t>VACUNACIÓN DE PERSONAL DE SALUD DEBE SER PRIORIDAD EN VENEZUELA ANTE INCREMENTO DE MUERTES POR COVID- 19,</w:t>
        </w:r>
      </w:hyperlink>
      <w:r w:rsidRPr="00E7771A">
        <w:rPr>
          <w:rFonts w:ascii="Cambria" w:hAnsi="Cambria"/>
          <w:color w:val="000000" w:themeColor="text1"/>
          <w:sz w:val="16"/>
          <w:szCs w:val="16"/>
          <w:lang w:val="es-US"/>
        </w:rPr>
        <w:t xml:space="preserve"> </w:t>
      </w:r>
      <w:r w:rsidR="007C00D6" w:rsidRPr="00E7771A">
        <w:rPr>
          <w:rFonts w:ascii="Cambria" w:hAnsi="Cambria"/>
          <w:color w:val="000000" w:themeColor="text1"/>
          <w:sz w:val="16"/>
          <w:szCs w:val="16"/>
          <w:lang w:val="es-US"/>
        </w:rPr>
        <w:t>[‘Vaccination of healthcare workers must be a priority in Venezuela in response to increased COVID-19 deaths’], September 13, 2021.</w:t>
      </w:r>
    </w:p>
  </w:footnote>
  <w:footnote w:id="268">
    <w:p w14:paraId="5E1DB5DE" w14:textId="208FEC90"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Amnesty International, </w:t>
      </w:r>
      <w:hyperlink r:id="rId283" w:history="1">
        <w:r w:rsidRPr="00E7771A">
          <w:rPr>
            <w:rStyle w:val="Hyperlink"/>
            <w:rFonts w:ascii="Cambria" w:eastAsiaTheme="majorEastAsia" w:hAnsi="Cambria"/>
            <w:color w:val="000000" w:themeColor="text1"/>
            <w:sz w:val="16"/>
            <w:szCs w:val="16"/>
            <w:lang w:val="es-US"/>
          </w:rPr>
          <w:t>VACUNACIÓN DE PERSONAL DE SALUD DEBE SER PRIORIDAD EN VENEZUELA ANTE INCREMENTO DE MUERTES POR COVID- 19,</w:t>
        </w:r>
      </w:hyperlink>
      <w:r w:rsidRPr="00E7771A">
        <w:rPr>
          <w:rFonts w:ascii="Cambria" w:hAnsi="Cambria"/>
          <w:color w:val="000000" w:themeColor="text1"/>
          <w:sz w:val="16"/>
          <w:szCs w:val="16"/>
          <w:lang w:val="es-US"/>
        </w:rPr>
        <w:t xml:space="preserve"> </w:t>
      </w:r>
      <w:r w:rsidR="007C00D6" w:rsidRPr="00E7771A">
        <w:rPr>
          <w:rFonts w:ascii="Cambria" w:hAnsi="Cambria"/>
          <w:color w:val="000000" w:themeColor="text1"/>
          <w:sz w:val="16"/>
          <w:szCs w:val="16"/>
          <w:lang w:val="es-US"/>
        </w:rPr>
        <w:t>[‘Vaccination of healthcare workers must be a priority in Venezuela in response to increased COVID-19 deaths’], September 13, 2021.</w:t>
      </w:r>
    </w:p>
  </w:footnote>
  <w:footnote w:id="269">
    <w:p w14:paraId="34D6E6FB" w14:textId="1748134E"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Runrunes, </w:t>
      </w:r>
      <w:hyperlink r:id="rId284" w:history="1">
        <w:r w:rsidRPr="00E7771A">
          <w:rPr>
            <w:rStyle w:val="Hyperlink"/>
            <w:rFonts w:ascii="Cambria" w:eastAsiaTheme="majorEastAsia" w:hAnsi="Cambria"/>
            <w:color w:val="000000" w:themeColor="text1"/>
            <w:sz w:val="16"/>
            <w:szCs w:val="16"/>
            <w:lang w:val="es-US"/>
          </w:rPr>
          <w:t>INFOGRAFÍA | Criminalización y violencia contra los trabajadores de la salud: Un mal que se cronifica</w:t>
        </w:r>
      </w:hyperlink>
      <w:r w:rsidRPr="00E7771A">
        <w:rPr>
          <w:rFonts w:ascii="Cambria" w:hAnsi="Cambria"/>
          <w:color w:val="000000" w:themeColor="text1"/>
          <w:sz w:val="16"/>
          <w:szCs w:val="16"/>
          <w:lang w:val="es-US"/>
        </w:rPr>
        <w:t xml:space="preserve">, </w:t>
      </w:r>
      <w:r w:rsidR="007C00D6" w:rsidRPr="00E7771A">
        <w:rPr>
          <w:rFonts w:ascii="Cambria" w:hAnsi="Cambria"/>
          <w:color w:val="000000" w:themeColor="text1"/>
          <w:sz w:val="16"/>
          <w:szCs w:val="16"/>
          <w:lang w:val="es-US"/>
        </w:rPr>
        <w:t>[‘</w:t>
      </w:r>
      <w:r w:rsidR="005B72C3" w:rsidRPr="00E7771A">
        <w:rPr>
          <w:rFonts w:ascii="Cambria" w:hAnsi="Cambria"/>
          <w:color w:val="000000" w:themeColor="text1"/>
          <w:sz w:val="16"/>
          <w:szCs w:val="16"/>
          <w:lang w:val="es-US"/>
        </w:rPr>
        <w:t>Criminalization and violence against health</w:t>
      </w:r>
      <w:r w:rsidR="00437CF2" w:rsidRPr="00E7771A">
        <w:rPr>
          <w:rFonts w:ascii="Cambria" w:hAnsi="Cambria"/>
          <w:color w:val="000000" w:themeColor="text1"/>
          <w:sz w:val="16"/>
          <w:szCs w:val="16"/>
          <w:lang w:val="es-US"/>
        </w:rPr>
        <w:t>care</w:t>
      </w:r>
      <w:r w:rsidR="005B72C3" w:rsidRPr="00E7771A">
        <w:rPr>
          <w:rFonts w:ascii="Cambria" w:hAnsi="Cambria"/>
          <w:color w:val="000000" w:themeColor="text1"/>
          <w:sz w:val="16"/>
          <w:szCs w:val="16"/>
          <w:lang w:val="es-US"/>
        </w:rPr>
        <w:t xml:space="preserve"> workers: an ill that is becoming chronic’], August </w:t>
      </w:r>
      <w:r w:rsidRPr="00E7771A">
        <w:rPr>
          <w:rFonts w:ascii="Cambria" w:hAnsi="Cambria"/>
          <w:color w:val="000000" w:themeColor="text1"/>
          <w:sz w:val="16"/>
          <w:szCs w:val="16"/>
          <w:lang w:val="es-US"/>
        </w:rPr>
        <w:t>18</w:t>
      </w:r>
      <w:r w:rsidR="005B72C3"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70">
    <w:p w14:paraId="33680327" w14:textId="40DB7946"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Ib</w:t>
      </w:r>
      <w:r w:rsidR="000742B5" w:rsidRPr="00E7771A">
        <w:rPr>
          <w:rFonts w:ascii="Cambria" w:hAnsi="Cambria"/>
          <w:color w:val="000000" w:themeColor="text1"/>
          <w:sz w:val="16"/>
          <w:szCs w:val="16"/>
          <w:lang w:val="es-US"/>
        </w:rPr>
        <w:t>i</w:t>
      </w:r>
      <w:r w:rsidRPr="00E7771A">
        <w:rPr>
          <w:rFonts w:ascii="Cambria" w:hAnsi="Cambria"/>
          <w:color w:val="000000" w:themeColor="text1"/>
          <w:sz w:val="16"/>
          <w:szCs w:val="16"/>
          <w:lang w:val="es-US"/>
        </w:rPr>
        <w:t>dem</w:t>
      </w:r>
    </w:p>
  </w:footnote>
  <w:footnote w:id="271">
    <w:p w14:paraId="384DAC16" w14:textId="72E9D671"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Amn</w:t>
      </w:r>
      <w:r w:rsidR="008D0FED" w:rsidRPr="00E7771A">
        <w:rPr>
          <w:rFonts w:ascii="Cambria" w:hAnsi="Cambria"/>
          <w:color w:val="000000" w:themeColor="text1"/>
          <w:sz w:val="16"/>
          <w:szCs w:val="16"/>
          <w:lang w:val="es-US"/>
        </w:rPr>
        <w:t>esty</w:t>
      </w:r>
      <w:r w:rsidRPr="00E7771A">
        <w:rPr>
          <w:rFonts w:ascii="Cambria" w:hAnsi="Cambria"/>
          <w:color w:val="000000" w:themeColor="text1"/>
          <w:sz w:val="16"/>
          <w:szCs w:val="16"/>
          <w:lang w:val="es-US"/>
        </w:rPr>
        <w:t xml:space="preserve"> Interna</w:t>
      </w:r>
      <w:r w:rsidR="008D0FED" w:rsidRPr="00E7771A">
        <w:rPr>
          <w:rFonts w:ascii="Cambria" w:hAnsi="Cambria"/>
          <w:color w:val="000000" w:themeColor="text1"/>
          <w:sz w:val="16"/>
          <w:szCs w:val="16"/>
          <w:lang w:val="es-US"/>
        </w:rPr>
        <w:t>t</w:t>
      </w:r>
      <w:r w:rsidRPr="00E7771A">
        <w:rPr>
          <w:rFonts w:ascii="Cambria" w:hAnsi="Cambria"/>
          <w:color w:val="000000" w:themeColor="text1"/>
          <w:sz w:val="16"/>
          <w:szCs w:val="16"/>
          <w:lang w:val="es-US"/>
        </w:rPr>
        <w:t xml:space="preserve">ional. </w:t>
      </w:r>
      <w:hyperlink r:id="rId285" w:history="1">
        <w:r w:rsidRPr="00E7771A">
          <w:rPr>
            <w:rStyle w:val="Hyperlink"/>
            <w:rFonts w:ascii="Cambria" w:eastAsiaTheme="majorEastAsia" w:hAnsi="Cambria"/>
            <w:color w:val="000000" w:themeColor="text1"/>
            <w:sz w:val="16"/>
            <w:szCs w:val="16"/>
            <w:lang w:val="es-US"/>
          </w:rPr>
          <w:t>Covid-19 en Venezuela: personal de salud en riesgo</w:t>
        </w:r>
      </w:hyperlink>
      <w:r w:rsidRPr="00E7771A">
        <w:rPr>
          <w:rFonts w:ascii="Cambria" w:hAnsi="Cambria"/>
          <w:color w:val="000000" w:themeColor="text1"/>
          <w:sz w:val="16"/>
          <w:szCs w:val="16"/>
          <w:lang w:val="es-US"/>
        </w:rPr>
        <w:t xml:space="preserve">., </w:t>
      </w:r>
      <w:r w:rsidR="003F00CE" w:rsidRPr="00E7771A">
        <w:rPr>
          <w:rFonts w:ascii="Cambria" w:hAnsi="Cambria"/>
          <w:color w:val="000000" w:themeColor="text1"/>
          <w:sz w:val="16"/>
          <w:szCs w:val="16"/>
          <w:lang w:val="es-US"/>
        </w:rPr>
        <w:t xml:space="preserve">[‘Covid-19 in Venezuela: healthcare workers at risk’], August </w:t>
      </w:r>
      <w:r w:rsidRPr="00E7771A">
        <w:rPr>
          <w:rFonts w:ascii="Cambria" w:hAnsi="Cambria"/>
          <w:color w:val="000000" w:themeColor="text1"/>
          <w:sz w:val="16"/>
          <w:szCs w:val="16"/>
          <w:lang w:val="es-US"/>
        </w:rPr>
        <w:t>30</w:t>
      </w:r>
      <w:r w:rsidR="003F00CE"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Runrunes, </w:t>
      </w:r>
      <w:hyperlink r:id="rId286" w:history="1">
        <w:r w:rsidRPr="00E7771A">
          <w:rPr>
            <w:rStyle w:val="Hyperlink"/>
            <w:rFonts w:ascii="Cambria" w:eastAsiaTheme="majorEastAsia" w:hAnsi="Cambria"/>
            <w:color w:val="000000" w:themeColor="text1"/>
            <w:sz w:val="16"/>
            <w:szCs w:val="16"/>
            <w:lang w:val="es-US"/>
          </w:rPr>
          <w:t>INFOGRAFÍA | Criminalización y violencia contra los trabajadores de la salud: Un mal que se cronifica</w:t>
        </w:r>
      </w:hyperlink>
      <w:r w:rsidRPr="00E7771A">
        <w:rPr>
          <w:rFonts w:ascii="Cambria" w:hAnsi="Cambria"/>
          <w:color w:val="000000" w:themeColor="text1"/>
          <w:sz w:val="16"/>
          <w:szCs w:val="16"/>
          <w:lang w:val="es-US"/>
        </w:rPr>
        <w:t xml:space="preserve">, </w:t>
      </w:r>
      <w:r w:rsidR="003F00CE" w:rsidRPr="00E7771A">
        <w:rPr>
          <w:rFonts w:ascii="Cambria" w:hAnsi="Cambria"/>
          <w:color w:val="000000" w:themeColor="text1"/>
          <w:sz w:val="16"/>
          <w:szCs w:val="16"/>
          <w:lang w:val="es-US"/>
        </w:rPr>
        <w:t>[‘Criminalization and violence against health</w:t>
      </w:r>
      <w:r w:rsidR="00D0081B" w:rsidRPr="00E7771A">
        <w:rPr>
          <w:rFonts w:ascii="Cambria" w:hAnsi="Cambria"/>
          <w:color w:val="000000" w:themeColor="text1"/>
          <w:sz w:val="16"/>
          <w:szCs w:val="16"/>
          <w:lang w:val="es-US"/>
        </w:rPr>
        <w:t>care</w:t>
      </w:r>
      <w:r w:rsidR="003F00CE" w:rsidRPr="00E7771A">
        <w:rPr>
          <w:rFonts w:ascii="Cambria" w:hAnsi="Cambria"/>
          <w:color w:val="000000" w:themeColor="text1"/>
          <w:sz w:val="16"/>
          <w:szCs w:val="16"/>
          <w:lang w:val="es-US"/>
        </w:rPr>
        <w:t xml:space="preserve"> workers: an ill that is becoming chronic’], August 18, 2021.</w:t>
      </w:r>
    </w:p>
  </w:footnote>
  <w:footnote w:id="272">
    <w:p w14:paraId="16CF9552" w14:textId="63815E75" w:rsidR="00D24896" w:rsidRPr="00F85814"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Ib</w:t>
      </w:r>
      <w:r w:rsidR="000742B5" w:rsidRPr="00F85814">
        <w:rPr>
          <w:rFonts w:ascii="Cambria" w:hAnsi="Cambria"/>
          <w:color w:val="000000" w:themeColor="text1"/>
          <w:sz w:val="16"/>
          <w:szCs w:val="16"/>
          <w:lang w:val="es-US"/>
        </w:rPr>
        <w:t>i</w:t>
      </w:r>
      <w:r w:rsidRPr="00F85814">
        <w:rPr>
          <w:rFonts w:ascii="Cambria" w:hAnsi="Cambria"/>
          <w:color w:val="000000" w:themeColor="text1"/>
          <w:sz w:val="16"/>
          <w:szCs w:val="16"/>
          <w:lang w:val="es-US"/>
        </w:rPr>
        <w:t>dem.</w:t>
      </w:r>
    </w:p>
  </w:footnote>
  <w:footnote w:id="273">
    <w:p w14:paraId="34A02FA6" w14:textId="77777777" w:rsidR="00D24896" w:rsidRPr="00E7771A" w:rsidRDefault="00D24896" w:rsidP="00F85814">
      <w:pPr>
        <w:pStyle w:val="FootnoteText"/>
        <w:spacing w:after="120"/>
        <w:ind w:firstLine="720"/>
        <w:jc w:val="both"/>
        <w:rPr>
          <w:rStyle w:val="Hyperlink"/>
          <w:rFonts w:ascii="Cambria" w:eastAsiaTheme="majorEastAs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REDESCA</w:t>
      </w:r>
      <w:r w:rsidRPr="009035C0">
        <w:rPr>
          <w:rFonts w:ascii="Cambria" w:hAnsi="Cambria"/>
          <w:color w:val="000000" w:themeColor="text1"/>
          <w:sz w:val="16"/>
          <w:szCs w:val="16"/>
        </w:rPr>
        <w:fldChar w:fldCharType="begin"/>
      </w:r>
      <w:r w:rsidRPr="00E7771A">
        <w:rPr>
          <w:rFonts w:ascii="Cambria" w:hAnsi="Cambria"/>
          <w:color w:val="000000" w:themeColor="text1"/>
          <w:sz w:val="16"/>
          <w:szCs w:val="16"/>
          <w:lang w:val="es-US"/>
        </w:rPr>
        <w:instrText xml:space="preserve"> HYPERLINK "http://www.oas.org/es/cidh/docs/anual/2020/capitulos/redesca.PDF" </w:instrText>
      </w:r>
      <w:r w:rsidRPr="009035C0">
        <w:rPr>
          <w:rFonts w:ascii="Cambria" w:hAnsi="Cambria"/>
          <w:color w:val="000000" w:themeColor="text1"/>
          <w:sz w:val="16"/>
          <w:szCs w:val="16"/>
        </w:rPr>
        <w:fldChar w:fldCharType="separate"/>
      </w:r>
      <w:r w:rsidRPr="00E7771A">
        <w:rPr>
          <w:rStyle w:val="Hyperlink"/>
          <w:rFonts w:ascii="Cambria" w:eastAsiaTheme="majorEastAsia" w:hAnsi="Cambria"/>
          <w:color w:val="000000" w:themeColor="text1"/>
          <w:sz w:val="16"/>
          <w:szCs w:val="16"/>
          <w:lang w:val="es-US"/>
        </w:rPr>
        <w:t>, IV INFORME ANUAL DE LA RELATORÍA ESPECIAL SOBRE DERECHOS ECONÓMICOS, SOCIALES,</w:t>
      </w:r>
    </w:p>
    <w:p w14:paraId="0050CA60" w14:textId="77777777" w:rsidR="00D24896" w:rsidRPr="00E7771A" w:rsidRDefault="00D24896" w:rsidP="00F85814">
      <w:pPr>
        <w:pStyle w:val="FootnoteText"/>
        <w:spacing w:after="120"/>
        <w:ind w:firstLine="720"/>
        <w:jc w:val="both"/>
        <w:rPr>
          <w:rStyle w:val="Hyperlink"/>
          <w:rFonts w:ascii="Cambria" w:eastAsiaTheme="majorEastAsia" w:hAnsi="Cambria"/>
          <w:color w:val="000000" w:themeColor="text1"/>
          <w:sz w:val="16"/>
          <w:szCs w:val="16"/>
          <w:lang w:val="es-US"/>
        </w:rPr>
      </w:pPr>
      <w:r w:rsidRPr="00E7771A">
        <w:rPr>
          <w:rStyle w:val="Hyperlink"/>
          <w:rFonts w:ascii="Cambria" w:eastAsiaTheme="majorEastAsia" w:hAnsi="Cambria"/>
          <w:color w:val="000000" w:themeColor="text1"/>
          <w:sz w:val="16"/>
          <w:szCs w:val="16"/>
          <w:lang w:val="es-US"/>
        </w:rPr>
        <w:t>CULTURALES Y AMBIENTALES (REDESCA) DE LA COMISIÓN INTERAMERICANA DE DERECHOS HUMANOS</w:t>
      </w:r>
    </w:p>
    <w:p w14:paraId="36707AE6" w14:textId="289BFCC9"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Hyperlink"/>
          <w:rFonts w:ascii="Cambria" w:eastAsiaTheme="majorEastAsia" w:hAnsi="Cambria"/>
          <w:color w:val="000000" w:themeColor="text1"/>
          <w:sz w:val="16"/>
          <w:szCs w:val="16"/>
        </w:rPr>
        <w:t>(CIDH)</w:t>
      </w:r>
      <w:r w:rsidRPr="009035C0">
        <w:rPr>
          <w:rFonts w:ascii="Cambria" w:hAnsi="Cambria"/>
          <w:color w:val="000000" w:themeColor="text1"/>
          <w:sz w:val="16"/>
          <w:szCs w:val="16"/>
        </w:rPr>
        <w:fldChar w:fldCharType="end"/>
      </w:r>
      <w:r w:rsidRPr="009035C0">
        <w:rPr>
          <w:rFonts w:ascii="Cambria" w:hAnsi="Cambria"/>
          <w:color w:val="000000" w:themeColor="text1"/>
          <w:sz w:val="16"/>
          <w:szCs w:val="16"/>
        </w:rPr>
        <w:t xml:space="preserve">, </w:t>
      </w:r>
      <w:r w:rsidR="003A5DC3">
        <w:rPr>
          <w:rFonts w:ascii="Cambria" w:hAnsi="Cambria"/>
          <w:color w:val="000000" w:themeColor="text1"/>
          <w:sz w:val="16"/>
          <w:szCs w:val="16"/>
        </w:rPr>
        <w:t xml:space="preserve">[‘IV Annual Report of the Special Rapporteurship on Economic, Social, Cultural and Environmental Rights (REDESCA) of the Inter-American Commission on Human Rights (IACHR), </w:t>
      </w:r>
      <w:r w:rsidRPr="009035C0">
        <w:rPr>
          <w:rFonts w:ascii="Cambria" w:hAnsi="Cambria"/>
          <w:color w:val="000000" w:themeColor="text1"/>
          <w:sz w:val="16"/>
          <w:szCs w:val="16"/>
        </w:rPr>
        <w:t xml:space="preserve">2020, OEA/SER.L/V/II, </w:t>
      </w:r>
      <w:r w:rsidR="003A5DC3">
        <w:rPr>
          <w:rFonts w:ascii="Cambria" w:hAnsi="Cambria"/>
          <w:color w:val="000000" w:themeColor="text1"/>
          <w:sz w:val="16"/>
          <w:szCs w:val="16"/>
        </w:rPr>
        <w:t xml:space="preserve">March </w:t>
      </w:r>
      <w:r w:rsidRPr="009035C0">
        <w:rPr>
          <w:rFonts w:ascii="Cambria" w:hAnsi="Cambria"/>
          <w:color w:val="000000" w:themeColor="text1"/>
          <w:sz w:val="16"/>
          <w:szCs w:val="16"/>
        </w:rPr>
        <w:t>30</w:t>
      </w:r>
      <w:r w:rsidR="003A5DC3">
        <w:rPr>
          <w:rFonts w:ascii="Cambria" w:hAnsi="Cambria"/>
          <w:color w:val="000000" w:themeColor="text1"/>
          <w:sz w:val="16"/>
          <w:szCs w:val="16"/>
        </w:rPr>
        <w:t>,</w:t>
      </w:r>
      <w:r w:rsidRPr="009035C0">
        <w:rPr>
          <w:rFonts w:ascii="Cambria" w:hAnsi="Cambria"/>
          <w:color w:val="000000" w:themeColor="text1"/>
          <w:sz w:val="16"/>
          <w:szCs w:val="16"/>
        </w:rPr>
        <w:t xml:space="preserve"> 2021, p</w:t>
      </w:r>
      <w:r w:rsidR="003A5DC3">
        <w:rPr>
          <w:rFonts w:ascii="Cambria" w:hAnsi="Cambria"/>
          <w:color w:val="000000" w:themeColor="text1"/>
          <w:sz w:val="16"/>
          <w:szCs w:val="16"/>
        </w:rPr>
        <w:t>a</w:t>
      </w:r>
      <w:r w:rsidRPr="009035C0">
        <w:rPr>
          <w:rFonts w:ascii="Cambria" w:hAnsi="Cambria"/>
          <w:color w:val="000000" w:themeColor="text1"/>
          <w:sz w:val="16"/>
          <w:szCs w:val="16"/>
        </w:rPr>
        <w:t>r. 1100</w:t>
      </w:r>
    </w:p>
  </w:footnote>
  <w:footnote w:id="274">
    <w:p w14:paraId="4F7D9C35" w14:textId="0F146E1F" w:rsidR="00D24896" w:rsidRPr="009035C0" w:rsidRDefault="00D24896"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NTN24, </w:t>
      </w:r>
      <w:hyperlink r:id="rId287" w:history="1">
        <w:r w:rsidRPr="009035C0">
          <w:rPr>
            <w:rStyle w:val="Hyperlink"/>
            <w:rFonts w:ascii="Cambria" w:eastAsiaTheme="majorEastAsia" w:hAnsi="Cambria"/>
            <w:color w:val="000000" w:themeColor="text1"/>
            <w:sz w:val="16"/>
            <w:szCs w:val="16"/>
          </w:rPr>
          <w:t>"Todos los días, muchos fallecidos": el relato del personal de salud del HUC</w:t>
        </w:r>
      </w:hyperlink>
      <w:r w:rsidRPr="009035C0">
        <w:rPr>
          <w:rFonts w:ascii="Cambria" w:hAnsi="Cambria"/>
          <w:color w:val="000000" w:themeColor="text1"/>
          <w:sz w:val="16"/>
          <w:szCs w:val="16"/>
        </w:rPr>
        <w:t xml:space="preserve">, </w:t>
      </w:r>
      <w:r w:rsidR="005D5777">
        <w:rPr>
          <w:rFonts w:ascii="Cambria" w:hAnsi="Cambria"/>
          <w:color w:val="000000" w:themeColor="text1"/>
          <w:sz w:val="16"/>
          <w:szCs w:val="16"/>
        </w:rPr>
        <w:t xml:space="preserve">[‘”Every day many deaths:” the account of healthcare workers of the HUC’], March </w:t>
      </w:r>
      <w:r w:rsidRPr="009035C0">
        <w:rPr>
          <w:rFonts w:ascii="Cambria" w:hAnsi="Cambria"/>
          <w:color w:val="000000" w:themeColor="text1"/>
          <w:sz w:val="16"/>
          <w:szCs w:val="16"/>
        </w:rPr>
        <w:t>30</w:t>
      </w:r>
      <w:r w:rsidR="005D5777">
        <w:rPr>
          <w:rFonts w:ascii="Cambria" w:hAnsi="Cambria"/>
          <w:color w:val="000000" w:themeColor="text1"/>
          <w:sz w:val="16"/>
          <w:szCs w:val="16"/>
        </w:rPr>
        <w:t>,</w:t>
      </w:r>
      <w:r w:rsidRPr="009035C0">
        <w:rPr>
          <w:rFonts w:ascii="Cambria" w:hAnsi="Cambria"/>
          <w:color w:val="000000" w:themeColor="text1"/>
          <w:sz w:val="16"/>
          <w:szCs w:val="16"/>
        </w:rPr>
        <w:t xml:space="preserve"> 2021; </w:t>
      </w:r>
      <w:r w:rsidRPr="009035C0">
        <w:rPr>
          <w:rFonts w:ascii="Cambria" w:hAnsi="Cambria" w:cs="Calibri"/>
          <w:color w:val="000000" w:themeColor="text1"/>
          <w:sz w:val="16"/>
          <w:szCs w:val="16"/>
        </w:rPr>
        <w:t xml:space="preserve">El País, </w:t>
      </w:r>
      <w:hyperlink r:id="rId288" w:history="1">
        <w:r w:rsidRPr="009035C0">
          <w:rPr>
            <w:rStyle w:val="Hyperlink"/>
            <w:rFonts w:ascii="Cambria" w:eastAsiaTheme="majorEastAsia" w:hAnsi="Cambria" w:cs="Calibri"/>
            <w:color w:val="000000" w:themeColor="text1"/>
            <w:sz w:val="16"/>
            <w:szCs w:val="16"/>
          </w:rPr>
          <w:t>La subida de casos de la covid-19 colapsa el sistema de salud de Venezuela</w:t>
        </w:r>
      </w:hyperlink>
      <w:r w:rsidRPr="009035C0">
        <w:rPr>
          <w:rFonts w:ascii="Cambria" w:hAnsi="Cambria" w:cs="Calibri"/>
          <w:color w:val="000000" w:themeColor="text1"/>
          <w:sz w:val="16"/>
          <w:szCs w:val="16"/>
        </w:rPr>
        <w:t xml:space="preserve">, </w:t>
      </w:r>
      <w:r w:rsidR="005D5777">
        <w:rPr>
          <w:rFonts w:ascii="Cambria" w:hAnsi="Cambria" w:cs="Calibri"/>
          <w:color w:val="000000" w:themeColor="text1"/>
          <w:sz w:val="16"/>
          <w:szCs w:val="16"/>
        </w:rPr>
        <w:t xml:space="preserve">[‘Rise in covid-19 cases collapses health system of Venezuela’], March </w:t>
      </w:r>
      <w:r w:rsidRPr="009035C0">
        <w:rPr>
          <w:rFonts w:ascii="Cambria" w:hAnsi="Cambria" w:cs="Calibri"/>
          <w:color w:val="000000" w:themeColor="text1"/>
          <w:sz w:val="16"/>
          <w:szCs w:val="16"/>
        </w:rPr>
        <w:t>17</w:t>
      </w:r>
      <w:r w:rsidR="005D5777">
        <w:rPr>
          <w:rFonts w:ascii="Cambria" w:hAnsi="Cambria" w:cs="Calibri"/>
          <w:color w:val="000000" w:themeColor="text1"/>
          <w:sz w:val="16"/>
          <w:szCs w:val="16"/>
        </w:rPr>
        <w:t>,</w:t>
      </w:r>
      <w:r w:rsidRPr="009035C0">
        <w:rPr>
          <w:rFonts w:ascii="Cambria" w:hAnsi="Cambria" w:cs="Calibri"/>
          <w:color w:val="000000" w:themeColor="text1"/>
          <w:sz w:val="16"/>
          <w:szCs w:val="16"/>
        </w:rPr>
        <w:t xml:space="preserve"> 2021; Las 2 orillas, </w:t>
      </w:r>
      <w:hyperlink r:id="rId289" w:history="1">
        <w:r w:rsidRPr="009035C0">
          <w:rPr>
            <w:rStyle w:val="Hyperlink"/>
            <w:rFonts w:ascii="Cambria" w:eastAsiaTheme="majorEastAsia" w:hAnsi="Cambria" w:cs="Calibri"/>
            <w:color w:val="000000" w:themeColor="text1"/>
            <w:sz w:val="16"/>
            <w:szCs w:val="16"/>
          </w:rPr>
          <w:t>Hospitales de Venezuela, hundidos en la miseria</w:t>
        </w:r>
      </w:hyperlink>
      <w:r w:rsidRPr="009035C0">
        <w:rPr>
          <w:rFonts w:ascii="Cambria" w:hAnsi="Cambria" w:cs="Calibri"/>
          <w:color w:val="000000" w:themeColor="text1"/>
          <w:sz w:val="16"/>
          <w:szCs w:val="16"/>
        </w:rPr>
        <w:t xml:space="preserve">, </w:t>
      </w:r>
      <w:r w:rsidR="005D5777">
        <w:rPr>
          <w:rFonts w:ascii="Cambria" w:hAnsi="Cambria" w:cs="Calibri"/>
          <w:color w:val="000000" w:themeColor="text1"/>
          <w:sz w:val="16"/>
          <w:szCs w:val="16"/>
        </w:rPr>
        <w:t xml:space="preserve">[‘Venezuelan hospitals, plunged into </w:t>
      </w:r>
      <w:r w:rsidR="00427B62">
        <w:rPr>
          <w:rFonts w:ascii="Cambria" w:hAnsi="Cambria" w:cs="Calibri"/>
          <w:color w:val="000000" w:themeColor="text1"/>
          <w:sz w:val="16"/>
          <w:szCs w:val="16"/>
        </w:rPr>
        <w:t>poverty</w:t>
      </w:r>
      <w:r w:rsidR="00F8410B">
        <w:rPr>
          <w:rFonts w:ascii="Cambria" w:hAnsi="Cambria" w:cs="Calibri"/>
          <w:color w:val="000000" w:themeColor="text1"/>
          <w:sz w:val="16"/>
          <w:szCs w:val="16"/>
        </w:rPr>
        <w:t xml:space="preserve">’], July </w:t>
      </w:r>
      <w:r w:rsidRPr="009035C0">
        <w:rPr>
          <w:rFonts w:ascii="Cambria" w:hAnsi="Cambria" w:cs="Calibri"/>
          <w:color w:val="000000" w:themeColor="text1"/>
          <w:sz w:val="16"/>
          <w:szCs w:val="16"/>
        </w:rPr>
        <w:t>9</w:t>
      </w:r>
      <w:r w:rsidR="00F8410B">
        <w:rPr>
          <w:rFonts w:ascii="Cambria" w:hAnsi="Cambria" w:cs="Calibri"/>
          <w:color w:val="000000" w:themeColor="text1"/>
          <w:sz w:val="16"/>
          <w:szCs w:val="16"/>
        </w:rPr>
        <w:t>,</w:t>
      </w:r>
      <w:r w:rsidRPr="009035C0">
        <w:rPr>
          <w:rFonts w:ascii="Cambria" w:hAnsi="Cambria" w:cs="Calibri"/>
          <w:color w:val="000000" w:themeColor="text1"/>
          <w:sz w:val="16"/>
          <w:szCs w:val="16"/>
        </w:rPr>
        <w:t xml:space="preserve"> 2021.</w:t>
      </w:r>
    </w:p>
  </w:footnote>
  <w:footnote w:id="275">
    <w:p w14:paraId="20DE736C" w14:textId="7174E3AA"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V</w:t>
      </w:r>
      <w:r w:rsidR="00966E90">
        <w:rPr>
          <w:rFonts w:ascii="Cambria" w:hAnsi="Cambria"/>
          <w:color w:val="000000" w:themeColor="text1"/>
          <w:sz w:val="16"/>
          <w:szCs w:val="16"/>
        </w:rPr>
        <w:t xml:space="preserve">oice of </w:t>
      </w:r>
      <w:r w:rsidRPr="009035C0">
        <w:rPr>
          <w:rFonts w:ascii="Cambria" w:hAnsi="Cambria"/>
          <w:color w:val="000000" w:themeColor="text1"/>
          <w:sz w:val="16"/>
          <w:szCs w:val="16"/>
        </w:rPr>
        <w:t>Am</w:t>
      </w:r>
      <w:r w:rsidR="00966E90">
        <w:rPr>
          <w:rFonts w:ascii="Cambria" w:hAnsi="Cambria"/>
          <w:color w:val="000000" w:themeColor="text1"/>
          <w:sz w:val="16"/>
          <w:szCs w:val="16"/>
        </w:rPr>
        <w:t>e</w:t>
      </w:r>
      <w:r w:rsidRPr="009035C0">
        <w:rPr>
          <w:rFonts w:ascii="Cambria" w:hAnsi="Cambria"/>
          <w:color w:val="000000" w:themeColor="text1"/>
          <w:sz w:val="16"/>
          <w:szCs w:val="16"/>
        </w:rPr>
        <w:t xml:space="preserve">rica, </w:t>
      </w:r>
      <w:hyperlink r:id="rId290" w:history="1">
        <w:r w:rsidRPr="009035C0">
          <w:rPr>
            <w:rStyle w:val="Hyperlink"/>
            <w:rFonts w:ascii="Cambria" w:eastAsiaTheme="majorEastAsia" w:hAnsi="Cambria"/>
            <w:color w:val="000000" w:themeColor="text1"/>
            <w:sz w:val="16"/>
            <w:szCs w:val="16"/>
          </w:rPr>
          <w:t>Opacados por el COVID-19: “pacientes crónicos han quedado olvidados</w:t>
        </w:r>
      </w:hyperlink>
      <w:r w:rsidRPr="009035C0">
        <w:rPr>
          <w:rFonts w:ascii="Cambria" w:hAnsi="Cambria"/>
          <w:color w:val="000000" w:themeColor="text1"/>
          <w:sz w:val="16"/>
          <w:szCs w:val="16"/>
        </w:rPr>
        <w:t>”</w:t>
      </w:r>
      <w:r w:rsidR="00966E90">
        <w:rPr>
          <w:rFonts w:ascii="Cambria" w:hAnsi="Cambria"/>
          <w:color w:val="000000" w:themeColor="text1"/>
          <w:sz w:val="16"/>
          <w:szCs w:val="16"/>
        </w:rPr>
        <w:t xml:space="preserve">[‘Overshadowed by Covid-19, chronic </w:t>
      </w:r>
      <w:r w:rsidR="00C04355">
        <w:rPr>
          <w:rFonts w:ascii="Cambria" w:hAnsi="Cambria"/>
          <w:color w:val="000000" w:themeColor="text1"/>
          <w:sz w:val="16"/>
          <w:szCs w:val="16"/>
        </w:rPr>
        <w:t xml:space="preserve">illness </w:t>
      </w:r>
      <w:r w:rsidR="00966E90">
        <w:rPr>
          <w:rFonts w:ascii="Cambria" w:hAnsi="Cambria"/>
          <w:color w:val="000000" w:themeColor="text1"/>
          <w:sz w:val="16"/>
          <w:szCs w:val="16"/>
        </w:rPr>
        <w:t xml:space="preserve">patients cast into oblivion’], </w:t>
      </w:r>
      <w:r w:rsidRPr="009035C0">
        <w:rPr>
          <w:rFonts w:ascii="Cambria" w:hAnsi="Cambria"/>
          <w:color w:val="000000" w:themeColor="text1"/>
          <w:sz w:val="16"/>
          <w:szCs w:val="16"/>
        </w:rPr>
        <w:t xml:space="preserve"> </w:t>
      </w:r>
      <w:r w:rsidR="00966E90">
        <w:rPr>
          <w:rFonts w:ascii="Cambria" w:hAnsi="Cambria"/>
          <w:color w:val="000000" w:themeColor="text1"/>
          <w:sz w:val="16"/>
          <w:szCs w:val="16"/>
        </w:rPr>
        <w:t xml:space="preserve">June </w:t>
      </w:r>
      <w:r w:rsidRPr="009035C0">
        <w:rPr>
          <w:rFonts w:ascii="Cambria" w:hAnsi="Cambria"/>
          <w:color w:val="000000" w:themeColor="text1"/>
          <w:sz w:val="16"/>
          <w:szCs w:val="16"/>
        </w:rPr>
        <w:t>1</w:t>
      </w:r>
      <w:r w:rsidR="00966E90">
        <w:rPr>
          <w:rFonts w:ascii="Cambria" w:hAnsi="Cambria"/>
          <w:color w:val="000000" w:themeColor="text1"/>
          <w:sz w:val="16"/>
          <w:szCs w:val="16"/>
        </w:rPr>
        <w:t>,</w:t>
      </w:r>
      <w:r w:rsidRPr="009035C0">
        <w:rPr>
          <w:rFonts w:ascii="Cambria" w:hAnsi="Cambria"/>
          <w:color w:val="000000" w:themeColor="text1"/>
          <w:sz w:val="16"/>
          <w:szCs w:val="16"/>
        </w:rPr>
        <w:t xml:space="preserve"> 2021; Amn</w:t>
      </w:r>
      <w:r w:rsidR="00966E90">
        <w:rPr>
          <w:rFonts w:ascii="Cambria" w:hAnsi="Cambria"/>
          <w:color w:val="000000" w:themeColor="text1"/>
          <w:sz w:val="16"/>
          <w:szCs w:val="16"/>
        </w:rPr>
        <w:t xml:space="preserve">esty </w:t>
      </w:r>
      <w:r w:rsidRPr="009035C0">
        <w:rPr>
          <w:rFonts w:ascii="Cambria" w:hAnsi="Cambria"/>
          <w:color w:val="000000" w:themeColor="text1"/>
          <w:sz w:val="16"/>
          <w:szCs w:val="16"/>
        </w:rPr>
        <w:t>Internac</w:t>
      </w:r>
      <w:r w:rsidR="00966E90">
        <w:rPr>
          <w:rFonts w:ascii="Cambria" w:hAnsi="Cambria"/>
          <w:color w:val="000000" w:themeColor="text1"/>
          <w:sz w:val="16"/>
          <w:szCs w:val="16"/>
        </w:rPr>
        <w:t>t</w:t>
      </w:r>
      <w:r w:rsidRPr="009035C0">
        <w:rPr>
          <w:rFonts w:ascii="Cambria" w:hAnsi="Cambria"/>
          <w:color w:val="000000" w:themeColor="text1"/>
          <w:sz w:val="16"/>
          <w:szCs w:val="16"/>
        </w:rPr>
        <w:t xml:space="preserve">onal, </w:t>
      </w:r>
      <w:hyperlink r:id="rId291" w:history="1">
        <w:r w:rsidRPr="009035C0">
          <w:rPr>
            <w:rStyle w:val="Hyperlink"/>
            <w:rFonts w:ascii="Cambria" w:eastAsiaTheme="majorEastAsia" w:hAnsi="Cambria"/>
            <w:color w:val="000000" w:themeColor="text1"/>
            <w:sz w:val="16"/>
            <w:szCs w:val="16"/>
          </w:rPr>
          <w:t>La agonía de los pacientes crónicos</w:t>
        </w:r>
      </w:hyperlink>
      <w:r w:rsidRPr="009035C0">
        <w:rPr>
          <w:rFonts w:ascii="Cambria" w:hAnsi="Cambria"/>
          <w:color w:val="000000" w:themeColor="text1"/>
          <w:sz w:val="16"/>
          <w:szCs w:val="16"/>
        </w:rPr>
        <w:t>,</w:t>
      </w:r>
      <w:r w:rsidR="00966E90">
        <w:rPr>
          <w:rFonts w:ascii="Cambria" w:hAnsi="Cambria"/>
          <w:color w:val="000000" w:themeColor="text1"/>
          <w:sz w:val="16"/>
          <w:szCs w:val="16"/>
        </w:rPr>
        <w:t xml:space="preserve"> [‘Chronic </w:t>
      </w:r>
      <w:r w:rsidR="00DF7126">
        <w:rPr>
          <w:rFonts w:ascii="Cambria" w:hAnsi="Cambria"/>
          <w:color w:val="000000" w:themeColor="text1"/>
          <w:sz w:val="16"/>
          <w:szCs w:val="16"/>
        </w:rPr>
        <w:t xml:space="preserve">illness </w:t>
      </w:r>
      <w:r w:rsidR="00966E90">
        <w:rPr>
          <w:rFonts w:ascii="Cambria" w:hAnsi="Cambria"/>
          <w:color w:val="000000" w:themeColor="text1"/>
          <w:sz w:val="16"/>
          <w:szCs w:val="16"/>
        </w:rPr>
        <w:t>patients agonize’] undated</w:t>
      </w:r>
      <w:r w:rsidRPr="009035C0">
        <w:rPr>
          <w:rFonts w:ascii="Cambria" w:hAnsi="Cambria"/>
          <w:color w:val="000000" w:themeColor="text1"/>
          <w:sz w:val="16"/>
          <w:szCs w:val="16"/>
        </w:rPr>
        <w:t>.</w:t>
      </w:r>
    </w:p>
  </w:footnote>
  <w:footnote w:id="276">
    <w:p w14:paraId="10FECBBB" w14:textId="48831162"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966E90" w:rsidRPr="00E7771A">
        <w:rPr>
          <w:rFonts w:ascii="Cambria" w:hAnsi="Cambria"/>
          <w:color w:val="000000" w:themeColor="text1"/>
          <w:sz w:val="16"/>
          <w:szCs w:val="16"/>
          <w:lang w:val="es-US"/>
        </w:rPr>
        <w:t>IACHR</w:t>
      </w:r>
      <w:r w:rsidRPr="00E7771A">
        <w:rPr>
          <w:rFonts w:ascii="Cambria" w:hAnsi="Cambria"/>
          <w:color w:val="000000" w:themeColor="text1"/>
          <w:sz w:val="16"/>
          <w:szCs w:val="16"/>
          <w:lang w:val="es-US"/>
        </w:rPr>
        <w:t>,</w:t>
      </w:r>
      <w:r w:rsidR="00966E90" w:rsidRPr="00E7771A">
        <w:rPr>
          <w:rFonts w:ascii="Cambria" w:hAnsi="Cambria"/>
          <w:color w:val="000000" w:themeColor="text1"/>
          <w:sz w:val="16"/>
          <w:szCs w:val="16"/>
          <w:lang w:val="es-US"/>
        </w:rPr>
        <w:t xml:space="preserve"> Press Release </w:t>
      </w:r>
      <w:r w:rsidRPr="00E7771A">
        <w:rPr>
          <w:rFonts w:ascii="Cambria" w:hAnsi="Cambria"/>
          <w:color w:val="000000" w:themeColor="text1"/>
          <w:sz w:val="16"/>
          <w:szCs w:val="16"/>
          <w:lang w:val="es-US"/>
        </w:rPr>
        <w:t xml:space="preserve">No. 085/2021, </w:t>
      </w:r>
      <w:hyperlink r:id="rId292" w:history="1">
        <w:r w:rsidRPr="00E7771A">
          <w:rPr>
            <w:rStyle w:val="Hyperlink"/>
            <w:rFonts w:ascii="Cambria" w:eastAsiaTheme="majorEastAsia" w:hAnsi="Cambria"/>
            <w:color w:val="000000" w:themeColor="text1"/>
            <w:sz w:val="16"/>
            <w:szCs w:val="16"/>
            <w:lang w:val="es-US"/>
          </w:rPr>
          <w:t>La CIDH expresa preocupación por la falta de acceso a servicios de salud sexual y reproductiva en Venezuela</w:t>
        </w:r>
      </w:hyperlink>
      <w:r w:rsidRPr="00E7771A">
        <w:rPr>
          <w:rFonts w:ascii="Cambria" w:hAnsi="Cambria"/>
          <w:color w:val="000000" w:themeColor="text1"/>
          <w:sz w:val="16"/>
          <w:szCs w:val="16"/>
          <w:lang w:val="es-US"/>
        </w:rPr>
        <w:t xml:space="preserve">, </w:t>
      </w:r>
      <w:r w:rsidR="00603A2D" w:rsidRPr="00E7771A">
        <w:rPr>
          <w:rFonts w:ascii="Cambria" w:hAnsi="Cambria"/>
          <w:color w:val="000000" w:themeColor="text1"/>
          <w:sz w:val="16"/>
          <w:szCs w:val="16"/>
          <w:lang w:val="es-US"/>
        </w:rPr>
        <w:t xml:space="preserve">[IACHR Expresses Concern over Lack of Access to Sexual and Reproductive Health Services in Venezuela’], April </w:t>
      </w:r>
      <w:r w:rsidRPr="00E7771A">
        <w:rPr>
          <w:rFonts w:ascii="Cambria" w:hAnsi="Cambria"/>
          <w:color w:val="000000" w:themeColor="text1"/>
          <w:sz w:val="16"/>
          <w:szCs w:val="16"/>
          <w:lang w:val="es-US"/>
        </w:rPr>
        <w:t>6</w:t>
      </w:r>
      <w:r w:rsidR="00603A2D"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77">
    <w:p w14:paraId="19DA8214" w14:textId="662D4C62"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Ib</w:t>
      </w:r>
      <w:r w:rsidR="000742B5">
        <w:rPr>
          <w:rFonts w:ascii="Cambria" w:hAnsi="Cambria"/>
          <w:color w:val="000000" w:themeColor="text1"/>
          <w:sz w:val="16"/>
          <w:szCs w:val="16"/>
        </w:rPr>
        <w:t>i</w:t>
      </w:r>
      <w:r w:rsidRPr="009035C0">
        <w:rPr>
          <w:rFonts w:ascii="Cambria" w:hAnsi="Cambria"/>
          <w:color w:val="000000" w:themeColor="text1"/>
          <w:sz w:val="16"/>
          <w:szCs w:val="16"/>
        </w:rPr>
        <w:t>dem</w:t>
      </w:r>
    </w:p>
  </w:footnote>
  <w:footnote w:id="278">
    <w:p w14:paraId="6214F836" w14:textId="737F0532"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DB74B8">
        <w:rPr>
          <w:rFonts w:ascii="Cambria" w:hAnsi="Cambria"/>
          <w:color w:val="000000" w:themeColor="text1"/>
          <w:sz w:val="16"/>
          <w:szCs w:val="16"/>
        </w:rPr>
        <w:t>Venezuelan Observator</w:t>
      </w:r>
      <w:r w:rsidR="007A722C">
        <w:rPr>
          <w:rFonts w:ascii="Cambria" w:hAnsi="Cambria"/>
          <w:color w:val="000000" w:themeColor="text1"/>
          <w:sz w:val="16"/>
          <w:szCs w:val="16"/>
        </w:rPr>
        <w:t>y</w:t>
      </w:r>
      <w:r w:rsidR="00DB74B8">
        <w:rPr>
          <w:rFonts w:ascii="Cambria" w:hAnsi="Cambria"/>
          <w:color w:val="000000" w:themeColor="text1"/>
          <w:sz w:val="16"/>
          <w:szCs w:val="16"/>
        </w:rPr>
        <w:t xml:space="preserve"> on Social Conflict</w:t>
      </w:r>
      <w:r w:rsidRPr="009035C0">
        <w:rPr>
          <w:rFonts w:ascii="Cambria" w:hAnsi="Cambria"/>
          <w:color w:val="000000" w:themeColor="text1"/>
          <w:sz w:val="16"/>
          <w:szCs w:val="16"/>
        </w:rPr>
        <w:t xml:space="preserve">. </w:t>
      </w:r>
      <w:hyperlink r:id="rId293" w:history="1">
        <w:r w:rsidRPr="00E7771A">
          <w:rPr>
            <w:rStyle w:val="Hyperlink"/>
            <w:rFonts w:ascii="Cambria" w:eastAsiaTheme="majorEastAsia" w:hAnsi="Cambria"/>
            <w:color w:val="000000" w:themeColor="text1"/>
            <w:sz w:val="16"/>
            <w:szCs w:val="16"/>
            <w:lang w:val="es-US"/>
          </w:rPr>
          <w:t>Protestas en Venezuela 1er trimestre 2020 vs. 2021</w:t>
        </w:r>
      </w:hyperlink>
      <w:r w:rsidRPr="00E7771A">
        <w:rPr>
          <w:rFonts w:ascii="Cambria" w:hAnsi="Cambria"/>
          <w:color w:val="000000" w:themeColor="text1"/>
          <w:sz w:val="16"/>
          <w:szCs w:val="16"/>
          <w:lang w:val="es-US"/>
        </w:rPr>
        <w:t xml:space="preserve">, </w:t>
      </w:r>
      <w:r w:rsidR="00DB74B8" w:rsidRPr="00E7771A">
        <w:rPr>
          <w:rFonts w:ascii="Cambria" w:hAnsi="Cambria"/>
          <w:color w:val="000000" w:themeColor="text1"/>
          <w:sz w:val="16"/>
          <w:szCs w:val="16"/>
          <w:lang w:val="es-US"/>
        </w:rPr>
        <w:t xml:space="preserve">[‘Protests in Venezuela </w:t>
      </w:r>
      <w:r w:rsidR="00E756E2" w:rsidRPr="00E7771A">
        <w:rPr>
          <w:rFonts w:ascii="Cambria" w:hAnsi="Cambria"/>
          <w:color w:val="000000" w:themeColor="text1"/>
          <w:sz w:val="16"/>
          <w:szCs w:val="16"/>
          <w:lang w:val="es-US"/>
        </w:rPr>
        <w:t>f</w:t>
      </w:r>
      <w:r w:rsidR="00DB74B8" w:rsidRPr="00E7771A">
        <w:rPr>
          <w:rFonts w:ascii="Cambria" w:hAnsi="Cambria"/>
          <w:color w:val="000000" w:themeColor="text1"/>
          <w:sz w:val="16"/>
          <w:szCs w:val="16"/>
          <w:lang w:val="es-US"/>
        </w:rPr>
        <w:t xml:space="preserve">irst quarter of 2020 vs. 2021’], April </w:t>
      </w:r>
      <w:r w:rsidRPr="00E7771A">
        <w:rPr>
          <w:rFonts w:ascii="Cambria" w:hAnsi="Cambria"/>
          <w:color w:val="000000" w:themeColor="text1"/>
          <w:sz w:val="16"/>
          <w:szCs w:val="16"/>
          <w:lang w:val="es-US"/>
        </w:rPr>
        <w:t>22</w:t>
      </w:r>
      <w:r w:rsidR="00DB74B8"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79">
    <w:p w14:paraId="598307F5" w14:textId="5CAC1F4E"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Provea, </w:t>
      </w:r>
      <w:hyperlink r:id="rId294" w:history="1">
        <w:r w:rsidRPr="00E7771A">
          <w:rPr>
            <w:rStyle w:val="Hyperlink"/>
            <w:rFonts w:ascii="Cambria" w:eastAsiaTheme="majorEastAsia" w:hAnsi="Cambria"/>
            <w:color w:val="000000" w:themeColor="text1"/>
            <w:sz w:val="16"/>
            <w:szCs w:val="16"/>
            <w:lang w:val="es-US"/>
          </w:rPr>
          <w:t>Informe Anual 2020: Se intensificó la desnutrición y la inseguridad alimentaria en Venezuela</w:t>
        </w:r>
      </w:hyperlink>
      <w:r w:rsidRPr="00E7771A">
        <w:rPr>
          <w:rFonts w:ascii="Cambria" w:hAnsi="Cambria"/>
          <w:color w:val="000000" w:themeColor="text1"/>
          <w:sz w:val="16"/>
          <w:szCs w:val="16"/>
          <w:lang w:val="es-US"/>
        </w:rPr>
        <w:t xml:space="preserve">, </w:t>
      </w:r>
      <w:r w:rsidR="00FB4387" w:rsidRPr="00E7771A">
        <w:rPr>
          <w:rFonts w:ascii="Cambria" w:hAnsi="Cambria"/>
          <w:color w:val="000000" w:themeColor="text1"/>
          <w:sz w:val="16"/>
          <w:szCs w:val="16"/>
          <w:lang w:val="es-US"/>
        </w:rPr>
        <w:t xml:space="preserve">[‘2020 Annual Report: Malnutrition and food insecurity intensify in Venezuela’], June </w:t>
      </w:r>
      <w:r w:rsidRPr="00E7771A">
        <w:rPr>
          <w:rFonts w:ascii="Cambria" w:hAnsi="Cambria"/>
          <w:color w:val="000000" w:themeColor="text1"/>
          <w:sz w:val="16"/>
          <w:szCs w:val="16"/>
          <w:lang w:val="es-US"/>
        </w:rPr>
        <w:t>18</w:t>
      </w:r>
      <w:r w:rsidR="00FB4387"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80">
    <w:p w14:paraId="12D521C4" w14:textId="6BD312AF"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Ib</w:t>
      </w:r>
      <w:r w:rsidR="000742B5">
        <w:rPr>
          <w:rFonts w:ascii="Cambria" w:hAnsi="Cambria"/>
          <w:color w:val="000000" w:themeColor="text1"/>
          <w:sz w:val="16"/>
          <w:szCs w:val="16"/>
        </w:rPr>
        <w:t>i</w:t>
      </w:r>
      <w:r w:rsidRPr="009035C0">
        <w:rPr>
          <w:rFonts w:ascii="Cambria" w:hAnsi="Cambria"/>
          <w:color w:val="000000" w:themeColor="text1"/>
          <w:sz w:val="16"/>
          <w:szCs w:val="16"/>
        </w:rPr>
        <w:t>dem</w:t>
      </w:r>
    </w:p>
  </w:footnote>
  <w:footnote w:id="281">
    <w:p w14:paraId="157D14ED" w14:textId="554BDAAD" w:rsidR="00D24896" w:rsidRPr="009035C0" w:rsidRDefault="00D24896"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5C74B3">
        <w:rPr>
          <w:rFonts w:ascii="Cambria" w:hAnsi="Cambria"/>
          <w:color w:val="000000" w:themeColor="text1"/>
          <w:sz w:val="16"/>
          <w:szCs w:val="16"/>
        </w:rPr>
        <w:t>United Nations High Commissioner for Human Rights</w:t>
      </w:r>
      <w:r w:rsidRPr="009035C0">
        <w:rPr>
          <w:rFonts w:ascii="Cambria" w:hAnsi="Cambria"/>
          <w:color w:val="000000" w:themeColor="text1"/>
          <w:sz w:val="16"/>
          <w:szCs w:val="16"/>
        </w:rPr>
        <w:t>.</w:t>
      </w:r>
      <w:hyperlink r:id="rId295">
        <w:r w:rsidRPr="009035C0">
          <w:rPr>
            <w:rFonts w:ascii="Cambria" w:hAnsi="Cambria" w:cs="Segoe UI"/>
            <w:color w:val="000000" w:themeColor="text1"/>
            <w:sz w:val="16"/>
            <w:szCs w:val="16"/>
            <w:u w:val="single"/>
          </w:rPr>
          <w:t> </w:t>
        </w:r>
        <w:r w:rsidRPr="00E7771A">
          <w:rPr>
            <w:rFonts w:ascii="Cambria" w:hAnsi="Cambria" w:cs="Segoe UI"/>
            <w:color w:val="000000" w:themeColor="text1"/>
            <w:sz w:val="16"/>
            <w:szCs w:val="16"/>
            <w:u w:val="single"/>
            <w:lang w:val="es-US"/>
          </w:rPr>
          <w:t>Independencia del sistema de justicia y acceso a la justicia, incluyendo violaciones a los derechos económicos y sociales en la República Bolivariana de Venezuela, y situación de los derechos humanos en la región del Arco Minero del Orinoco</w:t>
        </w:r>
      </w:hyperlink>
      <w:r w:rsidRPr="00E7771A">
        <w:rPr>
          <w:rFonts w:ascii="Cambria" w:hAnsi="Cambria"/>
          <w:color w:val="000000" w:themeColor="text1"/>
          <w:sz w:val="16"/>
          <w:szCs w:val="16"/>
          <w:lang w:val="es-US"/>
        </w:rPr>
        <w:t xml:space="preserve">. </w:t>
      </w:r>
      <w:r w:rsidR="005C74B3">
        <w:rPr>
          <w:rFonts w:ascii="Cambria" w:hAnsi="Cambria"/>
          <w:color w:val="000000" w:themeColor="text1"/>
          <w:sz w:val="16"/>
          <w:szCs w:val="16"/>
        </w:rPr>
        <w:t xml:space="preserve">Independence of the justice system and access to justice in the Bolivarian Republic of Venezuela, including for violations of economic and social rights, and the situation of human rights in the </w:t>
      </w:r>
      <w:r w:rsidR="00526FB9">
        <w:rPr>
          <w:rFonts w:ascii="Cambria" w:hAnsi="Cambria"/>
          <w:color w:val="000000" w:themeColor="text1"/>
          <w:sz w:val="16"/>
          <w:szCs w:val="16"/>
        </w:rPr>
        <w:t xml:space="preserve">Mining Crescent </w:t>
      </w:r>
      <w:r w:rsidR="005C74B3">
        <w:rPr>
          <w:rFonts w:ascii="Cambria" w:hAnsi="Cambria"/>
          <w:color w:val="000000" w:themeColor="text1"/>
          <w:sz w:val="16"/>
          <w:szCs w:val="16"/>
        </w:rPr>
        <w:t>of the Orinoco River region, July 15, 2020, par.</w:t>
      </w:r>
      <w:r w:rsidRPr="009035C0">
        <w:rPr>
          <w:rFonts w:ascii="Cambria" w:hAnsi="Cambria"/>
          <w:color w:val="000000" w:themeColor="text1"/>
          <w:sz w:val="16"/>
          <w:szCs w:val="16"/>
        </w:rPr>
        <w:t xml:space="preserve"> 65.</w:t>
      </w:r>
    </w:p>
  </w:footnote>
  <w:footnote w:id="282">
    <w:p w14:paraId="49AC46D6" w14:textId="2C10C4A6" w:rsidR="00D24896" w:rsidRPr="005C74B3" w:rsidRDefault="00D24896" w:rsidP="00F85814">
      <w:pPr>
        <w:pStyle w:val="FootnoteText"/>
        <w:spacing w:after="120"/>
        <w:ind w:firstLine="720"/>
        <w:jc w:val="both"/>
        <w:rPr>
          <w:rFonts w:ascii="Cambria" w:eastAsiaTheme="majorEastAsia" w:hAnsi="Cambria"/>
          <w:color w:val="000000" w:themeColor="text1"/>
          <w:sz w:val="16"/>
          <w:szCs w:val="16"/>
          <w:u w:val="single"/>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REDESCA</w:t>
      </w:r>
      <w:hyperlink r:id="rId296" w:history="1">
        <w:r w:rsidRPr="009035C0">
          <w:rPr>
            <w:rStyle w:val="Hyperlink"/>
            <w:rFonts w:ascii="Cambria" w:eastAsiaTheme="majorEastAsia" w:hAnsi="Cambria"/>
            <w:color w:val="000000" w:themeColor="text1"/>
            <w:sz w:val="16"/>
            <w:szCs w:val="16"/>
          </w:rPr>
          <w:t>, IV INFORME ANUAL DE LA RELATORÍA ESPECIAL SOBRE DERECHOS ECONÓMICOS, SOCIALES,</w:t>
        </w:r>
      </w:hyperlink>
      <w:r w:rsidRPr="009035C0">
        <w:rPr>
          <w:rFonts w:ascii="Cambria" w:hAnsi="Cambria"/>
          <w:color w:val="000000" w:themeColor="text1"/>
          <w:sz w:val="16"/>
          <w:szCs w:val="16"/>
        </w:rPr>
        <w:fldChar w:fldCharType="begin"/>
      </w:r>
      <w:r w:rsidRPr="009035C0">
        <w:rPr>
          <w:rStyle w:val="Hyperlink"/>
          <w:rFonts w:ascii="Cambria" w:eastAsiaTheme="majorEastAsia" w:hAnsi="Cambria"/>
          <w:color w:val="000000" w:themeColor="text1"/>
          <w:sz w:val="16"/>
          <w:szCs w:val="16"/>
        </w:rPr>
        <w:instrText>CULTURALES Y AMBIENTALES (REDESCA) DE LA COMISIÓN INTERAMERICANA DE DERECHOS HUMANOS</w:instrText>
      </w:r>
      <w:r w:rsidRPr="009035C0">
        <w:rPr>
          <w:rFonts w:ascii="Cambria" w:hAnsi="Cambria"/>
          <w:color w:val="000000" w:themeColor="text1"/>
          <w:sz w:val="16"/>
          <w:szCs w:val="16"/>
        </w:rPr>
        <w:fldChar w:fldCharType="end"/>
      </w:r>
      <w:r w:rsidRPr="009035C0">
        <w:rPr>
          <w:rFonts w:ascii="Cambria" w:hAnsi="Cambria"/>
          <w:color w:val="000000" w:themeColor="text1"/>
          <w:sz w:val="16"/>
          <w:szCs w:val="16"/>
        </w:rPr>
        <w:fldChar w:fldCharType="begin"/>
      </w:r>
      <w:r w:rsidRPr="009035C0">
        <w:rPr>
          <w:rStyle w:val="Hyperlink"/>
          <w:rFonts w:ascii="Cambria" w:eastAsiaTheme="majorEastAsia" w:hAnsi="Cambria"/>
          <w:color w:val="000000" w:themeColor="text1"/>
          <w:sz w:val="16"/>
          <w:szCs w:val="16"/>
        </w:rPr>
        <w:instrText>(CIDH)</w:instrText>
      </w:r>
      <w:r w:rsidRPr="009035C0">
        <w:rPr>
          <w:rFonts w:ascii="Cambria" w:hAnsi="Cambria"/>
          <w:color w:val="000000" w:themeColor="text1"/>
          <w:sz w:val="16"/>
          <w:szCs w:val="16"/>
        </w:rPr>
        <w:fldChar w:fldCharType="end"/>
      </w:r>
      <w:r w:rsidRPr="009035C0">
        <w:rPr>
          <w:rFonts w:ascii="Cambria" w:hAnsi="Cambria"/>
          <w:color w:val="000000" w:themeColor="text1"/>
          <w:sz w:val="16"/>
          <w:szCs w:val="16"/>
        </w:rPr>
        <w:t>,</w:t>
      </w:r>
      <w:r w:rsidR="005C74B3">
        <w:rPr>
          <w:rFonts w:ascii="Cambria" w:hAnsi="Cambria"/>
          <w:color w:val="000000" w:themeColor="text1"/>
          <w:sz w:val="16"/>
          <w:szCs w:val="16"/>
        </w:rPr>
        <w:t xml:space="preserve"> IV Annual Report of the Special Rapporteurship on Economic, Social, Cultural and Environmental Rights],</w:t>
      </w:r>
      <w:r w:rsidRPr="009035C0">
        <w:rPr>
          <w:rFonts w:ascii="Cambria" w:hAnsi="Cambria"/>
          <w:color w:val="000000" w:themeColor="text1"/>
          <w:sz w:val="16"/>
          <w:szCs w:val="16"/>
        </w:rPr>
        <w:t xml:space="preserve"> 2020, OEA/SER.L/V/II, </w:t>
      </w:r>
      <w:r w:rsidR="005C74B3">
        <w:rPr>
          <w:rFonts w:ascii="Cambria" w:hAnsi="Cambria"/>
          <w:color w:val="000000" w:themeColor="text1"/>
          <w:sz w:val="16"/>
          <w:szCs w:val="16"/>
        </w:rPr>
        <w:t xml:space="preserve">March </w:t>
      </w:r>
      <w:r w:rsidRPr="009035C0">
        <w:rPr>
          <w:rFonts w:ascii="Cambria" w:hAnsi="Cambria"/>
          <w:color w:val="000000" w:themeColor="text1"/>
          <w:sz w:val="16"/>
          <w:szCs w:val="16"/>
        </w:rPr>
        <w:t>30</w:t>
      </w:r>
      <w:r w:rsidR="005C74B3">
        <w:rPr>
          <w:rFonts w:ascii="Cambria" w:hAnsi="Cambria"/>
          <w:color w:val="000000" w:themeColor="text1"/>
          <w:sz w:val="16"/>
          <w:szCs w:val="16"/>
        </w:rPr>
        <w:t>,</w:t>
      </w:r>
      <w:r w:rsidRPr="009035C0">
        <w:rPr>
          <w:rFonts w:ascii="Cambria" w:hAnsi="Cambria"/>
          <w:color w:val="000000" w:themeColor="text1"/>
          <w:sz w:val="16"/>
          <w:szCs w:val="16"/>
        </w:rPr>
        <w:t xml:space="preserve"> 2021, p</w:t>
      </w:r>
      <w:r w:rsidR="005C74B3">
        <w:rPr>
          <w:rFonts w:ascii="Cambria" w:hAnsi="Cambria"/>
          <w:color w:val="000000" w:themeColor="text1"/>
          <w:sz w:val="16"/>
          <w:szCs w:val="16"/>
        </w:rPr>
        <w:t>a</w:t>
      </w:r>
      <w:r w:rsidRPr="009035C0">
        <w:rPr>
          <w:rFonts w:ascii="Cambria" w:hAnsi="Cambria"/>
          <w:color w:val="000000" w:themeColor="text1"/>
          <w:sz w:val="16"/>
          <w:szCs w:val="16"/>
        </w:rPr>
        <w:t>r. 1128</w:t>
      </w:r>
    </w:p>
  </w:footnote>
  <w:footnote w:id="283">
    <w:p w14:paraId="71266844" w14:textId="1A95A0BE"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Ib</w:t>
      </w:r>
      <w:r w:rsidR="000742B5" w:rsidRPr="00E7771A">
        <w:rPr>
          <w:rFonts w:ascii="Cambria" w:hAnsi="Cambria"/>
          <w:color w:val="000000" w:themeColor="text1"/>
          <w:sz w:val="16"/>
          <w:szCs w:val="16"/>
          <w:lang w:val="es-US"/>
        </w:rPr>
        <w:t>i</w:t>
      </w:r>
      <w:r w:rsidRPr="00E7771A">
        <w:rPr>
          <w:rFonts w:ascii="Cambria" w:hAnsi="Cambria"/>
          <w:color w:val="000000" w:themeColor="text1"/>
          <w:sz w:val="16"/>
          <w:szCs w:val="16"/>
          <w:lang w:val="es-US"/>
        </w:rPr>
        <w:t>dem</w:t>
      </w:r>
    </w:p>
  </w:footnote>
  <w:footnote w:id="284">
    <w:p w14:paraId="697AE173" w14:textId="50312E64"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Ib</w:t>
      </w:r>
      <w:r w:rsidR="000742B5" w:rsidRPr="00E7771A">
        <w:rPr>
          <w:rFonts w:ascii="Cambria" w:hAnsi="Cambria"/>
          <w:color w:val="000000" w:themeColor="text1"/>
          <w:sz w:val="16"/>
          <w:szCs w:val="16"/>
          <w:lang w:val="es-US"/>
        </w:rPr>
        <w:t>i</w:t>
      </w:r>
      <w:r w:rsidRPr="00E7771A">
        <w:rPr>
          <w:rFonts w:ascii="Cambria" w:hAnsi="Cambria"/>
          <w:color w:val="000000" w:themeColor="text1"/>
          <w:sz w:val="16"/>
          <w:szCs w:val="16"/>
          <w:lang w:val="es-US"/>
        </w:rPr>
        <w:t>d, 1129.</w:t>
      </w:r>
    </w:p>
  </w:footnote>
  <w:footnote w:id="285">
    <w:p w14:paraId="2A27F695" w14:textId="7CB45E54"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DW, </w:t>
      </w:r>
      <w:hyperlink r:id="rId297" w:history="1">
        <w:r w:rsidRPr="00E7771A">
          <w:rPr>
            <w:rStyle w:val="Hyperlink"/>
            <w:rFonts w:ascii="Cambria" w:eastAsiaTheme="majorEastAsia" w:hAnsi="Cambria"/>
            <w:color w:val="000000" w:themeColor="text1"/>
            <w:sz w:val="16"/>
            <w:szCs w:val="16"/>
            <w:lang w:val="es-US"/>
          </w:rPr>
          <w:t>Venezuela y la falta de agua: los camiones cisterna son "una estrategia de propaganda muy cruel"</w:t>
        </w:r>
      </w:hyperlink>
      <w:r w:rsidRPr="00E7771A">
        <w:rPr>
          <w:rFonts w:ascii="Cambria" w:hAnsi="Cambria"/>
          <w:color w:val="000000" w:themeColor="text1"/>
          <w:sz w:val="16"/>
          <w:szCs w:val="16"/>
          <w:lang w:val="es-US"/>
        </w:rPr>
        <w:t xml:space="preserve">, </w:t>
      </w:r>
      <w:r w:rsidR="00B06CB1" w:rsidRPr="00E7771A">
        <w:rPr>
          <w:rFonts w:ascii="Cambria" w:hAnsi="Cambria"/>
          <w:color w:val="000000" w:themeColor="text1"/>
          <w:sz w:val="16"/>
          <w:szCs w:val="16"/>
          <w:lang w:val="es-US"/>
        </w:rPr>
        <w:t xml:space="preserve">May </w:t>
      </w:r>
      <w:r w:rsidRPr="00E7771A">
        <w:rPr>
          <w:rFonts w:ascii="Cambria" w:hAnsi="Cambria"/>
          <w:color w:val="000000" w:themeColor="text1"/>
          <w:sz w:val="16"/>
          <w:szCs w:val="16"/>
          <w:lang w:val="es-US"/>
        </w:rPr>
        <w:t>26</w:t>
      </w:r>
      <w:r w:rsidR="00B06CB1"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2020; Aula Abierta, </w:t>
      </w:r>
      <w:hyperlink r:id="rId298" w:history="1">
        <w:r w:rsidRPr="00E7771A">
          <w:rPr>
            <w:rStyle w:val="Hyperlink"/>
            <w:rFonts w:ascii="Cambria" w:eastAsiaTheme="majorEastAsia" w:hAnsi="Cambria"/>
            <w:color w:val="000000" w:themeColor="text1"/>
            <w:sz w:val="16"/>
            <w:szCs w:val="16"/>
            <w:lang w:val="es-US"/>
          </w:rPr>
          <w:t>Venezuela sin agua: presa fácil del Coronavirus</w:t>
        </w:r>
      </w:hyperlink>
      <w:r w:rsidRPr="00E7771A">
        <w:rPr>
          <w:rFonts w:ascii="Cambria" w:hAnsi="Cambria"/>
          <w:color w:val="000000" w:themeColor="text1"/>
          <w:sz w:val="16"/>
          <w:szCs w:val="16"/>
          <w:lang w:val="es-US"/>
        </w:rPr>
        <w:t xml:space="preserve">, </w:t>
      </w:r>
      <w:r w:rsidR="00B06CB1" w:rsidRPr="00E7771A">
        <w:rPr>
          <w:rFonts w:ascii="Cambria" w:hAnsi="Cambria"/>
          <w:color w:val="000000" w:themeColor="text1"/>
          <w:sz w:val="16"/>
          <w:szCs w:val="16"/>
          <w:lang w:val="es-US"/>
        </w:rPr>
        <w:t>[‘Venezuela with</w:t>
      </w:r>
      <w:r w:rsidR="0048161E" w:rsidRPr="00E7771A">
        <w:rPr>
          <w:rFonts w:ascii="Cambria" w:hAnsi="Cambria"/>
          <w:color w:val="000000" w:themeColor="text1"/>
          <w:sz w:val="16"/>
          <w:szCs w:val="16"/>
          <w:lang w:val="es-US"/>
        </w:rPr>
        <w:t>out</w:t>
      </w:r>
      <w:r w:rsidR="00B06CB1" w:rsidRPr="00E7771A">
        <w:rPr>
          <w:rFonts w:ascii="Cambria" w:hAnsi="Cambria"/>
          <w:color w:val="000000" w:themeColor="text1"/>
          <w:sz w:val="16"/>
          <w:szCs w:val="16"/>
          <w:lang w:val="es-US"/>
        </w:rPr>
        <w:t xml:space="preserve"> water: easy prey for Coronavirus’], March </w:t>
      </w:r>
      <w:r w:rsidRPr="00E7771A">
        <w:rPr>
          <w:rFonts w:ascii="Cambria" w:hAnsi="Cambria"/>
          <w:color w:val="000000" w:themeColor="text1"/>
          <w:sz w:val="16"/>
          <w:szCs w:val="16"/>
          <w:lang w:val="es-US"/>
        </w:rPr>
        <w:t>27</w:t>
      </w:r>
      <w:r w:rsidR="00B06CB1"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2020</w:t>
      </w:r>
    </w:p>
  </w:footnote>
  <w:footnote w:id="286">
    <w:p w14:paraId="5A2B8AFE" w14:textId="6E8F86C6"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DW, </w:t>
      </w:r>
      <w:hyperlink r:id="rId299" w:history="1">
        <w:r w:rsidRPr="00E7771A">
          <w:rPr>
            <w:rStyle w:val="Hyperlink"/>
            <w:rFonts w:ascii="Cambria" w:eastAsiaTheme="majorEastAsia" w:hAnsi="Cambria"/>
            <w:color w:val="000000" w:themeColor="text1"/>
            <w:sz w:val="16"/>
            <w:szCs w:val="16"/>
            <w:lang w:val="es-US"/>
          </w:rPr>
          <w:t>Venezuela y la falta de agua: los camiones cisterna son "una estrategia de propaganda muy cruel"</w:t>
        </w:r>
      </w:hyperlink>
      <w:r w:rsidRPr="00E7771A">
        <w:rPr>
          <w:rFonts w:ascii="Cambria" w:hAnsi="Cambria"/>
          <w:color w:val="000000" w:themeColor="text1"/>
          <w:sz w:val="16"/>
          <w:szCs w:val="16"/>
          <w:lang w:val="es-US"/>
        </w:rPr>
        <w:t xml:space="preserve">, </w:t>
      </w:r>
      <w:r w:rsidR="00BA5CA1" w:rsidRPr="00E7771A">
        <w:rPr>
          <w:rFonts w:ascii="Cambria" w:hAnsi="Cambria"/>
          <w:color w:val="000000" w:themeColor="text1"/>
          <w:sz w:val="16"/>
          <w:szCs w:val="16"/>
          <w:lang w:val="es-US"/>
        </w:rPr>
        <w:t xml:space="preserve">[‘Venezuela and water shortage: tank trucks are “a very cruel propaganda strategy’], May </w:t>
      </w:r>
      <w:r w:rsidRPr="00E7771A">
        <w:rPr>
          <w:rFonts w:ascii="Cambria" w:hAnsi="Cambria"/>
          <w:color w:val="000000" w:themeColor="text1"/>
          <w:sz w:val="16"/>
          <w:szCs w:val="16"/>
          <w:lang w:val="es-US"/>
        </w:rPr>
        <w:t>26</w:t>
      </w:r>
      <w:r w:rsidR="00BA5CA1"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2020</w:t>
      </w:r>
    </w:p>
  </w:footnote>
  <w:footnote w:id="287">
    <w:p w14:paraId="53801C72" w14:textId="1F00EAFA"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El Diario, </w:t>
      </w:r>
      <w:hyperlink r:id="rId300" w:history="1">
        <w:r w:rsidRPr="00E7771A">
          <w:rPr>
            <w:rStyle w:val="Hyperlink"/>
            <w:rFonts w:ascii="Cambria" w:eastAsiaTheme="majorEastAsia" w:hAnsi="Cambria"/>
            <w:color w:val="000000" w:themeColor="text1"/>
            <w:sz w:val="16"/>
            <w:szCs w:val="16"/>
            <w:lang w:val="es-US"/>
          </w:rPr>
          <w:t>Agua, electricidad y gas: los servicios peor calificados por los venezolanos</w:t>
        </w:r>
      </w:hyperlink>
      <w:r w:rsidRPr="00E7771A">
        <w:rPr>
          <w:rFonts w:ascii="Cambria" w:hAnsi="Cambria"/>
          <w:color w:val="000000" w:themeColor="text1"/>
          <w:sz w:val="16"/>
          <w:szCs w:val="16"/>
          <w:lang w:val="es-US"/>
        </w:rPr>
        <w:t xml:space="preserve">, </w:t>
      </w:r>
      <w:r w:rsidR="00097093" w:rsidRPr="00E7771A">
        <w:rPr>
          <w:rFonts w:ascii="Cambria" w:hAnsi="Cambria"/>
          <w:color w:val="000000" w:themeColor="text1"/>
          <w:sz w:val="16"/>
          <w:szCs w:val="16"/>
          <w:lang w:val="es-US"/>
        </w:rPr>
        <w:t>[‘Water, electricity and gas: the services the wors</w:t>
      </w:r>
      <w:r w:rsidR="009B6D6A" w:rsidRPr="00E7771A">
        <w:rPr>
          <w:rFonts w:ascii="Cambria" w:hAnsi="Cambria"/>
          <w:color w:val="000000" w:themeColor="text1"/>
          <w:sz w:val="16"/>
          <w:szCs w:val="16"/>
          <w:lang w:val="es-US"/>
        </w:rPr>
        <w:t>e</w:t>
      </w:r>
      <w:r w:rsidR="00097093" w:rsidRPr="00E7771A">
        <w:rPr>
          <w:rFonts w:ascii="Cambria" w:hAnsi="Cambria"/>
          <w:color w:val="000000" w:themeColor="text1"/>
          <w:sz w:val="16"/>
          <w:szCs w:val="16"/>
          <w:lang w:val="es-US"/>
        </w:rPr>
        <w:t xml:space="preserve"> rated by Venezuelans’], September 3</w:t>
      </w:r>
      <w:r w:rsidRPr="00E7771A">
        <w:rPr>
          <w:rFonts w:ascii="Cambria" w:hAnsi="Cambria"/>
          <w:color w:val="000000" w:themeColor="text1"/>
          <w:sz w:val="16"/>
          <w:szCs w:val="16"/>
          <w:lang w:val="es-US"/>
        </w:rPr>
        <w:t>0</w:t>
      </w:r>
      <w:r w:rsidR="00097093"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r w:rsidR="007C2873" w:rsidRPr="00E7771A">
        <w:rPr>
          <w:rFonts w:ascii="Cambria" w:hAnsi="Cambria"/>
          <w:color w:val="000000" w:themeColor="text1"/>
          <w:sz w:val="16"/>
          <w:szCs w:val="16"/>
          <w:lang w:val="es-US"/>
        </w:rPr>
        <w:t>Venezuelan Public Services Observatory</w:t>
      </w:r>
      <w:r w:rsidRPr="00E7771A">
        <w:rPr>
          <w:rFonts w:ascii="Cambria" w:hAnsi="Cambria"/>
          <w:color w:val="000000" w:themeColor="text1"/>
          <w:sz w:val="16"/>
          <w:szCs w:val="16"/>
          <w:lang w:val="es-US"/>
        </w:rPr>
        <w:t xml:space="preserve">, </w:t>
      </w:r>
      <w:hyperlink r:id="rId301" w:history="1">
        <w:r w:rsidRPr="00E7771A">
          <w:rPr>
            <w:rStyle w:val="Hyperlink"/>
            <w:rFonts w:ascii="Cambria" w:hAnsi="Cambria"/>
            <w:color w:val="000000" w:themeColor="text1"/>
            <w:sz w:val="16"/>
            <w:szCs w:val="16"/>
            <w:lang w:val="es-US"/>
          </w:rPr>
          <w:t>Percepción ciudadana sobre los daños ambientales que genera las fallas en los servicios públicos</w:t>
        </w:r>
      </w:hyperlink>
      <w:r w:rsidRPr="00E7771A">
        <w:rPr>
          <w:rFonts w:ascii="Cambria" w:hAnsi="Cambria"/>
          <w:color w:val="000000" w:themeColor="text1"/>
          <w:sz w:val="16"/>
          <w:szCs w:val="16"/>
          <w:lang w:val="es-US"/>
        </w:rPr>
        <w:t xml:space="preserve">, </w:t>
      </w:r>
      <w:r w:rsidR="007C2873" w:rsidRPr="00E7771A">
        <w:rPr>
          <w:rFonts w:ascii="Cambria" w:hAnsi="Cambria"/>
          <w:color w:val="000000" w:themeColor="text1"/>
          <w:sz w:val="16"/>
          <w:szCs w:val="16"/>
          <w:lang w:val="es-US"/>
        </w:rPr>
        <w:t>[‘Citizen perception of environmental damages caused by failures in public services’], No.</w:t>
      </w:r>
      <w:r w:rsidRPr="00E7771A">
        <w:rPr>
          <w:rFonts w:ascii="Cambria" w:hAnsi="Cambria"/>
          <w:color w:val="000000" w:themeColor="text1"/>
          <w:sz w:val="16"/>
          <w:szCs w:val="16"/>
          <w:lang w:val="es-US"/>
        </w:rPr>
        <w:t xml:space="preserve"> 27, Sept</w:t>
      </w:r>
      <w:r w:rsidR="007C2873" w:rsidRPr="00E7771A">
        <w:rPr>
          <w:rFonts w:ascii="Cambria" w:hAnsi="Cambria"/>
          <w:color w:val="000000" w:themeColor="text1"/>
          <w:sz w:val="16"/>
          <w:szCs w:val="16"/>
          <w:lang w:val="es-US"/>
        </w:rPr>
        <w:t xml:space="preserve">ember </w:t>
      </w:r>
      <w:r w:rsidRPr="00E7771A">
        <w:rPr>
          <w:rFonts w:ascii="Cambria" w:hAnsi="Cambria"/>
          <w:color w:val="000000" w:themeColor="text1"/>
          <w:sz w:val="16"/>
          <w:szCs w:val="16"/>
          <w:lang w:val="es-US"/>
        </w:rPr>
        <w:t>2021</w:t>
      </w:r>
    </w:p>
  </w:footnote>
  <w:footnote w:id="288">
    <w:p w14:paraId="70E8A4CE" w14:textId="544BEA5F" w:rsidR="00D24896" w:rsidRPr="00E7771A" w:rsidRDefault="00D24896" w:rsidP="00F85814">
      <w:pPr>
        <w:pStyle w:val="FootnoteText"/>
        <w:spacing w:after="120"/>
        <w:ind w:firstLine="720"/>
        <w:jc w:val="both"/>
        <w:rPr>
          <w:rStyle w:val="Hyperlink"/>
          <w:rFonts w:ascii="Cambria" w:hAnsi="Cambria"/>
          <w:color w:val="000000" w:themeColor="text1"/>
          <w:sz w:val="16"/>
          <w:szCs w:val="16"/>
          <w:shd w:val="clear" w:color="auto" w:fill="FFFFFF"/>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Pr="00E7771A">
        <w:rPr>
          <w:rFonts w:ascii="Cambria" w:hAnsi="Cambria"/>
          <w:color w:val="000000" w:themeColor="text1"/>
          <w:sz w:val="16"/>
          <w:szCs w:val="16"/>
          <w:shd w:val="clear" w:color="auto" w:fill="FFFFFF"/>
          <w:lang w:val="es-US"/>
        </w:rPr>
        <w:t xml:space="preserve">UCAB, Centro de Derechos Humanos, </w:t>
      </w:r>
      <w:r w:rsidRPr="009035C0">
        <w:rPr>
          <w:rFonts w:ascii="Cambria" w:hAnsi="Cambria"/>
          <w:color w:val="000000" w:themeColor="text1"/>
          <w:sz w:val="16"/>
          <w:szCs w:val="16"/>
          <w:shd w:val="clear" w:color="auto" w:fill="FFFFFF"/>
        </w:rPr>
        <w:fldChar w:fldCharType="begin"/>
      </w:r>
      <w:r w:rsidRPr="00E7771A">
        <w:rPr>
          <w:rFonts w:ascii="Cambria" w:hAnsi="Cambria"/>
          <w:color w:val="000000" w:themeColor="text1"/>
          <w:sz w:val="16"/>
          <w:szCs w:val="16"/>
          <w:shd w:val="clear" w:color="auto" w:fill="FFFFFF"/>
          <w:lang w:val="es-US"/>
        </w:rPr>
        <w:instrText xml:space="preserve"> HYPERLINK "https://cdh.ucab.edu.ve/lineas-tematicas/esclavitud-moderna/" </w:instrText>
      </w:r>
      <w:r w:rsidRPr="009035C0">
        <w:rPr>
          <w:rFonts w:ascii="Cambria" w:hAnsi="Cambria"/>
          <w:color w:val="000000" w:themeColor="text1"/>
          <w:sz w:val="16"/>
          <w:szCs w:val="16"/>
          <w:shd w:val="clear" w:color="auto" w:fill="FFFFFF"/>
        </w:rPr>
        <w:fldChar w:fldCharType="separate"/>
      </w:r>
      <w:r w:rsidRPr="00E7771A">
        <w:rPr>
          <w:rStyle w:val="Hyperlink"/>
          <w:rFonts w:ascii="Cambria" w:hAnsi="Cambria"/>
          <w:color w:val="000000" w:themeColor="text1"/>
          <w:sz w:val="16"/>
          <w:szCs w:val="16"/>
          <w:shd w:val="clear" w:color="auto" w:fill="FFFFFF"/>
          <w:lang w:val="es-US"/>
        </w:rPr>
        <w:t>ESCLAVITUD MODERNA</w:t>
      </w:r>
    </w:p>
    <w:p w14:paraId="28076C72" w14:textId="77777777" w:rsidR="00D24896" w:rsidRPr="00E7771A" w:rsidRDefault="00D24896" w:rsidP="00F85814">
      <w:pPr>
        <w:pStyle w:val="FootnoteText"/>
        <w:spacing w:after="120"/>
        <w:ind w:firstLine="720"/>
        <w:jc w:val="both"/>
        <w:rPr>
          <w:rStyle w:val="Hyperlink"/>
          <w:rFonts w:ascii="Cambria" w:hAnsi="Cambria"/>
          <w:color w:val="000000" w:themeColor="text1"/>
          <w:sz w:val="16"/>
          <w:szCs w:val="16"/>
          <w:shd w:val="clear" w:color="auto" w:fill="FFFFFF"/>
          <w:lang w:val="es-US"/>
        </w:rPr>
      </w:pPr>
      <w:r w:rsidRPr="00E7771A">
        <w:rPr>
          <w:rStyle w:val="Hyperlink"/>
          <w:rFonts w:ascii="Cambria" w:hAnsi="Cambria"/>
          <w:color w:val="000000" w:themeColor="text1"/>
          <w:sz w:val="16"/>
          <w:szCs w:val="16"/>
          <w:shd w:val="clear" w:color="auto" w:fill="FFFFFF"/>
          <w:lang w:val="es-US"/>
        </w:rPr>
        <w:t>Y EXPLOTACIÓN LABORAL</w:t>
      </w:r>
    </w:p>
    <w:p w14:paraId="3FD823C3" w14:textId="36BD585B"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E7771A">
        <w:rPr>
          <w:rStyle w:val="Hyperlink"/>
          <w:rFonts w:ascii="Cambria" w:hAnsi="Cambria"/>
          <w:color w:val="000000" w:themeColor="text1"/>
          <w:sz w:val="16"/>
          <w:szCs w:val="16"/>
          <w:shd w:val="clear" w:color="auto" w:fill="FFFFFF"/>
          <w:lang w:val="es-US"/>
        </w:rPr>
        <w:t>EN VENEZUELA CON ESPECIAL ÉNFASIS EN LAS CONDICIONES DEL ESTADO BOLÍVAR</w:t>
      </w:r>
      <w:r w:rsidRPr="009035C0">
        <w:rPr>
          <w:rFonts w:ascii="Cambria" w:hAnsi="Cambria"/>
          <w:color w:val="000000" w:themeColor="text1"/>
          <w:sz w:val="16"/>
          <w:szCs w:val="16"/>
          <w:shd w:val="clear" w:color="auto" w:fill="FFFFFF"/>
        </w:rPr>
        <w:fldChar w:fldCharType="end"/>
      </w:r>
      <w:r w:rsidRPr="00E7771A">
        <w:rPr>
          <w:rFonts w:ascii="Cambria" w:hAnsi="Cambria"/>
          <w:color w:val="000000" w:themeColor="text1"/>
          <w:sz w:val="16"/>
          <w:szCs w:val="16"/>
          <w:shd w:val="clear" w:color="auto" w:fill="FFFFFF"/>
          <w:lang w:val="es-US"/>
        </w:rPr>
        <w:t xml:space="preserve">, </w:t>
      </w:r>
      <w:r w:rsidR="007C2873" w:rsidRPr="00E7771A">
        <w:rPr>
          <w:rFonts w:ascii="Cambria" w:hAnsi="Cambria"/>
          <w:color w:val="000000" w:themeColor="text1"/>
          <w:sz w:val="16"/>
          <w:szCs w:val="16"/>
          <w:shd w:val="clear" w:color="auto" w:fill="FFFFFF"/>
          <w:lang w:val="es-US"/>
        </w:rPr>
        <w:t xml:space="preserve">[‘Modern slavery and labor exploitation in Venezuela with special focus on conditions in the state of Bolivar’], March </w:t>
      </w:r>
      <w:r w:rsidRPr="00E7771A">
        <w:rPr>
          <w:rFonts w:ascii="Cambria" w:hAnsi="Cambria"/>
          <w:color w:val="000000" w:themeColor="text1"/>
          <w:sz w:val="16"/>
          <w:szCs w:val="16"/>
          <w:shd w:val="clear" w:color="auto" w:fill="FFFFFF"/>
          <w:lang w:val="es-US"/>
        </w:rPr>
        <w:t>03</w:t>
      </w:r>
      <w:r w:rsidR="007C2873" w:rsidRPr="00E7771A">
        <w:rPr>
          <w:rFonts w:ascii="Cambria" w:hAnsi="Cambria"/>
          <w:color w:val="000000" w:themeColor="text1"/>
          <w:sz w:val="16"/>
          <w:szCs w:val="16"/>
          <w:shd w:val="clear" w:color="auto" w:fill="FFFFFF"/>
          <w:lang w:val="es-US"/>
        </w:rPr>
        <w:t>,</w:t>
      </w:r>
      <w:r w:rsidRPr="00E7771A">
        <w:rPr>
          <w:rFonts w:ascii="Cambria" w:hAnsi="Cambria"/>
          <w:color w:val="000000" w:themeColor="text1"/>
          <w:sz w:val="16"/>
          <w:szCs w:val="16"/>
          <w:shd w:val="clear" w:color="auto" w:fill="FFFFFF"/>
          <w:lang w:val="es-US"/>
        </w:rPr>
        <w:t xml:space="preserve"> 2021</w:t>
      </w:r>
      <w:r w:rsidRPr="00E7771A">
        <w:rPr>
          <w:rFonts w:ascii="Cambria" w:hAnsi="Cambria"/>
          <w:color w:val="000000" w:themeColor="text1"/>
          <w:sz w:val="16"/>
          <w:szCs w:val="16"/>
          <w:lang w:val="es-US"/>
        </w:rPr>
        <w:t xml:space="preserve">, pg. 11. </w:t>
      </w:r>
    </w:p>
  </w:footnote>
  <w:footnote w:id="289">
    <w:p w14:paraId="61E0BB37" w14:textId="001A2091" w:rsidR="00D24896" w:rsidRPr="00F85814"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UCAB, </w:t>
      </w:r>
      <w:r w:rsidR="003D2366">
        <w:rPr>
          <w:rFonts w:ascii="Cambria" w:hAnsi="Cambria"/>
          <w:color w:val="000000" w:themeColor="text1"/>
          <w:sz w:val="16"/>
          <w:szCs w:val="16"/>
        </w:rPr>
        <w:t>Institute for Economic and Social Research</w:t>
      </w:r>
      <w:r w:rsidRPr="009035C0">
        <w:rPr>
          <w:rFonts w:ascii="Cambria" w:hAnsi="Cambria"/>
          <w:color w:val="000000" w:themeColor="text1"/>
          <w:sz w:val="16"/>
          <w:szCs w:val="16"/>
        </w:rPr>
        <w:t xml:space="preserve">, ENCOVI </w:t>
      </w:r>
      <w:r w:rsidR="003D2366">
        <w:rPr>
          <w:rFonts w:ascii="Cambria" w:hAnsi="Cambria"/>
          <w:color w:val="000000" w:themeColor="text1"/>
          <w:sz w:val="16"/>
          <w:szCs w:val="16"/>
        </w:rPr>
        <w:t>–</w:t>
      </w:r>
      <w:r w:rsidRPr="009035C0">
        <w:rPr>
          <w:rFonts w:ascii="Cambria" w:hAnsi="Cambria"/>
          <w:color w:val="000000" w:themeColor="text1"/>
          <w:sz w:val="16"/>
          <w:szCs w:val="16"/>
        </w:rPr>
        <w:t xml:space="preserve"> </w:t>
      </w:r>
      <w:r w:rsidR="003D2366">
        <w:rPr>
          <w:rFonts w:ascii="Cambria" w:hAnsi="Cambria"/>
          <w:color w:val="000000" w:themeColor="text1"/>
          <w:sz w:val="16"/>
          <w:szCs w:val="16"/>
        </w:rPr>
        <w:t xml:space="preserve">National Living Conditions Survey </w:t>
      </w:r>
      <w:r w:rsidRPr="009035C0">
        <w:rPr>
          <w:rFonts w:ascii="Cambria" w:hAnsi="Cambria"/>
          <w:color w:val="000000" w:themeColor="text1"/>
          <w:sz w:val="16"/>
          <w:szCs w:val="16"/>
        </w:rPr>
        <w:t>2021, Sept</w:t>
      </w:r>
      <w:r w:rsidR="003D2366">
        <w:rPr>
          <w:rFonts w:ascii="Cambria" w:hAnsi="Cambria"/>
          <w:color w:val="000000" w:themeColor="text1"/>
          <w:sz w:val="16"/>
          <w:szCs w:val="16"/>
        </w:rPr>
        <w:t xml:space="preserve">ember </w:t>
      </w:r>
      <w:r w:rsidRPr="009035C0">
        <w:rPr>
          <w:rFonts w:ascii="Cambria" w:hAnsi="Cambria"/>
          <w:color w:val="000000" w:themeColor="text1"/>
          <w:sz w:val="16"/>
          <w:szCs w:val="16"/>
        </w:rPr>
        <w:t>2021, p</w:t>
      </w:r>
      <w:r w:rsidR="003D2366">
        <w:rPr>
          <w:rFonts w:ascii="Cambria" w:hAnsi="Cambria"/>
          <w:color w:val="000000" w:themeColor="text1"/>
          <w:sz w:val="16"/>
          <w:szCs w:val="16"/>
        </w:rPr>
        <w:t>gs</w:t>
      </w:r>
      <w:r w:rsidRPr="009035C0">
        <w:rPr>
          <w:rFonts w:ascii="Cambria" w:hAnsi="Cambria"/>
          <w:color w:val="000000" w:themeColor="text1"/>
          <w:sz w:val="16"/>
          <w:szCs w:val="16"/>
        </w:rPr>
        <w:t xml:space="preserve">.  </w:t>
      </w:r>
      <w:r w:rsidRPr="00F85814">
        <w:rPr>
          <w:rFonts w:ascii="Cambria" w:hAnsi="Cambria"/>
          <w:color w:val="000000" w:themeColor="text1"/>
          <w:sz w:val="16"/>
          <w:szCs w:val="16"/>
          <w:lang w:val="es-US"/>
        </w:rPr>
        <w:t>40-41</w:t>
      </w:r>
    </w:p>
  </w:footnote>
  <w:footnote w:id="290">
    <w:p w14:paraId="057B22D9" w14:textId="77777777" w:rsidR="00D24896" w:rsidRPr="00E7771A" w:rsidRDefault="00D24896" w:rsidP="00F85814">
      <w:pPr>
        <w:pStyle w:val="FootnoteText"/>
        <w:spacing w:after="120"/>
        <w:ind w:firstLine="720"/>
        <w:jc w:val="both"/>
        <w:rPr>
          <w:rStyle w:val="Hyperlink"/>
          <w:rFonts w:ascii="Cambria" w:hAnsi="Cambria"/>
          <w:color w:val="000000" w:themeColor="text1"/>
          <w:sz w:val="16"/>
          <w:szCs w:val="16"/>
          <w:shd w:val="clear" w:color="auto" w:fill="FFFFFF"/>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Pr="00E7771A">
        <w:rPr>
          <w:rFonts w:ascii="Cambria" w:hAnsi="Cambria"/>
          <w:color w:val="000000" w:themeColor="text1"/>
          <w:sz w:val="16"/>
          <w:szCs w:val="16"/>
          <w:shd w:val="clear" w:color="auto" w:fill="FFFFFF"/>
          <w:lang w:val="es-US"/>
        </w:rPr>
        <w:t xml:space="preserve">UCAB, Centro de Derechos Humanos, </w:t>
      </w:r>
      <w:r w:rsidRPr="009035C0">
        <w:rPr>
          <w:rFonts w:ascii="Cambria" w:hAnsi="Cambria"/>
          <w:color w:val="000000" w:themeColor="text1"/>
          <w:sz w:val="16"/>
          <w:szCs w:val="16"/>
          <w:shd w:val="clear" w:color="auto" w:fill="FFFFFF"/>
        </w:rPr>
        <w:fldChar w:fldCharType="begin"/>
      </w:r>
      <w:r w:rsidRPr="00E7771A">
        <w:rPr>
          <w:rFonts w:ascii="Cambria" w:hAnsi="Cambria"/>
          <w:color w:val="000000" w:themeColor="text1"/>
          <w:sz w:val="16"/>
          <w:szCs w:val="16"/>
          <w:shd w:val="clear" w:color="auto" w:fill="FFFFFF"/>
          <w:lang w:val="es-US"/>
        </w:rPr>
        <w:instrText xml:space="preserve"> HYPERLINK "https://cdh.ucab.edu.ve/lineas-tematicas/esclavitud-moderna/" </w:instrText>
      </w:r>
      <w:r w:rsidRPr="009035C0">
        <w:rPr>
          <w:rFonts w:ascii="Cambria" w:hAnsi="Cambria"/>
          <w:color w:val="000000" w:themeColor="text1"/>
          <w:sz w:val="16"/>
          <w:szCs w:val="16"/>
          <w:shd w:val="clear" w:color="auto" w:fill="FFFFFF"/>
        </w:rPr>
        <w:fldChar w:fldCharType="separate"/>
      </w:r>
      <w:r w:rsidRPr="00E7771A">
        <w:rPr>
          <w:rStyle w:val="Hyperlink"/>
          <w:rFonts w:ascii="Cambria" w:hAnsi="Cambria"/>
          <w:color w:val="000000" w:themeColor="text1"/>
          <w:sz w:val="16"/>
          <w:szCs w:val="16"/>
          <w:shd w:val="clear" w:color="auto" w:fill="FFFFFF"/>
          <w:lang w:val="es-US"/>
        </w:rPr>
        <w:t>ESCLAVITUD MODERNA</w:t>
      </w:r>
    </w:p>
    <w:p w14:paraId="5FF48797" w14:textId="77777777" w:rsidR="00D24896" w:rsidRPr="00E7771A" w:rsidRDefault="00D24896" w:rsidP="00F85814">
      <w:pPr>
        <w:pStyle w:val="FootnoteText"/>
        <w:spacing w:after="120"/>
        <w:ind w:firstLine="720"/>
        <w:jc w:val="both"/>
        <w:rPr>
          <w:rStyle w:val="Hyperlink"/>
          <w:rFonts w:ascii="Cambria" w:hAnsi="Cambria"/>
          <w:color w:val="000000" w:themeColor="text1"/>
          <w:sz w:val="16"/>
          <w:szCs w:val="16"/>
          <w:shd w:val="clear" w:color="auto" w:fill="FFFFFF"/>
          <w:lang w:val="es-US"/>
        </w:rPr>
      </w:pPr>
      <w:r w:rsidRPr="00E7771A">
        <w:rPr>
          <w:rStyle w:val="Hyperlink"/>
          <w:rFonts w:ascii="Cambria" w:hAnsi="Cambria"/>
          <w:color w:val="000000" w:themeColor="text1"/>
          <w:sz w:val="16"/>
          <w:szCs w:val="16"/>
          <w:shd w:val="clear" w:color="auto" w:fill="FFFFFF"/>
          <w:lang w:val="es-US"/>
        </w:rPr>
        <w:t>Y EXPLOTACIÓN LABORAL</w:t>
      </w:r>
    </w:p>
    <w:p w14:paraId="4302A4DD" w14:textId="02D872FC" w:rsidR="00D24896" w:rsidRPr="009035C0" w:rsidRDefault="00D24896" w:rsidP="00F85814">
      <w:pPr>
        <w:pStyle w:val="FootnoteText"/>
        <w:spacing w:after="120"/>
        <w:ind w:firstLine="720"/>
        <w:jc w:val="both"/>
        <w:rPr>
          <w:rFonts w:ascii="Cambria" w:hAnsi="Cambria"/>
          <w:color w:val="000000" w:themeColor="text1"/>
          <w:sz w:val="16"/>
          <w:szCs w:val="16"/>
        </w:rPr>
      </w:pPr>
      <w:r w:rsidRPr="00E7771A">
        <w:rPr>
          <w:rStyle w:val="Hyperlink"/>
          <w:rFonts w:ascii="Cambria" w:hAnsi="Cambria"/>
          <w:color w:val="000000" w:themeColor="text1"/>
          <w:sz w:val="16"/>
          <w:szCs w:val="16"/>
          <w:shd w:val="clear" w:color="auto" w:fill="FFFFFF"/>
          <w:lang w:val="es-US"/>
        </w:rPr>
        <w:t>EN VENEZUELA CON ESPECIAL ÉNFASIS EN LAS CONDICIONES DEL ESTADO BOLÍVAR</w:t>
      </w:r>
      <w:r w:rsidRPr="009035C0">
        <w:rPr>
          <w:rFonts w:ascii="Cambria" w:hAnsi="Cambria"/>
          <w:color w:val="000000" w:themeColor="text1"/>
          <w:sz w:val="16"/>
          <w:szCs w:val="16"/>
          <w:shd w:val="clear" w:color="auto" w:fill="FFFFFF"/>
        </w:rPr>
        <w:fldChar w:fldCharType="end"/>
      </w:r>
      <w:r w:rsidRPr="00E7771A">
        <w:rPr>
          <w:rFonts w:ascii="Cambria" w:hAnsi="Cambria"/>
          <w:color w:val="000000" w:themeColor="text1"/>
          <w:sz w:val="16"/>
          <w:szCs w:val="16"/>
          <w:shd w:val="clear" w:color="auto" w:fill="FFFFFF"/>
          <w:lang w:val="es-US"/>
        </w:rPr>
        <w:t xml:space="preserve">, </w:t>
      </w:r>
      <w:r w:rsidR="00E0039A" w:rsidRPr="00E7771A">
        <w:rPr>
          <w:rFonts w:ascii="Cambria" w:hAnsi="Cambria"/>
          <w:color w:val="000000" w:themeColor="text1"/>
          <w:sz w:val="16"/>
          <w:szCs w:val="16"/>
          <w:shd w:val="clear" w:color="auto" w:fill="FFFFFF"/>
          <w:lang w:val="es-US"/>
        </w:rPr>
        <w:t>[‘Modern slavery and labor exploitation in Venezuela with special focus on conditions in the state of Bolivar’], March 03, 2021</w:t>
      </w:r>
      <w:r w:rsidR="00E0039A" w:rsidRPr="00E7771A">
        <w:rPr>
          <w:rFonts w:ascii="Cambria" w:hAnsi="Cambria"/>
          <w:color w:val="000000" w:themeColor="text1"/>
          <w:sz w:val="16"/>
          <w:szCs w:val="16"/>
          <w:lang w:val="es-US"/>
        </w:rPr>
        <w:t>, pg.</w:t>
      </w:r>
      <w:r w:rsidRPr="00E7771A">
        <w:rPr>
          <w:rFonts w:ascii="Cambria" w:hAnsi="Cambria"/>
          <w:color w:val="000000" w:themeColor="text1"/>
          <w:sz w:val="16"/>
          <w:szCs w:val="16"/>
          <w:lang w:val="es-US"/>
        </w:rPr>
        <w:t xml:space="preserve">. </w:t>
      </w:r>
      <w:r w:rsidRPr="009035C0">
        <w:rPr>
          <w:rFonts w:ascii="Cambria" w:hAnsi="Cambria"/>
          <w:color w:val="000000" w:themeColor="text1"/>
          <w:sz w:val="16"/>
          <w:szCs w:val="16"/>
        </w:rPr>
        <w:t>11.</w:t>
      </w:r>
    </w:p>
  </w:footnote>
  <w:footnote w:id="291">
    <w:p w14:paraId="577B9989" w14:textId="0424DBE4"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Ib</w:t>
      </w:r>
      <w:r w:rsidR="000742B5">
        <w:rPr>
          <w:rFonts w:ascii="Cambria" w:hAnsi="Cambria"/>
          <w:color w:val="000000" w:themeColor="text1"/>
          <w:sz w:val="16"/>
          <w:szCs w:val="16"/>
        </w:rPr>
        <w:t>i</w:t>
      </w:r>
      <w:r w:rsidRPr="009035C0">
        <w:rPr>
          <w:rFonts w:ascii="Cambria" w:hAnsi="Cambria"/>
          <w:color w:val="000000" w:themeColor="text1"/>
          <w:sz w:val="16"/>
          <w:szCs w:val="16"/>
        </w:rPr>
        <w:t>dem</w:t>
      </w:r>
    </w:p>
  </w:footnote>
  <w:footnote w:id="292">
    <w:p w14:paraId="3BBE0226" w14:textId="4AF4638B"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Ib</w:t>
      </w:r>
      <w:r w:rsidR="000742B5">
        <w:rPr>
          <w:rFonts w:ascii="Cambria" w:hAnsi="Cambria"/>
          <w:color w:val="000000" w:themeColor="text1"/>
          <w:sz w:val="16"/>
          <w:szCs w:val="16"/>
        </w:rPr>
        <w:t>i</w:t>
      </w:r>
      <w:r w:rsidRPr="009035C0">
        <w:rPr>
          <w:rFonts w:ascii="Cambria" w:hAnsi="Cambria"/>
          <w:color w:val="000000" w:themeColor="text1"/>
          <w:sz w:val="16"/>
          <w:szCs w:val="16"/>
        </w:rPr>
        <w:t>dem</w:t>
      </w:r>
    </w:p>
  </w:footnote>
  <w:footnote w:id="293">
    <w:p w14:paraId="03653C6E" w14:textId="0EF8BFA6"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REDESCA, </w:t>
      </w:r>
      <w:r w:rsidR="00E0039A">
        <w:rPr>
          <w:rFonts w:ascii="Cambria" w:hAnsi="Cambria"/>
          <w:color w:val="000000" w:themeColor="text1"/>
          <w:sz w:val="16"/>
          <w:szCs w:val="16"/>
        </w:rPr>
        <w:t>Meeting with Alliance for the defense of Labor Human Rights</w:t>
      </w:r>
      <w:r w:rsidRPr="009035C0">
        <w:rPr>
          <w:rFonts w:ascii="Cambria" w:hAnsi="Cambria"/>
          <w:color w:val="000000" w:themeColor="text1"/>
          <w:sz w:val="16"/>
          <w:szCs w:val="16"/>
        </w:rPr>
        <w:t xml:space="preserve">, </w:t>
      </w:r>
      <w:r w:rsidR="00E0039A">
        <w:rPr>
          <w:rFonts w:ascii="Cambria" w:hAnsi="Cambria"/>
          <w:color w:val="000000" w:themeColor="text1"/>
          <w:sz w:val="16"/>
          <w:szCs w:val="16"/>
        </w:rPr>
        <w:t xml:space="preserve">April </w:t>
      </w:r>
      <w:r w:rsidRPr="009035C0">
        <w:rPr>
          <w:rFonts w:ascii="Cambria" w:hAnsi="Cambria"/>
          <w:color w:val="000000" w:themeColor="text1"/>
          <w:sz w:val="16"/>
          <w:szCs w:val="16"/>
        </w:rPr>
        <w:t>13</w:t>
      </w:r>
      <w:r w:rsidR="00E0039A">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294">
    <w:p w14:paraId="5DCC0C85" w14:textId="70AE1D27"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REDESCA, </w:t>
      </w:r>
      <w:r w:rsidR="00EB0712">
        <w:rPr>
          <w:rFonts w:ascii="Cambria" w:hAnsi="Cambria"/>
          <w:color w:val="000000" w:themeColor="text1"/>
          <w:sz w:val="16"/>
          <w:szCs w:val="16"/>
        </w:rPr>
        <w:t>Meeting with Alliance for the defense of Labor Human Rights</w:t>
      </w:r>
      <w:r w:rsidR="00EB0712" w:rsidRPr="009035C0">
        <w:rPr>
          <w:rFonts w:ascii="Cambria" w:hAnsi="Cambria"/>
          <w:color w:val="000000" w:themeColor="text1"/>
          <w:sz w:val="16"/>
          <w:szCs w:val="16"/>
        </w:rPr>
        <w:t xml:space="preserve">, </w:t>
      </w:r>
      <w:r w:rsidR="00EB0712">
        <w:rPr>
          <w:rFonts w:ascii="Cambria" w:hAnsi="Cambria"/>
          <w:color w:val="000000" w:themeColor="text1"/>
          <w:sz w:val="16"/>
          <w:szCs w:val="16"/>
        </w:rPr>
        <w:t xml:space="preserve">April </w:t>
      </w:r>
      <w:r w:rsidR="00EB0712" w:rsidRPr="009035C0">
        <w:rPr>
          <w:rFonts w:ascii="Cambria" w:hAnsi="Cambria"/>
          <w:color w:val="000000" w:themeColor="text1"/>
          <w:sz w:val="16"/>
          <w:szCs w:val="16"/>
        </w:rPr>
        <w:t>13</w:t>
      </w:r>
      <w:r w:rsidR="00EB0712">
        <w:rPr>
          <w:rFonts w:ascii="Cambria" w:hAnsi="Cambria"/>
          <w:color w:val="000000" w:themeColor="text1"/>
          <w:sz w:val="16"/>
          <w:szCs w:val="16"/>
        </w:rPr>
        <w:t>,</w:t>
      </w:r>
      <w:r w:rsidR="00EB0712" w:rsidRPr="009035C0">
        <w:rPr>
          <w:rFonts w:ascii="Cambria" w:hAnsi="Cambria"/>
          <w:color w:val="000000" w:themeColor="text1"/>
          <w:sz w:val="16"/>
          <w:szCs w:val="16"/>
        </w:rPr>
        <w:t xml:space="preserve"> 2021</w:t>
      </w:r>
      <w:r w:rsidRPr="009035C0">
        <w:rPr>
          <w:rFonts w:ascii="Cambria" w:hAnsi="Cambria"/>
          <w:color w:val="000000" w:themeColor="text1"/>
          <w:sz w:val="16"/>
          <w:szCs w:val="16"/>
        </w:rPr>
        <w:t xml:space="preserve">; El Nacional, </w:t>
      </w:r>
      <w:hyperlink r:id="rId302" w:history="1">
        <w:r w:rsidRPr="009035C0">
          <w:rPr>
            <w:rStyle w:val="Hyperlink"/>
            <w:rFonts w:ascii="Cambria" w:eastAsiaTheme="majorEastAsia" w:hAnsi="Cambria"/>
            <w:color w:val="000000" w:themeColor="text1"/>
            <w:sz w:val="16"/>
            <w:szCs w:val="16"/>
          </w:rPr>
          <w:t>El sindicalismo, el otro foco de detenciones y agresiones en Venezuela</w:t>
        </w:r>
      </w:hyperlink>
      <w:r w:rsidRPr="009035C0">
        <w:rPr>
          <w:rFonts w:ascii="Cambria" w:hAnsi="Cambria"/>
          <w:color w:val="000000" w:themeColor="text1"/>
          <w:sz w:val="16"/>
          <w:szCs w:val="16"/>
        </w:rPr>
        <w:t xml:space="preserve">, </w:t>
      </w:r>
      <w:r w:rsidR="00EB0712">
        <w:rPr>
          <w:rFonts w:ascii="Cambria" w:hAnsi="Cambria"/>
          <w:color w:val="000000" w:themeColor="text1"/>
          <w:sz w:val="16"/>
          <w:szCs w:val="16"/>
        </w:rPr>
        <w:t xml:space="preserve">[‘Trade unionism, the other focus of detentions and aggression in Venezuela’], July </w:t>
      </w:r>
      <w:r w:rsidRPr="009035C0">
        <w:rPr>
          <w:rFonts w:ascii="Cambria" w:hAnsi="Cambria"/>
          <w:color w:val="000000" w:themeColor="text1"/>
          <w:sz w:val="16"/>
          <w:szCs w:val="16"/>
        </w:rPr>
        <w:t>22</w:t>
      </w:r>
      <w:r w:rsidR="00EB0712">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295">
    <w:p w14:paraId="78092BDF" w14:textId="1262C296"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B0712" w:rsidRPr="009035C0">
        <w:rPr>
          <w:rFonts w:ascii="Cambria" w:hAnsi="Cambria"/>
          <w:color w:val="000000" w:themeColor="text1"/>
          <w:sz w:val="16"/>
          <w:szCs w:val="16"/>
        </w:rPr>
        <w:t xml:space="preserve">UCAB, </w:t>
      </w:r>
      <w:r w:rsidR="00EB0712">
        <w:rPr>
          <w:rFonts w:ascii="Cambria" w:hAnsi="Cambria"/>
          <w:color w:val="000000" w:themeColor="text1"/>
          <w:sz w:val="16"/>
          <w:szCs w:val="16"/>
        </w:rPr>
        <w:t>Institute for Economic and Social Research</w:t>
      </w:r>
      <w:r w:rsidR="00EB0712" w:rsidRPr="009035C0">
        <w:rPr>
          <w:rFonts w:ascii="Cambria" w:hAnsi="Cambria"/>
          <w:color w:val="000000" w:themeColor="text1"/>
          <w:sz w:val="16"/>
          <w:szCs w:val="16"/>
        </w:rPr>
        <w:t xml:space="preserve">, ENCOVI </w:t>
      </w:r>
      <w:r w:rsidR="00EB0712">
        <w:rPr>
          <w:rFonts w:ascii="Cambria" w:hAnsi="Cambria"/>
          <w:color w:val="000000" w:themeColor="text1"/>
          <w:sz w:val="16"/>
          <w:szCs w:val="16"/>
        </w:rPr>
        <w:t>–</w:t>
      </w:r>
      <w:r w:rsidR="00EB0712" w:rsidRPr="009035C0">
        <w:rPr>
          <w:rFonts w:ascii="Cambria" w:hAnsi="Cambria"/>
          <w:color w:val="000000" w:themeColor="text1"/>
          <w:sz w:val="16"/>
          <w:szCs w:val="16"/>
        </w:rPr>
        <w:t xml:space="preserve"> </w:t>
      </w:r>
      <w:r w:rsidR="00EB0712">
        <w:rPr>
          <w:rFonts w:ascii="Cambria" w:hAnsi="Cambria"/>
          <w:color w:val="000000" w:themeColor="text1"/>
          <w:sz w:val="16"/>
          <w:szCs w:val="16"/>
        </w:rPr>
        <w:t xml:space="preserve">National Living Conditions Survey </w:t>
      </w:r>
      <w:r w:rsidR="00EB0712" w:rsidRPr="009035C0">
        <w:rPr>
          <w:rFonts w:ascii="Cambria" w:hAnsi="Cambria"/>
          <w:color w:val="000000" w:themeColor="text1"/>
          <w:sz w:val="16"/>
          <w:szCs w:val="16"/>
        </w:rPr>
        <w:t>2021, Sept</w:t>
      </w:r>
      <w:r w:rsidR="00EB0712">
        <w:rPr>
          <w:rFonts w:ascii="Cambria" w:hAnsi="Cambria"/>
          <w:color w:val="000000" w:themeColor="text1"/>
          <w:sz w:val="16"/>
          <w:szCs w:val="16"/>
        </w:rPr>
        <w:t xml:space="preserve">ember </w:t>
      </w:r>
      <w:r w:rsidR="00EB0712" w:rsidRPr="009035C0">
        <w:rPr>
          <w:rFonts w:ascii="Cambria" w:hAnsi="Cambria"/>
          <w:color w:val="000000" w:themeColor="text1"/>
          <w:sz w:val="16"/>
          <w:szCs w:val="16"/>
        </w:rPr>
        <w:t xml:space="preserve">2021, </w:t>
      </w:r>
      <w:r w:rsidRPr="009035C0">
        <w:rPr>
          <w:rFonts w:ascii="Cambria" w:hAnsi="Cambria"/>
          <w:color w:val="000000" w:themeColor="text1"/>
          <w:sz w:val="16"/>
          <w:szCs w:val="16"/>
        </w:rPr>
        <w:t>p</w:t>
      </w:r>
      <w:r w:rsidR="00EB0712">
        <w:rPr>
          <w:rFonts w:ascii="Cambria" w:hAnsi="Cambria"/>
          <w:color w:val="000000" w:themeColor="text1"/>
          <w:sz w:val="16"/>
          <w:szCs w:val="16"/>
        </w:rPr>
        <w:t>g</w:t>
      </w:r>
      <w:r w:rsidRPr="009035C0">
        <w:rPr>
          <w:rFonts w:ascii="Cambria" w:hAnsi="Cambria"/>
          <w:color w:val="000000" w:themeColor="text1"/>
          <w:sz w:val="16"/>
          <w:szCs w:val="16"/>
        </w:rPr>
        <w:t xml:space="preserve">. 6. </w:t>
      </w:r>
    </w:p>
  </w:footnote>
  <w:footnote w:id="296">
    <w:p w14:paraId="12E4F6E3" w14:textId="7FE8722A"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La República, </w:t>
      </w:r>
      <w:hyperlink r:id="rId303" w:history="1">
        <w:r w:rsidRPr="00E7771A">
          <w:rPr>
            <w:rStyle w:val="Hyperlink"/>
            <w:rFonts w:ascii="Cambria" w:eastAsiaTheme="majorEastAsia" w:hAnsi="Cambria"/>
            <w:color w:val="000000" w:themeColor="text1"/>
            <w:sz w:val="16"/>
            <w:szCs w:val="16"/>
            <w:lang w:val="es-US"/>
          </w:rPr>
          <w:t>Venezuela le ha quitado 14 ceros al bolívar en 13 años por medio de tres reconversiones</w:t>
        </w:r>
      </w:hyperlink>
      <w:r w:rsidRPr="00E7771A">
        <w:rPr>
          <w:rFonts w:ascii="Cambria" w:hAnsi="Cambria"/>
          <w:color w:val="000000" w:themeColor="text1"/>
          <w:sz w:val="16"/>
          <w:szCs w:val="16"/>
          <w:lang w:val="es-US"/>
        </w:rPr>
        <w:t xml:space="preserve">, </w:t>
      </w:r>
      <w:r w:rsidR="00EB0712" w:rsidRPr="00E7771A">
        <w:rPr>
          <w:rFonts w:ascii="Cambria" w:hAnsi="Cambria"/>
          <w:color w:val="000000" w:themeColor="text1"/>
          <w:sz w:val="16"/>
          <w:szCs w:val="16"/>
          <w:lang w:val="es-US"/>
        </w:rPr>
        <w:t xml:space="preserve">[‘Venezuela has removed 14 zeros from the bolivar in 13 years </w:t>
      </w:r>
      <w:r w:rsidR="00CB0F14" w:rsidRPr="00E7771A">
        <w:rPr>
          <w:rFonts w:ascii="Cambria" w:hAnsi="Cambria"/>
          <w:color w:val="000000" w:themeColor="text1"/>
          <w:sz w:val="16"/>
          <w:szCs w:val="16"/>
          <w:lang w:val="es-US"/>
        </w:rPr>
        <w:t xml:space="preserve">through three </w:t>
      </w:r>
      <w:r w:rsidR="00E427BC" w:rsidRPr="00E7771A">
        <w:rPr>
          <w:rFonts w:ascii="Cambria" w:hAnsi="Cambria"/>
          <w:color w:val="000000" w:themeColor="text1"/>
          <w:sz w:val="16"/>
          <w:szCs w:val="16"/>
          <w:lang w:val="es-US"/>
        </w:rPr>
        <w:t xml:space="preserve">monetary </w:t>
      </w:r>
      <w:r w:rsidR="00CB0F14" w:rsidRPr="00E7771A">
        <w:rPr>
          <w:rFonts w:ascii="Cambria" w:hAnsi="Cambria"/>
          <w:color w:val="000000" w:themeColor="text1"/>
          <w:sz w:val="16"/>
          <w:szCs w:val="16"/>
          <w:lang w:val="es-US"/>
        </w:rPr>
        <w:t xml:space="preserve">conversions’], August </w:t>
      </w:r>
      <w:r w:rsidRPr="00E7771A">
        <w:rPr>
          <w:rFonts w:ascii="Cambria" w:hAnsi="Cambria"/>
          <w:color w:val="000000" w:themeColor="text1"/>
          <w:sz w:val="16"/>
          <w:szCs w:val="16"/>
          <w:lang w:val="es-US"/>
        </w:rPr>
        <w:t>6</w:t>
      </w:r>
      <w:r w:rsidR="00CB0F14"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297">
    <w:p w14:paraId="74E01317" w14:textId="089E2D25" w:rsidR="00D24896" w:rsidRPr="00E7771A" w:rsidRDefault="00D24896" w:rsidP="00F85814">
      <w:pPr>
        <w:pStyle w:val="FootnoteText"/>
        <w:spacing w:after="120"/>
        <w:ind w:firstLine="720"/>
        <w:jc w:val="both"/>
        <w:rPr>
          <w:rFonts w:ascii="Cambria" w:hAnsi="Cambria"/>
          <w:b/>
          <w:bCs/>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MPEEF,</w:t>
      </w:r>
      <w:hyperlink r:id="rId304" w:history="1">
        <w:r w:rsidRPr="00E7771A">
          <w:rPr>
            <w:rStyle w:val="Hyperlink"/>
            <w:rFonts w:ascii="Cambria" w:eastAsiaTheme="majorEastAsia" w:hAnsi="Cambria"/>
            <w:color w:val="000000" w:themeColor="text1"/>
            <w:sz w:val="16"/>
            <w:szCs w:val="16"/>
            <w:lang w:val="es-US"/>
          </w:rPr>
          <w:t xml:space="preserve"> </w:t>
        </w:r>
        <w:r w:rsidRPr="00E7771A">
          <w:rPr>
            <w:rStyle w:val="Hyperlink"/>
            <w:rFonts w:ascii="Cambria" w:eastAsiaTheme="majorEastAsia" w:hAnsi="Cambria"/>
            <w:bCs/>
            <w:color w:val="000000" w:themeColor="text1"/>
            <w:sz w:val="16"/>
            <w:szCs w:val="16"/>
            <w:lang w:val="es-US"/>
          </w:rPr>
          <w:t>Sistema Nacional de Misiones y Grandes Misiones, 8 años garantizando la protección integral del pueblo venezolano</w:t>
        </w:r>
      </w:hyperlink>
      <w:r w:rsidRPr="00E7771A">
        <w:rPr>
          <w:rFonts w:ascii="Cambria" w:hAnsi="Cambria"/>
          <w:bCs/>
          <w:color w:val="000000" w:themeColor="text1"/>
          <w:sz w:val="16"/>
          <w:szCs w:val="16"/>
          <w:lang w:val="es-US"/>
        </w:rPr>
        <w:t xml:space="preserve">, </w:t>
      </w:r>
      <w:r w:rsidR="00657B29" w:rsidRPr="00E7771A">
        <w:rPr>
          <w:rFonts w:ascii="Cambria" w:hAnsi="Cambria"/>
          <w:bCs/>
          <w:color w:val="000000" w:themeColor="text1"/>
          <w:sz w:val="16"/>
          <w:szCs w:val="16"/>
          <w:lang w:val="es-US"/>
        </w:rPr>
        <w:t xml:space="preserve">[‘National System of Missions and Grand Missions, 8 years guaranteeing full protection of the Venezuelan People’], August </w:t>
      </w:r>
      <w:r w:rsidRPr="00E7771A">
        <w:rPr>
          <w:rFonts w:ascii="Cambria" w:hAnsi="Cambria"/>
          <w:bCs/>
          <w:color w:val="000000" w:themeColor="text1"/>
          <w:sz w:val="16"/>
          <w:szCs w:val="16"/>
          <w:lang w:val="es-US"/>
        </w:rPr>
        <w:t>7</w:t>
      </w:r>
      <w:r w:rsidR="00657B29" w:rsidRPr="00E7771A">
        <w:rPr>
          <w:rFonts w:ascii="Cambria" w:hAnsi="Cambria"/>
          <w:bCs/>
          <w:color w:val="000000" w:themeColor="text1"/>
          <w:sz w:val="16"/>
          <w:szCs w:val="16"/>
          <w:lang w:val="es-US"/>
        </w:rPr>
        <w:t>,</w:t>
      </w:r>
      <w:r w:rsidRPr="00E7771A">
        <w:rPr>
          <w:rFonts w:ascii="Cambria" w:hAnsi="Cambria"/>
          <w:bCs/>
          <w:color w:val="000000" w:themeColor="text1"/>
          <w:sz w:val="16"/>
          <w:szCs w:val="16"/>
          <w:lang w:val="es-US"/>
        </w:rPr>
        <w:t xml:space="preserve"> 2021</w:t>
      </w:r>
      <w:r w:rsidR="00DD2E80" w:rsidRPr="00E7771A">
        <w:rPr>
          <w:rFonts w:ascii="Cambria" w:hAnsi="Cambria"/>
          <w:bCs/>
          <w:color w:val="000000" w:themeColor="text1"/>
          <w:sz w:val="16"/>
          <w:szCs w:val="16"/>
          <w:lang w:val="es-US"/>
        </w:rPr>
        <w:t>.</w:t>
      </w:r>
    </w:p>
  </w:footnote>
  <w:footnote w:id="298">
    <w:p w14:paraId="53495523" w14:textId="25735B31"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Ib</w:t>
      </w:r>
      <w:r w:rsidR="001E11C3" w:rsidRPr="00E7771A">
        <w:rPr>
          <w:rFonts w:ascii="Cambria" w:hAnsi="Cambria"/>
          <w:color w:val="000000" w:themeColor="text1"/>
          <w:sz w:val="16"/>
          <w:szCs w:val="16"/>
          <w:lang w:val="es-US"/>
        </w:rPr>
        <w:t>i</w:t>
      </w:r>
      <w:r w:rsidRPr="00E7771A">
        <w:rPr>
          <w:rFonts w:ascii="Cambria" w:hAnsi="Cambria"/>
          <w:color w:val="000000" w:themeColor="text1"/>
          <w:sz w:val="16"/>
          <w:szCs w:val="16"/>
          <w:lang w:val="es-US"/>
        </w:rPr>
        <w:t>dem</w:t>
      </w:r>
    </w:p>
  </w:footnote>
  <w:footnote w:id="299">
    <w:p w14:paraId="3F53FC40" w14:textId="69874106"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Provea, </w:t>
      </w:r>
      <w:hyperlink r:id="rId305" w:history="1">
        <w:r w:rsidRPr="00E7771A">
          <w:rPr>
            <w:rStyle w:val="Hyperlink"/>
            <w:rFonts w:ascii="Cambria" w:eastAsiaTheme="majorEastAsia" w:hAnsi="Cambria"/>
            <w:color w:val="000000" w:themeColor="text1"/>
            <w:sz w:val="16"/>
            <w:szCs w:val="16"/>
            <w:lang w:val="es-US"/>
          </w:rPr>
          <w:t>Informe Anual 2020: Se intensificó la desnutrición y la inseguridad alimentaria en Venezuela</w:t>
        </w:r>
      </w:hyperlink>
      <w:r w:rsidRPr="00E7771A">
        <w:rPr>
          <w:rFonts w:ascii="Cambria" w:hAnsi="Cambria"/>
          <w:color w:val="000000" w:themeColor="text1"/>
          <w:sz w:val="16"/>
          <w:szCs w:val="16"/>
          <w:lang w:val="es-US"/>
        </w:rPr>
        <w:t xml:space="preserve">, </w:t>
      </w:r>
      <w:r w:rsidR="00304354" w:rsidRPr="00E7771A">
        <w:rPr>
          <w:rFonts w:ascii="Cambria" w:hAnsi="Cambria"/>
          <w:color w:val="000000" w:themeColor="text1"/>
          <w:sz w:val="16"/>
          <w:szCs w:val="16"/>
          <w:lang w:val="es-US"/>
        </w:rPr>
        <w:t xml:space="preserve">[‘2020 Annual Report: Malnutrition and food insecurity intensify in Venezuela’], June </w:t>
      </w:r>
      <w:r w:rsidRPr="00E7771A">
        <w:rPr>
          <w:rFonts w:ascii="Cambria" w:hAnsi="Cambria"/>
          <w:color w:val="000000" w:themeColor="text1"/>
          <w:sz w:val="16"/>
          <w:szCs w:val="16"/>
          <w:lang w:val="es-US"/>
        </w:rPr>
        <w:t>18</w:t>
      </w:r>
      <w:r w:rsidR="00304354"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300">
    <w:p w14:paraId="1401099B" w14:textId="3CEB398F"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AD657E" w:rsidRPr="009035C0">
        <w:rPr>
          <w:rFonts w:ascii="Cambria" w:hAnsi="Cambria"/>
          <w:color w:val="000000" w:themeColor="text1"/>
          <w:sz w:val="16"/>
          <w:szCs w:val="16"/>
        </w:rPr>
        <w:t xml:space="preserve">UCAB, </w:t>
      </w:r>
      <w:r w:rsidR="00AD657E">
        <w:rPr>
          <w:rFonts w:ascii="Cambria" w:hAnsi="Cambria"/>
          <w:color w:val="000000" w:themeColor="text1"/>
          <w:sz w:val="16"/>
          <w:szCs w:val="16"/>
        </w:rPr>
        <w:t>Institute for Economic and Social Research</w:t>
      </w:r>
      <w:r w:rsidR="00AD657E" w:rsidRPr="009035C0">
        <w:rPr>
          <w:rFonts w:ascii="Cambria" w:hAnsi="Cambria"/>
          <w:color w:val="000000" w:themeColor="text1"/>
          <w:sz w:val="16"/>
          <w:szCs w:val="16"/>
        </w:rPr>
        <w:t xml:space="preserve">, ENCOVI </w:t>
      </w:r>
      <w:r w:rsidR="00AD657E">
        <w:rPr>
          <w:rFonts w:ascii="Cambria" w:hAnsi="Cambria"/>
          <w:color w:val="000000" w:themeColor="text1"/>
          <w:sz w:val="16"/>
          <w:szCs w:val="16"/>
        </w:rPr>
        <w:t>–</w:t>
      </w:r>
      <w:r w:rsidR="00AD657E" w:rsidRPr="009035C0">
        <w:rPr>
          <w:rFonts w:ascii="Cambria" w:hAnsi="Cambria"/>
          <w:color w:val="000000" w:themeColor="text1"/>
          <w:sz w:val="16"/>
          <w:szCs w:val="16"/>
        </w:rPr>
        <w:t xml:space="preserve"> </w:t>
      </w:r>
      <w:r w:rsidR="00AD657E">
        <w:rPr>
          <w:rFonts w:ascii="Cambria" w:hAnsi="Cambria"/>
          <w:color w:val="000000" w:themeColor="text1"/>
          <w:sz w:val="16"/>
          <w:szCs w:val="16"/>
        </w:rPr>
        <w:t xml:space="preserve">National Living Conditions Survey </w:t>
      </w:r>
      <w:r w:rsidR="00AD657E" w:rsidRPr="009035C0">
        <w:rPr>
          <w:rFonts w:ascii="Cambria" w:hAnsi="Cambria"/>
          <w:color w:val="000000" w:themeColor="text1"/>
          <w:sz w:val="16"/>
          <w:szCs w:val="16"/>
        </w:rPr>
        <w:t>2021, Sept</w:t>
      </w:r>
      <w:r w:rsidR="00AD657E">
        <w:rPr>
          <w:rFonts w:ascii="Cambria" w:hAnsi="Cambria"/>
          <w:color w:val="000000" w:themeColor="text1"/>
          <w:sz w:val="16"/>
          <w:szCs w:val="16"/>
        </w:rPr>
        <w:t xml:space="preserve">ember </w:t>
      </w:r>
      <w:r w:rsidR="00AD657E" w:rsidRPr="009035C0">
        <w:rPr>
          <w:rFonts w:ascii="Cambria" w:hAnsi="Cambria"/>
          <w:color w:val="000000" w:themeColor="text1"/>
          <w:sz w:val="16"/>
          <w:szCs w:val="16"/>
        </w:rPr>
        <w:t>2021, p</w:t>
      </w:r>
      <w:r w:rsidR="00AD657E">
        <w:rPr>
          <w:rFonts w:ascii="Cambria" w:hAnsi="Cambria"/>
          <w:color w:val="000000" w:themeColor="text1"/>
          <w:sz w:val="16"/>
          <w:szCs w:val="16"/>
        </w:rPr>
        <w:t>g</w:t>
      </w:r>
      <w:r w:rsidRPr="009035C0">
        <w:rPr>
          <w:rFonts w:ascii="Cambria" w:hAnsi="Cambria"/>
          <w:color w:val="000000" w:themeColor="text1"/>
          <w:sz w:val="16"/>
          <w:szCs w:val="16"/>
        </w:rPr>
        <w:t xml:space="preserve">. 60. </w:t>
      </w:r>
    </w:p>
  </w:footnote>
  <w:footnote w:id="301">
    <w:p w14:paraId="06DA376F" w14:textId="77777777" w:rsidR="00D24896" w:rsidRPr="00E7771A" w:rsidRDefault="00D24896" w:rsidP="00F85814">
      <w:pPr>
        <w:pStyle w:val="FootnoteText"/>
        <w:spacing w:after="120"/>
        <w:ind w:firstLine="720"/>
        <w:jc w:val="both"/>
        <w:rPr>
          <w:rStyle w:val="Hyperlink"/>
          <w:rFonts w:ascii="Cambria" w:eastAsiaTheme="majorEastAs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REDESCA</w:t>
      </w:r>
      <w:r w:rsidRPr="009035C0">
        <w:rPr>
          <w:rFonts w:ascii="Cambria" w:hAnsi="Cambria"/>
          <w:color w:val="000000" w:themeColor="text1"/>
          <w:sz w:val="16"/>
          <w:szCs w:val="16"/>
        </w:rPr>
        <w:fldChar w:fldCharType="begin"/>
      </w:r>
      <w:r w:rsidRPr="00E7771A">
        <w:rPr>
          <w:rFonts w:ascii="Cambria" w:hAnsi="Cambria"/>
          <w:color w:val="000000" w:themeColor="text1"/>
          <w:sz w:val="16"/>
          <w:szCs w:val="16"/>
          <w:lang w:val="es-US"/>
        </w:rPr>
        <w:instrText xml:space="preserve"> HYPERLINK "http://www.oas.org/es/cidh/docs/anual/2020/capitulos/redesca.PDF" </w:instrText>
      </w:r>
      <w:r w:rsidRPr="009035C0">
        <w:rPr>
          <w:rFonts w:ascii="Cambria" w:hAnsi="Cambria"/>
          <w:color w:val="000000" w:themeColor="text1"/>
          <w:sz w:val="16"/>
          <w:szCs w:val="16"/>
        </w:rPr>
        <w:fldChar w:fldCharType="separate"/>
      </w:r>
      <w:r w:rsidRPr="00E7771A">
        <w:rPr>
          <w:rStyle w:val="Hyperlink"/>
          <w:rFonts w:ascii="Cambria" w:eastAsiaTheme="majorEastAsia" w:hAnsi="Cambria"/>
          <w:color w:val="000000" w:themeColor="text1"/>
          <w:sz w:val="16"/>
          <w:szCs w:val="16"/>
          <w:lang w:val="es-US"/>
        </w:rPr>
        <w:t>, IV INFORME ANUAL DE LA RELATORÍA ESPECIAL SOBRE DERECHOS ECONÓMICOS, SOCIALES,</w:t>
      </w:r>
    </w:p>
    <w:p w14:paraId="7C8D52AB" w14:textId="77777777" w:rsidR="00D24896" w:rsidRPr="00E7771A" w:rsidRDefault="00D24896" w:rsidP="00F85814">
      <w:pPr>
        <w:pStyle w:val="FootnoteText"/>
        <w:spacing w:after="120"/>
        <w:ind w:firstLine="720"/>
        <w:jc w:val="both"/>
        <w:rPr>
          <w:rStyle w:val="Hyperlink"/>
          <w:rFonts w:ascii="Cambria" w:eastAsiaTheme="majorEastAsia" w:hAnsi="Cambria"/>
          <w:color w:val="000000" w:themeColor="text1"/>
          <w:sz w:val="16"/>
          <w:szCs w:val="16"/>
          <w:lang w:val="es-US"/>
        </w:rPr>
      </w:pPr>
      <w:r w:rsidRPr="00E7771A">
        <w:rPr>
          <w:rStyle w:val="Hyperlink"/>
          <w:rFonts w:ascii="Cambria" w:eastAsiaTheme="majorEastAsia" w:hAnsi="Cambria"/>
          <w:color w:val="000000" w:themeColor="text1"/>
          <w:sz w:val="16"/>
          <w:szCs w:val="16"/>
          <w:lang w:val="es-US"/>
        </w:rPr>
        <w:t>CULTURALES Y AMBIENTALES (REDESCA) DE LA COMISIÓN INTERAMERICANA DE DERECHOS HUMANOS</w:t>
      </w:r>
    </w:p>
    <w:p w14:paraId="54A976E9" w14:textId="299D073E"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Hyperlink"/>
          <w:rFonts w:ascii="Cambria" w:eastAsiaTheme="majorEastAsia" w:hAnsi="Cambria"/>
          <w:color w:val="000000" w:themeColor="text1"/>
          <w:sz w:val="16"/>
          <w:szCs w:val="16"/>
        </w:rPr>
        <w:t>(CIDH)</w:t>
      </w:r>
      <w:r w:rsidRPr="009035C0">
        <w:rPr>
          <w:rFonts w:ascii="Cambria" w:hAnsi="Cambria"/>
          <w:color w:val="000000" w:themeColor="text1"/>
          <w:sz w:val="16"/>
          <w:szCs w:val="16"/>
        </w:rPr>
        <w:fldChar w:fldCharType="end"/>
      </w:r>
      <w:r w:rsidRPr="009035C0">
        <w:rPr>
          <w:rFonts w:ascii="Cambria" w:hAnsi="Cambria"/>
          <w:color w:val="000000" w:themeColor="text1"/>
          <w:sz w:val="16"/>
          <w:szCs w:val="16"/>
        </w:rPr>
        <w:t xml:space="preserve">, </w:t>
      </w:r>
      <w:r w:rsidR="00AD657E">
        <w:rPr>
          <w:rFonts w:ascii="Cambria" w:hAnsi="Cambria"/>
          <w:color w:val="000000" w:themeColor="text1"/>
          <w:sz w:val="16"/>
          <w:szCs w:val="16"/>
        </w:rPr>
        <w:t>IV Annual Report of the Special Rapporteurship on Economic, Social, Cultural and Environmental Rights,</w:t>
      </w:r>
      <w:r w:rsidR="00AD657E" w:rsidRPr="009035C0">
        <w:rPr>
          <w:rFonts w:ascii="Cambria" w:hAnsi="Cambria"/>
          <w:color w:val="000000" w:themeColor="text1"/>
          <w:sz w:val="16"/>
          <w:szCs w:val="16"/>
        </w:rPr>
        <w:t xml:space="preserve"> 2020, OEA/SER.L/V/II, </w:t>
      </w:r>
      <w:r w:rsidR="00AD657E">
        <w:rPr>
          <w:rFonts w:ascii="Cambria" w:hAnsi="Cambria"/>
          <w:color w:val="000000" w:themeColor="text1"/>
          <w:sz w:val="16"/>
          <w:szCs w:val="16"/>
        </w:rPr>
        <w:t xml:space="preserve">March </w:t>
      </w:r>
      <w:r w:rsidR="00AD657E" w:rsidRPr="009035C0">
        <w:rPr>
          <w:rFonts w:ascii="Cambria" w:hAnsi="Cambria"/>
          <w:color w:val="000000" w:themeColor="text1"/>
          <w:sz w:val="16"/>
          <w:szCs w:val="16"/>
        </w:rPr>
        <w:t>30</w:t>
      </w:r>
      <w:r w:rsidR="00AD657E">
        <w:rPr>
          <w:rFonts w:ascii="Cambria" w:hAnsi="Cambria"/>
          <w:color w:val="000000" w:themeColor="text1"/>
          <w:sz w:val="16"/>
          <w:szCs w:val="16"/>
        </w:rPr>
        <w:t>,</w:t>
      </w:r>
      <w:r w:rsidR="00AD657E" w:rsidRPr="009035C0">
        <w:rPr>
          <w:rFonts w:ascii="Cambria" w:hAnsi="Cambria"/>
          <w:color w:val="000000" w:themeColor="text1"/>
          <w:sz w:val="16"/>
          <w:szCs w:val="16"/>
        </w:rPr>
        <w:t xml:space="preserve"> 2021, p</w:t>
      </w:r>
      <w:r w:rsidR="00AD657E">
        <w:rPr>
          <w:rFonts w:ascii="Cambria" w:hAnsi="Cambria"/>
          <w:color w:val="000000" w:themeColor="text1"/>
          <w:sz w:val="16"/>
          <w:szCs w:val="16"/>
        </w:rPr>
        <w:t>a</w:t>
      </w:r>
      <w:r w:rsidR="00AD657E" w:rsidRPr="009035C0">
        <w:rPr>
          <w:rFonts w:ascii="Cambria" w:hAnsi="Cambria"/>
          <w:color w:val="000000" w:themeColor="text1"/>
          <w:sz w:val="16"/>
          <w:szCs w:val="16"/>
        </w:rPr>
        <w:t>r.</w:t>
      </w:r>
      <w:r w:rsidRPr="009035C0">
        <w:rPr>
          <w:rFonts w:ascii="Cambria" w:hAnsi="Cambria"/>
          <w:color w:val="000000" w:themeColor="text1"/>
          <w:sz w:val="16"/>
          <w:szCs w:val="16"/>
        </w:rPr>
        <w:t xml:space="preserve"> 1097</w:t>
      </w:r>
    </w:p>
  </w:footnote>
  <w:footnote w:id="302">
    <w:p w14:paraId="0443AE2D" w14:textId="22477E74" w:rsidR="00D24896" w:rsidRPr="009035C0" w:rsidRDefault="00D24896" w:rsidP="00F85814">
      <w:pPr>
        <w:spacing w:after="120"/>
        <w:ind w:firstLine="720"/>
        <w:jc w:val="both"/>
        <w:rPr>
          <w:rFonts w:ascii="Cambria" w:hAnsi="Cambria"/>
          <w:color w:val="000000" w:themeColor="text1"/>
          <w:sz w:val="16"/>
          <w:szCs w:val="16"/>
          <w:lang w:eastAsia="es-ES_tradnl"/>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AD657E">
        <w:rPr>
          <w:rFonts w:ascii="Cambria" w:hAnsi="Cambria"/>
          <w:color w:val="000000" w:themeColor="text1"/>
          <w:sz w:val="16"/>
          <w:szCs w:val="16"/>
        </w:rPr>
        <w:t xml:space="preserve">Human Rights Observatory of the University of the Andes </w:t>
      </w:r>
      <w:r w:rsidRPr="009035C0">
        <w:rPr>
          <w:rFonts w:ascii="Cambria" w:hAnsi="Cambria"/>
          <w:color w:val="000000" w:themeColor="text1"/>
          <w:sz w:val="16"/>
          <w:szCs w:val="16"/>
          <w:lang w:eastAsia="es-ES_tradnl"/>
        </w:rPr>
        <w:t xml:space="preserve">Venezuela (ODHULA). </w:t>
      </w:r>
      <w:r w:rsidR="00A143AE">
        <w:rPr>
          <w:rFonts w:ascii="Cambria" w:hAnsi="Cambria"/>
          <w:color w:val="000000" w:themeColor="text1"/>
          <w:sz w:val="16"/>
          <w:szCs w:val="16"/>
          <w:lang w:eastAsia="es-ES_tradnl"/>
        </w:rPr>
        <w:t xml:space="preserve">Monthly Report: Situation of universities in Venezuela. May </w:t>
      </w:r>
      <w:r w:rsidRPr="009035C0">
        <w:rPr>
          <w:rFonts w:ascii="Cambria" w:hAnsi="Cambria"/>
          <w:color w:val="000000" w:themeColor="text1"/>
          <w:sz w:val="16"/>
          <w:szCs w:val="16"/>
          <w:lang w:eastAsia="es-ES_tradnl"/>
        </w:rPr>
        <w:t xml:space="preserve">2020. </w:t>
      </w:r>
      <w:r w:rsidR="00527FC9">
        <w:rPr>
          <w:rFonts w:ascii="Cambria" w:hAnsi="Cambria"/>
          <w:color w:val="000000" w:themeColor="text1"/>
          <w:sz w:val="16"/>
          <w:szCs w:val="16"/>
          <w:lang w:eastAsia="es-ES_tradnl"/>
        </w:rPr>
        <w:t>pg</w:t>
      </w:r>
      <w:r w:rsidRPr="009035C0">
        <w:rPr>
          <w:rFonts w:ascii="Cambria" w:hAnsi="Cambria"/>
          <w:color w:val="000000" w:themeColor="text1"/>
          <w:sz w:val="16"/>
          <w:szCs w:val="16"/>
          <w:lang w:eastAsia="es-ES_tradnl"/>
        </w:rPr>
        <w:t>. 5.</w:t>
      </w:r>
    </w:p>
  </w:footnote>
  <w:footnote w:id="303">
    <w:p w14:paraId="337DAC8C" w14:textId="541466C2"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60F48" w:rsidRPr="009035C0">
        <w:rPr>
          <w:rFonts w:ascii="Cambria" w:hAnsi="Cambria"/>
          <w:color w:val="000000" w:themeColor="text1"/>
          <w:sz w:val="16"/>
          <w:szCs w:val="16"/>
        </w:rPr>
        <w:t xml:space="preserve">UCAB, </w:t>
      </w:r>
      <w:r w:rsidR="00960F48">
        <w:rPr>
          <w:rFonts w:ascii="Cambria" w:hAnsi="Cambria"/>
          <w:color w:val="000000" w:themeColor="text1"/>
          <w:sz w:val="16"/>
          <w:szCs w:val="16"/>
        </w:rPr>
        <w:t>Institute for Economic and Social Research</w:t>
      </w:r>
      <w:r w:rsidR="00960F48" w:rsidRPr="009035C0">
        <w:rPr>
          <w:rFonts w:ascii="Cambria" w:hAnsi="Cambria"/>
          <w:color w:val="000000" w:themeColor="text1"/>
          <w:sz w:val="16"/>
          <w:szCs w:val="16"/>
        </w:rPr>
        <w:t xml:space="preserve">, ENCOVI </w:t>
      </w:r>
      <w:r w:rsidR="00960F48">
        <w:rPr>
          <w:rFonts w:ascii="Cambria" w:hAnsi="Cambria"/>
          <w:color w:val="000000" w:themeColor="text1"/>
          <w:sz w:val="16"/>
          <w:szCs w:val="16"/>
        </w:rPr>
        <w:t>–</w:t>
      </w:r>
      <w:r w:rsidR="00960F48" w:rsidRPr="009035C0">
        <w:rPr>
          <w:rFonts w:ascii="Cambria" w:hAnsi="Cambria"/>
          <w:color w:val="000000" w:themeColor="text1"/>
          <w:sz w:val="16"/>
          <w:szCs w:val="16"/>
        </w:rPr>
        <w:t xml:space="preserve"> </w:t>
      </w:r>
      <w:r w:rsidR="00960F48">
        <w:rPr>
          <w:rFonts w:ascii="Cambria" w:hAnsi="Cambria"/>
          <w:color w:val="000000" w:themeColor="text1"/>
          <w:sz w:val="16"/>
          <w:szCs w:val="16"/>
        </w:rPr>
        <w:t xml:space="preserve">National Living Conditions Survey </w:t>
      </w:r>
      <w:r w:rsidR="00960F48" w:rsidRPr="009035C0">
        <w:rPr>
          <w:rFonts w:ascii="Cambria" w:hAnsi="Cambria"/>
          <w:color w:val="000000" w:themeColor="text1"/>
          <w:sz w:val="16"/>
          <w:szCs w:val="16"/>
        </w:rPr>
        <w:t>2021, Sept</w:t>
      </w:r>
      <w:r w:rsidR="00960F48">
        <w:rPr>
          <w:rFonts w:ascii="Cambria" w:hAnsi="Cambria"/>
          <w:color w:val="000000" w:themeColor="text1"/>
          <w:sz w:val="16"/>
          <w:szCs w:val="16"/>
        </w:rPr>
        <w:t xml:space="preserve">ember </w:t>
      </w:r>
      <w:r w:rsidR="00960F48" w:rsidRPr="009035C0">
        <w:rPr>
          <w:rFonts w:ascii="Cambria" w:hAnsi="Cambria"/>
          <w:color w:val="000000" w:themeColor="text1"/>
          <w:sz w:val="16"/>
          <w:szCs w:val="16"/>
        </w:rPr>
        <w:t>2021, p</w:t>
      </w:r>
      <w:r w:rsidR="00960F48">
        <w:rPr>
          <w:rFonts w:ascii="Cambria" w:hAnsi="Cambria"/>
          <w:color w:val="000000" w:themeColor="text1"/>
          <w:sz w:val="16"/>
          <w:szCs w:val="16"/>
        </w:rPr>
        <w:t>g</w:t>
      </w:r>
      <w:r w:rsidRPr="009035C0">
        <w:rPr>
          <w:rFonts w:ascii="Cambria" w:hAnsi="Cambria"/>
          <w:color w:val="000000" w:themeColor="text1"/>
          <w:sz w:val="16"/>
          <w:szCs w:val="16"/>
        </w:rPr>
        <w:t xml:space="preserve">. 9. </w:t>
      </w:r>
    </w:p>
  </w:footnote>
  <w:footnote w:id="304">
    <w:p w14:paraId="7751332C" w14:textId="6729B6E4" w:rsidR="00D24896" w:rsidRPr="009035C0" w:rsidRDefault="00D24896" w:rsidP="00F85814">
      <w:pPr>
        <w:pStyle w:val="FootnoteText"/>
        <w:spacing w:after="120"/>
        <w:ind w:firstLine="720"/>
        <w:rPr>
          <w:rFonts w:ascii="Cambria" w:eastAsia="Cambria" w:hAnsi="Cambria" w:cs="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60F48" w:rsidRPr="009035C0">
        <w:rPr>
          <w:rFonts w:ascii="Cambria" w:hAnsi="Cambria"/>
          <w:color w:val="000000" w:themeColor="text1"/>
          <w:sz w:val="16"/>
          <w:szCs w:val="16"/>
        </w:rPr>
        <w:t xml:space="preserve">UCAB, </w:t>
      </w:r>
      <w:r w:rsidR="00960F48">
        <w:rPr>
          <w:rFonts w:ascii="Cambria" w:hAnsi="Cambria"/>
          <w:color w:val="000000" w:themeColor="text1"/>
          <w:sz w:val="16"/>
          <w:szCs w:val="16"/>
        </w:rPr>
        <w:t>Institute for Economic and Social Research</w:t>
      </w:r>
      <w:r w:rsidR="00960F48" w:rsidRPr="009035C0">
        <w:rPr>
          <w:rFonts w:ascii="Cambria" w:hAnsi="Cambria"/>
          <w:color w:val="000000" w:themeColor="text1"/>
          <w:sz w:val="16"/>
          <w:szCs w:val="16"/>
        </w:rPr>
        <w:t xml:space="preserve">, ENCOVI </w:t>
      </w:r>
      <w:r w:rsidR="00960F48">
        <w:rPr>
          <w:rFonts w:ascii="Cambria" w:hAnsi="Cambria"/>
          <w:color w:val="000000" w:themeColor="text1"/>
          <w:sz w:val="16"/>
          <w:szCs w:val="16"/>
        </w:rPr>
        <w:t>–</w:t>
      </w:r>
      <w:r w:rsidR="00960F48" w:rsidRPr="009035C0">
        <w:rPr>
          <w:rFonts w:ascii="Cambria" w:hAnsi="Cambria"/>
          <w:color w:val="000000" w:themeColor="text1"/>
          <w:sz w:val="16"/>
          <w:szCs w:val="16"/>
        </w:rPr>
        <w:t xml:space="preserve"> </w:t>
      </w:r>
      <w:r w:rsidR="00960F48">
        <w:rPr>
          <w:rFonts w:ascii="Cambria" w:hAnsi="Cambria"/>
          <w:color w:val="000000" w:themeColor="text1"/>
          <w:sz w:val="16"/>
          <w:szCs w:val="16"/>
        </w:rPr>
        <w:t xml:space="preserve">National Living Conditions Survey </w:t>
      </w:r>
      <w:r w:rsidR="00960F48" w:rsidRPr="009035C0">
        <w:rPr>
          <w:rFonts w:ascii="Cambria" w:hAnsi="Cambria"/>
          <w:color w:val="000000" w:themeColor="text1"/>
          <w:sz w:val="16"/>
          <w:szCs w:val="16"/>
        </w:rPr>
        <w:t>2021, Sept</w:t>
      </w:r>
      <w:r w:rsidR="00960F48">
        <w:rPr>
          <w:rFonts w:ascii="Cambria" w:hAnsi="Cambria"/>
          <w:color w:val="000000" w:themeColor="text1"/>
          <w:sz w:val="16"/>
          <w:szCs w:val="16"/>
        </w:rPr>
        <w:t xml:space="preserve">ember </w:t>
      </w:r>
      <w:r w:rsidR="00960F48" w:rsidRPr="009035C0">
        <w:rPr>
          <w:rFonts w:ascii="Cambria" w:hAnsi="Cambria"/>
          <w:color w:val="000000" w:themeColor="text1"/>
          <w:sz w:val="16"/>
          <w:szCs w:val="16"/>
        </w:rPr>
        <w:t>2021, p</w:t>
      </w:r>
      <w:r w:rsidR="00960F48">
        <w:rPr>
          <w:rFonts w:ascii="Cambria" w:hAnsi="Cambria"/>
          <w:color w:val="000000" w:themeColor="text1"/>
          <w:sz w:val="16"/>
          <w:szCs w:val="16"/>
        </w:rPr>
        <w:t>g</w:t>
      </w:r>
      <w:r w:rsidRPr="009035C0">
        <w:rPr>
          <w:rFonts w:ascii="Cambria" w:eastAsia="Cambria" w:hAnsi="Cambria" w:cs="Cambria"/>
          <w:color w:val="000000" w:themeColor="text1"/>
          <w:sz w:val="16"/>
          <w:szCs w:val="16"/>
        </w:rPr>
        <w:t>. 10</w:t>
      </w:r>
    </w:p>
  </w:footnote>
  <w:footnote w:id="305">
    <w:p w14:paraId="012527A8" w14:textId="657D3C87" w:rsidR="00D24896" w:rsidRPr="009035C0" w:rsidRDefault="00D24896" w:rsidP="00F85814">
      <w:pPr>
        <w:pStyle w:val="FootnoteText"/>
        <w:spacing w:after="120"/>
        <w:ind w:firstLine="720"/>
        <w:rPr>
          <w:rFonts w:ascii="Cambria" w:eastAsia="Cambria" w:hAnsi="Cambria" w:cs="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Pr="009035C0">
        <w:rPr>
          <w:rFonts w:ascii="Cambria" w:eastAsia="Cambria" w:hAnsi="Cambria" w:cs="Cambria"/>
          <w:color w:val="000000" w:themeColor="text1"/>
          <w:sz w:val="16"/>
          <w:szCs w:val="16"/>
        </w:rPr>
        <w:t>Ib</w:t>
      </w:r>
      <w:r w:rsidR="001E11C3">
        <w:rPr>
          <w:rFonts w:ascii="Cambria" w:eastAsia="Cambria" w:hAnsi="Cambria" w:cs="Cambria"/>
          <w:color w:val="000000" w:themeColor="text1"/>
          <w:sz w:val="16"/>
          <w:szCs w:val="16"/>
        </w:rPr>
        <w:t>i</w:t>
      </w:r>
      <w:r w:rsidRPr="009035C0">
        <w:rPr>
          <w:rFonts w:ascii="Cambria" w:eastAsia="Cambria" w:hAnsi="Cambria" w:cs="Cambria"/>
          <w:color w:val="000000" w:themeColor="text1"/>
          <w:sz w:val="16"/>
          <w:szCs w:val="16"/>
        </w:rPr>
        <w:t>dem</w:t>
      </w:r>
    </w:p>
  </w:footnote>
  <w:footnote w:id="306">
    <w:p w14:paraId="096F1780" w14:textId="58584094" w:rsidR="00D24896" w:rsidRPr="009035C0" w:rsidRDefault="00D24896" w:rsidP="00F85814">
      <w:pPr>
        <w:pStyle w:val="FootnoteText"/>
        <w:spacing w:after="120"/>
        <w:ind w:firstLine="720"/>
        <w:rPr>
          <w:rFonts w:ascii="Cambria" w:eastAsia="Calibri" w:hAnsi="Cambria" w:cs="Calibri"/>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0742B5">
        <w:rPr>
          <w:rFonts w:ascii="Cambria" w:eastAsia="Calibri" w:hAnsi="Cambria" w:cs="Calibri"/>
          <w:color w:val="000000" w:themeColor="text1"/>
          <w:sz w:val="16"/>
          <w:szCs w:val="16"/>
        </w:rPr>
        <w:t>Office of the Vice Presiden</w:t>
      </w:r>
      <w:r w:rsidR="000C788B">
        <w:rPr>
          <w:rFonts w:ascii="Cambria" w:eastAsia="Calibri" w:hAnsi="Cambria" w:cs="Calibri"/>
          <w:color w:val="000000" w:themeColor="text1"/>
          <w:sz w:val="16"/>
          <w:szCs w:val="16"/>
        </w:rPr>
        <w:t>t</w:t>
      </w:r>
      <w:r w:rsidR="000742B5">
        <w:rPr>
          <w:rFonts w:ascii="Cambria" w:eastAsia="Calibri" w:hAnsi="Cambria" w:cs="Calibri"/>
          <w:color w:val="000000" w:themeColor="text1"/>
          <w:sz w:val="16"/>
          <w:szCs w:val="16"/>
        </w:rPr>
        <w:t xml:space="preserve"> of the Republic of Venezuela</w:t>
      </w:r>
      <w:r w:rsidRPr="009035C0">
        <w:rPr>
          <w:rFonts w:ascii="Cambria" w:eastAsia="Calibri" w:hAnsi="Cambria" w:cs="Calibri"/>
          <w:color w:val="000000" w:themeColor="text1"/>
          <w:sz w:val="16"/>
          <w:szCs w:val="16"/>
        </w:rPr>
        <w:t xml:space="preserve">, </w:t>
      </w:r>
      <w:hyperlink r:id="rId306">
        <w:r w:rsidRPr="009035C0">
          <w:rPr>
            <w:rStyle w:val="Hyperlink"/>
            <w:rFonts w:ascii="Cambria" w:eastAsia="Calibri" w:hAnsi="Cambria" w:cs="Calibri"/>
            <w:color w:val="000000" w:themeColor="text1"/>
            <w:sz w:val="16"/>
            <w:szCs w:val="16"/>
          </w:rPr>
          <w:t>Venezuela inicia clases presenciales el 25 de octubre</w:t>
        </w:r>
      </w:hyperlink>
      <w:r w:rsidRPr="009035C0">
        <w:rPr>
          <w:rFonts w:ascii="Cambria" w:eastAsia="Calibri" w:hAnsi="Cambria" w:cs="Calibri"/>
          <w:color w:val="000000" w:themeColor="text1"/>
          <w:sz w:val="16"/>
          <w:szCs w:val="16"/>
        </w:rPr>
        <w:t xml:space="preserve">, </w:t>
      </w:r>
      <w:r w:rsidR="000742B5">
        <w:rPr>
          <w:rFonts w:ascii="Cambria" w:eastAsia="Calibri" w:hAnsi="Cambria" w:cs="Calibri"/>
          <w:color w:val="000000" w:themeColor="text1"/>
          <w:sz w:val="16"/>
          <w:szCs w:val="16"/>
        </w:rPr>
        <w:t>[‘Venezuela starts in-person classes on October 25’]</w:t>
      </w:r>
      <w:r w:rsidRPr="009035C0">
        <w:rPr>
          <w:rFonts w:ascii="Cambria" w:eastAsia="Calibri" w:hAnsi="Cambria" w:cs="Calibri"/>
          <w:color w:val="000000" w:themeColor="text1"/>
          <w:sz w:val="16"/>
          <w:szCs w:val="16"/>
        </w:rPr>
        <w:t xml:space="preserve">; </w:t>
      </w:r>
      <w:r w:rsidRPr="009035C0">
        <w:rPr>
          <w:rFonts w:ascii="Cambria" w:hAnsi="Cambria"/>
          <w:color w:val="000000" w:themeColor="text1"/>
          <w:sz w:val="16"/>
          <w:szCs w:val="16"/>
        </w:rPr>
        <w:t xml:space="preserve">Crónica Uno, </w:t>
      </w:r>
      <w:hyperlink r:id="rId307">
        <w:r w:rsidRPr="009035C0">
          <w:rPr>
            <w:rStyle w:val="Hyperlink"/>
            <w:rFonts w:ascii="Cambria" w:eastAsiaTheme="majorEastAsia" w:hAnsi="Cambria"/>
            <w:color w:val="000000" w:themeColor="text1"/>
            <w:sz w:val="16"/>
            <w:szCs w:val="16"/>
          </w:rPr>
          <w:t>Maduro anunció regreso a clases a partir del 25 de octubre</w:t>
        </w:r>
      </w:hyperlink>
      <w:r w:rsidRPr="009035C0">
        <w:rPr>
          <w:rFonts w:ascii="Cambria" w:hAnsi="Cambria"/>
          <w:color w:val="000000" w:themeColor="text1"/>
          <w:sz w:val="16"/>
          <w:szCs w:val="16"/>
        </w:rPr>
        <w:t xml:space="preserve">, </w:t>
      </w:r>
      <w:r w:rsidRPr="009035C0">
        <w:rPr>
          <w:rFonts w:ascii="Cambria" w:eastAsia="Calibri" w:hAnsi="Cambria" w:cs="Calibri"/>
          <w:color w:val="000000" w:themeColor="text1"/>
          <w:sz w:val="16"/>
          <w:szCs w:val="16"/>
        </w:rPr>
        <w:t xml:space="preserve"> </w:t>
      </w:r>
      <w:r w:rsidR="00317873">
        <w:rPr>
          <w:rFonts w:ascii="Cambria" w:eastAsia="Calibri" w:hAnsi="Cambria" w:cs="Calibri"/>
          <w:color w:val="000000" w:themeColor="text1"/>
          <w:sz w:val="16"/>
          <w:szCs w:val="16"/>
        </w:rPr>
        <w:t>[‘Maduro announced</w:t>
      </w:r>
      <w:r w:rsidR="0064617E">
        <w:rPr>
          <w:rFonts w:ascii="Cambria" w:eastAsia="Calibri" w:hAnsi="Cambria" w:cs="Calibri"/>
          <w:color w:val="000000" w:themeColor="text1"/>
          <w:sz w:val="16"/>
          <w:szCs w:val="16"/>
        </w:rPr>
        <w:t xml:space="preserve"> return to classes on October 25’], October</w:t>
      </w:r>
      <w:r w:rsidR="00317873">
        <w:rPr>
          <w:rFonts w:ascii="Cambria" w:eastAsia="Calibri" w:hAnsi="Cambria" w:cs="Calibri"/>
          <w:color w:val="000000" w:themeColor="text1"/>
          <w:sz w:val="16"/>
          <w:szCs w:val="16"/>
        </w:rPr>
        <w:t xml:space="preserve"> </w:t>
      </w:r>
      <w:r w:rsidRPr="009035C0">
        <w:rPr>
          <w:rFonts w:ascii="Cambria" w:eastAsia="Calibri" w:hAnsi="Cambria" w:cs="Calibri"/>
          <w:color w:val="000000" w:themeColor="text1"/>
          <w:sz w:val="16"/>
          <w:szCs w:val="16"/>
        </w:rPr>
        <w:t>3</w:t>
      </w:r>
      <w:r w:rsidR="0064617E">
        <w:rPr>
          <w:rFonts w:ascii="Cambria" w:eastAsia="Calibri" w:hAnsi="Cambria" w:cs="Calibri"/>
          <w:color w:val="000000" w:themeColor="text1"/>
          <w:sz w:val="16"/>
          <w:szCs w:val="16"/>
        </w:rPr>
        <w:t>,</w:t>
      </w:r>
      <w:r w:rsidRPr="009035C0">
        <w:rPr>
          <w:rFonts w:ascii="Cambria" w:eastAsia="Calibri" w:hAnsi="Cambria" w:cs="Calibri"/>
          <w:color w:val="000000" w:themeColor="text1"/>
          <w:sz w:val="16"/>
          <w:szCs w:val="16"/>
        </w:rPr>
        <w:t xml:space="preserve"> 2021</w:t>
      </w:r>
    </w:p>
  </w:footnote>
  <w:footnote w:id="307">
    <w:p w14:paraId="4583C9F4" w14:textId="1FEC693C" w:rsidR="00D24896" w:rsidRPr="009035C0" w:rsidRDefault="00D24896" w:rsidP="00F85814">
      <w:pPr>
        <w:spacing w:after="120"/>
        <w:ind w:firstLine="720"/>
        <w:jc w:val="both"/>
        <w:rPr>
          <w:rFonts w:ascii="Cambria" w:eastAsia="Cambria" w:hAnsi="Cambria" w:cs="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Pr="009035C0">
        <w:rPr>
          <w:rFonts w:ascii="Cambria" w:eastAsia="Calibri" w:hAnsi="Cambria" w:cs="Calibri"/>
          <w:color w:val="000000" w:themeColor="text1"/>
          <w:sz w:val="16"/>
          <w:szCs w:val="16"/>
        </w:rPr>
        <w:t xml:space="preserve"> </w:t>
      </w:r>
      <w:r w:rsidRPr="009035C0">
        <w:rPr>
          <w:rFonts w:ascii="Cambria" w:eastAsia="Cambria" w:hAnsi="Cambria" w:cs="Cambria"/>
          <w:color w:val="000000" w:themeColor="text1"/>
          <w:sz w:val="16"/>
          <w:szCs w:val="16"/>
        </w:rPr>
        <w:t xml:space="preserve">CESCR, </w:t>
      </w:r>
      <w:r w:rsidR="00C74FBD">
        <w:rPr>
          <w:rFonts w:ascii="Cambria" w:eastAsia="Cambria" w:hAnsi="Cambria" w:cs="Cambria"/>
          <w:color w:val="000000" w:themeColor="text1"/>
          <w:sz w:val="16"/>
          <w:szCs w:val="16"/>
        </w:rPr>
        <w:t xml:space="preserve">General Comment </w:t>
      </w:r>
      <w:r w:rsidRPr="009035C0">
        <w:rPr>
          <w:rFonts w:ascii="Cambria" w:eastAsia="Cambria" w:hAnsi="Cambria" w:cs="Cambria"/>
          <w:color w:val="000000" w:themeColor="text1"/>
          <w:sz w:val="16"/>
          <w:szCs w:val="16"/>
        </w:rPr>
        <w:t xml:space="preserve">No. 13, </w:t>
      </w:r>
      <w:r w:rsidR="00D21625">
        <w:rPr>
          <w:rFonts w:ascii="Cambria" w:eastAsia="Cambria" w:hAnsi="Cambria" w:cs="Cambria"/>
          <w:color w:val="000000" w:themeColor="text1"/>
          <w:sz w:val="16"/>
          <w:szCs w:val="16"/>
        </w:rPr>
        <w:t>Right to education</w:t>
      </w:r>
      <w:r w:rsidRPr="009035C0">
        <w:rPr>
          <w:rFonts w:ascii="Cambria" w:eastAsia="Cambria" w:hAnsi="Cambria" w:cs="Cambria"/>
          <w:color w:val="000000" w:themeColor="text1"/>
          <w:sz w:val="16"/>
          <w:szCs w:val="16"/>
        </w:rPr>
        <w:t xml:space="preserve">, E/C.12/1999/10, </w:t>
      </w:r>
      <w:r w:rsidR="00D55A6F">
        <w:rPr>
          <w:rFonts w:ascii="Cambria" w:eastAsia="Cambria" w:hAnsi="Cambria" w:cs="Cambria"/>
          <w:color w:val="000000" w:themeColor="text1"/>
          <w:sz w:val="16"/>
          <w:szCs w:val="16"/>
        </w:rPr>
        <w:t xml:space="preserve">December </w:t>
      </w:r>
      <w:r w:rsidRPr="009035C0">
        <w:rPr>
          <w:rFonts w:ascii="Cambria" w:eastAsia="Cambria" w:hAnsi="Cambria" w:cs="Cambria"/>
          <w:color w:val="000000" w:themeColor="text1"/>
          <w:sz w:val="16"/>
          <w:szCs w:val="16"/>
        </w:rPr>
        <w:t>8</w:t>
      </w:r>
      <w:r w:rsidR="00D55A6F">
        <w:rPr>
          <w:rFonts w:ascii="Cambria" w:eastAsia="Cambria" w:hAnsi="Cambria" w:cs="Cambria"/>
          <w:color w:val="000000" w:themeColor="text1"/>
          <w:sz w:val="16"/>
          <w:szCs w:val="16"/>
        </w:rPr>
        <w:t>,</w:t>
      </w:r>
      <w:r w:rsidRPr="009035C0">
        <w:rPr>
          <w:rFonts w:ascii="Cambria" w:eastAsia="Cambria" w:hAnsi="Cambria" w:cs="Cambria"/>
          <w:color w:val="000000" w:themeColor="text1"/>
          <w:sz w:val="16"/>
          <w:szCs w:val="16"/>
        </w:rPr>
        <w:t xml:space="preserve"> 1999.</w:t>
      </w:r>
    </w:p>
  </w:footnote>
  <w:footnote w:id="308">
    <w:p w14:paraId="6BE761BA" w14:textId="60AC61BE"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Aula Abierta, RESUMEN EJECUTIVO: IV CONVENCIÓN COLECTIVA ÚNICA DEL SECTOR UNIVERSITARIO: VIOLACIONES A LA LIBERTAD DE ASOCIACIÓN, ACADÉMICA Y DERECHOS LABORALES EN EL SECTOR UNIVERSITARIO EN VENEZUELA, </w:t>
      </w:r>
      <w:r w:rsidR="00495DD1">
        <w:rPr>
          <w:rFonts w:ascii="Cambria" w:hAnsi="Cambria"/>
          <w:color w:val="000000" w:themeColor="text1"/>
          <w:sz w:val="16"/>
          <w:szCs w:val="16"/>
        </w:rPr>
        <w:t xml:space="preserve"> [‘Executive Summary: IV Single Collective Convention of the University Sector: Violations of the right to associate, academic freedom and of</w:t>
      </w:r>
      <w:r w:rsidR="00A96A6B">
        <w:rPr>
          <w:rFonts w:ascii="Cambria" w:hAnsi="Cambria"/>
          <w:color w:val="000000" w:themeColor="text1"/>
          <w:sz w:val="16"/>
          <w:szCs w:val="16"/>
        </w:rPr>
        <w:t xml:space="preserve"> </w:t>
      </w:r>
      <w:r w:rsidR="00495DD1">
        <w:rPr>
          <w:rFonts w:ascii="Cambria" w:hAnsi="Cambria"/>
          <w:color w:val="000000" w:themeColor="text1"/>
          <w:sz w:val="16"/>
          <w:szCs w:val="16"/>
        </w:rPr>
        <w:t>labor rights in the university sector in Venezuela’]</w:t>
      </w:r>
      <w:r w:rsidR="000B3D21">
        <w:rPr>
          <w:rFonts w:ascii="Cambria" w:hAnsi="Cambria"/>
          <w:color w:val="000000" w:themeColor="text1"/>
          <w:sz w:val="16"/>
          <w:szCs w:val="16"/>
        </w:rPr>
        <w:t>,</w:t>
      </w:r>
      <w:r w:rsidR="00495DD1">
        <w:rPr>
          <w:rFonts w:ascii="Cambria" w:hAnsi="Cambria"/>
          <w:color w:val="000000" w:themeColor="text1"/>
          <w:sz w:val="16"/>
          <w:szCs w:val="16"/>
        </w:rPr>
        <w:t xml:space="preserve"> August </w:t>
      </w:r>
      <w:r w:rsidRPr="009035C0">
        <w:rPr>
          <w:rFonts w:ascii="Cambria" w:hAnsi="Cambria"/>
          <w:color w:val="000000" w:themeColor="text1"/>
          <w:sz w:val="16"/>
          <w:szCs w:val="16"/>
        </w:rPr>
        <w:t>25</w:t>
      </w:r>
      <w:r w:rsidR="00495DD1">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309">
    <w:p w14:paraId="269D1B0D" w14:textId="451D0AD4" w:rsidR="00D24896" w:rsidRPr="009035C0" w:rsidRDefault="00D24896"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Pr="00E7771A">
        <w:rPr>
          <w:rFonts w:ascii="Cambria" w:hAnsi="Cambria" w:cs="Segoe UI"/>
          <w:color w:val="000000" w:themeColor="text1"/>
          <w:sz w:val="16"/>
          <w:szCs w:val="16"/>
          <w:u w:val="single"/>
          <w:shd w:val="clear" w:color="auto" w:fill="FFFFFF"/>
          <w:lang w:val="es-US"/>
        </w:rPr>
        <w:t xml:space="preserve">Aula Abierta. Libertad académica y autonomía universitaria en la educación superior en Venezuela. </w:t>
      </w:r>
      <w:r w:rsidRPr="009035C0">
        <w:rPr>
          <w:rFonts w:ascii="Cambria" w:hAnsi="Cambria" w:cs="Segoe UI"/>
          <w:color w:val="000000" w:themeColor="text1"/>
          <w:sz w:val="16"/>
          <w:szCs w:val="16"/>
          <w:u w:val="single"/>
          <w:shd w:val="clear" w:color="auto" w:fill="FFFFFF"/>
        </w:rPr>
        <w:t>Informe preliminar. Venezuela, 2021.</w:t>
      </w:r>
      <w:r w:rsidR="008161C1">
        <w:rPr>
          <w:rFonts w:ascii="Cambria" w:hAnsi="Cambria" w:cs="Segoe UI"/>
          <w:color w:val="000000" w:themeColor="text1"/>
          <w:sz w:val="16"/>
          <w:szCs w:val="16"/>
          <w:u w:val="single"/>
          <w:shd w:val="clear" w:color="auto" w:fill="FFFFFF"/>
        </w:rPr>
        <w:t>[‘</w:t>
      </w:r>
      <w:r w:rsidR="000C788B">
        <w:rPr>
          <w:rFonts w:ascii="Cambria" w:hAnsi="Cambria" w:cs="Segoe UI"/>
          <w:color w:val="000000" w:themeColor="text1"/>
          <w:sz w:val="16"/>
          <w:szCs w:val="16"/>
          <w:u w:val="single"/>
          <w:shd w:val="clear" w:color="auto" w:fill="FFFFFF"/>
        </w:rPr>
        <w:t>Academic freedom and autonomy of universities in higher education in Venezuela. Preliminary Report. 2021’]</w:t>
      </w:r>
    </w:p>
  </w:footnote>
  <w:footnote w:id="310">
    <w:p w14:paraId="74238C93" w14:textId="392F573C"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0C788B">
        <w:rPr>
          <w:rFonts w:ascii="Cambria" w:hAnsi="Cambria"/>
          <w:color w:val="000000" w:themeColor="text1"/>
          <w:sz w:val="16"/>
          <w:szCs w:val="16"/>
        </w:rPr>
        <w:t>Venezuelan Observatory on Social Conflict</w:t>
      </w:r>
      <w:r w:rsidRPr="009035C0">
        <w:rPr>
          <w:rFonts w:ascii="Cambria" w:hAnsi="Cambria"/>
          <w:color w:val="000000" w:themeColor="text1"/>
          <w:sz w:val="16"/>
          <w:szCs w:val="16"/>
        </w:rPr>
        <w:t xml:space="preserve">. </w:t>
      </w:r>
      <w:hyperlink r:id="rId308" w:history="1">
        <w:r w:rsidRPr="009035C0">
          <w:rPr>
            <w:rStyle w:val="Hyperlink"/>
            <w:rFonts w:ascii="Cambria" w:eastAsiaTheme="majorEastAsia" w:hAnsi="Cambria"/>
            <w:color w:val="000000" w:themeColor="text1"/>
            <w:sz w:val="16"/>
            <w:szCs w:val="16"/>
          </w:rPr>
          <w:t>Protestas en Venezuela 1er trimestre 2020 vs. 2021</w:t>
        </w:r>
      </w:hyperlink>
      <w:r w:rsidRPr="009035C0">
        <w:rPr>
          <w:rFonts w:ascii="Cambria" w:hAnsi="Cambria"/>
          <w:color w:val="000000" w:themeColor="text1"/>
          <w:sz w:val="16"/>
          <w:szCs w:val="16"/>
        </w:rPr>
        <w:t xml:space="preserve">, </w:t>
      </w:r>
      <w:r w:rsidR="000C788B">
        <w:rPr>
          <w:rFonts w:ascii="Cambria" w:hAnsi="Cambria"/>
          <w:color w:val="000000" w:themeColor="text1"/>
          <w:sz w:val="16"/>
          <w:szCs w:val="16"/>
        </w:rPr>
        <w:t xml:space="preserve">[‘Protests in Venezuela First Quarter 2020 vs. 2021’], April </w:t>
      </w:r>
      <w:r w:rsidRPr="009035C0">
        <w:rPr>
          <w:rFonts w:ascii="Cambria" w:hAnsi="Cambria"/>
          <w:color w:val="000000" w:themeColor="text1"/>
          <w:sz w:val="16"/>
          <w:szCs w:val="16"/>
        </w:rPr>
        <w:t>22</w:t>
      </w:r>
      <w:r w:rsidR="000C788B">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311">
    <w:p w14:paraId="12D4CEDA" w14:textId="7AA63BAA"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493E74">
        <w:rPr>
          <w:rFonts w:ascii="Cambria" w:hAnsi="Cambria"/>
          <w:color w:val="000000" w:themeColor="text1"/>
          <w:sz w:val="16"/>
          <w:szCs w:val="16"/>
        </w:rPr>
        <w:t>Venezuelan Observatory on Social Conflict</w:t>
      </w:r>
      <w:r w:rsidR="00493E74" w:rsidRPr="009035C0">
        <w:rPr>
          <w:rFonts w:ascii="Cambria" w:hAnsi="Cambria"/>
          <w:color w:val="000000" w:themeColor="text1"/>
          <w:sz w:val="16"/>
          <w:szCs w:val="16"/>
        </w:rPr>
        <w:t>.</w:t>
      </w:r>
      <w:r w:rsidRPr="009035C0">
        <w:rPr>
          <w:rFonts w:ascii="Cambria" w:hAnsi="Cambria"/>
          <w:color w:val="000000" w:themeColor="text1"/>
          <w:sz w:val="16"/>
          <w:szCs w:val="16"/>
        </w:rPr>
        <w:t xml:space="preserve">. </w:t>
      </w:r>
      <w:hyperlink r:id="rId309" w:history="1">
        <w:r w:rsidRPr="00E7771A">
          <w:rPr>
            <w:rStyle w:val="Hyperlink"/>
            <w:rFonts w:ascii="Cambria" w:eastAsiaTheme="majorEastAsia" w:hAnsi="Cambria"/>
            <w:color w:val="000000" w:themeColor="text1"/>
            <w:sz w:val="16"/>
            <w:szCs w:val="16"/>
            <w:lang w:val="es-US"/>
          </w:rPr>
          <w:t>Protestas en Venezuela 1er trimestre 2020 vs. 2021</w:t>
        </w:r>
      </w:hyperlink>
      <w:r w:rsidRPr="00E7771A">
        <w:rPr>
          <w:rFonts w:ascii="Cambria" w:hAnsi="Cambria"/>
          <w:color w:val="000000" w:themeColor="text1"/>
          <w:sz w:val="16"/>
          <w:szCs w:val="16"/>
          <w:lang w:val="es-US"/>
        </w:rPr>
        <w:t xml:space="preserve">, </w:t>
      </w:r>
      <w:r w:rsidR="00493E74" w:rsidRPr="00E7771A">
        <w:rPr>
          <w:rFonts w:ascii="Cambria" w:hAnsi="Cambria"/>
          <w:color w:val="000000" w:themeColor="text1"/>
          <w:sz w:val="16"/>
          <w:szCs w:val="16"/>
          <w:lang w:val="es-US"/>
        </w:rPr>
        <w:t>[‘Protests in Venezuela First Quarter 2020 vs. 2021’], April 22, 2021</w:t>
      </w:r>
    </w:p>
  </w:footnote>
  <w:footnote w:id="312">
    <w:p w14:paraId="2DE1D13E" w14:textId="4C61C3E0"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REDESCA</w:t>
      </w:r>
      <w:hyperlink r:id="rId310" w:history="1">
        <w:r w:rsidRPr="00E7771A">
          <w:rPr>
            <w:rStyle w:val="Hyperlink"/>
            <w:rFonts w:ascii="Cambria" w:eastAsiaTheme="majorEastAsia" w:hAnsi="Cambria"/>
            <w:color w:val="000000" w:themeColor="text1"/>
            <w:sz w:val="16"/>
            <w:szCs w:val="16"/>
            <w:lang w:val="es-US"/>
          </w:rPr>
          <w:t xml:space="preserve">, IV </w:t>
        </w:r>
        <w:r w:rsidR="002B0B64" w:rsidRPr="00E7771A">
          <w:rPr>
            <w:rStyle w:val="Hyperlink"/>
            <w:rFonts w:ascii="Cambria" w:eastAsiaTheme="majorEastAsia" w:hAnsi="Cambria"/>
            <w:color w:val="000000" w:themeColor="text1"/>
            <w:sz w:val="16"/>
            <w:szCs w:val="16"/>
            <w:lang w:val="es-US"/>
          </w:rPr>
          <w:t>Informe Anual De La Relatoría Especial Sobre Derechos Económicos, Sociales, Culturales Y Ambientales (</w:t>
        </w:r>
        <w:r w:rsidR="00762AC5" w:rsidRPr="00E7771A">
          <w:rPr>
            <w:rStyle w:val="Hyperlink"/>
            <w:rFonts w:ascii="Cambria" w:eastAsiaTheme="majorEastAsia" w:hAnsi="Cambria"/>
            <w:color w:val="000000" w:themeColor="text1"/>
            <w:sz w:val="16"/>
            <w:szCs w:val="16"/>
            <w:lang w:val="es-US"/>
          </w:rPr>
          <w:t>REDESCA</w:t>
        </w:r>
        <w:r w:rsidR="002B0B64" w:rsidRPr="00E7771A">
          <w:rPr>
            <w:rStyle w:val="Hyperlink"/>
            <w:rFonts w:ascii="Cambria" w:eastAsiaTheme="majorEastAsia" w:hAnsi="Cambria"/>
            <w:color w:val="000000" w:themeColor="text1"/>
            <w:sz w:val="16"/>
            <w:szCs w:val="16"/>
            <w:lang w:val="es-US"/>
          </w:rPr>
          <w:t>) De La Comisión Interamericana De Derechos Humanos (CIDH)</w:t>
        </w:r>
      </w:hyperlink>
      <w:r w:rsidRPr="00E7771A">
        <w:rPr>
          <w:rFonts w:ascii="Cambria" w:hAnsi="Cambria"/>
          <w:color w:val="000000" w:themeColor="text1"/>
          <w:sz w:val="16"/>
          <w:szCs w:val="16"/>
          <w:lang w:val="es-US"/>
        </w:rPr>
        <w:t xml:space="preserve">, </w:t>
      </w:r>
      <w:r w:rsidR="00C96F45" w:rsidRPr="00E7771A">
        <w:rPr>
          <w:rFonts w:ascii="Cambria" w:hAnsi="Cambria"/>
          <w:color w:val="000000" w:themeColor="text1"/>
          <w:sz w:val="16"/>
          <w:szCs w:val="16"/>
          <w:lang w:val="es-US"/>
        </w:rPr>
        <w:t>IV Annual Report of the Special Rapporteurship on Economic, Social, Cultural and Environmental Rights, 2020, OEA/SER.L/V/II, March 30, 2021, par</w:t>
      </w:r>
      <w:r w:rsidRPr="00E7771A">
        <w:rPr>
          <w:rFonts w:ascii="Cambria" w:hAnsi="Cambria"/>
          <w:color w:val="000000" w:themeColor="text1"/>
          <w:sz w:val="16"/>
          <w:szCs w:val="16"/>
          <w:lang w:val="es-US"/>
        </w:rPr>
        <w:t>. 1097</w:t>
      </w:r>
    </w:p>
  </w:footnote>
  <w:footnote w:id="313">
    <w:p w14:paraId="4B25146F" w14:textId="6EAD353F" w:rsidR="00D24896" w:rsidRPr="009035C0" w:rsidRDefault="00D2489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Aula Abierta, </w:t>
      </w:r>
      <w:r w:rsidR="00C96F45">
        <w:rPr>
          <w:rFonts w:ascii="Cambria" w:hAnsi="Cambria"/>
          <w:color w:val="000000" w:themeColor="text1"/>
          <w:sz w:val="16"/>
          <w:szCs w:val="16"/>
        </w:rPr>
        <w:t>Executive Summary: IV Single Collective Convention of the University Sector:</w:t>
      </w:r>
      <w:r w:rsidR="00762AC5" w:rsidRPr="009035C0">
        <w:rPr>
          <w:rFonts w:ascii="Cambria" w:hAnsi="Cambria"/>
          <w:color w:val="000000" w:themeColor="text1"/>
          <w:sz w:val="16"/>
          <w:szCs w:val="16"/>
        </w:rPr>
        <w:t xml:space="preserve"> </w:t>
      </w:r>
      <w:r w:rsidR="00C96F45">
        <w:rPr>
          <w:rFonts w:ascii="Cambria" w:hAnsi="Cambria"/>
          <w:color w:val="000000" w:themeColor="text1"/>
          <w:sz w:val="16"/>
          <w:szCs w:val="16"/>
        </w:rPr>
        <w:t xml:space="preserve">Violations of the right to associate, academic freedom and of labor rights in the university sector in Venezuela’], August </w:t>
      </w:r>
      <w:r w:rsidR="00C96F45" w:rsidRPr="009035C0">
        <w:rPr>
          <w:rFonts w:ascii="Cambria" w:hAnsi="Cambria"/>
          <w:color w:val="000000" w:themeColor="text1"/>
          <w:sz w:val="16"/>
          <w:szCs w:val="16"/>
        </w:rPr>
        <w:t>25</w:t>
      </w:r>
      <w:r w:rsidR="00C96F45">
        <w:rPr>
          <w:rFonts w:ascii="Cambria" w:hAnsi="Cambria"/>
          <w:color w:val="000000" w:themeColor="text1"/>
          <w:sz w:val="16"/>
          <w:szCs w:val="16"/>
        </w:rPr>
        <w:t>,</w:t>
      </w:r>
      <w:r w:rsidR="00C96F45" w:rsidRPr="009035C0">
        <w:rPr>
          <w:rFonts w:ascii="Cambria" w:hAnsi="Cambria"/>
          <w:color w:val="000000" w:themeColor="text1"/>
          <w:sz w:val="16"/>
          <w:szCs w:val="16"/>
        </w:rPr>
        <w:t xml:space="preserve"> 2021</w:t>
      </w:r>
      <w:r w:rsidRPr="009035C0">
        <w:rPr>
          <w:rFonts w:ascii="Cambria" w:hAnsi="Cambria"/>
          <w:color w:val="000000" w:themeColor="text1"/>
          <w:sz w:val="16"/>
          <w:szCs w:val="16"/>
        </w:rPr>
        <w:t>.</w:t>
      </w:r>
    </w:p>
  </w:footnote>
  <w:footnote w:id="314">
    <w:p w14:paraId="688DC927" w14:textId="14F25293" w:rsidR="00D24896" w:rsidRPr="00E7771A" w:rsidRDefault="00D2489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Ib</w:t>
      </w:r>
      <w:r w:rsidR="00C96F45" w:rsidRPr="00E7771A">
        <w:rPr>
          <w:rFonts w:ascii="Cambria" w:hAnsi="Cambria"/>
          <w:color w:val="000000" w:themeColor="text1"/>
          <w:sz w:val="16"/>
          <w:szCs w:val="16"/>
          <w:lang w:val="es-US"/>
        </w:rPr>
        <w:t>i</w:t>
      </w:r>
      <w:r w:rsidRPr="00E7771A">
        <w:rPr>
          <w:rFonts w:ascii="Cambria" w:hAnsi="Cambria"/>
          <w:color w:val="000000" w:themeColor="text1"/>
          <w:sz w:val="16"/>
          <w:szCs w:val="16"/>
          <w:lang w:val="es-US"/>
        </w:rPr>
        <w:t>dem</w:t>
      </w:r>
    </w:p>
  </w:footnote>
  <w:footnote w:id="315">
    <w:p w14:paraId="226ACD6A" w14:textId="409DE80B" w:rsidR="00D24896" w:rsidRPr="009035C0" w:rsidRDefault="00D24896"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Pr="00E7771A">
        <w:rPr>
          <w:rFonts w:ascii="Cambria" w:hAnsi="Cambria" w:cs="Segoe UI"/>
          <w:color w:val="000000" w:themeColor="text1"/>
          <w:sz w:val="16"/>
          <w:szCs w:val="16"/>
          <w:u w:val="single"/>
          <w:shd w:val="clear" w:color="auto" w:fill="FFFFFF"/>
          <w:lang w:val="es-US"/>
        </w:rPr>
        <w:t xml:space="preserve">Aula Abierta. Libertad académica y autonomía universitaria en la educación superior en Venezuela. </w:t>
      </w:r>
      <w:r w:rsidRPr="009035C0">
        <w:rPr>
          <w:rFonts w:ascii="Cambria" w:hAnsi="Cambria" w:cs="Segoe UI"/>
          <w:color w:val="000000" w:themeColor="text1"/>
          <w:sz w:val="16"/>
          <w:szCs w:val="16"/>
          <w:u w:val="single"/>
          <w:shd w:val="clear" w:color="auto" w:fill="FFFFFF"/>
        </w:rPr>
        <w:t>Informe preliminar. Venezuela, 2021.</w:t>
      </w:r>
      <w:r w:rsidR="00435554">
        <w:rPr>
          <w:rFonts w:ascii="Cambria" w:hAnsi="Cambria" w:cs="Segoe UI"/>
          <w:color w:val="000000" w:themeColor="text1"/>
          <w:sz w:val="16"/>
          <w:szCs w:val="16"/>
          <w:u w:val="single"/>
          <w:shd w:val="clear" w:color="auto" w:fill="FFFFFF"/>
        </w:rPr>
        <w:t xml:space="preserve">[‘Academic freedom and </w:t>
      </w:r>
      <w:r w:rsidR="00152A69">
        <w:rPr>
          <w:rFonts w:ascii="Cambria" w:hAnsi="Cambria" w:cs="Segoe UI"/>
          <w:color w:val="000000" w:themeColor="text1"/>
          <w:sz w:val="16"/>
          <w:szCs w:val="16"/>
          <w:u w:val="single"/>
          <w:shd w:val="clear" w:color="auto" w:fill="FFFFFF"/>
        </w:rPr>
        <w:t xml:space="preserve">university </w:t>
      </w:r>
      <w:r w:rsidR="00435554">
        <w:rPr>
          <w:rFonts w:ascii="Cambria" w:hAnsi="Cambria" w:cs="Segoe UI"/>
          <w:color w:val="000000" w:themeColor="text1"/>
          <w:sz w:val="16"/>
          <w:szCs w:val="16"/>
          <w:u w:val="single"/>
          <w:shd w:val="clear" w:color="auto" w:fill="FFFFFF"/>
        </w:rPr>
        <w:t>autonomy in higher education in Venezuela. Preliminary Report, Venezuela. 2021’]</w:t>
      </w:r>
    </w:p>
  </w:footnote>
  <w:footnote w:id="316">
    <w:p w14:paraId="1BA7CD1C" w14:textId="34B2A4DD" w:rsidR="006962F6" w:rsidRPr="00F85814" w:rsidRDefault="006962F6" w:rsidP="00F85814">
      <w:pPr>
        <w:spacing w:after="120"/>
        <w:ind w:firstLine="720"/>
        <w:contextualSpacing/>
        <w:jc w:val="both"/>
        <w:rPr>
          <w:rFonts w:ascii="Cambria" w:hAnsi="Cambria"/>
          <w:color w:val="000000" w:themeColor="text1"/>
          <w:sz w:val="16"/>
          <w:szCs w:val="16"/>
          <w:lang w:val="es-US"/>
        </w:rPr>
      </w:pPr>
      <w:r w:rsidRPr="009035C0">
        <w:rPr>
          <w:rFonts w:ascii="Cambria" w:hAnsi="Cambria"/>
          <w:color w:val="000000" w:themeColor="text1"/>
          <w:sz w:val="16"/>
          <w:szCs w:val="16"/>
          <w:vertAlign w:val="superscript"/>
        </w:rPr>
        <w:footnoteRef/>
      </w:r>
      <w:r w:rsidRPr="009035C0">
        <w:rPr>
          <w:rFonts w:ascii="Cambria" w:hAnsi="Cambria"/>
          <w:color w:val="000000" w:themeColor="text1"/>
          <w:sz w:val="16"/>
          <w:szCs w:val="16"/>
        </w:rPr>
        <w:t xml:space="preserve"> </w:t>
      </w:r>
      <w:r w:rsidR="00435554">
        <w:rPr>
          <w:rFonts w:ascii="Cambria" w:hAnsi="Cambria"/>
          <w:color w:val="000000" w:themeColor="text1"/>
          <w:sz w:val="16"/>
          <w:szCs w:val="16"/>
        </w:rPr>
        <w:t xml:space="preserve">IACHR, Hearing on </w:t>
      </w:r>
      <w:r w:rsidRPr="009035C0">
        <w:rPr>
          <w:rFonts w:ascii="Cambria" w:eastAsia="Cambria" w:hAnsi="Cambria" w:cs="Cambria"/>
          <w:color w:val="000000" w:themeColor="text1"/>
          <w:sz w:val="16"/>
          <w:szCs w:val="16"/>
        </w:rPr>
        <w:t>“</w:t>
      </w:r>
      <w:hyperlink r:id="rId311">
        <w:r w:rsidRPr="009035C0">
          <w:rPr>
            <w:rFonts w:ascii="Cambria" w:eastAsia="Cambria" w:hAnsi="Cambria" w:cs="Cambria"/>
            <w:color w:val="000000" w:themeColor="text1"/>
            <w:sz w:val="16"/>
            <w:szCs w:val="16"/>
            <w:u w:val="single"/>
          </w:rPr>
          <w:t>Situación de derechos humanos de mujeres adolescentes y niñas en Venezuela</w:t>
        </w:r>
      </w:hyperlink>
      <w:r w:rsidRPr="009035C0">
        <w:rPr>
          <w:rFonts w:ascii="Cambria" w:eastAsia="Cambria" w:hAnsi="Cambria" w:cs="Cambria"/>
          <w:color w:val="000000" w:themeColor="text1"/>
          <w:sz w:val="16"/>
          <w:szCs w:val="16"/>
        </w:rPr>
        <w:t xml:space="preserve">” </w:t>
      </w:r>
      <w:r w:rsidR="00435554">
        <w:rPr>
          <w:rFonts w:ascii="Cambria" w:eastAsia="Cambria" w:hAnsi="Cambria" w:cs="Cambria"/>
          <w:color w:val="000000" w:themeColor="text1"/>
          <w:sz w:val="16"/>
          <w:szCs w:val="16"/>
        </w:rPr>
        <w:t>[‘Situation of human rights of adolescent women and girls in Venezuela’] 181</w:t>
      </w:r>
      <w:r w:rsidR="00435554" w:rsidRPr="00435554">
        <w:rPr>
          <w:rFonts w:ascii="Cambria" w:eastAsia="Cambria" w:hAnsi="Cambria" w:cs="Cambria"/>
          <w:color w:val="000000" w:themeColor="text1"/>
          <w:sz w:val="16"/>
          <w:szCs w:val="16"/>
          <w:vertAlign w:val="superscript"/>
        </w:rPr>
        <w:t>st</w:t>
      </w:r>
      <w:r w:rsidR="00435554">
        <w:rPr>
          <w:rFonts w:ascii="Cambria" w:eastAsia="Cambria" w:hAnsi="Cambria" w:cs="Cambria"/>
          <w:color w:val="000000" w:themeColor="text1"/>
          <w:sz w:val="16"/>
          <w:szCs w:val="16"/>
        </w:rPr>
        <w:t xml:space="preserve"> Regular Session of October 2021; UN</w:t>
      </w:r>
      <w:r w:rsidRPr="009035C0">
        <w:rPr>
          <w:rFonts w:ascii="Cambria" w:eastAsia="Cambria" w:hAnsi="Cambria" w:cs="Cambria"/>
          <w:color w:val="000000" w:themeColor="text1"/>
          <w:sz w:val="16"/>
          <w:szCs w:val="16"/>
        </w:rPr>
        <w:t xml:space="preserve">. </w:t>
      </w:r>
      <w:r w:rsidR="00435554">
        <w:rPr>
          <w:rFonts w:ascii="Cambria" w:eastAsia="Cambria" w:hAnsi="Cambria" w:cs="Cambria"/>
          <w:color w:val="000000" w:themeColor="text1"/>
          <w:sz w:val="16"/>
          <w:szCs w:val="16"/>
        </w:rPr>
        <w:t>Human Rights Council, Report of the Special Rapporteur on Violence against Women, its Causes and Consequences</w:t>
      </w:r>
      <w:r w:rsidRPr="009035C0">
        <w:rPr>
          <w:rFonts w:ascii="Cambria" w:eastAsia="Cambria" w:hAnsi="Cambria" w:cs="Cambria"/>
          <w:color w:val="000000" w:themeColor="text1"/>
          <w:sz w:val="16"/>
          <w:szCs w:val="16"/>
        </w:rPr>
        <w:t xml:space="preserve">, </w:t>
      </w:r>
      <w:hyperlink r:id="rId312">
        <w:r w:rsidRPr="009035C0">
          <w:rPr>
            <w:rFonts w:ascii="Cambria" w:eastAsia="Cambria" w:hAnsi="Cambria" w:cs="Cambria"/>
            <w:color w:val="000000" w:themeColor="text1"/>
            <w:sz w:val="16"/>
            <w:szCs w:val="16"/>
            <w:u w:val="single"/>
          </w:rPr>
          <w:t>A/76/132</w:t>
        </w:r>
      </w:hyperlink>
      <w:r w:rsidRPr="009035C0">
        <w:rPr>
          <w:rFonts w:ascii="Cambria" w:eastAsia="Cambria" w:hAnsi="Cambria" w:cs="Cambria"/>
          <w:color w:val="000000" w:themeColor="text1"/>
          <w:sz w:val="16"/>
          <w:szCs w:val="16"/>
        </w:rPr>
        <w:t xml:space="preserve">, </w:t>
      </w:r>
      <w:r w:rsidR="00435554">
        <w:rPr>
          <w:rFonts w:ascii="Cambria" w:eastAsia="Cambria" w:hAnsi="Cambria" w:cs="Cambria"/>
          <w:color w:val="000000" w:themeColor="text1"/>
          <w:sz w:val="16"/>
          <w:szCs w:val="16"/>
        </w:rPr>
        <w:t xml:space="preserve">July </w:t>
      </w:r>
      <w:r w:rsidRPr="009035C0">
        <w:rPr>
          <w:rFonts w:ascii="Cambria" w:eastAsia="Cambria" w:hAnsi="Cambria" w:cs="Cambria"/>
          <w:color w:val="000000" w:themeColor="text1"/>
          <w:sz w:val="16"/>
          <w:szCs w:val="16"/>
        </w:rPr>
        <w:t>12</w:t>
      </w:r>
      <w:r w:rsidR="00435554">
        <w:rPr>
          <w:rFonts w:ascii="Cambria" w:eastAsia="Cambria" w:hAnsi="Cambria" w:cs="Cambria"/>
          <w:color w:val="000000" w:themeColor="text1"/>
          <w:sz w:val="16"/>
          <w:szCs w:val="16"/>
        </w:rPr>
        <w:t>,</w:t>
      </w:r>
      <w:r w:rsidRPr="009035C0">
        <w:rPr>
          <w:rFonts w:ascii="Cambria" w:eastAsia="Cambria" w:hAnsi="Cambria" w:cs="Cambria"/>
          <w:color w:val="000000" w:themeColor="text1"/>
          <w:sz w:val="16"/>
          <w:szCs w:val="16"/>
        </w:rPr>
        <w:t xml:space="preserve"> 2021. </w:t>
      </w:r>
      <w:r w:rsidRPr="00F85814">
        <w:rPr>
          <w:rFonts w:ascii="Cambria" w:eastAsia="Cambria" w:hAnsi="Cambria" w:cs="Cambria"/>
          <w:color w:val="000000" w:themeColor="text1"/>
          <w:sz w:val="16"/>
          <w:szCs w:val="16"/>
          <w:lang w:val="es-US"/>
        </w:rPr>
        <w:t>P</w:t>
      </w:r>
      <w:r w:rsidR="00435554" w:rsidRPr="00F85814">
        <w:rPr>
          <w:rFonts w:ascii="Cambria" w:eastAsia="Cambria" w:hAnsi="Cambria" w:cs="Cambria"/>
          <w:color w:val="000000" w:themeColor="text1"/>
          <w:sz w:val="16"/>
          <w:szCs w:val="16"/>
          <w:lang w:val="es-US"/>
        </w:rPr>
        <w:t>a</w:t>
      </w:r>
      <w:r w:rsidRPr="00F85814">
        <w:rPr>
          <w:rFonts w:ascii="Cambria" w:eastAsia="Cambria" w:hAnsi="Cambria" w:cs="Cambria"/>
          <w:color w:val="000000" w:themeColor="text1"/>
          <w:sz w:val="16"/>
          <w:szCs w:val="16"/>
          <w:lang w:val="es-US"/>
        </w:rPr>
        <w:t xml:space="preserve">r. 53 </w:t>
      </w:r>
    </w:p>
  </w:footnote>
  <w:footnote w:id="317">
    <w:p w14:paraId="164E2B7E" w14:textId="2024F7C1" w:rsidR="005B0807" w:rsidRPr="00343525" w:rsidRDefault="005B0807" w:rsidP="00F85814">
      <w:pPr>
        <w:pStyle w:val="FootnoteText"/>
        <w:spacing w:after="120"/>
        <w:ind w:firstLine="720"/>
        <w:rPr>
          <w:rFonts w:ascii="Cambria" w:hAnsi="Cambria"/>
          <w:sz w:val="16"/>
          <w:szCs w:val="16"/>
          <w:lang w:val="es-ES"/>
        </w:rPr>
      </w:pPr>
      <w:r w:rsidRPr="00343525">
        <w:rPr>
          <w:rStyle w:val="FootnoteReference"/>
          <w:rFonts w:ascii="Cambria" w:hAnsi="Cambria"/>
          <w:sz w:val="16"/>
          <w:szCs w:val="16"/>
        </w:rPr>
        <w:footnoteRef/>
      </w:r>
      <w:r w:rsidRPr="00343525">
        <w:rPr>
          <w:rFonts w:ascii="Cambria" w:hAnsi="Cambria"/>
          <w:sz w:val="16"/>
          <w:szCs w:val="16"/>
          <w:lang w:val="es-ES"/>
        </w:rPr>
        <w:t xml:space="preserve"> </w:t>
      </w:r>
      <w:r w:rsidR="00343525" w:rsidRPr="00343525">
        <w:rPr>
          <w:rFonts w:ascii="Cambria" w:eastAsia="Cambria" w:hAnsi="Cambria" w:cs="Cambria"/>
          <w:color w:val="000000" w:themeColor="text1"/>
          <w:sz w:val="16"/>
          <w:szCs w:val="16"/>
          <w:lang w:val="es-ES"/>
        </w:rPr>
        <w:t>Cepaz, Monitoreo de Femicidios en Venezuela, octubre de 2021.</w:t>
      </w:r>
    </w:p>
  </w:footnote>
  <w:footnote w:id="318">
    <w:p w14:paraId="60815A43" w14:textId="62167100" w:rsidR="002125CC" w:rsidRPr="009035C0" w:rsidRDefault="002125CC" w:rsidP="00F85814">
      <w:pPr>
        <w:pStyle w:val="FootnoteText"/>
        <w:spacing w:after="120"/>
        <w:ind w:firstLine="720"/>
        <w:contextualSpacing/>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F85814">
        <w:rPr>
          <w:rFonts w:ascii="Cambria" w:hAnsi="Cambria"/>
          <w:color w:val="000000" w:themeColor="text1"/>
          <w:sz w:val="16"/>
          <w:szCs w:val="16"/>
          <w:lang w:val="es-US"/>
        </w:rPr>
        <w:t xml:space="preserve"> </w:t>
      </w:r>
      <w:r w:rsidR="00184AE9" w:rsidRPr="00F85814">
        <w:rPr>
          <w:rFonts w:ascii="Cambria" w:hAnsi="Cambria"/>
          <w:color w:val="000000" w:themeColor="text1"/>
          <w:sz w:val="16"/>
          <w:szCs w:val="16"/>
          <w:lang w:val="es-US"/>
        </w:rPr>
        <w:t>IACHR, Hearing on</w:t>
      </w:r>
      <w:r w:rsidRPr="00F85814">
        <w:rPr>
          <w:rFonts w:ascii="Cambria" w:eastAsia="Cambria" w:hAnsi="Cambria" w:cs="Cambria"/>
          <w:color w:val="000000" w:themeColor="text1"/>
          <w:sz w:val="16"/>
          <w:szCs w:val="16"/>
          <w:lang w:val="es-US"/>
        </w:rPr>
        <w:t xml:space="preserve"> “</w:t>
      </w:r>
      <w:hyperlink r:id="rId313">
        <w:r w:rsidRPr="00F85814">
          <w:rPr>
            <w:rFonts w:ascii="Cambria" w:eastAsia="Cambria" w:hAnsi="Cambria" w:cs="Cambria"/>
            <w:color w:val="000000" w:themeColor="text1"/>
            <w:sz w:val="16"/>
            <w:szCs w:val="16"/>
            <w:u w:val="single"/>
            <w:lang w:val="es-US"/>
          </w:rPr>
          <w:t>Situación de derechos humanos de mujeres adolescentes y niñas en Venezuela</w:t>
        </w:r>
      </w:hyperlink>
      <w:r w:rsidRPr="00F85814">
        <w:rPr>
          <w:rFonts w:ascii="Cambria" w:eastAsia="Cambria" w:hAnsi="Cambria" w:cs="Cambria"/>
          <w:color w:val="000000" w:themeColor="text1"/>
          <w:sz w:val="16"/>
          <w:szCs w:val="16"/>
          <w:lang w:val="es-US"/>
        </w:rPr>
        <w:t xml:space="preserve">” </w:t>
      </w:r>
      <w:r w:rsidR="00184AE9" w:rsidRPr="00F85814">
        <w:rPr>
          <w:rFonts w:ascii="Cambria" w:eastAsia="Cambria" w:hAnsi="Cambria" w:cs="Cambria"/>
          <w:color w:val="000000" w:themeColor="text1"/>
          <w:sz w:val="16"/>
          <w:szCs w:val="16"/>
          <w:lang w:val="es-US"/>
        </w:rPr>
        <w:t>[‘Situation of human rights of adolescent women and girls in Venezuela’] 181</w:t>
      </w:r>
      <w:r w:rsidR="00184AE9" w:rsidRPr="00F85814">
        <w:rPr>
          <w:rFonts w:ascii="Cambria" w:eastAsia="Cambria" w:hAnsi="Cambria" w:cs="Cambria"/>
          <w:color w:val="000000" w:themeColor="text1"/>
          <w:sz w:val="16"/>
          <w:szCs w:val="16"/>
          <w:vertAlign w:val="superscript"/>
          <w:lang w:val="es-US"/>
        </w:rPr>
        <w:t>st</w:t>
      </w:r>
      <w:r w:rsidR="00184AE9" w:rsidRPr="00F85814">
        <w:rPr>
          <w:rFonts w:ascii="Cambria" w:eastAsia="Cambria" w:hAnsi="Cambria" w:cs="Cambria"/>
          <w:color w:val="000000" w:themeColor="text1"/>
          <w:sz w:val="16"/>
          <w:szCs w:val="16"/>
          <w:lang w:val="es-US"/>
        </w:rPr>
        <w:t xml:space="preserve"> Regular Session of October 28, 2021</w:t>
      </w:r>
      <w:r w:rsidRPr="00F85814">
        <w:rPr>
          <w:rFonts w:ascii="Cambria" w:eastAsia="Cambria" w:hAnsi="Cambria" w:cs="Cambria"/>
          <w:color w:val="000000" w:themeColor="text1"/>
          <w:sz w:val="16"/>
          <w:szCs w:val="16"/>
          <w:lang w:val="es-US"/>
        </w:rPr>
        <w:t xml:space="preserve">; CEPAZ. </w:t>
      </w:r>
      <w:hyperlink r:id="rId314">
        <w:r w:rsidRPr="009035C0">
          <w:rPr>
            <w:rFonts w:ascii="Cambria" w:eastAsia="Cambria" w:hAnsi="Cambria" w:cs="Cambria"/>
            <w:color w:val="000000" w:themeColor="text1"/>
            <w:sz w:val="16"/>
            <w:szCs w:val="16"/>
            <w:u w:val="single"/>
          </w:rPr>
          <w:t>Situación de DDHH de las mujeres en Venezuela fue discutida por organizaciones feministas ante una audiencia histórica en la CIDH</w:t>
        </w:r>
      </w:hyperlink>
      <w:r w:rsidRPr="009035C0">
        <w:rPr>
          <w:rFonts w:ascii="Cambria" w:eastAsia="Cambria" w:hAnsi="Cambria" w:cs="Cambria"/>
          <w:color w:val="000000" w:themeColor="text1"/>
          <w:sz w:val="16"/>
          <w:szCs w:val="16"/>
        </w:rPr>
        <w:t>,</w:t>
      </w:r>
      <w:r w:rsidR="00184AE9">
        <w:rPr>
          <w:rFonts w:ascii="Cambria" w:eastAsia="Cambria" w:hAnsi="Cambria" w:cs="Cambria"/>
          <w:color w:val="000000" w:themeColor="text1"/>
          <w:sz w:val="16"/>
          <w:szCs w:val="16"/>
        </w:rPr>
        <w:t xml:space="preserve">[‘Human Rights situation of </w:t>
      </w:r>
      <w:r w:rsidR="00903912">
        <w:rPr>
          <w:rFonts w:ascii="Cambria" w:eastAsia="Cambria" w:hAnsi="Cambria" w:cs="Cambria"/>
          <w:color w:val="000000" w:themeColor="text1"/>
          <w:sz w:val="16"/>
          <w:szCs w:val="16"/>
        </w:rPr>
        <w:t xml:space="preserve">women in Venezuela was discussed by feminist organizations at an historical hearing of the IACHR, October </w:t>
      </w:r>
      <w:r w:rsidRPr="009035C0">
        <w:rPr>
          <w:rFonts w:ascii="Cambria" w:eastAsia="Cambria" w:hAnsi="Cambria" w:cs="Cambria"/>
          <w:color w:val="000000" w:themeColor="text1"/>
          <w:sz w:val="16"/>
          <w:szCs w:val="16"/>
        </w:rPr>
        <w:t xml:space="preserve"> 29</w:t>
      </w:r>
      <w:r w:rsidR="00903912">
        <w:rPr>
          <w:rFonts w:ascii="Cambria" w:eastAsia="Cambria" w:hAnsi="Cambria" w:cs="Cambria"/>
          <w:color w:val="000000" w:themeColor="text1"/>
          <w:sz w:val="16"/>
          <w:szCs w:val="16"/>
        </w:rPr>
        <w:t>,</w:t>
      </w:r>
      <w:r w:rsidRPr="009035C0">
        <w:rPr>
          <w:rFonts w:ascii="Cambria" w:eastAsia="Cambria" w:hAnsi="Cambria" w:cs="Cambria"/>
          <w:color w:val="000000" w:themeColor="text1"/>
          <w:sz w:val="16"/>
          <w:szCs w:val="16"/>
        </w:rPr>
        <w:t xml:space="preserve"> 2021.</w:t>
      </w:r>
    </w:p>
  </w:footnote>
  <w:footnote w:id="319">
    <w:p w14:paraId="70F50F42" w14:textId="7447F26D" w:rsidR="006962F6" w:rsidRPr="009035C0" w:rsidRDefault="006962F6" w:rsidP="00F85814">
      <w:pPr>
        <w:spacing w:after="120"/>
        <w:ind w:firstLine="720"/>
        <w:contextualSpacing/>
        <w:jc w:val="both"/>
        <w:rPr>
          <w:rFonts w:ascii="Cambria" w:hAnsi="Cambria"/>
          <w:color w:val="000000" w:themeColor="text1"/>
          <w:sz w:val="16"/>
          <w:szCs w:val="16"/>
          <w:vertAlign w:val="superscript"/>
        </w:rPr>
      </w:pPr>
      <w:r w:rsidRPr="009035C0">
        <w:rPr>
          <w:rFonts w:ascii="Cambria" w:hAnsi="Cambria"/>
          <w:color w:val="000000" w:themeColor="text1"/>
          <w:sz w:val="16"/>
          <w:szCs w:val="16"/>
          <w:vertAlign w:val="superscript"/>
        </w:rPr>
        <w:footnoteRef/>
      </w:r>
      <w:r w:rsidRPr="00E7771A">
        <w:rPr>
          <w:rFonts w:ascii="Cambria" w:hAnsi="Cambria"/>
          <w:color w:val="000000" w:themeColor="text1"/>
          <w:sz w:val="16"/>
          <w:szCs w:val="16"/>
          <w:vertAlign w:val="superscript"/>
          <w:lang w:val="es-US"/>
        </w:rPr>
        <w:t xml:space="preserve">  </w:t>
      </w:r>
      <w:r w:rsidRPr="00E7771A">
        <w:rPr>
          <w:rFonts w:ascii="Cambria" w:eastAsia="Cambria" w:hAnsi="Cambria" w:cs="Cambria"/>
          <w:color w:val="000000" w:themeColor="text1"/>
          <w:sz w:val="16"/>
          <w:szCs w:val="16"/>
          <w:lang w:val="es-US"/>
        </w:rPr>
        <w:t xml:space="preserve">CEPAZ, AVESA, 100% Estrógeno, Uquira, Fundamujer, Caleidoscopio Humano, Fundación Vida Jurídica, Women’s Link Worldwide. </w:t>
      </w:r>
      <w:r w:rsidRPr="009035C0">
        <w:rPr>
          <w:rFonts w:ascii="Cambria" w:eastAsia="Cambria" w:hAnsi="Cambria" w:cs="Cambria"/>
          <w:color w:val="000000" w:themeColor="text1"/>
          <w:sz w:val="16"/>
          <w:szCs w:val="16"/>
        </w:rPr>
        <w:t>A</w:t>
      </w:r>
      <w:r w:rsidR="00F10EAF">
        <w:rPr>
          <w:rFonts w:ascii="Cambria" w:eastAsia="Cambria" w:hAnsi="Cambria" w:cs="Cambria"/>
          <w:color w:val="000000" w:themeColor="text1"/>
          <w:sz w:val="16"/>
          <w:szCs w:val="16"/>
        </w:rPr>
        <w:t>n</w:t>
      </w:r>
      <w:r w:rsidRPr="009035C0">
        <w:rPr>
          <w:rFonts w:ascii="Cambria" w:eastAsia="Cambria" w:hAnsi="Cambria" w:cs="Cambria"/>
          <w:color w:val="000000" w:themeColor="text1"/>
          <w:sz w:val="16"/>
          <w:szCs w:val="16"/>
        </w:rPr>
        <w:t>nex</w:t>
      </w:r>
      <w:r w:rsidR="00F10EAF">
        <w:rPr>
          <w:rFonts w:ascii="Cambria" w:eastAsia="Cambria" w:hAnsi="Cambria" w:cs="Cambria"/>
          <w:color w:val="000000" w:themeColor="text1"/>
          <w:sz w:val="16"/>
          <w:szCs w:val="16"/>
        </w:rPr>
        <w:t xml:space="preserve"> to request for thematic hearing for the 181</w:t>
      </w:r>
      <w:r w:rsidR="00F10EAF" w:rsidRPr="00F10EAF">
        <w:rPr>
          <w:rFonts w:ascii="Cambria" w:eastAsia="Cambria" w:hAnsi="Cambria" w:cs="Cambria"/>
          <w:color w:val="000000" w:themeColor="text1"/>
          <w:sz w:val="16"/>
          <w:szCs w:val="16"/>
          <w:vertAlign w:val="superscript"/>
        </w:rPr>
        <w:t>st</w:t>
      </w:r>
      <w:r w:rsidR="00F10EAF">
        <w:rPr>
          <w:rFonts w:ascii="Cambria" w:eastAsia="Cambria" w:hAnsi="Cambria" w:cs="Cambria"/>
          <w:color w:val="000000" w:themeColor="text1"/>
          <w:sz w:val="16"/>
          <w:szCs w:val="16"/>
        </w:rPr>
        <w:t xml:space="preserve"> Regular Session. Record</w:t>
      </w:r>
      <w:r w:rsidRPr="009035C0">
        <w:rPr>
          <w:rFonts w:ascii="Cambria" w:eastAsia="Cambria" w:hAnsi="Cambria" w:cs="Cambria"/>
          <w:color w:val="000000" w:themeColor="text1"/>
          <w:sz w:val="16"/>
          <w:szCs w:val="16"/>
        </w:rPr>
        <w:t xml:space="preserve"> 165009, </w:t>
      </w:r>
      <w:r w:rsidR="00F10EAF">
        <w:rPr>
          <w:rFonts w:ascii="Cambria" w:eastAsia="Cambria" w:hAnsi="Cambria" w:cs="Cambria"/>
          <w:color w:val="000000" w:themeColor="text1"/>
          <w:sz w:val="16"/>
          <w:szCs w:val="16"/>
        </w:rPr>
        <w:t xml:space="preserve">August </w:t>
      </w:r>
      <w:r w:rsidRPr="009035C0">
        <w:rPr>
          <w:rFonts w:ascii="Cambria" w:eastAsia="Cambria" w:hAnsi="Cambria" w:cs="Cambria"/>
          <w:color w:val="000000" w:themeColor="text1"/>
          <w:sz w:val="16"/>
          <w:szCs w:val="16"/>
        </w:rPr>
        <w:t>5</w:t>
      </w:r>
      <w:r w:rsidR="00F10EAF">
        <w:rPr>
          <w:rFonts w:ascii="Cambria" w:eastAsia="Cambria" w:hAnsi="Cambria" w:cs="Cambria"/>
          <w:color w:val="000000" w:themeColor="text1"/>
          <w:sz w:val="16"/>
          <w:szCs w:val="16"/>
        </w:rPr>
        <w:t>,</w:t>
      </w:r>
      <w:r w:rsidRPr="009035C0">
        <w:rPr>
          <w:rFonts w:ascii="Cambria" w:eastAsia="Cambria" w:hAnsi="Cambria" w:cs="Cambria"/>
          <w:color w:val="000000" w:themeColor="text1"/>
          <w:sz w:val="16"/>
          <w:szCs w:val="16"/>
        </w:rPr>
        <w:t xml:space="preserve"> 2021. </w:t>
      </w:r>
      <w:r w:rsidR="00F10EAF">
        <w:rPr>
          <w:rFonts w:ascii="Cambria" w:eastAsia="Cambria" w:hAnsi="Cambria" w:cs="Cambria"/>
          <w:color w:val="000000" w:themeColor="text1"/>
          <w:sz w:val="16"/>
          <w:szCs w:val="16"/>
        </w:rPr>
        <w:t>In IACHR Archives</w:t>
      </w:r>
      <w:r w:rsidRPr="009035C0">
        <w:rPr>
          <w:rFonts w:ascii="Cambria" w:eastAsia="Cambria" w:hAnsi="Cambria" w:cs="Cambria"/>
          <w:color w:val="000000" w:themeColor="text1"/>
          <w:sz w:val="16"/>
          <w:szCs w:val="16"/>
        </w:rPr>
        <w:t>.</w:t>
      </w:r>
    </w:p>
  </w:footnote>
  <w:footnote w:id="320">
    <w:p w14:paraId="0457474C" w14:textId="5594ECC9" w:rsidR="006962F6" w:rsidRPr="009035C0" w:rsidRDefault="006962F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CODHEZ, Situación General de los Derechos Humanos en Zulia</w:t>
      </w:r>
      <w:r w:rsidR="00F10EAF">
        <w:rPr>
          <w:rFonts w:ascii="Cambria" w:hAnsi="Cambria"/>
          <w:color w:val="000000" w:themeColor="text1"/>
          <w:sz w:val="16"/>
          <w:szCs w:val="16"/>
        </w:rPr>
        <w:t xml:space="preserve">[‘General Situation of Human Rights in Zulia’] Newsletter of October </w:t>
      </w:r>
      <w:r w:rsidRPr="009035C0">
        <w:rPr>
          <w:rFonts w:ascii="Cambria" w:hAnsi="Cambria"/>
          <w:color w:val="000000" w:themeColor="text1"/>
          <w:sz w:val="16"/>
          <w:szCs w:val="16"/>
        </w:rPr>
        <w:t xml:space="preserve">2021, 2021. </w:t>
      </w:r>
      <w:r w:rsidR="00F10EAF">
        <w:rPr>
          <w:rFonts w:ascii="Cambria" w:hAnsi="Cambria"/>
          <w:color w:val="000000" w:themeColor="text1"/>
          <w:sz w:val="16"/>
          <w:szCs w:val="16"/>
        </w:rPr>
        <w:t>In IACHR Archives</w:t>
      </w:r>
      <w:r w:rsidRPr="009035C0">
        <w:rPr>
          <w:rFonts w:ascii="Cambria" w:hAnsi="Cambria"/>
          <w:color w:val="000000" w:themeColor="text1"/>
          <w:sz w:val="16"/>
          <w:szCs w:val="16"/>
        </w:rPr>
        <w:t>.</w:t>
      </w:r>
    </w:p>
  </w:footnote>
  <w:footnote w:id="321">
    <w:p w14:paraId="2356ECE0" w14:textId="1364BC43" w:rsidR="006962F6" w:rsidRPr="009035C0" w:rsidRDefault="006962F6" w:rsidP="00F85814">
      <w:pPr>
        <w:pStyle w:val="NormalWeb"/>
        <w:spacing w:before="0" w:beforeAutospacing="0" w:after="120" w:afterAutospacing="0"/>
        <w:ind w:firstLine="720"/>
        <w:contextualSpacing/>
        <w:jc w:val="both"/>
        <w:rPr>
          <w:rFonts w:ascii="Cambria" w:hAnsi="Cambria"/>
          <w:color w:val="000000" w:themeColor="text1"/>
          <w:sz w:val="16"/>
          <w:szCs w:val="16"/>
          <w:lang w:eastAsia="es-MX"/>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05339F">
        <w:rPr>
          <w:rFonts w:ascii="Cambria" w:hAnsi="Cambria"/>
          <w:color w:val="000000" w:themeColor="text1"/>
          <w:sz w:val="16"/>
          <w:szCs w:val="16"/>
        </w:rPr>
        <w:t>IACHR.</w:t>
      </w:r>
      <w:r w:rsidRPr="009035C0">
        <w:rPr>
          <w:rFonts w:ascii="Cambria" w:eastAsia="Cambria" w:hAnsi="Cambria" w:cs="Cambria"/>
          <w:color w:val="000000" w:themeColor="text1"/>
          <w:sz w:val="16"/>
          <w:szCs w:val="16"/>
          <w:lang w:eastAsia="en-US"/>
        </w:rPr>
        <w:t xml:space="preserve"> </w:t>
      </w:r>
      <w:hyperlink r:id="rId315" w:history="1">
        <w:r w:rsidRPr="009035C0">
          <w:rPr>
            <w:rStyle w:val="Hyperlink"/>
            <w:rFonts w:ascii="Cambria" w:eastAsia="Cambria" w:hAnsi="Cambria" w:cs="Cambria"/>
            <w:color w:val="000000" w:themeColor="text1"/>
            <w:sz w:val="16"/>
            <w:szCs w:val="16"/>
            <w:lang w:eastAsia="en-US"/>
          </w:rPr>
          <w:t>Acceso a la información, violencia contra las mujeres y la administración de justicia en las Américas</w:t>
        </w:r>
      </w:hyperlink>
      <w:r w:rsidRPr="009035C0">
        <w:rPr>
          <w:rFonts w:ascii="Cambria" w:eastAsia="Cambria" w:hAnsi="Cambria" w:cs="Cambria"/>
          <w:color w:val="000000" w:themeColor="text1"/>
          <w:sz w:val="16"/>
          <w:szCs w:val="16"/>
          <w:lang w:eastAsia="en-US"/>
        </w:rPr>
        <w:t>.</w:t>
      </w:r>
      <w:r w:rsidR="004612A4">
        <w:rPr>
          <w:rFonts w:ascii="Cambria" w:eastAsia="Cambria" w:hAnsi="Cambria" w:cs="Cambria"/>
          <w:color w:val="000000" w:themeColor="text1"/>
          <w:sz w:val="16"/>
          <w:szCs w:val="16"/>
          <w:lang w:eastAsia="en-US"/>
        </w:rPr>
        <w:t xml:space="preserve">[‘Access to </w:t>
      </w:r>
      <w:r w:rsidR="00043492">
        <w:rPr>
          <w:rFonts w:ascii="Cambria" w:eastAsia="Cambria" w:hAnsi="Cambria" w:cs="Cambria"/>
          <w:color w:val="000000" w:themeColor="text1"/>
          <w:sz w:val="16"/>
          <w:szCs w:val="16"/>
          <w:lang w:eastAsia="en-US"/>
        </w:rPr>
        <w:t>I</w:t>
      </w:r>
      <w:r w:rsidR="004612A4">
        <w:rPr>
          <w:rFonts w:ascii="Cambria" w:eastAsia="Cambria" w:hAnsi="Cambria" w:cs="Cambria"/>
          <w:color w:val="000000" w:themeColor="text1"/>
          <w:sz w:val="16"/>
          <w:szCs w:val="16"/>
          <w:lang w:eastAsia="en-US"/>
        </w:rPr>
        <w:t xml:space="preserve">nformation, </w:t>
      </w:r>
      <w:r w:rsidR="00043492">
        <w:rPr>
          <w:rFonts w:ascii="Cambria" w:eastAsia="Cambria" w:hAnsi="Cambria" w:cs="Cambria"/>
          <w:color w:val="000000" w:themeColor="text1"/>
          <w:sz w:val="16"/>
          <w:szCs w:val="16"/>
          <w:lang w:eastAsia="en-US"/>
        </w:rPr>
        <w:t>V</w:t>
      </w:r>
      <w:r w:rsidR="004612A4">
        <w:rPr>
          <w:rFonts w:ascii="Cambria" w:eastAsia="Cambria" w:hAnsi="Cambria" w:cs="Cambria"/>
          <w:color w:val="000000" w:themeColor="text1"/>
          <w:sz w:val="16"/>
          <w:szCs w:val="16"/>
          <w:lang w:eastAsia="en-US"/>
        </w:rPr>
        <w:t xml:space="preserve">iolence against </w:t>
      </w:r>
      <w:r w:rsidR="00043492">
        <w:rPr>
          <w:rFonts w:ascii="Cambria" w:eastAsia="Cambria" w:hAnsi="Cambria" w:cs="Cambria"/>
          <w:color w:val="000000" w:themeColor="text1"/>
          <w:sz w:val="16"/>
          <w:szCs w:val="16"/>
          <w:lang w:eastAsia="en-US"/>
        </w:rPr>
        <w:t>W</w:t>
      </w:r>
      <w:r w:rsidR="004612A4">
        <w:rPr>
          <w:rFonts w:ascii="Cambria" w:eastAsia="Cambria" w:hAnsi="Cambria" w:cs="Cambria"/>
          <w:color w:val="000000" w:themeColor="text1"/>
          <w:sz w:val="16"/>
          <w:szCs w:val="16"/>
          <w:lang w:eastAsia="en-US"/>
        </w:rPr>
        <w:t xml:space="preserve">omen and </w:t>
      </w:r>
      <w:r w:rsidR="00043492">
        <w:rPr>
          <w:rFonts w:ascii="Cambria" w:eastAsia="Cambria" w:hAnsi="Cambria" w:cs="Cambria"/>
          <w:color w:val="000000" w:themeColor="text1"/>
          <w:sz w:val="16"/>
          <w:szCs w:val="16"/>
          <w:lang w:eastAsia="en-US"/>
        </w:rPr>
        <w:t>the A</w:t>
      </w:r>
      <w:r w:rsidR="004612A4">
        <w:rPr>
          <w:rFonts w:ascii="Cambria" w:eastAsia="Cambria" w:hAnsi="Cambria" w:cs="Cambria"/>
          <w:color w:val="000000" w:themeColor="text1"/>
          <w:sz w:val="16"/>
          <w:szCs w:val="16"/>
          <w:lang w:eastAsia="en-US"/>
        </w:rPr>
        <w:t xml:space="preserve">dministration of </w:t>
      </w:r>
      <w:r w:rsidR="00043492">
        <w:rPr>
          <w:rFonts w:ascii="Cambria" w:eastAsia="Cambria" w:hAnsi="Cambria" w:cs="Cambria"/>
          <w:color w:val="000000" w:themeColor="text1"/>
          <w:sz w:val="16"/>
          <w:szCs w:val="16"/>
          <w:lang w:eastAsia="en-US"/>
        </w:rPr>
        <w:t>J</w:t>
      </w:r>
      <w:r w:rsidR="004612A4">
        <w:rPr>
          <w:rFonts w:ascii="Cambria" w:eastAsia="Cambria" w:hAnsi="Cambria" w:cs="Cambria"/>
          <w:color w:val="000000" w:themeColor="text1"/>
          <w:sz w:val="16"/>
          <w:szCs w:val="16"/>
          <w:lang w:eastAsia="en-US"/>
        </w:rPr>
        <w:t>ustice in the Americas]</w:t>
      </w:r>
      <w:r w:rsidRPr="009035C0">
        <w:rPr>
          <w:rFonts w:ascii="Cambria" w:eastAsia="Cambria" w:hAnsi="Cambria" w:cs="Cambria"/>
          <w:color w:val="000000" w:themeColor="text1"/>
          <w:sz w:val="16"/>
          <w:szCs w:val="16"/>
          <w:lang w:eastAsia="en-US"/>
        </w:rPr>
        <w:t xml:space="preserve"> OEA/Ser.L/V/II.154 Doc.19, 2015, par. 7; </w:t>
      </w:r>
      <w:r w:rsidR="004612A4">
        <w:rPr>
          <w:rFonts w:ascii="Cambria" w:eastAsia="Cambria" w:hAnsi="Cambria" w:cs="Cambria"/>
          <w:color w:val="000000" w:themeColor="text1"/>
          <w:sz w:val="16"/>
          <w:szCs w:val="16"/>
          <w:lang w:eastAsia="en-US"/>
        </w:rPr>
        <w:t>IACHR</w:t>
      </w:r>
      <w:r w:rsidRPr="009035C0">
        <w:rPr>
          <w:rFonts w:ascii="Cambria" w:hAnsi="Cambria"/>
          <w:color w:val="000000" w:themeColor="text1"/>
          <w:sz w:val="16"/>
          <w:szCs w:val="16"/>
        </w:rPr>
        <w:t xml:space="preserve">. </w:t>
      </w:r>
      <w:hyperlink r:id="rId316" w:history="1">
        <w:r w:rsidRPr="00E7771A">
          <w:rPr>
            <w:rStyle w:val="Hyperlink"/>
            <w:rFonts w:ascii="Cambria" w:hAnsi="Cambria"/>
            <w:color w:val="000000" w:themeColor="text1"/>
            <w:sz w:val="16"/>
            <w:szCs w:val="16"/>
            <w:lang w:val="es-US"/>
          </w:rPr>
          <w:t>Violencia y discriminación contra mujeres, niñas y adolescentes. Anexo 1 Estándares y recomendaciones</w:t>
        </w:r>
      </w:hyperlink>
      <w:r w:rsidRPr="00E7771A">
        <w:rPr>
          <w:rFonts w:ascii="Cambria" w:hAnsi="Cambria"/>
          <w:color w:val="000000" w:themeColor="text1"/>
          <w:sz w:val="16"/>
          <w:szCs w:val="16"/>
          <w:lang w:val="es-US"/>
        </w:rPr>
        <w:t xml:space="preserve">. </w:t>
      </w:r>
      <w:r w:rsidR="004612A4">
        <w:rPr>
          <w:rFonts w:ascii="Cambria" w:hAnsi="Cambria"/>
          <w:color w:val="000000" w:themeColor="text1"/>
          <w:sz w:val="16"/>
          <w:szCs w:val="16"/>
        </w:rPr>
        <w:t>Violence and Discriminat</w:t>
      </w:r>
      <w:r w:rsidR="00043492">
        <w:rPr>
          <w:rFonts w:ascii="Cambria" w:hAnsi="Cambria"/>
          <w:color w:val="000000" w:themeColor="text1"/>
          <w:sz w:val="16"/>
          <w:szCs w:val="16"/>
        </w:rPr>
        <w:t>io</w:t>
      </w:r>
      <w:r w:rsidR="004612A4">
        <w:rPr>
          <w:rFonts w:ascii="Cambria" w:hAnsi="Cambria"/>
          <w:color w:val="000000" w:themeColor="text1"/>
          <w:sz w:val="16"/>
          <w:szCs w:val="16"/>
        </w:rPr>
        <w:t xml:space="preserve">n against Women and Girls. Annex 1 Standards and Recommendations’] </w:t>
      </w:r>
      <w:r w:rsidRPr="009035C0">
        <w:rPr>
          <w:rFonts w:ascii="Cambria" w:hAnsi="Cambria"/>
          <w:color w:val="000000" w:themeColor="text1"/>
          <w:sz w:val="16"/>
          <w:szCs w:val="16"/>
        </w:rPr>
        <w:t xml:space="preserve">OEA/Ser.L/V/II. Doc. 233, </w:t>
      </w:r>
      <w:r w:rsidR="004612A4">
        <w:rPr>
          <w:rFonts w:ascii="Cambria" w:hAnsi="Cambria"/>
          <w:color w:val="000000" w:themeColor="text1"/>
          <w:sz w:val="16"/>
          <w:szCs w:val="16"/>
        </w:rPr>
        <w:t xml:space="preserve">November </w:t>
      </w:r>
      <w:r w:rsidRPr="009035C0">
        <w:rPr>
          <w:rFonts w:ascii="Cambria" w:hAnsi="Cambria"/>
          <w:color w:val="000000" w:themeColor="text1"/>
          <w:sz w:val="16"/>
          <w:szCs w:val="16"/>
        </w:rPr>
        <w:t>14</w:t>
      </w:r>
      <w:r w:rsidR="004612A4">
        <w:rPr>
          <w:rFonts w:ascii="Cambria" w:hAnsi="Cambria"/>
          <w:color w:val="000000" w:themeColor="text1"/>
          <w:sz w:val="16"/>
          <w:szCs w:val="16"/>
        </w:rPr>
        <w:t>,</w:t>
      </w:r>
      <w:r w:rsidRPr="009035C0">
        <w:rPr>
          <w:rFonts w:ascii="Cambria" w:hAnsi="Cambria"/>
          <w:color w:val="000000" w:themeColor="text1"/>
          <w:sz w:val="16"/>
          <w:szCs w:val="16"/>
        </w:rPr>
        <w:t xml:space="preserve"> 2019, p</w:t>
      </w:r>
      <w:r w:rsidR="004612A4">
        <w:rPr>
          <w:rFonts w:ascii="Cambria" w:hAnsi="Cambria"/>
          <w:color w:val="000000" w:themeColor="text1"/>
          <w:sz w:val="16"/>
          <w:szCs w:val="16"/>
        </w:rPr>
        <w:t>a</w:t>
      </w:r>
      <w:r w:rsidRPr="009035C0">
        <w:rPr>
          <w:rFonts w:ascii="Cambria" w:hAnsi="Cambria"/>
          <w:color w:val="000000" w:themeColor="text1"/>
          <w:sz w:val="16"/>
          <w:szCs w:val="16"/>
        </w:rPr>
        <w:t>r 15.</w:t>
      </w:r>
    </w:p>
  </w:footnote>
  <w:footnote w:id="322">
    <w:p w14:paraId="58CA250A" w14:textId="6B338990" w:rsidR="006962F6" w:rsidRPr="009035C0" w:rsidRDefault="006962F6" w:rsidP="00F85814">
      <w:pPr>
        <w:pStyle w:val="NormalWeb"/>
        <w:spacing w:before="0" w:beforeAutospacing="0" w:after="120" w:afterAutospacing="0"/>
        <w:ind w:firstLine="720"/>
        <w:contextualSpacing/>
        <w:jc w:val="both"/>
        <w:rPr>
          <w:rFonts w:ascii="Cambria" w:hAnsi="Cambria"/>
          <w:color w:val="000000" w:themeColor="text1"/>
          <w:sz w:val="16"/>
          <w:szCs w:val="16"/>
          <w:lang w:eastAsia="es-MX"/>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AE2979" w:rsidRPr="00E7771A">
        <w:rPr>
          <w:rFonts w:ascii="Cambria" w:hAnsi="Cambria"/>
          <w:color w:val="000000" w:themeColor="text1"/>
          <w:sz w:val="16"/>
          <w:szCs w:val="16"/>
          <w:lang w:val="es-US"/>
        </w:rPr>
        <w:t>IA Court of HR.</w:t>
      </w:r>
      <w:r w:rsidRPr="00E7771A">
        <w:rPr>
          <w:rFonts w:ascii="Cambria" w:eastAsia="Cambria" w:hAnsi="Cambria" w:cs="Cambria"/>
          <w:color w:val="000000" w:themeColor="text1"/>
          <w:sz w:val="16"/>
          <w:szCs w:val="16"/>
          <w:lang w:val="es-US" w:eastAsia="en-US"/>
        </w:rPr>
        <w:t xml:space="preserve"> </w:t>
      </w:r>
      <w:hyperlink r:id="rId317" w:history="1">
        <w:r w:rsidRPr="00E7771A">
          <w:rPr>
            <w:rStyle w:val="Hyperlink"/>
            <w:rFonts w:ascii="Cambria" w:eastAsia="Cambria" w:hAnsi="Cambria" w:cs="Cambria"/>
            <w:color w:val="000000" w:themeColor="text1"/>
            <w:sz w:val="16"/>
            <w:szCs w:val="16"/>
            <w:lang w:val="es-US" w:eastAsia="en-US"/>
          </w:rPr>
          <w:t xml:space="preserve">Caso González y otras (“Campo Algodonero”) Vs. </w:t>
        </w:r>
        <w:r w:rsidRPr="009035C0">
          <w:rPr>
            <w:rStyle w:val="Hyperlink"/>
            <w:rFonts w:ascii="Cambria" w:eastAsia="Cambria" w:hAnsi="Cambria" w:cs="Cambria"/>
            <w:color w:val="000000" w:themeColor="text1"/>
            <w:sz w:val="16"/>
            <w:szCs w:val="16"/>
            <w:lang w:eastAsia="en-US"/>
          </w:rPr>
          <w:t>México</w:t>
        </w:r>
      </w:hyperlink>
      <w:r w:rsidRPr="009035C0">
        <w:rPr>
          <w:rFonts w:ascii="Cambria" w:eastAsia="Cambria" w:hAnsi="Cambria" w:cs="Cambria"/>
          <w:color w:val="000000" w:themeColor="text1"/>
          <w:sz w:val="16"/>
          <w:szCs w:val="16"/>
          <w:lang w:eastAsia="en-US"/>
        </w:rPr>
        <w:t xml:space="preserve">. </w:t>
      </w:r>
      <w:r w:rsidR="00AE2979">
        <w:rPr>
          <w:rFonts w:ascii="Cambria" w:eastAsia="Cambria" w:hAnsi="Cambria" w:cs="Cambria"/>
          <w:color w:val="000000" w:themeColor="text1"/>
          <w:sz w:val="16"/>
          <w:szCs w:val="16"/>
          <w:lang w:eastAsia="en-US"/>
        </w:rPr>
        <w:t>Case of González and other Women v. Mexico (“Cotton Field”), Preliminary Objection, Merits, Reparations and Costs</w:t>
      </w:r>
      <w:r w:rsidRPr="009035C0">
        <w:rPr>
          <w:rFonts w:ascii="Cambria" w:eastAsia="Cambria" w:hAnsi="Cambria" w:cs="Cambria"/>
          <w:color w:val="000000" w:themeColor="text1"/>
          <w:sz w:val="16"/>
          <w:szCs w:val="16"/>
          <w:lang w:eastAsia="en-US"/>
        </w:rPr>
        <w:t xml:space="preserve">. </w:t>
      </w:r>
      <w:r w:rsidR="00AE2979">
        <w:rPr>
          <w:rFonts w:ascii="Cambria" w:eastAsia="Cambria" w:hAnsi="Cambria" w:cs="Cambria"/>
          <w:color w:val="000000" w:themeColor="text1"/>
          <w:sz w:val="16"/>
          <w:szCs w:val="16"/>
          <w:lang w:eastAsia="en-US"/>
        </w:rPr>
        <w:t xml:space="preserve">Judgment of November </w:t>
      </w:r>
      <w:r w:rsidRPr="009035C0">
        <w:rPr>
          <w:rFonts w:ascii="Cambria" w:eastAsia="Cambria" w:hAnsi="Cambria" w:cs="Cambria"/>
          <w:color w:val="000000" w:themeColor="text1"/>
          <w:sz w:val="16"/>
          <w:szCs w:val="16"/>
          <w:lang w:eastAsia="en-US"/>
        </w:rPr>
        <w:t>16</w:t>
      </w:r>
      <w:r w:rsidR="00AE2979">
        <w:rPr>
          <w:rFonts w:ascii="Cambria" w:eastAsia="Cambria" w:hAnsi="Cambria" w:cs="Cambria"/>
          <w:color w:val="000000" w:themeColor="text1"/>
          <w:sz w:val="16"/>
          <w:szCs w:val="16"/>
          <w:lang w:eastAsia="en-US"/>
        </w:rPr>
        <w:t>,</w:t>
      </w:r>
      <w:r w:rsidRPr="009035C0">
        <w:rPr>
          <w:rFonts w:ascii="Cambria" w:eastAsia="Cambria" w:hAnsi="Cambria" w:cs="Cambria"/>
          <w:color w:val="000000" w:themeColor="text1"/>
          <w:sz w:val="16"/>
          <w:szCs w:val="16"/>
          <w:lang w:eastAsia="en-US"/>
        </w:rPr>
        <w:t xml:space="preserve"> 2009. Serie</w:t>
      </w:r>
      <w:r w:rsidR="00AE2979">
        <w:rPr>
          <w:rFonts w:ascii="Cambria" w:eastAsia="Cambria" w:hAnsi="Cambria" w:cs="Cambria"/>
          <w:color w:val="000000" w:themeColor="text1"/>
          <w:sz w:val="16"/>
          <w:szCs w:val="16"/>
          <w:lang w:eastAsia="en-US"/>
        </w:rPr>
        <w:t>s</w:t>
      </w:r>
      <w:r w:rsidRPr="009035C0">
        <w:rPr>
          <w:rFonts w:ascii="Cambria" w:eastAsia="Cambria" w:hAnsi="Cambria" w:cs="Cambria"/>
          <w:color w:val="000000" w:themeColor="text1"/>
          <w:sz w:val="16"/>
          <w:szCs w:val="16"/>
          <w:lang w:eastAsia="en-US"/>
        </w:rPr>
        <w:t xml:space="preserve"> C No. 205, par. 258; </w:t>
      </w:r>
      <w:r w:rsidR="00042C0C">
        <w:rPr>
          <w:rFonts w:ascii="Cambria" w:eastAsia="Cambria" w:hAnsi="Cambria" w:cs="Cambria"/>
          <w:color w:val="000000" w:themeColor="text1"/>
          <w:sz w:val="16"/>
          <w:szCs w:val="16"/>
          <w:lang w:eastAsia="en-US"/>
        </w:rPr>
        <w:t>IA Court of HR.</w:t>
      </w:r>
      <w:r w:rsidRPr="009035C0">
        <w:rPr>
          <w:rFonts w:ascii="Cambria" w:eastAsia="Cambria" w:hAnsi="Cambria" w:cs="Cambria"/>
          <w:color w:val="000000" w:themeColor="text1"/>
          <w:sz w:val="16"/>
          <w:szCs w:val="16"/>
          <w:lang w:eastAsia="en-US"/>
        </w:rPr>
        <w:t xml:space="preserve"> </w:t>
      </w:r>
      <w:hyperlink r:id="rId318" w:history="1">
        <w:r w:rsidRPr="00E7771A">
          <w:rPr>
            <w:rStyle w:val="Hyperlink"/>
            <w:rFonts w:ascii="Cambria" w:eastAsia="Cambria" w:hAnsi="Cambria" w:cs="Cambria"/>
            <w:color w:val="000000" w:themeColor="text1"/>
            <w:sz w:val="16"/>
            <w:szCs w:val="16"/>
            <w:lang w:val="es-US" w:eastAsia="en-US"/>
          </w:rPr>
          <w:t>Caso Favela Nova Brasília</w:t>
        </w:r>
      </w:hyperlink>
      <w:r w:rsidRPr="00E7771A">
        <w:rPr>
          <w:rFonts w:ascii="Cambria" w:eastAsia="Cambria" w:hAnsi="Cambria" w:cs="Cambria"/>
          <w:color w:val="000000" w:themeColor="text1"/>
          <w:sz w:val="16"/>
          <w:szCs w:val="16"/>
          <w:lang w:val="es-US" w:eastAsia="en-US"/>
        </w:rPr>
        <w:t xml:space="preserve"> </w:t>
      </w:r>
      <w:r w:rsidR="00042C0C" w:rsidRPr="00E7771A">
        <w:rPr>
          <w:rFonts w:ascii="Cambria" w:eastAsia="Cambria" w:hAnsi="Cambria" w:cs="Cambria"/>
          <w:color w:val="000000" w:themeColor="text1"/>
          <w:sz w:val="16"/>
          <w:szCs w:val="16"/>
          <w:lang w:val="es-US" w:eastAsia="en-US"/>
        </w:rPr>
        <w:t>Case of Favela Nova Brasilia v.</w:t>
      </w:r>
      <w:r w:rsidRPr="00E7771A">
        <w:rPr>
          <w:rFonts w:ascii="Cambria" w:eastAsia="Cambria" w:hAnsi="Cambria" w:cs="Cambria"/>
          <w:color w:val="000000" w:themeColor="text1"/>
          <w:sz w:val="16"/>
          <w:szCs w:val="16"/>
          <w:lang w:val="es-US" w:eastAsia="en-US"/>
        </w:rPr>
        <w:t xml:space="preserve"> Bra</w:t>
      </w:r>
      <w:r w:rsidR="00042C0C" w:rsidRPr="00E7771A">
        <w:rPr>
          <w:rFonts w:ascii="Cambria" w:eastAsia="Cambria" w:hAnsi="Cambria" w:cs="Cambria"/>
          <w:color w:val="000000" w:themeColor="text1"/>
          <w:sz w:val="16"/>
          <w:szCs w:val="16"/>
          <w:lang w:val="es-US" w:eastAsia="en-US"/>
        </w:rPr>
        <w:t>z</w:t>
      </w:r>
      <w:r w:rsidRPr="00E7771A">
        <w:rPr>
          <w:rFonts w:ascii="Cambria" w:eastAsia="Cambria" w:hAnsi="Cambria" w:cs="Cambria"/>
          <w:color w:val="000000" w:themeColor="text1"/>
          <w:sz w:val="16"/>
          <w:szCs w:val="16"/>
          <w:lang w:val="es-US" w:eastAsia="en-US"/>
        </w:rPr>
        <w:t xml:space="preserve">il. </w:t>
      </w:r>
      <w:r w:rsidR="00042C0C">
        <w:rPr>
          <w:rFonts w:ascii="Cambria" w:eastAsia="Cambria" w:hAnsi="Cambria" w:cs="Cambria"/>
          <w:color w:val="000000" w:themeColor="text1"/>
          <w:sz w:val="16"/>
          <w:szCs w:val="16"/>
          <w:lang w:eastAsia="en-US"/>
        </w:rPr>
        <w:t xml:space="preserve">Preliminary Objections, Merits, Reparations and Costs. Judgment of February </w:t>
      </w:r>
      <w:r w:rsidRPr="009035C0">
        <w:rPr>
          <w:rFonts w:ascii="Cambria" w:eastAsia="Cambria" w:hAnsi="Cambria" w:cs="Cambria"/>
          <w:color w:val="000000" w:themeColor="text1"/>
          <w:sz w:val="16"/>
          <w:szCs w:val="16"/>
          <w:lang w:eastAsia="en-US"/>
        </w:rPr>
        <w:t>16</w:t>
      </w:r>
      <w:r w:rsidR="00042C0C">
        <w:rPr>
          <w:rFonts w:ascii="Cambria" w:eastAsia="Cambria" w:hAnsi="Cambria" w:cs="Cambria"/>
          <w:color w:val="000000" w:themeColor="text1"/>
          <w:sz w:val="16"/>
          <w:szCs w:val="16"/>
          <w:lang w:eastAsia="en-US"/>
        </w:rPr>
        <w:t>,</w:t>
      </w:r>
      <w:r w:rsidRPr="009035C0">
        <w:rPr>
          <w:rFonts w:ascii="Cambria" w:eastAsia="Cambria" w:hAnsi="Cambria" w:cs="Cambria"/>
          <w:color w:val="000000" w:themeColor="text1"/>
          <w:sz w:val="16"/>
          <w:szCs w:val="16"/>
          <w:lang w:eastAsia="en-US"/>
        </w:rPr>
        <w:t xml:space="preserve"> 2017. Serie</w:t>
      </w:r>
      <w:r w:rsidR="00042C0C">
        <w:rPr>
          <w:rFonts w:ascii="Cambria" w:eastAsia="Cambria" w:hAnsi="Cambria" w:cs="Cambria"/>
          <w:color w:val="000000" w:themeColor="text1"/>
          <w:sz w:val="16"/>
          <w:szCs w:val="16"/>
          <w:lang w:eastAsia="en-US"/>
        </w:rPr>
        <w:t>s</w:t>
      </w:r>
      <w:r w:rsidRPr="009035C0">
        <w:rPr>
          <w:rFonts w:ascii="Cambria" w:eastAsia="Cambria" w:hAnsi="Cambria" w:cs="Cambria"/>
          <w:color w:val="000000" w:themeColor="text1"/>
          <w:sz w:val="16"/>
          <w:szCs w:val="16"/>
          <w:lang w:eastAsia="en-US"/>
        </w:rPr>
        <w:t xml:space="preserve"> C No. 333; </w:t>
      </w:r>
      <w:r w:rsidR="00042C0C">
        <w:rPr>
          <w:rFonts w:ascii="Cambria" w:eastAsia="Cambria" w:hAnsi="Cambria" w:cs="Cambria"/>
          <w:color w:val="000000" w:themeColor="text1"/>
          <w:sz w:val="16"/>
          <w:szCs w:val="16"/>
          <w:lang w:eastAsia="en-US"/>
        </w:rPr>
        <w:t>and IACHR</w:t>
      </w:r>
      <w:r w:rsidRPr="009035C0">
        <w:rPr>
          <w:rFonts w:ascii="Cambria" w:eastAsia="Cambria" w:hAnsi="Cambria" w:cs="Cambria"/>
          <w:color w:val="000000" w:themeColor="text1"/>
          <w:sz w:val="16"/>
          <w:szCs w:val="16"/>
          <w:lang w:eastAsia="en-US"/>
        </w:rPr>
        <w:t xml:space="preserve">. </w:t>
      </w:r>
      <w:hyperlink r:id="rId319" w:history="1">
        <w:r w:rsidRPr="00E7771A">
          <w:rPr>
            <w:rStyle w:val="Hyperlink"/>
            <w:rFonts w:ascii="Cambria" w:eastAsia="Cambria" w:hAnsi="Cambria" w:cs="Cambria"/>
            <w:color w:val="000000" w:themeColor="text1"/>
            <w:sz w:val="16"/>
            <w:szCs w:val="16"/>
            <w:lang w:val="es-US" w:eastAsia="en-US"/>
          </w:rPr>
          <w:t>Situación de los derechos de la mujer en Ciudad de Juárez.; México</w:t>
        </w:r>
      </w:hyperlink>
      <w:r w:rsidRPr="00E7771A">
        <w:rPr>
          <w:rFonts w:ascii="Cambria" w:eastAsia="Cambria" w:hAnsi="Cambria" w:cs="Cambria"/>
          <w:color w:val="000000" w:themeColor="text1"/>
          <w:sz w:val="16"/>
          <w:szCs w:val="16"/>
          <w:lang w:val="es-US" w:eastAsia="en-US"/>
        </w:rPr>
        <w:t xml:space="preserve">: </w:t>
      </w:r>
      <w:r w:rsidR="00042C0C" w:rsidRPr="00E7771A">
        <w:rPr>
          <w:rFonts w:ascii="Cambria" w:eastAsia="Cambria" w:hAnsi="Cambria" w:cs="Cambria"/>
          <w:color w:val="000000" w:themeColor="text1"/>
          <w:sz w:val="16"/>
          <w:szCs w:val="16"/>
          <w:lang w:val="es-US" w:eastAsia="en-US"/>
        </w:rPr>
        <w:t xml:space="preserve">Situation of the rights of women in Ciudad Juarez: Mexico. </w:t>
      </w:r>
      <w:r w:rsidR="00042C0C">
        <w:rPr>
          <w:rFonts w:ascii="Cambria" w:eastAsia="Cambria" w:hAnsi="Cambria" w:cs="Cambria"/>
          <w:color w:val="000000" w:themeColor="text1"/>
          <w:sz w:val="16"/>
          <w:szCs w:val="16"/>
          <w:lang w:eastAsia="en-US"/>
        </w:rPr>
        <w:t xml:space="preserve">The right to be </w:t>
      </w:r>
      <w:r w:rsidR="005278D8">
        <w:rPr>
          <w:rFonts w:ascii="Cambria" w:eastAsia="Cambria" w:hAnsi="Cambria" w:cs="Cambria"/>
          <w:color w:val="000000" w:themeColor="text1"/>
          <w:sz w:val="16"/>
          <w:szCs w:val="16"/>
          <w:lang w:eastAsia="en-US"/>
        </w:rPr>
        <w:t xml:space="preserve">free of </w:t>
      </w:r>
      <w:r w:rsidR="00042C0C">
        <w:rPr>
          <w:rFonts w:ascii="Cambria" w:eastAsia="Cambria" w:hAnsi="Cambria" w:cs="Cambria"/>
          <w:color w:val="000000" w:themeColor="text1"/>
          <w:sz w:val="16"/>
          <w:szCs w:val="16"/>
          <w:lang w:eastAsia="en-US"/>
        </w:rPr>
        <w:t>violence and discrimination.</w:t>
      </w:r>
      <w:r w:rsidRPr="009035C0">
        <w:rPr>
          <w:rFonts w:ascii="Cambria" w:eastAsia="Cambria" w:hAnsi="Cambria" w:cs="Cambria"/>
          <w:color w:val="000000" w:themeColor="text1"/>
          <w:sz w:val="16"/>
          <w:szCs w:val="16"/>
          <w:lang w:eastAsia="en-US"/>
        </w:rPr>
        <w:t xml:space="preserve"> OEA/Ser.L/V/II.117 Doc. 1, Rev. </w:t>
      </w:r>
      <w:r w:rsidR="00042C0C">
        <w:rPr>
          <w:rFonts w:ascii="Cambria" w:eastAsia="Cambria" w:hAnsi="Cambria" w:cs="Cambria"/>
          <w:color w:val="000000" w:themeColor="text1"/>
          <w:sz w:val="16"/>
          <w:szCs w:val="16"/>
          <w:lang w:eastAsia="en-US"/>
        </w:rPr>
        <w:t xml:space="preserve">March </w:t>
      </w:r>
      <w:r w:rsidRPr="009035C0">
        <w:rPr>
          <w:rFonts w:ascii="Cambria" w:eastAsia="Cambria" w:hAnsi="Cambria" w:cs="Cambria"/>
          <w:color w:val="000000" w:themeColor="text1"/>
          <w:sz w:val="16"/>
          <w:szCs w:val="16"/>
          <w:lang w:eastAsia="en-US"/>
        </w:rPr>
        <w:t>17</w:t>
      </w:r>
      <w:r w:rsidR="00042C0C">
        <w:rPr>
          <w:rFonts w:ascii="Cambria" w:eastAsia="Cambria" w:hAnsi="Cambria" w:cs="Cambria"/>
          <w:color w:val="000000" w:themeColor="text1"/>
          <w:sz w:val="16"/>
          <w:szCs w:val="16"/>
          <w:lang w:eastAsia="en-US"/>
        </w:rPr>
        <w:t>,</w:t>
      </w:r>
      <w:r w:rsidRPr="009035C0">
        <w:rPr>
          <w:rFonts w:ascii="Cambria" w:eastAsia="Cambria" w:hAnsi="Cambria" w:cs="Cambria"/>
          <w:color w:val="000000" w:themeColor="text1"/>
          <w:sz w:val="16"/>
          <w:szCs w:val="16"/>
          <w:lang w:eastAsia="en-US"/>
        </w:rPr>
        <w:t xml:space="preserve"> 2003, pa</w:t>
      </w:r>
      <w:r w:rsidR="00042C0C">
        <w:rPr>
          <w:rFonts w:ascii="Cambria" w:eastAsia="Cambria" w:hAnsi="Cambria" w:cs="Cambria"/>
          <w:color w:val="000000" w:themeColor="text1"/>
          <w:sz w:val="16"/>
          <w:szCs w:val="16"/>
          <w:lang w:eastAsia="en-US"/>
        </w:rPr>
        <w:t>r</w:t>
      </w:r>
      <w:r w:rsidRPr="009035C0">
        <w:rPr>
          <w:rFonts w:ascii="Cambria" w:eastAsia="Cambria" w:hAnsi="Cambria" w:cs="Cambria"/>
          <w:color w:val="000000" w:themeColor="text1"/>
          <w:sz w:val="16"/>
          <w:szCs w:val="16"/>
          <w:lang w:eastAsia="en-US"/>
        </w:rPr>
        <w:t xml:space="preserve">s. 103 </w:t>
      </w:r>
      <w:r w:rsidR="00E67C2A">
        <w:rPr>
          <w:rFonts w:ascii="Cambria" w:eastAsia="Cambria" w:hAnsi="Cambria" w:cs="Cambria"/>
          <w:color w:val="000000" w:themeColor="text1"/>
          <w:sz w:val="16"/>
          <w:szCs w:val="16"/>
          <w:lang w:eastAsia="en-US"/>
        </w:rPr>
        <w:t>to</w:t>
      </w:r>
      <w:r w:rsidRPr="009035C0">
        <w:rPr>
          <w:rFonts w:ascii="Cambria" w:eastAsia="Cambria" w:hAnsi="Cambria" w:cs="Cambria"/>
          <w:color w:val="000000" w:themeColor="text1"/>
          <w:sz w:val="16"/>
          <w:szCs w:val="16"/>
          <w:lang w:eastAsia="en-US"/>
        </w:rPr>
        <w:t xml:space="preserve"> 105</w:t>
      </w:r>
      <w:r w:rsidRPr="009035C0">
        <w:rPr>
          <w:rFonts w:ascii="Cambria" w:hAnsi="Cambria"/>
          <w:color w:val="000000" w:themeColor="text1"/>
          <w:sz w:val="16"/>
          <w:szCs w:val="16"/>
          <w:lang w:eastAsia="es-MX"/>
        </w:rPr>
        <w:t xml:space="preserve"> </w:t>
      </w:r>
    </w:p>
  </w:footnote>
  <w:footnote w:id="323">
    <w:p w14:paraId="5DFBDE67" w14:textId="43619D1D" w:rsidR="006962F6" w:rsidRPr="009035C0" w:rsidRDefault="006962F6" w:rsidP="00F85814">
      <w:pPr>
        <w:spacing w:after="120"/>
        <w:ind w:firstLine="720"/>
        <w:contextualSpacing/>
        <w:jc w:val="both"/>
        <w:rPr>
          <w:rFonts w:ascii="Cambria" w:hAnsi="Cambria"/>
          <w:color w:val="000000" w:themeColor="text1"/>
          <w:sz w:val="16"/>
          <w:szCs w:val="16"/>
          <w:vertAlign w:val="superscript"/>
        </w:rPr>
      </w:pPr>
      <w:r w:rsidRPr="009035C0">
        <w:rPr>
          <w:rFonts w:ascii="Cambria" w:hAnsi="Cambria"/>
          <w:color w:val="000000" w:themeColor="text1"/>
          <w:sz w:val="16"/>
          <w:szCs w:val="16"/>
          <w:vertAlign w:val="superscript"/>
        </w:rPr>
        <w:footnoteRef/>
      </w:r>
      <w:r w:rsidRPr="009035C0">
        <w:rPr>
          <w:rFonts w:ascii="Cambria" w:hAnsi="Cambria"/>
          <w:color w:val="000000" w:themeColor="text1"/>
          <w:sz w:val="16"/>
          <w:szCs w:val="16"/>
          <w:vertAlign w:val="superscript"/>
        </w:rPr>
        <w:t xml:space="preserve">  </w:t>
      </w:r>
      <w:r w:rsidR="005278D8">
        <w:rPr>
          <w:rFonts w:ascii="Cambria" w:eastAsia="Cambria" w:hAnsi="Cambria" w:cs="Cambria"/>
          <w:color w:val="000000" w:themeColor="text1"/>
          <w:sz w:val="16"/>
          <w:szCs w:val="16"/>
        </w:rPr>
        <w:t>IACHR, Hearing on</w:t>
      </w:r>
      <w:r w:rsidRPr="009035C0">
        <w:rPr>
          <w:rFonts w:ascii="Cambria" w:eastAsia="Cambria" w:hAnsi="Cambria" w:cs="Cambria"/>
          <w:color w:val="000000" w:themeColor="text1"/>
          <w:sz w:val="16"/>
          <w:szCs w:val="16"/>
        </w:rPr>
        <w:t xml:space="preserve"> “</w:t>
      </w:r>
      <w:hyperlink r:id="rId320">
        <w:r w:rsidRPr="009035C0">
          <w:rPr>
            <w:rFonts w:ascii="Cambria" w:eastAsia="Cambria" w:hAnsi="Cambria" w:cs="Cambria"/>
            <w:color w:val="000000" w:themeColor="text1"/>
            <w:sz w:val="16"/>
            <w:szCs w:val="16"/>
            <w:u w:val="single"/>
          </w:rPr>
          <w:t>Situación de derechos humanos de mujeres adolescentes y niñas en Venezuela</w:t>
        </w:r>
      </w:hyperlink>
      <w:r w:rsidRPr="009035C0">
        <w:rPr>
          <w:rFonts w:ascii="Cambria" w:eastAsia="Cambria" w:hAnsi="Cambria" w:cs="Cambria"/>
          <w:color w:val="000000" w:themeColor="text1"/>
          <w:sz w:val="16"/>
          <w:szCs w:val="16"/>
        </w:rPr>
        <w:t xml:space="preserve">” </w:t>
      </w:r>
      <w:r w:rsidR="005278D8">
        <w:rPr>
          <w:rFonts w:ascii="Cambria" w:eastAsia="Cambria" w:hAnsi="Cambria" w:cs="Cambria"/>
          <w:color w:val="000000" w:themeColor="text1"/>
          <w:sz w:val="16"/>
          <w:szCs w:val="16"/>
        </w:rPr>
        <w:t>[‘Situation of human rights of women and girls in Venezuela’], 18</w:t>
      </w:r>
      <w:r w:rsidR="001E20BA">
        <w:rPr>
          <w:rFonts w:ascii="Cambria" w:eastAsia="Cambria" w:hAnsi="Cambria" w:cs="Cambria"/>
          <w:color w:val="000000" w:themeColor="text1"/>
          <w:sz w:val="16"/>
          <w:szCs w:val="16"/>
        </w:rPr>
        <w:t>1</w:t>
      </w:r>
      <w:r w:rsidR="005278D8" w:rsidRPr="005278D8">
        <w:rPr>
          <w:rFonts w:ascii="Cambria" w:eastAsia="Cambria" w:hAnsi="Cambria" w:cs="Cambria"/>
          <w:color w:val="000000" w:themeColor="text1"/>
          <w:sz w:val="16"/>
          <w:szCs w:val="16"/>
          <w:vertAlign w:val="superscript"/>
        </w:rPr>
        <w:t>st</w:t>
      </w:r>
      <w:r w:rsidR="005278D8">
        <w:rPr>
          <w:rFonts w:ascii="Cambria" w:eastAsia="Cambria" w:hAnsi="Cambria" w:cs="Cambria"/>
          <w:color w:val="000000" w:themeColor="text1"/>
          <w:sz w:val="16"/>
          <w:szCs w:val="16"/>
        </w:rPr>
        <w:t xml:space="preserve"> Regular Session, October 28, 2021; Venezuelan Observatory on the Human Rights of Women,</w:t>
      </w:r>
      <w:r w:rsidRPr="009035C0">
        <w:rPr>
          <w:rFonts w:ascii="Cambria" w:eastAsia="Cambria" w:hAnsi="Cambria" w:cs="Cambria"/>
          <w:color w:val="000000" w:themeColor="text1"/>
          <w:sz w:val="16"/>
          <w:szCs w:val="16"/>
        </w:rPr>
        <w:t xml:space="preserve">, </w:t>
      </w:r>
      <w:hyperlink r:id="rId321">
        <w:r w:rsidRPr="009035C0">
          <w:rPr>
            <w:rFonts w:ascii="Cambria" w:eastAsia="Cambria" w:hAnsi="Cambria" w:cs="Cambria"/>
            <w:color w:val="000000" w:themeColor="text1"/>
            <w:sz w:val="16"/>
            <w:szCs w:val="16"/>
            <w:u w:val="single"/>
          </w:rPr>
          <w:t>Informe: La Violencia Contra las Mujeres y El acceso a la Justicia</w:t>
        </w:r>
      </w:hyperlink>
      <w:r w:rsidRPr="009035C0">
        <w:rPr>
          <w:rFonts w:ascii="Cambria" w:eastAsia="Cambria" w:hAnsi="Cambria" w:cs="Cambria"/>
          <w:color w:val="000000" w:themeColor="text1"/>
          <w:sz w:val="16"/>
          <w:szCs w:val="16"/>
        </w:rPr>
        <w:t xml:space="preserve">, </w:t>
      </w:r>
      <w:r w:rsidR="005278D8">
        <w:rPr>
          <w:rFonts w:ascii="Cambria" w:eastAsia="Cambria" w:hAnsi="Cambria" w:cs="Cambria"/>
          <w:color w:val="000000" w:themeColor="text1"/>
          <w:sz w:val="16"/>
          <w:szCs w:val="16"/>
        </w:rPr>
        <w:t xml:space="preserve">[‘Report: Violence against Women and Access to Justice’], January </w:t>
      </w:r>
      <w:r w:rsidRPr="009035C0">
        <w:rPr>
          <w:rFonts w:ascii="Cambria" w:eastAsia="Cambria" w:hAnsi="Cambria" w:cs="Cambria"/>
          <w:color w:val="000000" w:themeColor="text1"/>
          <w:sz w:val="16"/>
          <w:szCs w:val="16"/>
        </w:rPr>
        <w:t xml:space="preserve">2021; Semana, </w:t>
      </w:r>
      <w:hyperlink r:id="rId322">
        <w:r w:rsidRPr="009035C0">
          <w:rPr>
            <w:rFonts w:ascii="Cambria" w:eastAsia="Cambria" w:hAnsi="Cambria" w:cs="Cambria"/>
            <w:color w:val="000000" w:themeColor="text1"/>
            <w:sz w:val="16"/>
            <w:szCs w:val="16"/>
            <w:u w:val="single"/>
          </w:rPr>
          <w:t>‘Yo te creo’: la era del #MeToo llegó a Venezuela</w:t>
        </w:r>
      </w:hyperlink>
      <w:r w:rsidRPr="009035C0">
        <w:rPr>
          <w:rFonts w:ascii="Cambria" w:eastAsia="Cambria" w:hAnsi="Cambria" w:cs="Cambria"/>
          <w:color w:val="000000" w:themeColor="text1"/>
          <w:sz w:val="16"/>
          <w:szCs w:val="16"/>
        </w:rPr>
        <w:t xml:space="preserve">, </w:t>
      </w:r>
      <w:r w:rsidR="006F6B96">
        <w:rPr>
          <w:rFonts w:ascii="Cambria" w:eastAsia="Cambria" w:hAnsi="Cambria" w:cs="Cambria"/>
          <w:color w:val="000000" w:themeColor="text1"/>
          <w:sz w:val="16"/>
          <w:szCs w:val="16"/>
        </w:rPr>
        <w:t xml:space="preserve">[‘”I believe you:” the era of #MeToo arrived in Venezuela’], May </w:t>
      </w:r>
      <w:r w:rsidRPr="009035C0">
        <w:rPr>
          <w:rFonts w:ascii="Cambria" w:eastAsia="Cambria" w:hAnsi="Cambria" w:cs="Cambria"/>
          <w:color w:val="000000" w:themeColor="text1"/>
          <w:sz w:val="16"/>
          <w:szCs w:val="16"/>
        </w:rPr>
        <w:t>8</w:t>
      </w:r>
      <w:r w:rsidR="006F6B96">
        <w:rPr>
          <w:rFonts w:ascii="Cambria" w:eastAsia="Cambria" w:hAnsi="Cambria" w:cs="Cambria"/>
          <w:color w:val="000000" w:themeColor="text1"/>
          <w:sz w:val="16"/>
          <w:szCs w:val="16"/>
        </w:rPr>
        <w:t>,</w:t>
      </w:r>
      <w:r w:rsidRPr="009035C0">
        <w:rPr>
          <w:rFonts w:ascii="Cambria" w:eastAsia="Cambria" w:hAnsi="Cambria" w:cs="Cambria"/>
          <w:color w:val="000000" w:themeColor="text1"/>
          <w:sz w:val="16"/>
          <w:szCs w:val="16"/>
        </w:rPr>
        <w:t xml:space="preserve"> 2021</w:t>
      </w:r>
    </w:p>
  </w:footnote>
  <w:footnote w:id="324">
    <w:p w14:paraId="228FF33B" w14:textId="40FFF3BE" w:rsidR="006962F6" w:rsidRPr="009035C0" w:rsidRDefault="006962F6" w:rsidP="00F85814">
      <w:pPr>
        <w:spacing w:after="120"/>
        <w:ind w:firstLine="720"/>
        <w:contextualSpacing/>
        <w:jc w:val="both"/>
        <w:rPr>
          <w:rFonts w:ascii="Cambria" w:hAnsi="Cambria"/>
          <w:color w:val="000000" w:themeColor="text1"/>
          <w:sz w:val="16"/>
          <w:szCs w:val="16"/>
          <w:vertAlign w:val="superscript"/>
        </w:rPr>
      </w:pPr>
      <w:r w:rsidRPr="009035C0">
        <w:rPr>
          <w:rFonts w:ascii="Cambria" w:hAnsi="Cambria"/>
          <w:color w:val="000000" w:themeColor="text1"/>
          <w:sz w:val="16"/>
          <w:szCs w:val="16"/>
          <w:vertAlign w:val="superscript"/>
        </w:rPr>
        <w:footnoteRef/>
      </w:r>
      <w:r w:rsidRPr="009035C0">
        <w:rPr>
          <w:rFonts w:ascii="Cambria" w:hAnsi="Cambria"/>
          <w:color w:val="000000" w:themeColor="text1"/>
          <w:sz w:val="16"/>
          <w:szCs w:val="16"/>
          <w:vertAlign w:val="superscript"/>
        </w:rPr>
        <w:t xml:space="preserve">  </w:t>
      </w:r>
      <w:r w:rsidRPr="009035C0">
        <w:rPr>
          <w:rFonts w:ascii="Cambria" w:eastAsia="Cambria" w:hAnsi="Cambria" w:cs="Cambria"/>
          <w:color w:val="000000" w:themeColor="text1"/>
          <w:sz w:val="16"/>
          <w:szCs w:val="16"/>
        </w:rPr>
        <w:t xml:space="preserve">El país. </w:t>
      </w:r>
      <w:hyperlink r:id="rId323">
        <w:r w:rsidRPr="009035C0">
          <w:rPr>
            <w:rFonts w:ascii="Cambria" w:eastAsia="Cambria" w:hAnsi="Cambria" w:cs="Cambria"/>
            <w:color w:val="000000" w:themeColor="text1"/>
            <w:sz w:val="16"/>
            <w:szCs w:val="16"/>
            <w:u w:val="single"/>
          </w:rPr>
          <w:t>#MeToo wave breaks in Venezuela as sexual abuse and harassment cases come to light</w:t>
        </w:r>
      </w:hyperlink>
      <w:r w:rsidRPr="009035C0">
        <w:rPr>
          <w:rFonts w:ascii="Cambria" w:eastAsia="Cambria" w:hAnsi="Cambria" w:cs="Cambria"/>
          <w:color w:val="000000" w:themeColor="text1"/>
          <w:sz w:val="16"/>
          <w:szCs w:val="16"/>
        </w:rPr>
        <w:t xml:space="preserve">, </w:t>
      </w:r>
      <w:r w:rsidR="001E20BA">
        <w:rPr>
          <w:rFonts w:ascii="Cambria" w:eastAsia="Cambria" w:hAnsi="Cambria" w:cs="Cambria"/>
          <w:color w:val="000000" w:themeColor="text1"/>
          <w:sz w:val="16"/>
          <w:szCs w:val="16"/>
        </w:rPr>
        <w:t xml:space="preserve">May </w:t>
      </w:r>
      <w:r w:rsidRPr="009035C0">
        <w:rPr>
          <w:rFonts w:ascii="Cambria" w:eastAsia="Cambria" w:hAnsi="Cambria" w:cs="Cambria"/>
          <w:color w:val="000000" w:themeColor="text1"/>
          <w:sz w:val="16"/>
          <w:szCs w:val="16"/>
        </w:rPr>
        <w:t>7</w:t>
      </w:r>
      <w:r w:rsidR="001E20BA">
        <w:rPr>
          <w:rFonts w:ascii="Cambria" w:eastAsia="Cambria" w:hAnsi="Cambria" w:cs="Cambria"/>
          <w:color w:val="000000" w:themeColor="text1"/>
          <w:sz w:val="16"/>
          <w:szCs w:val="16"/>
        </w:rPr>
        <w:t>,</w:t>
      </w:r>
      <w:r w:rsidRPr="009035C0">
        <w:rPr>
          <w:rFonts w:ascii="Cambria" w:eastAsia="Cambria" w:hAnsi="Cambria" w:cs="Cambria"/>
          <w:color w:val="000000" w:themeColor="text1"/>
          <w:sz w:val="16"/>
          <w:szCs w:val="16"/>
        </w:rPr>
        <w:t xml:space="preserve"> 2021</w:t>
      </w:r>
    </w:p>
  </w:footnote>
  <w:footnote w:id="325">
    <w:p w14:paraId="0772E1CC" w14:textId="3DB50879" w:rsidR="006962F6" w:rsidRPr="009035C0" w:rsidRDefault="006962F6" w:rsidP="00F85814">
      <w:pPr>
        <w:pStyle w:val="FootnoteText"/>
        <w:spacing w:after="120"/>
        <w:ind w:firstLine="720"/>
        <w:contextualSpacing/>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547536" w:rsidRPr="00E7771A">
        <w:rPr>
          <w:rFonts w:ascii="Cambria" w:hAnsi="Cambria"/>
          <w:color w:val="000000" w:themeColor="text1"/>
          <w:sz w:val="16"/>
          <w:szCs w:val="16"/>
          <w:lang w:val="es-US"/>
        </w:rPr>
        <w:t>IA Court of HR.</w:t>
      </w:r>
      <w:r w:rsidRPr="00E7771A">
        <w:rPr>
          <w:rFonts w:ascii="Cambria" w:hAnsi="Cambria"/>
          <w:color w:val="000000" w:themeColor="text1"/>
          <w:sz w:val="16"/>
          <w:szCs w:val="16"/>
          <w:lang w:val="es-US"/>
        </w:rPr>
        <w:t xml:space="preserve"> </w:t>
      </w:r>
      <w:hyperlink r:id="rId324" w:history="1">
        <w:r w:rsidRPr="00E7771A">
          <w:rPr>
            <w:rStyle w:val="Hyperlink"/>
            <w:rFonts w:ascii="Cambria" w:hAnsi="Cambria"/>
            <w:color w:val="000000" w:themeColor="text1"/>
            <w:sz w:val="16"/>
            <w:szCs w:val="16"/>
            <w:lang w:val="es-US"/>
          </w:rPr>
          <w:t xml:space="preserve">Caso González y otras (“Campo Algodonero”) Vs. </w:t>
        </w:r>
        <w:r w:rsidRPr="009035C0">
          <w:rPr>
            <w:rStyle w:val="Hyperlink"/>
            <w:rFonts w:ascii="Cambria" w:hAnsi="Cambria"/>
            <w:color w:val="000000" w:themeColor="text1"/>
            <w:sz w:val="16"/>
            <w:szCs w:val="16"/>
          </w:rPr>
          <w:t>Méxic</w:t>
        </w:r>
      </w:hyperlink>
      <w:r w:rsidRPr="009035C0">
        <w:rPr>
          <w:rFonts w:ascii="Cambria" w:hAnsi="Cambria"/>
          <w:color w:val="000000" w:themeColor="text1"/>
          <w:sz w:val="16"/>
          <w:szCs w:val="16"/>
        </w:rPr>
        <w:t xml:space="preserve">o. </w:t>
      </w:r>
      <w:r w:rsidR="00547536">
        <w:rPr>
          <w:rFonts w:ascii="Cambria" w:hAnsi="Cambria"/>
          <w:color w:val="000000" w:themeColor="text1"/>
          <w:sz w:val="16"/>
          <w:szCs w:val="16"/>
        </w:rPr>
        <w:t xml:space="preserve">Case of González and other Women v. Mexico (“Cotton Field”). Preliminary Objection, Merits, Reparations and Costs. Judgment of November </w:t>
      </w:r>
      <w:r w:rsidRPr="009035C0">
        <w:rPr>
          <w:rFonts w:ascii="Cambria" w:hAnsi="Cambria"/>
          <w:color w:val="000000" w:themeColor="text1"/>
          <w:sz w:val="16"/>
          <w:szCs w:val="16"/>
        </w:rPr>
        <w:t>16</w:t>
      </w:r>
      <w:r w:rsidR="00547536">
        <w:rPr>
          <w:rFonts w:ascii="Cambria" w:hAnsi="Cambria"/>
          <w:color w:val="000000" w:themeColor="text1"/>
          <w:sz w:val="16"/>
          <w:szCs w:val="16"/>
        </w:rPr>
        <w:t>,</w:t>
      </w:r>
      <w:r w:rsidRPr="009035C0">
        <w:rPr>
          <w:rFonts w:ascii="Cambria" w:hAnsi="Cambria"/>
          <w:color w:val="000000" w:themeColor="text1"/>
          <w:sz w:val="16"/>
          <w:szCs w:val="16"/>
        </w:rPr>
        <w:t xml:space="preserve"> 2009. Serie</w:t>
      </w:r>
      <w:r w:rsidR="00547536">
        <w:rPr>
          <w:rFonts w:ascii="Cambria" w:hAnsi="Cambria"/>
          <w:color w:val="000000" w:themeColor="text1"/>
          <w:sz w:val="16"/>
          <w:szCs w:val="16"/>
        </w:rPr>
        <w:t>s</w:t>
      </w:r>
      <w:r w:rsidRPr="009035C0">
        <w:rPr>
          <w:rFonts w:ascii="Cambria" w:hAnsi="Cambria"/>
          <w:color w:val="000000" w:themeColor="text1"/>
          <w:sz w:val="16"/>
          <w:szCs w:val="16"/>
        </w:rPr>
        <w:t xml:space="preserve"> C No. 205, p</w:t>
      </w:r>
      <w:r w:rsidR="00547536">
        <w:rPr>
          <w:rFonts w:ascii="Cambria" w:hAnsi="Cambria"/>
          <w:color w:val="000000" w:themeColor="text1"/>
          <w:sz w:val="16"/>
          <w:szCs w:val="16"/>
        </w:rPr>
        <w:t>a</w:t>
      </w:r>
      <w:r w:rsidRPr="009035C0">
        <w:rPr>
          <w:rFonts w:ascii="Cambria" w:hAnsi="Cambria"/>
          <w:color w:val="000000" w:themeColor="text1"/>
          <w:sz w:val="16"/>
          <w:szCs w:val="16"/>
        </w:rPr>
        <w:t>r. 455</w:t>
      </w:r>
    </w:p>
  </w:footnote>
  <w:footnote w:id="326">
    <w:p w14:paraId="5D4D0DE6" w14:textId="41C6875A" w:rsidR="006962F6" w:rsidRPr="009035C0" w:rsidRDefault="006962F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CE7D3F" w:rsidRPr="00E7771A">
        <w:rPr>
          <w:rFonts w:ascii="Cambria" w:hAnsi="Cambria"/>
          <w:color w:val="000000" w:themeColor="text1"/>
          <w:sz w:val="16"/>
          <w:szCs w:val="16"/>
          <w:lang w:val="es-US"/>
        </w:rPr>
        <w:t>IA Court of HR.</w:t>
      </w:r>
      <w:r w:rsidRPr="00E7771A">
        <w:rPr>
          <w:rFonts w:ascii="Cambria" w:hAnsi="Cambria"/>
          <w:color w:val="000000" w:themeColor="text1"/>
          <w:sz w:val="16"/>
          <w:szCs w:val="16"/>
          <w:lang w:val="es-US"/>
        </w:rPr>
        <w:t xml:space="preserve"> </w:t>
      </w:r>
      <w:hyperlink r:id="rId325" w:history="1">
        <w:r w:rsidRPr="00E7771A">
          <w:rPr>
            <w:rStyle w:val="Hyperlink"/>
            <w:rFonts w:ascii="Cambria" w:hAnsi="Cambria"/>
            <w:color w:val="000000" w:themeColor="text1"/>
            <w:sz w:val="16"/>
            <w:szCs w:val="16"/>
            <w:lang w:val="es-US"/>
          </w:rPr>
          <w:t xml:space="preserve">Caso López Soto y otros Vs. </w:t>
        </w:r>
        <w:r w:rsidRPr="009035C0">
          <w:rPr>
            <w:rStyle w:val="Hyperlink"/>
            <w:rFonts w:ascii="Cambria" w:hAnsi="Cambria"/>
            <w:color w:val="000000" w:themeColor="text1"/>
            <w:sz w:val="16"/>
            <w:szCs w:val="16"/>
          </w:rPr>
          <w:t>Venezuela</w:t>
        </w:r>
      </w:hyperlink>
      <w:r w:rsidRPr="009035C0">
        <w:rPr>
          <w:rFonts w:ascii="Cambria" w:hAnsi="Cambria"/>
          <w:color w:val="000000" w:themeColor="text1"/>
          <w:sz w:val="16"/>
          <w:szCs w:val="16"/>
        </w:rPr>
        <w:t xml:space="preserve">. </w:t>
      </w:r>
      <w:r w:rsidR="001F0E53">
        <w:rPr>
          <w:rFonts w:ascii="Cambria" w:hAnsi="Cambria"/>
          <w:color w:val="000000" w:themeColor="text1"/>
          <w:sz w:val="16"/>
          <w:szCs w:val="16"/>
        </w:rPr>
        <w:t>Case of Lopez Soto et al v. Venezuela.</w:t>
      </w:r>
      <w:r w:rsidR="00682AEA">
        <w:rPr>
          <w:rFonts w:ascii="Cambria" w:hAnsi="Cambria"/>
          <w:color w:val="000000" w:themeColor="text1"/>
          <w:sz w:val="16"/>
          <w:szCs w:val="16"/>
        </w:rPr>
        <w:t xml:space="preserve"> J</w:t>
      </w:r>
      <w:r w:rsidR="001F0E53">
        <w:rPr>
          <w:rFonts w:ascii="Cambria" w:hAnsi="Cambria"/>
          <w:color w:val="000000" w:themeColor="text1"/>
          <w:sz w:val="16"/>
          <w:szCs w:val="16"/>
        </w:rPr>
        <w:t xml:space="preserve">udgment of September </w:t>
      </w:r>
      <w:r w:rsidRPr="009035C0">
        <w:rPr>
          <w:rFonts w:ascii="Cambria" w:hAnsi="Cambria"/>
          <w:color w:val="000000" w:themeColor="text1"/>
          <w:sz w:val="16"/>
          <w:szCs w:val="16"/>
        </w:rPr>
        <w:t>26</w:t>
      </w:r>
      <w:r w:rsidR="001F0E53">
        <w:rPr>
          <w:rFonts w:ascii="Cambria" w:hAnsi="Cambria"/>
          <w:color w:val="000000" w:themeColor="text1"/>
          <w:sz w:val="16"/>
          <w:szCs w:val="16"/>
        </w:rPr>
        <w:t>,</w:t>
      </w:r>
      <w:r w:rsidRPr="009035C0">
        <w:rPr>
          <w:rFonts w:ascii="Cambria" w:hAnsi="Cambria"/>
          <w:color w:val="000000" w:themeColor="text1"/>
          <w:sz w:val="16"/>
          <w:szCs w:val="16"/>
        </w:rPr>
        <w:t xml:space="preserve"> 2018. </w:t>
      </w:r>
      <w:r w:rsidR="008C55E8">
        <w:rPr>
          <w:rFonts w:ascii="Cambria" w:hAnsi="Cambria"/>
          <w:color w:val="000000" w:themeColor="text1"/>
          <w:sz w:val="16"/>
          <w:szCs w:val="16"/>
        </w:rPr>
        <w:t>Merits, Reparations and Costs</w:t>
      </w:r>
      <w:r w:rsidRPr="009035C0">
        <w:rPr>
          <w:rFonts w:ascii="Cambria" w:hAnsi="Cambria"/>
          <w:color w:val="000000" w:themeColor="text1"/>
          <w:sz w:val="16"/>
          <w:szCs w:val="16"/>
        </w:rPr>
        <w:t>, p</w:t>
      </w:r>
      <w:r w:rsidR="008C55E8">
        <w:rPr>
          <w:rFonts w:ascii="Cambria" w:hAnsi="Cambria"/>
          <w:color w:val="000000" w:themeColor="text1"/>
          <w:sz w:val="16"/>
          <w:szCs w:val="16"/>
        </w:rPr>
        <w:t>a</w:t>
      </w:r>
      <w:r w:rsidRPr="009035C0">
        <w:rPr>
          <w:rFonts w:ascii="Cambria" w:hAnsi="Cambria"/>
          <w:color w:val="000000" w:themeColor="text1"/>
          <w:sz w:val="16"/>
          <w:szCs w:val="16"/>
        </w:rPr>
        <w:t>r. 286.</w:t>
      </w:r>
    </w:p>
  </w:footnote>
  <w:footnote w:id="327">
    <w:p w14:paraId="701B12A2" w14:textId="6BE70305" w:rsidR="006962F6" w:rsidRPr="009035C0" w:rsidRDefault="006962F6" w:rsidP="00F85814">
      <w:pPr>
        <w:pStyle w:val="FootnoteText"/>
        <w:spacing w:after="120"/>
        <w:ind w:firstLine="720"/>
        <w:jc w:val="both"/>
        <w:rPr>
          <w:rFonts w:ascii="Cambria" w:hAnsi="Cambria"/>
          <w:b/>
          <w:bCs/>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A1797C">
        <w:rPr>
          <w:rFonts w:ascii="Cambria" w:hAnsi="Cambria"/>
          <w:color w:val="000000" w:themeColor="text1"/>
          <w:sz w:val="16"/>
          <w:szCs w:val="16"/>
        </w:rPr>
        <w:t xml:space="preserve">IACHR. Press Release </w:t>
      </w:r>
      <w:r w:rsidRPr="009035C0">
        <w:rPr>
          <w:rFonts w:ascii="Cambria" w:hAnsi="Cambria"/>
          <w:color w:val="000000" w:themeColor="text1"/>
          <w:sz w:val="16"/>
          <w:szCs w:val="16"/>
        </w:rPr>
        <w:t>085/2021</w:t>
      </w:r>
      <w:hyperlink r:id="rId326" w:history="1">
        <w:r w:rsidRPr="009035C0">
          <w:rPr>
            <w:rStyle w:val="Hyperlink"/>
            <w:rFonts w:ascii="Cambria" w:hAnsi="Cambria"/>
            <w:color w:val="000000" w:themeColor="text1"/>
            <w:sz w:val="16"/>
            <w:szCs w:val="16"/>
          </w:rPr>
          <w:t>, La CIDH expresa preocupación por la falta de acceso a servicios de salud sexual y reproductiva en Venezuela,</w:t>
        </w:r>
      </w:hyperlink>
      <w:r w:rsidRPr="009035C0">
        <w:rPr>
          <w:rFonts w:ascii="Cambria" w:hAnsi="Cambria"/>
          <w:color w:val="000000" w:themeColor="text1"/>
          <w:sz w:val="16"/>
          <w:szCs w:val="16"/>
        </w:rPr>
        <w:t xml:space="preserve"> </w:t>
      </w:r>
      <w:r w:rsidR="00025E76">
        <w:rPr>
          <w:rFonts w:ascii="Cambria" w:hAnsi="Cambria"/>
          <w:color w:val="000000" w:themeColor="text1"/>
          <w:sz w:val="16"/>
          <w:szCs w:val="16"/>
        </w:rPr>
        <w:t>[</w:t>
      </w:r>
      <w:r w:rsidR="00A1797C">
        <w:rPr>
          <w:rFonts w:ascii="Cambria" w:hAnsi="Cambria"/>
          <w:color w:val="000000" w:themeColor="text1"/>
          <w:sz w:val="16"/>
          <w:szCs w:val="16"/>
        </w:rPr>
        <w:t>IACHR Expresses Con</w:t>
      </w:r>
      <w:r w:rsidR="00025E76">
        <w:rPr>
          <w:rFonts w:ascii="Cambria" w:hAnsi="Cambria"/>
          <w:color w:val="000000" w:themeColor="text1"/>
          <w:sz w:val="16"/>
          <w:szCs w:val="16"/>
        </w:rPr>
        <w:t>c</w:t>
      </w:r>
      <w:r w:rsidR="00A1797C">
        <w:rPr>
          <w:rFonts w:ascii="Cambria" w:hAnsi="Cambria"/>
          <w:color w:val="000000" w:themeColor="text1"/>
          <w:sz w:val="16"/>
          <w:szCs w:val="16"/>
        </w:rPr>
        <w:t>ern over Lack of Access to Sexual and Reproductive Health Services in Venezuela</w:t>
      </w:r>
      <w:r w:rsidR="00025E76">
        <w:rPr>
          <w:rFonts w:ascii="Cambria" w:hAnsi="Cambria"/>
          <w:color w:val="000000" w:themeColor="text1"/>
          <w:sz w:val="16"/>
          <w:szCs w:val="16"/>
        </w:rPr>
        <w:t xml:space="preserve">], </w:t>
      </w:r>
      <w:r w:rsidR="00A1797C">
        <w:rPr>
          <w:rFonts w:ascii="Cambria" w:hAnsi="Cambria"/>
          <w:color w:val="000000" w:themeColor="text1"/>
          <w:sz w:val="16"/>
          <w:szCs w:val="16"/>
        </w:rPr>
        <w:t xml:space="preserve">April </w:t>
      </w:r>
      <w:r w:rsidRPr="009035C0">
        <w:rPr>
          <w:rFonts w:ascii="Cambria" w:hAnsi="Cambria"/>
          <w:color w:val="000000" w:themeColor="text1"/>
          <w:sz w:val="16"/>
          <w:szCs w:val="16"/>
        </w:rPr>
        <w:t>06</w:t>
      </w:r>
      <w:r w:rsidR="00A1797C">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328">
    <w:p w14:paraId="59A6C823" w14:textId="32396FBF" w:rsidR="006962F6" w:rsidRPr="009035C0" w:rsidRDefault="006962F6" w:rsidP="00F85814">
      <w:pPr>
        <w:spacing w:after="120"/>
        <w:ind w:firstLine="720"/>
        <w:contextualSpacing/>
        <w:jc w:val="both"/>
        <w:rPr>
          <w:rFonts w:ascii="Cambria" w:hAnsi="Cambria"/>
          <w:color w:val="000000" w:themeColor="text1"/>
          <w:sz w:val="16"/>
          <w:szCs w:val="16"/>
          <w:vertAlign w:val="superscript"/>
        </w:rPr>
      </w:pPr>
      <w:r w:rsidRPr="009035C0">
        <w:rPr>
          <w:rFonts w:ascii="Cambria" w:hAnsi="Cambria"/>
          <w:color w:val="000000" w:themeColor="text1"/>
          <w:sz w:val="16"/>
          <w:szCs w:val="16"/>
          <w:vertAlign w:val="superscript"/>
        </w:rPr>
        <w:footnoteRef/>
      </w:r>
      <w:r w:rsidRPr="009035C0">
        <w:rPr>
          <w:rFonts w:ascii="Cambria" w:hAnsi="Cambria"/>
          <w:color w:val="000000" w:themeColor="text1"/>
          <w:sz w:val="16"/>
          <w:szCs w:val="16"/>
          <w:vertAlign w:val="superscript"/>
        </w:rPr>
        <w:t xml:space="preserve"> </w:t>
      </w:r>
      <w:r w:rsidR="007E1F1E">
        <w:rPr>
          <w:rFonts w:ascii="Cambria" w:eastAsia="Cambria" w:hAnsi="Cambria" w:cs="Cambria"/>
          <w:color w:val="000000" w:themeColor="text1"/>
          <w:sz w:val="16"/>
          <w:szCs w:val="16"/>
        </w:rPr>
        <w:t>IACHR</w:t>
      </w:r>
      <w:r w:rsidRPr="009035C0">
        <w:rPr>
          <w:rFonts w:ascii="Cambria" w:eastAsia="Cambria" w:hAnsi="Cambria" w:cs="Cambria"/>
          <w:color w:val="000000" w:themeColor="text1"/>
          <w:sz w:val="16"/>
          <w:szCs w:val="16"/>
        </w:rPr>
        <w:t xml:space="preserve">, </w:t>
      </w:r>
      <w:r w:rsidR="007E1F1E">
        <w:rPr>
          <w:rFonts w:ascii="Cambria" w:eastAsia="Cambria" w:hAnsi="Cambria" w:cs="Cambria"/>
          <w:color w:val="000000" w:themeColor="text1"/>
          <w:sz w:val="16"/>
          <w:szCs w:val="16"/>
        </w:rPr>
        <w:t xml:space="preserve">Hearing on </w:t>
      </w:r>
      <w:r w:rsidRPr="009035C0">
        <w:rPr>
          <w:rFonts w:ascii="Cambria" w:eastAsia="Cambria" w:hAnsi="Cambria" w:cs="Cambria"/>
          <w:color w:val="000000" w:themeColor="text1"/>
          <w:sz w:val="16"/>
          <w:szCs w:val="16"/>
        </w:rPr>
        <w:t>“</w:t>
      </w:r>
      <w:hyperlink r:id="rId327">
        <w:r w:rsidRPr="009035C0">
          <w:rPr>
            <w:rFonts w:ascii="Cambria" w:eastAsia="Cambria" w:hAnsi="Cambria" w:cs="Cambria"/>
            <w:color w:val="000000" w:themeColor="text1"/>
            <w:sz w:val="16"/>
            <w:szCs w:val="16"/>
            <w:u w:val="single"/>
          </w:rPr>
          <w:t>Situación de derechos humanos de mujeres adolescentes y niñas en Venezuela</w:t>
        </w:r>
      </w:hyperlink>
      <w:r w:rsidRPr="009035C0">
        <w:rPr>
          <w:rFonts w:ascii="Cambria" w:eastAsia="Cambria" w:hAnsi="Cambria" w:cs="Cambria"/>
          <w:color w:val="000000" w:themeColor="text1"/>
          <w:sz w:val="16"/>
          <w:szCs w:val="16"/>
        </w:rPr>
        <w:t xml:space="preserve">” </w:t>
      </w:r>
      <w:r w:rsidR="007E1F1E">
        <w:rPr>
          <w:rFonts w:ascii="Cambria" w:eastAsia="Cambria" w:hAnsi="Cambria" w:cs="Cambria"/>
          <w:color w:val="000000" w:themeColor="text1"/>
          <w:sz w:val="16"/>
          <w:szCs w:val="16"/>
        </w:rPr>
        <w:t>[‘Situation of human rights of women and girls in Venezuela’], 181</w:t>
      </w:r>
      <w:r w:rsidR="007E1F1E" w:rsidRPr="005278D8">
        <w:rPr>
          <w:rFonts w:ascii="Cambria" w:eastAsia="Cambria" w:hAnsi="Cambria" w:cs="Cambria"/>
          <w:color w:val="000000" w:themeColor="text1"/>
          <w:sz w:val="16"/>
          <w:szCs w:val="16"/>
          <w:vertAlign w:val="superscript"/>
        </w:rPr>
        <w:t>st</w:t>
      </w:r>
      <w:r w:rsidR="007E1F1E">
        <w:rPr>
          <w:rFonts w:ascii="Cambria" w:eastAsia="Cambria" w:hAnsi="Cambria" w:cs="Cambria"/>
          <w:color w:val="000000" w:themeColor="text1"/>
          <w:sz w:val="16"/>
          <w:szCs w:val="16"/>
        </w:rPr>
        <w:t xml:space="preserve"> Regular Session, October 28, 2021</w:t>
      </w:r>
    </w:p>
  </w:footnote>
  <w:footnote w:id="329">
    <w:p w14:paraId="6E58C725" w14:textId="6B214627" w:rsidR="006962F6" w:rsidRPr="009035C0" w:rsidRDefault="006962F6" w:rsidP="00F85814">
      <w:pPr>
        <w:spacing w:after="120"/>
        <w:ind w:firstLine="720"/>
        <w:contextualSpacing/>
        <w:jc w:val="both"/>
        <w:rPr>
          <w:rFonts w:ascii="Cambria" w:eastAsia="Cambria" w:hAnsi="Cambria" w:cs="Cambria"/>
          <w:color w:val="000000" w:themeColor="text1"/>
          <w:sz w:val="16"/>
          <w:szCs w:val="16"/>
        </w:rPr>
      </w:pPr>
      <w:r w:rsidRPr="009035C0">
        <w:rPr>
          <w:rFonts w:ascii="Cambria" w:hAnsi="Cambria"/>
          <w:color w:val="000000" w:themeColor="text1"/>
          <w:sz w:val="16"/>
          <w:szCs w:val="16"/>
          <w:vertAlign w:val="superscript"/>
        </w:rPr>
        <w:footnoteRef/>
      </w:r>
      <w:r w:rsidRPr="009035C0">
        <w:rPr>
          <w:rFonts w:ascii="Cambria" w:hAnsi="Cambria"/>
          <w:color w:val="000000" w:themeColor="text1"/>
          <w:sz w:val="16"/>
          <w:szCs w:val="16"/>
          <w:vertAlign w:val="superscript"/>
        </w:rPr>
        <w:t xml:space="preserve">   </w:t>
      </w:r>
      <w:r w:rsidRPr="009035C0">
        <w:rPr>
          <w:rFonts w:ascii="Cambria" w:eastAsia="Cambria" w:hAnsi="Cambria" w:cs="Cambria"/>
          <w:color w:val="000000" w:themeColor="text1"/>
          <w:sz w:val="16"/>
          <w:szCs w:val="16"/>
        </w:rPr>
        <w:t xml:space="preserve"> UNFPA, </w:t>
      </w:r>
      <w:hyperlink r:id="rId328">
        <w:r w:rsidRPr="009035C0">
          <w:rPr>
            <w:rFonts w:ascii="Cambria" w:eastAsia="Cambria" w:hAnsi="Cambria" w:cs="Cambria"/>
            <w:color w:val="000000" w:themeColor="text1"/>
            <w:sz w:val="16"/>
            <w:szCs w:val="16"/>
            <w:u w:val="single"/>
          </w:rPr>
          <w:t>As Crisis Facing Women in Venezuela Deepens, UNFPA Appeals for Urgent Funding to Save Lives and Protect Their Rights</w:t>
        </w:r>
      </w:hyperlink>
      <w:r w:rsidRPr="009035C0">
        <w:rPr>
          <w:rFonts w:ascii="Cambria" w:eastAsia="Cambria" w:hAnsi="Cambria" w:cs="Cambria"/>
          <w:color w:val="000000" w:themeColor="text1"/>
          <w:sz w:val="16"/>
          <w:szCs w:val="16"/>
        </w:rPr>
        <w:t xml:space="preserve">, </w:t>
      </w:r>
      <w:r w:rsidR="00310015">
        <w:rPr>
          <w:rFonts w:ascii="Cambria" w:eastAsia="Cambria" w:hAnsi="Cambria" w:cs="Cambria"/>
          <w:color w:val="000000" w:themeColor="text1"/>
          <w:sz w:val="16"/>
          <w:szCs w:val="16"/>
        </w:rPr>
        <w:t xml:space="preserve">March </w:t>
      </w:r>
      <w:r w:rsidRPr="009035C0">
        <w:rPr>
          <w:rFonts w:ascii="Cambria" w:eastAsia="Cambria" w:hAnsi="Cambria" w:cs="Cambria"/>
          <w:color w:val="000000" w:themeColor="text1"/>
          <w:sz w:val="16"/>
          <w:szCs w:val="16"/>
        </w:rPr>
        <w:t>31</w:t>
      </w:r>
      <w:r w:rsidR="00310015">
        <w:rPr>
          <w:rFonts w:ascii="Cambria" w:eastAsia="Cambria" w:hAnsi="Cambria" w:cs="Cambria"/>
          <w:color w:val="000000" w:themeColor="text1"/>
          <w:sz w:val="16"/>
          <w:szCs w:val="16"/>
        </w:rPr>
        <w:t>,</w:t>
      </w:r>
      <w:r w:rsidRPr="009035C0">
        <w:rPr>
          <w:rFonts w:ascii="Cambria" w:eastAsia="Cambria" w:hAnsi="Cambria" w:cs="Cambria"/>
          <w:color w:val="000000" w:themeColor="text1"/>
          <w:sz w:val="16"/>
          <w:szCs w:val="16"/>
        </w:rPr>
        <w:t xml:space="preserve"> 2021</w:t>
      </w:r>
    </w:p>
  </w:footnote>
  <w:footnote w:id="330">
    <w:p w14:paraId="5EDCCDE0" w14:textId="6650D887" w:rsidR="006962F6" w:rsidRPr="00E7771A" w:rsidRDefault="006962F6" w:rsidP="00F85814">
      <w:pPr>
        <w:spacing w:after="120"/>
        <w:ind w:firstLine="720"/>
        <w:contextualSpacing/>
        <w:jc w:val="both"/>
        <w:rPr>
          <w:rFonts w:ascii="Cambria" w:hAnsi="Cambria"/>
          <w:color w:val="000000" w:themeColor="text1"/>
          <w:sz w:val="16"/>
          <w:szCs w:val="16"/>
          <w:lang w:val="es-US"/>
        </w:rPr>
      </w:pPr>
      <w:r w:rsidRPr="009035C0">
        <w:rPr>
          <w:rFonts w:ascii="Cambria" w:hAnsi="Cambria"/>
          <w:color w:val="000000" w:themeColor="text1"/>
          <w:sz w:val="16"/>
          <w:szCs w:val="16"/>
          <w:vertAlign w:val="superscript"/>
        </w:rPr>
        <w:footnoteRef/>
      </w:r>
      <w:r w:rsidRPr="00E7771A">
        <w:rPr>
          <w:rFonts w:ascii="Cambria" w:hAnsi="Cambria"/>
          <w:color w:val="000000" w:themeColor="text1"/>
          <w:sz w:val="16"/>
          <w:szCs w:val="16"/>
          <w:lang w:val="es-US"/>
        </w:rPr>
        <w:t xml:space="preserve"> </w:t>
      </w:r>
      <w:r w:rsidR="006929C2" w:rsidRPr="00E7771A">
        <w:rPr>
          <w:rFonts w:ascii="Cambria" w:hAnsi="Cambria"/>
          <w:color w:val="000000" w:themeColor="text1"/>
          <w:sz w:val="16"/>
          <w:szCs w:val="16"/>
          <w:lang w:val="es-US"/>
        </w:rPr>
        <w:t>IACHR</w:t>
      </w:r>
      <w:r w:rsidRPr="00E7771A">
        <w:rPr>
          <w:rFonts w:ascii="Cambria" w:eastAsia="Cambria" w:hAnsi="Cambria" w:cs="Cambria"/>
          <w:color w:val="000000" w:themeColor="text1"/>
          <w:sz w:val="16"/>
          <w:szCs w:val="16"/>
          <w:lang w:val="es-US"/>
        </w:rPr>
        <w:t xml:space="preserve">, </w:t>
      </w:r>
      <w:r w:rsidR="006929C2" w:rsidRPr="00E7771A">
        <w:rPr>
          <w:rFonts w:ascii="Cambria" w:eastAsia="Cambria" w:hAnsi="Cambria" w:cs="Cambria"/>
          <w:color w:val="000000" w:themeColor="text1"/>
          <w:sz w:val="16"/>
          <w:szCs w:val="16"/>
          <w:lang w:val="es-US"/>
        </w:rPr>
        <w:t xml:space="preserve">Hearing on </w:t>
      </w:r>
      <w:r w:rsidRPr="00E7771A">
        <w:rPr>
          <w:rFonts w:ascii="Cambria" w:eastAsia="Cambria" w:hAnsi="Cambria" w:cs="Cambria"/>
          <w:color w:val="000000" w:themeColor="text1"/>
          <w:sz w:val="16"/>
          <w:szCs w:val="16"/>
          <w:lang w:val="es-US"/>
        </w:rPr>
        <w:t>“</w:t>
      </w:r>
      <w:hyperlink r:id="rId329">
        <w:r w:rsidRPr="00E7771A">
          <w:rPr>
            <w:rFonts w:ascii="Cambria" w:eastAsia="Cambria" w:hAnsi="Cambria" w:cs="Cambria"/>
            <w:color w:val="000000" w:themeColor="text1"/>
            <w:sz w:val="16"/>
            <w:szCs w:val="16"/>
            <w:u w:val="single"/>
            <w:lang w:val="es-US"/>
          </w:rPr>
          <w:t>Situación de derechos humanos de mujeres adolescentes y niñas en Venezuela</w:t>
        </w:r>
      </w:hyperlink>
      <w:r w:rsidRPr="00E7771A">
        <w:rPr>
          <w:rFonts w:ascii="Cambria" w:eastAsia="Cambria" w:hAnsi="Cambria" w:cs="Cambria"/>
          <w:color w:val="000000" w:themeColor="text1"/>
          <w:sz w:val="16"/>
          <w:szCs w:val="16"/>
          <w:lang w:val="es-US"/>
        </w:rPr>
        <w:t xml:space="preserve">” </w:t>
      </w:r>
      <w:r w:rsidR="006929C2" w:rsidRPr="00E7771A">
        <w:rPr>
          <w:rFonts w:ascii="Cambria" w:eastAsia="Cambria" w:hAnsi="Cambria" w:cs="Cambria"/>
          <w:color w:val="000000" w:themeColor="text1"/>
          <w:sz w:val="16"/>
          <w:szCs w:val="16"/>
          <w:lang w:val="es-US"/>
        </w:rPr>
        <w:t>[‘Situation of human rights of women and girls in Venezuela’], 181</w:t>
      </w:r>
      <w:r w:rsidR="006929C2" w:rsidRPr="00E7771A">
        <w:rPr>
          <w:rFonts w:ascii="Cambria" w:eastAsia="Cambria" w:hAnsi="Cambria" w:cs="Cambria"/>
          <w:color w:val="000000" w:themeColor="text1"/>
          <w:sz w:val="16"/>
          <w:szCs w:val="16"/>
          <w:vertAlign w:val="superscript"/>
          <w:lang w:val="es-US"/>
        </w:rPr>
        <w:t>st</w:t>
      </w:r>
      <w:r w:rsidR="006929C2" w:rsidRPr="00E7771A">
        <w:rPr>
          <w:rFonts w:ascii="Cambria" w:eastAsia="Cambria" w:hAnsi="Cambria" w:cs="Cambria"/>
          <w:color w:val="000000" w:themeColor="text1"/>
          <w:sz w:val="16"/>
          <w:szCs w:val="16"/>
          <w:lang w:val="es-US"/>
        </w:rPr>
        <w:t xml:space="preserve"> Regular Session, October 28, 2021</w:t>
      </w:r>
      <w:r w:rsidRPr="00E7771A">
        <w:rPr>
          <w:rFonts w:ascii="Cambria" w:eastAsia="Cambria" w:hAnsi="Cambria" w:cs="Cambria"/>
          <w:color w:val="000000" w:themeColor="text1"/>
          <w:sz w:val="16"/>
          <w:szCs w:val="16"/>
          <w:lang w:val="es-US"/>
        </w:rPr>
        <w:t xml:space="preserve">; </w:t>
      </w:r>
      <w:r w:rsidR="006929C2" w:rsidRPr="00E7771A">
        <w:rPr>
          <w:rFonts w:ascii="Cambria" w:eastAsia="Cambria" w:hAnsi="Cambria" w:cs="Cambria"/>
          <w:color w:val="000000" w:themeColor="text1"/>
          <w:sz w:val="16"/>
          <w:szCs w:val="16"/>
          <w:lang w:val="es-US"/>
        </w:rPr>
        <w:t xml:space="preserve">IACHR Press Release </w:t>
      </w:r>
      <w:hyperlink r:id="rId330">
        <w:r w:rsidRPr="00E7771A">
          <w:rPr>
            <w:rFonts w:ascii="Cambria" w:eastAsia="Cambria" w:hAnsi="Cambria" w:cs="Cambria"/>
            <w:color w:val="000000" w:themeColor="text1"/>
            <w:sz w:val="16"/>
            <w:szCs w:val="16"/>
            <w:u w:val="single"/>
            <w:lang w:val="es-US"/>
          </w:rPr>
          <w:t>Comunicado de Prensa 085/21</w:t>
        </w:r>
      </w:hyperlink>
      <w:r w:rsidRPr="00E7771A">
        <w:rPr>
          <w:rFonts w:ascii="Cambria" w:hAnsi="Cambria"/>
          <w:color w:val="000000" w:themeColor="text1"/>
          <w:sz w:val="16"/>
          <w:szCs w:val="16"/>
          <w:lang w:val="es-US"/>
        </w:rPr>
        <w:t xml:space="preserve"> </w:t>
      </w:r>
      <w:hyperlink r:id="rId331">
        <w:r w:rsidRPr="00E7771A">
          <w:rPr>
            <w:rFonts w:ascii="Cambria" w:eastAsia="Cambria" w:hAnsi="Cambria" w:cs="Cambria"/>
            <w:color w:val="000000" w:themeColor="text1"/>
            <w:sz w:val="16"/>
            <w:szCs w:val="16"/>
            <w:u w:val="single"/>
            <w:lang w:val="es-US"/>
          </w:rPr>
          <w:t>La CIDH expresa preocupación por la falta de acceso a servicios de salud sexual y reproductiva en Venezuela</w:t>
        </w:r>
      </w:hyperlink>
      <w:r w:rsidRPr="00E7771A">
        <w:rPr>
          <w:rFonts w:ascii="Cambria" w:eastAsia="Cambria" w:hAnsi="Cambria" w:cs="Cambria"/>
          <w:color w:val="000000" w:themeColor="text1"/>
          <w:sz w:val="16"/>
          <w:szCs w:val="16"/>
          <w:lang w:val="es-US"/>
        </w:rPr>
        <w:t xml:space="preserve">, </w:t>
      </w:r>
      <w:r w:rsidR="006929C2" w:rsidRPr="00E7771A">
        <w:rPr>
          <w:rFonts w:ascii="Cambria" w:hAnsi="Cambria"/>
          <w:color w:val="000000" w:themeColor="text1"/>
          <w:sz w:val="16"/>
          <w:szCs w:val="16"/>
          <w:lang w:val="es-US"/>
        </w:rPr>
        <w:t>[IACHR Expresses Concern over Lack of Access to Sexual and Reproductive Health Services in Venezuela], April 06, 2021</w:t>
      </w:r>
    </w:p>
  </w:footnote>
  <w:footnote w:id="331">
    <w:p w14:paraId="3470F0DC" w14:textId="3E576ED6" w:rsidR="00754C8D" w:rsidRPr="00E7771A" w:rsidRDefault="00754C8D" w:rsidP="00F85814">
      <w:pPr>
        <w:spacing w:after="120"/>
        <w:ind w:firstLine="720"/>
        <w:contextualSpacing/>
        <w:jc w:val="both"/>
        <w:rPr>
          <w:rFonts w:ascii="Cambria" w:hAnsi="Cambria"/>
          <w:color w:val="000000" w:themeColor="text1"/>
          <w:sz w:val="16"/>
          <w:szCs w:val="16"/>
          <w:lang w:val="es-US"/>
        </w:rPr>
      </w:pPr>
      <w:r w:rsidRPr="009035C0">
        <w:rPr>
          <w:rFonts w:ascii="Cambria" w:hAnsi="Cambria"/>
          <w:color w:val="000000" w:themeColor="text1"/>
          <w:sz w:val="16"/>
          <w:szCs w:val="16"/>
          <w:vertAlign w:val="superscript"/>
        </w:rPr>
        <w:footnoteRef/>
      </w:r>
      <w:r w:rsidRPr="00E7771A">
        <w:rPr>
          <w:rFonts w:ascii="Cambria" w:hAnsi="Cambria"/>
          <w:color w:val="000000" w:themeColor="text1"/>
          <w:sz w:val="16"/>
          <w:szCs w:val="16"/>
          <w:lang w:val="es-US"/>
        </w:rPr>
        <w:t xml:space="preserve"> </w:t>
      </w:r>
      <w:r w:rsidRPr="00E7771A">
        <w:rPr>
          <w:rFonts w:ascii="Cambria" w:eastAsia="Cambria" w:hAnsi="Cambria" w:cs="Cambria"/>
          <w:color w:val="000000" w:themeColor="text1"/>
          <w:sz w:val="16"/>
          <w:szCs w:val="16"/>
          <w:lang w:val="es-US"/>
        </w:rPr>
        <w:t xml:space="preserve">CEPAZ, AVESA, 100% Estrógeno, Uquira, Fundamujer, Caleidoscopio Humano, Fundación Vida Jurídica, Women’s Link Worldwide. </w:t>
      </w:r>
      <w:r w:rsidR="006929C2" w:rsidRPr="009035C0">
        <w:rPr>
          <w:rFonts w:ascii="Cambria" w:eastAsia="Cambria" w:hAnsi="Cambria" w:cs="Cambria"/>
          <w:color w:val="000000" w:themeColor="text1"/>
          <w:sz w:val="16"/>
          <w:szCs w:val="16"/>
        </w:rPr>
        <w:t>A</w:t>
      </w:r>
      <w:r w:rsidR="006929C2">
        <w:rPr>
          <w:rFonts w:ascii="Cambria" w:eastAsia="Cambria" w:hAnsi="Cambria" w:cs="Cambria"/>
          <w:color w:val="000000" w:themeColor="text1"/>
          <w:sz w:val="16"/>
          <w:szCs w:val="16"/>
        </w:rPr>
        <w:t>n</w:t>
      </w:r>
      <w:r w:rsidR="006929C2" w:rsidRPr="009035C0">
        <w:rPr>
          <w:rFonts w:ascii="Cambria" w:eastAsia="Cambria" w:hAnsi="Cambria" w:cs="Cambria"/>
          <w:color w:val="000000" w:themeColor="text1"/>
          <w:sz w:val="16"/>
          <w:szCs w:val="16"/>
        </w:rPr>
        <w:t>nex</w:t>
      </w:r>
      <w:r w:rsidR="006929C2">
        <w:rPr>
          <w:rFonts w:ascii="Cambria" w:eastAsia="Cambria" w:hAnsi="Cambria" w:cs="Cambria"/>
          <w:color w:val="000000" w:themeColor="text1"/>
          <w:sz w:val="16"/>
          <w:szCs w:val="16"/>
        </w:rPr>
        <w:t xml:space="preserve"> to request for thematic hearing for the 181</w:t>
      </w:r>
      <w:r w:rsidR="006929C2" w:rsidRPr="00F10EAF">
        <w:rPr>
          <w:rFonts w:ascii="Cambria" w:eastAsia="Cambria" w:hAnsi="Cambria" w:cs="Cambria"/>
          <w:color w:val="000000" w:themeColor="text1"/>
          <w:sz w:val="16"/>
          <w:szCs w:val="16"/>
          <w:vertAlign w:val="superscript"/>
        </w:rPr>
        <w:t>st</w:t>
      </w:r>
      <w:r w:rsidR="006929C2">
        <w:rPr>
          <w:rFonts w:ascii="Cambria" w:eastAsia="Cambria" w:hAnsi="Cambria" w:cs="Cambria"/>
          <w:color w:val="000000" w:themeColor="text1"/>
          <w:sz w:val="16"/>
          <w:szCs w:val="16"/>
        </w:rPr>
        <w:t xml:space="preserve"> Regular Session. </w:t>
      </w:r>
      <w:r w:rsidR="006929C2" w:rsidRPr="00E7771A">
        <w:rPr>
          <w:rFonts w:ascii="Cambria" w:eastAsia="Cambria" w:hAnsi="Cambria" w:cs="Cambria"/>
          <w:color w:val="000000" w:themeColor="text1"/>
          <w:sz w:val="16"/>
          <w:szCs w:val="16"/>
          <w:lang w:val="es-US"/>
        </w:rPr>
        <w:t>Record 165009, August 5, 2021. In IACHR Archives</w:t>
      </w:r>
      <w:r w:rsidRPr="00E7771A">
        <w:rPr>
          <w:rFonts w:ascii="Cambria" w:eastAsia="Cambria" w:hAnsi="Cambria" w:cs="Cambria"/>
          <w:color w:val="000000" w:themeColor="text1"/>
          <w:sz w:val="16"/>
          <w:szCs w:val="16"/>
          <w:lang w:val="es-US"/>
        </w:rPr>
        <w:t xml:space="preserve">; Efecto Cocuyo, </w:t>
      </w:r>
      <w:hyperlink r:id="rId332">
        <w:r w:rsidRPr="00E7771A">
          <w:rPr>
            <w:rFonts w:ascii="Cambria" w:eastAsia="Cambria" w:hAnsi="Cambria" w:cs="Cambria"/>
            <w:color w:val="000000" w:themeColor="text1"/>
            <w:sz w:val="16"/>
            <w:szCs w:val="16"/>
            <w:u w:val="single"/>
            <w:lang w:val="es-US"/>
          </w:rPr>
          <w:t>La bomba de tiempo vinculada a la salud de las venezolanas</w:t>
        </w:r>
      </w:hyperlink>
      <w:r w:rsidRPr="00E7771A">
        <w:rPr>
          <w:rFonts w:ascii="Cambria" w:eastAsia="Cambria" w:hAnsi="Cambria" w:cs="Cambria"/>
          <w:color w:val="000000" w:themeColor="text1"/>
          <w:sz w:val="16"/>
          <w:szCs w:val="16"/>
          <w:lang w:val="es-US"/>
        </w:rPr>
        <w:t>,</w:t>
      </w:r>
      <w:r w:rsidR="006929C2" w:rsidRPr="00E7771A">
        <w:rPr>
          <w:rFonts w:ascii="Cambria" w:eastAsia="Cambria" w:hAnsi="Cambria" w:cs="Cambria"/>
          <w:color w:val="000000" w:themeColor="text1"/>
          <w:sz w:val="16"/>
          <w:szCs w:val="16"/>
          <w:lang w:val="es-US"/>
        </w:rPr>
        <w:t xml:space="preserve"> [‘Time bomb linked to health of Venezuelan women’], October</w:t>
      </w:r>
      <w:r w:rsidRPr="00E7771A">
        <w:rPr>
          <w:rFonts w:ascii="Cambria" w:eastAsia="Cambria" w:hAnsi="Cambria" w:cs="Cambria"/>
          <w:color w:val="000000" w:themeColor="text1"/>
          <w:sz w:val="16"/>
          <w:szCs w:val="16"/>
          <w:lang w:val="es-US"/>
        </w:rPr>
        <w:t xml:space="preserve"> 6</w:t>
      </w:r>
      <w:r w:rsidR="006929C2" w:rsidRPr="00E7771A">
        <w:rPr>
          <w:rFonts w:ascii="Cambria" w:eastAsia="Cambria" w:hAnsi="Cambria" w:cs="Cambria"/>
          <w:color w:val="000000" w:themeColor="text1"/>
          <w:sz w:val="16"/>
          <w:szCs w:val="16"/>
          <w:lang w:val="es-US"/>
        </w:rPr>
        <w:t>,</w:t>
      </w:r>
      <w:r w:rsidRPr="00E7771A">
        <w:rPr>
          <w:rFonts w:ascii="Cambria" w:eastAsia="Cambria" w:hAnsi="Cambria" w:cs="Cambria"/>
          <w:color w:val="000000" w:themeColor="text1"/>
          <w:sz w:val="16"/>
          <w:szCs w:val="16"/>
          <w:lang w:val="es-US"/>
        </w:rPr>
        <w:t xml:space="preserve"> 2021; Crónica Uno, </w:t>
      </w:r>
      <w:hyperlink r:id="rId333">
        <w:r w:rsidRPr="00E7771A">
          <w:rPr>
            <w:rFonts w:ascii="Cambria" w:eastAsia="Cambria" w:hAnsi="Cambria" w:cs="Cambria"/>
            <w:color w:val="000000" w:themeColor="text1"/>
            <w:sz w:val="16"/>
            <w:szCs w:val="16"/>
            <w:u w:val="single"/>
            <w:lang w:val="es-US"/>
          </w:rPr>
          <w:t>Escaso acceso a métodos anticonceptivos en Venezuela vulnera los derechos sexuales</w:t>
        </w:r>
      </w:hyperlink>
      <w:r w:rsidRPr="00E7771A">
        <w:rPr>
          <w:rFonts w:ascii="Cambria" w:eastAsia="Cambria" w:hAnsi="Cambria" w:cs="Cambria"/>
          <w:color w:val="000000" w:themeColor="text1"/>
          <w:sz w:val="16"/>
          <w:szCs w:val="16"/>
          <w:lang w:val="es-US"/>
        </w:rPr>
        <w:t xml:space="preserve">, </w:t>
      </w:r>
      <w:r w:rsidR="00E641A2" w:rsidRPr="00E7771A">
        <w:rPr>
          <w:rFonts w:ascii="Cambria" w:eastAsia="Cambria" w:hAnsi="Cambria" w:cs="Cambria"/>
          <w:color w:val="000000" w:themeColor="text1"/>
          <w:sz w:val="16"/>
          <w:szCs w:val="16"/>
          <w:lang w:val="es-US"/>
        </w:rPr>
        <w:t xml:space="preserve">[‘Little access to contraceptive methods in Venezuela violates sexual rights’], January </w:t>
      </w:r>
      <w:r w:rsidRPr="00E7771A">
        <w:rPr>
          <w:rFonts w:ascii="Cambria" w:eastAsia="Cambria" w:hAnsi="Cambria" w:cs="Cambria"/>
          <w:color w:val="000000" w:themeColor="text1"/>
          <w:sz w:val="16"/>
          <w:szCs w:val="16"/>
          <w:lang w:val="es-US"/>
        </w:rPr>
        <w:t>23</w:t>
      </w:r>
      <w:r w:rsidR="00E641A2" w:rsidRPr="00E7771A">
        <w:rPr>
          <w:rFonts w:ascii="Cambria" w:eastAsia="Cambria" w:hAnsi="Cambria" w:cs="Cambria"/>
          <w:color w:val="000000" w:themeColor="text1"/>
          <w:sz w:val="16"/>
          <w:szCs w:val="16"/>
          <w:lang w:val="es-US"/>
        </w:rPr>
        <w:t>,</w:t>
      </w:r>
      <w:r w:rsidRPr="00E7771A">
        <w:rPr>
          <w:rFonts w:ascii="Cambria" w:eastAsia="Cambria" w:hAnsi="Cambria" w:cs="Cambria"/>
          <w:color w:val="000000" w:themeColor="text1"/>
          <w:sz w:val="16"/>
          <w:szCs w:val="16"/>
          <w:lang w:val="es-US"/>
        </w:rPr>
        <w:t xml:space="preserve"> 2021</w:t>
      </w:r>
    </w:p>
  </w:footnote>
  <w:footnote w:id="332">
    <w:p w14:paraId="57D2F8E5" w14:textId="2E19F7EA" w:rsidR="006962F6" w:rsidRPr="00E7771A" w:rsidRDefault="006962F6" w:rsidP="00F85814">
      <w:pPr>
        <w:spacing w:after="120"/>
        <w:ind w:firstLine="720"/>
        <w:contextualSpacing/>
        <w:jc w:val="both"/>
        <w:rPr>
          <w:rFonts w:ascii="Cambria" w:hAnsi="Cambria"/>
          <w:color w:val="000000" w:themeColor="text1"/>
          <w:sz w:val="16"/>
          <w:szCs w:val="16"/>
          <w:lang w:val="es-US"/>
        </w:rPr>
      </w:pPr>
      <w:r w:rsidRPr="009035C0">
        <w:rPr>
          <w:rFonts w:ascii="Cambria" w:hAnsi="Cambria"/>
          <w:color w:val="000000" w:themeColor="text1"/>
          <w:sz w:val="16"/>
          <w:szCs w:val="16"/>
          <w:vertAlign w:val="superscript"/>
        </w:rPr>
        <w:footnoteRef/>
      </w:r>
      <w:r w:rsidRPr="00E7771A">
        <w:rPr>
          <w:rFonts w:ascii="Cambria" w:hAnsi="Cambria"/>
          <w:color w:val="000000" w:themeColor="text1"/>
          <w:sz w:val="16"/>
          <w:szCs w:val="16"/>
          <w:lang w:val="es-US"/>
        </w:rPr>
        <w:t xml:space="preserve"> </w:t>
      </w:r>
      <w:r w:rsidRPr="00E7771A">
        <w:rPr>
          <w:rFonts w:ascii="Cambria" w:eastAsia="Cambria" w:hAnsi="Cambria" w:cs="Cambria"/>
          <w:color w:val="000000" w:themeColor="text1"/>
          <w:sz w:val="16"/>
          <w:szCs w:val="16"/>
          <w:lang w:val="es-US"/>
        </w:rPr>
        <w:t xml:space="preserve">CEPAZ, AVESA, 100% Estrógeno, Uquira, Fundamujer, Caleidoscopio Humano, Fundación Vida Jurídica, Women’s Link Worldwide. </w:t>
      </w:r>
      <w:r w:rsidR="00A55204" w:rsidRPr="009035C0">
        <w:rPr>
          <w:rFonts w:ascii="Cambria" w:eastAsia="Cambria" w:hAnsi="Cambria" w:cs="Cambria"/>
          <w:color w:val="000000" w:themeColor="text1"/>
          <w:sz w:val="16"/>
          <w:szCs w:val="16"/>
        </w:rPr>
        <w:t>A</w:t>
      </w:r>
      <w:r w:rsidR="00A55204">
        <w:rPr>
          <w:rFonts w:ascii="Cambria" w:eastAsia="Cambria" w:hAnsi="Cambria" w:cs="Cambria"/>
          <w:color w:val="000000" w:themeColor="text1"/>
          <w:sz w:val="16"/>
          <w:szCs w:val="16"/>
        </w:rPr>
        <w:t>n</w:t>
      </w:r>
      <w:r w:rsidR="00A55204" w:rsidRPr="009035C0">
        <w:rPr>
          <w:rFonts w:ascii="Cambria" w:eastAsia="Cambria" w:hAnsi="Cambria" w:cs="Cambria"/>
          <w:color w:val="000000" w:themeColor="text1"/>
          <w:sz w:val="16"/>
          <w:szCs w:val="16"/>
        </w:rPr>
        <w:t>nex</w:t>
      </w:r>
      <w:r w:rsidR="00A55204">
        <w:rPr>
          <w:rFonts w:ascii="Cambria" w:eastAsia="Cambria" w:hAnsi="Cambria" w:cs="Cambria"/>
          <w:color w:val="000000" w:themeColor="text1"/>
          <w:sz w:val="16"/>
          <w:szCs w:val="16"/>
        </w:rPr>
        <w:t xml:space="preserve"> to request for thematic hearing for the 181</w:t>
      </w:r>
      <w:r w:rsidR="00A55204" w:rsidRPr="00F10EAF">
        <w:rPr>
          <w:rFonts w:ascii="Cambria" w:eastAsia="Cambria" w:hAnsi="Cambria" w:cs="Cambria"/>
          <w:color w:val="000000" w:themeColor="text1"/>
          <w:sz w:val="16"/>
          <w:szCs w:val="16"/>
          <w:vertAlign w:val="superscript"/>
        </w:rPr>
        <w:t>st</w:t>
      </w:r>
      <w:r w:rsidR="00A55204">
        <w:rPr>
          <w:rFonts w:ascii="Cambria" w:eastAsia="Cambria" w:hAnsi="Cambria" w:cs="Cambria"/>
          <w:color w:val="000000" w:themeColor="text1"/>
          <w:sz w:val="16"/>
          <w:szCs w:val="16"/>
        </w:rPr>
        <w:t xml:space="preserve"> Regular Session. </w:t>
      </w:r>
      <w:r w:rsidR="00A55204" w:rsidRPr="00E7771A">
        <w:rPr>
          <w:rFonts w:ascii="Cambria" w:eastAsia="Cambria" w:hAnsi="Cambria" w:cs="Cambria"/>
          <w:color w:val="000000" w:themeColor="text1"/>
          <w:sz w:val="16"/>
          <w:szCs w:val="16"/>
          <w:lang w:val="es-US"/>
        </w:rPr>
        <w:t>Record 165009, August 5, 2021. In IACHR Archives</w:t>
      </w:r>
      <w:r w:rsidRPr="00E7771A">
        <w:rPr>
          <w:rFonts w:ascii="Cambria" w:eastAsia="Cambria" w:hAnsi="Cambria" w:cs="Cambria"/>
          <w:color w:val="000000" w:themeColor="text1"/>
          <w:sz w:val="16"/>
          <w:szCs w:val="16"/>
          <w:lang w:val="es-US"/>
        </w:rPr>
        <w:t>.</w:t>
      </w:r>
    </w:p>
  </w:footnote>
  <w:footnote w:id="333">
    <w:p w14:paraId="53A33FF5" w14:textId="6EF22329" w:rsidR="006962F6" w:rsidRPr="00E7771A" w:rsidRDefault="006962F6" w:rsidP="00F85814">
      <w:pPr>
        <w:spacing w:after="120"/>
        <w:ind w:firstLine="720"/>
        <w:contextualSpacing/>
        <w:jc w:val="both"/>
        <w:rPr>
          <w:rFonts w:ascii="Cambria" w:hAnsi="Cambria"/>
          <w:color w:val="000000" w:themeColor="text1"/>
          <w:sz w:val="16"/>
          <w:szCs w:val="16"/>
          <w:lang w:val="es-US"/>
        </w:rPr>
      </w:pPr>
      <w:r w:rsidRPr="009035C0">
        <w:rPr>
          <w:rFonts w:ascii="Cambria" w:hAnsi="Cambria"/>
          <w:color w:val="000000" w:themeColor="text1"/>
          <w:sz w:val="16"/>
          <w:szCs w:val="16"/>
          <w:vertAlign w:val="superscript"/>
        </w:rPr>
        <w:footnoteRef/>
      </w:r>
      <w:r w:rsidRPr="00E7771A">
        <w:rPr>
          <w:rFonts w:ascii="Cambria" w:hAnsi="Cambria"/>
          <w:color w:val="000000" w:themeColor="text1"/>
          <w:sz w:val="16"/>
          <w:szCs w:val="16"/>
          <w:lang w:val="es-US"/>
        </w:rPr>
        <w:t xml:space="preserve"> </w:t>
      </w:r>
      <w:r w:rsidRPr="00E7771A">
        <w:rPr>
          <w:rFonts w:ascii="Cambria" w:eastAsia="Cambria" w:hAnsi="Cambria" w:cs="Cambria"/>
          <w:color w:val="000000" w:themeColor="text1"/>
          <w:sz w:val="16"/>
          <w:szCs w:val="16"/>
          <w:lang w:val="es-US"/>
        </w:rPr>
        <w:t xml:space="preserve">Efecto Cocuyo, </w:t>
      </w:r>
      <w:hyperlink r:id="rId334">
        <w:r w:rsidRPr="00E7771A">
          <w:rPr>
            <w:rFonts w:ascii="Cambria" w:eastAsia="Cambria" w:hAnsi="Cambria" w:cs="Cambria"/>
            <w:color w:val="000000" w:themeColor="text1"/>
            <w:sz w:val="16"/>
            <w:szCs w:val="16"/>
            <w:u w:val="single"/>
            <w:lang w:val="es-US"/>
          </w:rPr>
          <w:t>La bomba de tiempo vinculada a la salud de las venezolanas</w:t>
        </w:r>
      </w:hyperlink>
      <w:r w:rsidRPr="00E7771A">
        <w:rPr>
          <w:rFonts w:ascii="Cambria" w:eastAsia="Cambria" w:hAnsi="Cambria" w:cs="Cambria"/>
          <w:color w:val="000000" w:themeColor="text1"/>
          <w:sz w:val="16"/>
          <w:szCs w:val="16"/>
          <w:lang w:val="es-US"/>
        </w:rPr>
        <w:t xml:space="preserve">, </w:t>
      </w:r>
      <w:r w:rsidR="00001430" w:rsidRPr="00E7771A">
        <w:rPr>
          <w:rFonts w:ascii="Cambria" w:eastAsia="Cambria" w:hAnsi="Cambria" w:cs="Cambria"/>
          <w:color w:val="000000" w:themeColor="text1"/>
          <w:sz w:val="16"/>
          <w:szCs w:val="16"/>
          <w:lang w:val="es-US"/>
        </w:rPr>
        <w:t>[‘Time bomb linked to health of Venezuelan women’], October 6, 2021</w:t>
      </w:r>
      <w:r w:rsidRPr="00E7771A">
        <w:rPr>
          <w:rFonts w:ascii="Cambria" w:eastAsia="Cambria" w:hAnsi="Cambria" w:cs="Cambria"/>
          <w:color w:val="000000" w:themeColor="text1"/>
          <w:sz w:val="16"/>
          <w:szCs w:val="16"/>
          <w:lang w:val="es-US"/>
        </w:rPr>
        <w:t xml:space="preserve">; Crónica Uno, </w:t>
      </w:r>
      <w:hyperlink r:id="rId335">
        <w:r w:rsidRPr="00E7771A">
          <w:rPr>
            <w:rFonts w:ascii="Cambria" w:eastAsia="Cambria" w:hAnsi="Cambria" w:cs="Cambria"/>
            <w:color w:val="000000" w:themeColor="text1"/>
            <w:sz w:val="16"/>
            <w:szCs w:val="16"/>
            <w:u w:val="single"/>
            <w:lang w:val="es-US"/>
          </w:rPr>
          <w:t>Escaso acceso a métodos anticonceptivos en Venezuela vulnera los derechos sexuales</w:t>
        </w:r>
      </w:hyperlink>
      <w:r w:rsidRPr="00E7771A">
        <w:rPr>
          <w:rFonts w:ascii="Cambria" w:eastAsia="Cambria" w:hAnsi="Cambria" w:cs="Cambria"/>
          <w:color w:val="000000" w:themeColor="text1"/>
          <w:sz w:val="16"/>
          <w:szCs w:val="16"/>
          <w:lang w:val="es-US"/>
        </w:rPr>
        <w:t>,</w:t>
      </w:r>
      <w:r w:rsidR="00001430" w:rsidRPr="00E7771A">
        <w:rPr>
          <w:rFonts w:ascii="Cambria" w:eastAsia="Cambria" w:hAnsi="Cambria" w:cs="Cambria"/>
          <w:color w:val="000000" w:themeColor="text1"/>
          <w:sz w:val="16"/>
          <w:szCs w:val="16"/>
          <w:lang w:val="es-US"/>
        </w:rPr>
        <w:t xml:space="preserve"> [‘Little access to contraceptive methods in Venezuela violates sexual rights’], January 23, 2021.</w:t>
      </w:r>
    </w:p>
  </w:footnote>
  <w:footnote w:id="334">
    <w:p w14:paraId="38D980E2" w14:textId="06B3A8D5" w:rsidR="006962F6" w:rsidRPr="00E7771A" w:rsidRDefault="006962F6" w:rsidP="00F85814">
      <w:pPr>
        <w:spacing w:after="120"/>
        <w:ind w:firstLine="720"/>
        <w:contextualSpacing/>
        <w:jc w:val="both"/>
        <w:rPr>
          <w:rFonts w:ascii="Cambria" w:hAnsi="Cambria"/>
          <w:color w:val="000000" w:themeColor="text1"/>
          <w:sz w:val="16"/>
          <w:szCs w:val="16"/>
          <w:lang w:val="es-US"/>
        </w:rPr>
      </w:pPr>
      <w:r w:rsidRPr="009035C0">
        <w:rPr>
          <w:rFonts w:ascii="Cambria" w:hAnsi="Cambria"/>
          <w:color w:val="000000" w:themeColor="text1"/>
          <w:sz w:val="16"/>
          <w:szCs w:val="16"/>
          <w:vertAlign w:val="superscript"/>
        </w:rPr>
        <w:footnoteRef/>
      </w:r>
      <w:r w:rsidRPr="00E7771A">
        <w:rPr>
          <w:rFonts w:ascii="Cambria" w:hAnsi="Cambria"/>
          <w:color w:val="000000" w:themeColor="text1"/>
          <w:sz w:val="16"/>
          <w:szCs w:val="16"/>
          <w:lang w:val="es-US"/>
        </w:rPr>
        <w:t xml:space="preserve"> </w:t>
      </w:r>
      <w:r w:rsidR="002250DD" w:rsidRPr="00E7771A">
        <w:rPr>
          <w:rFonts w:ascii="Cambria" w:hAnsi="Cambria"/>
          <w:color w:val="000000" w:themeColor="text1"/>
          <w:sz w:val="16"/>
          <w:szCs w:val="16"/>
          <w:lang w:val="es-US"/>
        </w:rPr>
        <w:t>IACHR. Press Release</w:t>
      </w:r>
      <w:r w:rsidRPr="00E7771A">
        <w:rPr>
          <w:rFonts w:ascii="Cambria" w:eastAsia="Cambria" w:hAnsi="Cambria" w:cs="Cambria"/>
          <w:color w:val="000000" w:themeColor="text1"/>
          <w:sz w:val="16"/>
          <w:szCs w:val="16"/>
          <w:lang w:val="es-US"/>
        </w:rPr>
        <w:t xml:space="preserve">. </w:t>
      </w:r>
      <w:hyperlink r:id="rId336">
        <w:r w:rsidRPr="00E7771A">
          <w:rPr>
            <w:rFonts w:ascii="Cambria" w:eastAsia="Cambria" w:hAnsi="Cambria" w:cs="Cambria"/>
            <w:color w:val="000000" w:themeColor="text1"/>
            <w:sz w:val="16"/>
            <w:szCs w:val="16"/>
            <w:u w:val="single"/>
            <w:lang w:val="es-US"/>
          </w:rPr>
          <w:t>Comunicado de Prensa 085/21</w:t>
        </w:r>
      </w:hyperlink>
      <w:r w:rsidRPr="00E7771A">
        <w:rPr>
          <w:rFonts w:ascii="Cambria" w:hAnsi="Cambria"/>
          <w:color w:val="000000" w:themeColor="text1"/>
          <w:sz w:val="16"/>
          <w:szCs w:val="16"/>
          <w:lang w:val="es-US"/>
        </w:rPr>
        <w:t xml:space="preserve"> </w:t>
      </w:r>
      <w:hyperlink r:id="rId337">
        <w:r w:rsidRPr="00E7771A">
          <w:rPr>
            <w:rFonts w:ascii="Cambria" w:eastAsia="Cambria" w:hAnsi="Cambria" w:cs="Cambria"/>
            <w:color w:val="000000" w:themeColor="text1"/>
            <w:sz w:val="16"/>
            <w:szCs w:val="16"/>
            <w:u w:val="single"/>
            <w:lang w:val="es-US"/>
          </w:rPr>
          <w:t>La CIDH expresa preocupación por la falta de acceso a servicios de salud sexual y reproductiva en Venezuela</w:t>
        </w:r>
      </w:hyperlink>
      <w:r w:rsidRPr="00E7771A">
        <w:rPr>
          <w:rFonts w:ascii="Cambria" w:eastAsia="Cambria" w:hAnsi="Cambria" w:cs="Cambria"/>
          <w:color w:val="000000" w:themeColor="text1"/>
          <w:sz w:val="16"/>
          <w:szCs w:val="16"/>
          <w:lang w:val="es-US"/>
        </w:rPr>
        <w:t xml:space="preserve">, </w:t>
      </w:r>
      <w:r w:rsidR="003C2D2A" w:rsidRPr="00E7771A">
        <w:rPr>
          <w:rFonts w:ascii="Cambria" w:hAnsi="Cambria"/>
          <w:color w:val="000000" w:themeColor="text1"/>
          <w:sz w:val="16"/>
          <w:szCs w:val="16"/>
          <w:lang w:val="es-US"/>
        </w:rPr>
        <w:t>[IACHR Expresses Concern over Lack of Access to Sexual and Reproductive Health Services in Venezuela], April 06, 2021</w:t>
      </w:r>
      <w:r w:rsidRPr="00E7771A">
        <w:rPr>
          <w:rFonts w:ascii="Cambria" w:eastAsia="Cambria" w:hAnsi="Cambria" w:cs="Cambria"/>
          <w:color w:val="000000" w:themeColor="text1"/>
          <w:sz w:val="16"/>
          <w:szCs w:val="16"/>
          <w:lang w:val="es-US"/>
        </w:rPr>
        <w:t xml:space="preserve">; Open Democracy, </w:t>
      </w:r>
      <w:hyperlink r:id="rId338">
        <w:r w:rsidRPr="00E7771A">
          <w:rPr>
            <w:rFonts w:ascii="Cambria" w:eastAsia="Cambria" w:hAnsi="Cambria" w:cs="Cambria"/>
            <w:color w:val="000000" w:themeColor="text1"/>
            <w:sz w:val="16"/>
            <w:szCs w:val="16"/>
            <w:u w:val="single"/>
            <w:lang w:val="es-US"/>
          </w:rPr>
          <w:t>Aborto en Venezuela: La lucha por la legalización del derecho a decidir</w:t>
        </w:r>
      </w:hyperlink>
      <w:r w:rsidRPr="00E7771A">
        <w:rPr>
          <w:rFonts w:ascii="Cambria" w:eastAsia="Cambria" w:hAnsi="Cambria" w:cs="Cambria"/>
          <w:color w:val="000000" w:themeColor="text1"/>
          <w:sz w:val="16"/>
          <w:szCs w:val="16"/>
          <w:lang w:val="es-US"/>
        </w:rPr>
        <w:t xml:space="preserve">, </w:t>
      </w:r>
      <w:r w:rsidR="006D09B2" w:rsidRPr="00E7771A">
        <w:rPr>
          <w:rFonts w:ascii="Cambria" w:eastAsia="Cambria" w:hAnsi="Cambria" w:cs="Cambria"/>
          <w:color w:val="000000" w:themeColor="text1"/>
          <w:sz w:val="16"/>
          <w:szCs w:val="16"/>
          <w:lang w:val="es-US"/>
        </w:rPr>
        <w:t xml:space="preserve">[Abortion in Venezuela: the struggle for legalization of the right to decide’], April </w:t>
      </w:r>
      <w:r w:rsidRPr="00E7771A">
        <w:rPr>
          <w:rFonts w:ascii="Cambria" w:eastAsia="Cambria" w:hAnsi="Cambria" w:cs="Cambria"/>
          <w:color w:val="000000" w:themeColor="text1"/>
          <w:sz w:val="16"/>
          <w:szCs w:val="16"/>
          <w:lang w:val="es-US"/>
        </w:rPr>
        <w:t>14</w:t>
      </w:r>
      <w:r w:rsidR="006D09B2" w:rsidRPr="00E7771A">
        <w:rPr>
          <w:rFonts w:ascii="Cambria" w:eastAsia="Cambria" w:hAnsi="Cambria" w:cs="Cambria"/>
          <w:color w:val="000000" w:themeColor="text1"/>
          <w:sz w:val="16"/>
          <w:szCs w:val="16"/>
          <w:lang w:val="es-US"/>
        </w:rPr>
        <w:t>,</w:t>
      </w:r>
      <w:r w:rsidRPr="00E7771A">
        <w:rPr>
          <w:rFonts w:ascii="Cambria" w:eastAsia="Cambria" w:hAnsi="Cambria" w:cs="Cambria"/>
          <w:color w:val="000000" w:themeColor="text1"/>
          <w:sz w:val="16"/>
          <w:szCs w:val="16"/>
          <w:lang w:val="es-US"/>
        </w:rPr>
        <w:t xml:space="preserve"> 2021</w:t>
      </w:r>
    </w:p>
  </w:footnote>
  <w:footnote w:id="335">
    <w:p w14:paraId="0B3220A4" w14:textId="67D04820" w:rsidR="006962F6" w:rsidRPr="00E7771A" w:rsidRDefault="006962F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6D09B2" w:rsidRPr="00E7771A">
        <w:rPr>
          <w:rFonts w:ascii="Cambria" w:hAnsi="Cambria"/>
          <w:color w:val="000000" w:themeColor="text1"/>
          <w:sz w:val="16"/>
          <w:szCs w:val="16"/>
          <w:lang w:val="es-US"/>
        </w:rPr>
        <w:t xml:space="preserve">IACHR. </w:t>
      </w:r>
      <w:hyperlink r:id="rId339">
        <w:r w:rsidRPr="00E7771A">
          <w:rPr>
            <w:rFonts w:ascii="Cambria" w:eastAsia="Cambria" w:hAnsi="Cambria" w:cs="Cambria"/>
            <w:color w:val="000000" w:themeColor="text1"/>
            <w:sz w:val="16"/>
            <w:szCs w:val="16"/>
            <w:u w:val="single"/>
            <w:lang w:val="es-US"/>
          </w:rPr>
          <w:t>Resolución 13/2019 Medida cautelar No. 150-19</w:t>
        </w:r>
      </w:hyperlink>
      <w:r w:rsidRPr="00E7771A">
        <w:rPr>
          <w:rFonts w:ascii="Cambria" w:eastAsia="Cambria" w:hAnsi="Cambria" w:cs="Cambria"/>
          <w:color w:val="000000" w:themeColor="text1"/>
          <w:sz w:val="16"/>
          <w:szCs w:val="16"/>
          <w:lang w:val="es-US"/>
        </w:rPr>
        <w:t xml:space="preserve">, </w:t>
      </w:r>
      <w:r w:rsidR="006D09B2" w:rsidRPr="00E7771A">
        <w:rPr>
          <w:rFonts w:ascii="Cambria" w:eastAsia="Cambria" w:hAnsi="Cambria" w:cs="Cambria"/>
          <w:color w:val="000000" w:themeColor="text1"/>
          <w:sz w:val="16"/>
          <w:szCs w:val="16"/>
          <w:lang w:val="es-US"/>
        </w:rPr>
        <w:t xml:space="preserve">Resolution 13/2019 Precautionary Measure No. 150-19. March </w:t>
      </w:r>
      <w:r w:rsidRPr="00E7771A">
        <w:rPr>
          <w:rFonts w:ascii="Cambria" w:eastAsia="Cambria" w:hAnsi="Cambria" w:cs="Cambria"/>
          <w:color w:val="000000" w:themeColor="text1"/>
          <w:sz w:val="16"/>
          <w:szCs w:val="16"/>
          <w:lang w:val="es-US"/>
        </w:rPr>
        <w:t>18</w:t>
      </w:r>
      <w:r w:rsidR="006D09B2" w:rsidRPr="00E7771A">
        <w:rPr>
          <w:rFonts w:ascii="Cambria" w:eastAsia="Cambria" w:hAnsi="Cambria" w:cs="Cambria"/>
          <w:color w:val="000000" w:themeColor="text1"/>
          <w:sz w:val="16"/>
          <w:szCs w:val="16"/>
          <w:lang w:val="es-US"/>
        </w:rPr>
        <w:t>,</w:t>
      </w:r>
      <w:r w:rsidRPr="00E7771A">
        <w:rPr>
          <w:rFonts w:ascii="Cambria" w:eastAsia="Cambria" w:hAnsi="Cambria" w:cs="Cambria"/>
          <w:color w:val="000000" w:themeColor="text1"/>
          <w:sz w:val="16"/>
          <w:szCs w:val="16"/>
          <w:lang w:val="es-US"/>
        </w:rPr>
        <w:t xml:space="preserve"> 2019</w:t>
      </w:r>
    </w:p>
  </w:footnote>
  <w:footnote w:id="336">
    <w:p w14:paraId="1D1AF272" w14:textId="1BF4356C" w:rsidR="006962F6" w:rsidRPr="00E7771A" w:rsidRDefault="006962F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9E6DBC" w:rsidRPr="00E7771A">
        <w:rPr>
          <w:rFonts w:ascii="Cambria" w:hAnsi="Cambria"/>
          <w:color w:val="000000" w:themeColor="text1"/>
          <w:sz w:val="16"/>
          <w:szCs w:val="16"/>
          <w:lang w:val="es-US"/>
        </w:rPr>
        <w:t xml:space="preserve">IACHR. Press Release </w:t>
      </w:r>
      <w:r w:rsidRPr="00E7771A">
        <w:rPr>
          <w:rFonts w:ascii="Cambria" w:hAnsi="Cambria"/>
          <w:color w:val="000000" w:themeColor="text1"/>
          <w:sz w:val="16"/>
          <w:szCs w:val="16"/>
          <w:lang w:val="es-US"/>
        </w:rPr>
        <w:t>085/2021</w:t>
      </w:r>
      <w:hyperlink r:id="rId340" w:history="1">
        <w:r w:rsidRPr="00E7771A">
          <w:rPr>
            <w:rStyle w:val="Hyperlink"/>
            <w:rFonts w:ascii="Cambria" w:hAnsi="Cambria"/>
            <w:color w:val="000000" w:themeColor="text1"/>
            <w:sz w:val="16"/>
            <w:szCs w:val="16"/>
            <w:lang w:val="es-US"/>
          </w:rPr>
          <w:t>, La CIDH expresa preocupación por la falta de acceso a servicios de salud sexual y reproductiva en Venezuela,</w:t>
        </w:r>
      </w:hyperlink>
      <w:r w:rsidRPr="00E7771A">
        <w:rPr>
          <w:rFonts w:ascii="Cambria" w:hAnsi="Cambria"/>
          <w:color w:val="000000" w:themeColor="text1"/>
          <w:sz w:val="16"/>
          <w:szCs w:val="16"/>
          <w:lang w:val="es-US"/>
        </w:rPr>
        <w:t xml:space="preserve"> </w:t>
      </w:r>
      <w:r w:rsidR="002102AC" w:rsidRPr="00E7771A">
        <w:rPr>
          <w:rFonts w:ascii="Cambria" w:hAnsi="Cambria"/>
          <w:color w:val="000000" w:themeColor="text1"/>
          <w:sz w:val="16"/>
          <w:szCs w:val="16"/>
          <w:lang w:val="es-US"/>
        </w:rPr>
        <w:t>[IACHR Expresses Concern over Lack of Access to Sexual and Reproductive Health Services in Venezuela], April 06, 2021</w:t>
      </w:r>
    </w:p>
  </w:footnote>
  <w:footnote w:id="337">
    <w:p w14:paraId="2DD3C21A" w14:textId="06EFFD9C" w:rsidR="006962F6" w:rsidRPr="00E7771A" w:rsidRDefault="006962F6"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009642EB" w:rsidRPr="00E7771A">
        <w:rPr>
          <w:rFonts w:ascii="Cambria" w:hAnsi="Cambria"/>
          <w:color w:val="000000" w:themeColor="text1"/>
          <w:sz w:val="16"/>
          <w:szCs w:val="16"/>
          <w:lang w:val="es-US"/>
        </w:rPr>
        <w:t>IACHR. Press Release</w:t>
      </w:r>
      <w:r w:rsidRPr="00E7771A">
        <w:rPr>
          <w:rFonts w:ascii="Cambria" w:eastAsia="Cambria" w:hAnsi="Cambria" w:cs="Cambria"/>
          <w:color w:val="000000" w:themeColor="text1"/>
          <w:sz w:val="16"/>
          <w:szCs w:val="16"/>
          <w:lang w:val="es-US"/>
        </w:rPr>
        <w:t xml:space="preserve"> </w:t>
      </w:r>
      <w:hyperlink r:id="rId341" w:history="1">
        <w:r w:rsidRPr="00E7771A">
          <w:rPr>
            <w:rStyle w:val="Hyperlink"/>
            <w:rFonts w:ascii="Cambria" w:eastAsia="Cambria" w:hAnsi="Cambria" w:cs="Cambria"/>
            <w:color w:val="000000" w:themeColor="text1"/>
            <w:sz w:val="16"/>
            <w:szCs w:val="16"/>
            <w:lang w:val="es-US"/>
          </w:rPr>
          <w:t>Comunicado de Prensa 208/21 La CIDH expresa su preocupación por la adopción de medidas regresivas en materia de derechos sexuales y reproductivos en la región</w:t>
        </w:r>
      </w:hyperlink>
      <w:r w:rsidRPr="00E7771A">
        <w:rPr>
          <w:rFonts w:ascii="Cambria" w:eastAsia="Cambria" w:hAnsi="Cambria" w:cs="Cambria"/>
          <w:color w:val="000000" w:themeColor="text1"/>
          <w:sz w:val="16"/>
          <w:szCs w:val="16"/>
          <w:lang w:val="es-US"/>
        </w:rPr>
        <w:t xml:space="preserve">, </w:t>
      </w:r>
      <w:r w:rsidR="00301B2A" w:rsidRPr="00E7771A">
        <w:rPr>
          <w:rFonts w:ascii="Cambria" w:eastAsia="Cambria" w:hAnsi="Cambria" w:cs="Cambria"/>
          <w:color w:val="000000" w:themeColor="text1"/>
          <w:sz w:val="16"/>
          <w:szCs w:val="16"/>
          <w:lang w:val="es-US"/>
        </w:rPr>
        <w:t>[IACHR Expresses Con</w:t>
      </w:r>
      <w:r w:rsidR="00AD2CB7" w:rsidRPr="00E7771A">
        <w:rPr>
          <w:rFonts w:ascii="Cambria" w:eastAsia="Cambria" w:hAnsi="Cambria" w:cs="Cambria"/>
          <w:color w:val="000000" w:themeColor="text1"/>
          <w:sz w:val="16"/>
          <w:szCs w:val="16"/>
          <w:lang w:val="es-US"/>
        </w:rPr>
        <w:t>c</w:t>
      </w:r>
      <w:r w:rsidR="00301B2A" w:rsidRPr="00E7771A">
        <w:rPr>
          <w:rFonts w:ascii="Cambria" w:eastAsia="Cambria" w:hAnsi="Cambria" w:cs="Cambria"/>
          <w:color w:val="000000" w:themeColor="text1"/>
          <w:sz w:val="16"/>
          <w:szCs w:val="16"/>
          <w:lang w:val="es-US"/>
        </w:rPr>
        <w:t xml:space="preserve">ern Over the Adoption of Regressive Measures Concerning Sexual and Reproductive Rights in the Americas’], </w:t>
      </w:r>
      <w:r w:rsidR="00675CC9" w:rsidRPr="00E7771A">
        <w:rPr>
          <w:rFonts w:ascii="Cambria" w:eastAsia="Cambria" w:hAnsi="Cambria" w:cs="Cambria"/>
          <w:color w:val="000000" w:themeColor="text1"/>
          <w:sz w:val="16"/>
          <w:szCs w:val="16"/>
          <w:lang w:val="es-US"/>
        </w:rPr>
        <w:t xml:space="preserve">August </w:t>
      </w:r>
      <w:r w:rsidRPr="00E7771A">
        <w:rPr>
          <w:rFonts w:ascii="Cambria" w:eastAsia="Cambria" w:hAnsi="Cambria" w:cs="Cambria"/>
          <w:color w:val="000000" w:themeColor="text1"/>
          <w:sz w:val="16"/>
          <w:szCs w:val="16"/>
          <w:lang w:val="es-US"/>
        </w:rPr>
        <w:t>11</w:t>
      </w:r>
      <w:r w:rsidR="00675CC9" w:rsidRPr="00E7771A">
        <w:rPr>
          <w:rFonts w:ascii="Cambria" w:eastAsia="Cambria" w:hAnsi="Cambria" w:cs="Cambria"/>
          <w:color w:val="000000" w:themeColor="text1"/>
          <w:sz w:val="16"/>
          <w:szCs w:val="16"/>
          <w:lang w:val="es-US"/>
        </w:rPr>
        <w:t>,</w:t>
      </w:r>
      <w:r w:rsidRPr="00E7771A">
        <w:rPr>
          <w:rFonts w:ascii="Cambria" w:eastAsia="Cambria" w:hAnsi="Cambria" w:cs="Cambria"/>
          <w:color w:val="000000" w:themeColor="text1"/>
          <w:sz w:val="16"/>
          <w:szCs w:val="16"/>
          <w:lang w:val="es-US"/>
        </w:rPr>
        <w:t xml:space="preserve"> 2021</w:t>
      </w:r>
    </w:p>
  </w:footnote>
  <w:footnote w:id="338">
    <w:p w14:paraId="22332F45" w14:textId="3768AD41" w:rsidR="00CD6E7D" w:rsidRPr="009035C0" w:rsidRDefault="00CD6E7D"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AB179A">
        <w:rPr>
          <w:rFonts w:ascii="Cambria" w:hAnsi="Cambria"/>
          <w:color w:val="000000" w:themeColor="text1"/>
          <w:sz w:val="16"/>
          <w:szCs w:val="16"/>
        </w:rPr>
        <w:t>Center for Defenders and Justice.</w:t>
      </w:r>
      <w:r w:rsidRPr="009035C0">
        <w:rPr>
          <w:rFonts w:ascii="Cambria" w:hAnsi="Cambria"/>
          <w:color w:val="000000" w:themeColor="text1"/>
          <w:sz w:val="16"/>
          <w:szCs w:val="16"/>
        </w:rPr>
        <w:t xml:space="preserve">, </w:t>
      </w:r>
      <w:r w:rsidR="00AB179A">
        <w:rPr>
          <w:rFonts w:ascii="Cambria" w:hAnsi="Cambria"/>
          <w:color w:val="000000" w:themeColor="text1"/>
          <w:sz w:val="16"/>
          <w:szCs w:val="16"/>
        </w:rPr>
        <w:t xml:space="preserve">Record of the situation of criminalization of human rights defenders and organizations in Venezuela, October 8, </w:t>
      </w:r>
      <w:r w:rsidRPr="009035C0">
        <w:rPr>
          <w:rFonts w:ascii="Cambria" w:hAnsi="Cambria"/>
          <w:color w:val="000000" w:themeColor="text1"/>
          <w:sz w:val="16"/>
          <w:szCs w:val="16"/>
        </w:rPr>
        <w:t>2021.</w:t>
      </w:r>
    </w:p>
  </w:footnote>
  <w:footnote w:id="339">
    <w:p w14:paraId="20A926FC" w14:textId="22ECEBDB" w:rsidR="00CD6E7D" w:rsidRPr="009035C0" w:rsidRDefault="00CD6E7D"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F51716">
        <w:rPr>
          <w:rFonts w:ascii="Cambria" w:hAnsi="Cambria"/>
          <w:color w:val="000000" w:themeColor="text1"/>
          <w:sz w:val="16"/>
          <w:szCs w:val="16"/>
        </w:rPr>
        <w:t xml:space="preserve">IACHR. </w:t>
      </w:r>
      <w:r w:rsidR="00BC2C8A">
        <w:rPr>
          <w:rFonts w:ascii="Cambria" w:hAnsi="Cambria"/>
          <w:color w:val="000000" w:themeColor="text1"/>
          <w:sz w:val="16"/>
          <w:szCs w:val="16"/>
        </w:rPr>
        <w:t>Press Releas</w:t>
      </w:r>
      <w:r w:rsidR="0039559F">
        <w:rPr>
          <w:rFonts w:ascii="Cambria" w:hAnsi="Cambria"/>
          <w:color w:val="000000" w:themeColor="text1"/>
          <w:sz w:val="16"/>
          <w:szCs w:val="16"/>
        </w:rPr>
        <w:t>e</w:t>
      </w:r>
      <w:r w:rsidR="00BC2C8A">
        <w:rPr>
          <w:rFonts w:ascii="Cambria" w:hAnsi="Cambria"/>
          <w:color w:val="000000" w:themeColor="text1"/>
          <w:sz w:val="16"/>
          <w:szCs w:val="16"/>
        </w:rPr>
        <w:t xml:space="preserve">. </w:t>
      </w:r>
      <w:hyperlink r:id="rId342" w:history="1">
        <w:r w:rsidRPr="009035C0">
          <w:rPr>
            <w:rStyle w:val="Hyperlink"/>
            <w:rFonts w:ascii="Cambria" w:hAnsi="Cambria"/>
            <w:color w:val="000000" w:themeColor="text1"/>
            <w:sz w:val="16"/>
            <w:szCs w:val="16"/>
            <w:shd w:val="clear" w:color="auto" w:fill="FFFFFF"/>
          </w:rPr>
          <w:t>Comunicado de Prensa 025/21</w:t>
        </w:r>
      </w:hyperlink>
      <w:r w:rsidRPr="009035C0">
        <w:rPr>
          <w:rFonts w:ascii="Cambria" w:hAnsi="Cambria"/>
          <w:color w:val="000000" w:themeColor="text1"/>
          <w:sz w:val="16"/>
          <w:szCs w:val="16"/>
          <w:shd w:val="clear" w:color="auto" w:fill="FFFFFF"/>
        </w:rPr>
        <w:t xml:space="preserve">, </w:t>
      </w:r>
      <w:r w:rsidR="00BC2C8A">
        <w:rPr>
          <w:rFonts w:ascii="Cambria" w:hAnsi="Cambria"/>
          <w:color w:val="000000" w:themeColor="text1"/>
          <w:sz w:val="16"/>
          <w:szCs w:val="16"/>
          <w:shd w:val="clear" w:color="auto" w:fill="FFFFFF"/>
        </w:rPr>
        <w:t>IACHR and OSRFE Condemn Attacks Against Human Rights Defenders and Journalists and Warn of the Closure of Democratic Spaces in Venezuela</w:t>
      </w:r>
      <w:r w:rsidRPr="009035C0">
        <w:rPr>
          <w:rFonts w:ascii="Cambria" w:hAnsi="Cambria"/>
          <w:color w:val="000000" w:themeColor="text1"/>
          <w:sz w:val="16"/>
          <w:szCs w:val="16"/>
          <w:shd w:val="clear" w:color="auto" w:fill="FFFFFF"/>
        </w:rPr>
        <w:t xml:space="preserve">, </w:t>
      </w:r>
      <w:r w:rsidR="00BC2C8A">
        <w:rPr>
          <w:rFonts w:ascii="Cambria" w:hAnsi="Cambria"/>
          <w:color w:val="000000" w:themeColor="text1"/>
          <w:sz w:val="16"/>
          <w:szCs w:val="16"/>
          <w:shd w:val="clear" w:color="auto" w:fill="FFFFFF"/>
        </w:rPr>
        <w:t xml:space="preserve">February </w:t>
      </w:r>
      <w:r w:rsidRPr="009035C0">
        <w:rPr>
          <w:rFonts w:ascii="Cambria" w:hAnsi="Cambria"/>
          <w:color w:val="000000" w:themeColor="text1"/>
          <w:sz w:val="16"/>
          <w:szCs w:val="16"/>
          <w:shd w:val="clear" w:color="auto" w:fill="FFFFFF"/>
        </w:rPr>
        <w:t>5</w:t>
      </w:r>
      <w:r w:rsidR="00BC2C8A">
        <w:rPr>
          <w:rFonts w:ascii="Cambria" w:hAnsi="Cambria"/>
          <w:color w:val="000000" w:themeColor="text1"/>
          <w:sz w:val="16"/>
          <w:szCs w:val="16"/>
          <w:shd w:val="clear" w:color="auto" w:fill="FFFFFF"/>
        </w:rPr>
        <w:t>,</w:t>
      </w:r>
      <w:r w:rsidRPr="009035C0">
        <w:rPr>
          <w:rFonts w:ascii="Cambria" w:hAnsi="Cambria"/>
          <w:color w:val="000000" w:themeColor="text1"/>
          <w:sz w:val="16"/>
          <w:szCs w:val="16"/>
          <w:shd w:val="clear" w:color="auto" w:fill="FFFFFF"/>
        </w:rPr>
        <w:t xml:space="preserve"> 2021.</w:t>
      </w:r>
    </w:p>
  </w:footnote>
  <w:footnote w:id="340">
    <w:p w14:paraId="14495EE0" w14:textId="4D57EFB7" w:rsidR="00CD6E7D" w:rsidRPr="009035C0" w:rsidRDefault="00CD6E7D"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FD3BAE" w:rsidRPr="009035C0">
        <w:rPr>
          <w:rFonts w:ascii="Cambria" w:hAnsi="Cambria"/>
          <w:color w:val="000000" w:themeColor="text1"/>
          <w:sz w:val="16"/>
          <w:szCs w:val="16"/>
        </w:rPr>
        <w:t>FundaRedes</w:t>
      </w:r>
      <w:r w:rsidRPr="009035C0">
        <w:rPr>
          <w:rFonts w:ascii="Cambria" w:hAnsi="Cambria"/>
          <w:color w:val="000000" w:themeColor="text1"/>
          <w:sz w:val="16"/>
          <w:szCs w:val="16"/>
        </w:rPr>
        <w:t xml:space="preserve">, </w:t>
      </w:r>
      <w:r w:rsidR="00BC2C8A">
        <w:rPr>
          <w:rFonts w:ascii="Cambria" w:hAnsi="Cambria"/>
          <w:color w:val="000000" w:themeColor="text1"/>
          <w:sz w:val="16"/>
          <w:szCs w:val="16"/>
        </w:rPr>
        <w:t>Communication submitted to the IACHR</w:t>
      </w:r>
      <w:r w:rsidRPr="009035C0">
        <w:rPr>
          <w:rFonts w:ascii="Cambria" w:hAnsi="Cambria"/>
          <w:color w:val="000000" w:themeColor="text1"/>
          <w:sz w:val="16"/>
          <w:szCs w:val="16"/>
        </w:rPr>
        <w:t>,</w:t>
      </w:r>
      <w:r w:rsidR="00BC2C8A">
        <w:rPr>
          <w:rFonts w:ascii="Cambria" w:hAnsi="Cambria"/>
          <w:color w:val="000000" w:themeColor="text1"/>
          <w:sz w:val="16"/>
          <w:szCs w:val="16"/>
        </w:rPr>
        <w:t xml:space="preserve"> July</w:t>
      </w:r>
      <w:r w:rsidRPr="009035C0">
        <w:rPr>
          <w:rFonts w:ascii="Cambria" w:hAnsi="Cambria"/>
          <w:color w:val="000000" w:themeColor="text1"/>
          <w:sz w:val="16"/>
          <w:szCs w:val="16"/>
        </w:rPr>
        <w:t xml:space="preserve"> 11</w:t>
      </w:r>
      <w:r w:rsidR="00BC2C8A">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341">
    <w:p w14:paraId="5DC97C3C" w14:textId="0F317869" w:rsidR="00CD6E7D" w:rsidRPr="009035C0" w:rsidRDefault="00CD6E7D"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FD3BAE" w:rsidRPr="009035C0">
        <w:rPr>
          <w:rFonts w:ascii="Cambria" w:hAnsi="Cambria"/>
          <w:color w:val="000000" w:themeColor="text1"/>
          <w:sz w:val="16"/>
          <w:szCs w:val="16"/>
        </w:rPr>
        <w:t>FundaRedes</w:t>
      </w:r>
      <w:r w:rsidRPr="009035C0">
        <w:rPr>
          <w:rFonts w:ascii="Cambria" w:hAnsi="Cambria"/>
          <w:color w:val="000000" w:themeColor="text1"/>
          <w:sz w:val="16"/>
          <w:szCs w:val="16"/>
        </w:rPr>
        <w:t xml:space="preserve">, </w:t>
      </w:r>
      <w:r w:rsidR="00146DBC">
        <w:rPr>
          <w:rFonts w:ascii="Cambria" w:hAnsi="Cambria"/>
          <w:color w:val="000000" w:themeColor="text1"/>
          <w:sz w:val="16"/>
          <w:szCs w:val="16"/>
        </w:rPr>
        <w:t xml:space="preserve">Communication submitted to the IACHR, July </w:t>
      </w:r>
      <w:r w:rsidRPr="009035C0">
        <w:rPr>
          <w:rFonts w:ascii="Cambria" w:hAnsi="Cambria"/>
          <w:color w:val="000000" w:themeColor="text1"/>
          <w:sz w:val="16"/>
          <w:szCs w:val="16"/>
        </w:rPr>
        <w:t>11</w:t>
      </w:r>
      <w:r w:rsidR="00146DBC">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342">
    <w:p w14:paraId="15AFE0DE" w14:textId="624B23EB" w:rsidR="00CD6E7D" w:rsidRPr="009035C0" w:rsidRDefault="00CD6E7D"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FD3BAE" w:rsidRPr="009035C0">
        <w:rPr>
          <w:rFonts w:ascii="Cambria" w:hAnsi="Cambria"/>
          <w:color w:val="000000" w:themeColor="text1"/>
          <w:sz w:val="16"/>
          <w:szCs w:val="16"/>
        </w:rPr>
        <w:t>FundaRedes</w:t>
      </w:r>
      <w:r w:rsidRPr="009035C0">
        <w:rPr>
          <w:rFonts w:ascii="Cambria" w:hAnsi="Cambria"/>
          <w:color w:val="000000" w:themeColor="text1"/>
          <w:sz w:val="16"/>
          <w:szCs w:val="16"/>
        </w:rPr>
        <w:t xml:space="preserve">, </w:t>
      </w:r>
      <w:r w:rsidR="00146DBC">
        <w:rPr>
          <w:rFonts w:ascii="Cambria" w:hAnsi="Cambria"/>
          <w:color w:val="000000" w:themeColor="text1"/>
          <w:sz w:val="16"/>
          <w:szCs w:val="16"/>
        </w:rPr>
        <w:t xml:space="preserve">Communication submitted to the IACHR, July </w:t>
      </w:r>
      <w:r w:rsidR="00146DBC" w:rsidRPr="009035C0">
        <w:rPr>
          <w:rFonts w:ascii="Cambria" w:hAnsi="Cambria"/>
          <w:color w:val="000000" w:themeColor="text1"/>
          <w:sz w:val="16"/>
          <w:szCs w:val="16"/>
        </w:rPr>
        <w:t>11</w:t>
      </w:r>
      <w:r w:rsidR="00146DBC">
        <w:rPr>
          <w:rFonts w:ascii="Cambria" w:hAnsi="Cambria"/>
          <w:color w:val="000000" w:themeColor="text1"/>
          <w:sz w:val="16"/>
          <w:szCs w:val="16"/>
        </w:rPr>
        <w:t>,</w:t>
      </w:r>
      <w:r w:rsidR="00146DBC" w:rsidRPr="009035C0">
        <w:rPr>
          <w:rFonts w:ascii="Cambria" w:hAnsi="Cambria"/>
          <w:color w:val="000000" w:themeColor="text1"/>
          <w:sz w:val="16"/>
          <w:szCs w:val="16"/>
        </w:rPr>
        <w:t xml:space="preserve"> 2021</w:t>
      </w:r>
      <w:r w:rsidRPr="009035C0">
        <w:rPr>
          <w:rFonts w:ascii="Cambria" w:hAnsi="Cambria"/>
          <w:color w:val="000000" w:themeColor="text1"/>
          <w:sz w:val="16"/>
          <w:szCs w:val="16"/>
        </w:rPr>
        <w:t>.</w:t>
      </w:r>
    </w:p>
  </w:footnote>
  <w:footnote w:id="343">
    <w:p w14:paraId="4D6D50E6" w14:textId="462181BB" w:rsidR="00CD6E7D" w:rsidRPr="009035C0" w:rsidRDefault="00CD6E7D"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146DBC">
        <w:rPr>
          <w:rFonts w:ascii="Cambria" w:hAnsi="Cambria"/>
          <w:color w:val="000000" w:themeColor="text1"/>
          <w:sz w:val="16"/>
          <w:szCs w:val="16"/>
        </w:rPr>
        <w:t xml:space="preserve">IACHR, Press Release. </w:t>
      </w:r>
      <w:hyperlink r:id="rId343" w:history="1">
        <w:r w:rsidRPr="009035C0">
          <w:rPr>
            <w:rStyle w:val="Hyperlink"/>
            <w:rFonts w:ascii="Cambria" w:hAnsi="Cambria"/>
            <w:color w:val="000000" w:themeColor="text1"/>
            <w:sz w:val="16"/>
            <w:szCs w:val="16"/>
            <w:shd w:val="clear" w:color="auto" w:fill="FFFFFF"/>
          </w:rPr>
          <w:t>Comunicado de Prensa 025/21</w:t>
        </w:r>
      </w:hyperlink>
      <w:r w:rsidRPr="009035C0">
        <w:rPr>
          <w:rFonts w:ascii="Cambria" w:hAnsi="Cambria"/>
          <w:color w:val="000000" w:themeColor="text1"/>
          <w:sz w:val="16"/>
          <w:szCs w:val="16"/>
          <w:shd w:val="clear" w:color="auto" w:fill="FFFFFF"/>
        </w:rPr>
        <w:t xml:space="preserve">, </w:t>
      </w:r>
      <w:r w:rsidR="00ED7505">
        <w:rPr>
          <w:rFonts w:ascii="Cambria" w:hAnsi="Cambria"/>
          <w:color w:val="000000" w:themeColor="text1"/>
          <w:sz w:val="16"/>
          <w:szCs w:val="16"/>
          <w:shd w:val="clear" w:color="auto" w:fill="FFFFFF"/>
        </w:rPr>
        <w:t>IACHR and OSRFE Condemn Attacks Against Human Rights Defenders and Journalists and Warn of the Closure of Democratic Spaces in Venezuela</w:t>
      </w:r>
      <w:r w:rsidR="00ED7505" w:rsidRPr="009035C0">
        <w:rPr>
          <w:rFonts w:ascii="Cambria" w:hAnsi="Cambria"/>
          <w:color w:val="000000" w:themeColor="text1"/>
          <w:sz w:val="16"/>
          <w:szCs w:val="16"/>
          <w:shd w:val="clear" w:color="auto" w:fill="FFFFFF"/>
        </w:rPr>
        <w:t xml:space="preserve">, </w:t>
      </w:r>
      <w:r w:rsidR="00ED7505">
        <w:rPr>
          <w:rFonts w:ascii="Cambria" w:hAnsi="Cambria"/>
          <w:color w:val="000000" w:themeColor="text1"/>
          <w:sz w:val="16"/>
          <w:szCs w:val="16"/>
          <w:shd w:val="clear" w:color="auto" w:fill="FFFFFF"/>
        </w:rPr>
        <w:t xml:space="preserve">February </w:t>
      </w:r>
      <w:r w:rsidR="00ED7505" w:rsidRPr="009035C0">
        <w:rPr>
          <w:rFonts w:ascii="Cambria" w:hAnsi="Cambria"/>
          <w:color w:val="000000" w:themeColor="text1"/>
          <w:sz w:val="16"/>
          <w:szCs w:val="16"/>
          <w:shd w:val="clear" w:color="auto" w:fill="FFFFFF"/>
        </w:rPr>
        <w:t>5</w:t>
      </w:r>
      <w:r w:rsidR="00ED7505">
        <w:rPr>
          <w:rFonts w:ascii="Cambria" w:hAnsi="Cambria"/>
          <w:color w:val="000000" w:themeColor="text1"/>
          <w:sz w:val="16"/>
          <w:szCs w:val="16"/>
          <w:shd w:val="clear" w:color="auto" w:fill="FFFFFF"/>
        </w:rPr>
        <w:t>,</w:t>
      </w:r>
      <w:r w:rsidR="00ED7505" w:rsidRPr="009035C0">
        <w:rPr>
          <w:rFonts w:ascii="Cambria" w:hAnsi="Cambria"/>
          <w:color w:val="000000" w:themeColor="text1"/>
          <w:sz w:val="16"/>
          <w:szCs w:val="16"/>
          <w:shd w:val="clear" w:color="auto" w:fill="FFFFFF"/>
        </w:rPr>
        <w:t xml:space="preserve"> 2021</w:t>
      </w:r>
      <w:r w:rsidRPr="009035C0">
        <w:rPr>
          <w:rFonts w:ascii="Cambria" w:hAnsi="Cambria"/>
          <w:color w:val="000000" w:themeColor="text1"/>
          <w:sz w:val="16"/>
          <w:szCs w:val="16"/>
          <w:shd w:val="clear" w:color="auto" w:fill="FFFFFF"/>
        </w:rPr>
        <w:t>.</w:t>
      </w:r>
    </w:p>
  </w:footnote>
  <w:footnote w:id="344">
    <w:p w14:paraId="72473763" w14:textId="42456175" w:rsidR="00B1050D" w:rsidRPr="009035C0" w:rsidRDefault="00B1050D"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D7505">
        <w:rPr>
          <w:rFonts w:ascii="Cambria" w:hAnsi="Cambria"/>
          <w:color w:val="000000" w:themeColor="text1"/>
          <w:sz w:val="16"/>
          <w:szCs w:val="16"/>
        </w:rPr>
        <w:t>IACHR, Press Release</w:t>
      </w:r>
      <w:r w:rsidRPr="009035C0">
        <w:rPr>
          <w:rFonts w:ascii="Cambria" w:hAnsi="Cambria"/>
          <w:color w:val="000000" w:themeColor="text1"/>
          <w:sz w:val="16"/>
          <w:szCs w:val="16"/>
          <w:shd w:val="clear" w:color="auto" w:fill="FFFFFF"/>
        </w:rPr>
        <w:t xml:space="preserve">, </w:t>
      </w:r>
      <w:hyperlink r:id="rId344" w:history="1">
        <w:r w:rsidRPr="009035C0">
          <w:rPr>
            <w:rStyle w:val="Hyperlink"/>
            <w:rFonts w:ascii="Cambria" w:hAnsi="Cambria"/>
            <w:color w:val="000000" w:themeColor="text1"/>
            <w:sz w:val="16"/>
            <w:szCs w:val="16"/>
            <w:shd w:val="clear" w:color="auto" w:fill="FFFFFF"/>
          </w:rPr>
          <w:t>Comunicado de Prensa 025/21</w:t>
        </w:r>
      </w:hyperlink>
      <w:r w:rsidRPr="009035C0">
        <w:rPr>
          <w:rFonts w:ascii="Cambria" w:hAnsi="Cambria"/>
          <w:color w:val="000000" w:themeColor="text1"/>
          <w:sz w:val="16"/>
          <w:szCs w:val="16"/>
          <w:shd w:val="clear" w:color="auto" w:fill="FFFFFF"/>
        </w:rPr>
        <w:t xml:space="preserve">, </w:t>
      </w:r>
      <w:r w:rsidR="00ED7505">
        <w:rPr>
          <w:rFonts w:ascii="Cambria" w:hAnsi="Cambria"/>
          <w:color w:val="000000" w:themeColor="text1"/>
          <w:sz w:val="16"/>
          <w:szCs w:val="16"/>
          <w:shd w:val="clear" w:color="auto" w:fill="FFFFFF"/>
        </w:rPr>
        <w:t>IACHR and OSRFE Condemn Attacks Against Human Rights Defenders and Journalists and Warn of the Closure of Democratic Spaces in Venezuela</w:t>
      </w:r>
      <w:r w:rsidR="00ED7505" w:rsidRPr="009035C0">
        <w:rPr>
          <w:rFonts w:ascii="Cambria" w:hAnsi="Cambria"/>
          <w:color w:val="000000" w:themeColor="text1"/>
          <w:sz w:val="16"/>
          <w:szCs w:val="16"/>
          <w:shd w:val="clear" w:color="auto" w:fill="FFFFFF"/>
        </w:rPr>
        <w:t xml:space="preserve">, </w:t>
      </w:r>
      <w:r w:rsidR="00ED7505">
        <w:rPr>
          <w:rFonts w:ascii="Cambria" w:hAnsi="Cambria"/>
          <w:color w:val="000000" w:themeColor="text1"/>
          <w:sz w:val="16"/>
          <w:szCs w:val="16"/>
          <w:shd w:val="clear" w:color="auto" w:fill="FFFFFF"/>
        </w:rPr>
        <w:t xml:space="preserve">February </w:t>
      </w:r>
      <w:r w:rsidR="00ED7505" w:rsidRPr="009035C0">
        <w:rPr>
          <w:rFonts w:ascii="Cambria" w:hAnsi="Cambria"/>
          <w:color w:val="000000" w:themeColor="text1"/>
          <w:sz w:val="16"/>
          <w:szCs w:val="16"/>
          <w:shd w:val="clear" w:color="auto" w:fill="FFFFFF"/>
        </w:rPr>
        <w:t>5</w:t>
      </w:r>
      <w:r w:rsidR="00ED7505">
        <w:rPr>
          <w:rFonts w:ascii="Cambria" w:hAnsi="Cambria"/>
          <w:color w:val="000000" w:themeColor="text1"/>
          <w:sz w:val="16"/>
          <w:szCs w:val="16"/>
          <w:shd w:val="clear" w:color="auto" w:fill="FFFFFF"/>
        </w:rPr>
        <w:t>,</w:t>
      </w:r>
      <w:r w:rsidR="00ED7505" w:rsidRPr="009035C0">
        <w:rPr>
          <w:rFonts w:ascii="Cambria" w:hAnsi="Cambria"/>
          <w:color w:val="000000" w:themeColor="text1"/>
          <w:sz w:val="16"/>
          <w:szCs w:val="16"/>
          <w:shd w:val="clear" w:color="auto" w:fill="FFFFFF"/>
        </w:rPr>
        <w:t xml:space="preserve"> 2021</w:t>
      </w:r>
      <w:r w:rsidRPr="009035C0">
        <w:rPr>
          <w:rFonts w:ascii="Cambria" w:hAnsi="Cambria"/>
          <w:color w:val="000000" w:themeColor="text1"/>
          <w:sz w:val="16"/>
          <w:szCs w:val="16"/>
          <w:shd w:val="clear" w:color="auto" w:fill="FFFFFF"/>
        </w:rPr>
        <w:t>.</w:t>
      </w:r>
    </w:p>
  </w:footnote>
  <w:footnote w:id="345">
    <w:p w14:paraId="32249B1F" w14:textId="310057C6" w:rsidR="00CD6E7D" w:rsidRPr="009035C0" w:rsidRDefault="00CD6E7D"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D7505">
        <w:rPr>
          <w:rFonts w:ascii="Cambria" w:hAnsi="Cambria"/>
          <w:color w:val="000000" w:themeColor="text1"/>
          <w:sz w:val="16"/>
          <w:szCs w:val="16"/>
        </w:rPr>
        <w:t>IACHR, Press Release</w:t>
      </w:r>
      <w:r w:rsidRPr="009035C0">
        <w:rPr>
          <w:rFonts w:ascii="Cambria" w:hAnsi="Cambria"/>
          <w:color w:val="000000" w:themeColor="text1"/>
          <w:sz w:val="16"/>
          <w:szCs w:val="16"/>
          <w:shd w:val="clear" w:color="auto" w:fill="FFFFFF"/>
        </w:rPr>
        <w:t xml:space="preserve">, </w:t>
      </w:r>
      <w:hyperlink r:id="rId345" w:history="1">
        <w:r w:rsidRPr="009035C0">
          <w:rPr>
            <w:rStyle w:val="Hyperlink"/>
            <w:rFonts w:ascii="Cambria" w:hAnsi="Cambria"/>
            <w:color w:val="000000" w:themeColor="text1"/>
            <w:sz w:val="16"/>
            <w:szCs w:val="16"/>
            <w:shd w:val="clear" w:color="auto" w:fill="FFFFFF"/>
          </w:rPr>
          <w:t>Comunicado de Prensa 025/21</w:t>
        </w:r>
      </w:hyperlink>
      <w:r w:rsidRPr="009035C0">
        <w:rPr>
          <w:rFonts w:ascii="Cambria" w:hAnsi="Cambria"/>
          <w:color w:val="000000" w:themeColor="text1"/>
          <w:sz w:val="16"/>
          <w:szCs w:val="16"/>
          <w:shd w:val="clear" w:color="auto" w:fill="FFFFFF"/>
        </w:rPr>
        <w:t xml:space="preserve">, </w:t>
      </w:r>
      <w:r w:rsidR="00ED7505">
        <w:rPr>
          <w:rFonts w:ascii="Cambria" w:hAnsi="Cambria"/>
          <w:color w:val="000000" w:themeColor="text1"/>
          <w:sz w:val="16"/>
          <w:szCs w:val="16"/>
          <w:shd w:val="clear" w:color="auto" w:fill="FFFFFF"/>
        </w:rPr>
        <w:t>IACHR and OSRFE Condemn Attacks Against Human Rights Defenders and Journalists and Warn of the Closure of Democratic Spaces in Venezuela</w:t>
      </w:r>
      <w:r w:rsidR="00ED7505" w:rsidRPr="009035C0">
        <w:rPr>
          <w:rFonts w:ascii="Cambria" w:hAnsi="Cambria"/>
          <w:color w:val="000000" w:themeColor="text1"/>
          <w:sz w:val="16"/>
          <w:szCs w:val="16"/>
          <w:shd w:val="clear" w:color="auto" w:fill="FFFFFF"/>
        </w:rPr>
        <w:t xml:space="preserve">, </w:t>
      </w:r>
      <w:r w:rsidR="00ED7505">
        <w:rPr>
          <w:rFonts w:ascii="Cambria" w:hAnsi="Cambria"/>
          <w:color w:val="000000" w:themeColor="text1"/>
          <w:sz w:val="16"/>
          <w:szCs w:val="16"/>
          <w:shd w:val="clear" w:color="auto" w:fill="FFFFFF"/>
        </w:rPr>
        <w:t xml:space="preserve">February </w:t>
      </w:r>
      <w:r w:rsidR="00ED7505" w:rsidRPr="009035C0">
        <w:rPr>
          <w:rFonts w:ascii="Cambria" w:hAnsi="Cambria"/>
          <w:color w:val="000000" w:themeColor="text1"/>
          <w:sz w:val="16"/>
          <w:szCs w:val="16"/>
          <w:shd w:val="clear" w:color="auto" w:fill="FFFFFF"/>
        </w:rPr>
        <w:t>5</w:t>
      </w:r>
      <w:r w:rsidR="00ED7505">
        <w:rPr>
          <w:rFonts w:ascii="Cambria" w:hAnsi="Cambria"/>
          <w:color w:val="000000" w:themeColor="text1"/>
          <w:sz w:val="16"/>
          <w:szCs w:val="16"/>
          <w:shd w:val="clear" w:color="auto" w:fill="FFFFFF"/>
        </w:rPr>
        <w:t>,</w:t>
      </w:r>
      <w:r w:rsidR="00ED7505" w:rsidRPr="009035C0">
        <w:rPr>
          <w:rFonts w:ascii="Cambria" w:hAnsi="Cambria"/>
          <w:color w:val="000000" w:themeColor="text1"/>
          <w:sz w:val="16"/>
          <w:szCs w:val="16"/>
          <w:shd w:val="clear" w:color="auto" w:fill="FFFFFF"/>
        </w:rPr>
        <w:t xml:space="preserve"> 2021</w:t>
      </w:r>
      <w:r w:rsidRPr="009035C0">
        <w:rPr>
          <w:rFonts w:ascii="Cambria" w:hAnsi="Cambria"/>
          <w:color w:val="000000" w:themeColor="text1"/>
          <w:sz w:val="16"/>
          <w:szCs w:val="16"/>
          <w:shd w:val="clear" w:color="auto" w:fill="FFFFFF"/>
        </w:rPr>
        <w:t>.</w:t>
      </w:r>
    </w:p>
  </w:footnote>
  <w:footnote w:id="346">
    <w:p w14:paraId="415FBB85" w14:textId="3505064A" w:rsidR="00CD6E7D" w:rsidRPr="009035C0" w:rsidRDefault="00CD6E7D"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D7505">
        <w:rPr>
          <w:rFonts w:ascii="Cambria" w:hAnsi="Cambria"/>
          <w:color w:val="000000" w:themeColor="text1"/>
          <w:sz w:val="16"/>
          <w:szCs w:val="16"/>
        </w:rPr>
        <w:t>IACHR, Press Release</w:t>
      </w:r>
      <w:r w:rsidRPr="009035C0">
        <w:rPr>
          <w:rFonts w:ascii="Cambria" w:hAnsi="Cambria"/>
          <w:color w:val="000000" w:themeColor="text1"/>
          <w:sz w:val="16"/>
          <w:szCs w:val="16"/>
          <w:shd w:val="clear" w:color="auto" w:fill="FFFFFF"/>
        </w:rPr>
        <w:t xml:space="preserve">, </w:t>
      </w:r>
      <w:hyperlink r:id="rId346" w:history="1">
        <w:r w:rsidRPr="009035C0">
          <w:rPr>
            <w:rStyle w:val="Hyperlink"/>
            <w:rFonts w:ascii="Cambria" w:hAnsi="Cambria"/>
            <w:color w:val="000000" w:themeColor="text1"/>
            <w:sz w:val="16"/>
            <w:szCs w:val="16"/>
            <w:shd w:val="clear" w:color="auto" w:fill="FFFFFF"/>
          </w:rPr>
          <w:t>Comunicado de Prensa No. 108/21</w:t>
        </w:r>
      </w:hyperlink>
      <w:r w:rsidRPr="009035C0">
        <w:rPr>
          <w:rFonts w:ascii="Cambria" w:hAnsi="Cambria"/>
          <w:color w:val="000000" w:themeColor="text1"/>
          <w:sz w:val="16"/>
          <w:szCs w:val="16"/>
          <w:shd w:val="clear" w:color="auto" w:fill="FFFFFF"/>
        </w:rPr>
        <w:t xml:space="preserve">, </w:t>
      </w:r>
      <w:r w:rsidR="00ED7505">
        <w:rPr>
          <w:rFonts w:ascii="Cambria" w:hAnsi="Cambria"/>
          <w:color w:val="000000" w:themeColor="text1"/>
          <w:sz w:val="16"/>
          <w:szCs w:val="16"/>
          <w:shd w:val="clear" w:color="auto" w:fill="FFFFFF"/>
        </w:rPr>
        <w:t>IACHR and RFOE Reject the Registering of Not-For-Profit Organizations with Venezuela’s National Office against Organized Crime and Terrorist Financing</w:t>
      </w:r>
      <w:r w:rsidRPr="009035C0">
        <w:rPr>
          <w:rFonts w:ascii="Cambria" w:hAnsi="Cambria"/>
          <w:color w:val="000000" w:themeColor="text1"/>
          <w:sz w:val="16"/>
          <w:szCs w:val="16"/>
          <w:shd w:val="clear" w:color="auto" w:fill="FFFFFF"/>
        </w:rPr>
        <w:t>,</w:t>
      </w:r>
      <w:r w:rsidR="00ED7505">
        <w:rPr>
          <w:rFonts w:ascii="Cambria" w:hAnsi="Cambria"/>
          <w:color w:val="000000" w:themeColor="text1"/>
          <w:sz w:val="16"/>
          <w:szCs w:val="16"/>
          <w:shd w:val="clear" w:color="auto" w:fill="FFFFFF"/>
        </w:rPr>
        <w:t xml:space="preserve"> April</w:t>
      </w:r>
      <w:r w:rsidRPr="009035C0">
        <w:rPr>
          <w:rFonts w:ascii="Cambria" w:hAnsi="Cambria"/>
          <w:color w:val="000000" w:themeColor="text1"/>
          <w:sz w:val="16"/>
          <w:szCs w:val="16"/>
          <w:shd w:val="clear" w:color="auto" w:fill="FFFFFF"/>
        </w:rPr>
        <w:t xml:space="preserve"> 30</w:t>
      </w:r>
      <w:r w:rsidR="00ED7505">
        <w:rPr>
          <w:rFonts w:ascii="Cambria" w:hAnsi="Cambria"/>
          <w:color w:val="000000" w:themeColor="text1"/>
          <w:sz w:val="16"/>
          <w:szCs w:val="16"/>
          <w:shd w:val="clear" w:color="auto" w:fill="FFFFFF"/>
        </w:rPr>
        <w:t>,</w:t>
      </w:r>
      <w:r w:rsidRPr="009035C0">
        <w:rPr>
          <w:rFonts w:ascii="Cambria" w:hAnsi="Cambria"/>
          <w:color w:val="000000" w:themeColor="text1"/>
          <w:sz w:val="16"/>
          <w:szCs w:val="16"/>
          <w:shd w:val="clear" w:color="auto" w:fill="FFFFFF"/>
        </w:rPr>
        <w:t xml:space="preserve"> 2021.</w:t>
      </w:r>
    </w:p>
  </w:footnote>
  <w:footnote w:id="347">
    <w:p w14:paraId="5865FC67" w14:textId="16F9BE55" w:rsidR="00CD6E7D" w:rsidRPr="009035C0" w:rsidRDefault="00CD6E7D"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D7505">
        <w:rPr>
          <w:rFonts w:ascii="Cambria" w:hAnsi="Cambria"/>
          <w:color w:val="000000" w:themeColor="text1"/>
          <w:sz w:val="16"/>
          <w:szCs w:val="16"/>
        </w:rPr>
        <w:t>IACHR, Press Release</w:t>
      </w:r>
      <w:r w:rsidRPr="009035C0">
        <w:rPr>
          <w:rFonts w:ascii="Cambria" w:hAnsi="Cambria"/>
          <w:color w:val="000000" w:themeColor="text1"/>
          <w:sz w:val="16"/>
          <w:szCs w:val="16"/>
          <w:shd w:val="clear" w:color="auto" w:fill="FFFFFF"/>
        </w:rPr>
        <w:t xml:space="preserve">, </w:t>
      </w:r>
      <w:hyperlink r:id="rId347" w:history="1">
        <w:r w:rsidRPr="009035C0">
          <w:rPr>
            <w:rStyle w:val="Hyperlink"/>
            <w:rFonts w:ascii="Cambria" w:hAnsi="Cambria"/>
            <w:color w:val="000000" w:themeColor="text1"/>
            <w:sz w:val="16"/>
            <w:szCs w:val="16"/>
            <w:shd w:val="clear" w:color="auto" w:fill="FFFFFF"/>
          </w:rPr>
          <w:t>Comunicado de Prensa No. 108/21</w:t>
        </w:r>
      </w:hyperlink>
      <w:r w:rsidRPr="009035C0">
        <w:rPr>
          <w:rFonts w:ascii="Cambria" w:hAnsi="Cambria"/>
          <w:color w:val="000000" w:themeColor="text1"/>
          <w:sz w:val="16"/>
          <w:szCs w:val="16"/>
          <w:shd w:val="clear" w:color="auto" w:fill="FFFFFF"/>
        </w:rPr>
        <w:t xml:space="preserve">, </w:t>
      </w:r>
      <w:r w:rsidR="00B30CA0">
        <w:rPr>
          <w:rFonts w:ascii="Cambria" w:hAnsi="Cambria"/>
          <w:color w:val="000000" w:themeColor="text1"/>
          <w:sz w:val="16"/>
          <w:szCs w:val="16"/>
          <w:shd w:val="clear" w:color="auto" w:fill="FFFFFF"/>
        </w:rPr>
        <w:t>IACHR and RFOE Reject the Registering of Not-For-Profit Organizations with Venezuela’s National Office against Organized Crime and Terrorist Financing</w:t>
      </w:r>
      <w:r w:rsidR="00B30CA0" w:rsidRPr="009035C0">
        <w:rPr>
          <w:rFonts w:ascii="Cambria" w:hAnsi="Cambria"/>
          <w:color w:val="000000" w:themeColor="text1"/>
          <w:sz w:val="16"/>
          <w:szCs w:val="16"/>
          <w:shd w:val="clear" w:color="auto" w:fill="FFFFFF"/>
        </w:rPr>
        <w:t>,</w:t>
      </w:r>
      <w:r w:rsidR="00B30CA0">
        <w:rPr>
          <w:rFonts w:ascii="Cambria" w:hAnsi="Cambria"/>
          <w:color w:val="000000" w:themeColor="text1"/>
          <w:sz w:val="16"/>
          <w:szCs w:val="16"/>
          <w:shd w:val="clear" w:color="auto" w:fill="FFFFFF"/>
        </w:rPr>
        <w:t xml:space="preserve"> April</w:t>
      </w:r>
      <w:r w:rsidR="00B30CA0" w:rsidRPr="009035C0">
        <w:rPr>
          <w:rFonts w:ascii="Cambria" w:hAnsi="Cambria"/>
          <w:color w:val="000000" w:themeColor="text1"/>
          <w:sz w:val="16"/>
          <w:szCs w:val="16"/>
          <w:shd w:val="clear" w:color="auto" w:fill="FFFFFF"/>
        </w:rPr>
        <w:t xml:space="preserve"> 30</w:t>
      </w:r>
      <w:r w:rsidR="00B30CA0">
        <w:rPr>
          <w:rFonts w:ascii="Cambria" w:hAnsi="Cambria"/>
          <w:color w:val="000000" w:themeColor="text1"/>
          <w:sz w:val="16"/>
          <w:szCs w:val="16"/>
          <w:shd w:val="clear" w:color="auto" w:fill="FFFFFF"/>
        </w:rPr>
        <w:t>,</w:t>
      </w:r>
      <w:r w:rsidR="00B30CA0" w:rsidRPr="009035C0">
        <w:rPr>
          <w:rFonts w:ascii="Cambria" w:hAnsi="Cambria"/>
          <w:color w:val="000000" w:themeColor="text1"/>
          <w:sz w:val="16"/>
          <w:szCs w:val="16"/>
          <w:shd w:val="clear" w:color="auto" w:fill="FFFFFF"/>
        </w:rPr>
        <w:t xml:space="preserve"> 2021.</w:t>
      </w:r>
    </w:p>
  </w:footnote>
  <w:footnote w:id="348">
    <w:p w14:paraId="000CC239" w14:textId="44769C2B" w:rsidR="00AA19FB" w:rsidRPr="009035C0" w:rsidRDefault="00AA19FB" w:rsidP="00F85814">
      <w:pPr>
        <w:spacing w:after="120"/>
        <w:ind w:firstLine="720"/>
        <w:jc w:val="both"/>
        <w:rPr>
          <w:rFonts w:ascii="Cambria" w:hAnsi="Cambria"/>
          <w:color w:val="000000" w:themeColor="text1"/>
          <w:sz w:val="16"/>
          <w:szCs w:val="16"/>
        </w:rPr>
      </w:pPr>
      <w:r w:rsidRPr="009035C0">
        <w:rPr>
          <w:rFonts w:ascii="Cambria" w:hAnsi="Cambria"/>
          <w:color w:val="000000" w:themeColor="text1"/>
          <w:sz w:val="16"/>
          <w:szCs w:val="16"/>
          <w:vertAlign w:val="superscript"/>
        </w:rPr>
        <w:footnoteRef/>
      </w:r>
      <w:r w:rsidRPr="009035C0">
        <w:rPr>
          <w:rFonts w:ascii="Cambria" w:hAnsi="Cambria"/>
          <w:color w:val="000000" w:themeColor="text1"/>
          <w:sz w:val="16"/>
          <w:szCs w:val="16"/>
        </w:rPr>
        <w:t xml:space="preserve"> </w:t>
      </w:r>
      <w:r w:rsidR="00B30CA0">
        <w:rPr>
          <w:rFonts w:ascii="Cambria" w:hAnsi="Cambria"/>
          <w:color w:val="000000" w:themeColor="text1"/>
          <w:sz w:val="16"/>
          <w:szCs w:val="16"/>
        </w:rPr>
        <w:t>IACHR,</w:t>
      </w:r>
      <w:r w:rsidRPr="009035C0">
        <w:rPr>
          <w:rFonts w:ascii="Cambria" w:hAnsi="Cambria"/>
          <w:color w:val="000000" w:themeColor="text1"/>
          <w:sz w:val="16"/>
          <w:szCs w:val="16"/>
        </w:rPr>
        <w:t xml:space="preserve"> </w:t>
      </w:r>
      <w:hyperlink r:id="rId348">
        <w:r w:rsidRPr="009035C0">
          <w:rPr>
            <w:rFonts w:ascii="Cambria" w:hAnsi="Cambria"/>
            <w:color w:val="000000" w:themeColor="text1"/>
            <w:sz w:val="16"/>
            <w:szCs w:val="16"/>
            <w:u w:val="single"/>
          </w:rPr>
          <w:t>CIDH presenta sus observaciones y recomendaciones preliminares tras la histórica visita in loco a Venezuela para monitorear situación de derechos humanos</w:t>
        </w:r>
      </w:hyperlink>
      <w:r w:rsidRPr="009035C0">
        <w:rPr>
          <w:rFonts w:ascii="Cambria" w:hAnsi="Cambria"/>
          <w:color w:val="000000" w:themeColor="text1"/>
          <w:sz w:val="16"/>
          <w:szCs w:val="16"/>
        </w:rPr>
        <w:t xml:space="preserve">, </w:t>
      </w:r>
      <w:r w:rsidR="00B30CA0">
        <w:rPr>
          <w:rFonts w:ascii="Cambria" w:hAnsi="Cambria"/>
          <w:color w:val="000000" w:themeColor="text1"/>
          <w:sz w:val="16"/>
          <w:szCs w:val="16"/>
        </w:rPr>
        <w:t>[IACHR Presents Preliminary Observations and Recommendations Following Historic On-Site Visit to Monitor the Human Rights Situat</w:t>
      </w:r>
      <w:r w:rsidR="000342A5">
        <w:rPr>
          <w:rFonts w:ascii="Cambria" w:hAnsi="Cambria"/>
          <w:color w:val="000000" w:themeColor="text1"/>
          <w:sz w:val="16"/>
          <w:szCs w:val="16"/>
        </w:rPr>
        <w:t>i</w:t>
      </w:r>
      <w:r w:rsidR="00B30CA0">
        <w:rPr>
          <w:rFonts w:ascii="Cambria" w:hAnsi="Cambria"/>
          <w:color w:val="000000" w:themeColor="text1"/>
          <w:sz w:val="16"/>
          <w:szCs w:val="16"/>
        </w:rPr>
        <w:t xml:space="preserve">on in Venezuela], May </w:t>
      </w:r>
      <w:r w:rsidRPr="009035C0">
        <w:rPr>
          <w:rFonts w:ascii="Cambria" w:hAnsi="Cambria"/>
          <w:color w:val="000000" w:themeColor="text1"/>
          <w:sz w:val="16"/>
          <w:szCs w:val="16"/>
        </w:rPr>
        <w:t>8</w:t>
      </w:r>
      <w:r w:rsidR="00B30CA0">
        <w:rPr>
          <w:rFonts w:ascii="Cambria" w:hAnsi="Cambria"/>
          <w:color w:val="000000" w:themeColor="text1"/>
          <w:sz w:val="16"/>
          <w:szCs w:val="16"/>
        </w:rPr>
        <w:t>,</w:t>
      </w:r>
      <w:r w:rsidRPr="009035C0">
        <w:rPr>
          <w:rFonts w:ascii="Cambria" w:hAnsi="Cambria"/>
          <w:color w:val="000000" w:themeColor="text1"/>
          <w:sz w:val="16"/>
          <w:szCs w:val="16"/>
        </w:rPr>
        <w:t xml:space="preserve"> 2020.</w:t>
      </w:r>
    </w:p>
  </w:footnote>
  <w:footnote w:id="349">
    <w:p w14:paraId="0483A3F5" w14:textId="2495E71D" w:rsidR="00AA19FB" w:rsidRPr="009035C0" w:rsidRDefault="00AA19FB" w:rsidP="00F85814">
      <w:pPr>
        <w:spacing w:after="120"/>
        <w:ind w:firstLine="720"/>
        <w:jc w:val="both"/>
        <w:rPr>
          <w:rFonts w:ascii="Cambria" w:hAnsi="Cambria"/>
          <w:color w:val="000000" w:themeColor="text1"/>
          <w:sz w:val="16"/>
          <w:szCs w:val="16"/>
        </w:rPr>
      </w:pPr>
      <w:r w:rsidRPr="009035C0">
        <w:rPr>
          <w:rFonts w:ascii="Cambria" w:hAnsi="Cambria"/>
          <w:color w:val="000000" w:themeColor="text1"/>
          <w:sz w:val="16"/>
          <w:szCs w:val="16"/>
          <w:vertAlign w:val="superscript"/>
        </w:rPr>
        <w:footnoteRef/>
      </w:r>
      <w:r w:rsidRPr="009035C0">
        <w:rPr>
          <w:rFonts w:ascii="Cambria" w:hAnsi="Cambria"/>
          <w:color w:val="000000" w:themeColor="text1"/>
          <w:sz w:val="16"/>
          <w:szCs w:val="16"/>
        </w:rPr>
        <w:t xml:space="preserve"> </w:t>
      </w:r>
      <w:r w:rsidR="00CA3484">
        <w:rPr>
          <w:rFonts w:ascii="Cambria" w:hAnsi="Cambria"/>
          <w:color w:val="000000" w:themeColor="text1"/>
          <w:sz w:val="16"/>
          <w:szCs w:val="16"/>
        </w:rPr>
        <w:t>United Nations High Commissioner For Refugees</w:t>
      </w:r>
      <w:r w:rsidRPr="009035C0">
        <w:rPr>
          <w:rFonts w:ascii="Cambria" w:hAnsi="Cambria"/>
          <w:color w:val="000000" w:themeColor="text1"/>
          <w:sz w:val="16"/>
          <w:szCs w:val="16"/>
        </w:rPr>
        <w:t>,</w:t>
      </w:r>
      <w:r w:rsidR="00015382">
        <w:rPr>
          <w:rFonts w:ascii="Cambria" w:hAnsi="Cambria"/>
          <w:color w:val="000000" w:themeColor="text1"/>
          <w:sz w:val="16"/>
          <w:szCs w:val="16"/>
        </w:rPr>
        <w:t xml:space="preserve"> Global forced displacement vastly more widespread in 2019, </w:t>
      </w:r>
      <w:r w:rsidRPr="009035C0">
        <w:rPr>
          <w:rFonts w:ascii="Cambria" w:hAnsi="Cambria"/>
          <w:color w:val="000000" w:themeColor="text1"/>
          <w:sz w:val="16"/>
          <w:szCs w:val="16"/>
        </w:rPr>
        <w:t xml:space="preserve"> </w:t>
      </w:r>
      <w:hyperlink r:id="rId349">
        <w:r w:rsidRPr="009035C0">
          <w:rPr>
            <w:rFonts w:ascii="Cambria" w:hAnsi="Cambria"/>
            <w:color w:val="000000" w:themeColor="text1"/>
            <w:sz w:val="16"/>
            <w:szCs w:val="16"/>
            <w:u w:val="single"/>
          </w:rPr>
          <w:t>Desplazamiento forzado mundial mucho más extendido en 2019</w:t>
        </w:r>
      </w:hyperlink>
      <w:r w:rsidRPr="009035C0">
        <w:rPr>
          <w:rFonts w:ascii="Cambria" w:hAnsi="Cambria"/>
          <w:color w:val="000000" w:themeColor="text1"/>
          <w:sz w:val="16"/>
          <w:szCs w:val="16"/>
        </w:rPr>
        <w:t xml:space="preserve">, </w:t>
      </w:r>
      <w:r w:rsidR="00015382">
        <w:rPr>
          <w:rFonts w:ascii="Cambria" w:hAnsi="Cambria"/>
          <w:color w:val="000000" w:themeColor="text1"/>
          <w:sz w:val="16"/>
          <w:szCs w:val="16"/>
        </w:rPr>
        <w:t xml:space="preserve">Jun </w:t>
      </w:r>
      <w:r w:rsidRPr="009035C0">
        <w:rPr>
          <w:rFonts w:ascii="Cambria" w:hAnsi="Cambria"/>
          <w:color w:val="000000" w:themeColor="text1"/>
          <w:sz w:val="16"/>
          <w:szCs w:val="16"/>
        </w:rPr>
        <w:t>18</w:t>
      </w:r>
      <w:r w:rsidR="00015382">
        <w:rPr>
          <w:rFonts w:ascii="Cambria" w:hAnsi="Cambria"/>
          <w:color w:val="000000" w:themeColor="text1"/>
          <w:sz w:val="16"/>
          <w:szCs w:val="16"/>
        </w:rPr>
        <w:t>,</w:t>
      </w:r>
      <w:r w:rsidRPr="009035C0">
        <w:rPr>
          <w:rFonts w:ascii="Cambria" w:hAnsi="Cambria"/>
          <w:color w:val="000000" w:themeColor="text1"/>
          <w:sz w:val="16"/>
          <w:szCs w:val="16"/>
        </w:rPr>
        <w:t xml:space="preserve"> 2020.</w:t>
      </w:r>
    </w:p>
    <w:bookmarkStart w:id="0" w:name="_3whwml4" w:colFirst="0" w:colLast="0"/>
    <w:bookmarkEnd w:id="0"/>
  </w:footnote>
  <w:footnote w:id="350">
    <w:p w14:paraId="58559B0B" w14:textId="31E3C576" w:rsidR="00AA19FB" w:rsidRPr="009035C0" w:rsidRDefault="00AA19FB" w:rsidP="00F85814">
      <w:pPr>
        <w:spacing w:after="120"/>
        <w:ind w:firstLine="720"/>
        <w:jc w:val="both"/>
        <w:rPr>
          <w:rFonts w:ascii="Cambria" w:hAnsi="Cambria"/>
          <w:color w:val="000000" w:themeColor="text1"/>
          <w:sz w:val="16"/>
          <w:szCs w:val="16"/>
        </w:rPr>
      </w:pPr>
      <w:bookmarkStart w:id="1" w:name="_3whwml4" w:colFirst="0" w:colLast="0"/>
      <w:bookmarkEnd w:id="1"/>
      <w:r w:rsidRPr="009035C0">
        <w:rPr>
          <w:rFonts w:ascii="Cambria" w:hAnsi="Cambria"/>
          <w:color w:val="000000" w:themeColor="text1"/>
          <w:sz w:val="16"/>
          <w:szCs w:val="16"/>
          <w:vertAlign w:val="superscript"/>
        </w:rPr>
        <w:footnoteRef/>
      </w:r>
      <w:r w:rsidRPr="00E7771A">
        <w:rPr>
          <w:rFonts w:ascii="Cambria" w:hAnsi="Cambria"/>
          <w:color w:val="000000" w:themeColor="text1"/>
          <w:sz w:val="16"/>
          <w:szCs w:val="16"/>
          <w:lang w:val="es-US"/>
        </w:rPr>
        <w:t xml:space="preserve"> </w:t>
      </w:r>
      <w:r w:rsidR="00854DC2" w:rsidRPr="00E7771A">
        <w:rPr>
          <w:rFonts w:ascii="Cambria" w:hAnsi="Cambria"/>
          <w:color w:val="000000" w:themeColor="text1"/>
          <w:sz w:val="16"/>
          <w:szCs w:val="16"/>
          <w:lang w:val="es-US"/>
        </w:rPr>
        <w:t>IACHR, Press Release</w:t>
      </w:r>
      <w:r w:rsidRPr="00E7771A">
        <w:rPr>
          <w:rFonts w:ascii="Cambria" w:hAnsi="Cambria"/>
          <w:color w:val="000000" w:themeColor="text1"/>
          <w:sz w:val="16"/>
          <w:szCs w:val="16"/>
          <w:lang w:val="es-US"/>
        </w:rPr>
        <w:t xml:space="preserve"> 197/18 - </w:t>
      </w:r>
      <w:hyperlink r:id="rId350">
        <w:r w:rsidRPr="00E7771A">
          <w:rPr>
            <w:rFonts w:ascii="Cambria" w:hAnsi="Cambria"/>
            <w:color w:val="000000" w:themeColor="text1"/>
            <w:sz w:val="16"/>
            <w:szCs w:val="16"/>
            <w:u w:val="single"/>
            <w:lang w:val="es-US"/>
          </w:rPr>
          <w:t>Declaración conjunta para el desarrollo de una respuesta regional a la llegada masiva de personas venezolanas a países del continente americano de la Comisión Interamericana de Derechos Humanos y comités, órganos y procedimientos especiales de la Organización de las Naciones Unidas</w:t>
        </w:r>
      </w:hyperlink>
      <w:r w:rsidRPr="00E7771A">
        <w:rPr>
          <w:rFonts w:ascii="Cambria" w:hAnsi="Cambria"/>
          <w:color w:val="000000" w:themeColor="text1"/>
          <w:sz w:val="16"/>
          <w:szCs w:val="16"/>
          <w:lang w:val="es-US"/>
        </w:rPr>
        <w:t xml:space="preserve">, </w:t>
      </w:r>
      <w:r w:rsidR="00854DC2" w:rsidRPr="00E7771A">
        <w:rPr>
          <w:rFonts w:ascii="Cambria" w:hAnsi="Cambria"/>
          <w:color w:val="000000" w:themeColor="text1"/>
          <w:sz w:val="16"/>
          <w:szCs w:val="16"/>
          <w:lang w:val="es-US"/>
        </w:rPr>
        <w:t>Joint Statement for the development of a regional response to the massive arrival of Venezuelans to the America</w:t>
      </w:r>
      <w:r w:rsidR="00FC01FD" w:rsidRPr="00E7771A">
        <w:rPr>
          <w:rFonts w:ascii="Cambria" w:hAnsi="Cambria"/>
          <w:color w:val="000000" w:themeColor="text1"/>
          <w:sz w:val="16"/>
          <w:szCs w:val="16"/>
          <w:lang w:val="es-US"/>
        </w:rPr>
        <w:t>s</w:t>
      </w:r>
      <w:r w:rsidR="00E47836" w:rsidRPr="00E7771A">
        <w:rPr>
          <w:rFonts w:ascii="Cambria" w:hAnsi="Cambria"/>
          <w:color w:val="000000" w:themeColor="text1"/>
          <w:sz w:val="16"/>
          <w:szCs w:val="16"/>
          <w:lang w:val="es-US"/>
        </w:rPr>
        <w:t>, issued by</w:t>
      </w:r>
      <w:r w:rsidR="00854DC2" w:rsidRPr="00E7771A">
        <w:rPr>
          <w:rFonts w:ascii="Cambria" w:hAnsi="Cambria"/>
          <w:color w:val="000000" w:themeColor="text1"/>
          <w:sz w:val="16"/>
          <w:szCs w:val="16"/>
          <w:lang w:val="es-US"/>
        </w:rPr>
        <w:t xml:space="preserve"> the Inter-American Commission on Human Rights, and committees, organs and special procedures of the United Nations. </w:t>
      </w:r>
      <w:r w:rsidR="00854DC2">
        <w:rPr>
          <w:rFonts w:ascii="Cambria" w:hAnsi="Cambria"/>
          <w:color w:val="000000" w:themeColor="text1"/>
          <w:sz w:val="16"/>
          <w:szCs w:val="16"/>
        </w:rPr>
        <w:t xml:space="preserve">September </w:t>
      </w:r>
      <w:r w:rsidRPr="009035C0">
        <w:rPr>
          <w:rFonts w:ascii="Cambria" w:hAnsi="Cambria"/>
          <w:color w:val="000000" w:themeColor="text1"/>
          <w:sz w:val="16"/>
          <w:szCs w:val="16"/>
        </w:rPr>
        <w:t>5</w:t>
      </w:r>
      <w:r w:rsidR="00854DC2">
        <w:rPr>
          <w:rFonts w:ascii="Cambria" w:hAnsi="Cambria"/>
          <w:color w:val="000000" w:themeColor="text1"/>
          <w:sz w:val="16"/>
          <w:szCs w:val="16"/>
        </w:rPr>
        <w:t>,</w:t>
      </w:r>
      <w:r w:rsidRPr="009035C0">
        <w:rPr>
          <w:rFonts w:ascii="Cambria" w:hAnsi="Cambria"/>
          <w:color w:val="000000" w:themeColor="text1"/>
          <w:sz w:val="16"/>
          <w:szCs w:val="16"/>
        </w:rPr>
        <w:t xml:space="preserve"> 2018. </w:t>
      </w:r>
    </w:p>
  </w:footnote>
  <w:footnote w:id="351">
    <w:p w14:paraId="5BB154E1" w14:textId="145882E0" w:rsidR="00AA19FB" w:rsidRPr="009035C0" w:rsidRDefault="00AA19FB" w:rsidP="00F85814">
      <w:pPr>
        <w:spacing w:after="120"/>
        <w:ind w:firstLine="720"/>
        <w:jc w:val="both"/>
        <w:rPr>
          <w:rFonts w:ascii="Cambria" w:hAnsi="Cambria"/>
          <w:color w:val="000000" w:themeColor="text1"/>
          <w:sz w:val="16"/>
          <w:szCs w:val="16"/>
        </w:rPr>
      </w:pPr>
      <w:r w:rsidRPr="009035C0">
        <w:rPr>
          <w:rFonts w:ascii="Cambria" w:hAnsi="Cambria"/>
          <w:color w:val="000000" w:themeColor="text1"/>
          <w:sz w:val="16"/>
          <w:szCs w:val="16"/>
          <w:vertAlign w:val="superscript"/>
        </w:rPr>
        <w:footnoteRef/>
      </w:r>
      <w:r w:rsidRPr="009035C0">
        <w:rPr>
          <w:rFonts w:ascii="Cambria" w:hAnsi="Cambria"/>
          <w:color w:val="000000" w:themeColor="text1"/>
          <w:sz w:val="16"/>
          <w:szCs w:val="16"/>
        </w:rPr>
        <w:t xml:space="preserve"> </w:t>
      </w:r>
      <w:r w:rsidR="003525AD">
        <w:rPr>
          <w:rFonts w:ascii="Cambria" w:hAnsi="Cambria"/>
          <w:color w:val="000000" w:themeColor="text1"/>
          <w:sz w:val="16"/>
          <w:szCs w:val="16"/>
        </w:rPr>
        <w:t>IACHR, notes from meeting with the OAS Group on the Venezuelan Migrant and Refugee Crisis in the Region in the framework of the 176</w:t>
      </w:r>
      <w:r w:rsidR="003525AD" w:rsidRPr="003525AD">
        <w:rPr>
          <w:rFonts w:ascii="Cambria" w:hAnsi="Cambria"/>
          <w:color w:val="000000" w:themeColor="text1"/>
          <w:sz w:val="16"/>
          <w:szCs w:val="16"/>
          <w:vertAlign w:val="superscript"/>
        </w:rPr>
        <w:t>th</w:t>
      </w:r>
      <w:r w:rsidR="003525AD">
        <w:rPr>
          <w:rFonts w:ascii="Cambria" w:hAnsi="Cambria"/>
          <w:color w:val="000000" w:themeColor="text1"/>
          <w:sz w:val="16"/>
          <w:szCs w:val="16"/>
        </w:rPr>
        <w:t xml:space="preserve"> Regular Session of the IACHR, July 15, 2020, IACHR Archives</w:t>
      </w:r>
      <w:r w:rsidRPr="009035C0">
        <w:rPr>
          <w:rFonts w:ascii="Cambria" w:hAnsi="Cambria"/>
          <w:color w:val="000000" w:themeColor="text1"/>
          <w:sz w:val="16"/>
          <w:szCs w:val="16"/>
        </w:rPr>
        <w:t xml:space="preserve">. </w:t>
      </w:r>
    </w:p>
  </w:footnote>
  <w:footnote w:id="352">
    <w:p w14:paraId="3D121FFE" w14:textId="43685BCB" w:rsidR="00AA19FB" w:rsidRPr="009035C0" w:rsidRDefault="00AA19FB" w:rsidP="00F85814">
      <w:pPr>
        <w:spacing w:after="120"/>
        <w:ind w:firstLine="720"/>
        <w:jc w:val="both"/>
        <w:rPr>
          <w:rFonts w:ascii="Cambria" w:hAnsi="Cambria"/>
          <w:color w:val="000000" w:themeColor="text1"/>
          <w:sz w:val="16"/>
          <w:szCs w:val="16"/>
        </w:rPr>
      </w:pPr>
      <w:r w:rsidRPr="009035C0">
        <w:rPr>
          <w:rFonts w:ascii="Cambria" w:hAnsi="Cambria"/>
          <w:color w:val="000000" w:themeColor="text1"/>
          <w:sz w:val="16"/>
          <w:szCs w:val="16"/>
          <w:vertAlign w:val="superscript"/>
        </w:rPr>
        <w:footnoteRef/>
      </w:r>
      <w:r w:rsidRPr="00E7771A">
        <w:rPr>
          <w:rFonts w:ascii="Cambria" w:hAnsi="Cambria"/>
          <w:color w:val="000000" w:themeColor="text1"/>
          <w:sz w:val="16"/>
          <w:szCs w:val="16"/>
          <w:lang w:val="es-US"/>
        </w:rPr>
        <w:t xml:space="preserve"> Save my identity, </w:t>
      </w:r>
      <w:hyperlink r:id="rId351">
        <w:r w:rsidR="00762AC5" w:rsidRPr="00E7771A">
          <w:rPr>
            <w:rFonts w:ascii="Cambria" w:hAnsi="Cambria"/>
            <w:color w:val="000000" w:themeColor="text1"/>
            <w:sz w:val="16"/>
            <w:szCs w:val="16"/>
            <w:u w:val="single"/>
            <w:lang w:val="es-US"/>
          </w:rPr>
          <w:t xml:space="preserve">Petición Los Venezolanos En El Mundo Y En Venezuela Exigimos Un Cambio De Sistema Para La Obtención De Pasaportes ¡Ya! </w:t>
        </w:r>
        <w:r w:rsidR="00762AC5" w:rsidRPr="009035C0">
          <w:rPr>
            <w:rFonts w:ascii="Cambria" w:hAnsi="Cambria"/>
            <w:color w:val="000000" w:themeColor="text1"/>
            <w:sz w:val="16"/>
            <w:szCs w:val="16"/>
            <w:u w:val="single"/>
          </w:rPr>
          <w:t>Por Nuestro Derecho A La Identidad Internacional</w:t>
        </w:r>
      </w:hyperlink>
      <w:r w:rsidR="00762AC5" w:rsidRPr="009035C0">
        <w:rPr>
          <w:rFonts w:ascii="Cambria" w:hAnsi="Cambria"/>
          <w:color w:val="000000" w:themeColor="text1"/>
          <w:sz w:val="16"/>
          <w:szCs w:val="16"/>
        </w:rPr>
        <w:t>,</w:t>
      </w:r>
      <w:r w:rsidRPr="009035C0">
        <w:rPr>
          <w:rFonts w:ascii="Cambria" w:hAnsi="Cambria"/>
          <w:color w:val="000000" w:themeColor="text1"/>
          <w:sz w:val="16"/>
          <w:szCs w:val="16"/>
        </w:rPr>
        <w:t xml:space="preserve"> </w:t>
      </w:r>
      <w:r w:rsidR="009F0390">
        <w:rPr>
          <w:rFonts w:ascii="Cambria" w:hAnsi="Cambria"/>
          <w:color w:val="000000" w:themeColor="text1"/>
          <w:sz w:val="16"/>
          <w:szCs w:val="16"/>
        </w:rPr>
        <w:t>[Petition</w:t>
      </w:r>
      <w:r w:rsidR="002526BB">
        <w:rPr>
          <w:rFonts w:ascii="Cambria" w:hAnsi="Cambria"/>
          <w:color w:val="000000" w:themeColor="text1"/>
          <w:sz w:val="16"/>
          <w:szCs w:val="16"/>
        </w:rPr>
        <w:t xml:space="preserve">: </w:t>
      </w:r>
      <w:r w:rsidR="009F0390">
        <w:rPr>
          <w:rFonts w:ascii="Cambria" w:hAnsi="Cambria"/>
          <w:color w:val="000000" w:themeColor="text1"/>
          <w:sz w:val="16"/>
          <w:szCs w:val="16"/>
        </w:rPr>
        <w:t xml:space="preserve">Venezuelans in the world and in Venezuela demand a change </w:t>
      </w:r>
      <w:r w:rsidR="002526BB">
        <w:rPr>
          <w:rFonts w:ascii="Cambria" w:hAnsi="Cambria"/>
          <w:color w:val="000000" w:themeColor="text1"/>
          <w:sz w:val="16"/>
          <w:szCs w:val="16"/>
        </w:rPr>
        <w:t>to</w:t>
      </w:r>
      <w:r w:rsidR="009F0390">
        <w:rPr>
          <w:rFonts w:ascii="Cambria" w:hAnsi="Cambria"/>
          <w:color w:val="000000" w:themeColor="text1"/>
          <w:sz w:val="16"/>
          <w:szCs w:val="16"/>
        </w:rPr>
        <w:t xml:space="preserve"> the system for obtaining passports Now! For our Right to International identity.</w:t>
      </w:r>
      <w:r w:rsidR="00EB3184">
        <w:rPr>
          <w:rFonts w:ascii="Cambria" w:hAnsi="Cambria"/>
          <w:color w:val="000000" w:themeColor="text1"/>
          <w:sz w:val="16"/>
          <w:szCs w:val="16"/>
        </w:rPr>
        <w:t>]</w:t>
      </w:r>
      <w:r w:rsidRPr="009035C0">
        <w:rPr>
          <w:rFonts w:ascii="Cambria" w:hAnsi="Cambria"/>
          <w:color w:val="000000" w:themeColor="text1"/>
          <w:sz w:val="16"/>
          <w:szCs w:val="16"/>
        </w:rPr>
        <w:t>2020.</w:t>
      </w:r>
    </w:p>
  </w:footnote>
  <w:footnote w:id="353">
    <w:p w14:paraId="7B622E75" w14:textId="32E8BB6E" w:rsidR="00AA19FB" w:rsidRPr="009035C0" w:rsidRDefault="00AA19FB" w:rsidP="00F85814">
      <w:pPr>
        <w:spacing w:after="120"/>
        <w:ind w:firstLine="720"/>
        <w:jc w:val="both"/>
        <w:rPr>
          <w:rFonts w:ascii="Cambria" w:hAnsi="Cambria"/>
          <w:color w:val="000000" w:themeColor="text1"/>
          <w:sz w:val="16"/>
          <w:szCs w:val="16"/>
        </w:rPr>
      </w:pPr>
      <w:r w:rsidRPr="009035C0">
        <w:rPr>
          <w:rFonts w:ascii="Cambria" w:hAnsi="Cambria"/>
          <w:color w:val="000000" w:themeColor="text1"/>
          <w:sz w:val="16"/>
          <w:szCs w:val="16"/>
          <w:vertAlign w:val="superscript"/>
        </w:rPr>
        <w:footnoteRef/>
      </w:r>
      <w:r w:rsidRPr="009035C0">
        <w:rPr>
          <w:rFonts w:ascii="Cambria" w:hAnsi="Cambria"/>
          <w:color w:val="000000" w:themeColor="text1"/>
          <w:sz w:val="16"/>
          <w:szCs w:val="16"/>
        </w:rPr>
        <w:t xml:space="preserve"> </w:t>
      </w:r>
      <w:r w:rsidR="002526BB">
        <w:rPr>
          <w:rFonts w:ascii="Cambria" w:hAnsi="Cambria"/>
          <w:color w:val="000000" w:themeColor="text1"/>
          <w:sz w:val="16"/>
          <w:szCs w:val="16"/>
        </w:rPr>
        <w:t xml:space="preserve">IACHR, </w:t>
      </w:r>
      <w:hyperlink r:id="rId352">
        <w:r w:rsidRPr="009035C0">
          <w:rPr>
            <w:rFonts w:ascii="Cambria" w:hAnsi="Cambria"/>
            <w:color w:val="000000" w:themeColor="text1"/>
            <w:sz w:val="16"/>
            <w:szCs w:val="16"/>
            <w:u w:val="single"/>
          </w:rPr>
          <w:t>Resolución 04/19 - “Principios Interamericanos sobre los Derechos Humanos de todas las personas migrantes, refugiadas, apátridas y las víctimas de la trata de personas”</w:t>
        </w:r>
      </w:hyperlink>
      <w:r w:rsidRPr="009035C0">
        <w:rPr>
          <w:rFonts w:ascii="Cambria" w:hAnsi="Cambria"/>
          <w:color w:val="000000" w:themeColor="text1"/>
          <w:sz w:val="16"/>
          <w:szCs w:val="16"/>
        </w:rPr>
        <w:t>,</w:t>
      </w:r>
      <w:r w:rsidR="002526BB">
        <w:rPr>
          <w:rFonts w:ascii="Cambria" w:hAnsi="Cambria"/>
          <w:color w:val="000000" w:themeColor="text1"/>
          <w:sz w:val="16"/>
          <w:szCs w:val="16"/>
        </w:rPr>
        <w:t xml:space="preserve"> Resolution 04/19, [Inter-American Principles on the Human Rights of all </w:t>
      </w:r>
      <w:r w:rsidR="00642D69">
        <w:rPr>
          <w:rFonts w:ascii="Cambria" w:hAnsi="Cambria"/>
          <w:color w:val="000000" w:themeColor="text1"/>
          <w:sz w:val="16"/>
          <w:szCs w:val="16"/>
        </w:rPr>
        <w:t>M</w:t>
      </w:r>
      <w:r w:rsidR="002526BB">
        <w:rPr>
          <w:rFonts w:ascii="Cambria" w:hAnsi="Cambria"/>
          <w:color w:val="000000" w:themeColor="text1"/>
          <w:sz w:val="16"/>
          <w:szCs w:val="16"/>
        </w:rPr>
        <w:t xml:space="preserve">igrants, </w:t>
      </w:r>
      <w:r w:rsidR="00642D69">
        <w:rPr>
          <w:rFonts w:ascii="Cambria" w:hAnsi="Cambria"/>
          <w:color w:val="000000" w:themeColor="text1"/>
          <w:sz w:val="16"/>
          <w:szCs w:val="16"/>
        </w:rPr>
        <w:t>R</w:t>
      </w:r>
      <w:r w:rsidR="002526BB">
        <w:rPr>
          <w:rFonts w:ascii="Cambria" w:hAnsi="Cambria"/>
          <w:color w:val="000000" w:themeColor="text1"/>
          <w:sz w:val="16"/>
          <w:szCs w:val="16"/>
        </w:rPr>
        <w:t xml:space="preserve">efugees, </w:t>
      </w:r>
      <w:r w:rsidR="00642D69">
        <w:rPr>
          <w:rFonts w:ascii="Cambria" w:hAnsi="Cambria"/>
          <w:color w:val="000000" w:themeColor="text1"/>
          <w:sz w:val="16"/>
          <w:szCs w:val="16"/>
        </w:rPr>
        <w:t>S</w:t>
      </w:r>
      <w:r w:rsidR="002526BB">
        <w:rPr>
          <w:rFonts w:ascii="Cambria" w:hAnsi="Cambria"/>
          <w:color w:val="000000" w:themeColor="text1"/>
          <w:sz w:val="16"/>
          <w:szCs w:val="16"/>
        </w:rPr>
        <w:t xml:space="preserve">tateless </w:t>
      </w:r>
      <w:r w:rsidR="00642D69">
        <w:rPr>
          <w:rFonts w:ascii="Cambria" w:hAnsi="Cambria"/>
          <w:color w:val="000000" w:themeColor="text1"/>
          <w:sz w:val="16"/>
          <w:szCs w:val="16"/>
        </w:rPr>
        <w:t>P</w:t>
      </w:r>
      <w:r w:rsidR="002526BB">
        <w:rPr>
          <w:rFonts w:ascii="Cambria" w:hAnsi="Cambria"/>
          <w:color w:val="000000" w:themeColor="text1"/>
          <w:sz w:val="16"/>
          <w:szCs w:val="16"/>
        </w:rPr>
        <w:t xml:space="preserve">ersons and </w:t>
      </w:r>
      <w:r w:rsidR="00642D69">
        <w:rPr>
          <w:rFonts w:ascii="Cambria" w:hAnsi="Cambria"/>
          <w:color w:val="000000" w:themeColor="text1"/>
          <w:sz w:val="16"/>
          <w:szCs w:val="16"/>
        </w:rPr>
        <w:t>V</w:t>
      </w:r>
      <w:r w:rsidR="002526BB">
        <w:rPr>
          <w:rFonts w:ascii="Cambria" w:hAnsi="Cambria"/>
          <w:color w:val="000000" w:themeColor="text1"/>
          <w:sz w:val="16"/>
          <w:szCs w:val="16"/>
        </w:rPr>
        <w:t xml:space="preserve">ictims of </w:t>
      </w:r>
      <w:r w:rsidR="00642D69">
        <w:rPr>
          <w:rFonts w:ascii="Cambria" w:hAnsi="Cambria"/>
          <w:color w:val="000000" w:themeColor="text1"/>
          <w:sz w:val="16"/>
          <w:szCs w:val="16"/>
        </w:rPr>
        <w:t>H</w:t>
      </w:r>
      <w:r w:rsidR="002526BB">
        <w:rPr>
          <w:rFonts w:ascii="Cambria" w:hAnsi="Cambria"/>
          <w:color w:val="000000" w:themeColor="text1"/>
          <w:sz w:val="16"/>
          <w:szCs w:val="16"/>
        </w:rPr>
        <w:t xml:space="preserve">uman </w:t>
      </w:r>
      <w:r w:rsidR="00642D69">
        <w:rPr>
          <w:rFonts w:ascii="Cambria" w:hAnsi="Cambria"/>
          <w:color w:val="000000" w:themeColor="text1"/>
          <w:sz w:val="16"/>
          <w:szCs w:val="16"/>
        </w:rPr>
        <w:t>T</w:t>
      </w:r>
      <w:r w:rsidR="002526BB">
        <w:rPr>
          <w:rFonts w:ascii="Cambria" w:hAnsi="Cambria"/>
          <w:color w:val="000000" w:themeColor="text1"/>
          <w:sz w:val="16"/>
          <w:szCs w:val="16"/>
        </w:rPr>
        <w:t xml:space="preserve">rafficking’], December </w:t>
      </w:r>
      <w:r w:rsidRPr="009035C0">
        <w:rPr>
          <w:rFonts w:ascii="Cambria" w:hAnsi="Cambria"/>
          <w:color w:val="000000" w:themeColor="text1"/>
          <w:sz w:val="16"/>
          <w:szCs w:val="16"/>
        </w:rPr>
        <w:t xml:space="preserve"> 7</w:t>
      </w:r>
      <w:r w:rsidR="002526BB">
        <w:rPr>
          <w:rFonts w:ascii="Cambria" w:hAnsi="Cambria"/>
          <w:color w:val="000000" w:themeColor="text1"/>
          <w:sz w:val="16"/>
          <w:szCs w:val="16"/>
        </w:rPr>
        <w:t>,</w:t>
      </w:r>
      <w:r w:rsidRPr="009035C0">
        <w:rPr>
          <w:rFonts w:ascii="Cambria" w:hAnsi="Cambria"/>
          <w:color w:val="000000" w:themeColor="text1"/>
          <w:sz w:val="16"/>
          <w:szCs w:val="16"/>
        </w:rPr>
        <w:t xml:space="preserve"> 2019, princip</w:t>
      </w:r>
      <w:r w:rsidR="002526BB">
        <w:rPr>
          <w:rFonts w:ascii="Cambria" w:hAnsi="Cambria"/>
          <w:color w:val="000000" w:themeColor="text1"/>
          <w:sz w:val="16"/>
          <w:szCs w:val="16"/>
        </w:rPr>
        <w:t>les</w:t>
      </w:r>
      <w:r w:rsidRPr="009035C0">
        <w:rPr>
          <w:rFonts w:ascii="Cambria" w:hAnsi="Cambria"/>
          <w:color w:val="000000" w:themeColor="text1"/>
          <w:sz w:val="16"/>
          <w:szCs w:val="16"/>
        </w:rPr>
        <w:t xml:space="preserve"> 37 </w:t>
      </w:r>
      <w:r w:rsidR="002526BB">
        <w:rPr>
          <w:rFonts w:ascii="Cambria" w:hAnsi="Cambria"/>
          <w:color w:val="000000" w:themeColor="text1"/>
          <w:sz w:val="16"/>
          <w:szCs w:val="16"/>
        </w:rPr>
        <w:t>and</w:t>
      </w:r>
      <w:r w:rsidRPr="009035C0">
        <w:rPr>
          <w:rFonts w:ascii="Cambria" w:hAnsi="Cambria"/>
          <w:color w:val="000000" w:themeColor="text1"/>
          <w:sz w:val="16"/>
          <w:szCs w:val="16"/>
        </w:rPr>
        <w:t xml:space="preserve"> 59. </w:t>
      </w:r>
    </w:p>
  </w:footnote>
  <w:footnote w:id="354">
    <w:p w14:paraId="7BB7E5F3" w14:textId="701A1A07" w:rsidR="00EA4C93" w:rsidRPr="009035C0" w:rsidRDefault="00EA4C93"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BA34AD">
        <w:rPr>
          <w:rFonts w:ascii="Cambria" w:hAnsi="Cambria"/>
          <w:color w:val="000000" w:themeColor="text1"/>
          <w:sz w:val="16"/>
          <w:szCs w:val="16"/>
        </w:rPr>
        <w:t xml:space="preserve">In this section, </w:t>
      </w:r>
      <w:r w:rsidR="004B621E">
        <w:rPr>
          <w:rFonts w:ascii="Cambria" w:hAnsi="Cambria"/>
          <w:color w:val="000000" w:themeColor="text1"/>
          <w:sz w:val="16"/>
          <w:szCs w:val="16"/>
        </w:rPr>
        <w:t xml:space="preserve">an overview is provided of the situation of persons deprived of liberty in Venezuela. In section III of the Chapter, </w:t>
      </w:r>
      <w:r w:rsidR="0040621F">
        <w:rPr>
          <w:rFonts w:ascii="Cambria" w:hAnsi="Cambria"/>
          <w:color w:val="000000" w:themeColor="text1"/>
          <w:sz w:val="16"/>
          <w:szCs w:val="16"/>
        </w:rPr>
        <w:t xml:space="preserve">a </w:t>
      </w:r>
      <w:r w:rsidR="004B621E">
        <w:rPr>
          <w:rFonts w:ascii="Cambria" w:hAnsi="Cambria"/>
          <w:color w:val="000000" w:themeColor="text1"/>
          <w:sz w:val="16"/>
          <w:szCs w:val="16"/>
        </w:rPr>
        <w:t>special section addresses torture and other cruel treatment in contexts of deprivation of libert</w:t>
      </w:r>
      <w:r w:rsidR="00544E29">
        <w:rPr>
          <w:rFonts w:ascii="Cambria" w:hAnsi="Cambria"/>
          <w:color w:val="000000" w:themeColor="text1"/>
          <w:sz w:val="16"/>
          <w:szCs w:val="16"/>
        </w:rPr>
        <w:t>y.</w:t>
      </w:r>
    </w:p>
  </w:footnote>
  <w:footnote w:id="355">
    <w:p w14:paraId="0E251E5A" w14:textId="3AE71EF5" w:rsidR="00622696" w:rsidRPr="009035C0" w:rsidRDefault="00622696"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A76019" w:rsidRPr="009035C0">
        <w:rPr>
          <w:rFonts w:ascii="Cambria" w:hAnsi="Cambria" w:cs="Arial"/>
          <w:color w:val="000000" w:themeColor="text1"/>
          <w:sz w:val="16"/>
          <w:szCs w:val="16"/>
          <w:shd w:val="clear" w:color="auto" w:fill="FFFFFF"/>
        </w:rPr>
        <w:t xml:space="preserve">Una Ventana a la libertad, </w:t>
      </w:r>
      <w:r w:rsidR="005F68B7">
        <w:rPr>
          <w:rFonts w:ascii="Cambria" w:hAnsi="Cambria" w:cs="Arial"/>
          <w:color w:val="000000" w:themeColor="text1"/>
          <w:sz w:val="16"/>
          <w:szCs w:val="16"/>
          <w:shd w:val="clear" w:color="auto" w:fill="FFFFFF"/>
        </w:rPr>
        <w:t xml:space="preserve">Report on the Situation of the Human Rights of Persons Deprived of Liberty </w:t>
      </w:r>
      <w:r w:rsidR="00893CDA">
        <w:rPr>
          <w:rFonts w:ascii="Cambria" w:hAnsi="Cambria" w:cs="Arial"/>
          <w:color w:val="000000" w:themeColor="text1"/>
          <w:sz w:val="16"/>
          <w:szCs w:val="16"/>
          <w:shd w:val="clear" w:color="auto" w:fill="FFFFFF"/>
        </w:rPr>
        <w:t>in the</w:t>
      </w:r>
      <w:r w:rsidR="005F68B7">
        <w:rPr>
          <w:rFonts w:ascii="Cambria" w:hAnsi="Cambria" w:cs="Arial"/>
          <w:color w:val="000000" w:themeColor="text1"/>
          <w:sz w:val="16"/>
          <w:szCs w:val="16"/>
          <w:shd w:val="clear" w:color="auto" w:fill="FFFFFF"/>
        </w:rPr>
        <w:t xml:space="preserve"> Pretrial Detention Facilities of Venezuela</w:t>
      </w:r>
      <w:r w:rsidR="00F927CB">
        <w:rPr>
          <w:rFonts w:ascii="Cambria" w:hAnsi="Cambria" w:cs="Arial"/>
          <w:color w:val="000000" w:themeColor="text1"/>
          <w:sz w:val="16"/>
          <w:szCs w:val="16"/>
          <w:shd w:val="clear" w:color="auto" w:fill="FFFFFF"/>
        </w:rPr>
        <w:t xml:space="preserve"> </w:t>
      </w:r>
      <w:r w:rsidR="00A76019" w:rsidRPr="009035C0">
        <w:rPr>
          <w:rFonts w:ascii="Cambria" w:hAnsi="Cambria" w:cs="Arial"/>
          <w:color w:val="000000" w:themeColor="text1"/>
          <w:sz w:val="16"/>
          <w:szCs w:val="16"/>
          <w:shd w:val="clear" w:color="auto" w:fill="FFFFFF"/>
        </w:rPr>
        <w:t xml:space="preserve">– </w:t>
      </w:r>
      <w:r w:rsidR="00F927CB">
        <w:rPr>
          <w:rFonts w:ascii="Cambria" w:hAnsi="Cambria" w:cs="Arial"/>
          <w:color w:val="000000" w:themeColor="text1"/>
          <w:sz w:val="16"/>
          <w:szCs w:val="16"/>
          <w:shd w:val="clear" w:color="auto" w:fill="FFFFFF"/>
        </w:rPr>
        <w:t>First Half 2021</w:t>
      </w:r>
      <w:r w:rsidR="00A76019" w:rsidRPr="009035C0">
        <w:rPr>
          <w:rFonts w:ascii="Cambria" w:hAnsi="Cambria" w:cs="Arial"/>
          <w:color w:val="000000" w:themeColor="text1"/>
          <w:sz w:val="16"/>
          <w:szCs w:val="16"/>
          <w:shd w:val="clear" w:color="auto" w:fill="FFFFFF"/>
        </w:rPr>
        <w:t>(A</w:t>
      </w:r>
      <w:r w:rsidR="00F927CB">
        <w:rPr>
          <w:rFonts w:ascii="Cambria" w:hAnsi="Cambria" w:cs="Arial"/>
          <w:color w:val="000000" w:themeColor="text1"/>
          <w:sz w:val="16"/>
          <w:szCs w:val="16"/>
          <w:shd w:val="clear" w:color="auto" w:fill="FFFFFF"/>
        </w:rPr>
        <w:t>ugust</w:t>
      </w:r>
      <w:r w:rsidR="00A76019" w:rsidRPr="009035C0">
        <w:rPr>
          <w:rFonts w:ascii="Cambria" w:hAnsi="Cambria" w:cs="Arial"/>
          <w:color w:val="000000" w:themeColor="text1"/>
          <w:sz w:val="16"/>
          <w:szCs w:val="16"/>
          <w:shd w:val="clear" w:color="auto" w:fill="FFFFFF"/>
        </w:rPr>
        <w:t xml:space="preserve"> 2021), 2021</w:t>
      </w:r>
      <w:r w:rsidR="00306EF2" w:rsidRPr="009035C0">
        <w:rPr>
          <w:rFonts w:ascii="Cambria" w:hAnsi="Cambria" w:cs="Arial"/>
          <w:color w:val="000000" w:themeColor="text1"/>
          <w:sz w:val="16"/>
          <w:szCs w:val="16"/>
          <w:shd w:val="clear" w:color="auto" w:fill="FFFFFF"/>
        </w:rPr>
        <w:t>, pg. 7.</w:t>
      </w:r>
    </w:p>
  </w:footnote>
  <w:footnote w:id="356">
    <w:p w14:paraId="5160C4F2" w14:textId="55F61BEF" w:rsidR="00927A6E" w:rsidRPr="009035C0" w:rsidRDefault="00927A6E"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306EF2" w:rsidRPr="009035C0">
        <w:rPr>
          <w:rFonts w:ascii="Cambria" w:hAnsi="Cambria" w:cs="Arial"/>
          <w:color w:val="000000" w:themeColor="text1"/>
          <w:sz w:val="16"/>
          <w:szCs w:val="16"/>
          <w:shd w:val="clear" w:color="auto" w:fill="FFFFFF"/>
        </w:rPr>
        <w:t xml:space="preserve">Una Ventana a la libertad, </w:t>
      </w:r>
      <w:r w:rsidR="00BD46F1">
        <w:rPr>
          <w:rFonts w:ascii="Cambria" w:hAnsi="Cambria" w:cs="Arial"/>
          <w:color w:val="000000" w:themeColor="text1"/>
          <w:sz w:val="16"/>
          <w:szCs w:val="16"/>
          <w:shd w:val="clear" w:color="auto" w:fill="FFFFFF"/>
        </w:rPr>
        <w:t xml:space="preserve">Report on the Situation of the Human Rights of Persons Deprived of Liberty in the Pretrial Detention Facilities of Venezuela </w:t>
      </w:r>
      <w:r w:rsidR="00BD46F1" w:rsidRPr="009035C0">
        <w:rPr>
          <w:rFonts w:ascii="Cambria" w:hAnsi="Cambria" w:cs="Arial"/>
          <w:color w:val="000000" w:themeColor="text1"/>
          <w:sz w:val="16"/>
          <w:szCs w:val="16"/>
          <w:shd w:val="clear" w:color="auto" w:fill="FFFFFF"/>
        </w:rPr>
        <w:t xml:space="preserve">– </w:t>
      </w:r>
      <w:r w:rsidR="00BD46F1">
        <w:rPr>
          <w:rFonts w:ascii="Cambria" w:hAnsi="Cambria" w:cs="Arial"/>
          <w:color w:val="000000" w:themeColor="text1"/>
          <w:sz w:val="16"/>
          <w:szCs w:val="16"/>
          <w:shd w:val="clear" w:color="auto" w:fill="FFFFFF"/>
        </w:rPr>
        <w:t>First Half 2021</w:t>
      </w:r>
      <w:r w:rsidR="00BD46F1" w:rsidRPr="009035C0">
        <w:rPr>
          <w:rFonts w:ascii="Cambria" w:hAnsi="Cambria" w:cs="Arial"/>
          <w:color w:val="000000" w:themeColor="text1"/>
          <w:sz w:val="16"/>
          <w:szCs w:val="16"/>
          <w:shd w:val="clear" w:color="auto" w:fill="FFFFFF"/>
        </w:rPr>
        <w:t>(A</w:t>
      </w:r>
      <w:r w:rsidR="00BD46F1">
        <w:rPr>
          <w:rFonts w:ascii="Cambria" w:hAnsi="Cambria" w:cs="Arial"/>
          <w:color w:val="000000" w:themeColor="text1"/>
          <w:sz w:val="16"/>
          <w:szCs w:val="16"/>
          <w:shd w:val="clear" w:color="auto" w:fill="FFFFFF"/>
        </w:rPr>
        <w:t>ugust</w:t>
      </w:r>
      <w:r w:rsidR="00BD46F1" w:rsidRPr="009035C0">
        <w:rPr>
          <w:rFonts w:ascii="Cambria" w:hAnsi="Cambria" w:cs="Arial"/>
          <w:color w:val="000000" w:themeColor="text1"/>
          <w:sz w:val="16"/>
          <w:szCs w:val="16"/>
          <w:shd w:val="clear" w:color="auto" w:fill="FFFFFF"/>
        </w:rPr>
        <w:t xml:space="preserve"> 2021), 2021, pg.</w:t>
      </w:r>
      <w:r w:rsidR="00306EF2" w:rsidRPr="009035C0">
        <w:rPr>
          <w:rFonts w:ascii="Cambria" w:hAnsi="Cambria" w:cs="Arial"/>
          <w:color w:val="000000" w:themeColor="text1"/>
          <w:sz w:val="16"/>
          <w:szCs w:val="16"/>
          <w:shd w:val="clear" w:color="auto" w:fill="FFFFFF"/>
        </w:rPr>
        <w:t xml:space="preserve"> 7.</w:t>
      </w:r>
    </w:p>
  </w:footnote>
  <w:footnote w:id="357">
    <w:p w14:paraId="6F3CFA1C" w14:textId="241BEECC" w:rsidR="00A805E8" w:rsidRPr="009035C0" w:rsidRDefault="00A805E8"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306EF2" w:rsidRPr="009035C0">
        <w:rPr>
          <w:rFonts w:ascii="Cambria" w:hAnsi="Cambria" w:cs="Arial"/>
          <w:color w:val="000000" w:themeColor="text1"/>
          <w:sz w:val="16"/>
          <w:szCs w:val="16"/>
          <w:shd w:val="clear" w:color="auto" w:fill="FFFFFF"/>
        </w:rPr>
        <w:t xml:space="preserve">Una Ventana a la libertad, </w:t>
      </w:r>
      <w:r w:rsidR="00BD46F1">
        <w:rPr>
          <w:rFonts w:ascii="Cambria" w:hAnsi="Cambria" w:cs="Arial"/>
          <w:color w:val="000000" w:themeColor="text1"/>
          <w:sz w:val="16"/>
          <w:szCs w:val="16"/>
          <w:shd w:val="clear" w:color="auto" w:fill="FFFFFF"/>
        </w:rPr>
        <w:t xml:space="preserve">Report on the Situation of the Human Rights of Persons Deprived of Liberty in the Pretrial Detention Facilities of Venezuela </w:t>
      </w:r>
      <w:r w:rsidR="00BD46F1" w:rsidRPr="009035C0">
        <w:rPr>
          <w:rFonts w:ascii="Cambria" w:hAnsi="Cambria" w:cs="Arial"/>
          <w:color w:val="000000" w:themeColor="text1"/>
          <w:sz w:val="16"/>
          <w:szCs w:val="16"/>
          <w:shd w:val="clear" w:color="auto" w:fill="FFFFFF"/>
        </w:rPr>
        <w:t xml:space="preserve">– </w:t>
      </w:r>
      <w:r w:rsidR="00BD46F1">
        <w:rPr>
          <w:rFonts w:ascii="Cambria" w:hAnsi="Cambria" w:cs="Arial"/>
          <w:color w:val="000000" w:themeColor="text1"/>
          <w:sz w:val="16"/>
          <w:szCs w:val="16"/>
          <w:shd w:val="clear" w:color="auto" w:fill="FFFFFF"/>
        </w:rPr>
        <w:t>First Half 2021</w:t>
      </w:r>
      <w:r w:rsidR="00BD46F1" w:rsidRPr="009035C0">
        <w:rPr>
          <w:rFonts w:ascii="Cambria" w:hAnsi="Cambria" w:cs="Arial"/>
          <w:color w:val="000000" w:themeColor="text1"/>
          <w:sz w:val="16"/>
          <w:szCs w:val="16"/>
          <w:shd w:val="clear" w:color="auto" w:fill="FFFFFF"/>
        </w:rPr>
        <w:t>(A</w:t>
      </w:r>
      <w:r w:rsidR="00BD46F1">
        <w:rPr>
          <w:rFonts w:ascii="Cambria" w:hAnsi="Cambria" w:cs="Arial"/>
          <w:color w:val="000000" w:themeColor="text1"/>
          <w:sz w:val="16"/>
          <w:szCs w:val="16"/>
          <w:shd w:val="clear" w:color="auto" w:fill="FFFFFF"/>
        </w:rPr>
        <w:t>ugust</w:t>
      </w:r>
      <w:r w:rsidR="00BD46F1" w:rsidRPr="009035C0">
        <w:rPr>
          <w:rFonts w:ascii="Cambria" w:hAnsi="Cambria" w:cs="Arial"/>
          <w:color w:val="000000" w:themeColor="text1"/>
          <w:sz w:val="16"/>
          <w:szCs w:val="16"/>
          <w:shd w:val="clear" w:color="auto" w:fill="FFFFFF"/>
        </w:rPr>
        <w:t xml:space="preserve"> 2021), 2021, pg.</w:t>
      </w:r>
      <w:r w:rsidR="00306EF2" w:rsidRPr="009035C0">
        <w:rPr>
          <w:rFonts w:ascii="Cambria" w:hAnsi="Cambria" w:cs="Arial"/>
          <w:color w:val="000000" w:themeColor="text1"/>
          <w:sz w:val="16"/>
          <w:szCs w:val="16"/>
          <w:shd w:val="clear" w:color="auto" w:fill="FFFFFF"/>
        </w:rPr>
        <w:t xml:space="preserve"> 6.</w:t>
      </w:r>
    </w:p>
  </w:footnote>
  <w:footnote w:id="358">
    <w:p w14:paraId="6B01700C" w14:textId="72D0146F" w:rsidR="00627CEE" w:rsidRPr="009035C0" w:rsidRDefault="00627CEE"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306EF2" w:rsidRPr="009035C0">
        <w:rPr>
          <w:rFonts w:ascii="Cambria" w:hAnsi="Cambria" w:cs="Arial"/>
          <w:color w:val="000000" w:themeColor="text1"/>
          <w:sz w:val="16"/>
          <w:szCs w:val="16"/>
          <w:shd w:val="clear" w:color="auto" w:fill="FFFFFF"/>
        </w:rPr>
        <w:t xml:space="preserve">Una Ventana a la libertad, </w:t>
      </w:r>
      <w:r w:rsidR="00B1771F">
        <w:rPr>
          <w:rFonts w:ascii="Cambria" w:hAnsi="Cambria" w:cs="Arial"/>
          <w:color w:val="000000" w:themeColor="text1"/>
          <w:sz w:val="16"/>
          <w:szCs w:val="16"/>
          <w:shd w:val="clear" w:color="auto" w:fill="FFFFFF"/>
        </w:rPr>
        <w:t xml:space="preserve">Report on the Situation of the Human Rights of Persons Deprived of Liberty in the Pretrial Detention Facilities of Venezuela </w:t>
      </w:r>
      <w:r w:rsidR="00B1771F" w:rsidRPr="009035C0">
        <w:rPr>
          <w:rFonts w:ascii="Cambria" w:hAnsi="Cambria" w:cs="Arial"/>
          <w:color w:val="000000" w:themeColor="text1"/>
          <w:sz w:val="16"/>
          <w:szCs w:val="16"/>
          <w:shd w:val="clear" w:color="auto" w:fill="FFFFFF"/>
        </w:rPr>
        <w:t xml:space="preserve">– </w:t>
      </w:r>
      <w:r w:rsidR="00B1771F">
        <w:rPr>
          <w:rFonts w:ascii="Cambria" w:hAnsi="Cambria" w:cs="Arial"/>
          <w:color w:val="000000" w:themeColor="text1"/>
          <w:sz w:val="16"/>
          <w:szCs w:val="16"/>
          <w:shd w:val="clear" w:color="auto" w:fill="FFFFFF"/>
        </w:rPr>
        <w:t>First Half 2021</w:t>
      </w:r>
      <w:r w:rsidR="00B1771F" w:rsidRPr="009035C0">
        <w:rPr>
          <w:rFonts w:ascii="Cambria" w:hAnsi="Cambria" w:cs="Arial"/>
          <w:color w:val="000000" w:themeColor="text1"/>
          <w:sz w:val="16"/>
          <w:szCs w:val="16"/>
          <w:shd w:val="clear" w:color="auto" w:fill="FFFFFF"/>
        </w:rPr>
        <w:t>(A</w:t>
      </w:r>
      <w:r w:rsidR="00B1771F">
        <w:rPr>
          <w:rFonts w:ascii="Cambria" w:hAnsi="Cambria" w:cs="Arial"/>
          <w:color w:val="000000" w:themeColor="text1"/>
          <w:sz w:val="16"/>
          <w:szCs w:val="16"/>
          <w:shd w:val="clear" w:color="auto" w:fill="FFFFFF"/>
        </w:rPr>
        <w:t>ugust</w:t>
      </w:r>
      <w:r w:rsidR="00B1771F" w:rsidRPr="009035C0">
        <w:rPr>
          <w:rFonts w:ascii="Cambria" w:hAnsi="Cambria" w:cs="Arial"/>
          <w:color w:val="000000" w:themeColor="text1"/>
          <w:sz w:val="16"/>
          <w:szCs w:val="16"/>
          <w:shd w:val="clear" w:color="auto" w:fill="FFFFFF"/>
        </w:rPr>
        <w:t xml:space="preserve"> 2021), 2021, pg.</w:t>
      </w:r>
      <w:r w:rsidR="00306EF2" w:rsidRPr="009035C0">
        <w:rPr>
          <w:rFonts w:ascii="Cambria" w:hAnsi="Cambria" w:cs="Arial"/>
          <w:color w:val="000000" w:themeColor="text1"/>
          <w:sz w:val="16"/>
          <w:szCs w:val="16"/>
          <w:shd w:val="clear" w:color="auto" w:fill="FFFFFF"/>
        </w:rPr>
        <w:t xml:space="preserve"> 11.</w:t>
      </w:r>
    </w:p>
  </w:footnote>
  <w:footnote w:id="359">
    <w:p w14:paraId="5530F7F3" w14:textId="6BBC5BCA" w:rsidR="008D459B" w:rsidRPr="009035C0" w:rsidRDefault="008D459B"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306EF2" w:rsidRPr="009035C0">
        <w:rPr>
          <w:rFonts w:ascii="Cambria" w:hAnsi="Cambria" w:cs="Arial"/>
          <w:color w:val="000000" w:themeColor="text1"/>
          <w:sz w:val="16"/>
          <w:szCs w:val="16"/>
          <w:shd w:val="clear" w:color="auto" w:fill="FFFFFF"/>
        </w:rPr>
        <w:t xml:space="preserve">Una Ventana a la libertad, </w:t>
      </w:r>
      <w:r w:rsidR="00B1771F">
        <w:rPr>
          <w:rFonts w:ascii="Cambria" w:hAnsi="Cambria" w:cs="Arial"/>
          <w:color w:val="000000" w:themeColor="text1"/>
          <w:sz w:val="16"/>
          <w:szCs w:val="16"/>
          <w:shd w:val="clear" w:color="auto" w:fill="FFFFFF"/>
        </w:rPr>
        <w:t xml:space="preserve">Report on the Situation of the Human Rights of Persons Deprived of Liberty in the Pretrial Detention Facilities of Venezuela </w:t>
      </w:r>
      <w:r w:rsidR="00B1771F" w:rsidRPr="009035C0">
        <w:rPr>
          <w:rFonts w:ascii="Cambria" w:hAnsi="Cambria" w:cs="Arial"/>
          <w:color w:val="000000" w:themeColor="text1"/>
          <w:sz w:val="16"/>
          <w:szCs w:val="16"/>
          <w:shd w:val="clear" w:color="auto" w:fill="FFFFFF"/>
        </w:rPr>
        <w:t xml:space="preserve">– </w:t>
      </w:r>
      <w:r w:rsidR="00B1771F">
        <w:rPr>
          <w:rFonts w:ascii="Cambria" w:hAnsi="Cambria" w:cs="Arial"/>
          <w:color w:val="000000" w:themeColor="text1"/>
          <w:sz w:val="16"/>
          <w:szCs w:val="16"/>
          <w:shd w:val="clear" w:color="auto" w:fill="FFFFFF"/>
        </w:rPr>
        <w:t>First Half 2021</w:t>
      </w:r>
      <w:r w:rsidR="00B1771F" w:rsidRPr="009035C0">
        <w:rPr>
          <w:rFonts w:ascii="Cambria" w:hAnsi="Cambria" w:cs="Arial"/>
          <w:color w:val="000000" w:themeColor="text1"/>
          <w:sz w:val="16"/>
          <w:szCs w:val="16"/>
          <w:shd w:val="clear" w:color="auto" w:fill="FFFFFF"/>
        </w:rPr>
        <w:t>(A</w:t>
      </w:r>
      <w:r w:rsidR="00B1771F">
        <w:rPr>
          <w:rFonts w:ascii="Cambria" w:hAnsi="Cambria" w:cs="Arial"/>
          <w:color w:val="000000" w:themeColor="text1"/>
          <w:sz w:val="16"/>
          <w:szCs w:val="16"/>
          <w:shd w:val="clear" w:color="auto" w:fill="FFFFFF"/>
        </w:rPr>
        <w:t>ugust</w:t>
      </w:r>
      <w:r w:rsidR="00B1771F" w:rsidRPr="009035C0">
        <w:rPr>
          <w:rFonts w:ascii="Cambria" w:hAnsi="Cambria" w:cs="Arial"/>
          <w:color w:val="000000" w:themeColor="text1"/>
          <w:sz w:val="16"/>
          <w:szCs w:val="16"/>
          <w:shd w:val="clear" w:color="auto" w:fill="FFFFFF"/>
        </w:rPr>
        <w:t xml:space="preserve"> 2021), 2021, pg.</w:t>
      </w:r>
      <w:r w:rsidR="00306EF2" w:rsidRPr="009035C0">
        <w:rPr>
          <w:rFonts w:ascii="Cambria" w:hAnsi="Cambria" w:cs="Arial"/>
          <w:color w:val="000000" w:themeColor="text1"/>
          <w:sz w:val="16"/>
          <w:szCs w:val="16"/>
          <w:shd w:val="clear" w:color="auto" w:fill="FFFFFF"/>
        </w:rPr>
        <w:t xml:space="preserve"> 10.</w:t>
      </w:r>
    </w:p>
  </w:footnote>
  <w:footnote w:id="360">
    <w:p w14:paraId="6AC672D4" w14:textId="12C05EC6" w:rsidR="00EA4C93" w:rsidRPr="009035C0" w:rsidRDefault="00EA4C93"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306EF2" w:rsidRPr="009035C0">
        <w:rPr>
          <w:rFonts w:ascii="Cambria" w:hAnsi="Cambria" w:cs="Arial"/>
          <w:color w:val="000000" w:themeColor="text1"/>
          <w:sz w:val="16"/>
          <w:szCs w:val="16"/>
          <w:shd w:val="clear" w:color="auto" w:fill="FFFFFF"/>
        </w:rPr>
        <w:t xml:space="preserve">Una Ventana a la libertad, </w:t>
      </w:r>
      <w:r w:rsidR="00B1771F">
        <w:rPr>
          <w:rFonts w:ascii="Cambria" w:hAnsi="Cambria" w:cs="Arial"/>
          <w:color w:val="000000" w:themeColor="text1"/>
          <w:sz w:val="16"/>
          <w:szCs w:val="16"/>
          <w:shd w:val="clear" w:color="auto" w:fill="FFFFFF"/>
        </w:rPr>
        <w:t xml:space="preserve">Report on the Situation of the Human Rights of Persons Deprived of Liberty in the Pretrial Detention Facilities of Venezuela </w:t>
      </w:r>
      <w:r w:rsidR="00B1771F" w:rsidRPr="009035C0">
        <w:rPr>
          <w:rFonts w:ascii="Cambria" w:hAnsi="Cambria" w:cs="Arial"/>
          <w:color w:val="000000" w:themeColor="text1"/>
          <w:sz w:val="16"/>
          <w:szCs w:val="16"/>
          <w:shd w:val="clear" w:color="auto" w:fill="FFFFFF"/>
        </w:rPr>
        <w:t xml:space="preserve">– </w:t>
      </w:r>
      <w:r w:rsidR="00B1771F">
        <w:rPr>
          <w:rFonts w:ascii="Cambria" w:hAnsi="Cambria" w:cs="Arial"/>
          <w:color w:val="000000" w:themeColor="text1"/>
          <w:sz w:val="16"/>
          <w:szCs w:val="16"/>
          <w:shd w:val="clear" w:color="auto" w:fill="FFFFFF"/>
        </w:rPr>
        <w:t>First Half 2021</w:t>
      </w:r>
      <w:r w:rsidR="00B1771F" w:rsidRPr="009035C0">
        <w:rPr>
          <w:rFonts w:ascii="Cambria" w:hAnsi="Cambria" w:cs="Arial"/>
          <w:color w:val="000000" w:themeColor="text1"/>
          <w:sz w:val="16"/>
          <w:szCs w:val="16"/>
          <w:shd w:val="clear" w:color="auto" w:fill="FFFFFF"/>
        </w:rPr>
        <w:t>(A</w:t>
      </w:r>
      <w:r w:rsidR="00B1771F">
        <w:rPr>
          <w:rFonts w:ascii="Cambria" w:hAnsi="Cambria" w:cs="Arial"/>
          <w:color w:val="000000" w:themeColor="text1"/>
          <w:sz w:val="16"/>
          <w:szCs w:val="16"/>
          <w:shd w:val="clear" w:color="auto" w:fill="FFFFFF"/>
        </w:rPr>
        <w:t>ugust</w:t>
      </w:r>
      <w:r w:rsidR="00B1771F" w:rsidRPr="009035C0">
        <w:rPr>
          <w:rFonts w:ascii="Cambria" w:hAnsi="Cambria" w:cs="Arial"/>
          <w:color w:val="000000" w:themeColor="text1"/>
          <w:sz w:val="16"/>
          <w:szCs w:val="16"/>
          <w:shd w:val="clear" w:color="auto" w:fill="FFFFFF"/>
        </w:rPr>
        <w:t xml:space="preserve"> 2021), 2021, pg.</w:t>
      </w:r>
      <w:r w:rsidR="00306EF2" w:rsidRPr="009035C0">
        <w:rPr>
          <w:rFonts w:ascii="Cambria" w:hAnsi="Cambria" w:cs="Arial"/>
          <w:color w:val="000000" w:themeColor="text1"/>
          <w:sz w:val="16"/>
          <w:szCs w:val="16"/>
          <w:shd w:val="clear" w:color="auto" w:fill="FFFFFF"/>
        </w:rPr>
        <w:t xml:space="preserve"> 11.</w:t>
      </w:r>
    </w:p>
  </w:footnote>
  <w:footnote w:id="361">
    <w:p w14:paraId="7551F52A" w14:textId="137DD989" w:rsidR="00B1050D" w:rsidRPr="009035C0" w:rsidRDefault="00B1050D"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UN Human Ri</w:t>
      </w:r>
      <w:r w:rsidR="00436C37" w:rsidRPr="009035C0">
        <w:rPr>
          <w:rFonts w:ascii="Cambria" w:hAnsi="Cambria"/>
          <w:color w:val="000000" w:themeColor="text1"/>
          <w:sz w:val="16"/>
          <w:szCs w:val="16"/>
        </w:rPr>
        <w:t>g</w:t>
      </w:r>
      <w:r w:rsidRPr="009035C0">
        <w:rPr>
          <w:rFonts w:ascii="Cambria" w:hAnsi="Cambria"/>
          <w:color w:val="000000" w:themeColor="text1"/>
          <w:sz w:val="16"/>
          <w:szCs w:val="16"/>
        </w:rPr>
        <w:t xml:space="preserve">hts, </w:t>
      </w:r>
      <w:r w:rsidR="00B1771F">
        <w:rPr>
          <w:rFonts w:ascii="Cambria" w:hAnsi="Cambria"/>
          <w:color w:val="000000" w:themeColor="text1"/>
          <w:sz w:val="16"/>
          <w:szCs w:val="16"/>
        </w:rPr>
        <w:t>Statement on Twitter</w:t>
      </w:r>
      <w:r w:rsidRPr="009035C0">
        <w:rPr>
          <w:rFonts w:ascii="Cambria" w:hAnsi="Cambria"/>
          <w:color w:val="000000" w:themeColor="text1"/>
          <w:sz w:val="16"/>
          <w:szCs w:val="16"/>
        </w:rPr>
        <w:t>,</w:t>
      </w:r>
      <w:r w:rsidR="00B1771F">
        <w:rPr>
          <w:rFonts w:ascii="Cambria" w:hAnsi="Cambria"/>
          <w:color w:val="000000" w:themeColor="text1"/>
          <w:sz w:val="16"/>
          <w:szCs w:val="16"/>
        </w:rPr>
        <w:t xml:space="preserve"> May</w:t>
      </w:r>
      <w:r w:rsidRPr="009035C0">
        <w:rPr>
          <w:rFonts w:ascii="Cambria" w:hAnsi="Cambria"/>
          <w:color w:val="000000" w:themeColor="text1"/>
          <w:sz w:val="16"/>
          <w:szCs w:val="16"/>
        </w:rPr>
        <w:t xml:space="preserve"> 21</w:t>
      </w:r>
      <w:r w:rsidR="00B1771F">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362">
    <w:p w14:paraId="7455BBBD" w14:textId="40B617DB" w:rsidR="0071565F" w:rsidRPr="009035C0" w:rsidRDefault="0071565F"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66697B" w:rsidRPr="009035C0">
        <w:rPr>
          <w:rFonts w:ascii="Cambria" w:hAnsi="Cambria"/>
          <w:color w:val="000000" w:themeColor="text1"/>
          <w:sz w:val="16"/>
          <w:szCs w:val="16"/>
        </w:rPr>
        <w:t>Testimon</w:t>
      </w:r>
      <w:r w:rsidR="00B1771F">
        <w:rPr>
          <w:rFonts w:ascii="Cambria" w:hAnsi="Cambria"/>
          <w:color w:val="000000" w:themeColor="text1"/>
          <w:sz w:val="16"/>
          <w:szCs w:val="16"/>
        </w:rPr>
        <w:t>y provided by the mother of a person deprived of liberty who was moved to a new prison</w:t>
      </w:r>
      <w:r w:rsidR="00CB3D6A">
        <w:rPr>
          <w:rFonts w:ascii="Cambria" w:hAnsi="Cambria"/>
          <w:color w:val="000000" w:themeColor="text1"/>
          <w:sz w:val="16"/>
          <w:szCs w:val="16"/>
        </w:rPr>
        <w:t>, which was unknown to her; taken virtually by the IACHR on July</w:t>
      </w:r>
      <w:r w:rsidR="0066697B" w:rsidRPr="009035C0">
        <w:rPr>
          <w:rFonts w:ascii="Cambria" w:hAnsi="Cambria"/>
          <w:color w:val="000000" w:themeColor="text1"/>
          <w:sz w:val="16"/>
          <w:szCs w:val="16"/>
        </w:rPr>
        <w:t xml:space="preserve"> 29</w:t>
      </w:r>
      <w:r w:rsidR="00CB3D6A">
        <w:rPr>
          <w:rFonts w:ascii="Cambria" w:hAnsi="Cambria"/>
          <w:color w:val="000000" w:themeColor="text1"/>
          <w:sz w:val="16"/>
          <w:szCs w:val="16"/>
        </w:rPr>
        <w:t>,</w:t>
      </w:r>
      <w:r w:rsidR="0066697B" w:rsidRPr="009035C0">
        <w:rPr>
          <w:rFonts w:ascii="Cambria" w:hAnsi="Cambria"/>
          <w:color w:val="000000" w:themeColor="text1"/>
          <w:sz w:val="16"/>
          <w:szCs w:val="16"/>
        </w:rPr>
        <w:t xml:space="preserve"> 2021.</w:t>
      </w:r>
    </w:p>
  </w:footnote>
  <w:footnote w:id="363">
    <w:p w14:paraId="4A7C0B61" w14:textId="0912D7FA" w:rsidR="0071565F" w:rsidRPr="009035C0" w:rsidRDefault="0071565F"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66697B" w:rsidRPr="009035C0">
        <w:rPr>
          <w:rFonts w:ascii="Cambria" w:hAnsi="Cambria" w:cs="Arial"/>
          <w:color w:val="000000" w:themeColor="text1"/>
          <w:sz w:val="16"/>
          <w:szCs w:val="16"/>
          <w:shd w:val="clear" w:color="auto" w:fill="FFFFFF"/>
        </w:rPr>
        <w:t xml:space="preserve">Una Ventana a la libertad, </w:t>
      </w:r>
      <w:r w:rsidR="00A8143C">
        <w:rPr>
          <w:rFonts w:ascii="Cambria" w:hAnsi="Cambria" w:cs="Arial"/>
          <w:color w:val="000000" w:themeColor="text1"/>
          <w:sz w:val="16"/>
          <w:szCs w:val="16"/>
          <w:shd w:val="clear" w:color="auto" w:fill="FFFFFF"/>
        </w:rPr>
        <w:t xml:space="preserve">Report on the Situation of the Human Rights of Persons Deprived of Liberty in the Pretrial Detention Facilities of Venezuela </w:t>
      </w:r>
      <w:r w:rsidR="00A8143C" w:rsidRPr="009035C0">
        <w:rPr>
          <w:rFonts w:ascii="Cambria" w:hAnsi="Cambria" w:cs="Arial"/>
          <w:color w:val="000000" w:themeColor="text1"/>
          <w:sz w:val="16"/>
          <w:szCs w:val="16"/>
          <w:shd w:val="clear" w:color="auto" w:fill="FFFFFF"/>
        </w:rPr>
        <w:t xml:space="preserve">– </w:t>
      </w:r>
      <w:r w:rsidR="00A8143C">
        <w:rPr>
          <w:rFonts w:ascii="Cambria" w:hAnsi="Cambria" w:cs="Arial"/>
          <w:color w:val="000000" w:themeColor="text1"/>
          <w:sz w:val="16"/>
          <w:szCs w:val="16"/>
          <w:shd w:val="clear" w:color="auto" w:fill="FFFFFF"/>
        </w:rPr>
        <w:t>First Half 2021</w:t>
      </w:r>
      <w:r w:rsidR="00A8143C" w:rsidRPr="009035C0">
        <w:rPr>
          <w:rFonts w:ascii="Cambria" w:hAnsi="Cambria" w:cs="Arial"/>
          <w:color w:val="000000" w:themeColor="text1"/>
          <w:sz w:val="16"/>
          <w:szCs w:val="16"/>
          <w:shd w:val="clear" w:color="auto" w:fill="FFFFFF"/>
        </w:rPr>
        <w:t>(A</w:t>
      </w:r>
      <w:r w:rsidR="00A8143C">
        <w:rPr>
          <w:rFonts w:ascii="Cambria" w:hAnsi="Cambria" w:cs="Arial"/>
          <w:color w:val="000000" w:themeColor="text1"/>
          <w:sz w:val="16"/>
          <w:szCs w:val="16"/>
          <w:shd w:val="clear" w:color="auto" w:fill="FFFFFF"/>
        </w:rPr>
        <w:t>ugust</w:t>
      </w:r>
      <w:r w:rsidR="00A8143C" w:rsidRPr="009035C0">
        <w:rPr>
          <w:rFonts w:ascii="Cambria" w:hAnsi="Cambria" w:cs="Arial"/>
          <w:color w:val="000000" w:themeColor="text1"/>
          <w:sz w:val="16"/>
          <w:szCs w:val="16"/>
          <w:shd w:val="clear" w:color="auto" w:fill="FFFFFF"/>
        </w:rPr>
        <w:t xml:space="preserve"> 2021), 2021, pg.</w:t>
      </w:r>
      <w:r w:rsidR="0066697B" w:rsidRPr="009035C0">
        <w:rPr>
          <w:rFonts w:ascii="Cambria" w:hAnsi="Cambria" w:cs="Arial"/>
          <w:color w:val="000000" w:themeColor="text1"/>
          <w:sz w:val="16"/>
          <w:szCs w:val="16"/>
          <w:shd w:val="clear" w:color="auto" w:fill="FFFFFF"/>
        </w:rPr>
        <w:t xml:space="preserve"> 10.</w:t>
      </w:r>
    </w:p>
  </w:footnote>
  <w:footnote w:id="364">
    <w:p w14:paraId="16B29080" w14:textId="18F161E8" w:rsidR="0071565F" w:rsidRPr="009035C0" w:rsidRDefault="0071565F"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B7A97">
        <w:rPr>
          <w:rFonts w:ascii="Cambria" w:hAnsi="Cambria"/>
          <w:color w:val="000000" w:themeColor="text1"/>
          <w:sz w:val="16"/>
          <w:szCs w:val="16"/>
        </w:rPr>
        <w:t>IACHR,</w:t>
      </w:r>
      <w:r w:rsidR="0066697B" w:rsidRPr="009035C0">
        <w:rPr>
          <w:rFonts w:ascii="Cambria" w:hAnsi="Cambria"/>
          <w:color w:val="000000" w:themeColor="text1"/>
          <w:sz w:val="16"/>
          <w:szCs w:val="16"/>
        </w:rPr>
        <w:t xml:space="preserve"> </w:t>
      </w:r>
      <w:hyperlink r:id="rId353" w:history="1">
        <w:r w:rsidR="0066697B" w:rsidRPr="009035C0">
          <w:rPr>
            <w:rStyle w:val="Hyperlink"/>
            <w:rFonts w:ascii="Cambria" w:hAnsi="Cambria"/>
            <w:color w:val="000000" w:themeColor="text1"/>
            <w:sz w:val="16"/>
            <w:szCs w:val="16"/>
          </w:rPr>
          <w:t>Observaciones a Opinión Consultiva a la Corte Interamericana de Derechos Humanos</w:t>
        </w:r>
      </w:hyperlink>
      <w:r w:rsidR="0066697B" w:rsidRPr="009035C0">
        <w:rPr>
          <w:rFonts w:ascii="Cambria" w:hAnsi="Cambria"/>
          <w:color w:val="000000" w:themeColor="text1"/>
          <w:sz w:val="16"/>
          <w:szCs w:val="16"/>
        </w:rPr>
        <w:t xml:space="preserve"> </w:t>
      </w:r>
      <w:r w:rsidR="009B7A97">
        <w:rPr>
          <w:rFonts w:ascii="Cambria" w:hAnsi="Cambria"/>
          <w:color w:val="000000" w:themeColor="text1"/>
          <w:sz w:val="16"/>
          <w:szCs w:val="16"/>
        </w:rPr>
        <w:t>[Observations on the Advisory Opinion of the Inter-American Court of Human Rights]</w:t>
      </w:r>
      <w:r w:rsidR="0066697B" w:rsidRPr="009035C0">
        <w:rPr>
          <w:rFonts w:ascii="Cambria" w:hAnsi="Cambria"/>
          <w:color w:val="000000" w:themeColor="text1"/>
          <w:sz w:val="16"/>
          <w:szCs w:val="16"/>
        </w:rPr>
        <w:t>- Enfoques diferenciados en materia de personas privadas de la libertad</w:t>
      </w:r>
      <w:r w:rsidR="009B7A97">
        <w:rPr>
          <w:rFonts w:ascii="Cambria" w:hAnsi="Cambria"/>
          <w:color w:val="000000" w:themeColor="text1"/>
          <w:sz w:val="16"/>
          <w:szCs w:val="16"/>
        </w:rPr>
        <w:t xml:space="preserve"> [Differentiated Approaches </w:t>
      </w:r>
      <w:r w:rsidR="00C84BD5">
        <w:rPr>
          <w:rFonts w:ascii="Cambria" w:hAnsi="Cambria"/>
          <w:color w:val="000000" w:themeColor="text1"/>
          <w:sz w:val="16"/>
          <w:szCs w:val="16"/>
        </w:rPr>
        <w:t>to persons deprived of liberty], November</w:t>
      </w:r>
      <w:r w:rsidR="0066697B" w:rsidRPr="009035C0">
        <w:rPr>
          <w:rFonts w:ascii="Cambria" w:hAnsi="Cambria"/>
          <w:color w:val="000000" w:themeColor="text1"/>
          <w:sz w:val="16"/>
          <w:szCs w:val="16"/>
        </w:rPr>
        <w:t xml:space="preserve"> 14</w:t>
      </w:r>
      <w:r w:rsidR="00C84BD5">
        <w:rPr>
          <w:rFonts w:ascii="Cambria" w:hAnsi="Cambria"/>
          <w:color w:val="000000" w:themeColor="text1"/>
          <w:sz w:val="16"/>
          <w:szCs w:val="16"/>
        </w:rPr>
        <w:t>,</w:t>
      </w:r>
      <w:r w:rsidR="0066697B" w:rsidRPr="009035C0">
        <w:rPr>
          <w:rFonts w:ascii="Cambria" w:hAnsi="Cambria"/>
          <w:color w:val="000000" w:themeColor="text1"/>
          <w:sz w:val="16"/>
          <w:szCs w:val="16"/>
        </w:rPr>
        <w:t xml:space="preserve"> 2020, p</w:t>
      </w:r>
      <w:r w:rsidR="00D80910">
        <w:rPr>
          <w:rFonts w:ascii="Cambria" w:hAnsi="Cambria"/>
          <w:color w:val="000000" w:themeColor="text1"/>
          <w:sz w:val="16"/>
          <w:szCs w:val="16"/>
        </w:rPr>
        <w:t>a</w:t>
      </w:r>
      <w:r w:rsidR="0066697B" w:rsidRPr="009035C0">
        <w:rPr>
          <w:rFonts w:ascii="Cambria" w:hAnsi="Cambria"/>
          <w:color w:val="000000" w:themeColor="text1"/>
          <w:sz w:val="16"/>
          <w:szCs w:val="16"/>
        </w:rPr>
        <w:t>r. 85.</w:t>
      </w:r>
    </w:p>
  </w:footnote>
  <w:footnote w:id="365">
    <w:p w14:paraId="495A2873" w14:textId="0284249E" w:rsidR="00B1050D" w:rsidRPr="00E7771A" w:rsidRDefault="00B1050D" w:rsidP="00F85814">
      <w:pPr>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Pr="00E7771A">
        <w:rPr>
          <w:rFonts w:ascii="Cambria" w:hAnsi="Cambria" w:cs="Arial"/>
          <w:color w:val="000000" w:themeColor="text1"/>
          <w:sz w:val="16"/>
          <w:szCs w:val="16"/>
          <w:shd w:val="clear" w:color="auto" w:fill="FFFFFF"/>
          <w:lang w:val="es-US"/>
        </w:rPr>
        <w:t>Una Ventana a la Libertad, </w:t>
      </w:r>
      <w:r w:rsidR="00A8143C" w:rsidRPr="00E7771A">
        <w:rPr>
          <w:rFonts w:ascii="Cambria" w:hAnsi="Cambria" w:cs="Arial"/>
          <w:color w:val="000000" w:themeColor="text1"/>
          <w:sz w:val="16"/>
          <w:szCs w:val="16"/>
          <w:shd w:val="clear" w:color="auto" w:fill="FFFFFF"/>
          <w:lang w:val="es-US"/>
        </w:rPr>
        <w:t xml:space="preserve">60 </w:t>
      </w:r>
      <w:r w:rsidRPr="00E7771A">
        <w:rPr>
          <w:rFonts w:ascii="Cambria" w:hAnsi="Cambria" w:cs="Arial"/>
          <w:color w:val="000000" w:themeColor="text1"/>
          <w:sz w:val="16"/>
          <w:szCs w:val="16"/>
          <w:shd w:val="clear" w:color="auto" w:fill="FFFFFF"/>
          <w:lang w:val="es-US"/>
        </w:rPr>
        <w:t xml:space="preserve">días de la Comisión para la Reforma del Poder Judicial, ¿Acabar el hacinamiento? </w:t>
      </w:r>
      <w:r w:rsidR="00A8143C">
        <w:rPr>
          <w:rFonts w:ascii="Cambria" w:hAnsi="Cambria" w:cs="Arial"/>
          <w:color w:val="000000" w:themeColor="text1"/>
          <w:sz w:val="16"/>
          <w:szCs w:val="16"/>
          <w:shd w:val="clear" w:color="auto" w:fill="FFFFFF"/>
        </w:rPr>
        <w:t>[Special Report:</w:t>
      </w:r>
      <w:r w:rsidR="00A8143C" w:rsidRPr="009035C0">
        <w:rPr>
          <w:rFonts w:ascii="Cambria" w:hAnsi="Cambria" w:cs="Arial"/>
          <w:color w:val="000000" w:themeColor="text1"/>
          <w:sz w:val="16"/>
          <w:szCs w:val="16"/>
          <w:shd w:val="clear" w:color="auto" w:fill="FFFFFF"/>
        </w:rPr>
        <w:t xml:space="preserve"> 60 </w:t>
      </w:r>
      <w:r w:rsidR="00A8143C">
        <w:rPr>
          <w:rFonts w:ascii="Cambria" w:hAnsi="Cambria" w:cs="Arial"/>
          <w:color w:val="000000" w:themeColor="text1"/>
          <w:sz w:val="16"/>
          <w:szCs w:val="16"/>
          <w:shd w:val="clear" w:color="auto" w:fill="FFFFFF"/>
        </w:rPr>
        <w:t xml:space="preserve">days of the Commission for the Reform of the Judicial Branch, Ending Overcrowding? ] </w:t>
      </w:r>
      <w:r w:rsidRPr="00E7771A">
        <w:rPr>
          <w:rFonts w:ascii="Cambria" w:hAnsi="Cambria" w:cs="Arial"/>
          <w:color w:val="000000" w:themeColor="text1"/>
          <w:sz w:val="16"/>
          <w:szCs w:val="16"/>
          <w:shd w:val="clear" w:color="auto" w:fill="FFFFFF"/>
          <w:lang w:val="es-US"/>
        </w:rPr>
        <w:t>(</w:t>
      </w:r>
      <w:r w:rsidR="00A8143C" w:rsidRPr="00E7771A">
        <w:rPr>
          <w:rFonts w:ascii="Cambria" w:hAnsi="Cambria" w:cs="Arial"/>
          <w:color w:val="000000" w:themeColor="text1"/>
          <w:sz w:val="16"/>
          <w:szCs w:val="16"/>
          <w:shd w:val="clear" w:color="auto" w:fill="FFFFFF"/>
          <w:lang w:val="es-US"/>
        </w:rPr>
        <w:t xml:space="preserve">September </w:t>
      </w:r>
      <w:r w:rsidRPr="00E7771A">
        <w:rPr>
          <w:rFonts w:ascii="Cambria" w:hAnsi="Cambria" w:cs="Arial"/>
          <w:color w:val="000000" w:themeColor="text1"/>
          <w:sz w:val="16"/>
          <w:szCs w:val="16"/>
          <w:shd w:val="clear" w:color="auto" w:fill="FFFFFF"/>
          <w:lang w:val="es-US"/>
        </w:rPr>
        <w:t>2021), 2021, pg. 6.</w:t>
      </w:r>
    </w:p>
  </w:footnote>
  <w:footnote w:id="366">
    <w:p w14:paraId="0646C6D9" w14:textId="77E93E55" w:rsidR="000D474B" w:rsidRPr="009035C0" w:rsidRDefault="000D474B"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B1050D" w:rsidRPr="00E7771A">
        <w:rPr>
          <w:rFonts w:ascii="Cambria" w:hAnsi="Cambria" w:cs="Arial"/>
          <w:color w:val="000000" w:themeColor="text1"/>
          <w:sz w:val="16"/>
          <w:szCs w:val="16"/>
          <w:shd w:val="clear" w:color="auto" w:fill="FFFFFF"/>
          <w:lang w:val="es-US"/>
        </w:rPr>
        <w:t xml:space="preserve">Una Ventana a la Libertad, Informe Especial: 60 días de la Comisión para la Reforma del Poder Judicial, ¿Acabar el hacinamiento? </w:t>
      </w:r>
      <w:r w:rsidR="00B1592A" w:rsidRPr="00E7771A">
        <w:rPr>
          <w:rFonts w:ascii="Cambria" w:hAnsi="Cambria" w:cs="Arial"/>
          <w:color w:val="000000" w:themeColor="text1"/>
          <w:sz w:val="16"/>
          <w:szCs w:val="16"/>
          <w:shd w:val="clear" w:color="auto" w:fill="FFFFFF"/>
          <w:lang w:val="es-US"/>
        </w:rPr>
        <w:t xml:space="preserve">? </w:t>
      </w:r>
      <w:r w:rsidR="00B1592A">
        <w:rPr>
          <w:rFonts w:ascii="Cambria" w:hAnsi="Cambria" w:cs="Arial"/>
          <w:color w:val="000000" w:themeColor="text1"/>
          <w:sz w:val="16"/>
          <w:szCs w:val="16"/>
          <w:shd w:val="clear" w:color="auto" w:fill="FFFFFF"/>
        </w:rPr>
        <w:t>[Special Report:</w:t>
      </w:r>
      <w:r w:rsidR="00B1592A" w:rsidRPr="009035C0">
        <w:rPr>
          <w:rFonts w:ascii="Cambria" w:hAnsi="Cambria" w:cs="Arial"/>
          <w:color w:val="000000" w:themeColor="text1"/>
          <w:sz w:val="16"/>
          <w:szCs w:val="16"/>
          <w:shd w:val="clear" w:color="auto" w:fill="FFFFFF"/>
        </w:rPr>
        <w:t xml:space="preserve"> 60 </w:t>
      </w:r>
      <w:r w:rsidR="00B1592A">
        <w:rPr>
          <w:rFonts w:ascii="Cambria" w:hAnsi="Cambria" w:cs="Arial"/>
          <w:color w:val="000000" w:themeColor="text1"/>
          <w:sz w:val="16"/>
          <w:szCs w:val="16"/>
          <w:shd w:val="clear" w:color="auto" w:fill="FFFFFF"/>
        </w:rPr>
        <w:t xml:space="preserve">days of the Commission for the Reform of the Judicial Branch, Ending Overcrowding? ] </w:t>
      </w:r>
      <w:r w:rsidR="00B1592A" w:rsidRPr="009035C0">
        <w:rPr>
          <w:rFonts w:ascii="Cambria" w:hAnsi="Cambria" w:cs="Arial"/>
          <w:color w:val="000000" w:themeColor="text1"/>
          <w:sz w:val="16"/>
          <w:szCs w:val="16"/>
          <w:shd w:val="clear" w:color="auto" w:fill="FFFFFF"/>
        </w:rPr>
        <w:t>(</w:t>
      </w:r>
      <w:r w:rsidR="00B1592A">
        <w:rPr>
          <w:rFonts w:ascii="Cambria" w:hAnsi="Cambria" w:cs="Arial"/>
          <w:color w:val="000000" w:themeColor="text1"/>
          <w:sz w:val="16"/>
          <w:szCs w:val="16"/>
          <w:shd w:val="clear" w:color="auto" w:fill="FFFFFF"/>
        </w:rPr>
        <w:t xml:space="preserve">September </w:t>
      </w:r>
      <w:r w:rsidR="00B1592A" w:rsidRPr="009035C0">
        <w:rPr>
          <w:rFonts w:ascii="Cambria" w:hAnsi="Cambria" w:cs="Arial"/>
          <w:color w:val="000000" w:themeColor="text1"/>
          <w:sz w:val="16"/>
          <w:szCs w:val="16"/>
          <w:shd w:val="clear" w:color="auto" w:fill="FFFFFF"/>
        </w:rPr>
        <w:t>2021), 2021, pg</w:t>
      </w:r>
      <w:r w:rsidR="00B1050D" w:rsidRPr="009035C0">
        <w:rPr>
          <w:rFonts w:ascii="Cambria" w:hAnsi="Cambria" w:cs="Arial"/>
          <w:color w:val="000000" w:themeColor="text1"/>
          <w:sz w:val="16"/>
          <w:szCs w:val="16"/>
          <w:shd w:val="clear" w:color="auto" w:fill="FFFFFF"/>
        </w:rPr>
        <w:t>. 8.</w:t>
      </w:r>
    </w:p>
  </w:footnote>
  <w:footnote w:id="367">
    <w:p w14:paraId="352149CE" w14:textId="7CB0D241" w:rsidR="00B811A7" w:rsidRPr="009035C0" w:rsidRDefault="00B811A7"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122044">
        <w:rPr>
          <w:rFonts w:ascii="Cambria" w:hAnsi="Cambria"/>
          <w:color w:val="000000" w:themeColor="text1"/>
          <w:sz w:val="16"/>
          <w:szCs w:val="16"/>
        </w:rPr>
        <w:t xml:space="preserve">Presidential Commissioner for Human Rights and Victim Assistance, Communication submitted to the IACHR, October 13, </w:t>
      </w:r>
      <w:r w:rsidR="00436C37" w:rsidRPr="009035C0">
        <w:rPr>
          <w:rFonts w:ascii="Cambria" w:hAnsi="Cambria" w:cs="Arial"/>
          <w:color w:val="000000" w:themeColor="text1"/>
          <w:sz w:val="16"/>
          <w:szCs w:val="16"/>
          <w:shd w:val="clear" w:color="auto" w:fill="FFFFFF"/>
        </w:rPr>
        <w:t>2021.</w:t>
      </w:r>
    </w:p>
  </w:footnote>
  <w:footnote w:id="368">
    <w:p w14:paraId="39FE8931" w14:textId="3980EF7C" w:rsidR="00B73321" w:rsidRPr="009035C0" w:rsidRDefault="00B73321"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4B754B">
        <w:rPr>
          <w:rFonts w:ascii="Cambria" w:hAnsi="Cambria"/>
          <w:color w:val="000000" w:themeColor="text1"/>
          <w:sz w:val="16"/>
          <w:szCs w:val="16"/>
        </w:rPr>
        <w:t xml:space="preserve">According to the organization </w:t>
      </w:r>
      <w:r w:rsidR="00436C37" w:rsidRPr="009035C0">
        <w:rPr>
          <w:rFonts w:ascii="Cambria" w:hAnsi="Cambria"/>
          <w:color w:val="000000" w:themeColor="text1"/>
          <w:sz w:val="16"/>
          <w:szCs w:val="16"/>
        </w:rPr>
        <w:t xml:space="preserve">Foro Penal, </w:t>
      </w:r>
      <w:r w:rsidR="004B754B">
        <w:rPr>
          <w:rFonts w:ascii="Cambria" w:hAnsi="Cambria"/>
          <w:color w:val="000000" w:themeColor="text1"/>
          <w:sz w:val="16"/>
          <w:szCs w:val="16"/>
        </w:rPr>
        <w:t xml:space="preserve">on November </w:t>
      </w:r>
      <w:r w:rsidR="00436C37" w:rsidRPr="009035C0">
        <w:rPr>
          <w:rFonts w:ascii="Cambria" w:hAnsi="Cambria"/>
          <w:color w:val="000000" w:themeColor="text1"/>
          <w:sz w:val="16"/>
          <w:szCs w:val="16"/>
        </w:rPr>
        <w:t>8</w:t>
      </w:r>
      <w:r w:rsidR="004B754B">
        <w:rPr>
          <w:rFonts w:ascii="Cambria" w:hAnsi="Cambria"/>
          <w:color w:val="000000" w:themeColor="text1"/>
          <w:sz w:val="16"/>
          <w:szCs w:val="16"/>
        </w:rPr>
        <w:t>,</w:t>
      </w:r>
      <w:r w:rsidR="00436C37" w:rsidRPr="009035C0">
        <w:rPr>
          <w:rFonts w:ascii="Cambria" w:hAnsi="Cambria"/>
          <w:color w:val="000000" w:themeColor="text1"/>
          <w:sz w:val="16"/>
          <w:szCs w:val="16"/>
        </w:rPr>
        <w:t xml:space="preserve"> 2021 </w:t>
      </w:r>
      <w:r w:rsidR="004B754B">
        <w:rPr>
          <w:rFonts w:ascii="Cambria" w:hAnsi="Cambria"/>
          <w:color w:val="000000" w:themeColor="text1"/>
          <w:sz w:val="16"/>
          <w:szCs w:val="16"/>
        </w:rPr>
        <w:t xml:space="preserve">there were 252 political prisoners in </w:t>
      </w:r>
      <w:r w:rsidR="00436C37" w:rsidRPr="009035C0">
        <w:rPr>
          <w:rFonts w:ascii="Cambria" w:hAnsi="Cambria"/>
          <w:color w:val="000000" w:themeColor="text1"/>
          <w:sz w:val="16"/>
          <w:szCs w:val="16"/>
        </w:rPr>
        <w:t>Venezuela.</w:t>
      </w:r>
    </w:p>
  </w:footnote>
  <w:footnote w:id="369">
    <w:p w14:paraId="2A032C73" w14:textId="20DEC256" w:rsidR="0099701B" w:rsidRPr="009035C0" w:rsidRDefault="0099701B"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D81E9F" w:rsidRPr="009035C0">
        <w:rPr>
          <w:rFonts w:ascii="Cambria" w:hAnsi="Cambria" w:cs="Arial"/>
          <w:color w:val="000000" w:themeColor="text1"/>
          <w:sz w:val="16"/>
          <w:szCs w:val="16"/>
          <w:shd w:val="clear" w:color="auto" w:fill="FFFFFF"/>
        </w:rPr>
        <w:t>Infobae, </w:t>
      </w:r>
      <w:r w:rsidR="00157A90">
        <w:rPr>
          <w:rFonts w:ascii="Cambria" w:hAnsi="Cambria" w:cs="Arial"/>
          <w:color w:val="000000" w:themeColor="text1"/>
          <w:sz w:val="16"/>
          <w:szCs w:val="16"/>
          <w:shd w:val="clear" w:color="auto" w:fill="FFFFFF"/>
        </w:rPr>
        <w:t xml:space="preserve">The indigenous political prisoner </w:t>
      </w:r>
      <w:r w:rsidR="00D81E9F" w:rsidRPr="009035C0">
        <w:rPr>
          <w:rFonts w:ascii="Cambria" w:hAnsi="Cambria" w:cs="Arial"/>
          <w:color w:val="000000" w:themeColor="text1"/>
          <w:sz w:val="16"/>
          <w:szCs w:val="16"/>
          <w:shd w:val="clear" w:color="auto" w:fill="FFFFFF"/>
        </w:rPr>
        <w:t xml:space="preserve">Salvador Franco </w:t>
      </w:r>
      <w:r w:rsidR="00157A90">
        <w:rPr>
          <w:rFonts w:ascii="Cambria" w:hAnsi="Cambria" w:cs="Arial"/>
          <w:color w:val="000000" w:themeColor="text1"/>
          <w:sz w:val="16"/>
          <w:szCs w:val="16"/>
          <w:shd w:val="clear" w:color="auto" w:fill="FFFFFF"/>
        </w:rPr>
        <w:t>died from a lack of medical care at a jail of the Maduro regime, January 3,</w:t>
      </w:r>
      <w:r w:rsidR="00D81E9F" w:rsidRPr="009035C0">
        <w:rPr>
          <w:rFonts w:ascii="Cambria" w:hAnsi="Cambria" w:cs="Arial"/>
          <w:color w:val="000000" w:themeColor="text1"/>
          <w:sz w:val="16"/>
          <w:szCs w:val="16"/>
          <w:shd w:val="clear" w:color="auto" w:fill="FFFFFF"/>
        </w:rPr>
        <w:t xml:space="preserve"> 2021.</w:t>
      </w:r>
    </w:p>
  </w:footnote>
  <w:footnote w:id="370">
    <w:p w14:paraId="5F31F179" w14:textId="45BC9909" w:rsidR="00DE12B4" w:rsidRPr="009035C0" w:rsidRDefault="00DE12B4"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9D767C">
        <w:rPr>
          <w:rFonts w:ascii="Cambria" w:hAnsi="Cambria"/>
          <w:color w:val="000000" w:themeColor="text1"/>
          <w:sz w:val="16"/>
          <w:szCs w:val="16"/>
        </w:rPr>
        <w:t xml:space="preserve">Presidential Commissioner for Human Rights and Victim Assistance, Communication submitted to the IACHR, October 13, </w:t>
      </w:r>
      <w:r w:rsidR="009D767C" w:rsidRPr="009035C0">
        <w:rPr>
          <w:rFonts w:ascii="Cambria" w:hAnsi="Cambria" w:cs="Arial"/>
          <w:color w:val="000000" w:themeColor="text1"/>
          <w:sz w:val="16"/>
          <w:szCs w:val="16"/>
          <w:shd w:val="clear" w:color="auto" w:fill="FFFFFF"/>
        </w:rPr>
        <w:t>2021</w:t>
      </w:r>
      <w:r w:rsidR="00436C37" w:rsidRPr="009035C0">
        <w:rPr>
          <w:rFonts w:ascii="Cambria" w:hAnsi="Cambria" w:cs="Arial"/>
          <w:color w:val="000000" w:themeColor="text1"/>
          <w:sz w:val="16"/>
          <w:szCs w:val="16"/>
          <w:shd w:val="clear" w:color="auto" w:fill="FFFFFF"/>
        </w:rPr>
        <w:t>.</w:t>
      </w:r>
    </w:p>
  </w:footnote>
  <w:footnote w:id="371">
    <w:p w14:paraId="081FF779" w14:textId="5C12D15A" w:rsidR="00184CF0" w:rsidRPr="009035C0" w:rsidRDefault="00184CF0" w:rsidP="00F85814">
      <w:pPr>
        <w:spacing w:after="120"/>
        <w:ind w:firstLine="720"/>
        <w:rPr>
          <w:rFonts w:ascii="Cambria" w:hAnsi="Cambria"/>
          <w:color w:val="000000" w:themeColor="text1"/>
          <w:sz w:val="16"/>
          <w:szCs w:val="16"/>
          <w:u w:val="single"/>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Unicef, </w:t>
      </w:r>
      <w:hyperlink r:id="rId354" w:history="1">
        <w:r w:rsidRPr="009035C0">
          <w:rPr>
            <w:rStyle w:val="Hyperlink"/>
            <w:rFonts w:ascii="Cambria" w:hAnsi="Cambria"/>
            <w:color w:val="000000" w:themeColor="text1"/>
            <w:sz w:val="16"/>
            <w:szCs w:val="16"/>
          </w:rPr>
          <w:t>https://www.unicef.org/venezuela/informes/enero-junio-2021-respuesta-de-unicef-venezuela</w:t>
        </w:r>
      </w:hyperlink>
      <w:r w:rsidRPr="009035C0">
        <w:rPr>
          <w:rFonts w:ascii="Cambria" w:hAnsi="Cambria"/>
          <w:color w:val="000000" w:themeColor="text1"/>
          <w:sz w:val="16"/>
          <w:szCs w:val="16"/>
        </w:rPr>
        <w:t xml:space="preserve">, </w:t>
      </w:r>
      <w:r w:rsidR="006F3213">
        <w:rPr>
          <w:rFonts w:ascii="Cambria" w:hAnsi="Cambria"/>
          <w:color w:val="000000" w:themeColor="text1"/>
          <w:sz w:val="16"/>
          <w:szCs w:val="16"/>
        </w:rPr>
        <w:t>June</w:t>
      </w:r>
      <w:r w:rsidRPr="009035C0">
        <w:rPr>
          <w:rFonts w:ascii="Cambria" w:hAnsi="Cambria"/>
          <w:color w:val="000000" w:themeColor="text1"/>
          <w:sz w:val="16"/>
          <w:szCs w:val="16"/>
        </w:rPr>
        <w:t xml:space="preserve"> 2021</w:t>
      </w:r>
    </w:p>
  </w:footnote>
  <w:footnote w:id="372">
    <w:p w14:paraId="4D658C63" w14:textId="29D36973" w:rsidR="00184CF0" w:rsidRPr="009035C0" w:rsidRDefault="00184CF0" w:rsidP="00F85814">
      <w:pPr>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O</w:t>
      </w:r>
      <w:r w:rsidR="006F3213">
        <w:rPr>
          <w:rFonts w:ascii="Cambria" w:hAnsi="Cambria"/>
          <w:color w:val="000000" w:themeColor="text1"/>
          <w:sz w:val="16"/>
          <w:szCs w:val="16"/>
        </w:rPr>
        <w:t>ffice of the United Nations High Commissioner for Human Rights</w:t>
      </w:r>
      <w:r w:rsidRPr="009035C0">
        <w:rPr>
          <w:rFonts w:ascii="Cambria" w:hAnsi="Cambria"/>
          <w:color w:val="000000" w:themeColor="text1"/>
          <w:sz w:val="16"/>
          <w:szCs w:val="16"/>
        </w:rPr>
        <w:t xml:space="preserve">, </w:t>
      </w:r>
      <w:hyperlink r:id="rId355" w:history="1">
        <w:r w:rsidRPr="009035C0">
          <w:rPr>
            <w:rStyle w:val="Hyperlink"/>
            <w:rFonts w:ascii="Cambria" w:hAnsi="Cambria"/>
            <w:color w:val="000000" w:themeColor="text1"/>
            <w:sz w:val="16"/>
            <w:szCs w:val="16"/>
          </w:rPr>
          <w:t>https://reliefweb.int/sites/reliefweb.int/files/resources/A_HRC_48_19.pdf</w:t>
        </w:r>
      </w:hyperlink>
      <w:r w:rsidRPr="009035C0">
        <w:rPr>
          <w:rFonts w:ascii="Cambria" w:hAnsi="Cambria"/>
          <w:color w:val="000000" w:themeColor="text1"/>
          <w:sz w:val="16"/>
          <w:szCs w:val="16"/>
        </w:rPr>
        <w:t xml:space="preserve">, </w:t>
      </w:r>
      <w:r w:rsidR="006F3213">
        <w:rPr>
          <w:rFonts w:ascii="Cambria" w:hAnsi="Cambria"/>
          <w:color w:val="000000" w:themeColor="text1"/>
          <w:sz w:val="16"/>
          <w:szCs w:val="16"/>
        </w:rPr>
        <w:t xml:space="preserve">September </w:t>
      </w:r>
      <w:r w:rsidRPr="009035C0">
        <w:rPr>
          <w:rFonts w:ascii="Cambria" w:hAnsi="Cambria"/>
          <w:color w:val="000000" w:themeColor="text1"/>
          <w:sz w:val="16"/>
          <w:szCs w:val="16"/>
        </w:rPr>
        <w:t>13</w:t>
      </w:r>
      <w:r w:rsidR="006F3213">
        <w:rPr>
          <w:rFonts w:ascii="Cambria" w:hAnsi="Cambria"/>
          <w:color w:val="000000" w:themeColor="text1"/>
          <w:sz w:val="16"/>
          <w:szCs w:val="16"/>
        </w:rPr>
        <w:t xml:space="preserve">-October </w:t>
      </w:r>
      <w:r w:rsidRPr="009035C0">
        <w:rPr>
          <w:rFonts w:ascii="Cambria" w:hAnsi="Cambria"/>
          <w:color w:val="000000" w:themeColor="text1"/>
          <w:sz w:val="16"/>
          <w:szCs w:val="16"/>
        </w:rPr>
        <w:t>01</w:t>
      </w:r>
      <w:r w:rsidR="006F3213">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373">
    <w:p w14:paraId="4FD93C6B" w14:textId="10DB766F" w:rsidR="00184CF0" w:rsidRPr="009035C0" w:rsidRDefault="00184CF0" w:rsidP="00F85814">
      <w:pPr>
        <w:pStyle w:val="FootnoteText"/>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Unicef, </w:t>
      </w:r>
      <w:hyperlink r:id="rId356" w:history="1">
        <w:r w:rsidRPr="009035C0">
          <w:rPr>
            <w:rStyle w:val="Hyperlink"/>
            <w:rFonts w:ascii="Cambria" w:hAnsi="Cambria"/>
            <w:color w:val="000000" w:themeColor="text1"/>
            <w:sz w:val="16"/>
            <w:szCs w:val="16"/>
          </w:rPr>
          <w:t>https://www.unicef.org/venezuela/informes/enero-junio-2021-respuesta-de-unicef-venezuela</w:t>
        </w:r>
      </w:hyperlink>
      <w:r w:rsidRPr="009035C0">
        <w:rPr>
          <w:rFonts w:ascii="Cambria" w:hAnsi="Cambria"/>
          <w:color w:val="000000" w:themeColor="text1"/>
          <w:sz w:val="16"/>
          <w:szCs w:val="16"/>
        </w:rPr>
        <w:t xml:space="preserve">, </w:t>
      </w:r>
      <w:r w:rsidR="005453FF">
        <w:rPr>
          <w:rFonts w:ascii="Cambria" w:hAnsi="Cambria"/>
          <w:color w:val="000000" w:themeColor="text1"/>
          <w:sz w:val="16"/>
          <w:szCs w:val="16"/>
        </w:rPr>
        <w:t>June</w:t>
      </w:r>
      <w:r w:rsidRPr="009035C0">
        <w:rPr>
          <w:rFonts w:ascii="Cambria" w:hAnsi="Cambria"/>
          <w:color w:val="000000" w:themeColor="text1"/>
          <w:sz w:val="16"/>
          <w:szCs w:val="16"/>
        </w:rPr>
        <w:t xml:space="preserve"> 2021</w:t>
      </w:r>
    </w:p>
  </w:footnote>
  <w:footnote w:id="374">
    <w:p w14:paraId="4934C0D0" w14:textId="0B8482BD" w:rsidR="00184CF0" w:rsidRPr="009035C0" w:rsidRDefault="00184CF0" w:rsidP="00F85814">
      <w:pPr>
        <w:spacing w:after="120"/>
        <w:ind w:firstLine="720"/>
        <w:rPr>
          <w:rFonts w:ascii="Cambria" w:hAnsi="Cambria"/>
          <w:color w:val="000000" w:themeColor="text1"/>
          <w:sz w:val="16"/>
          <w:szCs w:val="16"/>
          <w:u w:val="single"/>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Unicef, </w:t>
      </w:r>
      <w:hyperlink r:id="rId357" w:history="1">
        <w:r w:rsidRPr="009035C0">
          <w:rPr>
            <w:rStyle w:val="Hyperlink"/>
            <w:rFonts w:ascii="Cambria" w:hAnsi="Cambria"/>
            <w:color w:val="000000" w:themeColor="text1"/>
            <w:sz w:val="16"/>
            <w:szCs w:val="16"/>
          </w:rPr>
          <w:t>https://www.unicef.org/venezuela/informes/enero-junio-2021-respuesta-de-unicef-venezuela</w:t>
        </w:r>
      </w:hyperlink>
      <w:r w:rsidRPr="009035C0">
        <w:rPr>
          <w:rFonts w:ascii="Cambria" w:hAnsi="Cambria"/>
          <w:color w:val="000000" w:themeColor="text1"/>
          <w:sz w:val="16"/>
          <w:szCs w:val="16"/>
        </w:rPr>
        <w:t xml:space="preserve">, </w:t>
      </w:r>
      <w:r w:rsidR="005453FF">
        <w:rPr>
          <w:rFonts w:ascii="Cambria" w:hAnsi="Cambria"/>
          <w:color w:val="000000" w:themeColor="text1"/>
          <w:sz w:val="16"/>
          <w:szCs w:val="16"/>
        </w:rPr>
        <w:t>June</w:t>
      </w:r>
      <w:r w:rsidRPr="009035C0">
        <w:rPr>
          <w:rFonts w:ascii="Cambria" w:hAnsi="Cambria"/>
          <w:color w:val="000000" w:themeColor="text1"/>
          <w:sz w:val="16"/>
          <w:szCs w:val="16"/>
        </w:rPr>
        <w:t xml:space="preserve"> 2021</w:t>
      </w:r>
    </w:p>
  </w:footnote>
  <w:footnote w:id="375">
    <w:p w14:paraId="6041F2F2" w14:textId="5B2FEF87" w:rsidR="00BB6B15" w:rsidRPr="009035C0" w:rsidRDefault="00BB6B15" w:rsidP="00F85814">
      <w:pPr>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8A49DB" w:rsidRPr="009035C0">
        <w:rPr>
          <w:rFonts w:ascii="Cambria" w:hAnsi="Cambria" w:cs="Arial"/>
          <w:color w:val="000000" w:themeColor="text1"/>
          <w:sz w:val="16"/>
          <w:szCs w:val="16"/>
          <w:shd w:val="clear" w:color="auto" w:fill="FFFFFF"/>
        </w:rPr>
        <w:t>Crónica Uno, </w:t>
      </w:r>
      <w:r w:rsidR="005453FF">
        <w:rPr>
          <w:rFonts w:ascii="Cambria" w:hAnsi="Cambria" w:cs="Arial"/>
          <w:color w:val="000000" w:themeColor="text1"/>
          <w:sz w:val="16"/>
          <w:szCs w:val="16"/>
          <w:shd w:val="clear" w:color="auto" w:fill="FFFFFF"/>
        </w:rPr>
        <w:t>With</w:t>
      </w:r>
      <w:r w:rsidR="008A49DB" w:rsidRPr="009035C0">
        <w:rPr>
          <w:rFonts w:ascii="Cambria" w:hAnsi="Cambria" w:cs="Arial"/>
          <w:color w:val="000000" w:themeColor="text1"/>
          <w:sz w:val="16"/>
          <w:szCs w:val="16"/>
          <w:shd w:val="clear" w:color="auto" w:fill="FFFFFF"/>
        </w:rPr>
        <w:t xml:space="preserve"> Winder Rangel, </w:t>
      </w:r>
      <w:r w:rsidR="005453FF">
        <w:rPr>
          <w:rFonts w:ascii="Cambria" w:hAnsi="Cambria" w:cs="Arial"/>
          <w:color w:val="000000" w:themeColor="text1"/>
          <w:sz w:val="16"/>
          <w:szCs w:val="16"/>
          <w:shd w:val="clear" w:color="auto" w:fill="FFFFFF"/>
        </w:rPr>
        <w:t xml:space="preserve">it now makes 11 deaths of children under the </w:t>
      </w:r>
      <w:r w:rsidR="006C5CCE">
        <w:rPr>
          <w:rFonts w:ascii="Cambria" w:hAnsi="Cambria" w:cs="Arial"/>
          <w:color w:val="000000" w:themeColor="text1"/>
          <w:sz w:val="16"/>
          <w:szCs w:val="16"/>
          <w:shd w:val="clear" w:color="auto" w:fill="FFFFFF"/>
        </w:rPr>
        <w:t>N</w:t>
      </w:r>
      <w:r w:rsidR="005453FF">
        <w:rPr>
          <w:rFonts w:ascii="Cambria" w:hAnsi="Cambria" w:cs="Arial"/>
          <w:color w:val="000000" w:themeColor="text1"/>
          <w:sz w:val="16"/>
          <w:szCs w:val="16"/>
          <w:shd w:val="clear" w:color="auto" w:fill="FFFFFF"/>
        </w:rPr>
        <w:t>e</w:t>
      </w:r>
      <w:r w:rsidR="006C5CCE">
        <w:rPr>
          <w:rFonts w:ascii="Cambria" w:hAnsi="Cambria" w:cs="Arial"/>
          <w:color w:val="000000" w:themeColor="text1"/>
          <w:sz w:val="16"/>
          <w:szCs w:val="16"/>
          <w:shd w:val="clear" w:color="auto" w:fill="FFFFFF"/>
        </w:rPr>
        <w:t>ph</w:t>
      </w:r>
      <w:r w:rsidR="005453FF">
        <w:rPr>
          <w:rFonts w:ascii="Cambria" w:hAnsi="Cambria" w:cs="Arial"/>
          <w:color w:val="000000" w:themeColor="text1"/>
          <w:sz w:val="16"/>
          <w:szCs w:val="16"/>
          <w:shd w:val="clear" w:color="auto" w:fill="FFFFFF"/>
        </w:rPr>
        <w:t>rology service of the J.M. de los Rios</w:t>
      </w:r>
      <w:r w:rsidR="003577D1">
        <w:rPr>
          <w:rFonts w:ascii="Cambria" w:hAnsi="Cambria" w:cs="Arial"/>
          <w:color w:val="000000" w:themeColor="text1"/>
          <w:sz w:val="16"/>
          <w:szCs w:val="16"/>
          <w:shd w:val="clear" w:color="auto" w:fill="FFFFFF"/>
        </w:rPr>
        <w:t xml:space="preserve"> hospital</w:t>
      </w:r>
      <w:r w:rsidR="005453FF">
        <w:rPr>
          <w:rFonts w:ascii="Cambria" w:hAnsi="Cambria" w:cs="Arial"/>
          <w:color w:val="000000" w:themeColor="text1"/>
          <w:sz w:val="16"/>
          <w:szCs w:val="16"/>
          <w:shd w:val="clear" w:color="auto" w:fill="FFFFFF"/>
        </w:rPr>
        <w:t>, so far this year</w:t>
      </w:r>
      <w:r w:rsidR="00DE74AD">
        <w:rPr>
          <w:rFonts w:ascii="Cambria" w:hAnsi="Cambria" w:cs="Arial"/>
          <w:color w:val="000000" w:themeColor="text1"/>
          <w:sz w:val="16"/>
          <w:szCs w:val="16"/>
          <w:shd w:val="clear" w:color="auto" w:fill="FFFFFF"/>
        </w:rPr>
        <w:t xml:space="preserve">, August </w:t>
      </w:r>
      <w:r w:rsidR="008A49DB" w:rsidRPr="009035C0">
        <w:rPr>
          <w:rFonts w:ascii="Cambria" w:hAnsi="Cambria" w:cs="Arial"/>
          <w:color w:val="000000" w:themeColor="text1"/>
          <w:sz w:val="16"/>
          <w:szCs w:val="16"/>
          <w:shd w:val="clear" w:color="auto" w:fill="FFFFFF"/>
        </w:rPr>
        <w:t>10</w:t>
      </w:r>
      <w:r w:rsidR="00DE74AD">
        <w:rPr>
          <w:rFonts w:ascii="Cambria" w:hAnsi="Cambria" w:cs="Arial"/>
          <w:color w:val="000000" w:themeColor="text1"/>
          <w:sz w:val="16"/>
          <w:szCs w:val="16"/>
          <w:shd w:val="clear" w:color="auto" w:fill="FFFFFF"/>
        </w:rPr>
        <w:t>,</w:t>
      </w:r>
      <w:r w:rsidR="008A49DB" w:rsidRPr="009035C0">
        <w:rPr>
          <w:rFonts w:ascii="Cambria" w:hAnsi="Cambria" w:cs="Arial"/>
          <w:color w:val="000000" w:themeColor="text1"/>
          <w:sz w:val="16"/>
          <w:szCs w:val="16"/>
          <w:shd w:val="clear" w:color="auto" w:fill="FFFFFF"/>
        </w:rPr>
        <w:t xml:space="preserve"> 2021.</w:t>
      </w:r>
    </w:p>
  </w:footnote>
  <w:footnote w:id="376">
    <w:p w14:paraId="6BC2C440" w14:textId="7FCDE829" w:rsidR="00612E03" w:rsidRPr="009035C0" w:rsidRDefault="00612E03" w:rsidP="00F85814">
      <w:pPr>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766A8B">
        <w:rPr>
          <w:rFonts w:ascii="Cambria" w:hAnsi="Cambria"/>
          <w:color w:val="000000" w:themeColor="text1"/>
          <w:sz w:val="16"/>
          <w:szCs w:val="16"/>
        </w:rPr>
        <w:t xml:space="preserve">IACHR, Press Release </w:t>
      </w:r>
      <w:r w:rsidR="00F00052" w:rsidRPr="009035C0">
        <w:rPr>
          <w:rFonts w:ascii="Cambria" w:hAnsi="Cambria" w:cs="Arial"/>
          <w:color w:val="000000" w:themeColor="text1"/>
          <w:sz w:val="16"/>
          <w:szCs w:val="16"/>
          <w:shd w:val="clear" w:color="auto" w:fill="FFFFFF"/>
        </w:rPr>
        <w:t xml:space="preserve">209/19, </w:t>
      </w:r>
      <w:r w:rsidR="00766A8B">
        <w:rPr>
          <w:rFonts w:ascii="Cambria" w:hAnsi="Cambria" w:cs="Arial"/>
          <w:color w:val="000000" w:themeColor="text1"/>
          <w:sz w:val="16"/>
          <w:szCs w:val="16"/>
          <w:shd w:val="clear" w:color="auto" w:fill="FFFFFF"/>
        </w:rPr>
        <w:t xml:space="preserve">IACHR </w:t>
      </w:r>
      <w:r w:rsidR="00F2680B">
        <w:rPr>
          <w:rFonts w:ascii="Cambria" w:hAnsi="Cambria" w:cs="Arial"/>
          <w:color w:val="000000" w:themeColor="text1"/>
          <w:sz w:val="16"/>
          <w:szCs w:val="16"/>
          <w:shd w:val="clear" w:color="auto" w:fill="FFFFFF"/>
        </w:rPr>
        <w:t xml:space="preserve">Expands Precautionary Measures to Protect Child and Adolescent Patients in 13 Wards at Jose Manual de los Rios Hospital in Venezuela. </w:t>
      </w:r>
      <w:r w:rsidR="00766A8B">
        <w:rPr>
          <w:rFonts w:ascii="Cambria" w:hAnsi="Cambria" w:cs="Arial"/>
          <w:color w:val="000000" w:themeColor="text1"/>
          <w:sz w:val="16"/>
          <w:szCs w:val="16"/>
          <w:shd w:val="clear" w:color="auto" w:fill="FFFFFF"/>
        </w:rPr>
        <w:t xml:space="preserve">August </w:t>
      </w:r>
      <w:r w:rsidR="00F00052" w:rsidRPr="009035C0">
        <w:rPr>
          <w:rFonts w:ascii="Cambria" w:hAnsi="Cambria" w:cs="Arial"/>
          <w:color w:val="000000" w:themeColor="text1"/>
          <w:sz w:val="16"/>
          <w:szCs w:val="16"/>
          <w:shd w:val="clear" w:color="auto" w:fill="FFFFFF"/>
        </w:rPr>
        <w:t>21</w:t>
      </w:r>
      <w:r w:rsidR="00766A8B">
        <w:rPr>
          <w:rFonts w:ascii="Cambria" w:hAnsi="Cambria" w:cs="Arial"/>
          <w:color w:val="000000" w:themeColor="text1"/>
          <w:sz w:val="16"/>
          <w:szCs w:val="16"/>
          <w:shd w:val="clear" w:color="auto" w:fill="FFFFFF"/>
        </w:rPr>
        <w:t>,</w:t>
      </w:r>
      <w:r w:rsidR="00F00052" w:rsidRPr="009035C0">
        <w:rPr>
          <w:rFonts w:ascii="Cambria" w:hAnsi="Cambria" w:cs="Arial"/>
          <w:color w:val="000000" w:themeColor="text1"/>
          <w:sz w:val="16"/>
          <w:szCs w:val="16"/>
          <w:shd w:val="clear" w:color="auto" w:fill="FFFFFF"/>
        </w:rPr>
        <w:t xml:space="preserve"> 2019.</w:t>
      </w:r>
    </w:p>
  </w:footnote>
  <w:footnote w:id="377">
    <w:p w14:paraId="305602D5" w14:textId="522E5CF5" w:rsidR="00184CF0" w:rsidRPr="009035C0" w:rsidRDefault="00184CF0" w:rsidP="00F85814">
      <w:pPr>
        <w:spacing w:after="120"/>
        <w:ind w:firstLine="720"/>
        <w:rPr>
          <w:rFonts w:ascii="Cambria" w:hAnsi="Cambria"/>
          <w:color w:val="000000" w:themeColor="text1"/>
          <w:sz w:val="16"/>
          <w:szCs w:val="16"/>
          <w:u w:val="single"/>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Unicef, </w:t>
      </w:r>
      <w:hyperlink r:id="rId358" w:history="1">
        <w:r w:rsidRPr="009035C0">
          <w:rPr>
            <w:rStyle w:val="Hyperlink"/>
            <w:rFonts w:ascii="Cambria" w:hAnsi="Cambria"/>
            <w:color w:val="000000" w:themeColor="text1"/>
            <w:sz w:val="16"/>
            <w:szCs w:val="16"/>
          </w:rPr>
          <w:t>https://www.unicef.org/venezuela/informes/enero-junio-2021-respuesta-de-unicef-venezuela</w:t>
        </w:r>
      </w:hyperlink>
      <w:r w:rsidRPr="009035C0">
        <w:rPr>
          <w:rFonts w:ascii="Cambria" w:hAnsi="Cambria"/>
          <w:color w:val="000000" w:themeColor="text1"/>
          <w:sz w:val="16"/>
          <w:szCs w:val="16"/>
        </w:rPr>
        <w:t xml:space="preserve">, </w:t>
      </w:r>
      <w:r w:rsidR="00CF1F97">
        <w:rPr>
          <w:rFonts w:ascii="Cambria" w:hAnsi="Cambria"/>
          <w:color w:val="000000" w:themeColor="text1"/>
          <w:sz w:val="16"/>
          <w:szCs w:val="16"/>
        </w:rPr>
        <w:t>June</w:t>
      </w:r>
      <w:r w:rsidRPr="009035C0">
        <w:rPr>
          <w:rFonts w:ascii="Cambria" w:hAnsi="Cambria"/>
          <w:color w:val="000000" w:themeColor="text1"/>
          <w:sz w:val="16"/>
          <w:szCs w:val="16"/>
        </w:rPr>
        <w:t xml:space="preserve"> 2021</w:t>
      </w:r>
    </w:p>
  </w:footnote>
  <w:footnote w:id="378">
    <w:p w14:paraId="6EB764D7" w14:textId="5A056353" w:rsidR="00184CF0" w:rsidRPr="00E7771A" w:rsidRDefault="00184CF0" w:rsidP="00F85814">
      <w:pPr>
        <w:spacing w:after="120"/>
        <w:ind w:firstLine="720"/>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424933" w:rsidRPr="00E7771A">
        <w:rPr>
          <w:rFonts w:ascii="Cambria" w:hAnsi="Cambria"/>
          <w:color w:val="000000" w:themeColor="text1"/>
          <w:sz w:val="16"/>
          <w:szCs w:val="16"/>
          <w:lang w:val="es-US"/>
        </w:rPr>
        <w:t>UNHCHR</w:t>
      </w:r>
      <w:r w:rsidRPr="00E7771A">
        <w:rPr>
          <w:rFonts w:ascii="Cambria" w:hAnsi="Cambria"/>
          <w:color w:val="000000" w:themeColor="text1"/>
          <w:sz w:val="16"/>
          <w:szCs w:val="16"/>
          <w:lang w:val="es-US"/>
        </w:rPr>
        <w:t xml:space="preserve">, </w:t>
      </w:r>
      <w:hyperlink r:id="rId359" w:history="1">
        <w:r w:rsidRPr="00E7771A">
          <w:rPr>
            <w:rStyle w:val="Hyperlink"/>
            <w:rFonts w:ascii="Cambria" w:hAnsi="Cambria"/>
            <w:color w:val="000000" w:themeColor="text1"/>
            <w:sz w:val="16"/>
            <w:szCs w:val="16"/>
            <w:lang w:val="es-US"/>
          </w:rPr>
          <w:t>https://reliefweb.int/sites/reliefweb.int/files/resources/A_HRC_48_19.pdf</w:t>
        </w:r>
      </w:hyperlink>
      <w:r w:rsidRPr="00E7771A">
        <w:rPr>
          <w:rFonts w:ascii="Cambria" w:hAnsi="Cambria"/>
          <w:color w:val="000000" w:themeColor="text1"/>
          <w:sz w:val="16"/>
          <w:szCs w:val="16"/>
          <w:lang w:val="es-US"/>
        </w:rPr>
        <w:t xml:space="preserve">, 13 septiembre-01 </w:t>
      </w:r>
      <w:r w:rsidR="00CF1F97"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2021</w:t>
      </w:r>
    </w:p>
  </w:footnote>
  <w:footnote w:id="379">
    <w:p w14:paraId="5AB7654F" w14:textId="71B07A43" w:rsidR="00184CF0" w:rsidRPr="00E7771A" w:rsidRDefault="00184CF0" w:rsidP="00F85814">
      <w:pPr>
        <w:spacing w:after="120"/>
        <w:ind w:firstLine="720"/>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424933" w:rsidRPr="00E7771A">
        <w:rPr>
          <w:rFonts w:ascii="Cambria" w:hAnsi="Cambria"/>
          <w:color w:val="000000" w:themeColor="text1"/>
          <w:sz w:val="16"/>
          <w:szCs w:val="16"/>
          <w:lang w:val="es-US"/>
        </w:rPr>
        <w:t>UNHCHR</w:t>
      </w:r>
      <w:r w:rsidRPr="00E7771A">
        <w:rPr>
          <w:rFonts w:ascii="Cambria" w:hAnsi="Cambria"/>
          <w:color w:val="000000" w:themeColor="text1"/>
          <w:sz w:val="16"/>
          <w:szCs w:val="16"/>
          <w:lang w:val="es-US"/>
        </w:rPr>
        <w:t xml:space="preserve">, </w:t>
      </w:r>
      <w:hyperlink r:id="rId360" w:history="1">
        <w:r w:rsidRPr="00E7771A">
          <w:rPr>
            <w:rStyle w:val="Hyperlink"/>
            <w:rFonts w:ascii="Cambria" w:hAnsi="Cambria"/>
            <w:color w:val="000000" w:themeColor="text1"/>
            <w:sz w:val="16"/>
            <w:szCs w:val="16"/>
            <w:lang w:val="es-US"/>
          </w:rPr>
          <w:t>https://reliefweb.int/sites/reliefweb.int/files/resources/A_HRC_48_19.pdf</w:t>
        </w:r>
      </w:hyperlink>
      <w:r w:rsidRPr="00E7771A">
        <w:rPr>
          <w:rFonts w:ascii="Cambria" w:hAnsi="Cambria"/>
          <w:color w:val="000000" w:themeColor="text1"/>
          <w:sz w:val="16"/>
          <w:szCs w:val="16"/>
          <w:lang w:val="es-US"/>
        </w:rPr>
        <w:t xml:space="preserve">, 13 septiembre-01 </w:t>
      </w:r>
      <w:r w:rsidR="00CF1F97" w:rsidRPr="00E7771A">
        <w:rPr>
          <w:rFonts w:ascii="Cambria" w:hAnsi="Cambria"/>
          <w:color w:val="000000" w:themeColor="text1"/>
          <w:sz w:val="16"/>
          <w:szCs w:val="16"/>
          <w:lang w:val="es-US"/>
        </w:rPr>
        <w:t xml:space="preserve">October </w:t>
      </w:r>
      <w:r w:rsidRPr="00E7771A">
        <w:rPr>
          <w:rFonts w:ascii="Cambria" w:hAnsi="Cambria"/>
          <w:color w:val="000000" w:themeColor="text1"/>
          <w:sz w:val="16"/>
          <w:szCs w:val="16"/>
          <w:lang w:val="es-US"/>
        </w:rPr>
        <w:t>202</w:t>
      </w:r>
      <w:r w:rsidR="00424933" w:rsidRPr="00E7771A">
        <w:rPr>
          <w:rFonts w:ascii="Cambria" w:hAnsi="Cambria"/>
          <w:color w:val="000000" w:themeColor="text1"/>
          <w:sz w:val="16"/>
          <w:szCs w:val="16"/>
          <w:lang w:val="es-US"/>
        </w:rPr>
        <w:t>1</w:t>
      </w:r>
    </w:p>
  </w:footnote>
  <w:footnote w:id="380">
    <w:p w14:paraId="48B67D30" w14:textId="7C240FD3" w:rsidR="00184CF0" w:rsidRPr="009035C0" w:rsidRDefault="00184CF0" w:rsidP="00F85814">
      <w:pPr>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F1F97">
        <w:rPr>
          <w:rFonts w:ascii="Cambria" w:hAnsi="Cambria"/>
          <w:color w:val="000000" w:themeColor="text1"/>
          <w:sz w:val="16"/>
          <w:szCs w:val="16"/>
        </w:rPr>
        <w:t>Venezuelan Observatory on Violence</w:t>
      </w:r>
      <w:r w:rsidRPr="009035C0">
        <w:rPr>
          <w:rFonts w:ascii="Cambria" w:hAnsi="Cambria"/>
          <w:color w:val="000000" w:themeColor="text1"/>
          <w:sz w:val="16"/>
          <w:szCs w:val="16"/>
        </w:rPr>
        <w:t xml:space="preserve">, </w:t>
      </w:r>
      <w:hyperlink r:id="rId361" w:history="1">
        <w:r w:rsidRPr="009035C0">
          <w:rPr>
            <w:rStyle w:val="Hyperlink"/>
            <w:rFonts w:ascii="Cambria" w:hAnsi="Cambria"/>
            <w:color w:val="000000" w:themeColor="text1"/>
            <w:sz w:val="16"/>
            <w:szCs w:val="16"/>
          </w:rPr>
          <w:t>https://observatoriodeviolencia.org.ve/news/escuelas-y-liceos-de-margarita-iniciarian-el-ano-escolar-desmantelados-por-el-hampa/</w:t>
        </w:r>
      </w:hyperlink>
      <w:r w:rsidRPr="009035C0">
        <w:rPr>
          <w:rFonts w:ascii="Cambria" w:hAnsi="Cambria"/>
          <w:color w:val="000000" w:themeColor="text1"/>
          <w:sz w:val="16"/>
          <w:szCs w:val="16"/>
        </w:rPr>
        <w:t xml:space="preserve">, </w:t>
      </w:r>
      <w:r w:rsidR="00CF1F97">
        <w:rPr>
          <w:rFonts w:ascii="Cambria" w:hAnsi="Cambria"/>
          <w:color w:val="000000" w:themeColor="text1"/>
          <w:sz w:val="16"/>
          <w:szCs w:val="16"/>
        </w:rPr>
        <w:t xml:space="preserve">October </w:t>
      </w:r>
      <w:r w:rsidRPr="009035C0">
        <w:rPr>
          <w:rFonts w:ascii="Cambria" w:hAnsi="Cambria"/>
          <w:color w:val="000000" w:themeColor="text1"/>
          <w:sz w:val="16"/>
          <w:szCs w:val="16"/>
        </w:rPr>
        <w:t>22</w:t>
      </w:r>
      <w:r w:rsidR="00CF1F97">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381">
    <w:p w14:paraId="5BBD8D2C" w14:textId="6627B855" w:rsidR="005B1ACE" w:rsidRPr="009035C0" w:rsidRDefault="005B1ACE"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CONSORVEN, </w:t>
      </w:r>
      <w:r w:rsidR="00424933">
        <w:rPr>
          <w:rFonts w:ascii="Cambria" w:hAnsi="Cambria"/>
          <w:color w:val="000000" w:themeColor="text1"/>
          <w:sz w:val="16"/>
          <w:szCs w:val="16"/>
        </w:rPr>
        <w:t>Summary about the lack of access to health, education and COVID-19 vaccinations for persons with disabilities in Venezuela</w:t>
      </w:r>
      <w:r w:rsidR="00424933" w:rsidRPr="009035C0">
        <w:rPr>
          <w:rFonts w:ascii="Cambria" w:hAnsi="Cambria"/>
          <w:color w:val="000000" w:themeColor="text1"/>
          <w:sz w:val="16"/>
          <w:szCs w:val="16"/>
        </w:rPr>
        <w:t xml:space="preserve"> </w:t>
      </w:r>
      <w:r w:rsidRPr="009035C0">
        <w:rPr>
          <w:rFonts w:ascii="Cambria" w:hAnsi="Cambria"/>
          <w:color w:val="000000" w:themeColor="text1"/>
          <w:sz w:val="16"/>
          <w:szCs w:val="16"/>
        </w:rPr>
        <w:t xml:space="preserve">- 2021, </w:t>
      </w:r>
      <w:r w:rsidR="00424933">
        <w:rPr>
          <w:rFonts w:ascii="Cambria" w:hAnsi="Cambria"/>
          <w:color w:val="000000" w:themeColor="text1"/>
          <w:sz w:val="16"/>
          <w:szCs w:val="16"/>
        </w:rPr>
        <w:t xml:space="preserve">November </w:t>
      </w:r>
      <w:r w:rsidRPr="009035C0">
        <w:rPr>
          <w:rFonts w:ascii="Cambria" w:hAnsi="Cambria"/>
          <w:color w:val="000000" w:themeColor="text1"/>
          <w:sz w:val="16"/>
          <w:szCs w:val="16"/>
        </w:rPr>
        <w:t>12</w:t>
      </w:r>
      <w:r w:rsidR="00424933">
        <w:rPr>
          <w:rFonts w:ascii="Cambria" w:hAnsi="Cambria"/>
          <w:color w:val="000000" w:themeColor="text1"/>
          <w:sz w:val="16"/>
          <w:szCs w:val="16"/>
        </w:rPr>
        <w:t>,</w:t>
      </w:r>
      <w:r w:rsidRPr="009035C0">
        <w:rPr>
          <w:rFonts w:ascii="Cambria" w:hAnsi="Cambria"/>
          <w:color w:val="000000" w:themeColor="text1"/>
          <w:sz w:val="16"/>
          <w:szCs w:val="16"/>
        </w:rPr>
        <w:t xml:space="preserve"> 2021.</w:t>
      </w:r>
    </w:p>
  </w:footnote>
  <w:footnote w:id="382">
    <w:p w14:paraId="4BEA47F5" w14:textId="5102FE2B" w:rsidR="00D813D6" w:rsidRPr="009035C0" w:rsidRDefault="00D813D6"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5B1ACE" w:rsidRPr="009035C0">
        <w:rPr>
          <w:rFonts w:ascii="Cambria" w:hAnsi="Cambria"/>
          <w:color w:val="000000" w:themeColor="text1"/>
          <w:sz w:val="16"/>
          <w:szCs w:val="16"/>
        </w:rPr>
        <w:t xml:space="preserve">La Patilla.com. </w:t>
      </w:r>
      <w:r w:rsidR="00A267E8">
        <w:rPr>
          <w:rFonts w:ascii="Cambria" w:hAnsi="Cambria"/>
          <w:color w:val="000000" w:themeColor="text1"/>
          <w:sz w:val="16"/>
          <w:szCs w:val="16"/>
        </w:rPr>
        <w:t xml:space="preserve">The health of persons with disabilities declining rapidly during pandemic, dated March 22, 2021, </w:t>
      </w:r>
      <w:r w:rsidR="00B54967">
        <w:rPr>
          <w:rFonts w:ascii="Cambria" w:hAnsi="Cambria"/>
          <w:color w:val="000000" w:themeColor="text1"/>
          <w:sz w:val="16"/>
          <w:szCs w:val="16"/>
        </w:rPr>
        <w:t>taken from</w:t>
      </w:r>
      <w:r w:rsidR="005B1ACE" w:rsidRPr="009035C0">
        <w:rPr>
          <w:rFonts w:ascii="Cambria" w:hAnsi="Cambria"/>
          <w:color w:val="000000" w:themeColor="text1"/>
          <w:sz w:val="16"/>
          <w:szCs w:val="16"/>
        </w:rPr>
        <w:t xml:space="preserve">: </w:t>
      </w:r>
      <w:hyperlink r:id="rId362" w:history="1">
        <w:r w:rsidR="005B1ACE" w:rsidRPr="009035C0">
          <w:rPr>
            <w:rStyle w:val="Hyperlink"/>
            <w:rFonts w:ascii="Cambria" w:hAnsi="Cambria"/>
            <w:color w:val="000000" w:themeColor="text1"/>
            <w:sz w:val="16"/>
            <w:szCs w:val="16"/>
          </w:rPr>
          <w:t>https://www.lapatilla.com/2021/03/22/la-salud-de-las-personas-con-discapacidad-disminuye-con-rapidez-durante-la-pandemia/</w:t>
        </w:r>
      </w:hyperlink>
      <w:r w:rsidR="005B1ACE" w:rsidRPr="009035C0">
        <w:rPr>
          <w:rFonts w:ascii="Cambria" w:hAnsi="Cambria"/>
          <w:color w:val="000000" w:themeColor="text1"/>
          <w:sz w:val="16"/>
          <w:szCs w:val="16"/>
        </w:rPr>
        <w:t xml:space="preserve"> </w:t>
      </w:r>
    </w:p>
  </w:footnote>
  <w:footnote w:id="383">
    <w:p w14:paraId="57A9FA5E" w14:textId="73659E53" w:rsidR="005B1ACE" w:rsidRPr="009035C0" w:rsidRDefault="005B1ACE"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CONSORVEN, </w:t>
      </w:r>
      <w:r w:rsidR="00B54967">
        <w:rPr>
          <w:rFonts w:ascii="Cambria" w:hAnsi="Cambria"/>
          <w:color w:val="000000" w:themeColor="text1"/>
          <w:sz w:val="16"/>
          <w:szCs w:val="16"/>
        </w:rPr>
        <w:t>Summary about the lack of access to health, education and COVID-19 vaccinations for persons with disabilities in Venezuela</w:t>
      </w:r>
      <w:r w:rsidR="00B54967" w:rsidRPr="009035C0">
        <w:rPr>
          <w:rFonts w:ascii="Cambria" w:hAnsi="Cambria"/>
          <w:color w:val="000000" w:themeColor="text1"/>
          <w:sz w:val="16"/>
          <w:szCs w:val="16"/>
        </w:rPr>
        <w:t xml:space="preserve"> - 2021, </w:t>
      </w:r>
      <w:r w:rsidR="00B54967">
        <w:rPr>
          <w:rFonts w:ascii="Cambria" w:hAnsi="Cambria"/>
          <w:color w:val="000000" w:themeColor="text1"/>
          <w:sz w:val="16"/>
          <w:szCs w:val="16"/>
        </w:rPr>
        <w:t xml:space="preserve">November </w:t>
      </w:r>
      <w:r w:rsidR="00B54967" w:rsidRPr="009035C0">
        <w:rPr>
          <w:rFonts w:ascii="Cambria" w:hAnsi="Cambria"/>
          <w:color w:val="000000" w:themeColor="text1"/>
          <w:sz w:val="16"/>
          <w:szCs w:val="16"/>
        </w:rPr>
        <w:t>12</w:t>
      </w:r>
      <w:r w:rsidR="00B54967">
        <w:rPr>
          <w:rFonts w:ascii="Cambria" w:hAnsi="Cambria"/>
          <w:color w:val="000000" w:themeColor="text1"/>
          <w:sz w:val="16"/>
          <w:szCs w:val="16"/>
        </w:rPr>
        <w:t>,</w:t>
      </w:r>
      <w:r w:rsidR="00B54967" w:rsidRPr="009035C0">
        <w:rPr>
          <w:rFonts w:ascii="Cambria" w:hAnsi="Cambria"/>
          <w:color w:val="000000" w:themeColor="text1"/>
          <w:sz w:val="16"/>
          <w:szCs w:val="16"/>
        </w:rPr>
        <w:t xml:space="preserve"> 2021</w:t>
      </w:r>
      <w:r w:rsidRPr="009035C0">
        <w:rPr>
          <w:rFonts w:ascii="Cambria" w:hAnsi="Cambria"/>
          <w:color w:val="000000" w:themeColor="text1"/>
          <w:sz w:val="16"/>
          <w:szCs w:val="16"/>
        </w:rPr>
        <w:t>.</w:t>
      </w:r>
    </w:p>
  </w:footnote>
  <w:footnote w:id="384">
    <w:p w14:paraId="002500FE" w14:textId="1320FDF1" w:rsidR="005B1ACE" w:rsidRPr="009035C0" w:rsidRDefault="005B1ACE"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CONSORVEN, </w:t>
      </w:r>
      <w:r w:rsidR="00B54967">
        <w:rPr>
          <w:rFonts w:ascii="Cambria" w:hAnsi="Cambria"/>
          <w:color w:val="000000" w:themeColor="text1"/>
          <w:sz w:val="16"/>
          <w:szCs w:val="16"/>
        </w:rPr>
        <w:t>Summary about the lack of access to health, education and COVID-19 vaccinations for persons with disabilities in Venezuela</w:t>
      </w:r>
      <w:r w:rsidR="00B54967" w:rsidRPr="009035C0">
        <w:rPr>
          <w:rFonts w:ascii="Cambria" w:hAnsi="Cambria"/>
          <w:color w:val="000000" w:themeColor="text1"/>
          <w:sz w:val="16"/>
          <w:szCs w:val="16"/>
        </w:rPr>
        <w:t xml:space="preserve"> - 2021, </w:t>
      </w:r>
      <w:r w:rsidR="00B54967">
        <w:rPr>
          <w:rFonts w:ascii="Cambria" w:hAnsi="Cambria"/>
          <w:color w:val="000000" w:themeColor="text1"/>
          <w:sz w:val="16"/>
          <w:szCs w:val="16"/>
        </w:rPr>
        <w:t xml:space="preserve">November </w:t>
      </w:r>
      <w:r w:rsidR="00B54967" w:rsidRPr="009035C0">
        <w:rPr>
          <w:rFonts w:ascii="Cambria" w:hAnsi="Cambria"/>
          <w:color w:val="000000" w:themeColor="text1"/>
          <w:sz w:val="16"/>
          <w:szCs w:val="16"/>
        </w:rPr>
        <w:t>12</w:t>
      </w:r>
      <w:r w:rsidR="00B54967">
        <w:rPr>
          <w:rFonts w:ascii="Cambria" w:hAnsi="Cambria"/>
          <w:color w:val="000000" w:themeColor="text1"/>
          <w:sz w:val="16"/>
          <w:szCs w:val="16"/>
        </w:rPr>
        <w:t>,</w:t>
      </w:r>
      <w:r w:rsidR="00B54967" w:rsidRPr="009035C0">
        <w:rPr>
          <w:rFonts w:ascii="Cambria" w:hAnsi="Cambria"/>
          <w:color w:val="000000" w:themeColor="text1"/>
          <w:sz w:val="16"/>
          <w:szCs w:val="16"/>
        </w:rPr>
        <w:t xml:space="preserve"> 2021.</w:t>
      </w:r>
    </w:p>
  </w:footnote>
  <w:footnote w:id="385">
    <w:p w14:paraId="4D6E08BD" w14:textId="2D31418F" w:rsidR="00C17D7C" w:rsidRPr="009035C0" w:rsidRDefault="00C17D7C"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El</w:t>
      </w:r>
      <w:r w:rsidR="00961B2F" w:rsidRPr="009035C0">
        <w:rPr>
          <w:rFonts w:ascii="Cambria" w:hAnsi="Cambria"/>
          <w:color w:val="000000" w:themeColor="text1"/>
          <w:sz w:val="16"/>
          <w:szCs w:val="16"/>
        </w:rPr>
        <w:t xml:space="preserve"> U</w:t>
      </w:r>
      <w:r w:rsidRPr="009035C0">
        <w:rPr>
          <w:rFonts w:ascii="Cambria" w:hAnsi="Cambria"/>
          <w:color w:val="000000" w:themeColor="text1"/>
          <w:sz w:val="16"/>
          <w:szCs w:val="16"/>
        </w:rPr>
        <w:t>niverso,</w:t>
      </w:r>
      <w:r w:rsidR="006B5254" w:rsidRPr="009035C0">
        <w:rPr>
          <w:rFonts w:ascii="Cambria" w:hAnsi="Cambria"/>
          <w:color w:val="000000" w:themeColor="text1"/>
          <w:sz w:val="16"/>
          <w:szCs w:val="16"/>
        </w:rPr>
        <w:t xml:space="preserve"> </w:t>
      </w:r>
      <w:r w:rsidR="00F01095">
        <w:rPr>
          <w:rFonts w:ascii="Cambria" w:hAnsi="Cambria"/>
          <w:color w:val="000000" w:themeColor="text1"/>
          <w:sz w:val="16"/>
          <w:szCs w:val="16"/>
        </w:rPr>
        <w:t>Older adults, focus of humanitarian care in Venezuela</w:t>
      </w:r>
      <w:r w:rsidR="006B5254" w:rsidRPr="009035C0">
        <w:rPr>
          <w:rFonts w:ascii="Cambria" w:hAnsi="Cambria"/>
          <w:color w:val="000000" w:themeColor="text1"/>
          <w:sz w:val="16"/>
          <w:szCs w:val="16"/>
        </w:rPr>
        <w:t xml:space="preserve">, </w:t>
      </w:r>
      <w:r w:rsidR="00F01095">
        <w:rPr>
          <w:rFonts w:ascii="Cambria" w:hAnsi="Cambria"/>
          <w:color w:val="000000" w:themeColor="text1"/>
          <w:sz w:val="16"/>
          <w:szCs w:val="16"/>
        </w:rPr>
        <w:t xml:space="preserve">October </w:t>
      </w:r>
      <w:r w:rsidRPr="009035C0">
        <w:rPr>
          <w:rFonts w:ascii="Cambria" w:hAnsi="Cambria"/>
          <w:color w:val="000000" w:themeColor="text1"/>
          <w:sz w:val="16"/>
          <w:szCs w:val="16"/>
        </w:rPr>
        <w:t>29</w:t>
      </w:r>
      <w:r w:rsidR="00F01095">
        <w:rPr>
          <w:rFonts w:ascii="Cambria" w:hAnsi="Cambria"/>
          <w:color w:val="000000" w:themeColor="text1"/>
          <w:sz w:val="16"/>
          <w:szCs w:val="16"/>
        </w:rPr>
        <w:t>,</w:t>
      </w:r>
      <w:r w:rsidRPr="009035C0">
        <w:rPr>
          <w:rFonts w:ascii="Cambria" w:hAnsi="Cambria"/>
          <w:color w:val="000000" w:themeColor="text1"/>
          <w:sz w:val="16"/>
          <w:szCs w:val="16"/>
        </w:rPr>
        <w:t xml:space="preserve"> 202</w:t>
      </w:r>
      <w:r w:rsidR="00BB0D5C">
        <w:rPr>
          <w:rFonts w:ascii="Cambria" w:hAnsi="Cambria"/>
          <w:color w:val="000000" w:themeColor="text1"/>
          <w:sz w:val="16"/>
          <w:szCs w:val="16"/>
        </w:rPr>
        <w:t>1.</w:t>
      </w:r>
    </w:p>
  </w:footnote>
  <w:footnote w:id="386">
    <w:p w14:paraId="58CA2DB2" w14:textId="07FFA33F" w:rsidR="00124113" w:rsidRPr="009035C0" w:rsidRDefault="00124113" w:rsidP="00F85814">
      <w:pPr>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0E44E7" w:rsidRPr="009035C0">
        <w:rPr>
          <w:rFonts w:ascii="Cambria" w:hAnsi="Cambria" w:cs="Arial"/>
          <w:color w:val="000000" w:themeColor="text1"/>
          <w:sz w:val="16"/>
          <w:szCs w:val="16"/>
          <w:shd w:val="clear" w:color="auto" w:fill="FFFFFF"/>
        </w:rPr>
        <w:t>Aleteia, Venezuela: Prohibido envejecer</w:t>
      </w:r>
      <w:r w:rsidR="003E64A5">
        <w:rPr>
          <w:rFonts w:ascii="Cambria" w:hAnsi="Cambria" w:cs="Arial"/>
          <w:color w:val="000000" w:themeColor="text1"/>
          <w:sz w:val="16"/>
          <w:szCs w:val="16"/>
          <w:shd w:val="clear" w:color="auto" w:fill="FFFFFF"/>
        </w:rPr>
        <w:t xml:space="preserve"> [‘No growing old’]</w:t>
      </w:r>
      <w:r w:rsidR="000E44E7" w:rsidRPr="009035C0">
        <w:rPr>
          <w:rFonts w:ascii="Cambria" w:hAnsi="Cambria" w:cs="Arial"/>
          <w:color w:val="000000" w:themeColor="text1"/>
          <w:sz w:val="16"/>
          <w:szCs w:val="16"/>
          <w:shd w:val="clear" w:color="auto" w:fill="FFFFFF"/>
        </w:rPr>
        <w:t xml:space="preserve">, </w:t>
      </w:r>
      <w:r w:rsidR="003E64A5">
        <w:rPr>
          <w:rFonts w:ascii="Cambria" w:hAnsi="Cambria" w:cs="Arial"/>
          <w:color w:val="000000" w:themeColor="text1"/>
          <w:sz w:val="16"/>
          <w:szCs w:val="16"/>
          <w:shd w:val="clear" w:color="auto" w:fill="FFFFFF"/>
        </w:rPr>
        <w:t xml:space="preserve">August </w:t>
      </w:r>
      <w:r w:rsidR="000E44E7" w:rsidRPr="009035C0">
        <w:rPr>
          <w:rFonts w:ascii="Cambria" w:hAnsi="Cambria" w:cs="Arial"/>
          <w:color w:val="000000" w:themeColor="text1"/>
          <w:sz w:val="16"/>
          <w:szCs w:val="16"/>
          <w:shd w:val="clear" w:color="auto" w:fill="FFFFFF"/>
        </w:rPr>
        <w:t>25</w:t>
      </w:r>
      <w:r w:rsidR="003E64A5">
        <w:rPr>
          <w:rFonts w:ascii="Cambria" w:hAnsi="Cambria" w:cs="Arial"/>
          <w:color w:val="000000" w:themeColor="text1"/>
          <w:sz w:val="16"/>
          <w:szCs w:val="16"/>
          <w:shd w:val="clear" w:color="auto" w:fill="FFFFFF"/>
        </w:rPr>
        <w:t>,</w:t>
      </w:r>
      <w:r w:rsidR="000E44E7" w:rsidRPr="009035C0">
        <w:rPr>
          <w:rFonts w:ascii="Cambria" w:hAnsi="Cambria" w:cs="Arial"/>
          <w:color w:val="000000" w:themeColor="text1"/>
          <w:sz w:val="16"/>
          <w:szCs w:val="16"/>
          <w:shd w:val="clear" w:color="auto" w:fill="FFFFFF"/>
        </w:rPr>
        <w:t xml:space="preserve"> 2021.</w:t>
      </w:r>
    </w:p>
  </w:footnote>
  <w:footnote w:id="387">
    <w:p w14:paraId="11520751" w14:textId="24C48589" w:rsidR="00C17D7C" w:rsidRPr="009035C0" w:rsidRDefault="00C17D7C"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Aleteia, </w:t>
      </w:r>
      <w:hyperlink r:id="rId363" w:history="1">
        <w:r w:rsidRPr="009035C0">
          <w:rPr>
            <w:rStyle w:val="Hyperlink"/>
            <w:rFonts w:ascii="Cambria" w:hAnsi="Cambria"/>
            <w:color w:val="000000" w:themeColor="text1"/>
            <w:sz w:val="16"/>
            <w:szCs w:val="16"/>
          </w:rPr>
          <w:t>https://es.aleteia.org/2021/08/25/venezuela-prohibido-envejecer/</w:t>
        </w:r>
      </w:hyperlink>
      <w:r w:rsidRPr="009035C0">
        <w:rPr>
          <w:rFonts w:ascii="Cambria" w:hAnsi="Cambria"/>
          <w:color w:val="000000" w:themeColor="text1"/>
          <w:sz w:val="16"/>
          <w:szCs w:val="16"/>
        </w:rPr>
        <w:t xml:space="preserve">, </w:t>
      </w:r>
      <w:r w:rsidR="003E64A5">
        <w:rPr>
          <w:rFonts w:ascii="Cambria" w:hAnsi="Cambria"/>
          <w:color w:val="000000" w:themeColor="text1"/>
          <w:sz w:val="16"/>
          <w:szCs w:val="16"/>
        </w:rPr>
        <w:t xml:space="preserve">August </w:t>
      </w:r>
      <w:r w:rsidRPr="009035C0">
        <w:rPr>
          <w:rFonts w:ascii="Cambria" w:hAnsi="Cambria"/>
          <w:color w:val="000000" w:themeColor="text1"/>
          <w:sz w:val="16"/>
          <w:szCs w:val="16"/>
        </w:rPr>
        <w:t>25</w:t>
      </w:r>
      <w:r w:rsidR="003E64A5">
        <w:rPr>
          <w:rFonts w:ascii="Cambria" w:hAnsi="Cambria"/>
          <w:color w:val="000000" w:themeColor="text1"/>
          <w:sz w:val="16"/>
          <w:szCs w:val="16"/>
        </w:rPr>
        <w:t>,</w:t>
      </w:r>
      <w:r w:rsidRPr="009035C0">
        <w:rPr>
          <w:rFonts w:ascii="Cambria" w:hAnsi="Cambria"/>
          <w:color w:val="000000" w:themeColor="text1"/>
          <w:sz w:val="16"/>
          <w:szCs w:val="16"/>
        </w:rPr>
        <w:t xml:space="preserve"> 202</w:t>
      </w:r>
      <w:r w:rsidR="00BB0D5C">
        <w:rPr>
          <w:rFonts w:ascii="Cambria" w:hAnsi="Cambria"/>
          <w:color w:val="000000" w:themeColor="text1"/>
          <w:sz w:val="16"/>
          <w:szCs w:val="16"/>
        </w:rPr>
        <w:t>1</w:t>
      </w:r>
      <w:r w:rsidR="008A01DA">
        <w:rPr>
          <w:rFonts w:ascii="Cambria" w:hAnsi="Cambria"/>
          <w:color w:val="000000" w:themeColor="text1"/>
          <w:sz w:val="16"/>
          <w:szCs w:val="16"/>
        </w:rPr>
        <w:t>.</w:t>
      </w:r>
    </w:p>
  </w:footnote>
  <w:footnote w:id="388">
    <w:p w14:paraId="05DC7032" w14:textId="685A3C06" w:rsidR="006F6BEE" w:rsidRPr="00E7771A" w:rsidRDefault="006F6BEE"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Crónica uno, </w:t>
      </w:r>
      <w:hyperlink r:id="rId364" w:history="1">
        <w:r w:rsidRPr="00E7771A">
          <w:rPr>
            <w:rStyle w:val="Hyperlink"/>
            <w:rFonts w:ascii="Cambria" w:hAnsi="Cambria"/>
            <w:color w:val="000000" w:themeColor="text1"/>
            <w:sz w:val="16"/>
            <w:szCs w:val="16"/>
            <w:lang w:val="es-US"/>
          </w:rPr>
          <w:t>https://cronica.uno/83-de-los-adultos-mayores-consultados-por-convite-dependen-de-otros-para-cubrir-sus-necesidades-basicas/</w:t>
        </w:r>
      </w:hyperlink>
      <w:r w:rsidRPr="00E7771A">
        <w:rPr>
          <w:rFonts w:ascii="Cambria" w:hAnsi="Cambria"/>
          <w:color w:val="000000" w:themeColor="text1"/>
          <w:sz w:val="16"/>
          <w:szCs w:val="16"/>
          <w:lang w:val="es-US"/>
        </w:rPr>
        <w:t xml:space="preserve">, </w:t>
      </w:r>
      <w:r w:rsidR="003E64A5" w:rsidRPr="00E7771A">
        <w:rPr>
          <w:rFonts w:ascii="Cambria" w:hAnsi="Cambria"/>
          <w:color w:val="000000" w:themeColor="text1"/>
          <w:sz w:val="16"/>
          <w:szCs w:val="16"/>
          <w:lang w:val="es-US"/>
        </w:rPr>
        <w:t xml:space="preserve">July </w:t>
      </w:r>
      <w:r w:rsidRPr="00E7771A">
        <w:rPr>
          <w:rFonts w:ascii="Cambria" w:hAnsi="Cambria"/>
          <w:color w:val="000000" w:themeColor="text1"/>
          <w:sz w:val="16"/>
          <w:szCs w:val="16"/>
          <w:lang w:val="es-US"/>
        </w:rPr>
        <w:t>28</w:t>
      </w:r>
      <w:r w:rsidR="003E64A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w:t>
      </w:r>
    </w:p>
  </w:footnote>
  <w:footnote w:id="389">
    <w:p w14:paraId="6929B3F6" w14:textId="0AD6C51B" w:rsidR="00E036EA" w:rsidRPr="009035C0" w:rsidRDefault="00E036EA"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Convite, </w:t>
      </w:r>
      <w:hyperlink r:id="rId365" w:history="1">
        <w:r w:rsidRPr="009035C0">
          <w:rPr>
            <w:rStyle w:val="Hyperlink"/>
            <w:rFonts w:ascii="Cambria" w:hAnsi="Cambria"/>
            <w:color w:val="000000" w:themeColor="text1"/>
            <w:sz w:val="16"/>
            <w:szCs w:val="16"/>
          </w:rPr>
          <w:t>https://conviteac.org.ve/wp-content/uploads/2021/06/CONDICIONES_DE_VIDA_Y_SALUD_DE_LAS_PERSONAS_MAYORES_EN_VENEZUELA_-1.pdf</w:t>
        </w:r>
      </w:hyperlink>
      <w:r w:rsidRPr="009035C0">
        <w:rPr>
          <w:rFonts w:ascii="Cambria" w:hAnsi="Cambria"/>
          <w:color w:val="000000" w:themeColor="text1"/>
          <w:sz w:val="16"/>
          <w:szCs w:val="16"/>
        </w:rPr>
        <w:t xml:space="preserve">, </w:t>
      </w:r>
      <w:r w:rsidR="00E16EF3">
        <w:rPr>
          <w:rFonts w:ascii="Cambria" w:hAnsi="Cambria"/>
          <w:color w:val="000000" w:themeColor="text1"/>
          <w:sz w:val="16"/>
          <w:szCs w:val="16"/>
        </w:rPr>
        <w:t xml:space="preserve">March </w:t>
      </w:r>
      <w:r w:rsidRPr="009035C0">
        <w:rPr>
          <w:rFonts w:ascii="Cambria" w:hAnsi="Cambria"/>
          <w:color w:val="000000" w:themeColor="text1"/>
          <w:sz w:val="16"/>
          <w:szCs w:val="16"/>
        </w:rPr>
        <w:t xml:space="preserve">14 – </w:t>
      </w:r>
      <w:r w:rsidR="00E16EF3">
        <w:rPr>
          <w:rFonts w:ascii="Cambria" w:hAnsi="Cambria"/>
          <w:color w:val="000000" w:themeColor="text1"/>
          <w:sz w:val="16"/>
          <w:szCs w:val="16"/>
        </w:rPr>
        <w:t xml:space="preserve">Apirl </w:t>
      </w:r>
      <w:r w:rsidRPr="009035C0">
        <w:rPr>
          <w:rFonts w:ascii="Cambria" w:hAnsi="Cambria"/>
          <w:color w:val="000000" w:themeColor="text1"/>
          <w:sz w:val="16"/>
          <w:szCs w:val="16"/>
        </w:rPr>
        <w:t>13</w:t>
      </w:r>
      <w:r w:rsidR="00E16EF3">
        <w:rPr>
          <w:rFonts w:ascii="Cambria" w:hAnsi="Cambria"/>
          <w:color w:val="000000" w:themeColor="text1"/>
          <w:sz w:val="16"/>
          <w:szCs w:val="16"/>
        </w:rPr>
        <w:t>,</w:t>
      </w:r>
      <w:r w:rsidRPr="009035C0">
        <w:rPr>
          <w:rFonts w:ascii="Cambria" w:hAnsi="Cambria"/>
          <w:color w:val="000000" w:themeColor="text1"/>
          <w:sz w:val="16"/>
          <w:szCs w:val="16"/>
        </w:rPr>
        <w:t xml:space="preserve"> 202</w:t>
      </w:r>
      <w:r w:rsidR="00A22D63">
        <w:rPr>
          <w:rFonts w:ascii="Cambria" w:hAnsi="Cambria"/>
          <w:color w:val="000000" w:themeColor="text1"/>
          <w:sz w:val="16"/>
          <w:szCs w:val="16"/>
        </w:rPr>
        <w:t>1.</w:t>
      </w:r>
    </w:p>
  </w:footnote>
  <w:footnote w:id="390">
    <w:p w14:paraId="7FE9CE16" w14:textId="5BC6345C" w:rsidR="00E036EA" w:rsidRPr="009035C0" w:rsidRDefault="00E036EA"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CB0260" w:rsidRPr="009035C0">
        <w:rPr>
          <w:rFonts w:ascii="Cambria" w:hAnsi="Cambria"/>
          <w:color w:val="000000" w:themeColor="text1"/>
          <w:sz w:val="16"/>
          <w:szCs w:val="16"/>
        </w:rPr>
        <w:t xml:space="preserve">Convite, ENCOVI 2021, </w:t>
      </w:r>
      <w:r w:rsidR="00AF0955">
        <w:rPr>
          <w:rFonts w:ascii="Cambria" w:hAnsi="Cambria"/>
          <w:color w:val="000000" w:themeColor="text1"/>
          <w:sz w:val="16"/>
          <w:szCs w:val="16"/>
        </w:rPr>
        <w:t xml:space="preserve">April </w:t>
      </w:r>
      <w:r w:rsidR="00CB0260" w:rsidRPr="009035C0">
        <w:rPr>
          <w:rFonts w:ascii="Cambria" w:hAnsi="Cambria"/>
          <w:color w:val="000000" w:themeColor="text1"/>
          <w:sz w:val="16"/>
          <w:szCs w:val="16"/>
        </w:rPr>
        <w:t>13</w:t>
      </w:r>
      <w:r w:rsidR="00AF0955">
        <w:rPr>
          <w:rFonts w:ascii="Cambria" w:hAnsi="Cambria"/>
          <w:color w:val="000000" w:themeColor="text1"/>
          <w:sz w:val="16"/>
          <w:szCs w:val="16"/>
        </w:rPr>
        <w:t>,</w:t>
      </w:r>
      <w:r w:rsidR="00CB0260" w:rsidRPr="009035C0">
        <w:rPr>
          <w:rFonts w:ascii="Cambria" w:hAnsi="Cambria"/>
          <w:color w:val="000000" w:themeColor="text1"/>
          <w:sz w:val="16"/>
          <w:szCs w:val="16"/>
        </w:rPr>
        <w:t xml:space="preserve"> 2021.</w:t>
      </w:r>
    </w:p>
  </w:footnote>
  <w:footnote w:id="391">
    <w:p w14:paraId="47942D82" w14:textId="55EFE18B" w:rsidR="00E036EA" w:rsidRPr="009035C0" w:rsidRDefault="00E036EA"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Convite,</w:t>
      </w:r>
      <w:r w:rsidR="002035BF" w:rsidRPr="009035C0">
        <w:rPr>
          <w:rFonts w:ascii="Cambria" w:hAnsi="Cambria"/>
          <w:color w:val="000000" w:themeColor="text1"/>
          <w:sz w:val="16"/>
          <w:szCs w:val="16"/>
        </w:rPr>
        <w:t xml:space="preserve"> ENCOVI 2021, </w:t>
      </w:r>
      <w:r w:rsidR="00AF0955">
        <w:rPr>
          <w:rFonts w:ascii="Cambria" w:hAnsi="Cambria"/>
          <w:color w:val="000000" w:themeColor="text1"/>
          <w:sz w:val="16"/>
          <w:szCs w:val="16"/>
        </w:rPr>
        <w:t xml:space="preserve">April </w:t>
      </w:r>
      <w:r w:rsidR="00AF0955" w:rsidRPr="009035C0">
        <w:rPr>
          <w:rFonts w:ascii="Cambria" w:hAnsi="Cambria"/>
          <w:color w:val="000000" w:themeColor="text1"/>
          <w:sz w:val="16"/>
          <w:szCs w:val="16"/>
        </w:rPr>
        <w:t>13</w:t>
      </w:r>
      <w:r w:rsidR="00AF0955">
        <w:rPr>
          <w:rFonts w:ascii="Cambria" w:hAnsi="Cambria"/>
          <w:color w:val="000000" w:themeColor="text1"/>
          <w:sz w:val="16"/>
          <w:szCs w:val="16"/>
        </w:rPr>
        <w:t>,</w:t>
      </w:r>
      <w:r w:rsidR="00AF0955" w:rsidRPr="009035C0">
        <w:rPr>
          <w:rFonts w:ascii="Cambria" w:hAnsi="Cambria"/>
          <w:color w:val="000000" w:themeColor="text1"/>
          <w:sz w:val="16"/>
          <w:szCs w:val="16"/>
        </w:rPr>
        <w:t xml:space="preserve"> 2021.</w:t>
      </w:r>
    </w:p>
  </w:footnote>
  <w:footnote w:id="392">
    <w:p w14:paraId="1AA2B676" w14:textId="580112FF" w:rsidR="00E036EA" w:rsidRPr="009035C0" w:rsidRDefault="00E036EA"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00533B11" w:rsidRPr="009035C0">
        <w:rPr>
          <w:rFonts w:ascii="Cambria" w:hAnsi="Cambria"/>
          <w:color w:val="000000" w:themeColor="text1"/>
          <w:sz w:val="16"/>
          <w:szCs w:val="16"/>
        </w:rPr>
        <w:t xml:space="preserve">Convite, ENCOVI 2021, </w:t>
      </w:r>
      <w:r w:rsidR="00AF0955">
        <w:rPr>
          <w:rFonts w:ascii="Cambria" w:hAnsi="Cambria"/>
          <w:color w:val="000000" w:themeColor="text1"/>
          <w:sz w:val="16"/>
          <w:szCs w:val="16"/>
        </w:rPr>
        <w:t xml:space="preserve">April </w:t>
      </w:r>
      <w:r w:rsidR="00AF0955" w:rsidRPr="009035C0">
        <w:rPr>
          <w:rFonts w:ascii="Cambria" w:hAnsi="Cambria"/>
          <w:color w:val="000000" w:themeColor="text1"/>
          <w:sz w:val="16"/>
          <w:szCs w:val="16"/>
        </w:rPr>
        <w:t>13</w:t>
      </w:r>
      <w:r w:rsidR="00AF0955">
        <w:rPr>
          <w:rFonts w:ascii="Cambria" w:hAnsi="Cambria"/>
          <w:color w:val="000000" w:themeColor="text1"/>
          <w:sz w:val="16"/>
          <w:szCs w:val="16"/>
        </w:rPr>
        <w:t>,</w:t>
      </w:r>
      <w:r w:rsidR="00AF0955" w:rsidRPr="009035C0">
        <w:rPr>
          <w:rFonts w:ascii="Cambria" w:hAnsi="Cambria"/>
          <w:color w:val="000000" w:themeColor="text1"/>
          <w:sz w:val="16"/>
          <w:szCs w:val="16"/>
        </w:rPr>
        <w:t xml:space="preserve"> 2021.</w:t>
      </w:r>
    </w:p>
  </w:footnote>
  <w:footnote w:id="393">
    <w:p w14:paraId="6F3E855C" w14:textId="1631FBCB" w:rsidR="00E036EA" w:rsidRPr="009035C0" w:rsidRDefault="00E036EA"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Convite,</w:t>
      </w:r>
      <w:r w:rsidR="00AF0955">
        <w:rPr>
          <w:rFonts w:ascii="Cambria" w:hAnsi="Cambria"/>
          <w:color w:val="000000" w:themeColor="text1"/>
          <w:sz w:val="16"/>
          <w:szCs w:val="16"/>
        </w:rPr>
        <w:t xml:space="preserve"> </w:t>
      </w:r>
      <w:r w:rsidR="00533B11" w:rsidRPr="009035C0">
        <w:rPr>
          <w:rFonts w:ascii="Cambria" w:hAnsi="Cambria"/>
          <w:color w:val="000000" w:themeColor="text1"/>
          <w:sz w:val="16"/>
          <w:szCs w:val="16"/>
        </w:rPr>
        <w:t xml:space="preserve">ENCOVI 2021, </w:t>
      </w:r>
      <w:r w:rsidR="00AF0955">
        <w:rPr>
          <w:rFonts w:ascii="Cambria" w:hAnsi="Cambria"/>
          <w:color w:val="000000" w:themeColor="text1"/>
          <w:sz w:val="16"/>
          <w:szCs w:val="16"/>
        </w:rPr>
        <w:t xml:space="preserve">April </w:t>
      </w:r>
      <w:r w:rsidR="00AF0955" w:rsidRPr="009035C0">
        <w:rPr>
          <w:rFonts w:ascii="Cambria" w:hAnsi="Cambria"/>
          <w:color w:val="000000" w:themeColor="text1"/>
          <w:sz w:val="16"/>
          <w:szCs w:val="16"/>
        </w:rPr>
        <w:t>13</w:t>
      </w:r>
      <w:r w:rsidR="00AF0955">
        <w:rPr>
          <w:rFonts w:ascii="Cambria" w:hAnsi="Cambria"/>
          <w:color w:val="000000" w:themeColor="text1"/>
          <w:sz w:val="16"/>
          <w:szCs w:val="16"/>
        </w:rPr>
        <w:t>,</w:t>
      </w:r>
      <w:r w:rsidR="00AF0955" w:rsidRPr="009035C0">
        <w:rPr>
          <w:rFonts w:ascii="Cambria" w:hAnsi="Cambria"/>
          <w:color w:val="000000" w:themeColor="text1"/>
          <w:sz w:val="16"/>
          <w:szCs w:val="16"/>
        </w:rPr>
        <w:t xml:space="preserve"> 2021.</w:t>
      </w:r>
    </w:p>
  </w:footnote>
  <w:footnote w:id="394">
    <w:p w14:paraId="12EF5AF0" w14:textId="373ED1B0" w:rsidR="00C17D7C" w:rsidRPr="009035C0" w:rsidRDefault="00C17D7C" w:rsidP="00F85814">
      <w:pPr>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18756D" w:rsidRPr="009035C0">
        <w:rPr>
          <w:rFonts w:ascii="Cambria" w:hAnsi="Cambria" w:cs="Arial"/>
          <w:color w:val="000000" w:themeColor="text1"/>
          <w:sz w:val="16"/>
          <w:szCs w:val="16"/>
          <w:shd w:val="clear" w:color="auto" w:fill="FFFFFF"/>
        </w:rPr>
        <w:t>Infobae, </w:t>
      </w:r>
      <w:r w:rsidR="00AF0955">
        <w:rPr>
          <w:rFonts w:ascii="Cambria" w:hAnsi="Cambria" w:cs="Arial"/>
          <w:color w:val="000000" w:themeColor="text1"/>
          <w:sz w:val="16"/>
          <w:szCs w:val="16"/>
          <w:shd w:val="clear" w:color="auto" w:fill="FFFFFF"/>
        </w:rPr>
        <w:t xml:space="preserve">In </w:t>
      </w:r>
      <w:r w:rsidR="0018756D" w:rsidRPr="009035C0">
        <w:rPr>
          <w:rFonts w:ascii="Cambria" w:hAnsi="Cambria" w:cs="Arial"/>
          <w:color w:val="000000" w:themeColor="text1"/>
          <w:sz w:val="16"/>
          <w:szCs w:val="16"/>
          <w:shd w:val="clear" w:color="auto" w:fill="FFFFFF"/>
        </w:rPr>
        <w:t>Venezuela</w:t>
      </w:r>
      <w:r w:rsidR="00AF0955">
        <w:rPr>
          <w:rFonts w:ascii="Cambria" w:hAnsi="Cambria" w:cs="Arial"/>
          <w:color w:val="000000" w:themeColor="text1"/>
          <w:sz w:val="16"/>
          <w:szCs w:val="16"/>
          <w:shd w:val="clear" w:color="auto" w:fill="FFFFFF"/>
        </w:rPr>
        <w:t>, more than 100 deaths of older adults in six months have been reported</w:t>
      </w:r>
      <w:r w:rsidR="0018756D" w:rsidRPr="009035C0">
        <w:rPr>
          <w:rFonts w:ascii="Cambria" w:hAnsi="Cambria" w:cs="Arial"/>
          <w:color w:val="000000" w:themeColor="text1"/>
          <w:sz w:val="16"/>
          <w:szCs w:val="16"/>
          <w:shd w:val="clear" w:color="auto" w:fill="FFFFFF"/>
        </w:rPr>
        <w:t xml:space="preserve">, </w:t>
      </w:r>
      <w:r w:rsidR="00AF0955">
        <w:rPr>
          <w:rFonts w:ascii="Cambria" w:hAnsi="Cambria" w:cs="Arial"/>
          <w:color w:val="000000" w:themeColor="text1"/>
          <w:sz w:val="16"/>
          <w:szCs w:val="16"/>
          <w:shd w:val="clear" w:color="auto" w:fill="FFFFFF"/>
        </w:rPr>
        <w:t xml:space="preserve">October </w:t>
      </w:r>
      <w:r w:rsidR="0018756D" w:rsidRPr="009035C0">
        <w:rPr>
          <w:rFonts w:ascii="Cambria" w:hAnsi="Cambria" w:cs="Arial"/>
          <w:color w:val="000000" w:themeColor="text1"/>
          <w:sz w:val="16"/>
          <w:szCs w:val="16"/>
          <w:shd w:val="clear" w:color="auto" w:fill="FFFFFF"/>
        </w:rPr>
        <w:t>2</w:t>
      </w:r>
      <w:r w:rsidR="00AF0955">
        <w:rPr>
          <w:rFonts w:ascii="Cambria" w:hAnsi="Cambria" w:cs="Arial"/>
          <w:color w:val="000000" w:themeColor="text1"/>
          <w:sz w:val="16"/>
          <w:szCs w:val="16"/>
          <w:shd w:val="clear" w:color="auto" w:fill="FFFFFF"/>
        </w:rPr>
        <w:t>,</w:t>
      </w:r>
      <w:r w:rsidR="0018756D" w:rsidRPr="009035C0">
        <w:rPr>
          <w:rFonts w:ascii="Cambria" w:hAnsi="Cambria" w:cs="Arial"/>
          <w:color w:val="000000" w:themeColor="text1"/>
          <w:sz w:val="16"/>
          <w:szCs w:val="16"/>
          <w:shd w:val="clear" w:color="auto" w:fill="FFFFFF"/>
        </w:rPr>
        <w:t xml:space="preserve"> 2021.</w:t>
      </w:r>
    </w:p>
  </w:footnote>
  <w:footnote w:id="395">
    <w:p w14:paraId="79FD206E" w14:textId="259689FE" w:rsidR="009E16E8" w:rsidRPr="009035C0" w:rsidRDefault="009E16E8"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A053C3">
        <w:rPr>
          <w:rFonts w:ascii="Cambria" w:hAnsi="Cambria"/>
          <w:color w:val="000000" w:themeColor="text1"/>
          <w:sz w:val="16"/>
          <w:szCs w:val="16"/>
        </w:rPr>
        <w:t>National Assembly</w:t>
      </w:r>
      <w:r w:rsidRPr="009035C0">
        <w:rPr>
          <w:rFonts w:ascii="Cambria" w:hAnsi="Cambria" w:cs="Calibri"/>
          <w:color w:val="000000" w:themeColor="text1"/>
          <w:sz w:val="16"/>
          <w:szCs w:val="16"/>
          <w:shd w:val="clear" w:color="auto" w:fill="FFFFFF"/>
        </w:rPr>
        <w:t>, </w:t>
      </w:r>
      <w:hyperlink r:id="rId366" w:tgtFrame="_blank" w:history="1">
        <w:r w:rsidRPr="009035C0">
          <w:rPr>
            <w:rFonts w:ascii="Cambria" w:hAnsi="Cambria" w:cs="Calibri"/>
            <w:color w:val="000000" w:themeColor="text1"/>
            <w:sz w:val="16"/>
            <w:szCs w:val="16"/>
            <w:u w:val="single"/>
            <w:shd w:val="clear" w:color="auto" w:fill="FFFFFF"/>
          </w:rPr>
          <w:t>http://www.asambleanacional.gob.ve/leyes/sancionadas/ley-organica-para-la-atencion-y-desarrollo-integral-de-las-personas-adultas-mayores</w:t>
        </w:r>
      </w:hyperlink>
      <w:r w:rsidRPr="009035C0">
        <w:rPr>
          <w:rFonts w:ascii="Cambria" w:hAnsi="Cambria" w:cs="Calibri"/>
          <w:color w:val="000000" w:themeColor="text1"/>
          <w:sz w:val="16"/>
          <w:szCs w:val="16"/>
          <w:shd w:val="clear" w:color="auto" w:fill="FFFFFF"/>
        </w:rPr>
        <w:t xml:space="preserve">, </w:t>
      </w:r>
      <w:r w:rsidR="00A053C3">
        <w:rPr>
          <w:rFonts w:ascii="Cambria" w:hAnsi="Cambria" w:cs="Calibri"/>
          <w:color w:val="000000" w:themeColor="text1"/>
          <w:sz w:val="16"/>
          <w:szCs w:val="16"/>
          <w:shd w:val="clear" w:color="auto" w:fill="FFFFFF"/>
        </w:rPr>
        <w:t xml:space="preserve">September </w:t>
      </w:r>
      <w:r w:rsidRPr="009035C0">
        <w:rPr>
          <w:rFonts w:ascii="Cambria" w:hAnsi="Cambria" w:cs="Calibri"/>
          <w:color w:val="000000" w:themeColor="text1"/>
          <w:sz w:val="16"/>
          <w:szCs w:val="16"/>
          <w:shd w:val="clear" w:color="auto" w:fill="FFFFFF"/>
        </w:rPr>
        <w:t>13</w:t>
      </w:r>
      <w:r w:rsidR="00A053C3">
        <w:rPr>
          <w:rFonts w:ascii="Cambria" w:hAnsi="Cambria" w:cs="Calibri"/>
          <w:color w:val="000000" w:themeColor="text1"/>
          <w:sz w:val="16"/>
          <w:szCs w:val="16"/>
          <w:shd w:val="clear" w:color="auto" w:fill="FFFFFF"/>
        </w:rPr>
        <w:t>,</w:t>
      </w:r>
      <w:r w:rsidRPr="009035C0">
        <w:rPr>
          <w:rFonts w:ascii="Cambria" w:hAnsi="Cambria" w:cs="Calibri"/>
          <w:color w:val="000000" w:themeColor="text1"/>
          <w:sz w:val="16"/>
          <w:szCs w:val="16"/>
          <w:shd w:val="clear" w:color="auto" w:fill="FFFFFF"/>
        </w:rPr>
        <w:t xml:space="preserve"> 202</w:t>
      </w:r>
      <w:r w:rsidR="00A053C3">
        <w:rPr>
          <w:rFonts w:ascii="Cambria" w:hAnsi="Cambria" w:cs="Calibri"/>
          <w:color w:val="000000" w:themeColor="text1"/>
          <w:sz w:val="16"/>
          <w:szCs w:val="16"/>
          <w:shd w:val="clear" w:color="auto" w:fill="FFFFFF"/>
        </w:rPr>
        <w:t>1.</w:t>
      </w:r>
    </w:p>
  </w:footnote>
  <w:footnote w:id="396">
    <w:p w14:paraId="7ED211AB" w14:textId="62994498" w:rsidR="009E16E8" w:rsidRPr="009035C0" w:rsidRDefault="009E16E8"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EF2A75">
        <w:rPr>
          <w:rFonts w:ascii="Cambria" w:hAnsi="Cambria" w:cs="Open Sans"/>
          <w:color w:val="000000" w:themeColor="text1"/>
          <w:sz w:val="16"/>
          <w:szCs w:val="16"/>
          <w:shd w:val="clear" w:color="auto" w:fill="FFFFFF"/>
        </w:rPr>
        <w:t>IA Court of HR. Case of</w:t>
      </w:r>
      <w:r w:rsidRPr="009035C0">
        <w:rPr>
          <w:rFonts w:ascii="Cambria" w:hAnsi="Cambria" w:cs="Open Sans"/>
          <w:color w:val="000000" w:themeColor="text1"/>
          <w:sz w:val="16"/>
          <w:szCs w:val="16"/>
          <w:shd w:val="clear" w:color="auto" w:fill="FFFFFF"/>
        </w:rPr>
        <w:t xml:space="preserve"> Poblete Vilches </w:t>
      </w:r>
      <w:r w:rsidR="00EF2A75">
        <w:rPr>
          <w:rFonts w:ascii="Cambria" w:hAnsi="Cambria" w:cs="Open Sans"/>
          <w:color w:val="000000" w:themeColor="text1"/>
          <w:sz w:val="16"/>
          <w:szCs w:val="16"/>
          <w:shd w:val="clear" w:color="auto" w:fill="FFFFFF"/>
        </w:rPr>
        <w:t>et al v.</w:t>
      </w:r>
      <w:r w:rsidRPr="009035C0">
        <w:rPr>
          <w:rFonts w:ascii="Cambria" w:hAnsi="Cambria" w:cs="Open Sans"/>
          <w:color w:val="000000" w:themeColor="text1"/>
          <w:sz w:val="16"/>
          <w:szCs w:val="16"/>
          <w:shd w:val="clear" w:color="auto" w:fill="FFFFFF"/>
        </w:rPr>
        <w:t xml:space="preserve"> Chile. </w:t>
      </w:r>
      <w:r w:rsidR="00EF2A75">
        <w:rPr>
          <w:rFonts w:ascii="Cambria" w:hAnsi="Cambria" w:cs="Open Sans"/>
          <w:color w:val="000000" w:themeColor="text1"/>
          <w:sz w:val="16"/>
          <w:szCs w:val="16"/>
          <w:shd w:val="clear" w:color="auto" w:fill="FFFFFF"/>
        </w:rPr>
        <w:t xml:space="preserve">Merits, Reparations and Costs. Judgment of March </w:t>
      </w:r>
      <w:r w:rsidRPr="009035C0">
        <w:rPr>
          <w:rFonts w:ascii="Cambria" w:hAnsi="Cambria" w:cs="Open Sans"/>
          <w:color w:val="000000" w:themeColor="text1"/>
          <w:sz w:val="16"/>
          <w:szCs w:val="16"/>
          <w:shd w:val="clear" w:color="auto" w:fill="FFFFFF"/>
        </w:rPr>
        <w:t>8</w:t>
      </w:r>
      <w:r w:rsidR="00EF2A75">
        <w:rPr>
          <w:rFonts w:ascii="Cambria" w:hAnsi="Cambria" w:cs="Open Sans"/>
          <w:color w:val="000000" w:themeColor="text1"/>
          <w:sz w:val="16"/>
          <w:szCs w:val="16"/>
          <w:shd w:val="clear" w:color="auto" w:fill="FFFFFF"/>
        </w:rPr>
        <w:t>,</w:t>
      </w:r>
      <w:r w:rsidRPr="009035C0">
        <w:rPr>
          <w:rFonts w:ascii="Cambria" w:hAnsi="Cambria" w:cs="Open Sans"/>
          <w:color w:val="000000" w:themeColor="text1"/>
          <w:sz w:val="16"/>
          <w:szCs w:val="16"/>
          <w:shd w:val="clear" w:color="auto" w:fill="FFFFFF"/>
        </w:rPr>
        <w:t xml:space="preserve"> 2018. Serie</w:t>
      </w:r>
      <w:r w:rsidR="00EF2A75">
        <w:rPr>
          <w:rFonts w:ascii="Cambria" w:hAnsi="Cambria" w:cs="Open Sans"/>
          <w:color w:val="000000" w:themeColor="text1"/>
          <w:sz w:val="16"/>
          <w:szCs w:val="16"/>
          <w:shd w:val="clear" w:color="auto" w:fill="FFFFFF"/>
        </w:rPr>
        <w:t>s</w:t>
      </w:r>
      <w:r w:rsidRPr="009035C0">
        <w:rPr>
          <w:rFonts w:ascii="Cambria" w:hAnsi="Cambria" w:cs="Open Sans"/>
          <w:color w:val="000000" w:themeColor="text1"/>
          <w:sz w:val="16"/>
          <w:szCs w:val="16"/>
          <w:shd w:val="clear" w:color="auto" w:fill="FFFFFF"/>
        </w:rPr>
        <w:t xml:space="preserve"> C No. 349, </w:t>
      </w:r>
      <w:r w:rsidR="00EF2A75">
        <w:rPr>
          <w:rFonts w:ascii="Cambria" w:hAnsi="Cambria" w:cs="Open Sans"/>
          <w:color w:val="000000" w:themeColor="text1"/>
          <w:sz w:val="16"/>
          <w:szCs w:val="16"/>
          <w:shd w:val="clear" w:color="auto" w:fill="FFFFFF"/>
        </w:rPr>
        <w:t>par.</w:t>
      </w:r>
      <w:r w:rsidRPr="009035C0">
        <w:rPr>
          <w:rFonts w:ascii="Cambria" w:hAnsi="Cambria" w:cs="Open Sans"/>
          <w:color w:val="000000" w:themeColor="text1"/>
          <w:sz w:val="16"/>
          <w:szCs w:val="16"/>
          <w:shd w:val="clear" w:color="auto" w:fill="FFFFFF"/>
        </w:rPr>
        <w:t xml:space="preserve"> 132.</w:t>
      </w:r>
    </w:p>
  </w:footnote>
  <w:footnote w:id="397">
    <w:p w14:paraId="129ACC48" w14:textId="6B29B117" w:rsidR="007A0809" w:rsidRPr="009035C0" w:rsidRDefault="007A0809"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B13133">
        <w:rPr>
          <w:rFonts w:ascii="Cambria" w:hAnsi="Cambria"/>
          <w:color w:val="000000" w:themeColor="text1"/>
          <w:sz w:val="16"/>
          <w:szCs w:val="16"/>
        </w:rPr>
        <w:t xml:space="preserve">The International Working Group </w:t>
      </w:r>
      <w:r w:rsidR="0073596B">
        <w:rPr>
          <w:rFonts w:ascii="Cambria" w:hAnsi="Cambria"/>
          <w:color w:val="000000" w:themeColor="text1"/>
          <w:sz w:val="16"/>
          <w:szCs w:val="16"/>
        </w:rPr>
        <w:t>for</w:t>
      </w:r>
      <w:r w:rsidR="00B13133">
        <w:rPr>
          <w:rFonts w:ascii="Cambria" w:hAnsi="Cambria"/>
          <w:color w:val="000000" w:themeColor="text1"/>
          <w:sz w:val="16"/>
          <w:szCs w:val="16"/>
        </w:rPr>
        <w:t xml:space="preserve"> Indigenous Affairs</w:t>
      </w:r>
      <w:r w:rsidR="0073596B">
        <w:rPr>
          <w:rFonts w:ascii="Cambria" w:hAnsi="Cambria"/>
          <w:color w:val="000000" w:themeColor="text1"/>
          <w:sz w:val="16"/>
          <w:szCs w:val="16"/>
        </w:rPr>
        <w:t xml:space="preserve"> </w:t>
      </w:r>
      <w:r w:rsidR="00BB6F87" w:rsidRPr="009035C0">
        <w:rPr>
          <w:rFonts w:ascii="Cambria" w:hAnsi="Cambria" w:cs="Arial"/>
          <w:color w:val="000000" w:themeColor="text1"/>
          <w:sz w:val="16"/>
          <w:szCs w:val="16"/>
          <w:shd w:val="clear" w:color="auto" w:fill="FFFFFF"/>
        </w:rPr>
        <w:t>(IWGIA), </w:t>
      </w:r>
      <w:r w:rsidR="0073596B">
        <w:rPr>
          <w:rFonts w:ascii="Cambria" w:hAnsi="Cambria" w:cs="Arial"/>
          <w:color w:val="000000" w:themeColor="text1"/>
          <w:sz w:val="16"/>
          <w:szCs w:val="16"/>
          <w:shd w:val="clear" w:color="auto" w:fill="FFFFFF"/>
        </w:rPr>
        <w:t xml:space="preserve">The Indigenous World </w:t>
      </w:r>
      <w:r w:rsidR="00BB6F87" w:rsidRPr="009035C0">
        <w:rPr>
          <w:rFonts w:ascii="Cambria" w:hAnsi="Cambria" w:cs="Arial"/>
          <w:color w:val="000000" w:themeColor="text1"/>
          <w:sz w:val="16"/>
          <w:szCs w:val="16"/>
          <w:shd w:val="clear" w:color="auto" w:fill="FFFFFF"/>
        </w:rPr>
        <w:t xml:space="preserve">2021: Venezuela, </w:t>
      </w:r>
      <w:r w:rsidR="0073596B">
        <w:rPr>
          <w:rFonts w:ascii="Cambria" w:hAnsi="Cambria" w:cs="Arial"/>
          <w:color w:val="000000" w:themeColor="text1"/>
          <w:sz w:val="16"/>
          <w:szCs w:val="16"/>
          <w:shd w:val="clear" w:color="auto" w:fill="FFFFFF"/>
        </w:rPr>
        <w:t xml:space="preserve">March </w:t>
      </w:r>
      <w:r w:rsidR="00BB6F87" w:rsidRPr="009035C0">
        <w:rPr>
          <w:rFonts w:ascii="Cambria" w:hAnsi="Cambria" w:cs="Arial"/>
          <w:color w:val="000000" w:themeColor="text1"/>
          <w:sz w:val="16"/>
          <w:szCs w:val="16"/>
          <w:shd w:val="clear" w:color="auto" w:fill="FFFFFF"/>
        </w:rPr>
        <w:t>18</w:t>
      </w:r>
      <w:r w:rsidR="0073596B">
        <w:rPr>
          <w:rFonts w:ascii="Cambria" w:hAnsi="Cambria" w:cs="Arial"/>
          <w:color w:val="000000" w:themeColor="text1"/>
          <w:sz w:val="16"/>
          <w:szCs w:val="16"/>
          <w:shd w:val="clear" w:color="auto" w:fill="FFFFFF"/>
        </w:rPr>
        <w:t>,</w:t>
      </w:r>
      <w:r w:rsidR="00BB6F87" w:rsidRPr="009035C0">
        <w:rPr>
          <w:rFonts w:ascii="Cambria" w:hAnsi="Cambria" w:cs="Arial"/>
          <w:color w:val="000000" w:themeColor="text1"/>
          <w:sz w:val="16"/>
          <w:szCs w:val="16"/>
          <w:shd w:val="clear" w:color="auto" w:fill="FFFFFF"/>
        </w:rPr>
        <w:t xml:space="preserve"> 2021.</w:t>
      </w:r>
    </w:p>
  </w:footnote>
  <w:footnote w:id="398">
    <w:p w14:paraId="659DFF28" w14:textId="6207CF2F" w:rsidR="007A0809" w:rsidRPr="009035C0" w:rsidRDefault="007A0809" w:rsidP="00F85814">
      <w:pPr>
        <w:pStyle w:val="FootnoteText"/>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6A65C1">
        <w:rPr>
          <w:rFonts w:ascii="Cambria" w:hAnsi="Cambria"/>
          <w:color w:val="000000" w:themeColor="text1"/>
          <w:sz w:val="16"/>
          <w:szCs w:val="16"/>
        </w:rPr>
        <w:t xml:space="preserve">The International Working Group for Indigenous Affairs </w:t>
      </w:r>
      <w:r w:rsidR="006A65C1" w:rsidRPr="009035C0">
        <w:rPr>
          <w:rFonts w:ascii="Cambria" w:hAnsi="Cambria" w:cs="Arial"/>
          <w:color w:val="000000" w:themeColor="text1"/>
          <w:sz w:val="16"/>
          <w:szCs w:val="16"/>
          <w:shd w:val="clear" w:color="auto" w:fill="FFFFFF"/>
        </w:rPr>
        <w:t>(IWGIA), </w:t>
      </w:r>
      <w:r w:rsidR="006A65C1">
        <w:rPr>
          <w:rFonts w:ascii="Cambria" w:hAnsi="Cambria" w:cs="Arial"/>
          <w:color w:val="000000" w:themeColor="text1"/>
          <w:sz w:val="16"/>
          <w:szCs w:val="16"/>
          <w:shd w:val="clear" w:color="auto" w:fill="FFFFFF"/>
        </w:rPr>
        <w:t xml:space="preserve">The Indigenous World </w:t>
      </w:r>
      <w:r w:rsidR="006A65C1" w:rsidRPr="009035C0">
        <w:rPr>
          <w:rFonts w:ascii="Cambria" w:hAnsi="Cambria" w:cs="Arial"/>
          <w:color w:val="000000" w:themeColor="text1"/>
          <w:sz w:val="16"/>
          <w:szCs w:val="16"/>
          <w:shd w:val="clear" w:color="auto" w:fill="FFFFFF"/>
        </w:rPr>
        <w:t xml:space="preserve">2021: Venezuela, </w:t>
      </w:r>
      <w:r w:rsidR="006A65C1">
        <w:rPr>
          <w:rFonts w:ascii="Cambria" w:hAnsi="Cambria" w:cs="Arial"/>
          <w:color w:val="000000" w:themeColor="text1"/>
          <w:sz w:val="16"/>
          <w:szCs w:val="16"/>
          <w:shd w:val="clear" w:color="auto" w:fill="FFFFFF"/>
        </w:rPr>
        <w:t xml:space="preserve">March </w:t>
      </w:r>
      <w:r w:rsidR="006A65C1" w:rsidRPr="009035C0">
        <w:rPr>
          <w:rFonts w:ascii="Cambria" w:hAnsi="Cambria" w:cs="Arial"/>
          <w:color w:val="000000" w:themeColor="text1"/>
          <w:sz w:val="16"/>
          <w:szCs w:val="16"/>
          <w:shd w:val="clear" w:color="auto" w:fill="FFFFFF"/>
        </w:rPr>
        <w:t>18</w:t>
      </w:r>
      <w:r w:rsidR="006A65C1">
        <w:rPr>
          <w:rFonts w:ascii="Cambria" w:hAnsi="Cambria" w:cs="Arial"/>
          <w:color w:val="000000" w:themeColor="text1"/>
          <w:sz w:val="16"/>
          <w:szCs w:val="16"/>
          <w:shd w:val="clear" w:color="auto" w:fill="FFFFFF"/>
        </w:rPr>
        <w:t>,</w:t>
      </w:r>
      <w:r w:rsidR="006A65C1" w:rsidRPr="009035C0">
        <w:rPr>
          <w:rFonts w:ascii="Cambria" w:hAnsi="Cambria" w:cs="Arial"/>
          <w:color w:val="000000" w:themeColor="text1"/>
          <w:sz w:val="16"/>
          <w:szCs w:val="16"/>
          <w:shd w:val="clear" w:color="auto" w:fill="FFFFFF"/>
        </w:rPr>
        <w:t xml:space="preserve"> 2021.</w:t>
      </w:r>
    </w:p>
  </w:footnote>
  <w:footnote w:id="399">
    <w:p w14:paraId="7D93A3D4" w14:textId="5B5DB41D" w:rsidR="002B1014" w:rsidRPr="009035C0" w:rsidRDefault="002B1014"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78440B">
        <w:rPr>
          <w:rFonts w:ascii="Cambria" w:hAnsi="Cambria" w:cs="Arial"/>
          <w:color w:val="000000" w:themeColor="text1"/>
          <w:sz w:val="16"/>
          <w:szCs w:val="16"/>
          <w:shd w:val="clear" w:color="auto" w:fill="FFFFFF"/>
        </w:rPr>
        <w:t xml:space="preserve">Interagency coordination platform for Refugees and Migrants </w:t>
      </w:r>
      <w:r w:rsidR="00E61C94" w:rsidRPr="009035C0">
        <w:rPr>
          <w:rFonts w:ascii="Cambria" w:hAnsi="Cambria" w:cs="Arial"/>
          <w:color w:val="000000" w:themeColor="text1"/>
          <w:sz w:val="16"/>
          <w:szCs w:val="16"/>
          <w:shd w:val="clear" w:color="auto" w:fill="FFFFFF"/>
        </w:rPr>
        <w:t xml:space="preserve"> (R4V), </w:t>
      </w:r>
      <w:r w:rsidR="00D41230">
        <w:rPr>
          <w:rFonts w:ascii="Cambria" w:hAnsi="Cambria" w:cs="Arial"/>
          <w:color w:val="000000" w:themeColor="text1"/>
          <w:sz w:val="16"/>
          <w:szCs w:val="16"/>
          <w:shd w:val="clear" w:color="auto" w:fill="FFFFFF"/>
        </w:rPr>
        <w:t xml:space="preserve">Regional consultations </w:t>
      </w:r>
      <w:r w:rsidR="006376CE">
        <w:rPr>
          <w:rFonts w:ascii="Cambria" w:hAnsi="Cambria" w:cs="Arial"/>
          <w:color w:val="000000" w:themeColor="text1"/>
          <w:sz w:val="16"/>
          <w:szCs w:val="16"/>
          <w:shd w:val="clear" w:color="auto" w:fill="FFFFFF"/>
        </w:rPr>
        <w:t>to</w:t>
      </w:r>
      <w:r w:rsidR="00770795">
        <w:rPr>
          <w:rFonts w:ascii="Cambria" w:hAnsi="Cambria" w:cs="Arial"/>
          <w:color w:val="000000" w:themeColor="text1"/>
          <w:sz w:val="16"/>
          <w:szCs w:val="16"/>
          <w:shd w:val="clear" w:color="auto" w:fill="FFFFFF"/>
        </w:rPr>
        <w:t xml:space="preserve"> groups with disproportionate impacts, 2021.</w:t>
      </w:r>
      <w:r w:rsidR="00E61C94" w:rsidRPr="009035C0">
        <w:rPr>
          <w:rFonts w:ascii="Cambria" w:hAnsi="Cambria" w:cs="Arial"/>
          <w:color w:val="000000" w:themeColor="text1"/>
          <w:sz w:val="16"/>
          <w:szCs w:val="16"/>
          <w:shd w:val="clear" w:color="auto" w:fill="FFFFFF"/>
        </w:rPr>
        <w:t>.</w:t>
      </w:r>
    </w:p>
  </w:footnote>
  <w:footnote w:id="400">
    <w:p w14:paraId="1090CA25" w14:textId="2F4A0140" w:rsidR="00E61C94" w:rsidRPr="009035C0" w:rsidRDefault="00E61C94" w:rsidP="00F85814">
      <w:pPr>
        <w:spacing w:after="120"/>
        <w:ind w:firstLine="720"/>
        <w:jc w:val="both"/>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BD15A6">
        <w:rPr>
          <w:rFonts w:ascii="Cambria" w:hAnsi="Cambria" w:cs="Arial"/>
          <w:color w:val="000000" w:themeColor="text1"/>
          <w:sz w:val="16"/>
          <w:szCs w:val="16"/>
          <w:shd w:val="clear" w:color="auto" w:fill="FFFFFF"/>
        </w:rPr>
        <w:t xml:space="preserve">Interagency coordination platform for Refugees and Migrants </w:t>
      </w:r>
      <w:r w:rsidR="00BD15A6" w:rsidRPr="009035C0">
        <w:rPr>
          <w:rFonts w:ascii="Cambria" w:hAnsi="Cambria" w:cs="Arial"/>
          <w:color w:val="000000" w:themeColor="text1"/>
          <w:sz w:val="16"/>
          <w:szCs w:val="16"/>
          <w:shd w:val="clear" w:color="auto" w:fill="FFFFFF"/>
        </w:rPr>
        <w:t xml:space="preserve"> (R4V),</w:t>
      </w:r>
      <w:r w:rsidR="00BD15A6">
        <w:rPr>
          <w:rFonts w:ascii="Cambria" w:hAnsi="Cambria" w:cs="Arial"/>
          <w:color w:val="000000" w:themeColor="text1"/>
          <w:sz w:val="16"/>
          <w:szCs w:val="16"/>
          <w:shd w:val="clear" w:color="auto" w:fill="FFFFFF"/>
        </w:rPr>
        <w:t xml:space="preserve"> Impacts of </w:t>
      </w:r>
      <w:r w:rsidR="00A35246" w:rsidRPr="009035C0">
        <w:rPr>
          <w:rFonts w:ascii="Cambria" w:hAnsi="Cambria" w:cs="Arial"/>
          <w:color w:val="000000" w:themeColor="text1"/>
          <w:sz w:val="16"/>
          <w:szCs w:val="16"/>
          <w:shd w:val="clear" w:color="auto" w:fill="FFFFFF"/>
        </w:rPr>
        <w:t>COVID-19</w:t>
      </w:r>
      <w:r w:rsidRPr="009035C0">
        <w:rPr>
          <w:rFonts w:ascii="Cambria" w:hAnsi="Cambria" w:cs="Arial"/>
          <w:color w:val="000000" w:themeColor="text1"/>
          <w:sz w:val="16"/>
          <w:szCs w:val="16"/>
          <w:shd w:val="clear" w:color="auto" w:fill="FFFFFF"/>
        </w:rPr>
        <w:t xml:space="preserve"> </w:t>
      </w:r>
      <w:r w:rsidR="00BD15A6">
        <w:rPr>
          <w:rFonts w:ascii="Cambria" w:hAnsi="Cambria" w:cs="Arial"/>
          <w:color w:val="000000" w:themeColor="text1"/>
          <w:sz w:val="16"/>
          <w:szCs w:val="16"/>
          <w:shd w:val="clear" w:color="auto" w:fill="FFFFFF"/>
        </w:rPr>
        <w:t>on Refugees and Migrants of Venezuela, October 27, 2021.</w:t>
      </w:r>
    </w:p>
  </w:footnote>
  <w:footnote w:id="401">
    <w:p w14:paraId="4D36B8C9" w14:textId="62A5F7EF" w:rsidR="00BA6A95" w:rsidRPr="007B586B" w:rsidRDefault="00BA6A95" w:rsidP="007B586B">
      <w:pPr>
        <w:pStyle w:val="Heading1"/>
        <w:numPr>
          <w:ilvl w:val="0"/>
          <w:numId w:val="0"/>
        </w:numPr>
        <w:spacing w:after="120"/>
        <w:ind w:left="1440" w:hanging="720"/>
        <w:rPr>
          <w:b w:val="0"/>
          <w:bCs w:val="0"/>
          <w:sz w:val="16"/>
          <w:szCs w:val="16"/>
          <w:lang w:val="es-US"/>
        </w:rPr>
      </w:pPr>
      <w:r w:rsidRPr="009035C0">
        <w:rPr>
          <w:rStyle w:val="FootnoteReference"/>
          <w:sz w:val="16"/>
          <w:szCs w:val="16"/>
        </w:rPr>
        <w:footnoteRef/>
      </w:r>
      <w:r w:rsidRPr="00E7771A">
        <w:rPr>
          <w:lang w:val="es-US"/>
        </w:rPr>
        <w:t xml:space="preserve"> </w:t>
      </w:r>
      <w:r w:rsidRPr="007B586B">
        <w:rPr>
          <w:b w:val="0"/>
          <w:bCs w:val="0"/>
          <w:sz w:val="16"/>
          <w:szCs w:val="16"/>
          <w:lang w:val="es-US"/>
        </w:rPr>
        <w:t xml:space="preserve">El Nacional, </w:t>
      </w:r>
      <w:hyperlink r:id="rId367">
        <w:r w:rsidRPr="007B586B">
          <w:rPr>
            <w:rStyle w:val="Hyperlink"/>
            <w:b w:val="0"/>
            <w:bCs w:val="0"/>
            <w:color w:val="000000" w:themeColor="text1"/>
            <w:sz w:val="16"/>
            <w:szCs w:val="16"/>
            <w:lang w:val="es-US"/>
          </w:rPr>
          <w:t>Asesinaron a una mujer trans en Cojedes,</w:t>
        </w:r>
      </w:hyperlink>
      <w:r w:rsidRPr="007B586B">
        <w:rPr>
          <w:b w:val="0"/>
          <w:bCs w:val="0"/>
          <w:sz w:val="16"/>
          <w:szCs w:val="16"/>
          <w:lang w:val="es-US"/>
        </w:rPr>
        <w:t xml:space="preserve"> </w:t>
      </w:r>
      <w:r w:rsidR="00BD15A6" w:rsidRPr="007B586B">
        <w:rPr>
          <w:b w:val="0"/>
          <w:bCs w:val="0"/>
          <w:sz w:val="16"/>
          <w:szCs w:val="16"/>
          <w:lang w:val="es-US"/>
        </w:rPr>
        <w:t xml:space="preserve">[A trans woman murdered in Cojedes’], August </w:t>
      </w:r>
      <w:r w:rsidRPr="007B586B">
        <w:rPr>
          <w:b w:val="0"/>
          <w:bCs w:val="0"/>
          <w:sz w:val="16"/>
          <w:szCs w:val="16"/>
          <w:lang w:val="es-US"/>
        </w:rPr>
        <w:t>12</w:t>
      </w:r>
      <w:r w:rsidR="00BD15A6" w:rsidRPr="007B586B">
        <w:rPr>
          <w:b w:val="0"/>
          <w:bCs w:val="0"/>
          <w:sz w:val="16"/>
          <w:szCs w:val="16"/>
          <w:lang w:val="es-US"/>
        </w:rPr>
        <w:t>,</w:t>
      </w:r>
      <w:r w:rsidRPr="007B586B">
        <w:rPr>
          <w:b w:val="0"/>
          <w:bCs w:val="0"/>
          <w:sz w:val="16"/>
          <w:szCs w:val="16"/>
          <w:lang w:val="es-US"/>
        </w:rPr>
        <w:t xml:space="preserve"> 2021. </w:t>
      </w:r>
    </w:p>
  </w:footnote>
  <w:footnote w:id="402">
    <w:p w14:paraId="7F99D762" w14:textId="4A0F61FA" w:rsidR="00BA6A95" w:rsidRPr="00E7771A" w:rsidRDefault="00BA6A95"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El Diario, </w:t>
      </w:r>
      <w:hyperlink r:id="rId368">
        <w:r w:rsidRPr="00E7771A">
          <w:rPr>
            <w:rStyle w:val="Hyperlink"/>
            <w:rFonts w:ascii="Cambria" w:hAnsi="Cambria"/>
            <w:color w:val="000000" w:themeColor="text1"/>
            <w:sz w:val="16"/>
            <w:szCs w:val="16"/>
            <w:lang w:val="es-US"/>
          </w:rPr>
          <w:t>En Venezuela 10 personas LGBTIQ+ han sido asesinadas en lo que va de 2021</w:t>
        </w:r>
      </w:hyperlink>
      <w:r w:rsidRPr="00E7771A">
        <w:rPr>
          <w:rFonts w:ascii="Cambria" w:hAnsi="Cambria"/>
          <w:color w:val="000000" w:themeColor="text1"/>
          <w:sz w:val="16"/>
          <w:szCs w:val="16"/>
          <w:lang w:val="es-US"/>
        </w:rPr>
        <w:t xml:space="preserve">, </w:t>
      </w:r>
      <w:r w:rsidR="007139E8" w:rsidRPr="00E7771A">
        <w:rPr>
          <w:rFonts w:ascii="Cambria" w:hAnsi="Cambria"/>
          <w:color w:val="000000" w:themeColor="text1"/>
          <w:sz w:val="16"/>
          <w:szCs w:val="16"/>
          <w:lang w:val="es-US"/>
        </w:rPr>
        <w:t xml:space="preserve">[‘In Venezuela </w:t>
      </w:r>
      <w:r w:rsidR="005A1111" w:rsidRPr="00E7771A">
        <w:rPr>
          <w:rFonts w:ascii="Cambria" w:hAnsi="Cambria"/>
          <w:color w:val="000000" w:themeColor="text1"/>
          <w:sz w:val="16"/>
          <w:szCs w:val="16"/>
          <w:lang w:val="es-US"/>
        </w:rPr>
        <w:t xml:space="preserve">10 LGBTIQ+ persons murdered thus far in 2021’] August </w:t>
      </w:r>
      <w:r w:rsidRPr="00E7771A">
        <w:rPr>
          <w:rFonts w:ascii="Cambria" w:hAnsi="Cambria"/>
          <w:color w:val="000000" w:themeColor="text1"/>
          <w:sz w:val="16"/>
          <w:szCs w:val="16"/>
          <w:lang w:val="es-US"/>
        </w:rPr>
        <w:t>12</w:t>
      </w:r>
      <w:r w:rsidR="005A1111"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p>
  </w:footnote>
  <w:footnote w:id="403">
    <w:p w14:paraId="39A855F7" w14:textId="6F25F538" w:rsidR="00BA6A95" w:rsidRPr="00E7771A" w:rsidRDefault="00BA6A95" w:rsidP="00F85814">
      <w:pPr>
        <w:pStyle w:val="FootnoteText"/>
        <w:spacing w:after="120"/>
        <w:ind w:firstLine="720"/>
        <w:jc w:val="both"/>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w:t>
      </w:r>
      <w:r w:rsidR="00152EB7" w:rsidRPr="00F85814">
        <w:rPr>
          <w:rFonts w:ascii="Cambria" w:hAnsi="Cambria"/>
          <w:sz w:val="16"/>
          <w:szCs w:val="16"/>
          <w:lang w:val="es-US"/>
        </w:rPr>
        <w:t>Calendoscopio Humano, Activistas exigieron a Tarek W. Saab que deje de ignorar crímenes de odio contra LGBTI+, 11 de octubre de 2021.</w:t>
      </w:r>
    </w:p>
  </w:footnote>
  <w:footnote w:id="404">
    <w:p w14:paraId="09F6B236" w14:textId="1AFEED49" w:rsidR="00BA6A95" w:rsidRPr="009035C0" w:rsidRDefault="00BA6A95" w:rsidP="00F85814">
      <w:pPr>
        <w:pStyle w:val="FootnoteText"/>
        <w:spacing w:after="120"/>
        <w:ind w:firstLine="720"/>
        <w:rPr>
          <w:rFonts w:ascii="Cambria" w:hAnsi="Cambria"/>
          <w:color w:val="000000" w:themeColor="text1"/>
          <w:sz w:val="16"/>
          <w:szCs w:val="16"/>
        </w:rPr>
      </w:pPr>
      <w:r w:rsidRPr="009035C0">
        <w:rPr>
          <w:rStyle w:val="FootnoteReference"/>
          <w:rFonts w:ascii="Cambria" w:hAnsi="Cambria"/>
          <w:color w:val="000000" w:themeColor="text1"/>
          <w:sz w:val="16"/>
          <w:szCs w:val="16"/>
        </w:rPr>
        <w:footnoteRef/>
      </w:r>
      <w:r w:rsidRPr="009035C0">
        <w:rPr>
          <w:rFonts w:ascii="Cambria" w:hAnsi="Cambria"/>
          <w:color w:val="000000" w:themeColor="text1"/>
          <w:sz w:val="16"/>
          <w:szCs w:val="16"/>
        </w:rPr>
        <w:t xml:space="preserve"> </w:t>
      </w:r>
      <w:r w:rsidR="003577F0">
        <w:rPr>
          <w:rFonts w:ascii="Cambria" w:hAnsi="Cambria"/>
          <w:color w:val="000000" w:themeColor="text1"/>
          <w:sz w:val="16"/>
          <w:szCs w:val="16"/>
        </w:rPr>
        <w:t xml:space="preserve">Official Gazette of the Bolivarian Republic of Venezuela, </w:t>
      </w:r>
      <w:hyperlink r:id="rId369">
        <w:r w:rsidRPr="009035C0">
          <w:rPr>
            <w:rStyle w:val="Hyperlink"/>
            <w:rFonts w:ascii="Cambria" w:hAnsi="Cambria"/>
            <w:color w:val="000000" w:themeColor="text1"/>
            <w:sz w:val="16"/>
            <w:szCs w:val="16"/>
          </w:rPr>
          <w:t>Código Orgánico de Justicia Militar</w:t>
        </w:r>
      </w:hyperlink>
      <w:r w:rsidRPr="009035C0">
        <w:rPr>
          <w:rFonts w:ascii="Cambria" w:hAnsi="Cambria"/>
          <w:color w:val="000000" w:themeColor="text1"/>
          <w:sz w:val="16"/>
          <w:szCs w:val="16"/>
        </w:rPr>
        <w:t xml:space="preserve">, </w:t>
      </w:r>
      <w:r w:rsidR="003577F0">
        <w:rPr>
          <w:rFonts w:ascii="Cambria" w:hAnsi="Cambria"/>
          <w:color w:val="000000" w:themeColor="text1"/>
          <w:sz w:val="16"/>
          <w:szCs w:val="16"/>
        </w:rPr>
        <w:t xml:space="preserve">[Organic Code of Military Justice’], September </w:t>
      </w:r>
      <w:r w:rsidRPr="009035C0">
        <w:rPr>
          <w:rFonts w:ascii="Cambria" w:hAnsi="Cambria"/>
          <w:color w:val="000000" w:themeColor="text1"/>
          <w:sz w:val="16"/>
          <w:szCs w:val="16"/>
        </w:rPr>
        <w:t>17</w:t>
      </w:r>
      <w:r w:rsidR="003577F0">
        <w:rPr>
          <w:rFonts w:ascii="Cambria" w:hAnsi="Cambria"/>
          <w:color w:val="000000" w:themeColor="text1"/>
          <w:sz w:val="16"/>
          <w:szCs w:val="16"/>
        </w:rPr>
        <w:t>,</w:t>
      </w:r>
      <w:r w:rsidRPr="009035C0">
        <w:rPr>
          <w:rFonts w:ascii="Cambria" w:hAnsi="Cambria"/>
          <w:color w:val="000000" w:themeColor="text1"/>
          <w:sz w:val="16"/>
          <w:szCs w:val="16"/>
        </w:rPr>
        <w:t xml:space="preserve"> 2021. </w:t>
      </w:r>
    </w:p>
  </w:footnote>
  <w:footnote w:id="405">
    <w:p w14:paraId="17075300" w14:textId="18DE2B98" w:rsidR="00BA6A95" w:rsidRPr="00E7771A" w:rsidRDefault="00BA6A95" w:rsidP="00F85814">
      <w:pPr>
        <w:pStyle w:val="FootnoteText"/>
        <w:spacing w:after="120"/>
        <w:ind w:firstLine="720"/>
        <w:rPr>
          <w:rFonts w:ascii="Cambria" w:hAnsi="Cambria"/>
          <w:color w:val="000000" w:themeColor="text1"/>
          <w:sz w:val="16"/>
          <w:szCs w:val="16"/>
          <w:lang w:val="es-US"/>
        </w:rPr>
      </w:pPr>
      <w:r w:rsidRPr="009035C0">
        <w:rPr>
          <w:rStyle w:val="FootnoteReference"/>
          <w:rFonts w:ascii="Cambria" w:hAnsi="Cambria"/>
          <w:color w:val="000000" w:themeColor="text1"/>
          <w:sz w:val="16"/>
          <w:szCs w:val="16"/>
        </w:rPr>
        <w:footnoteRef/>
      </w:r>
      <w:r w:rsidRPr="00E7771A">
        <w:rPr>
          <w:rFonts w:ascii="Cambria" w:hAnsi="Cambria"/>
          <w:color w:val="000000" w:themeColor="text1"/>
          <w:sz w:val="16"/>
          <w:szCs w:val="16"/>
          <w:lang w:val="es-US"/>
        </w:rPr>
        <w:t xml:space="preserve"> Vo</w:t>
      </w:r>
      <w:r w:rsidR="00284052" w:rsidRPr="00E7771A">
        <w:rPr>
          <w:rFonts w:ascii="Cambria" w:hAnsi="Cambria"/>
          <w:color w:val="000000" w:themeColor="text1"/>
          <w:sz w:val="16"/>
          <w:szCs w:val="16"/>
          <w:lang w:val="es-US"/>
        </w:rPr>
        <w:t>ice of America</w:t>
      </w:r>
      <w:r w:rsidRPr="00E7771A">
        <w:rPr>
          <w:rFonts w:ascii="Cambria" w:hAnsi="Cambria"/>
          <w:color w:val="000000" w:themeColor="text1"/>
          <w:sz w:val="16"/>
          <w:szCs w:val="16"/>
          <w:lang w:val="es-US"/>
        </w:rPr>
        <w:t xml:space="preserve">, </w:t>
      </w:r>
      <w:hyperlink r:id="rId370">
        <w:r w:rsidRPr="00E7771A">
          <w:rPr>
            <w:rStyle w:val="Hyperlink"/>
            <w:rFonts w:ascii="Cambria" w:hAnsi="Cambria"/>
            <w:color w:val="000000" w:themeColor="text1"/>
            <w:sz w:val="16"/>
            <w:szCs w:val="16"/>
            <w:lang w:val="es-US"/>
          </w:rPr>
          <w:t>Ser ‘trans’ en una Venezuela conservadora y sin ley de identidad de género</w:t>
        </w:r>
      </w:hyperlink>
      <w:r w:rsidRPr="00E7771A">
        <w:rPr>
          <w:rFonts w:ascii="Cambria" w:hAnsi="Cambria"/>
          <w:color w:val="000000" w:themeColor="text1"/>
          <w:sz w:val="16"/>
          <w:szCs w:val="16"/>
          <w:lang w:val="es-US"/>
        </w:rPr>
        <w:t xml:space="preserve">, </w:t>
      </w:r>
      <w:r w:rsidR="00254B75" w:rsidRPr="00E7771A">
        <w:rPr>
          <w:rFonts w:ascii="Cambria" w:hAnsi="Cambria"/>
          <w:color w:val="000000" w:themeColor="text1"/>
          <w:sz w:val="16"/>
          <w:szCs w:val="16"/>
          <w:lang w:val="es-US"/>
        </w:rPr>
        <w:t xml:space="preserve">[‘To be “trans” in a conservative Venezuela without a gender identity law’], March </w:t>
      </w:r>
      <w:r w:rsidRPr="00E7771A">
        <w:rPr>
          <w:rFonts w:ascii="Cambria" w:hAnsi="Cambria"/>
          <w:color w:val="000000" w:themeColor="text1"/>
          <w:sz w:val="16"/>
          <w:szCs w:val="16"/>
          <w:lang w:val="es-US"/>
        </w:rPr>
        <w:t>16</w:t>
      </w:r>
      <w:r w:rsidR="00254B75" w:rsidRPr="00E7771A">
        <w:rPr>
          <w:rFonts w:ascii="Cambria" w:hAnsi="Cambria"/>
          <w:color w:val="000000" w:themeColor="text1"/>
          <w:sz w:val="16"/>
          <w:szCs w:val="16"/>
          <w:lang w:val="es-US"/>
        </w:rPr>
        <w:t>,</w:t>
      </w:r>
      <w:r w:rsidRPr="00E7771A">
        <w:rPr>
          <w:rFonts w:ascii="Cambria" w:hAnsi="Cambria"/>
          <w:color w:val="000000" w:themeColor="text1"/>
          <w:sz w:val="16"/>
          <w:szCs w:val="16"/>
          <w:lang w:val="es-US"/>
        </w:rPr>
        <w:t xml:space="preserv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D021" w14:textId="77777777" w:rsidR="00E7771A" w:rsidRPr="00ED1EBA" w:rsidRDefault="00E7771A" w:rsidP="00E7771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60288" behindDoc="0" locked="0" layoutInCell="1" allowOverlap="1" wp14:anchorId="72674961" wp14:editId="7F770080">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35B2EDB" wp14:editId="2C2140E1">
          <wp:extent cx="1317171" cy="307321"/>
          <wp:effectExtent l="0" t="0" r="3810" b="0"/>
          <wp:docPr id="1"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32654726" w14:textId="77777777" w:rsidR="00E7771A" w:rsidRPr="00D56DC4" w:rsidRDefault="00E7771A" w:rsidP="00E7771A">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59264" behindDoc="0" locked="0" layoutInCell="1" allowOverlap="1" wp14:anchorId="12C2CFDB" wp14:editId="56ACCF69">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EBAEA69">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24411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FE9A" w14:textId="77777777" w:rsidR="00E7771A" w:rsidRDefault="00E7771A" w:rsidP="00E7771A">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3360" behindDoc="0" locked="0" layoutInCell="1" allowOverlap="1" wp14:anchorId="0BB7BC3E" wp14:editId="22BD5816">
          <wp:simplePos x="0" y="0"/>
          <wp:positionH relativeFrom="column">
            <wp:posOffset>4076065</wp:posOffset>
          </wp:positionH>
          <wp:positionV relativeFrom="paragraph">
            <wp:posOffset>78740</wp:posOffset>
          </wp:positionV>
          <wp:extent cx="2210435" cy="50863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0435" cy="5086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64384" behindDoc="0" locked="0" layoutInCell="1" allowOverlap="1" wp14:anchorId="54E91B5C" wp14:editId="0DCB6A52">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0434A042" w14:textId="77777777" w:rsidR="00E7771A" w:rsidRDefault="00E7771A" w:rsidP="00E7771A">
                          <w:r>
                            <w:rPr>
                              <w:noProof/>
                            </w:rPr>
                            <w:drawing>
                              <wp:inline distT="0" distB="0" distL="0" distR="0" wp14:anchorId="71F4B50D" wp14:editId="53D2B2F3">
                                <wp:extent cx="2021265" cy="471600"/>
                                <wp:effectExtent l="0" t="0" r="0" b="0"/>
                                <wp:docPr id="13"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E91B5C"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0434A042" w14:textId="77777777" w:rsidR="00E7771A" w:rsidRDefault="00E7771A" w:rsidP="00E7771A">
                    <w:r>
                      <w:rPr>
                        <w:noProof/>
                      </w:rPr>
                      <w:drawing>
                        <wp:inline distT="0" distB="0" distL="0" distR="0" wp14:anchorId="71F4B50D" wp14:editId="53D2B2F3">
                          <wp:extent cx="2021265" cy="471600"/>
                          <wp:effectExtent l="0" t="0" r="0" b="0"/>
                          <wp:docPr id="13"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3">
                                    <a:extLst>
                                      <a:ext uri="{28A0092B-C50C-407E-A947-70E740481C1C}">
                                        <a14:useLocalDpi xmlns:a14="http://schemas.microsoft.com/office/drawing/2010/main" val="0"/>
                                      </a:ext>
                                    </a:extLst>
                                  </a:blip>
                                  <a:srcRect t="-48" b="-48"/>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Arial" w:hAnsi="Arial" w:cs="Arial"/>
        <w:color w:val="3B3838" w:themeColor="background2" w:themeShade="40"/>
        <w:sz w:val="28"/>
        <w:szCs w:val="28"/>
        <w:lang w:val="es-ES"/>
      </w:rPr>
      <w:softHyphen/>
    </w:r>
    <w:r>
      <w:rPr>
        <w:rFonts w:ascii="Arial" w:hAnsi="Arial" w:cs="Arial"/>
        <w:color w:val="3B3838" w:themeColor="background2" w:themeShade="40"/>
        <w:sz w:val="28"/>
        <w:szCs w:val="28"/>
        <w:lang w:val="es-ES"/>
      </w:rPr>
      <w:softHyphen/>
    </w:r>
    <w:r>
      <w:rPr>
        <w:rFonts w:ascii="Arial" w:hAnsi="Arial" w:cs="Arial"/>
        <w:color w:val="3B3838" w:themeColor="background2" w:themeShade="40"/>
        <w:sz w:val="28"/>
        <w:szCs w:val="28"/>
        <w:lang w:val="es-ES"/>
      </w:rPr>
      <w:softHyphen/>
    </w:r>
  </w:p>
  <w:p w14:paraId="7A5F2A1E" w14:textId="77777777" w:rsidR="00E7771A" w:rsidRDefault="00E7771A" w:rsidP="00E7771A">
    <w:pPr>
      <w:pStyle w:val="Header"/>
      <w:spacing w:line="216" w:lineRule="auto"/>
      <w:rPr>
        <w:rFonts w:ascii="Arial" w:hAnsi="Arial" w:cs="Arial"/>
        <w:color w:val="3B3838" w:themeColor="background2" w:themeShade="40"/>
        <w:sz w:val="28"/>
        <w:szCs w:val="28"/>
        <w:lang w:val="es-ES"/>
      </w:rPr>
    </w:pPr>
  </w:p>
  <w:p w14:paraId="2FDFA860" w14:textId="77777777" w:rsidR="00E7771A" w:rsidRDefault="00E7771A" w:rsidP="00E7771A">
    <w:pPr>
      <w:pStyle w:val="Header"/>
      <w:spacing w:line="216" w:lineRule="auto"/>
      <w:rPr>
        <w:rFonts w:ascii="Arial" w:hAnsi="Arial" w:cs="Arial"/>
        <w:color w:val="3B3838" w:themeColor="background2" w:themeShade="40"/>
        <w:sz w:val="28"/>
        <w:szCs w:val="28"/>
        <w:lang w:val="es-ES"/>
      </w:rPr>
    </w:pPr>
  </w:p>
  <w:p w14:paraId="324B3EDF" w14:textId="77777777" w:rsidR="00E7771A" w:rsidRPr="00566CD0" w:rsidRDefault="00E7771A" w:rsidP="00E7771A">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2336" behindDoc="0" locked="0" layoutInCell="1" allowOverlap="1" wp14:anchorId="4FBA93B8" wp14:editId="43C1E212">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665250">
            <v:line id="Straight Connector 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3A38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369"/>
    <w:multiLevelType w:val="hybridMultilevel"/>
    <w:tmpl w:val="C40E088E"/>
    <w:lvl w:ilvl="0" w:tplc="B2DA095E">
      <w:start w:val="1"/>
      <w:numFmt w:val="decimal"/>
      <w:pStyle w:val="ListParagraph"/>
      <w:lvlText w:val="%1."/>
      <w:lvlJc w:val="left"/>
      <w:pPr>
        <w:ind w:left="1440" w:hanging="360"/>
      </w:pPr>
      <w:rPr>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EF0F1D"/>
    <w:multiLevelType w:val="hybridMultilevel"/>
    <w:tmpl w:val="4C745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256B64"/>
    <w:multiLevelType w:val="hybridMultilevel"/>
    <w:tmpl w:val="879E32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56705D"/>
    <w:multiLevelType w:val="hybridMultilevel"/>
    <w:tmpl w:val="EAE85224"/>
    <w:lvl w:ilvl="0" w:tplc="B88C54B0">
      <w:start w:val="1"/>
      <w:numFmt w:val="upperLetter"/>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7E4230"/>
    <w:multiLevelType w:val="hybridMultilevel"/>
    <w:tmpl w:val="D9E609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6E5B36"/>
    <w:multiLevelType w:val="hybridMultilevel"/>
    <w:tmpl w:val="F4AE4CFC"/>
    <w:lvl w:ilvl="0" w:tplc="E710EFE0">
      <w:start w:val="1"/>
      <w:numFmt w:val="upperRoman"/>
      <w:pStyle w:val="Heading1"/>
      <w:lvlText w:val="%1."/>
      <w:lvlJc w:val="left"/>
      <w:pPr>
        <w:ind w:left="1080" w:hanging="72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CB01C7"/>
    <w:multiLevelType w:val="hybridMultilevel"/>
    <w:tmpl w:val="265869F4"/>
    <w:styleLink w:val="EstiloImportado5"/>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234F4"/>
    <w:multiLevelType w:val="hybridMultilevel"/>
    <w:tmpl w:val="C9EABE5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7BD08FC"/>
    <w:multiLevelType w:val="hybridMultilevel"/>
    <w:tmpl w:val="A19C842E"/>
    <w:lvl w:ilvl="0" w:tplc="6770C990">
      <w:start w:val="1"/>
      <w:numFmt w:val="upperLetter"/>
      <w:lvlText w:val="%1."/>
      <w:lvlJc w:val="left"/>
      <w:pPr>
        <w:ind w:left="720" w:hanging="360"/>
      </w:pPr>
      <w:rPr>
        <w:rFonts w:ascii="Cambria" w:hAnsi="Cambria" w:hint="default"/>
        <w:sz w:val="20"/>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1297047">
    <w:abstractNumId w:val="5"/>
  </w:num>
  <w:num w:numId="2" w16cid:durableId="780027332">
    <w:abstractNumId w:val="8"/>
  </w:num>
  <w:num w:numId="3" w16cid:durableId="1264340777">
    <w:abstractNumId w:val="4"/>
  </w:num>
  <w:num w:numId="4" w16cid:durableId="2113738434">
    <w:abstractNumId w:val="2"/>
  </w:num>
  <w:num w:numId="5" w16cid:durableId="558322721">
    <w:abstractNumId w:val="3"/>
  </w:num>
  <w:num w:numId="6" w16cid:durableId="1367684350">
    <w:abstractNumId w:val="6"/>
  </w:num>
  <w:num w:numId="7" w16cid:durableId="1880513846">
    <w:abstractNumId w:val="0"/>
  </w:num>
  <w:num w:numId="8" w16cid:durableId="849836311">
    <w:abstractNumId w:val="7"/>
  </w:num>
  <w:num w:numId="9" w16cid:durableId="109865705">
    <w:abstractNumId w:val="1"/>
  </w:num>
  <w:num w:numId="10" w16cid:durableId="663899838">
    <w:abstractNumId w:val="3"/>
    <w:lvlOverride w:ilvl="0">
      <w:startOverride w:val="1"/>
    </w:lvlOverride>
  </w:num>
  <w:num w:numId="11" w16cid:durableId="770055852">
    <w:abstractNumId w:val="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0731"/>
    <w:rsid w:val="00000B2B"/>
    <w:rsid w:val="00001430"/>
    <w:rsid w:val="00002AC8"/>
    <w:rsid w:val="00003746"/>
    <w:rsid w:val="000039AA"/>
    <w:rsid w:val="000049AB"/>
    <w:rsid w:val="00004A84"/>
    <w:rsid w:val="00004BF1"/>
    <w:rsid w:val="00004FB7"/>
    <w:rsid w:val="00005920"/>
    <w:rsid w:val="00005B3D"/>
    <w:rsid w:val="00005DA6"/>
    <w:rsid w:val="00007F2D"/>
    <w:rsid w:val="000104E7"/>
    <w:rsid w:val="000107D7"/>
    <w:rsid w:val="00010E67"/>
    <w:rsid w:val="00011E2B"/>
    <w:rsid w:val="00012378"/>
    <w:rsid w:val="000124E9"/>
    <w:rsid w:val="000134FF"/>
    <w:rsid w:val="000135C9"/>
    <w:rsid w:val="0001374E"/>
    <w:rsid w:val="00013B29"/>
    <w:rsid w:val="000148C4"/>
    <w:rsid w:val="00014D33"/>
    <w:rsid w:val="00015006"/>
    <w:rsid w:val="00015382"/>
    <w:rsid w:val="00015B97"/>
    <w:rsid w:val="00015E15"/>
    <w:rsid w:val="00016142"/>
    <w:rsid w:val="0001660C"/>
    <w:rsid w:val="0001667A"/>
    <w:rsid w:val="00016BA8"/>
    <w:rsid w:val="00017506"/>
    <w:rsid w:val="00017B7E"/>
    <w:rsid w:val="00017BA0"/>
    <w:rsid w:val="000202A8"/>
    <w:rsid w:val="000204F7"/>
    <w:rsid w:val="00020676"/>
    <w:rsid w:val="00020870"/>
    <w:rsid w:val="0002172F"/>
    <w:rsid w:val="0002194F"/>
    <w:rsid w:val="00021CCA"/>
    <w:rsid w:val="00021FA7"/>
    <w:rsid w:val="000221C8"/>
    <w:rsid w:val="00022244"/>
    <w:rsid w:val="000223F3"/>
    <w:rsid w:val="000225BA"/>
    <w:rsid w:val="00022AD6"/>
    <w:rsid w:val="00022B2D"/>
    <w:rsid w:val="00022EFE"/>
    <w:rsid w:val="00023148"/>
    <w:rsid w:val="00024416"/>
    <w:rsid w:val="00024429"/>
    <w:rsid w:val="00025144"/>
    <w:rsid w:val="00025E76"/>
    <w:rsid w:val="00025FAE"/>
    <w:rsid w:val="00026409"/>
    <w:rsid w:val="00026AC2"/>
    <w:rsid w:val="00026C15"/>
    <w:rsid w:val="00027510"/>
    <w:rsid w:val="00027669"/>
    <w:rsid w:val="00027D38"/>
    <w:rsid w:val="00027F5C"/>
    <w:rsid w:val="000302CE"/>
    <w:rsid w:val="00030F1C"/>
    <w:rsid w:val="00031898"/>
    <w:rsid w:val="00031EAC"/>
    <w:rsid w:val="00032074"/>
    <w:rsid w:val="000324B3"/>
    <w:rsid w:val="0003299F"/>
    <w:rsid w:val="00032A3C"/>
    <w:rsid w:val="00032C95"/>
    <w:rsid w:val="000342A5"/>
    <w:rsid w:val="0003476D"/>
    <w:rsid w:val="0003481A"/>
    <w:rsid w:val="0003578A"/>
    <w:rsid w:val="00035837"/>
    <w:rsid w:val="00035C6B"/>
    <w:rsid w:val="00035CE9"/>
    <w:rsid w:val="00035D86"/>
    <w:rsid w:val="00036052"/>
    <w:rsid w:val="00036894"/>
    <w:rsid w:val="00036EC6"/>
    <w:rsid w:val="000374D5"/>
    <w:rsid w:val="000375DC"/>
    <w:rsid w:val="000379B5"/>
    <w:rsid w:val="00037A1A"/>
    <w:rsid w:val="00037C20"/>
    <w:rsid w:val="00037C9E"/>
    <w:rsid w:val="0004041D"/>
    <w:rsid w:val="0004061A"/>
    <w:rsid w:val="00040741"/>
    <w:rsid w:val="00040888"/>
    <w:rsid w:val="00040DED"/>
    <w:rsid w:val="00040E11"/>
    <w:rsid w:val="00040E51"/>
    <w:rsid w:val="000410A2"/>
    <w:rsid w:val="000418DB"/>
    <w:rsid w:val="000418E0"/>
    <w:rsid w:val="00041A32"/>
    <w:rsid w:val="00041F7C"/>
    <w:rsid w:val="00042377"/>
    <w:rsid w:val="00042C0C"/>
    <w:rsid w:val="00042CC3"/>
    <w:rsid w:val="0004341B"/>
    <w:rsid w:val="00043492"/>
    <w:rsid w:val="00043A9A"/>
    <w:rsid w:val="00043AB5"/>
    <w:rsid w:val="00044758"/>
    <w:rsid w:val="0004524A"/>
    <w:rsid w:val="00045631"/>
    <w:rsid w:val="000459F7"/>
    <w:rsid w:val="00045BCE"/>
    <w:rsid w:val="00045D58"/>
    <w:rsid w:val="00045E5E"/>
    <w:rsid w:val="00045EBA"/>
    <w:rsid w:val="00046E0A"/>
    <w:rsid w:val="000479DB"/>
    <w:rsid w:val="0005051A"/>
    <w:rsid w:val="00050912"/>
    <w:rsid w:val="000509E1"/>
    <w:rsid w:val="00050D09"/>
    <w:rsid w:val="0005127E"/>
    <w:rsid w:val="00051402"/>
    <w:rsid w:val="0005159F"/>
    <w:rsid w:val="00051723"/>
    <w:rsid w:val="00051878"/>
    <w:rsid w:val="000522B8"/>
    <w:rsid w:val="00053082"/>
    <w:rsid w:val="0005339F"/>
    <w:rsid w:val="000533D1"/>
    <w:rsid w:val="00053598"/>
    <w:rsid w:val="00053CC8"/>
    <w:rsid w:val="000542B2"/>
    <w:rsid w:val="00054B33"/>
    <w:rsid w:val="00054BC3"/>
    <w:rsid w:val="00054C66"/>
    <w:rsid w:val="00055F3D"/>
    <w:rsid w:val="00055F9D"/>
    <w:rsid w:val="000560E0"/>
    <w:rsid w:val="0005621E"/>
    <w:rsid w:val="00056EEA"/>
    <w:rsid w:val="0005728B"/>
    <w:rsid w:val="00057566"/>
    <w:rsid w:val="00057665"/>
    <w:rsid w:val="000601B9"/>
    <w:rsid w:val="00060C92"/>
    <w:rsid w:val="0006107B"/>
    <w:rsid w:val="0006111A"/>
    <w:rsid w:val="000629BB"/>
    <w:rsid w:val="00062D24"/>
    <w:rsid w:val="00062E1D"/>
    <w:rsid w:val="00062E54"/>
    <w:rsid w:val="000632B9"/>
    <w:rsid w:val="0006405E"/>
    <w:rsid w:val="00064519"/>
    <w:rsid w:val="000646E3"/>
    <w:rsid w:val="0006470E"/>
    <w:rsid w:val="00065538"/>
    <w:rsid w:val="000656CD"/>
    <w:rsid w:val="000659A2"/>
    <w:rsid w:val="00065BF3"/>
    <w:rsid w:val="00065ECD"/>
    <w:rsid w:val="00065ED8"/>
    <w:rsid w:val="00065F6F"/>
    <w:rsid w:val="00065F85"/>
    <w:rsid w:val="00066BED"/>
    <w:rsid w:val="00066CF9"/>
    <w:rsid w:val="00067337"/>
    <w:rsid w:val="00067D82"/>
    <w:rsid w:val="00067DD6"/>
    <w:rsid w:val="0007042C"/>
    <w:rsid w:val="000708B6"/>
    <w:rsid w:val="00070918"/>
    <w:rsid w:val="00070A7D"/>
    <w:rsid w:val="00071108"/>
    <w:rsid w:val="000711C9"/>
    <w:rsid w:val="000716C6"/>
    <w:rsid w:val="00071853"/>
    <w:rsid w:val="0007199C"/>
    <w:rsid w:val="00071A4C"/>
    <w:rsid w:val="00071C3E"/>
    <w:rsid w:val="00071D69"/>
    <w:rsid w:val="00071DE3"/>
    <w:rsid w:val="00071E40"/>
    <w:rsid w:val="00072CCA"/>
    <w:rsid w:val="0007322F"/>
    <w:rsid w:val="00073FCC"/>
    <w:rsid w:val="0007419E"/>
    <w:rsid w:val="000742B5"/>
    <w:rsid w:val="000742BD"/>
    <w:rsid w:val="000750C4"/>
    <w:rsid w:val="0007513F"/>
    <w:rsid w:val="000752B6"/>
    <w:rsid w:val="000753E1"/>
    <w:rsid w:val="00075937"/>
    <w:rsid w:val="0007608C"/>
    <w:rsid w:val="00076EA2"/>
    <w:rsid w:val="00077729"/>
    <w:rsid w:val="000777CF"/>
    <w:rsid w:val="000778ED"/>
    <w:rsid w:val="00077C1D"/>
    <w:rsid w:val="00081C00"/>
    <w:rsid w:val="00081EA2"/>
    <w:rsid w:val="000824E6"/>
    <w:rsid w:val="00082C34"/>
    <w:rsid w:val="00083174"/>
    <w:rsid w:val="0008334D"/>
    <w:rsid w:val="000833DC"/>
    <w:rsid w:val="000836CC"/>
    <w:rsid w:val="00083DDB"/>
    <w:rsid w:val="0008440C"/>
    <w:rsid w:val="00084870"/>
    <w:rsid w:val="000849E7"/>
    <w:rsid w:val="00084BB8"/>
    <w:rsid w:val="00084C72"/>
    <w:rsid w:val="000852D1"/>
    <w:rsid w:val="00085793"/>
    <w:rsid w:val="00085A22"/>
    <w:rsid w:val="00085D7D"/>
    <w:rsid w:val="00085DB2"/>
    <w:rsid w:val="000872D1"/>
    <w:rsid w:val="00087E14"/>
    <w:rsid w:val="00087F8A"/>
    <w:rsid w:val="00090288"/>
    <w:rsid w:val="0009055E"/>
    <w:rsid w:val="00090705"/>
    <w:rsid w:val="0009093C"/>
    <w:rsid w:val="00090DE0"/>
    <w:rsid w:val="0009106E"/>
    <w:rsid w:val="00091254"/>
    <w:rsid w:val="00091460"/>
    <w:rsid w:val="00091B1F"/>
    <w:rsid w:val="000921ED"/>
    <w:rsid w:val="00093246"/>
    <w:rsid w:val="00093BEA"/>
    <w:rsid w:val="0009492E"/>
    <w:rsid w:val="00094D17"/>
    <w:rsid w:val="00095044"/>
    <w:rsid w:val="00095682"/>
    <w:rsid w:val="00095F9D"/>
    <w:rsid w:val="00096302"/>
    <w:rsid w:val="000966CA"/>
    <w:rsid w:val="00096973"/>
    <w:rsid w:val="00096B40"/>
    <w:rsid w:val="00097093"/>
    <w:rsid w:val="00097691"/>
    <w:rsid w:val="00097914"/>
    <w:rsid w:val="00097D29"/>
    <w:rsid w:val="000A01BB"/>
    <w:rsid w:val="000A03BE"/>
    <w:rsid w:val="000A0661"/>
    <w:rsid w:val="000A06DD"/>
    <w:rsid w:val="000A098B"/>
    <w:rsid w:val="000A0A5C"/>
    <w:rsid w:val="000A0CBA"/>
    <w:rsid w:val="000A1259"/>
    <w:rsid w:val="000A1855"/>
    <w:rsid w:val="000A20B6"/>
    <w:rsid w:val="000A287A"/>
    <w:rsid w:val="000A2D80"/>
    <w:rsid w:val="000A34D8"/>
    <w:rsid w:val="000A3790"/>
    <w:rsid w:val="000A44AB"/>
    <w:rsid w:val="000A4603"/>
    <w:rsid w:val="000A4979"/>
    <w:rsid w:val="000A4D4E"/>
    <w:rsid w:val="000A532D"/>
    <w:rsid w:val="000A54D6"/>
    <w:rsid w:val="000A5F7E"/>
    <w:rsid w:val="000A62FE"/>
    <w:rsid w:val="000A6B64"/>
    <w:rsid w:val="000A6C49"/>
    <w:rsid w:val="000A6E94"/>
    <w:rsid w:val="000A7739"/>
    <w:rsid w:val="000B0012"/>
    <w:rsid w:val="000B0207"/>
    <w:rsid w:val="000B09E4"/>
    <w:rsid w:val="000B0BFF"/>
    <w:rsid w:val="000B10BE"/>
    <w:rsid w:val="000B12CC"/>
    <w:rsid w:val="000B1B14"/>
    <w:rsid w:val="000B1D00"/>
    <w:rsid w:val="000B1EE5"/>
    <w:rsid w:val="000B2BF6"/>
    <w:rsid w:val="000B2D69"/>
    <w:rsid w:val="000B3213"/>
    <w:rsid w:val="000B3312"/>
    <w:rsid w:val="000B35D4"/>
    <w:rsid w:val="000B3D21"/>
    <w:rsid w:val="000B419D"/>
    <w:rsid w:val="000B46F4"/>
    <w:rsid w:val="000B4995"/>
    <w:rsid w:val="000B4A94"/>
    <w:rsid w:val="000B588B"/>
    <w:rsid w:val="000B58EA"/>
    <w:rsid w:val="000B5E1D"/>
    <w:rsid w:val="000B60B9"/>
    <w:rsid w:val="000B728A"/>
    <w:rsid w:val="000B77B2"/>
    <w:rsid w:val="000B7A7C"/>
    <w:rsid w:val="000B7D27"/>
    <w:rsid w:val="000B7D4B"/>
    <w:rsid w:val="000C0A16"/>
    <w:rsid w:val="000C1456"/>
    <w:rsid w:val="000C14EC"/>
    <w:rsid w:val="000C2C2E"/>
    <w:rsid w:val="000C2E77"/>
    <w:rsid w:val="000C333E"/>
    <w:rsid w:val="000C3871"/>
    <w:rsid w:val="000C3B51"/>
    <w:rsid w:val="000C3CAD"/>
    <w:rsid w:val="000C3D6D"/>
    <w:rsid w:val="000C3D6F"/>
    <w:rsid w:val="000C50C9"/>
    <w:rsid w:val="000C515D"/>
    <w:rsid w:val="000C51D4"/>
    <w:rsid w:val="000C61C2"/>
    <w:rsid w:val="000C620D"/>
    <w:rsid w:val="000C6262"/>
    <w:rsid w:val="000C6E4F"/>
    <w:rsid w:val="000C7486"/>
    <w:rsid w:val="000C765F"/>
    <w:rsid w:val="000C788B"/>
    <w:rsid w:val="000C7F2F"/>
    <w:rsid w:val="000C7FA6"/>
    <w:rsid w:val="000D0845"/>
    <w:rsid w:val="000D0A6E"/>
    <w:rsid w:val="000D10F1"/>
    <w:rsid w:val="000D122B"/>
    <w:rsid w:val="000D18B3"/>
    <w:rsid w:val="000D1C5E"/>
    <w:rsid w:val="000D1D76"/>
    <w:rsid w:val="000D2032"/>
    <w:rsid w:val="000D238A"/>
    <w:rsid w:val="000D2619"/>
    <w:rsid w:val="000D26F2"/>
    <w:rsid w:val="000D28F0"/>
    <w:rsid w:val="000D2E79"/>
    <w:rsid w:val="000D3322"/>
    <w:rsid w:val="000D34AE"/>
    <w:rsid w:val="000D3552"/>
    <w:rsid w:val="000D3816"/>
    <w:rsid w:val="000D474B"/>
    <w:rsid w:val="000D49BA"/>
    <w:rsid w:val="000D4A03"/>
    <w:rsid w:val="000D4B96"/>
    <w:rsid w:val="000D4FB7"/>
    <w:rsid w:val="000D5733"/>
    <w:rsid w:val="000D57D4"/>
    <w:rsid w:val="000D6A02"/>
    <w:rsid w:val="000D7400"/>
    <w:rsid w:val="000D7409"/>
    <w:rsid w:val="000D759A"/>
    <w:rsid w:val="000D77E5"/>
    <w:rsid w:val="000D7E6C"/>
    <w:rsid w:val="000E0264"/>
    <w:rsid w:val="000E0616"/>
    <w:rsid w:val="000E0726"/>
    <w:rsid w:val="000E0978"/>
    <w:rsid w:val="000E0D25"/>
    <w:rsid w:val="000E1C5D"/>
    <w:rsid w:val="000E1CC7"/>
    <w:rsid w:val="000E2157"/>
    <w:rsid w:val="000E228C"/>
    <w:rsid w:val="000E2763"/>
    <w:rsid w:val="000E2A11"/>
    <w:rsid w:val="000E2C75"/>
    <w:rsid w:val="000E2D5F"/>
    <w:rsid w:val="000E35B5"/>
    <w:rsid w:val="000E3B02"/>
    <w:rsid w:val="000E4198"/>
    <w:rsid w:val="000E44E7"/>
    <w:rsid w:val="000E45CC"/>
    <w:rsid w:val="000E46E7"/>
    <w:rsid w:val="000E4929"/>
    <w:rsid w:val="000E5AF1"/>
    <w:rsid w:val="000E5DFB"/>
    <w:rsid w:val="000E6916"/>
    <w:rsid w:val="000E7198"/>
    <w:rsid w:val="000E7308"/>
    <w:rsid w:val="000E740F"/>
    <w:rsid w:val="000E75F5"/>
    <w:rsid w:val="000E7B56"/>
    <w:rsid w:val="000F0943"/>
    <w:rsid w:val="000F0E29"/>
    <w:rsid w:val="000F10C4"/>
    <w:rsid w:val="000F14FE"/>
    <w:rsid w:val="000F1614"/>
    <w:rsid w:val="000F16A0"/>
    <w:rsid w:val="000F1973"/>
    <w:rsid w:val="000F1988"/>
    <w:rsid w:val="000F19EB"/>
    <w:rsid w:val="000F1E38"/>
    <w:rsid w:val="000F2E3A"/>
    <w:rsid w:val="000F3128"/>
    <w:rsid w:val="000F3453"/>
    <w:rsid w:val="000F3BA1"/>
    <w:rsid w:val="000F41AC"/>
    <w:rsid w:val="000F42EC"/>
    <w:rsid w:val="000F4A74"/>
    <w:rsid w:val="000F4D71"/>
    <w:rsid w:val="000F53AF"/>
    <w:rsid w:val="000F5CA8"/>
    <w:rsid w:val="000F66ED"/>
    <w:rsid w:val="000F6BB4"/>
    <w:rsid w:val="000F74EB"/>
    <w:rsid w:val="000F7B64"/>
    <w:rsid w:val="00101285"/>
    <w:rsid w:val="001020B5"/>
    <w:rsid w:val="001028F7"/>
    <w:rsid w:val="001032D3"/>
    <w:rsid w:val="00103A6A"/>
    <w:rsid w:val="00103CEB"/>
    <w:rsid w:val="00104310"/>
    <w:rsid w:val="0010441C"/>
    <w:rsid w:val="00104516"/>
    <w:rsid w:val="001048C2"/>
    <w:rsid w:val="001049C2"/>
    <w:rsid w:val="00105813"/>
    <w:rsid w:val="001059BB"/>
    <w:rsid w:val="00105B23"/>
    <w:rsid w:val="00105E10"/>
    <w:rsid w:val="001063E4"/>
    <w:rsid w:val="001064D8"/>
    <w:rsid w:val="00106E07"/>
    <w:rsid w:val="0010779D"/>
    <w:rsid w:val="001078FC"/>
    <w:rsid w:val="001101CF"/>
    <w:rsid w:val="00110530"/>
    <w:rsid w:val="0011112E"/>
    <w:rsid w:val="00111179"/>
    <w:rsid w:val="001114E9"/>
    <w:rsid w:val="00111BD4"/>
    <w:rsid w:val="00111EA7"/>
    <w:rsid w:val="00112073"/>
    <w:rsid w:val="0011242F"/>
    <w:rsid w:val="00112B84"/>
    <w:rsid w:val="00112F15"/>
    <w:rsid w:val="00113412"/>
    <w:rsid w:val="001136B9"/>
    <w:rsid w:val="0011373A"/>
    <w:rsid w:val="00113D33"/>
    <w:rsid w:val="00113D99"/>
    <w:rsid w:val="001142D7"/>
    <w:rsid w:val="001147DC"/>
    <w:rsid w:val="00114B75"/>
    <w:rsid w:val="00114FF2"/>
    <w:rsid w:val="0011618E"/>
    <w:rsid w:val="00116950"/>
    <w:rsid w:val="00116B2B"/>
    <w:rsid w:val="001171A4"/>
    <w:rsid w:val="00117868"/>
    <w:rsid w:val="00117CA5"/>
    <w:rsid w:val="00117CAA"/>
    <w:rsid w:val="00117E7A"/>
    <w:rsid w:val="001203B1"/>
    <w:rsid w:val="001207DE"/>
    <w:rsid w:val="00120A52"/>
    <w:rsid w:val="00120B23"/>
    <w:rsid w:val="00121158"/>
    <w:rsid w:val="00121E8D"/>
    <w:rsid w:val="00122044"/>
    <w:rsid w:val="00122909"/>
    <w:rsid w:val="00122E68"/>
    <w:rsid w:val="00123057"/>
    <w:rsid w:val="00123152"/>
    <w:rsid w:val="00123562"/>
    <w:rsid w:val="00123AA4"/>
    <w:rsid w:val="00124113"/>
    <w:rsid w:val="001242B4"/>
    <w:rsid w:val="001243E8"/>
    <w:rsid w:val="001254A2"/>
    <w:rsid w:val="001255FC"/>
    <w:rsid w:val="00125A68"/>
    <w:rsid w:val="00125C59"/>
    <w:rsid w:val="001265C0"/>
    <w:rsid w:val="00126924"/>
    <w:rsid w:val="00127090"/>
    <w:rsid w:val="00127420"/>
    <w:rsid w:val="001274AB"/>
    <w:rsid w:val="00127721"/>
    <w:rsid w:val="00127B10"/>
    <w:rsid w:val="001301A4"/>
    <w:rsid w:val="0013073C"/>
    <w:rsid w:val="00130B03"/>
    <w:rsid w:val="00130B15"/>
    <w:rsid w:val="00130E2E"/>
    <w:rsid w:val="00131246"/>
    <w:rsid w:val="0013155B"/>
    <w:rsid w:val="001317DF"/>
    <w:rsid w:val="001318A8"/>
    <w:rsid w:val="00131A41"/>
    <w:rsid w:val="00132166"/>
    <w:rsid w:val="00132198"/>
    <w:rsid w:val="00132934"/>
    <w:rsid w:val="00132D57"/>
    <w:rsid w:val="00133041"/>
    <w:rsid w:val="001330F6"/>
    <w:rsid w:val="00133193"/>
    <w:rsid w:val="001331D6"/>
    <w:rsid w:val="00133210"/>
    <w:rsid w:val="001340BD"/>
    <w:rsid w:val="0013415C"/>
    <w:rsid w:val="00134AFF"/>
    <w:rsid w:val="00134F32"/>
    <w:rsid w:val="00135535"/>
    <w:rsid w:val="00135568"/>
    <w:rsid w:val="0013568D"/>
    <w:rsid w:val="00136B53"/>
    <w:rsid w:val="00136D7F"/>
    <w:rsid w:val="00136F1D"/>
    <w:rsid w:val="00137BC9"/>
    <w:rsid w:val="001400B0"/>
    <w:rsid w:val="0014076F"/>
    <w:rsid w:val="00140814"/>
    <w:rsid w:val="00140856"/>
    <w:rsid w:val="00140B0C"/>
    <w:rsid w:val="00140EEA"/>
    <w:rsid w:val="0014113D"/>
    <w:rsid w:val="001416BB"/>
    <w:rsid w:val="00141CC9"/>
    <w:rsid w:val="00143375"/>
    <w:rsid w:val="001433EB"/>
    <w:rsid w:val="00143F50"/>
    <w:rsid w:val="0014409D"/>
    <w:rsid w:val="001440F5"/>
    <w:rsid w:val="0014490F"/>
    <w:rsid w:val="00144C8F"/>
    <w:rsid w:val="00144D44"/>
    <w:rsid w:val="00145123"/>
    <w:rsid w:val="00145852"/>
    <w:rsid w:val="00145BC3"/>
    <w:rsid w:val="00145D8E"/>
    <w:rsid w:val="00146BB2"/>
    <w:rsid w:val="00146DBC"/>
    <w:rsid w:val="0014759B"/>
    <w:rsid w:val="00147610"/>
    <w:rsid w:val="00147F35"/>
    <w:rsid w:val="001505FA"/>
    <w:rsid w:val="001507D6"/>
    <w:rsid w:val="00150A50"/>
    <w:rsid w:val="00150F2C"/>
    <w:rsid w:val="001512EE"/>
    <w:rsid w:val="001512F5"/>
    <w:rsid w:val="001513B6"/>
    <w:rsid w:val="00151FAD"/>
    <w:rsid w:val="00151FEE"/>
    <w:rsid w:val="00152599"/>
    <w:rsid w:val="001529C9"/>
    <w:rsid w:val="00152A69"/>
    <w:rsid w:val="00152DA0"/>
    <w:rsid w:val="00152EB7"/>
    <w:rsid w:val="00153046"/>
    <w:rsid w:val="0015317E"/>
    <w:rsid w:val="001531E0"/>
    <w:rsid w:val="0015372B"/>
    <w:rsid w:val="00153830"/>
    <w:rsid w:val="00153BEC"/>
    <w:rsid w:val="001543BB"/>
    <w:rsid w:val="001549AA"/>
    <w:rsid w:val="00155036"/>
    <w:rsid w:val="00155A62"/>
    <w:rsid w:val="00155A7F"/>
    <w:rsid w:val="00155AAF"/>
    <w:rsid w:val="00156FE8"/>
    <w:rsid w:val="0015718D"/>
    <w:rsid w:val="001572F1"/>
    <w:rsid w:val="0015745B"/>
    <w:rsid w:val="001577B8"/>
    <w:rsid w:val="00157A90"/>
    <w:rsid w:val="00160E64"/>
    <w:rsid w:val="001612AE"/>
    <w:rsid w:val="00161388"/>
    <w:rsid w:val="00161FFB"/>
    <w:rsid w:val="00162007"/>
    <w:rsid w:val="001625F0"/>
    <w:rsid w:val="00162A49"/>
    <w:rsid w:val="00162D6B"/>
    <w:rsid w:val="00162E2C"/>
    <w:rsid w:val="00164CB9"/>
    <w:rsid w:val="00165448"/>
    <w:rsid w:val="0016616D"/>
    <w:rsid w:val="001661FA"/>
    <w:rsid w:val="0016663A"/>
    <w:rsid w:val="00167861"/>
    <w:rsid w:val="00167D3A"/>
    <w:rsid w:val="001703A1"/>
    <w:rsid w:val="00170818"/>
    <w:rsid w:val="001710C0"/>
    <w:rsid w:val="0017111D"/>
    <w:rsid w:val="00171730"/>
    <w:rsid w:val="00171C45"/>
    <w:rsid w:val="00171FB5"/>
    <w:rsid w:val="00172190"/>
    <w:rsid w:val="0017222D"/>
    <w:rsid w:val="0017287E"/>
    <w:rsid w:val="00173BB0"/>
    <w:rsid w:val="00173BF9"/>
    <w:rsid w:val="00173D03"/>
    <w:rsid w:val="0017413C"/>
    <w:rsid w:val="00174515"/>
    <w:rsid w:val="001746AC"/>
    <w:rsid w:val="00175605"/>
    <w:rsid w:val="0017588C"/>
    <w:rsid w:val="001765D1"/>
    <w:rsid w:val="00176DF1"/>
    <w:rsid w:val="001775AD"/>
    <w:rsid w:val="001777A1"/>
    <w:rsid w:val="00177901"/>
    <w:rsid w:val="001779C2"/>
    <w:rsid w:val="00180085"/>
    <w:rsid w:val="00180A12"/>
    <w:rsid w:val="00180E5D"/>
    <w:rsid w:val="00181769"/>
    <w:rsid w:val="001819B8"/>
    <w:rsid w:val="00181C23"/>
    <w:rsid w:val="00181DA0"/>
    <w:rsid w:val="00181F22"/>
    <w:rsid w:val="001826D2"/>
    <w:rsid w:val="00182BDD"/>
    <w:rsid w:val="001830A8"/>
    <w:rsid w:val="00183845"/>
    <w:rsid w:val="00183BB6"/>
    <w:rsid w:val="00183F33"/>
    <w:rsid w:val="001844FB"/>
    <w:rsid w:val="001847F5"/>
    <w:rsid w:val="0018486D"/>
    <w:rsid w:val="00184AE3"/>
    <w:rsid w:val="00184AE9"/>
    <w:rsid w:val="00184C08"/>
    <w:rsid w:val="00184CF0"/>
    <w:rsid w:val="00184D40"/>
    <w:rsid w:val="00184E67"/>
    <w:rsid w:val="0018541F"/>
    <w:rsid w:val="001855D3"/>
    <w:rsid w:val="001862AA"/>
    <w:rsid w:val="00186DE4"/>
    <w:rsid w:val="00187392"/>
    <w:rsid w:val="0018756D"/>
    <w:rsid w:val="00187BC9"/>
    <w:rsid w:val="00190845"/>
    <w:rsid w:val="00191092"/>
    <w:rsid w:val="001913F7"/>
    <w:rsid w:val="0019144B"/>
    <w:rsid w:val="001914AD"/>
    <w:rsid w:val="0019208E"/>
    <w:rsid w:val="0019273C"/>
    <w:rsid w:val="00192B18"/>
    <w:rsid w:val="00192E96"/>
    <w:rsid w:val="00193818"/>
    <w:rsid w:val="00194C03"/>
    <w:rsid w:val="00195865"/>
    <w:rsid w:val="00195D67"/>
    <w:rsid w:val="00195E5F"/>
    <w:rsid w:val="00196878"/>
    <w:rsid w:val="00196CE4"/>
    <w:rsid w:val="00196FA5"/>
    <w:rsid w:val="00197108"/>
    <w:rsid w:val="001974F8"/>
    <w:rsid w:val="00197B9D"/>
    <w:rsid w:val="001A0306"/>
    <w:rsid w:val="001A116D"/>
    <w:rsid w:val="001A149B"/>
    <w:rsid w:val="001A1DBC"/>
    <w:rsid w:val="001A1E2E"/>
    <w:rsid w:val="001A1E38"/>
    <w:rsid w:val="001A256C"/>
    <w:rsid w:val="001A2978"/>
    <w:rsid w:val="001A346D"/>
    <w:rsid w:val="001A360F"/>
    <w:rsid w:val="001A3860"/>
    <w:rsid w:val="001A393E"/>
    <w:rsid w:val="001A3D68"/>
    <w:rsid w:val="001A411B"/>
    <w:rsid w:val="001A42CD"/>
    <w:rsid w:val="001A457C"/>
    <w:rsid w:val="001A49BF"/>
    <w:rsid w:val="001A4DE4"/>
    <w:rsid w:val="001A5062"/>
    <w:rsid w:val="001A54B4"/>
    <w:rsid w:val="001A5551"/>
    <w:rsid w:val="001A59FA"/>
    <w:rsid w:val="001A5BD6"/>
    <w:rsid w:val="001A7530"/>
    <w:rsid w:val="001B01FE"/>
    <w:rsid w:val="001B09D9"/>
    <w:rsid w:val="001B0C7A"/>
    <w:rsid w:val="001B0D46"/>
    <w:rsid w:val="001B0DE6"/>
    <w:rsid w:val="001B145A"/>
    <w:rsid w:val="001B161C"/>
    <w:rsid w:val="001B1DEB"/>
    <w:rsid w:val="001B2856"/>
    <w:rsid w:val="001B2857"/>
    <w:rsid w:val="001B2E11"/>
    <w:rsid w:val="001B347B"/>
    <w:rsid w:val="001B351F"/>
    <w:rsid w:val="001B3B8E"/>
    <w:rsid w:val="001B3BCE"/>
    <w:rsid w:val="001B3DA0"/>
    <w:rsid w:val="001B49E5"/>
    <w:rsid w:val="001B4CE1"/>
    <w:rsid w:val="001B5779"/>
    <w:rsid w:val="001B5AA2"/>
    <w:rsid w:val="001B5D9E"/>
    <w:rsid w:val="001B5FE6"/>
    <w:rsid w:val="001B60A7"/>
    <w:rsid w:val="001B65B9"/>
    <w:rsid w:val="001B6C1F"/>
    <w:rsid w:val="001C02B8"/>
    <w:rsid w:val="001C078F"/>
    <w:rsid w:val="001C0957"/>
    <w:rsid w:val="001C0B33"/>
    <w:rsid w:val="001C0C44"/>
    <w:rsid w:val="001C157F"/>
    <w:rsid w:val="001C23ED"/>
    <w:rsid w:val="001C268E"/>
    <w:rsid w:val="001C272A"/>
    <w:rsid w:val="001C2D68"/>
    <w:rsid w:val="001C3121"/>
    <w:rsid w:val="001C33FD"/>
    <w:rsid w:val="001C3473"/>
    <w:rsid w:val="001C3784"/>
    <w:rsid w:val="001C3ABA"/>
    <w:rsid w:val="001C46B3"/>
    <w:rsid w:val="001C4A51"/>
    <w:rsid w:val="001C553D"/>
    <w:rsid w:val="001C56AB"/>
    <w:rsid w:val="001C64BD"/>
    <w:rsid w:val="001C6646"/>
    <w:rsid w:val="001C706B"/>
    <w:rsid w:val="001D00EF"/>
    <w:rsid w:val="001D03F4"/>
    <w:rsid w:val="001D080B"/>
    <w:rsid w:val="001D0954"/>
    <w:rsid w:val="001D0BD7"/>
    <w:rsid w:val="001D0F64"/>
    <w:rsid w:val="001D11D9"/>
    <w:rsid w:val="001D162F"/>
    <w:rsid w:val="001D17BB"/>
    <w:rsid w:val="001D1802"/>
    <w:rsid w:val="001D2204"/>
    <w:rsid w:val="001D2A58"/>
    <w:rsid w:val="001D2BF7"/>
    <w:rsid w:val="001D30F5"/>
    <w:rsid w:val="001D340E"/>
    <w:rsid w:val="001D37B5"/>
    <w:rsid w:val="001D3D5D"/>
    <w:rsid w:val="001D3D82"/>
    <w:rsid w:val="001D3ED8"/>
    <w:rsid w:val="001D40C0"/>
    <w:rsid w:val="001D4B80"/>
    <w:rsid w:val="001D5365"/>
    <w:rsid w:val="001D562C"/>
    <w:rsid w:val="001D5789"/>
    <w:rsid w:val="001D57D5"/>
    <w:rsid w:val="001D6076"/>
    <w:rsid w:val="001D62E8"/>
    <w:rsid w:val="001D6374"/>
    <w:rsid w:val="001D643C"/>
    <w:rsid w:val="001D6784"/>
    <w:rsid w:val="001D6FC4"/>
    <w:rsid w:val="001D765D"/>
    <w:rsid w:val="001E040E"/>
    <w:rsid w:val="001E04B4"/>
    <w:rsid w:val="001E104D"/>
    <w:rsid w:val="001E11C3"/>
    <w:rsid w:val="001E16DE"/>
    <w:rsid w:val="001E1704"/>
    <w:rsid w:val="001E1A94"/>
    <w:rsid w:val="001E1CDD"/>
    <w:rsid w:val="001E1D97"/>
    <w:rsid w:val="001E1DBC"/>
    <w:rsid w:val="001E20BA"/>
    <w:rsid w:val="001E259E"/>
    <w:rsid w:val="001E2C2B"/>
    <w:rsid w:val="001E320A"/>
    <w:rsid w:val="001E3479"/>
    <w:rsid w:val="001E3667"/>
    <w:rsid w:val="001E37A6"/>
    <w:rsid w:val="001E3D1B"/>
    <w:rsid w:val="001E3E02"/>
    <w:rsid w:val="001E3F87"/>
    <w:rsid w:val="001E4568"/>
    <w:rsid w:val="001E60D8"/>
    <w:rsid w:val="001E655B"/>
    <w:rsid w:val="001E6910"/>
    <w:rsid w:val="001E69A6"/>
    <w:rsid w:val="001E736F"/>
    <w:rsid w:val="001E7779"/>
    <w:rsid w:val="001F038B"/>
    <w:rsid w:val="001F04B9"/>
    <w:rsid w:val="001F06EC"/>
    <w:rsid w:val="001F07CE"/>
    <w:rsid w:val="001F0BE3"/>
    <w:rsid w:val="001F0C96"/>
    <w:rsid w:val="001F0E53"/>
    <w:rsid w:val="001F0EEC"/>
    <w:rsid w:val="001F1074"/>
    <w:rsid w:val="001F10CB"/>
    <w:rsid w:val="001F1193"/>
    <w:rsid w:val="001F1A76"/>
    <w:rsid w:val="001F1D02"/>
    <w:rsid w:val="001F233E"/>
    <w:rsid w:val="001F2956"/>
    <w:rsid w:val="001F2F66"/>
    <w:rsid w:val="001F3A2E"/>
    <w:rsid w:val="001F3C74"/>
    <w:rsid w:val="001F48F7"/>
    <w:rsid w:val="001F4D00"/>
    <w:rsid w:val="001F4EC4"/>
    <w:rsid w:val="001F5235"/>
    <w:rsid w:val="001F5EA7"/>
    <w:rsid w:val="001F6254"/>
    <w:rsid w:val="001F7360"/>
    <w:rsid w:val="0020258B"/>
    <w:rsid w:val="00202F2B"/>
    <w:rsid w:val="00203243"/>
    <w:rsid w:val="002032FC"/>
    <w:rsid w:val="002035BF"/>
    <w:rsid w:val="00203D78"/>
    <w:rsid w:val="00203F50"/>
    <w:rsid w:val="002040E1"/>
    <w:rsid w:val="00204E39"/>
    <w:rsid w:val="00204EC8"/>
    <w:rsid w:val="00204ECA"/>
    <w:rsid w:val="0020503F"/>
    <w:rsid w:val="00205376"/>
    <w:rsid w:val="00205416"/>
    <w:rsid w:val="0020541D"/>
    <w:rsid w:val="00205CEF"/>
    <w:rsid w:val="00205DFE"/>
    <w:rsid w:val="002060E1"/>
    <w:rsid w:val="002063BB"/>
    <w:rsid w:val="002066E9"/>
    <w:rsid w:val="00206741"/>
    <w:rsid w:val="002102A4"/>
    <w:rsid w:val="002102AC"/>
    <w:rsid w:val="002105EE"/>
    <w:rsid w:val="002108C5"/>
    <w:rsid w:val="00210D15"/>
    <w:rsid w:val="00210E00"/>
    <w:rsid w:val="00211008"/>
    <w:rsid w:val="002111C7"/>
    <w:rsid w:val="00211223"/>
    <w:rsid w:val="002115D5"/>
    <w:rsid w:val="0021191F"/>
    <w:rsid w:val="002119A2"/>
    <w:rsid w:val="00211A57"/>
    <w:rsid w:val="00211E39"/>
    <w:rsid w:val="00211F03"/>
    <w:rsid w:val="00212173"/>
    <w:rsid w:val="002125CC"/>
    <w:rsid w:val="0021340A"/>
    <w:rsid w:val="00213454"/>
    <w:rsid w:val="00213481"/>
    <w:rsid w:val="00213A87"/>
    <w:rsid w:val="00213E8F"/>
    <w:rsid w:val="00215441"/>
    <w:rsid w:val="00216109"/>
    <w:rsid w:val="00216654"/>
    <w:rsid w:val="00216CD2"/>
    <w:rsid w:val="00216CE5"/>
    <w:rsid w:val="00216FF3"/>
    <w:rsid w:val="00217A8B"/>
    <w:rsid w:val="00217E97"/>
    <w:rsid w:val="002208F5"/>
    <w:rsid w:val="00220A16"/>
    <w:rsid w:val="00221266"/>
    <w:rsid w:val="002214EF"/>
    <w:rsid w:val="0022175D"/>
    <w:rsid w:val="0022177C"/>
    <w:rsid w:val="002225FB"/>
    <w:rsid w:val="0022266A"/>
    <w:rsid w:val="00222B53"/>
    <w:rsid w:val="00222E98"/>
    <w:rsid w:val="00223231"/>
    <w:rsid w:val="00223828"/>
    <w:rsid w:val="002238B8"/>
    <w:rsid w:val="00223FCC"/>
    <w:rsid w:val="002245EC"/>
    <w:rsid w:val="002248FB"/>
    <w:rsid w:val="00224A32"/>
    <w:rsid w:val="002250DD"/>
    <w:rsid w:val="002255A2"/>
    <w:rsid w:val="0022640A"/>
    <w:rsid w:val="00226B85"/>
    <w:rsid w:val="00226EC1"/>
    <w:rsid w:val="00227339"/>
    <w:rsid w:val="00227C11"/>
    <w:rsid w:val="00227CC6"/>
    <w:rsid w:val="00230394"/>
    <w:rsid w:val="002304DD"/>
    <w:rsid w:val="002309A7"/>
    <w:rsid w:val="00230C22"/>
    <w:rsid w:val="00230D50"/>
    <w:rsid w:val="00231208"/>
    <w:rsid w:val="002315EB"/>
    <w:rsid w:val="00231E5B"/>
    <w:rsid w:val="00232088"/>
    <w:rsid w:val="00232255"/>
    <w:rsid w:val="00232640"/>
    <w:rsid w:val="00232B5F"/>
    <w:rsid w:val="00232B9A"/>
    <w:rsid w:val="00232BCF"/>
    <w:rsid w:val="00232C0D"/>
    <w:rsid w:val="00232C2B"/>
    <w:rsid w:val="00233B1A"/>
    <w:rsid w:val="00233D77"/>
    <w:rsid w:val="002341E7"/>
    <w:rsid w:val="00234480"/>
    <w:rsid w:val="00234E64"/>
    <w:rsid w:val="00235014"/>
    <w:rsid w:val="0023587F"/>
    <w:rsid w:val="00235DC9"/>
    <w:rsid w:val="00236126"/>
    <w:rsid w:val="002361C6"/>
    <w:rsid w:val="00236BF5"/>
    <w:rsid w:val="00236FB2"/>
    <w:rsid w:val="00237045"/>
    <w:rsid w:val="00237094"/>
    <w:rsid w:val="002370BE"/>
    <w:rsid w:val="002375A9"/>
    <w:rsid w:val="002376CC"/>
    <w:rsid w:val="00240919"/>
    <w:rsid w:val="00240A82"/>
    <w:rsid w:val="00240CA6"/>
    <w:rsid w:val="00240FDE"/>
    <w:rsid w:val="0024155E"/>
    <w:rsid w:val="00241633"/>
    <w:rsid w:val="0024175D"/>
    <w:rsid w:val="00241A8F"/>
    <w:rsid w:val="0024272F"/>
    <w:rsid w:val="0024283C"/>
    <w:rsid w:val="00242932"/>
    <w:rsid w:val="00243359"/>
    <w:rsid w:val="002441EC"/>
    <w:rsid w:val="002445F0"/>
    <w:rsid w:val="00244652"/>
    <w:rsid w:val="00244692"/>
    <w:rsid w:val="00244B32"/>
    <w:rsid w:val="00244D3B"/>
    <w:rsid w:val="0024573F"/>
    <w:rsid w:val="00245914"/>
    <w:rsid w:val="00246F4D"/>
    <w:rsid w:val="0024721B"/>
    <w:rsid w:val="002474BC"/>
    <w:rsid w:val="00247AB0"/>
    <w:rsid w:val="002500DD"/>
    <w:rsid w:val="00250404"/>
    <w:rsid w:val="002507C9"/>
    <w:rsid w:val="00250A5E"/>
    <w:rsid w:val="00250FD0"/>
    <w:rsid w:val="00251050"/>
    <w:rsid w:val="002516D0"/>
    <w:rsid w:val="002516FC"/>
    <w:rsid w:val="002519EF"/>
    <w:rsid w:val="00251A60"/>
    <w:rsid w:val="002523D6"/>
    <w:rsid w:val="0025242E"/>
    <w:rsid w:val="002526BB"/>
    <w:rsid w:val="00253076"/>
    <w:rsid w:val="00253424"/>
    <w:rsid w:val="0025420B"/>
    <w:rsid w:val="00254527"/>
    <w:rsid w:val="0025497F"/>
    <w:rsid w:val="00254B3F"/>
    <w:rsid w:val="00254B75"/>
    <w:rsid w:val="002553D0"/>
    <w:rsid w:val="0025576B"/>
    <w:rsid w:val="0025644C"/>
    <w:rsid w:val="002567B5"/>
    <w:rsid w:val="00256D26"/>
    <w:rsid w:val="00256EDE"/>
    <w:rsid w:val="002574EC"/>
    <w:rsid w:val="0026014E"/>
    <w:rsid w:val="0026026C"/>
    <w:rsid w:val="002607C6"/>
    <w:rsid w:val="00260906"/>
    <w:rsid w:val="002613B2"/>
    <w:rsid w:val="002622C3"/>
    <w:rsid w:val="00262504"/>
    <w:rsid w:val="002625E0"/>
    <w:rsid w:val="00262DA1"/>
    <w:rsid w:val="00264299"/>
    <w:rsid w:val="00264692"/>
    <w:rsid w:val="00264A8A"/>
    <w:rsid w:val="002662DF"/>
    <w:rsid w:val="0026706C"/>
    <w:rsid w:val="0026751D"/>
    <w:rsid w:val="00270370"/>
    <w:rsid w:val="002705DD"/>
    <w:rsid w:val="0027064E"/>
    <w:rsid w:val="00270E42"/>
    <w:rsid w:val="00270F60"/>
    <w:rsid w:val="00271B20"/>
    <w:rsid w:val="00271F77"/>
    <w:rsid w:val="0027247C"/>
    <w:rsid w:val="002728FF"/>
    <w:rsid w:val="00272A2E"/>
    <w:rsid w:val="00272BBE"/>
    <w:rsid w:val="00272E2E"/>
    <w:rsid w:val="00273457"/>
    <w:rsid w:val="0027372A"/>
    <w:rsid w:val="00273844"/>
    <w:rsid w:val="00273A6A"/>
    <w:rsid w:val="00273EFC"/>
    <w:rsid w:val="00275103"/>
    <w:rsid w:val="002751A5"/>
    <w:rsid w:val="00275360"/>
    <w:rsid w:val="00275445"/>
    <w:rsid w:val="00276536"/>
    <w:rsid w:val="00276A69"/>
    <w:rsid w:val="002774BF"/>
    <w:rsid w:val="002776CB"/>
    <w:rsid w:val="00277B1C"/>
    <w:rsid w:val="00280204"/>
    <w:rsid w:val="0028032C"/>
    <w:rsid w:val="00280487"/>
    <w:rsid w:val="002805AF"/>
    <w:rsid w:val="00280833"/>
    <w:rsid w:val="00280F50"/>
    <w:rsid w:val="0028102D"/>
    <w:rsid w:val="0028152F"/>
    <w:rsid w:val="002816F1"/>
    <w:rsid w:val="00282096"/>
    <w:rsid w:val="00282200"/>
    <w:rsid w:val="00282678"/>
    <w:rsid w:val="00282BA1"/>
    <w:rsid w:val="00282BBC"/>
    <w:rsid w:val="00282BED"/>
    <w:rsid w:val="00282E12"/>
    <w:rsid w:val="0028302A"/>
    <w:rsid w:val="0028322A"/>
    <w:rsid w:val="002834C7"/>
    <w:rsid w:val="002836D6"/>
    <w:rsid w:val="0028378C"/>
    <w:rsid w:val="002837D8"/>
    <w:rsid w:val="00283B37"/>
    <w:rsid w:val="00284052"/>
    <w:rsid w:val="002840B8"/>
    <w:rsid w:val="002842F1"/>
    <w:rsid w:val="00284553"/>
    <w:rsid w:val="00284EE1"/>
    <w:rsid w:val="002853B3"/>
    <w:rsid w:val="0028594C"/>
    <w:rsid w:val="00285CDD"/>
    <w:rsid w:val="0028653A"/>
    <w:rsid w:val="00286BBA"/>
    <w:rsid w:val="00286C40"/>
    <w:rsid w:val="00287525"/>
    <w:rsid w:val="00287611"/>
    <w:rsid w:val="00290887"/>
    <w:rsid w:val="00290A06"/>
    <w:rsid w:val="00290B63"/>
    <w:rsid w:val="00290BBA"/>
    <w:rsid w:val="00290C7A"/>
    <w:rsid w:val="00291177"/>
    <w:rsid w:val="00291C69"/>
    <w:rsid w:val="0029265C"/>
    <w:rsid w:val="00292A51"/>
    <w:rsid w:val="0029356A"/>
    <w:rsid w:val="00293B0A"/>
    <w:rsid w:val="0029480F"/>
    <w:rsid w:val="002949E5"/>
    <w:rsid w:val="00294B4B"/>
    <w:rsid w:val="00295033"/>
    <w:rsid w:val="00295047"/>
    <w:rsid w:val="002950B4"/>
    <w:rsid w:val="0029515C"/>
    <w:rsid w:val="00295B6A"/>
    <w:rsid w:val="00296046"/>
    <w:rsid w:val="0029636A"/>
    <w:rsid w:val="00296EF4"/>
    <w:rsid w:val="00297856"/>
    <w:rsid w:val="002979AA"/>
    <w:rsid w:val="00297BF3"/>
    <w:rsid w:val="00297E22"/>
    <w:rsid w:val="002A0B0E"/>
    <w:rsid w:val="002A0F1F"/>
    <w:rsid w:val="002A1274"/>
    <w:rsid w:val="002A1B5A"/>
    <w:rsid w:val="002A2664"/>
    <w:rsid w:val="002A35E9"/>
    <w:rsid w:val="002A36C0"/>
    <w:rsid w:val="002A3D46"/>
    <w:rsid w:val="002A3FBF"/>
    <w:rsid w:val="002A4275"/>
    <w:rsid w:val="002A483A"/>
    <w:rsid w:val="002A4A71"/>
    <w:rsid w:val="002A4D3D"/>
    <w:rsid w:val="002A4EAE"/>
    <w:rsid w:val="002A4F76"/>
    <w:rsid w:val="002A5519"/>
    <w:rsid w:val="002A566B"/>
    <w:rsid w:val="002A612D"/>
    <w:rsid w:val="002A667C"/>
    <w:rsid w:val="002A6A9F"/>
    <w:rsid w:val="002A7461"/>
    <w:rsid w:val="002A77CE"/>
    <w:rsid w:val="002A7969"/>
    <w:rsid w:val="002A7BCB"/>
    <w:rsid w:val="002B0492"/>
    <w:rsid w:val="002B0B64"/>
    <w:rsid w:val="002B0EA2"/>
    <w:rsid w:val="002B1014"/>
    <w:rsid w:val="002B109E"/>
    <w:rsid w:val="002B17E9"/>
    <w:rsid w:val="002B1A7E"/>
    <w:rsid w:val="002B2353"/>
    <w:rsid w:val="002B2F22"/>
    <w:rsid w:val="002B3063"/>
    <w:rsid w:val="002B3922"/>
    <w:rsid w:val="002B4AC3"/>
    <w:rsid w:val="002B4BAE"/>
    <w:rsid w:val="002B4BB3"/>
    <w:rsid w:val="002B4C42"/>
    <w:rsid w:val="002B4CEB"/>
    <w:rsid w:val="002B4EE0"/>
    <w:rsid w:val="002B5D76"/>
    <w:rsid w:val="002B5EFB"/>
    <w:rsid w:val="002B612D"/>
    <w:rsid w:val="002B6640"/>
    <w:rsid w:val="002B794A"/>
    <w:rsid w:val="002B7B5C"/>
    <w:rsid w:val="002B7C7E"/>
    <w:rsid w:val="002C01FE"/>
    <w:rsid w:val="002C055F"/>
    <w:rsid w:val="002C0D6D"/>
    <w:rsid w:val="002C13E7"/>
    <w:rsid w:val="002C14D2"/>
    <w:rsid w:val="002C1C3A"/>
    <w:rsid w:val="002C260E"/>
    <w:rsid w:val="002C2C7F"/>
    <w:rsid w:val="002C3170"/>
    <w:rsid w:val="002C335A"/>
    <w:rsid w:val="002C35FA"/>
    <w:rsid w:val="002C3D87"/>
    <w:rsid w:val="002C3DFB"/>
    <w:rsid w:val="002C43D5"/>
    <w:rsid w:val="002C4B2F"/>
    <w:rsid w:val="002C4E83"/>
    <w:rsid w:val="002C551F"/>
    <w:rsid w:val="002C5B2A"/>
    <w:rsid w:val="002C6241"/>
    <w:rsid w:val="002C6380"/>
    <w:rsid w:val="002C7042"/>
    <w:rsid w:val="002C70D7"/>
    <w:rsid w:val="002C71D1"/>
    <w:rsid w:val="002C7259"/>
    <w:rsid w:val="002C7731"/>
    <w:rsid w:val="002C79C3"/>
    <w:rsid w:val="002C7E4F"/>
    <w:rsid w:val="002C7F0C"/>
    <w:rsid w:val="002D044A"/>
    <w:rsid w:val="002D0AD9"/>
    <w:rsid w:val="002D0C57"/>
    <w:rsid w:val="002D0D0A"/>
    <w:rsid w:val="002D121A"/>
    <w:rsid w:val="002D14EB"/>
    <w:rsid w:val="002D1A3F"/>
    <w:rsid w:val="002D2947"/>
    <w:rsid w:val="002D31A8"/>
    <w:rsid w:val="002D3423"/>
    <w:rsid w:val="002D3515"/>
    <w:rsid w:val="002D3E80"/>
    <w:rsid w:val="002D3E92"/>
    <w:rsid w:val="002D3F3F"/>
    <w:rsid w:val="002D5AC8"/>
    <w:rsid w:val="002D5BB0"/>
    <w:rsid w:val="002D630A"/>
    <w:rsid w:val="002D6A66"/>
    <w:rsid w:val="002D73ED"/>
    <w:rsid w:val="002D7A10"/>
    <w:rsid w:val="002E0071"/>
    <w:rsid w:val="002E03B0"/>
    <w:rsid w:val="002E1620"/>
    <w:rsid w:val="002E217B"/>
    <w:rsid w:val="002E28B3"/>
    <w:rsid w:val="002E2F94"/>
    <w:rsid w:val="002E3433"/>
    <w:rsid w:val="002E3C9F"/>
    <w:rsid w:val="002E3CED"/>
    <w:rsid w:val="002E4EDA"/>
    <w:rsid w:val="002E5290"/>
    <w:rsid w:val="002E6186"/>
    <w:rsid w:val="002E67A5"/>
    <w:rsid w:val="002E6C6E"/>
    <w:rsid w:val="002E70A6"/>
    <w:rsid w:val="002E727C"/>
    <w:rsid w:val="002E7525"/>
    <w:rsid w:val="002E7CC8"/>
    <w:rsid w:val="002F0593"/>
    <w:rsid w:val="002F06E3"/>
    <w:rsid w:val="002F10E5"/>
    <w:rsid w:val="002F1496"/>
    <w:rsid w:val="002F1BD6"/>
    <w:rsid w:val="002F1E47"/>
    <w:rsid w:val="002F2262"/>
    <w:rsid w:val="002F2CDF"/>
    <w:rsid w:val="002F32B1"/>
    <w:rsid w:val="002F338C"/>
    <w:rsid w:val="002F3F09"/>
    <w:rsid w:val="002F44B2"/>
    <w:rsid w:val="002F4887"/>
    <w:rsid w:val="002F4DEF"/>
    <w:rsid w:val="002F5025"/>
    <w:rsid w:val="002F5241"/>
    <w:rsid w:val="002F5DDD"/>
    <w:rsid w:val="002F615C"/>
    <w:rsid w:val="002F6824"/>
    <w:rsid w:val="002F6B1E"/>
    <w:rsid w:val="002F6CCF"/>
    <w:rsid w:val="002F6F6A"/>
    <w:rsid w:val="002F78D3"/>
    <w:rsid w:val="002F7F94"/>
    <w:rsid w:val="00300143"/>
    <w:rsid w:val="003002D5"/>
    <w:rsid w:val="00300FD6"/>
    <w:rsid w:val="00301105"/>
    <w:rsid w:val="003014C2"/>
    <w:rsid w:val="00301662"/>
    <w:rsid w:val="00301910"/>
    <w:rsid w:val="00301AE2"/>
    <w:rsid w:val="00301AF8"/>
    <w:rsid w:val="00301B2A"/>
    <w:rsid w:val="00302389"/>
    <w:rsid w:val="003026C1"/>
    <w:rsid w:val="00302B6F"/>
    <w:rsid w:val="00303152"/>
    <w:rsid w:val="003031CF"/>
    <w:rsid w:val="0030351D"/>
    <w:rsid w:val="003040F2"/>
    <w:rsid w:val="00304354"/>
    <w:rsid w:val="0030447B"/>
    <w:rsid w:val="003044CA"/>
    <w:rsid w:val="00304674"/>
    <w:rsid w:val="00304C36"/>
    <w:rsid w:val="00304C37"/>
    <w:rsid w:val="00305A71"/>
    <w:rsid w:val="00305ACD"/>
    <w:rsid w:val="00305B0D"/>
    <w:rsid w:val="003063BE"/>
    <w:rsid w:val="00306EF2"/>
    <w:rsid w:val="003072C1"/>
    <w:rsid w:val="003072C3"/>
    <w:rsid w:val="00307679"/>
    <w:rsid w:val="0030767A"/>
    <w:rsid w:val="0030774A"/>
    <w:rsid w:val="00307A73"/>
    <w:rsid w:val="00310015"/>
    <w:rsid w:val="003103FD"/>
    <w:rsid w:val="003105D3"/>
    <w:rsid w:val="00311137"/>
    <w:rsid w:val="0031161A"/>
    <w:rsid w:val="003130CA"/>
    <w:rsid w:val="0031502E"/>
    <w:rsid w:val="0031574D"/>
    <w:rsid w:val="00315C03"/>
    <w:rsid w:val="00316356"/>
    <w:rsid w:val="003166C0"/>
    <w:rsid w:val="00316E44"/>
    <w:rsid w:val="00317873"/>
    <w:rsid w:val="00317923"/>
    <w:rsid w:val="00317D0D"/>
    <w:rsid w:val="00320691"/>
    <w:rsid w:val="00320CC2"/>
    <w:rsid w:val="00321BD9"/>
    <w:rsid w:val="00321EBB"/>
    <w:rsid w:val="0032207C"/>
    <w:rsid w:val="0032231C"/>
    <w:rsid w:val="00322720"/>
    <w:rsid w:val="0032294F"/>
    <w:rsid w:val="00322AB0"/>
    <w:rsid w:val="00322B1D"/>
    <w:rsid w:val="00322F36"/>
    <w:rsid w:val="00323288"/>
    <w:rsid w:val="00323319"/>
    <w:rsid w:val="00323910"/>
    <w:rsid w:val="003244DA"/>
    <w:rsid w:val="00324F15"/>
    <w:rsid w:val="00325017"/>
    <w:rsid w:val="003253FC"/>
    <w:rsid w:val="0032562F"/>
    <w:rsid w:val="00325818"/>
    <w:rsid w:val="00325C40"/>
    <w:rsid w:val="00325C4D"/>
    <w:rsid w:val="00326AEA"/>
    <w:rsid w:val="00326CA0"/>
    <w:rsid w:val="0032712A"/>
    <w:rsid w:val="00327343"/>
    <w:rsid w:val="0032771F"/>
    <w:rsid w:val="00327B7E"/>
    <w:rsid w:val="00330AB4"/>
    <w:rsid w:val="0033148D"/>
    <w:rsid w:val="003315BD"/>
    <w:rsid w:val="0033182F"/>
    <w:rsid w:val="00331E0D"/>
    <w:rsid w:val="00331F96"/>
    <w:rsid w:val="00332386"/>
    <w:rsid w:val="00332522"/>
    <w:rsid w:val="003325C0"/>
    <w:rsid w:val="00332F32"/>
    <w:rsid w:val="00333201"/>
    <w:rsid w:val="0033334E"/>
    <w:rsid w:val="0033340E"/>
    <w:rsid w:val="00333E3C"/>
    <w:rsid w:val="00334029"/>
    <w:rsid w:val="003341BC"/>
    <w:rsid w:val="00334402"/>
    <w:rsid w:val="0033441D"/>
    <w:rsid w:val="003347C9"/>
    <w:rsid w:val="00334B62"/>
    <w:rsid w:val="003354B3"/>
    <w:rsid w:val="003355A4"/>
    <w:rsid w:val="00335AB2"/>
    <w:rsid w:val="00335B69"/>
    <w:rsid w:val="00335CE5"/>
    <w:rsid w:val="0033612D"/>
    <w:rsid w:val="00336153"/>
    <w:rsid w:val="003372C5"/>
    <w:rsid w:val="00337318"/>
    <w:rsid w:val="00337744"/>
    <w:rsid w:val="003377EA"/>
    <w:rsid w:val="00337DAF"/>
    <w:rsid w:val="00340071"/>
    <w:rsid w:val="00340100"/>
    <w:rsid w:val="00340D74"/>
    <w:rsid w:val="00340FE7"/>
    <w:rsid w:val="00341F80"/>
    <w:rsid w:val="003423AD"/>
    <w:rsid w:val="00342417"/>
    <w:rsid w:val="003427BB"/>
    <w:rsid w:val="0034303E"/>
    <w:rsid w:val="00343049"/>
    <w:rsid w:val="0034317E"/>
    <w:rsid w:val="00343525"/>
    <w:rsid w:val="003435DC"/>
    <w:rsid w:val="003439F2"/>
    <w:rsid w:val="00343ADC"/>
    <w:rsid w:val="00343E09"/>
    <w:rsid w:val="003442E3"/>
    <w:rsid w:val="00344463"/>
    <w:rsid w:val="00344988"/>
    <w:rsid w:val="00344BF0"/>
    <w:rsid w:val="003451D8"/>
    <w:rsid w:val="00345493"/>
    <w:rsid w:val="00345808"/>
    <w:rsid w:val="00346109"/>
    <w:rsid w:val="0034638A"/>
    <w:rsid w:val="003463ED"/>
    <w:rsid w:val="00346DF9"/>
    <w:rsid w:val="0034713B"/>
    <w:rsid w:val="0034719F"/>
    <w:rsid w:val="00347AE8"/>
    <w:rsid w:val="00350092"/>
    <w:rsid w:val="00350260"/>
    <w:rsid w:val="0035044B"/>
    <w:rsid w:val="003509E3"/>
    <w:rsid w:val="00350B8E"/>
    <w:rsid w:val="00350FE9"/>
    <w:rsid w:val="003516CE"/>
    <w:rsid w:val="00351739"/>
    <w:rsid w:val="00351876"/>
    <w:rsid w:val="00352363"/>
    <w:rsid w:val="003525AD"/>
    <w:rsid w:val="00352662"/>
    <w:rsid w:val="003527AE"/>
    <w:rsid w:val="00352888"/>
    <w:rsid w:val="00352AA5"/>
    <w:rsid w:val="00353C08"/>
    <w:rsid w:val="00353D3D"/>
    <w:rsid w:val="00354213"/>
    <w:rsid w:val="00354244"/>
    <w:rsid w:val="003545A6"/>
    <w:rsid w:val="00354B98"/>
    <w:rsid w:val="00354BFD"/>
    <w:rsid w:val="00355094"/>
    <w:rsid w:val="0035517B"/>
    <w:rsid w:val="003559EF"/>
    <w:rsid w:val="00355C77"/>
    <w:rsid w:val="00356C90"/>
    <w:rsid w:val="00356D9B"/>
    <w:rsid w:val="00356F47"/>
    <w:rsid w:val="00357039"/>
    <w:rsid w:val="0035772F"/>
    <w:rsid w:val="003577D1"/>
    <w:rsid w:val="003577F0"/>
    <w:rsid w:val="00357D19"/>
    <w:rsid w:val="0036046B"/>
    <w:rsid w:val="0036051C"/>
    <w:rsid w:val="003608BF"/>
    <w:rsid w:val="00360D94"/>
    <w:rsid w:val="00361061"/>
    <w:rsid w:val="00361513"/>
    <w:rsid w:val="00361CA9"/>
    <w:rsid w:val="00361DBF"/>
    <w:rsid w:val="0036231D"/>
    <w:rsid w:val="00362BEB"/>
    <w:rsid w:val="00363F39"/>
    <w:rsid w:val="00364362"/>
    <w:rsid w:val="0036469D"/>
    <w:rsid w:val="00365170"/>
    <w:rsid w:val="00365698"/>
    <w:rsid w:val="00365780"/>
    <w:rsid w:val="003657CB"/>
    <w:rsid w:val="00365D1E"/>
    <w:rsid w:val="00366670"/>
    <w:rsid w:val="00366F2D"/>
    <w:rsid w:val="0036711D"/>
    <w:rsid w:val="0036739B"/>
    <w:rsid w:val="0036742C"/>
    <w:rsid w:val="003679FF"/>
    <w:rsid w:val="00367BD5"/>
    <w:rsid w:val="00367C0B"/>
    <w:rsid w:val="00367EB3"/>
    <w:rsid w:val="003702D3"/>
    <w:rsid w:val="00370BC7"/>
    <w:rsid w:val="00372DAC"/>
    <w:rsid w:val="00373598"/>
    <w:rsid w:val="00373A8C"/>
    <w:rsid w:val="003748F9"/>
    <w:rsid w:val="003753DF"/>
    <w:rsid w:val="0037555A"/>
    <w:rsid w:val="0037556D"/>
    <w:rsid w:val="003755A9"/>
    <w:rsid w:val="003755DC"/>
    <w:rsid w:val="00375A31"/>
    <w:rsid w:val="00375D0C"/>
    <w:rsid w:val="00375F79"/>
    <w:rsid w:val="0037641C"/>
    <w:rsid w:val="003779C2"/>
    <w:rsid w:val="0038005C"/>
    <w:rsid w:val="0038057C"/>
    <w:rsid w:val="00380956"/>
    <w:rsid w:val="003813E2"/>
    <w:rsid w:val="00381F14"/>
    <w:rsid w:val="00381F63"/>
    <w:rsid w:val="003825C0"/>
    <w:rsid w:val="00383A50"/>
    <w:rsid w:val="003846D5"/>
    <w:rsid w:val="00384A6C"/>
    <w:rsid w:val="00384E43"/>
    <w:rsid w:val="00385643"/>
    <w:rsid w:val="003860F8"/>
    <w:rsid w:val="00386282"/>
    <w:rsid w:val="00386511"/>
    <w:rsid w:val="00386685"/>
    <w:rsid w:val="00386838"/>
    <w:rsid w:val="00386900"/>
    <w:rsid w:val="00386D52"/>
    <w:rsid w:val="0038750C"/>
    <w:rsid w:val="0038789F"/>
    <w:rsid w:val="00387BE3"/>
    <w:rsid w:val="00387C70"/>
    <w:rsid w:val="00387EAE"/>
    <w:rsid w:val="0039076D"/>
    <w:rsid w:val="00390C54"/>
    <w:rsid w:val="00390D9B"/>
    <w:rsid w:val="00392806"/>
    <w:rsid w:val="00392A21"/>
    <w:rsid w:val="00392DD8"/>
    <w:rsid w:val="00393146"/>
    <w:rsid w:val="003931C6"/>
    <w:rsid w:val="003934DF"/>
    <w:rsid w:val="00393749"/>
    <w:rsid w:val="0039392A"/>
    <w:rsid w:val="00393A53"/>
    <w:rsid w:val="00393AD5"/>
    <w:rsid w:val="0039559F"/>
    <w:rsid w:val="00395639"/>
    <w:rsid w:val="003956F0"/>
    <w:rsid w:val="00395B8D"/>
    <w:rsid w:val="00396524"/>
    <w:rsid w:val="00396C02"/>
    <w:rsid w:val="003974EB"/>
    <w:rsid w:val="00397BA8"/>
    <w:rsid w:val="003A038F"/>
    <w:rsid w:val="003A03E2"/>
    <w:rsid w:val="003A0D00"/>
    <w:rsid w:val="003A0DB3"/>
    <w:rsid w:val="003A1184"/>
    <w:rsid w:val="003A136F"/>
    <w:rsid w:val="003A1CEA"/>
    <w:rsid w:val="003A1EC3"/>
    <w:rsid w:val="003A2E45"/>
    <w:rsid w:val="003A2FC9"/>
    <w:rsid w:val="003A3210"/>
    <w:rsid w:val="003A3AE8"/>
    <w:rsid w:val="003A3DAC"/>
    <w:rsid w:val="003A3FBE"/>
    <w:rsid w:val="003A4429"/>
    <w:rsid w:val="003A496A"/>
    <w:rsid w:val="003A498F"/>
    <w:rsid w:val="003A534E"/>
    <w:rsid w:val="003A53BB"/>
    <w:rsid w:val="003A5555"/>
    <w:rsid w:val="003A5DC3"/>
    <w:rsid w:val="003A612B"/>
    <w:rsid w:val="003A6148"/>
    <w:rsid w:val="003A623E"/>
    <w:rsid w:val="003A6582"/>
    <w:rsid w:val="003A6991"/>
    <w:rsid w:val="003A6FC1"/>
    <w:rsid w:val="003A780E"/>
    <w:rsid w:val="003A7AFE"/>
    <w:rsid w:val="003A7EC6"/>
    <w:rsid w:val="003B0028"/>
    <w:rsid w:val="003B0F07"/>
    <w:rsid w:val="003B146D"/>
    <w:rsid w:val="003B19D6"/>
    <w:rsid w:val="003B1DAF"/>
    <w:rsid w:val="003B2A4C"/>
    <w:rsid w:val="003B3559"/>
    <w:rsid w:val="003B355F"/>
    <w:rsid w:val="003B382B"/>
    <w:rsid w:val="003B3CC5"/>
    <w:rsid w:val="003B41B8"/>
    <w:rsid w:val="003B46B2"/>
    <w:rsid w:val="003B4873"/>
    <w:rsid w:val="003B4B4C"/>
    <w:rsid w:val="003B5351"/>
    <w:rsid w:val="003B54FF"/>
    <w:rsid w:val="003B550E"/>
    <w:rsid w:val="003B5A99"/>
    <w:rsid w:val="003B5D8B"/>
    <w:rsid w:val="003B620D"/>
    <w:rsid w:val="003B6DE3"/>
    <w:rsid w:val="003B708C"/>
    <w:rsid w:val="003B788F"/>
    <w:rsid w:val="003B7AE7"/>
    <w:rsid w:val="003B7CED"/>
    <w:rsid w:val="003B7D48"/>
    <w:rsid w:val="003C079D"/>
    <w:rsid w:val="003C13F4"/>
    <w:rsid w:val="003C153E"/>
    <w:rsid w:val="003C29A6"/>
    <w:rsid w:val="003C2A6D"/>
    <w:rsid w:val="003C2D2A"/>
    <w:rsid w:val="003C2FC5"/>
    <w:rsid w:val="003C337C"/>
    <w:rsid w:val="003C386D"/>
    <w:rsid w:val="003C38EF"/>
    <w:rsid w:val="003C5151"/>
    <w:rsid w:val="003C5E32"/>
    <w:rsid w:val="003C5E36"/>
    <w:rsid w:val="003C5E7B"/>
    <w:rsid w:val="003C5F81"/>
    <w:rsid w:val="003C60EA"/>
    <w:rsid w:val="003C611C"/>
    <w:rsid w:val="003C6409"/>
    <w:rsid w:val="003C67C6"/>
    <w:rsid w:val="003C6E55"/>
    <w:rsid w:val="003C743D"/>
    <w:rsid w:val="003C7E02"/>
    <w:rsid w:val="003C7E09"/>
    <w:rsid w:val="003C7E50"/>
    <w:rsid w:val="003D01BB"/>
    <w:rsid w:val="003D034E"/>
    <w:rsid w:val="003D060E"/>
    <w:rsid w:val="003D0D59"/>
    <w:rsid w:val="003D113B"/>
    <w:rsid w:val="003D11B8"/>
    <w:rsid w:val="003D11CA"/>
    <w:rsid w:val="003D1513"/>
    <w:rsid w:val="003D16E4"/>
    <w:rsid w:val="003D2366"/>
    <w:rsid w:val="003D2709"/>
    <w:rsid w:val="003D27A6"/>
    <w:rsid w:val="003D27E5"/>
    <w:rsid w:val="003D2DE1"/>
    <w:rsid w:val="003D33D4"/>
    <w:rsid w:val="003D3672"/>
    <w:rsid w:val="003D36D5"/>
    <w:rsid w:val="003D3779"/>
    <w:rsid w:val="003D3891"/>
    <w:rsid w:val="003D3F88"/>
    <w:rsid w:val="003D40D0"/>
    <w:rsid w:val="003D4293"/>
    <w:rsid w:val="003D4A66"/>
    <w:rsid w:val="003D5429"/>
    <w:rsid w:val="003D5475"/>
    <w:rsid w:val="003D5499"/>
    <w:rsid w:val="003D55E0"/>
    <w:rsid w:val="003D597B"/>
    <w:rsid w:val="003D5BB9"/>
    <w:rsid w:val="003D66FF"/>
    <w:rsid w:val="003D675D"/>
    <w:rsid w:val="003D6C24"/>
    <w:rsid w:val="003D6D03"/>
    <w:rsid w:val="003D6D56"/>
    <w:rsid w:val="003D6F56"/>
    <w:rsid w:val="003D7170"/>
    <w:rsid w:val="003D7750"/>
    <w:rsid w:val="003E034C"/>
    <w:rsid w:val="003E09AC"/>
    <w:rsid w:val="003E0C33"/>
    <w:rsid w:val="003E0C4A"/>
    <w:rsid w:val="003E0CEB"/>
    <w:rsid w:val="003E12B3"/>
    <w:rsid w:val="003E2079"/>
    <w:rsid w:val="003E21E8"/>
    <w:rsid w:val="003E25D8"/>
    <w:rsid w:val="003E25FA"/>
    <w:rsid w:val="003E28EC"/>
    <w:rsid w:val="003E2DF2"/>
    <w:rsid w:val="003E3783"/>
    <w:rsid w:val="003E3D26"/>
    <w:rsid w:val="003E44F6"/>
    <w:rsid w:val="003E5227"/>
    <w:rsid w:val="003E5400"/>
    <w:rsid w:val="003E55D6"/>
    <w:rsid w:val="003E5A99"/>
    <w:rsid w:val="003E5FAA"/>
    <w:rsid w:val="003E64A5"/>
    <w:rsid w:val="003E6E65"/>
    <w:rsid w:val="003E6EA1"/>
    <w:rsid w:val="003E7271"/>
    <w:rsid w:val="003E732F"/>
    <w:rsid w:val="003F00CE"/>
    <w:rsid w:val="003F05CC"/>
    <w:rsid w:val="003F090B"/>
    <w:rsid w:val="003F1116"/>
    <w:rsid w:val="003F1626"/>
    <w:rsid w:val="003F18BB"/>
    <w:rsid w:val="003F1D06"/>
    <w:rsid w:val="003F2170"/>
    <w:rsid w:val="003F224C"/>
    <w:rsid w:val="003F292D"/>
    <w:rsid w:val="003F31D8"/>
    <w:rsid w:val="003F3A5F"/>
    <w:rsid w:val="003F3B97"/>
    <w:rsid w:val="003F3B9B"/>
    <w:rsid w:val="003F3FAE"/>
    <w:rsid w:val="003F4468"/>
    <w:rsid w:val="003F44BF"/>
    <w:rsid w:val="003F4684"/>
    <w:rsid w:val="003F47F6"/>
    <w:rsid w:val="003F4803"/>
    <w:rsid w:val="003F4A5F"/>
    <w:rsid w:val="003F4DA3"/>
    <w:rsid w:val="003F4F27"/>
    <w:rsid w:val="003F520B"/>
    <w:rsid w:val="003F53EA"/>
    <w:rsid w:val="003F5573"/>
    <w:rsid w:val="003F587C"/>
    <w:rsid w:val="003F5E56"/>
    <w:rsid w:val="003F63E3"/>
    <w:rsid w:val="003F7DD0"/>
    <w:rsid w:val="004001EF"/>
    <w:rsid w:val="004002B5"/>
    <w:rsid w:val="004007BC"/>
    <w:rsid w:val="00400868"/>
    <w:rsid w:val="004008D5"/>
    <w:rsid w:val="00401197"/>
    <w:rsid w:val="0040182A"/>
    <w:rsid w:val="004026BA"/>
    <w:rsid w:val="00402E6B"/>
    <w:rsid w:val="0040309C"/>
    <w:rsid w:val="004036BF"/>
    <w:rsid w:val="00403F90"/>
    <w:rsid w:val="0040452D"/>
    <w:rsid w:val="004059D5"/>
    <w:rsid w:val="00405BF7"/>
    <w:rsid w:val="00405C30"/>
    <w:rsid w:val="00405C7B"/>
    <w:rsid w:val="00406026"/>
    <w:rsid w:val="004061CD"/>
    <w:rsid w:val="0040621F"/>
    <w:rsid w:val="00406788"/>
    <w:rsid w:val="00410CDE"/>
    <w:rsid w:val="00411454"/>
    <w:rsid w:val="0041148B"/>
    <w:rsid w:val="0041175B"/>
    <w:rsid w:val="00411B35"/>
    <w:rsid w:val="00411C3A"/>
    <w:rsid w:val="0041263E"/>
    <w:rsid w:val="004129BB"/>
    <w:rsid w:val="00412D20"/>
    <w:rsid w:val="00412ED4"/>
    <w:rsid w:val="00413016"/>
    <w:rsid w:val="00413400"/>
    <w:rsid w:val="004137AB"/>
    <w:rsid w:val="00413CF7"/>
    <w:rsid w:val="00414791"/>
    <w:rsid w:val="00415075"/>
    <w:rsid w:val="004154B4"/>
    <w:rsid w:val="0041561E"/>
    <w:rsid w:val="00415E04"/>
    <w:rsid w:val="004160B3"/>
    <w:rsid w:val="00416B9F"/>
    <w:rsid w:val="00416C69"/>
    <w:rsid w:val="00417404"/>
    <w:rsid w:val="004176F2"/>
    <w:rsid w:val="00417A5B"/>
    <w:rsid w:val="00417A5D"/>
    <w:rsid w:val="00417C36"/>
    <w:rsid w:val="00417CBA"/>
    <w:rsid w:val="00417EF8"/>
    <w:rsid w:val="004201FA"/>
    <w:rsid w:val="00420295"/>
    <w:rsid w:val="0042036D"/>
    <w:rsid w:val="00420E7F"/>
    <w:rsid w:val="004214D6"/>
    <w:rsid w:val="004215EF"/>
    <w:rsid w:val="00421795"/>
    <w:rsid w:val="00421C1E"/>
    <w:rsid w:val="0042292B"/>
    <w:rsid w:val="0042292E"/>
    <w:rsid w:val="00422BA3"/>
    <w:rsid w:val="00422D53"/>
    <w:rsid w:val="00422FA1"/>
    <w:rsid w:val="0042367D"/>
    <w:rsid w:val="004238C0"/>
    <w:rsid w:val="00423B1C"/>
    <w:rsid w:val="00423BAE"/>
    <w:rsid w:val="00424109"/>
    <w:rsid w:val="0042439A"/>
    <w:rsid w:val="00424933"/>
    <w:rsid w:val="00424F60"/>
    <w:rsid w:val="004255F2"/>
    <w:rsid w:val="00425766"/>
    <w:rsid w:val="0042584C"/>
    <w:rsid w:val="004259EA"/>
    <w:rsid w:val="00426481"/>
    <w:rsid w:val="004265FD"/>
    <w:rsid w:val="00426B81"/>
    <w:rsid w:val="00427171"/>
    <w:rsid w:val="004274AE"/>
    <w:rsid w:val="00427610"/>
    <w:rsid w:val="004277DC"/>
    <w:rsid w:val="00427AAF"/>
    <w:rsid w:val="00427B62"/>
    <w:rsid w:val="00430AA3"/>
    <w:rsid w:val="00430B05"/>
    <w:rsid w:val="00431241"/>
    <w:rsid w:val="00431319"/>
    <w:rsid w:val="0043132F"/>
    <w:rsid w:val="004323B2"/>
    <w:rsid w:val="0043277F"/>
    <w:rsid w:val="00432C06"/>
    <w:rsid w:val="00433419"/>
    <w:rsid w:val="004338D8"/>
    <w:rsid w:val="00433E45"/>
    <w:rsid w:val="00433F65"/>
    <w:rsid w:val="00434198"/>
    <w:rsid w:val="004354E8"/>
    <w:rsid w:val="00435554"/>
    <w:rsid w:val="0043556B"/>
    <w:rsid w:val="004357C8"/>
    <w:rsid w:val="004359B1"/>
    <w:rsid w:val="00436B4D"/>
    <w:rsid w:val="00436C37"/>
    <w:rsid w:val="00437468"/>
    <w:rsid w:val="0043775A"/>
    <w:rsid w:val="00437CF2"/>
    <w:rsid w:val="00437F7F"/>
    <w:rsid w:val="00437FC3"/>
    <w:rsid w:val="00440218"/>
    <w:rsid w:val="004402E9"/>
    <w:rsid w:val="004403E1"/>
    <w:rsid w:val="00440791"/>
    <w:rsid w:val="004413F5"/>
    <w:rsid w:val="004415F9"/>
    <w:rsid w:val="00441652"/>
    <w:rsid w:val="0044253F"/>
    <w:rsid w:val="0044298D"/>
    <w:rsid w:val="00442E62"/>
    <w:rsid w:val="00442ECA"/>
    <w:rsid w:val="00443400"/>
    <w:rsid w:val="0044341C"/>
    <w:rsid w:val="00443B1A"/>
    <w:rsid w:val="004442CD"/>
    <w:rsid w:val="00444D92"/>
    <w:rsid w:val="004450BF"/>
    <w:rsid w:val="00445545"/>
    <w:rsid w:val="004459E6"/>
    <w:rsid w:val="00445AD4"/>
    <w:rsid w:val="00446279"/>
    <w:rsid w:val="00446532"/>
    <w:rsid w:val="004466EC"/>
    <w:rsid w:val="00446967"/>
    <w:rsid w:val="00446F8C"/>
    <w:rsid w:val="00447614"/>
    <w:rsid w:val="0045014F"/>
    <w:rsid w:val="00450415"/>
    <w:rsid w:val="0045052E"/>
    <w:rsid w:val="00450902"/>
    <w:rsid w:val="00450B5D"/>
    <w:rsid w:val="00451570"/>
    <w:rsid w:val="004516D2"/>
    <w:rsid w:val="00451ACC"/>
    <w:rsid w:val="00451EE8"/>
    <w:rsid w:val="0045270A"/>
    <w:rsid w:val="00452EEA"/>
    <w:rsid w:val="00453115"/>
    <w:rsid w:val="0045339B"/>
    <w:rsid w:val="00453543"/>
    <w:rsid w:val="00453BD7"/>
    <w:rsid w:val="00453CF7"/>
    <w:rsid w:val="00454422"/>
    <w:rsid w:val="00454588"/>
    <w:rsid w:val="004556C5"/>
    <w:rsid w:val="00455783"/>
    <w:rsid w:val="00455C5D"/>
    <w:rsid w:val="00456537"/>
    <w:rsid w:val="0045666E"/>
    <w:rsid w:val="00456F6D"/>
    <w:rsid w:val="004602B6"/>
    <w:rsid w:val="004603D9"/>
    <w:rsid w:val="00460466"/>
    <w:rsid w:val="00460E1A"/>
    <w:rsid w:val="004610F2"/>
    <w:rsid w:val="004611F4"/>
    <w:rsid w:val="00461299"/>
    <w:rsid w:val="004612A4"/>
    <w:rsid w:val="00461B22"/>
    <w:rsid w:val="00461E16"/>
    <w:rsid w:val="00461FD0"/>
    <w:rsid w:val="0046219D"/>
    <w:rsid w:val="004623FA"/>
    <w:rsid w:val="0046250D"/>
    <w:rsid w:val="00462552"/>
    <w:rsid w:val="00462557"/>
    <w:rsid w:val="0046282A"/>
    <w:rsid w:val="0046288A"/>
    <w:rsid w:val="00463C02"/>
    <w:rsid w:val="00463DA5"/>
    <w:rsid w:val="00464792"/>
    <w:rsid w:val="00464BF9"/>
    <w:rsid w:val="00464C93"/>
    <w:rsid w:val="00464E5D"/>
    <w:rsid w:val="0046512E"/>
    <w:rsid w:val="004659A3"/>
    <w:rsid w:val="00465B88"/>
    <w:rsid w:val="00465DE2"/>
    <w:rsid w:val="00466D7F"/>
    <w:rsid w:val="00466E0C"/>
    <w:rsid w:val="004671F2"/>
    <w:rsid w:val="00467597"/>
    <w:rsid w:val="0046759B"/>
    <w:rsid w:val="00467AB4"/>
    <w:rsid w:val="00467C7C"/>
    <w:rsid w:val="00467E9D"/>
    <w:rsid w:val="00470139"/>
    <w:rsid w:val="004710C7"/>
    <w:rsid w:val="004711E8"/>
    <w:rsid w:val="00471BCF"/>
    <w:rsid w:val="0047262B"/>
    <w:rsid w:val="004727E2"/>
    <w:rsid w:val="00472B99"/>
    <w:rsid w:val="004733B5"/>
    <w:rsid w:val="004733F5"/>
    <w:rsid w:val="0047378D"/>
    <w:rsid w:val="00473A21"/>
    <w:rsid w:val="00473A73"/>
    <w:rsid w:val="0047433A"/>
    <w:rsid w:val="00474746"/>
    <w:rsid w:val="00474872"/>
    <w:rsid w:val="00474EA9"/>
    <w:rsid w:val="0047520F"/>
    <w:rsid w:val="004758C9"/>
    <w:rsid w:val="00475AD1"/>
    <w:rsid w:val="00475CEE"/>
    <w:rsid w:val="00475DC3"/>
    <w:rsid w:val="0047618B"/>
    <w:rsid w:val="004764CA"/>
    <w:rsid w:val="00476851"/>
    <w:rsid w:val="0048071C"/>
    <w:rsid w:val="00480EFE"/>
    <w:rsid w:val="00481023"/>
    <w:rsid w:val="00481240"/>
    <w:rsid w:val="00481508"/>
    <w:rsid w:val="0048161E"/>
    <w:rsid w:val="00481E9C"/>
    <w:rsid w:val="00481F3B"/>
    <w:rsid w:val="00482176"/>
    <w:rsid w:val="00482256"/>
    <w:rsid w:val="004824DB"/>
    <w:rsid w:val="004825B8"/>
    <w:rsid w:val="00482B8B"/>
    <w:rsid w:val="00483296"/>
    <w:rsid w:val="00483A4C"/>
    <w:rsid w:val="00483E29"/>
    <w:rsid w:val="004846E7"/>
    <w:rsid w:val="00484819"/>
    <w:rsid w:val="00484872"/>
    <w:rsid w:val="00485050"/>
    <w:rsid w:val="0048549D"/>
    <w:rsid w:val="00485781"/>
    <w:rsid w:val="00485A40"/>
    <w:rsid w:val="00485C9F"/>
    <w:rsid w:val="004860A5"/>
    <w:rsid w:val="004861EF"/>
    <w:rsid w:val="004865D2"/>
    <w:rsid w:val="0048723C"/>
    <w:rsid w:val="004875BE"/>
    <w:rsid w:val="00487664"/>
    <w:rsid w:val="00487F52"/>
    <w:rsid w:val="00490A53"/>
    <w:rsid w:val="0049165E"/>
    <w:rsid w:val="00491B2D"/>
    <w:rsid w:val="00491C6A"/>
    <w:rsid w:val="00491E51"/>
    <w:rsid w:val="00492D05"/>
    <w:rsid w:val="0049309D"/>
    <w:rsid w:val="004931A7"/>
    <w:rsid w:val="00493388"/>
    <w:rsid w:val="004938E7"/>
    <w:rsid w:val="00493E74"/>
    <w:rsid w:val="00493EC6"/>
    <w:rsid w:val="00494A06"/>
    <w:rsid w:val="004957A2"/>
    <w:rsid w:val="0049584F"/>
    <w:rsid w:val="00495BAF"/>
    <w:rsid w:val="00495DD1"/>
    <w:rsid w:val="0049600A"/>
    <w:rsid w:val="0049631B"/>
    <w:rsid w:val="00496674"/>
    <w:rsid w:val="00496860"/>
    <w:rsid w:val="0049688E"/>
    <w:rsid w:val="00496924"/>
    <w:rsid w:val="00496B5C"/>
    <w:rsid w:val="00496FB3"/>
    <w:rsid w:val="00497452"/>
    <w:rsid w:val="00497CFA"/>
    <w:rsid w:val="00497E7B"/>
    <w:rsid w:val="00497FF0"/>
    <w:rsid w:val="004A0051"/>
    <w:rsid w:val="004A00D2"/>
    <w:rsid w:val="004A063A"/>
    <w:rsid w:val="004A06E8"/>
    <w:rsid w:val="004A0DDF"/>
    <w:rsid w:val="004A0DF2"/>
    <w:rsid w:val="004A2376"/>
    <w:rsid w:val="004A28B5"/>
    <w:rsid w:val="004A302F"/>
    <w:rsid w:val="004A352E"/>
    <w:rsid w:val="004A3768"/>
    <w:rsid w:val="004A3C75"/>
    <w:rsid w:val="004A3E45"/>
    <w:rsid w:val="004A41F9"/>
    <w:rsid w:val="004A44DA"/>
    <w:rsid w:val="004A4B33"/>
    <w:rsid w:val="004A4D49"/>
    <w:rsid w:val="004A4E1F"/>
    <w:rsid w:val="004A50AC"/>
    <w:rsid w:val="004A5118"/>
    <w:rsid w:val="004A5577"/>
    <w:rsid w:val="004A6AEF"/>
    <w:rsid w:val="004A7B38"/>
    <w:rsid w:val="004A7D5B"/>
    <w:rsid w:val="004B05DA"/>
    <w:rsid w:val="004B104D"/>
    <w:rsid w:val="004B1161"/>
    <w:rsid w:val="004B1345"/>
    <w:rsid w:val="004B1ABD"/>
    <w:rsid w:val="004B2012"/>
    <w:rsid w:val="004B265C"/>
    <w:rsid w:val="004B3237"/>
    <w:rsid w:val="004B3664"/>
    <w:rsid w:val="004B3E70"/>
    <w:rsid w:val="004B40FF"/>
    <w:rsid w:val="004B429F"/>
    <w:rsid w:val="004B44FF"/>
    <w:rsid w:val="004B4E20"/>
    <w:rsid w:val="004B5B88"/>
    <w:rsid w:val="004B5D84"/>
    <w:rsid w:val="004B6127"/>
    <w:rsid w:val="004B621E"/>
    <w:rsid w:val="004B65E7"/>
    <w:rsid w:val="004B6675"/>
    <w:rsid w:val="004B6DE1"/>
    <w:rsid w:val="004B6EEA"/>
    <w:rsid w:val="004B6FCF"/>
    <w:rsid w:val="004B7045"/>
    <w:rsid w:val="004B754B"/>
    <w:rsid w:val="004B76E8"/>
    <w:rsid w:val="004B78E3"/>
    <w:rsid w:val="004B7A12"/>
    <w:rsid w:val="004B7AA0"/>
    <w:rsid w:val="004B7BA7"/>
    <w:rsid w:val="004B7E8E"/>
    <w:rsid w:val="004C08F2"/>
    <w:rsid w:val="004C0FB0"/>
    <w:rsid w:val="004C1030"/>
    <w:rsid w:val="004C2329"/>
    <w:rsid w:val="004C33A1"/>
    <w:rsid w:val="004C347E"/>
    <w:rsid w:val="004C353C"/>
    <w:rsid w:val="004C380E"/>
    <w:rsid w:val="004C3A63"/>
    <w:rsid w:val="004C3B90"/>
    <w:rsid w:val="004C3F32"/>
    <w:rsid w:val="004C418E"/>
    <w:rsid w:val="004C43C3"/>
    <w:rsid w:val="004C4D66"/>
    <w:rsid w:val="004C4DA8"/>
    <w:rsid w:val="004C4F4E"/>
    <w:rsid w:val="004C51E1"/>
    <w:rsid w:val="004C5852"/>
    <w:rsid w:val="004C5E8C"/>
    <w:rsid w:val="004C62BA"/>
    <w:rsid w:val="004C6B1B"/>
    <w:rsid w:val="004C756A"/>
    <w:rsid w:val="004D0857"/>
    <w:rsid w:val="004D1209"/>
    <w:rsid w:val="004D1E84"/>
    <w:rsid w:val="004D2A4A"/>
    <w:rsid w:val="004D2ADE"/>
    <w:rsid w:val="004D374A"/>
    <w:rsid w:val="004D3D1E"/>
    <w:rsid w:val="004D3F1A"/>
    <w:rsid w:val="004D3F5E"/>
    <w:rsid w:val="004D443E"/>
    <w:rsid w:val="004D44D7"/>
    <w:rsid w:val="004D569F"/>
    <w:rsid w:val="004D571E"/>
    <w:rsid w:val="004D5ACC"/>
    <w:rsid w:val="004D610A"/>
    <w:rsid w:val="004D6445"/>
    <w:rsid w:val="004D666E"/>
    <w:rsid w:val="004D6B49"/>
    <w:rsid w:val="004D6E6F"/>
    <w:rsid w:val="004D73F1"/>
    <w:rsid w:val="004E0535"/>
    <w:rsid w:val="004E0A85"/>
    <w:rsid w:val="004E0BDE"/>
    <w:rsid w:val="004E183E"/>
    <w:rsid w:val="004E29F6"/>
    <w:rsid w:val="004E2ED6"/>
    <w:rsid w:val="004E2EFC"/>
    <w:rsid w:val="004E3DFF"/>
    <w:rsid w:val="004E4133"/>
    <w:rsid w:val="004E4408"/>
    <w:rsid w:val="004E48D3"/>
    <w:rsid w:val="004E4BA4"/>
    <w:rsid w:val="004E502E"/>
    <w:rsid w:val="004E5145"/>
    <w:rsid w:val="004E5435"/>
    <w:rsid w:val="004E571C"/>
    <w:rsid w:val="004E5A85"/>
    <w:rsid w:val="004E5C4A"/>
    <w:rsid w:val="004E5E8F"/>
    <w:rsid w:val="004E669A"/>
    <w:rsid w:val="004E6B06"/>
    <w:rsid w:val="004E771B"/>
    <w:rsid w:val="004E7B78"/>
    <w:rsid w:val="004E7D15"/>
    <w:rsid w:val="004F0594"/>
    <w:rsid w:val="004F05F3"/>
    <w:rsid w:val="004F075E"/>
    <w:rsid w:val="004F0F91"/>
    <w:rsid w:val="004F17CC"/>
    <w:rsid w:val="004F195E"/>
    <w:rsid w:val="004F1A88"/>
    <w:rsid w:val="004F207D"/>
    <w:rsid w:val="004F249C"/>
    <w:rsid w:val="004F26BA"/>
    <w:rsid w:val="004F26D1"/>
    <w:rsid w:val="004F26FA"/>
    <w:rsid w:val="004F2781"/>
    <w:rsid w:val="004F27B2"/>
    <w:rsid w:val="004F2CF2"/>
    <w:rsid w:val="004F2DF7"/>
    <w:rsid w:val="004F35C2"/>
    <w:rsid w:val="004F3834"/>
    <w:rsid w:val="004F3E54"/>
    <w:rsid w:val="004F45EC"/>
    <w:rsid w:val="004F4746"/>
    <w:rsid w:val="004F4DE5"/>
    <w:rsid w:val="004F4FEA"/>
    <w:rsid w:val="004F5C12"/>
    <w:rsid w:val="004F5E36"/>
    <w:rsid w:val="004F5E6E"/>
    <w:rsid w:val="004F6108"/>
    <w:rsid w:val="004F72D2"/>
    <w:rsid w:val="004F7549"/>
    <w:rsid w:val="004F7976"/>
    <w:rsid w:val="00500643"/>
    <w:rsid w:val="00500F07"/>
    <w:rsid w:val="00500FDE"/>
    <w:rsid w:val="00501708"/>
    <w:rsid w:val="0050176D"/>
    <w:rsid w:val="00501C7B"/>
    <w:rsid w:val="005027EB"/>
    <w:rsid w:val="0050282C"/>
    <w:rsid w:val="00502A55"/>
    <w:rsid w:val="00502C92"/>
    <w:rsid w:val="00502F0F"/>
    <w:rsid w:val="005031B2"/>
    <w:rsid w:val="00503430"/>
    <w:rsid w:val="00503DF4"/>
    <w:rsid w:val="00504B42"/>
    <w:rsid w:val="00504ED4"/>
    <w:rsid w:val="005054FB"/>
    <w:rsid w:val="00505B0A"/>
    <w:rsid w:val="00505E05"/>
    <w:rsid w:val="0050656A"/>
    <w:rsid w:val="0050671E"/>
    <w:rsid w:val="005070A4"/>
    <w:rsid w:val="005077C1"/>
    <w:rsid w:val="00507891"/>
    <w:rsid w:val="00510F99"/>
    <w:rsid w:val="00511263"/>
    <w:rsid w:val="005112F4"/>
    <w:rsid w:val="00511ABB"/>
    <w:rsid w:val="00511D52"/>
    <w:rsid w:val="00511E85"/>
    <w:rsid w:val="005120D4"/>
    <w:rsid w:val="00512638"/>
    <w:rsid w:val="005130EC"/>
    <w:rsid w:val="0051356B"/>
    <w:rsid w:val="00513E66"/>
    <w:rsid w:val="00514599"/>
    <w:rsid w:val="00514B67"/>
    <w:rsid w:val="00514EB7"/>
    <w:rsid w:val="005151D1"/>
    <w:rsid w:val="0051640F"/>
    <w:rsid w:val="005170E3"/>
    <w:rsid w:val="0051717E"/>
    <w:rsid w:val="005178D9"/>
    <w:rsid w:val="00517D3C"/>
    <w:rsid w:val="00517ED9"/>
    <w:rsid w:val="005207A6"/>
    <w:rsid w:val="00520BC1"/>
    <w:rsid w:val="005216D8"/>
    <w:rsid w:val="00521772"/>
    <w:rsid w:val="00521B88"/>
    <w:rsid w:val="00522380"/>
    <w:rsid w:val="005225A0"/>
    <w:rsid w:val="0052280C"/>
    <w:rsid w:val="00522FC6"/>
    <w:rsid w:val="005231C9"/>
    <w:rsid w:val="005234EC"/>
    <w:rsid w:val="00523628"/>
    <w:rsid w:val="0052364A"/>
    <w:rsid w:val="00523A26"/>
    <w:rsid w:val="0052498A"/>
    <w:rsid w:val="00524F5C"/>
    <w:rsid w:val="00525395"/>
    <w:rsid w:val="005255EF"/>
    <w:rsid w:val="005259C2"/>
    <w:rsid w:val="005259CB"/>
    <w:rsid w:val="00525A03"/>
    <w:rsid w:val="00525E3A"/>
    <w:rsid w:val="00525F47"/>
    <w:rsid w:val="00526037"/>
    <w:rsid w:val="005260F4"/>
    <w:rsid w:val="005267E5"/>
    <w:rsid w:val="00526BDA"/>
    <w:rsid w:val="00526F56"/>
    <w:rsid w:val="00526FB9"/>
    <w:rsid w:val="005273E5"/>
    <w:rsid w:val="0052746B"/>
    <w:rsid w:val="005276E2"/>
    <w:rsid w:val="005278D8"/>
    <w:rsid w:val="00527C4D"/>
    <w:rsid w:val="00527FC9"/>
    <w:rsid w:val="00530111"/>
    <w:rsid w:val="00530A31"/>
    <w:rsid w:val="00530EF7"/>
    <w:rsid w:val="00532007"/>
    <w:rsid w:val="0053225D"/>
    <w:rsid w:val="00532B59"/>
    <w:rsid w:val="00532CCC"/>
    <w:rsid w:val="00532F2C"/>
    <w:rsid w:val="00533089"/>
    <w:rsid w:val="0053352E"/>
    <w:rsid w:val="00533991"/>
    <w:rsid w:val="00533B11"/>
    <w:rsid w:val="00533BC0"/>
    <w:rsid w:val="0053496C"/>
    <w:rsid w:val="00535087"/>
    <w:rsid w:val="005350A1"/>
    <w:rsid w:val="00535272"/>
    <w:rsid w:val="005355A7"/>
    <w:rsid w:val="00536748"/>
    <w:rsid w:val="005367D0"/>
    <w:rsid w:val="00536A61"/>
    <w:rsid w:val="00536D46"/>
    <w:rsid w:val="005371FA"/>
    <w:rsid w:val="00537200"/>
    <w:rsid w:val="005374BA"/>
    <w:rsid w:val="0053756C"/>
    <w:rsid w:val="00537A00"/>
    <w:rsid w:val="00540018"/>
    <w:rsid w:val="0054028D"/>
    <w:rsid w:val="005404A8"/>
    <w:rsid w:val="005406B5"/>
    <w:rsid w:val="005407B9"/>
    <w:rsid w:val="0054082B"/>
    <w:rsid w:val="00540877"/>
    <w:rsid w:val="00541B92"/>
    <w:rsid w:val="00541F7D"/>
    <w:rsid w:val="0054223B"/>
    <w:rsid w:val="005425C3"/>
    <w:rsid w:val="00542DF7"/>
    <w:rsid w:val="00543029"/>
    <w:rsid w:val="0054333B"/>
    <w:rsid w:val="005434D3"/>
    <w:rsid w:val="00543A26"/>
    <w:rsid w:val="00543CE9"/>
    <w:rsid w:val="005442F9"/>
    <w:rsid w:val="00544413"/>
    <w:rsid w:val="0054483F"/>
    <w:rsid w:val="005448A9"/>
    <w:rsid w:val="00544A5D"/>
    <w:rsid w:val="00544D36"/>
    <w:rsid w:val="00544E29"/>
    <w:rsid w:val="0054513E"/>
    <w:rsid w:val="005453FF"/>
    <w:rsid w:val="00545614"/>
    <w:rsid w:val="00545A1F"/>
    <w:rsid w:val="00545D7E"/>
    <w:rsid w:val="00545E10"/>
    <w:rsid w:val="00545F87"/>
    <w:rsid w:val="00547107"/>
    <w:rsid w:val="00547499"/>
    <w:rsid w:val="00547536"/>
    <w:rsid w:val="0054782A"/>
    <w:rsid w:val="0054789B"/>
    <w:rsid w:val="00547E8C"/>
    <w:rsid w:val="00550371"/>
    <w:rsid w:val="005508A1"/>
    <w:rsid w:val="00550DBF"/>
    <w:rsid w:val="005510AB"/>
    <w:rsid w:val="005517BC"/>
    <w:rsid w:val="00551ADA"/>
    <w:rsid w:val="0055251E"/>
    <w:rsid w:val="0055260D"/>
    <w:rsid w:val="00552644"/>
    <w:rsid w:val="00552AC9"/>
    <w:rsid w:val="005532A5"/>
    <w:rsid w:val="005535E2"/>
    <w:rsid w:val="00553930"/>
    <w:rsid w:val="00553B64"/>
    <w:rsid w:val="0055418B"/>
    <w:rsid w:val="005541B2"/>
    <w:rsid w:val="00554748"/>
    <w:rsid w:val="00554B7C"/>
    <w:rsid w:val="00554BC7"/>
    <w:rsid w:val="00554FD5"/>
    <w:rsid w:val="00555FC1"/>
    <w:rsid w:val="0055666B"/>
    <w:rsid w:val="00556B24"/>
    <w:rsid w:val="00556BE5"/>
    <w:rsid w:val="00556DF3"/>
    <w:rsid w:val="00556E04"/>
    <w:rsid w:val="00556FC3"/>
    <w:rsid w:val="005607C0"/>
    <w:rsid w:val="005611A6"/>
    <w:rsid w:val="00561216"/>
    <w:rsid w:val="005614CD"/>
    <w:rsid w:val="00561C63"/>
    <w:rsid w:val="00561FF9"/>
    <w:rsid w:val="0056215F"/>
    <w:rsid w:val="005631E9"/>
    <w:rsid w:val="005633DA"/>
    <w:rsid w:val="00564001"/>
    <w:rsid w:val="00564C1D"/>
    <w:rsid w:val="0056500F"/>
    <w:rsid w:val="00565D58"/>
    <w:rsid w:val="00565ED7"/>
    <w:rsid w:val="00566871"/>
    <w:rsid w:val="00566A61"/>
    <w:rsid w:val="00566A88"/>
    <w:rsid w:val="00566CD0"/>
    <w:rsid w:val="005671D9"/>
    <w:rsid w:val="005675AF"/>
    <w:rsid w:val="00567A50"/>
    <w:rsid w:val="00567EB7"/>
    <w:rsid w:val="00571406"/>
    <w:rsid w:val="00571445"/>
    <w:rsid w:val="0057146D"/>
    <w:rsid w:val="00571FC4"/>
    <w:rsid w:val="00572581"/>
    <w:rsid w:val="005727BE"/>
    <w:rsid w:val="00573790"/>
    <w:rsid w:val="00573931"/>
    <w:rsid w:val="005745A4"/>
    <w:rsid w:val="00574787"/>
    <w:rsid w:val="00574BCF"/>
    <w:rsid w:val="005751D3"/>
    <w:rsid w:val="0057589A"/>
    <w:rsid w:val="00575BCE"/>
    <w:rsid w:val="00576009"/>
    <w:rsid w:val="00576606"/>
    <w:rsid w:val="00576DB5"/>
    <w:rsid w:val="0058023D"/>
    <w:rsid w:val="00580E49"/>
    <w:rsid w:val="00581184"/>
    <w:rsid w:val="00582134"/>
    <w:rsid w:val="00583068"/>
    <w:rsid w:val="005835C0"/>
    <w:rsid w:val="005843B5"/>
    <w:rsid w:val="00584446"/>
    <w:rsid w:val="0058472D"/>
    <w:rsid w:val="005849A5"/>
    <w:rsid w:val="00584E50"/>
    <w:rsid w:val="00585284"/>
    <w:rsid w:val="005853ED"/>
    <w:rsid w:val="00586359"/>
    <w:rsid w:val="005865DC"/>
    <w:rsid w:val="00586D5B"/>
    <w:rsid w:val="00587AEF"/>
    <w:rsid w:val="00587C68"/>
    <w:rsid w:val="00590718"/>
    <w:rsid w:val="00590878"/>
    <w:rsid w:val="00590C88"/>
    <w:rsid w:val="005920D3"/>
    <w:rsid w:val="00592A2B"/>
    <w:rsid w:val="00593DA2"/>
    <w:rsid w:val="0059452D"/>
    <w:rsid w:val="00594F45"/>
    <w:rsid w:val="005950B7"/>
    <w:rsid w:val="00595D92"/>
    <w:rsid w:val="00595E4F"/>
    <w:rsid w:val="00596121"/>
    <w:rsid w:val="0059628C"/>
    <w:rsid w:val="0059661B"/>
    <w:rsid w:val="005966BC"/>
    <w:rsid w:val="005966ED"/>
    <w:rsid w:val="005968AC"/>
    <w:rsid w:val="00596DB5"/>
    <w:rsid w:val="00596F34"/>
    <w:rsid w:val="00596F71"/>
    <w:rsid w:val="005970E0"/>
    <w:rsid w:val="0059725A"/>
    <w:rsid w:val="00597550"/>
    <w:rsid w:val="00597FF0"/>
    <w:rsid w:val="005A07BD"/>
    <w:rsid w:val="005A09AA"/>
    <w:rsid w:val="005A0FD6"/>
    <w:rsid w:val="005A1111"/>
    <w:rsid w:val="005A11EE"/>
    <w:rsid w:val="005A19A0"/>
    <w:rsid w:val="005A1C26"/>
    <w:rsid w:val="005A1D01"/>
    <w:rsid w:val="005A1EA6"/>
    <w:rsid w:val="005A20ED"/>
    <w:rsid w:val="005A2190"/>
    <w:rsid w:val="005A30B8"/>
    <w:rsid w:val="005A342B"/>
    <w:rsid w:val="005A378E"/>
    <w:rsid w:val="005A39B3"/>
    <w:rsid w:val="005A3AD3"/>
    <w:rsid w:val="005A4078"/>
    <w:rsid w:val="005A4A29"/>
    <w:rsid w:val="005A51EE"/>
    <w:rsid w:val="005A549C"/>
    <w:rsid w:val="005A55CB"/>
    <w:rsid w:val="005A583A"/>
    <w:rsid w:val="005A5E3E"/>
    <w:rsid w:val="005A66DE"/>
    <w:rsid w:val="005A6736"/>
    <w:rsid w:val="005A6781"/>
    <w:rsid w:val="005A6AAB"/>
    <w:rsid w:val="005A70CD"/>
    <w:rsid w:val="005A77BE"/>
    <w:rsid w:val="005A77DF"/>
    <w:rsid w:val="005A7A4B"/>
    <w:rsid w:val="005A7B0D"/>
    <w:rsid w:val="005A7B71"/>
    <w:rsid w:val="005A7C3D"/>
    <w:rsid w:val="005A7CDA"/>
    <w:rsid w:val="005B0175"/>
    <w:rsid w:val="005B0427"/>
    <w:rsid w:val="005B042F"/>
    <w:rsid w:val="005B0609"/>
    <w:rsid w:val="005B07AB"/>
    <w:rsid w:val="005B0807"/>
    <w:rsid w:val="005B0D96"/>
    <w:rsid w:val="005B1044"/>
    <w:rsid w:val="005B1247"/>
    <w:rsid w:val="005B1842"/>
    <w:rsid w:val="005B1ACE"/>
    <w:rsid w:val="005B2287"/>
    <w:rsid w:val="005B254C"/>
    <w:rsid w:val="005B27B1"/>
    <w:rsid w:val="005B27E1"/>
    <w:rsid w:val="005B29CF"/>
    <w:rsid w:val="005B3391"/>
    <w:rsid w:val="005B36F1"/>
    <w:rsid w:val="005B3773"/>
    <w:rsid w:val="005B3BE6"/>
    <w:rsid w:val="005B3EC8"/>
    <w:rsid w:val="005B42AF"/>
    <w:rsid w:val="005B483D"/>
    <w:rsid w:val="005B4BC9"/>
    <w:rsid w:val="005B4E02"/>
    <w:rsid w:val="005B577F"/>
    <w:rsid w:val="005B5D10"/>
    <w:rsid w:val="005B61DC"/>
    <w:rsid w:val="005B6228"/>
    <w:rsid w:val="005B6C99"/>
    <w:rsid w:val="005B722A"/>
    <w:rsid w:val="005B72C3"/>
    <w:rsid w:val="005B76FE"/>
    <w:rsid w:val="005B7B47"/>
    <w:rsid w:val="005B7D58"/>
    <w:rsid w:val="005C0404"/>
    <w:rsid w:val="005C0733"/>
    <w:rsid w:val="005C0FF1"/>
    <w:rsid w:val="005C1529"/>
    <w:rsid w:val="005C1943"/>
    <w:rsid w:val="005C1B46"/>
    <w:rsid w:val="005C1D07"/>
    <w:rsid w:val="005C20F8"/>
    <w:rsid w:val="005C2105"/>
    <w:rsid w:val="005C2188"/>
    <w:rsid w:val="005C225D"/>
    <w:rsid w:val="005C2484"/>
    <w:rsid w:val="005C2488"/>
    <w:rsid w:val="005C306C"/>
    <w:rsid w:val="005C32B4"/>
    <w:rsid w:val="005C3AEE"/>
    <w:rsid w:val="005C468E"/>
    <w:rsid w:val="005C482A"/>
    <w:rsid w:val="005C4986"/>
    <w:rsid w:val="005C4D59"/>
    <w:rsid w:val="005C59F5"/>
    <w:rsid w:val="005C5F92"/>
    <w:rsid w:val="005C6542"/>
    <w:rsid w:val="005C6809"/>
    <w:rsid w:val="005C6D54"/>
    <w:rsid w:val="005C6DFA"/>
    <w:rsid w:val="005C7264"/>
    <w:rsid w:val="005C74B3"/>
    <w:rsid w:val="005D052B"/>
    <w:rsid w:val="005D0C7D"/>
    <w:rsid w:val="005D0D98"/>
    <w:rsid w:val="005D139F"/>
    <w:rsid w:val="005D1B3D"/>
    <w:rsid w:val="005D1D51"/>
    <w:rsid w:val="005D2036"/>
    <w:rsid w:val="005D2111"/>
    <w:rsid w:val="005D2225"/>
    <w:rsid w:val="005D2560"/>
    <w:rsid w:val="005D2642"/>
    <w:rsid w:val="005D2AC6"/>
    <w:rsid w:val="005D30A6"/>
    <w:rsid w:val="005D36EC"/>
    <w:rsid w:val="005D3A7B"/>
    <w:rsid w:val="005D3CEE"/>
    <w:rsid w:val="005D420A"/>
    <w:rsid w:val="005D4882"/>
    <w:rsid w:val="005D5777"/>
    <w:rsid w:val="005D609B"/>
    <w:rsid w:val="005D63AD"/>
    <w:rsid w:val="005D64A2"/>
    <w:rsid w:val="005D673B"/>
    <w:rsid w:val="005D6CF2"/>
    <w:rsid w:val="005D6DF5"/>
    <w:rsid w:val="005D7789"/>
    <w:rsid w:val="005D794E"/>
    <w:rsid w:val="005E07CE"/>
    <w:rsid w:val="005E0C2A"/>
    <w:rsid w:val="005E11B3"/>
    <w:rsid w:val="005E1277"/>
    <w:rsid w:val="005E128A"/>
    <w:rsid w:val="005E1B2E"/>
    <w:rsid w:val="005E29F1"/>
    <w:rsid w:val="005E3C3C"/>
    <w:rsid w:val="005E3F53"/>
    <w:rsid w:val="005E4331"/>
    <w:rsid w:val="005E625D"/>
    <w:rsid w:val="005E64BA"/>
    <w:rsid w:val="005E6576"/>
    <w:rsid w:val="005E727B"/>
    <w:rsid w:val="005E7E35"/>
    <w:rsid w:val="005E7ED7"/>
    <w:rsid w:val="005F00B6"/>
    <w:rsid w:val="005F0ADB"/>
    <w:rsid w:val="005F1011"/>
    <w:rsid w:val="005F1FEF"/>
    <w:rsid w:val="005F22C2"/>
    <w:rsid w:val="005F2DD4"/>
    <w:rsid w:val="005F377F"/>
    <w:rsid w:val="005F3D47"/>
    <w:rsid w:val="005F3E8B"/>
    <w:rsid w:val="005F3EB3"/>
    <w:rsid w:val="005F42DC"/>
    <w:rsid w:val="005F492D"/>
    <w:rsid w:val="005F4AB5"/>
    <w:rsid w:val="005F4DA1"/>
    <w:rsid w:val="005F4E42"/>
    <w:rsid w:val="005F4ECB"/>
    <w:rsid w:val="005F5045"/>
    <w:rsid w:val="005F541E"/>
    <w:rsid w:val="005F59CB"/>
    <w:rsid w:val="005F5DC6"/>
    <w:rsid w:val="005F5F5E"/>
    <w:rsid w:val="005F610A"/>
    <w:rsid w:val="005F628D"/>
    <w:rsid w:val="005F65C1"/>
    <w:rsid w:val="005F68B7"/>
    <w:rsid w:val="005F7476"/>
    <w:rsid w:val="0060018A"/>
    <w:rsid w:val="00600669"/>
    <w:rsid w:val="00600A03"/>
    <w:rsid w:val="00600AB6"/>
    <w:rsid w:val="006010D7"/>
    <w:rsid w:val="0060114B"/>
    <w:rsid w:val="00602020"/>
    <w:rsid w:val="00602375"/>
    <w:rsid w:val="0060241A"/>
    <w:rsid w:val="00602466"/>
    <w:rsid w:val="00602683"/>
    <w:rsid w:val="00603096"/>
    <w:rsid w:val="00603191"/>
    <w:rsid w:val="006036C5"/>
    <w:rsid w:val="00603A2D"/>
    <w:rsid w:val="00604A26"/>
    <w:rsid w:val="00604DA8"/>
    <w:rsid w:val="006052BD"/>
    <w:rsid w:val="0060594B"/>
    <w:rsid w:val="00605A44"/>
    <w:rsid w:val="00605EDA"/>
    <w:rsid w:val="0060615D"/>
    <w:rsid w:val="0060649C"/>
    <w:rsid w:val="006075E6"/>
    <w:rsid w:val="00607AEC"/>
    <w:rsid w:val="00610284"/>
    <w:rsid w:val="00610369"/>
    <w:rsid w:val="00610F0F"/>
    <w:rsid w:val="0061178B"/>
    <w:rsid w:val="0061184D"/>
    <w:rsid w:val="00612004"/>
    <w:rsid w:val="006120D9"/>
    <w:rsid w:val="006120EE"/>
    <w:rsid w:val="00612E03"/>
    <w:rsid w:val="006131A6"/>
    <w:rsid w:val="006131B8"/>
    <w:rsid w:val="00613F0C"/>
    <w:rsid w:val="006144D1"/>
    <w:rsid w:val="006146F0"/>
    <w:rsid w:val="00614876"/>
    <w:rsid w:val="00615290"/>
    <w:rsid w:val="006154FD"/>
    <w:rsid w:val="00615A04"/>
    <w:rsid w:val="00615AD2"/>
    <w:rsid w:val="00616567"/>
    <w:rsid w:val="00617362"/>
    <w:rsid w:val="00617419"/>
    <w:rsid w:val="00617427"/>
    <w:rsid w:val="0061753B"/>
    <w:rsid w:val="00617553"/>
    <w:rsid w:val="00617737"/>
    <w:rsid w:val="0061794A"/>
    <w:rsid w:val="00617E7F"/>
    <w:rsid w:val="00617E99"/>
    <w:rsid w:val="00620915"/>
    <w:rsid w:val="00620DF3"/>
    <w:rsid w:val="00620FBB"/>
    <w:rsid w:val="00621AFB"/>
    <w:rsid w:val="00622270"/>
    <w:rsid w:val="006225B7"/>
    <w:rsid w:val="00622696"/>
    <w:rsid w:val="006228BF"/>
    <w:rsid w:val="0062304A"/>
    <w:rsid w:val="006237CD"/>
    <w:rsid w:val="00623904"/>
    <w:rsid w:val="00623B93"/>
    <w:rsid w:val="00623CD5"/>
    <w:rsid w:val="00624AF6"/>
    <w:rsid w:val="00624F55"/>
    <w:rsid w:val="0062550E"/>
    <w:rsid w:val="0062621A"/>
    <w:rsid w:val="00626517"/>
    <w:rsid w:val="0062657E"/>
    <w:rsid w:val="00626AD7"/>
    <w:rsid w:val="00626C99"/>
    <w:rsid w:val="006272AB"/>
    <w:rsid w:val="00627322"/>
    <w:rsid w:val="00627375"/>
    <w:rsid w:val="00627CEE"/>
    <w:rsid w:val="00627E44"/>
    <w:rsid w:val="00627EBD"/>
    <w:rsid w:val="00627EF0"/>
    <w:rsid w:val="00627F1A"/>
    <w:rsid w:val="00630390"/>
    <w:rsid w:val="006312EB"/>
    <w:rsid w:val="00631615"/>
    <w:rsid w:val="0063161F"/>
    <w:rsid w:val="0063198B"/>
    <w:rsid w:val="00631C1A"/>
    <w:rsid w:val="00631D60"/>
    <w:rsid w:val="00632123"/>
    <w:rsid w:val="0063228F"/>
    <w:rsid w:val="00632CE8"/>
    <w:rsid w:val="00633411"/>
    <w:rsid w:val="00633874"/>
    <w:rsid w:val="006341C5"/>
    <w:rsid w:val="0063463E"/>
    <w:rsid w:val="00634BB7"/>
    <w:rsid w:val="00635914"/>
    <w:rsid w:val="00635E09"/>
    <w:rsid w:val="00635EDE"/>
    <w:rsid w:val="00636191"/>
    <w:rsid w:val="006366D4"/>
    <w:rsid w:val="00636E60"/>
    <w:rsid w:val="00636ED6"/>
    <w:rsid w:val="006373DF"/>
    <w:rsid w:val="006376CE"/>
    <w:rsid w:val="00637823"/>
    <w:rsid w:val="00637BEB"/>
    <w:rsid w:val="00637ED3"/>
    <w:rsid w:val="00637FDA"/>
    <w:rsid w:val="0064007A"/>
    <w:rsid w:val="00640DE5"/>
    <w:rsid w:val="00641552"/>
    <w:rsid w:val="00641C4D"/>
    <w:rsid w:val="00642085"/>
    <w:rsid w:val="006424F6"/>
    <w:rsid w:val="00642806"/>
    <w:rsid w:val="00642BB4"/>
    <w:rsid w:val="00642D69"/>
    <w:rsid w:val="00642DD3"/>
    <w:rsid w:val="006441A1"/>
    <w:rsid w:val="00644411"/>
    <w:rsid w:val="006444C3"/>
    <w:rsid w:val="00644BE7"/>
    <w:rsid w:val="00644C97"/>
    <w:rsid w:val="00644D09"/>
    <w:rsid w:val="006450CB"/>
    <w:rsid w:val="00645855"/>
    <w:rsid w:val="0064606D"/>
    <w:rsid w:val="0064617E"/>
    <w:rsid w:val="006468FD"/>
    <w:rsid w:val="00646927"/>
    <w:rsid w:val="00646C37"/>
    <w:rsid w:val="00646C7B"/>
    <w:rsid w:val="00647000"/>
    <w:rsid w:val="0064738B"/>
    <w:rsid w:val="006476A7"/>
    <w:rsid w:val="00647980"/>
    <w:rsid w:val="006479F8"/>
    <w:rsid w:val="006505E9"/>
    <w:rsid w:val="0065090C"/>
    <w:rsid w:val="00651001"/>
    <w:rsid w:val="00651254"/>
    <w:rsid w:val="00651A84"/>
    <w:rsid w:val="006522B0"/>
    <w:rsid w:val="0065234E"/>
    <w:rsid w:val="006523AA"/>
    <w:rsid w:val="0065245C"/>
    <w:rsid w:val="00652C96"/>
    <w:rsid w:val="00652F87"/>
    <w:rsid w:val="006536AB"/>
    <w:rsid w:val="006536FC"/>
    <w:rsid w:val="00654553"/>
    <w:rsid w:val="00654B4F"/>
    <w:rsid w:val="006551A4"/>
    <w:rsid w:val="00655396"/>
    <w:rsid w:val="006553AD"/>
    <w:rsid w:val="006554BF"/>
    <w:rsid w:val="006557B0"/>
    <w:rsid w:val="00655A66"/>
    <w:rsid w:val="00655AB7"/>
    <w:rsid w:val="0065618E"/>
    <w:rsid w:val="006563C1"/>
    <w:rsid w:val="006563E2"/>
    <w:rsid w:val="00656617"/>
    <w:rsid w:val="00656786"/>
    <w:rsid w:val="0065681B"/>
    <w:rsid w:val="006569FF"/>
    <w:rsid w:val="00656E2F"/>
    <w:rsid w:val="006574CC"/>
    <w:rsid w:val="006575C0"/>
    <w:rsid w:val="006579DB"/>
    <w:rsid w:val="00657A81"/>
    <w:rsid w:val="00657B29"/>
    <w:rsid w:val="00657D50"/>
    <w:rsid w:val="00657F65"/>
    <w:rsid w:val="00660339"/>
    <w:rsid w:val="00660FA3"/>
    <w:rsid w:val="006614C4"/>
    <w:rsid w:val="00661988"/>
    <w:rsid w:val="00662FF8"/>
    <w:rsid w:val="0066303E"/>
    <w:rsid w:val="0066351C"/>
    <w:rsid w:val="006638E5"/>
    <w:rsid w:val="006645B4"/>
    <w:rsid w:val="006647F4"/>
    <w:rsid w:val="006649A1"/>
    <w:rsid w:val="00664D30"/>
    <w:rsid w:val="00664FE5"/>
    <w:rsid w:val="006651C7"/>
    <w:rsid w:val="006661B3"/>
    <w:rsid w:val="00666250"/>
    <w:rsid w:val="006667F8"/>
    <w:rsid w:val="0066697B"/>
    <w:rsid w:val="00667232"/>
    <w:rsid w:val="0066746D"/>
    <w:rsid w:val="006675D7"/>
    <w:rsid w:val="00667705"/>
    <w:rsid w:val="006677E7"/>
    <w:rsid w:val="00667BE8"/>
    <w:rsid w:val="00667EB7"/>
    <w:rsid w:val="006700C2"/>
    <w:rsid w:val="00670956"/>
    <w:rsid w:val="00670E8F"/>
    <w:rsid w:val="00671487"/>
    <w:rsid w:val="0067193B"/>
    <w:rsid w:val="00671F1E"/>
    <w:rsid w:val="006725BD"/>
    <w:rsid w:val="006726DA"/>
    <w:rsid w:val="00672733"/>
    <w:rsid w:val="00672C3F"/>
    <w:rsid w:val="00672E70"/>
    <w:rsid w:val="00673097"/>
    <w:rsid w:val="0067346C"/>
    <w:rsid w:val="0067370B"/>
    <w:rsid w:val="00673974"/>
    <w:rsid w:val="0067399B"/>
    <w:rsid w:val="00673B2B"/>
    <w:rsid w:val="00673C7A"/>
    <w:rsid w:val="00673DC4"/>
    <w:rsid w:val="00673F4C"/>
    <w:rsid w:val="0067404F"/>
    <w:rsid w:val="00674395"/>
    <w:rsid w:val="006747EA"/>
    <w:rsid w:val="0067537C"/>
    <w:rsid w:val="00675CC9"/>
    <w:rsid w:val="00675E36"/>
    <w:rsid w:val="00676101"/>
    <w:rsid w:val="0067684C"/>
    <w:rsid w:val="006768D5"/>
    <w:rsid w:val="006768F9"/>
    <w:rsid w:val="00677797"/>
    <w:rsid w:val="0067780F"/>
    <w:rsid w:val="00677C21"/>
    <w:rsid w:val="00677CA8"/>
    <w:rsid w:val="00680198"/>
    <w:rsid w:val="006803C4"/>
    <w:rsid w:val="00680C0A"/>
    <w:rsid w:val="006827F1"/>
    <w:rsid w:val="00682A4C"/>
    <w:rsid w:val="00682AEA"/>
    <w:rsid w:val="00682E09"/>
    <w:rsid w:val="00684F00"/>
    <w:rsid w:val="00685CE0"/>
    <w:rsid w:val="00685E07"/>
    <w:rsid w:val="006862AE"/>
    <w:rsid w:val="00687108"/>
    <w:rsid w:val="00687FB1"/>
    <w:rsid w:val="006905B8"/>
    <w:rsid w:val="00690A0B"/>
    <w:rsid w:val="00690B76"/>
    <w:rsid w:val="00691254"/>
    <w:rsid w:val="006915A6"/>
    <w:rsid w:val="00691763"/>
    <w:rsid w:val="006919EF"/>
    <w:rsid w:val="00691F8D"/>
    <w:rsid w:val="00692328"/>
    <w:rsid w:val="0069270F"/>
    <w:rsid w:val="006929C2"/>
    <w:rsid w:val="00692DA1"/>
    <w:rsid w:val="00693075"/>
    <w:rsid w:val="00693439"/>
    <w:rsid w:val="006934FD"/>
    <w:rsid w:val="0069378E"/>
    <w:rsid w:val="00693984"/>
    <w:rsid w:val="00693AE3"/>
    <w:rsid w:val="00693E8C"/>
    <w:rsid w:val="0069427C"/>
    <w:rsid w:val="0069499F"/>
    <w:rsid w:val="00694E1E"/>
    <w:rsid w:val="006950C9"/>
    <w:rsid w:val="006952DA"/>
    <w:rsid w:val="006952EA"/>
    <w:rsid w:val="00695342"/>
    <w:rsid w:val="006957D8"/>
    <w:rsid w:val="00695911"/>
    <w:rsid w:val="00695C07"/>
    <w:rsid w:val="0069612B"/>
    <w:rsid w:val="006962F6"/>
    <w:rsid w:val="0069753B"/>
    <w:rsid w:val="006977F4"/>
    <w:rsid w:val="00697E8B"/>
    <w:rsid w:val="006A0704"/>
    <w:rsid w:val="006A14DF"/>
    <w:rsid w:val="006A186D"/>
    <w:rsid w:val="006A1F09"/>
    <w:rsid w:val="006A2157"/>
    <w:rsid w:val="006A25BB"/>
    <w:rsid w:val="006A262B"/>
    <w:rsid w:val="006A2CC5"/>
    <w:rsid w:val="006A34CC"/>
    <w:rsid w:val="006A3B66"/>
    <w:rsid w:val="006A4855"/>
    <w:rsid w:val="006A4CE4"/>
    <w:rsid w:val="006A4FAC"/>
    <w:rsid w:val="006A52A9"/>
    <w:rsid w:val="006A58F5"/>
    <w:rsid w:val="006A626D"/>
    <w:rsid w:val="006A65C1"/>
    <w:rsid w:val="006A6719"/>
    <w:rsid w:val="006A6839"/>
    <w:rsid w:val="006A6DF7"/>
    <w:rsid w:val="006A72C2"/>
    <w:rsid w:val="006A76F7"/>
    <w:rsid w:val="006B02E6"/>
    <w:rsid w:val="006B0538"/>
    <w:rsid w:val="006B0567"/>
    <w:rsid w:val="006B0950"/>
    <w:rsid w:val="006B0F06"/>
    <w:rsid w:val="006B1F24"/>
    <w:rsid w:val="006B2244"/>
    <w:rsid w:val="006B249D"/>
    <w:rsid w:val="006B250C"/>
    <w:rsid w:val="006B2658"/>
    <w:rsid w:val="006B2C01"/>
    <w:rsid w:val="006B2C5A"/>
    <w:rsid w:val="006B2FBB"/>
    <w:rsid w:val="006B32D5"/>
    <w:rsid w:val="006B3EF0"/>
    <w:rsid w:val="006B3FB7"/>
    <w:rsid w:val="006B41C7"/>
    <w:rsid w:val="006B4ABD"/>
    <w:rsid w:val="006B4F97"/>
    <w:rsid w:val="006B5125"/>
    <w:rsid w:val="006B5254"/>
    <w:rsid w:val="006B5873"/>
    <w:rsid w:val="006B6879"/>
    <w:rsid w:val="006B6D33"/>
    <w:rsid w:val="006B6D8B"/>
    <w:rsid w:val="006B6F37"/>
    <w:rsid w:val="006B71A5"/>
    <w:rsid w:val="006B7A62"/>
    <w:rsid w:val="006C01E2"/>
    <w:rsid w:val="006C04D8"/>
    <w:rsid w:val="006C04E1"/>
    <w:rsid w:val="006C059F"/>
    <w:rsid w:val="006C0870"/>
    <w:rsid w:val="006C09ED"/>
    <w:rsid w:val="006C1E8B"/>
    <w:rsid w:val="006C2155"/>
    <w:rsid w:val="006C2C16"/>
    <w:rsid w:val="006C2F8B"/>
    <w:rsid w:val="006C315B"/>
    <w:rsid w:val="006C3174"/>
    <w:rsid w:val="006C318E"/>
    <w:rsid w:val="006C3404"/>
    <w:rsid w:val="006C391C"/>
    <w:rsid w:val="006C4109"/>
    <w:rsid w:val="006C455B"/>
    <w:rsid w:val="006C4741"/>
    <w:rsid w:val="006C4BA7"/>
    <w:rsid w:val="006C4F40"/>
    <w:rsid w:val="006C4FA7"/>
    <w:rsid w:val="006C5A53"/>
    <w:rsid w:val="006C5C9E"/>
    <w:rsid w:val="006C5CCE"/>
    <w:rsid w:val="006C6EA7"/>
    <w:rsid w:val="006C7BCF"/>
    <w:rsid w:val="006C7EAD"/>
    <w:rsid w:val="006C7EFC"/>
    <w:rsid w:val="006C7F67"/>
    <w:rsid w:val="006D06D8"/>
    <w:rsid w:val="006D0806"/>
    <w:rsid w:val="006D09B2"/>
    <w:rsid w:val="006D0F0F"/>
    <w:rsid w:val="006D130B"/>
    <w:rsid w:val="006D13D6"/>
    <w:rsid w:val="006D209E"/>
    <w:rsid w:val="006D2598"/>
    <w:rsid w:val="006D2805"/>
    <w:rsid w:val="006D292C"/>
    <w:rsid w:val="006D2A65"/>
    <w:rsid w:val="006D36A0"/>
    <w:rsid w:val="006D39D2"/>
    <w:rsid w:val="006D3B53"/>
    <w:rsid w:val="006D40FD"/>
    <w:rsid w:val="006D41AF"/>
    <w:rsid w:val="006D49B1"/>
    <w:rsid w:val="006D53F8"/>
    <w:rsid w:val="006D5810"/>
    <w:rsid w:val="006D589E"/>
    <w:rsid w:val="006D6587"/>
    <w:rsid w:val="006D796B"/>
    <w:rsid w:val="006D79AA"/>
    <w:rsid w:val="006D7B05"/>
    <w:rsid w:val="006D7B84"/>
    <w:rsid w:val="006D7D7B"/>
    <w:rsid w:val="006E0CAA"/>
    <w:rsid w:val="006E0E49"/>
    <w:rsid w:val="006E124D"/>
    <w:rsid w:val="006E13E5"/>
    <w:rsid w:val="006E1516"/>
    <w:rsid w:val="006E1EBA"/>
    <w:rsid w:val="006E24A7"/>
    <w:rsid w:val="006E25AD"/>
    <w:rsid w:val="006E290D"/>
    <w:rsid w:val="006E3363"/>
    <w:rsid w:val="006E37E1"/>
    <w:rsid w:val="006E3974"/>
    <w:rsid w:val="006E4132"/>
    <w:rsid w:val="006E42BB"/>
    <w:rsid w:val="006E4382"/>
    <w:rsid w:val="006E467E"/>
    <w:rsid w:val="006E475A"/>
    <w:rsid w:val="006E4A98"/>
    <w:rsid w:val="006E5422"/>
    <w:rsid w:val="006E5754"/>
    <w:rsid w:val="006E5776"/>
    <w:rsid w:val="006E57D8"/>
    <w:rsid w:val="006E613B"/>
    <w:rsid w:val="006E66D7"/>
    <w:rsid w:val="006E6C21"/>
    <w:rsid w:val="006E6E24"/>
    <w:rsid w:val="006E704C"/>
    <w:rsid w:val="006E78E0"/>
    <w:rsid w:val="006F04F9"/>
    <w:rsid w:val="006F0610"/>
    <w:rsid w:val="006F0699"/>
    <w:rsid w:val="006F08DC"/>
    <w:rsid w:val="006F097D"/>
    <w:rsid w:val="006F0A5A"/>
    <w:rsid w:val="006F0CF8"/>
    <w:rsid w:val="006F1036"/>
    <w:rsid w:val="006F1161"/>
    <w:rsid w:val="006F13E8"/>
    <w:rsid w:val="006F18DC"/>
    <w:rsid w:val="006F1A53"/>
    <w:rsid w:val="006F1C3A"/>
    <w:rsid w:val="006F22B3"/>
    <w:rsid w:val="006F2523"/>
    <w:rsid w:val="006F3213"/>
    <w:rsid w:val="006F3A35"/>
    <w:rsid w:val="006F3C19"/>
    <w:rsid w:val="006F4EB1"/>
    <w:rsid w:val="006F5978"/>
    <w:rsid w:val="006F5B37"/>
    <w:rsid w:val="006F5CAE"/>
    <w:rsid w:val="006F5F7E"/>
    <w:rsid w:val="006F6B96"/>
    <w:rsid w:val="006F6BEE"/>
    <w:rsid w:val="006F72A2"/>
    <w:rsid w:val="006F7544"/>
    <w:rsid w:val="006F7793"/>
    <w:rsid w:val="006F7FD6"/>
    <w:rsid w:val="006F7FEB"/>
    <w:rsid w:val="0070051F"/>
    <w:rsid w:val="007005FA"/>
    <w:rsid w:val="007008A5"/>
    <w:rsid w:val="00700B0B"/>
    <w:rsid w:val="00700FD1"/>
    <w:rsid w:val="0070178F"/>
    <w:rsid w:val="00702AE4"/>
    <w:rsid w:val="00702DF2"/>
    <w:rsid w:val="007036D3"/>
    <w:rsid w:val="00704241"/>
    <w:rsid w:val="0070425D"/>
    <w:rsid w:val="00704541"/>
    <w:rsid w:val="00704A63"/>
    <w:rsid w:val="00704ED5"/>
    <w:rsid w:val="007064C4"/>
    <w:rsid w:val="00706ADB"/>
    <w:rsid w:val="00706F2D"/>
    <w:rsid w:val="00707164"/>
    <w:rsid w:val="00707FB2"/>
    <w:rsid w:val="007109E4"/>
    <w:rsid w:val="00711507"/>
    <w:rsid w:val="00711995"/>
    <w:rsid w:val="00711B83"/>
    <w:rsid w:val="00711C69"/>
    <w:rsid w:val="00711DA1"/>
    <w:rsid w:val="00711FD5"/>
    <w:rsid w:val="007121FD"/>
    <w:rsid w:val="0071228B"/>
    <w:rsid w:val="00712597"/>
    <w:rsid w:val="007139E8"/>
    <w:rsid w:val="00713B6F"/>
    <w:rsid w:val="00713C83"/>
    <w:rsid w:val="00713EC0"/>
    <w:rsid w:val="007141E4"/>
    <w:rsid w:val="00714369"/>
    <w:rsid w:val="007143FA"/>
    <w:rsid w:val="00714D9F"/>
    <w:rsid w:val="0071565F"/>
    <w:rsid w:val="0071577F"/>
    <w:rsid w:val="00715DDA"/>
    <w:rsid w:val="00715E7E"/>
    <w:rsid w:val="0071644F"/>
    <w:rsid w:val="007168A0"/>
    <w:rsid w:val="00717A3B"/>
    <w:rsid w:val="00717DBB"/>
    <w:rsid w:val="00717EC1"/>
    <w:rsid w:val="00717EFC"/>
    <w:rsid w:val="007201F6"/>
    <w:rsid w:val="0072029E"/>
    <w:rsid w:val="00720D12"/>
    <w:rsid w:val="00721136"/>
    <w:rsid w:val="007215FC"/>
    <w:rsid w:val="00721629"/>
    <w:rsid w:val="00721A85"/>
    <w:rsid w:val="00721B1E"/>
    <w:rsid w:val="00721CBB"/>
    <w:rsid w:val="00723426"/>
    <w:rsid w:val="007235FE"/>
    <w:rsid w:val="00723D26"/>
    <w:rsid w:val="00723EA9"/>
    <w:rsid w:val="00723FFA"/>
    <w:rsid w:val="007243E2"/>
    <w:rsid w:val="00724607"/>
    <w:rsid w:val="00724717"/>
    <w:rsid w:val="00724B74"/>
    <w:rsid w:val="007262AF"/>
    <w:rsid w:val="007265C0"/>
    <w:rsid w:val="007267F8"/>
    <w:rsid w:val="00726A85"/>
    <w:rsid w:val="00726B0D"/>
    <w:rsid w:val="00726B2F"/>
    <w:rsid w:val="007275E8"/>
    <w:rsid w:val="00727A91"/>
    <w:rsid w:val="00727B74"/>
    <w:rsid w:val="00730438"/>
    <w:rsid w:val="00731475"/>
    <w:rsid w:val="007314B5"/>
    <w:rsid w:val="0073171E"/>
    <w:rsid w:val="0073174C"/>
    <w:rsid w:val="00731A58"/>
    <w:rsid w:val="00731F31"/>
    <w:rsid w:val="00732A0A"/>
    <w:rsid w:val="00732DC4"/>
    <w:rsid w:val="00733212"/>
    <w:rsid w:val="00733214"/>
    <w:rsid w:val="0073324B"/>
    <w:rsid w:val="00733328"/>
    <w:rsid w:val="007336FB"/>
    <w:rsid w:val="0073445B"/>
    <w:rsid w:val="007352E3"/>
    <w:rsid w:val="0073533D"/>
    <w:rsid w:val="00735454"/>
    <w:rsid w:val="0073596B"/>
    <w:rsid w:val="00735996"/>
    <w:rsid w:val="0073615D"/>
    <w:rsid w:val="00736220"/>
    <w:rsid w:val="00736D36"/>
    <w:rsid w:val="0073718C"/>
    <w:rsid w:val="00737198"/>
    <w:rsid w:val="007373A7"/>
    <w:rsid w:val="007375BB"/>
    <w:rsid w:val="00737943"/>
    <w:rsid w:val="00737FA3"/>
    <w:rsid w:val="007400DB"/>
    <w:rsid w:val="00740113"/>
    <w:rsid w:val="007406E1"/>
    <w:rsid w:val="00740B09"/>
    <w:rsid w:val="00740D88"/>
    <w:rsid w:val="0074208A"/>
    <w:rsid w:val="00742334"/>
    <w:rsid w:val="007426CD"/>
    <w:rsid w:val="00742955"/>
    <w:rsid w:val="00742D6B"/>
    <w:rsid w:val="007435A3"/>
    <w:rsid w:val="00743850"/>
    <w:rsid w:val="00744178"/>
    <w:rsid w:val="0074425A"/>
    <w:rsid w:val="007442DE"/>
    <w:rsid w:val="00744C79"/>
    <w:rsid w:val="00744CB5"/>
    <w:rsid w:val="007450F3"/>
    <w:rsid w:val="00745E10"/>
    <w:rsid w:val="00745E85"/>
    <w:rsid w:val="007462AE"/>
    <w:rsid w:val="00747D4E"/>
    <w:rsid w:val="00747E8B"/>
    <w:rsid w:val="0075096D"/>
    <w:rsid w:val="007509A7"/>
    <w:rsid w:val="007509AC"/>
    <w:rsid w:val="00750D41"/>
    <w:rsid w:val="00750FF9"/>
    <w:rsid w:val="00751D78"/>
    <w:rsid w:val="00752288"/>
    <w:rsid w:val="0075276B"/>
    <w:rsid w:val="00753066"/>
    <w:rsid w:val="007538EC"/>
    <w:rsid w:val="0075452D"/>
    <w:rsid w:val="0075477D"/>
    <w:rsid w:val="00754B4F"/>
    <w:rsid w:val="00754C8D"/>
    <w:rsid w:val="00754EB0"/>
    <w:rsid w:val="00754EE4"/>
    <w:rsid w:val="0075510A"/>
    <w:rsid w:val="0075529E"/>
    <w:rsid w:val="00756072"/>
    <w:rsid w:val="0075680B"/>
    <w:rsid w:val="00756B97"/>
    <w:rsid w:val="00756DD6"/>
    <w:rsid w:val="0075773D"/>
    <w:rsid w:val="00757853"/>
    <w:rsid w:val="00760195"/>
    <w:rsid w:val="0076037A"/>
    <w:rsid w:val="00760E0B"/>
    <w:rsid w:val="00761AFF"/>
    <w:rsid w:val="00761CFE"/>
    <w:rsid w:val="00761D7C"/>
    <w:rsid w:val="007629C5"/>
    <w:rsid w:val="00762AC5"/>
    <w:rsid w:val="00762C95"/>
    <w:rsid w:val="00762E7D"/>
    <w:rsid w:val="00762EF7"/>
    <w:rsid w:val="0076344E"/>
    <w:rsid w:val="00763885"/>
    <w:rsid w:val="007644C5"/>
    <w:rsid w:val="00764989"/>
    <w:rsid w:val="00764DC8"/>
    <w:rsid w:val="00764E55"/>
    <w:rsid w:val="00764F16"/>
    <w:rsid w:val="007651AD"/>
    <w:rsid w:val="007657EB"/>
    <w:rsid w:val="00766207"/>
    <w:rsid w:val="00766759"/>
    <w:rsid w:val="00766A8B"/>
    <w:rsid w:val="00766BE2"/>
    <w:rsid w:val="00766FED"/>
    <w:rsid w:val="0076701B"/>
    <w:rsid w:val="00767863"/>
    <w:rsid w:val="00767EFB"/>
    <w:rsid w:val="00770088"/>
    <w:rsid w:val="00770365"/>
    <w:rsid w:val="00770449"/>
    <w:rsid w:val="00770795"/>
    <w:rsid w:val="00770F2F"/>
    <w:rsid w:val="00770FC4"/>
    <w:rsid w:val="0077162D"/>
    <w:rsid w:val="00771E91"/>
    <w:rsid w:val="00772790"/>
    <w:rsid w:val="00772F2E"/>
    <w:rsid w:val="00773265"/>
    <w:rsid w:val="007732FE"/>
    <w:rsid w:val="007733BA"/>
    <w:rsid w:val="007736F6"/>
    <w:rsid w:val="00774255"/>
    <w:rsid w:val="007743E2"/>
    <w:rsid w:val="00774949"/>
    <w:rsid w:val="00774C1D"/>
    <w:rsid w:val="00774D40"/>
    <w:rsid w:val="00774EC3"/>
    <w:rsid w:val="00775186"/>
    <w:rsid w:val="00775D29"/>
    <w:rsid w:val="00775D99"/>
    <w:rsid w:val="0077619D"/>
    <w:rsid w:val="007764AF"/>
    <w:rsid w:val="00776620"/>
    <w:rsid w:val="00776D50"/>
    <w:rsid w:val="00776FC4"/>
    <w:rsid w:val="00777267"/>
    <w:rsid w:val="00777380"/>
    <w:rsid w:val="00777942"/>
    <w:rsid w:val="0078052A"/>
    <w:rsid w:val="00780A95"/>
    <w:rsid w:val="00780B57"/>
    <w:rsid w:val="00780BEA"/>
    <w:rsid w:val="00780C25"/>
    <w:rsid w:val="00781EA8"/>
    <w:rsid w:val="007823DA"/>
    <w:rsid w:val="007832DF"/>
    <w:rsid w:val="00783AB1"/>
    <w:rsid w:val="0078440B"/>
    <w:rsid w:val="00784AE1"/>
    <w:rsid w:val="00784CAE"/>
    <w:rsid w:val="00784F03"/>
    <w:rsid w:val="00785413"/>
    <w:rsid w:val="00785E01"/>
    <w:rsid w:val="007865C0"/>
    <w:rsid w:val="0078671F"/>
    <w:rsid w:val="0078722E"/>
    <w:rsid w:val="00790A44"/>
    <w:rsid w:val="00790C3D"/>
    <w:rsid w:val="0079146C"/>
    <w:rsid w:val="00791C56"/>
    <w:rsid w:val="00791DCE"/>
    <w:rsid w:val="00791E8D"/>
    <w:rsid w:val="0079217F"/>
    <w:rsid w:val="00792C7E"/>
    <w:rsid w:val="00792DF7"/>
    <w:rsid w:val="007931C2"/>
    <w:rsid w:val="0079365C"/>
    <w:rsid w:val="00793CE3"/>
    <w:rsid w:val="0079476E"/>
    <w:rsid w:val="00794ABF"/>
    <w:rsid w:val="00794C4D"/>
    <w:rsid w:val="00794C68"/>
    <w:rsid w:val="0079516E"/>
    <w:rsid w:val="0079584E"/>
    <w:rsid w:val="007959E4"/>
    <w:rsid w:val="00796087"/>
    <w:rsid w:val="007960F7"/>
    <w:rsid w:val="00796EC2"/>
    <w:rsid w:val="007A03B5"/>
    <w:rsid w:val="007A0809"/>
    <w:rsid w:val="007A0F64"/>
    <w:rsid w:val="007A0F94"/>
    <w:rsid w:val="007A0FEB"/>
    <w:rsid w:val="007A13AB"/>
    <w:rsid w:val="007A200D"/>
    <w:rsid w:val="007A25A5"/>
    <w:rsid w:val="007A2C5B"/>
    <w:rsid w:val="007A34C7"/>
    <w:rsid w:val="007A428F"/>
    <w:rsid w:val="007A4673"/>
    <w:rsid w:val="007A4B7B"/>
    <w:rsid w:val="007A513E"/>
    <w:rsid w:val="007A5236"/>
    <w:rsid w:val="007A5601"/>
    <w:rsid w:val="007A589F"/>
    <w:rsid w:val="007A5B6C"/>
    <w:rsid w:val="007A5C62"/>
    <w:rsid w:val="007A722C"/>
    <w:rsid w:val="007A72D8"/>
    <w:rsid w:val="007A737A"/>
    <w:rsid w:val="007A7580"/>
    <w:rsid w:val="007A7720"/>
    <w:rsid w:val="007A7762"/>
    <w:rsid w:val="007A7EC9"/>
    <w:rsid w:val="007A7F58"/>
    <w:rsid w:val="007B0262"/>
    <w:rsid w:val="007B02F7"/>
    <w:rsid w:val="007B0B4B"/>
    <w:rsid w:val="007B0F2C"/>
    <w:rsid w:val="007B116D"/>
    <w:rsid w:val="007B145F"/>
    <w:rsid w:val="007B1C6A"/>
    <w:rsid w:val="007B1FE9"/>
    <w:rsid w:val="007B20E0"/>
    <w:rsid w:val="007B244E"/>
    <w:rsid w:val="007B29A5"/>
    <w:rsid w:val="007B2EE1"/>
    <w:rsid w:val="007B30F6"/>
    <w:rsid w:val="007B3500"/>
    <w:rsid w:val="007B3926"/>
    <w:rsid w:val="007B4172"/>
    <w:rsid w:val="007B500D"/>
    <w:rsid w:val="007B506D"/>
    <w:rsid w:val="007B55A1"/>
    <w:rsid w:val="007B586B"/>
    <w:rsid w:val="007B5F7B"/>
    <w:rsid w:val="007B6341"/>
    <w:rsid w:val="007B6C01"/>
    <w:rsid w:val="007B70D7"/>
    <w:rsid w:val="007B77C8"/>
    <w:rsid w:val="007B7E23"/>
    <w:rsid w:val="007B7F2E"/>
    <w:rsid w:val="007C00D6"/>
    <w:rsid w:val="007C0276"/>
    <w:rsid w:val="007C0731"/>
    <w:rsid w:val="007C1466"/>
    <w:rsid w:val="007C1545"/>
    <w:rsid w:val="007C1B89"/>
    <w:rsid w:val="007C271A"/>
    <w:rsid w:val="007C2873"/>
    <w:rsid w:val="007C2D82"/>
    <w:rsid w:val="007C3132"/>
    <w:rsid w:val="007C3451"/>
    <w:rsid w:val="007C4233"/>
    <w:rsid w:val="007C4A3F"/>
    <w:rsid w:val="007C4DCE"/>
    <w:rsid w:val="007C4E44"/>
    <w:rsid w:val="007C510E"/>
    <w:rsid w:val="007C526A"/>
    <w:rsid w:val="007C5CC6"/>
    <w:rsid w:val="007C6005"/>
    <w:rsid w:val="007C6900"/>
    <w:rsid w:val="007C7E69"/>
    <w:rsid w:val="007C7EF9"/>
    <w:rsid w:val="007D0699"/>
    <w:rsid w:val="007D1643"/>
    <w:rsid w:val="007D189D"/>
    <w:rsid w:val="007D1B5C"/>
    <w:rsid w:val="007D2246"/>
    <w:rsid w:val="007D2348"/>
    <w:rsid w:val="007D27C0"/>
    <w:rsid w:val="007D2816"/>
    <w:rsid w:val="007D38FB"/>
    <w:rsid w:val="007D3995"/>
    <w:rsid w:val="007D4EEB"/>
    <w:rsid w:val="007D4FBE"/>
    <w:rsid w:val="007D6403"/>
    <w:rsid w:val="007D658B"/>
    <w:rsid w:val="007D6AB9"/>
    <w:rsid w:val="007D6C24"/>
    <w:rsid w:val="007D6DC8"/>
    <w:rsid w:val="007D7021"/>
    <w:rsid w:val="007D72B5"/>
    <w:rsid w:val="007D73D2"/>
    <w:rsid w:val="007D7474"/>
    <w:rsid w:val="007D74DC"/>
    <w:rsid w:val="007D7653"/>
    <w:rsid w:val="007D78E3"/>
    <w:rsid w:val="007D796E"/>
    <w:rsid w:val="007D7DA8"/>
    <w:rsid w:val="007D7EE0"/>
    <w:rsid w:val="007E02E3"/>
    <w:rsid w:val="007E02E8"/>
    <w:rsid w:val="007E075D"/>
    <w:rsid w:val="007E08D0"/>
    <w:rsid w:val="007E10E8"/>
    <w:rsid w:val="007E11B8"/>
    <w:rsid w:val="007E11FB"/>
    <w:rsid w:val="007E124C"/>
    <w:rsid w:val="007E13DD"/>
    <w:rsid w:val="007E1A6B"/>
    <w:rsid w:val="007E1D91"/>
    <w:rsid w:val="007E1EEB"/>
    <w:rsid w:val="007E1F1E"/>
    <w:rsid w:val="007E21EF"/>
    <w:rsid w:val="007E2499"/>
    <w:rsid w:val="007E2A81"/>
    <w:rsid w:val="007E34C3"/>
    <w:rsid w:val="007E39C7"/>
    <w:rsid w:val="007E3CF9"/>
    <w:rsid w:val="007E3D84"/>
    <w:rsid w:val="007E42FD"/>
    <w:rsid w:val="007E49FD"/>
    <w:rsid w:val="007E4CE8"/>
    <w:rsid w:val="007E500D"/>
    <w:rsid w:val="007E531F"/>
    <w:rsid w:val="007E6A0D"/>
    <w:rsid w:val="007E6D19"/>
    <w:rsid w:val="007E74C1"/>
    <w:rsid w:val="007F0469"/>
    <w:rsid w:val="007F121F"/>
    <w:rsid w:val="007F1AF4"/>
    <w:rsid w:val="007F1DAC"/>
    <w:rsid w:val="007F20A5"/>
    <w:rsid w:val="007F245A"/>
    <w:rsid w:val="007F2860"/>
    <w:rsid w:val="007F2B5B"/>
    <w:rsid w:val="007F303C"/>
    <w:rsid w:val="007F387B"/>
    <w:rsid w:val="007F39A9"/>
    <w:rsid w:val="007F3BDC"/>
    <w:rsid w:val="007F3E63"/>
    <w:rsid w:val="007F4042"/>
    <w:rsid w:val="007F4148"/>
    <w:rsid w:val="007F440B"/>
    <w:rsid w:val="007F467E"/>
    <w:rsid w:val="007F47EC"/>
    <w:rsid w:val="007F4946"/>
    <w:rsid w:val="007F4D9A"/>
    <w:rsid w:val="007F50C4"/>
    <w:rsid w:val="007F55FF"/>
    <w:rsid w:val="007F5A0D"/>
    <w:rsid w:val="007F5A22"/>
    <w:rsid w:val="007F609A"/>
    <w:rsid w:val="007F7062"/>
    <w:rsid w:val="007F726F"/>
    <w:rsid w:val="007F77A1"/>
    <w:rsid w:val="00800B7F"/>
    <w:rsid w:val="00800D4A"/>
    <w:rsid w:val="008015F7"/>
    <w:rsid w:val="00802E3F"/>
    <w:rsid w:val="00802F36"/>
    <w:rsid w:val="00803232"/>
    <w:rsid w:val="0080357A"/>
    <w:rsid w:val="00803842"/>
    <w:rsid w:val="008040EF"/>
    <w:rsid w:val="00804652"/>
    <w:rsid w:val="00804C74"/>
    <w:rsid w:val="00804E07"/>
    <w:rsid w:val="00804E5B"/>
    <w:rsid w:val="00804F40"/>
    <w:rsid w:val="00805481"/>
    <w:rsid w:val="00805660"/>
    <w:rsid w:val="0080607A"/>
    <w:rsid w:val="008070C6"/>
    <w:rsid w:val="008072D5"/>
    <w:rsid w:val="00807A36"/>
    <w:rsid w:val="008104CC"/>
    <w:rsid w:val="00810744"/>
    <w:rsid w:val="00810A4D"/>
    <w:rsid w:val="00810BB8"/>
    <w:rsid w:val="00810BC6"/>
    <w:rsid w:val="008132E5"/>
    <w:rsid w:val="0081386F"/>
    <w:rsid w:val="0081430E"/>
    <w:rsid w:val="0081496A"/>
    <w:rsid w:val="00814C6B"/>
    <w:rsid w:val="00814E6A"/>
    <w:rsid w:val="00815057"/>
    <w:rsid w:val="00815903"/>
    <w:rsid w:val="008159A8"/>
    <w:rsid w:val="00815A6B"/>
    <w:rsid w:val="00815FB2"/>
    <w:rsid w:val="008161C1"/>
    <w:rsid w:val="0081660E"/>
    <w:rsid w:val="00816A66"/>
    <w:rsid w:val="00817A09"/>
    <w:rsid w:val="00817F7A"/>
    <w:rsid w:val="0082033F"/>
    <w:rsid w:val="008206F3"/>
    <w:rsid w:val="00820EFC"/>
    <w:rsid w:val="00821630"/>
    <w:rsid w:val="00821962"/>
    <w:rsid w:val="0082231E"/>
    <w:rsid w:val="00822333"/>
    <w:rsid w:val="0082263E"/>
    <w:rsid w:val="008227F1"/>
    <w:rsid w:val="00822B1A"/>
    <w:rsid w:val="00822C6A"/>
    <w:rsid w:val="00822F2D"/>
    <w:rsid w:val="008234C0"/>
    <w:rsid w:val="008236DC"/>
    <w:rsid w:val="00825032"/>
    <w:rsid w:val="008251EC"/>
    <w:rsid w:val="00825318"/>
    <w:rsid w:val="00825531"/>
    <w:rsid w:val="008259DD"/>
    <w:rsid w:val="00826D1F"/>
    <w:rsid w:val="00826E23"/>
    <w:rsid w:val="00826F17"/>
    <w:rsid w:val="00827946"/>
    <w:rsid w:val="00830618"/>
    <w:rsid w:val="008306B0"/>
    <w:rsid w:val="00831003"/>
    <w:rsid w:val="0083172C"/>
    <w:rsid w:val="00831A02"/>
    <w:rsid w:val="00832932"/>
    <w:rsid w:val="00833006"/>
    <w:rsid w:val="00833534"/>
    <w:rsid w:val="00833679"/>
    <w:rsid w:val="008355A3"/>
    <w:rsid w:val="00835C06"/>
    <w:rsid w:val="00835EB1"/>
    <w:rsid w:val="008362C5"/>
    <w:rsid w:val="00837012"/>
    <w:rsid w:val="0083734C"/>
    <w:rsid w:val="00837EE0"/>
    <w:rsid w:val="00840029"/>
    <w:rsid w:val="00840FA3"/>
    <w:rsid w:val="00840FE9"/>
    <w:rsid w:val="008415C4"/>
    <w:rsid w:val="00841901"/>
    <w:rsid w:val="00841B2E"/>
    <w:rsid w:val="00841C0C"/>
    <w:rsid w:val="00842350"/>
    <w:rsid w:val="008425B9"/>
    <w:rsid w:val="00842F62"/>
    <w:rsid w:val="00843496"/>
    <w:rsid w:val="00843D14"/>
    <w:rsid w:val="00843F93"/>
    <w:rsid w:val="008441DE"/>
    <w:rsid w:val="0084424B"/>
    <w:rsid w:val="00844532"/>
    <w:rsid w:val="008448A6"/>
    <w:rsid w:val="00844D49"/>
    <w:rsid w:val="00844D6A"/>
    <w:rsid w:val="00845083"/>
    <w:rsid w:val="008451A8"/>
    <w:rsid w:val="008451EC"/>
    <w:rsid w:val="00845508"/>
    <w:rsid w:val="0084593F"/>
    <w:rsid w:val="00845EE5"/>
    <w:rsid w:val="0084630E"/>
    <w:rsid w:val="008463D3"/>
    <w:rsid w:val="00846768"/>
    <w:rsid w:val="00846A07"/>
    <w:rsid w:val="00846D80"/>
    <w:rsid w:val="008478E9"/>
    <w:rsid w:val="00847A6D"/>
    <w:rsid w:val="00850DE0"/>
    <w:rsid w:val="0085107C"/>
    <w:rsid w:val="00851430"/>
    <w:rsid w:val="008515CD"/>
    <w:rsid w:val="00851A3D"/>
    <w:rsid w:val="00852A92"/>
    <w:rsid w:val="00852BB0"/>
    <w:rsid w:val="00852CEF"/>
    <w:rsid w:val="00853499"/>
    <w:rsid w:val="008534FF"/>
    <w:rsid w:val="008535B4"/>
    <w:rsid w:val="00853AC3"/>
    <w:rsid w:val="00854024"/>
    <w:rsid w:val="00854D18"/>
    <w:rsid w:val="00854DC2"/>
    <w:rsid w:val="008553E7"/>
    <w:rsid w:val="00855AA6"/>
    <w:rsid w:val="00855B57"/>
    <w:rsid w:val="0085626D"/>
    <w:rsid w:val="00856967"/>
    <w:rsid w:val="00856B01"/>
    <w:rsid w:val="00856B35"/>
    <w:rsid w:val="00856C32"/>
    <w:rsid w:val="00856DEB"/>
    <w:rsid w:val="008571C3"/>
    <w:rsid w:val="00857E94"/>
    <w:rsid w:val="00860658"/>
    <w:rsid w:val="00860817"/>
    <w:rsid w:val="00860B55"/>
    <w:rsid w:val="00860BF3"/>
    <w:rsid w:val="008613D1"/>
    <w:rsid w:val="00861A3C"/>
    <w:rsid w:val="00861D7B"/>
    <w:rsid w:val="00862861"/>
    <w:rsid w:val="00862BFF"/>
    <w:rsid w:val="00862DB3"/>
    <w:rsid w:val="00862E7C"/>
    <w:rsid w:val="00863224"/>
    <w:rsid w:val="00863631"/>
    <w:rsid w:val="00863653"/>
    <w:rsid w:val="008637CB"/>
    <w:rsid w:val="00863D53"/>
    <w:rsid w:val="00863D5B"/>
    <w:rsid w:val="008643F4"/>
    <w:rsid w:val="00864B31"/>
    <w:rsid w:val="0086524C"/>
    <w:rsid w:val="008652A9"/>
    <w:rsid w:val="00865D52"/>
    <w:rsid w:val="0086612E"/>
    <w:rsid w:val="0086673E"/>
    <w:rsid w:val="00866A68"/>
    <w:rsid w:val="00866FEE"/>
    <w:rsid w:val="0086701A"/>
    <w:rsid w:val="008671F5"/>
    <w:rsid w:val="00867225"/>
    <w:rsid w:val="008673C2"/>
    <w:rsid w:val="00867D57"/>
    <w:rsid w:val="0087009E"/>
    <w:rsid w:val="00870DA0"/>
    <w:rsid w:val="00871223"/>
    <w:rsid w:val="0087122A"/>
    <w:rsid w:val="00871EC5"/>
    <w:rsid w:val="00872163"/>
    <w:rsid w:val="00872CA6"/>
    <w:rsid w:val="00872DC3"/>
    <w:rsid w:val="00872E81"/>
    <w:rsid w:val="008734AC"/>
    <w:rsid w:val="00873726"/>
    <w:rsid w:val="00874995"/>
    <w:rsid w:val="008749A1"/>
    <w:rsid w:val="008753EC"/>
    <w:rsid w:val="00875783"/>
    <w:rsid w:val="00875908"/>
    <w:rsid w:val="00876497"/>
    <w:rsid w:val="008766EC"/>
    <w:rsid w:val="00876FB1"/>
    <w:rsid w:val="008777DB"/>
    <w:rsid w:val="00877A04"/>
    <w:rsid w:val="00877C44"/>
    <w:rsid w:val="008807A7"/>
    <w:rsid w:val="008808D1"/>
    <w:rsid w:val="00880F47"/>
    <w:rsid w:val="0088103C"/>
    <w:rsid w:val="008812F3"/>
    <w:rsid w:val="00881476"/>
    <w:rsid w:val="008818B0"/>
    <w:rsid w:val="00881A79"/>
    <w:rsid w:val="00881FA2"/>
    <w:rsid w:val="0088313D"/>
    <w:rsid w:val="00883855"/>
    <w:rsid w:val="00883CA4"/>
    <w:rsid w:val="008848F4"/>
    <w:rsid w:val="008848FE"/>
    <w:rsid w:val="00884FFB"/>
    <w:rsid w:val="00885B16"/>
    <w:rsid w:val="00885DE2"/>
    <w:rsid w:val="008861D6"/>
    <w:rsid w:val="00886719"/>
    <w:rsid w:val="0088748E"/>
    <w:rsid w:val="00887812"/>
    <w:rsid w:val="0088781E"/>
    <w:rsid w:val="00887B5C"/>
    <w:rsid w:val="00887CFC"/>
    <w:rsid w:val="00887E73"/>
    <w:rsid w:val="00890A28"/>
    <w:rsid w:val="00891033"/>
    <w:rsid w:val="0089127A"/>
    <w:rsid w:val="00891927"/>
    <w:rsid w:val="00892C13"/>
    <w:rsid w:val="00892DE8"/>
    <w:rsid w:val="00893983"/>
    <w:rsid w:val="00893CDA"/>
    <w:rsid w:val="008942FF"/>
    <w:rsid w:val="00894646"/>
    <w:rsid w:val="00894960"/>
    <w:rsid w:val="0089496A"/>
    <w:rsid w:val="008949F6"/>
    <w:rsid w:val="00894A4E"/>
    <w:rsid w:val="00894E27"/>
    <w:rsid w:val="00894E79"/>
    <w:rsid w:val="008955E4"/>
    <w:rsid w:val="008960D4"/>
    <w:rsid w:val="00896660"/>
    <w:rsid w:val="00896EEA"/>
    <w:rsid w:val="00897148"/>
    <w:rsid w:val="008973F1"/>
    <w:rsid w:val="00897688"/>
    <w:rsid w:val="00897A6D"/>
    <w:rsid w:val="008A006B"/>
    <w:rsid w:val="008A01DA"/>
    <w:rsid w:val="008A0282"/>
    <w:rsid w:val="008A0A24"/>
    <w:rsid w:val="008A1E31"/>
    <w:rsid w:val="008A1E67"/>
    <w:rsid w:val="008A2187"/>
    <w:rsid w:val="008A31CE"/>
    <w:rsid w:val="008A3505"/>
    <w:rsid w:val="008A39D1"/>
    <w:rsid w:val="008A3AE7"/>
    <w:rsid w:val="008A49DB"/>
    <w:rsid w:val="008A5497"/>
    <w:rsid w:val="008A5DFD"/>
    <w:rsid w:val="008A638F"/>
    <w:rsid w:val="008A686B"/>
    <w:rsid w:val="008B0EDE"/>
    <w:rsid w:val="008B167B"/>
    <w:rsid w:val="008B1FAC"/>
    <w:rsid w:val="008B2332"/>
    <w:rsid w:val="008B2867"/>
    <w:rsid w:val="008B28D0"/>
    <w:rsid w:val="008B3761"/>
    <w:rsid w:val="008B39F7"/>
    <w:rsid w:val="008B3A7C"/>
    <w:rsid w:val="008B3D29"/>
    <w:rsid w:val="008B455E"/>
    <w:rsid w:val="008B4916"/>
    <w:rsid w:val="008B4997"/>
    <w:rsid w:val="008B5B7B"/>
    <w:rsid w:val="008B5C0D"/>
    <w:rsid w:val="008B5F70"/>
    <w:rsid w:val="008B6F77"/>
    <w:rsid w:val="008B6FE2"/>
    <w:rsid w:val="008B7258"/>
    <w:rsid w:val="008B7490"/>
    <w:rsid w:val="008B7590"/>
    <w:rsid w:val="008B7CA6"/>
    <w:rsid w:val="008B7EC5"/>
    <w:rsid w:val="008B7F42"/>
    <w:rsid w:val="008C0BE3"/>
    <w:rsid w:val="008C0E43"/>
    <w:rsid w:val="008C1966"/>
    <w:rsid w:val="008C24B9"/>
    <w:rsid w:val="008C261A"/>
    <w:rsid w:val="008C2673"/>
    <w:rsid w:val="008C2726"/>
    <w:rsid w:val="008C275C"/>
    <w:rsid w:val="008C28C9"/>
    <w:rsid w:val="008C2953"/>
    <w:rsid w:val="008C3197"/>
    <w:rsid w:val="008C331A"/>
    <w:rsid w:val="008C3844"/>
    <w:rsid w:val="008C3E89"/>
    <w:rsid w:val="008C4256"/>
    <w:rsid w:val="008C4486"/>
    <w:rsid w:val="008C470C"/>
    <w:rsid w:val="008C4A15"/>
    <w:rsid w:val="008C4E48"/>
    <w:rsid w:val="008C55E8"/>
    <w:rsid w:val="008C5674"/>
    <w:rsid w:val="008C5AD3"/>
    <w:rsid w:val="008C6527"/>
    <w:rsid w:val="008C6639"/>
    <w:rsid w:val="008C6CB1"/>
    <w:rsid w:val="008C7300"/>
    <w:rsid w:val="008C77D6"/>
    <w:rsid w:val="008C7D5D"/>
    <w:rsid w:val="008D0164"/>
    <w:rsid w:val="008D0370"/>
    <w:rsid w:val="008D0FED"/>
    <w:rsid w:val="008D133E"/>
    <w:rsid w:val="008D1B76"/>
    <w:rsid w:val="008D1C07"/>
    <w:rsid w:val="008D3BCA"/>
    <w:rsid w:val="008D3FC5"/>
    <w:rsid w:val="008D44EF"/>
    <w:rsid w:val="008D459B"/>
    <w:rsid w:val="008D4967"/>
    <w:rsid w:val="008D4A0A"/>
    <w:rsid w:val="008D4C17"/>
    <w:rsid w:val="008D4C7D"/>
    <w:rsid w:val="008D5010"/>
    <w:rsid w:val="008D5599"/>
    <w:rsid w:val="008D56EA"/>
    <w:rsid w:val="008D5A8C"/>
    <w:rsid w:val="008D5B8C"/>
    <w:rsid w:val="008D6315"/>
    <w:rsid w:val="008D63B6"/>
    <w:rsid w:val="008D68A0"/>
    <w:rsid w:val="008D7056"/>
    <w:rsid w:val="008D70B9"/>
    <w:rsid w:val="008D723D"/>
    <w:rsid w:val="008E01A0"/>
    <w:rsid w:val="008E03EE"/>
    <w:rsid w:val="008E10A7"/>
    <w:rsid w:val="008E138C"/>
    <w:rsid w:val="008E2534"/>
    <w:rsid w:val="008E2957"/>
    <w:rsid w:val="008E2ED8"/>
    <w:rsid w:val="008E3500"/>
    <w:rsid w:val="008E3938"/>
    <w:rsid w:val="008E393B"/>
    <w:rsid w:val="008E3993"/>
    <w:rsid w:val="008E3C76"/>
    <w:rsid w:val="008E42A9"/>
    <w:rsid w:val="008E459E"/>
    <w:rsid w:val="008E4A5F"/>
    <w:rsid w:val="008E540C"/>
    <w:rsid w:val="008E59F2"/>
    <w:rsid w:val="008E631D"/>
    <w:rsid w:val="008E649F"/>
    <w:rsid w:val="008E68F7"/>
    <w:rsid w:val="008E6EA7"/>
    <w:rsid w:val="008E6F07"/>
    <w:rsid w:val="008E6FAC"/>
    <w:rsid w:val="008E711D"/>
    <w:rsid w:val="008E7453"/>
    <w:rsid w:val="008E7B1B"/>
    <w:rsid w:val="008F061A"/>
    <w:rsid w:val="008F091C"/>
    <w:rsid w:val="008F0C02"/>
    <w:rsid w:val="008F1F69"/>
    <w:rsid w:val="008F2190"/>
    <w:rsid w:val="008F2A76"/>
    <w:rsid w:val="008F2B61"/>
    <w:rsid w:val="008F2FA2"/>
    <w:rsid w:val="008F39FF"/>
    <w:rsid w:val="008F3D40"/>
    <w:rsid w:val="008F4553"/>
    <w:rsid w:val="008F5018"/>
    <w:rsid w:val="008F5334"/>
    <w:rsid w:val="008F55CB"/>
    <w:rsid w:val="008F5622"/>
    <w:rsid w:val="008F5739"/>
    <w:rsid w:val="008F5CE8"/>
    <w:rsid w:val="008F5CF0"/>
    <w:rsid w:val="008F5EAB"/>
    <w:rsid w:val="008F60C7"/>
    <w:rsid w:val="008F636C"/>
    <w:rsid w:val="008F6452"/>
    <w:rsid w:val="008F6468"/>
    <w:rsid w:val="008F66DB"/>
    <w:rsid w:val="008F67FD"/>
    <w:rsid w:val="008F6B40"/>
    <w:rsid w:val="008F7196"/>
    <w:rsid w:val="008F7940"/>
    <w:rsid w:val="008F7D2D"/>
    <w:rsid w:val="008F7EBF"/>
    <w:rsid w:val="00900060"/>
    <w:rsid w:val="009009E9"/>
    <w:rsid w:val="00900CFA"/>
    <w:rsid w:val="009011CB"/>
    <w:rsid w:val="0090124C"/>
    <w:rsid w:val="0090168B"/>
    <w:rsid w:val="00901BA3"/>
    <w:rsid w:val="00901F86"/>
    <w:rsid w:val="00902230"/>
    <w:rsid w:val="009025FE"/>
    <w:rsid w:val="00902F79"/>
    <w:rsid w:val="00903296"/>
    <w:rsid w:val="00903491"/>
    <w:rsid w:val="009035C0"/>
    <w:rsid w:val="00903912"/>
    <w:rsid w:val="0090469D"/>
    <w:rsid w:val="009048C4"/>
    <w:rsid w:val="00904A0E"/>
    <w:rsid w:val="00904C78"/>
    <w:rsid w:val="00906AC2"/>
    <w:rsid w:val="00906BC0"/>
    <w:rsid w:val="00906ED2"/>
    <w:rsid w:val="0090761C"/>
    <w:rsid w:val="0090768E"/>
    <w:rsid w:val="00907DB1"/>
    <w:rsid w:val="00907FF3"/>
    <w:rsid w:val="00910402"/>
    <w:rsid w:val="009107CE"/>
    <w:rsid w:val="0091096C"/>
    <w:rsid w:val="00910AD2"/>
    <w:rsid w:val="00910F52"/>
    <w:rsid w:val="009111DD"/>
    <w:rsid w:val="0091152F"/>
    <w:rsid w:val="00911AFE"/>
    <w:rsid w:val="00911B9C"/>
    <w:rsid w:val="009127A8"/>
    <w:rsid w:val="00912AC6"/>
    <w:rsid w:val="00913401"/>
    <w:rsid w:val="009135FF"/>
    <w:rsid w:val="00913DEB"/>
    <w:rsid w:val="00914020"/>
    <w:rsid w:val="00914662"/>
    <w:rsid w:val="00914954"/>
    <w:rsid w:val="0091580F"/>
    <w:rsid w:val="0091581C"/>
    <w:rsid w:val="00915DCB"/>
    <w:rsid w:val="0091606A"/>
    <w:rsid w:val="00916471"/>
    <w:rsid w:val="00916D89"/>
    <w:rsid w:val="009170F7"/>
    <w:rsid w:val="009175CC"/>
    <w:rsid w:val="00917F7B"/>
    <w:rsid w:val="0092008B"/>
    <w:rsid w:val="00920239"/>
    <w:rsid w:val="00920B88"/>
    <w:rsid w:val="00920E1E"/>
    <w:rsid w:val="009212AC"/>
    <w:rsid w:val="00921AF6"/>
    <w:rsid w:val="00921BD6"/>
    <w:rsid w:val="00921EDB"/>
    <w:rsid w:val="00922069"/>
    <w:rsid w:val="009221D8"/>
    <w:rsid w:val="00922204"/>
    <w:rsid w:val="009224F7"/>
    <w:rsid w:val="009233A2"/>
    <w:rsid w:val="00923C1A"/>
    <w:rsid w:val="00923E6E"/>
    <w:rsid w:val="009240D1"/>
    <w:rsid w:val="0092441E"/>
    <w:rsid w:val="00924928"/>
    <w:rsid w:val="009249F9"/>
    <w:rsid w:val="009253F4"/>
    <w:rsid w:val="009257B3"/>
    <w:rsid w:val="0092590E"/>
    <w:rsid w:val="00925D29"/>
    <w:rsid w:val="00925FBA"/>
    <w:rsid w:val="0092604F"/>
    <w:rsid w:val="00926806"/>
    <w:rsid w:val="00926868"/>
    <w:rsid w:val="00927186"/>
    <w:rsid w:val="00927611"/>
    <w:rsid w:val="00927A6E"/>
    <w:rsid w:val="0093053F"/>
    <w:rsid w:val="00930CCC"/>
    <w:rsid w:val="00930E58"/>
    <w:rsid w:val="009310BD"/>
    <w:rsid w:val="00931CBB"/>
    <w:rsid w:val="00931EA8"/>
    <w:rsid w:val="00931F3E"/>
    <w:rsid w:val="00932031"/>
    <w:rsid w:val="00932094"/>
    <w:rsid w:val="009320EE"/>
    <w:rsid w:val="009324DD"/>
    <w:rsid w:val="009329E4"/>
    <w:rsid w:val="00932D4A"/>
    <w:rsid w:val="0093313E"/>
    <w:rsid w:val="00933227"/>
    <w:rsid w:val="00933414"/>
    <w:rsid w:val="00933998"/>
    <w:rsid w:val="00934026"/>
    <w:rsid w:val="0093407D"/>
    <w:rsid w:val="009348FA"/>
    <w:rsid w:val="00935039"/>
    <w:rsid w:val="0093503D"/>
    <w:rsid w:val="00935046"/>
    <w:rsid w:val="00935706"/>
    <w:rsid w:val="00935B36"/>
    <w:rsid w:val="00935D12"/>
    <w:rsid w:val="00936032"/>
    <w:rsid w:val="00936547"/>
    <w:rsid w:val="009379D3"/>
    <w:rsid w:val="0094031C"/>
    <w:rsid w:val="009406B1"/>
    <w:rsid w:val="009408C9"/>
    <w:rsid w:val="00940EB2"/>
    <w:rsid w:val="0094135F"/>
    <w:rsid w:val="009416F2"/>
    <w:rsid w:val="009420FF"/>
    <w:rsid w:val="00942BBD"/>
    <w:rsid w:val="00942D96"/>
    <w:rsid w:val="00942E57"/>
    <w:rsid w:val="00943B97"/>
    <w:rsid w:val="009442DA"/>
    <w:rsid w:val="009458F6"/>
    <w:rsid w:val="0094601A"/>
    <w:rsid w:val="009463B8"/>
    <w:rsid w:val="00946951"/>
    <w:rsid w:val="009470A9"/>
    <w:rsid w:val="00947826"/>
    <w:rsid w:val="009501F7"/>
    <w:rsid w:val="0095035F"/>
    <w:rsid w:val="009508E2"/>
    <w:rsid w:val="009515A8"/>
    <w:rsid w:val="0095167C"/>
    <w:rsid w:val="009516FD"/>
    <w:rsid w:val="00951C56"/>
    <w:rsid w:val="00952263"/>
    <w:rsid w:val="00952A25"/>
    <w:rsid w:val="00952A65"/>
    <w:rsid w:val="00953BF1"/>
    <w:rsid w:val="0095443A"/>
    <w:rsid w:val="00954BDB"/>
    <w:rsid w:val="00954C23"/>
    <w:rsid w:val="00954DE9"/>
    <w:rsid w:val="00954F3E"/>
    <w:rsid w:val="0095523D"/>
    <w:rsid w:val="00955362"/>
    <w:rsid w:val="00955459"/>
    <w:rsid w:val="00955611"/>
    <w:rsid w:val="0095568C"/>
    <w:rsid w:val="00955945"/>
    <w:rsid w:val="00955A84"/>
    <w:rsid w:val="00956323"/>
    <w:rsid w:val="009563AA"/>
    <w:rsid w:val="009567D6"/>
    <w:rsid w:val="009567EA"/>
    <w:rsid w:val="0095692B"/>
    <w:rsid w:val="00956E5F"/>
    <w:rsid w:val="00957669"/>
    <w:rsid w:val="00957697"/>
    <w:rsid w:val="009577B6"/>
    <w:rsid w:val="00957915"/>
    <w:rsid w:val="00957A7B"/>
    <w:rsid w:val="00957A85"/>
    <w:rsid w:val="00960F48"/>
    <w:rsid w:val="009611AF"/>
    <w:rsid w:val="00961790"/>
    <w:rsid w:val="00961AE3"/>
    <w:rsid w:val="00961B2F"/>
    <w:rsid w:val="00961BA6"/>
    <w:rsid w:val="00961E59"/>
    <w:rsid w:val="00961FD4"/>
    <w:rsid w:val="009621A6"/>
    <w:rsid w:val="00962694"/>
    <w:rsid w:val="00962A22"/>
    <w:rsid w:val="00962B05"/>
    <w:rsid w:val="00962B65"/>
    <w:rsid w:val="0096368F"/>
    <w:rsid w:val="009639D7"/>
    <w:rsid w:val="00963DF4"/>
    <w:rsid w:val="009642EB"/>
    <w:rsid w:val="00964F2A"/>
    <w:rsid w:val="0096530F"/>
    <w:rsid w:val="00965A8E"/>
    <w:rsid w:val="00965DD7"/>
    <w:rsid w:val="00965E67"/>
    <w:rsid w:val="009662DA"/>
    <w:rsid w:val="0096638A"/>
    <w:rsid w:val="0096684B"/>
    <w:rsid w:val="00966912"/>
    <w:rsid w:val="00966E90"/>
    <w:rsid w:val="00967014"/>
    <w:rsid w:val="009674F7"/>
    <w:rsid w:val="00967C38"/>
    <w:rsid w:val="00967CA0"/>
    <w:rsid w:val="00967E30"/>
    <w:rsid w:val="009703EB"/>
    <w:rsid w:val="00970459"/>
    <w:rsid w:val="00970867"/>
    <w:rsid w:val="00970F45"/>
    <w:rsid w:val="00971FD3"/>
    <w:rsid w:val="00972B1F"/>
    <w:rsid w:val="00973232"/>
    <w:rsid w:val="00973AE1"/>
    <w:rsid w:val="00973F21"/>
    <w:rsid w:val="00974293"/>
    <w:rsid w:val="00974AED"/>
    <w:rsid w:val="00974EC0"/>
    <w:rsid w:val="00975823"/>
    <w:rsid w:val="00977D79"/>
    <w:rsid w:val="00980034"/>
    <w:rsid w:val="009807B6"/>
    <w:rsid w:val="009807B8"/>
    <w:rsid w:val="00980850"/>
    <w:rsid w:val="00980B6C"/>
    <w:rsid w:val="009810C4"/>
    <w:rsid w:val="00981AE6"/>
    <w:rsid w:val="00982408"/>
    <w:rsid w:val="00982BCC"/>
    <w:rsid w:val="00982E2A"/>
    <w:rsid w:val="00983A69"/>
    <w:rsid w:val="00983FFD"/>
    <w:rsid w:val="009843B6"/>
    <w:rsid w:val="009843CC"/>
    <w:rsid w:val="009848D2"/>
    <w:rsid w:val="00984B10"/>
    <w:rsid w:val="00984C6A"/>
    <w:rsid w:val="00985255"/>
    <w:rsid w:val="009856A3"/>
    <w:rsid w:val="009862AF"/>
    <w:rsid w:val="009864B2"/>
    <w:rsid w:val="00986A01"/>
    <w:rsid w:val="00987B47"/>
    <w:rsid w:val="00990747"/>
    <w:rsid w:val="0099092F"/>
    <w:rsid w:val="00991B10"/>
    <w:rsid w:val="00991EB3"/>
    <w:rsid w:val="00992153"/>
    <w:rsid w:val="00992170"/>
    <w:rsid w:val="009924B2"/>
    <w:rsid w:val="009927C0"/>
    <w:rsid w:val="00992C8B"/>
    <w:rsid w:val="00993558"/>
    <w:rsid w:val="00993CE8"/>
    <w:rsid w:val="00993E7D"/>
    <w:rsid w:val="00993FCD"/>
    <w:rsid w:val="00994915"/>
    <w:rsid w:val="009954A4"/>
    <w:rsid w:val="00995729"/>
    <w:rsid w:val="00995A3F"/>
    <w:rsid w:val="00995D74"/>
    <w:rsid w:val="00996409"/>
    <w:rsid w:val="009966B8"/>
    <w:rsid w:val="009968F5"/>
    <w:rsid w:val="0099701B"/>
    <w:rsid w:val="009972B5"/>
    <w:rsid w:val="0099750D"/>
    <w:rsid w:val="00997B7C"/>
    <w:rsid w:val="00997C87"/>
    <w:rsid w:val="00997EE5"/>
    <w:rsid w:val="00997EEE"/>
    <w:rsid w:val="009A0031"/>
    <w:rsid w:val="009A0510"/>
    <w:rsid w:val="009A08D1"/>
    <w:rsid w:val="009A0ACB"/>
    <w:rsid w:val="009A1E24"/>
    <w:rsid w:val="009A3756"/>
    <w:rsid w:val="009A38A6"/>
    <w:rsid w:val="009A3B55"/>
    <w:rsid w:val="009A3B92"/>
    <w:rsid w:val="009A3FD5"/>
    <w:rsid w:val="009A44B8"/>
    <w:rsid w:val="009A50B4"/>
    <w:rsid w:val="009A5381"/>
    <w:rsid w:val="009A53FF"/>
    <w:rsid w:val="009A577B"/>
    <w:rsid w:val="009A5F01"/>
    <w:rsid w:val="009A69C9"/>
    <w:rsid w:val="009A774C"/>
    <w:rsid w:val="009A7901"/>
    <w:rsid w:val="009B0A46"/>
    <w:rsid w:val="009B0F62"/>
    <w:rsid w:val="009B1000"/>
    <w:rsid w:val="009B1212"/>
    <w:rsid w:val="009B2669"/>
    <w:rsid w:val="009B2870"/>
    <w:rsid w:val="009B2A6A"/>
    <w:rsid w:val="009B2AB4"/>
    <w:rsid w:val="009B2BDE"/>
    <w:rsid w:val="009B3088"/>
    <w:rsid w:val="009B355C"/>
    <w:rsid w:val="009B3A1E"/>
    <w:rsid w:val="009B4332"/>
    <w:rsid w:val="009B4A36"/>
    <w:rsid w:val="009B5E85"/>
    <w:rsid w:val="009B607F"/>
    <w:rsid w:val="009B60BB"/>
    <w:rsid w:val="009B623C"/>
    <w:rsid w:val="009B6447"/>
    <w:rsid w:val="009B657E"/>
    <w:rsid w:val="009B65A7"/>
    <w:rsid w:val="009B6D6A"/>
    <w:rsid w:val="009B6DC8"/>
    <w:rsid w:val="009B74D5"/>
    <w:rsid w:val="009B7A97"/>
    <w:rsid w:val="009B7B00"/>
    <w:rsid w:val="009C0017"/>
    <w:rsid w:val="009C0391"/>
    <w:rsid w:val="009C06A4"/>
    <w:rsid w:val="009C0AF7"/>
    <w:rsid w:val="009C0B24"/>
    <w:rsid w:val="009C0CF8"/>
    <w:rsid w:val="009C0D09"/>
    <w:rsid w:val="009C0D3A"/>
    <w:rsid w:val="009C0F94"/>
    <w:rsid w:val="009C177D"/>
    <w:rsid w:val="009C1852"/>
    <w:rsid w:val="009C1F6E"/>
    <w:rsid w:val="009C2193"/>
    <w:rsid w:val="009C2E09"/>
    <w:rsid w:val="009C3240"/>
    <w:rsid w:val="009C3738"/>
    <w:rsid w:val="009C39B8"/>
    <w:rsid w:val="009C3B97"/>
    <w:rsid w:val="009C43D6"/>
    <w:rsid w:val="009C4561"/>
    <w:rsid w:val="009C474B"/>
    <w:rsid w:val="009C48BC"/>
    <w:rsid w:val="009C51E3"/>
    <w:rsid w:val="009C5DA1"/>
    <w:rsid w:val="009C5EB6"/>
    <w:rsid w:val="009C68E6"/>
    <w:rsid w:val="009C6ACB"/>
    <w:rsid w:val="009C711E"/>
    <w:rsid w:val="009C72F9"/>
    <w:rsid w:val="009C7950"/>
    <w:rsid w:val="009C7AD4"/>
    <w:rsid w:val="009C7BF9"/>
    <w:rsid w:val="009C7EB1"/>
    <w:rsid w:val="009D0B21"/>
    <w:rsid w:val="009D0BB9"/>
    <w:rsid w:val="009D0F83"/>
    <w:rsid w:val="009D2456"/>
    <w:rsid w:val="009D27FD"/>
    <w:rsid w:val="009D2BC6"/>
    <w:rsid w:val="009D3A1B"/>
    <w:rsid w:val="009D3BEF"/>
    <w:rsid w:val="009D3C95"/>
    <w:rsid w:val="009D43E2"/>
    <w:rsid w:val="009D4681"/>
    <w:rsid w:val="009D4CAC"/>
    <w:rsid w:val="009D51B2"/>
    <w:rsid w:val="009D5693"/>
    <w:rsid w:val="009D6B09"/>
    <w:rsid w:val="009D6BDF"/>
    <w:rsid w:val="009D6DD6"/>
    <w:rsid w:val="009D7677"/>
    <w:rsid w:val="009D767C"/>
    <w:rsid w:val="009D782E"/>
    <w:rsid w:val="009D7A14"/>
    <w:rsid w:val="009E0532"/>
    <w:rsid w:val="009E06FA"/>
    <w:rsid w:val="009E074D"/>
    <w:rsid w:val="009E0828"/>
    <w:rsid w:val="009E0838"/>
    <w:rsid w:val="009E0F71"/>
    <w:rsid w:val="009E16E8"/>
    <w:rsid w:val="009E21FB"/>
    <w:rsid w:val="009E227E"/>
    <w:rsid w:val="009E237C"/>
    <w:rsid w:val="009E25DB"/>
    <w:rsid w:val="009E2A92"/>
    <w:rsid w:val="009E2BD9"/>
    <w:rsid w:val="009E2C62"/>
    <w:rsid w:val="009E3119"/>
    <w:rsid w:val="009E3161"/>
    <w:rsid w:val="009E3C6B"/>
    <w:rsid w:val="009E3FA6"/>
    <w:rsid w:val="009E4257"/>
    <w:rsid w:val="009E4634"/>
    <w:rsid w:val="009E49AB"/>
    <w:rsid w:val="009E4E4B"/>
    <w:rsid w:val="009E4E8D"/>
    <w:rsid w:val="009E4FDB"/>
    <w:rsid w:val="009E536B"/>
    <w:rsid w:val="009E53B7"/>
    <w:rsid w:val="009E56FE"/>
    <w:rsid w:val="009E58B3"/>
    <w:rsid w:val="009E5A1B"/>
    <w:rsid w:val="009E5D24"/>
    <w:rsid w:val="009E62EC"/>
    <w:rsid w:val="009E69BD"/>
    <w:rsid w:val="009E6D70"/>
    <w:rsid w:val="009E6DBC"/>
    <w:rsid w:val="009E6EE5"/>
    <w:rsid w:val="009E74A8"/>
    <w:rsid w:val="009E7708"/>
    <w:rsid w:val="009E7AFA"/>
    <w:rsid w:val="009E7B89"/>
    <w:rsid w:val="009F0304"/>
    <w:rsid w:val="009F0390"/>
    <w:rsid w:val="009F0DAF"/>
    <w:rsid w:val="009F1F9A"/>
    <w:rsid w:val="009F25E5"/>
    <w:rsid w:val="009F3D01"/>
    <w:rsid w:val="009F4837"/>
    <w:rsid w:val="009F49FC"/>
    <w:rsid w:val="009F4AED"/>
    <w:rsid w:val="009F4F34"/>
    <w:rsid w:val="009F5C06"/>
    <w:rsid w:val="009F641E"/>
    <w:rsid w:val="009F6CFB"/>
    <w:rsid w:val="009F7027"/>
    <w:rsid w:val="009F7156"/>
    <w:rsid w:val="009F778B"/>
    <w:rsid w:val="009F7E62"/>
    <w:rsid w:val="00A0016A"/>
    <w:rsid w:val="00A00DEE"/>
    <w:rsid w:val="00A0150B"/>
    <w:rsid w:val="00A01D5A"/>
    <w:rsid w:val="00A0269E"/>
    <w:rsid w:val="00A0320D"/>
    <w:rsid w:val="00A03429"/>
    <w:rsid w:val="00A03C00"/>
    <w:rsid w:val="00A053C3"/>
    <w:rsid w:val="00A05484"/>
    <w:rsid w:val="00A05BF6"/>
    <w:rsid w:val="00A05F43"/>
    <w:rsid w:val="00A061B4"/>
    <w:rsid w:val="00A065E4"/>
    <w:rsid w:val="00A072F8"/>
    <w:rsid w:val="00A0744E"/>
    <w:rsid w:val="00A07A51"/>
    <w:rsid w:val="00A07BFC"/>
    <w:rsid w:val="00A1039E"/>
    <w:rsid w:val="00A10437"/>
    <w:rsid w:val="00A105AE"/>
    <w:rsid w:val="00A10793"/>
    <w:rsid w:val="00A10863"/>
    <w:rsid w:val="00A10CA0"/>
    <w:rsid w:val="00A10E16"/>
    <w:rsid w:val="00A10E83"/>
    <w:rsid w:val="00A111AE"/>
    <w:rsid w:val="00A11A43"/>
    <w:rsid w:val="00A11C86"/>
    <w:rsid w:val="00A12018"/>
    <w:rsid w:val="00A120B5"/>
    <w:rsid w:val="00A12955"/>
    <w:rsid w:val="00A12B86"/>
    <w:rsid w:val="00A130AB"/>
    <w:rsid w:val="00A13765"/>
    <w:rsid w:val="00A143AE"/>
    <w:rsid w:val="00A1476F"/>
    <w:rsid w:val="00A14BCE"/>
    <w:rsid w:val="00A14CF8"/>
    <w:rsid w:val="00A1515E"/>
    <w:rsid w:val="00A1526E"/>
    <w:rsid w:val="00A154A0"/>
    <w:rsid w:val="00A155A7"/>
    <w:rsid w:val="00A1597A"/>
    <w:rsid w:val="00A15B37"/>
    <w:rsid w:val="00A15C74"/>
    <w:rsid w:val="00A15EEC"/>
    <w:rsid w:val="00A15F24"/>
    <w:rsid w:val="00A16495"/>
    <w:rsid w:val="00A1662C"/>
    <w:rsid w:val="00A16644"/>
    <w:rsid w:val="00A16B94"/>
    <w:rsid w:val="00A16CA8"/>
    <w:rsid w:val="00A16F47"/>
    <w:rsid w:val="00A1797C"/>
    <w:rsid w:val="00A179A5"/>
    <w:rsid w:val="00A17A1B"/>
    <w:rsid w:val="00A17CD6"/>
    <w:rsid w:val="00A200A2"/>
    <w:rsid w:val="00A2016C"/>
    <w:rsid w:val="00A20A89"/>
    <w:rsid w:val="00A210AC"/>
    <w:rsid w:val="00A210D8"/>
    <w:rsid w:val="00A21A8C"/>
    <w:rsid w:val="00A21C98"/>
    <w:rsid w:val="00A220A4"/>
    <w:rsid w:val="00A2272A"/>
    <w:rsid w:val="00A22A24"/>
    <w:rsid w:val="00A22D63"/>
    <w:rsid w:val="00A22D85"/>
    <w:rsid w:val="00A232DD"/>
    <w:rsid w:val="00A23524"/>
    <w:rsid w:val="00A23B2C"/>
    <w:rsid w:val="00A23F1F"/>
    <w:rsid w:val="00A23FB2"/>
    <w:rsid w:val="00A242AF"/>
    <w:rsid w:val="00A24744"/>
    <w:rsid w:val="00A247F9"/>
    <w:rsid w:val="00A24AA7"/>
    <w:rsid w:val="00A24D37"/>
    <w:rsid w:val="00A24F37"/>
    <w:rsid w:val="00A250B8"/>
    <w:rsid w:val="00A251AB"/>
    <w:rsid w:val="00A257AD"/>
    <w:rsid w:val="00A2591A"/>
    <w:rsid w:val="00A25A0F"/>
    <w:rsid w:val="00A25A40"/>
    <w:rsid w:val="00A25B49"/>
    <w:rsid w:val="00A25CB0"/>
    <w:rsid w:val="00A267E8"/>
    <w:rsid w:val="00A26EAB"/>
    <w:rsid w:val="00A27614"/>
    <w:rsid w:val="00A27749"/>
    <w:rsid w:val="00A27B3E"/>
    <w:rsid w:val="00A27B5C"/>
    <w:rsid w:val="00A27D91"/>
    <w:rsid w:val="00A27FF3"/>
    <w:rsid w:val="00A30153"/>
    <w:rsid w:val="00A301AF"/>
    <w:rsid w:val="00A30308"/>
    <w:rsid w:val="00A308A3"/>
    <w:rsid w:val="00A31098"/>
    <w:rsid w:val="00A311D4"/>
    <w:rsid w:val="00A313A6"/>
    <w:rsid w:val="00A31C30"/>
    <w:rsid w:val="00A31C5D"/>
    <w:rsid w:val="00A31CEA"/>
    <w:rsid w:val="00A31D7A"/>
    <w:rsid w:val="00A32094"/>
    <w:rsid w:val="00A323D3"/>
    <w:rsid w:val="00A32FAA"/>
    <w:rsid w:val="00A33546"/>
    <w:rsid w:val="00A33ED3"/>
    <w:rsid w:val="00A33FC5"/>
    <w:rsid w:val="00A3431F"/>
    <w:rsid w:val="00A3487A"/>
    <w:rsid w:val="00A35246"/>
    <w:rsid w:val="00A362D9"/>
    <w:rsid w:val="00A369FD"/>
    <w:rsid w:val="00A36D41"/>
    <w:rsid w:val="00A36EFC"/>
    <w:rsid w:val="00A37A46"/>
    <w:rsid w:val="00A37D29"/>
    <w:rsid w:val="00A4002A"/>
    <w:rsid w:val="00A40FD7"/>
    <w:rsid w:val="00A41087"/>
    <w:rsid w:val="00A41721"/>
    <w:rsid w:val="00A417D0"/>
    <w:rsid w:val="00A41814"/>
    <w:rsid w:val="00A41C8B"/>
    <w:rsid w:val="00A4223B"/>
    <w:rsid w:val="00A43309"/>
    <w:rsid w:val="00A43B1F"/>
    <w:rsid w:val="00A43E92"/>
    <w:rsid w:val="00A43EE4"/>
    <w:rsid w:val="00A448A3"/>
    <w:rsid w:val="00A449DD"/>
    <w:rsid w:val="00A45670"/>
    <w:rsid w:val="00A45EE6"/>
    <w:rsid w:val="00A46493"/>
    <w:rsid w:val="00A464F7"/>
    <w:rsid w:val="00A46955"/>
    <w:rsid w:val="00A46D5A"/>
    <w:rsid w:val="00A46E94"/>
    <w:rsid w:val="00A47158"/>
    <w:rsid w:val="00A47625"/>
    <w:rsid w:val="00A5007E"/>
    <w:rsid w:val="00A501D9"/>
    <w:rsid w:val="00A50F02"/>
    <w:rsid w:val="00A51163"/>
    <w:rsid w:val="00A512CD"/>
    <w:rsid w:val="00A51397"/>
    <w:rsid w:val="00A518CC"/>
    <w:rsid w:val="00A5287D"/>
    <w:rsid w:val="00A529F1"/>
    <w:rsid w:val="00A52A8F"/>
    <w:rsid w:val="00A535E5"/>
    <w:rsid w:val="00A53C60"/>
    <w:rsid w:val="00A5407D"/>
    <w:rsid w:val="00A54A92"/>
    <w:rsid w:val="00A54B68"/>
    <w:rsid w:val="00A54BA2"/>
    <w:rsid w:val="00A55070"/>
    <w:rsid w:val="00A55204"/>
    <w:rsid w:val="00A56871"/>
    <w:rsid w:val="00A57607"/>
    <w:rsid w:val="00A5790E"/>
    <w:rsid w:val="00A60D24"/>
    <w:rsid w:val="00A610A9"/>
    <w:rsid w:val="00A6119C"/>
    <w:rsid w:val="00A611C2"/>
    <w:rsid w:val="00A613A1"/>
    <w:rsid w:val="00A61B38"/>
    <w:rsid w:val="00A61D42"/>
    <w:rsid w:val="00A61DEB"/>
    <w:rsid w:val="00A6243E"/>
    <w:rsid w:val="00A62A09"/>
    <w:rsid w:val="00A633AD"/>
    <w:rsid w:val="00A63D9D"/>
    <w:rsid w:val="00A64841"/>
    <w:rsid w:val="00A64CC7"/>
    <w:rsid w:val="00A65147"/>
    <w:rsid w:val="00A6646C"/>
    <w:rsid w:val="00A66CCA"/>
    <w:rsid w:val="00A67471"/>
    <w:rsid w:val="00A67A86"/>
    <w:rsid w:val="00A706A9"/>
    <w:rsid w:val="00A70D1D"/>
    <w:rsid w:val="00A70D6C"/>
    <w:rsid w:val="00A7203C"/>
    <w:rsid w:val="00A722BA"/>
    <w:rsid w:val="00A7232B"/>
    <w:rsid w:val="00A727A0"/>
    <w:rsid w:val="00A72F38"/>
    <w:rsid w:val="00A73569"/>
    <w:rsid w:val="00A7363F"/>
    <w:rsid w:val="00A73782"/>
    <w:rsid w:val="00A73CF9"/>
    <w:rsid w:val="00A740F1"/>
    <w:rsid w:val="00A74987"/>
    <w:rsid w:val="00A74FC0"/>
    <w:rsid w:val="00A757C3"/>
    <w:rsid w:val="00A75C10"/>
    <w:rsid w:val="00A75DA4"/>
    <w:rsid w:val="00A76019"/>
    <w:rsid w:val="00A762AC"/>
    <w:rsid w:val="00A763AA"/>
    <w:rsid w:val="00A76566"/>
    <w:rsid w:val="00A766F8"/>
    <w:rsid w:val="00A76E8B"/>
    <w:rsid w:val="00A76EAE"/>
    <w:rsid w:val="00A7789E"/>
    <w:rsid w:val="00A77A72"/>
    <w:rsid w:val="00A77CC5"/>
    <w:rsid w:val="00A80204"/>
    <w:rsid w:val="00A805E8"/>
    <w:rsid w:val="00A8074B"/>
    <w:rsid w:val="00A80918"/>
    <w:rsid w:val="00A81318"/>
    <w:rsid w:val="00A813C3"/>
    <w:rsid w:val="00A8143C"/>
    <w:rsid w:val="00A81F2A"/>
    <w:rsid w:val="00A820E3"/>
    <w:rsid w:val="00A82CC8"/>
    <w:rsid w:val="00A82E7E"/>
    <w:rsid w:val="00A831C3"/>
    <w:rsid w:val="00A83972"/>
    <w:rsid w:val="00A83CDB"/>
    <w:rsid w:val="00A84C58"/>
    <w:rsid w:val="00A85188"/>
    <w:rsid w:val="00A865D5"/>
    <w:rsid w:val="00A867BF"/>
    <w:rsid w:val="00A868A9"/>
    <w:rsid w:val="00A86F94"/>
    <w:rsid w:val="00A87174"/>
    <w:rsid w:val="00A8740E"/>
    <w:rsid w:val="00A90806"/>
    <w:rsid w:val="00A9110C"/>
    <w:rsid w:val="00A91380"/>
    <w:rsid w:val="00A91A3F"/>
    <w:rsid w:val="00A91BE5"/>
    <w:rsid w:val="00A920E1"/>
    <w:rsid w:val="00A92476"/>
    <w:rsid w:val="00A9291A"/>
    <w:rsid w:val="00A9390F"/>
    <w:rsid w:val="00A939ED"/>
    <w:rsid w:val="00A93AC7"/>
    <w:rsid w:val="00A93BF8"/>
    <w:rsid w:val="00A94170"/>
    <w:rsid w:val="00A943C0"/>
    <w:rsid w:val="00A94D01"/>
    <w:rsid w:val="00A95898"/>
    <w:rsid w:val="00A95A23"/>
    <w:rsid w:val="00A96029"/>
    <w:rsid w:val="00A961DA"/>
    <w:rsid w:val="00A965C7"/>
    <w:rsid w:val="00A96766"/>
    <w:rsid w:val="00A96A6B"/>
    <w:rsid w:val="00A96AEB"/>
    <w:rsid w:val="00A96BDF"/>
    <w:rsid w:val="00A96FE2"/>
    <w:rsid w:val="00A972BE"/>
    <w:rsid w:val="00A979F1"/>
    <w:rsid w:val="00A979F8"/>
    <w:rsid w:val="00A97EBD"/>
    <w:rsid w:val="00AA0088"/>
    <w:rsid w:val="00AA0466"/>
    <w:rsid w:val="00AA04CA"/>
    <w:rsid w:val="00AA0DAA"/>
    <w:rsid w:val="00AA19FB"/>
    <w:rsid w:val="00AA1A98"/>
    <w:rsid w:val="00AA1C9F"/>
    <w:rsid w:val="00AA223C"/>
    <w:rsid w:val="00AA308E"/>
    <w:rsid w:val="00AA3C95"/>
    <w:rsid w:val="00AA48B5"/>
    <w:rsid w:val="00AA52D5"/>
    <w:rsid w:val="00AA58CA"/>
    <w:rsid w:val="00AA58F4"/>
    <w:rsid w:val="00AA5AEF"/>
    <w:rsid w:val="00AA6044"/>
    <w:rsid w:val="00AA6BA3"/>
    <w:rsid w:val="00AA6CA8"/>
    <w:rsid w:val="00AA71C2"/>
    <w:rsid w:val="00AA75A1"/>
    <w:rsid w:val="00AA77B2"/>
    <w:rsid w:val="00AA77E6"/>
    <w:rsid w:val="00AB0258"/>
    <w:rsid w:val="00AB02D2"/>
    <w:rsid w:val="00AB0DEF"/>
    <w:rsid w:val="00AB1056"/>
    <w:rsid w:val="00AB118B"/>
    <w:rsid w:val="00AB127B"/>
    <w:rsid w:val="00AB179A"/>
    <w:rsid w:val="00AB1CFA"/>
    <w:rsid w:val="00AB244F"/>
    <w:rsid w:val="00AB25E7"/>
    <w:rsid w:val="00AB2AB1"/>
    <w:rsid w:val="00AB32AA"/>
    <w:rsid w:val="00AB350F"/>
    <w:rsid w:val="00AB36E6"/>
    <w:rsid w:val="00AB3781"/>
    <w:rsid w:val="00AB38A5"/>
    <w:rsid w:val="00AB3E6C"/>
    <w:rsid w:val="00AB46C7"/>
    <w:rsid w:val="00AB4A21"/>
    <w:rsid w:val="00AB4E40"/>
    <w:rsid w:val="00AB531A"/>
    <w:rsid w:val="00AB5654"/>
    <w:rsid w:val="00AB59D5"/>
    <w:rsid w:val="00AB6083"/>
    <w:rsid w:val="00AB6154"/>
    <w:rsid w:val="00AB6190"/>
    <w:rsid w:val="00AB675A"/>
    <w:rsid w:val="00AB6B59"/>
    <w:rsid w:val="00AB6C4E"/>
    <w:rsid w:val="00AB6D88"/>
    <w:rsid w:val="00AB6F31"/>
    <w:rsid w:val="00AB7104"/>
    <w:rsid w:val="00AB7785"/>
    <w:rsid w:val="00AB7A43"/>
    <w:rsid w:val="00AB7A57"/>
    <w:rsid w:val="00AB7B87"/>
    <w:rsid w:val="00AC009E"/>
    <w:rsid w:val="00AC04D7"/>
    <w:rsid w:val="00AC06D6"/>
    <w:rsid w:val="00AC0EA0"/>
    <w:rsid w:val="00AC1AA6"/>
    <w:rsid w:val="00AC1F85"/>
    <w:rsid w:val="00AC2195"/>
    <w:rsid w:val="00AC23E2"/>
    <w:rsid w:val="00AC2BCC"/>
    <w:rsid w:val="00AC2DF3"/>
    <w:rsid w:val="00AC34BD"/>
    <w:rsid w:val="00AC367C"/>
    <w:rsid w:val="00AC4328"/>
    <w:rsid w:val="00AC43C0"/>
    <w:rsid w:val="00AC44A4"/>
    <w:rsid w:val="00AC48D7"/>
    <w:rsid w:val="00AC4A6B"/>
    <w:rsid w:val="00AC564A"/>
    <w:rsid w:val="00AC56F4"/>
    <w:rsid w:val="00AC61BE"/>
    <w:rsid w:val="00AC67FB"/>
    <w:rsid w:val="00AC6BE9"/>
    <w:rsid w:val="00AC6BF4"/>
    <w:rsid w:val="00AC717F"/>
    <w:rsid w:val="00AC741E"/>
    <w:rsid w:val="00AC7FBF"/>
    <w:rsid w:val="00AD0330"/>
    <w:rsid w:val="00AD0336"/>
    <w:rsid w:val="00AD05F6"/>
    <w:rsid w:val="00AD068D"/>
    <w:rsid w:val="00AD0EEE"/>
    <w:rsid w:val="00AD13C5"/>
    <w:rsid w:val="00AD193C"/>
    <w:rsid w:val="00AD19E8"/>
    <w:rsid w:val="00AD22EB"/>
    <w:rsid w:val="00AD2432"/>
    <w:rsid w:val="00AD24DB"/>
    <w:rsid w:val="00AD2BFD"/>
    <w:rsid w:val="00AD2CB7"/>
    <w:rsid w:val="00AD2E17"/>
    <w:rsid w:val="00AD3120"/>
    <w:rsid w:val="00AD3E7F"/>
    <w:rsid w:val="00AD4580"/>
    <w:rsid w:val="00AD512E"/>
    <w:rsid w:val="00AD515F"/>
    <w:rsid w:val="00AD5BEB"/>
    <w:rsid w:val="00AD630B"/>
    <w:rsid w:val="00AD632C"/>
    <w:rsid w:val="00AD657E"/>
    <w:rsid w:val="00AD7186"/>
    <w:rsid w:val="00AD74BD"/>
    <w:rsid w:val="00AD74D3"/>
    <w:rsid w:val="00AD7717"/>
    <w:rsid w:val="00AD7B49"/>
    <w:rsid w:val="00AD7BFF"/>
    <w:rsid w:val="00AD7CDC"/>
    <w:rsid w:val="00AD7F34"/>
    <w:rsid w:val="00AE0739"/>
    <w:rsid w:val="00AE0930"/>
    <w:rsid w:val="00AE0B35"/>
    <w:rsid w:val="00AE0F40"/>
    <w:rsid w:val="00AE0F66"/>
    <w:rsid w:val="00AE1540"/>
    <w:rsid w:val="00AE1A57"/>
    <w:rsid w:val="00AE2066"/>
    <w:rsid w:val="00AE2518"/>
    <w:rsid w:val="00AE26C2"/>
    <w:rsid w:val="00AE280E"/>
    <w:rsid w:val="00AE2979"/>
    <w:rsid w:val="00AE2F87"/>
    <w:rsid w:val="00AE385C"/>
    <w:rsid w:val="00AE459D"/>
    <w:rsid w:val="00AE5A58"/>
    <w:rsid w:val="00AE6E8E"/>
    <w:rsid w:val="00AE6FDB"/>
    <w:rsid w:val="00AE7D79"/>
    <w:rsid w:val="00AF02B6"/>
    <w:rsid w:val="00AF0383"/>
    <w:rsid w:val="00AF048D"/>
    <w:rsid w:val="00AF0761"/>
    <w:rsid w:val="00AF0955"/>
    <w:rsid w:val="00AF0B11"/>
    <w:rsid w:val="00AF0C24"/>
    <w:rsid w:val="00AF0D1F"/>
    <w:rsid w:val="00AF0DA8"/>
    <w:rsid w:val="00AF0E3E"/>
    <w:rsid w:val="00AF10AC"/>
    <w:rsid w:val="00AF1533"/>
    <w:rsid w:val="00AF1613"/>
    <w:rsid w:val="00AF18F4"/>
    <w:rsid w:val="00AF1C31"/>
    <w:rsid w:val="00AF1CC3"/>
    <w:rsid w:val="00AF20A7"/>
    <w:rsid w:val="00AF23E7"/>
    <w:rsid w:val="00AF2D0D"/>
    <w:rsid w:val="00AF3307"/>
    <w:rsid w:val="00AF3587"/>
    <w:rsid w:val="00AF370F"/>
    <w:rsid w:val="00AF37E1"/>
    <w:rsid w:val="00AF3845"/>
    <w:rsid w:val="00AF3E7C"/>
    <w:rsid w:val="00AF4488"/>
    <w:rsid w:val="00AF4C94"/>
    <w:rsid w:val="00AF4EBD"/>
    <w:rsid w:val="00AF527D"/>
    <w:rsid w:val="00AF59E5"/>
    <w:rsid w:val="00AF5E3D"/>
    <w:rsid w:val="00AF6AC3"/>
    <w:rsid w:val="00AF6BCD"/>
    <w:rsid w:val="00AF7090"/>
    <w:rsid w:val="00AF779A"/>
    <w:rsid w:val="00AF7DE2"/>
    <w:rsid w:val="00B001BF"/>
    <w:rsid w:val="00B01277"/>
    <w:rsid w:val="00B0134C"/>
    <w:rsid w:val="00B01B30"/>
    <w:rsid w:val="00B01D08"/>
    <w:rsid w:val="00B02F1B"/>
    <w:rsid w:val="00B02FEC"/>
    <w:rsid w:val="00B03263"/>
    <w:rsid w:val="00B036CB"/>
    <w:rsid w:val="00B0404D"/>
    <w:rsid w:val="00B04C3B"/>
    <w:rsid w:val="00B04DCF"/>
    <w:rsid w:val="00B05964"/>
    <w:rsid w:val="00B05C2A"/>
    <w:rsid w:val="00B06CB1"/>
    <w:rsid w:val="00B06D42"/>
    <w:rsid w:val="00B0751F"/>
    <w:rsid w:val="00B07EC8"/>
    <w:rsid w:val="00B1031D"/>
    <w:rsid w:val="00B10410"/>
    <w:rsid w:val="00B1050D"/>
    <w:rsid w:val="00B1070A"/>
    <w:rsid w:val="00B10B06"/>
    <w:rsid w:val="00B10E02"/>
    <w:rsid w:val="00B10E7D"/>
    <w:rsid w:val="00B11968"/>
    <w:rsid w:val="00B1211A"/>
    <w:rsid w:val="00B121DA"/>
    <w:rsid w:val="00B122EE"/>
    <w:rsid w:val="00B12A86"/>
    <w:rsid w:val="00B13133"/>
    <w:rsid w:val="00B13426"/>
    <w:rsid w:val="00B1374A"/>
    <w:rsid w:val="00B1377D"/>
    <w:rsid w:val="00B1393B"/>
    <w:rsid w:val="00B145EB"/>
    <w:rsid w:val="00B14902"/>
    <w:rsid w:val="00B14A91"/>
    <w:rsid w:val="00B14ABE"/>
    <w:rsid w:val="00B14EB8"/>
    <w:rsid w:val="00B15130"/>
    <w:rsid w:val="00B155CA"/>
    <w:rsid w:val="00B15644"/>
    <w:rsid w:val="00B1592A"/>
    <w:rsid w:val="00B15BCB"/>
    <w:rsid w:val="00B15D5A"/>
    <w:rsid w:val="00B15D78"/>
    <w:rsid w:val="00B15DB7"/>
    <w:rsid w:val="00B16340"/>
    <w:rsid w:val="00B16D88"/>
    <w:rsid w:val="00B175BC"/>
    <w:rsid w:val="00B176D1"/>
    <w:rsid w:val="00B1771F"/>
    <w:rsid w:val="00B201E9"/>
    <w:rsid w:val="00B203F0"/>
    <w:rsid w:val="00B20A8C"/>
    <w:rsid w:val="00B227E0"/>
    <w:rsid w:val="00B22AAE"/>
    <w:rsid w:val="00B22AE3"/>
    <w:rsid w:val="00B230C6"/>
    <w:rsid w:val="00B23155"/>
    <w:rsid w:val="00B23224"/>
    <w:rsid w:val="00B23838"/>
    <w:rsid w:val="00B238EF"/>
    <w:rsid w:val="00B23E1B"/>
    <w:rsid w:val="00B24F11"/>
    <w:rsid w:val="00B24FFD"/>
    <w:rsid w:val="00B2536D"/>
    <w:rsid w:val="00B25E3D"/>
    <w:rsid w:val="00B26743"/>
    <w:rsid w:val="00B2681A"/>
    <w:rsid w:val="00B26BBA"/>
    <w:rsid w:val="00B26F16"/>
    <w:rsid w:val="00B27176"/>
    <w:rsid w:val="00B30409"/>
    <w:rsid w:val="00B30629"/>
    <w:rsid w:val="00B3062E"/>
    <w:rsid w:val="00B30C3E"/>
    <w:rsid w:val="00B30CA0"/>
    <w:rsid w:val="00B30FC6"/>
    <w:rsid w:val="00B3111C"/>
    <w:rsid w:val="00B3180B"/>
    <w:rsid w:val="00B31CE4"/>
    <w:rsid w:val="00B326A8"/>
    <w:rsid w:val="00B326D0"/>
    <w:rsid w:val="00B32A3F"/>
    <w:rsid w:val="00B32F9A"/>
    <w:rsid w:val="00B333C1"/>
    <w:rsid w:val="00B33A21"/>
    <w:rsid w:val="00B34529"/>
    <w:rsid w:val="00B34B79"/>
    <w:rsid w:val="00B34DC5"/>
    <w:rsid w:val="00B34EEB"/>
    <w:rsid w:val="00B358CD"/>
    <w:rsid w:val="00B35FA9"/>
    <w:rsid w:val="00B36BA2"/>
    <w:rsid w:val="00B36EE0"/>
    <w:rsid w:val="00B37A4E"/>
    <w:rsid w:val="00B37D47"/>
    <w:rsid w:val="00B37DDF"/>
    <w:rsid w:val="00B37E2A"/>
    <w:rsid w:val="00B37FEF"/>
    <w:rsid w:val="00B401C5"/>
    <w:rsid w:val="00B40911"/>
    <w:rsid w:val="00B409B1"/>
    <w:rsid w:val="00B40D93"/>
    <w:rsid w:val="00B412F4"/>
    <w:rsid w:val="00B41B63"/>
    <w:rsid w:val="00B4222B"/>
    <w:rsid w:val="00B4242B"/>
    <w:rsid w:val="00B433B2"/>
    <w:rsid w:val="00B43DE5"/>
    <w:rsid w:val="00B43E76"/>
    <w:rsid w:val="00B446F1"/>
    <w:rsid w:val="00B44869"/>
    <w:rsid w:val="00B44B3A"/>
    <w:rsid w:val="00B44B91"/>
    <w:rsid w:val="00B44CAE"/>
    <w:rsid w:val="00B44D10"/>
    <w:rsid w:val="00B45108"/>
    <w:rsid w:val="00B45248"/>
    <w:rsid w:val="00B454DE"/>
    <w:rsid w:val="00B459B9"/>
    <w:rsid w:val="00B45B01"/>
    <w:rsid w:val="00B45CE0"/>
    <w:rsid w:val="00B4609F"/>
    <w:rsid w:val="00B4616D"/>
    <w:rsid w:val="00B463F8"/>
    <w:rsid w:val="00B46CA5"/>
    <w:rsid w:val="00B46FD6"/>
    <w:rsid w:val="00B47362"/>
    <w:rsid w:val="00B47916"/>
    <w:rsid w:val="00B47B1E"/>
    <w:rsid w:val="00B47D8B"/>
    <w:rsid w:val="00B50001"/>
    <w:rsid w:val="00B50595"/>
    <w:rsid w:val="00B50933"/>
    <w:rsid w:val="00B50B4B"/>
    <w:rsid w:val="00B5118A"/>
    <w:rsid w:val="00B5126F"/>
    <w:rsid w:val="00B51608"/>
    <w:rsid w:val="00B51A24"/>
    <w:rsid w:val="00B51BBC"/>
    <w:rsid w:val="00B51E81"/>
    <w:rsid w:val="00B5205C"/>
    <w:rsid w:val="00B5239C"/>
    <w:rsid w:val="00B528A6"/>
    <w:rsid w:val="00B52C1F"/>
    <w:rsid w:val="00B52C5F"/>
    <w:rsid w:val="00B5303B"/>
    <w:rsid w:val="00B536A5"/>
    <w:rsid w:val="00B5393C"/>
    <w:rsid w:val="00B5400C"/>
    <w:rsid w:val="00B5482A"/>
    <w:rsid w:val="00B54967"/>
    <w:rsid w:val="00B54BFB"/>
    <w:rsid w:val="00B55285"/>
    <w:rsid w:val="00B55291"/>
    <w:rsid w:val="00B55707"/>
    <w:rsid w:val="00B55CE7"/>
    <w:rsid w:val="00B56382"/>
    <w:rsid w:val="00B572DC"/>
    <w:rsid w:val="00B5773A"/>
    <w:rsid w:val="00B57E74"/>
    <w:rsid w:val="00B603E3"/>
    <w:rsid w:val="00B604E3"/>
    <w:rsid w:val="00B605C0"/>
    <w:rsid w:val="00B605FA"/>
    <w:rsid w:val="00B60858"/>
    <w:rsid w:val="00B6112D"/>
    <w:rsid w:val="00B61B95"/>
    <w:rsid w:val="00B61FF0"/>
    <w:rsid w:val="00B622A3"/>
    <w:rsid w:val="00B62807"/>
    <w:rsid w:val="00B62AFC"/>
    <w:rsid w:val="00B62ED6"/>
    <w:rsid w:val="00B63193"/>
    <w:rsid w:val="00B6338D"/>
    <w:rsid w:val="00B63511"/>
    <w:rsid w:val="00B63A87"/>
    <w:rsid w:val="00B63CAA"/>
    <w:rsid w:val="00B64169"/>
    <w:rsid w:val="00B64475"/>
    <w:rsid w:val="00B64B01"/>
    <w:rsid w:val="00B64BBB"/>
    <w:rsid w:val="00B64C55"/>
    <w:rsid w:val="00B65212"/>
    <w:rsid w:val="00B65242"/>
    <w:rsid w:val="00B657BD"/>
    <w:rsid w:val="00B66188"/>
    <w:rsid w:val="00B6713A"/>
    <w:rsid w:val="00B67264"/>
    <w:rsid w:val="00B672EC"/>
    <w:rsid w:val="00B6763B"/>
    <w:rsid w:val="00B67EFD"/>
    <w:rsid w:val="00B67FF4"/>
    <w:rsid w:val="00B71076"/>
    <w:rsid w:val="00B71205"/>
    <w:rsid w:val="00B71A56"/>
    <w:rsid w:val="00B71FA8"/>
    <w:rsid w:val="00B7243F"/>
    <w:rsid w:val="00B72498"/>
    <w:rsid w:val="00B72684"/>
    <w:rsid w:val="00B72761"/>
    <w:rsid w:val="00B72C56"/>
    <w:rsid w:val="00B731B9"/>
    <w:rsid w:val="00B73321"/>
    <w:rsid w:val="00B735E6"/>
    <w:rsid w:val="00B7428B"/>
    <w:rsid w:val="00B74740"/>
    <w:rsid w:val="00B747EC"/>
    <w:rsid w:val="00B755DE"/>
    <w:rsid w:val="00B75D1E"/>
    <w:rsid w:val="00B765E6"/>
    <w:rsid w:val="00B76814"/>
    <w:rsid w:val="00B76A22"/>
    <w:rsid w:val="00B77614"/>
    <w:rsid w:val="00B801D2"/>
    <w:rsid w:val="00B807CD"/>
    <w:rsid w:val="00B80B4E"/>
    <w:rsid w:val="00B811A7"/>
    <w:rsid w:val="00B81CB9"/>
    <w:rsid w:val="00B820A4"/>
    <w:rsid w:val="00B821D4"/>
    <w:rsid w:val="00B82479"/>
    <w:rsid w:val="00B82B2D"/>
    <w:rsid w:val="00B8358B"/>
    <w:rsid w:val="00B83C2F"/>
    <w:rsid w:val="00B84491"/>
    <w:rsid w:val="00B8463E"/>
    <w:rsid w:val="00B846BC"/>
    <w:rsid w:val="00B846C9"/>
    <w:rsid w:val="00B85567"/>
    <w:rsid w:val="00B85EAB"/>
    <w:rsid w:val="00B861A8"/>
    <w:rsid w:val="00B86A70"/>
    <w:rsid w:val="00B86B4D"/>
    <w:rsid w:val="00B873B0"/>
    <w:rsid w:val="00B87AEB"/>
    <w:rsid w:val="00B87B30"/>
    <w:rsid w:val="00B90663"/>
    <w:rsid w:val="00B90E3B"/>
    <w:rsid w:val="00B91021"/>
    <w:rsid w:val="00B9149F"/>
    <w:rsid w:val="00B91E42"/>
    <w:rsid w:val="00B9242A"/>
    <w:rsid w:val="00B927CC"/>
    <w:rsid w:val="00B92B63"/>
    <w:rsid w:val="00B93232"/>
    <w:rsid w:val="00B93602"/>
    <w:rsid w:val="00B938F9"/>
    <w:rsid w:val="00B939E6"/>
    <w:rsid w:val="00B93C99"/>
    <w:rsid w:val="00B93DAA"/>
    <w:rsid w:val="00B94069"/>
    <w:rsid w:val="00B94409"/>
    <w:rsid w:val="00B94678"/>
    <w:rsid w:val="00B947B4"/>
    <w:rsid w:val="00B94B67"/>
    <w:rsid w:val="00B94D9F"/>
    <w:rsid w:val="00B94F91"/>
    <w:rsid w:val="00B95DFB"/>
    <w:rsid w:val="00B95E56"/>
    <w:rsid w:val="00B96030"/>
    <w:rsid w:val="00B9627D"/>
    <w:rsid w:val="00B96883"/>
    <w:rsid w:val="00BA0EC8"/>
    <w:rsid w:val="00BA1343"/>
    <w:rsid w:val="00BA19AC"/>
    <w:rsid w:val="00BA1F82"/>
    <w:rsid w:val="00BA2209"/>
    <w:rsid w:val="00BA2362"/>
    <w:rsid w:val="00BA273E"/>
    <w:rsid w:val="00BA2E0C"/>
    <w:rsid w:val="00BA326D"/>
    <w:rsid w:val="00BA34AD"/>
    <w:rsid w:val="00BA3752"/>
    <w:rsid w:val="00BA4008"/>
    <w:rsid w:val="00BA411F"/>
    <w:rsid w:val="00BA4491"/>
    <w:rsid w:val="00BA481D"/>
    <w:rsid w:val="00BA48EE"/>
    <w:rsid w:val="00BA51CF"/>
    <w:rsid w:val="00BA5752"/>
    <w:rsid w:val="00BA5CA1"/>
    <w:rsid w:val="00BA64CA"/>
    <w:rsid w:val="00BA6A95"/>
    <w:rsid w:val="00BA6C51"/>
    <w:rsid w:val="00BA6CC8"/>
    <w:rsid w:val="00BA6DA2"/>
    <w:rsid w:val="00BB0333"/>
    <w:rsid w:val="00BB0D5C"/>
    <w:rsid w:val="00BB11E2"/>
    <w:rsid w:val="00BB1286"/>
    <w:rsid w:val="00BB1339"/>
    <w:rsid w:val="00BB1401"/>
    <w:rsid w:val="00BB187D"/>
    <w:rsid w:val="00BB2850"/>
    <w:rsid w:val="00BB30CC"/>
    <w:rsid w:val="00BB33AA"/>
    <w:rsid w:val="00BB35B1"/>
    <w:rsid w:val="00BB3B85"/>
    <w:rsid w:val="00BB3B89"/>
    <w:rsid w:val="00BB3C7C"/>
    <w:rsid w:val="00BB3D1F"/>
    <w:rsid w:val="00BB4B39"/>
    <w:rsid w:val="00BB5143"/>
    <w:rsid w:val="00BB5B52"/>
    <w:rsid w:val="00BB6414"/>
    <w:rsid w:val="00BB6472"/>
    <w:rsid w:val="00BB6B15"/>
    <w:rsid w:val="00BB6F87"/>
    <w:rsid w:val="00BB79E3"/>
    <w:rsid w:val="00BC0B5C"/>
    <w:rsid w:val="00BC0E8C"/>
    <w:rsid w:val="00BC11D0"/>
    <w:rsid w:val="00BC127E"/>
    <w:rsid w:val="00BC13C0"/>
    <w:rsid w:val="00BC1423"/>
    <w:rsid w:val="00BC1D56"/>
    <w:rsid w:val="00BC1E06"/>
    <w:rsid w:val="00BC2C8A"/>
    <w:rsid w:val="00BC2DA8"/>
    <w:rsid w:val="00BC305E"/>
    <w:rsid w:val="00BC3568"/>
    <w:rsid w:val="00BC3F1D"/>
    <w:rsid w:val="00BC4081"/>
    <w:rsid w:val="00BC4FAB"/>
    <w:rsid w:val="00BC5BE3"/>
    <w:rsid w:val="00BC5E77"/>
    <w:rsid w:val="00BC5FA7"/>
    <w:rsid w:val="00BC70B4"/>
    <w:rsid w:val="00BC713A"/>
    <w:rsid w:val="00BC769A"/>
    <w:rsid w:val="00BC7897"/>
    <w:rsid w:val="00BD00AA"/>
    <w:rsid w:val="00BD0330"/>
    <w:rsid w:val="00BD03F2"/>
    <w:rsid w:val="00BD0490"/>
    <w:rsid w:val="00BD0B5A"/>
    <w:rsid w:val="00BD12A0"/>
    <w:rsid w:val="00BD12C1"/>
    <w:rsid w:val="00BD15A6"/>
    <w:rsid w:val="00BD17B0"/>
    <w:rsid w:val="00BD1803"/>
    <w:rsid w:val="00BD1CFC"/>
    <w:rsid w:val="00BD20B0"/>
    <w:rsid w:val="00BD235A"/>
    <w:rsid w:val="00BD26E1"/>
    <w:rsid w:val="00BD2A0A"/>
    <w:rsid w:val="00BD31CA"/>
    <w:rsid w:val="00BD34CD"/>
    <w:rsid w:val="00BD381E"/>
    <w:rsid w:val="00BD38FB"/>
    <w:rsid w:val="00BD3F22"/>
    <w:rsid w:val="00BD4462"/>
    <w:rsid w:val="00BD45CF"/>
    <w:rsid w:val="00BD46F1"/>
    <w:rsid w:val="00BD481A"/>
    <w:rsid w:val="00BD4C55"/>
    <w:rsid w:val="00BD4CD0"/>
    <w:rsid w:val="00BD4D20"/>
    <w:rsid w:val="00BD4E13"/>
    <w:rsid w:val="00BD503C"/>
    <w:rsid w:val="00BD54B3"/>
    <w:rsid w:val="00BD5668"/>
    <w:rsid w:val="00BD64EC"/>
    <w:rsid w:val="00BD6BEC"/>
    <w:rsid w:val="00BD72EB"/>
    <w:rsid w:val="00BD78DE"/>
    <w:rsid w:val="00BD7AB3"/>
    <w:rsid w:val="00BD7B20"/>
    <w:rsid w:val="00BD7BFB"/>
    <w:rsid w:val="00BE0530"/>
    <w:rsid w:val="00BE12F2"/>
    <w:rsid w:val="00BE18C0"/>
    <w:rsid w:val="00BE2068"/>
    <w:rsid w:val="00BE2B56"/>
    <w:rsid w:val="00BE2B89"/>
    <w:rsid w:val="00BE2F6C"/>
    <w:rsid w:val="00BE35D5"/>
    <w:rsid w:val="00BE3DFD"/>
    <w:rsid w:val="00BE3F49"/>
    <w:rsid w:val="00BE3FFB"/>
    <w:rsid w:val="00BE4B30"/>
    <w:rsid w:val="00BE5588"/>
    <w:rsid w:val="00BE571C"/>
    <w:rsid w:val="00BE591C"/>
    <w:rsid w:val="00BE60E4"/>
    <w:rsid w:val="00BE6356"/>
    <w:rsid w:val="00BE65E7"/>
    <w:rsid w:val="00BE6BB8"/>
    <w:rsid w:val="00BE6EBB"/>
    <w:rsid w:val="00BF005B"/>
    <w:rsid w:val="00BF00A5"/>
    <w:rsid w:val="00BF01F1"/>
    <w:rsid w:val="00BF06B3"/>
    <w:rsid w:val="00BF0701"/>
    <w:rsid w:val="00BF0D41"/>
    <w:rsid w:val="00BF0E34"/>
    <w:rsid w:val="00BF1383"/>
    <w:rsid w:val="00BF1A00"/>
    <w:rsid w:val="00BF1C46"/>
    <w:rsid w:val="00BF1E8C"/>
    <w:rsid w:val="00BF2370"/>
    <w:rsid w:val="00BF34A1"/>
    <w:rsid w:val="00BF3555"/>
    <w:rsid w:val="00BF3C98"/>
    <w:rsid w:val="00BF4017"/>
    <w:rsid w:val="00BF4274"/>
    <w:rsid w:val="00BF4463"/>
    <w:rsid w:val="00BF44E8"/>
    <w:rsid w:val="00BF52CC"/>
    <w:rsid w:val="00BF5427"/>
    <w:rsid w:val="00BF5451"/>
    <w:rsid w:val="00BF5C3C"/>
    <w:rsid w:val="00BF6321"/>
    <w:rsid w:val="00BF7031"/>
    <w:rsid w:val="00BF75B6"/>
    <w:rsid w:val="00BF75E9"/>
    <w:rsid w:val="00BF7A78"/>
    <w:rsid w:val="00BF7DAB"/>
    <w:rsid w:val="00BF7E85"/>
    <w:rsid w:val="00C00175"/>
    <w:rsid w:val="00C001D6"/>
    <w:rsid w:val="00C00C64"/>
    <w:rsid w:val="00C00F87"/>
    <w:rsid w:val="00C022A3"/>
    <w:rsid w:val="00C02523"/>
    <w:rsid w:val="00C02D07"/>
    <w:rsid w:val="00C02F2B"/>
    <w:rsid w:val="00C03AEC"/>
    <w:rsid w:val="00C04355"/>
    <w:rsid w:val="00C049FE"/>
    <w:rsid w:val="00C0590A"/>
    <w:rsid w:val="00C059FD"/>
    <w:rsid w:val="00C05BF7"/>
    <w:rsid w:val="00C05C4E"/>
    <w:rsid w:val="00C05DEC"/>
    <w:rsid w:val="00C0646B"/>
    <w:rsid w:val="00C069AB"/>
    <w:rsid w:val="00C06E97"/>
    <w:rsid w:val="00C07702"/>
    <w:rsid w:val="00C07EA0"/>
    <w:rsid w:val="00C10127"/>
    <w:rsid w:val="00C10267"/>
    <w:rsid w:val="00C1101A"/>
    <w:rsid w:val="00C12230"/>
    <w:rsid w:val="00C135FC"/>
    <w:rsid w:val="00C13697"/>
    <w:rsid w:val="00C13BBC"/>
    <w:rsid w:val="00C1425D"/>
    <w:rsid w:val="00C14BAA"/>
    <w:rsid w:val="00C14D9D"/>
    <w:rsid w:val="00C151B8"/>
    <w:rsid w:val="00C159D5"/>
    <w:rsid w:val="00C15F64"/>
    <w:rsid w:val="00C1610F"/>
    <w:rsid w:val="00C16279"/>
    <w:rsid w:val="00C165AB"/>
    <w:rsid w:val="00C16870"/>
    <w:rsid w:val="00C1702B"/>
    <w:rsid w:val="00C172BD"/>
    <w:rsid w:val="00C173FC"/>
    <w:rsid w:val="00C17523"/>
    <w:rsid w:val="00C17D7C"/>
    <w:rsid w:val="00C17E31"/>
    <w:rsid w:val="00C20436"/>
    <w:rsid w:val="00C204E0"/>
    <w:rsid w:val="00C20CD2"/>
    <w:rsid w:val="00C21AD6"/>
    <w:rsid w:val="00C21B99"/>
    <w:rsid w:val="00C22E17"/>
    <w:rsid w:val="00C22E66"/>
    <w:rsid w:val="00C23627"/>
    <w:rsid w:val="00C238FF"/>
    <w:rsid w:val="00C241F7"/>
    <w:rsid w:val="00C246B0"/>
    <w:rsid w:val="00C24A1F"/>
    <w:rsid w:val="00C24FC4"/>
    <w:rsid w:val="00C254A2"/>
    <w:rsid w:val="00C25B33"/>
    <w:rsid w:val="00C25E70"/>
    <w:rsid w:val="00C26490"/>
    <w:rsid w:val="00C26986"/>
    <w:rsid w:val="00C26E29"/>
    <w:rsid w:val="00C2741E"/>
    <w:rsid w:val="00C2750F"/>
    <w:rsid w:val="00C27C53"/>
    <w:rsid w:val="00C27E71"/>
    <w:rsid w:val="00C301D7"/>
    <w:rsid w:val="00C301E2"/>
    <w:rsid w:val="00C30AE6"/>
    <w:rsid w:val="00C3133B"/>
    <w:rsid w:val="00C316BE"/>
    <w:rsid w:val="00C3188C"/>
    <w:rsid w:val="00C321E8"/>
    <w:rsid w:val="00C32367"/>
    <w:rsid w:val="00C32503"/>
    <w:rsid w:val="00C32676"/>
    <w:rsid w:val="00C3287D"/>
    <w:rsid w:val="00C33085"/>
    <w:rsid w:val="00C3311F"/>
    <w:rsid w:val="00C3345D"/>
    <w:rsid w:val="00C334A6"/>
    <w:rsid w:val="00C33A0A"/>
    <w:rsid w:val="00C34023"/>
    <w:rsid w:val="00C3458B"/>
    <w:rsid w:val="00C3460E"/>
    <w:rsid w:val="00C34619"/>
    <w:rsid w:val="00C3484E"/>
    <w:rsid w:val="00C34AF6"/>
    <w:rsid w:val="00C353F7"/>
    <w:rsid w:val="00C355C9"/>
    <w:rsid w:val="00C35BEC"/>
    <w:rsid w:val="00C35BFF"/>
    <w:rsid w:val="00C35CA6"/>
    <w:rsid w:val="00C36243"/>
    <w:rsid w:val="00C37798"/>
    <w:rsid w:val="00C379E6"/>
    <w:rsid w:val="00C37FA2"/>
    <w:rsid w:val="00C4126C"/>
    <w:rsid w:val="00C41281"/>
    <w:rsid w:val="00C416D6"/>
    <w:rsid w:val="00C41A21"/>
    <w:rsid w:val="00C42891"/>
    <w:rsid w:val="00C42A0C"/>
    <w:rsid w:val="00C4332F"/>
    <w:rsid w:val="00C4348B"/>
    <w:rsid w:val="00C43B4B"/>
    <w:rsid w:val="00C43FC6"/>
    <w:rsid w:val="00C43FC7"/>
    <w:rsid w:val="00C44281"/>
    <w:rsid w:val="00C442BA"/>
    <w:rsid w:val="00C44430"/>
    <w:rsid w:val="00C4476A"/>
    <w:rsid w:val="00C44DDD"/>
    <w:rsid w:val="00C44E0E"/>
    <w:rsid w:val="00C459F9"/>
    <w:rsid w:val="00C45BDC"/>
    <w:rsid w:val="00C46413"/>
    <w:rsid w:val="00C464A3"/>
    <w:rsid w:val="00C465B1"/>
    <w:rsid w:val="00C46A02"/>
    <w:rsid w:val="00C46BEE"/>
    <w:rsid w:val="00C47232"/>
    <w:rsid w:val="00C47E74"/>
    <w:rsid w:val="00C50534"/>
    <w:rsid w:val="00C50D75"/>
    <w:rsid w:val="00C51AD7"/>
    <w:rsid w:val="00C528B2"/>
    <w:rsid w:val="00C53487"/>
    <w:rsid w:val="00C539AF"/>
    <w:rsid w:val="00C53D04"/>
    <w:rsid w:val="00C53F77"/>
    <w:rsid w:val="00C53FD1"/>
    <w:rsid w:val="00C540D4"/>
    <w:rsid w:val="00C5468D"/>
    <w:rsid w:val="00C55E15"/>
    <w:rsid w:val="00C56F8D"/>
    <w:rsid w:val="00C5762E"/>
    <w:rsid w:val="00C60051"/>
    <w:rsid w:val="00C60EB7"/>
    <w:rsid w:val="00C613EC"/>
    <w:rsid w:val="00C621A8"/>
    <w:rsid w:val="00C62863"/>
    <w:rsid w:val="00C632A2"/>
    <w:rsid w:val="00C632FA"/>
    <w:rsid w:val="00C644C3"/>
    <w:rsid w:val="00C64BFD"/>
    <w:rsid w:val="00C65646"/>
    <w:rsid w:val="00C65747"/>
    <w:rsid w:val="00C65A81"/>
    <w:rsid w:val="00C66D58"/>
    <w:rsid w:val="00C66FC7"/>
    <w:rsid w:val="00C6714E"/>
    <w:rsid w:val="00C672E3"/>
    <w:rsid w:val="00C679C9"/>
    <w:rsid w:val="00C67BFB"/>
    <w:rsid w:val="00C67FFD"/>
    <w:rsid w:val="00C70437"/>
    <w:rsid w:val="00C70555"/>
    <w:rsid w:val="00C70CD9"/>
    <w:rsid w:val="00C71405"/>
    <w:rsid w:val="00C72F8C"/>
    <w:rsid w:val="00C730FC"/>
    <w:rsid w:val="00C7358D"/>
    <w:rsid w:val="00C738C9"/>
    <w:rsid w:val="00C73EB6"/>
    <w:rsid w:val="00C740B7"/>
    <w:rsid w:val="00C7418A"/>
    <w:rsid w:val="00C74687"/>
    <w:rsid w:val="00C74C63"/>
    <w:rsid w:val="00C74DA1"/>
    <w:rsid w:val="00C74E2B"/>
    <w:rsid w:val="00C74F27"/>
    <w:rsid w:val="00C74FBD"/>
    <w:rsid w:val="00C7522B"/>
    <w:rsid w:val="00C75577"/>
    <w:rsid w:val="00C75A7F"/>
    <w:rsid w:val="00C75F9E"/>
    <w:rsid w:val="00C7656D"/>
    <w:rsid w:val="00C765F6"/>
    <w:rsid w:val="00C76762"/>
    <w:rsid w:val="00C77B55"/>
    <w:rsid w:val="00C801F2"/>
    <w:rsid w:val="00C80F68"/>
    <w:rsid w:val="00C81123"/>
    <w:rsid w:val="00C81853"/>
    <w:rsid w:val="00C81B7A"/>
    <w:rsid w:val="00C81FFD"/>
    <w:rsid w:val="00C8210A"/>
    <w:rsid w:val="00C827D5"/>
    <w:rsid w:val="00C828B2"/>
    <w:rsid w:val="00C82F46"/>
    <w:rsid w:val="00C83224"/>
    <w:rsid w:val="00C832C3"/>
    <w:rsid w:val="00C833D5"/>
    <w:rsid w:val="00C8348D"/>
    <w:rsid w:val="00C83CF6"/>
    <w:rsid w:val="00C844DD"/>
    <w:rsid w:val="00C84BD5"/>
    <w:rsid w:val="00C84E5E"/>
    <w:rsid w:val="00C85790"/>
    <w:rsid w:val="00C85DA5"/>
    <w:rsid w:val="00C86018"/>
    <w:rsid w:val="00C8625A"/>
    <w:rsid w:val="00C864C4"/>
    <w:rsid w:val="00C8680F"/>
    <w:rsid w:val="00C8683D"/>
    <w:rsid w:val="00C868DA"/>
    <w:rsid w:val="00C86D88"/>
    <w:rsid w:val="00C86EA0"/>
    <w:rsid w:val="00C8710B"/>
    <w:rsid w:val="00C872FF"/>
    <w:rsid w:val="00C87782"/>
    <w:rsid w:val="00C903E4"/>
    <w:rsid w:val="00C904FC"/>
    <w:rsid w:val="00C905B5"/>
    <w:rsid w:val="00C90C2C"/>
    <w:rsid w:val="00C913E3"/>
    <w:rsid w:val="00C91B5A"/>
    <w:rsid w:val="00C91E5D"/>
    <w:rsid w:val="00C921AF"/>
    <w:rsid w:val="00C92CAF"/>
    <w:rsid w:val="00C92D3E"/>
    <w:rsid w:val="00C933F0"/>
    <w:rsid w:val="00C9358D"/>
    <w:rsid w:val="00C938BC"/>
    <w:rsid w:val="00C93933"/>
    <w:rsid w:val="00C94399"/>
    <w:rsid w:val="00C94B85"/>
    <w:rsid w:val="00C9508B"/>
    <w:rsid w:val="00C969D5"/>
    <w:rsid w:val="00C96A3F"/>
    <w:rsid w:val="00C96AA5"/>
    <w:rsid w:val="00C96BEE"/>
    <w:rsid w:val="00C96F45"/>
    <w:rsid w:val="00C96F51"/>
    <w:rsid w:val="00C9748E"/>
    <w:rsid w:val="00C976CD"/>
    <w:rsid w:val="00C9777C"/>
    <w:rsid w:val="00C97FD9"/>
    <w:rsid w:val="00CA005F"/>
    <w:rsid w:val="00CA00F1"/>
    <w:rsid w:val="00CA0677"/>
    <w:rsid w:val="00CA0BCA"/>
    <w:rsid w:val="00CA0C08"/>
    <w:rsid w:val="00CA14DD"/>
    <w:rsid w:val="00CA1955"/>
    <w:rsid w:val="00CA23DB"/>
    <w:rsid w:val="00CA3204"/>
    <w:rsid w:val="00CA3484"/>
    <w:rsid w:val="00CA3597"/>
    <w:rsid w:val="00CA3997"/>
    <w:rsid w:val="00CA47F6"/>
    <w:rsid w:val="00CA4D5B"/>
    <w:rsid w:val="00CA50F8"/>
    <w:rsid w:val="00CA598F"/>
    <w:rsid w:val="00CA6CFE"/>
    <w:rsid w:val="00CA6F81"/>
    <w:rsid w:val="00CA7DF9"/>
    <w:rsid w:val="00CA7F97"/>
    <w:rsid w:val="00CB0260"/>
    <w:rsid w:val="00CB0F14"/>
    <w:rsid w:val="00CB0F8B"/>
    <w:rsid w:val="00CB1017"/>
    <w:rsid w:val="00CB16C0"/>
    <w:rsid w:val="00CB181B"/>
    <w:rsid w:val="00CB205D"/>
    <w:rsid w:val="00CB26E9"/>
    <w:rsid w:val="00CB2E07"/>
    <w:rsid w:val="00CB2E68"/>
    <w:rsid w:val="00CB313F"/>
    <w:rsid w:val="00CB33DF"/>
    <w:rsid w:val="00CB3D6A"/>
    <w:rsid w:val="00CB45EE"/>
    <w:rsid w:val="00CB492B"/>
    <w:rsid w:val="00CB4AB4"/>
    <w:rsid w:val="00CB4CA5"/>
    <w:rsid w:val="00CB4EDE"/>
    <w:rsid w:val="00CB523D"/>
    <w:rsid w:val="00CB5C65"/>
    <w:rsid w:val="00CB5E43"/>
    <w:rsid w:val="00CB5F57"/>
    <w:rsid w:val="00CB6063"/>
    <w:rsid w:val="00CB6C7B"/>
    <w:rsid w:val="00CB6E79"/>
    <w:rsid w:val="00CB6F3D"/>
    <w:rsid w:val="00CB7262"/>
    <w:rsid w:val="00CC07EA"/>
    <w:rsid w:val="00CC0A4A"/>
    <w:rsid w:val="00CC0AD5"/>
    <w:rsid w:val="00CC104A"/>
    <w:rsid w:val="00CC1A56"/>
    <w:rsid w:val="00CC1D8E"/>
    <w:rsid w:val="00CC20EB"/>
    <w:rsid w:val="00CC23BD"/>
    <w:rsid w:val="00CC240D"/>
    <w:rsid w:val="00CC2992"/>
    <w:rsid w:val="00CC2AE7"/>
    <w:rsid w:val="00CC396D"/>
    <w:rsid w:val="00CC400D"/>
    <w:rsid w:val="00CC5950"/>
    <w:rsid w:val="00CC6766"/>
    <w:rsid w:val="00CC6BD3"/>
    <w:rsid w:val="00CC70B9"/>
    <w:rsid w:val="00CC7253"/>
    <w:rsid w:val="00CC7541"/>
    <w:rsid w:val="00CC7620"/>
    <w:rsid w:val="00CC7F11"/>
    <w:rsid w:val="00CD0E5E"/>
    <w:rsid w:val="00CD0FCC"/>
    <w:rsid w:val="00CD1283"/>
    <w:rsid w:val="00CD139A"/>
    <w:rsid w:val="00CD1746"/>
    <w:rsid w:val="00CD1890"/>
    <w:rsid w:val="00CD261F"/>
    <w:rsid w:val="00CD27E1"/>
    <w:rsid w:val="00CD2A95"/>
    <w:rsid w:val="00CD38EB"/>
    <w:rsid w:val="00CD3C45"/>
    <w:rsid w:val="00CD454E"/>
    <w:rsid w:val="00CD4E2F"/>
    <w:rsid w:val="00CD4FD5"/>
    <w:rsid w:val="00CD5189"/>
    <w:rsid w:val="00CD5426"/>
    <w:rsid w:val="00CD5940"/>
    <w:rsid w:val="00CD5D43"/>
    <w:rsid w:val="00CD613A"/>
    <w:rsid w:val="00CD631A"/>
    <w:rsid w:val="00CD6A41"/>
    <w:rsid w:val="00CD6DB8"/>
    <w:rsid w:val="00CD6E7D"/>
    <w:rsid w:val="00CD703A"/>
    <w:rsid w:val="00CD70E0"/>
    <w:rsid w:val="00CD73E8"/>
    <w:rsid w:val="00CD75D6"/>
    <w:rsid w:val="00CD7AFA"/>
    <w:rsid w:val="00CD7F79"/>
    <w:rsid w:val="00CE0878"/>
    <w:rsid w:val="00CE091A"/>
    <w:rsid w:val="00CE0FED"/>
    <w:rsid w:val="00CE172A"/>
    <w:rsid w:val="00CE24D3"/>
    <w:rsid w:val="00CE2DD6"/>
    <w:rsid w:val="00CE3446"/>
    <w:rsid w:val="00CE344F"/>
    <w:rsid w:val="00CE3687"/>
    <w:rsid w:val="00CE417D"/>
    <w:rsid w:val="00CE42F6"/>
    <w:rsid w:val="00CE44C5"/>
    <w:rsid w:val="00CE4F1D"/>
    <w:rsid w:val="00CE550B"/>
    <w:rsid w:val="00CE5972"/>
    <w:rsid w:val="00CE5C9E"/>
    <w:rsid w:val="00CE5E7A"/>
    <w:rsid w:val="00CE6532"/>
    <w:rsid w:val="00CE682B"/>
    <w:rsid w:val="00CE6F6B"/>
    <w:rsid w:val="00CE6F93"/>
    <w:rsid w:val="00CE6FF7"/>
    <w:rsid w:val="00CE78E1"/>
    <w:rsid w:val="00CE7C89"/>
    <w:rsid w:val="00CE7D3F"/>
    <w:rsid w:val="00CF036D"/>
    <w:rsid w:val="00CF0533"/>
    <w:rsid w:val="00CF0687"/>
    <w:rsid w:val="00CF078B"/>
    <w:rsid w:val="00CF0F1F"/>
    <w:rsid w:val="00CF0FDC"/>
    <w:rsid w:val="00CF119C"/>
    <w:rsid w:val="00CF14EA"/>
    <w:rsid w:val="00CF16DC"/>
    <w:rsid w:val="00CF1F97"/>
    <w:rsid w:val="00CF2489"/>
    <w:rsid w:val="00CF24C0"/>
    <w:rsid w:val="00CF298E"/>
    <w:rsid w:val="00CF3598"/>
    <w:rsid w:val="00CF3E1A"/>
    <w:rsid w:val="00CF4CA2"/>
    <w:rsid w:val="00CF4E6A"/>
    <w:rsid w:val="00CF4EAC"/>
    <w:rsid w:val="00CF55B4"/>
    <w:rsid w:val="00CF5D3D"/>
    <w:rsid w:val="00CF60B4"/>
    <w:rsid w:val="00CF627E"/>
    <w:rsid w:val="00CF69FB"/>
    <w:rsid w:val="00CF79A0"/>
    <w:rsid w:val="00CF7FFE"/>
    <w:rsid w:val="00D0061A"/>
    <w:rsid w:val="00D0081B"/>
    <w:rsid w:val="00D0152D"/>
    <w:rsid w:val="00D017C3"/>
    <w:rsid w:val="00D01E2B"/>
    <w:rsid w:val="00D01E77"/>
    <w:rsid w:val="00D02060"/>
    <w:rsid w:val="00D023E3"/>
    <w:rsid w:val="00D0395B"/>
    <w:rsid w:val="00D0414D"/>
    <w:rsid w:val="00D04D29"/>
    <w:rsid w:val="00D04DD6"/>
    <w:rsid w:val="00D056B5"/>
    <w:rsid w:val="00D05F7C"/>
    <w:rsid w:val="00D067A9"/>
    <w:rsid w:val="00D069B4"/>
    <w:rsid w:val="00D06C43"/>
    <w:rsid w:val="00D07200"/>
    <w:rsid w:val="00D07280"/>
    <w:rsid w:val="00D077CC"/>
    <w:rsid w:val="00D079E1"/>
    <w:rsid w:val="00D07A62"/>
    <w:rsid w:val="00D07CC7"/>
    <w:rsid w:val="00D07D9D"/>
    <w:rsid w:val="00D10178"/>
    <w:rsid w:val="00D105F0"/>
    <w:rsid w:val="00D1096C"/>
    <w:rsid w:val="00D1106E"/>
    <w:rsid w:val="00D117BB"/>
    <w:rsid w:val="00D1183C"/>
    <w:rsid w:val="00D1266E"/>
    <w:rsid w:val="00D1298A"/>
    <w:rsid w:val="00D12A26"/>
    <w:rsid w:val="00D12C55"/>
    <w:rsid w:val="00D12C94"/>
    <w:rsid w:val="00D12E8E"/>
    <w:rsid w:val="00D12F60"/>
    <w:rsid w:val="00D137D0"/>
    <w:rsid w:val="00D13A41"/>
    <w:rsid w:val="00D14CD1"/>
    <w:rsid w:val="00D150C7"/>
    <w:rsid w:val="00D15108"/>
    <w:rsid w:val="00D1550D"/>
    <w:rsid w:val="00D15B0F"/>
    <w:rsid w:val="00D16286"/>
    <w:rsid w:val="00D168F2"/>
    <w:rsid w:val="00D16DAC"/>
    <w:rsid w:val="00D17716"/>
    <w:rsid w:val="00D20102"/>
    <w:rsid w:val="00D2043F"/>
    <w:rsid w:val="00D20660"/>
    <w:rsid w:val="00D208B0"/>
    <w:rsid w:val="00D20CA5"/>
    <w:rsid w:val="00D21625"/>
    <w:rsid w:val="00D21B6D"/>
    <w:rsid w:val="00D22418"/>
    <w:rsid w:val="00D227D1"/>
    <w:rsid w:val="00D233A0"/>
    <w:rsid w:val="00D24245"/>
    <w:rsid w:val="00D24896"/>
    <w:rsid w:val="00D2505F"/>
    <w:rsid w:val="00D25091"/>
    <w:rsid w:val="00D255DC"/>
    <w:rsid w:val="00D25ED1"/>
    <w:rsid w:val="00D25FBE"/>
    <w:rsid w:val="00D26066"/>
    <w:rsid w:val="00D260C9"/>
    <w:rsid w:val="00D26EA0"/>
    <w:rsid w:val="00D26FF5"/>
    <w:rsid w:val="00D275EA"/>
    <w:rsid w:val="00D27737"/>
    <w:rsid w:val="00D2773D"/>
    <w:rsid w:val="00D27A6F"/>
    <w:rsid w:val="00D27D90"/>
    <w:rsid w:val="00D27E3E"/>
    <w:rsid w:val="00D3052A"/>
    <w:rsid w:val="00D306E5"/>
    <w:rsid w:val="00D30C20"/>
    <w:rsid w:val="00D3102F"/>
    <w:rsid w:val="00D310FB"/>
    <w:rsid w:val="00D312EF"/>
    <w:rsid w:val="00D31501"/>
    <w:rsid w:val="00D31577"/>
    <w:rsid w:val="00D319F3"/>
    <w:rsid w:val="00D31AAA"/>
    <w:rsid w:val="00D31F87"/>
    <w:rsid w:val="00D323F7"/>
    <w:rsid w:val="00D32A93"/>
    <w:rsid w:val="00D32AB2"/>
    <w:rsid w:val="00D33201"/>
    <w:rsid w:val="00D33233"/>
    <w:rsid w:val="00D332AC"/>
    <w:rsid w:val="00D33C39"/>
    <w:rsid w:val="00D33DE4"/>
    <w:rsid w:val="00D340C9"/>
    <w:rsid w:val="00D34AF1"/>
    <w:rsid w:val="00D34CD5"/>
    <w:rsid w:val="00D35301"/>
    <w:rsid w:val="00D35D4F"/>
    <w:rsid w:val="00D36025"/>
    <w:rsid w:val="00D36B37"/>
    <w:rsid w:val="00D37D70"/>
    <w:rsid w:val="00D402A9"/>
    <w:rsid w:val="00D402CC"/>
    <w:rsid w:val="00D406F0"/>
    <w:rsid w:val="00D4096A"/>
    <w:rsid w:val="00D41230"/>
    <w:rsid w:val="00D416BA"/>
    <w:rsid w:val="00D41869"/>
    <w:rsid w:val="00D41AFA"/>
    <w:rsid w:val="00D4278A"/>
    <w:rsid w:val="00D43171"/>
    <w:rsid w:val="00D43A81"/>
    <w:rsid w:val="00D4416B"/>
    <w:rsid w:val="00D4440A"/>
    <w:rsid w:val="00D45180"/>
    <w:rsid w:val="00D45657"/>
    <w:rsid w:val="00D457F0"/>
    <w:rsid w:val="00D45839"/>
    <w:rsid w:val="00D45961"/>
    <w:rsid w:val="00D46424"/>
    <w:rsid w:val="00D46758"/>
    <w:rsid w:val="00D46D58"/>
    <w:rsid w:val="00D474E7"/>
    <w:rsid w:val="00D47B26"/>
    <w:rsid w:val="00D5018B"/>
    <w:rsid w:val="00D50912"/>
    <w:rsid w:val="00D509A0"/>
    <w:rsid w:val="00D50B31"/>
    <w:rsid w:val="00D515E6"/>
    <w:rsid w:val="00D516EC"/>
    <w:rsid w:val="00D516EF"/>
    <w:rsid w:val="00D51825"/>
    <w:rsid w:val="00D520B4"/>
    <w:rsid w:val="00D524DC"/>
    <w:rsid w:val="00D52CF1"/>
    <w:rsid w:val="00D52F06"/>
    <w:rsid w:val="00D536F5"/>
    <w:rsid w:val="00D53D5F"/>
    <w:rsid w:val="00D544AB"/>
    <w:rsid w:val="00D54686"/>
    <w:rsid w:val="00D5483D"/>
    <w:rsid w:val="00D5510B"/>
    <w:rsid w:val="00D55A6F"/>
    <w:rsid w:val="00D55B03"/>
    <w:rsid w:val="00D55D7A"/>
    <w:rsid w:val="00D55E76"/>
    <w:rsid w:val="00D56009"/>
    <w:rsid w:val="00D562D9"/>
    <w:rsid w:val="00D563CF"/>
    <w:rsid w:val="00D56672"/>
    <w:rsid w:val="00D56DC4"/>
    <w:rsid w:val="00D56E8D"/>
    <w:rsid w:val="00D60483"/>
    <w:rsid w:val="00D607B0"/>
    <w:rsid w:val="00D6099B"/>
    <w:rsid w:val="00D60AF0"/>
    <w:rsid w:val="00D60B99"/>
    <w:rsid w:val="00D60F1C"/>
    <w:rsid w:val="00D61150"/>
    <w:rsid w:val="00D62169"/>
    <w:rsid w:val="00D627D5"/>
    <w:rsid w:val="00D62B6A"/>
    <w:rsid w:val="00D62B9C"/>
    <w:rsid w:val="00D63E7C"/>
    <w:rsid w:val="00D6415D"/>
    <w:rsid w:val="00D64EC5"/>
    <w:rsid w:val="00D65545"/>
    <w:rsid w:val="00D65FA4"/>
    <w:rsid w:val="00D672EF"/>
    <w:rsid w:val="00D70113"/>
    <w:rsid w:val="00D7043A"/>
    <w:rsid w:val="00D711F4"/>
    <w:rsid w:val="00D718AC"/>
    <w:rsid w:val="00D7203F"/>
    <w:rsid w:val="00D72071"/>
    <w:rsid w:val="00D7236A"/>
    <w:rsid w:val="00D72AE7"/>
    <w:rsid w:val="00D73132"/>
    <w:rsid w:val="00D75C85"/>
    <w:rsid w:val="00D75E04"/>
    <w:rsid w:val="00D761EB"/>
    <w:rsid w:val="00D76BC1"/>
    <w:rsid w:val="00D76D6E"/>
    <w:rsid w:val="00D7759B"/>
    <w:rsid w:val="00D77935"/>
    <w:rsid w:val="00D7796F"/>
    <w:rsid w:val="00D804D8"/>
    <w:rsid w:val="00D80910"/>
    <w:rsid w:val="00D80AD5"/>
    <w:rsid w:val="00D813D6"/>
    <w:rsid w:val="00D8150F"/>
    <w:rsid w:val="00D8169E"/>
    <w:rsid w:val="00D8175A"/>
    <w:rsid w:val="00D81D2E"/>
    <w:rsid w:val="00D81E9F"/>
    <w:rsid w:val="00D8223D"/>
    <w:rsid w:val="00D82511"/>
    <w:rsid w:val="00D82D22"/>
    <w:rsid w:val="00D830EF"/>
    <w:rsid w:val="00D83E92"/>
    <w:rsid w:val="00D841D3"/>
    <w:rsid w:val="00D845B5"/>
    <w:rsid w:val="00D846F6"/>
    <w:rsid w:val="00D84A09"/>
    <w:rsid w:val="00D84BEC"/>
    <w:rsid w:val="00D84F3C"/>
    <w:rsid w:val="00D85361"/>
    <w:rsid w:val="00D853B7"/>
    <w:rsid w:val="00D85580"/>
    <w:rsid w:val="00D85D30"/>
    <w:rsid w:val="00D86877"/>
    <w:rsid w:val="00D868DF"/>
    <w:rsid w:val="00D86DCD"/>
    <w:rsid w:val="00D873A1"/>
    <w:rsid w:val="00D877F5"/>
    <w:rsid w:val="00D900D6"/>
    <w:rsid w:val="00D90983"/>
    <w:rsid w:val="00D90C7E"/>
    <w:rsid w:val="00D91255"/>
    <w:rsid w:val="00D918A3"/>
    <w:rsid w:val="00D928DD"/>
    <w:rsid w:val="00D9327F"/>
    <w:rsid w:val="00D9389D"/>
    <w:rsid w:val="00D93B5F"/>
    <w:rsid w:val="00D93F19"/>
    <w:rsid w:val="00D94185"/>
    <w:rsid w:val="00D9425E"/>
    <w:rsid w:val="00D94607"/>
    <w:rsid w:val="00D947A7"/>
    <w:rsid w:val="00D94A74"/>
    <w:rsid w:val="00D95244"/>
    <w:rsid w:val="00D9528C"/>
    <w:rsid w:val="00D952A0"/>
    <w:rsid w:val="00D952C8"/>
    <w:rsid w:val="00D9561A"/>
    <w:rsid w:val="00D95BBE"/>
    <w:rsid w:val="00D95EB8"/>
    <w:rsid w:val="00D9659C"/>
    <w:rsid w:val="00D96B08"/>
    <w:rsid w:val="00D96C31"/>
    <w:rsid w:val="00D9708C"/>
    <w:rsid w:val="00D9728E"/>
    <w:rsid w:val="00D973E0"/>
    <w:rsid w:val="00DA032A"/>
    <w:rsid w:val="00DA033B"/>
    <w:rsid w:val="00DA1249"/>
    <w:rsid w:val="00DA14C8"/>
    <w:rsid w:val="00DA172E"/>
    <w:rsid w:val="00DA1A2E"/>
    <w:rsid w:val="00DA1FE6"/>
    <w:rsid w:val="00DA2356"/>
    <w:rsid w:val="00DA24D3"/>
    <w:rsid w:val="00DA295A"/>
    <w:rsid w:val="00DA2A24"/>
    <w:rsid w:val="00DA2E72"/>
    <w:rsid w:val="00DA31FD"/>
    <w:rsid w:val="00DA4090"/>
    <w:rsid w:val="00DA4483"/>
    <w:rsid w:val="00DA44CB"/>
    <w:rsid w:val="00DA4C19"/>
    <w:rsid w:val="00DA4E95"/>
    <w:rsid w:val="00DA5105"/>
    <w:rsid w:val="00DA52EF"/>
    <w:rsid w:val="00DA53F5"/>
    <w:rsid w:val="00DA60C8"/>
    <w:rsid w:val="00DA6315"/>
    <w:rsid w:val="00DA64DF"/>
    <w:rsid w:val="00DA6914"/>
    <w:rsid w:val="00DA69F1"/>
    <w:rsid w:val="00DA6D90"/>
    <w:rsid w:val="00DA72D6"/>
    <w:rsid w:val="00DA7C07"/>
    <w:rsid w:val="00DB023F"/>
    <w:rsid w:val="00DB0745"/>
    <w:rsid w:val="00DB0833"/>
    <w:rsid w:val="00DB0F0B"/>
    <w:rsid w:val="00DB106A"/>
    <w:rsid w:val="00DB12BE"/>
    <w:rsid w:val="00DB1483"/>
    <w:rsid w:val="00DB1C39"/>
    <w:rsid w:val="00DB266B"/>
    <w:rsid w:val="00DB281F"/>
    <w:rsid w:val="00DB323A"/>
    <w:rsid w:val="00DB3372"/>
    <w:rsid w:val="00DB33E2"/>
    <w:rsid w:val="00DB3D2D"/>
    <w:rsid w:val="00DB43AE"/>
    <w:rsid w:val="00DB5C2B"/>
    <w:rsid w:val="00DB6114"/>
    <w:rsid w:val="00DB6164"/>
    <w:rsid w:val="00DB6E49"/>
    <w:rsid w:val="00DB7026"/>
    <w:rsid w:val="00DB70B4"/>
    <w:rsid w:val="00DB713D"/>
    <w:rsid w:val="00DB74B8"/>
    <w:rsid w:val="00DB751E"/>
    <w:rsid w:val="00DC02CB"/>
    <w:rsid w:val="00DC08FC"/>
    <w:rsid w:val="00DC1379"/>
    <w:rsid w:val="00DC1A6C"/>
    <w:rsid w:val="00DC2C35"/>
    <w:rsid w:val="00DC376C"/>
    <w:rsid w:val="00DC3CCD"/>
    <w:rsid w:val="00DC3CD8"/>
    <w:rsid w:val="00DC3D1F"/>
    <w:rsid w:val="00DC3EF2"/>
    <w:rsid w:val="00DC4FE4"/>
    <w:rsid w:val="00DC524D"/>
    <w:rsid w:val="00DC5584"/>
    <w:rsid w:val="00DC57E5"/>
    <w:rsid w:val="00DC5942"/>
    <w:rsid w:val="00DC5BEC"/>
    <w:rsid w:val="00DC5F89"/>
    <w:rsid w:val="00DC72ED"/>
    <w:rsid w:val="00DC7A06"/>
    <w:rsid w:val="00DC7C92"/>
    <w:rsid w:val="00DD02F8"/>
    <w:rsid w:val="00DD0D09"/>
    <w:rsid w:val="00DD19AA"/>
    <w:rsid w:val="00DD22C6"/>
    <w:rsid w:val="00DD2E80"/>
    <w:rsid w:val="00DD38B7"/>
    <w:rsid w:val="00DD3901"/>
    <w:rsid w:val="00DD3BA7"/>
    <w:rsid w:val="00DD3EA1"/>
    <w:rsid w:val="00DD4145"/>
    <w:rsid w:val="00DD48CE"/>
    <w:rsid w:val="00DD52C0"/>
    <w:rsid w:val="00DD5686"/>
    <w:rsid w:val="00DD6256"/>
    <w:rsid w:val="00DD6E9B"/>
    <w:rsid w:val="00DD70A5"/>
    <w:rsid w:val="00DD7506"/>
    <w:rsid w:val="00DD7789"/>
    <w:rsid w:val="00DD7C4D"/>
    <w:rsid w:val="00DD7E8F"/>
    <w:rsid w:val="00DE0261"/>
    <w:rsid w:val="00DE03EB"/>
    <w:rsid w:val="00DE054C"/>
    <w:rsid w:val="00DE08CC"/>
    <w:rsid w:val="00DE0C18"/>
    <w:rsid w:val="00DE12B4"/>
    <w:rsid w:val="00DE1B5A"/>
    <w:rsid w:val="00DE1C4E"/>
    <w:rsid w:val="00DE1E78"/>
    <w:rsid w:val="00DE2B10"/>
    <w:rsid w:val="00DE3104"/>
    <w:rsid w:val="00DE3183"/>
    <w:rsid w:val="00DE40D1"/>
    <w:rsid w:val="00DE44BE"/>
    <w:rsid w:val="00DE4B2D"/>
    <w:rsid w:val="00DE560F"/>
    <w:rsid w:val="00DE5E3B"/>
    <w:rsid w:val="00DE7451"/>
    <w:rsid w:val="00DE74AD"/>
    <w:rsid w:val="00DE764F"/>
    <w:rsid w:val="00DE78DD"/>
    <w:rsid w:val="00DF0101"/>
    <w:rsid w:val="00DF0806"/>
    <w:rsid w:val="00DF0A01"/>
    <w:rsid w:val="00DF11BD"/>
    <w:rsid w:val="00DF1744"/>
    <w:rsid w:val="00DF17A1"/>
    <w:rsid w:val="00DF2056"/>
    <w:rsid w:val="00DF20F7"/>
    <w:rsid w:val="00DF3843"/>
    <w:rsid w:val="00DF3951"/>
    <w:rsid w:val="00DF3F7C"/>
    <w:rsid w:val="00DF3FD2"/>
    <w:rsid w:val="00DF4081"/>
    <w:rsid w:val="00DF463B"/>
    <w:rsid w:val="00DF4C3F"/>
    <w:rsid w:val="00DF4F8A"/>
    <w:rsid w:val="00DF5271"/>
    <w:rsid w:val="00DF606A"/>
    <w:rsid w:val="00DF630E"/>
    <w:rsid w:val="00DF64D8"/>
    <w:rsid w:val="00DF651A"/>
    <w:rsid w:val="00DF673F"/>
    <w:rsid w:val="00DF679F"/>
    <w:rsid w:val="00DF7126"/>
    <w:rsid w:val="00DF71FD"/>
    <w:rsid w:val="00DF7499"/>
    <w:rsid w:val="00DF7806"/>
    <w:rsid w:val="00DF79AD"/>
    <w:rsid w:val="00E00075"/>
    <w:rsid w:val="00E0039A"/>
    <w:rsid w:val="00E0168B"/>
    <w:rsid w:val="00E020C7"/>
    <w:rsid w:val="00E021F1"/>
    <w:rsid w:val="00E0253A"/>
    <w:rsid w:val="00E0287F"/>
    <w:rsid w:val="00E02E16"/>
    <w:rsid w:val="00E030D6"/>
    <w:rsid w:val="00E033F8"/>
    <w:rsid w:val="00E036EA"/>
    <w:rsid w:val="00E03DF6"/>
    <w:rsid w:val="00E03E16"/>
    <w:rsid w:val="00E03ECC"/>
    <w:rsid w:val="00E042FE"/>
    <w:rsid w:val="00E044FE"/>
    <w:rsid w:val="00E04697"/>
    <w:rsid w:val="00E04D58"/>
    <w:rsid w:val="00E04D90"/>
    <w:rsid w:val="00E05387"/>
    <w:rsid w:val="00E05547"/>
    <w:rsid w:val="00E05B32"/>
    <w:rsid w:val="00E06256"/>
    <w:rsid w:val="00E0666B"/>
    <w:rsid w:val="00E0683C"/>
    <w:rsid w:val="00E0690F"/>
    <w:rsid w:val="00E07271"/>
    <w:rsid w:val="00E077B0"/>
    <w:rsid w:val="00E07C6D"/>
    <w:rsid w:val="00E07D06"/>
    <w:rsid w:val="00E10020"/>
    <w:rsid w:val="00E105E5"/>
    <w:rsid w:val="00E10DEB"/>
    <w:rsid w:val="00E11BE6"/>
    <w:rsid w:val="00E11ECC"/>
    <w:rsid w:val="00E12262"/>
    <w:rsid w:val="00E133E4"/>
    <w:rsid w:val="00E1379F"/>
    <w:rsid w:val="00E1461E"/>
    <w:rsid w:val="00E1481B"/>
    <w:rsid w:val="00E148DB"/>
    <w:rsid w:val="00E149CD"/>
    <w:rsid w:val="00E14A62"/>
    <w:rsid w:val="00E150D7"/>
    <w:rsid w:val="00E16991"/>
    <w:rsid w:val="00E16D16"/>
    <w:rsid w:val="00E16EF3"/>
    <w:rsid w:val="00E1714E"/>
    <w:rsid w:val="00E179BE"/>
    <w:rsid w:val="00E17A4F"/>
    <w:rsid w:val="00E20BC9"/>
    <w:rsid w:val="00E20D0C"/>
    <w:rsid w:val="00E20DBA"/>
    <w:rsid w:val="00E2180B"/>
    <w:rsid w:val="00E2185E"/>
    <w:rsid w:val="00E225D2"/>
    <w:rsid w:val="00E22DC2"/>
    <w:rsid w:val="00E22E59"/>
    <w:rsid w:val="00E22E89"/>
    <w:rsid w:val="00E2379B"/>
    <w:rsid w:val="00E23AED"/>
    <w:rsid w:val="00E23D61"/>
    <w:rsid w:val="00E241D5"/>
    <w:rsid w:val="00E24583"/>
    <w:rsid w:val="00E24FEB"/>
    <w:rsid w:val="00E25237"/>
    <w:rsid w:val="00E25DF0"/>
    <w:rsid w:val="00E261D7"/>
    <w:rsid w:val="00E26BE1"/>
    <w:rsid w:val="00E27B66"/>
    <w:rsid w:val="00E27C0C"/>
    <w:rsid w:val="00E30A8C"/>
    <w:rsid w:val="00E312B6"/>
    <w:rsid w:val="00E318FA"/>
    <w:rsid w:val="00E31C49"/>
    <w:rsid w:val="00E3206E"/>
    <w:rsid w:val="00E321D8"/>
    <w:rsid w:val="00E32419"/>
    <w:rsid w:val="00E328D7"/>
    <w:rsid w:val="00E330D5"/>
    <w:rsid w:val="00E33196"/>
    <w:rsid w:val="00E33CB9"/>
    <w:rsid w:val="00E343AB"/>
    <w:rsid w:val="00E344AB"/>
    <w:rsid w:val="00E345BE"/>
    <w:rsid w:val="00E3524E"/>
    <w:rsid w:val="00E35518"/>
    <w:rsid w:val="00E35972"/>
    <w:rsid w:val="00E35C2C"/>
    <w:rsid w:val="00E35D2C"/>
    <w:rsid w:val="00E35E2F"/>
    <w:rsid w:val="00E364DE"/>
    <w:rsid w:val="00E36F12"/>
    <w:rsid w:val="00E37AE5"/>
    <w:rsid w:val="00E37E96"/>
    <w:rsid w:val="00E4023E"/>
    <w:rsid w:val="00E409A0"/>
    <w:rsid w:val="00E40A31"/>
    <w:rsid w:val="00E4165A"/>
    <w:rsid w:val="00E417B7"/>
    <w:rsid w:val="00E417E4"/>
    <w:rsid w:val="00E41806"/>
    <w:rsid w:val="00E41CBC"/>
    <w:rsid w:val="00E41FBF"/>
    <w:rsid w:val="00E42566"/>
    <w:rsid w:val="00E425DA"/>
    <w:rsid w:val="00E427BC"/>
    <w:rsid w:val="00E43295"/>
    <w:rsid w:val="00E436F7"/>
    <w:rsid w:val="00E437E4"/>
    <w:rsid w:val="00E43C5C"/>
    <w:rsid w:val="00E43D1B"/>
    <w:rsid w:val="00E43F68"/>
    <w:rsid w:val="00E44278"/>
    <w:rsid w:val="00E44837"/>
    <w:rsid w:val="00E44DA9"/>
    <w:rsid w:val="00E44F7B"/>
    <w:rsid w:val="00E45FDA"/>
    <w:rsid w:val="00E46A46"/>
    <w:rsid w:val="00E46BAA"/>
    <w:rsid w:val="00E47278"/>
    <w:rsid w:val="00E472B1"/>
    <w:rsid w:val="00E4738B"/>
    <w:rsid w:val="00E47836"/>
    <w:rsid w:val="00E47E77"/>
    <w:rsid w:val="00E47F1C"/>
    <w:rsid w:val="00E50287"/>
    <w:rsid w:val="00E508B3"/>
    <w:rsid w:val="00E508E4"/>
    <w:rsid w:val="00E50E30"/>
    <w:rsid w:val="00E50F11"/>
    <w:rsid w:val="00E50FA5"/>
    <w:rsid w:val="00E51226"/>
    <w:rsid w:val="00E512F8"/>
    <w:rsid w:val="00E51354"/>
    <w:rsid w:val="00E516AB"/>
    <w:rsid w:val="00E51AD5"/>
    <w:rsid w:val="00E52FE4"/>
    <w:rsid w:val="00E53D11"/>
    <w:rsid w:val="00E53D4B"/>
    <w:rsid w:val="00E54187"/>
    <w:rsid w:val="00E54C77"/>
    <w:rsid w:val="00E5558B"/>
    <w:rsid w:val="00E55734"/>
    <w:rsid w:val="00E566E7"/>
    <w:rsid w:val="00E5691C"/>
    <w:rsid w:val="00E60459"/>
    <w:rsid w:val="00E605C9"/>
    <w:rsid w:val="00E607EC"/>
    <w:rsid w:val="00E60C74"/>
    <w:rsid w:val="00E6131C"/>
    <w:rsid w:val="00E6165B"/>
    <w:rsid w:val="00E6177E"/>
    <w:rsid w:val="00E61B32"/>
    <w:rsid w:val="00E61C94"/>
    <w:rsid w:val="00E62440"/>
    <w:rsid w:val="00E6258B"/>
    <w:rsid w:val="00E627C7"/>
    <w:rsid w:val="00E62ABB"/>
    <w:rsid w:val="00E62B41"/>
    <w:rsid w:val="00E62CEB"/>
    <w:rsid w:val="00E62D53"/>
    <w:rsid w:val="00E62EA4"/>
    <w:rsid w:val="00E63067"/>
    <w:rsid w:val="00E63797"/>
    <w:rsid w:val="00E6381C"/>
    <w:rsid w:val="00E63B78"/>
    <w:rsid w:val="00E63C6A"/>
    <w:rsid w:val="00E63FEC"/>
    <w:rsid w:val="00E641A2"/>
    <w:rsid w:val="00E6421E"/>
    <w:rsid w:val="00E65179"/>
    <w:rsid w:val="00E65488"/>
    <w:rsid w:val="00E655F9"/>
    <w:rsid w:val="00E65A91"/>
    <w:rsid w:val="00E65CA8"/>
    <w:rsid w:val="00E66BB8"/>
    <w:rsid w:val="00E66FB3"/>
    <w:rsid w:val="00E672ED"/>
    <w:rsid w:val="00E67592"/>
    <w:rsid w:val="00E67966"/>
    <w:rsid w:val="00E67C2A"/>
    <w:rsid w:val="00E67F18"/>
    <w:rsid w:val="00E7063B"/>
    <w:rsid w:val="00E70DBE"/>
    <w:rsid w:val="00E70DDD"/>
    <w:rsid w:val="00E70F32"/>
    <w:rsid w:val="00E71732"/>
    <w:rsid w:val="00E72C0B"/>
    <w:rsid w:val="00E73121"/>
    <w:rsid w:val="00E7353E"/>
    <w:rsid w:val="00E7390E"/>
    <w:rsid w:val="00E73959"/>
    <w:rsid w:val="00E73AEA"/>
    <w:rsid w:val="00E74439"/>
    <w:rsid w:val="00E756E2"/>
    <w:rsid w:val="00E75B17"/>
    <w:rsid w:val="00E76B44"/>
    <w:rsid w:val="00E76B63"/>
    <w:rsid w:val="00E7711E"/>
    <w:rsid w:val="00E7771A"/>
    <w:rsid w:val="00E806F7"/>
    <w:rsid w:val="00E8098B"/>
    <w:rsid w:val="00E80B90"/>
    <w:rsid w:val="00E80E41"/>
    <w:rsid w:val="00E817F0"/>
    <w:rsid w:val="00E81D03"/>
    <w:rsid w:val="00E8210F"/>
    <w:rsid w:val="00E82416"/>
    <w:rsid w:val="00E82E74"/>
    <w:rsid w:val="00E82EBE"/>
    <w:rsid w:val="00E8362E"/>
    <w:rsid w:val="00E83D6C"/>
    <w:rsid w:val="00E84063"/>
    <w:rsid w:val="00E8420D"/>
    <w:rsid w:val="00E8428F"/>
    <w:rsid w:val="00E84A9F"/>
    <w:rsid w:val="00E84C46"/>
    <w:rsid w:val="00E84C8B"/>
    <w:rsid w:val="00E855E6"/>
    <w:rsid w:val="00E85C7B"/>
    <w:rsid w:val="00E85F67"/>
    <w:rsid w:val="00E86000"/>
    <w:rsid w:val="00E867BF"/>
    <w:rsid w:val="00E86DBB"/>
    <w:rsid w:val="00E86E9D"/>
    <w:rsid w:val="00E870DE"/>
    <w:rsid w:val="00E8735C"/>
    <w:rsid w:val="00E87620"/>
    <w:rsid w:val="00E87D05"/>
    <w:rsid w:val="00E87D74"/>
    <w:rsid w:val="00E90193"/>
    <w:rsid w:val="00E90CB3"/>
    <w:rsid w:val="00E9187B"/>
    <w:rsid w:val="00E91B41"/>
    <w:rsid w:val="00E927C5"/>
    <w:rsid w:val="00E9378D"/>
    <w:rsid w:val="00E93A03"/>
    <w:rsid w:val="00E93A1B"/>
    <w:rsid w:val="00E93E7F"/>
    <w:rsid w:val="00E94084"/>
    <w:rsid w:val="00E944C8"/>
    <w:rsid w:val="00E94546"/>
    <w:rsid w:val="00E95313"/>
    <w:rsid w:val="00E95490"/>
    <w:rsid w:val="00E96472"/>
    <w:rsid w:val="00E96810"/>
    <w:rsid w:val="00E96D11"/>
    <w:rsid w:val="00E972DA"/>
    <w:rsid w:val="00E975DA"/>
    <w:rsid w:val="00E97859"/>
    <w:rsid w:val="00E97B64"/>
    <w:rsid w:val="00E97D2A"/>
    <w:rsid w:val="00EA0025"/>
    <w:rsid w:val="00EA003F"/>
    <w:rsid w:val="00EA0082"/>
    <w:rsid w:val="00EA0262"/>
    <w:rsid w:val="00EA0FB1"/>
    <w:rsid w:val="00EA18BA"/>
    <w:rsid w:val="00EA234A"/>
    <w:rsid w:val="00EA25ED"/>
    <w:rsid w:val="00EA2E38"/>
    <w:rsid w:val="00EA3523"/>
    <w:rsid w:val="00EA3B11"/>
    <w:rsid w:val="00EA3EE0"/>
    <w:rsid w:val="00EA4159"/>
    <w:rsid w:val="00EA41BA"/>
    <w:rsid w:val="00EA43DC"/>
    <w:rsid w:val="00EA45AB"/>
    <w:rsid w:val="00EA4C93"/>
    <w:rsid w:val="00EA52D7"/>
    <w:rsid w:val="00EA5A6F"/>
    <w:rsid w:val="00EA5D8B"/>
    <w:rsid w:val="00EA607E"/>
    <w:rsid w:val="00EA6763"/>
    <w:rsid w:val="00EA6BBB"/>
    <w:rsid w:val="00EA6E1F"/>
    <w:rsid w:val="00EA6FD9"/>
    <w:rsid w:val="00EA70FC"/>
    <w:rsid w:val="00EA73D6"/>
    <w:rsid w:val="00EA755D"/>
    <w:rsid w:val="00EA7609"/>
    <w:rsid w:val="00EA7EA0"/>
    <w:rsid w:val="00EB021A"/>
    <w:rsid w:val="00EB0318"/>
    <w:rsid w:val="00EB0339"/>
    <w:rsid w:val="00EB0712"/>
    <w:rsid w:val="00EB090C"/>
    <w:rsid w:val="00EB0C2A"/>
    <w:rsid w:val="00EB0EA9"/>
    <w:rsid w:val="00EB0FC0"/>
    <w:rsid w:val="00EB1063"/>
    <w:rsid w:val="00EB11C0"/>
    <w:rsid w:val="00EB16D8"/>
    <w:rsid w:val="00EB1D28"/>
    <w:rsid w:val="00EB1E85"/>
    <w:rsid w:val="00EB237B"/>
    <w:rsid w:val="00EB2E69"/>
    <w:rsid w:val="00EB3184"/>
    <w:rsid w:val="00EB4192"/>
    <w:rsid w:val="00EB45E7"/>
    <w:rsid w:val="00EB4764"/>
    <w:rsid w:val="00EB4810"/>
    <w:rsid w:val="00EB4E40"/>
    <w:rsid w:val="00EB532B"/>
    <w:rsid w:val="00EB6083"/>
    <w:rsid w:val="00EB71FD"/>
    <w:rsid w:val="00EB73BC"/>
    <w:rsid w:val="00EB7A59"/>
    <w:rsid w:val="00EC0B19"/>
    <w:rsid w:val="00EC0BB4"/>
    <w:rsid w:val="00EC1AEB"/>
    <w:rsid w:val="00EC1CD6"/>
    <w:rsid w:val="00EC3573"/>
    <w:rsid w:val="00EC3968"/>
    <w:rsid w:val="00EC3CF5"/>
    <w:rsid w:val="00EC3EF1"/>
    <w:rsid w:val="00EC4757"/>
    <w:rsid w:val="00EC49C9"/>
    <w:rsid w:val="00EC4E47"/>
    <w:rsid w:val="00EC54C3"/>
    <w:rsid w:val="00EC5C63"/>
    <w:rsid w:val="00EC5F57"/>
    <w:rsid w:val="00EC61E3"/>
    <w:rsid w:val="00EC6420"/>
    <w:rsid w:val="00EC6E78"/>
    <w:rsid w:val="00EC72E8"/>
    <w:rsid w:val="00ED096B"/>
    <w:rsid w:val="00ED0AAA"/>
    <w:rsid w:val="00ED0B82"/>
    <w:rsid w:val="00ED110B"/>
    <w:rsid w:val="00ED14A1"/>
    <w:rsid w:val="00ED1EBA"/>
    <w:rsid w:val="00ED283C"/>
    <w:rsid w:val="00ED2A7F"/>
    <w:rsid w:val="00ED2B34"/>
    <w:rsid w:val="00ED2C9D"/>
    <w:rsid w:val="00ED351B"/>
    <w:rsid w:val="00ED35FD"/>
    <w:rsid w:val="00ED44A1"/>
    <w:rsid w:val="00ED4BD0"/>
    <w:rsid w:val="00ED4D45"/>
    <w:rsid w:val="00ED5E0C"/>
    <w:rsid w:val="00ED630C"/>
    <w:rsid w:val="00ED6643"/>
    <w:rsid w:val="00ED6671"/>
    <w:rsid w:val="00ED6730"/>
    <w:rsid w:val="00ED6E50"/>
    <w:rsid w:val="00ED72D0"/>
    <w:rsid w:val="00ED7378"/>
    <w:rsid w:val="00ED7505"/>
    <w:rsid w:val="00ED77BE"/>
    <w:rsid w:val="00ED785A"/>
    <w:rsid w:val="00ED7D53"/>
    <w:rsid w:val="00EE01DD"/>
    <w:rsid w:val="00EE065D"/>
    <w:rsid w:val="00EE077F"/>
    <w:rsid w:val="00EE15F4"/>
    <w:rsid w:val="00EE1623"/>
    <w:rsid w:val="00EE1B14"/>
    <w:rsid w:val="00EE1B83"/>
    <w:rsid w:val="00EE1BA0"/>
    <w:rsid w:val="00EE2DC9"/>
    <w:rsid w:val="00EE3115"/>
    <w:rsid w:val="00EE33D1"/>
    <w:rsid w:val="00EE4563"/>
    <w:rsid w:val="00EE4803"/>
    <w:rsid w:val="00EE50F4"/>
    <w:rsid w:val="00EE5D9F"/>
    <w:rsid w:val="00EE60F7"/>
    <w:rsid w:val="00EE6260"/>
    <w:rsid w:val="00EE645B"/>
    <w:rsid w:val="00EE6587"/>
    <w:rsid w:val="00EE6867"/>
    <w:rsid w:val="00EE68DE"/>
    <w:rsid w:val="00EE6929"/>
    <w:rsid w:val="00EE76D1"/>
    <w:rsid w:val="00EF0A3F"/>
    <w:rsid w:val="00EF0C1D"/>
    <w:rsid w:val="00EF0D9A"/>
    <w:rsid w:val="00EF1392"/>
    <w:rsid w:val="00EF1CEB"/>
    <w:rsid w:val="00EF2189"/>
    <w:rsid w:val="00EF26B2"/>
    <w:rsid w:val="00EF284A"/>
    <w:rsid w:val="00EF2A75"/>
    <w:rsid w:val="00EF2D20"/>
    <w:rsid w:val="00EF318A"/>
    <w:rsid w:val="00EF32E5"/>
    <w:rsid w:val="00EF33C8"/>
    <w:rsid w:val="00EF358A"/>
    <w:rsid w:val="00EF3844"/>
    <w:rsid w:val="00EF38EC"/>
    <w:rsid w:val="00EF3966"/>
    <w:rsid w:val="00EF4219"/>
    <w:rsid w:val="00EF46C3"/>
    <w:rsid w:val="00EF4716"/>
    <w:rsid w:val="00EF4792"/>
    <w:rsid w:val="00EF47DC"/>
    <w:rsid w:val="00EF485B"/>
    <w:rsid w:val="00EF49FB"/>
    <w:rsid w:val="00EF4BBB"/>
    <w:rsid w:val="00EF5518"/>
    <w:rsid w:val="00EF5800"/>
    <w:rsid w:val="00EF58B2"/>
    <w:rsid w:val="00EF5ED9"/>
    <w:rsid w:val="00EF654D"/>
    <w:rsid w:val="00EF6601"/>
    <w:rsid w:val="00EF7178"/>
    <w:rsid w:val="00EF7620"/>
    <w:rsid w:val="00EF76F6"/>
    <w:rsid w:val="00EF79C1"/>
    <w:rsid w:val="00F00052"/>
    <w:rsid w:val="00F00186"/>
    <w:rsid w:val="00F00A3F"/>
    <w:rsid w:val="00F01095"/>
    <w:rsid w:val="00F01313"/>
    <w:rsid w:val="00F01385"/>
    <w:rsid w:val="00F0177F"/>
    <w:rsid w:val="00F01B3E"/>
    <w:rsid w:val="00F01E8D"/>
    <w:rsid w:val="00F023C2"/>
    <w:rsid w:val="00F02A52"/>
    <w:rsid w:val="00F02FD1"/>
    <w:rsid w:val="00F02FE4"/>
    <w:rsid w:val="00F0312D"/>
    <w:rsid w:val="00F03215"/>
    <w:rsid w:val="00F033D5"/>
    <w:rsid w:val="00F0378C"/>
    <w:rsid w:val="00F03AEF"/>
    <w:rsid w:val="00F03D38"/>
    <w:rsid w:val="00F03EF6"/>
    <w:rsid w:val="00F03F99"/>
    <w:rsid w:val="00F04C65"/>
    <w:rsid w:val="00F04DD2"/>
    <w:rsid w:val="00F04ED0"/>
    <w:rsid w:val="00F05D8F"/>
    <w:rsid w:val="00F06129"/>
    <w:rsid w:val="00F0681C"/>
    <w:rsid w:val="00F068CE"/>
    <w:rsid w:val="00F06DC2"/>
    <w:rsid w:val="00F07E12"/>
    <w:rsid w:val="00F10396"/>
    <w:rsid w:val="00F10A41"/>
    <w:rsid w:val="00F10EAF"/>
    <w:rsid w:val="00F11069"/>
    <w:rsid w:val="00F11098"/>
    <w:rsid w:val="00F115AA"/>
    <w:rsid w:val="00F11921"/>
    <w:rsid w:val="00F11AB7"/>
    <w:rsid w:val="00F120A0"/>
    <w:rsid w:val="00F121D2"/>
    <w:rsid w:val="00F136A2"/>
    <w:rsid w:val="00F13789"/>
    <w:rsid w:val="00F137E2"/>
    <w:rsid w:val="00F144D8"/>
    <w:rsid w:val="00F148FC"/>
    <w:rsid w:val="00F14D91"/>
    <w:rsid w:val="00F15884"/>
    <w:rsid w:val="00F15DDC"/>
    <w:rsid w:val="00F16485"/>
    <w:rsid w:val="00F16A6A"/>
    <w:rsid w:val="00F17641"/>
    <w:rsid w:val="00F20858"/>
    <w:rsid w:val="00F20AA6"/>
    <w:rsid w:val="00F2110F"/>
    <w:rsid w:val="00F212DF"/>
    <w:rsid w:val="00F2138C"/>
    <w:rsid w:val="00F21D37"/>
    <w:rsid w:val="00F22A26"/>
    <w:rsid w:val="00F232FB"/>
    <w:rsid w:val="00F2334F"/>
    <w:rsid w:val="00F235D4"/>
    <w:rsid w:val="00F23CCA"/>
    <w:rsid w:val="00F240E0"/>
    <w:rsid w:val="00F24A1F"/>
    <w:rsid w:val="00F24BD2"/>
    <w:rsid w:val="00F24E4F"/>
    <w:rsid w:val="00F24E56"/>
    <w:rsid w:val="00F25369"/>
    <w:rsid w:val="00F254A1"/>
    <w:rsid w:val="00F25533"/>
    <w:rsid w:val="00F2568F"/>
    <w:rsid w:val="00F26388"/>
    <w:rsid w:val="00F2680B"/>
    <w:rsid w:val="00F278D8"/>
    <w:rsid w:val="00F27CB0"/>
    <w:rsid w:val="00F27DA8"/>
    <w:rsid w:val="00F30413"/>
    <w:rsid w:val="00F30D0F"/>
    <w:rsid w:val="00F317E9"/>
    <w:rsid w:val="00F31DDB"/>
    <w:rsid w:val="00F31EEE"/>
    <w:rsid w:val="00F32A75"/>
    <w:rsid w:val="00F33179"/>
    <w:rsid w:val="00F33828"/>
    <w:rsid w:val="00F3395A"/>
    <w:rsid w:val="00F33B74"/>
    <w:rsid w:val="00F34CA2"/>
    <w:rsid w:val="00F34E35"/>
    <w:rsid w:val="00F34F39"/>
    <w:rsid w:val="00F350E1"/>
    <w:rsid w:val="00F35214"/>
    <w:rsid w:val="00F35256"/>
    <w:rsid w:val="00F36576"/>
    <w:rsid w:val="00F36B68"/>
    <w:rsid w:val="00F36E88"/>
    <w:rsid w:val="00F36F1F"/>
    <w:rsid w:val="00F3734D"/>
    <w:rsid w:val="00F373DC"/>
    <w:rsid w:val="00F40285"/>
    <w:rsid w:val="00F40786"/>
    <w:rsid w:val="00F40A77"/>
    <w:rsid w:val="00F40EBA"/>
    <w:rsid w:val="00F411AF"/>
    <w:rsid w:val="00F41E7E"/>
    <w:rsid w:val="00F420B0"/>
    <w:rsid w:val="00F4265A"/>
    <w:rsid w:val="00F43482"/>
    <w:rsid w:val="00F43503"/>
    <w:rsid w:val="00F43B38"/>
    <w:rsid w:val="00F442A4"/>
    <w:rsid w:val="00F4437E"/>
    <w:rsid w:val="00F44FE0"/>
    <w:rsid w:val="00F452B8"/>
    <w:rsid w:val="00F45358"/>
    <w:rsid w:val="00F45533"/>
    <w:rsid w:val="00F46606"/>
    <w:rsid w:val="00F466C1"/>
    <w:rsid w:val="00F4674A"/>
    <w:rsid w:val="00F470E6"/>
    <w:rsid w:val="00F47163"/>
    <w:rsid w:val="00F476F7"/>
    <w:rsid w:val="00F4788B"/>
    <w:rsid w:val="00F47898"/>
    <w:rsid w:val="00F502BC"/>
    <w:rsid w:val="00F502D9"/>
    <w:rsid w:val="00F512A5"/>
    <w:rsid w:val="00F514CC"/>
    <w:rsid w:val="00F516AA"/>
    <w:rsid w:val="00F51716"/>
    <w:rsid w:val="00F5188F"/>
    <w:rsid w:val="00F520A3"/>
    <w:rsid w:val="00F52DB1"/>
    <w:rsid w:val="00F5308B"/>
    <w:rsid w:val="00F5361E"/>
    <w:rsid w:val="00F53780"/>
    <w:rsid w:val="00F53A09"/>
    <w:rsid w:val="00F53CE1"/>
    <w:rsid w:val="00F53D35"/>
    <w:rsid w:val="00F5401D"/>
    <w:rsid w:val="00F5449E"/>
    <w:rsid w:val="00F5473E"/>
    <w:rsid w:val="00F54DD2"/>
    <w:rsid w:val="00F54DFC"/>
    <w:rsid w:val="00F555C2"/>
    <w:rsid w:val="00F556F8"/>
    <w:rsid w:val="00F55AB1"/>
    <w:rsid w:val="00F562A4"/>
    <w:rsid w:val="00F5639C"/>
    <w:rsid w:val="00F563F4"/>
    <w:rsid w:val="00F56972"/>
    <w:rsid w:val="00F57375"/>
    <w:rsid w:val="00F57B7C"/>
    <w:rsid w:val="00F60D7E"/>
    <w:rsid w:val="00F60F47"/>
    <w:rsid w:val="00F612EC"/>
    <w:rsid w:val="00F6130D"/>
    <w:rsid w:val="00F616DC"/>
    <w:rsid w:val="00F61D50"/>
    <w:rsid w:val="00F61DA4"/>
    <w:rsid w:val="00F625B7"/>
    <w:rsid w:val="00F62C29"/>
    <w:rsid w:val="00F6363C"/>
    <w:rsid w:val="00F63B69"/>
    <w:rsid w:val="00F63D5C"/>
    <w:rsid w:val="00F63F33"/>
    <w:rsid w:val="00F63F6C"/>
    <w:rsid w:val="00F648AF"/>
    <w:rsid w:val="00F64AEA"/>
    <w:rsid w:val="00F64E10"/>
    <w:rsid w:val="00F654E0"/>
    <w:rsid w:val="00F6591E"/>
    <w:rsid w:val="00F65A8D"/>
    <w:rsid w:val="00F65EED"/>
    <w:rsid w:val="00F666CC"/>
    <w:rsid w:val="00F66BC4"/>
    <w:rsid w:val="00F66CA6"/>
    <w:rsid w:val="00F66F67"/>
    <w:rsid w:val="00F673AF"/>
    <w:rsid w:val="00F6784F"/>
    <w:rsid w:val="00F67DA4"/>
    <w:rsid w:val="00F67DE2"/>
    <w:rsid w:val="00F67E95"/>
    <w:rsid w:val="00F70161"/>
    <w:rsid w:val="00F70287"/>
    <w:rsid w:val="00F703AA"/>
    <w:rsid w:val="00F70607"/>
    <w:rsid w:val="00F7064A"/>
    <w:rsid w:val="00F70B64"/>
    <w:rsid w:val="00F70E11"/>
    <w:rsid w:val="00F70E7A"/>
    <w:rsid w:val="00F71115"/>
    <w:rsid w:val="00F722E0"/>
    <w:rsid w:val="00F724C6"/>
    <w:rsid w:val="00F72F50"/>
    <w:rsid w:val="00F7344A"/>
    <w:rsid w:val="00F7397C"/>
    <w:rsid w:val="00F73CC2"/>
    <w:rsid w:val="00F73D62"/>
    <w:rsid w:val="00F73DDE"/>
    <w:rsid w:val="00F7430A"/>
    <w:rsid w:val="00F743BE"/>
    <w:rsid w:val="00F74437"/>
    <w:rsid w:val="00F7459B"/>
    <w:rsid w:val="00F74F1F"/>
    <w:rsid w:val="00F76041"/>
    <w:rsid w:val="00F76945"/>
    <w:rsid w:val="00F76E09"/>
    <w:rsid w:val="00F7756F"/>
    <w:rsid w:val="00F776FD"/>
    <w:rsid w:val="00F77852"/>
    <w:rsid w:val="00F77913"/>
    <w:rsid w:val="00F80ED4"/>
    <w:rsid w:val="00F8101B"/>
    <w:rsid w:val="00F8236E"/>
    <w:rsid w:val="00F82933"/>
    <w:rsid w:val="00F82BC3"/>
    <w:rsid w:val="00F83083"/>
    <w:rsid w:val="00F8342A"/>
    <w:rsid w:val="00F83C5F"/>
    <w:rsid w:val="00F8410B"/>
    <w:rsid w:val="00F84555"/>
    <w:rsid w:val="00F845A9"/>
    <w:rsid w:val="00F84C65"/>
    <w:rsid w:val="00F84E12"/>
    <w:rsid w:val="00F8555B"/>
    <w:rsid w:val="00F85713"/>
    <w:rsid w:val="00F85814"/>
    <w:rsid w:val="00F90046"/>
    <w:rsid w:val="00F90123"/>
    <w:rsid w:val="00F907BC"/>
    <w:rsid w:val="00F91005"/>
    <w:rsid w:val="00F9138D"/>
    <w:rsid w:val="00F9150C"/>
    <w:rsid w:val="00F91825"/>
    <w:rsid w:val="00F91859"/>
    <w:rsid w:val="00F91949"/>
    <w:rsid w:val="00F91A25"/>
    <w:rsid w:val="00F927CB"/>
    <w:rsid w:val="00F92A77"/>
    <w:rsid w:val="00F93382"/>
    <w:rsid w:val="00F94219"/>
    <w:rsid w:val="00F944FF"/>
    <w:rsid w:val="00F9459C"/>
    <w:rsid w:val="00F94A5A"/>
    <w:rsid w:val="00F94C8A"/>
    <w:rsid w:val="00F9576D"/>
    <w:rsid w:val="00F95955"/>
    <w:rsid w:val="00F963AA"/>
    <w:rsid w:val="00F967B1"/>
    <w:rsid w:val="00F967DF"/>
    <w:rsid w:val="00F96889"/>
    <w:rsid w:val="00F96C5F"/>
    <w:rsid w:val="00F9753E"/>
    <w:rsid w:val="00F9763C"/>
    <w:rsid w:val="00FA0EFE"/>
    <w:rsid w:val="00FA1AEA"/>
    <w:rsid w:val="00FA1BCD"/>
    <w:rsid w:val="00FA2094"/>
    <w:rsid w:val="00FA21F6"/>
    <w:rsid w:val="00FA224B"/>
    <w:rsid w:val="00FA2732"/>
    <w:rsid w:val="00FA278F"/>
    <w:rsid w:val="00FA28D0"/>
    <w:rsid w:val="00FA2A77"/>
    <w:rsid w:val="00FA3075"/>
    <w:rsid w:val="00FA3105"/>
    <w:rsid w:val="00FA3C66"/>
    <w:rsid w:val="00FA3DFB"/>
    <w:rsid w:val="00FA3FDD"/>
    <w:rsid w:val="00FA4063"/>
    <w:rsid w:val="00FA4341"/>
    <w:rsid w:val="00FA488A"/>
    <w:rsid w:val="00FA4AEF"/>
    <w:rsid w:val="00FA572B"/>
    <w:rsid w:val="00FA5A03"/>
    <w:rsid w:val="00FA7139"/>
    <w:rsid w:val="00FA7309"/>
    <w:rsid w:val="00FA7787"/>
    <w:rsid w:val="00FA798B"/>
    <w:rsid w:val="00FA7D37"/>
    <w:rsid w:val="00FA7FEF"/>
    <w:rsid w:val="00FB014D"/>
    <w:rsid w:val="00FB026F"/>
    <w:rsid w:val="00FB0315"/>
    <w:rsid w:val="00FB057C"/>
    <w:rsid w:val="00FB134D"/>
    <w:rsid w:val="00FB143A"/>
    <w:rsid w:val="00FB16E8"/>
    <w:rsid w:val="00FB193E"/>
    <w:rsid w:val="00FB2BE7"/>
    <w:rsid w:val="00FB2F0F"/>
    <w:rsid w:val="00FB303E"/>
    <w:rsid w:val="00FB34E2"/>
    <w:rsid w:val="00FB35EB"/>
    <w:rsid w:val="00FB35F8"/>
    <w:rsid w:val="00FB3617"/>
    <w:rsid w:val="00FB3841"/>
    <w:rsid w:val="00FB3EEE"/>
    <w:rsid w:val="00FB41D8"/>
    <w:rsid w:val="00FB4387"/>
    <w:rsid w:val="00FB4AB5"/>
    <w:rsid w:val="00FB52F5"/>
    <w:rsid w:val="00FB5466"/>
    <w:rsid w:val="00FB5598"/>
    <w:rsid w:val="00FB5CF5"/>
    <w:rsid w:val="00FB6DAD"/>
    <w:rsid w:val="00FB71DE"/>
    <w:rsid w:val="00FB7514"/>
    <w:rsid w:val="00FB7B24"/>
    <w:rsid w:val="00FB7B9D"/>
    <w:rsid w:val="00FB7D15"/>
    <w:rsid w:val="00FC0010"/>
    <w:rsid w:val="00FC01FD"/>
    <w:rsid w:val="00FC0255"/>
    <w:rsid w:val="00FC0643"/>
    <w:rsid w:val="00FC129D"/>
    <w:rsid w:val="00FC1CBB"/>
    <w:rsid w:val="00FC2CD9"/>
    <w:rsid w:val="00FC330A"/>
    <w:rsid w:val="00FC3A46"/>
    <w:rsid w:val="00FC3F15"/>
    <w:rsid w:val="00FC479B"/>
    <w:rsid w:val="00FC5030"/>
    <w:rsid w:val="00FC5034"/>
    <w:rsid w:val="00FC50C1"/>
    <w:rsid w:val="00FC5565"/>
    <w:rsid w:val="00FC60FA"/>
    <w:rsid w:val="00FC6366"/>
    <w:rsid w:val="00FC6BE9"/>
    <w:rsid w:val="00FC6F8D"/>
    <w:rsid w:val="00FC7167"/>
    <w:rsid w:val="00FC719F"/>
    <w:rsid w:val="00FC7B41"/>
    <w:rsid w:val="00FD010E"/>
    <w:rsid w:val="00FD0262"/>
    <w:rsid w:val="00FD0456"/>
    <w:rsid w:val="00FD077F"/>
    <w:rsid w:val="00FD0FC2"/>
    <w:rsid w:val="00FD117E"/>
    <w:rsid w:val="00FD1416"/>
    <w:rsid w:val="00FD18BC"/>
    <w:rsid w:val="00FD1BBA"/>
    <w:rsid w:val="00FD250C"/>
    <w:rsid w:val="00FD27F9"/>
    <w:rsid w:val="00FD2834"/>
    <w:rsid w:val="00FD3164"/>
    <w:rsid w:val="00FD3250"/>
    <w:rsid w:val="00FD328D"/>
    <w:rsid w:val="00FD360F"/>
    <w:rsid w:val="00FD364D"/>
    <w:rsid w:val="00FD36E3"/>
    <w:rsid w:val="00FD3A39"/>
    <w:rsid w:val="00FD3BAE"/>
    <w:rsid w:val="00FD3FC6"/>
    <w:rsid w:val="00FD417D"/>
    <w:rsid w:val="00FD42B4"/>
    <w:rsid w:val="00FD45BE"/>
    <w:rsid w:val="00FD4EE0"/>
    <w:rsid w:val="00FD503F"/>
    <w:rsid w:val="00FD5741"/>
    <w:rsid w:val="00FD5C0E"/>
    <w:rsid w:val="00FD5C4D"/>
    <w:rsid w:val="00FD5CB6"/>
    <w:rsid w:val="00FD5FE5"/>
    <w:rsid w:val="00FD638F"/>
    <w:rsid w:val="00FD769D"/>
    <w:rsid w:val="00FD7A27"/>
    <w:rsid w:val="00FD7AF4"/>
    <w:rsid w:val="00FD7FA2"/>
    <w:rsid w:val="00FE0486"/>
    <w:rsid w:val="00FE13C8"/>
    <w:rsid w:val="00FE2653"/>
    <w:rsid w:val="00FE2769"/>
    <w:rsid w:val="00FE35AD"/>
    <w:rsid w:val="00FE3869"/>
    <w:rsid w:val="00FE3E04"/>
    <w:rsid w:val="00FE4389"/>
    <w:rsid w:val="00FE4514"/>
    <w:rsid w:val="00FE4976"/>
    <w:rsid w:val="00FE506F"/>
    <w:rsid w:val="00FE56BD"/>
    <w:rsid w:val="00FE5D0F"/>
    <w:rsid w:val="00FE5E06"/>
    <w:rsid w:val="00FE6126"/>
    <w:rsid w:val="00FE65C1"/>
    <w:rsid w:val="00FE6AA9"/>
    <w:rsid w:val="00FE6AD7"/>
    <w:rsid w:val="00FE6CA4"/>
    <w:rsid w:val="00FE6CDB"/>
    <w:rsid w:val="00FF0301"/>
    <w:rsid w:val="00FF0319"/>
    <w:rsid w:val="00FF0392"/>
    <w:rsid w:val="00FF03C3"/>
    <w:rsid w:val="00FF08A0"/>
    <w:rsid w:val="00FF0BF9"/>
    <w:rsid w:val="00FF0C83"/>
    <w:rsid w:val="00FF0DF9"/>
    <w:rsid w:val="00FF12D6"/>
    <w:rsid w:val="00FF1416"/>
    <w:rsid w:val="00FF3615"/>
    <w:rsid w:val="00FF3E7C"/>
    <w:rsid w:val="00FF409B"/>
    <w:rsid w:val="00FF4881"/>
    <w:rsid w:val="00FF48F7"/>
    <w:rsid w:val="00FF4C8B"/>
    <w:rsid w:val="00FF4CF0"/>
    <w:rsid w:val="00FF5394"/>
    <w:rsid w:val="00FF6052"/>
    <w:rsid w:val="00FF6563"/>
    <w:rsid w:val="00FF668C"/>
    <w:rsid w:val="00FF68CD"/>
    <w:rsid w:val="00FF68FF"/>
    <w:rsid w:val="00FF6A44"/>
    <w:rsid w:val="00FF6C0B"/>
    <w:rsid w:val="00FF7029"/>
    <w:rsid w:val="00FF7274"/>
    <w:rsid w:val="00FF74D2"/>
    <w:rsid w:val="00FF797F"/>
    <w:rsid w:val="00FF7EEE"/>
    <w:rsid w:val="0E8B7FDC"/>
    <w:rsid w:val="111E7944"/>
    <w:rsid w:val="1C6847AB"/>
    <w:rsid w:val="2488BFFD"/>
    <w:rsid w:val="249BA344"/>
    <w:rsid w:val="2742552E"/>
    <w:rsid w:val="5C4EA071"/>
    <w:rsid w:val="6167E374"/>
    <w:rsid w:val="66E77626"/>
    <w:rsid w:val="67DF54E1"/>
    <w:rsid w:val="73747AA8"/>
    <w:rsid w:val="7FEC6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5F"/>
    <w:rPr>
      <w:rFonts w:ascii="Times New Roman" w:eastAsia="Times New Roman" w:hAnsi="Times New Roman" w:cs="Times New Roman"/>
      <w:lang w:eastAsia="en-GB"/>
    </w:rPr>
  </w:style>
  <w:style w:type="paragraph" w:styleId="Heading1">
    <w:name w:val="heading 1"/>
    <w:basedOn w:val="ListParagraph"/>
    <w:next w:val="Normal"/>
    <w:link w:val="Heading1Char"/>
    <w:uiPriority w:val="9"/>
    <w:qFormat/>
    <w:rsid w:val="00F85814"/>
    <w:pPr>
      <w:numPr>
        <w:numId w:val="1"/>
      </w:numPr>
      <w:ind w:left="1440"/>
      <w:outlineLvl w:val="0"/>
    </w:pPr>
    <w:rPr>
      <w:b/>
      <w:bCs/>
    </w:rPr>
  </w:style>
  <w:style w:type="paragraph" w:styleId="Heading2">
    <w:name w:val="heading 2"/>
    <w:basedOn w:val="Normal"/>
    <w:next w:val="Normal"/>
    <w:link w:val="Heading2Char"/>
    <w:uiPriority w:val="9"/>
    <w:unhideWhenUsed/>
    <w:qFormat/>
    <w:rsid w:val="007E075D"/>
    <w:pPr>
      <w:numPr>
        <w:numId w:val="5"/>
      </w:numPr>
      <w:pBdr>
        <w:top w:val="nil"/>
        <w:left w:val="nil"/>
        <w:bottom w:val="nil"/>
        <w:right w:val="nil"/>
        <w:between w:val="nil"/>
      </w:pBdr>
      <w:ind w:firstLine="0"/>
      <w:jc w:val="both"/>
      <w:outlineLvl w:val="1"/>
    </w:pPr>
    <w:rPr>
      <w:rFonts w:ascii="Cambria" w:eastAsia="Cambria" w:hAnsi="Cambria" w:cs="Cambria"/>
      <w:b/>
      <w:sz w:val="22"/>
      <w:szCs w:val="20"/>
      <w:lang w:val="es-ES"/>
    </w:rPr>
  </w:style>
  <w:style w:type="paragraph" w:styleId="Heading3">
    <w:name w:val="heading 3"/>
    <w:basedOn w:val="Normal"/>
    <w:next w:val="Normal"/>
    <w:link w:val="Heading3Char"/>
    <w:uiPriority w:val="9"/>
    <w:semiHidden/>
    <w:unhideWhenUsed/>
    <w:qFormat/>
    <w:rsid w:val="00AA19FB"/>
    <w:pPr>
      <w:keepNext/>
      <w:keepLines/>
      <w:spacing w:before="320" w:after="80" w:line="276" w:lineRule="auto"/>
      <w:outlineLvl w:val="2"/>
    </w:pPr>
    <w:rPr>
      <w:rFonts w:ascii="Arial" w:eastAsia="Arial" w:hAnsi="Arial" w:cs="Arial"/>
      <w:color w:val="434343"/>
      <w:sz w:val="28"/>
      <w:szCs w:val="28"/>
      <w:lang w:val="es-419"/>
    </w:rPr>
  </w:style>
  <w:style w:type="paragraph" w:styleId="Heading4">
    <w:name w:val="heading 4"/>
    <w:basedOn w:val="Normal"/>
    <w:next w:val="Normal"/>
    <w:link w:val="Heading4Char"/>
    <w:uiPriority w:val="9"/>
    <w:semiHidden/>
    <w:unhideWhenUsed/>
    <w:qFormat/>
    <w:rsid w:val="00AA19FB"/>
    <w:pPr>
      <w:keepNext/>
      <w:keepLines/>
      <w:spacing w:before="280" w:after="80" w:line="276" w:lineRule="auto"/>
      <w:outlineLvl w:val="3"/>
    </w:pPr>
    <w:rPr>
      <w:rFonts w:ascii="Arial" w:eastAsia="Arial" w:hAnsi="Arial" w:cs="Arial"/>
      <w:color w:val="666666"/>
      <w:lang w:val="es-419"/>
    </w:rPr>
  </w:style>
  <w:style w:type="paragraph" w:styleId="Heading5">
    <w:name w:val="heading 5"/>
    <w:basedOn w:val="Normal"/>
    <w:next w:val="Normal"/>
    <w:link w:val="Heading5Char"/>
    <w:uiPriority w:val="9"/>
    <w:semiHidden/>
    <w:unhideWhenUsed/>
    <w:qFormat/>
    <w:rsid w:val="00AA19FB"/>
    <w:pPr>
      <w:keepNext/>
      <w:keepLines/>
      <w:spacing w:before="240" w:after="80" w:line="276" w:lineRule="auto"/>
      <w:outlineLvl w:val="4"/>
    </w:pPr>
    <w:rPr>
      <w:rFonts w:ascii="Arial" w:eastAsia="Arial" w:hAnsi="Arial" w:cs="Arial"/>
      <w:color w:val="666666"/>
      <w:sz w:val="22"/>
      <w:szCs w:val="22"/>
      <w:lang w:val="es-419"/>
    </w:rPr>
  </w:style>
  <w:style w:type="paragraph" w:styleId="Heading6">
    <w:name w:val="heading 6"/>
    <w:basedOn w:val="Normal"/>
    <w:next w:val="Normal"/>
    <w:link w:val="Heading6Char"/>
    <w:uiPriority w:val="9"/>
    <w:semiHidden/>
    <w:unhideWhenUsed/>
    <w:qFormat/>
    <w:rsid w:val="00AA19FB"/>
    <w:pPr>
      <w:keepNext/>
      <w:keepLines/>
      <w:spacing w:before="240" w:after="80" w:line="276" w:lineRule="auto"/>
      <w:outlineLvl w:val="5"/>
    </w:pPr>
    <w:rPr>
      <w:rFonts w:ascii="Arial" w:eastAsia="Arial" w:hAnsi="Arial" w:cs="Arial"/>
      <w:i/>
      <w:color w:val="666666"/>
      <w:sz w:val="22"/>
      <w:szCs w:val="22"/>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F85814"/>
    <w:rPr>
      <w:rFonts w:ascii="Cambria" w:eastAsia="Cambria" w:hAnsi="Cambria" w:cs="Cambria"/>
      <w:b/>
      <w:bCs/>
      <w:color w:val="000000" w:themeColor="text1"/>
      <w:sz w:val="20"/>
      <w:szCs w:val="20"/>
      <w:lang w:eastAsia="en-GB"/>
    </w:rPr>
  </w:style>
  <w:style w:type="paragraph" w:styleId="ListParagraph">
    <w:name w:val="List Paragraph"/>
    <w:basedOn w:val="Normal"/>
    <w:uiPriority w:val="34"/>
    <w:qFormat/>
    <w:rsid w:val="00F85814"/>
    <w:pPr>
      <w:numPr>
        <w:numId w:val="7"/>
      </w:numPr>
      <w:pBdr>
        <w:top w:val="nil"/>
        <w:left w:val="nil"/>
        <w:bottom w:val="nil"/>
        <w:right w:val="nil"/>
        <w:between w:val="nil"/>
      </w:pBdr>
      <w:ind w:left="0" w:firstLine="720"/>
      <w:jc w:val="both"/>
    </w:pPr>
    <w:rPr>
      <w:rFonts w:ascii="Cambria" w:eastAsia="Cambria" w:hAnsi="Cambria" w:cs="Cambria"/>
      <w:color w:val="000000" w:themeColor="text1"/>
      <w:sz w:val="20"/>
      <w:szCs w:val="20"/>
    </w:r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styleId="NormalWeb">
    <w:name w:val="Normal (Web)"/>
    <w:basedOn w:val="Normal"/>
    <w:uiPriority w:val="99"/>
    <w:unhideWhenUsed/>
    <w:rsid w:val="00860817"/>
    <w:pPr>
      <w:spacing w:before="100" w:beforeAutospacing="1" w:after="100" w:afterAutospacing="1"/>
    </w:pPr>
  </w:style>
  <w:style w:type="character" w:styleId="Hyperlink">
    <w:name w:val="Hyperlink"/>
    <w:basedOn w:val="DefaultParagraphFont"/>
    <w:uiPriority w:val="99"/>
    <w:unhideWhenUsed/>
    <w:rsid w:val="00EA0082"/>
    <w:rPr>
      <w:color w:val="0000FF"/>
      <w:u w:val="single"/>
    </w:rPr>
  </w:style>
  <w:style w:type="character" w:styleId="CommentReference">
    <w:name w:val="annotation reference"/>
    <w:basedOn w:val="DefaultParagraphFont"/>
    <w:uiPriority w:val="99"/>
    <w:semiHidden/>
    <w:unhideWhenUsed/>
    <w:rsid w:val="000A54D6"/>
    <w:rPr>
      <w:sz w:val="16"/>
      <w:szCs w:val="16"/>
    </w:rPr>
  </w:style>
  <w:style w:type="paragraph" w:styleId="CommentText">
    <w:name w:val="annotation text"/>
    <w:basedOn w:val="Normal"/>
    <w:link w:val="CommentTextChar"/>
    <w:uiPriority w:val="99"/>
    <w:unhideWhenUsed/>
    <w:rsid w:val="000A54D6"/>
    <w:rPr>
      <w:sz w:val="20"/>
      <w:szCs w:val="20"/>
    </w:rPr>
  </w:style>
  <w:style w:type="character" w:customStyle="1" w:styleId="CommentTextChar">
    <w:name w:val="Comment Text Char"/>
    <w:basedOn w:val="DefaultParagraphFont"/>
    <w:link w:val="CommentText"/>
    <w:uiPriority w:val="99"/>
    <w:rsid w:val="000A54D6"/>
    <w:rPr>
      <w:sz w:val="20"/>
      <w:szCs w:val="20"/>
    </w:rPr>
  </w:style>
  <w:style w:type="paragraph" w:styleId="CommentSubject">
    <w:name w:val="annotation subject"/>
    <w:basedOn w:val="CommentText"/>
    <w:next w:val="CommentText"/>
    <w:link w:val="CommentSubjectChar"/>
    <w:uiPriority w:val="99"/>
    <w:semiHidden/>
    <w:unhideWhenUsed/>
    <w:rsid w:val="000A54D6"/>
    <w:rPr>
      <w:b/>
      <w:bCs/>
    </w:rPr>
  </w:style>
  <w:style w:type="character" w:customStyle="1" w:styleId="CommentSubjectChar">
    <w:name w:val="Comment Subject Char"/>
    <w:basedOn w:val="CommentTextChar"/>
    <w:link w:val="CommentSubject"/>
    <w:uiPriority w:val="99"/>
    <w:semiHidden/>
    <w:rsid w:val="000A54D6"/>
    <w:rPr>
      <w:b/>
      <w:bCs/>
      <w:sz w:val="20"/>
      <w:szCs w:val="20"/>
    </w:rPr>
  </w:style>
  <w:style w:type="character" w:styleId="UnresolvedMention">
    <w:name w:val="Unresolved Mention"/>
    <w:basedOn w:val="DefaultParagraphFont"/>
    <w:uiPriority w:val="99"/>
    <w:semiHidden/>
    <w:unhideWhenUsed/>
    <w:rsid w:val="00CD4E2F"/>
    <w:rPr>
      <w:color w:val="605E5C"/>
      <w:shd w:val="clear" w:color="auto" w:fill="E1DFDD"/>
    </w:rPr>
  </w:style>
  <w:style w:type="paragraph" w:customStyle="1" w:styleId="Refdenotaalpie">
    <w:name w:val="Ref. de nota al pie."/>
    <w:aliases w:val="Footnote symbol,Footnote,Ref. de nota al pi,f1"/>
    <w:basedOn w:val="Normal"/>
    <w:link w:val="FootnoteReference"/>
    <w:uiPriority w:val="99"/>
    <w:rsid w:val="00A92476"/>
    <w:pPr>
      <w:spacing w:before="200" w:after="160" w:line="240" w:lineRule="exact"/>
    </w:pPr>
    <w:rPr>
      <w:rFonts w:asciiTheme="minorHAnsi" w:eastAsiaTheme="minorHAnsi" w:hAnsiTheme="minorHAnsi" w:cstheme="minorBidi"/>
      <w:vertAlign w:val="superscript"/>
      <w:lang w:eastAsia="en-US"/>
    </w:rPr>
  </w:style>
  <w:style w:type="character" w:customStyle="1" w:styleId="Heading2Char">
    <w:name w:val="Heading 2 Char"/>
    <w:basedOn w:val="DefaultParagraphFont"/>
    <w:link w:val="Heading2"/>
    <w:uiPriority w:val="9"/>
    <w:rsid w:val="007E075D"/>
    <w:rPr>
      <w:rFonts w:ascii="Cambria" w:eastAsia="Cambria" w:hAnsi="Cambria" w:cs="Cambria"/>
      <w:b/>
      <w:sz w:val="22"/>
      <w:szCs w:val="20"/>
      <w:lang w:val="es-ES" w:eastAsia="en-GB"/>
    </w:rPr>
  </w:style>
  <w:style w:type="paragraph" w:customStyle="1" w:styleId="paragraph">
    <w:name w:val="paragraph"/>
    <w:basedOn w:val="Normal"/>
    <w:rsid w:val="006962F6"/>
    <w:pPr>
      <w:spacing w:before="100" w:beforeAutospacing="1" w:after="100" w:afterAutospacing="1"/>
    </w:pPr>
  </w:style>
  <w:style w:type="character" w:customStyle="1" w:styleId="normaltextrun">
    <w:name w:val="normaltextrun"/>
    <w:basedOn w:val="DefaultParagraphFont"/>
    <w:rsid w:val="006962F6"/>
  </w:style>
  <w:style w:type="character" w:customStyle="1" w:styleId="superscript">
    <w:name w:val="superscript"/>
    <w:basedOn w:val="DefaultParagraphFont"/>
    <w:rsid w:val="006962F6"/>
  </w:style>
  <w:style w:type="character" w:customStyle="1" w:styleId="eop">
    <w:name w:val="eop"/>
    <w:basedOn w:val="DefaultParagraphFont"/>
    <w:rsid w:val="006962F6"/>
  </w:style>
  <w:style w:type="numbering" w:customStyle="1" w:styleId="EstiloImportado5">
    <w:name w:val="Estilo Importado 5"/>
    <w:rsid w:val="00045631"/>
    <w:pPr>
      <w:numPr>
        <w:numId w:val="6"/>
      </w:numPr>
    </w:pPr>
  </w:style>
  <w:style w:type="paragraph" w:styleId="PlainText">
    <w:name w:val="Plain Text"/>
    <w:basedOn w:val="Normal"/>
    <w:link w:val="PlainTextChar"/>
    <w:uiPriority w:val="99"/>
    <w:unhideWhenUsed/>
    <w:rsid w:val="00045631"/>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45631"/>
    <w:rPr>
      <w:rFonts w:ascii="Calibri" w:eastAsia="Calibri" w:hAnsi="Calibri" w:cs="Times New Roman"/>
      <w:sz w:val="22"/>
      <w:szCs w:val="21"/>
    </w:rPr>
  </w:style>
  <w:style w:type="character" w:styleId="FollowedHyperlink">
    <w:name w:val="FollowedHyperlink"/>
    <w:basedOn w:val="DefaultParagraphFont"/>
    <w:uiPriority w:val="99"/>
    <w:semiHidden/>
    <w:unhideWhenUsed/>
    <w:rsid w:val="009C1F6E"/>
    <w:rPr>
      <w:color w:val="954F72" w:themeColor="followedHyperlink"/>
      <w:u w:val="single"/>
    </w:rPr>
  </w:style>
  <w:style w:type="character" w:customStyle="1" w:styleId="css-901oao">
    <w:name w:val="css-901oao"/>
    <w:basedOn w:val="DefaultParagraphFont"/>
    <w:rsid w:val="0071565F"/>
  </w:style>
  <w:style w:type="character" w:styleId="Emphasis">
    <w:name w:val="Emphasis"/>
    <w:basedOn w:val="DefaultParagraphFont"/>
    <w:uiPriority w:val="20"/>
    <w:qFormat/>
    <w:rsid w:val="005D7789"/>
    <w:rPr>
      <w:i/>
      <w:iCs/>
    </w:rPr>
  </w:style>
  <w:style w:type="character" w:customStyle="1" w:styleId="Heading3Char">
    <w:name w:val="Heading 3 Char"/>
    <w:basedOn w:val="DefaultParagraphFont"/>
    <w:link w:val="Heading3"/>
    <w:uiPriority w:val="9"/>
    <w:semiHidden/>
    <w:rsid w:val="00AA19FB"/>
    <w:rPr>
      <w:rFonts w:ascii="Arial" w:eastAsia="Arial" w:hAnsi="Arial" w:cs="Arial"/>
      <w:color w:val="434343"/>
      <w:sz w:val="28"/>
      <w:szCs w:val="28"/>
      <w:lang w:val="es-419" w:eastAsia="en-GB"/>
    </w:rPr>
  </w:style>
  <w:style w:type="character" w:customStyle="1" w:styleId="Heading4Char">
    <w:name w:val="Heading 4 Char"/>
    <w:basedOn w:val="DefaultParagraphFont"/>
    <w:link w:val="Heading4"/>
    <w:uiPriority w:val="9"/>
    <w:semiHidden/>
    <w:rsid w:val="00AA19FB"/>
    <w:rPr>
      <w:rFonts w:ascii="Arial" w:eastAsia="Arial" w:hAnsi="Arial" w:cs="Arial"/>
      <w:color w:val="666666"/>
      <w:lang w:val="es-419" w:eastAsia="en-GB"/>
    </w:rPr>
  </w:style>
  <w:style w:type="character" w:customStyle="1" w:styleId="Heading5Char">
    <w:name w:val="Heading 5 Char"/>
    <w:basedOn w:val="DefaultParagraphFont"/>
    <w:link w:val="Heading5"/>
    <w:uiPriority w:val="9"/>
    <w:semiHidden/>
    <w:rsid w:val="00AA19FB"/>
    <w:rPr>
      <w:rFonts w:ascii="Arial" w:eastAsia="Arial" w:hAnsi="Arial" w:cs="Arial"/>
      <w:color w:val="666666"/>
      <w:sz w:val="22"/>
      <w:szCs w:val="22"/>
      <w:lang w:val="es-419" w:eastAsia="en-GB"/>
    </w:rPr>
  </w:style>
  <w:style w:type="character" w:customStyle="1" w:styleId="Heading6Char">
    <w:name w:val="Heading 6 Char"/>
    <w:basedOn w:val="DefaultParagraphFont"/>
    <w:link w:val="Heading6"/>
    <w:uiPriority w:val="9"/>
    <w:semiHidden/>
    <w:rsid w:val="00AA19FB"/>
    <w:rPr>
      <w:rFonts w:ascii="Arial" w:eastAsia="Arial" w:hAnsi="Arial" w:cs="Arial"/>
      <w:i/>
      <w:color w:val="666666"/>
      <w:sz w:val="22"/>
      <w:szCs w:val="22"/>
      <w:lang w:val="es-419" w:eastAsia="en-GB"/>
    </w:rPr>
  </w:style>
  <w:style w:type="paragraph" w:styleId="Revision">
    <w:name w:val="Revision"/>
    <w:hidden/>
    <w:uiPriority w:val="99"/>
    <w:semiHidden/>
    <w:rsid w:val="006952DA"/>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592">
      <w:bodyDiv w:val="1"/>
      <w:marLeft w:val="0"/>
      <w:marRight w:val="0"/>
      <w:marTop w:val="0"/>
      <w:marBottom w:val="0"/>
      <w:divBdr>
        <w:top w:val="none" w:sz="0" w:space="0" w:color="auto"/>
        <w:left w:val="none" w:sz="0" w:space="0" w:color="auto"/>
        <w:bottom w:val="none" w:sz="0" w:space="0" w:color="auto"/>
        <w:right w:val="none" w:sz="0" w:space="0" w:color="auto"/>
      </w:divBdr>
    </w:div>
    <w:div w:id="11608937">
      <w:bodyDiv w:val="1"/>
      <w:marLeft w:val="0"/>
      <w:marRight w:val="0"/>
      <w:marTop w:val="0"/>
      <w:marBottom w:val="0"/>
      <w:divBdr>
        <w:top w:val="none" w:sz="0" w:space="0" w:color="auto"/>
        <w:left w:val="none" w:sz="0" w:space="0" w:color="auto"/>
        <w:bottom w:val="none" w:sz="0" w:space="0" w:color="auto"/>
        <w:right w:val="none" w:sz="0" w:space="0" w:color="auto"/>
      </w:divBdr>
    </w:div>
    <w:div w:id="57868730">
      <w:bodyDiv w:val="1"/>
      <w:marLeft w:val="0"/>
      <w:marRight w:val="0"/>
      <w:marTop w:val="0"/>
      <w:marBottom w:val="0"/>
      <w:divBdr>
        <w:top w:val="none" w:sz="0" w:space="0" w:color="auto"/>
        <w:left w:val="none" w:sz="0" w:space="0" w:color="auto"/>
        <w:bottom w:val="none" w:sz="0" w:space="0" w:color="auto"/>
        <w:right w:val="none" w:sz="0" w:space="0" w:color="auto"/>
      </w:divBdr>
    </w:div>
    <w:div w:id="63993397">
      <w:bodyDiv w:val="1"/>
      <w:marLeft w:val="0"/>
      <w:marRight w:val="0"/>
      <w:marTop w:val="0"/>
      <w:marBottom w:val="0"/>
      <w:divBdr>
        <w:top w:val="none" w:sz="0" w:space="0" w:color="auto"/>
        <w:left w:val="none" w:sz="0" w:space="0" w:color="auto"/>
        <w:bottom w:val="none" w:sz="0" w:space="0" w:color="auto"/>
        <w:right w:val="none" w:sz="0" w:space="0" w:color="auto"/>
      </w:divBdr>
    </w:div>
    <w:div w:id="68768653">
      <w:bodyDiv w:val="1"/>
      <w:marLeft w:val="0"/>
      <w:marRight w:val="0"/>
      <w:marTop w:val="0"/>
      <w:marBottom w:val="0"/>
      <w:divBdr>
        <w:top w:val="none" w:sz="0" w:space="0" w:color="auto"/>
        <w:left w:val="none" w:sz="0" w:space="0" w:color="auto"/>
        <w:bottom w:val="none" w:sz="0" w:space="0" w:color="auto"/>
        <w:right w:val="none" w:sz="0" w:space="0" w:color="auto"/>
      </w:divBdr>
    </w:div>
    <w:div w:id="83452531">
      <w:bodyDiv w:val="1"/>
      <w:marLeft w:val="0"/>
      <w:marRight w:val="0"/>
      <w:marTop w:val="0"/>
      <w:marBottom w:val="0"/>
      <w:divBdr>
        <w:top w:val="none" w:sz="0" w:space="0" w:color="auto"/>
        <w:left w:val="none" w:sz="0" w:space="0" w:color="auto"/>
        <w:bottom w:val="none" w:sz="0" w:space="0" w:color="auto"/>
        <w:right w:val="none" w:sz="0" w:space="0" w:color="auto"/>
      </w:divBdr>
      <w:divsChild>
        <w:div w:id="1893688404">
          <w:marLeft w:val="0"/>
          <w:marRight w:val="0"/>
          <w:marTop w:val="0"/>
          <w:marBottom w:val="0"/>
          <w:divBdr>
            <w:top w:val="none" w:sz="0" w:space="0" w:color="auto"/>
            <w:left w:val="none" w:sz="0" w:space="0" w:color="auto"/>
            <w:bottom w:val="none" w:sz="0" w:space="0" w:color="auto"/>
            <w:right w:val="none" w:sz="0" w:space="0" w:color="auto"/>
          </w:divBdr>
        </w:div>
        <w:div w:id="2107967495">
          <w:marLeft w:val="0"/>
          <w:marRight w:val="0"/>
          <w:marTop w:val="0"/>
          <w:marBottom w:val="0"/>
          <w:divBdr>
            <w:top w:val="none" w:sz="0" w:space="0" w:color="auto"/>
            <w:left w:val="none" w:sz="0" w:space="0" w:color="auto"/>
            <w:bottom w:val="none" w:sz="0" w:space="0" w:color="auto"/>
            <w:right w:val="none" w:sz="0" w:space="0" w:color="auto"/>
          </w:divBdr>
        </w:div>
      </w:divsChild>
    </w:div>
    <w:div w:id="95565451">
      <w:bodyDiv w:val="1"/>
      <w:marLeft w:val="0"/>
      <w:marRight w:val="0"/>
      <w:marTop w:val="0"/>
      <w:marBottom w:val="0"/>
      <w:divBdr>
        <w:top w:val="none" w:sz="0" w:space="0" w:color="auto"/>
        <w:left w:val="none" w:sz="0" w:space="0" w:color="auto"/>
        <w:bottom w:val="none" w:sz="0" w:space="0" w:color="auto"/>
        <w:right w:val="none" w:sz="0" w:space="0" w:color="auto"/>
      </w:divBdr>
    </w:div>
    <w:div w:id="97533081">
      <w:bodyDiv w:val="1"/>
      <w:marLeft w:val="0"/>
      <w:marRight w:val="0"/>
      <w:marTop w:val="0"/>
      <w:marBottom w:val="0"/>
      <w:divBdr>
        <w:top w:val="none" w:sz="0" w:space="0" w:color="auto"/>
        <w:left w:val="none" w:sz="0" w:space="0" w:color="auto"/>
        <w:bottom w:val="none" w:sz="0" w:space="0" w:color="auto"/>
        <w:right w:val="none" w:sz="0" w:space="0" w:color="auto"/>
      </w:divBdr>
    </w:div>
    <w:div w:id="120850527">
      <w:bodyDiv w:val="1"/>
      <w:marLeft w:val="0"/>
      <w:marRight w:val="0"/>
      <w:marTop w:val="0"/>
      <w:marBottom w:val="0"/>
      <w:divBdr>
        <w:top w:val="none" w:sz="0" w:space="0" w:color="auto"/>
        <w:left w:val="none" w:sz="0" w:space="0" w:color="auto"/>
        <w:bottom w:val="none" w:sz="0" w:space="0" w:color="auto"/>
        <w:right w:val="none" w:sz="0" w:space="0" w:color="auto"/>
      </w:divBdr>
      <w:divsChild>
        <w:div w:id="223832170">
          <w:marLeft w:val="0"/>
          <w:marRight w:val="0"/>
          <w:marTop w:val="0"/>
          <w:marBottom w:val="0"/>
          <w:divBdr>
            <w:top w:val="none" w:sz="0" w:space="0" w:color="auto"/>
            <w:left w:val="none" w:sz="0" w:space="0" w:color="auto"/>
            <w:bottom w:val="none" w:sz="0" w:space="0" w:color="auto"/>
            <w:right w:val="none" w:sz="0" w:space="0" w:color="auto"/>
          </w:divBdr>
          <w:divsChild>
            <w:div w:id="562909444">
              <w:marLeft w:val="0"/>
              <w:marRight w:val="0"/>
              <w:marTop w:val="0"/>
              <w:marBottom w:val="0"/>
              <w:divBdr>
                <w:top w:val="none" w:sz="0" w:space="0" w:color="auto"/>
                <w:left w:val="none" w:sz="0" w:space="0" w:color="auto"/>
                <w:bottom w:val="none" w:sz="0" w:space="0" w:color="auto"/>
                <w:right w:val="none" w:sz="0" w:space="0" w:color="auto"/>
              </w:divBdr>
            </w:div>
            <w:div w:id="1580098933">
              <w:marLeft w:val="0"/>
              <w:marRight w:val="0"/>
              <w:marTop w:val="0"/>
              <w:marBottom w:val="0"/>
              <w:divBdr>
                <w:top w:val="none" w:sz="0" w:space="0" w:color="auto"/>
                <w:left w:val="none" w:sz="0" w:space="0" w:color="auto"/>
                <w:bottom w:val="none" w:sz="0" w:space="0" w:color="auto"/>
                <w:right w:val="none" w:sz="0" w:space="0" w:color="auto"/>
              </w:divBdr>
            </w:div>
            <w:div w:id="1782723467">
              <w:marLeft w:val="0"/>
              <w:marRight w:val="0"/>
              <w:marTop w:val="0"/>
              <w:marBottom w:val="0"/>
              <w:divBdr>
                <w:top w:val="none" w:sz="0" w:space="0" w:color="auto"/>
                <w:left w:val="none" w:sz="0" w:space="0" w:color="auto"/>
                <w:bottom w:val="none" w:sz="0" w:space="0" w:color="auto"/>
                <w:right w:val="none" w:sz="0" w:space="0" w:color="auto"/>
              </w:divBdr>
            </w:div>
            <w:div w:id="1847745813">
              <w:marLeft w:val="0"/>
              <w:marRight w:val="0"/>
              <w:marTop w:val="0"/>
              <w:marBottom w:val="0"/>
              <w:divBdr>
                <w:top w:val="none" w:sz="0" w:space="0" w:color="auto"/>
                <w:left w:val="none" w:sz="0" w:space="0" w:color="auto"/>
                <w:bottom w:val="none" w:sz="0" w:space="0" w:color="auto"/>
                <w:right w:val="none" w:sz="0" w:space="0" w:color="auto"/>
              </w:divBdr>
            </w:div>
            <w:div w:id="1988625007">
              <w:marLeft w:val="0"/>
              <w:marRight w:val="0"/>
              <w:marTop w:val="0"/>
              <w:marBottom w:val="0"/>
              <w:divBdr>
                <w:top w:val="none" w:sz="0" w:space="0" w:color="auto"/>
                <w:left w:val="none" w:sz="0" w:space="0" w:color="auto"/>
                <w:bottom w:val="none" w:sz="0" w:space="0" w:color="auto"/>
                <w:right w:val="none" w:sz="0" w:space="0" w:color="auto"/>
              </w:divBdr>
            </w:div>
          </w:divsChild>
        </w:div>
        <w:div w:id="255211913">
          <w:marLeft w:val="0"/>
          <w:marRight w:val="0"/>
          <w:marTop w:val="0"/>
          <w:marBottom w:val="0"/>
          <w:divBdr>
            <w:top w:val="none" w:sz="0" w:space="0" w:color="auto"/>
            <w:left w:val="none" w:sz="0" w:space="0" w:color="auto"/>
            <w:bottom w:val="none" w:sz="0" w:space="0" w:color="auto"/>
            <w:right w:val="none" w:sz="0" w:space="0" w:color="auto"/>
          </w:divBdr>
        </w:div>
        <w:div w:id="321393396">
          <w:marLeft w:val="0"/>
          <w:marRight w:val="0"/>
          <w:marTop w:val="0"/>
          <w:marBottom w:val="0"/>
          <w:divBdr>
            <w:top w:val="none" w:sz="0" w:space="0" w:color="auto"/>
            <w:left w:val="none" w:sz="0" w:space="0" w:color="auto"/>
            <w:bottom w:val="none" w:sz="0" w:space="0" w:color="auto"/>
            <w:right w:val="none" w:sz="0" w:space="0" w:color="auto"/>
          </w:divBdr>
        </w:div>
        <w:div w:id="352070706">
          <w:marLeft w:val="0"/>
          <w:marRight w:val="0"/>
          <w:marTop w:val="0"/>
          <w:marBottom w:val="0"/>
          <w:divBdr>
            <w:top w:val="none" w:sz="0" w:space="0" w:color="auto"/>
            <w:left w:val="none" w:sz="0" w:space="0" w:color="auto"/>
            <w:bottom w:val="none" w:sz="0" w:space="0" w:color="auto"/>
            <w:right w:val="none" w:sz="0" w:space="0" w:color="auto"/>
          </w:divBdr>
          <w:divsChild>
            <w:div w:id="227889459">
              <w:marLeft w:val="0"/>
              <w:marRight w:val="0"/>
              <w:marTop w:val="0"/>
              <w:marBottom w:val="0"/>
              <w:divBdr>
                <w:top w:val="none" w:sz="0" w:space="0" w:color="auto"/>
                <w:left w:val="none" w:sz="0" w:space="0" w:color="auto"/>
                <w:bottom w:val="none" w:sz="0" w:space="0" w:color="auto"/>
                <w:right w:val="none" w:sz="0" w:space="0" w:color="auto"/>
              </w:divBdr>
            </w:div>
            <w:div w:id="370614745">
              <w:marLeft w:val="0"/>
              <w:marRight w:val="0"/>
              <w:marTop w:val="0"/>
              <w:marBottom w:val="0"/>
              <w:divBdr>
                <w:top w:val="none" w:sz="0" w:space="0" w:color="auto"/>
                <w:left w:val="none" w:sz="0" w:space="0" w:color="auto"/>
                <w:bottom w:val="none" w:sz="0" w:space="0" w:color="auto"/>
                <w:right w:val="none" w:sz="0" w:space="0" w:color="auto"/>
              </w:divBdr>
            </w:div>
            <w:div w:id="1018847702">
              <w:marLeft w:val="0"/>
              <w:marRight w:val="0"/>
              <w:marTop w:val="0"/>
              <w:marBottom w:val="0"/>
              <w:divBdr>
                <w:top w:val="none" w:sz="0" w:space="0" w:color="auto"/>
                <w:left w:val="none" w:sz="0" w:space="0" w:color="auto"/>
                <w:bottom w:val="none" w:sz="0" w:space="0" w:color="auto"/>
                <w:right w:val="none" w:sz="0" w:space="0" w:color="auto"/>
              </w:divBdr>
            </w:div>
            <w:div w:id="1556577339">
              <w:marLeft w:val="0"/>
              <w:marRight w:val="0"/>
              <w:marTop w:val="0"/>
              <w:marBottom w:val="0"/>
              <w:divBdr>
                <w:top w:val="none" w:sz="0" w:space="0" w:color="auto"/>
                <w:left w:val="none" w:sz="0" w:space="0" w:color="auto"/>
                <w:bottom w:val="none" w:sz="0" w:space="0" w:color="auto"/>
                <w:right w:val="none" w:sz="0" w:space="0" w:color="auto"/>
              </w:divBdr>
            </w:div>
            <w:div w:id="1934972304">
              <w:marLeft w:val="0"/>
              <w:marRight w:val="0"/>
              <w:marTop w:val="0"/>
              <w:marBottom w:val="0"/>
              <w:divBdr>
                <w:top w:val="none" w:sz="0" w:space="0" w:color="auto"/>
                <w:left w:val="none" w:sz="0" w:space="0" w:color="auto"/>
                <w:bottom w:val="none" w:sz="0" w:space="0" w:color="auto"/>
                <w:right w:val="none" w:sz="0" w:space="0" w:color="auto"/>
              </w:divBdr>
            </w:div>
          </w:divsChild>
        </w:div>
        <w:div w:id="966161416">
          <w:marLeft w:val="0"/>
          <w:marRight w:val="0"/>
          <w:marTop w:val="0"/>
          <w:marBottom w:val="0"/>
          <w:divBdr>
            <w:top w:val="none" w:sz="0" w:space="0" w:color="auto"/>
            <w:left w:val="none" w:sz="0" w:space="0" w:color="auto"/>
            <w:bottom w:val="none" w:sz="0" w:space="0" w:color="auto"/>
            <w:right w:val="none" w:sz="0" w:space="0" w:color="auto"/>
          </w:divBdr>
        </w:div>
        <w:div w:id="1223981527">
          <w:marLeft w:val="0"/>
          <w:marRight w:val="0"/>
          <w:marTop w:val="0"/>
          <w:marBottom w:val="0"/>
          <w:divBdr>
            <w:top w:val="none" w:sz="0" w:space="0" w:color="auto"/>
            <w:left w:val="none" w:sz="0" w:space="0" w:color="auto"/>
            <w:bottom w:val="none" w:sz="0" w:space="0" w:color="auto"/>
            <w:right w:val="none" w:sz="0" w:space="0" w:color="auto"/>
          </w:divBdr>
        </w:div>
        <w:div w:id="1393770109">
          <w:marLeft w:val="0"/>
          <w:marRight w:val="0"/>
          <w:marTop w:val="0"/>
          <w:marBottom w:val="0"/>
          <w:divBdr>
            <w:top w:val="none" w:sz="0" w:space="0" w:color="auto"/>
            <w:left w:val="none" w:sz="0" w:space="0" w:color="auto"/>
            <w:bottom w:val="none" w:sz="0" w:space="0" w:color="auto"/>
            <w:right w:val="none" w:sz="0" w:space="0" w:color="auto"/>
          </w:divBdr>
        </w:div>
        <w:div w:id="1459490534">
          <w:marLeft w:val="0"/>
          <w:marRight w:val="0"/>
          <w:marTop w:val="0"/>
          <w:marBottom w:val="0"/>
          <w:divBdr>
            <w:top w:val="none" w:sz="0" w:space="0" w:color="auto"/>
            <w:left w:val="none" w:sz="0" w:space="0" w:color="auto"/>
            <w:bottom w:val="none" w:sz="0" w:space="0" w:color="auto"/>
            <w:right w:val="none" w:sz="0" w:space="0" w:color="auto"/>
          </w:divBdr>
        </w:div>
        <w:div w:id="1686399104">
          <w:marLeft w:val="0"/>
          <w:marRight w:val="0"/>
          <w:marTop w:val="0"/>
          <w:marBottom w:val="0"/>
          <w:divBdr>
            <w:top w:val="none" w:sz="0" w:space="0" w:color="auto"/>
            <w:left w:val="none" w:sz="0" w:space="0" w:color="auto"/>
            <w:bottom w:val="none" w:sz="0" w:space="0" w:color="auto"/>
            <w:right w:val="none" w:sz="0" w:space="0" w:color="auto"/>
          </w:divBdr>
          <w:divsChild>
            <w:div w:id="12193695">
              <w:marLeft w:val="0"/>
              <w:marRight w:val="0"/>
              <w:marTop w:val="0"/>
              <w:marBottom w:val="0"/>
              <w:divBdr>
                <w:top w:val="none" w:sz="0" w:space="0" w:color="auto"/>
                <w:left w:val="none" w:sz="0" w:space="0" w:color="auto"/>
                <w:bottom w:val="none" w:sz="0" w:space="0" w:color="auto"/>
                <w:right w:val="none" w:sz="0" w:space="0" w:color="auto"/>
              </w:divBdr>
            </w:div>
            <w:div w:id="416441122">
              <w:marLeft w:val="0"/>
              <w:marRight w:val="0"/>
              <w:marTop w:val="0"/>
              <w:marBottom w:val="0"/>
              <w:divBdr>
                <w:top w:val="none" w:sz="0" w:space="0" w:color="auto"/>
                <w:left w:val="none" w:sz="0" w:space="0" w:color="auto"/>
                <w:bottom w:val="none" w:sz="0" w:space="0" w:color="auto"/>
                <w:right w:val="none" w:sz="0" w:space="0" w:color="auto"/>
              </w:divBdr>
            </w:div>
            <w:div w:id="643511215">
              <w:marLeft w:val="0"/>
              <w:marRight w:val="0"/>
              <w:marTop w:val="0"/>
              <w:marBottom w:val="0"/>
              <w:divBdr>
                <w:top w:val="none" w:sz="0" w:space="0" w:color="auto"/>
                <w:left w:val="none" w:sz="0" w:space="0" w:color="auto"/>
                <w:bottom w:val="none" w:sz="0" w:space="0" w:color="auto"/>
                <w:right w:val="none" w:sz="0" w:space="0" w:color="auto"/>
              </w:divBdr>
            </w:div>
            <w:div w:id="1375615808">
              <w:marLeft w:val="0"/>
              <w:marRight w:val="0"/>
              <w:marTop w:val="0"/>
              <w:marBottom w:val="0"/>
              <w:divBdr>
                <w:top w:val="none" w:sz="0" w:space="0" w:color="auto"/>
                <w:left w:val="none" w:sz="0" w:space="0" w:color="auto"/>
                <w:bottom w:val="none" w:sz="0" w:space="0" w:color="auto"/>
                <w:right w:val="none" w:sz="0" w:space="0" w:color="auto"/>
              </w:divBdr>
            </w:div>
            <w:div w:id="1789279185">
              <w:marLeft w:val="0"/>
              <w:marRight w:val="0"/>
              <w:marTop w:val="0"/>
              <w:marBottom w:val="0"/>
              <w:divBdr>
                <w:top w:val="none" w:sz="0" w:space="0" w:color="auto"/>
                <w:left w:val="none" w:sz="0" w:space="0" w:color="auto"/>
                <w:bottom w:val="none" w:sz="0" w:space="0" w:color="auto"/>
                <w:right w:val="none" w:sz="0" w:space="0" w:color="auto"/>
              </w:divBdr>
            </w:div>
          </w:divsChild>
        </w:div>
        <w:div w:id="1897817689">
          <w:marLeft w:val="0"/>
          <w:marRight w:val="0"/>
          <w:marTop w:val="0"/>
          <w:marBottom w:val="0"/>
          <w:divBdr>
            <w:top w:val="none" w:sz="0" w:space="0" w:color="auto"/>
            <w:left w:val="none" w:sz="0" w:space="0" w:color="auto"/>
            <w:bottom w:val="none" w:sz="0" w:space="0" w:color="auto"/>
            <w:right w:val="none" w:sz="0" w:space="0" w:color="auto"/>
          </w:divBdr>
          <w:divsChild>
            <w:div w:id="748506444">
              <w:marLeft w:val="0"/>
              <w:marRight w:val="0"/>
              <w:marTop w:val="0"/>
              <w:marBottom w:val="0"/>
              <w:divBdr>
                <w:top w:val="none" w:sz="0" w:space="0" w:color="auto"/>
                <w:left w:val="none" w:sz="0" w:space="0" w:color="auto"/>
                <w:bottom w:val="none" w:sz="0" w:space="0" w:color="auto"/>
                <w:right w:val="none" w:sz="0" w:space="0" w:color="auto"/>
              </w:divBdr>
            </w:div>
            <w:div w:id="1810634695">
              <w:marLeft w:val="0"/>
              <w:marRight w:val="0"/>
              <w:marTop w:val="0"/>
              <w:marBottom w:val="0"/>
              <w:divBdr>
                <w:top w:val="none" w:sz="0" w:space="0" w:color="auto"/>
                <w:left w:val="none" w:sz="0" w:space="0" w:color="auto"/>
                <w:bottom w:val="none" w:sz="0" w:space="0" w:color="auto"/>
                <w:right w:val="none" w:sz="0" w:space="0" w:color="auto"/>
              </w:divBdr>
            </w:div>
          </w:divsChild>
        </w:div>
        <w:div w:id="2113090047">
          <w:marLeft w:val="0"/>
          <w:marRight w:val="0"/>
          <w:marTop w:val="0"/>
          <w:marBottom w:val="0"/>
          <w:divBdr>
            <w:top w:val="none" w:sz="0" w:space="0" w:color="auto"/>
            <w:left w:val="none" w:sz="0" w:space="0" w:color="auto"/>
            <w:bottom w:val="none" w:sz="0" w:space="0" w:color="auto"/>
            <w:right w:val="none" w:sz="0" w:space="0" w:color="auto"/>
          </w:divBdr>
        </w:div>
      </w:divsChild>
    </w:div>
    <w:div w:id="131489426">
      <w:bodyDiv w:val="1"/>
      <w:marLeft w:val="0"/>
      <w:marRight w:val="0"/>
      <w:marTop w:val="0"/>
      <w:marBottom w:val="0"/>
      <w:divBdr>
        <w:top w:val="none" w:sz="0" w:space="0" w:color="auto"/>
        <w:left w:val="none" w:sz="0" w:space="0" w:color="auto"/>
        <w:bottom w:val="none" w:sz="0" w:space="0" w:color="auto"/>
        <w:right w:val="none" w:sz="0" w:space="0" w:color="auto"/>
      </w:divBdr>
    </w:div>
    <w:div w:id="140774268">
      <w:bodyDiv w:val="1"/>
      <w:marLeft w:val="0"/>
      <w:marRight w:val="0"/>
      <w:marTop w:val="0"/>
      <w:marBottom w:val="0"/>
      <w:divBdr>
        <w:top w:val="none" w:sz="0" w:space="0" w:color="auto"/>
        <w:left w:val="none" w:sz="0" w:space="0" w:color="auto"/>
        <w:bottom w:val="none" w:sz="0" w:space="0" w:color="auto"/>
        <w:right w:val="none" w:sz="0" w:space="0" w:color="auto"/>
      </w:divBdr>
    </w:div>
    <w:div w:id="158471194">
      <w:bodyDiv w:val="1"/>
      <w:marLeft w:val="0"/>
      <w:marRight w:val="0"/>
      <w:marTop w:val="0"/>
      <w:marBottom w:val="0"/>
      <w:divBdr>
        <w:top w:val="none" w:sz="0" w:space="0" w:color="auto"/>
        <w:left w:val="none" w:sz="0" w:space="0" w:color="auto"/>
        <w:bottom w:val="none" w:sz="0" w:space="0" w:color="auto"/>
        <w:right w:val="none" w:sz="0" w:space="0" w:color="auto"/>
      </w:divBdr>
    </w:div>
    <w:div w:id="221722282">
      <w:bodyDiv w:val="1"/>
      <w:marLeft w:val="0"/>
      <w:marRight w:val="0"/>
      <w:marTop w:val="0"/>
      <w:marBottom w:val="0"/>
      <w:divBdr>
        <w:top w:val="none" w:sz="0" w:space="0" w:color="auto"/>
        <w:left w:val="none" w:sz="0" w:space="0" w:color="auto"/>
        <w:bottom w:val="none" w:sz="0" w:space="0" w:color="auto"/>
        <w:right w:val="none" w:sz="0" w:space="0" w:color="auto"/>
      </w:divBdr>
    </w:div>
    <w:div w:id="228466729">
      <w:bodyDiv w:val="1"/>
      <w:marLeft w:val="0"/>
      <w:marRight w:val="0"/>
      <w:marTop w:val="0"/>
      <w:marBottom w:val="0"/>
      <w:divBdr>
        <w:top w:val="none" w:sz="0" w:space="0" w:color="auto"/>
        <w:left w:val="none" w:sz="0" w:space="0" w:color="auto"/>
        <w:bottom w:val="none" w:sz="0" w:space="0" w:color="auto"/>
        <w:right w:val="none" w:sz="0" w:space="0" w:color="auto"/>
      </w:divBdr>
    </w:div>
    <w:div w:id="243227783">
      <w:bodyDiv w:val="1"/>
      <w:marLeft w:val="0"/>
      <w:marRight w:val="0"/>
      <w:marTop w:val="0"/>
      <w:marBottom w:val="0"/>
      <w:divBdr>
        <w:top w:val="none" w:sz="0" w:space="0" w:color="auto"/>
        <w:left w:val="none" w:sz="0" w:space="0" w:color="auto"/>
        <w:bottom w:val="none" w:sz="0" w:space="0" w:color="auto"/>
        <w:right w:val="none" w:sz="0" w:space="0" w:color="auto"/>
      </w:divBdr>
    </w:div>
    <w:div w:id="244463086">
      <w:bodyDiv w:val="1"/>
      <w:marLeft w:val="0"/>
      <w:marRight w:val="0"/>
      <w:marTop w:val="0"/>
      <w:marBottom w:val="0"/>
      <w:divBdr>
        <w:top w:val="none" w:sz="0" w:space="0" w:color="auto"/>
        <w:left w:val="none" w:sz="0" w:space="0" w:color="auto"/>
        <w:bottom w:val="none" w:sz="0" w:space="0" w:color="auto"/>
        <w:right w:val="none" w:sz="0" w:space="0" w:color="auto"/>
      </w:divBdr>
    </w:div>
    <w:div w:id="249851670">
      <w:bodyDiv w:val="1"/>
      <w:marLeft w:val="0"/>
      <w:marRight w:val="0"/>
      <w:marTop w:val="0"/>
      <w:marBottom w:val="0"/>
      <w:divBdr>
        <w:top w:val="none" w:sz="0" w:space="0" w:color="auto"/>
        <w:left w:val="none" w:sz="0" w:space="0" w:color="auto"/>
        <w:bottom w:val="none" w:sz="0" w:space="0" w:color="auto"/>
        <w:right w:val="none" w:sz="0" w:space="0" w:color="auto"/>
      </w:divBdr>
    </w:div>
    <w:div w:id="252707020">
      <w:bodyDiv w:val="1"/>
      <w:marLeft w:val="0"/>
      <w:marRight w:val="0"/>
      <w:marTop w:val="0"/>
      <w:marBottom w:val="0"/>
      <w:divBdr>
        <w:top w:val="none" w:sz="0" w:space="0" w:color="auto"/>
        <w:left w:val="none" w:sz="0" w:space="0" w:color="auto"/>
        <w:bottom w:val="none" w:sz="0" w:space="0" w:color="auto"/>
        <w:right w:val="none" w:sz="0" w:space="0" w:color="auto"/>
      </w:divBdr>
    </w:div>
    <w:div w:id="253710454">
      <w:bodyDiv w:val="1"/>
      <w:marLeft w:val="0"/>
      <w:marRight w:val="0"/>
      <w:marTop w:val="0"/>
      <w:marBottom w:val="0"/>
      <w:divBdr>
        <w:top w:val="none" w:sz="0" w:space="0" w:color="auto"/>
        <w:left w:val="none" w:sz="0" w:space="0" w:color="auto"/>
        <w:bottom w:val="none" w:sz="0" w:space="0" w:color="auto"/>
        <w:right w:val="none" w:sz="0" w:space="0" w:color="auto"/>
      </w:divBdr>
    </w:div>
    <w:div w:id="255526550">
      <w:bodyDiv w:val="1"/>
      <w:marLeft w:val="0"/>
      <w:marRight w:val="0"/>
      <w:marTop w:val="0"/>
      <w:marBottom w:val="0"/>
      <w:divBdr>
        <w:top w:val="none" w:sz="0" w:space="0" w:color="auto"/>
        <w:left w:val="none" w:sz="0" w:space="0" w:color="auto"/>
        <w:bottom w:val="none" w:sz="0" w:space="0" w:color="auto"/>
        <w:right w:val="none" w:sz="0" w:space="0" w:color="auto"/>
      </w:divBdr>
    </w:div>
    <w:div w:id="255599001">
      <w:bodyDiv w:val="1"/>
      <w:marLeft w:val="0"/>
      <w:marRight w:val="0"/>
      <w:marTop w:val="0"/>
      <w:marBottom w:val="0"/>
      <w:divBdr>
        <w:top w:val="none" w:sz="0" w:space="0" w:color="auto"/>
        <w:left w:val="none" w:sz="0" w:space="0" w:color="auto"/>
        <w:bottom w:val="none" w:sz="0" w:space="0" w:color="auto"/>
        <w:right w:val="none" w:sz="0" w:space="0" w:color="auto"/>
      </w:divBdr>
    </w:div>
    <w:div w:id="261495817">
      <w:bodyDiv w:val="1"/>
      <w:marLeft w:val="0"/>
      <w:marRight w:val="0"/>
      <w:marTop w:val="0"/>
      <w:marBottom w:val="0"/>
      <w:divBdr>
        <w:top w:val="none" w:sz="0" w:space="0" w:color="auto"/>
        <w:left w:val="none" w:sz="0" w:space="0" w:color="auto"/>
        <w:bottom w:val="none" w:sz="0" w:space="0" w:color="auto"/>
        <w:right w:val="none" w:sz="0" w:space="0" w:color="auto"/>
      </w:divBdr>
    </w:div>
    <w:div w:id="264314803">
      <w:bodyDiv w:val="1"/>
      <w:marLeft w:val="0"/>
      <w:marRight w:val="0"/>
      <w:marTop w:val="0"/>
      <w:marBottom w:val="0"/>
      <w:divBdr>
        <w:top w:val="none" w:sz="0" w:space="0" w:color="auto"/>
        <w:left w:val="none" w:sz="0" w:space="0" w:color="auto"/>
        <w:bottom w:val="none" w:sz="0" w:space="0" w:color="auto"/>
        <w:right w:val="none" w:sz="0" w:space="0" w:color="auto"/>
      </w:divBdr>
    </w:div>
    <w:div w:id="282882522">
      <w:bodyDiv w:val="1"/>
      <w:marLeft w:val="0"/>
      <w:marRight w:val="0"/>
      <w:marTop w:val="0"/>
      <w:marBottom w:val="0"/>
      <w:divBdr>
        <w:top w:val="none" w:sz="0" w:space="0" w:color="auto"/>
        <w:left w:val="none" w:sz="0" w:space="0" w:color="auto"/>
        <w:bottom w:val="none" w:sz="0" w:space="0" w:color="auto"/>
        <w:right w:val="none" w:sz="0" w:space="0" w:color="auto"/>
      </w:divBdr>
    </w:div>
    <w:div w:id="286550952">
      <w:bodyDiv w:val="1"/>
      <w:marLeft w:val="0"/>
      <w:marRight w:val="0"/>
      <w:marTop w:val="0"/>
      <w:marBottom w:val="0"/>
      <w:divBdr>
        <w:top w:val="none" w:sz="0" w:space="0" w:color="auto"/>
        <w:left w:val="none" w:sz="0" w:space="0" w:color="auto"/>
        <w:bottom w:val="none" w:sz="0" w:space="0" w:color="auto"/>
        <w:right w:val="none" w:sz="0" w:space="0" w:color="auto"/>
      </w:divBdr>
    </w:div>
    <w:div w:id="290523156">
      <w:bodyDiv w:val="1"/>
      <w:marLeft w:val="0"/>
      <w:marRight w:val="0"/>
      <w:marTop w:val="0"/>
      <w:marBottom w:val="0"/>
      <w:divBdr>
        <w:top w:val="none" w:sz="0" w:space="0" w:color="auto"/>
        <w:left w:val="none" w:sz="0" w:space="0" w:color="auto"/>
        <w:bottom w:val="none" w:sz="0" w:space="0" w:color="auto"/>
        <w:right w:val="none" w:sz="0" w:space="0" w:color="auto"/>
      </w:divBdr>
    </w:div>
    <w:div w:id="302733155">
      <w:bodyDiv w:val="1"/>
      <w:marLeft w:val="0"/>
      <w:marRight w:val="0"/>
      <w:marTop w:val="0"/>
      <w:marBottom w:val="0"/>
      <w:divBdr>
        <w:top w:val="none" w:sz="0" w:space="0" w:color="auto"/>
        <w:left w:val="none" w:sz="0" w:space="0" w:color="auto"/>
        <w:bottom w:val="none" w:sz="0" w:space="0" w:color="auto"/>
        <w:right w:val="none" w:sz="0" w:space="0" w:color="auto"/>
      </w:divBdr>
    </w:div>
    <w:div w:id="323048476">
      <w:bodyDiv w:val="1"/>
      <w:marLeft w:val="0"/>
      <w:marRight w:val="0"/>
      <w:marTop w:val="0"/>
      <w:marBottom w:val="0"/>
      <w:divBdr>
        <w:top w:val="none" w:sz="0" w:space="0" w:color="auto"/>
        <w:left w:val="none" w:sz="0" w:space="0" w:color="auto"/>
        <w:bottom w:val="none" w:sz="0" w:space="0" w:color="auto"/>
        <w:right w:val="none" w:sz="0" w:space="0" w:color="auto"/>
      </w:divBdr>
    </w:div>
    <w:div w:id="326979690">
      <w:bodyDiv w:val="1"/>
      <w:marLeft w:val="0"/>
      <w:marRight w:val="0"/>
      <w:marTop w:val="0"/>
      <w:marBottom w:val="0"/>
      <w:divBdr>
        <w:top w:val="none" w:sz="0" w:space="0" w:color="auto"/>
        <w:left w:val="none" w:sz="0" w:space="0" w:color="auto"/>
        <w:bottom w:val="none" w:sz="0" w:space="0" w:color="auto"/>
        <w:right w:val="none" w:sz="0" w:space="0" w:color="auto"/>
      </w:divBdr>
    </w:div>
    <w:div w:id="331418296">
      <w:bodyDiv w:val="1"/>
      <w:marLeft w:val="0"/>
      <w:marRight w:val="0"/>
      <w:marTop w:val="0"/>
      <w:marBottom w:val="0"/>
      <w:divBdr>
        <w:top w:val="none" w:sz="0" w:space="0" w:color="auto"/>
        <w:left w:val="none" w:sz="0" w:space="0" w:color="auto"/>
        <w:bottom w:val="none" w:sz="0" w:space="0" w:color="auto"/>
        <w:right w:val="none" w:sz="0" w:space="0" w:color="auto"/>
      </w:divBdr>
    </w:div>
    <w:div w:id="335496282">
      <w:bodyDiv w:val="1"/>
      <w:marLeft w:val="0"/>
      <w:marRight w:val="0"/>
      <w:marTop w:val="0"/>
      <w:marBottom w:val="0"/>
      <w:divBdr>
        <w:top w:val="none" w:sz="0" w:space="0" w:color="auto"/>
        <w:left w:val="none" w:sz="0" w:space="0" w:color="auto"/>
        <w:bottom w:val="none" w:sz="0" w:space="0" w:color="auto"/>
        <w:right w:val="none" w:sz="0" w:space="0" w:color="auto"/>
      </w:divBdr>
    </w:div>
    <w:div w:id="341470574">
      <w:bodyDiv w:val="1"/>
      <w:marLeft w:val="0"/>
      <w:marRight w:val="0"/>
      <w:marTop w:val="0"/>
      <w:marBottom w:val="0"/>
      <w:divBdr>
        <w:top w:val="none" w:sz="0" w:space="0" w:color="auto"/>
        <w:left w:val="none" w:sz="0" w:space="0" w:color="auto"/>
        <w:bottom w:val="none" w:sz="0" w:space="0" w:color="auto"/>
        <w:right w:val="none" w:sz="0" w:space="0" w:color="auto"/>
      </w:divBdr>
    </w:div>
    <w:div w:id="350378709">
      <w:bodyDiv w:val="1"/>
      <w:marLeft w:val="0"/>
      <w:marRight w:val="0"/>
      <w:marTop w:val="0"/>
      <w:marBottom w:val="0"/>
      <w:divBdr>
        <w:top w:val="none" w:sz="0" w:space="0" w:color="auto"/>
        <w:left w:val="none" w:sz="0" w:space="0" w:color="auto"/>
        <w:bottom w:val="none" w:sz="0" w:space="0" w:color="auto"/>
        <w:right w:val="none" w:sz="0" w:space="0" w:color="auto"/>
      </w:divBdr>
    </w:div>
    <w:div w:id="358431914">
      <w:bodyDiv w:val="1"/>
      <w:marLeft w:val="0"/>
      <w:marRight w:val="0"/>
      <w:marTop w:val="0"/>
      <w:marBottom w:val="0"/>
      <w:divBdr>
        <w:top w:val="none" w:sz="0" w:space="0" w:color="auto"/>
        <w:left w:val="none" w:sz="0" w:space="0" w:color="auto"/>
        <w:bottom w:val="none" w:sz="0" w:space="0" w:color="auto"/>
        <w:right w:val="none" w:sz="0" w:space="0" w:color="auto"/>
      </w:divBdr>
    </w:div>
    <w:div w:id="360396462">
      <w:bodyDiv w:val="1"/>
      <w:marLeft w:val="0"/>
      <w:marRight w:val="0"/>
      <w:marTop w:val="0"/>
      <w:marBottom w:val="0"/>
      <w:divBdr>
        <w:top w:val="none" w:sz="0" w:space="0" w:color="auto"/>
        <w:left w:val="none" w:sz="0" w:space="0" w:color="auto"/>
        <w:bottom w:val="none" w:sz="0" w:space="0" w:color="auto"/>
        <w:right w:val="none" w:sz="0" w:space="0" w:color="auto"/>
      </w:divBdr>
    </w:div>
    <w:div w:id="361908094">
      <w:bodyDiv w:val="1"/>
      <w:marLeft w:val="0"/>
      <w:marRight w:val="0"/>
      <w:marTop w:val="0"/>
      <w:marBottom w:val="0"/>
      <w:divBdr>
        <w:top w:val="none" w:sz="0" w:space="0" w:color="auto"/>
        <w:left w:val="none" w:sz="0" w:space="0" w:color="auto"/>
        <w:bottom w:val="none" w:sz="0" w:space="0" w:color="auto"/>
        <w:right w:val="none" w:sz="0" w:space="0" w:color="auto"/>
      </w:divBdr>
    </w:div>
    <w:div w:id="368721881">
      <w:bodyDiv w:val="1"/>
      <w:marLeft w:val="0"/>
      <w:marRight w:val="0"/>
      <w:marTop w:val="0"/>
      <w:marBottom w:val="0"/>
      <w:divBdr>
        <w:top w:val="none" w:sz="0" w:space="0" w:color="auto"/>
        <w:left w:val="none" w:sz="0" w:space="0" w:color="auto"/>
        <w:bottom w:val="none" w:sz="0" w:space="0" w:color="auto"/>
        <w:right w:val="none" w:sz="0" w:space="0" w:color="auto"/>
      </w:divBdr>
    </w:div>
    <w:div w:id="369378171">
      <w:bodyDiv w:val="1"/>
      <w:marLeft w:val="0"/>
      <w:marRight w:val="0"/>
      <w:marTop w:val="0"/>
      <w:marBottom w:val="0"/>
      <w:divBdr>
        <w:top w:val="none" w:sz="0" w:space="0" w:color="auto"/>
        <w:left w:val="none" w:sz="0" w:space="0" w:color="auto"/>
        <w:bottom w:val="none" w:sz="0" w:space="0" w:color="auto"/>
        <w:right w:val="none" w:sz="0" w:space="0" w:color="auto"/>
      </w:divBdr>
    </w:div>
    <w:div w:id="375856838">
      <w:bodyDiv w:val="1"/>
      <w:marLeft w:val="0"/>
      <w:marRight w:val="0"/>
      <w:marTop w:val="0"/>
      <w:marBottom w:val="0"/>
      <w:divBdr>
        <w:top w:val="none" w:sz="0" w:space="0" w:color="auto"/>
        <w:left w:val="none" w:sz="0" w:space="0" w:color="auto"/>
        <w:bottom w:val="none" w:sz="0" w:space="0" w:color="auto"/>
        <w:right w:val="none" w:sz="0" w:space="0" w:color="auto"/>
      </w:divBdr>
    </w:div>
    <w:div w:id="381558263">
      <w:bodyDiv w:val="1"/>
      <w:marLeft w:val="0"/>
      <w:marRight w:val="0"/>
      <w:marTop w:val="0"/>
      <w:marBottom w:val="0"/>
      <w:divBdr>
        <w:top w:val="none" w:sz="0" w:space="0" w:color="auto"/>
        <w:left w:val="none" w:sz="0" w:space="0" w:color="auto"/>
        <w:bottom w:val="none" w:sz="0" w:space="0" w:color="auto"/>
        <w:right w:val="none" w:sz="0" w:space="0" w:color="auto"/>
      </w:divBdr>
    </w:div>
    <w:div w:id="387653847">
      <w:bodyDiv w:val="1"/>
      <w:marLeft w:val="0"/>
      <w:marRight w:val="0"/>
      <w:marTop w:val="0"/>
      <w:marBottom w:val="0"/>
      <w:divBdr>
        <w:top w:val="none" w:sz="0" w:space="0" w:color="auto"/>
        <w:left w:val="none" w:sz="0" w:space="0" w:color="auto"/>
        <w:bottom w:val="none" w:sz="0" w:space="0" w:color="auto"/>
        <w:right w:val="none" w:sz="0" w:space="0" w:color="auto"/>
      </w:divBdr>
    </w:div>
    <w:div w:id="404912102">
      <w:bodyDiv w:val="1"/>
      <w:marLeft w:val="0"/>
      <w:marRight w:val="0"/>
      <w:marTop w:val="0"/>
      <w:marBottom w:val="0"/>
      <w:divBdr>
        <w:top w:val="none" w:sz="0" w:space="0" w:color="auto"/>
        <w:left w:val="none" w:sz="0" w:space="0" w:color="auto"/>
        <w:bottom w:val="none" w:sz="0" w:space="0" w:color="auto"/>
        <w:right w:val="none" w:sz="0" w:space="0" w:color="auto"/>
      </w:divBdr>
    </w:div>
    <w:div w:id="415832915">
      <w:bodyDiv w:val="1"/>
      <w:marLeft w:val="0"/>
      <w:marRight w:val="0"/>
      <w:marTop w:val="0"/>
      <w:marBottom w:val="0"/>
      <w:divBdr>
        <w:top w:val="none" w:sz="0" w:space="0" w:color="auto"/>
        <w:left w:val="none" w:sz="0" w:space="0" w:color="auto"/>
        <w:bottom w:val="none" w:sz="0" w:space="0" w:color="auto"/>
        <w:right w:val="none" w:sz="0" w:space="0" w:color="auto"/>
      </w:divBdr>
    </w:div>
    <w:div w:id="436753299">
      <w:bodyDiv w:val="1"/>
      <w:marLeft w:val="0"/>
      <w:marRight w:val="0"/>
      <w:marTop w:val="0"/>
      <w:marBottom w:val="0"/>
      <w:divBdr>
        <w:top w:val="none" w:sz="0" w:space="0" w:color="auto"/>
        <w:left w:val="none" w:sz="0" w:space="0" w:color="auto"/>
        <w:bottom w:val="none" w:sz="0" w:space="0" w:color="auto"/>
        <w:right w:val="none" w:sz="0" w:space="0" w:color="auto"/>
      </w:divBdr>
    </w:div>
    <w:div w:id="440220709">
      <w:bodyDiv w:val="1"/>
      <w:marLeft w:val="0"/>
      <w:marRight w:val="0"/>
      <w:marTop w:val="0"/>
      <w:marBottom w:val="0"/>
      <w:divBdr>
        <w:top w:val="none" w:sz="0" w:space="0" w:color="auto"/>
        <w:left w:val="none" w:sz="0" w:space="0" w:color="auto"/>
        <w:bottom w:val="none" w:sz="0" w:space="0" w:color="auto"/>
        <w:right w:val="none" w:sz="0" w:space="0" w:color="auto"/>
      </w:divBdr>
    </w:div>
    <w:div w:id="446896450">
      <w:bodyDiv w:val="1"/>
      <w:marLeft w:val="0"/>
      <w:marRight w:val="0"/>
      <w:marTop w:val="0"/>
      <w:marBottom w:val="0"/>
      <w:divBdr>
        <w:top w:val="none" w:sz="0" w:space="0" w:color="auto"/>
        <w:left w:val="none" w:sz="0" w:space="0" w:color="auto"/>
        <w:bottom w:val="none" w:sz="0" w:space="0" w:color="auto"/>
        <w:right w:val="none" w:sz="0" w:space="0" w:color="auto"/>
      </w:divBdr>
    </w:div>
    <w:div w:id="453062012">
      <w:bodyDiv w:val="1"/>
      <w:marLeft w:val="0"/>
      <w:marRight w:val="0"/>
      <w:marTop w:val="0"/>
      <w:marBottom w:val="0"/>
      <w:divBdr>
        <w:top w:val="none" w:sz="0" w:space="0" w:color="auto"/>
        <w:left w:val="none" w:sz="0" w:space="0" w:color="auto"/>
        <w:bottom w:val="none" w:sz="0" w:space="0" w:color="auto"/>
        <w:right w:val="none" w:sz="0" w:space="0" w:color="auto"/>
      </w:divBdr>
    </w:div>
    <w:div w:id="453135229">
      <w:bodyDiv w:val="1"/>
      <w:marLeft w:val="0"/>
      <w:marRight w:val="0"/>
      <w:marTop w:val="0"/>
      <w:marBottom w:val="0"/>
      <w:divBdr>
        <w:top w:val="none" w:sz="0" w:space="0" w:color="auto"/>
        <w:left w:val="none" w:sz="0" w:space="0" w:color="auto"/>
        <w:bottom w:val="none" w:sz="0" w:space="0" w:color="auto"/>
        <w:right w:val="none" w:sz="0" w:space="0" w:color="auto"/>
      </w:divBdr>
    </w:div>
    <w:div w:id="466246003">
      <w:bodyDiv w:val="1"/>
      <w:marLeft w:val="0"/>
      <w:marRight w:val="0"/>
      <w:marTop w:val="0"/>
      <w:marBottom w:val="0"/>
      <w:divBdr>
        <w:top w:val="none" w:sz="0" w:space="0" w:color="auto"/>
        <w:left w:val="none" w:sz="0" w:space="0" w:color="auto"/>
        <w:bottom w:val="none" w:sz="0" w:space="0" w:color="auto"/>
        <w:right w:val="none" w:sz="0" w:space="0" w:color="auto"/>
      </w:divBdr>
    </w:div>
    <w:div w:id="468016780">
      <w:bodyDiv w:val="1"/>
      <w:marLeft w:val="0"/>
      <w:marRight w:val="0"/>
      <w:marTop w:val="0"/>
      <w:marBottom w:val="0"/>
      <w:divBdr>
        <w:top w:val="none" w:sz="0" w:space="0" w:color="auto"/>
        <w:left w:val="none" w:sz="0" w:space="0" w:color="auto"/>
        <w:bottom w:val="none" w:sz="0" w:space="0" w:color="auto"/>
        <w:right w:val="none" w:sz="0" w:space="0" w:color="auto"/>
      </w:divBdr>
    </w:div>
    <w:div w:id="473716526">
      <w:bodyDiv w:val="1"/>
      <w:marLeft w:val="0"/>
      <w:marRight w:val="0"/>
      <w:marTop w:val="0"/>
      <w:marBottom w:val="0"/>
      <w:divBdr>
        <w:top w:val="none" w:sz="0" w:space="0" w:color="auto"/>
        <w:left w:val="none" w:sz="0" w:space="0" w:color="auto"/>
        <w:bottom w:val="none" w:sz="0" w:space="0" w:color="auto"/>
        <w:right w:val="none" w:sz="0" w:space="0" w:color="auto"/>
      </w:divBdr>
    </w:div>
    <w:div w:id="484276379">
      <w:bodyDiv w:val="1"/>
      <w:marLeft w:val="0"/>
      <w:marRight w:val="0"/>
      <w:marTop w:val="0"/>
      <w:marBottom w:val="0"/>
      <w:divBdr>
        <w:top w:val="none" w:sz="0" w:space="0" w:color="auto"/>
        <w:left w:val="none" w:sz="0" w:space="0" w:color="auto"/>
        <w:bottom w:val="none" w:sz="0" w:space="0" w:color="auto"/>
        <w:right w:val="none" w:sz="0" w:space="0" w:color="auto"/>
      </w:divBdr>
    </w:div>
    <w:div w:id="500119469">
      <w:bodyDiv w:val="1"/>
      <w:marLeft w:val="0"/>
      <w:marRight w:val="0"/>
      <w:marTop w:val="0"/>
      <w:marBottom w:val="0"/>
      <w:divBdr>
        <w:top w:val="none" w:sz="0" w:space="0" w:color="auto"/>
        <w:left w:val="none" w:sz="0" w:space="0" w:color="auto"/>
        <w:bottom w:val="none" w:sz="0" w:space="0" w:color="auto"/>
        <w:right w:val="none" w:sz="0" w:space="0" w:color="auto"/>
      </w:divBdr>
    </w:div>
    <w:div w:id="502865918">
      <w:bodyDiv w:val="1"/>
      <w:marLeft w:val="0"/>
      <w:marRight w:val="0"/>
      <w:marTop w:val="0"/>
      <w:marBottom w:val="0"/>
      <w:divBdr>
        <w:top w:val="none" w:sz="0" w:space="0" w:color="auto"/>
        <w:left w:val="none" w:sz="0" w:space="0" w:color="auto"/>
        <w:bottom w:val="none" w:sz="0" w:space="0" w:color="auto"/>
        <w:right w:val="none" w:sz="0" w:space="0" w:color="auto"/>
      </w:divBdr>
    </w:div>
    <w:div w:id="509418356">
      <w:bodyDiv w:val="1"/>
      <w:marLeft w:val="0"/>
      <w:marRight w:val="0"/>
      <w:marTop w:val="0"/>
      <w:marBottom w:val="0"/>
      <w:divBdr>
        <w:top w:val="none" w:sz="0" w:space="0" w:color="auto"/>
        <w:left w:val="none" w:sz="0" w:space="0" w:color="auto"/>
        <w:bottom w:val="none" w:sz="0" w:space="0" w:color="auto"/>
        <w:right w:val="none" w:sz="0" w:space="0" w:color="auto"/>
      </w:divBdr>
    </w:div>
    <w:div w:id="533927278">
      <w:bodyDiv w:val="1"/>
      <w:marLeft w:val="0"/>
      <w:marRight w:val="0"/>
      <w:marTop w:val="0"/>
      <w:marBottom w:val="0"/>
      <w:divBdr>
        <w:top w:val="none" w:sz="0" w:space="0" w:color="auto"/>
        <w:left w:val="none" w:sz="0" w:space="0" w:color="auto"/>
        <w:bottom w:val="none" w:sz="0" w:space="0" w:color="auto"/>
        <w:right w:val="none" w:sz="0" w:space="0" w:color="auto"/>
      </w:divBdr>
    </w:div>
    <w:div w:id="538472989">
      <w:bodyDiv w:val="1"/>
      <w:marLeft w:val="0"/>
      <w:marRight w:val="0"/>
      <w:marTop w:val="0"/>
      <w:marBottom w:val="0"/>
      <w:divBdr>
        <w:top w:val="none" w:sz="0" w:space="0" w:color="auto"/>
        <w:left w:val="none" w:sz="0" w:space="0" w:color="auto"/>
        <w:bottom w:val="none" w:sz="0" w:space="0" w:color="auto"/>
        <w:right w:val="none" w:sz="0" w:space="0" w:color="auto"/>
      </w:divBdr>
    </w:div>
    <w:div w:id="547032400">
      <w:bodyDiv w:val="1"/>
      <w:marLeft w:val="0"/>
      <w:marRight w:val="0"/>
      <w:marTop w:val="0"/>
      <w:marBottom w:val="0"/>
      <w:divBdr>
        <w:top w:val="none" w:sz="0" w:space="0" w:color="auto"/>
        <w:left w:val="none" w:sz="0" w:space="0" w:color="auto"/>
        <w:bottom w:val="none" w:sz="0" w:space="0" w:color="auto"/>
        <w:right w:val="none" w:sz="0" w:space="0" w:color="auto"/>
      </w:divBdr>
    </w:div>
    <w:div w:id="568030463">
      <w:bodyDiv w:val="1"/>
      <w:marLeft w:val="0"/>
      <w:marRight w:val="0"/>
      <w:marTop w:val="0"/>
      <w:marBottom w:val="0"/>
      <w:divBdr>
        <w:top w:val="none" w:sz="0" w:space="0" w:color="auto"/>
        <w:left w:val="none" w:sz="0" w:space="0" w:color="auto"/>
        <w:bottom w:val="none" w:sz="0" w:space="0" w:color="auto"/>
        <w:right w:val="none" w:sz="0" w:space="0" w:color="auto"/>
      </w:divBdr>
    </w:div>
    <w:div w:id="569312406">
      <w:bodyDiv w:val="1"/>
      <w:marLeft w:val="0"/>
      <w:marRight w:val="0"/>
      <w:marTop w:val="0"/>
      <w:marBottom w:val="0"/>
      <w:divBdr>
        <w:top w:val="none" w:sz="0" w:space="0" w:color="auto"/>
        <w:left w:val="none" w:sz="0" w:space="0" w:color="auto"/>
        <w:bottom w:val="none" w:sz="0" w:space="0" w:color="auto"/>
        <w:right w:val="none" w:sz="0" w:space="0" w:color="auto"/>
      </w:divBdr>
    </w:div>
    <w:div w:id="602154626">
      <w:bodyDiv w:val="1"/>
      <w:marLeft w:val="0"/>
      <w:marRight w:val="0"/>
      <w:marTop w:val="0"/>
      <w:marBottom w:val="0"/>
      <w:divBdr>
        <w:top w:val="none" w:sz="0" w:space="0" w:color="auto"/>
        <w:left w:val="none" w:sz="0" w:space="0" w:color="auto"/>
        <w:bottom w:val="none" w:sz="0" w:space="0" w:color="auto"/>
        <w:right w:val="none" w:sz="0" w:space="0" w:color="auto"/>
      </w:divBdr>
      <w:divsChild>
        <w:div w:id="963003888">
          <w:marLeft w:val="0"/>
          <w:marRight w:val="0"/>
          <w:marTop w:val="0"/>
          <w:marBottom w:val="0"/>
          <w:divBdr>
            <w:top w:val="none" w:sz="0" w:space="0" w:color="auto"/>
            <w:left w:val="none" w:sz="0" w:space="0" w:color="auto"/>
            <w:bottom w:val="none" w:sz="0" w:space="0" w:color="auto"/>
            <w:right w:val="none" w:sz="0" w:space="0" w:color="auto"/>
          </w:divBdr>
          <w:divsChild>
            <w:div w:id="1437285125">
              <w:marLeft w:val="0"/>
              <w:marRight w:val="0"/>
              <w:marTop w:val="0"/>
              <w:marBottom w:val="0"/>
              <w:divBdr>
                <w:top w:val="none" w:sz="0" w:space="0" w:color="auto"/>
                <w:left w:val="none" w:sz="0" w:space="0" w:color="auto"/>
                <w:bottom w:val="none" w:sz="0" w:space="0" w:color="auto"/>
                <w:right w:val="none" w:sz="0" w:space="0" w:color="auto"/>
              </w:divBdr>
              <w:divsChild>
                <w:div w:id="8896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8877">
      <w:bodyDiv w:val="1"/>
      <w:marLeft w:val="0"/>
      <w:marRight w:val="0"/>
      <w:marTop w:val="0"/>
      <w:marBottom w:val="0"/>
      <w:divBdr>
        <w:top w:val="none" w:sz="0" w:space="0" w:color="auto"/>
        <w:left w:val="none" w:sz="0" w:space="0" w:color="auto"/>
        <w:bottom w:val="none" w:sz="0" w:space="0" w:color="auto"/>
        <w:right w:val="none" w:sz="0" w:space="0" w:color="auto"/>
      </w:divBdr>
    </w:div>
    <w:div w:id="672998943">
      <w:bodyDiv w:val="1"/>
      <w:marLeft w:val="0"/>
      <w:marRight w:val="0"/>
      <w:marTop w:val="0"/>
      <w:marBottom w:val="0"/>
      <w:divBdr>
        <w:top w:val="none" w:sz="0" w:space="0" w:color="auto"/>
        <w:left w:val="none" w:sz="0" w:space="0" w:color="auto"/>
        <w:bottom w:val="none" w:sz="0" w:space="0" w:color="auto"/>
        <w:right w:val="none" w:sz="0" w:space="0" w:color="auto"/>
      </w:divBdr>
    </w:div>
    <w:div w:id="682629079">
      <w:bodyDiv w:val="1"/>
      <w:marLeft w:val="0"/>
      <w:marRight w:val="0"/>
      <w:marTop w:val="0"/>
      <w:marBottom w:val="0"/>
      <w:divBdr>
        <w:top w:val="none" w:sz="0" w:space="0" w:color="auto"/>
        <w:left w:val="none" w:sz="0" w:space="0" w:color="auto"/>
        <w:bottom w:val="none" w:sz="0" w:space="0" w:color="auto"/>
        <w:right w:val="none" w:sz="0" w:space="0" w:color="auto"/>
      </w:divBdr>
    </w:div>
    <w:div w:id="710885737">
      <w:bodyDiv w:val="1"/>
      <w:marLeft w:val="0"/>
      <w:marRight w:val="0"/>
      <w:marTop w:val="0"/>
      <w:marBottom w:val="0"/>
      <w:divBdr>
        <w:top w:val="none" w:sz="0" w:space="0" w:color="auto"/>
        <w:left w:val="none" w:sz="0" w:space="0" w:color="auto"/>
        <w:bottom w:val="none" w:sz="0" w:space="0" w:color="auto"/>
        <w:right w:val="none" w:sz="0" w:space="0" w:color="auto"/>
      </w:divBdr>
    </w:div>
    <w:div w:id="726882872">
      <w:bodyDiv w:val="1"/>
      <w:marLeft w:val="0"/>
      <w:marRight w:val="0"/>
      <w:marTop w:val="0"/>
      <w:marBottom w:val="0"/>
      <w:divBdr>
        <w:top w:val="none" w:sz="0" w:space="0" w:color="auto"/>
        <w:left w:val="none" w:sz="0" w:space="0" w:color="auto"/>
        <w:bottom w:val="none" w:sz="0" w:space="0" w:color="auto"/>
        <w:right w:val="none" w:sz="0" w:space="0" w:color="auto"/>
      </w:divBdr>
    </w:div>
    <w:div w:id="729766030">
      <w:bodyDiv w:val="1"/>
      <w:marLeft w:val="0"/>
      <w:marRight w:val="0"/>
      <w:marTop w:val="0"/>
      <w:marBottom w:val="0"/>
      <w:divBdr>
        <w:top w:val="none" w:sz="0" w:space="0" w:color="auto"/>
        <w:left w:val="none" w:sz="0" w:space="0" w:color="auto"/>
        <w:bottom w:val="none" w:sz="0" w:space="0" w:color="auto"/>
        <w:right w:val="none" w:sz="0" w:space="0" w:color="auto"/>
      </w:divBdr>
    </w:div>
    <w:div w:id="748582458">
      <w:bodyDiv w:val="1"/>
      <w:marLeft w:val="0"/>
      <w:marRight w:val="0"/>
      <w:marTop w:val="0"/>
      <w:marBottom w:val="0"/>
      <w:divBdr>
        <w:top w:val="none" w:sz="0" w:space="0" w:color="auto"/>
        <w:left w:val="none" w:sz="0" w:space="0" w:color="auto"/>
        <w:bottom w:val="none" w:sz="0" w:space="0" w:color="auto"/>
        <w:right w:val="none" w:sz="0" w:space="0" w:color="auto"/>
      </w:divBdr>
    </w:div>
    <w:div w:id="749154720">
      <w:bodyDiv w:val="1"/>
      <w:marLeft w:val="0"/>
      <w:marRight w:val="0"/>
      <w:marTop w:val="0"/>
      <w:marBottom w:val="0"/>
      <w:divBdr>
        <w:top w:val="none" w:sz="0" w:space="0" w:color="auto"/>
        <w:left w:val="none" w:sz="0" w:space="0" w:color="auto"/>
        <w:bottom w:val="none" w:sz="0" w:space="0" w:color="auto"/>
        <w:right w:val="none" w:sz="0" w:space="0" w:color="auto"/>
      </w:divBdr>
    </w:div>
    <w:div w:id="750472643">
      <w:bodyDiv w:val="1"/>
      <w:marLeft w:val="0"/>
      <w:marRight w:val="0"/>
      <w:marTop w:val="0"/>
      <w:marBottom w:val="0"/>
      <w:divBdr>
        <w:top w:val="none" w:sz="0" w:space="0" w:color="auto"/>
        <w:left w:val="none" w:sz="0" w:space="0" w:color="auto"/>
        <w:bottom w:val="none" w:sz="0" w:space="0" w:color="auto"/>
        <w:right w:val="none" w:sz="0" w:space="0" w:color="auto"/>
      </w:divBdr>
      <w:divsChild>
        <w:div w:id="1401364120">
          <w:marLeft w:val="0"/>
          <w:marRight w:val="0"/>
          <w:marTop w:val="0"/>
          <w:marBottom w:val="0"/>
          <w:divBdr>
            <w:top w:val="none" w:sz="0" w:space="0" w:color="auto"/>
            <w:left w:val="none" w:sz="0" w:space="0" w:color="auto"/>
            <w:bottom w:val="none" w:sz="0" w:space="0" w:color="auto"/>
            <w:right w:val="none" w:sz="0" w:space="0" w:color="auto"/>
          </w:divBdr>
          <w:divsChild>
            <w:div w:id="746196191">
              <w:marLeft w:val="0"/>
              <w:marRight w:val="0"/>
              <w:marTop w:val="0"/>
              <w:marBottom w:val="0"/>
              <w:divBdr>
                <w:top w:val="none" w:sz="0" w:space="0" w:color="auto"/>
                <w:left w:val="none" w:sz="0" w:space="0" w:color="auto"/>
                <w:bottom w:val="none" w:sz="0" w:space="0" w:color="auto"/>
                <w:right w:val="none" w:sz="0" w:space="0" w:color="auto"/>
              </w:divBdr>
              <w:divsChild>
                <w:div w:id="282884025">
                  <w:marLeft w:val="0"/>
                  <w:marRight w:val="0"/>
                  <w:marTop w:val="0"/>
                  <w:marBottom w:val="0"/>
                  <w:divBdr>
                    <w:top w:val="none" w:sz="0" w:space="0" w:color="auto"/>
                    <w:left w:val="none" w:sz="0" w:space="0" w:color="auto"/>
                    <w:bottom w:val="none" w:sz="0" w:space="0" w:color="auto"/>
                    <w:right w:val="none" w:sz="0" w:space="0" w:color="auto"/>
                  </w:divBdr>
                  <w:divsChild>
                    <w:div w:id="1255745726">
                      <w:marLeft w:val="0"/>
                      <w:marRight w:val="0"/>
                      <w:marTop w:val="0"/>
                      <w:marBottom w:val="0"/>
                      <w:divBdr>
                        <w:top w:val="none" w:sz="0" w:space="0" w:color="auto"/>
                        <w:left w:val="none" w:sz="0" w:space="0" w:color="auto"/>
                        <w:bottom w:val="none" w:sz="0" w:space="0" w:color="auto"/>
                        <w:right w:val="none" w:sz="0" w:space="0" w:color="auto"/>
                      </w:divBdr>
                      <w:divsChild>
                        <w:div w:id="1927153750">
                          <w:marLeft w:val="0"/>
                          <w:marRight w:val="0"/>
                          <w:marTop w:val="0"/>
                          <w:marBottom w:val="0"/>
                          <w:divBdr>
                            <w:top w:val="none" w:sz="0" w:space="0" w:color="auto"/>
                            <w:left w:val="none" w:sz="0" w:space="0" w:color="auto"/>
                            <w:bottom w:val="none" w:sz="0" w:space="0" w:color="auto"/>
                            <w:right w:val="none" w:sz="0" w:space="0" w:color="auto"/>
                          </w:divBdr>
                          <w:divsChild>
                            <w:div w:id="1065571790">
                              <w:marLeft w:val="0"/>
                              <w:marRight w:val="0"/>
                              <w:marTop w:val="0"/>
                              <w:marBottom w:val="0"/>
                              <w:divBdr>
                                <w:top w:val="none" w:sz="0" w:space="0" w:color="auto"/>
                                <w:left w:val="none" w:sz="0" w:space="0" w:color="auto"/>
                                <w:bottom w:val="none" w:sz="0" w:space="0" w:color="auto"/>
                                <w:right w:val="none" w:sz="0" w:space="0" w:color="auto"/>
                              </w:divBdr>
                              <w:divsChild>
                                <w:div w:id="1458134578">
                                  <w:marLeft w:val="0"/>
                                  <w:marRight w:val="0"/>
                                  <w:marTop w:val="0"/>
                                  <w:marBottom w:val="0"/>
                                  <w:divBdr>
                                    <w:top w:val="none" w:sz="0" w:space="0" w:color="auto"/>
                                    <w:left w:val="none" w:sz="0" w:space="0" w:color="auto"/>
                                    <w:bottom w:val="none" w:sz="0" w:space="0" w:color="auto"/>
                                    <w:right w:val="none" w:sz="0" w:space="0" w:color="auto"/>
                                  </w:divBdr>
                                  <w:divsChild>
                                    <w:div w:id="440027597">
                                      <w:marLeft w:val="0"/>
                                      <w:marRight w:val="0"/>
                                      <w:marTop w:val="0"/>
                                      <w:marBottom w:val="0"/>
                                      <w:divBdr>
                                        <w:top w:val="none" w:sz="0" w:space="0" w:color="auto"/>
                                        <w:left w:val="none" w:sz="0" w:space="0" w:color="auto"/>
                                        <w:bottom w:val="none" w:sz="0" w:space="0" w:color="auto"/>
                                        <w:right w:val="none" w:sz="0" w:space="0" w:color="auto"/>
                                      </w:divBdr>
                                    </w:div>
                                    <w:div w:id="82117371">
                                      <w:marLeft w:val="0"/>
                                      <w:marRight w:val="0"/>
                                      <w:marTop w:val="0"/>
                                      <w:marBottom w:val="0"/>
                                      <w:divBdr>
                                        <w:top w:val="none" w:sz="0" w:space="0" w:color="auto"/>
                                        <w:left w:val="none" w:sz="0" w:space="0" w:color="auto"/>
                                        <w:bottom w:val="none" w:sz="0" w:space="0" w:color="auto"/>
                                        <w:right w:val="none" w:sz="0" w:space="0" w:color="auto"/>
                                      </w:divBdr>
                                      <w:divsChild>
                                        <w:div w:id="1450052088">
                                          <w:marLeft w:val="0"/>
                                          <w:marRight w:val="165"/>
                                          <w:marTop w:val="150"/>
                                          <w:marBottom w:val="0"/>
                                          <w:divBdr>
                                            <w:top w:val="none" w:sz="0" w:space="0" w:color="auto"/>
                                            <w:left w:val="none" w:sz="0" w:space="0" w:color="auto"/>
                                            <w:bottom w:val="none" w:sz="0" w:space="0" w:color="auto"/>
                                            <w:right w:val="none" w:sz="0" w:space="0" w:color="auto"/>
                                          </w:divBdr>
                                          <w:divsChild>
                                            <w:div w:id="1987274661">
                                              <w:marLeft w:val="0"/>
                                              <w:marRight w:val="0"/>
                                              <w:marTop w:val="0"/>
                                              <w:marBottom w:val="0"/>
                                              <w:divBdr>
                                                <w:top w:val="none" w:sz="0" w:space="0" w:color="auto"/>
                                                <w:left w:val="none" w:sz="0" w:space="0" w:color="auto"/>
                                                <w:bottom w:val="none" w:sz="0" w:space="0" w:color="auto"/>
                                                <w:right w:val="none" w:sz="0" w:space="0" w:color="auto"/>
                                              </w:divBdr>
                                              <w:divsChild>
                                                <w:div w:id="13618557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945140">
          <w:marLeft w:val="0"/>
          <w:marRight w:val="0"/>
          <w:marTop w:val="240"/>
          <w:marBottom w:val="0"/>
          <w:divBdr>
            <w:top w:val="none" w:sz="0" w:space="0" w:color="auto"/>
            <w:left w:val="none" w:sz="0" w:space="0" w:color="auto"/>
            <w:bottom w:val="none" w:sz="0" w:space="0" w:color="auto"/>
            <w:right w:val="none" w:sz="0" w:space="0" w:color="auto"/>
          </w:divBdr>
        </w:div>
      </w:divsChild>
    </w:div>
    <w:div w:id="759445597">
      <w:bodyDiv w:val="1"/>
      <w:marLeft w:val="0"/>
      <w:marRight w:val="0"/>
      <w:marTop w:val="0"/>
      <w:marBottom w:val="0"/>
      <w:divBdr>
        <w:top w:val="none" w:sz="0" w:space="0" w:color="auto"/>
        <w:left w:val="none" w:sz="0" w:space="0" w:color="auto"/>
        <w:bottom w:val="none" w:sz="0" w:space="0" w:color="auto"/>
        <w:right w:val="none" w:sz="0" w:space="0" w:color="auto"/>
      </w:divBdr>
    </w:div>
    <w:div w:id="779956599">
      <w:bodyDiv w:val="1"/>
      <w:marLeft w:val="0"/>
      <w:marRight w:val="0"/>
      <w:marTop w:val="0"/>
      <w:marBottom w:val="0"/>
      <w:divBdr>
        <w:top w:val="none" w:sz="0" w:space="0" w:color="auto"/>
        <w:left w:val="none" w:sz="0" w:space="0" w:color="auto"/>
        <w:bottom w:val="none" w:sz="0" w:space="0" w:color="auto"/>
        <w:right w:val="none" w:sz="0" w:space="0" w:color="auto"/>
      </w:divBdr>
    </w:div>
    <w:div w:id="780538686">
      <w:bodyDiv w:val="1"/>
      <w:marLeft w:val="0"/>
      <w:marRight w:val="0"/>
      <w:marTop w:val="0"/>
      <w:marBottom w:val="0"/>
      <w:divBdr>
        <w:top w:val="none" w:sz="0" w:space="0" w:color="auto"/>
        <w:left w:val="none" w:sz="0" w:space="0" w:color="auto"/>
        <w:bottom w:val="none" w:sz="0" w:space="0" w:color="auto"/>
        <w:right w:val="none" w:sz="0" w:space="0" w:color="auto"/>
      </w:divBdr>
    </w:div>
    <w:div w:id="796532913">
      <w:bodyDiv w:val="1"/>
      <w:marLeft w:val="0"/>
      <w:marRight w:val="0"/>
      <w:marTop w:val="0"/>
      <w:marBottom w:val="0"/>
      <w:divBdr>
        <w:top w:val="none" w:sz="0" w:space="0" w:color="auto"/>
        <w:left w:val="none" w:sz="0" w:space="0" w:color="auto"/>
        <w:bottom w:val="none" w:sz="0" w:space="0" w:color="auto"/>
        <w:right w:val="none" w:sz="0" w:space="0" w:color="auto"/>
      </w:divBdr>
    </w:div>
    <w:div w:id="797796443">
      <w:bodyDiv w:val="1"/>
      <w:marLeft w:val="0"/>
      <w:marRight w:val="0"/>
      <w:marTop w:val="0"/>
      <w:marBottom w:val="0"/>
      <w:divBdr>
        <w:top w:val="none" w:sz="0" w:space="0" w:color="auto"/>
        <w:left w:val="none" w:sz="0" w:space="0" w:color="auto"/>
        <w:bottom w:val="none" w:sz="0" w:space="0" w:color="auto"/>
        <w:right w:val="none" w:sz="0" w:space="0" w:color="auto"/>
      </w:divBdr>
    </w:div>
    <w:div w:id="806706914">
      <w:bodyDiv w:val="1"/>
      <w:marLeft w:val="0"/>
      <w:marRight w:val="0"/>
      <w:marTop w:val="0"/>
      <w:marBottom w:val="0"/>
      <w:divBdr>
        <w:top w:val="none" w:sz="0" w:space="0" w:color="auto"/>
        <w:left w:val="none" w:sz="0" w:space="0" w:color="auto"/>
        <w:bottom w:val="none" w:sz="0" w:space="0" w:color="auto"/>
        <w:right w:val="none" w:sz="0" w:space="0" w:color="auto"/>
      </w:divBdr>
    </w:div>
    <w:div w:id="812716014">
      <w:bodyDiv w:val="1"/>
      <w:marLeft w:val="0"/>
      <w:marRight w:val="0"/>
      <w:marTop w:val="0"/>
      <w:marBottom w:val="0"/>
      <w:divBdr>
        <w:top w:val="none" w:sz="0" w:space="0" w:color="auto"/>
        <w:left w:val="none" w:sz="0" w:space="0" w:color="auto"/>
        <w:bottom w:val="none" w:sz="0" w:space="0" w:color="auto"/>
        <w:right w:val="none" w:sz="0" w:space="0" w:color="auto"/>
      </w:divBdr>
    </w:div>
    <w:div w:id="815150043">
      <w:bodyDiv w:val="1"/>
      <w:marLeft w:val="0"/>
      <w:marRight w:val="0"/>
      <w:marTop w:val="0"/>
      <w:marBottom w:val="0"/>
      <w:divBdr>
        <w:top w:val="none" w:sz="0" w:space="0" w:color="auto"/>
        <w:left w:val="none" w:sz="0" w:space="0" w:color="auto"/>
        <w:bottom w:val="none" w:sz="0" w:space="0" w:color="auto"/>
        <w:right w:val="none" w:sz="0" w:space="0" w:color="auto"/>
      </w:divBdr>
    </w:div>
    <w:div w:id="817455348">
      <w:bodyDiv w:val="1"/>
      <w:marLeft w:val="0"/>
      <w:marRight w:val="0"/>
      <w:marTop w:val="0"/>
      <w:marBottom w:val="0"/>
      <w:divBdr>
        <w:top w:val="none" w:sz="0" w:space="0" w:color="auto"/>
        <w:left w:val="none" w:sz="0" w:space="0" w:color="auto"/>
        <w:bottom w:val="none" w:sz="0" w:space="0" w:color="auto"/>
        <w:right w:val="none" w:sz="0" w:space="0" w:color="auto"/>
      </w:divBdr>
    </w:div>
    <w:div w:id="823156827">
      <w:bodyDiv w:val="1"/>
      <w:marLeft w:val="0"/>
      <w:marRight w:val="0"/>
      <w:marTop w:val="0"/>
      <w:marBottom w:val="0"/>
      <w:divBdr>
        <w:top w:val="none" w:sz="0" w:space="0" w:color="auto"/>
        <w:left w:val="none" w:sz="0" w:space="0" w:color="auto"/>
        <w:bottom w:val="none" w:sz="0" w:space="0" w:color="auto"/>
        <w:right w:val="none" w:sz="0" w:space="0" w:color="auto"/>
      </w:divBdr>
    </w:div>
    <w:div w:id="836382784">
      <w:bodyDiv w:val="1"/>
      <w:marLeft w:val="0"/>
      <w:marRight w:val="0"/>
      <w:marTop w:val="0"/>
      <w:marBottom w:val="0"/>
      <w:divBdr>
        <w:top w:val="none" w:sz="0" w:space="0" w:color="auto"/>
        <w:left w:val="none" w:sz="0" w:space="0" w:color="auto"/>
        <w:bottom w:val="none" w:sz="0" w:space="0" w:color="auto"/>
        <w:right w:val="none" w:sz="0" w:space="0" w:color="auto"/>
      </w:divBdr>
    </w:div>
    <w:div w:id="844201036">
      <w:bodyDiv w:val="1"/>
      <w:marLeft w:val="0"/>
      <w:marRight w:val="0"/>
      <w:marTop w:val="0"/>
      <w:marBottom w:val="0"/>
      <w:divBdr>
        <w:top w:val="none" w:sz="0" w:space="0" w:color="auto"/>
        <w:left w:val="none" w:sz="0" w:space="0" w:color="auto"/>
        <w:bottom w:val="none" w:sz="0" w:space="0" w:color="auto"/>
        <w:right w:val="none" w:sz="0" w:space="0" w:color="auto"/>
      </w:divBdr>
    </w:div>
    <w:div w:id="845481259">
      <w:bodyDiv w:val="1"/>
      <w:marLeft w:val="0"/>
      <w:marRight w:val="0"/>
      <w:marTop w:val="0"/>
      <w:marBottom w:val="0"/>
      <w:divBdr>
        <w:top w:val="none" w:sz="0" w:space="0" w:color="auto"/>
        <w:left w:val="none" w:sz="0" w:space="0" w:color="auto"/>
        <w:bottom w:val="none" w:sz="0" w:space="0" w:color="auto"/>
        <w:right w:val="none" w:sz="0" w:space="0" w:color="auto"/>
      </w:divBdr>
    </w:div>
    <w:div w:id="857157697">
      <w:bodyDiv w:val="1"/>
      <w:marLeft w:val="0"/>
      <w:marRight w:val="0"/>
      <w:marTop w:val="0"/>
      <w:marBottom w:val="0"/>
      <w:divBdr>
        <w:top w:val="none" w:sz="0" w:space="0" w:color="auto"/>
        <w:left w:val="none" w:sz="0" w:space="0" w:color="auto"/>
        <w:bottom w:val="none" w:sz="0" w:space="0" w:color="auto"/>
        <w:right w:val="none" w:sz="0" w:space="0" w:color="auto"/>
      </w:divBdr>
    </w:div>
    <w:div w:id="860780951">
      <w:bodyDiv w:val="1"/>
      <w:marLeft w:val="0"/>
      <w:marRight w:val="0"/>
      <w:marTop w:val="0"/>
      <w:marBottom w:val="0"/>
      <w:divBdr>
        <w:top w:val="none" w:sz="0" w:space="0" w:color="auto"/>
        <w:left w:val="none" w:sz="0" w:space="0" w:color="auto"/>
        <w:bottom w:val="none" w:sz="0" w:space="0" w:color="auto"/>
        <w:right w:val="none" w:sz="0" w:space="0" w:color="auto"/>
      </w:divBdr>
    </w:div>
    <w:div w:id="863713718">
      <w:bodyDiv w:val="1"/>
      <w:marLeft w:val="0"/>
      <w:marRight w:val="0"/>
      <w:marTop w:val="0"/>
      <w:marBottom w:val="0"/>
      <w:divBdr>
        <w:top w:val="none" w:sz="0" w:space="0" w:color="auto"/>
        <w:left w:val="none" w:sz="0" w:space="0" w:color="auto"/>
        <w:bottom w:val="none" w:sz="0" w:space="0" w:color="auto"/>
        <w:right w:val="none" w:sz="0" w:space="0" w:color="auto"/>
      </w:divBdr>
    </w:div>
    <w:div w:id="869490898">
      <w:bodyDiv w:val="1"/>
      <w:marLeft w:val="0"/>
      <w:marRight w:val="0"/>
      <w:marTop w:val="0"/>
      <w:marBottom w:val="0"/>
      <w:divBdr>
        <w:top w:val="none" w:sz="0" w:space="0" w:color="auto"/>
        <w:left w:val="none" w:sz="0" w:space="0" w:color="auto"/>
        <w:bottom w:val="none" w:sz="0" w:space="0" w:color="auto"/>
        <w:right w:val="none" w:sz="0" w:space="0" w:color="auto"/>
      </w:divBdr>
    </w:div>
    <w:div w:id="871573780">
      <w:bodyDiv w:val="1"/>
      <w:marLeft w:val="0"/>
      <w:marRight w:val="0"/>
      <w:marTop w:val="0"/>
      <w:marBottom w:val="0"/>
      <w:divBdr>
        <w:top w:val="none" w:sz="0" w:space="0" w:color="auto"/>
        <w:left w:val="none" w:sz="0" w:space="0" w:color="auto"/>
        <w:bottom w:val="none" w:sz="0" w:space="0" w:color="auto"/>
        <w:right w:val="none" w:sz="0" w:space="0" w:color="auto"/>
      </w:divBdr>
    </w:div>
    <w:div w:id="872033874">
      <w:bodyDiv w:val="1"/>
      <w:marLeft w:val="0"/>
      <w:marRight w:val="0"/>
      <w:marTop w:val="0"/>
      <w:marBottom w:val="0"/>
      <w:divBdr>
        <w:top w:val="none" w:sz="0" w:space="0" w:color="auto"/>
        <w:left w:val="none" w:sz="0" w:space="0" w:color="auto"/>
        <w:bottom w:val="none" w:sz="0" w:space="0" w:color="auto"/>
        <w:right w:val="none" w:sz="0" w:space="0" w:color="auto"/>
      </w:divBdr>
    </w:div>
    <w:div w:id="880632234">
      <w:bodyDiv w:val="1"/>
      <w:marLeft w:val="0"/>
      <w:marRight w:val="0"/>
      <w:marTop w:val="0"/>
      <w:marBottom w:val="0"/>
      <w:divBdr>
        <w:top w:val="none" w:sz="0" w:space="0" w:color="auto"/>
        <w:left w:val="none" w:sz="0" w:space="0" w:color="auto"/>
        <w:bottom w:val="none" w:sz="0" w:space="0" w:color="auto"/>
        <w:right w:val="none" w:sz="0" w:space="0" w:color="auto"/>
      </w:divBdr>
      <w:divsChild>
        <w:div w:id="1846284214">
          <w:marLeft w:val="0"/>
          <w:marRight w:val="0"/>
          <w:marTop w:val="0"/>
          <w:marBottom w:val="0"/>
          <w:divBdr>
            <w:top w:val="none" w:sz="0" w:space="0" w:color="auto"/>
            <w:left w:val="none" w:sz="0" w:space="0" w:color="auto"/>
            <w:bottom w:val="none" w:sz="0" w:space="0" w:color="auto"/>
            <w:right w:val="none" w:sz="0" w:space="0" w:color="auto"/>
          </w:divBdr>
          <w:divsChild>
            <w:div w:id="1872572896">
              <w:marLeft w:val="0"/>
              <w:marRight w:val="0"/>
              <w:marTop w:val="0"/>
              <w:marBottom w:val="0"/>
              <w:divBdr>
                <w:top w:val="none" w:sz="0" w:space="0" w:color="auto"/>
                <w:left w:val="none" w:sz="0" w:space="0" w:color="auto"/>
                <w:bottom w:val="none" w:sz="0" w:space="0" w:color="auto"/>
                <w:right w:val="none" w:sz="0" w:space="0" w:color="auto"/>
              </w:divBdr>
              <w:divsChild>
                <w:div w:id="16165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6970">
      <w:bodyDiv w:val="1"/>
      <w:marLeft w:val="0"/>
      <w:marRight w:val="0"/>
      <w:marTop w:val="0"/>
      <w:marBottom w:val="0"/>
      <w:divBdr>
        <w:top w:val="none" w:sz="0" w:space="0" w:color="auto"/>
        <w:left w:val="none" w:sz="0" w:space="0" w:color="auto"/>
        <w:bottom w:val="none" w:sz="0" w:space="0" w:color="auto"/>
        <w:right w:val="none" w:sz="0" w:space="0" w:color="auto"/>
      </w:divBdr>
    </w:div>
    <w:div w:id="896817349">
      <w:bodyDiv w:val="1"/>
      <w:marLeft w:val="0"/>
      <w:marRight w:val="0"/>
      <w:marTop w:val="0"/>
      <w:marBottom w:val="0"/>
      <w:divBdr>
        <w:top w:val="none" w:sz="0" w:space="0" w:color="auto"/>
        <w:left w:val="none" w:sz="0" w:space="0" w:color="auto"/>
        <w:bottom w:val="none" w:sz="0" w:space="0" w:color="auto"/>
        <w:right w:val="none" w:sz="0" w:space="0" w:color="auto"/>
      </w:divBdr>
    </w:div>
    <w:div w:id="898899217">
      <w:bodyDiv w:val="1"/>
      <w:marLeft w:val="0"/>
      <w:marRight w:val="0"/>
      <w:marTop w:val="0"/>
      <w:marBottom w:val="0"/>
      <w:divBdr>
        <w:top w:val="none" w:sz="0" w:space="0" w:color="auto"/>
        <w:left w:val="none" w:sz="0" w:space="0" w:color="auto"/>
        <w:bottom w:val="none" w:sz="0" w:space="0" w:color="auto"/>
        <w:right w:val="none" w:sz="0" w:space="0" w:color="auto"/>
      </w:divBdr>
    </w:div>
    <w:div w:id="904490817">
      <w:bodyDiv w:val="1"/>
      <w:marLeft w:val="0"/>
      <w:marRight w:val="0"/>
      <w:marTop w:val="0"/>
      <w:marBottom w:val="0"/>
      <w:divBdr>
        <w:top w:val="none" w:sz="0" w:space="0" w:color="auto"/>
        <w:left w:val="none" w:sz="0" w:space="0" w:color="auto"/>
        <w:bottom w:val="none" w:sz="0" w:space="0" w:color="auto"/>
        <w:right w:val="none" w:sz="0" w:space="0" w:color="auto"/>
      </w:divBdr>
    </w:div>
    <w:div w:id="912351702">
      <w:bodyDiv w:val="1"/>
      <w:marLeft w:val="0"/>
      <w:marRight w:val="0"/>
      <w:marTop w:val="0"/>
      <w:marBottom w:val="0"/>
      <w:divBdr>
        <w:top w:val="none" w:sz="0" w:space="0" w:color="auto"/>
        <w:left w:val="none" w:sz="0" w:space="0" w:color="auto"/>
        <w:bottom w:val="none" w:sz="0" w:space="0" w:color="auto"/>
        <w:right w:val="none" w:sz="0" w:space="0" w:color="auto"/>
      </w:divBdr>
    </w:div>
    <w:div w:id="916014511">
      <w:bodyDiv w:val="1"/>
      <w:marLeft w:val="0"/>
      <w:marRight w:val="0"/>
      <w:marTop w:val="0"/>
      <w:marBottom w:val="0"/>
      <w:divBdr>
        <w:top w:val="none" w:sz="0" w:space="0" w:color="auto"/>
        <w:left w:val="none" w:sz="0" w:space="0" w:color="auto"/>
        <w:bottom w:val="none" w:sz="0" w:space="0" w:color="auto"/>
        <w:right w:val="none" w:sz="0" w:space="0" w:color="auto"/>
      </w:divBdr>
    </w:div>
    <w:div w:id="945579671">
      <w:bodyDiv w:val="1"/>
      <w:marLeft w:val="0"/>
      <w:marRight w:val="0"/>
      <w:marTop w:val="0"/>
      <w:marBottom w:val="0"/>
      <w:divBdr>
        <w:top w:val="none" w:sz="0" w:space="0" w:color="auto"/>
        <w:left w:val="none" w:sz="0" w:space="0" w:color="auto"/>
        <w:bottom w:val="none" w:sz="0" w:space="0" w:color="auto"/>
        <w:right w:val="none" w:sz="0" w:space="0" w:color="auto"/>
      </w:divBdr>
    </w:div>
    <w:div w:id="949707280">
      <w:bodyDiv w:val="1"/>
      <w:marLeft w:val="0"/>
      <w:marRight w:val="0"/>
      <w:marTop w:val="0"/>
      <w:marBottom w:val="0"/>
      <w:divBdr>
        <w:top w:val="none" w:sz="0" w:space="0" w:color="auto"/>
        <w:left w:val="none" w:sz="0" w:space="0" w:color="auto"/>
        <w:bottom w:val="none" w:sz="0" w:space="0" w:color="auto"/>
        <w:right w:val="none" w:sz="0" w:space="0" w:color="auto"/>
      </w:divBdr>
    </w:div>
    <w:div w:id="953290046">
      <w:bodyDiv w:val="1"/>
      <w:marLeft w:val="0"/>
      <w:marRight w:val="0"/>
      <w:marTop w:val="0"/>
      <w:marBottom w:val="0"/>
      <w:divBdr>
        <w:top w:val="none" w:sz="0" w:space="0" w:color="auto"/>
        <w:left w:val="none" w:sz="0" w:space="0" w:color="auto"/>
        <w:bottom w:val="none" w:sz="0" w:space="0" w:color="auto"/>
        <w:right w:val="none" w:sz="0" w:space="0" w:color="auto"/>
      </w:divBdr>
    </w:div>
    <w:div w:id="969241681">
      <w:bodyDiv w:val="1"/>
      <w:marLeft w:val="0"/>
      <w:marRight w:val="0"/>
      <w:marTop w:val="0"/>
      <w:marBottom w:val="0"/>
      <w:divBdr>
        <w:top w:val="none" w:sz="0" w:space="0" w:color="auto"/>
        <w:left w:val="none" w:sz="0" w:space="0" w:color="auto"/>
        <w:bottom w:val="none" w:sz="0" w:space="0" w:color="auto"/>
        <w:right w:val="none" w:sz="0" w:space="0" w:color="auto"/>
      </w:divBdr>
    </w:div>
    <w:div w:id="978874056">
      <w:bodyDiv w:val="1"/>
      <w:marLeft w:val="0"/>
      <w:marRight w:val="0"/>
      <w:marTop w:val="0"/>
      <w:marBottom w:val="0"/>
      <w:divBdr>
        <w:top w:val="none" w:sz="0" w:space="0" w:color="auto"/>
        <w:left w:val="none" w:sz="0" w:space="0" w:color="auto"/>
        <w:bottom w:val="none" w:sz="0" w:space="0" w:color="auto"/>
        <w:right w:val="none" w:sz="0" w:space="0" w:color="auto"/>
      </w:divBdr>
    </w:div>
    <w:div w:id="980310798">
      <w:bodyDiv w:val="1"/>
      <w:marLeft w:val="0"/>
      <w:marRight w:val="0"/>
      <w:marTop w:val="0"/>
      <w:marBottom w:val="0"/>
      <w:divBdr>
        <w:top w:val="none" w:sz="0" w:space="0" w:color="auto"/>
        <w:left w:val="none" w:sz="0" w:space="0" w:color="auto"/>
        <w:bottom w:val="none" w:sz="0" w:space="0" w:color="auto"/>
        <w:right w:val="none" w:sz="0" w:space="0" w:color="auto"/>
      </w:divBdr>
    </w:div>
    <w:div w:id="984165694">
      <w:bodyDiv w:val="1"/>
      <w:marLeft w:val="0"/>
      <w:marRight w:val="0"/>
      <w:marTop w:val="0"/>
      <w:marBottom w:val="0"/>
      <w:divBdr>
        <w:top w:val="none" w:sz="0" w:space="0" w:color="auto"/>
        <w:left w:val="none" w:sz="0" w:space="0" w:color="auto"/>
        <w:bottom w:val="none" w:sz="0" w:space="0" w:color="auto"/>
        <w:right w:val="none" w:sz="0" w:space="0" w:color="auto"/>
      </w:divBdr>
      <w:divsChild>
        <w:div w:id="1429620939">
          <w:marLeft w:val="0"/>
          <w:marRight w:val="0"/>
          <w:marTop w:val="0"/>
          <w:marBottom w:val="0"/>
          <w:divBdr>
            <w:top w:val="none" w:sz="0" w:space="0" w:color="auto"/>
            <w:left w:val="none" w:sz="0" w:space="0" w:color="auto"/>
            <w:bottom w:val="none" w:sz="0" w:space="0" w:color="auto"/>
            <w:right w:val="none" w:sz="0" w:space="0" w:color="auto"/>
          </w:divBdr>
          <w:divsChild>
            <w:div w:id="1917855242">
              <w:marLeft w:val="0"/>
              <w:marRight w:val="0"/>
              <w:marTop w:val="0"/>
              <w:marBottom w:val="0"/>
              <w:divBdr>
                <w:top w:val="none" w:sz="0" w:space="0" w:color="auto"/>
                <w:left w:val="none" w:sz="0" w:space="0" w:color="auto"/>
                <w:bottom w:val="none" w:sz="0" w:space="0" w:color="auto"/>
                <w:right w:val="none" w:sz="0" w:space="0" w:color="auto"/>
              </w:divBdr>
              <w:divsChild>
                <w:div w:id="8734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90762">
      <w:bodyDiv w:val="1"/>
      <w:marLeft w:val="0"/>
      <w:marRight w:val="0"/>
      <w:marTop w:val="0"/>
      <w:marBottom w:val="0"/>
      <w:divBdr>
        <w:top w:val="none" w:sz="0" w:space="0" w:color="auto"/>
        <w:left w:val="none" w:sz="0" w:space="0" w:color="auto"/>
        <w:bottom w:val="none" w:sz="0" w:space="0" w:color="auto"/>
        <w:right w:val="none" w:sz="0" w:space="0" w:color="auto"/>
      </w:divBdr>
    </w:div>
    <w:div w:id="1002901135">
      <w:bodyDiv w:val="1"/>
      <w:marLeft w:val="0"/>
      <w:marRight w:val="0"/>
      <w:marTop w:val="0"/>
      <w:marBottom w:val="0"/>
      <w:divBdr>
        <w:top w:val="none" w:sz="0" w:space="0" w:color="auto"/>
        <w:left w:val="none" w:sz="0" w:space="0" w:color="auto"/>
        <w:bottom w:val="none" w:sz="0" w:space="0" w:color="auto"/>
        <w:right w:val="none" w:sz="0" w:space="0" w:color="auto"/>
      </w:divBdr>
    </w:div>
    <w:div w:id="1014071290">
      <w:bodyDiv w:val="1"/>
      <w:marLeft w:val="0"/>
      <w:marRight w:val="0"/>
      <w:marTop w:val="0"/>
      <w:marBottom w:val="0"/>
      <w:divBdr>
        <w:top w:val="none" w:sz="0" w:space="0" w:color="auto"/>
        <w:left w:val="none" w:sz="0" w:space="0" w:color="auto"/>
        <w:bottom w:val="none" w:sz="0" w:space="0" w:color="auto"/>
        <w:right w:val="none" w:sz="0" w:space="0" w:color="auto"/>
      </w:divBdr>
    </w:div>
    <w:div w:id="1033112312">
      <w:bodyDiv w:val="1"/>
      <w:marLeft w:val="0"/>
      <w:marRight w:val="0"/>
      <w:marTop w:val="0"/>
      <w:marBottom w:val="0"/>
      <w:divBdr>
        <w:top w:val="none" w:sz="0" w:space="0" w:color="auto"/>
        <w:left w:val="none" w:sz="0" w:space="0" w:color="auto"/>
        <w:bottom w:val="none" w:sz="0" w:space="0" w:color="auto"/>
        <w:right w:val="none" w:sz="0" w:space="0" w:color="auto"/>
      </w:divBdr>
    </w:div>
    <w:div w:id="1035928208">
      <w:bodyDiv w:val="1"/>
      <w:marLeft w:val="0"/>
      <w:marRight w:val="0"/>
      <w:marTop w:val="0"/>
      <w:marBottom w:val="0"/>
      <w:divBdr>
        <w:top w:val="none" w:sz="0" w:space="0" w:color="auto"/>
        <w:left w:val="none" w:sz="0" w:space="0" w:color="auto"/>
        <w:bottom w:val="none" w:sz="0" w:space="0" w:color="auto"/>
        <w:right w:val="none" w:sz="0" w:space="0" w:color="auto"/>
      </w:divBdr>
    </w:div>
    <w:div w:id="1040009701">
      <w:bodyDiv w:val="1"/>
      <w:marLeft w:val="0"/>
      <w:marRight w:val="0"/>
      <w:marTop w:val="0"/>
      <w:marBottom w:val="0"/>
      <w:divBdr>
        <w:top w:val="none" w:sz="0" w:space="0" w:color="auto"/>
        <w:left w:val="none" w:sz="0" w:space="0" w:color="auto"/>
        <w:bottom w:val="none" w:sz="0" w:space="0" w:color="auto"/>
        <w:right w:val="none" w:sz="0" w:space="0" w:color="auto"/>
      </w:divBdr>
    </w:div>
    <w:div w:id="1066611012">
      <w:bodyDiv w:val="1"/>
      <w:marLeft w:val="0"/>
      <w:marRight w:val="0"/>
      <w:marTop w:val="0"/>
      <w:marBottom w:val="0"/>
      <w:divBdr>
        <w:top w:val="none" w:sz="0" w:space="0" w:color="auto"/>
        <w:left w:val="none" w:sz="0" w:space="0" w:color="auto"/>
        <w:bottom w:val="none" w:sz="0" w:space="0" w:color="auto"/>
        <w:right w:val="none" w:sz="0" w:space="0" w:color="auto"/>
      </w:divBdr>
    </w:div>
    <w:div w:id="1115560627">
      <w:bodyDiv w:val="1"/>
      <w:marLeft w:val="0"/>
      <w:marRight w:val="0"/>
      <w:marTop w:val="0"/>
      <w:marBottom w:val="0"/>
      <w:divBdr>
        <w:top w:val="none" w:sz="0" w:space="0" w:color="auto"/>
        <w:left w:val="none" w:sz="0" w:space="0" w:color="auto"/>
        <w:bottom w:val="none" w:sz="0" w:space="0" w:color="auto"/>
        <w:right w:val="none" w:sz="0" w:space="0" w:color="auto"/>
      </w:divBdr>
    </w:div>
    <w:div w:id="1119490605">
      <w:bodyDiv w:val="1"/>
      <w:marLeft w:val="0"/>
      <w:marRight w:val="0"/>
      <w:marTop w:val="0"/>
      <w:marBottom w:val="0"/>
      <w:divBdr>
        <w:top w:val="none" w:sz="0" w:space="0" w:color="auto"/>
        <w:left w:val="none" w:sz="0" w:space="0" w:color="auto"/>
        <w:bottom w:val="none" w:sz="0" w:space="0" w:color="auto"/>
        <w:right w:val="none" w:sz="0" w:space="0" w:color="auto"/>
      </w:divBdr>
    </w:div>
    <w:div w:id="1150368366">
      <w:bodyDiv w:val="1"/>
      <w:marLeft w:val="0"/>
      <w:marRight w:val="0"/>
      <w:marTop w:val="0"/>
      <w:marBottom w:val="0"/>
      <w:divBdr>
        <w:top w:val="none" w:sz="0" w:space="0" w:color="auto"/>
        <w:left w:val="none" w:sz="0" w:space="0" w:color="auto"/>
        <w:bottom w:val="none" w:sz="0" w:space="0" w:color="auto"/>
        <w:right w:val="none" w:sz="0" w:space="0" w:color="auto"/>
      </w:divBdr>
    </w:div>
    <w:div w:id="1154639560">
      <w:bodyDiv w:val="1"/>
      <w:marLeft w:val="0"/>
      <w:marRight w:val="0"/>
      <w:marTop w:val="0"/>
      <w:marBottom w:val="0"/>
      <w:divBdr>
        <w:top w:val="none" w:sz="0" w:space="0" w:color="auto"/>
        <w:left w:val="none" w:sz="0" w:space="0" w:color="auto"/>
        <w:bottom w:val="none" w:sz="0" w:space="0" w:color="auto"/>
        <w:right w:val="none" w:sz="0" w:space="0" w:color="auto"/>
      </w:divBdr>
    </w:div>
    <w:div w:id="1157651788">
      <w:bodyDiv w:val="1"/>
      <w:marLeft w:val="0"/>
      <w:marRight w:val="0"/>
      <w:marTop w:val="0"/>
      <w:marBottom w:val="0"/>
      <w:divBdr>
        <w:top w:val="none" w:sz="0" w:space="0" w:color="auto"/>
        <w:left w:val="none" w:sz="0" w:space="0" w:color="auto"/>
        <w:bottom w:val="none" w:sz="0" w:space="0" w:color="auto"/>
        <w:right w:val="none" w:sz="0" w:space="0" w:color="auto"/>
      </w:divBdr>
    </w:div>
    <w:div w:id="1191334947">
      <w:bodyDiv w:val="1"/>
      <w:marLeft w:val="0"/>
      <w:marRight w:val="0"/>
      <w:marTop w:val="0"/>
      <w:marBottom w:val="0"/>
      <w:divBdr>
        <w:top w:val="none" w:sz="0" w:space="0" w:color="auto"/>
        <w:left w:val="none" w:sz="0" w:space="0" w:color="auto"/>
        <w:bottom w:val="none" w:sz="0" w:space="0" w:color="auto"/>
        <w:right w:val="none" w:sz="0" w:space="0" w:color="auto"/>
      </w:divBdr>
    </w:div>
    <w:div w:id="1191455776">
      <w:bodyDiv w:val="1"/>
      <w:marLeft w:val="0"/>
      <w:marRight w:val="0"/>
      <w:marTop w:val="0"/>
      <w:marBottom w:val="0"/>
      <w:divBdr>
        <w:top w:val="none" w:sz="0" w:space="0" w:color="auto"/>
        <w:left w:val="none" w:sz="0" w:space="0" w:color="auto"/>
        <w:bottom w:val="none" w:sz="0" w:space="0" w:color="auto"/>
        <w:right w:val="none" w:sz="0" w:space="0" w:color="auto"/>
      </w:divBdr>
      <w:divsChild>
        <w:div w:id="2134398940">
          <w:marLeft w:val="0"/>
          <w:marRight w:val="0"/>
          <w:marTop w:val="0"/>
          <w:marBottom w:val="0"/>
          <w:divBdr>
            <w:top w:val="none" w:sz="0" w:space="0" w:color="auto"/>
            <w:left w:val="none" w:sz="0" w:space="0" w:color="auto"/>
            <w:bottom w:val="none" w:sz="0" w:space="0" w:color="auto"/>
            <w:right w:val="none" w:sz="0" w:space="0" w:color="auto"/>
          </w:divBdr>
          <w:divsChild>
            <w:div w:id="624845964">
              <w:marLeft w:val="0"/>
              <w:marRight w:val="0"/>
              <w:marTop w:val="0"/>
              <w:marBottom w:val="0"/>
              <w:divBdr>
                <w:top w:val="none" w:sz="0" w:space="0" w:color="auto"/>
                <w:left w:val="none" w:sz="0" w:space="0" w:color="auto"/>
                <w:bottom w:val="none" w:sz="0" w:space="0" w:color="auto"/>
                <w:right w:val="none" w:sz="0" w:space="0" w:color="auto"/>
              </w:divBdr>
              <w:divsChild>
                <w:div w:id="5342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69656">
      <w:bodyDiv w:val="1"/>
      <w:marLeft w:val="0"/>
      <w:marRight w:val="0"/>
      <w:marTop w:val="0"/>
      <w:marBottom w:val="0"/>
      <w:divBdr>
        <w:top w:val="none" w:sz="0" w:space="0" w:color="auto"/>
        <w:left w:val="none" w:sz="0" w:space="0" w:color="auto"/>
        <w:bottom w:val="none" w:sz="0" w:space="0" w:color="auto"/>
        <w:right w:val="none" w:sz="0" w:space="0" w:color="auto"/>
      </w:divBdr>
    </w:div>
    <w:div w:id="1203127151">
      <w:bodyDiv w:val="1"/>
      <w:marLeft w:val="0"/>
      <w:marRight w:val="0"/>
      <w:marTop w:val="0"/>
      <w:marBottom w:val="0"/>
      <w:divBdr>
        <w:top w:val="none" w:sz="0" w:space="0" w:color="auto"/>
        <w:left w:val="none" w:sz="0" w:space="0" w:color="auto"/>
        <w:bottom w:val="none" w:sz="0" w:space="0" w:color="auto"/>
        <w:right w:val="none" w:sz="0" w:space="0" w:color="auto"/>
      </w:divBdr>
    </w:div>
    <w:div w:id="1222594957">
      <w:bodyDiv w:val="1"/>
      <w:marLeft w:val="0"/>
      <w:marRight w:val="0"/>
      <w:marTop w:val="0"/>
      <w:marBottom w:val="0"/>
      <w:divBdr>
        <w:top w:val="none" w:sz="0" w:space="0" w:color="auto"/>
        <w:left w:val="none" w:sz="0" w:space="0" w:color="auto"/>
        <w:bottom w:val="none" w:sz="0" w:space="0" w:color="auto"/>
        <w:right w:val="none" w:sz="0" w:space="0" w:color="auto"/>
      </w:divBdr>
    </w:div>
    <w:div w:id="1223057067">
      <w:bodyDiv w:val="1"/>
      <w:marLeft w:val="0"/>
      <w:marRight w:val="0"/>
      <w:marTop w:val="0"/>
      <w:marBottom w:val="0"/>
      <w:divBdr>
        <w:top w:val="none" w:sz="0" w:space="0" w:color="auto"/>
        <w:left w:val="none" w:sz="0" w:space="0" w:color="auto"/>
        <w:bottom w:val="none" w:sz="0" w:space="0" w:color="auto"/>
        <w:right w:val="none" w:sz="0" w:space="0" w:color="auto"/>
      </w:divBdr>
    </w:div>
    <w:div w:id="1234195602">
      <w:bodyDiv w:val="1"/>
      <w:marLeft w:val="0"/>
      <w:marRight w:val="0"/>
      <w:marTop w:val="0"/>
      <w:marBottom w:val="0"/>
      <w:divBdr>
        <w:top w:val="none" w:sz="0" w:space="0" w:color="auto"/>
        <w:left w:val="none" w:sz="0" w:space="0" w:color="auto"/>
        <w:bottom w:val="none" w:sz="0" w:space="0" w:color="auto"/>
        <w:right w:val="none" w:sz="0" w:space="0" w:color="auto"/>
      </w:divBdr>
    </w:div>
    <w:div w:id="1250311153">
      <w:bodyDiv w:val="1"/>
      <w:marLeft w:val="0"/>
      <w:marRight w:val="0"/>
      <w:marTop w:val="0"/>
      <w:marBottom w:val="0"/>
      <w:divBdr>
        <w:top w:val="none" w:sz="0" w:space="0" w:color="auto"/>
        <w:left w:val="none" w:sz="0" w:space="0" w:color="auto"/>
        <w:bottom w:val="none" w:sz="0" w:space="0" w:color="auto"/>
        <w:right w:val="none" w:sz="0" w:space="0" w:color="auto"/>
      </w:divBdr>
    </w:div>
    <w:div w:id="1256673616">
      <w:bodyDiv w:val="1"/>
      <w:marLeft w:val="0"/>
      <w:marRight w:val="0"/>
      <w:marTop w:val="0"/>
      <w:marBottom w:val="0"/>
      <w:divBdr>
        <w:top w:val="none" w:sz="0" w:space="0" w:color="auto"/>
        <w:left w:val="none" w:sz="0" w:space="0" w:color="auto"/>
        <w:bottom w:val="none" w:sz="0" w:space="0" w:color="auto"/>
        <w:right w:val="none" w:sz="0" w:space="0" w:color="auto"/>
      </w:divBdr>
    </w:div>
    <w:div w:id="1258909625">
      <w:bodyDiv w:val="1"/>
      <w:marLeft w:val="0"/>
      <w:marRight w:val="0"/>
      <w:marTop w:val="0"/>
      <w:marBottom w:val="0"/>
      <w:divBdr>
        <w:top w:val="none" w:sz="0" w:space="0" w:color="auto"/>
        <w:left w:val="none" w:sz="0" w:space="0" w:color="auto"/>
        <w:bottom w:val="none" w:sz="0" w:space="0" w:color="auto"/>
        <w:right w:val="none" w:sz="0" w:space="0" w:color="auto"/>
      </w:divBdr>
    </w:div>
    <w:div w:id="1269118027">
      <w:bodyDiv w:val="1"/>
      <w:marLeft w:val="0"/>
      <w:marRight w:val="0"/>
      <w:marTop w:val="0"/>
      <w:marBottom w:val="0"/>
      <w:divBdr>
        <w:top w:val="none" w:sz="0" w:space="0" w:color="auto"/>
        <w:left w:val="none" w:sz="0" w:space="0" w:color="auto"/>
        <w:bottom w:val="none" w:sz="0" w:space="0" w:color="auto"/>
        <w:right w:val="none" w:sz="0" w:space="0" w:color="auto"/>
      </w:divBdr>
      <w:divsChild>
        <w:div w:id="84696686">
          <w:marLeft w:val="0"/>
          <w:marRight w:val="0"/>
          <w:marTop w:val="0"/>
          <w:marBottom w:val="0"/>
          <w:divBdr>
            <w:top w:val="none" w:sz="0" w:space="0" w:color="auto"/>
            <w:left w:val="none" w:sz="0" w:space="0" w:color="auto"/>
            <w:bottom w:val="none" w:sz="0" w:space="0" w:color="auto"/>
            <w:right w:val="none" w:sz="0" w:space="0" w:color="auto"/>
          </w:divBdr>
          <w:divsChild>
            <w:div w:id="975405038">
              <w:marLeft w:val="0"/>
              <w:marRight w:val="0"/>
              <w:marTop w:val="0"/>
              <w:marBottom w:val="0"/>
              <w:divBdr>
                <w:top w:val="none" w:sz="0" w:space="0" w:color="auto"/>
                <w:left w:val="none" w:sz="0" w:space="0" w:color="auto"/>
                <w:bottom w:val="none" w:sz="0" w:space="0" w:color="auto"/>
                <w:right w:val="none" w:sz="0" w:space="0" w:color="auto"/>
              </w:divBdr>
              <w:divsChild>
                <w:div w:id="17712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7117">
      <w:bodyDiv w:val="1"/>
      <w:marLeft w:val="0"/>
      <w:marRight w:val="0"/>
      <w:marTop w:val="0"/>
      <w:marBottom w:val="0"/>
      <w:divBdr>
        <w:top w:val="none" w:sz="0" w:space="0" w:color="auto"/>
        <w:left w:val="none" w:sz="0" w:space="0" w:color="auto"/>
        <w:bottom w:val="none" w:sz="0" w:space="0" w:color="auto"/>
        <w:right w:val="none" w:sz="0" w:space="0" w:color="auto"/>
      </w:divBdr>
    </w:div>
    <w:div w:id="1274020976">
      <w:bodyDiv w:val="1"/>
      <w:marLeft w:val="0"/>
      <w:marRight w:val="0"/>
      <w:marTop w:val="0"/>
      <w:marBottom w:val="0"/>
      <w:divBdr>
        <w:top w:val="none" w:sz="0" w:space="0" w:color="auto"/>
        <w:left w:val="none" w:sz="0" w:space="0" w:color="auto"/>
        <w:bottom w:val="none" w:sz="0" w:space="0" w:color="auto"/>
        <w:right w:val="none" w:sz="0" w:space="0" w:color="auto"/>
      </w:divBdr>
    </w:div>
    <w:div w:id="1274290901">
      <w:bodyDiv w:val="1"/>
      <w:marLeft w:val="0"/>
      <w:marRight w:val="0"/>
      <w:marTop w:val="0"/>
      <w:marBottom w:val="0"/>
      <w:divBdr>
        <w:top w:val="none" w:sz="0" w:space="0" w:color="auto"/>
        <w:left w:val="none" w:sz="0" w:space="0" w:color="auto"/>
        <w:bottom w:val="none" w:sz="0" w:space="0" w:color="auto"/>
        <w:right w:val="none" w:sz="0" w:space="0" w:color="auto"/>
      </w:divBdr>
    </w:div>
    <w:div w:id="1284264486">
      <w:bodyDiv w:val="1"/>
      <w:marLeft w:val="0"/>
      <w:marRight w:val="0"/>
      <w:marTop w:val="0"/>
      <w:marBottom w:val="0"/>
      <w:divBdr>
        <w:top w:val="none" w:sz="0" w:space="0" w:color="auto"/>
        <w:left w:val="none" w:sz="0" w:space="0" w:color="auto"/>
        <w:bottom w:val="none" w:sz="0" w:space="0" w:color="auto"/>
        <w:right w:val="none" w:sz="0" w:space="0" w:color="auto"/>
      </w:divBdr>
    </w:div>
    <w:div w:id="1297876428">
      <w:bodyDiv w:val="1"/>
      <w:marLeft w:val="0"/>
      <w:marRight w:val="0"/>
      <w:marTop w:val="0"/>
      <w:marBottom w:val="0"/>
      <w:divBdr>
        <w:top w:val="none" w:sz="0" w:space="0" w:color="auto"/>
        <w:left w:val="none" w:sz="0" w:space="0" w:color="auto"/>
        <w:bottom w:val="none" w:sz="0" w:space="0" w:color="auto"/>
        <w:right w:val="none" w:sz="0" w:space="0" w:color="auto"/>
      </w:divBdr>
    </w:div>
    <w:div w:id="1304383709">
      <w:bodyDiv w:val="1"/>
      <w:marLeft w:val="0"/>
      <w:marRight w:val="0"/>
      <w:marTop w:val="0"/>
      <w:marBottom w:val="0"/>
      <w:divBdr>
        <w:top w:val="none" w:sz="0" w:space="0" w:color="auto"/>
        <w:left w:val="none" w:sz="0" w:space="0" w:color="auto"/>
        <w:bottom w:val="none" w:sz="0" w:space="0" w:color="auto"/>
        <w:right w:val="none" w:sz="0" w:space="0" w:color="auto"/>
      </w:divBdr>
    </w:div>
    <w:div w:id="1306349733">
      <w:bodyDiv w:val="1"/>
      <w:marLeft w:val="0"/>
      <w:marRight w:val="0"/>
      <w:marTop w:val="0"/>
      <w:marBottom w:val="0"/>
      <w:divBdr>
        <w:top w:val="none" w:sz="0" w:space="0" w:color="auto"/>
        <w:left w:val="none" w:sz="0" w:space="0" w:color="auto"/>
        <w:bottom w:val="none" w:sz="0" w:space="0" w:color="auto"/>
        <w:right w:val="none" w:sz="0" w:space="0" w:color="auto"/>
      </w:divBdr>
    </w:div>
    <w:div w:id="1306932963">
      <w:bodyDiv w:val="1"/>
      <w:marLeft w:val="0"/>
      <w:marRight w:val="0"/>
      <w:marTop w:val="0"/>
      <w:marBottom w:val="0"/>
      <w:divBdr>
        <w:top w:val="none" w:sz="0" w:space="0" w:color="auto"/>
        <w:left w:val="none" w:sz="0" w:space="0" w:color="auto"/>
        <w:bottom w:val="none" w:sz="0" w:space="0" w:color="auto"/>
        <w:right w:val="none" w:sz="0" w:space="0" w:color="auto"/>
      </w:divBdr>
    </w:div>
    <w:div w:id="1310669105">
      <w:bodyDiv w:val="1"/>
      <w:marLeft w:val="0"/>
      <w:marRight w:val="0"/>
      <w:marTop w:val="0"/>
      <w:marBottom w:val="0"/>
      <w:divBdr>
        <w:top w:val="none" w:sz="0" w:space="0" w:color="auto"/>
        <w:left w:val="none" w:sz="0" w:space="0" w:color="auto"/>
        <w:bottom w:val="none" w:sz="0" w:space="0" w:color="auto"/>
        <w:right w:val="none" w:sz="0" w:space="0" w:color="auto"/>
      </w:divBdr>
    </w:div>
    <w:div w:id="1318070834">
      <w:bodyDiv w:val="1"/>
      <w:marLeft w:val="0"/>
      <w:marRight w:val="0"/>
      <w:marTop w:val="0"/>
      <w:marBottom w:val="0"/>
      <w:divBdr>
        <w:top w:val="none" w:sz="0" w:space="0" w:color="auto"/>
        <w:left w:val="none" w:sz="0" w:space="0" w:color="auto"/>
        <w:bottom w:val="none" w:sz="0" w:space="0" w:color="auto"/>
        <w:right w:val="none" w:sz="0" w:space="0" w:color="auto"/>
      </w:divBdr>
    </w:div>
    <w:div w:id="1331369736">
      <w:bodyDiv w:val="1"/>
      <w:marLeft w:val="0"/>
      <w:marRight w:val="0"/>
      <w:marTop w:val="0"/>
      <w:marBottom w:val="0"/>
      <w:divBdr>
        <w:top w:val="none" w:sz="0" w:space="0" w:color="auto"/>
        <w:left w:val="none" w:sz="0" w:space="0" w:color="auto"/>
        <w:bottom w:val="none" w:sz="0" w:space="0" w:color="auto"/>
        <w:right w:val="none" w:sz="0" w:space="0" w:color="auto"/>
      </w:divBdr>
    </w:div>
    <w:div w:id="1339232726">
      <w:bodyDiv w:val="1"/>
      <w:marLeft w:val="0"/>
      <w:marRight w:val="0"/>
      <w:marTop w:val="0"/>
      <w:marBottom w:val="0"/>
      <w:divBdr>
        <w:top w:val="none" w:sz="0" w:space="0" w:color="auto"/>
        <w:left w:val="none" w:sz="0" w:space="0" w:color="auto"/>
        <w:bottom w:val="none" w:sz="0" w:space="0" w:color="auto"/>
        <w:right w:val="none" w:sz="0" w:space="0" w:color="auto"/>
      </w:divBdr>
    </w:div>
    <w:div w:id="1349720679">
      <w:bodyDiv w:val="1"/>
      <w:marLeft w:val="0"/>
      <w:marRight w:val="0"/>
      <w:marTop w:val="0"/>
      <w:marBottom w:val="0"/>
      <w:divBdr>
        <w:top w:val="none" w:sz="0" w:space="0" w:color="auto"/>
        <w:left w:val="none" w:sz="0" w:space="0" w:color="auto"/>
        <w:bottom w:val="none" w:sz="0" w:space="0" w:color="auto"/>
        <w:right w:val="none" w:sz="0" w:space="0" w:color="auto"/>
      </w:divBdr>
    </w:div>
    <w:div w:id="1352101743">
      <w:bodyDiv w:val="1"/>
      <w:marLeft w:val="0"/>
      <w:marRight w:val="0"/>
      <w:marTop w:val="0"/>
      <w:marBottom w:val="0"/>
      <w:divBdr>
        <w:top w:val="none" w:sz="0" w:space="0" w:color="auto"/>
        <w:left w:val="none" w:sz="0" w:space="0" w:color="auto"/>
        <w:bottom w:val="none" w:sz="0" w:space="0" w:color="auto"/>
        <w:right w:val="none" w:sz="0" w:space="0" w:color="auto"/>
      </w:divBdr>
      <w:divsChild>
        <w:div w:id="716857393">
          <w:marLeft w:val="0"/>
          <w:marRight w:val="0"/>
          <w:marTop w:val="0"/>
          <w:marBottom w:val="0"/>
          <w:divBdr>
            <w:top w:val="none" w:sz="0" w:space="0" w:color="auto"/>
            <w:left w:val="none" w:sz="0" w:space="0" w:color="auto"/>
            <w:bottom w:val="none" w:sz="0" w:space="0" w:color="auto"/>
            <w:right w:val="none" w:sz="0" w:space="0" w:color="auto"/>
          </w:divBdr>
          <w:divsChild>
            <w:div w:id="561522906">
              <w:marLeft w:val="0"/>
              <w:marRight w:val="0"/>
              <w:marTop w:val="0"/>
              <w:marBottom w:val="0"/>
              <w:divBdr>
                <w:top w:val="none" w:sz="0" w:space="0" w:color="auto"/>
                <w:left w:val="none" w:sz="0" w:space="0" w:color="auto"/>
                <w:bottom w:val="none" w:sz="0" w:space="0" w:color="auto"/>
                <w:right w:val="none" w:sz="0" w:space="0" w:color="auto"/>
              </w:divBdr>
              <w:divsChild>
                <w:div w:id="28381683">
                  <w:marLeft w:val="0"/>
                  <w:marRight w:val="0"/>
                  <w:marTop w:val="0"/>
                  <w:marBottom w:val="0"/>
                  <w:divBdr>
                    <w:top w:val="none" w:sz="0" w:space="0" w:color="auto"/>
                    <w:left w:val="none" w:sz="0" w:space="0" w:color="auto"/>
                    <w:bottom w:val="none" w:sz="0" w:space="0" w:color="auto"/>
                    <w:right w:val="none" w:sz="0" w:space="0" w:color="auto"/>
                  </w:divBdr>
                  <w:divsChild>
                    <w:div w:id="458382292">
                      <w:marLeft w:val="0"/>
                      <w:marRight w:val="0"/>
                      <w:marTop w:val="0"/>
                      <w:marBottom w:val="0"/>
                      <w:divBdr>
                        <w:top w:val="none" w:sz="0" w:space="0" w:color="auto"/>
                        <w:left w:val="none" w:sz="0" w:space="0" w:color="auto"/>
                        <w:bottom w:val="none" w:sz="0" w:space="0" w:color="auto"/>
                        <w:right w:val="none" w:sz="0" w:space="0" w:color="auto"/>
                      </w:divBdr>
                    </w:div>
                  </w:divsChild>
                </w:div>
                <w:div w:id="198278954">
                  <w:marLeft w:val="0"/>
                  <w:marRight w:val="0"/>
                  <w:marTop w:val="0"/>
                  <w:marBottom w:val="0"/>
                  <w:divBdr>
                    <w:top w:val="none" w:sz="0" w:space="0" w:color="auto"/>
                    <w:left w:val="none" w:sz="0" w:space="0" w:color="auto"/>
                    <w:bottom w:val="none" w:sz="0" w:space="0" w:color="auto"/>
                    <w:right w:val="none" w:sz="0" w:space="0" w:color="auto"/>
                  </w:divBdr>
                  <w:divsChild>
                    <w:div w:id="835419095">
                      <w:marLeft w:val="0"/>
                      <w:marRight w:val="0"/>
                      <w:marTop w:val="0"/>
                      <w:marBottom w:val="0"/>
                      <w:divBdr>
                        <w:top w:val="none" w:sz="0" w:space="0" w:color="auto"/>
                        <w:left w:val="none" w:sz="0" w:space="0" w:color="auto"/>
                        <w:bottom w:val="none" w:sz="0" w:space="0" w:color="auto"/>
                        <w:right w:val="none" w:sz="0" w:space="0" w:color="auto"/>
                      </w:divBdr>
                    </w:div>
                  </w:divsChild>
                </w:div>
                <w:div w:id="296842328">
                  <w:marLeft w:val="0"/>
                  <w:marRight w:val="0"/>
                  <w:marTop w:val="0"/>
                  <w:marBottom w:val="0"/>
                  <w:divBdr>
                    <w:top w:val="none" w:sz="0" w:space="0" w:color="auto"/>
                    <w:left w:val="none" w:sz="0" w:space="0" w:color="auto"/>
                    <w:bottom w:val="none" w:sz="0" w:space="0" w:color="auto"/>
                    <w:right w:val="none" w:sz="0" w:space="0" w:color="auto"/>
                  </w:divBdr>
                  <w:divsChild>
                    <w:div w:id="470710845">
                      <w:marLeft w:val="0"/>
                      <w:marRight w:val="0"/>
                      <w:marTop w:val="0"/>
                      <w:marBottom w:val="0"/>
                      <w:divBdr>
                        <w:top w:val="none" w:sz="0" w:space="0" w:color="auto"/>
                        <w:left w:val="none" w:sz="0" w:space="0" w:color="auto"/>
                        <w:bottom w:val="none" w:sz="0" w:space="0" w:color="auto"/>
                        <w:right w:val="none" w:sz="0" w:space="0" w:color="auto"/>
                      </w:divBdr>
                    </w:div>
                  </w:divsChild>
                </w:div>
                <w:div w:id="1098017162">
                  <w:marLeft w:val="0"/>
                  <w:marRight w:val="0"/>
                  <w:marTop w:val="0"/>
                  <w:marBottom w:val="0"/>
                  <w:divBdr>
                    <w:top w:val="none" w:sz="0" w:space="0" w:color="auto"/>
                    <w:left w:val="none" w:sz="0" w:space="0" w:color="auto"/>
                    <w:bottom w:val="none" w:sz="0" w:space="0" w:color="auto"/>
                    <w:right w:val="none" w:sz="0" w:space="0" w:color="auto"/>
                  </w:divBdr>
                  <w:divsChild>
                    <w:div w:id="1622489757">
                      <w:marLeft w:val="0"/>
                      <w:marRight w:val="0"/>
                      <w:marTop w:val="0"/>
                      <w:marBottom w:val="0"/>
                      <w:divBdr>
                        <w:top w:val="none" w:sz="0" w:space="0" w:color="auto"/>
                        <w:left w:val="none" w:sz="0" w:space="0" w:color="auto"/>
                        <w:bottom w:val="none" w:sz="0" w:space="0" w:color="auto"/>
                        <w:right w:val="none" w:sz="0" w:space="0" w:color="auto"/>
                      </w:divBdr>
                    </w:div>
                  </w:divsChild>
                </w:div>
                <w:div w:id="1159737708">
                  <w:marLeft w:val="0"/>
                  <w:marRight w:val="0"/>
                  <w:marTop w:val="0"/>
                  <w:marBottom w:val="0"/>
                  <w:divBdr>
                    <w:top w:val="none" w:sz="0" w:space="0" w:color="auto"/>
                    <w:left w:val="none" w:sz="0" w:space="0" w:color="auto"/>
                    <w:bottom w:val="none" w:sz="0" w:space="0" w:color="auto"/>
                    <w:right w:val="none" w:sz="0" w:space="0" w:color="auto"/>
                  </w:divBdr>
                  <w:divsChild>
                    <w:div w:id="186020430">
                      <w:marLeft w:val="0"/>
                      <w:marRight w:val="0"/>
                      <w:marTop w:val="0"/>
                      <w:marBottom w:val="0"/>
                      <w:divBdr>
                        <w:top w:val="none" w:sz="0" w:space="0" w:color="auto"/>
                        <w:left w:val="none" w:sz="0" w:space="0" w:color="auto"/>
                        <w:bottom w:val="none" w:sz="0" w:space="0" w:color="auto"/>
                        <w:right w:val="none" w:sz="0" w:space="0" w:color="auto"/>
                      </w:divBdr>
                    </w:div>
                  </w:divsChild>
                </w:div>
                <w:div w:id="1388720109">
                  <w:marLeft w:val="0"/>
                  <w:marRight w:val="0"/>
                  <w:marTop w:val="0"/>
                  <w:marBottom w:val="0"/>
                  <w:divBdr>
                    <w:top w:val="none" w:sz="0" w:space="0" w:color="auto"/>
                    <w:left w:val="none" w:sz="0" w:space="0" w:color="auto"/>
                    <w:bottom w:val="none" w:sz="0" w:space="0" w:color="auto"/>
                    <w:right w:val="none" w:sz="0" w:space="0" w:color="auto"/>
                  </w:divBdr>
                  <w:divsChild>
                    <w:div w:id="684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88">
              <w:marLeft w:val="0"/>
              <w:marRight w:val="0"/>
              <w:marTop w:val="0"/>
              <w:marBottom w:val="0"/>
              <w:divBdr>
                <w:top w:val="none" w:sz="0" w:space="0" w:color="auto"/>
                <w:left w:val="none" w:sz="0" w:space="0" w:color="auto"/>
                <w:bottom w:val="none" w:sz="0" w:space="0" w:color="auto"/>
                <w:right w:val="none" w:sz="0" w:space="0" w:color="auto"/>
              </w:divBdr>
              <w:divsChild>
                <w:div w:id="14860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624">
      <w:bodyDiv w:val="1"/>
      <w:marLeft w:val="0"/>
      <w:marRight w:val="0"/>
      <w:marTop w:val="0"/>
      <w:marBottom w:val="0"/>
      <w:divBdr>
        <w:top w:val="none" w:sz="0" w:space="0" w:color="auto"/>
        <w:left w:val="none" w:sz="0" w:space="0" w:color="auto"/>
        <w:bottom w:val="none" w:sz="0" w:space="0" w:color="auto"/>
        <w:right w:val="none" w:sz="0" w:space="0" w:color="auto"/>
      </w:divBdr>
    </w:div>
    <w:div w:id="1371757054">
      <w:bodyDiv w:val="1"/>
      <w:marLeft w:val="0"/>
      <w:marRight w:val="0"/>
      <w:marTop w:val="0"/>
      <w:marBottom w:val="0"/>
      <w:divBdr>
        <w:top w:val="none" w:sz="0" w:space="0" w:color="auto"/>
        <w:left w:val="none" w:sz="0" w:space="0" w:color="auto"/>
        <w:bottom w:val="none" w:sz="0" w:space="0" w:color="auto"/>
        <w:right w:val="none" w:sz="0" w:space="0" w:color="auto"/>
      </w:divBdr>
      <w:divsChild>
        <w:div w:id="756681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750111">
              <w:marLeft w:val="0"/>
              <w:marRight w:val="0"/>
              <w:marTop w:val="0"/>
              <w:marBottom w:val="0"/>
              <w:divBdr>
                <w:top w:val="none" w:sz="0" w:space="0" w:color="auto"/>
                <w:left w:val="none" w:sz="0" w:space="0" w:color="auto"/>
                <w:bottom w:val="none" w:sz="0" w:space="0" w:color="auto"/>
                <w:right w:val="none" w:sz="0" w:space="0" w:color="auto"/>
              </w:divBdr>
              <w:divsChild>
                <w:div w:id="1830443339">
                  <w:marLeft w:val="0"/>
                  <w:marRight w:val="0"/>
                  <w:marTop w:val="0"/>
                  <w:marBottom w:val="0"/>
                  <w:divBdr>
                    <w:top w:val="none" w:sz="0" w:space="0" w:color="auto"/>
                    <w:left w:val="none" w:sz="0" w:space="0" w:color="auto"/>
                    <w:bottom w:val="none" w:sz="0" w:space="0" w:color="auto"/>
                    <w:right w:val="none" w:sz="0" w:space="0" w:color="auto"/>
                  </w:divBdr>
                  <w:divsChild>
                    <w:div w:id="1245264269">
                      <w:marLeft w:val="0"/>
                      <w:marRight w:val="0"/>
                      <w:marTop w:val="0"/>
                      <w:marBottom w:val="0"/>
                      <w:divBdr>
                        <w:top w:val="none" w:sz="0" w:space="0" w:color="auto"/>
                        <w:left w:val="none" w:sz="0" w:space="0" w:color="auto"/>
                        <w:bottom w:val="none" w:sz="0" w:space="0" w:color="auto"/>
                        <w:right w:val="none" w:sz="0" w:space="0" w:color="auto"/>
                      </w:divBdr>
                      <w:divsChild>
                        <w:div w:id="1950502853">
                          <w:marLeft w:val="0"/>
                          <w:marRight w:val="0"/>
                          <w:marTop w:val="0"/>
                          <w:marBottom w:val="0"/>
                          <w:divBdr>
                            <w:top w:val="none" w:sz="0" w:space="0" w:color="auto"/>
                            <w:left w:val="none" w:sz="0" w:space="0" w:color="auto"/>
                            <w:bottom w:val="none" w:sz="0" w:space="0" w:color="auto"/>
                            <w:right w:val="none" w:sz="0" w:space="0" w:color="auto"/>
                          </w:divBdr>
                          <w:divsChild>
                            <w:div w:id="150876784">
                              <w:marLeft w:val="0"/>
                              <w:marRight w:val="0"/>
                              <w:marTop w:val="0"/>
                              <w:marBottom w:val="0"/>
                              <w:divBdr>
                                <w:top w:val="none" w:sz="0" w:space="0" w:color="auto"/>
                                <w:left w:val="none" w:sz="0" w:space="0" w:color="auto"/>
                                <w:bottom w:val="none" w:sz="0" w:space="0" w:color="auto"/>
                                <w:right w:val="none" w:sz="0" w:space="0" w:color="auto"/>
                              </w:divBdr>
                            </w:div>
                            <w:div w:id="2860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17799">
      <w:bodyDiv w:val="1"/>
      <w:marLeft w:val="0"/>
      <w:marRight w:val="0"/>
      <w:marTop w:val="0"/>
      <w:marBottom w:val="0"/>
      <w:divBdr>
        <w:top w:val="none" w:sz="0" w:space="0" w:color="auto"/>
        <w:left w:val="none" w:sz="0" w:space="0" w:color="auto"/>
        <w:bottom w:val="none" w:sz="0" w:space="0" w:color="auto"/>
        <w:right w:val="none" w:sz="0" w:space="0" w:color="auto"/>
      </w:divBdr>
    </w:div>
    <w:div w:id="1394891267">
      <w:bodyDiv w:val="1"/>
      <w:marLeft w:val="0"/>
      <w:marRight w:val="0"/>
      <w:marTop w:val="0"/>
      <w:marBottom w:val="0"/>
      <w:divBdr>
        <w:top w:val="none" w:sz="0" w:space="0" w:color="auto"/>
        <w:left w:val="none" w:sz="0" w:space="0" w:color="auto"/>
        <w:bottom w:val="none" w:sz="0" w:space="0" w:color="auto"/>
        <w:right w:val="none" w:sz="0" w:space="0" w:color="auto"/>
      </w:divBdr>
    </w:div>
    <w:div w:id="1402018369">
      <w:bodyDiv w:val="1"/>
      <w:marLeft w:val="0"/>
      <w:marRight w:val="0"/>
      <w:marTop w:val="0"/>
      <w:marBottom w:val="0"/>
      <w:divBdr>
        <w:top w:val="none" w:sz="0" w:space="0" w:color="auto"/>
        <w:left w:val="none" w:sz="0" w:space="0" w:color="auto"/>
        <w:bottom w:val="none" w:sz="0" w:space="0" w:color="auto"/>
        <w:right w:val="none" w:sz="0" w:space="0" w:color="auto"/>
      </w:divBdr>
    </w:div>
    <w:div w:id="1432973707">
      <w:bodyDiv w:val="1"/>
      <w:marLeft w:val="0"/>
      <w:marRight w:val="0"/>
      <w:marTop w:val="0"/>
      <w:marBottom w:val="0"/>
      <w:divBdr>
        <w:top w:val="none" w:sz="0" w:space="0" w:color="auto"/>
        <w:left w:val="none" w:sz="0" w:space="0" w:color="auto"/>
        <w:bottom w:val="none" w:sz="0" w:space="0" w:color="auto"/>
        <w:right w:val="none" w:sz="0" w:space="0" w:color="auto"/>
      </w:divBdr>
    </w:div>
    <w:div w:id="1445883984">
      <w:bodyDiv w:val="1"/>
      <w:marLeft w:val="0"/>
      <w:marRight w:val="0"/>
      <w:marTop w:val="0"/>
      <w:marBottom w:val="0"/>
      <w:divBdr>
        <w:top w:val="none" w:sz="0" w:space="0" w:color="auto"/>
        <w:left w:val="none" w:sz="0" w:space="0" w:color="auto"/>
        <w:bottom w:val="none" w:sz="0" w:space="0" w:color="auto"/>
        <w:right w:val="none" w:sz="0" w:space="0" w:color="auto"/>
      </w:divBdr>
      <w:divsChild>
        <w:div w:id="230122448">
          <w:marLeft w:val="0"/>
          <w:marRight w:val="0"/>
          <w:marTop w:val="0"/>
          <w:marBottom w:val="0"/>
          <w:divBdr>
            <w:top w:val="none" w:sz="0" w:space="0" w:color="auto"/>
            <w:left w:val="none" w:sz="0" w:space="0" w:color="auto"/>
            <w:bottom w:val="none" w:sz="0" w:space="0" w:color="auto"/>
            <w:right w:val="none" w:sz="0" w:space="0" w:color="auto"/>
          </w:divBdr>
          <w:divsChild>
            <w:div w:id="16043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3594">
      <w:bodyDiv w:val="1"/>
      <w:marLeft w:val="0"/>
      <w:marRight w:val="0"/>
      <w:marTop w:val="0"/>
      <w:marBottom w:val="0"/>
      <w:divBdr>
        <w:top w:val="none" w:sz="0" w:space="0" w:color="auto"/>
        <w:left w:val="none" w:sz="0" w:space="0" w:color="auto"/>
        <w:bottom w:val="none" w:sz="0" w:space="0" w:color="auto"/>
        <w:right w:val="none" w:sz="0" w:space="0" w:color="auto"/>
      </w:divBdr>
    </w:div>
    <w:div w:id="1456365930">
      <w:bodyDiv w:val="1"/>
      <w:marLeft w:val="0"/>
      <w:marRight w:val="0"/>
      <w:marTop w:val="0"/>
      <w:marBottom w:val="0"/>
      <w:divBdr>
        <w:top w:val="none" w:sz="0" w:space="0" w:color="auto"/>
        <w:left w:val="none" w:sz="0" w:space="0" w:color="auto"/>
        <w:bottom w:val="none" w:sz="0" w:space="0" w:color="auto"/>
        <w:right w:val="none" w:sz="0" w:space="0" w:color="auto"/>
      </w:divBdr>
    </w:div>
    <w:div w:id="1475414807">
      <w:bodyDiv w:val="1"/>
      <w:marLeft w:val="0"/>
      <w:marRight w:val="0"/>
      <w:marTop w:val="0"/>
      <w:marBottom w:val="0"/>
      <w:divBdr>
        <w:top w:val="none" w:sz="0" w:space="0" w:color="auto"/>
        <w:left w:val="none" w:sz="0" w:space="0" w:color="auto"/>
        <w:bottom w:val="none" w:sz="0" w:space="0" w:color="auto"/>
        <w:right w:val="none" w:sz="0" w:space="0" w:color="auto"/>
      </w:divBdr>
    </w:div>
    <w:div w:id="1479149847">
      <w:bodyDiv w:val="1"/>
      <w:marLeft w:val="0"/>
      <w:marRight w:val="0"/>
      <w:marTop w:val="0"/>
      <w:marBottom w:val="0"/>
      <w:divBdr>
        <w:top w:val="none" w:sz="0" w:space="0" w:color="auto"/>
        <w:left w:val="none" w:sz="0" w:space="0" w:color="auto"/>
        <w:bottom w:val="none" w:sz="0" w:space="0" w:color="auto"/>
        <w:right w:val="none" w:sz="0" w:space="0" w:color="auto"/>
      </w:divBdr>
    </w:div>
    <w:div w:id="1487940579">
      <w:bodyDiv w:val="1"/>
      <w:marLeft w:val="0"/>
      <w:marRight w:val="0"/>
      <w:marTop w:val="0"/>
      <w:marBottom w:val="0"/>
      <w:divBdr>
        <w:top w:val="none" w:sz="0" w:space="0" w:color="auto"/>
        <w:left w:val="none" w:sz="0" w:space="0" w:color="auto"/>
        <w:bottom w:val="none" w:sz="0" w:space="0" w:color="auto"/>
        <w:right w:val="none" w:sz="0" w:space="0" w:color="auto"/>
      </w:divBdr>
    </w:div>
    <w:div w:id="1522936004">
      <w:bodyDiv w:val="1"/>
      <w:marLeft w:val="0"/>
      <w:marRight w:val="0"/>
      <w:marTop w:val="0"/>
      <w:marBottom w:val="0"/>
      <w:divBdr>
        <w:top w:val="none" w:sz="0" w:space="0" w:color="auto"/>
        <w:left w:val="none" w:sz="0" w:space="0" w:color="auto"/>
        <w:bottom w:val="none" w:sz="0" w:space="0" w:color="auto"/>
        <w:right w:val="none" w:sz="0" w:space="0" w:color="auto"/>
      </w:divBdr>
    </w:div>
    <w:div w:id="1571690621">
      <w:bodyDiv w:val="1"/>
      <w:marLeft w:val="0"/>
      <w:marRight w:val="0"/>
      <w:marTop w:val="0"/>
      <w:marBottom w:val="0"/>
      <w:divBdr>
        <w:top w:val="none" w:sz="0" w:space="0" w:color="auto"/>
        <w:left w:val="none" w:sz="0" w:space="0" w:color="auto"/>
        <w:bottom w:val="none" w:sz="0" w:space="0" w:color="auto"/>
        <w:right w:val="none" w:sz="0" w:space="0" w:color="auto"/>
      </w:divBdr>
    </w:div>
    <w:div w:id="1590625299">
      <w:bodyDiv w:val="1"/>
      <w:marLeft w:val="0"/>
      <w:marRight w:val="0"/>
      <w:marTop w:val="0"/>
      <w:marBottom w:val="0"/>
      <w:divBdr>
        <w:top w:val="none" w:sz="0" w:space="0" w:color="auto"/>
        <w:left w:val="none" w:sz="0" w:space="0" w:color="auto"/>
        <w:bottom w:val="none" w:sz="0" w:space="0" w:color="auto"/>
        <w:right w:val="none" w:sz="0" w:space="0" w:color="auto"/>
      </w:divBdr>
    </w:div>
    <w:div w:id="1594705145">
      <w:bodyDiv w:val="1"/>
      <w:marLeft w:val="0"/>
      <w:marRight w:val="0"/>
      <w:marTop w:val="0"/>
      <w:marBottom w:val="0"/>
      <w:divBdr>
        <w:top w:val="none" w:sz="0" w:space="0" w:color="auto"/>
        <w:left w:val="none" w:sz="0" w:space="0" w:color="auto"/>
        <w:bottom w:val="none" w:sz="0" w:space="0" w:color="auto"/>
        <w:right w:val="none" w:sz="0" w:space="0" w:color="auto"/>
      </w:divBdr>
    </w:div>
    <w:div w:id="1603611904">
      <w:bodyDiv w:val="1"/>
      <w:marLeft w:val="0"/>
      <w:marRight w:val="0"/>
      <w:marTop w:val="0"/>
      <w:marBottom w:val="0"/>
      <w:divBdr>
        <w:top w:val="none" w:sz="0" w:space="0" w:color="auto"/>
        <w:left w:val="none" w:sz="0" w:space="0" w:color="auto"/>
        <w:bottom w:val="none" w:sz="0" w:space="0" w:color="auto"/>
        <w:right w:val="none" w:sz="0" w:space="0" w:color="auto"/>
      </w:divBdr>
    </w:div>
    <w:div w:id="1603957958">
      <w:bodyDiv w:val="1"/>
      <w:marLeft w:val="0"/>
      <w:marRight w:val="0"/>
      <w:marTop w:val="0"/>
      <w:marBottom w:val="0"/>
      <w:divBdr>
        <w:top w:val="none" w:sz="0" w:space="0" w:color="auto"/>
        <w:left w:val="none" w:sz="0" w:space="0" w:color="auto"/>
        <w:bottom w:val="none" w:sz="0" w:space="0" w:color="auto"/>
        <w:right w:val="none" w:sz="0" w:space="0" w:color="auto"/>
      </w:divBdr>
    </w:div>
    <w:div w:id="1619533737">
      <w:bodyDiv w:val="1"/>
      <w:marLeft w:val="0"/>
      <w:marRight w:val="0"/>
      <w:marTop w:val="0"/>
      <w:marBottom w:val="0"/>
      <w:divBdr>
        <w:top w:val="none" w:sz="0" w:space="0" w:color="auto"/>
        <w:left w:val="none" w:sz="0" w:space="0" w:color="auto"/>
        <w:bottom w:val="none" w:sz="0" w:space="0" w:color="auto"/>
        <w:right w:val="none" w:sz="0" w:space="0" w:color="auto"/>
      </w:divBdr>
    </w:div>
    <w:div w:id="1635794160">
      <w:bodyDiv w:val="1"/>
      <w:marLeft w:val="0"/>
      <w:marRight w:val="0"/>
      <w:marTop w:val="0"/>
      <w:marBottom w:val="0"/>
      <w:divBdr>
        <w:top w:val="none" w:sz="0" w:space="0" w:color="auto"/>
        <w:left w:val="none" w:sz="0" w:space="0" w:color="auto"/>
        <w:bottom w:val="none" w:sz="0" w:space="0" w:color="auto"/>
        <w:right w:val="none" w:sz="0" w:space="0" w:color="auto"/>
      </w:divBdr>
    </w:div>
    <w:div w:id="1638609936">
      <w:bodyDiv w:val="1"/>
      <w:marLeft w:val="0"/>
      <w:marRight w:val="0"/>
      <w:marTop w:val="0"/>
      <w:marBottom w:val="0"/>
      <w:divBdr>
        <w:top w:val="none" w:sz="0" w:space="0" w:color="auto"/>
        <w:left w:val="none" w:sz="0" w:space="0" w:color="auto"/>
        <w:bottom w:val="none" w:sz="0" w:space="0" w:color="auto"/>
        <w:right w:val="none" w:sz="0" w:space="0" w:color="auto"/>
      </w:divBdr>
      <w:divsChild>
        <w:div w:id="1538393798">
          <w:marLeft w:val="0"/>
          <w:marRight w:val="0"/>
          <w:marTop w:val="0"/>
          <w:marBottom w:val="0"/>
          <w:divBdr>
            <w:top w:val="none" w:sz="0" w:space="0" w:color="auto"/>
            <w:left w:val="none" w:sz="0" w:space="0" w:color="auto"/>
            <w:bottom w:val="none" w:sz="0" w:space="0" w:color="auto"/>
            <w:right w:val="none" w:sz="0" w:space="0" w:color="auto"/>
          </w:divBdr>
          <w:divsChild>
            <w:div w:id="252280640">
              <w:marLeft w:val="0"/>
              <w:marRight w:val="0"/>
              <w:marTop w:val="0"/>
              <w:marBottom w:val="0"/>
              <w:divBdr>
                <w:top w:val="none" w:sz="0" w:space="0" w:color="auto"/>
                <w:left w:val="none" w:sz="0" w:space="0" w:color="auto"/>
                <w:bottom w:val="none" w:sz="0" w:space="0" w:color="auto"/>
                <w:right w:val="none" w:sz="0" w:space="0" w:color="auto"/>
              </w:divBdr>
              <w:divsChild>
                <w:div w:id="9933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3506">
      <w:bodyDiv w:val="1"/>
      <w:marLeft w:val="0"/>
      <w:marRight w:val="0"/>
      <w:marTop w:val="0"/>
      <w:marBottom w:val="0"/>
      <w:divBdr>
        <w:top w:val="none" w:sz="0" w:space="0" w:color="auto"/>
        <w:left w:val="none" w:sz="0" w:space="0" w:color="auto"/>
        <w:bottom w:val="none" w:sz="0" w:space="0" w:color="auto"/>
        <w:right w:val="none" w:sz="0" w:space="0" w:color="auto"/>
      </w:divBdr>
    </w:div>
    <w:div w:id="1662349626">
      <w:bodyDiv w:val="1"/>
      <w:marLeft w:val="0"/>
      <w:marRight w:val="0"/>
      <w:marTop w:val="0"/>
      <w:marBottom w:val="0"/>
      <w:divBdr>
        <w:top w:val="none" w:sz="0" w:space="0" w:color="auto"/>
        <w:left w:val="none" w:sz="0" w:space="0" w:color="auto"/>
        <w:bottom w:val="none" w:sz="0" w:space="0" w:color="auto"/>
        <w:right w:val="none" w:sz="0" w:space="0" w:color="auto"/>
      </w:divBdr>
    </w:div>
    <w:div w:id="1663973304">
      <w:bodyDiv w:val="1"/>
      <w:marLeft w:val="0"/>
      <w:marRight w:val="0"/>
      <w:marTop w:val="0"/>
      <w:marBottom w:val="0"/>
      <w:divBdr>
        <w:top w:val="none" w:sz="0" w:space="0" w:color="auto"/>
        <w:left w:val="none" w:sz="0" w:space="0" w:color="auto"/>
        <w:bottom w:val="none" w:sz="0" w:space="0" w:color="auto"/>
        <w:right w:val="none" w:sz="0" w:space="0" w:color="auto"/>
      </w:divBdr>
    </w:div>
    <w:div w:id="1676348256">
      <w:bodyDiv w:val="1"/>
      <w:marLeft w:val="0"/>
      <w:marRight w:val="0"/>
      <w:marTop w:val="0"/>
      <w:marBottom w:val="0"/>
      <w:divBdr>
        <w:top w:val="none" w:sz="0" w:space="0" w:color="auto"/>
        <w:left w:val="none" w:sz="0" w:space="0" w:color="auto"/>
        <w:bottom w:val="none" w:sz="0" w:space="0" w:color="auto"/>
        <w:right w:val="none" w:sz="0" w:space="0" w:color="auto"/>
      </w:divBdr>
    </w:div>
    <w:div w:id="1679231919">
      <w:bodyDiv w:val="1"/>
      <w:marLeft w:val="0"/>
      <w:marRight w:val="0"/>
      <w:marTop w:val="0"/>
      <w:marBottom w:val="0"/>
      <w:divBdr>
        <w:top w:val="none" w:sz="0" w:space="0" w:color="auto"/>
        <w:left w:val="none" w:sz="0" w:space="0" w:color="auto"/>
        <w:bottom w:val="none" w:sz="0" w:space="0" w:color="auto"/>
        <w:right w:val="none" w:sz="0" w:space="0" w:color="auto"/>
      </w:divBdr>
    </w:div>
    <w:div w:id="1691645002">
      <w:bodyDiv w:val="1"/>
      <w:marLeft w:val="0"/>
      <w:marRight w:val="0"/>
      <w:marTop w:val="0"/>
      <w:marBottom w:val="0"/>
      <w:divBdr>
        <w:top w:val="none" w:sz="0" w:space="0" w:color="auto"/>
        <w:left w:val="none" w:sz="0" w:space="0" w:color="auto"/>
        <w:bottom w:val="none" w:sz="0" w:space="0" w:color="auto"/>
        <w:right w:val="none" w:sz="0" w:space="0" w:color="auto"/>
      </w:divBdr>
    </w:div>
    <w:div w:id="1694722652">
      <w:bodyDiv w:val="1"/>
      <w:marLeft w:val="0"/>
      <w:marRight w:val="0"/>
      <w:marTop w:val="0"/>
      <w:marBottom w:val="0"/>
      <w:divBdr>
        <w:top w:val="none" w:sz="0" w:space="0" w:color="auto"/>
        <w:left w:val="none" w:sz="0" w:space="0" w:color="auto"/>
        <w:bottom w:val="none" w:sz="0" w:space="0" w:color="auto"/>
        <w:right w:val="none" w:sz="0" w:space="0" w:color="auto"/>
      </w:divBdr>
    </w:div>
    <w:div w:id="1696543918">
      <w:bodyDiv w:val="1"/>
      <w:marLeft w:val="0"/>
      <w:marRight w:val="0"/>
      <w:marTop w:val="0"/>
      <w:marBottom w:val="0"/>
      <w:divBdr>
        <w:top w:val="none" w:sz="0" w:space="0" w:color="auto"/>
        <w:left w:val="none" w:sz="0" w:space="0" w:color="auto"/>
        <w:bottom w:val="none" w:sz="0" w:space="0" w:color="auto"/>
        <w:right w:val="none" w:sz="0" w:space="0" w:color="auto"/>
      </w:divBdr>
    </w:div>
    <w:div w:id="1720476364">
      <w:bodyDiv w:val="1"/>
      <w:marLeft w:val="0"/>
      <w:marRight w:val="0"/>
      <w:marTop w:val="0"/>
      <w:marBottom w:val="0"/>
      <w:divBdr>
        <w:top w:val="none" w:sz="0" w:space="0" w:color="auto"/>
        <w:left w:val="none" w:sz="0" w:space="0" w:color="auto"/>
        <w:bottom w:val="none" w:sz="0" w:space="0" w:color="auto"/>
        <w:right w:val="none" w:sz="0" w:space="0" w:color="auto"/>
      </w:divBdr>
    </w:div>
    <w:div w:id="1720787319">
      <w:bodyDiv w:val="1"/>
      <w:marLeft w:val="0"/>
      <w:marRight w:val="0"/>
      <w:marTop w:val="0"/>
      <w:marBottom w:val="0"/>
      <w:divBdr>
        <w:top w:val="none" w:sz="0" w:space="0" w:color="auto"/>
        <w:left w:val="none" w:sz="0" w:space="0" w:color="auto"/>
        <w:bottom w:val="none" w:sz="0" w:space="0" w:color="auto"/>
        <w:right w:val="none" w:sz="0" w:space="0" w:color="auto"/>
      </w:divBdr>
    </w:div>
    <w:div w:id="1731028154">
      <w:bodyDiv w:val="1"/>
      <w:marLeft w:val="0"/>
      <w:marRight w:val="0"/>
      <w:marTop w:val="0"/>
      <w:marBottom w:val="0"/>
      <w:divBdr>
        <w:top w:val="none" w:sz="0" w:space="0" w:color="auto"/>
        <w:left w:val="none" w:sz="0" w:space="0" w:color="auto"/>
        <w:bottom w:val="none" w:sz="0" w:space="0" w:color="auto"/>
        <w:right w:val="none" w:sz="0" w:space="0" w:color="auto"/>
      </w:divBdr>
    </w:div>
    <w:div w:id="1737168569">
      <w:bodyDiv w:val="1"/>
      <w:marLeft w:val="0"/>
      <w:marRight w:val="0"/>
      <w:marTop w:val="0"/>
      <w:marBottom w:val="0"/>
      <w:divBdr>
        <w:top w:val="none" w:sz="0" w:space="0" w:color="auto"/>
        <w:left w:val="none" w:sz="0" w:space="0" w:color="auto"/>
        <w:bottom w:val="none" w:sz="0" w:space="0" w:color="auto"/>
        <w:right w:val="none" w:sz="0" w:space="0" w:color="auto"/>
      </w:divBdr>
    </w:div>
    <w:div w:id="1744838834">
      <w:bodyDiv w:val="1"/>
      <w:marLeft w:val="0"/>
      <w:marRight w:val="0"/>
      <w:marTop w:val="0"/>
      <w:marBottom w:val="0"/>
      <w:divBdr>
        <w:top w:val="none" w:sz="0" w:space="0" w:color="auto"/>
        <w:left w:val="none" w:sz="0" w:space="0" w:color="auto"/>
        <w:bottom w:val="none" w:sz="0" w:space="0" w:color="auto"/>
        <w:right w:val="none" w:sz="0" w:space="0" w:color="auto"/>
      </w:divBdr>
    </w:div>
    <w:div w:id="1753352661">
      <w:bodyDiv w:val="1"/>
      <w:marLeft w:val="0"/>
      <w:marRight w:val="0"/>
      <w:marTop w:val="0"/>
      <w:marBottom w:val="0"/>
      <w:divBdr>
        <w:top w:val="none" w:sz="0" w:space="0" w:color="auto"/>
        <w:left w:val="none" w:sz="0" w:space="0" w:color="auto"/>
        <w:bottom w:val="none" w:sz="0" w:space="0" w:color="auto"/>
        <w:right w:val="none" w:sz="0" w:space="0" w:color="auto"/>
      </w:divBdr>
    </w:div>
    <w:div w:id="1758863275">
      <w:bodyDiv w:val="1"/>
      <w:marLeft w:val="0"/>
      <w:marRight w:val="0"/>
      <w:marTop w:val="0"/>
      <w:marBottom w:val="0"/>
      <w:divBdr>
        <w:top w:val="none" w:sz="0" w:space="0" w:color="auto"/>
        <w:left w:val="none" w:sz="0" w:space="0" w:color="auto"/>
        <w:bottom w:val="none" w:sz="0" w:space="0" w:color="auto"/>
        <w:right w:val="none" w:sz="0" w:space="0" w:color="auto"/>
      </w:divBdr>
    </w:div>
    <w:div w:id="1765177239">
      <w:bodyDiv w:val="1"/>
      <w:marLeft w:val="0"/>
      <w:marRight w:val="0"/>
      <w:marTop w:val="0"/>
      <w:marBottom w:val="0"/>
      <w:divBdr>
        <w:top w:val="none" w:sz="0" w:space="0" w:color="auto"/>
        <w:left w:val="none" w:sz="0" w:space="0" w:color="auto"/>
        <w:bottom w:val="none" w:sz="0" w:space="0" w:color="auto"/>
        <w:right w:val="none" w:sz="0" w:space="0" w:color="auto"/>
      </w:divBdr>
    </w:div>
    <w:div w:id="1767458032">
      <w:bodyDiv w:val="1"/>
      <w:marLeft w:val="0"/>
      <w:marRight w:val="0"/>
      <w:marTop w:val="0"/>
      <w:marBottom w:val="0"/>
      <w:divBdr>
        <w:top w:val="none" w:sz="0" w:space="0" w:color="auto"/>
        <w:left w:val="none" w:sz="0" w:space="0" w:color="auto"/>
        <w:bottom w:val="none" w:sz="0" w:space="0" w:color="auto"/>
        <w:right w:val="none" w:sz="0" w:space="0" w:color="auto"/>
      </w:divBdr>
    </w:div>
    <w:div w:id="1774937712">
      <w:bodyDiv w:val="1"/>
      <w:marLeft w:val="0"/>
      <w:marRight w:val="0"/>
      <w:marTop w:val="0"/>
      <w:marBottom w:val="0"/>
      <w:divBdr>
        <w:top w:val="none" w:sz="0" w:space="0" w:color="auto"/>
        <w:left w:val="none" w:sz="0" w:space="0" w:color="auto"/>
        <w:bottom w:val="none" w:sz="0" w:space="0" w:color="auto"/>
        <w:right w:val="none" w:sz="0" w:space="0" w:color="auto"/>
      </w:divBdr>
    </w:div>
    <w:div w:id="1791046821">
      <w:bodyDiv w:val="1"/>
      <w:marLeft w:val="0"/>
      <w:marRight w:val="0"/>
      <w:marTop w:val="0"/>
      <w:marBottom w:val="0"/>
      <w:divBdr>
        <w:top w:val="none" w:sz="0" w:space="0" w:color="auto"/>
        <w:left w:val="none" w:sz="0" w:space="0" w:color="auto"/>
        <w:bottom w:val="none" w:sz="0" w:space="0" w:color="auto"/>
        <w:right w:val="none" w:sz="0" w:space="0" w:color="auto"/>
      </w:divBdr>
    </w:div>
    <w:div w:id="1791319614">
      <w:bodyDiv w:val="1"/>
      <w:marLeft w:val="0"/>
      <w:marRight w:val="0"/>
      <w:marTop w:val="0"/>
      <w:marBottom w:val="0"/>
      <w:divBdr>
        <w:top w:val="none" w:sz="0" w:space="0" w:color="auto"/>
        <w:left w:val="none" w:sz="0" w:space="0" w:color="auto"/>
        <w:bottom w:val="none" w:sz="0" w:space="0" w:color="auto"/>
        <w:right w:val="none" w:sz="0" w:space="0" w:color="auto"/>
      </w:divBdr>
    </w:div>
    <w:div w:id="1804156872">
      <w:bodyDiv w:val="1"/>
      <w:marLeft w:val="0"/>
      <w:marRight w:val="0"/>
      <w:marTop w:val="0"/>
      <w:marBottom w:val="0"/>
      <w:divBdr>
        <w:top w:val="none" w:sz="0" w:space="0" w:color="auto"/>
        <w:left w:val="none" w:sz="0" w:space="0" w:color="auto"/>
        <w:bottom w:val="none" w:sz="0" w:space="0" w:color="auto"/>
        <w:right w:val="none" w:sz="0" w:space="0" w:color="auto"/>
      </w:divBdr>
    </w:div>
    <w:div w:id="1804226821">
      <w:bodyDiv w:val="1"/>
      <w:marLeft w:val="0"/>
      <w:marRight w:val="0"/>
      <w:marTop w:val="0"/>
      <w:marBottom w:val="0"/>
      <w:divBdr>
        <w:top w:val="none" w:sz="0" w:space="0" w:color="auto"/>
        <w:left w:val="none" w:sz="0" w:space="0" w:color="auto"/>
        <w:bottom w:val="none" w:sz="0" w:space="0" w:color="auto"/>
        <w:right w:val="none" w:sz="0" w:space="0" w:color="auto"/>
      </w:divBdr>
    </w:div>
    <w:div w:id="1807694308">
      <w:bodyDiv w:val="1"/>
      <w:marLeft w:val="0"/>
      <w:marRight w:val="0"/>
      <w:marTop w:val="0"/>
      <w:marBottom w:val="0"/>
      <w:divBdr>
        <w:top w:val="none" w:sz="0" w:space="0" w:color="auto"/>
        <w:left w:val="none" w:sz="0" w:space="0" w:color="auto"/>
        <w:bottom w:val="none" w:sz="0" w:space="0" w:color="auto"/>
        <w:right w:val="none" w:sz="0" w:space="0" w:color="auto"/>
      </w:divBdr>
    </w:div>
    <w:div w:id="1814831270">
      <w:bodyDiv w:val="1"/>
      <w:marLeft w:val="0"/>
      <w:marRight w:val="0"/>
      <w:marTop w:val="0"/>
      <w:marBottom w:val="0"/>
      <w:divBdr>
        <w:top w:val="none" w:sz="0" w:space="0" w:color="auto"/>
        <w:left w:val="none" w:sz="0" w:space="0" w:color="auto"/>
        <w:bottom w:val="none" w:sz="0" w:space="0" w:color="auto"/>
        <w:right w:val="none" w:sz="0" w:space="0" w:color="auto"/>
      </w:divBdr>
    </w:div>
    <w:div w:id="1831410504">
      <w:bodyDiv w:val="1"/>
      <w:marLeft w:val="0"/>
      <w:marRight w:val="0"/>
      <w:marTop w:val="0"/>
      <w:marBottom w:val="0"/>
      <w:divBdr>
        <w:top w:val="none" w:sz="0" w:space="0" w:color="auto"/>
        <w:left w:val="none" w:sz="0" w:space="0" w:color="auto"/>
        <w:bottom w:val="none" w:sz="0" w:space="0" w:color="auto"/>
        <w:right w:val="none" w:sz="0" w:space="0" w:color="auto"/>
      </w:divBdr>
    </w:div>
    <w:div w:id="1878422619">
      <w:bodyDiv w:val="1"/>
      <w:marLeft w:val="0"/>
      <w:marRight w:val="0"/>
      <w:marTop w:val="0"/>
      <w:marBottom w:val="0"/>
      <w:divBdr>
        <w:top w:val="none" w:sz="0" w:space="0" w:color="auto"/>
        <w:left w:val="none" w:sz="0" w:space="0" w:color="auto"/>
        <w:bottom w:val="none" w:sz="0" w:space="0" w:color="auto"/>
        <w:right w:val="none" w:sz="0" w:space="0" w:color="auto"/>
      </w:divBdr>
    </w:div>
    <w:div w:id="1886407685">
      <w:bodyDiv w:val="1"/>
      <w:marLeft w:val="0"/>
      <w:marRight w:val="0"/>
      <w:marTop w:val="0"/>
      <w:marBottom w:val="0"/>
      <w:divBdr>
        <w:top w:val="none" w:sz="0" w:space="0" w:color="auto"/>
        <w:left w:val="none" w:sz="0" w:space="0" w:color="auto"/>
        <w:bottom w:val="none" w:sz="0" w:space="0" w:color="auto"/>
        <w:right w:val="none" w:sz="0" w:space="0" w:color="auto"/>
      </w:divBdr>
    </w:div>
    <w:div w:id="1893810860">
      <w:bodyDiv w:val="1"/>
      <w:marLeft w:val="0"/>
      <w:marRight w:val="0"/>
      <w:marTop w:val="0"/>
      <w:marBottom w:val="0"/>
      <w:divBdr>
        <w:top w:val="none" w:sz="0" w:space="0" w:color="auto"/>
        <w:left w:val="none" w:sz="0" w:space="0" w:color="auto"/>
        <w:bottom w:val="none" w:sz="0" w:space="0" w:color="auto"/>
        <w:right w:val="none" w:sz="0" w:space="0" w:color="auto"/>
      </w:divBdr>
    </w:div>
    <w:div w:id="1898086308">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12079738">
      <w:bodyDiv w:val="1"/>
      <w:marLeft w:val="0"/>
      <w:marRight w:val="0"/>
      <w:marTop w:val="0"/>
      <w:marBottom w:val="0"/>
      <w:divBdr>
        <w:top w:val="none" w:sz="0" w:space="0" w:color="auto"/>
        <w:left w:val="none" w:sz="0" w:space="0" w:color="auto"/>
        <w:bottom w:val="none" w:sz="0" w:space="0" w:color="auto"/>
        <w:right w:val="none" w:sz="0" w:space="0" w:color="auto"/>
      </w:divBdr>
    </w:div>
    <w:div w:id="1917201079">
      <w:bodyDiv w:val="1"/>
      <w:marLeft w:val="0"/>
      <w:marRight w:val="0"/>
      <w:marTop w:val="0"/>
      <w:marBottom w:val="0"/>
      <w:divBdr>
        <w:top w:val="none" w:sz="0" w:space="0" w:color="auto"/>
        <w:left w:val="none" w:sz="0" w:space="0" w:color="auto"/>
        <w:bottom w:val="none" w:sz="0" w:space="0" w:color="auto"/>
        <w:right w:val="none" w:sz="0" w:space="0" w:color="auto"/>
      </w:divBdr>
    </w:div>
    <w:div w:id="1921404832">
      <w:bodyDiv w:val="1"/>
      <w:marLeft w:val="0"/>
      <w:marRight w:val="0"/>
      <w:marTop w:val="0"/>
      <w:marBottom w:val="0"/>
      <w:divBdr>
        <w:top w:val="none" w:sz="0" w:space="0" w:color="auto"/>
        <w:left w:val="none" w:sz="0" w:space="0" w:color="auto"/>
        <w:bottom w:val="none" w:sz="0" w:space="0" w:color="auto"/>
        <w:right w:val="none" w:sz="0" w:space="0" w:color="auto"/>
      </w:divBdr>
    </w:div>
    <w:div w:id="1926842306">
      <w:bodyDiv w:val="1"/>
      <w:marLeft w:val="0"/>
      <w:marRight w:val="0"/>
      <w:marTop w:val="0"/>
      <w:marBottom w:val="0"/>
      <w:divBdr>
        <w:top w:val="none" w:sz="0" w:space="0" w:color="auto"/>
        <w:left w:val="none" w:sz="0" w:space="0" w:color="auto"/>
        <w:bottom w:val="none" w:sz="0" w:space="0" w:color="auto"/>
        <w:right w:val="none" w:sz="0" w:space="0" w:color="auto"/>
      </w:divBdr>
    </w:div>
    <w:div w:id="1928072047">
      <w:bodyDiv w:val="1"/>
      <w:marLeft w:val="0"/>
      <w:marRight w:val="0"/>
      <w:marTop w:val="0"/>
      <w:marBottom w:val="0"/>
      <w:divBdr>
        <w:top w:val="none" w:sz="0" w:space="0" w:color="auto"/>
        <w:left w:val="none" w:sz="0" w:space="0" w:color="auto"/>
        <w:bottom w:val="none" w:sz="0" w:space="0" w:color="auto"/>
        <w:right w:val="none" w:sz="0" w:space="0" w:color="auto"/>
      </w:divBdr>
    </w:div>
    <w:div w:id="1929078104">
      <w:bodyDiv w:val="1"/>
      <w:marLeft w:val="0"/>
      <w:marRight w:val="0"/>
      <w:marTop w:val="0"/>
      <w:marBottom w:val="0"/>
      <w:divBdr>
        <w:top w:val="none" w:sz="0" w:space="0" w:color="auto"/>
        <w:left w:val="none" w:sz="0" w:space="0" w:color="auto"/>
        <w:bottom w:val="none" w:sz="0" w:space="0" w:color="auto"/>
        <w:right w:val="none" w:sz="0" w:space="0" w:color="auto"/>
      </w:divBdr>
    </w:div>
    <w:div w:id="1929801550">
      <w:bodyDiv w:val="1"/>
      <w:marLeft w:val="0"/>
      <w:marRight w:val="0"/>
      <w:marTop w:val="0"/>
      <w:marBottom w:val="0"/>
      <w:divBdr>
        <w:top w:val="none" w:sz="0" w:space="0" w:color="auto"/>
        <w:left w:val="none" w:sz="0" w:space="0" w:color="auto"/>
        <w:bottom w:val="none" w:sz="0" w:space="0" w:color="auto"/>
        <w:right w:val="none" w:sz="0" w:space="0" w:color="auto"/>
      </w:divBdr>
    </w:div>
    <w:div w:id="1930653967">
      <w:bodyDiv w:val="1"/>
      <w:marLeft w:val="0"/>
      <w:marRight w:val="0"/>
      <w:marTop w:val="0"/>
      <w:marBottom w:val="0"/>
      <w:divBdr>
        <w:top w:val="none" w:sz="0" w:space="0" w:color="auto"/>
        <w:left w:val="none" w:sz="0" w:space="0" w:color="auto"/>
        <w:bottom w:val="none" w:sz="0" w:space="0" w:color="auto"/>
        <w:right w:val="none" w:sz="0" w:space="0" w:color="auto"/>
      </w:divBdr>
    </w:div>
    <w:div w:id="1932078129">
      <w:bodyDiv w:val="1"/>
      <w:marLeft w:val="0"/>
      <w:marRight w:val="0"/>
      <w:marTop w:val="0"/>
      <w:marBottom w:val="0"/>
      <w:divBdr>
        <w:top w:val="none" w:sz="0" w:space="0" w:color="auto"/>
        <w:left w:val="none" w:sz="0" w:space="0" w:color="auto"/>
        <w:bottom w:val="none" w:sz="0" w:space="0" w:color="auto"/>
        <w:right w:val="none" w:sz="0" w:space="0" w:color="auto"/>
      </w:divBdr>
    </w:div>
    <w:div w:id="1934391738">
      <w:bodyDiv w:val="1"/>
      <w:marLeft w:val="0"/>
      <w:marRight w:val="0"/>
      <w:marTop w:val="0"/>
      <w:marBottom w:val="0"/>
      <w:divBdr>
        <w:top w:val="none" w:sz="0" w:space="0" w:color="auto"/>
        <w:left w:val="none" w:sz="0" w:space="0" w:color="auto"/>
        <w:bottom w:val="none" w:sz="0" w:space="0" w:color="auto"/>
        <w:right w:val="none" w:sz="0" w:space="0" w:color="auto"/>
      </w:divBdr>
    </w:div>
    <w:div w:id="1935936080">
      <w:bodyDiv w:val="1"/>
      <w:marLeft w:val="0"/>
      <w:marRight w:val="0"/>
      <w:marTop w:val="0"/>
      <w:marBottom w:val="0"/>
      <w:divBdr>
        <w:top w:val="none" w:sz="0" w:space="0" w:color="auto"/>
        <w:left w:val="none" w:sz="0" w:space="0" w:color="auto"/>
        <w:bottom w:val="none" w:sz="0" w:space="0" w:color="auto"/>
        <w:right w:val="none" w:sz="0" w:space="0" w:color="auto"/>
      </w:divBdr>
    </w:div>
    <w:div w:id="1942175741">
      <w:bodyDiv w:val="1"/>
      <w:marLeft w:val="0"/>
      <w:marRight w:val="0"/>
      <w:marTop w:val="0"/>
      <w:marBottom w:val="0"/>
      <w:divBdr>
        <w:top w:val="none" w:sz="0" w:space="0" w:color="auto"/>
        <w:left w:val="none" w:sz="0" w:space="0" w:color="auto"/>
        <w:bottom w:val="none" w:sz="0" w:space="0" w:color="auto"/>
        <w:right w:val="none" w:sz="0" w:space="0" w:color="auto"/>
      </w:divBdr>
    </w:div>
    <w:div w:id="1945337498">
      <w:bodyDiv w:val="1"/>
      <w:marLeft w:val="0"/>
      <w:marRight w:val="0"/>
      <w:marTop w:val="0"/>
      <w:marBottom w:val="0"/>
      <w:divBdr>
        <w:top w:val="none" w:sz="0" w:space="0" w:color="auto"/>
        <w:left w:val="none" w:sz="0" w:space="0" w:color="auto"/>
        <w:bottom w:val="none" w:sz="0" w:space="0" w:color="auto"/>
        <w:right w:val="none" w:sz="0" w:space="0" w:color="auto"/>
      </w:divBdr>
    </w:div>
    <w:div w:id="1963343282">
      <w:bodyDiv w:val="1"/>
      <w:marLeft w:val="0"/>
      <w:marRight w:val="0"/>
      <w:marTop w:val="0"/>
      <w:marBottom w:val="0"/>
      <w:divBdr>
        <w:top w:val="none" w:sz="0" w:space="0" w:color="auto"/>
        <w:left w:val="none" w:sz="0" w:space="0" w:color="auto"/>
        <w:bottom w:val="none" w:sz="0" w:space="0" w:color="auto"/>
        <w:right w:val="none" w:sz="0" w:space="0" w:color="auto"/>
      </w:divBdr>
    </w:div>
    <w:div w:id="1966036736">
      <w:bodyDiv w:val="1"/>
      <w:marLeft w:val="0"/>
      <w:marRight w:val="0"/>
      <w:marTop w:val="0"/>
      <w:marBottom w:val="0"/>
      <w:divBdr>
        <w:top w:val="none" w:sz="0" w:space="0" w:color="auto"/>
        <w:left w:val="none" w:sz="0" w:space="0" w:color="auto"/>
        <w:bottom w:val="none" w:sz="0" w:space="0" w:color="auto"/>
        <w:right w:val="none" w:sz="0" w:space="0" w:color="auto"/>
      </w:divBdr>
    </w:div>
    <w:div w:id="1966039311">
      <w:bodyDiv w:val="1"/>
      <w:marLeft w:val="0"/>
      <w:marRight w:val="0"/>
      <w:marTop w:val="0"/>
      <w:marBottom w:val="0"/>
      <w:divBdr>
        <w:top w:val="none" w:sz="0" w:space="0" w:color="auto"/>
        <w:left w:val="none" w:sz="0" w:space="0" w:color="auto"/>
        <w:bottom w:val="none" w:sz="0" w:space="0" w:color="auto"/>
        <w:right w:val="none" w:sz="0" w:space="0" w:color="auto"/>
      </w:divBdr>
      <w:divsChild>
        <w:div w:id="1831291719">
          <w:marLeft w:val="0"/>
          <w:marRight w:val="0"/>
          <w:marTop w:val="0"/>
          <w:marBottom w:val="0"/>
          <w:divBdr>
            <w:top w:val="none" w:sz="0" w:space="0" w:color="auto"/>
            <w:left w:val="none" w:sz="0" w:space="0" w:color="auto"/>
            <w:bottom w:val="none" w:sz="0" w:space="0" w:color="auto"/>
            <w:right w:val="none" w:sz="0" w:space="0" w:color="auto"/>
          </w:divBdr>
          <w:divsChild>
            <w:div w:id="1060598958">
              <w:marLeft w:val="0"/>
              <w:marRight w:val="0"/>
              <w:marTop w:val="0"/>
              <w:marBottom w:val="0"/>
              <w:divBdr>
                <w:top w:val="none" w:sz="0" w:space="0" w:color="auto"/>
                <w:left w:val="none" w:sz="0" w:space="0" w:color="auto"/>
                <w:bottom w:val="none" w:sz="0" w:space="0" w:color="auto"/>
                <w:right w:val="none" w:sz="0" w:space="0" w:color="auto"/>
              </w:divBdr>
              <w:divsChild>
                <w:div w:id="2111391811">
                  <w:marLeft w:val="0"/>
                  <w:marRight w:val="0"/>
                  <w:marTop w:val="0"/>
                  <w:marBottom w:val="0"/>
                  <w:divBdr>
                    <w:top w:val="none" w:sz="0" w:space="0" w:color="auto"/>
                    <w:left w:val="none" w:sz="0" w:space="0" w:color="auto"/>
                    <w:bottom w:val="none" w:sz="0" w:space="0" w:color="auto"/>
                    <w:right w:val="none" w:sz="0" w:space="0" w:color="auto"/>
                  </w:divBdr>
                  <w:divsChild>
                    <w:div w:id="9571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73139">
      <w:bodyDiv w:val="1"/>
      <w:marLeft w:val="0"/>
      <w:marRight w:val="0"/>
      <w:marTop w:val="0"/>
      <w:marBottom w:val="0"/>
      <w:divBdr>
        <w:top w:val="none" w:sz="0" w:space="0" w:color="auto"/>
        <w:left w:val="none" w:sz="0" w:space="0" w:color="auto"/>
        <w:bottom w:val="none" w:sz="0" w:space="0" w:color="auto"/>
        <w:right w:val="none" w:sz="0" w:space="0" w:color="auto"/>
      </w:divBdr>
    </w:div>
    <w:div w:id="1997221321">
      <w:bodyDiv w:val="1"/>
      <w:marLeft w:val="0"/>
      <w:marRight w:val="0"/>
      <w:marTop w:val="0"/>
      <w:marBottom w:val="0"/>
      <w:divBdr>
        <w:top w:val="none" w:sz="0" w:space="0" w:color="auto"/>
        <w:left w:val="none" w:sz="0" w:space="0" w:color="auto"/>
        <w:bottom w:val="none" w:sz="0" w:space="0" w:color="auto"/>
        <w:right w:val="none" w:sz="0" w:space="0" w:color="auto"/>
      </w:divBdr>
    </w:div>
    <w:div w:id="2008439516">
      <w:bodyDiv w:val="1"/>
      <w:marLeft w:val="0"/>
      <w:marRight w:val="0"/>
      <w:marTop w:val="0"/>
      <w:marBottom w:val="0"/>
      <w:divBdr>
        <w:top w:val="none" w:sz="0" w:space="0" w:color="auto"/>
        <w:left w:val="none" w:sz="0" w:space="0" w:color="auto"/>
        <w:bottom w:val="none" w:sz="0" w:space="0" w:color="auto"/>
        <w:right w:val="none" w:sz="0" w:space="0" w:color="auto"/>
      </w:divBdr>
    </w:div>
    <w:div w:id="2030328868">
      <w:bodyDiv w:val="1"/>
      <w:marLeft w:val="0"/>
      <w:marRight w:val="0"/>
      <w:marTop w:val="0"/>
      <w:marBottom w:val="0"/>
      <w:divBdr>
        <w:top w:val="none" w:sz="0" w:space="0" w:color="auto"/>
        <w:left w:val="none" w:sz="0" w:space="0" w:color="auto"/>
        <w:bottom w:val="none" w:sz="0" w:space="0" w:color="auto"/>
        <w:right w:val="none" w:sz="0" w:space="0" w:color="auto"/>
      </w:divBdr>
    </w:div>
    <w:div w:id="2056537582">
      <w:bodyDiv w:val="1"/>
      <w:marLeft w:val="0"/>
      <w:marRight w:val="0"/>
      <w:marTop w:val="0"/>
      <w:marBottom w:val="0"/>
      <w:divBdr>
        <w:top w:val="none" w:sz="0" w:space="0" w:color="auto"/>
        <w:left w:val="none" w:sz="0" w:space="0" w:color="auto"/>
        <w:bottom w:val="none" w:sz="0" w:space="0" w:color="auto"/>
        <w:right w:val="none" w:sz="0" w:space="0" w:color="auto"/>
      </w:divBdr>
    </w:div>
    <w:div w:id="2066365010">
      <w:bodyDiv w:val="1"/>
      <w:marLeft w:val="0"/>
      <w:marRight w:val="0"/>
      <w:marTop w:val="0"/>
      <w:marBottom w:val="0"/>
      <w:divBdr>
        <w:top w:val="none" w:sz="0" w:space="0" w:color="auto"/>
        <w:left w:val="none" w:sz="0" w:space="0" w:color="auto"/>
        <w:bottom w:val="none" w:sz="0" w:space="0" w:color="auto"/>
        <w:right w:val="none" w:sz="0" w:space="0" w:color="auto"/>
      </w:divBdr>
    </w:div>
    <w:div w:id="2073696993">
      <w:bodyDiv w:val="1"/>
      <w:marLeft w:val="0"/>
      <w:marRight w:val="0"/>
      <w:marTop w:val="0"/>
      <w:marBottom w:val="0"/>
      <w:divBdr>
        <w:top w:val="none" w:sz="0" w:space="0" w:color="auto"/>
        <w:left w:val="none" w:sz="0" w:space="0" w:color="auto"/>
        <w:bottom w:val="none" w:sz="0" w:space="0" w:color="auto"/>
        <w:right w:val="none" w:sz="0" w:space="0" w:color="auto"/>
      </w:divBdr>
    </w:div>
    <w:div w:id="2088649572">
      <w:bodyDiv w:val="1"/>
      <w:marLeft w:val="0"/>
      <w:marRight w:val="0"/>
      <w:marTop w:val="0"/>
      <w:marBottom w:val="0"/>
      <w:divBdr>
        <w:top w:val="none" w:sz="0" w:space="0" w:color="auto"/>
        <w:left w:val="none" w:sz="0" w:space="0" w:color="auto"/>
        <w:bottom w:val="none" w:sz="0" w:space="0" w:color="auto"/>
        <w:right w:val="none" w:sz="0" w:space="0" w:color="auto"/>
      </w:divBdr>
    </w:div>
    <w:div w:id="2089423752">
      <w:bodyDiv w:val="1"/>
      <w:marLeft w:val="0"/>
      <w:marRight w:val="0"/>
      <w:marTop w:val="0"/>
      <w:marBottom w:val="0"/>
      <w:divBdr>
        <w:top w:val="none" w:sz="0" w:space="0" w:color="auto"/>
        <w:left w:val="none" w:sz="0" w:space="0" w:color="auto"/>
        <w:bottom w:val="none" w:sz="0" w:space="0" w:color="auto"/>
        <w:right w:val="none" w:sz="0" w:space="0" w:color="auto"/>
      </w:divBdr>
    </w:div>
    <w:div w:id="2090810982">
      <w:bodyDiv w:val="1"/>
      <w:marLeft w:val="0"/>
      <w:marRight w:val="0"/>
      <w:marTop w:val="0"/>
      <w:marBottom w:val="0"/>
      <w:divBdr>
        <w:top w:val="none" w:sz="0" w:space="0" w:color="auto"/>
        <w:left w:val="none" w:sz="0" w:space="0" w:color="auto"/>
        <w:bottom w:val="none" w:sz="0" w:space="0" w:color="auto"/>
        <w:right w:val="none" w:sz="0" w:space="0" w:color="auto"/>
      </w:divBdr>
    </w:div>
    <w:div w:id="2096366263">
      <w:bodyDiv w:val="1"/>
      <w:marLeft w:val="0"/>
      <w:marRight w:val="0"/>
      <w:marTop w:val="0"/>
      <w:marBottom w:val="0"/>
      <w:divBdr>
        <w:top w:val="none" w:sz="0" w:space="0" w:color="auto"/>
        <w:left w:val="none" w:sz="0" w:space="0" w:color="auto"/>
        <w:bottom w:val="none" w:sz="0" w:space="0" w:color="auto"/>
        <w:right w:val="none" w:sz="0" w:space="0" w:color="auto"/>
      </w:divBdr>
    </w:div>
    <w:div w:id="2098940549">
      <w:bodyDiv w:val="1"/>
      <w:marLeft w:val="0"/>
      <w:marRight w:val="0"/>
      <w:marTop w:val="0"/>
      <w:marBottom w:val="0"/>
      <w:divBdr>
        <w:top w:val="none" w:sz="0" w:space="0" w:color="auto"/>
        <w:left w:val="none" w:sz="0" w:space="0" w:color="auto"/>
        <w:bottom w:val="none" w:sz="0" w:space="0" w:color="auto"/>
        <w:right w:val="none" w:sz="0" w:space="0" w:color="auto"/>
      </w:divBdr>
    </w:div>
    <w:div w:id="2128573124">
      <w:bodyDiv w:val="1"/>
      <w:marLeft w:val="0"/>
      <w:marRight w:val="0"/>
      <w:marTop w:val="0"/>
      <w:marBottom w:val="0"/>
      <w:divBdr>
        <w:top w:val="none" w:sz="0" w:space="0" w:color="auto"/>
        <w:left w:val="none" w:sz="0" w:space="0" w:color="auto"/>
        <w:bottom w:val="none" w:sz="0" w:space="0" w:color="auto"/>
        <w:right w:val="none" w:sz="0" w:space="0" w:color="auto"/>
      </w:divBdr>
    </w:div>
    <w:div w:id="2134252805">
      <w:bodyDiv w:val="1"/>
      <w:marLeft w:val="0"/>
      <w:marRight w:val="0"/>
      <w:marTop w:val="0"/>
      <w:marBottom w:val="0"/>
      <w:divBdr>
        <w:top w:val="none" w:sz="0" w:space="0" w:color="auto"/>
        <w:left w:val="none" w:sz="0" w:space="0" w:color="auto"/>
        <w:bottom w:val="none" w:sz="0" w:space="0" w:color="auto"/>
        <w:right w:val="none" w:sz="0" w:space="0" w:color="auto"/>
      </w:divBdr>
    </w:div>
    <w:div w:id="214126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spaciopublico/status/13983795418908876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patilla.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rsf.org/es/noticias/rsf-pide-la-liberacion-del-periodista-roland-carreno-encarcelado-arbitrariamente-desde-hace-un-ano" TargetMode="External"/><Relationship Id="rId299" Type="http://schemas.openxmlformats.org/officeDocument/2006/relationships/hyperlink" Target="https://www.dw.com/es/venezuela-y-la-falta-de-agua-los-camiones-cisterna-son-una-estrategia-de-propaganda-muy-cruel/a-53571000" TargetMode="External"/><Relationship Id="rId21" Type="http://schemas.openxmlformats.org/officeDocument/2006/relationships/hyperlink" Target="http://www.oas.org/es/cidh/informes/pdfs/Venezuela2018-es.pdf" TargetMode="External"/><Relationship Id="rId63" Type="http://schemas.openxmlformats.org/officeDocument/2006/relationships/hyperlink" Target="https://espaciopublico.ong/amenazan-a-periodista-por-denunciar-las-precarias-condiciones-de-un-centro-de-salud-en-barinas/" TargetMode="External"/><Relationship Id="rId159" Type="http://schemas.openxmlformats.org/officeDocument/2006/relationships/hyperlink" Target="https://twitter.com/cnpven/status/1386345809319452681" TargetMode="External"/><Relationship Id="rId324" Type="http://schemas.openxmlformats.org/officeDocument/2006/relationships/hyperlink" Target="https://www.corteidh.or.cr/docs/casos/articulos/seriec_205_esp.pdf" TargetMode="External"/><Relationship Id="rId366" Type="http://schemas.openxmlformats.org/officeDocument/2006/relationships/hyperlink" Target="http://www.asambleanacional.gob.ve/leyes/sancionadas/ley-organica-para-la-atencion-y-desarrollo-integral-de-las-personas-adultas-mayores" TargetMode="External"/><Relationship Id="rId170" Type="http://schemas.openxmlformats.org/officeDocument/2006/relationships/hyperlink" Target="https://talcualdigital.com/pautan-este-13oct-por-quinta-vez-audiencia-preliminar-para-activistas-de-fundaredes/" TargetMode="External"/><Relationship Id="rId226" Type="http://schemas.openxmlformats.org/officeDocument/2006/relationships/hyperlink" Target="https://twitter.com/vesinfiltro/status/1440743438715002880" TargetMode="External"/><Relationship Id="rId268" Type="http://schemas.openxmlformats.org/officeDocument/2006/relationships/hyperlink" Target="https://elpais.com/internacional/2021-09-07/gobierno-y-oposicion-logran-un-acuerdo-para-facilitar-el-acceso-a-las-vacunas-a-venezuela.html" TargetMode="External"/><Relationship Id="rId32" Type="http://schemas.openxmlformats.org/officeDocument/2006/relationships/hyperlink" Target="http://www.oas.org/es/cidh/informes/pdfs/Venezuela2018-es.pdf" TargetMode="External"/><Relationship Id="rId74" Type="http://schemas.openxmlformats.org/officeDocument/2006/relationships/hyperlink" Target="https://ipysvenezuela.org/alerta/alerta-ipysve-al-menos-seis-reporteros-han-sido-limitados-a-cubrir-operativos-de-vacunacion-en-lo-que-va-de-junio/" TargetMode="External"/><Relationship Id="rId128" Type="http://schemas.openxmlformats.org/officeDocument/2006/relationships/hyperlink" Target="https://ipysvenezuela.org/alerta/alerta-ipysve-conatel-cierra-emisora-comunitaria-aragua-magica-88-1-fm/" TargetMode="External"/><Relationship Id="rId335" Type="http://schemas.openxmlformats.org/officeDocument/2006/relationships/hyperlink" Target="https://cronica.uno/escaso-acceso-a-metodos-anticonceptivos-en-venezuela-vulnera-los-derechos-sexuales/" TargetMode="External"/><Relationship Id="rId5" Type="http://schemas.openxmlformats.org/officeDocument/2006/relationships/hyperlink" Target="http://www.oas.org/es/cidh/informes/pdfs/Venezuela2018-es.pdf" TargetMode="External"/><Relationship Id="rId181" Type="http://schemas.openxmlformats.org/officeDocument/2006/relationships/hyperlink" Target="https://www.efe.com/efe/america/politica/el-sindicalismo-otro-foco-de-detenciones-y-agresiones-en-venezuela/20000035-4592920" TargetMode="External"/><Relationship Id="rId237" Type="http://schemas.openxmlformats.org/officeDocument/2006/relationships/hyperlink" Target="file:///C:/Users/pvaca/Downloads/Diosdado%20Cabello%20amenaz&#243;%20al%20portal%20web%20La%20Patilla.%20(espaciopublico.ong)" TargetMode="External"/><Relationship Id="rId279" Type="http://schemas.openxmlformats.org/officeDocument/2006/relationships/hyperlink" Target="https://www.elnacional.com/venezuela/regiones/por-no-tener-carnet-de-la-patria-a-trabajadores-de-la-salud-en-carabobo-les-negaron-las-vacunas-anticovid/" TargetMode="External"/><Relationship Id="rId43" Type="http://schemas.openxmlformats.org/officeDocument/2006/relationships/hyperlink" Target="http://www.oas.org/es/CIDH/jsForm/?File=/es/cidh/prensa/comunicados/2021/071.asp" TargetMode="External"/><Relationship Id="rId139" Type="http://schemas.openxmlformats.org/officeDocument/2006/relationships/hyperlink" Target="https://lanoticiadebarinas.com/locales/apr-rechazo-cierre-programa-edecio-garcia-barinas-tv/" TargetMode="External"/><Relationship Id="rId290" Type="http://schemas.openxmlformats.org/officeDocument/2006/relationships/hyperlink" Target="https://www.vozdeamerica.com/a/venezuela_opacados-por-el-covid-19-pacientes-cronicos-han-quedado-olvidados/6074262.html" TargetMode="External"/><Relationship Id="rId304" Type="http://schemas.openxmlformats.org/officeDocument/2006/relationships/hyperlink" Target="http://www.mppef.gob.ve/sistema-nacional-de-misiones-y-grandes-misiones-8-anos-garantizando-la-proteccion-integral-del-pueblo-venezolano/" TargetMode="External"/><Relationship Id="rId346" Type="http://schemas.openxmlformats.org/officeDocument/2006/relationships/hyperlink" Target="https://www.oas.org/es/CIDH/jsForm/?File=/es/cidh/prensa/comunicados/2021/108.asp" TargetMode="External"/><Relationship Id="rId85" Type="http://schemas.openxmlformats.org/officeDocument/2006/relationships/hyperlink" Target="https://ipysvenezuela.org/alerta/alerta-ipysve-columnista-y-medio-de-comunicacion-de-carabobo-demandados-por-difamacion-e-injuria/" TargetMode="External"/><Relationship Id="rId150" Type="http://schemas.openxmlformats.org/officeDocument/2006/relationships/hyperlink" Target="https://espaciopublico.ong/fallas-electricas-dejan-fuera-del-aire-a-radio-rumbos-670-am/" TargetMode="External"/><Relationship Id="rId192" Type="http://schemas.openxmlformats.org/officeDocument/2006/relationships/hyperlink" Target="https://espaciopublico.ong/hidrocapital-rechaza-solicitud-de-informacion-de-cuatro-comunidades/" TargetMode="External"/><Relationship Id="rId206" Type="http://schemas.openxmlformats.org/officeDocument/2006/relationships/hyperlink" Target="https://espaciopublico.ong/wp-content/uploads/2021/07/Informe_Violencia-digital-de-genero-contra-mujeres-en-Venezuela-Jun2021.pdf" TargetMode="External"/><Relationship Id="rId248" Type="http://schemas.openxmlformats.org/officeDocument/2006/relationships/hyperlink" Target="https://cnnespanol.cnn.com/2021/03/28/facebook-congela-temporalmente-la-pagina-del-cuestionado-presidente-de-venezuela-nicolas-maduro-orix/" TargetMode="External"/><Relationship Id="rId12" Type="http://schemas.openxmlformats.org/officeDocument/2006/relationships/hyperlink" Target="http://www.oas.org/es/cidh/prensa/comunicados/2020/151.asp" TargetMode="External"/><Relationship Id="rId108" Type="http://schemas.openxmlformats.org/officeDocument/2006/relationships/hyperlink" Target="https://www.infobae.com/america/venezuela/2021/05/14/la-dictadura-de-nicolas-maduro-embargo-la-sede-del-periodico-venezolano-el-nacional/" TargetMode="External"/><Relationship Id="rId315" Type="http://schemas.openxmlformats.org/officeDocument/2006/relationships/hyperlink" Target="https://www.oas.org/es/cidh/informes/pdfs/Acceso-informacion.pdf" TargetMode="External"/><Relationship Id="rId357" Type="http://schemas.openxmlformats.org/officeDocument/2006/relationships/hyperlink" Target="https://www.unicef.org/venezuela/informes/enero-junio-2021-respuesta-de-unicef-venezuela" TargetMode="External"/><Relationship Id="rId54" Type="http://schemas.openxmlformats.org/officeDocument/2006/relationships/hyperlink" Target="https://www.caraotadigital.net/venezuela/detienen-al-periodista-joan-camargo-mientras-cubria-enfrentamientos-al-oeste-de-caracas" TargetMode="External"/><Relationship Id="rId96" Type="http://schemas.openxmlformats.org/officeDocument/2006/relationships/hyperlink" Target="https://elpitazo.net/politica/periodista-roberto-deniz-denuncia-que-seguidores-de-saab-le-montan-expediente-con-acusaciones-falsas/" TargetMode="External"/><Relationship Id="rId161" Type="http://schemas.openxmlformats.org/officeDocument/2006/relationships/hyperlink" Target="https://www.radiofeyalegrianoticias.com/asi-tambien-se-silencia-una-radio/" TargetMode="External"/><Relationship Id="rId217" Type="http://schemas.openxmlformats.org/officeDocument/2006/relationships/hyperlink" Target="https://twitter.com/vesinfiltro/status/1389708004119957507" TargetMode="External"/><Relationship Id="rId259" Type="http://schemas.openxmlformats.org/officeDocument/2006/relationships/hyperlink" Target="https://elpais.com/sociedad/2021-03-18/la-subida-de-casos-de-la-covid-19-colapsa-el-sistema-de-salud-de-venezuela.html" TargetMode="External"/><Relationship Id="rId23" Type="http://schemas.openxmlformats.org/officeDocument/2006/relationships/hyperlink" Target="https://www.accesoalajusticia.org/el-estado-de-excepcion-en-el-camino-a-la-dictadura/" TargetMode="External"/><Relationship Id="rId119" Type="http://schemas.openxmlformats.org/officeDocument/2006/relationships/hyperlink" Target="https://www.eluniversal.com/sucesos/106746/declaran-no-culpable-a-comunicador-braulio-jatar" TargetMode="External"/><Relationship Id="rId270" Type="http://schemas.openxmlformats.org/officeDocument/2006/relationships/hyperlink" Target="https://www.observatoriodeconflictos.org.ve/tendencias-de-la-conflictividad/3752" TargetMode="External"/><Relationship Id="rId326" Type="http://schemas.openxmlformats.org/officeDocument/2006/relationships/hyperlink" Target="http://www.oas.org/es/CIDH/jsForm/?File=/es/cidh/prensa/comunicados/2021/085.asp" TargetMode="External"/><Relationship Id="rId65" Type="http://schemas.openxmlformats.org/officeDocument/2006/relationships/hyperlink" Target="https://www.sipiapa.org/notas/1214724-venezuela" TargetMode="External"/><Relationship Id="rId130" Type="http://schemas.openxmlformats.org/officeDocument/2006/relationships/hyperlink" Target="file:///C:/Users/pvaca/Downloads/%20Conatel%20apaga%20se&#241;al%20radiof&#243;nica%20de%20emisora%20VEA%20100.7%20FM" TargetMode="External"/><Relationship Id="rId368" Type="http://schemas.openxmlformats.org/officeDocument/2006/relationships/hyperlink" Target="https://eldiario.com/2021/08/12/personas-lgbtiq-asesinadas-venezuela/" TargetMode="External"/><Relationship Id="rId172" Type="http://schemas.openxmlformats.org/officeDocument/2006/relationships/hyperlink" Target="https://talcualdigital.com/fundaredes-denuncia-que-javier-tarazona-y-los-demas-activistas-estan-incomunicados/" TargetMode="External"/><Relationship Id="rId228" Type="http://schemas.openxmlformats.org/officeDocument/2006/relationships/hyperlink" Target="https://twitter.com/vesinfiltro/status/1445116198392315904" TargetMode="External"/><Relationship Id="rId281" Type="http://schemas.openxmlformats.org/officeDocument/2006/relationships/hyperlink" Target="https://www.paho.org/es/noticias/29-9-2021-ops-aumenta-adquisicion-vacunas-covid-19-para-americas" TargetMode="External"/><Relationship Id="rId337" Type="http://schemas.openxmlformats.org/officeDocument/2006/relationships/hyperlink" Target="http://www.oas.org/es/CIDH/jsForm/?File=/es/cidh/prensa/comunicados/2021/085.asp" TargetMode="External"/><Relationship Id="rId34" Type="http://schemas.openxmlformats.org/officeDocument/2006/relationships/hyperlink" Target="http://www.oas.org/es/cidh/prensa/comunicados/2020/151.asp" TargetMode="External"/><Relationship Id="rId76" Type="http://schemas.openxmlformats.org/officeDocument/2006/relationships/hyperlink" Target="https://espaciopublico.ong/intimidan-al-reportero-orlando-montlouis-durante-cobertura-de-vacunacion/" TargetMode="External"/><Relationship Id="rId141" Type="http://schemas.openxmlformats.org/officeDocument/2006/relationships/hyperlink" Target="https://twitter.com/CNPCaracas/status/1422655834815877127?ref_src=twsrc%5Etfw%7Ctwcamp%5Etweetembed%7Ctwterm%5E1422655834815877127%7Ctwgr%5E%7Ctwcon%5Es1_&amp;ref_url=https%3A%2F%2Fefectococuyo.com%2Fla-humanidad%2Fconatel-ordena-sacar-del-aire-programa-punto-de-corte-radio-denuncia-el-cnp%2F" TargetMode="External"/><Relationship Id="rId7" Type="http://schemas.openxmlformats.org/officeDocument/2006/relationships/hyperlink" Target="https://www.accesoalajusticia.org/wp-content/uploads/2017/01/SC-N%C2%BA-03-11-01-2017.pdf" TargetMode="External"/><Relationship Id="rId183" Type="http://schemas.openxmlformats.org/officeDocument/2006/relationships/hyperlink" Target="https://www.observatoriodeconflictos.org.ve/tendencias-de-la-conflictividad/3814" TargetMode="External"/><Relationship Id="rId239" Type="http://schemas.openxmlformats.org/officeDocument/2006/relationships/hyperlink" Target="https://vesinfiltro.com/noticias/2021-06-04_censura_digital/" TargetMode="External"/><Relationship Id="rId250" Type="http://schemas.openxmlformats.org/officeDocument/2006/relationships/hyperlink" Target="https://www.efe.com/efe/america/politica/venezuela-denuncia-el-totalitarismo-digital-de-facebook-por-bloqueo-a-maduro/20000035-4499065" TargetMode="External"/><Relationship Id="rId292" Type="http://schemas.openxmlformats.org/officeDocument/2006/relationships/hyperlink" Target="http://www.oas.org/es/CIDH/jsForm/?File=/es/cidh/prensa/comunicados/2021/085.asp" TargetMode="External"/><Relationship Id="rId306" Type="http://schemas.openxmlformats.org/officeDocument/2006/relationships/hyperlink" Target="http://vicepresidencia.gob.ve/venezuela-inicia-clases-presenciales-el-25-de-octubre/" TargetMode="External"/><Relationship Id="rId45" Type="http://schemas.openxmlformats.org/officeDocument/2006/relationships/hyperlink" Target="https://www.oas.org/es/cidh/prensa/comunicados/2020/275.asp" TargetMode="External"/><Relationship Id="rId87" Type="http://schemas.openxmlformats.org/officeDocument/2006/relationships/hyperlink" Target="https://www.swissinfo.ch/spa/venezuela-detenci%C3%B3n_excarcelada-la-escritora-venezolana-milagros-mata-gil-y-su-marido--seg%C3%BAn-ong/46499592" TargetMode="External"/><Relationship Id="rId110" Type="http://schemas.openxmlformats.org/officeDocument/2006/relationships/hyperlink" Target="https://www.swissinfo.ch/spa/venezuela-prensa_la-justicia-venezolana-eleva-de-13-a-30-millones-multa-al-diario-el-nacional/46696386" TargetMode="External"/><Relationship Id="rId348" Type="http://schemas.openxmlformats.org/officeDocument/2006/relationships/hyperlink" Target="https://www.oas.org/es/cidh/prensa/comunicados/2020/106.asp" TargetMode="External"/><Relationship Id="rId152" Type="http://schemas.openxmlformats.org/officeDocument/2006/relationships/hyperlink" Target="https://espaciopublico.ong/apagones-afectaron-a-tres-estados-de-venezuela/" TargetMode="External"/><Relationship Id="rId194" Type="http://schemas.openxmlformats.org/officeDocument/2006/relationships/hyperlink" Target="https://espaciopublico.ong/el-estado-venezolano-no-informa-sobre-los-procesos-de-vacunacion-contra-la-covid-19/" TargetMode="External"/><Relationship Id="rId208" Type="http://schemas.openxmlformats.org/officeDocument/2006/relationships/hyperlink" Target="http://www.asambleanacional.gob.ve/noticias/sancionada-ley-para-la-promocion-y-uso-del-lenguaje-con-enfoque-de-genero" TargetMode="External"/><Relationship Id="rId261" Type="http://schemas.openxmlformats.org/officeDocument/2006/relationships/hyperlink" Target="https://www.dw.com/es/la-pandemia-en-venezuela-manipulaci%C3%B3n-de-la-informaci%C3%B3n-cementerios-llenos-y-a%C3%BAn-sin-plan-de-vacunaci%C3%B3n/a-57258234" TargetMode="External"/><Relationship Id="rId14" Type="http://schemas.openxmlformats.org/officeDocument/2006/relationships/hyperlink" Target="http://www.oas.org/es/cidh/prensa/comunicados/2020/151.asp" TargetMode="External"/><Relationship Id="rId56" Type="http://schemas.openxmlformats.org/officeDocument/2006/relationships/hyperlink" Target="https://www.ntn24.com/america-latina/venezuela/liberados-los-periodistas-de-ntn24-y-defensores-de-ddhh-132661" TargetMode="External"/><Relationship Id="rId317" Type="http://schemas.openxmlformats.org/officeDocument/2006/relationships/hyperlink" Target="https://www.corteidh.or.cr/docs/casos/articulos/seriec_205_esp.pdf" TargetMode="External"/><Relationship Id="rId359" Type="http://schemas.openxmlformats.org/officeDocument/2006/relationships/hyperlink" Target="https://reliefweb.int/sites/reliefweb.int/files/resources/A_HRC_48_19.pdf" TargetMode="External"/><Relationship Id="rId98" Type="http://schemas.openxmlformats.org/officeDocument/2006/relationships/hyperlink" Target="https://twitter.com/CPJAmericas/status/1448681765262999553" TargetMode="External"/><Relationship Id="rId121" Type="http://schemas.openxmlformats.org/officeDocument/2006/relationships/hyperlink" Target="https://cpj.org/2021/09/cpj-welcomes-acquittal-of-venezuelan-journalist-braulio-jatar/" TargetMode="External"/><Relationship Id="rId163" Type="http://schemas.openxmlformats.org/officeDocument/2006/relationships/hyperlink" Target="https://www.venezuelablog.org/wp-content/uploads/2021/05/Gaceta-Oficial-42.118.pdf" TargetMode="External"/><Relationship Id="rId219" Type="http://schemas.openxmlformats.org/officeDocument/2006/relationships/hyperlink" Target="https://twitter.com/vesinfiltro/status/1409981688218849280" TargetMode="External"/><Relationship Id="rId370" Type="http://schemas.openxmlformats.org/officeDocument/2006/relationships/hyperlink" Target="https://www.vozdeamerica.com/a/venezuela_ser-trans-en-una-venezuela-conservadora-y-sin-ley-de-identidad-de-genero/6072361.html" TargetMode="External"/><Relationship Id="rId230" Type="http://schemas.openxmlformats.org/officeDocument/2006/relationships/hyperlink" Target="https://ipysvenezuela.org/alerta/balance-ipysve-venezuela-territorio-desconectado/" TargetMode="External"/><Relationship Id="rId25" Type="http://schemas.openxmlformats.org/officeDocument/2006/relationships/hyperlink" Target="http://www.oas.org/es/cidh/prensa/comunicados/2018/112.asp" TargetMode="External"/><Relationship Id="rId67" Type="http://schemas.openxmlformats.org/officeDocument/2006/relationships/hyperlink" Target="https://ipysvenezuela.org/alerta/alerta-ipysve-en-menos-de-una-semana-impiden-labor-periodistica-a-tres-equipos-de-reporteros-en-lara/" TargetMode="External"/><Relationship Id="rId272" Type="http://schemas.openxmlformats.org/officeDocument/2006/relationships/hyperlink" Target="https://www.infobae.com/america/venezuela/2021/06/01/mas-de-600-trabajadores-sanitarios-murieron-en-venezuela-por-coronavirus/" TargetMode="External"/><Relationship Id="rId328" Type="http://schemas.openxmlformats.org/officeDocument/2006/relationships/hyperlink" Target="https://www.unfpa.org/es/node/26480" TargetMode="External"/><Relationship Id="rId132" Type="http://schemas.openxmlformats.org/officeDocument/2006/relationships/hyperlink" Target="https://www.elnacional.com/venezuela/conatel-cerro-la-emisora-zeta-103-5-fm/" TargetMode="External"/><Relationship Id="rId174" Type="http://schemas.openxmlformats.org/officeDocument/2006/relationships/hyperlink" Target="https://twitter.com/FundaREDES_/status/1448256373947609088" TargetMode="External"/><Relationship Id="rId241" Type="http://schemas.openxmlformats.org/officeDocument/2006/relationships/hyperlink" Target="https://twitter.com/vpitv/status/1427067897474691081" TargetMode="External"/><Relationship Id="rId15" Type="http://schemas.openxmlformats.org/officeDocument/2006/relationships/hyperlink" Target="http://www.oas.org/es/cidh/docs/anual/2019/docs/IA2019cap4bVE-es.pdf" TargetMode="External"/><Relationship Id="rId36" Type="http://schemas.openxmlformats.org/officeDocument/2006/relationships/hyperlink" Target="https://mundo.sputniknews.com/20210814/asi-es-el-texto-completo-del-memorandum-sobre-venezuela-1115077647.html" TargetMode="External"/><Relationship Id="rId57" Type="http://schemas.openxmlformats.org/officeDocument/2006/relationships/hyperlink" Target="https://ipysvenezuela.org/alerta/alerta-ipysve-liberados-los-dos-periodistas-y-los-dos-activistas-que-fueron-detenidos-y-desaparecidos-por-la-gnb-en-apure/" TargetMode="External"/><Relationship Id="rId262" Type="http://schemas.openxmlformats.org/officeDocument/2006/relationships/hyperlink" Target="https://www.swissinfo.ch/spa/coronavirus-venezuela_ong-denuncia-manipulaci%C3%B3n-de-datos-sobre-la-vacunaci%C3%B3n-anticovid-en-venezuela/46684860" TargetMode="External"/><Relationship Id="rId283" Type="http://schemas.openxmlformats.org/officeDocument/2006/relationships/hyperlink" Target="https://www.amnistia.org/en/blog/2021/09/19707/vacunacion-de-personal-de-salud-debe-ser-prioridad-en-venezuela" TargetMode="External"/><Relationship Id="rId318" Type="http://schemas.openxmlformats.org/officeDocument/2006/relationships/hyperlink" Target="https://www.corteidh.or.cr/docs/casos/articulos/seriec_333_por.pdf" TargetMode="External"/><Relationship Id="rId339" Type="http://schemas.openxmlformats.org/officeDocument/2006/relationships/hyperlink" Target="https://www.oas.org/es/cidh/decisiones/pdf/2019/13-19MC150-19-VE.pdf" TargetMode="External"/><Relationship Id="rId78" Type="http://schemas.openxmlformats.org/officeDocument/2006/relationships/hyperlink" Target="https://guachimanelectoral.org/2021/08/09/se-registraron-cinco-ataques-a-la-prensa-en-la-jornada-de-primarias-psuv/" TargetMode="External"/><Relationship Id="rId99" Type="http://schemas.openxmlformats.org/officeDocument/2006/relationships/hyperlink" Target="https://flip.org.co/index.php/es/informacion/pronunciamientos/item/2807-autoridades-venezolanas-orquestan-montaje-judicial-en-contra-del-periodista-roberto-deniz" TargetMode="External"/><Relationship Id="rId101" Type="http://schemas.openxmlformats.org/officeDocument/2006/relationships/hyperlink" Target="https://twitter.com/MundarayZair/status/1449076345233944578/photo/2" TargetMode="External"/><Relationship Id="rId122" Type="http://schemas.openxmlformats.org/officeDocument/2006/relationships/hyperlink" Target="https://latamjournalismreview.org/es/articles/periodista-braulio-jatar-es-liberado-de-arresto-domiciliario-pero-tiene-prohibido-salir-de-venezuela/" TargetMode="External"/><Relationship Id="rId143" Type="http://schemas.openxmlformats.org/officeDocument/2006/relationships/hyperlink" Target="https://espaciopublico.ong/jorge-rodriguez-vincula-a-medios-digitales-con-violencia-en-caracas/" TargetMode="External"/><Relationship Id="rId164" Type="http://schemas.openxmlformats.org/officeDocument/2006/relationships/hyperlink" Target="https://www.lapatilla.com/2021/04/21/diosdado-dijo-que-muchas-ong-venezolanas-estan-vinculadas-al-terrorismo-video/" TargetMode="External"/><Relationship Id="rId185" Type="http://schemas.openxmlformats.org/officeDocument/2006/relationships/hyperlink" Target="https://www.observatoriodeconflictos.org.ve/tendencias-de-la-conflictividad/3853" TargetMode="External"/><Relationship Id="rId350" Type="http://schemas.openxmlformats.org/officeDocument/2006/relationships/hyperlink" Target="http://www.oas.org/es/cidh/prensa/comunicados/2018/197.asp" TargetMode="External"/><Relationship Id="rId9" Type="http://schemas.openxmlformats.org/officeDocument/2006/relationships/hyperlink" Target="https://www.oas.org/es/cidh/prensa/comunicados/2017/041.asp" TargetMode="External"/><Relationship Id="rId210" Type="http://schemas.openxmlformats.org/officeDocument/2006/relationships/hyperlink" Target="https://efectococuyo.com/politica/ley-promocion-uso-lenguaje-enfoque-de-genero/" TargetMode="External"/><Relationship Id="rId26" Type="http://schemas.openxmlformats.org/officeDocument/2006/relationships/hyperlink" Target="https://www.oas.org/es/cidh/prensa/comunicados/2019/005.asp" TargetMode="External"/><Relationship Id="rId231" Type="http://schemas.openxmlformats.org/officeDocument/2006/relationships/hyperlink" Target="https://freedomhouse.org/es/country/venezuela/freedom-net/2021" TargetMode="External"/><Relationship Id="rId252" Type="http://schemas.openxmlformats.org/officeDocument/2006/relationships/hyperlink" Target="https://www.swissinfo.ch/spa/venezuela-facebook_maduro-acusa-a-zuckerberg-de--abusador--por-censurar-f%C3%A1rmaco-que-%C3%A9l-preconiza/46340080" TargetMode="External"/><Relationship Id="rId273" Type="http://schemas.openxmlformats.org/officeDocument/2006/relationships/hyperlink" Target="https://www.france24.com/es/am&#233;rica-latina/20210820-venezuela-vacunacion-covid19-sputnik-escacez" TargetMode="External"/><Relationship Id="rId294" Type="http://schemas.openxmlformats.org/officeDocument/2006/relationships/hyperlink" Target="https://provea.org/actualidad/derechos-sociales/alimentacion/informe-anual-2020-se-intensifico-la-desnutricion-y-la-inseguridad-alimentaria-en-venezuela-2/" TargetMode="External"/><Relationship Id="rId308" Type="http://schemas.openxmlformats.org/officeDocument/2006/relationships/hyperlink" Target="https://www.observatoriodeconflictos.org.ve/tendencias-de-la-conflictividad/3752" TargetMode="External"/><Relationship Id="rId329" Type="http://schemas.openxmlformats.org/officeDocument/2006/relationships/hyperlink" Target="https://www.youtube.com/watch?v=I039uM00tww" TargetMode="External"/><Relationship Id="rId47" Type="http://schemas.openxmlformats.org/officeDocument/2006/relationships/hyperlink" Target="http://www.oas.org/es/cidh/prensa/comunicados/2020/106.asp" TargetMode="External"/><Relationship Id="rId68" Type="http://schemas.openxmlformats.org/officeDocument/2006/relationships/hyperlink" Target="https://twitter.com/CNPCaracas/status/1451209750667046920?s=20" TargetMode="External"/><Relationship Id="rId89" Type="http://schemas.openxmlformats.org/officeDocument/2006/relationships/hyperlink" Target="https://www.elnacional.com/venezuela/milagros-mata-gil-denuncio-que-fue-atacada-con-un-cuchillo/" TargetMode="External"/><Relationship Id="rId112" Type="http://schemas.openxmlformats.org/officeDocument/2006/relationships/hyperlink" Target="https://efectococuyo.com/la-humanidad/roland-carreno-seguira-privado-de-libertad-mientras-dura-su-juicio-decide-tribunal/" TargetMode="External"/><Relationship Id="rId133" Type="http://schemas.openxmlformats.org/officeDocument/2006/relationships/hyperlink" Target="https://espaciopublico.ong/conatel-decomisa-equipos-y-cierra-la-emisora-zeta-103-5-fm/" TargetMode="External"/><Relationship Id="rId154" Type="http://schemas.openxmlformats.org/officeDocument/2006/relationships/hyperlink" Target="https://ipysvenezuela.org/alerta/alerta-ipysve-diario-el-tiempo-anuncio-cierre-definitivo-de-su-rotativa-en-anzoategui/" TargetMode="External"/><Relationship Id="rId175" Type="http://schemas.openxmlformats.org/officeDocument/2006/relationships/hyperlink" Target="https://www.efe.com/efe/america/politica/excarcelados-dos-activistas-de-una-ong-venezolana-que-denuncio-un-conflicto-fronterizo/20000035-4661026" TargetMode="External"/><Relationship Id="rId340" Type="http://schemas.openxmlformats.org/officeDocument/2006/relationships/hyperlink" Target="http://www.oas.org/es/CIDH/jsForm/?File=/es/cidh/prensa/comunicados/2021/085.asp" TargetMode="External"/><Relationship Id="rId361" Type="http://schemas.openxmlformats.org/officeDocument/2006/relationships/hyperlink" Target="https://observatoriodeviolencia.org.ve/news/escuelas-y-liceos-de-margarita-iniciarian-el-ano-escolar-desmantelados-por-el-hampa/" TargetMode="External"/><Relationship Id="rId196" Type="http://schemas.openxmlformats.org/officeDocument/2006/relationships/hyperlink" Target="https://www.vtv.gob.ve/an-aprueba-en-segunda-discusion-el-proyecto-de-ley-de-transparencia-y-acceso-a-la-informacion-de-interes-publico/" TargetMode="External"/><Relationship Id="rId200" Type="http://schemas.openxmlformats.org/officeDocument/2006/relationships/hyperlink" Target="http://www.oas.org/es/cidh/expresion/documentos_basicos/declaraciones.asp" TargetMode="External"/><Relationship Id="rId16" Type="http://schemas.openxmlformats.org/officeDocument/2006/relationships/hyperlink" Target="http://corteidh.or.cr/docs/casos/articulos/seriec_227_esp.pdf" TargetMode="External"/><Relationship Id="rId221" Type="http://schemas.openxmlformats.org/officeDocument/2006/relationships/hyperlink" Target="https://twitter.com/vesinfiltro/status/1416087501765320709" TargetMode="External"/><Relationship Id="rId242" Type="http://schemas.openxmlformats.org/officeDocument/2006/relationships/hyperlink" Target="https://talcualdigital.com/punto-de-corte-denuncia-que-su-portal-de-noticias-esta-bajo-un-ciberataque/" TargetMode="External"/><Relationship Id="rId263" Type="http://schemas.openxmlformats.org/officeDocument/2006/relationships/hyperlink" Target="https://www.swissinfo.ch/spa/venezuela-salud_sindicato-venezolano-denuncia-la-muerte-de-15-pacientes-tras-un-apag&#243;n/47005662" TargetMode="External"/><Relationship Id="rId284" Type="http://schemas.openxmlformats.org/officeDocument/2006/relationships/hyperlink" Target="https://runrun.es/rr-es-plus/451523/criminalizacion-y-violencia-contra-los-trabajadores-de-la-salud-en-venezuela-un-mal-que-se-cronifica/amp/" TargetMode="External"/><Relationship Id="rId319" Type="http://schemas.openxmlformats.org/officeDocument/2006/relationships/hyperlink" Target="http://www.cidh.org/annualrep/2002sp/cap.vi.juarez.htm" TargetMode="External"/><Relationship Id="rId37" Type="http://schemas.openxmlformats.org/officeDocument/2006/relationships/hyperlink" Target="http://www.oas.org/es/CIDH/jsForm/?File=/es/cidh/prensa/comunicados/2021/217.asp" TargetMode="External"/><Relationship Id="rId58" Type="http://schemas.openxmlformats.org/officeDocument/2006/relationships/hyperlink" Target="https://talcualdigital.com/cabello-periodistas-que-cubran-conflicto-en-apure-deben-ser-considerados-enemigos/" TargetMode="External"/><Relationship Id="rId79" Type="http://schemas.openxmlformats.org/officeDocument/2006/relationships/hyperlink" Target="https://guachimanelectoral.org/2021/10/10/sntp-denuncio-abusos-del-plan-republica-contra-periodistas-en-cobertura-del-simulacro-electoral/" TargetMode="External"/><Relationship Id="rId102" Type="http://schemas.openxmlformats.org/officeDocument/2006/relationships/hyperlink" Target="https://cnnespanol.cnn.com/2021/10/15/roberto-deniz-denuncian-allanamiento-familiares-del-periodista-orix/" TargetMode="External"/><Relationship Id="rId123" Type="http://schemas.openxmlformats.org/officeDocument/2006/relationships/hyperlink" Target="https://www.ntn24.com/programas/la-tarde/funcionarios-del-regimen-venezolano-le-quitan-los-equipos-al-medio-digital-vpi-tv" TargetMode="External"/><Relationship Id="rId144" Type="http://schemas.openxmlformats.org/officeDocument/2006/relationships/hyperlink" Target="https://www.oas.org/es/cidh/jsForm/?File=/es/cidh/prensa/comunicados/2021/025.asp" TargetMode="External"/><Relationship Id="rId330" Type="http://schemas.openxmlformats.org/officeDocument/2006/relationships/hyperlink" Target="http://www.oas.org/es/CIDH/jsForm/?File=/es/cidh/prensa/comunicados/2021/085.asp" TargetMode="External"/><Relationship Id="rId90" Type="http://schemas.openxmlformats.org/officeDocument/2006/relationships/hyperlink" Target="https://efectococuyo.com/la-humanidad/denuncian-detencion-del-escritor-rafael-rattia-por-escribir-un-articulo-sobre-aristobulo-isturiz/" TargetMode="External"/><Relationship Id="rId165" Type="http://schemas.openxmlformats.org/officeDocument/2006/relationships/hyperlink" Target="https://elpais.com/internacional/2021-04-25/maduro-arrincona-a-las-ong-con-una-nueva-legislacion-antiterrorista-en-venezuela.html" TargetMode="External"/><Relationship Id="rId186" Type="http://schemas.openxmlformats.org/officeDocument/2006/relationships/hyperlink" Target="https://www.observatoriodeconflictos.org.ve/destacado/3872" TargetMode="External"/><Relationship Id="rId351" Type="http://schemas.openxmlformats.org/officeDocument/2006/relationships/hyperlink" Target="https://savemyidentity.org/" TargetMode="External"/><Relationship Id="rId211" Type="http://schemas.openxmlformats.org/officeDocument/2006/relationships/hyperlink" Target="https://provea.org/actualidad/derechos-sociales/pueblos-indigenas/amazonas-el-estado-indigena-de-venezuela-donde-se-discrimina-a-los-pueblos-originarios/" TargetMode="External"/><Relationship Id="rId232" Type="http://schemas.openxmlformats.org/officeDocument/2006/relationships/hyperlink" Target="http://www.observatoriovsp.org/wp-content/uploads/boletin-25_4-comprimido.pdf" TargetMode="External"/><Relationship Id="rId253" Type="http://schemas.openxmlformats.org/officeDocument/2006/relationships/hyperlink" Target="https://www.elnacional.com/venezuela/twitter-suspendio-la-cuenta-del-programa-con-el-mazo-dando/" TargetMode="External"/><Relationship Id="rId274" Type="http://schemas.openxmlformats.org/officeDocument/2006/relationships/hyperlink" Target="https://transparencia.org.ve/en-venezuela-la-opacidad-pretende-negar-la-magnitud-de-la-crisis/" TargetMode="External"/><Relationship Id="rId295" Type="http://schemas.openxmlformats.org/officeDocument/2006/relationships/hyperlink" Target="https://www.ohchr.org/EN/HRBodies/HRC/RegularSessions/Session44/Documents/A_HRC_44_54_UnofficialSpanishTranslation.pdf" TargetMode="External"/><Relationship Id="rId309" Type="http://schemas.openxmlformats.org/officeDocument/2006/relationships/hyperlink" Target="https://www.observatoriodeconflictos.org.ve/tendencias-de-la-conflictividad/3752" TargetMode="External"/><Relationship Id="rId27" Type="http://schemas.openxmlformats.org/officeDocument/2006/relationships/hyperlink" Target="https://www.oas.org/es/cidh/expresion/showarticle.asp?artID=1082&amp;lID=2" TargetMode="External"/><Relationship Id="rId48" Type="http://schemas.openxmlformats.org/officeDocument/2006/relationships/hyperlink" Target="http://www.oas.org/es/cidh/docs/anual/2019/docs/IA2019cap4bVE-es.pdf" TargetMode="External"/><Relationship Id="rId69" Type="http://schemas.openxmlformats.org/officeDocument/2006/relationships/hyperlink" Target="https://www.el-carabobeno.com/reporteros-de-el-carabobeno-intimidados/" TargetMode="External"/><Relationship Id="rId113" Type="http://schemas.openxmlformats.org/officeDocument/2006/relationships/hyperlink" Target="https://talcualdigital.com/abogado-de-roland-carreno-advierte-del-deterioro-de-su-estado-de-salud/" TargetMode="External"/><Relationship Id="rId134" Type="http://schemas.openxmlformats.org/officeDocument/2006/relationships/hyperlink" Target="https://noticierodigital.com/2021/10/conatel-confisca-equipos-de-emisora-genial-89-9-fm-en-guanare/" TargetMode="External"/><Relationship Id="rId320" Type="http://schemas.openxmlformats.org/officeDocument/2006/relationships/hyperlink" Target="https://www.youtube.com/watch?v=I039uM00tww" TargetMode="External"/><Relationship Id="rId80" Type="http://schemas.openxmlformats.org/officeDocument/2006/relationships/hyperlink" Target="https://espaciopublico.ong/partidarios-de-la-oposicion-intentaron-impedir-cobertura-del-reportero-grafico-daniel-sosa/" TargetMode="External"/><Relationship Id="rId155" Type="http://schemas.openxmlformats.org/officeDocument/2006/relationships/hyperlink" Target="https://ipysvenezuela.org/alerta/alerta-ipysve-diario-el-tiempo-anuncio-cierre-definitivo-de-su-rotativa-en-anzoategui/" TargetMode="External"/><Relationship Id="rId176" Type="http://schemas.openxmlformats.org/officeDocument/2006/relationships/hyperlink" Target="https://www.dw.com/es/corte-de-venezuela-excarcela-a-dos-activistas-de-fundaredes-que-denunciaron-conflicto-fronterizo/a-59631938" TargetMode="External"/><Relationship Id="rId197" Type="http://schemas.openxmlformats.org/officeDocument/2006/relationships/hyperlink" Target="https://elpitazo.net/politica/que-plantea-la-ley-de-acceso-a-la-informacion-aprobada-por-an-madurista/" TargetMode="External"/><Relationship Id="rId341" Type="http://schemas.openxmlformats.org/officeDocument/2006/relationships/hyperlink" Target="http://www.oas.org/es/CIDH/jsForm/?File=/es/cidh/prensa/comunicados/2021/208.asp" TargetMode="External"/><Relationship Id="rId362" Type="http://schemas.openxmlformats.org/officeDocument/2006/relationships/hyperlink" Target="https://www.lapatilla.com/2021/03/22/la-salud-de-las-personas-con-discapacidad-disminuye-con-rapidez-durante-la-pandemia/" TargetMode="External"/><Relationship Id="rId201" Type="http://schemas.openxmlformats.org/officeDocument/2006/relationships/hyperlink" Target="http://www.oas.org/es/sla/ddi/docs/publicacion_Ley_Modelo_Interamericana_2_0_sobre_Acceso_Informacion_Publica.pdf" TargetMode="External"/><Relationship Id="rId222" Type="http://schemas.openxmlformats.org/officeDocument/2006/relationships/hyperlink" Target="https://twitter.com/vesinfiltro/status/1417916327952592907" TargetMode="External"/><Relationship Id="rId243" Type="http://schemas.openxmlformats.org/officeDocument/2006/relationships/hyperlink" Target="https://espaciopublico.ong/atacan-sitio-web-de-punto-de-corte/" TargetMode="External"/><Relationship Id="rId264" Type="http://schemas.openxmlformats.org/officeDocument/2006/relationships/hyperlink" Target="https://www.paho.org/es/documentos/informe-anual-2020-cooperacion-salud-opsoms-venezuela" TargetMode="External"/><Relationship Id="rId285" Type="http://schemas.openxmlformats.org/officeDocument/2006/relationships/hyperlink" Target="https://www.amnistia.org/media/8832/ai_se_enfermerascovid19.pdf" TargetMode="External"/><Relationship Id="rId17" Type="http://schemas.openxmlformats.org/officeDocument/2006/relationships/hyperlink" Target="https://bloqueconstitucional.com/wp-content/uploads/2019/05/FINAL-INFORME-2018-de-de-abril-de-2019-.pdf" TargetMode="External"/><Relationship Id="rId38" Type="http://schemas.openxmlformats.org/officeDocument/2006/relationships/hyperlink" Target="http://www.oas.org/es/CIDH/jsForm/?File=/es/cidh/prensa/comunicados/2021/217.asp" TargetMode="External"/><Relationship Id="rId59" Type="http://schemas.openxmlformats.org/officeDocument/2006/relationships/hyperlink" Target="https://espaciopublico.ong/diosdado-cabello-amenazo-a-periodistas-que-cubran-conflicto-en-apure/" TargetMode="External"/><Relationship Id="rId103" Type="http://schemas.openxmlformats.org/officeDocument/2006/relationships/hyperlink" Target="https://cpj.org/es/2021/10/las-autoridades-venezolanas-dictan-orden-de-arresto-contra-el-periodista-roberto-deniz-y-allanan-la-casa-de-su-familia/" TargetMode="External"/><Relationship Id="rId124" Type="http://schemas.openxmlformats.org/officeDocument/2006/relationships/hyperlink" Target="file:///C:/Users/pvaca/Downloads/Gobierno%20de%20Venezuela%20confisca%20equipos%20a%20canal%20de%20TV%20digital%20|%20Las%20noticias%20y%20an&#225;lisis%20m&#225;s%20importantes%20en%20Am&#233;rica%20Latina" TargetMode="External"/><Relationship Id="rId310" Type="http://schemas.openxmlformats.org/officeDocument/2006/relationships/hyperlink" Target="http://www.oas.org/es/cidh/docs/anual/2020/capitulos/redesca.PDF" TargetMode="External"/><Relationship Id="rId70" Type="http://schemas.openxmlformats.org/officeDocument/2006/relationships/hyperlink" Target="https://evtv.online/intentan-quitarle-el-celular-a-periodista-en-sucre-que-grababa-discusion-entre-oficialistas/" TargetMode="External"/><Relationship Id="rId91" Type="http://schemas.openxmlformats.org/officeDocument/2006/relationships/hyperlink" Target="https://elpitazo.net/oriente/escritor-rafael-rattia-fue-imputado-por-instigacion-al-odio-en-maturin/" TargetMode="External"/><Relationship Id="rId145" Type="http://schemas.openxmlformats.org/officeDocument/2006/relationships/hyperlink" Target="https://www.oas.org/es/cidh/jsForm/?File=/es/cidh/prensa/comunicados/2021/025.asp" TargetMode="External"/><Relationship Id="rId166" Type="http://schemas.openxmlformats.org/officeDocument/2006/relationships/hyperlink" Target="https://www.fundaredes.org/2021/07/08/cronologia-de-la-detencion-arbitraria-de-los-activistas-de-fundaredes/" TargetMode="External"/><Relationship Id="rId187" Type="http://schemas.openxmlformats.org/officeDocument/2006/relationships/hyperlink" Target="https://www.observatoriodeconflictos.org.ve/tendencias-de-la-conflictividad/3814" TargetMode="External"/><Relationship Id="rId331" Type="http://schemas.openxmlformats.org/officeDocument/2006/relationships/hyperlink" Target="http://www.oas.org/es/CIDH/jsForm/?File=/es/cidh/prensa/comunicados/2021/085.asp" TargetMode="External"/><Relationship Id="rId352" Type="http://schemas.openxmlformats.org/officeDocument/2006/relationships/hyperlink" Target="https://www.oas.org/es/cidh/informes/pdfs/Principios%20DDHH%20migrantes%20-%20ES.pdf" TargetMode="External"/><Relationship Id="rId1" Type="http://schemas.openxmlformats.org/officeDocument/2006/relationships/hyperlink" Target="http://www.oas.org/es/cidh/docs/anual/2019/docs/IA2019cap4bVE-es.pdf" TargetMode="External"/><Relationship Id="rId212" Type="http://schemas.openxmlformats.org/officeDocument/2006/relationships/hyperlink" Target="https://freedomhouse.org/es/country/venezuela/freedom-net/2021" TargetMode="External"/><Relationship Id="rId233" Type="http://schemas.openxmlformats.org/officeDocument/2006/relationships/hyperlink" Target="file:///C:/Users/pvaca/Downloads/Cicpc%20detuvo%20a%20Tiktoker%20por%20criticar%20a%20hija%20de%20Omar%20Enrique" TargetMode="External"/><Relationship Id="rId254" Type="http://schemas.openxmlformats.org/officeDocument/2006/relationships/hyperlink" Target="Venezuela:%20Diosdado%20Cabello%20acusa%20a%20Twitter%20de%20&#8243;robar&#8243;%20cuenta%20de%20su%20programa%20|%20Venezuela%20en%20DW%20|%20DW%20|%2005.08.2021" TargetMode="External"/><Relationship Id="rId28" Type="http://schemas.openxmlformats.org/officeDocument/2006/relationships/hyperlink" Target="https://www.accesoalajusticia.org/ocho-claves-sobre-la-fraudulenta-anc-y-el-cese-de-sus-funciones/" TargetMode="External"/><Relationship Id="rId49" Type="http://schemas.openxmlformats.org/officeDocument/2006/relationships/hyperlink" Target="https://www.corteidh.or.cr/sitios/observaciones/OC-29/11_CIDH.pdf" TargetMode="External"/><Relationship Id="rId114" Type="http://schemas.openxmlformats.org/officeDocument/2006/relationships/hyperlink" Target="https://elpitazo.net/politica/periodista-roland-carreno-es-trasladado-a-emergencias-por-crisis-hipertensiva/" TargetMode="External"/><Relationship Id="rId275" Type="http://schemas.openxmlformats.org/officeDocument/2006/relationships/hyperlink" Target="https://www.amnistia.org/en/blog/2021/09/19707/vacunacion-de-personal-de-salud-debe-ser-prioridad-en-venezuela" TargetMode="External"/><Relationship Id="rId296" Type="http://schemas.openxmlformats.org/officeDocument/2006/relationships/hyperlink" Target="http://www.oas.org/es/cidh/docs/anual/2020/capitulos/redesca.PDF" TargetMode="External"/><Relationship Id="rId300" Type="http://schemas.openxmlformats.org/officeDocument/2006/relationships/hyperlink" Target="https://eldiario.com/2021/09/30/suministro-de-agua-es-uno-de-los-servicios-peor-calificados-por-los-venezolanos/" TargetMode="External"/><Relationship Id="rId60" Type="http://schemas.openxmlformats.org/officeDocument/2006/relationships/hyperlink" Target="https://www.noticierodigital.com/2021/03/periodista-rosibel-gonzalez-denuncia-que-fue-amenazada-de-muerte-la-proxima-vez-no-lo-vas-a-contar/" TargetMode="External"/><Relationship Id="rId81" Type="http://schemas.openxmlformats.org/officeDocument/2006/relationships/hyperlink" Target="https://www.el-carabobeno.com/gnb-detuvo-desnudo-y-borro-el-material-a-periodistas-edwin-prieto-y-lenin-danieri/" TargetMode="External"/><Relationship Id="rId135" Type="http://schemas.openxmlformats.org/officeDocument/2006/relationships/hyperlink" Target="https://espaciopublico.ong/conatel-confisca-equipos-de-la-emisora-genial-89-9-fm-del-estado-portuguesa/" TargetMode="External"/><Relationship Id="rId156" Type="http://schemas.openxmlformats.org/officeDocument/2006/relationships/hyperlink" Target="https://elpitazo.net/oriente/diario-el-tiempo-deja-de-circular-definitivamente-en-anzoategui/" TargetMode="External"/><Relationship Id="rId177" Type="http://schemas.openxmlformats.org/officeDocument/2006/relationships/hyperlink" Target="https://www.fidh.org/es/temas/defensores-de-derechos-humanos/venezuela-allanamiento-ilegal-de-la-sede-de-fundaredes-y-de-la-casa" TargetMode="External"/><Relationship Id="rId198" Type="http://schemas.openxmlformats.org/officeDocument/2006/relationships/hyperlink" Target="http://www.oas.org/es/cidh/expresion/docs/informes/anuales/2012%2003%2021%20Informe%20Anual%20RELE%202011%20impresion.pdf" TargetMode="External"/><Relationship Id="rId321" Type="http://schemas.openxmlformats.org/officeDocument/2006/relationships/hyperlink" Target="https://observatorioddhhmujeres.org/informes/las%20violencias%20contra%20las%20mujeres%20y%20el%20acceso%20a%20la%20justicia%202021.pdf" TargetMode="External"/><Relationship Id="rId342" Type="http://schemas.openxmlformats.org/officeDocument/2006/relationships/hyperlink" Target="https://www.oas.org/es/CIDH/jsForm/?File=/es/cidh/prensa/comunicados/2021/025.asp" TargetMode="External"/><Relationship Id="rId363" Type="http://schemas.openxmlformats.org/officeDocument/2006/relationships/hyperlink" Target="https://es.aleteia.org/2021/08/25/venezuela-prohibido-envejecer/" TargetMode="External"/><Relationship Id="rId202" Type="http://schemas.openxmlformats.org/officeDocument/2006/relationships/hyperlink" Target="http://www.oas.org/es/cidh/expresion/documentos_basicos/declaraciones.asp" TargetMode="External"/><Relationship Id="rId223" Type="http://schemas.openxmlformats.org/officeDocument/2006/relationships/hyperlink" Target="https://twitter.com/vesinfiltro/status/1422318405059850241" TargetMode="External"/><Relationship Id="rId244" Type="http://schemas.openxmlformats.org/officeDocument/2006/relationships/hyperlink" Target="file:///C:/Users/pvaca/Downloads/P&#225;gina%20web%20de%20TalCual%20se%20recupera%20tras%20ataque%20cibern&#233;tico;" TargetMode="External"/><Relationship Id="rId18" Type="http://schemas.openxmlformats.org/officeDocument/2006/relationships/hyperlink" Target="https://www.refworld.org.es/pdfid/5b6b58e94.pdf" TargetMode="External"/><Relationship Id="rId39" Type="http://schemas.openxmlformats.org/officeDocument/2006/relationships/hyperlink" Target="http://www.cidh.org/pdf%20files/Venezuela2003.pdf" TargetMode="External"/><Relationship Id="rId265" Type="http://schemas.openxmlformats.org/officeDocument/2006/relationships/hyperlink" Target="https://www.unicef.org/venezuela/respuesta-de-unicef-venezuela-ante-el-covid-19" TargetMode="External"/><Relationship Id="rId286" Type="http://schemas.openxmlformats.org/officeDocument/2006/relationships/hyperlink" Target="https://runrun.es/rr-es-plus/451523/criminalizacion-y-violencia-contra-los-trabajadores-de-la-salud-en-venezuela-un-mal-que-se-cronifica/amp/" TargetMode="External"/><Relationship Id="rId50" Type="http://schemas.openxmlformats.org/officeDocument/2006/relationships/hyperlink" Target="https://www.oas.org/es/cidh/jsForm/?File=/es/cidh/prensa/comunicados/2021/025.asp" TargetMode="External"/><Relationship Id="rId104" Type="http://schemas.openxmlformats.org/officeDocument/2006/relationships/hyperlink" Target="https://twitter.com/sntpvenezuela/status/1440104196435550210" TargetMode="External"/><Relationship Id="rId125" Type="http://schemas.openxmlformats.org/officeDocument/2006/relationships/hyperlink" Target="https://twitter.com/VPITV/status/1348409083846680576" TargetMode="External"/><Relationship Id="rId146" Type="http://schemas.openxmlformats.org/officeDocument/2006/relationships/hyperlink" Target="https://www.oas.org/es/cidh/jsForm/?File=/es/cidh/prensa/comunicados/2021/025.asp" TargetMode="External"/><Relationship Id="rId167" Type="http://schemas.openxmlformats.org/officeDocument/2006/relationships/hyperlink" Target="https://www.elnacional.com/venezuela/detencion-de-tarazona-fue-ordenada-por-tribunal-en-terrorismo-dijo-su-abogada/" TargetMode="External"/><Relationship Id="rId188" Type="http://schemas.openxmlformats.org/officeDocument/2006/relationships/hyperlink" Target="https://www.observatoriodeconflictos.org.ve/tendencias-de-la-conflictividad/3814" TargetMode="External"/><Relationship Id="rId311" Type="http://schemas.openxmlformats.org/officeDocument/2006/relationships/hyperlink" Target="https://www.youtube.com/watch?v=I039uM00tww" TargetMode="External"/><Relationship Id="rId332" Type="http://schemas.openxmlformats.org/officeDocument/2006/relationships/hyperlink" Target="https://efectococuyo.com/opinion/la-bomba-de-tiempo-vinculada-a-la-salud-de-las-venezolanas/" TargetMode="External"/><Relationship Id="rId353" Type="http://schemas.openxmlformats.org/officeDocument/2006/relationships/hyperlink" Target="https://www.corteidh.or.cr/sitios/observaciones/OC-29/11_CIDH.pdf" TargetMode="External"/><Relationship Id="rId71" Type="http://schemas.openxmlformats.org/officeDocument/2006/relationships/hyperlink" Target="https://twitter.com/sntpvenezuela/status/1424489488491991041" TargetMode="External"/><Relationship Id="rId92" Type="http://schemas.openxmlformats.org/officeDocument/2006/relationships/hyperlink" Target="https://www.el-carabobeno.com/tribunal-del-tachira-emitio-orden-de-detencion-contra-el-periodista-obeysser-prada/" TargetMode="External"/><Relationship Id="rId213" Type="http://schemas.openxmlformats.org/officeDocument/2006/relationships/hyperlink" Target="https://www.speedtest.net/global-index" TargetMode="External"/><Relationship Id="rId234" Type="http://schemas.openxmlformats.org/officeDocument/2006/relationships/hyperlink" Target="http://aulaabiertavenezuela.org/index.php/informes/" TargetMode="External"/><Relationship Id="rId2" Type="http://schemas.openxmlformats.org/officeDocument/2006/relationships/hyperlink" Target="http://www.oas.org/es/cidh/prensa/comunicados/2017/041.asp" TargetMode="External"/><Relationship Id="rId29" Type="http://schemas.openxmlformats.org/officeDocument/2006/relationships/hyperlink" Target="http://www.oas.org/es/cidh/docs/anual/2019/docs/IA2019cap4bVE-es.pdf" TargetMode="External"/><Relationship Id="rId255" Type="http://schemas.openxmlformats.org/officeDocument/2006/relationships/hyperlink" Target="https://elpitazo.net/salud/ops-venezuela-encabeza-tasa-de-letalidad-por-covid-19-de-personal-sanitario-en-suramerica/" TargetMode="External"/><Relationship Id="rId276" Type="http://schemas.openxmlformats.org/officeDocument/2006/relationships/hyperlink" Target="https://www.amnistia.org/en/blog/2021/09/19707/vacunacion-de-personal-de-salud-debe-ser-prioridad-en-venezuela" TargetMode="External"/><Relationship Id="rId297" Type="http://schemas.openxmlformats.org/officeDocument/2006/relationships/hyperlink" Target="https://www.dw.com/es/venezuela-y-la-falta-de-agua-los-camiones-cisterna-son-una-estrategia-de-propaganda-muy-cruel/a-53571000" TargetMode="External"/><Relationship Id="rId40" Type="http://schemas.openxmlformats.org/officeDocument/2006/relationships/hyperlink" Target="https://www.cidh.oas.org/pdf%20files/SEGURIDAD%20CIUDADANA%202009%20ESP.pdf" TargetMode="External"/><Relationship Id="rId115" Type="http://schemas.openxmlformats.org/officeDocument/2006/relationships/hyperlink" Target="https://cronica.uno/roland-carreno-sufre-crisis-hipertensiva-y-fue-trasladado-al-hospital-de-clinicas-caracas/" TargetMode="External"/><Relationship Id="rId136" Type="http://schemas.openxmlformats.org/officeDocument/2006/relationships/hyperlink" Target="https://ipysvenezuela.org/alerta/alerta-ipysve-locutor-y-programa-de-denuncias-censurados-en-amazonas/" TargetMode="External"/><Relationship Id="rId157" Type="http://schemas.openxmlformats.org/officeDocument/2006/relationships/hyperlink" Target="https://www.lapatilla.com/2021/04/25/incendio-cnp-sucre-provocado/?__cf_chl_managed_tk__=pmd_uFLA8J8few2t1UF33boZbe.N4ie2mYud.FndAhoVAS0-1635641877-0-gqNtZGzNAyWjcnBszQ_l" TargetMode="External"/><Relationship Id="rId178" Type="http://schemas.openxmlformats.org/officeDocument/2006/relationships/hyperlink" Target="https://efectococuyo.com/la-humanidad/exigen-libertad-enfermera-anzoategui/" TargetMode="External"/><Relationship Id="rId301" Type="http://schemas.openxmlformats.org/officeDocument/2006/relationships/hyperlink" Target="http://www.observatoriovsp.org/wp-content/uploads/boletin-27_4-comprimido.pdf" TargetMode="External"/><Relationship Id="rId322" Type="http://schemas.openxmlformats.org/officeDocument/2006/relationships/hyperlink" Target="https://www.semana.com/mundo/articulo/yo-te-creo-la-era-del-metoo-llego-a-venezuela/202100/" TargetMode="External"/><Relationship Id="rId343" Type="http://schemas.openxmlformats.org/officeDocument/2006/relationships/hyperlink" Target="https://www.oas.org/es/CIDH/jsForm/?File=/es/cidh/prensa/comunicados/2021/025.asp" TargetMode="External"/><Relationship Id="rId364" Type="http://schemas.openxmlformats.org/officeDocument/2006/relationships/hyperlink" Target="https://cronica.uno/83-de-los-adultos-mayores-consultados-por-convite-dependen-de-otros-para-cubrir-sus-necesidades-basicas/" TargetMode="External"/><Relationship Id="rId61" Type="http://schemas.openxmlformats.org/officeDocument/2006/relationships/hyperlink" Target="https://talcualdigital.com/directora-del-hospital-perez-de-leon-acoso-a-periodista-que-hacia-cobertura-en-ese-lugar/" TargetMode="External"/><Relationship Id="rId82" Type="http://schemas.openxmlformats.org/officeDocument/2006/relationships/hyperlink" Target="https://elpitazo.net/politica/sindicato-de-prensa-denuncia-que-gn-detuvo-y-desnudo-a-dos-periodistas-zulianos/" TargetMode="External"/><Relationship Id="rId199" Type="http://schemas.openxmlformats.org/officeDocument/2006/relationships/hyperlink" Target="http://www.oas.org/es/sla/ddi/docs/publicacion_Ley_Modelo_Interamericana_2_0_sobre_Acceso_Informacion_Publica.pdf" TargetMode="External"/><Relationship Id="rId203" Type="http://schemas.openxmlformats.org/officeDocument/2006/relationships/hyperlink" Target="https://www.ohchr.org/EN/HRBodies/HRC/RegularSessions/Session48/Documents/A_HRC_48_19_UnofficialSpanishVersion.pdf" TargetMode="External"/><Relationship Id="rId19" Type="http://schemas.openxmlformats.org/officeDocument/2006/relationships/hyperlink" Target="http://www.oas.org/es/cidh/docs/anual/2019/docs/IA2019cap4bVE-es.pdf" TargetMode="External"/><Relationship Id="rId224" Type="http://schemas.openxmlformats.org/officeDocument/2006/relationships/hyperlink" Target="https://twitter.com/vesinfiltro/status/1428347534376767490" TargetMode="External"/><Relationship Id="rId245" Type="http://schemas.openxmlformats.org/officeDocument/2006/relationships/hyperlink" Target="file:///C:/Users/pvaca/Downloads/Tal%20Cual%20denuncia%20nueva%20vulneraci&#243;n%20a%20su%20sitio%20web;" TargetMode="External"/><Relationship Id="rId266" Type="http://schemas.openxmlformats.org/officeDocument/2006/relationships/hyperlink" Target="https://www.paho.org/es/documentos/informe-anual-2020-cooperacion-salud-opsoms-venezuela" TargetMode="External"/><Relationship Id="rId287" Type="http://schemas.openxmlformats.org/officeDocument/2006/relationships/hyperlink" Target="https://www.ntn24.com/america-latina/venezuela/todos-los-dias-muchos-fallecidos-el-relato-del-personal-de-salud-del-huc" TargetMode="External"/><Relationship Id="rId30" Type="http://schemas.openxmlformats.org/officeDocument/2006/relationships/hyperlink" Target="about:blank" TargetMode="External"/><Relationship Id="rId105" Type="http://schemas.openxmlformats.org/officeDocument/2006/relationships/hyperlink" Target="https://twitter.com/ipysvenezuela/status/1440385836722257933?ref_src=twsrc%5Etfw%7Ctwcamp%5Etweetembed%7Ctwterm%5E1440385836722257933%7Ctwgr%5E%7Ctwcon%5Es1_&amp;ref_url=https%3A%2F%2Fipysvenezuela.org%2Falerta%2Falerta-ipysve-continua-campana-de-ataques-contra-roberto-deniz-en-twitter%2F" TargetMode="External"/><Relationship Id="rId126" Type="http://schemas.openxmlformats.org/officeDocument/2006/relationships/hyperlink" Target="file:///C:/Users/pvaca/Downloads/Seniat%20clausur&#243;%20por%20cinco%20d&#237;as%20sede%20del%20diario%20Panorama" TargetMode="External"/><Relationship Id="rId147" Type="http://schemas.openxmlformats.org/officeDocument/2006/relationships/hyperlink" Target="https://talcualdigital.com/cabello-pide-investigacion-contra-provea-por-senalar-financiamiento-exterior-del-psuv/" TargetMode="External"/><Relationship Id="rId168" Type="http://schemas.openxmlformats.org/officeDocument/2006/relationships/hyperlink" Target="https://www.swissinfo.ch/spa/venezuela-detenciones_imputan-por-incitaci%C3%B3n-al-odio-a-los-tres-activistas-venezolanos-detenidos/46757930" TargetMode="External"/><Relationship Id="rId312" Type="http://schemas.openxmlformats.org/officeDocument/2006/relationships/hyperlink" Target="https://undocs.org/es/A/76/132" TargetMode="External"/><Relationship Id="rId333" Type="http://schemas.openxmlformats.org/officeDocument/2006/relationships/hyperlink" Target="https://cronica.uno/escaso-acceso-a-metodos-anticonceptivos-en-venezuela-vulnera-los-derechos-sexuales/" TargetMode="External"/><Relationship Id="rId354" Type="http://schemas.openxmlformats.org/officeDocument/2006/relationships/hyperlink" Target="https://www.unicef.org/venezuela/informes/enero-junio-2021-respuesta-de-unicef-venezuela" TargetMode="External"/><Relationship Id="rId51" Type="http://schemas.openxmlformats.org/officeDocument/2006/relationships/hyperlink" Target="https://www.swissinfo.ch/spa/d%C3%ADa-mujer-venezuela_detienen-varias-horas-a-un-periodista-venezolano-que-cubr%C3%ADa-protestas-del-8m/46431836" TargetMode="External"/><Relationship Id="rId72" Type="http://schemas.openxmlformats.org/officeDocument/2006/relationships/hyperlink" Target="https://twitter.com/sntpvenezuela/status/1424416816609234945" TargetMode="External"/><Relationship Id="rId93" Type="http://schemas.openxmlformats.org/officeDocument/2006/relationships/hyperlink" Target="https://www.radiofeyalegrianoticias.com/tribunal-penal-del-tachira-emite-detencion-contra-el-periodista-obeysser-prada/" TargetMode="External"/><Relationship Id="rId189" Type="http://schemas.openxmlformats.org/officeDocument/2006/relationships/hyperlink" Target="https://twitter.com/TarekWiliamSaab/status/1445175304331403270?ref_src=twsrc%5Etfw%7Ctwcamp%5Etweetembed%7Ctwterm%5E1445175304331403270%7Ctwgr%5E%7Ctwcon%5Es1_&amp;ref_url=https%3A%2F%2Fwww.eluniversal.com%2Fsucesos%2F108774%2Fcondenaron-mas-de-25-a-los-dos-policias-que-dejaron-ciego-a-rufo-chacon" TargetMode="External"/><Relationship Id="rId3" Type="http://schemas.openxmlformats.org/officeDocument/2006/relationships/hyperlink" Target="http://www.oas.org/es/cidh/informes/pdfs/Venezuela2018-es.pdf" TargetMode="External"/><Relationship Id="rId214" Type="http://schemas.openxmlformats.org/officeDocument/2006/relationships/hyperlink" Target="https://freedomhouse.org/es/country/venezuela/freedom-net/2021" TargetMode="External"/><Relationship Id="rId235" Type="http://schemas.openxmlformats.org/officeDocument/2006/relationships/hyperlink" Target="https://vesinfiltro.com/noticias/2021-06-04_censura_digital/" TargetMode="External"/><Relationship Id="rId256" Type="http://schemas.openxmlformats.org/officeDocument/2006/relationships/hyperlink" Target="https://covid19.patria.org.ve/estadisticas-venezuela/" TargetMode="External"/><Relationship Id="rId277" Type="http://schemas.openxmlformats.org/officeDocument/2006/relationships/hyperlink" Target="https://cnnespanol.cnn.com/video/coronavirus-vacunas-venezuela-nicolas-madura-pkg-cafe-osmary-hernandez-orix/" TargetMode="External"/><Relationship Id="rId298" Type="http://schemas.openxmlformats.org/officeDocument/2006/relationships/hyperlink" Target="http://aulaabiertavenezuela.org/index.php/2020/03/27/venezuela-sin-agua-presa-facil-del-coronavirus/" TargetMode="External"/><Relationship Id="rId116" Type="http://schemas.openxmlformats.org/officeDocument/2006/relationships/hyperlink" Target="https://cronica.uno/desde-diciembre-a-roland-carreno-le-han-negado-seis-solicitudes-de-traslados-medicos/" TargetMode="External"/><Relationship Id="rId137" Type="http://schemas.openxmlformats.org/officeDocument/2006/relationships/hyperlink" Target="https://espaciopublico.ong/cierran-cinco-programas-de-radio-en-el-estado-zulia-y-falcon/" TargetMode="External"/><Relationship Id="rId158" Type="http://schemas.openxmlformats.org/officeDocument/2006/relationships/hyperlink" Target="https://www.ntn24.com/america-latina/venezuela/incendio-en-sede-de-cnp-en-sucre-fue-provocado-segun-informe-de-bomberos" TargetMode="External"/><Relationship Id="rId302" Type="http://schemas.openxmlformats.org/officeDocument/2006/relationships/hyperlink" Target="https://www.elnacional.com/venezuela/el-sindicalismo-el-otro-foco-de-detenciones-y-agresiones-en-venezuela/" TargetMode="External"/><Relationship Id="rId323" Type="http://schemas.openxmlformats.org/officeDocument/2006/relationships/hyperlink" Target="https://english.elpais.com/usa/2021-05-07/metoo-wave-breaks-in-venezuela-as-sexual-abuse-and-harassment-cases-come-to-light.html" TargetMode="External"/><Relationship Id="rId344" Type="http://schemas.openxmlformats.org/officeDocument/2006/relationships/hyperlink" Target="https://www.oas.org/es/CIDH/jsForm/?File=/es/cidh/prensa/comunicados/2021/025.asp" TargetMode="External"/><Relationship Id="rId20" Type="http://schemas.openxmlformats.org/officeDocument/2006/relationships/hyperlink" Target="https://www.accesoalajusticia.org/tsj-retardo-y-opacidad-informativa/" TargetMode="External"/><Relationship Id="rId41" Type="http://schemas.openxmlformats.org/officeDocument/2006/relationships/hyperlink" Target="http://www.oas.org/es/cidh/docs/anual/2019/docs/IA2019cap4bVE-es.pdf" TargetMode="External"/><Relationship Id="rId62" Type="http://schemas.openxmlformats.org/officeDocument/2006/relationships/hyperlink" Target="https://twitter.com/sntpvenezuela/status/1415094467099566088" TargetMode="External"/><Relationship Id="rId83" Type="http://schemas.openxmlformats.org/officeDocument/2006/relationships/hyperlink" Target="https://espaciopublico.ong/detienen-a-dos-periodistas-por-grabar-protesta-indigena-en-el-zulia/" TargetMode="External"/><Relationship Id="rId179" Type="http://schemas.openxmlformats.org/officeDocument/2006/relationships/hyperlink" Target="https://espaciopublico.ong/dictan-privativa-de-libertad-a-enfermera-por-exigir-mejoras-salariales/" TargetMode="External"/><Relationship Id="rId365" Type="http://schemas.openxmlformats.org/officeDocument/2006/relationships/hyperlink" Target="https://conviteac.org.ve/wp-content/uploads/2021/06/CONDICIONES_DE_VIDA_Y_SALUD_DE_LAS_PERSONAS_MAYORES_EN_VENEZUELA_-1.pdf" TargetMode="External"/><Relationship Id="rId190" Type="http://schemas.openxmlformats.org/officeDocument/2006/relationships/hyperlink" Target="https://www.eluniversal.com/sucesos/108774/condenaron-mas-de-25-a-los-dos-policias-que-dejaron-ciego-a-rufo-chacon" TargetMode="External"/><Relationship Id="rId204" Type="http://schemas.openxmlformats.org/officeDocument/2006/relationships/hyperlink" Target="https://ipysvenezuela.org/2021/02/01/periodistas-mujeres-son-las-mas-afectadas-por-violencia-en-linea/" TargetMode="External"/><Relationship Id="rId225" Type="http://schemas.openxmlformats.org/officeDocument/2006/relationships/hyperlink" Target="https://twitter.com/vesinfiltro/status/1437202617197862914" TargetMode="External"/><Relationship Id="rId246" Type="http://schemas.openxmlformats.org/officeDocument/2006/relationships/hyperlink" Target="https://elpitazo.net/politica/diario-tal-cual-denuncia-ataque-a-su-pagina-web/" TargetMode="External"/><Relationship Id="rId267" Type="http://schemas.openxmlformats.org/officeDocument/2006/relationships/hyperlink" Target="https://www.paho.org/es/documentos/informe-anual-2020-cooperacion-salud-opsoms-venezuela" TargetMode="External"/><Relationship Id="rId288" Type="http://schemas.openxmlformats.org/officeDocument/2006/relationships/hyperlink" Target="https://elpais.com/sociedad/2021-03-18/la-subida-de-casos-de-la-covid-19-colapsa-el-sistema-de-salud-de-venezuela.html" TargetMode="External"/><Relationship Id="rId106" Type="http://schemas.openxmlformats.org/officeDocument/2006/relationships/hyperlink" Target="https://www.oas.org/es/CIDH/jsForm/?File=/es/cidh/prensa/comunicados/2021/096.asp" TargetMode="External"/><Relationship Id="rId127" Type="http://schemas.openxmlformats.org/officeDocument/2006/relationships/hyperlink" Target="file:///C:/Users/pvaca/Downloads/Alerta%20IPYSve%20|%20Radio%20y%20prensa%20en%20medio%20de%20limitaciones%20durante%20las%20primeras%20semanas%20de%20enero%20-%20IPYS%20(ipysvenezuela.org)" TargetMode="External"/><Relationship Id="rId313" Type="http://schemas.openxmlformats.org/officeDocument/2006/relationships/hyperlink" Target="https://www.youtube.com/watch?v=I039uM00tww" TargetMode="External"/><Relationship Id="rId10" Type="http://schemas.openxmlformats.org/officeDocument/2006/relationships/hyperlink" Target="https://www.oas.org/es/cidh/prensa/comunicados/2017/041.asp" TargetMode="External"/><Relationship Id="rId31" Type="http://schemas.openxmlformats.org/officeDocument/2006/relationships/hyperlink" Target="https://www.telesurtv.net/news/venezuela-contraloria-general-inhabilita-exdiputados-20210224-0003.html" TargetMode="External"/><Relationship Id="rId52" Type="http://schemas.openxmlformats.org/officeDocument/2006/relationships/hyperlink" Target="https://espaciopublico.ong/poliaragua-detuvo-a-periodista-y-estudiante-por-fotografiar-las-afueras-del-hcm/" TargetMode="External"/><Relationship Id="rId73" Type="http://schemas.openxmlformats.org/officeDocument/2006/relationships/hyperlink" Target="https://espaciopublico.ong/pnb-graba-a-periodistas-mientras-cubrian-protesta-en-aragua/" TargetMode="External"/><Relationship Id="rId94" Type="http://schemas.openxmlformats.org/officeDocument/2006/relationships/hyperlink" Target="https://ipysvenezuela.org/alerta/alerta-ipysve-periodista-obeysser-prada-denuncio-ser-victima-de-una-investigacion-judicial-en-tachira/" TargetMode="External"/><Relationship Id="rId148" Type="http://schemas.openxmlformats.org/officeDocument/2006/relationships/hyperlink" Target="https://espaciopublico.ong/diosdado-cabello-acusa-a-sebastiana-barraez-de-vinculos-con-el-paramilitarismo-colombiano/" TargetMode="External"/><Relationship Id="rId169" Type="http://schemas.openxmlformats.org/officeDocument/2006/relationships/hyperlink" Target="https://talcualdigital.com/por-cuarta-vez-difieren-audiencia-de-activistas-de-fundaredes/" TargetMode="External"/><Relationship Id="rId334" Type="http://schemas.openxmlformats.org/officeDocument/2006/relationships/hyperlink" Target="https://efectococuyo.com/opinion/la-bomba-de-tiempo-vinculada-a-la-salud-de-las-venezolanas/" TargetMode="External"/><Relationship Id="rId355" Type="http://schemas.openxmlformats.org/officeDocument/2006/relationships/hyperlink" Target="https://reliefweb.int/sites/reliefweb.int/files/resources/A_HRC_48_19.pdf" TargetMode="External"/><Relationship Id="rId4" Type="http://schemas.openxmlformats.org/officeDocument/2006/relationships/hyperlink" Target="http://www.oas.org/es/cidh/prensa/comunicados/2017/041.asp" TargetMode="External"/><Relationship Id="rId180" Type="http://schemas.openxmlformats.org/officeDocument/2006/relationships/hyperlink" Target="https://www.el-carabobeno.com/excarcelada-enfermera-ada-macuare/" TargetMode="External"/><Relationship Id="rId215" Type="http://schemas.openxmlformats.org/officeDocument/2006/relationships/hyperlink" Target="http://www.observatoriovsp.org/wp-content/uploads/boletin-25_4-comprimido.pdf" TargetMode="External"/><Relationship Id="rId236" Type="http://schemas.openxmlformats.org/officeDocument/2006/relationships/hyperlink" Target="https://www.lapatilla.com/2021/05/12/diosdado-cabello-la-patilla/?__cf_chl_managed_tk__=pmd_GdM_JhX6Ix3wC4kjANKOej7wgbwcNgp5sBLGRgFgi.8-1635774966-0-gqNtZGzNAyWjcnBszRAl" TargetMode="External"/><Relationship Id="rId257" Type="http://schemas.openxmlformats.org/officeDocument/2006/relationships/hyperlink" Target="https://www.worldometers.info/coronavirus/country/venezuela/" TargetMode="External"/><Relationship Id="rId278" Type="http://schemas.openxmlformats.org/officeDocument/2006/relationships/hyperlink" Target="https://efectococuyo.com/coronavirus/exministro-oletta-es-inaceptable-que-vacunen-primero-a-diputados-que-a-adultos-mayores" TargetMode="External"/><Relationship Id="rId303" Type="http://schemas.openxmlformats.org/officeDocument/2006/relationships/hyperlink" Target="https://www.larepublica.co/globoeconomia/venezuela-le-ha-quitado-14-ceros-al-bolivar-en-13-anos-por-medio-de-tres-reconversiones-3212621" TargetMode="External"/><Relationship Id="rId42" Type="http://schemas.openxmlformats.org/officeDocument/2006/relationships/hyperlink" Target="http://www.oas.org/es/cidh/informes/pdfs/Venezuela2018-es.pdf" TargetMode="External"/><Relationship Id="rId84" Type="http://schemas.openxmlformats.org/officeDocument/2006/relationships/hyperlink" Target="https://www.acn.com.ve/juicio-supuesto-periodista-difamacion-incitacion-odio/" TargetMode="External"/><Relationship Id="rId138" Type="http://schemas.openxmlformats.org/officeDocument/2006/relationships/hyperlink" Target="https://ifex.org/es/cierran-programa-de-barinas-tv-dedicado-a-denuncias-de-la-comunidad/" TargetMode="External"/><Relationship Id="rId345" Type="http://schemas.openxmlformats.org/officeDocument/2006/relationships/hyperlink" Target="https://www.oas.org/es/CIDH/jsForm/?File=/es/cidh/prensa/comunicados/2021/025.asp" TargetMode="External"/><Relationship Id="rId191" Type="http://schemas.openxmlformats.org/officeDocument/2006/relationships/hyperlink" Target="https://www.ohchr.org/EN/HRBodies/HRC/RegularSessions/Session48/Documents/A_HRC_48_19_UnofficialSpanishVersion.pdf" TargetMode="External"/><Relationship Id="rId205" Type="http://schemas.openxmlformats.org/officeDocument/2006/relationships/hyperlink" Target="https://espaciopublico.ong/la-violencia-digital-contra-las-mujeres-un-concepto-que-debe-ser-visibilizado/" TargetMode="External"/><Relationship Id="rId247" Type="http://schemas.openxmlformats.org/officeDocument/2006/relationships/hyperlink" Target="https://www.efe.com/efe/america/politica/facebook-bloquea-por-un-mes-la-cuenta-de-maduro-desinformar-sobre-covid/20000035-4498727" TargetMode="External"/><Relationship Id="rId107" Type="http://schemas.openxmlformats.org/officeDocument/2006/relationships/hyperlink" Target="https://www.efe.com/efe/america/politica/la-justicia-venezolana-da-otra-vuelta-de-tuerca-al-embargar-diario-el-nacional/20000035-4537031" TargetMode="External"/><Relationship Id="rId289" Type="http://schemas.openxmlformats.org/officeDocument/2006/relationships/hyperlink" Target="https://www.las2orillas.co/hospitales-de-venezuela-hundidos-en-la-miseria/" TargetMode="External"/><Relationship Id="rId11" Type="http://schemas.openxmlformats.org/officeDocument/2006/relationships/hyperlink" Target="https://www.oas.org/es/cidh/prensa/comunicados/2019/005.asp" TargetMode="External"/><Relationship Id="rId53" Type="http://schemas.openxmlformats.org/officeDocument/2006/relationships/hyperlink" Target="https://ipysvenezuela.org/alerta/alerta-ipysve-dos-detenciones-arbitrarias-se-registraron-en-centros-de-salud-en-lo-que-va-de-abril/" TargetMode="External"/><Relationship Id="rId149" Type="http://schemas.openxmlformats.org/officeDocument/2006/relationships/hyperlink" Target="https://www.youtube.com/watch?v=xPcXI_tvPjY" TargetMode="External"/><Relationship Id="rId314" Type="http://schemas.openxmlformats.org/officeDocument/2006/relationships/hyperlink" Target="https://cepaz.org/noticias/situacion-de-ddhh-de-las-mujeres-en-venezuela-fue-discutida-por-organizaciones-feministas-ante-una-audiencia-historica-en-la-cidh/" TargetMode="External"/><Relationship Id="rId356" Type="http://schemas.openxmlformats.org/officeDocument/2006/relationships/hyperlink" Target="https://www.unicef.org/venezuela/informes/enero-junio-2021-respuesta-de-unicef-venezuela" TargetMode="External"/><Relationship Id="rId95" Type="http://schemas.openxmlformats.org/officeDocument/2006/relationships/hyperlink" Target="https://elpais.com/internacional/2021-10-13/la-fiscalia-chavista-intensifica-sus-ataques-al-periodismo-y-arremete-contra-el-reportero-que-destapo-los-negocios-de-alex-saab-presunto-testaferro-de-maduro.html" TargetMode="External"/><Relationship Id="rId160" Type="http://schemas.openxmlformats.org/officeDocument/2006/relationships/hyperlink" Target="https://www.radiofeyalegrianoticias.com/robaron-la-malla-de-la-antena-radial-de-radio-fe-y-alegria-guasdualito/" TargetMode="External"/><Relationship Id="rId216" Type="http://schemas.openxmlformats.org/officeDocument/2006/relationships/hyperlink" Target="https://twitter.com/vesinfiltro/status/1381024854602870790" TargetMode="External"/><Relationship Id="rId258" Type="http://schemas.openxmlformats.org/officeDocument/2006/relationships/hyperlink" Target="https://www.swissinfo.ch/spa/coronavirus-venezuela_oposici%C3%B3n-venezolana-reporta-casi-doble-de-muertos-por-covhttps:/www.swissinfo.ch/spa/coronavirus-venezuela_oposici%C3%B3n-venezolana-reporta-casi-doble-de-muertos-por-covid-que-el-gobierno/46320100id-que-el-gobierno/46320100" TargetMode="External"/><Relationship Id="rId22" Type="http://schemas.openxmlformats.org/officeDocument/2006/relationships/hyperlink" Target="http://www.oas.org/es/CIDH/jsForm/?File=/es/cidh/prensa/comunicados/2021/273.asp" TargetMode="External"/><Relationship Id="rId64" Type="http://schemas.openxmlformats.org/officeDocument/2006/relationships/hyperlink" Target="https://cronica.uno/recrudece-hostigamiento-contra-periodista-roberto-deniz/" TargetMode="External"/><Relationship Id="rId118" Type="http://schemas.openxmlformats.org/officeDocument/2006/relationships/hyperlink" Target="https://rsf.org/es/noticias/rsf-pide-la-liberacion-del-periodista-roland-carreno-encarcelado-arbitrariamente-desde-hace-un-ano" TargetMode="External"/><Relationship Id="rId325" Type="http://schemas.openxmlformats.org/officeDocument/2006/relationships/hyperlink" Target="https://www.corteidh.or.cr/docs/casos/articulos/seriec_362_esp.pdf" TargetMode="External"/><Relationship Id="rId367" Type="http://schemas.openxmlformats.org/officeDocument/2006/relationships/hyperlink" Target="https://www.elnacional.com/venezuela/asesinaron-a-una-mujer-trans-en-cojedes/" TargetMode="External"/><Relationship Id="rId171" Type="http://schemas.openxmlformats.org/officeDocument/2006/relationships/hyperlink" Target="https://www.ntn24.com/america-latina/venezuela/fue-diferida-por-septima-vez-la-audiencia-preliminar-de-fundaredes-386815" TargetMode="External"/><Relationship Id="rId227" Type="http://schemas.openxmlformats.org/officeDocument/2006/relationships/hyperlink" Target="https://twitter.com/vesinfiltro/status/1441867032807550976" TargetMode="External"/><Relationship Id="rId269" Type="http://schemas.openxmlformats.org/officeDocument/2006/relationships/hyperlink" Target="https://www.amnistia.org/en/blog/2021/09/19707/vacunacion-de-personal-de-salud-debe-ser-prioridad-en-venezuela" TargetMode="External"/><Relationship Id="rId33" Type="http://schemas.openxmlformats.org/officeDocument/2006/relationships/hyperlink" Target="https://www.youtube.com/watch?v=sejVyCArPCU" TargetMode="External"/><Relationship Id="rId129" Type="http://schemas.openxmlformats.org/officeDocument/2006/relationships/hyperlink" Target="https://www.laprensalara.com.ve/nota/29157/2021/03/periodistas-denuncia-cierre-de-la-emisora-aragua-magica-881-fm" TargetMode="External"/><Relationship Id="rId280" Type="http://schemas.openxmlformats.org/officeDocument/2006/relationships/hyperlink" Target="https://www.amnistia.org/en/blog/2021/09/19707/vacunacion-de-personal-de-salud-debe-ser-prioridad-en-venezuela" TargetMode="External"/><Relationship Id="rId336" Type="http://schemas.openxmlformats.org/officeDocument/2006/relationships/hyperlink" Target="http://www.oas.org/es/CIDH/jsForm/?File=/es/cidh/prensa/comunicados/2021/085.asp" TargetMode="External"/><Relationship Id="rId75" Type="http://schemas.openxmlformats.org/officeDocument/2006/relationships/hyperlink" Target="https://espaciopublico.ong/junio-sin-autorizacion-para-cubrir-la-vacunacion/" TargetMode="External"/><Relationship Id="rId140" Type="http://schemas.openxmlformats.org/officeDocument/2006/relationships/hyperlink" Target="https://talcualdigital.com/conatel-saca-del-aire-programa-punto-de-corte-transmitido-por-fe-y-alegria/" TargetMode="External"/><Relationship Id="rId182" Type="http://schemas.openxmlformats.org/officeDocument/2006/relationships/hyperlink" Target="https://www.oas.org/pt/CIDH/jsForm/?File=/es/cidh/prensa/comunicados/2021/192.asp" TargetMode="External"/><Relationship Id="rId6" Type="http://schemas.openxmlformats.org/officeDocument/2006/relationships/hyperlink" Target="https://www.accesoalajusticia.org/wp-content/uploads/2016/10/SE-N%C2%BA-814-11-10-2016.pdf" TargetMode="External"/><Relationship Id="rId238" Type="http://schemas.openxmlformats.org/officeDocument/2006/relationships/hyperlink" Target="https://freedomhouse.org/es/country/venezuela/freedom-net/2021" TargetMode="External"/><Relationship Id="rId291" Type="http://schemas.openxmlformats.org/officeDocument/2006/relationships/hyperlink" Target="https://www.amnistia.org/ve/especiales/salida-de-emergencia/agonia/" TargetMode="External"/><Relationship Id="rId305" Type="http://schemas.openxmlformats.org/officeDocument/2006/relationships/hyperlink" Target="https://provea.org/actualidad/derechos-sociales/alimentacion/informe-anual-2020-se-intensifico-la-desnutricion-y-la-inseguridad-alimentaria-en-venezuela-2/" TargetMode="External"/><Relationship Id="rId347" Type="http://schemas.openxmlformats.org/officeDocument/2006/relationships/hyperlink" Target="https://www.oas.org/es/CIDH/jsForm/?File=/es/cidh/prensa/comunicados/2021/108.asp" TargetMode="External"/><Relationship Id="rId44" Type="http://schemas.openxmlformats.org/officeDocument/2006/relationships/hyperlink" Target="http://www.oas.org/es/cidh/informes/pdfs/criminalizacion2016.pdf" TargetMode="External"/><Relationship Id="rId86" Type="http://schemas.openxmlformats.org/officeDocument/2006/relationships/hyperlink" Target="https://www.elnacional.com/venezuela/escritora-venezolana-milagros-mata-gil-denuncia-su-detencion/" TargetMode="External"/><Relationship Id="rId151" Type="http://schemas.openxmlformats.org/officeDocument/2006/relationships/hyperlink" Target="https://espaciopublico.ong/apagones-afectaron-la-conectividad-de-varios-estados-de-venezuela/" TargetMode="External"/><Relationship Id="rId193" Type="http://schemas.openxmlformats.org/officeDocument/2006/relationships/hyperlink" Target="https://espaciopublico.ong/bcv-no-respondio-solicitud-de-informacion-sobre-el-nuevo-cono-monetario/" TargetMode="External"/><Relationship Id="rId207" Type="http://schemas.openxmlformats.org/officeDocument/2006/relationships/hyperlink" Target="http://www.oas.org/es/CIDH/jsForm/?File=/es/cidh/prensa/comunicados/2021/235.asp" TargetMode="External"/><Relationship Id="rId249" Type="http://schemas.openxmlformats.org/officeDocument/2006/relationships/hyperlink" Target="https://www.youtube.com/watch?v=bplq9M9gvY0" TargetMode="External"/><Relationship Id="rId13" Type="http://schemas.openxmlformats.org/officeDocument/2006/relationships/hyperlink" Target="http://www.oas.org/es/cidh/prensa/comunicados/2020/151.asp" TargetMode="External"/><Relationship Id="rId109" Type="http://schemas.openxmlformats.org/officeDocument/2006/relationships/hyperlink" Target="https://www.elnacional.com/venezuela/el-regimen-incremento-de-13-a-30-millones-de-dolares-lo-que-el-nacional-debe-pagarle-a-diosdado-cabello/" TargetMode="External"/><Relationship Id="rId260" Type="http://schemas.openxmlformats.org/officeDocument/2006/relationships/hyperlink" Target="https://cnnespanol.cnn.com/2021/03/19/venezuela-discrepancia-cifras-covid-19-orix/" TargetMode="External"/><Relationship Id="rId316" Type="http://schemas.openxmlformats.org/officeDocument/2006/relationships/hyperlink" Target="http://www.oas.org/es/cidh/informes/pdfs/violencia-discriminacion-mujeres-Anexo1-es.pdf" TargetMode="External"/><Relationship Id="rId55" Type="http://schemas.openxmlformats.org/officeDocument/2006/relationships/hyperlink" Target="https://www.elnacional.com/venezuela/denuncian-desaparicion-de-2-periodistas-de-ntn24-detenidos-por-la-gnb-mientras-cubrian-conflicto-en-apure/" TargetMode="External"/><Relationship Id="rId97" Type="http://schemas.openxmlformats.org/officeDocument/2006/relationships/hyperlink" Target="https://twitter.com/robertodeniz/status/1448362552812089349" TargetMode="External"/><Relationship Id="rId120" Type="http://schemas.openxmlformats.org/officeDocument/2006/relationships/hyperlink" Target="https://www.el-carabobeno.com/libertad-plena-periodista-braulio-jatar-fue-declarado-no-culpable/" TargetMode="External"/><Relationship Id="rId358" Type="http://schemas.openxmlformats.org/officeDocument/2006/relationships/hyperlink" Target="https://www.unicef.org/venezuela/informes/enero-junio-2021-respuesta-de-unicef-venezuela" TargetMode="External"/><Relationship Id="rId162" Type="http://schemas.openxmlformats.org/officeDocument/2006/relationships/hyperlink" Target="https://www.oas.org/pt/CIDH/jsForm/?File=/es/cidh/prensa/comunicados/2021/108.asp" TargetMode="External"/><Relationship Id="rId218" Type="http://schemas.openxmlformats.org/officeDocument/2006/relationships/hyperlink" Target="https://twitter.com/vesinfiltro/status/1404246290892996611" TargetMode="External"/><Relationship Id="rId271" Type="http://schemas.openxmlformats.org/officeDocument/2006/relationships/hyperlink" Target="https://www.amnistia.org/en/blog/2021/09/19707/vacunacion-de-personal-de-salud-debe-ser-prioridad-en-venezuela" TargetMode="External"/><Relationship Id="rId24" Type="http://schemas.openxmlformats.org/officeDocument/2006/relationships/hyperlink" Target="http://www.oas.org/es/cidh/informes/pdfs/Venezuela2018-es.pdf" TargetMode="External"/><Relationship Id="rId66" Type="http://schemas.openxmlformats.org/officeDocument/2006/relationships/hyperlink" Target="https://espaciopublico.ong/secretario-de-gobierno-de-carabobo-censuro-a-la-prensa-durante-protesta-de-maestros/" TargetMode="External"/><Relationship Id="rId131" Type="http://schemas.openxmlformats.org/officeDocument/2006/relationships/hyperlink" Target="file:///C:/Users/pvaca/Downloads/Conatel%20saca%20del%20aire%20se&#241;al%20de%20emisora%20VEA%20100.7%20FM" TargetMode="External"/><Relationship Id="rId327" Type="http://schemas.openxmlformats.org/officeDocument/2006/relationships/hyperlink" Target="https://www.youtube.com/watch?v=I039uM00tww" TargetMode="External"/><Relationship Id="rId369" Type="http://schemas.openxmlformats.org/officeDocument/2006/relationships/hyperlink" Target="http://spgoin.imprentanacional.gob.ve/cgi-win/be_alex.cgi?Documento=T028700036801/0&amp;Nombrebd=spgoin&amp;CodAsocDoc=2650&amp;TipoDoc=GCTOF&amp;Sesion=1554192297" TargetMode="External"/><Relationship Id="rId173" Type="http://schemas.openxmlformats.org/officeDocument/2006/relationships/hyperlink" Target="https://lanacionweb.com/sucesos/todavia-incomunicados-activistas-de-fundaredes-presos-en-caracas/" TargetMode="External"/><Relationship Id="rId229" Type="http://schemas.openxmlformats.org/officeDocument/2006/relationships/hyperlink" Target="https://twitter.com/vesinfiltro/status/1448685697158762498" TargetMode="External"/><Relationship Id="rId240" Type="http://schemas.openxmlformats.org/officeDocument/2006/relationships/hyperlink" Target="https://espaciopublico.ong/atacan-sitio-web-del-portal-que-pasa-en-venezuela/" TargetMode="External"/><Relationship Id="rId35" Type="http://schemas.openxmlformats.org/officeDocument/2006/relationships/hyperlink" Target="http://www.oas.org/es/CIDH/jsForm/?File=/es/cidh/prensa/comunicados/2021/217.asp" TargetMode="External"/><Relationship Id="rId77" Type="http://schemas.openxmlformats.org/officeDocument/2006/relationships/hyperlink" Target="https://twitter.com/sntpvenezuela/status/1424429607705587714" TargetMode="External"/><Relationship Id="rId100" Type="http://schemas.openxmlformats.org/officeDocument/2006/relationships/hyperlink" Target="https://twitter.com/MundarayZair/status/1449076345233944578/photo/1" TargetMode="External"/><Relationship Id="rId282" Type="http://schemas.openxmlformats.org/officeDocument/2006/relationships/hyperlink" Target="https://www.amnistia.org/en/blog/2021/09/19707/vacunacion-de-personal-de-salud-debe-ser-prioridad-en-venezuela" TargetMode="External"/><Relationship Id="rId338" Type="http://schemas.openxmlformats.org/officeDocument/2006/relationships/hyperlink" Target="https://www.opendemocracy.net/es/aborto-venezuela-llucha-legalizacion-derecho-a-decidir/" TargetMode="External"/><Relationship Id="rId8" Type="http://schemas.openxmlformats.org/officeDocument/2006/relationships/hyperlink" Target="https://www.accesoalajusticia.org/wp-content/uploads/2017/04/SC-N%C2%BA-156-29-03-2017.pdf" TargetMode="External"/><Relationship Id="rId142" Type="http://schemas.openxmlformats.org/officeDocument/2006/relationships/hyperlink" Target="https://mobile.twitter.com/sntpvenezuela/status/1432340463256805376?lang=bg" TargetMode="External"/><Relationship Id="rId184" Type="http://schemas.openxmlformats.org/officeDocument/2006/relationships/hyperlink" Target="https://www.observatoriodeconflictos.org.ve/tendencias-de-la-conflictividad/situacion-de-la-conflictividad-social-durante-julio-2021" TargetMode="External"/><Relationship Id="rId251" Type="http://schemas.openxmlformats.org/officeDocument/2006/relationships/hyperlink" Target="https://www.semana.com/mundo/articulo/nicolas-maduro-acusa-a-facebook-de-censurar-videos-sobre-sus-gotitas-milagrosas-contra-el-coronavirus/202132/" TargetMode="External"/><Relationship Id="rId46" Type="http://schemas.openxmlformats.org/officeDocument/2006/relationships/hyperlink" Target="https://www.oas.org/es/cidh/prensa/comunicados/2020/275.asp" TargetMode="External"/><Relationship Id="rId293" Type="http://schemas.openxmlformats.org/officeDocument/2006/relationships/hyperlink" Target="https://www.observatoriodeconflictos.org.ve/tendencias-de-la-conflictividad/3752" TargetMode="External"/><Relationship Id="rId307" Type="http://schemas.openxmlformats.org/officeDocument/2006/relationships/hyperlink" Target="https://cronica.uno/maduro-anuncio-regreso-a-clases-el-25-octubre/" TargetMode="External"/><Relationship Id="rId349" Type="http://schemas.openxmlformats.org/officeDocument/2006/relationships/hyperlink" Target="https://www.acnur.org/noticias/historia/2020/6/5eeaf0084/desplazamiento-forzado-mundial-mucho-mas-extendido-en-2019.html" TargetMode="External"/><Relationship Id="rId88" Type="http://schemas.openxmlformats.org/officeDocument/2006/relationships/hyperlink" Target="https://www.el-carabobeno.com/la-escritora-venezolana-milagros-mata-gil-sufre-atentado-en-anzoategui/" TargetMode="External"/><Relationship Id="rId111" Type="http://schemas.openxmlformats.org/officeDocument/2006/relationships/hyperlink" Target="https://www.radiofeyalegrianoticias.com/periodista-roland-carreno-seguira-preso/" TargetMode="External"/><Relationship Id="rId153" Type="http://schemas.openxmlformats.org/officeDocument/2006/relationships/hyperlink" Target="https://espaciopublico.ong/apagon-deja-sin-informacion-al-estado-zulia/" TargetMode="External"/><Relationship Id="rId195" Type="http://schemas.openxmlformats.org/officeDocument/2006/relationships/hyperlink" Target="http://www.asambleanacional.gob.ve/storage/documentos/leyes/ley-de-transparencia-y-acceso-a-la-informacion-de-interes-publico-20211006172420.pdf" TargetMode="External"/><Relationship Id="rId209" Type="http://schemas.openxmlformats.org/officeDocument/2006/relationships/hyperlink" Target="https://www.efe.com/efe/america/politica/el-parlamento-venezolano-aprueba-una-ley-para-uso-del-lenguaje-con-enfoque-de-genero/20000035-4642299" TargetMode="External"/><Relationship Id="rId360" Type="http://schemas.openxmlformats.org/officeDocument/2006/relationships/hyperlink" Target="https://reliefweb.int/sites/reliefweb.int/files/resources/A_HRC_48_19.pdf" TargetMode="External"/><Relationship Id="rId220" Type="http://schemas.openxmlformats.org/officeDocument/2006/relationships/hyperlink" Target="https://twitter.com/vesinfiltro/status/141540856387955916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2.xml><?xml version="1.0" encoding="utf-8"?>
<ds:datastoreItem xmlns:ds="http://schemas.openxmlformats.org/officeDocument/2006/customXml" ds:itemID="{BB447E83-0257-4F03-8A86-FF88AD36186B}"/>
</file>

<file path=customXml/itemProps3.xml><?xml version="1.0" encoding="utf-8"?>
<ds:datastoreItem xmlns:ds="http://schemas.openxmlformats.org/officeDocument/2006/customXml" ds:itemID="{72C73A48-7257-4D57-997F-A80C82440C7F}"/>
</file>

<file path=customXml/itemProps4.xml><?xml version="1.0" encoding="utf-8"?>
<ds:datastoreItem xmlns:ds="http://schemas.openxmlformats.org/officeDocument/2006/customXml" ds:itemID="{4C2EA102-0241-4C7D-A9E4-ACA5EF85FFAE}"/>
</file>

<file path=docProps/app.xml><?xml version="1.0" encoding="utf-8"?>
<Properties xmlns="http://schemas.openxmlformats.org/officeDocument/2006/extended-properties" xmlns:vt="http://schemas.openxmlformats.org/officeDocument/2006/docPropsVTypes">
  <Template>Normal</Template>
  <TotalTime>0</TotalTime>
  <Pages>65</Pages>
  <Words>28298</Words>
  <Characters>161300</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2021, Chapter IV.B Venezuela</dc:title>
  <dc:subject/>
  <dc:creator/>
  <cp:keywords/>
  <dc:description/>
  <cp:lastModifiedBy/>
  <cp:revision>1</cp:revision>
  <dcterms:created xsi:type="dcterms:W3CDTF">2022-05-02T15:02:00Z</dcterms:created>
  <dcterms:modified xsi:type="dcterms:W3CDTF">2022-05-02T21:49:00Z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