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647A" w14:textId="77777777" w:rsidR="004A1E45" w:rsidRPr="000D7003" w:rsidRDefault="004A1E45" w:rsidP="004A1E45">
      <w:pPr>
        <w:pStyle w:val="Header"/>
        <w:rPr>
          <w:rFonts w:ascii="Cambria" w:hAnsi="Cambria"/>
          <w:sz w:val="20"/>
          <w:szCs w:val="20"/>
        </w:rPr>
      </w:pPr>
      <w:r w:rsidRPr="000D7003">
        <w:rPr>
          <w:rFonts w:ascii="Cambria" w:hAnsi="Cambria"/>
          <w:snapToGrid w:val="0"/>
          <w:sz w:val="20"/>
          <w:szCs w:val="20"/>
        </w:rPr>
        <w:tab/>
        <w:t xml:space="preserve">                                                               </w:t>
      </w:r>
    </w:p>
    <w:p w14:paraId="1A6E7530" w14:textId="77777777" w:rsidR="004A1E45" w:rsidRPr="00FC509A" w:rsidRDefault="00D74AB4" w:rsidP="00D74AB4">
      <w:pPr>
        <w:spacing w:after="0" w:line="240" w:lineRule="auto"/>
        <w:jc w:val="center"/>
        <w:rPr>
          <w:rFonts w:ascii="Cambria" w:hAnsi="Cambria"/>
          <w:b/>
          <w:sz w:val="20"/>
          <w:szCs w:val="20"/>
        </w:rPr>
      </w:pPr>
      <w:r w:rsidRPr="00FC509A">
        <w:rPr>
          <w:rFonts w:ascii="Cambria" w:hAnsi="Cambria"/>
          <w:b/>
          <w:sz w:val="20"/>
          <w:szCs w:val="20"/>
        </w:rPr>
        <w:t xml:space="preserve">FOLLOW-UP FACTSHEET OF REPORT </w:t>
      </w:r>
      <w:r w:rsidR="004A1E45" w:rsidRPr="00FC509A">
        <w:rPr>
          <w:rFonts w:ascii="Cambria" w:hAnsi="Cambria"/>
          <w:b/>
          <w:sz w:val="20"/>
          <w:szCs w:val="20"/>
        </w:rPr>
        <w:t>No. 98/03</w:t>
      </w:r>
    </w:p>
    <w:p w14:paraId="1A927640" w14:textId="77777777" w:rsidR="004A1E45" w:rsidRPr="00FC509A" w:rsidRDefault="004A1E45" w:rsidP="004A1E45">
      <w:pPr>
        <w:spacing w:after="0" w:line="240" w:lineRule="auto"/>
        <w:jc w:val="center"/>
        <w:rPr>
          <w:rFonts w:ascii="Cambria" w:hAnsi="Cambria"/>
          <w:b/>
          <w:sz w:val="20"/>
          <w:szCs w:val="20"/>
        </w:rPr>
      </w:pPr>
      <w:r w:rsidRPr="00FC509A">
        <w:rPr>
          <w:rFonts w:ascii="Cambria" w:hAnsi="Cambria"/>
          <w:b/>
          <w:sz w:val="20"/>
          <w:szCs w:val="20"/>
        </w:rPr>
        <w:t xml:space="preserve"> </w:t>
      </w:r>
      <w:r w:rsidR="00D74AB4" w:rsidRPr="00FC509A">
        <w:rPr>
          <w:rFonts w:ascii="Cambria" w:hAnsi="Cambria"/>
          <w:b/>
          <w:sz w:val="20"/>
          <w:szCs w:val="20"/>
        </w:rPr>
        <w:t xml:space="preserve">CASE </w:t>
      </w:r>
      <w:r w:rsidRPr="00FC509A">
        <w:rPr>
          <w:rFonts w:ascii="Cambria" w:hAnsi="Cambria"/>
          <w:b/>
          <w:sz w:val="20"/>
          <w:szCs w:val="20"/>
        </w:rPr>
        <w:t>11.204</w:t>
      </w:r>
    </w:p>
    <w:p w14:paraId="7FCF377C" w14:textId="77777777" w:rsidR="004A1E45" w:rsidRPr="00FC509A" w:rsidRDefault="00D74AB4" w:rsidP="004A1E45">
      <w:pPr>
        <w:spacing w:after="0" w:line="240" w:lineRule="auto"/>
        <w:jc w:val="center"/>
        <w:rPr>
          <w:rFonts w:ascii="Cambria" w:hAnsi="Cambria"/>
          <w:b/>
          <w:sz w:val="20"/>
          <w:szCs w:val="20"/>
        </w:rPr>
      </w:pPr>
      <w:r w:rsidRPr="00FC509A">
        <w:rPr>
          <w:rFonts w:ascii="Cambria" w:hAnsi="Cambria"/>
          <w:b/>
          <w:bCs/>
          <w:sz w:val="20"/>
          <w:szCs w:val="20"/>
        </w:rPr>
        <w:t>STATEHOOD SOLIDARITY</w:t>
      </w:r>
      <w:r w:rsidR="00A968F4" w:rsidRPr="00FC509A">
        <w:rPr>
          <w:rFonts w:ascii="Cambria" w:hAnsi="Cambria"/>
          <w:b/>
          <w:bCs/>
          <w:sz w:val="20"/>
          <w:szCs w:val="20"/>
        </w:rPr>
        <w:t xml:space="preserve"> COMMITTEE</w:t>
      </w:r>
    </w:p>
    <w:p w14:paraId="4B907FC4" w14:textId="77777777" w:rsidR="004A1E45" w:rsidRPr="00FC509A" w:rsidRDefault="004A1E45" w:rsidP="004A1E45">
      <w:pPr>
        <w:spacing w:after="0" w:line="240" w:lineRule="auto"/>
        <w:jc w:val="center"/>
        <w:rPr>
          <w:rFonts w:ascii="Cambria" w:hAnsi="Cambria"/>
          <w:b/>
          <w:sz w:val="20"/>
          <w:szCs w:val="20"/>
        </w:rPr>
      </w:pPr>
      <w:r w:rsidRPr="00FC509A">
        <w:rPr>
          <w:rFonts w:ascii="Cambria" w:hAnsi="Cambria"/>
          <w:b/>
          <w:sz w:val="20"/>
          <w:szCs w:val="20"/>
        </w:rPr>
        <w:t xml:space="preserve"> (United States)</w:t>
      </w:r>
    </w:p>
    <w:p w14:paraId="01825574" w14:textId="77777777" w:rsidR="004A1E45" w:rsidRPr="00FC509A" w:rsidRDefault="004A1E45" w:rsidP="004A1E45">
      <w:pPr>
        <w:spacing w:after="0" w:line="240" w:lineRule="auto"/>
        <w:jc w:val="center"/>
        <w:rPr>
          <w:rFonts w:ascii="Cambria" w:hAnsi="Cambria"/>
          <w:b/>
          <w:sz w:val="20"/>
          <w:szCs w:val="20"/>
        </w:rPr>
      </w:pPr>
    </w:p>
    <w:p w14:paraId="0014EF0E" w14:textId="77777777" w:rsidR="004A1E45" w:rsidRPr="00FC509A" w:rsidRDefault="004A1E45" w:rsidP="00D74AB4">
      <w:pPr>
        <w:numPr>
          <w:ilvl w:val="0"/>
          <w:numId w:val="1"/>
        </w:numPr>
        <w:spacing w:after="0" w:line="240" w:lineRule="auto"/>
        <w:ind w:left="1440"/>
        <w:rPr>
          <w:rFonts w:ascii="Cambria" w:hAnsi="Cambria" w:cs="Calibri Light"/>
          <w:b/>
          <w:sz w:val="20"/>
          <w:szCs w:val="20"/>
        </w:rPr>
      </w:pPr>
      <w:r w:rsidRPr="00FC509A">
        <w:rPr>
          <w:rFonts w:ascii="Cambria" w:hAnsi="Cambria" w:cs="Calibri Light"/>
          <w:b/>
          <w:sz w:val="20"/>
          <w:szCs w:val="20"/>
        </w:rPr>
        <w:t xml:space="preserve">Summary of Case  </w:t>
      </w:r>
    </w:p>
    <w:p w14:paraId="3E238A22" w14:textId="77777777" w:rsidR="004A1E45" w:rsidRPr="00FC509A" w:rsidRDefault="004A1E45" w:rsidP="004A1E45">
      <w:pPr>
        <w:spacing w:after="0" w:line="240" w:lineRule="auto"/>
        <w:ind w:left="1080"/>
        <w:rPr>
          <w:rFonts w:ascii="Cambria" w:hAnsi="Cambria"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0D7003" w:rsidRPr="00FC509A" w14:paraId="6708790D" w14:textId="77777777" w:rsidTr="00E77E51">
        <w:trPr>
          <w:jc w:val="center"/>
        </w:trPr>
        <w:tc>
          <w:tcPr>
            <w:tcW w:w="9576" w:type="dxa"/>
            <w:shd w:val="clear" w:color="auto" w:fill="F2F2F2"/>
          </w:tcPr>
          <w:p w14:paraId="74771978" w14:textId="77777777" w:rsidR="004A1E45" w:rsidRPr="00FC509A" w:rsidRDefault="004A1E45" w:rsidP="00D74AB4">
            <w:pPr>
              <w:spacing w:before="120" w:after="0" w:line="240" w:lineRule="auto"/>
              <w:rPr>
                <w:rFonts w:ascii="Cambria" w:hAnsi="Cambria"/>
                <w:b/>
                <w:sz w:val="20"/>
                <w:szCs w:val="20"/>
              </w:rPr>
            </w:pPr>
            <w:r w:rsidRPr="00FC509A">
              <w:rPr>
                <w:rFonts w:ascii="Cambria" w:hAnsi="Cambria"/>
                <w:b/>
                <w:sz w:val="20"/>
                <w:szCs w:val="20"/>
              </w:rPr>
              <w:t xml:space="preserve">Victim (s): </w:t>
            </w:r>
            <w:r w:rsidRPr="00FC509A">
              <w:rPr>
                <w:rFonts w:ascii="Cambria" w:hAnsi="Cambria"/>
                <w:sz w:val="20"/>
                <w:szCs w:val="20"/>
              </w:rPr>
              <w:t>Statehood Solidarity Committee</w:t>
            </w:r>
          </w:p>
          <w:p w14:paraId="1818FF7E" w14:textId="77777777" w:rsidR="004A1E45" w:rsidRPr="00FC509A" w:rsidRDefault="009B62C9" w:rsidP="009B62C9">
            <w:pPr>
              <w:spacing w:after="0" w:line="240" w:lineRule="auto"/>
              <w:rPr>
                <w:rFonts w:ascii="Cambria" w:hAnsi="Cambria"/>
                <w:b/>
                <w:sz w:val="20"/>
                <w:szCs w:val="20"/>
              </w:rPr>
            </w:pPr>
            <w:r w:rsidRPr="00FC509A">
              <w:rPr>
                <w:rFonts w:ascii="Cambria" w:hAnsi="Cambria"/>
                <w:b/>
                <w:sz w:val="20"/>
                <w:szCs w:val="20"/>
              </w:rPr>
              <w:t>Petitioner</w:t>
            </w:r>
            <w:r w:rsidR="004A1E45" w:rsidRPr="00FC509A">
              <w:rPr>
                <w:rFonts w:ascii="Cambria" w:hAnsi="Cambria"/>
                <w:b/>
                <w:sz w:val="20"/>
                <w:szCs w:val="20"/>
              </w:rPr>
              <w:t xml:space="preserve"> (s):</w:t>
            </w:r>
            <w:r w:rsidR="004A1E45" w:rsidRPr="00FC509A">
              <w:rPr>
                <w:rFonts w:ascii="Cambria" w:hAnsi="Cambria"/>
                <w:sz w:val="20"/>
                <w:szCs w:val="20"/>
              </w:rPr>
              <w:t xml:space="preserve"> Statehood Solidarity Committee</w:t>
            </w:r>
          </w:p>
          <w:p w14:paraId="120E31A9" w14:textId="77777777" w:rsidR="004A1E45" w:rsidRPr="00FC509A" w:rsidRDefault="004A1E45" w:rsidP="009B62C9">
            <w:pPr>
              <w:spacing w:after="0" w:line="240" w:lineRule="auto"/>
              <w:rPr>
                <w:rFonts w:ascii="Cambria" w:hAnsi="Cambria"/>
                <w:sz w:val="20"/>
                <w:szCs w:val="20"/>
              </w:rPr>
            </w:pPr>
            <w:r w:rsidRPr="00FC509A">
              <w:rPr>
                <w:rFonts w:ascii="Cambria" w:hAnsi="Cambria"/>
                <w:b/>
                <w:sz w:val="20"/>
                <w:szCs w:val="20"/>
              </w:rPr>
              <w:t xml:space="preserve">State: </w:t>
            </w:r>
            <w:r w:rsidRPr="00FC509A">
              <w:rPr>
                <w:rFonts w:ascii="Cambria" w:hAnsi="Cambria"/>
                <w:sz w:val="20"/>
                <w:szCs w:val="20"/>
              </w:rPr>
              <w:t>United States</w:t>
            </w:r>
          </w:p>
          <w:p w14:paraId="4593CC4D" w14:textId="77777777" w:rsidR="004A1E45" w:rsidRPr="00FC509A" w:rsidRDefault="00D74AB4" w:rsidP="009B62C9">
            <w:pPr>
              <w:spacing w:after="0" w:line="240" w:lineRule="auto"/>
              <w:rPr>
                <w:rFonts w:ascii="Cambria" w:hAnsi="Cambria"/>
                <w:sz w:val="20"/>
                <w:szCs w:val="20"/>
              </w:rPr>
            </w:pPr>
            <w:r w:rsidRPr="00FC509A">
              <w:rPr>
                <w:rFonts w:ascii="Cambria" w:hAnsi="Cambria"/>
                <w:b/>
                <w:sz w:val="20"/>
                <w:szCs w:val="20"/>
              </w:rPr>
              <w:t>Merits Report No.</w:t>
            </w:r>
            <w:r w:rsidR="004A1E45" w:rsidRPr="00FC509A">
              <w:rPr>
                <w:rFonts w:ascii="Cambria" w:hAnsi="Cambria"/>
                <w:b/>
                <w:sz w:val="20"/>
                <w:szCs w:val="20"/>
              </w:rPr>
              <w:t xml:space="preserve">: </w:t>
            </w:r>
            <w:hyperlink r:id="rId8" w:history="1">
              <w:r w:rsidR="004A1E45" w:rsidRPr="00FC509A">
                <w:rPr>
                  <w:rStyle w:val="Hyperlink"/>
                  <w:rFonts w:ascii="Cambria" w:hAnsi="Cambria"/>
                  <w:color w:val="auto"/>
                  <w:sz w:val="20"/>
                  <w:szCs w:val="20"/>
                </w:rPr>
                <w:t>98/03</w:t>
              </w:r>
            </w:hyperlink>
            <w:r w:rsidR="004A1E45" w:rsidRPr="00FC509A">
              <w:rPr>
                <w:rFonts w:ascii="Cambria" w:hAnsi="Cambria"/>
                <w:sz w:val="20"/>
                <w:szCs w:val="20"/>
              </w:rPr>
              <w:t>, published on December 29, 2003</w:t>
            </w:r>
          </w:p>
          <w:p w14:paraId="521190BF" w14:textId="77777777" w:rsidR="004A1E45" w:rsidRPr="00FC509A" w:rsidRDefault="004A1E45" w:rsidP="009B62C9">
            <w:pPr>
              <w:spacing w:after="0" w:line="240" w:lineRule="auto"/>
              <w:rPr>
                <w:rFonts w:ascii="Cambria" w:hAnsi="Cambria"/>
                <w:sz w:val="20"/>
                <w:szCs w:val="20"/>
              </w:rPr>
            </w:pPr>
            <w:r w:rsidRPr="00FC509A">
              <w:rPr>
                <w:rFonts w:ascii="Cambria" w:hAnsi="Cambria"/>
                <w:b/>
                <w:sz w:val="20"/>
                <w:szCs w:val="20"/>
              </w:rPr>
              <w:t xml:space="preserve">Admissibility Report: </w:t>
            </w:r>
            <w:r w:rsidRPr="00FC509A">
              <w:rPr>
                <w:rFonts w:ascii="Cambria" w:hAnsi="Cambria"/>
                <w:sz w:val="20"/>
                <w:szCs w:val="20"/>
              </w:rPr>
              <w:t>Analyzed in the Merits Report No</w:t>
            </w:r>
            <w:r w:rsidR="00D74AB4" w:rsidRPr="00FC509A">
              <w:rPr>
                <w:rFonts w:ascii="Cambria" w:hAnsi="Cambria"/>
                <w:sz w:val="20"/>
                <w:szCs w:val="20"/>
              </w:rPr>
              <w:t>.</w:t>
            </w:r>
            <w:r w:rsidRPr="00FC509A">
              <w:rPr>
                <w:rFonts w:ascii="Cambria" w:hAnsi="Cambria"/>
                <w:sz w:val="20"/>
                <w:szCs w:val="20"/>
              </w:rPr>
              <w:t xml:space="preserve"> 98/03 </w:t>
            </w:r>
          </w:p>
          <w:p w14:paraId="06EAC303" w14:textId="6C9294F9" w:rsidR="004A1E45" w:rsidRPr="00FC509A" w:rsidRDefault="004A1E45" w:rsidP="00F42B57">
            <w:pPr>
              <w:spacing w:after="120" w:line="240" w:lineRule="auto"/>
              <w:jc w:val="both"/>
              <w:rPr>
                <w:rFonts w:ascii="Cambria" w:hAnsi="Cambria"/>
                <w:b/>
                <w:sz w:val="20"/>
                <w:szCs w:val="20"/>
              </w:rPr>
            </w:pPr>
            <w:r w:rsidRPr="00FC509A">
              <w:rPr>
                <w:rFonts w:ascii="Cambria" w:hAnsi="Cambria"/>
                <w:b/>
                <w:sz w:val="20"/>
                <w:szCs w:val="20"/>
              </w:rPr>
              <w:t xml:space="preserve">Themes: </w:t>
            </w:r>
            <w:r w:rsidR="006C4A2D" w:rsidRPr="00FC509A">
              <w:rPr>
                <w:rFonts w:ascii="Cambria" w:hAnsi="Cambria"/>
                <w:sz w:val="20"/>
                <w:szCs w:val="20"/>
              </w:rPr>
              <w:t xml:space="preserve">Domestic Effects / Right to Equal Protection / Right to Participate in Government. </w:t>
            </w:r>
            <w:r w:rsidR="000F2C3E" w:rsidRPr="00FC509A">
              <w:rPr>
                <w:rFonts w:ascii="Cambria" w:hAnsi="Cambria"/>
                <w:sz w:val="20"/>
                <w:szCs w:val="20"/>
              </w:rPr>
              <w:t xml:space="preserve">   </w:t>
            </w:r>
          </w:p>
          <w:p w14:paraId="7747F279" w14:textId="3DE7FA57" w:rsidR="00B47D55" w:rsidRPr="00FC509A" w:rsidRDefault="004A1E45" w:rsidP="002C4797">
            <w:pPr>
              <w:spacing w:after="120" w:line="240" w:lineRule="auto"/>
              <w:jc w:val="both"/>
              <w:rPr>
                <w:rFonts w:ascii="Cambria" w:hAnsi="Cambria"/>
                <w:sz w:val="20"/>
                <w:szCs w:val="20"/>
              </w:rPr>
            </w:pPr>
            <w:r w:rsidRPr="00FC509A">
              <w:rPr>
                <w:rFonts w:ascii="Cambria" w:hAnsi="Cambria"/>
                <w:b/>
                <w:sz w:val="20"/>
                <w:szCs w:val="20"/>
              </w:rPr>
              <w:t xml:space="preserve">Facts: </w:t>
            </w:r>
            <w:r w:rsidR="00254FC3" w:rsidRPr="00FC509A">
              <w:rPr>
                <w:rFonts w:ascii="Cambria" w:hAnsi="Cambria"/>
                <w:sz w:val="20"/>
                <w:szCs w:val="20"/>
              </w:rPr>
              <w:t xml:space="preserve">This case refers to the fact that, as a consequence of Article 1, paragraph 8 of the U.S. Constitution and the Act of Congress that created the District of Columbia in 1801, the citizens of the District of Columbia </w:t>
            </w:r>
            <w:r w:rsidR="00312111" w:rsidRPr="00FC509A">
              <w:rPr>
                <w:rFonts w:ascii="Cambria" w:hAnsi="Cambria"/>
                <w:sz w:val="20"/>
                <w:szCs w:val="20"/>
              </w:rPr>
              <w:t xml:space="preserve">lack effective representation in the U.S. Congress, given that they are not represented in the U.S Senate </w:t>
            </w:r>
            <w:r w:rsidR="00506FF6" w:rsidRPr="00FC509A">
              <w:rPr>
                <w:rFonts w:ascii="Cambria" w:hAnsi="Cambria"/>
                <w:sz w:val="20"/>
                <w:szCs w:val="20"/>
              </w:rPr>
              <w:t>nor</w:t>
            </w:r>
            <w:r w:rsidR="00312111" w:rsidRPr="00FC509A">
              <w:rPr>
                <w:rFonts w:ascii="Cambria" w:hAnsi="Cambria"/>
                <w:sz w:val="20"/>
                <w:szCs w:val="20"/>
              </w:rPr>
              <w:t xml:space="preserve"> by a member with effective vote in the House of Representatives. </w:t>
            </w:r>
            <w:r w:rsidR="002C4797" w:rsidRPr="00FC509A">
              <w:rPr>
                <w:rFonts w:ascii="Cambria" w:hAnsi="Cambria"/>
                <w:sz w:val="20"/>
                <w:szCs w:val="20"/>
              </w:rPr>
              <w:t>While citizens of the District of Columbia are permitted to elect a member of the House of Representatives, that member cannot cast a deciding vote in respect of any of the matters coming before the House. This is in contrast to the residents of States in the United States, who have the right under the U.S. Constitution to elect members of both the Senate an</w:t>
            </w:r>
            <w:r w:rsidR="005C2E47" w:rsidRPr="00FC509A">
              <w:rPr>
                <w:rFonts w:ascii="Cambria" w:hAnsi="Cambria"/>
                <w:sz w:val="20"/>
                <w:szCs w:val="20"/>
              </w:rPr>
              <w:t>d the House of Representatives.</w:t>
            </w:r>
            <w:r w:rsidR="002C4797" w:rsidRPr="00FC509A">
              <w:rPr>
                <w:rFonts w:ascii="Cambria" w:hAnsi="Cambria"/>
                <w:sz w:val="20"/>
                <w:szCs w:val="20"/>
              </w:rPr>
              <w:t xml:space="preserve">  </w:t>
            </w:r>
          </w:p>
          <w:p w14:paraId="1E2E087E" w14:textId="77777777" w:rsidR="004A1E45" w:rsidRPr="00FC509A" w:rsidRDefault="004A1E45" w:rsidP="005C2E47">
            <w:pPr>
              <w:spacing w:after="120" w:line="240" w:lineRule="auto"/>
              <w:jc w:val="both"/>
              <w:rPr>
                <w:rFonts w:ascii="Cambria" w:hAnsi="Cambria"/>
                <w:b/>
                <w:sz w:val="20"/>
                <w:szCs w:val="20"/>
              </w:rPr>
            </w:pPr>
            <w:r w:rsidRPr="00FC509A">
              <w:rPr>
                <w:rFonts w:ascii="Cambria" w:hAnsi="Cambria"/>
                <w:b/>
                <w:sz w:val="20"/>
                <w:szCs w:val="20"/>
              </w:rPr>
              <w:t xml:space="preserve">Rights violated: </w:t>
            </w:r>
            <w:r w:rsidRPr="00FC509A">
              <w:rPr>
                <w:rFonts w:ascii="Cambria" w:hAnsi="Cambria"/>
                <w:sz w:val="20"/>
                <w:szCs w:val="20"/>
              </w:rPr>
              <w:t>The Commission concluded that the State was responsible for violations of the petitioners’ rights under Articles II and XX of the American Declaration by denying them an effective opportunity to participate in their federal legislature.</w:t>
            </w:r>
          </w:p>
        </w:tc>
      </w:tr>
    </w:tbl>
    <w:p w14:paraId="4B18D92A" w14:textId="77777777" w:rsidR="004A1E45" w:rsidRPr="00FC509A" w:rsidRDefault="004A1E45" w:rsidP="004A1E45">
      <w:pPr>
        <w:spacing w:after="0" w:line="240" w:lineRule="auto"/>
        <w:ind w:left="180"/>
        <w:rPr>
          <w:rFonts w:ascii="Cambria" w:hAnsi="Cambria"/>
          <w:sz w:val="20"/>
          <w:szCs w:val="20"/>
        </w:rPr>
      </w:pPr>
    </w:p>
    <w:p w14:paraId="134FFA40" w14:textId="77777777" w:rsidR="004A1E45" w:rsidRPr="00FC509A" w:rsidRDefault="00047D84" w:rsidP="00047D84">
      <w:pPr>
        <w:numPr>
          <w:ilvl w:val="0"/>
          <w:numId w:val="1"/>
        </w:numPr>
        <w:spacing w:after="0" w:line="240" w:lineRule="auto"/>
        <w:ind w:left="1440"/>
        <w:jc w:val="both"/>
        <w:rPr>
          <w:rFonts w:ascii="Cambria" w:hAnsi="Cambria" w:cs="Calibri Light"/>
          <w:b/>
          <w:sz w:val="20"/>
          <w:szCs w:val="20"/>
        </w:rPr>
      </w:pPr>
      <w:r w:rsidRPr="00FC509A">
        <w:rPr>
          <w:rFonts w:ascii="Cambria" w:hAnsi="Cambria" w:cs="Calibri Light"/>
          <w:b/>
          <w:sz w:val="20"/>
          <w:szCs w:val="20"/>
        </w:rPr>
        <w:t>Recommendations</w:t>
      </w:r>
    </w:p>
    <w:p w14:paraId="7E40227E" w14:textId="77777777" w:rsidR="004A1E45" w:rsidRPr="00FC509A" w:rsidRDefault="004A1E45" w:rsidP="004A1E45">
      <w:pPr>
        <w:spacing w:after="0" w:line="240" w:lineRule="auto"/>
        <w:ind w:left="1080"/>
        <w:jc w:val="both"/>
        <w:rPr>
          <w:rFonts w:ascii="Cambria" w:hAnsi="Cambria" w:cs="Calibri Light"/>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1867"/>
      </w:tblGrid>
      <w:tr w:rsidR="000D7003" w:rsidRPr="00FC509A" w14:paraId="47241ACB" w14:textId="77777777" w:rsidTr="009C7697">
        <w:tc>
          <w:tcPr>
            <w:tcW w:w="7650" w:type="dxa"/>
            <w:shd w:val="clear" w:color="auto" w:fill="auto"/>
            <w:vAlign w:val="center"/>
          </w:tcPr>
          <w:p w14:paraId="7D783348" w14:textId="77777777" w:rsidR="004A1E45" w:rsidRPr="00FC509A" w:rsidRDefault="004A1E45" w:rsidP="009C7697">
            <w:pPr>
              <w:spacing w:after="0" w:line="240" w:lineRule="auto"/>
              <w:jc w:val="center"/>
              <w:rPr>
                <w:rFonts w:ascii="Cambria" w:hAnsi="Cambria" w:cs="Calibri Light"/>
                <w:b/>
                <w:sz w:val="18"/>
                <w:szCs w:val="18"/>
              </w:rPr>
            </w:pPr>
            <w:r w:rsidRPr="00FC509A">
              <w:rPr>
                <w:rFonts w:ascii="Cambria" w:hAnsi="Cambria" w:cs="Calibri Light"/>
                <w:b/>
                <w:sz w:val="18"/>
                <w:szCs w:val="18"/>
              </w:rPr>
              <w:t>Recommendations</w:t>
            </w:r>
          </w:p>
        </w:tc>
        <w:tc>
          <w:tcPr>
            <w:tcW w:w="1890" w:type="dxa"/>
            <w:shd w:val="clear" w:color="auto" w:fill="auto"/>
          </w:tcPr>
          <w:p w14:paraId="07544693" w14:textId="1B0FDF2C" w:rsidR="004A1E45" w:rsidRPr="00FC509A" w:rsidRDefault="0025348C" w:rsidP="00E77E51">
            <w:pPr>
              <w:spacing w:after="0" w:line="240" w:lineRule="auto"/>
              <w:jc w:val="center"/>
              <w:rPr>
                <w:rFonts w:ascii="Cambria" w:hAnsi="Cambria" w:cs="Calibri Light"/>
                <w:b/>
                <w:color w:val="000000" w:themeColor="text1"/>
                <w:sz w:val="18"/>
                <w:szCs w:val="18"/>
              </w:rPr>
            </w:pPr>
            <w:r w:rsidRPr="00FC509A">
              <w:rPr>
                <w:rFonts w:ascii="Cambria" w:hAnsi="Cambria" w:cs="Calibri Light"/>
                <w:b/>
                <w:color w:val="000000" w:themeColor="text1"/>
                <w:sz w:val="18"/>
                <w:szCs w:val="18"/>
              </w:rPr>
              <w:t>State of compliance in 20</w:t>
            </w:r>
            <w:r w:rsidR="003D730B" w:rsidRPr="00FC509A">
              <w:rPr>
                <w:rFonts w:ascii="Cambria" w:hAnsi="Cambria" w:cs="Calibri Light"/>
                <w:b/>
                <w:color w:val="000000" w:themeColor="text1"/>
                <w:sz w:val="18"/>
                <w:szCs w:val="18"/>
              </w:rPr>
              <w:t>20</w:t>
            </w:r>
          </w:p>
        </w:tc>
      </w:tr>
      <w:tr w:rsidR="004A1E45" w:rsidRPr="00FC509A" w14:paraId="4B39E9E0" w14:textId="77777777" w:rsidTr="00510A73">
        <w:trPr>
          <w:trHeight w:val="55"/>
        </w:trPr>
        <w:tc>
          <w:tcPr>
            <w:tcW w:w="7650" w:type="dxa"/>
            <w:shd w:val="clear" w:color="auto" w:fill="auto"/>
          </w:tcPr>
          <w:p w14:paraId="4F24A9B9" w14:textId="77777777" w:rsidR="004A1E45" w:rsidRPr="00FC509A" w:rsidRDefault="009B62C9" w:rsidP="00047D84">
            <w:pPr>
              <w:spacing w:after="0" w:line="240" w:lineRule="auto"/>
              <w:jc w:val="both"/>
              <w:rPr>
                <w:rFonts w:ascii="Cambria" w:hAnsi="Cambria"/>
                <w:sz w:val="18"/>
                <w:szCs w:val="18"/>
              </w:rPr>
            </w:pPr>
            <w:r w:rsidRPr="00FC509A">
              <w:rPr>
                <w:rFonts w:ascii="Cambria" w:hAnsi="Cambria"/>
                <w:sz w:val="18"/>
                <w:szCs w:val="18"/>
              </w:rPr>
              <w:t xml:space="preserve">1. </w:t>
            </w:r>
            <w:r w:rsidR="004A1E45" w:rsidRPr="00FC509A">
              <w:rPr>
                <w:rFonts w:ascii="Cambria" w:hAnsi="Cambria"/>
                <w:sz w:val="18"/>
                <w:szCs w:val="18"/>
              </w:rPr>
              <w:t>Provide the petitioners with an effective remedy, which includes adopting the legislative or other measures necessary to guarantee to the petitioners the effective right to participate, directly or through freely chosen representatives and in general conditions of equality, in their national legislature.</w:t>
            </w:r>
          </w:p>
        </w:tc>
        <w:tc>
          <w:tcPr>
            <w:tcW w:w="1890" w:type="dxa"/>
            <w:shd w:val="clear" w:color="auto" w:fill="auto"/>
            <w:vAlign w:val="center"/>
          </w:tcPr>
          <w:p w14:paraId="4C8FFF17" w14:textId="77777777" w:rsidR="004A1E45" w:rsidRPr="00FC509A" w:rsidRDefault="004A1E45" w:rsidP="00047D84">
            <w:pPr>
              <w:spacing w:after="0" w:line="240" w:lineRule="auto"/>
              <w:jc w:val="center"/>
              <w:rPr>
                <w:rFonts w:ascii="Cambria" w:hAnsi="Cambria" w:cs="Calibri Light"/>
                <w:b/>
                <w:color w:val="000000" w:themeColor="text1"/>
                <w:sz w:val="18"/>
                <w:szCs w:val="18"/>
              </w:rPr>
            </w:pPr>
            <w:r w:rsidRPr="00FC509A">
              <w:rPr>
                <w:rFonts w:ascii="Cambria" w:hAnsi="Cambria"/>
                <w:color w:val="000000" w:themeColor="text1"/>
                <w:sz w:val="18"/>
                <w:szCs w:val="18"/>
              </w:rPr>
              <w:t>Pending compliance</w:t>
            </w:r>
          </w:p>
        </w:tc>
      </w:tr>
    </w:tbl>
    <w:p w14:paraId="07CE0C06" w14:textId="77777777" w:rsidR="004A1E45" w:rsidRPr="00FC509A" w:rsidRDefault="004A1E45" w:rsidP="00C417DF">
      <w:pPr>
        <w:spacing w:after="0" w:line="240" w:lineRule="auto"/>
        <w:jc w:val="both"/>
        <w:rPr>
          <w:rFonts w:ascii="Cambria" w:hAnsi="Cambria" w:cs="Calibri Light"/>
          <w:sz w:val="20"/>
          <w:szCs w:val="20"/>
        </w:rPr>
      </w:pPr>
    </w:p>
    <w:p w14:paraId="06AFE6E6" w14:textId="77777777" w:rsidR="00C417DF" w:rsidRPr="00FC509A" w:rsidRDefault="00047D84" w:rsidP="00C417DF">
      <w:pPr>
        <w:pStyle w:val="ListParagraph"/>
        <w:numPr>
          <w:ilvl w:val="0"/>
          <w:numId w:val="1"/>
        </w:numPr>
        <w:spacing w:after="0" w:line="240" w:lineRule="auto"/>
        <w:ind w:left="1440"/>
        <w:jc w:val="both"/>
        <w:rPr>
          <w:rFonts w:ascii="Cambria" w:hAnsi="Cambria" w:cs="Calibri Light"/>
          <w:b/>
          <w:sz w:val="20"/>
          <w:szCs w:val="20"/>
        </w:rPr>
      </w:pPr>
      <w:r w:rsidRPr="00FC509A">
        <w:rPr>
          <w:rFonts w:ascii="Cambria" w:hAnsi="Cambria"/>
          <w:b/>
          <w:sz w:val="20"/>
          <w:szCs w:val="20"/>
        </w:rPr>
        <w:t xml:space="preserve">Procedural Activity </w:t>
      </w:r>
    </w:p>
    <w:p w14:paraId="2539B92F" w14:textId="77777777" w:rsidR="00C417DF" w:rsidRPr="00FC509A" w:rsidRDefault="00C417DF" w:rsidP="00C417DF">
      <w:pPr>
        <w:spacing w:after="0" w:line="240" w:lineRule="auto"/>
        <w:jc w:val="both"/>
        <w:rPr>
          <w:rFonts w:ascii="Cambria" w:hAnsi="Cambria" w:cs="Calibri Light"/>
          <w:sz w:val="20"/>
          <w:szCs w:val="20"/>
        </w:rPr>
      </w:pPr>
    </w:p>
    <w:p w14:paraId="3281F952" w14:textId="38231FF0" w:rsidR="00C417DF" w:rsidRPr="00FC509A" w:rsidRDefault="00C417DF" w:rsidP="00C417DF">
      <w:pPr>
        <w:pStyle w:val="ListParagraph"/>
        <w:numPr>
          <w:ilvl w:val="0"/>
          <w:numId w:val="11"/>
        </w:numPr>
        <w:spacing w:after="0" w:line="240" w:lineRule="auto"/>
        <w:jc w:val="both"/>
        <w:rPr>
          <w:rFonts w:ascii="Cambria" w:hAnsi="Cambria" w:cs="Calibri Light"/>
          <w:color w:val="000000" w:themeColor="text1"/>
          <w:sz w:val="20"/>
          <w:szCs w:val="20"/>
        </w:rPr>
      </w:pPr>
      <w:r w:rsidRPr="00FC509A">
        <w:rPr>
          <w:rFonts w:ascii="Cambria" w:hAnsi="Cambria" w:cs="Calibri Light"/>
          <w:color w:val="000000" w:themeColor="text1"/>
          <w:sz w:val="20"/>
          <w:szCs w:val="20"/>
        </w:rPr>
        <w:t>In 20</w:t>
      </w:r>
      <w:r w:rsidR="003D730B" w:rsidRPr="00FC509A">
        <w:rPr>
          <w:rFonts w:ascii="Cambria" w:hAnsi="Cambria" w:cs="Calibri Light"/>
          <w:color w:val="000000" w:themeColor="text1"/>
          <w:sz w:val="20"/>
          <w:szCs w:val="20"/>
        </w:rPr>
        <w:t>20</w:t>
      </w:r>
      <w:r w:rsidRPr="00FC509A">
        <w:rPr>
          <w:rFonts w:ascii="Cambria" w:hAnsi="Cambria" w:cs="Calibri Light"/>
          <w:color w:val="000000" w:themeColor="text1"/>
          <w:sz w:val="20"/>
          <w:szCs w:val="20"/>
        </w:rPr>
        <w:t xml:space="preserve">, the IACHR requested updated information on compliance from the State on </w:t>
      </w:r>
      <w:r w:rsidR="003D730B" w:rsidRPr="00FC509A">
        <w:rPr>
          <w:rFonts w:ascii="Cambria" w:hAnsi="Cambria" w:cs="Calibri Light"/>
          <w:color w:val="000000" w:themeColor="text1"/>
          <w:sz w:val="20"/>
          <w:szCs w:val="20"/>
        </w:rPr>
        <w:t>August 18</w:t>
      </w:r>
      <w:r w:rsidR="00B51586" w:rsidRPr="00FC509A">
        <w:rPr>
          <w:rFonts w:ascii="Cambria" w:hAnsi="Cambria" w:cs="Calibri Light"/>
          <w:color w:val="000000" w:themeColor="text1"/>
          <w:sz w:val="20"/>
          <w:szCs w:val="20"/>
        </w:rPr>
        <w:t>. T</w:t>
      </w:r>
      <w:r w:rsidRPr="00FC509A">
        <w:rPr>
          <w:rFonts w:ascii="Cambria" w:hAnsi="Cambria" w:cs="Calibri Light"/>
          <w:color w:val="000000" w:themeColor="text1"/>
          <w:sz w:val="20"/>
          <w:szCs w:val="20"/>
        </w:rPr>
        <w:t xml:space="preserve">he State presented said information on </w:t>
      </w:r>
      <w:r w:rsidR="004C5C22" w:rsidRPr="00FC509A">
        <w:rPr>
          <w:rFonts w:ascii="Cambria" w:hAnsi="Cambria" w:cs="Calibri Light"/>
          <w:color w:val="000000" w:themeColor="text1"/>
          <w:sz w:val="20"/>
          <w:szCs w:val="20"/>
        </w:rPr>
        <w:t>September 1</w:t>
      </w:r>
      <w:r w:rsidR="003D730B" w:rsidRPr="00FC509A">
        <w:rPr>
          <w:rFonts w:ascii="Cambria" w:hAnsi="Cambria" w:cs="Calibri Light"/>
          <w:color w:val="000000" w:themeColor="text1"/>
          <w:sz w:val="20"/>
          <w:szCs w:val="20"/>
        </w:rPr>
        <w:t>6</w:t>
      </w:r>
      <w:r w:rsidRPr="00FC509A">
        <w:rPr>
          <w:rFonts w:ascii="Cambria" w:hAnsi="Cambria" w:cs="Calibri Light"/>
          <w:color w:val="000000" w:themeColor="text1"/>
          <w:sz w:val="20"/>
          <w:szCs w:val="20"/>
        </w:rPr>
        <w:t xml:space="preserve">. </w:t>
      </w:r>
    </w:p>
    <w:p w14:paraId="3F468FF0" w14:textId="77777777" w:rsidR="00C417DF" w:rsidRPr="00FC509A" w:rsidRDefault="00C417DF" w:rsidP="00C417DF">
      <w:pPr>
        <w:pStyle w:val="ListParagraph"/>
        <w:spacing w:after="0" w:line="240" w:lineRule="auto"/>
        <w:jc w:val="both"/>
        <w:rPr>
          <w:rFonts w:ascii="Cambria" w:hAnsi="Cambria" w:cs="Calibri Light"/>
          <w:color w:val="000000" w:themeColor="text1"/>
          <w:sz w:val="20"/>
          <w:szCs w:val="20"/>
        </w:rPr>
      </w:pPr>
    </w:p>
    <w:p w14:paraId="110CB92A" w14:textId="76AF1E37" w:rsidR="00C417DF" w:rsidRPr="00FC509A" w:rsidRDefault="00100C99" w:rsidP="00C417DF">
      <w:pPr>
        <w:pStyle w:val="ListParagraph"/>
        <w:numPr>
          <w:ilvl w:val="0"/>
          <w:numId w:val="11"/>
        </w:numPr>
        <w:spacing w:after="0" w:line="240" w:lineRule="auto"/>
        <w:jc w:val="both"/>
        <w:rPr>
          <w:rFonts w:ascii="Cambria" w:hAnsi="Cambria" w:cs="Calibri Light"/>
          <w:color w:val="000000" w:themeColor="text1"/>
          <w:sz w:val="20"/>
          <w:szCs w:val="20"/>
        </w:rPr>
      </w:pPr>
      <w:r w:rsidRPr="00FC509A">
        <w:rPr>
          <w:rFonts w:ascii="Cambria" w:hAnsi="Cambria" w:cs="Calibri Light"/>
          <w:color w:val="000000" w:themeColor="text1"/>
          <w:sz w:val="20"/>
          <w:szCs w:val="20"/>
        </w:rPr>
        <w:t xml:space="preserve">In </w:t>
      </w:r>
      <w:r w:rsidR="00364D50" w:rsidRPr="00FC509A">
        <w:rPr>
          <w:rFonts w:ascii="Cambria" w:hAnsi="Cambria" w:cs="Calibri Light"/>
          <w:color w:val="000000" w:themeColor="text1"/>
          <w:sz w:val="20"/>
          <w:szCs w:val="20"/>
        </w:rPr>
        <w:t>2020</w:t>
      </w:r>
      <w:r w:rsidRPr="00FC509A">
        <w:rPr>
          <w:rFonts w:ascii="Cambria" w:hAnsi="Cambria" w:cs="Calibri Light"/>
          <w:color w:val="000000" w:themeColor="text1"/>
          <w:sz w:val="20"/>
          <w:szCs w:val="20"/>
        </w:rPr>
        <w:t xml:space="preserve"> t</w:t>
      </w:r>
      <w:r w:rsidR="00E87248" w:rsidRPr="00FC509A">
        <w:rPr>
          <w:rFonts w:ascii="Cambria" w:hAnsi="Cambria" w:cs="Calibri Light"/>
          <w:color w:val="000000" w:themeColor="text1"/>
          <w:sz w:val="20"/>
          <w:szCs w:val="20"/>
        </w:rPr>
        <w:t>he I</w:t>
      </w:r>
      <w:r w:rsidR="00C417DF" w:rsidRPr="00FC509A">
        <w:rPr>
          <w:rFonts w:ascii="Cambria" w:hAnsi="Cambria" w:cs="Calibri Light"/>
          <w:color w:val="000000" w:themeColor="text1"/>
          <w:sz w:val="20"/>
          <w:szCs w:val="20"/>
        </w:rPr>
        <w:t>ACHR requested updated information on compliance from the petitioner</w:t>
      </w:r>
      <w:r w:rsidR="00E87248" w:rsidRPr="00FC509A">
        <w:rPr>
          <w:rFonts w:ascii="Cambria" w:hAnsi="Cambria" w:cs="Calibri Light"/>
          <w:color w:val="000000" w:themeColor="text1"/>
          <w:sz w:val="20"/>
          <w:szCs w:val="20"/>
        </w:rPr>
        <w:t>s</w:t>
      </w:r>
      <w:r w:rsidR="00C417DF" w:rsidRPr="00FC509A">
        <w:rPr>
          <w:rFonts w:ascii="Cambria" w:hAnsi="Cambria" w:cs="Calibri Light"/>
          <w:color w:val="000000" w:themeColor="text1"/>
          <w:sz w:val="20"/>
          <w:szCs w:val="20"/>
        </w:rPr>
        <w:t xml:space="preserve"> on </w:t>
      </w:r>
      <w:r w:rsidR="00364D50" w:rsidRPr="00FC509A">
        <w:rPr>
          <w:rFonts w:ascii="Cambria" w:hAnsi="Cambria" w:cs="Calibri Light"/>
          <w:color w:val="000000" w:themeColor="text1"/>
          <w:sz w:val="20"/>
          <w:szCs w:val="20"/>
        </w:rPr>
        <w:t>August 18</w:t>
      </w:r>
      <w:r w:rsidR="00A820BB" w:rsidRPr="00FC509A">
        <w:rPr>
          <w:rFonts w:ascii="Cambria" w:hAnsi="Cambria" w:cs="Calibri Light"/>
          <w:color w:val="000000" w:themeColor="text1"/>
          <w:sz w:val="20"/>
          <w:szCs w:val="20"/>
        </w:rPr>
        <w:t xml:space="preserve">, and they presented said information on </w:t>
      </w:r>
      <w:r w:rsidR="00364D50" w:rsidRPr="00FC509A">
        <w:rPr>
          <w:rFonts w:ascii="Cambria" w:hAnsi="Cambria" w:cs="Calibri Light"/>
          <w:color w:val="000000" w:themeColor="text1"/>
          <w:sz w:val="20"/>
          <w:szCs w:val="20"/>
        </w:rPr>
        <w:t xml:space="preserve">September 15, 2020. </w:t>
      </w:r>
    </w:p>
    <w:p w14:paraId="302844F8" w14:textId="77777777" w:rsidR="00C417DF" w:rsidRPr="00FC509A" w:rsidRDefault="00C417DF" w:rsidP="00C417DF">
      <w:pPr>
        <w:spacing w:after="0" w:line="240" w:lineRule="auto"/>
        <w:jc w:val="both"/>
        <w:rPr>
          <w:rFonts w:ascii="Cambria" w:hAnsi="Cambria" w:cs="Calibri Light"/>
          <w:sz w:val="20"/>
          <w:szCs w:val="20"/>
        </w:rPr>
      </w:pPr>
    </w:p>
    <w:p w14:paraId="13EAA73A" w14:textId="77777777" w:rsidR="00C417DF" w:rsidRPr="00FC509A" w:rsidRDefault="00047D84" w:rsidP="00C417DF">
      <w:pPr>
        <w:pStyle w:val="ListParagraph"/>
        <w:numPr>
          <w:ilvl w:val="0"/>
          <w:numId w:val="1"/>
        </w:numPr>
        <w:spacing w:after="0" w:line="240" w:lineRule="auto"/>
        <w:ind w:left="1440"/>
        <w:jc w:val="both"/>
        <w:rPr>
          <w:rFonts w:ascii="Cambria" w:hAnsi="Cambria" w:cs="Calibri Light"/>
          <w:b/>
          <w:sz w:val="20"/>
          <w:szCs w:val="20"/>
        </w:rPr>
      </w:pPr>
      <w:r w:rsidRPr="00FC509A">
        <w:rPr>
          <w:rFonts w:ascii="Cambria" w:hAnsi="Cambria" w:cs="Calibri Light"/>
          <w:b/>
          <w:sz w:val="20"/>
          <w:szCs w:val="20"/>
        </w:rPr>
        <w:t xml:space="preserve">Analysis of the information presented </w:t>
      </w:r>
    </w:p>
    <w:p w14:paraId="2C1E1A56" w14:textId="77777777" w:rsidR="00C417DF" w:rsidRPr="00FC509A" w:rsidRDefault="00C417DF" w:rsidP="00C417DF">
      <w:pPr>
        <w:spacing w:after="0" w:line="240" w:lineRule="auto"/>
        <w:jc w:val="both"/>
        <w:rPr>
          <w:rFonts w:ascii="Cambria" w:hAnsi="Cambria" w:cs="Calibri Light"/>
          <w:sz w:val="20"/>
          <w:szCs w:val="20"/>
        </w:rPr>
      </w:pPr>
    </w:p>
    <w:p w14:paraId="19E52CE9" w14:textId="0FCA6851" w:rsidR="00C417DF" w:rsidRPr="00FC509A" w:rsidRDefault="00C417DF" w:rsidP="00862EB9">
      <w:pPr>
        <w:pStyle w:val="ListParagraph"/>
        <w:numPr>
          <w:ilvl w:val="0"/>
          <w:numId w:val="11"/>
        </w:numPr>
        <w:spacing w:after="0" w:line="240" w:lineRule="auto"/>
        <w:jc w:val="both"/>
        <w:rPr>
          <w:rFonts w:ascii="Cambria" w:hAnsi="Cambria" w:cs="Calibri Light"/>
          <w:color w:val="000000" w:themeColor="text1"/>
          <w:sz w:val="20"/>
          <w:szCs w:val="20"/>
        </w:rPr>
      </w:pPr>
      <w:r w:rsidRPr="00FC509A">
        <w:rPr>
          <w:rFonts w:ascii="Cambria" w:hAnsi="Cambria" w:cs="Calibri Light"/>
          <w:color w:val="000000" w:themeColor="text1"/>
          <w:sz w:val="20"/>
          <w:szCs w:val="20"/>
        </w:rPr>
        <w:t>The Commission considers that the information presented by the State in 20</w:t>
      </w:r>
      <w:r w:rsidR="00862EB9" w:rsidRPr="00FC509A">
        <w:rPr>
          <w:rFonts w:ascii="Cambria" w:hAnsi="Cambria" w:cs="Calibri Light"/>
          <w:color w:val="000000" w:themeColor="text1"/>
          <w:sz w:val="20"/>
          <w:szCs w:val="20"/>
        </w:rPr>
        <w:t xml:space="preserve">20 is irrelevant to update the following up of this case, given that </w:t>
      </w:r>
      <w:r w:rsidRPr="00FC509A">
        <w:rPr>
          <w:rFonts w:ascii="Cambria" w:hAnsi="Cambria" w:cs="Calibri Light"/>
          <w:color w:val="000000" w:themeColor="text1"/>
          <w:sz w:val="20"/>
          <w:szCs w:val="20"/>
        </w:rPr>
        <w:t>it</w:t>
      </w:r>
      <w:r w:rsidR="009112C6" w:rsidRPr="00FC509A">
        <w:rPr>
          <w:rFonts w:ascii="Cambria" w:hAnsi="Cambria" w:cs="Calibri Light"/>
          <w:color w:val="000000" w:themeColor="text1"/>
          <w:sz w:val="20"/>
          <w:szCs w:val="20"/>
        </w:rPr>
        <w:t xml:space="preserve"> repeats the information presented in previous years and it</w:t>
      </w:r>
      <w:r w:rsidRPr="00FC509A">
        <w:rPr>
          <w:rFonts w:ascii="Cambria" w:hAnsi="Cambria" w:cs="Calibri Light"/>
          <w:color w:val="000000" w:themeColor="text1"/>
          <w:sz w:val="20"/>
          <w:szCs w:val="20"/>
        </w:rPr>
        <w:t xml:space="preserve"> does not refer to measures taken</w:t>
      </w:r>
      <w:r w:rsidR="00862EB9" w:rsidRPr="00FC509A">
        <w:rPr>
          <w:rFonts w:ascii="Cambria" w:hAnsi="Cambria" w:cs="Calibri Light"/>
          <w:color w:val="000000" w:themeColor="text1"/>
          <w:sz w:val="20"/>
          <w:szCs w:val="20"/>
        </w:rPr>
        <w:t xml:space="preserve"> recently</w:t>
      </w:r>
      <w:r w:rsidRPr="00FC509A">
        <w:rPr>
          <w:rFonts w:ascii="Cambria" w:hAnsi="Cambria" w:cs="Calibri Light"/>
          <w:color w:val="000000" w:themeColor="text1"/>
          <w:sz w:val="20"/>
          <w:szCs w:val="20"/>
        </w:rPr>
        <w:t xml:space="preserve"> regarding compliance with at least one </w:t>
      </w:r>
      <w:r w:rsidR="00481ED3" w:rsidRPr="00FC509A">
        <w:rPr>
          <w:rFonts w:ascii="Cambria" w:hAnsi="Cambria" w:cs="Calibri Light"/>
          <w:color w:val="000000" w:themeColor="text1"/>
          <w:sz w:val="20"/>
          <w:szCs w:val="20"/>
        </w:rPr>
        <w:t>of</w:t>
      </w:r>
      <w:r w:rsidRPr="00FC509A">
        <w:rPr>
          <w:rFonts w:ascii="Cambria" w:hAnsi="Cambria" w:cs="Calibri Light"/>
          <w:color w:val="000000" w:themeColor="text1"/>
          <w:sz w:val="20"/>
          <w:szCs w:val="20"/>
        </w:rPr>
        <w:t xml:space="preserve"> the recommendations </w:t>
      </w:r>
      <w:r w:rsidR="00481ED3" w:rsidRPr="00FC509A">
        <w:rPr>
          <w:rFonts w:ascii="Cambria" w:hAnsi="Cambria" w:cs="Calibri Light"/>
          <w:color w:val="000000" w:themeColor="text1"/>
          <w:sz w:val="20"/>
          <w:szCs w:val="20"/>
        </w:rPr>
        <w:t>issued in Merits Report No. 98/03</w:t>
      </w:r>
      <w:r w:rsidRPr="00FC509A">
        <w:rPr>
          <w:rFonts w:ascii="Cambria" w:hAnsi="Cambria" w:cs="Calibri Light"/>
          <w:color w:val="000000" w:themeColor="text1"/>
          <w:sz w:val="20"/>
          <w:szCs w:val="20"/>
        </w:rPr>
        <w:t xml:space="preserve">. </w:t>
      </w:r>
    </w:p>
    <w:p w14:paraId="07F8AE0E" w14:textId="77777777" w:rsidR="00330356" w:rsidRPr="00FC509A" w:rsidRDefault="00330356" w:rsidP="00330356">
      <w:pPr>
        <w:pStyle w:val="ListParagraph"/>
        <w:spacing w:after="0" w:line="240" w:lineRule="auto"/>
        <w:jc w:val="both"/>
        <w:rPr>
          <w:rFonts w:ascii="Cambria" w:hAnsi="Cambria" w:cs="Calibri Light"/>
          <w:sz w:val="20"/>
          <w:szCs w:val="20"/>
        </w:rPr>
      </w:pPr>
    </w:p>
    <w:p w14:paraId="6A3A0688" w14:textId="79A6BC90" w:rsidR="00481ED3" w:rsidRPr="00FC509A" w:rsidRDefault="00991077" w:rsidP="00991077">
      <w:pPr>
        <w:pStyle w:val="ListParagraph"/>
        <w:numPr>
          <w:ilvl w:val="0"/>
          <w:numId w:val="11"/>
        </w:numPr>
        <w:spacing w:after="0" w:line="240" w:lineRule="auto"/>
        <w:jc w:val="both"/>
        <w:rPr>
          <w:rFonts w:ascii="Cambria" w:hAnsi="Cambria" w:cs="Calibri Light"/>
          <w:color w:val="000000" w:themeColor="text1"/>
          <w:sz w:val="20"/>
          <w:szCs w:val="20"/>
        </w:rPr>
      </w:pPr>
      <w:r w:rsidRPr="00FC509A">
        <w:rPr>
          <w:rFonts w:ascii="Cambria" w:hAnsi="Cambria" w:cs="Calibri Light"/>
          <w:color w:val="000000" w:themeColor="text1"/>
          <w:sz w:val="20"/>
          <w:szCs w:val="20"/>
        </w:rPr>
        <w:lastRenderedPageBreak/>
        <w:t>The Commission considers that the information presented by the petitioners in 20</w:t>
      </w:r>
      <w:r w:rsidR="002E0466" w:rsidRPr="00FC509A">
        <w:rPr>
          <w:rFonts w:ascii="Cambria" w:hAnsi="Cambria" w:cs="Calibri Light"/>
          <w:color w:val="000000" w:themeColor="text1"/>
          <w:sz w:val="20"/>
          <w:szCs w:val="20"/>
        </w:rPr>
        <w:t>20</w:t>
      </w:r>
      <w:r w:rsidRPr="00FC509A">
        <w:rPr>
          <w:rFonts w:ascii="Cambria" w:hAnsi="Cambria" w:cs="Calibri Light"/>
          <w:color w:val="000000" w:themeColor="text1"/>
          <w:sz w:val="20"/>
          <w:szCs w:val="20"/>
        </w:rPr>
        <w:t xml:space="preserve"> is </w:t>
      </w:r>
      <w:r w:rsidR="004C5C22" w:rsidRPr="00FC509A">
        <w:rPr>
          <w:rFonts w:ascii="Cambria" w:hAnsi="Cambria" w:cs="Calibri Light"/>
          <w:color w:val="000000" w:themeColor="text1"/>
          <w:sz w:val="20"/>
          <w:szCs w:val="20"/>
        </w:rPr>
        <w:t>relevant given that</w:t>
      </w:r>
      <w:r w:rsidR="00163CF4" w:rsidRPr="00FC509A">
        <w:rPr>
          <w:rFonts w:ascii="Cambria" w:hAnsi="Cambria" w:cs="Calibri Light"/>
          <w:color w:val="000000" w:themeColor="text1"/>
          <w:sz w:val="20"/>
          <w:szCs w:val="20"/>
        </w:rPr>
        <w:t xml:space="preserve"> it </w:t>
      </w:r>
      <w:r w:rsidR="00E50D15" w:rsidRPr="00FC509A">
        <w:rPr>
          <w:rFonts w:ascii="Cambria" w:hAnsi="Cambria" w:cs="Calibri Light"/>
          <w:color w:val="000000" w:themeColor="text1"/>
          <w:sz w:val="20"/>
          <w:szCs w:val="20"/>
        </w:rPr>
        <w:t>refers to the measures adopted in regard</w:t>
      </w:r>
      <w:r w:rsidR="00163CF4" w:rsidRPr="00FC509A">
        <w:rPr>
          <w:rFonts w:ascii="Cambria" w:hAnsi="Cambria" w:cs="Calibri Light"/>
          <w:color w:val="000000" w:themeColor="text1"/>
          <w:sz w:val="20"/>
          <w:szCs w:val="20"/>
        </w:rPr>
        <w:t xml:space="preserve"> with the recommendation issued in Merits Report No. 98/03. </w:t>
      </w:r>
    </w:p>
    <w:p w14:paraId="4F197921" w14:textId="77777777" w:rsidR="00481ED3" w:rsidRPr="00FC509A" w:rsidRDefault="00481ED3" w:rsidP="00481ED3">
      <w:pPr>
        <w:pStyle w:val="ListParagraph"/>
        <w:spacing w:after="0" w:line="240" w:lineRule="auto"/>
        <w:ind w:left="1440"/>
        <w:jc w:val="both"/>
        <w:rPr>
          <w:rFonts w:ascii="Cambria" w:hAnsi="Cambria" w:cs="Calibri Light"/>
          <w:b/>
          <w:sz w:val="20"/>
          <w:szCs w:val="20"/>
        </w:rPr>
      </w:pPr>
    </w:p>
    <w:p w14:paraId="1F48CC25" w14:textId="77777777" w:rsidR="004A1E45" w:rsidRPr="00FC509A" w:rsidRDefault="00047D84" w:rsidP="00047D84">
      <w:pPr>
        <w:pStyle w:val="ListParagraph"/>
        <w:numPr>
          <w:ilvl w:val="0"/>
          <w:numId w:val="1"/>
        </w:numPr>
        <w:spacing w:after="0" w:line="240" w:lineRule="auto"/>
        <w:ind w:left="1440"/>
        <w:jc w:val="both"/>
        <w:rPr>
          <w:rFonts w:ascii="Cambria" w:hAnsi="Cambria" w:cs="Calibri Light"/>
          <w:b/>
          <w:sz w:val="20"/>
          <w:szCs w:val="20"/>
        </w:rPr>
      </w:pPr>
      <w:r w:rsidRPr="00FC509A">
        <w:rPr>
          <w:rFonts w:ascii="Cambria" w:hAnsi="Cambria" w:cs="Calibri Light"/>
          <w:b/>
          <w:sz w:val="20"/>
          <w:szCs w:val="20"/>
        </w:rPr>
        <w:t xml:space="preserve">Analysis of compliance with the recommendations </w:t>
      </w:r>
    </w:p>
    <w:p w14:paraId="46CC6329" w14:textId="77777777" w:rsidR="00410357" w:rsidRPr="00FC509A" w:rsidRDefault="00410357" w:rsidP="00410357">
      <w:pPr>
        <w:pStyle w:val="ListParagraph"/>
        <w:spacing w:after="0" w:line="240" w:lineRule="auto"/>
        <w:jc w:val="both"/>
        <w:rPr>
          <w:rFonts w:ascii="Cambria" w:hAnsi="Cambria" w:cs="Calibri Light"/>
          <w:b/>
          <w:sz w:val="20"/>
          <w:szCs w:val="20"/>
        </w:rPr>
      </w:pPr>
    </w:p>
    <w:p w14:paraId="2A04ECD2" w14:textId="3719A3DD" w:rsidR="00A35C30" w:rsidRPr="00FC509A" w:rsidRDefault="001E6856" w:rsidP="009D0197">
      <w:pPr>
        <w:pStyle w:val="ListParagraph"/>
        <w:numPr>
          <w:ilvl w:val="0"/>
          <w:numId w:val="11"/>
        </w:numPr>
        <w:spacing w:after="0" w:line="240" w:lineRule="auto"/>
        <w:jc w:val="both"/>
        <w:rPr>
          <w:rFonts w:ascii="Cambria" w:hAnsi="Cambria" w:cs="Calibri Light"/>
          <w:sz w:val="20"/>
          <w:szCs w:val="20"/>
        </w:rPr>
      </w:pPr>
      <w:r w:rsidRPr="00FC509A">
        <w:rPr>
          <w:rFonts w:ascii="Cambria" w:hAnsi="Cambria" w:cs="Calibri Light"/>
          <w:b/>
          <w:sz w:val="20"/>
          <w:szCs w:val="20"/>
        </w:rPr>
        <w:t xml:space="preserve">With regards to the </w:t>
      </w:r>
      <w:r w:rsidR="004C5C22" w:rsidRPr="00FC509A">
        <w:rPr>
          <w:rFonts w:ascii="Cambria" w:hAnsi="Cambria" w:cs="Calibri Light"/>
          <w:b/>
          <w:sz w:val="20"/>
          <w:szCs w:val="20"/>
        </w:rPr>
        <w:t>only</w:t>
      </w:r>
      <w:r w:rsidRPr="00FC509A">
        <w:rPr>
          <w:rFonts w:ascii="Cambria" w:hAnsi="Cambria" w:cs="Calibri Light"/>
          <w:b/>
          <w:sz w:val="20"/>
          <w:szCs w:val="20"/>
        </w:rPr>
        <w:t xml:space="preserve"> recommendation</w:t>
      </w:r>
      <w:r w:rsidRPr="00FC509A">
        <w:rPr>
          <w:rFonts w:ascii="Cambria" w:hAnsi="Cambria" w:cs="Calibri Light"/>
          <w:sz w:val="20"/>
          <w:szCs w:val="20"/>
        </w:rPr>
        <w:t>,</w:t>
      </w:r>
      <w:r w:rsidRPr="00FC509A">
        <w:rPr>
          <w:rFonts w:ascii="Cambria" w:hAnsi="Cambria" w:cs="Calibri Light"/>
          <w:b/>
          <w:sz w:val="20"/>
          <w:szCs w:val="20"/>
        </w:rPr>
        <w:t xml:space="preserve"> </w:t>
      </w:r>
      <w:r w:rsidR="00A35C30" w:rsidRPr="00FC509A">
        <w:rPr>
          <w:rFonts w:ascii="Cambria" w:hAnsi="Cambria" w:cs="Calibri Light"/>
          <w:sz w:val="20"/>
          <w:szCs w:val="20"/>
        </w:rPr>
        <w:t>in 201</w:t>
      </w:r>
      <w:r w:rsidR="00176734" w:rsidRPr="00FC509A">
        <w:rPr>
          <w:rFonts w:ascii="Cambria" w:hAnsi="Cambria" w:cs="Calibri Light"/>
          <w:sz w:val="20"/>
          <w:szCs w:val="20"/>
        </w:rPr>
        <w:t>5</w:t>
      </w:r>
      <w:r w:rsidR="00A35C30" w:rsidRPr="00FC509A">
        <w:rPr>
          <w:rFonts w:ascii="Cambria" w:hAnsi="Cambria" w:cs="Calibri Light"/>
          <w:sz w:val="20"/>
          <w:szCs w:val="20"/>
        </w:rPr>
        <w:t xml:space="preserve">, the State reiterated that it </w:t>
      </w:r>
      <w:r w:rsidR="00176734" w:rsidRPr="00FC509A">
        <w:rPr>
          <w:rFonts w:ascii="Cambria" w:hAnsi="Cambria" w:cs="Calibri Light"/>
          <w:sz w:val="20"/>
          <w:szCs w:val="20"/>
        </w:rPr>
        <w:t>declines the recommendations of the Commission.</w:t>
      </w:r>
      <w:r w:rsidR="00176734" w:rsidRPr="00FC509A">
        <w:rPr>
          <w:rStyle w:val="FootnoteReference"/>
          <w:rFonts w:ascii="Cambria" w:hAnsi="Cambria" w:cs="Calibri Light"/>
          <w:sz w:val="20"/>
          <w:szCs w:val="20"/>
        </w:rPr>
        <w:footnoteReference w:id="1"/>
      </w:r>
      <w:r w:rsidR="00176734" w:rsidRPr="00FC509A">
        <w:rPr>
          <w:rFonts w:ascii="Cambria" w:hAnsi="Cambria" w:cs="Calibri Light"/>
          <w:sz w:val="20"/>
          <w:szCs w:val="20"/>
        </w:rPr>
        <w:t xml:space="preserve"> </w:t>
      </w:r>
      <w:r w:rsidR="00034850" w:rsidRPr="00FC509A">
        <w:rPr>
          <w:rFonts w:ascii="Cambria" w:hAnsi="Cambria" w:cs="Calibri Light"/>
          <w:sz w:val="20"/>
          <w:szCs w:val="20"/>
        </w:rPr>
        <w:t>I</w:t>
      </w:r>
      <w:r w:rsidR="004C5C22" w:rsidRPr="00FC509A">
        <w:rPr>
          <w:rFonts w:ascii="Cambria" w:hAnsi="Cambria" w:cs="Calibri Light"/>
          <w:sz w:val="20"/>
          <w:szCs w:val="20"/>
        </w:rPr>
        <w:t xml:space="preserve">n 2019, </w:t>
      </w:r>
      <w:r w:rsidR="00034850" w:rsidRPr="00FC509A">
        <w:rPr>
          <w:rFonts w:ascii="Cambria" w:hAnsi="Cambria" w:cs="Calibri Light"/>
          <w:sz w:val="20"/>
          <w:szCs w:val="20"/>
        </w:rPr>
        <w:t xml:space="preserve">the State reiterated its position </w:t>
      </w:r>
      <w:r w:rsidR="00536290" w:rsidRPr="00FC509A">
        <w:rPr>
          <w:rFonts w:ascii="Cambria" w:hAnsi="Cambria" w:cs="Calibri Light"/>
          <w:sz w:val="20"/>
          <w:szCs w:val="20"/>
        </w:rPr>
        <w:t xml:space="preserve">without </w:t>
      </w:r>
      <w:r w:rsidR="00E3057B" w:rsidRPr="00FC509A">
        <w:rPr>
          <w:rFonts w:ascii="Cambria" w:hAnsi="Cambria" w:cs="Calibri Light"/>
          <w:sz w:val="20"/>
          <w:szCs w:val="20"/>
        </w:rPr>
        <w:t xml:space="preserve">submitting any new information about steps taken to comply with this recommendation. </w:t>
      </w:r>
    </w:p>
    <w:p w14:paraId="19FDEE5C" w14:textId="77777777" w:rsidR="009D0197" w:rsidRPr="00FC509A" w:rsidRDefault="009D0197" w:rsidP="009D0197">
      <w:pPr>
        <w:pStyle w:val="ListParagraph"/>
        <w:spacing w:after="0" w:line="240" w:lineRule="auto"/>
        <w:jc w:val="both"/>
        <w:rPr>
          <w:rFonts w:ascii="Cambria" w:hAnsi="Cambria" w:cs="Calibri Light"/>
          <w:sz w:val="20"/>
          <w:szCs w:val="20"/>
        </w:rPr>
      </w:pPr>
    </w:p>
    <w:p w14:paraId="3DAE107F" w14:textId="556EDCD0" w:rsidR="00A35C30" w:rsidRPr="00FC509A" w:rsidRDefault="00A35C30" w:rsidP="004C5C22">
      <w:pPr>
        <w:pStyle w:val="ListParagraph"/>
        <w:numPr>
          <w:ilvl w:val="0"/>
          <w:numId w:val="11"/>
        </w:numPr>
        <w:spacing w:after="0" w:line="240" w:lineRule="auto"/>
        <w:jc w:val="both"/>
        <w:rPr>
          <w:rFonts w:ascii="Cambria" w:hAnsi="Cambria" w:cs="Calibri Light"/>
          <w:sz w:val="20"/>
          <w:szCs w:val="20"/>
        </w:rPr>
      </w:pPr>
      <w:r w:rsidRPr="00FC509A">
        <w:rPr>
          <w:rFonts w:ascii="Cambria" w:hAnsi="Cambria" w:cs="Calibri Light"/>
          <w:sz w:val="20"/>
          <w:szCs w:val="20"/>
        </w:rPr>
        <w:t xml:space="preserve">In 2015, the petitioners reported that the State had still not adopted the necessary measures to comply with the recommendations of the IACHR and </w:t>
      </w:r>
      <w:r w:rsidR="00330593" w:rsidRPr="00FC509A">
        <w:rPr>
          <w:rFonts w:ascii="Cambria" w:hAnsi="Cambria" w:cs="Calibri Light"/>
          <w:sz w:val="20"/>
          <w:szCs w:val="20"/>
        </w:rPr>
        <w:t xml:space="preserve">to </w:t>
      </w:r>
      <w:r w:rsidRPr="00FC509A">
        <w:rPr>
          <w:rFonts w:ascii="Cambria" w:hAnsi="Cambria" w:cs="Calibri Light"/>
          <w:sz w:val="20"/>
          <w:szCs w:val="20"/>
        </w:rPr>
        <w:t>guarantee the right of the residents of the District of Columbia to participate in the national legislature</w:t>
      </w:r>
      <w:r w:rsidR="00330593" w:rsidRPr="00FC509A">
        <w:rPr>
          <w:rFonts w:ascii="Cambria" w:hAnsi="Cambria" w:cs="Calibri Light"/>
          <w:sz w:val="20"/>
          <w:szCs w:val="20"/>
        </w:rPr>
        <w:t xml:space="preserve">. </w:t>
      </w:r>
      <w:r w:rsidR="00A45E20" w:rsidRPr="00FC509A">
        <w:rPr>
          <w:rFonts w:ascii="Cambria" w:hAnsi="Cambria" w:cs="Calibri Light"/>
          <w:sz w:val="20"/>
          <w:szCs w:val="20"/>
        </w:rPr>
        <w:t>The petitioners indicated that the State had not provided U.S. citizens who live in the District of Columbia the fundamental right to equal representation in the House of Representatives and the Senate</w:t>
      </w:r>
      <w:r w:rsidR="0022461E" w:rsidRPr="00FC509A">
        <w:rPr>
          <w:rFonts w:ascii="Cambria" w:hAnsi="Cambria" w:cs="Calibri Light"/>
          <w:sz w:val="20"/>
          <w:szCs w:val="20"/>
        </w:rPr>
        <w:t>.</w:t>
      </w:r>
      <w:r w:rsidR="00C922E6" w:rsidRPr="00FC509A">
        <w:rPr>
          <w:rStyle w:val="FootnoteReference"/>
          <w:rFonts w:ascii="Cambria" w:hAnsi="Cambria" w:cs="Calibri Light"/>
          <w:sz w:val="20"/>
          <w:szCs w:val="20"/>
        </w:rPr>
        <w:footnoteReference w:id="2"/>
      </w:r>
      <w:r w:rsidR="004C5C22" w:rsidRPr="00FC509A">
        <w:rPr>
          <w:rFonts w:ascii="Cambria" w:hAnsi="Cambria" w:cs="Calibri Light"/>
          <w:sz w:val="20"/>
          <w:szCs w:val="20"/>
        </w:rPr>
        <w:t xml:space="preserve"> </w:t>
      </w:r>
      <w:r w:rsidR="00E0089E" w:rsidRPr="00FC509A">
        <w:rPr>
          <w:rFonts w:ascii="Cambria" w:hAnsi="Cambria" w:cs="Calibri Light"/>
          <w:sz w:val="20"/>
          <w:szCs w:val="20"/>
        </w:rPr>
        <w:t xml:space="preserve">This </w:t>
      </w:r>
      <w:r w:rsidR="000D2110" w:rsidRPr="00FC509A">
        <w:rPr>
          <w:rFonts w:ascii="Cambria" w:hAnsi="Cambria" w:cs="Calibri Light"/>
          <w:sz w:val="20"/>
          <w:szCs w:val="20"/>
        </w:rPr>
        <w:t xml:space="preserve">state </w:t>
      </w:r>
      <w:r w:rsidR="00E0089E" w:rsidRPr="00FC509A">
        <w:rPr>
          <w:rFonts w:ascii="Cambria" w:hAnsi="Cambria" w:cs="Calibri Light"/>
          <w:sz w:val="20"/>
          <w:szCs w:val="20"/>
        </w:rPr>
        <w:t xml:space="preserve">of the </w:t>
      </w:r>
      <w:r w:rsidR="000D2110" w:rsidRPr="00FC509A">
        <w:rPr>
          <w:rFonts w:ascii="Cambria" w:hAnsi="Cambria" w:cs="Calibri Light"/>
          <w:sz w:val="20"/>
          <w:szCs w:val="20"/>
        </w:rPr>
        <w:t xml:space="preserve">affairs </w:t>
      </w:r>
      <w:r w:rsidR="00E0089E" w:rsidRPr="00FC509A">
        <w:rPr>
          <w:rFonts w:ascii="Cambria" w:hAnsi="Cambria" w:cs="Calibri Light"/>
          <w:sz w:val="20"/>
          <w:szCs w:val="20"/>
        </w:rPr>
        <w:t>was reported again</w:t>
      </w:r>
      <w:r w:rsidR="0082773D" w:rsidRPr="00FC509A">
        <w:rPr>
          <w:rFonts w:ascii="Cambria" w:hAnsi="Cambria" w:cs="Calibri Light"/>
          <w:sz w:val="20"/>
          <w:szCs w:val="20"/>
        </w:rPr>
        <w:t xml:space="preserve"> in 2019 by the petitioners, who asserted that the State </w:t>
      </w:r>
      <w:r w:rsidR="00950994" w:rsidRPr="00FC509A">
        <w:rPr>
          <w:rFonts w:ascii="Cambria" w:hAnsi="Cambria" w:cs="Calibri Light"/>
          <w:sz w:val="20"/>
          <w:szCs w:val="20"/>
        </w:rPr>
        <w:t xml:space="preserve">has consistently rejected recognizing the conclusions </w:t>
      </w:r>
      <w:r w:rsidR="00CC7129" w:rsidRPr="00FC509A">
        <w:rPr>
          <w:rFonts w:ascii="Cambria" w:hAnsi="Cambria" w:cs="Calibri Light"/>
          <w:sz w:val="20"/>
          <w:szCs w:val="20"/>
        </w:rPr>
        <w:t xml:space="preserve">and accepting the recommendations </w:t>
      </w:r>
      <w:r w:rsidR="0089256E" w:rsidRPr="00FC509A">
        <w:rPr>
          <w:rFonts w:ascii="Cambria" w:hAnsi="Cambria" w:cs="Calibri Light"/>
          <w:sz w:val="20"/>
          <w:szCs w:val="20"/>
        </w:rPr>
        <w:t xml:space="preserve">of the IACHR </w:t>
      </w:r>
      <w:r w:rsidR="00CC7129" w:rsidRPr="00FC509A">
        <w:rPr>
          <w:rFonts w:ascii="Cambria" w:hAnsi="Cambria" w:cs="Calibri Light"/>
          <w:sz w:val="20"/>
          <w:szCs w:val="20"/>
        </w:rPr>
        <w:t xml:space="preserve">relating to the case, refusing to guarantee the 700,000 United States citizens </w:t>
      </w:r>
      <w:r w:rsidR="00EB172E" w:rsidRPr="00FC509A">
        <w:rPr>
          <w:rFonts w:ascii="Cambria" w:hAnsi="Cambria" w:cs="Calibri Light"/>
          <w:sz w:val="20"/>
          <w:szCs w:val="20"/>
        </w:rPr>
        <w:t xml:space="preserve">residing in the District of Columbia the right to </w:t>
      </w:r>
      <w:r w:rsidR="00D02346" w:rsidRPr="00FC509A">
        <w:rPr>
          <w:rFonts w:ascii="Cambria" w:hAnsi="Cambria" w:cs="Calibri Light"/>
          <w:sz w:val="20"/>
          <w:szCs w:val="20"/>
        </w:rPr>
        <w:t xml:space="preserve">political </w:t>
      </w:r>
      <w:r w:rsidR="00EB172E" w:rsidRPr="00FC509A">
        <w:rPr>
          <w:rFonts w:ascii="Cambria" w:hAnsi="Cambria" w:cs="Calibri Light"/>
          <w:sz w:val="20"/>
          <w:szCs w:val="20"/>
        </w:rPr>
        <w:t>participat</w:t>
      </w:r>
      <w:r w:rsidR="00AC47E3" w:rsidRPr="00FC509A">
        <w:rPr>
          <w:rFonts w:ascii="Cambria" w:hAnsi="Cambria" w:cs="Calibri Light"/>
          <w:sz w:val="20"/>
          <w:szCs w:val="20"/>
        </w:rPr>
        <w:t>ion</w:t>
      </w:r>
      <w:r w:rsidR="00EB172E" w:rsidRPr="00FC509A">
        <w:rPr>
          <w:rFonts w:ascii="Cambria" w:hAnsi="Cambria" w:cs="Calibri Light"/>
          <w:sz w:val="20"/>
          <w:szCs w:val="20"/>
        </w:rPr>
        <w:t xml:space="preserve"> and equal representation.</w:t>
      </w:r>
    </w:p>
    <w:p w14:paraId="59BBA024" w14:textId="77777777" w:rsidR="004C5C22" w:rsidRPr="00FC509A" w:rsidRDefault="004C5C22" w:rsidP="004C5C22">
      <w:pPr>
        <w:spacing w:after="0" w:line="240" w:lineRule="auto"/>
        <w:jc w:val="both"/>
        <w:rPr>
          <w:rFonts w:ascii="Cambria" w:hAnsi="Cambria" w:cs="Calibri Light"/>
          <w:sz w:val="20"/>
          <w:szCs w:val="20"/>
        </w:rPr>
      </w:pPr>
    </w:p>
    <w:p w14:paraId="0DFB7446" w14:textId="3E8D3DD2" w:rsidR="001E6856" w:rsidRPr="00FC509A" w:rsidRDefault="00B711F4" w:rsidP="00884BD2">
      <w:pPr>
        <w:pStyle w:val="ListParagraph"/>
        <w:numPr>
          <w:ilvl w:val="0"/>
          <w:numId w:val="11"/>
        </w:numPr>
        <w:spacing w:after="0" w:line="240" w:lineRule="auto"/>
        <w:jc w:val="both"/>
        <w:rPr>
          <w:rFonts w:ascii="Cambria" w:hAnsi="Cambria" w:cs="Calibri Light"/>
          <w:color w:val="000000" w:themeColor="text1"/>
          <w:sz w:val="20"/>
          <w:szCs w:val="20"/>
        </w:rPr>
      </w:pPr>
      <w:r w:rsidRPr="00FC509A">
        <w:rPr>
          <w:rFonts w:ascii="Cambria" w:eastAsiaTheme="minorHAnsi" w:hAnsi="Cambria" w:cs="AppleSystemUIFontBold"/>
          <w:color w:val="000000" w:themeColor="text1"/>
          <w:sz w:val="20"/>
          <w:szCs w:val="20"/>
        </w:rPr>
        <w:t>I</w:t>
      </w:r>
      <w:r w:rsidR="00884BD2" w:rsidRPr="00FC509A">
        <w:rPr>
          <w:rFonts w:ascii="Cambria" w:eastAsiaTheme="minorHAnsi" w:hAnsi="Cambria" w:cs="AppleSystemUIFontBold"/>
          <w:color w:val="000000" w:themeColor="text1"/>
          <w:sz w:val="20"/>
          <w:szCs w:val="20"/>
        </w:rPr>
        <w:t xml:space="preserve">n 2020, the petitioners informed that, during the past 17 years, the United States have failed to guarantee the right </w:t>
      </w:r>
      <w:r w:rsidR="001A0429" w:rsidRPr="00FC509A">
        <w:rPr>
          <w:rFonts w:ascii="Cambria" w:eastAsiaTheme="minorHAnsi" w:hAnsi="Cambria" w:cs="AppleSystemUIFontBold"/>
          <w:color w:val="000000" w:themeColor="text1"/>
          <w:sz w:val="20"/>
          <w:szCs w:val="20"/>
        </w:rPr>
        <w:t xml:space="preserve">of the citizens of the District of Columbia </w:t>
      </w:r>
      <w:r w:rsidR="00884BD2" w:rsidRPr="00FC509A">
        <w:rPr>
          <w:rFonts w:ascii="Cambria" w:eastAsiaTheme="minorHAnsi" w:hAnsi="Cambria" w:cs="AppleSystemUIFontBold"/>
          <w:color w:val="000000" w:themeColor="text1"/>
          <w:sz w:val="20"/>
          <w:szCs w:val="20"/>
        </w:rPr>
        <w:t>to equal representation in politics. They reiterated that, during all this time, the United States government has persistently ignored the recommendations made by the IACHR in the Merits Report No. 98/03</w:t>
      </w:r>
      <w:r w:rsidR="00C6519B" w:rsidRPr="00FC509A">
        <w:rPr>
          <w:rFonts w:ascii="Cambria" w:eastAsiaTheme="minorHAnsi" w:hAnsi="Cambria" w:cs="AppleSystemUIFontBold"/>
          <w:color w:val="000000" w:themeColor="text1"/>
          <w:sz w:val="20"/>
          <w:szCs w:val="20"/>
        </w:rPr>
        <w:t>,</w:t>
      </w:r>
      <w:r w:rsidR="00884BD2" w:rsidRPr="00FC509A">
        <w:rPr>
          <w:rFonts w:ascii="Cambria" w:eastAsiaTheme="minorHAnsi" w:hAnsi="Cambria" w:cs="AppleSystemUIFontBold"/>
          <w:color w:val="000000" w:themeColor="text1"/>
          <w:sz w:val="20"/>
          <w:szCs w:val="20"/>
        </w:rPr>
        <w:t xml:space="preserve"> as well as other recommendations </w:t>
      </w:r>
      <w:r w:rsidR="0098385E" w:rsidRPr="00FC509A">
        <w:rPr>
          <w:rFonts w:ascii="Cambria" w:eastAsiaTheme="minorHAnsi" w:hAnsi="Cambria" w:cs="AppleSystemUIFontBold"/>
          <w:color w:val="000000" w:themeColor="text1"/>
          <w:sz w:val="20"/>
          <w:szCs w:val="20"/>
        </w:rPr>
        <w:t>issued</w:t>
      </w:r>
      <w:r w:rsidR="00884BD2" w:rsidRPr="00FC509A">
        <w:rPr>
          <w:rFonts w:ascii="Cambria" w:eastAsiaTheme="minorHAnsi" w:hAnsi="Cambria" w:cs="AppleSystemUIFontBold"/>
          <w:color w:val="000000" w:themeColor="text1"/>
          <w:sz w:val="20"/>
          <w:szCs w:val="20"/>
        </w:rPr>
        <w:t xml:space="preserve"> by other international bodies such as the </w:t>
      </w:r>
      <w:r w:rsidR="00C15A36" w:rsidRPr="00FC509A">
        <w:rPr>
          <w:rFonts w:ascii="Cambria" w:eastAsiaTheme="minorHAnsi" w:hAnsi="Cambria" w:cs="AppleSystemUIFontBold"/>
          <w:color w:val="000000" w:themeColor="text1"/>
          <w:sz w:val="20"/>
          <w:szCs w:val="20"/>
        </w:rPr>
        <w:t xml:space="preserve">United Nations </w:t>
      </w:r>
      <w:r w:rsidR="00884BD2" w:rsidRPr="00FC509A">
        <w:rPr>
          <w:rFonts w:ascii="Cambria" w:eastAsiaTheme="minorHAnsi" w:hAnsi="Cambria" w:cs="AppleSystemUIFontBold"/>
          <w:color w:val="000000" w:themeColor="text1"/>
          <w:sz w:val="20"/>
          <w:szCs w:val="20"/>
        </w:rPr>
        <w:t>Human R</w:t>
      </w:r>
      <w:r w:rsidR="00C15A36" w:rsidRPr="00FC509A">
        <w:rPr>
          <w:rFonts w:ascii="Cambria" w:eastAsiaTheme="minorHAnsi" w:hAnsi="Cambria" w:cs="AppleSystemUIFontBold"/>
          <w:color w:val="000000" w:themeColor="text1"/>
          <w:sz w:val="20"/>
          <w:szCs w:val="20"/>
        </w:rPr>
        <w:t>ights Committee</w:t>
      </w:r>
      <w:r w:rsidR="00884BD2" w:rsidRPr="00FC509A">
        <w:rPr>
          <w:rFonts w:ascii="Cambria" w:eastAsiaTheme="minorHAnsi" w:hAnsi="Cambria" w:cs="AppleSystemUIFontBold"/>
          <w:color w:val="000000" w:themeColor="text1"/>
          <w:sz w:val="20"/>
          <w:szCs w:val="20"/>
        </w:rPr>
        <w:t>. They added that, during 2020, and for the first time in its history, the United States’ House of Representatives -led by a democratic majority- pushed for a discussion and approval of a law that would undertake the rec</w:t>
      </w:r>
      <w:r w:rsidR="008241C6" w:rsidRPr="00FC509A">
        <w:rPr>
          <w:rFonts w:ascii="Cambria" w:eastAsiaTheme="minorHAnsi" w:hAnsi="Cambria" w:cs="AppleSystemUIFontBold"/>
          <w:color w:val="000000" w:themeColor="text1"/>
          <w:sz w:val="20"/>
          <w:szCs w:val="20"/>
        </w:rPr>
        <w:t xml:space="preserve">ommendations made by the IACHR </w:t>
      </w:r>
      <w:r w:rsidR="00D61140" w:rsidRPr="00FC509A">
        <w:rPr>
          <w:rFonts w:ascii="Cambria" w:eastAsiaTheme="minorHAnsi" w:hAnsi="Cambria" w:cs="AppleSystemUIFontBold"/>
          <w:color w:val="000000" w:themeColor="text1"/>
          <w:sz w:val="20"/>
          <w:szCs w:val="20"/>
        </w:rPr>
        <w:t>to recognize</w:t>
      </w:r>
      <w:r w:rsidR="00884BD2" w:rsidRPr="00FC509A">
        <w:rPr>
          <w:rFonts w:ascii="Cambria" w:eastAsiaTheme="minorHAnsi" w:hAnsi="Cambria" w:cs="AppleSystemUIFontBold"/>
          <w:color w:val="000000" w:themeColor="text1"/>
          <w:sz w:val="20"/>
          <w:szCs w:val="20"/>
        </w:rPr>
        <w:t xml:space="preserve"> the right </w:t>
      </w:r>
      <w:r w:rsidR="00E569F5" w:rsidRPr="00FC509A">
        <w:rPr>
          <w:rFonts w:ascii="Cambria" w:eastAsiaTheme="minorHAnsi" w:hAnsi="Cambria" w:cs="AppleSystemUIFontBold"/>
          <w:color w:val="000000" w:themeColor="text1"/>
          <w:sz w:val="20"/>
          <w:szCs w:val="20"/>
        </w:rPr>
        <w:t>of the</w:t>
      </w:r>
      <w:r w:rsidR="00347462" w:rsidRPr="00FC509A">
        <w:rPr>
          <w:rFonts w:ascii="Cambria" w:eastAsiaTheme="minorHAnsi" w:hAnsi="Cambria" w:cs="AppleSystemUIFontBold"/>
          <w:color w:val="000000" w:themeColor="text1"/>
          <w:sz w:val="20"/>
          <w:szCs w:val="20"/>
        </w:rPr>
        <w:t xml:space="preserve"> citizens of the</w:t>
      </w:r>
      <w:r w:rsidR="00E569F5" w:rsidRPr="00FC509A">
        <w:rPr>
          <w:rFonts w:ascii="Cambria" w:eastAsiaTheme="minorHAnsi" w:hAnsi="Cambria" w:cs="AppleSystemUIFontBold"/>
          <w:color w:val="000000" w:themeColor="text1"/>
          <w:sz w:val="20"/>
          <w:szCs w:val="20"/>
        </w:rPr>
        <w:t xml:space="preserve"> </w:t>
      </w:r>
      <w:r w:rsidR="00884BD2" w:rsidRPr="00FC509A">
        <w:rPr>
          <w:rFonts w:ascii="Cambria" w:eastAsiaTheme="minorHAnsi" w:hAnsi="Cambria" w:cs="AppleSystemUIFontBold"/>
          <w:color w:val="000000" w:themeColor="text1"/>
          <w:sz w:val="20"/>
          <w:szCs w:val="20"/>
        </w:rPr>
        <w:t>District of Columbia</w:t>
      </w:r>
      <w:r w:rsidR="00E569F5" w:rsidRPr="00FC509A">
        <w:rPr>
          <w:rFonts w:ascii="Cambria" w:eastAsiaTheme="minorHAnsi" w:hAnsi="Cambria" w:cs="AppleSystemUIFontBold"/>
          <w:color w:val="000000" w:themeColor="text1"/>
          <w:sz w:val="20"/>
          <w:szCs w:val="20"/>
        </w:rPr>
        <w:t xml:space="preserve"> </w:t>
      </w:r>
      <w:r w:rsidR="00884BD2" w:rsidRPr="00FC509A">
        <w:rPr>
          <w:rFonts w:ascii="Cambria" w:eastAsiaTheme="minorHAnsi" w:hAnsi="Cambria" w:cs="AppleSystemUIFontBold"/>
          <w:color w:val="000000" w:themeColor="text1"/>
          <w:sz w:val="20"/>
          <w:szCs w:val="20"/>
        </w:rPr>
        <w:t>to have political representatives in both chambers of the American Congress. However, the petitioners inform that such legislation was not discussed by the Senate.</w:t>
      </w:r>
    </w:p>
    <w:p w14:paraId="4E684F78" w14:textId="77777777" w:rsidR="00884BD2" w:rsidRPr="00FC509A" w:rsidRDefault="00884BD2" w:rsidP="00884BD2">
      <w:pPr>
        <w:pStyle w:val="ListParagraph"/>
        <w:rPr>
          <w:rFonts w:ascii="Cambria" w:hAnsi="Cambria" w:cs="Calibri Light"/>
          <w:color w:val="000000" w:themeColor="text1"/>
          <w:sz w:val="20"/>
          <w:szCs w:val="20"/>
        </w:rPr>
      </w:pPr>
    </w:p>
    <w:p w14:paraId="5589D6E6" w14:textId="038EE261" w:rsidR="00884BD2" w:rsidRPr="00FC509A" w:rsidRDefault="00884BD2" w:rsidP="00884BD2">
      <w:pPr>
        <w:pStyle w:val="ListParagraph"/>
        <w:numPr>
          <w:ilvl w:val="0"/>
          <w:numId w:val="11"/>
        </w:numPr>
        <w:spacing w:after="0" w:line="240" w:lineRule="auto"/>
        <w:jc w:val="both"/>
        <w:rPr>
          <w:rFonts w:ascii="Cambria" w:hAnsi="Cambria" w:cs="Calibri Light"/>
          <w:color w:val="000000" w:themeColor="text1"/>
          <w:sz w:val="20"/>
          <w:szCs w:val="20"/>
        </w:rPr>
      </w:pPr>
      <w:r w:rsidRPr="00FC509A">
        <w:rPr>
          <w:rFonts w:ascii="Cambria" w:eastAsiaTheme="minorHAnsi" w:hAnsi="Cambria" w:cs="AppleSystemUIFont"/>
          <w:color w:val="000000" w:themeColor="text1"/>
          <w:sz w:val="20"/>
          <w:szCs w:val="20"/>
        </w:rPr>
        <w:t xml:space="preserve">The Commission would like to remind that the American Declaration is recognized as a source of </w:t>
      </w:r>
      <w:r w:rsidR="00E40628" w:rsidRPr="00FC509A">
        <w:rPr>
          <w:rFonts w:ascii="Cambria" w:eastAsiaTheme="minorHAnsi" w:hAnsi="Cambria" w:cs="AppleSystemUIFont"/>
          <w:color w:val="000000" w:themeColor="text1"/>
          <w:sz w:val="20"/>
          <w:szCs w:val="20"/>
        </w:rPr>
        <w:t>legal</w:t>
      </w:r>
      <w:r w:rsidRPr="00FC509A">
        <w:rPr>
          <w:rFonts w:ascii="Cambria" w:eastAsiaTheme="minorHAnsi" w:hAnsi="Cambria" w:cs="AppleSystemUIFont"/>
          <w:color w:val="000000" w:themeColor="text1"/>
          <w:sz w:val="20"/>
          <w:szCs w:val="20"/>
        </w:rPr>
        <w:t xml:space="preserve"> obligations to the Member States of the Organization of American States, particularly including those States that are not part of the American Convention on Human Rights.</w:t>
      </w:r>
      <w:r w:rsidR="00242D76" w:rsidRPr="00FC509A">
        <w:rPr>
          <w:rStyle w:val="FootnoteReference"/>
          <w:rFonts w:ascii="Cambria" w:eastAsiaTheme="minorHAnsi" w:hAnsi="Cambria" w:cs="AppleSystemUIFont"/>
          <w:color w:val="000000" w:themeColor="text1"/>
          <w:sz w:val="20"/>
          <w:szCs w:val="20"/>
        </w:rPr>
        <w:footnoteReference w:id="3"/>
      </w:r>
      <w:r w:rsidRPr="00FC509A">
        <w:rPr>
          <w:rFonts w:ascii="Cambria" w:eastAsiaTheme="minorHAnsi" w:hAnsi="Cambria" w:cs="AppleSystemUIFont"/>
          <w:color w:val="000000" w:themeColor="text1"/>
          <w:sz w:val="20"/>
          <w:szCs w:val="20"/>
        </w:rPr>
        <w:t xml:space="preserve"> As per </w:t>
      </w:r>
      <w:r w:rsidR="00242D76" w:rsidRPr="00FC509A">
        <w:rPr>
          <w:rFonts w:ascii="Cambria" w:eastAsiaTheme="minorHAnsi" w:hAnsi="Cambria" w:cs="AppleSystemUIFont"/>
          <w:color w:val="000000" w:themeColor="text1"/>
          <w:sz w:val="20"/>
          <w:szCs w:val="20"/>
        </w:rPr>
        <w:t>Article</w:t>
      </w:r>
      <w:r w:rsidRPr="00FC509A">
        <w:rPr>
          <w:rFonts w:ascii="Cambria" w:eastAsiaTheme="minorHAnsi" w:hAnsi="Cambria" w:cs="AppleSystemUIFont"/>
          <w:color w:val="000000" w:themeColor="text1"/>
          <w:sz w:val="20"/>
          <w:szCs w:val="20"/>
        </w:rPr>
        <w:t xml:space="preserve"> 31(1) of the Vienna Convention on the Law of Treaties, the Member States must adopt good faith efforts to comply with recommendations made by international bodies of supervision such as the Commission.</w:t>
      </w:r>
      <w:r w:rsidR="00242D76" w:rsidRPr="00FC509A">
        <w:rPr>
          <w:rStyle w:val="FootnoteReference"/>
          <w:rFonts w:ascii="Cambria" w:eastAsiaTheme="minorHAnsi" w:hAnsi="Cambria" w:cs="AppleSystemUIFont"/>
          <w:color w:val="000000" w:themeColor="text1"/>
          <w:sz w:val="20"/>
          <w:szCs w:val="20"/>
        </w:rPr>
        <w:footnoteReference w:id="4"/>
      </w:r>
      <w:r w:rsidRPr="00FC509A">
        <w:rPr>
          <w:rFonts w:ascii="Cambria" w:eastAsiaTheme="minorHAnsi" w:hAnsi="Cambria" w:cs="AppleSystemUIFont"/>
          <w:color w:val="000000" w:themeColor="text1"/>
          <w:sz w:val="20"/>
          <w:szCs w:val="20"/>
        </w:rPr>
        <w:t xml:space="preserve"> In this respect, the IACHR </w:t>
      </w:r>
      <w:r w:rsidR="009E7B67" w:rsidRPr="00FC509A">
        <w:rPr>
          <w:rFonts w:ascii="Cambria" w:eastAsiaTheme="minorHAnsi" w:hAnsi="Cambria" w:cs="AppleSystemUIFont"/>
          <w:color w:val="000000" w:themeColor="text1"/>
          <w:sz w:val="20"/>
          <w:szCs w:val="20"/>
        </w:rPr>
        <w:t>welcomes</w:t>
      </w:r>
      <w:r w:rsidRPr="00FC509A">
        <w:rPr>
          <w:rFonts w:ascii="Cambria" w:eastAsiaTheme="minorHAnsi" w:hAnsi="Cambria" w:cs="AppleSystemUIFont"/>
          <w:color w:val="000000" w:themeColor="text1"/>
          <w:sz w:val="20"/>
          <w:szCs w:val="20"/>
        </w:rPr>
        <w:t xml:space="preserve"> the news </w:t>
      </w:r>
      <w:r w:rsidR="002F2332" w:rsidRPr="00FC509A">
        <w:rPr>
          <w:rFonts w:ascii="Cambria" w:eastAsiaTheme="minorHAnsi" w:hAnsi="Cambria" w:cs="AppleSystemUIFont"/>
          <w:color w:val="000000" w:themeColor="text1"/>
          <w:sz w:val="20"/>
          <w:szCs w:val="20"/>
        </w:rPr>
        <w:t>about</w:t>
      </w:r>
      <w:r w:rsidRPr="00FC509A">
        <w:rPr>
          <w:rFonts w:ascii="Cambria" w:eastAsiaTheme="minorHAnsi" w:hAnsi="Cambria" w:cs="AppleSystemUIFont"/>
          <w:color w:val="000000" w:themeColor="text1"/>
          <w:sz w:val="20"/>
          <w:szCs w:val="20"/>
        </w:rPr>
        <w:t xml:space="preserve"> </w:t>
      </w:r>
      <w:r w:rsidR="00E36B85" w:rsidRPr="00FC509A">
        <w:rPr>
          <w:rFonts w:ascii="Cambria" w:eastAsiaTheme="minorHAnsi" w:hAnsi="Cambria" w:cs="AppleSystemUIFont"/>
          <w:color w:val="000000" w:themeColor="text1"/>
          <w:sz w:val="20"/>
          <w:szCs w:val="20"/>
        </w:rPr>
        <w:t>an</w:t>
      </w:r>
      <w:r w:rsidR="002F2332" w:rsidRPr="00FC509A">
        <w:rPr>
          <w:rFonts w:ascii="Cambria" w:eastAsiaTheme="minorHAnsi" w:hAnsi="Cambria" w:cs="AppleSystemUIFont"/>
          <w:color w:val="000000" w:themeColor="text1"/>
          <w:sz w:val="20"/>
          <w:szCs w:val="20"/>
        </w:rPr>
        <w:t xml:space="preserve"> initiative approved by the</w:t>
      </w:r>
      <w:r w:rsidRPr="00FC509A">
        <w:rPr>
          <w:rFonts w:ascii="Cambria" w:eastAsiaTheme="minorHAnsi" w:hAnsi="Cambria" w:cs="AppleSystemUIFont"/>
          <w:color w:val="000000" w:themeColor="text1"/>
          <w:sz w:val="20"/>
          <w:szCs w:val="20"/>
        </w:rPr>
        <w:t xml:space="preserve"> House of Representatives </w:t>
      </w:r>
      <w:r w:rsidR="001537A2" w:rsidRPr="00FC509A">
        <w:rPr>
          <w:rFonts w:ascii="Cambria" w:eastAsiaTheme="minorHAnsi" w:hAnsi="Cambria" w:cs="AppleSystemUIFont"/>
          <w:color w:val="000000" w:themeColor="text1"/>
          <w:sz w:val="20"/>
          <w:szCs w:val="20"/>
        </w:rPr>
        <w:t>to recognize</w:t>
      </w:r>
      <w:r w:rsidRPr="00FC509A">
        <w:rPr>
          <w:rFonts w:ascii="Cambria" w:eastAsiaTheme="minorHAnsi" w:hAnsi="Cambria" w:cs="AppleSystemUIFont"/>
          <w:color w:val="000000" w:themeColor="text1"/>
          <w:sz w:val="20"/>
          <w:szCs w:val="20"/>
        </w:rPr>
        <w:t xml:space="preserve"> the right to political equality of the citizens of the District of Columbia. However, it is also aware that such approval is one among</w:t>
      </w:r>
      <w:r w:rsidR="0031308E" w:rsidRPr="00FC509A">
        <w:rPr>
          <w:rFonts w:ascii="Cambria" w:eastAsiaTheme="minorHAnsi" w:hAnsi="Cambria" w:cs="AppleSystemUIFont"/>
          <w:color w:val="000000" w:themeColor="text1"/>
          <w:sz w:val="20"/>
          <w:szCs w:val="20"/>
        </w:rPr>
        <w:t xml:space="preserve"> </w:t>
      </w:r>
      <w:r w:rsidR="009418E9" w:rsidRPr="00FC509A">
        <w:rPr>
          <w:rFonts w:ascii="Cambria" w:eastAsiaTheme="minorHAnsi" w:hAnsi="Cambria" w:cs="AppleSystemUIFont"/>
          <w:color w:val="000000" w:themeColor="text1"/>
          <w:sz w:val="20"/>
          <w:szCs w:val="20"/>
        </w:rPr>
        <w:t>the</w:t>
      </w:r>
      <w:r w:rsidR="0031308E" w:rsidRPr="00FC509A">
        <w:rPr>
          <w:rFonts w:ascii="Cambria" w:eastAsiaTheme="minorHAnsi" w:hAnsi="Cambria" w:cs="AppleSystemUIFont"/>
          <w:color w:val="000000" w:themeColor="text1"/>
          <w:sz w:val="20"/>
          <w:szCs w:val="20"/>
        </w:rPr>
        <w:t xml:space="preserve"> many steps that could</w:t>
      </w:r>
      <w:r w:rsidRPr="00FC509A">
        <w:rPr>
          <w:rFonts w:ascii="Cambria" w:eastAsiaTheme="minorHAnsi" w:hAnsi="Cambria" w:cs="AppleSystemUIFont"/>
          <w:color w:val="000000" w:themeColor="text1"/>
          <w:sz w:val="20"/>
          <w:szCs w:val="20"/>
        </w:rPr>
        <w:t xml:space="preserve"> be taken to advance </w:t>
      </w:r>
      <w:r w:rsidR="00B07565" w:rsidRPr="00FC509A">
        <w:rPr>
          <w:rFonts w:ascii="Cambria" w:eastAsiaTheme="minorHAnsi" w:hAnsi="Cambria" w:cs="AppleSystemUIFont"/>
          <w:color w:val="000000" w:themeColor="text1"/>
          <w:sz w:val="20"/>
          <w:szCs w:val="20"/>
        </w:rPr>
        <w:t xml:space="preserve">on </w:t>
      </w:r>
      <w:r w:rsidRPr="00FC509A">
        <w:rPr>
          <w:rFonts w:ascii="Cambria" w:eastAsiaTheme="minorHAnsi" w:hAnsi="Cambria" w:cs="AppleSystemUIFont"/>
          <w:color w:val="000000" w:themeColor="text1"/>
          <w:sz w:val="20"/>
          <w:szCs w:val="20"/>
        </w:rPr>
        <w:t xml:space="preserve">the legislative process that </w:t>
      </w:r>
      <w:r w:rsidR="00B07565" w:rsidRPr="00FC509A">
        <w:rPr>
          <w:rFonts w:ascii="Cambria" w:eastAsiaTheme="minorHAnsi" w:hAnsi="Cambria" w:cs="AppleSystemUIFont"/>
          <w:color w:val="000000" w:themeColor="text1"/>
          <w:sz w:val="20"/>
          <w:szCs w:val="20"/>
        </w:rPr>
        <w:t xml:space="preserve">would led to the </w:t>
      </w:r>
      <w:r w:rsidR="004E6ECC" w:rsidRPr="00FC509A">
        <w:rPr>
          <w:rFonts w:ascii="Cambria" w:eastAsiaTheme="minorHAnsi" w:hAnsi="Cambria" w:cs="AppleSystemUIFont"/>
          <w:color w:val="000000" w:themeColor="text1"/>
          <w:sz w:val="20"/>
          <w:szCs w:val="20"/>
        </w:rPr>
        <w:t>comprehensive</w:t>
      </w:r>
      <w:r w:rsidRPr="00FC509A">
        <w:rPr>
          <w:rFonts w:ascii="Cambria" w:eastAsiaTheme="minorHAnsi" w:hAnsi="Cambria" w:cs="AppleSystemUIFont"/>
          <w:color w:val="000000" w:themeColor="text1"/>
          <w:sz w:val="20"/>
          <w:szCs w:val="20"/>
        </w:rPr>
        <w:t xml:space="preserve"> recognition of this right. </w:t>
      </w:r>
      <w:r w:rsidR="00863D1D" w:rsidRPr="00FC509A">
        <w:rPr>
          <w:rFonts w:ascii="Cambria" w:eastAsiaTheme="minorHAnsi" w:hAnsi="Cambria" w:cs="AppleSystemUIFont"/>
          <w:color w:val="000000" w:themeColor="text1"/>
          <w:sz w:val="20"/>
          <w:szCs w:val="20"/>
        </w:rPr>
        <w:t>In this regard</w:t>
      </w:r>
      <w:r w:rsidRPr="00FC509A">
        <w:rPr>
          <w:rFonts w:ascii="Cambria" w:eastAsiaTheme="minorHAnsi" w:hAnsi="Cambria" w:cs="AppleSystemUIFont"/>
          <w:color w:val="000000" w:themeColor="text1"/>
          <w:sz w:val="20"/>
          <w:szCs w:val="20"/>
        </w:rPr>
        <w:t>, the IACHR considers that Re</w:t>
      </w:r>
      <w:r w:rsidR="00913C44" w:rsidRPr="00FC509A">
        <w:rPr>
          <w:rFonts w:ascii="Cambria" w:eastAsiaTheme="minorHAnsi" w:hAnsi="Cambria" w:cs="AppleSystemUIFont"/>
          <w:color w:val="000000" w:themeColor="text1"/>
          <w:sz w:val="20"/>
          <w:szCs w:val="20"/>
        </w:rPr>
        <w:t>commendation 1 is still pending</w:t>
      </w:r>
      <w:r w:rsidR="002E68F0" w:rsidRPr="00FC509A">
        <w:rPr>
          <w:rFonts w:ascii="Cambria" w:eastAsiaTheme="minorHAnsi" w:hAnsi="Cambria" w:cs="AppleSystemUIFont"/>
          <w:color w:val="000000" w:themeColor="text1"/>
          <w:sz w:val="20"/>
          <w:szCs w:val="20"/>
        </w:rPr>
        <w:t xml:space="preserve"> compliance</w:t>
      </w:r>
      <w:r w:rsidRPr="00FC509A">
        <w:rPr>
          <w:rFonts w:ascii="Cambria" w:eastAsiaTheme="minorHAnsi" w:hAnsi="Cambria" w:cs="AppleSystemUIFont"/>
          <w:color w:val="000000" w:themeColor="text1"/>
          <w:sz w:val="20"/>
          <w:szCs w:val="20"/>
        </w:rPr>
        <w:t>.</w:t>
      </w:r>
    </w:p>
    <w:p w14:paraId="09529E7F" w14:textId="77777777" w:rsidR="00510A73" w:rsidRPr="00FC509A" w:rsidRDefault="00510A73" w:rsidP="00510A73">
      <w:pPr>
        <w:pStyle w:val="ListParagraph"/>
        <w:rPr>
          <w:rFonts w:ascii="Cambria" w:hAnsi="Cambria" w:cs="Calibri Light"/>
          <w:color w:val="000000" w:themeColor="text1"/>
          <w:sz w:val="20"/>
          <w:szCs w:val="20"/>
        </w:rPr>
      </w:pPr>
    </w:p>
    <w:p w14:paraId="1B8F4FD3" w14:textId="77777777" w:rsidR="00510A73" w:rsidRPr="00FC509A" w:rsidRDefault="00510A73" w:rsidP="00510A73">
      <w:pPr>
        <w:spacing w:after="0" w:line="240" w:lineRule="auto"/>
        <w:jc w:val="both"/>
        <w:rPr>
          <w:rFonts w:ascii="Cambria" w:hAnsi="Cambria" w:cs="Calibri Light"/>
          <w:color w:val="000000" w:themeColor="text1"/>
          <w:sz w:val="20"/>
          <w:szCs w:val="20"/>
        </w:rPr>
      </w:pPr>
    </w:p>
    <w:p w14:paraId="02A86A30" w14:textId="77777777" w:rsidR="004A1E45" w:rsidRPr="00FC509A" w:rsidRDefault="004A1E45" w:rsidP="004A1E45">
      <w:pPr>
        <w:spacing w:after="0" w:line="240" w:lineRule="auto"/>
        <w:rPr>
          <w:rFonts w:ascii="Cambria" w:hAnsi="Cambria"/>
          <w:color w:val="FF0000"/>
          <w:sz w:val="20"/>
          <w:szCs w:val="20"/>
        </w:rPr>
      </w:pPr>
    </w:p>
    <w:p w14:paraId="11FE753A" w14:textId="77777777" w:rsidR="004A1E45" w:rsidRPr="00FC509A" w:rsidRDefault="00047D84" w:rsidP="00047D84">
      <w:pPr>
        <w:pStyle w:val="ListParagraph"/>
        <w:numPr>
          <w:ilvl w:val="0"/>
          <w:numId w:val="1"/>
        </w:numPr>
        <w:spacing w:after="0" w:line="240" w:lineRule="auto"/>
        <w:ind w:left="1440"/>
        <w:jc w:val="both"/>
        <w:rPr>
          <w:rFonts w:ascii="Cambria" w:hAnsi="Cambria" w:cs="Calibri Light"/>
          <w:b/>
          <w:sz w:val="20"/>
          <w:szCs w:val="20"/>
        </w:rPr>
      </w:pPr>
      <w:r w:rsidRPr="00FC509A">
        <w:rPr>
          <w:rFonts w:ascii="Cambria" w:hAnsi="Cambria" w:cs="Calibri Light"/>
          <w:b/>
          <w:sz w:val="20"/>
          <w:szCs w:val="20"/>
        </w:rPr>
        <w:lastRenderedPageBreak/>
        <w:t xml:space="preserve">Level of compliance of the case  </w:t>
      </w:r>
    </w:p>
    <w:p w14:paraId="69E3F7FB" w14:textId="77777777" w:rsidR="00833608" w:rsidRPr="00FC509A" w:rsidRDefault="00833608" w:rsidP="00833608">
      <w:pPr>
        <w:pStyle w:val="ListParagraph"/>
        <w:spacing w:after="0" w:line="240" w:lineRule="auto"/>
        <w:ind w:left="1080"/>
        <w:jc w:val="both"/>
        <w:rPr>
          <w:rFonts w:ascii="Cambria" w:hAnsi="Cambria" w:cs="Calibri Light"/>
          <w:b/>
          <w:sz w:val="20"/>
          <w:szCs w:val="20"/>
        </w:rPr>
      </w:pPr>
    </w:p>
    <w:p w14:paraId="69AD34B8" w14:textId="77777777" w:rsidR="004A1E45" w:rsidRPr="00FC509A" w:rsidRDefault="00833608" w:rsidP="00833608">
      <w:pPr>
        <w:pStyle w:val="ListParagraph"/>
        <w:numPr>
          <w:ilvl w:val="0"/>
          <w:numId w:val="11"/>
        </w:numPr>
        <w:spacing w:after="0" w:line="240" w:lineRule="auto"/>
        <w:rPr>
          <w:rFonts w:ascii="Cambria" w:hAnsi="Cambria"/>
          <w:sz w:val="20"/>
          <w:szCs w:val="20"/>
        </w:rPr>
      </w:pPr>
      <w:r w:rsidRPr="00FC509A">
        <w:rPr>
          <w:rFonts w:ascii="Cambria" w:hAnsi="Cambria"/>
          <w:sz w:val="20"/>
          <w:szCs w:val="20"/>
        </w:rPr>
        <w:t xml:space="preserve">Based on the foregoing, the Commission concludes that the level of compliance with the case is pending. Consequently, the Commission will continue to monitor compliance with Recommendation 1. </w:t>
      </w:r>
    </w:p>
    <w:p w14:paraId="34CC5D32" w14:textId="77777777" w:rsidR="00833608" w:rsidRPr="00FC509A" w:rsidRDefault="00833608" w:rsidP="00833608">
      <w:pPr>
        <w:pStyle w:val="ListParagraph"/>
        <w:spacing w:after="0" w:line="240" w:lineRule="auto"/>
        <w:rPr>
          <w:rFonts w:ascii="Cambria" w:hAnsi="Cambria"/>
          <w:sz w:val="20"/>
          <w:szCs w:val="20"/>
        </w:rPr>
      </w:pPr>
    </w:p>
    <w:p w14:paraId="1F2025A7" w14:textId="49C39BAD" w:rsidR="00EF1AD5" w:rsidRPr="00FC509A" w:rsidRDefault="00EF1AD5" w:rsidP="00EF1AD5">
      <w:pPr>
        <w:pStyle w:val="ListParagraph"/>
        <w:numPr>
          <w:ilvl w:val="0"/>
          <w:numId w:val="11"/>
        </w:numPr>
        <w:spacing w:after="0" w:line="240" w:lineRule="auto"/>
        <w:jc w:val="both"/>
        <w:rPr>
          <w:rFonts w:ascii="Cambria" w:hAnsi="Cambria" w:cs="Calibri Light"/>
          <w:sz w:val="20"/>
          <w:szCs w:val="20"/>
        </w:rPr>
      </w:pPr>
      <w:r w:rsidRPr="00FC509A">
        <w:rPr>
          <w:rFonts w:ascii="Cambria" w:hAnsi="Cambria" w:cs="Calibri Light"/>
          <w:sz w:val="20"/>
          <w:szCs w:val="20"/>
        </w:rPr>
        <w:t>The Commission</w:t>
      </w:r>
      <w:r w:rsidR="001B2728" w:rsidRPr="00FC509A">
        <w:rPr>
          <w:rFonts w:ascii="Cambria" w:hAnsi="Cambria" w:cs="Calibri Light"/>
          <w:sz w:val="20"/>
          <w:szCs w:val="20"/>
        </w:rPr>
        <w:t xml:space="preserve"> </w:t>
      </w:r>
      <w:r w:rsidR="00E310FD" w:rsidRPr="00FC509A">
        <w:rPr>
          <w:rFonts w:ascii="Cambria" w:hAnsi="Cambria" w:cs="Calibri Light"/>
          <w:sz w:val="20"/>
          <w:szCs w:val="20"/>
        </w:rPr>
        <w:t>urges</w:t>
      </w:r>
      <w:r w:rsidRPr="00FC509A">
        <w:rPr>
          <w:rFonts w:ascii="Cambria" w:hAnsi="Cambria" w:cs="Calibri Light"/>
          <w:sz w:val="20"/>
          <w:szCs w:val="20"/>
        </w:rPr>
        <w:t xml:space="preserve"> the State to adopt actions to implement the recommendation issued in Merits Report No. 98/03 and to provide it with detailed and up to date information about these actions. At the same time, the IACHR invites the petitioners to present information about measures adopted by the State to comply with </w:t>
      </w:r>
      <w:r w:rsidR="0089470C" w:rsidRPr="00FC509A">
        <w:rPr>
          <w:rFonts w:ascii="Cambria" w:hAnsi="Cambria" w:cs="Calibri Light"/>
          <w:sz w:val="20"/>
          <w:szCs w:val="20"/>
        </w:rPr>
        <w:t>the Commission’s recommendation</w:t>
      </w:r>
      <w:r w:rsidRPr="00FC509A">
        <w:rPr>
          <w:rFonts w:ascii="Cambria" w:hAnsi="Cambria" w:cs="Calibri Light"/>
          <w:sz w:val="20"/>
          <w:szCs w:val="20"/>
        </w:rPr>
        <w:t xml:space="preserve">.  </w:t>
      </w:r>
    </w:p>
    <w:p w14:paraId="2F512D05" w14:textId="77777777" w:rsidR="00833608" w:rsidRPr="00FC509A" w:rsidRDefault="00833608" w:rsidP="00833608">
      <w:pPr>
        <w:spacing w:after="0" w:line="240" w:lineRule="auto"/>
        <w:rPr>
          <w:rFonts w:ascii="Cambria" w:hAnsi="Cambria"/>
          <w:sz w:val="20"/>
          <w:szCs w:val="20"/>
        </w:rPr>
      </w:pPr>
    </w:p>
    <w:p w14:paraId="5838D8E1" w14:textId="77777777" w:rsidR="004A1E45" w:rsidRPr="00FC509A" w:rsidRDefault="00047D84" w:rsidP="00047D84">
      <w:pPr>
        <w:pStyle w:val="ListParagraph"/>
        <w:numPr>
          <w:ilvl w:val="0"/>
          <w:numId w:val="1"/>
        </w:numPr>
        <w:spacing w:after="0" w:line="240" w:lineRule="auto"/>
        <w:ind w:left="1440"/>
        <w:rPr>
          <w:rFonts w:ascii="Cambria" w:hAnsi="Cambria"/>
          <w:b/>
          <w:sz w:val="20"/>
          <w:szCs w:val="20"/>
        </w:rPr>
      </w:pPr>
      <w:r w:rsidRPr="00FC509A">
        <w:rPr>
          <w:rFonts w:ascii="Cambria" w:hAnsi="Cambria"/>
          <w:b/>
          <w:sz w:val="20"/>
          <w:szCs w:val="20"/>
        </w:rPr>
        <w:t xml:space="preserve">Individual and structural results of the case </w:t>
      </w:r>
    </w:p>
    <w:p w14:paraId="17E51532" w14:textId="77777777" w:rsidR="001E6856" w:rsidRPr="00FC509A" w:rsidRDefault="001E6856" w:rsidP="001E6856">
      <w:pPr>
        <w:pStyle w:val="ListParagraph"/>
        <w:spacing w:after="0" w:line="240" w:lineRule="auto"/>
        <w:ind w:left="1080"/>
        <w:rPr>
          <w:rFonts w:ascii="Cambria" w:hAnsi="Cambria"/>
          <w:b/>
          <w:sz w:val="20"/>
          <w:szCs w:val="20"/>
        </w:rPr>
      </w:pPr>
    </w:p>
    <w:p w14:paraId="4A6AD064" w14:textId="77777777" w:rsidR="001E6856" w:rsidRPr="00FC509A" w:rsidRDefault="001E6856" w:rsidP="00833608">
      <w:pPr>
        <w:pStyle w:val="ListParagraph"/>
        <w:numPr>
          <w:ilvl w:val="0"/>
          <w:numId w:val="11"/>
        </w:numPr>
        <w:spacing w:after="0" w:line="240" w:lineRule="auto"/>
        <w:jc w:val="both"/>
        <w:rPr>
          <w:rFonts w:ascii="Cambria" w:hAnsi="Cambria"/>
          <w:sz w:val="20"/>
          <w:szCs w:val="20"/>
        </w:rPr>
      </w:pPr>
      <w:r w:rsidRPr="00FC509A">
        <w:rPr>
          <w:rFonts w:ascii="Cambria" w:hAnsi="Cambria"/>
          <w:sz w:val="20"/>
          <w:szCs w:val="20"/>
        </w:rPr>
        <w:t xml:space="preserve">Given that this case is pending compliance, there are no individual or structural results which have been informed by the parties. </w:t>
      </w:r>
    </w:p>
    <w:p w14:paraId="7EC97320" w14:textId="77777777" w:rsidR="004A1E45" w:rsidRPr="000D7003" w:rsidRDefault="004A1E45" w:rsidP="004A1E45">
      <w:pPr>
        <w:pStyle w:val="ListParagraph"/>
        <w:spacing w:after="0" w:line="240" w:lineRule="auto"/>
        <w:rPr>
          <w:rFonts w:ascii="Cambria" w:hAnsi="Cambria"/>
          <w:sz w:val="20"/>
          <w:szCs w:val="20"/>
        </w:rPr>
      </w:pPr>
      <w:bookmarkStart w:id="0" w:name="_GoBack"/>
      <w:bookmarkEnd w:id="0"/>
    </w:p>
    <w:p w14:paraId="11529AEC" w14:textId="77777777" w:rsidR="00D32543" w:rsidRPr="000D7003" w:rsidRDefault="00D32543" w:rsidP="004A1E45">
      <w:pPr>
        <w:rPr>
          <w:rFonts w:ascii="Cambria" w:hAnsi="Cambria"/>
          <w:sz w:val="20"/>
          <w:szCs w:val="20"/>
        </w:rPr>
      </w:pPr>
    </w:p>
    <w:sectPr w:rsidR="00D32543" w:rsidRPr="000D7003" w:rsidSect="00377EBE">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BF12" w14:textId="77777777" w:rsidR="007C6796" w:rsidRDefault="007C6796" w:rsidP="00C66AD7">
      <w:pPr>
        <w:spacing w:after="0" w:line="240" w:lineRule="auto"/>
      </w:pPr>
      <w:r>
        <w:separator/>
      </w:r>
    </w:p>
  </w:endnote>
  <w:endnote w:type="continuationSeparator" w:id="0">
    <w:p w14:paraId="620630F5" w14:textId="77777777" w:rsidR="007C6796" w:rsidRDefault="007C6796" w:rsidP="00C6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675"/>
      <w:docPartObj>
        <w:docPartGallery w:val="Page Numbers (Bottom of Page)"/>
        <w:docPartUnique/>
      </w:docPartObj>
    </w:sdtPr>
    <w:sdtEndPr>
      <w:rPr>
        <w:noProof/>
      </w:rPr>
    </w:sdtEndPr>
    <w:sdtContent>
      <w:p w14:paraId="730031F2" w14:textId="60E8A7AF" w:rsidR="00377EBE" w:rsidRDefault="00377EBE" w:rsidP="003A57DB">
        <w:pPr>
          <w:pStyle w:val="Footer"/>
        </w:pPr>
        <w:r w:rsidRPr="00377EBE">
          <w:rPr>
            <w:sz w:val="16"/>
            <w:szCs w:val="16"/>
          </w:rPr>
          <w:fldChar w:fldCharType="begin"/>
        </w:r>
        <w:r w:rsidRPr="00377EBE">
          <w:rPr>
            <w:sz w:val="16"/>
            <w:szCs w:val="16"/>
          </w:rPr>
          <w:instrText xml:space="preserve"> PAGE   \* MERGEFORMAT </w:instrText>
        </w:r>
        <w:r w:rsidRPr="00377EBE">
          <w:rPr>
            <w:sz w:val="16"/>
            <w:szCs w:val="16"/>
          </w:rPr>
          <w:fldChar w:fldCharType="separate"/>
        </w:r>
        <w:r w:rsidR="00FC509A">
          <w:rPr>
            <w:noProof/>
            <w:sz w:val="16"/>
            <w:szCs w:val="16"/>
          </w:rPr>
          <w:t>2</w:t>
        </w:r>
        <w:r w:rsidRPr="00377EBE">
          <w:rPr>
            <w:noProof/>
            <w:sz w:val="16"/>
            <w:szCs w:val="16"/>
          </w:rPr>
          <w:fldChar w:fldCharType="end"/>
        </w:r>
      </w:p>
    </w:sdtContent>
  </w:sdt>
  <w:p w14:paraId="698906C6" w14:textId="77777777" w:rsidR="00377EBE" w:rsidRDefault="0037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C419" w14:textId="77777777" w:rsidR="007C6796" w:rsidRDefault="007C6796" w:rsidP="00C66AD7">
      <w:pPr>
        <w:spacing w:after="0" w:line="240" w:lineRule="auto"/>
      </w:pPr>
      <w:r>
        <w:separator/>
      </w:r>
    </w:p>
  </w:footnote>
  <w:footnote w:type="continuationSeparator" w:id="0">
    <w:p w14:paraId="00369F62" w14:textId="77777777" w:rsidR="007C6796" w:rsidRDefault="007C6796" w:rsidP="00C66AD7">
      <w:pPr>
        <w:spacing w:after="0" w:line="240" w:lineRule="auto"/>
      </w:pPr>
      <w:r>
        <w:continuationSeparator/>
      </w:r>
    </w:p>
  </w:footnote>
  <w:footnote w:id="1">
    <w:p w14:paraId="459E57F6" w14:textId="77777777" w:rsidR="00176734" w:rsidRPr="00C670E8" w:rsidRDefault="00176734" w:rsidP="00D227A8">
      <w:pPr>
        <w:pStyle w:val="FootnoteText"/>
        <w:spacing w:after="120"/>
        <w:ind w:firstLine="720"/>
        <w:jc w:val="both"/>
        <w:rPr>
          <w:rFonts w:ascii="Cambria" w:hAnsi="Cambria"/>
          <w:sz w:val="16"/>
          <w:szCs w:val="16"/>
        </w:rPr>
      </w:pPr>
      <w:r w:rsidRPr="00C670E8">
        <w:rPr>
          <w:rStyle w:val="FootnoteReference"/>
          <w:rFonts w:ascii="Cambria" w:hAnsi="Cambria"/>
          <w:sz w:val="16"/>
          <w:szCs w:val="16"/>
        </w:rPr>
        <w:footnoteRef/>
      </w:r>
      <w:r w:rsidRPr="00C670E8">
        <w:rPr>
          <w:rFonts w:ascii="Cambria" w:hAnsi="Cambria"/>
          <w:sz w:val="16"/>
          <w:szCs w:val="16"/>
        </w:rPr>
        <w:t xml:space="preserve"> IACHR, 2017 Annual Report, </w:t>
      </w:r>
      <w:hyperlink r:id="rId1" w:history="1">
        <w:r w:rsidRPr="00C670E8">
          <w:rPr>
            <w:rStyle w:val="Hyperlink"/>
            <w:rFonts w:ascii="Cambria" w:hAnsi="Cambria"/>
            <w:color w:val="auto"/>
            <w:sz w:val="16"/>
            <w:szCs w:val="16"/>
          </w:rPr>
          <w:t>Chapter II, Section F: Status of compliance with the recommendations of the IACHR and friendly settlements of the IACHR</w:t>
        </w:r>
      </w:hyperlink>
      <w:r w:rsidRPr="00C670E8">
        <w:rPr>
          <w:rFonts w:ascii="Cambria" w:hAnsi="Cambria"/>
          <w:sz w:val="16"/>
          <w:szCs w:val="16"/>
        </w:rPr>
        <w:t>, para. 2149.</w:t>
      </w:r>
    </w:p>
  </w:footnote>
  <w:footnote w:id="2">
    <w:p w14:paraId="66A150EE" w14:textId="77777777" w:rsidR="00C922E6" w:rsidRPr="00C670E8" w:rsidRDefault="00C922E6" w:rsidP="00D227A8">
      <w:pPr>
        <w:pStyle w:val="FootnoteText"/>
        <w:spacing w:after="120"/>
        <w:ind w:firstLine="720"/>
        <w:jc w:val="both"/>
        <w:rPr>
          <w:rFonts w:ascii="Cambria" w:hAnsi="Cambria"/>
          <w:sz w:val="16"/>
          <w:szCs w:val="16"/>
        </w:rPr>
      </w:pPr>
      <w:r w:rsidRPr="00C670E8">
        <w:rPr>
          <w:rStyle w:val="FootnoteReference"/>
          <w:rFonts w:ascii="Cambria" w:hAnsi="Cambria"/>
          <w:sz w:val="16"/>
          <w:szCs w:val="16"/>
        </w:rPr>
        <w:footnoteRef/>
      </w:r>
      <w:r w:rsidRPr="00C670E8">
        <w:rPr>
          <w:rFonts w:ascii="Cambria" w:hAnsi="Cambria"/>
          <w:sz w:val="16"/>
          <w:szCs w:val="16"/>
        </w:rPr>
        <w:t xml:space="preserve"> IACHR, 2017 Annual Report, </w:t>
      </w:r>
      <w:hyperlink r:id="rId2" w:history="1">
        <w:r w:rsidRPr="00C670E8">
          <w:rPr>
            <w:rStyle w:val="Hyperlink"/>
            <w:rFonts w:ascii="Cambria" w:hAnsi="Cambria"/>
            <w:color w:val="auto"/>
            <w:sz w:val="16"/>
            <w:szCs w:val="16"/>
          </w:rPr>
          <w:t>Chapter II, Section F: Status of compliance with the recommendations of the IACHR and friendly settlements of the IACHR</w:t>
        </w:r>
      </w:hyperlink>
      <w:r w:rsidRPr="00C670E8">
        <w:rPr>
          <w:rFonts w:ascii="Cambria" w:hAnsi="Cambria"/>
          <w:sz w:val="16"/>
          <w:szCs w:val="16"/>
        </w:rPr>
        <w:t>, para. 2148.</w:t>
      </w:r>
    </w:p>
  </w:footnote>
  <w:footnote w:id="3">
    <w:p w14:paraId="53CEF3A9" w14:textId="0903282E" w:rsidR="00C670E8" w:rsidRPr="00C670E8" w:rsidRDefault="00242D76" w:rsidP="00C670E8">
      <w:pPr>
        <w:spacing w:after="0" w:line="240" w:lineRule="auto"/>
        <w:ind w:firstLine="720"/>
        <w:rPr>
          <w:rFonts w:ascii="Cambria" w:eastAsia="Times New Roman" w:hAnsi="Cambria"/>
          <w:sz w:val="16"/>
          <w:szCs w:val="16"/>
        </w:rPr>
      </w:pPr>
      <w:r w:rsidRPr="00C670E8">
        <w:rPr>
          <w:rStyle w:val="FootnoteReference"/>
          <w:rFonts w:ascii="Cambria" w:hAnsi="Cambria"/>
          <w:sz w:val="16"/>
          <w:szCs w:val="16"/>
        </w:rPr>
        <w:footnoteRef/>
      </w:r>
      <w:r w:rsidRPr="00C670E8">
        <w:rPr>
          <w:rFonts w:ascii="Cambria" w:hAnsi="Cambria"/>
          <w:sz w:val="16"/>
          <w:szCs w:val="16"/>
        </w:rPr>
        <w:t xml:space="preserve"> </w:t>
      </w:r>
      <w:proofErr w:type="spellStart"/>
      <w:r w:rsidRPr="00C670E8">
        <w:rPr>
          <w:rFonts w:ascii="Cambria" w:hAnsi="Cambria"/>
          <w:sz w:val="16"/>
          <w:szCs w:val="16"/>
        </w:rPr>
        <w:t>IACourtHR</w:t>
      </w:r>
      <w:proofErr w:type="spellEnd"/>
      <w:r w:rsidRPr="00C670E8">
        <w:rPr>
          <w:rFonts w:ascii="Cambria" w:hAnsi="Cambria"/>
          <w:sz w:val="16"/>
          <w:szCs w:val="16"/>
        </w:rPr>
        <w:t>,</w:t>
      </w:r>
      <w:r w:rsidR="00C670E8" w:rsidRPr="00C670E8">
        <w:rPr>
          <w:rFonts w:ascii="Cambria" w:hAnsi="Cambria"/>
          <w:sz w:val="16"/>
          <w:szCs w:val="16"/>
        </w:rPr>
        <w:t xml:space="preserve"> </w:t>
      </w:r>
      <w:hyperlink r:id="rId3" w:history="1">
        <w:proofErr w:type="spellStart"/>
        <w:r w:rsidR="00C670E8" w:rsidRPr="00C670E8">
          <w:rPr>
            <w:rStyle w:val="Hyperlink"/>
            <w:rFonts w:ascii="Cambria" w:hAnsi="Cambria"/>
            <w:sz w:val="16"/>
            <w:szCs w:val="16"/>
          </w:rPr>
          <w:t>Consultive</w:t>
        </w:r>
        <w:proofErr w:type="spellEnd"/>
        <w:r w:rsidR="00C670E8" w:rsidRPr="00C670E8">
          <w:rPr>
            <w:rStyle w:val="Hyperlink"/>
            <w:rFonts w:ascii="Cambria" w:hAnsi="Cambria"/>
            <w:sz w:val="16"/>
            <w:szCs w:val="16"/>
          </w:rPr>
          <w:t xml:space="preserve"> Opinion OC-10/89 Interpretation of de </w:t>
        </w:r>
        <w:r w:rsidR="00C670E8" w:rsidRPr="00C670E8">
          <w:rPr>
            <w:rStyle w:val="Hyperlink"/>
            <w:rFonts w:ascii="Cambria" w:eastAsia="Times New Roman" w:hAnsi="Cambria" w:cs="Arial"/>
            <w:sz w:val="16"/>
            <w:szCs w:val="16"/>
            <w:shd w:val="clear" w:color="auto" w:fill="FFFFFF"/>
          </w:rPr>
          <w:t>Declaration of the Rights and Duties of Man, in the context of Article 64 of the American Convention on Human Rights,</w:t>
        </w:r>
      </w:hyperlink>
      <w:r w:rsidR="00C670E8" w:rsidRPr="00C670E8">
        <w:rPr>
          <w:rFonts w:ascii="Cambria" w:eastAsia="Times New Roman" w:hAnsi="Cambria" w:cs="Arial"/>
          <w:sz w:val="16"/>
          <w:szCs w:val="16"/>
          <w:shd w:val="clear" w:color="auto" w:fill="FFFFFF"/>
        </w:rPr>
        <w:t xml:space="preserve"> July 14</w:t>
      </w:r>
      <w:r w:rsidR="00B711F4">
        <w:rPr>
          <w:rFonts w:ascii="Cambria" w:eastAsia="Times New Roman" w:hAnsi="Cambria" w:cs="Arial"/>
          <w:sz w:val="16"/>
          <w:szCs w:val="16"/>
          <w:shd w:val="clear" w:color="auto" w:fill="FFFFFF"/>
        </w:rPr>
        <w:t>,</w:t>
      </w:r>
      <w:r w:rsidR="00C670E8" w:rsidRPr="00C670E8">
        <w:rPr>
          <w:rFonts w:ascii="Cambria" w:eastAsia="Times New Roman" w:hAnsi="Cambria" w:cs="Arial"/>
          <w:sz w:val="16"/>
          <w:szCs w:val="16"/>
          <w:shd w:val="clear" w:color="auto" w:fill="FFFFFF"/>
        </w:rPr>
        <w:t xml:space="preserve"> 1989, Ser. A No. 10 (1989), parr. 35-45</w:t>
      </w:r>
    </w:p>
    <w:p w14:paraId="4B7478E4" w14:textId="4566768E" w:rsidR="00242D76" w:rsidRPr="00C670E8" w:rsidRDefault="00242D76" w:rsidP="00242D76">
      <w:pPr>
        <w:pStyle w:val="FootnoteText"/>
        <w:ind w:firstLine="720"/>
        <w:rPr>
          <w:rFonts w:ascii="Cambria" w:hAnsi="Cambria"/>
          <w:sz w:val="16"/>
          <w:szCs w:val="16"/>
        </w:rPr>
      </w:pPr>
    </w:p>
  </w:footnote>
  <w:footnote w:id="4">
    <w:p w14:paraId="317F3F9E" w14:textId="547A12D6" w:rsidR="00242D76" w:rsidRDefault="00242D76" w:rsidP="00242D76">
      <w:pPr>
        <w:pStyle w:val="FootnoteText"/>
        <w:ind w:firstLine="720"/>
      </w:pPr>
      <w:r w:rsidRPr="00C670E8">
        <w:rPr>
          <w:rStyle w:val="FootnoteReference"/>
          <w:rFonts w:ascii="Cambria" w:hAnsi="Cambria"/>
          <w:sz w:val="16"/>
          <w:szCs w:val="16"/>
        </w:rPr>
        <w:footnoteRef/>
      </w:r>
      <w:r w:rsidRPr="00C670E8">
        <w:rPr>
          <w:rFonts w:ascii="Cambria" w:hAnsi="Cambria"/>
          <w:sz w:val="16"/>
          <w:szCs w:val="16"/>
        </w:rPr>
        <w:t xml:space="preserve"> </w:t>
      </w:r>
      <w:r w:rsidR="00C670E8" w:rsidRPr="00C670E8">
        <w:rPr>
          <w:rFonts w:ascii="Cambria" w:hAnsi="Cambria"/>
          <w:sz w:val="16"/>
          <w:szCs w:val="16"/>
        </w:rPr>
        <w:t xml:space="preserve">IACHR, </w:t>
      </w:r>
      <w:hyperlink r:id="rId4" w:history="1">
        <w:r w:rsidR="00C670E8" w:rsidRPr="00B711F4">
          <w:rPr>
            <w:rStyle w:val="Hyperlink"/>
            <w:rFonts w:ascii="Cambria" w:hAnsi="Cambria"/>
            <w:sz w:val="16"/>
            <w:szCs w:val="16"/>
          </w:rPr>
          <w:t>Case 12.873, Merits Report No. 44/144, Edgar Tamayo Arias (United States)</w:t>
        </w:r>
      </w:hyperlink>
      <w:r w:rsidR="00C670E8" w:rsidRPr="00B711F4">
        <w:rPr>
          <w:rFonts w:ascii="Cambria" w:hAnsi="Cambria"/>
          <w:sz w:val="16"/>
          <w:szCs w:val="16"/>
        </w:rPr>
        <w:t>, parr. 214</w:t>
      </w:r>
      <w:r w:rsidR="00C670E8" w:rsidRPr="00C670E8">
        <w:rPr>
          <w:rFonts w:ascii="Cambria" w:hAnsi="Cambria"/>
          <w:sz w:val="16"/>
          <w:szCs w:val="16"/>
        </w:rPr>
        <w:t xml:space="preserve">; IACHR, </w:t>
      </w:r>
      <w:hyperlink r:id="rId5" w:history="1">
        <w:r w:rsidR="00C670E8" w:rsidRPr="00B711F4">
          <w:rPr>
            <w:rStyle w:val="Hyperlink"/>
            <w:rFonts w:ascii="Cambria" w:hAnsi="Cambria"/>
            <w:sz w:val="16"/>
            <w:szCs w:val="16"/>
          </w:rPr>
          <w:t xml:space="preserve">Case 12.626, Merits Report No. 80/11, Jessica </w:t>
        </w:r>
        <w:proofErr w:type="spellStart"/>
        <w:r w:rsidR="00C670E8" w:rsidRPr="00B711F4">
          <w:rPr>
            <w:rStyle w:val="Hyperlink"/>
            <w:rFonts w:ascii="Cambria" w:hAnsi="Cambria"/>
            <w:sz w:val="16"/>
            <w:szCs w:val="16"/>
          </w:rPr>
          <w:t>Lenaban</w:t>
        </w:r>
        <w:proofErr w:type="spellEnd"/>
        <w:r w:rsidR="00C670E8" w:rsidRPr="00B711F4">
          <w:rPr>
            <w:rStyle w:val="Hyperlink"/>
            <w:rFonts w:ascii="Cambria" w:hAnsi="Cambria"/>
            <w:sz w:val="16"/>
            <w:szCs w:val="16"/>
          </w:rPr>
          <w:t xml:space="preserve"> (Gonzales) and others (United States)</w:t>
        </w:r>
      </w:hyperlink>
      <w:r w:rsidR="00B711F4">
        <w:rPr>
          <w:rFonts w:ascii="Cambria" w:hAnsi="Cambria"/>
          <w:sz w:val="16"/>
          <w:szCs w:val="16"/>
        </w:rPr>
        <w:t>,</w:t>
      </w:r>
      <w:r w:rsidR="00C670E8" w:rsidRPr="00C670E8">
        <w:rPr>
          <w:rFonts w:ascii="Cambria" w:hAnsi="Cambria"/>
          <w:sz w:val="16"/>
          <w:szCs w:val="16"/>
        </w:rPr>
        <w:t xml:space="preserve"> parr. 115-120; IACHR, </w:t>
      </w:r>
      <w:hyperlink r:id="rId6" w:history="1">
        <w:r w:rsidR="00C670E8" w:rsidRPr="00B711F4">
          <w:rPr>
            <w:rStyle w:val="Hyperlink"/>
            <w:rFonts w:ascii="Cambria" w:hAnsi="Cambria"/>
            <w:sz w:val="16"/>
            <w:szCs w:val="16"/>
          </w:rPr>
          <w:t>Towards the Closure of Guanta</w:t>
        </w:r>
        <w:r w:rsidR="00B711F4" w:rsidRPr="00B711F4">
          <w:rPr>
            <w:rStyle w:val="Hyperlink"/>
            <w:rFonts w:ascii="Cambria" w:hAnsi="Cambria"/>
            <w:sz w:val="16"/>
            <w:szCs w:val="16"/>
          </w:rPr>
          <w:t>na</w:t>
        </w:r>
        <w:r w:rsidR="00C670E8" w:rsidRPr="00B711F4">
          <w:rPr>
            <w:rStyle w:val="Hyperlink"/>
            <w:rFonts w:ascii="Cambria" w:hAnsi="Cambria"/>
            <w:sz w:val="16"/>
            <w:szCs w:val="16"/>
          </w:rPr>
          <w:t>mo</w:t>
        </w:r>
      </w:hyperlink>
      <w:r w:rsidR="00C670E8" w:rsidRPr="00B711F4">
        <w:rPr>
          <w:rFonts w:ascii="Cambria" w:hAnsi="Cambria"/>
          <w:sz w:val="16"/>
          <w:szCs w:val="16"/>
        </w:rPr>
        <w:t>, 2015, parrs. 16-23;</w:t>
      </w:r>
      <w:r w:rsidR="00C670E8">
        <w:rPr>
          <w:rFonts w:ascii="Cambria" w:hAnsi="Cambria"/>
          <w:sz w:val="16"/>
          <w:szCs w:val="16"/>
        </w:rPr>
        <w:t xml:space="preserve"> IACHR, </w:t>
      </w:r>
      <w:hyperlink r:id="rId7" w:history="1">
        <w:r w:rsidR="00C670E8" w:rsidRPr="00B711F4">
          <w:rPr>
            <w:rStyle w:val="Hyperlink"/>
            <w:rFonts w:ascii="Cambria" w:hAnsi="Cambria"/>
            <w:sz w:val="16"/>
            <w:szCs w:val="16"/>
          </w:rPr>
          <w:t>Case 12.586, Merits Report No. 78/11, John Doe and others (Canada),</w:t>
        </w:r>
      </w:hyperlink>
      <w:r w:rsidR="00C670E8">
        <w:rPr>
          <w:rFonts w:ascii="Cambria" w:hAnsi="Cambria"/>
          <w:sz w:val="16"/>
          <w:szCs w:val="16"/>
        </w:rPr>
        <w:t xml:space="preserve"> parrs. 129-131.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E10E" w14:textId="3340993C" w:rsidR="003A57DB" w:rsidRPr="003A57DB" w:rsidRDefault="003A57DB" w:rsidP="003A57DB">
    <w:pPr>
      <w:pStyle w:val="Header"/>
      <w:tabs>
        <w:tab w:val="clear" w:pos="4680"/>
        <w:tab w:val="left" w:pos="3330"/>
        <w:tab w:val="center" w:pos="3510"/>
        <w:tab w:val="left" w:pos="3690"/>
      </w:tabs>
      <w:ind w:left="2970" w:firstLine="360"/>
    </w:pPr>
    <w:r w:rsidRPr="003A57DB">
      <w:rPr>
        <w:noProof/>
      </w:rPr>
      <w:drawing>
        <wp:anchor distT="0" distB="0" distL="114300" distR="114300" simplePos="0" relativeHeight="251683328" behindDoc="0" locked="0" layoutInCell="1" allowOverlap="1" wp14:anchorId="2C451F1D" wp14:editId="4C71EB1E">
          <wp:simplePos x="0" y="0"/>
          <wp:positionH relativeFrom="column">
            <wp:posOffset>895350</wp:posOffset>
          </wp:positionH>
          <wp:positionV relativeFrom="paragraph">
            <wp:posOffset>-115570</wp:posOffset>
          </wp:positionV>
          <wp:extent cx="923925" cy="353695"/>
          <wp:effectExtent l="0" t="0" r="9525" b="8255"/>
          <wp:wrapSquare wrapText="bothSides"/>
          <wp:docPr id="15"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H-en"/>
                  <pic:cNvPicPr>
                    <a:picLocks noChangeAspect="1" noChangeArrowheads="1"/>
                  </pic:cNvPicPr>
                </pic:nvPicPr>
                <pic:blipFill>
                  <a:blip r:embed="rId1">
                    <a:extLst>
                      <a:ext uri="{28A0092B-C50C-407E-A947-70E740481C1C}">
                        <a14:useLocalDpi xmlns:a14="http://schemas.microsoft.com/office/drawing/2010/main" val="0"/>
                      </a:ext>
                    </a:extLst>
                  </a:blip>
                  <a:srcRect r="41916" b="5110"/>
                  <a:stretch>
                    <a:fillRect/>
                  </a:stretch>
                </pic:blipFill>
                <pic:spPr bwMode="auto">
                  <a:xfrm>
                    <a:off x="0" y="0"/>
                    <a:ext cx="923925" cy="353695"/>
                  </a:xfrm>
                  <a:prstGeom prst="rect">
                    <a:avLst/>
                  </a:prstGeom>
                  <a:noFill/>
                </pic:spPr>
              </pic:pic>
            </a:graphicData>
          </a:graphic>
          <wp14:sizeRelH relativeFrom="page">
            <wp14:pctWidth>0</wp14:pctWidth>
          </wp14:sizeRelH>
          <wp14:sizeRelV relativeFrom="page">
            <wp14:pctHeight>0</wp14:pctHeight>
          </wp14:sizeRelV>
        </wp:anchor>
      </w:drawing>
    </w:r>
    <w:r w:rsidRPr="003A57DB">
      <w:t>Inter-American Commission on Human Rights</w:t>
    </w:r>
  </w:p>
  <w:p w14:paraId="523CC50E" w14:textId="139FC23C" w:rsidR="003A57DB" w:rsidRPr="003A57DB" w:rsidRDefault="003A57DB" w:rsidP="003A57DB">
    <w:pPr>
      <w:pStyle w:val="Header"/>
      <w:rPr>
        <w:b/>
        <w:bCs/>
      </w:rPr>
    </w:pPr>
    <w:r w:rsidRPr="003A57DB">
      <w:rPr>
        <w:noProof/>
      </w:rPr>
      <mc:AlternateContent>
        <mc:Choice Requires="wps">
          <w:drawing>
            <wp:anchor distT="4294967295" distB="4294967295" distL="114300" distR="114300" simplePos="0" relativeHeight="251682304" behindDoc="0" locked="0" layoutInCell="1" allowOverlap="1" wp14:anchorId="72C76EB4" wp14:editId="27F5969D">
              <wp:simplePos x="0" y="0"/>
              <wp:positionH relativeFrom="column">
                <wp:posOffset>-5715</wp:posOffset>
              </wp:positionH>
              <wp:positionV relativeFrom="paragraph">
                <wp:posOffset>167639</wp:posOffset>
              </wp:positionV>
              <wp:extent cx="6148070" cy="0"/>
              <wp:effectExtent l="0" t="0" r="241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7F8EFF" id="Straight Connector 14"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" strokecolor="#262626" strokeweight="1.25pt">
              <v:stroke joinstyle="miter"/>
              <o:lock v:ext="edit" shapetype="f"/>
            </v:line>
          </w:pict>
        </mc:Fallback>
      </mc:AlternateContent>
    </w:r>
  </w:p>
  <w:p w14:paraId="5A5E7247" w14:textId="40A63328" w:rsidR="00377EBE" w:rsidRPr="003A57DB" w:rsidRDefault="00377EBE" w:rsidP="003A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92EA" w14:textId="19442106" w:rsidR="004C3D64" w:rsidRPr="004C3D64" w:rsidRDefault="004C3D64" w:rsidP="004C3D64">
    <w:pPr>
      <w:tabs>
        <w:tab w:val="center" w:pos="4680"/>
        <w:tab w:val="right" w:pos="9360"/>
      </w:tabs>
      <w:spacing w:after="0" w:line="216" w:lineRule="auto"/>
      <w:rPr>
        <w:rFonts w:ascii="Arial" w:hAnsi="Arial" w:cs="Arial"/>
        <w:color w:val="3B3838"/>
        <w:sz w:val="28"/>
        <w:szCs w:val="28"/>
        <w:lang w:val="es-ES"/>
      </w:rPr>
    </w:pPr>
    <w:r w:rsidRPr="004C3D64">
      <w:rPr>
        <w:rFonts w:ascii="Arial" w:hAnsi="Arial" w:cs="Arial"/>
        <w:noProof/>
        <w:color w:val="3B3838"/>
        <w:sz w:val="44"/>
        <w:szCs w:val="28"/>
      </w:rPr>
      <mc:AlternateContent>
        <mc:Choice Requires="wps">
          <w:drawing>
            <wp:anchor distT="0" distB="0" distL="114300" distR="114300" simplePos="0" relativeHeight="251677184" behindDoc="1" locked="0" layoutInCell="1" allowOverlap="1" wp14:anchorId="4F8E19DC" wp14:editId="1982EDF5">
              <wp:simplePos x="0" y="0"/>
              <wp:positionH relativeFrom="column">
                <wp:posOffset>1071880</wp:posOffset>
              </wp:positionH>
              <wp:positionV relativeFrom="paragraph">
                <wp:posOffset>-63500</wp:posOffset>
              </wp:positionV>
              <wp:extent cx="1447332" cy="605918"/>
              <wp:effectExtent l="0" t="0" r="635" b="3810"/>
              <wp:wrapNone/>
              <wp:docPr id="6" name="Text Box 6"/>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ysClr val="window" lastClr="FFFFFF"/>
                      </a:solidFill>
                      <a:ln w="6350">
                        <a:noFill/>
                      </a:ln>
                    </wps:spPr>
                    <wps:txbx>
                      <w:txbxContent>
                        <w:p w14:paraId="0CA7F28E" w14:textId="77777777" w:rsidR="004C3D64" w:rsidRPr="004C3D64" w:rsidRDefault="004C3D64" w:rsidP="004C3D64">
                          <w:pPr>
                            <w:rPr>
                              <w:rFonts w:ascii="Arial" w:hAnsi="Arial" w:cs="Arial"/>
                              <w:b/>
                              <w:bCs/>
                              <w:color w:val="767171"/>
                              <w:sz w:val="80"/>
                              <w:szCs w:val="80"/>
                              <w:lang w:val="es-ES"/>
                            </w:rPr>
                          </w:pPr>
                          <w:r w:rsidRPr="004C3D64">
                            <w:rPr>
                              <w:rFonts w:ascii="Arial" w:hAnsi="Arial" w:cs="Arial"/>
                              <w:b/>
                              <w:bCs/>
                              <w:color w:val="767171"/>
                              <w:sz w:val="80"/>
                              <w:szCs w:val="80"/>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E19DC" id="_x0000_t202" coordsize="21600,21600" o:spt="202" path="m,l,21600r21600,l21600,xe">
              <v:stroke joinstyle="miter"/>
              <v:path gradientshapeok="t" o:connecttype="rect"/>
            </v:shapetype>
            <v:shape id="Text Box 6" o:spid="_x0000_s1026" type="#_x0000_t202" style="position:absolute;margin-left:84.4pt;margin-top:-5pt;width:113.95pt;height:47.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" fillcolor="window" stroked="f" strokeweight=".5pt">
              <v:textbox>
                <w:txbxContent>
                  <w:p w14:paraId="0CA7F28E" w14:textId="77777777" w:rsidR="004C3D64" w:rsidRPr="004C3D64" w:rsidRDefault="004C3D64" w:rsidP="004C3D64">
                    <w:pPr>
                      <w:rPr>
                        <w:rFonts w:ascii="Arial" w:hAnsi="Arial" w:cs="Arial"/>
                        <w:b/>
                        <w:bCs/>
                        <w:color w:val="767171"/>
                        <w:sz w:val="80"/>
                        <w:szCs w:val="80"/>
                        <w:lang w:val="es-ES"/>
                      </w:rPr>
                    </w:pPr>
                    <w:r w:rsidRPr="004C3D64">
                      <w:rPr>
                        <w:rFonts w:ascii="Arial" w:hAnsi="Arial" w:cs="Arial"/>
                        <w:b/>
                        <w:bCs/>
                        <w:color w:val="767171"/>
                        <w:sz w:val="80"/>
                        <w:szCs w:val="80"/>
                        <w:lang w:val="es-ES"/>
                      </w:rPr>
                      <w:t>2020</w:t>
                    </w:r>
                  </w:p>
                </w:txbxContent>
              </v:textbox>
            </v:shape>
          </w:pict>
        </mc:Fallback>
      </mc:AlternateContent>
    </w:r>
    <w:r w:rsidRPr="004C3D64">
      <w:rPr>
        <w:noProof/>
        <w:sz w:val="24"/>
        <w:szCs w:val="24"/>
      </w:rPr>
      <w:drawing>
        <wp:anchor distT="0" distB="0" distL="114300" distR="114300" simplePos="0" relativeHeight="251680256" behindDoc="0" locked="0" layoutInCell="1" allowOverlap="1" wp14:anchorId="0020FD74" wp14:editId="7431101D">
          <wp:simplePos x="0" y="0"/>
          <wp:positionH relativeFrom="column">
            <wp:posOffset>3752850</wp:posOffset>
          </wp:positionH>
          <wp:positionV relativeFrom="paragraph">
            <wp:posOffset>29210</wp:posOffset>
          </wp:positionV>
          <wp:extent cx="2381250" cy="561975"/>
          <wp:effectExtent l="0" t="0" r="0"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4C3D64">
      <w:rPr>
        <w:noProof/>
        <w:sz w:val="44"/>
        <w:szCs w:val="28"/>
      </w:rPr>
      <w:t xml:space="preserve">ANNUAL </w:t>
    </w:r>
  </w:p>
  <w:p w14:paraId="07C3BF3D" w14:textId="77777777" w:rsidR="004C3D64" w:rsidRPr="004C3D64" w:rsidRDefault="004C3D64" w:rsidP="004C3D64">
    <w:pPr>
      <w:tabs>
        <w:tab w:val="left" w:pos="1925"/>
      </w:tabs>
      <w:spacing w:after="0" w:line="216" w:lineRule="auto"/>
      <w:rPr>
        <w:rFonts w:ascii="Arial" w:hAnsi="Arial" w:cs="Arial"/>
        <w:b/>
        <w:bCs/>
        <w:color w:val="404040"/>
        <w:sz w:val="38"/>
        <w:szCs w:val="38"/>
        <w:lang w:val="es-ES"/>
      </w:rPr>
    </w:pPr>
    <w:r w:rsidRPr="004C3D64">
      <w:rPr>
        <w:rFonts w:ascii="Arial" w:hAnsi="Arial" w:cs="Arial"/>
        <w:b/>
        <w:bCs/>
        <w:color w:val="404040"/>
        <w:sz w:val="38"/>
        <w:szCs w:val="38"/>
        <w:lang w:val="es-ES"/>
      </w:rPr>
      <w:t>REPORT</w:t>
    </w:r>
  </w:p>
  <w:p w14:paraId="62769178" w14:textId="0D1FE267" w:rsidR="00377EBE" w:rsidRPr="004C3D64" w:rsidRDefault="004C3D64" w:rsidP="004C3D64">
    <w:pPr>
      <w:tabs>
        <w:tab w:val="center" w:pos="4680"/>
        <w:tab w:val="right" w:pos="9360"/>
      </w:tabs>
      <w:spacing w:after="0" w:line="240" w:lineRule="auto"/>
      <w:rPr>
        <w:rFonts w:ascii="Arial" w:hAnsi="Arial" w:cs="Arial"/>
        <w:b/>
        <w:bCs/>
        <w:color w:val="404040"/>
        <w:sz w:val="44"/>
        <w:szCs w:val="44"/>
        <w:lang w:val="es-ES"/>
      </w:rPr>
    </w:pPr>
    <w:r w:rsidRPr="004C3D64">
      <w:rPr>
        <w:rFonts w:ascii="Arial" w:hAnsi="Arial" w:cs="Arial"/>
        <w:b/>
        <w:bCs/>
        <w:noProof/>
        <w:color w:val="000000"/>
        <w:sz w:val="44"/>
        <w:szCs w:val="44"/>
      </w:rPr>
      <mc:AlternateContent>
        <mc:Choice Requires="wps">
          <w:drawing>
            <wp:anchor distT="0" distB="0" distL="114300" distR="114300" simplePos="0" relativeHeight="251678208" behindDoc="0" locked="0" layoutInCell="1" allowOverlap="1" wp14:anchorId="4EEF8C19" wp14:editId="56DE687B">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CBD740" id="Straight Connector 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" strokecolor="#262626"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50C"/>
    <w:multiLevelType w:val="hybridMultilevel"/>
    <w:tmpl w:val="2988A02A"/>
    <w:lvl w:ilvl="0" w:tplc="30327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6840"/>
    <w:multiLevelType w:val="hybridMultilevel"/>
    <w:tmpl w:val="509018EA"/>
    <w:lvl w:ilvl="0" w:tplc="1D70DBA2">
      <w:start w:val="1"/>
      <w:numFmt w:val="decimal"/>
      <w:lvlText w:val="%1."/>
      <w:lvlJc w:val="left"/>
      <w:pPr>
        <w:tabs>
          <w:tab w:val="num" w:pos="720"/>
        </w:tabs>
        <w:ind w:left="0" w:firstLine="720"/>
      </w:pPr>
      <w:rPr>
        <w:rFonts w:cs="Times New Roman" w:hint="default"/>
        <w:b w:val="0"/>
        <w:i w:val="0"/>
        <w:strike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E16A2C48">
      <w:start w:val="1"/>
      <w:numFmt w:val="decimal"/>
      <w:lvlText w:val="%3."/>
      <w:lvlJc w:val="left"/>
      <w:pPr>
        <w:tabs>
          <w:tab w:val="num" w:pos="1980"/>
        </w:tabs>
        <w:ind w:left="1260" w:firstLine="720"/>
      </w:pPr>
      <w:rPr>
        <w:rFonts w:hint="default"/>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1387D"/>
    <w:multiLevelType w:val="hybridMultilevel"/>
    <w:tmpl w:val="EE0E29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0562E"/>
    <w:multiLevelType w:val="hybridMultilevel"/>
    <w:tmpl w:val="D30292CC"/>
    <w:lvl w:ilvl="0" w:tplc="72D6DE5A">
      <w:start w:val="587"/>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860DF4"/>
    <w:multiLevelType w:val="hybridMultilevel"/>
    <w:tmpl w:val="4FBE8950"/>
    <w:lvl w:ilvl="0" w:tplc="78A490CC">
      <w:start w:val="6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E824CD"/>
    <w:multiLevelType w:val="hybridMultilevel"/>
    <w:tmpl w:val="199A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D09E5"/>
    <w:multiLevelType w:val="hybridMultilevel"/>
    <w:tmpl w:val="7626FF0A"/>
    <w:lvl w:ilvl="0" w:tplc="E68C261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662E5"/>
    <w:multiLevelType w:val="hybridMultilevel"/>
    <w:tmpl w:val="17C6445E"/>
    <w:lvl w:ilvl="0" w:tplc="3788CEB2">
      <w:start w:val="1"/>
      <w:numFmt w:val="decimal"/>
      <w:lvlText w:val="%1."/>
      <w:lvlJc w:val="left"/>
      <w:pPr>
        <w:ind w:left="0" w:firstLine="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71918"/>
    <w:multiLevelType w:val="hybridMultilevel"/>
    <w:tmpl w:val="91B66F2C"/>
    <w:lvl w:ilvl="0" w:tplc="36189E1E">
      <w:start w:val="95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0A07D1"/>
    <w:multiLevelType w:val="hybridMultilevel"/>
    <w:tmpl w:val="ABBA8D18"/>
    <w:lvl w:ilvl="0" w:tplc="36DC0F7A">
      <w:start w:val="1"/>
      <w:numFmt w:val="upperRoman"/>
      <w:lvlText w:val="%1."/>
      <w:lvlJc w:val="left"/>
      <w:pPr>
        <w:ind w:left="8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BF34BE4"/>
    <w:multiLevelType w:val="hybridMultilevel"/>
    <w:tmpl w:val="631C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2294D"/>
    <w:multiLevelType w:val="hybridMultilevel"/>
    <w:tmpl w:val="8A5A035E"/>
    <w:lvl w:ilvl="0" w:tplc="662AC064">
      <w:start w:val="1"/>
      <w:numFmt w:val="decimal"/>
      <w:lvlText w:val="%1."/>
      <w:lvlJc w:val="left"/>
      <w:pPr>
        <w:ind w:left="0" w:firstLine="720"/>
      </w:pPr>
      <w:rPr>
        <w:rFonts w:ascii="Cambria" w:hAnsi="Cambria" w:hint="default"/>
        <w:b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908AC"/>
    <w:multiLevelType w:val="hybridMultilevel"/>
    <w:tmpl w:val="87A66410"/>
    <w:lvl w:ilvl="0" w:tplc="7DB0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0"/>
  </w:num>
  <w:num w:numId="5">
    <w:abstractNumId w:val="2"/>
  </w:num>
  <w:num w:numId="6">
    <w:abstractNumId w:val="14"/>
  </w:num>
  <w:num w:numId="7">
    <w:abstractNumId w:val="5"/>
  </w:num>
  <w:num w:numId="8">
    <w:abstractNumId w:val="4"/>
  </w:num>
  <w:num w:numId="9">
    <w:abstractNumId w:val="9"/>
  </w:num>
  <w:num w:numId="10">
    <w:abstractNumId w:val="11"/>
  </w:num>
  <w:num w:numId="11">
    <w:abstractNumId w:val="8"/>
  </w:num>
  <w:num w:numId="12">
    <w:abstractNumId w:val="6"/>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77"/>
    <w:rsid w:val="000039E1"/>
    <w:rsid w:val="00011473"/>
    <w:rsid w:val="00012BB7"/>
    <w:rsid w:val="0001516D"/>
    <w:rsid w:val="00034850"/>
    <w:rsid w:val="00047D84"/>
    <w:rsid w:val="000646C9"/>
    <w:rsid w:val="00072A10"/>
    <w:rsid w:val="000A5D8F"/>
    <w:rsid w:val="000B214B"/>
    <w:rsid w:val="000B7ADF"/>
    <w:rsid w:val="000C4D3F"/>
    <w:rsid w:val="000C7639"/>
    <w:rsid w:val="000D2110"/>
    <w:rsid w:val="000D7003"/>
    <w:rsid w:val="000F14AE"/>
    <w:rsid w:val="000F2C3E"/>
    <w:rsid w:val="00100C99"/>
    <w:rsid w:val="001537A2"/>
    <w:rsid w:val="00157DD9"/>
    <w:rsid w:val="00163CF4"/>
    <w:rsid w:val="001655B6"/>
    <w:rsid w:val="00176734"/>
    <w:rsid w:val="001A0429"/>
    <w:rsid w:val="001A6D8D"/>
    <w:rsid w:val="001B2728"/>
    <w:rsid w:val="001D0E77"/>
    <w:rsid w:val="001E6856"/>
    <w:rsid w:val="001F221C"/>
    <w:rsid w:val="0022461E"/>
    <w:rsid w:val="00242D76"/>
    <w:rsid w:val="0025348C"/>
    <w:rsid w:val="00254FC3"/>
    <w:rsid w:val="002B2A2D"/>
    <w:rsid w:val="002C4797"/>
    <w:rsid w:val="002E0466"/>
    <w:rsid w:val="002E68F0"/>
    <w:rsid w:val="002F2332"/>
    <w:rsid w:val="003003EA"/>
    <w:rsid w:val="0030145A"/>
    <w:rsid w:val="003032C4"/>
    <w:rsid w:val="00312111"/>
    <w:rsid w:val="0031308E"/>
    <w:rsid w:val="00330356"/>
    <w:rsid w:val="00330593"/>
    <w:rsid w:val="00347462"/>
    <w:rsid w:val="003629F2"/>
    <w:rsid w:val="00364D50"/>
    <w:rsid w:val="00377EBE"/>
    <w:rsid w:val="00382DAC"/>
    <w:rsid w:val="003A57DB"/>
    <w:rsid w:val="003B6003"/>
    <w:rsid w:val="003C40A1"/>
    <w:rsid w:val="003D1570"/>
    <w:rsid w:val="003D730B"/>
    <w:rsid w:val="004026DE"/>
    <w:rsid w:val="00410357"/>
    <w:rsid w:val="00481ED3"/>
    <w:rsid w:val="0049680D"/>
    <w:rsid w:val="004A1E45"/>
    <w:rsid w:val="004B2D71"/>
    <w:rsid w:val="004C3D64"/>
    <w:rsid w:val="004C5C22"/>
    <w:rsid w:val="004E6ECC"/>
    <w:rsid w:val="00502478"/>
    <w:rsid w:val="0050670D"/>
    <w:rsid w:val="00506FF6"/>
    <w:rsid w:val="00510A73"/>
    <w:rsid w:val="00536290"/>
    <w:rsid w:val="005750DA"/>
    <w:rsid w:val="005B6E44"/>
    <w:rsid w:val="005C2E47"/>
    <w:rsid w:val="005E3520"/>
    <w:rsid w:val="00612F3E"/>
    <w:rsid w:val="0062655B"/>
    <w:rsid w:val="006968B0"/>
    <w:rsid w:val="006B23B5"/>
    <w:rsid w:val="006C29B7"/>
    <w:rsid w:val="006C4A2D"/>
    <w:rsid w:val="0071180F"/>
    <w:rsid w:val="00722CFD"/>
    <w:rsid w:val="007C6796"/>
    <w:rsid w:val="007D176F"/>
    <w:rsid w:val="007D5B3B"/>
    <w:rsid w:val="0080164A"/>
    <w:rsid w:val="008241C6"/>
    <w:rsid w:val="0082773D"/>
    <w:rsid w:val="00833608"/>
    <w:rsid w:val="00862EB9"/>
    <w:rsid w:val="00863D1D"/>
    <w:rsid w:val="00872706"/>
    <w:rsid w:val="00884BD2"/>
    <w:rsid w:val="0089256E"/>
    <w:rsid w:val="0089470C"/>
    <w:rsid w:val="008E2F02"/>
    <w:rsid w:val="00905E57"/>
    <w:rsid w:val="009112C6"/>
    <w:rsid w:val="00913C44"/>
    <w:rsid w:val="0093309D"/>
    <w:rsid w:val="00940A19"/>
    <w:rsid w:val="009418E9"/>
    <w:rsid w:val="00950994"/>
    <w:rsid w:val="0098385E"/>
    <w:rsid w:val="0098501D"/>
    <w:rsid w:val="00991077"/>
    <w:rsid w:val="009925B9"/>
    <w:rsid w:val="009A43C0"/>
    <w:rsid w:val="009B62C9"/>
    <w:rsid w:val="009C0F1B"/>
    <w:rsid w:val="009C7697"/>
    <w:rsid w:val="009D0197"/>
    <w:rsid w:val="009D559C"/>
    <w:rsid w:val="009E6F92"/>
    <w:rsid w:val="009E7B67"/>
    <w:rsid w:val="009F7291"/>
    <w:rsid w:val="00A35C30"/>
    <w:rsid w:val="00A45E20"/>
    <w:rsid w:val="00A5220A"/>
    <w:rsid w:val="00A5571D"/>
    <w:rsid w:val="00A820BB"/>
    <w:rsid w:val="00A9198A"/>
    <w:rsid w:val="00A919AB"/>
    <w:rsid w:val="00A968F4"/>
    <w:rsid w:val="00AA698A"/>
    <w:rsid w:val="00AC47E3"/>
    <w:rsid w:val="00AE7B42"/>
    <w:rsid w:val="00AF73C8"/>
    <w:rsid w:val="00B07565"/>
    <w:rsid w:val="00B36199"/>
    <w:rsid w:val="00B47D55"/>
    <w:rsid w:val="00B51586"/>
    <w:rsid w:val="00B618FB"/>
    <w:rsid w:val="00B711F4"/>
    <w:rsid w:val="00BD6963"/>
    <w:rsid w:val="00C15A36"/>
    <w:rsid w:val="00C17356"/>
    <w:rsid w:val="00C417DF"/>
    <w:rsid w:val="00C6519B"/>
    <w:rsid w:val="00C66AD7"/>
    <w:rsid w:val="00C670E8"/>
    <w:rsid w:val="00C922E6"/>
    <w:rsid w:val="00C94CAF"/>
    <w:rsid w:val="00CC7129"/>
    <w:rsid w:val="00CD58FA"/>
    <w:rsid w:val="00CD6751"/>
    <w:rsid w:val="00D02346"/>
    <w:rsid w:val="00D03F3F"/>
    <w:rsid w:val="00D227A8"/>
    <w:rsid w:val="00D32543"/>
    <w:rsid w:val="00D61140"/>
    <w:rsid w:val="00D74AB4"/>
    <w:rsid w:val="00D77D59"/>
    <w:rsid w:val="00E0089E"/>
    <w:rsid w:val="00E00D6A"/>
    <w:rsid w:val="00E2001F"/>
    <w:rsid w:val="00E3057B"/>
    <w:rsid w:val="00E310FD"/>
    <w:rsid w:val="00E36B85"/>
    <w:rsid w:val="00E40628"/>
    <w:rsid w:val="00E50D15"/>
    <w:rsid w:val="00E569F5"/>
    <w:rsid w:val="00E61BAC"/>
    <w:rsid w:val="00E87248"/>
    <w:rsid w:val="00E96747"/>
    <w:rsid w:val="00EB172E"/>
    <w:rsid w:val="00EF1AD5"/>
    <w:rsid w:val="00F07BD0"/>
    <w:rsid w:val="00F42B57"/>
    <w:rsid w:val="00FC07AA"/>
    <w:rsid w:val="00FC509A"/>
    <w:rsid w:val="00FF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F8AA9"/>
  <w15:docId w15:val="{A2C7B300-4A57-4C07-BE2E-029AE6BE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66AD7"/>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66AD7"/>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C66AD7"/>
    <w:rPr>
      <w:vertAlign w:val="superscript"/>
    </w:rPr>
  </w:style>
  <w:style w:type="paragraph" w:customStyle="1" w:styleId="Appelnotedebasde">
    <w:name w:val="Appel note de bas de..."/>
    <w:basedOn w:val="Normal"/>
    <w:link w:val="FootnoteReference"/>
    <w:uiPriority w:val="99"/>
    <w:rsid w:val="00C66AD7"/>
    <w:pPr>
      <w:spacing w:after="160" w:line="240" w:lineRule="exact"/>
    </w:pPr>
    <w:rPr>
      <w:rFonts w:asciiTheme="minorHAnsi" w:eastAsiaTheme="minorHAnsi" w:hAnsiTheme="minorHAnsi" w:cstheme="minorBidi"/>
      <w:vertAlign w:val="superscript"/>
    </w:rPr>
  </w:style>
  <w:style w:type="paragraph" w:styleId="ListParagraph">
    <w:name w:val="List Paragraph"/>
    <w:aliases w:val="Párrafo de lista1,List Paragraph1,Colorful List - Accent 11,List Paragraph11"/>
    <w:basedOn w:val="Normal"/>
    <w:link w:val="ListParagraphChar"/>
    <w:uiPriority w:val="34"/>
    <w:qFormat/>
    <w:rsid w:val="00C66AD7"/>
    <w:pPr>
      <w:ind w:left="720"/>
      <w:contextualSpacing/>
    </w:pPr>
  </w:style>
  <w:style w:type="character" w:styleId="Hyperlink">
    <w:name w:val="Hyperlink"/>
    <w:basedOn w:val="DefaultParagraphFont"/>
    <w:uiPriority w:val="99"/>
    <w:unhideWhenUsed/>
    <w:rsid w:val="006968B0"/>
    <w:rPr>
      <w:color w:val="0563C1" w:themeColor="hyperlink"/>
      <w:u w:val="single"/>
    </w:rPr>
  </w:style>
  <w:style w:type="paragraph" w:styleId="Header">
    <w:name w:val="header"/>
    <w:basedOn w:val="Normal"/>
    <w:link w:val="HeaderChar"/>
    <w:uiPriority w:val="99"/>
    <w:unhideWhenUsed/>
    <w:rsid w:val="00496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80D"/>
    <w:rPr>
      <w:rFonts w:ascii="Calibri" w:eastAsia="Calibri" w:hAnsi="Calibri" w:cs="Times New Roman"/>
    </w:rPr>
  </w:style>
  <w:style w:type="character" w:styleId="FollowedHyperlink">
    <w:name w:val="FollowedHyperlink"/>
    <w:basedOn w:val="DefaultParagraphFont"/>
    <w:uiPriority w:val="99"/>
    <w:semiHidden/>
    <w:unhideWhenUsed/>
    <w:rsid w:val="000F14AE"/>
    <w:rPr>
      <w:color w:val="954F72" w:themeColor="followedHyperlink"/>
      <w:u w:val="single"/>
    </w:rPr>
  </w:style>
  <w:style w:type="paragraph" w:styleId="BlockText">
    <w:name w:val="Block Text"/>
    <w:basedOn w:val="Normal"/>
    <w:uiPriority w:val="99"/>
    <w:rsid w:val="004A1E4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4A1E45"/>
    <w:rPr>
      <w:rFonts w:ascii="Calibri" w:eastAsia="Calibri" w:hAnsi="Calibri" w:cs="Times New Roman"/>
    </w:rPr>
  </w:style>
  <w:style w:type="paragraph" w:styleId="NormalWeb">
    <w:name w:val="Normal (Web)"/>
    <w:basedOn w:val="Normal"/>
    <w:uiPriority w:val="99"/>
    <w:semiHidden/>
    <w:unhideWhenUsed/>
    <w:rsid w:val="004A1E4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4A1E45"/>
    <w:pPr>
      <w:spacing w:after="120"/>
    </w:pPr>
  </w:style>
  <w:style w:type="character" w:customStyle="1" w:styleId="BodyTextChar">
    <w:name w:val="Body Text Char"/>
    <w:basedOn w:val="DefaultParagraphFont"/>
    <w:link w:val="BodyText"/>
    <w:uiPriority w:val="99"/>
    <w:semiHidden/>
    <w:rsid w:val="004A1E45"/>
    <w:rPr>
      <w:rFonts w:ascii="Calibri" w:eastAsia="Calibri" w:hAnsi="Calibri" w:cs="Times New Roman"/>
    </w:rPr>
  </w:style>
  <w:style w:type="paragraph" w:styleId="BalloonText">
    <w:name w:val="Balloon Text"/>
    <w:basedOn w:val="Normal"/>
    <w:link w:val="BalloonTextChar"/>
    <w:uiPriority w:val="99"/>
    <w:semiHidden/>
    <w:unhideWhenUsed/>
    <w:rsid w:val="00FF7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57"/>
    <w:rPr>
      <w:rFonts w:ascii="Tahoma" w:eastAsia="Calibri" w:hAnsi="Tahoma" w:cs="Tahoma"/>
      <w:sz w:val="16"/>
      <w:szCs w:val="16"/>
    </w:rPr>
  </w:style>
  <w:style w:type="paragraph" w:styleId="Footer">
    <w:name w:val="footer"/>
    <w:basedOn w:val="Normal"/>
    <w:link w:val="FooterChar"/>
    <w:uiPriority w:val="99"/>
    <w:unhideWhenUsed/>
    <w:rsid w:val="0037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EBE"/>
    <w:rPr>
      <w:rFonts w:ascii="Calibri" w:eastAsia="Calibri" w:hAnsi="Calibri" w:cs="Times New Roman"/>
    </w:rPr>
  </w:style>
  <w:style w:type="character" w:customStyle="1" w:styleId="UnresolvedMention">
    <w:name w:val="Unresolved Mention"/>
    <w:basedOn w:val="DefaultParagraphFont"/>
    <w:uiPriority w:val="99"/>
    <w:semiHidden/>
    <w:unhideWhenUsed/>
    <w:rsid w:val="00C6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2305">
      <w:bodyDiv w:val="1"/>
      <w:marLeft w:val="0"/>
      <w:marRight w:val="0"/>
      <w:marTop w:val="0"/>
      <w:marBottom w:val="0"/>
      <w:divBdr>
        <w:top w:val="none" w:sz="0" w:space="0" w:color="auto"/>
        <w:left w:val="none" w:sz="0" w:space="0" w:color="auto"/>
        <w:bottom w:val="none" w:sz="0" w:space="0" w:color="auto"/>
        <w:right w:val="none" w:sz="0" w:space="0" w:color="auto"/>
      </w:divBdr>
    </w:div>
    <w:div w:id="1869752473">
      <w:bodyDiv w:val="1"/>
      <w:marLeft w:val="0"/>
      <w:marRight w:val="0"/>
      <w:marTop w:val="0"/>
      <w:marBottom w:val="0"/>
      <w:divBdr>
        <w:top w:val="none" w:sz="0" w:space="0" w:color="auto"/>
        <w:left w:val="none" w:sz="0" w:space="0" w:color="auto"/>
        <w:bottom w:val="none" w:sz="0" w:space="0" w:color="auto"/>
        <w:right w:val="none" w:sz="0" w:space="0" w:color="auto"/>
      </w:divBdr>
      <w:divsChild>
        <w:div w:id="80834591">
          <w:marLeft w:val="0"/>
          <w:marRight w:val="0"/>
          <w:marTop w:val="0"/>
          <w:marBottom w:val="0"/>
          <w:divBdr>
            <w:top w:val="none" w:sz="0" w:space="0" w:color="auto"/>
            <w:left w:val="none" w:sz="0" w:space="0" w:color="auto"/>
            <w:bottom w:val="none" w:sz="0" w:space="0" w:color="auto"/>
            <w:right w:val="none" w:sz="0" w:space="0" w:color="auto"/>
          </w:divBdr>
          <w:divsChild>
            <w:div w:id="129714998">
              <w:marLeft w:val="0"/>
              <w:marRight w:val="0"/>
              <w:marTop w:val="0"/>
              <w:marBottom w:val="0"/>
              <w:divBdr>
                <w:top w:val="none" w:sz="0" w:space="0" w:color="auto"/>
                <w:left w:val="none" w:sz="0" w:space="0" w:color="auto"/>
                <w:bottom w:val="none" w:sz="0" w:space="0" w:color="auto"/>
                <w:right w:val="none" w:sz="0" w:space="0" w:color="auto"/>
              </w:divBdr>
              <w:divsChild>
                <w:div w:id="423258650">
                  <w:marLeft w:val="0"/>
                  <w:marRight w:val="0"/>
                  <w:marTop w:val="0"/>
                  <w:marBottom w:val="0"/>
                  <w:divBdr>
                    <w:top w:val="none" w:sz="0" w:space="0" w:color="auto"/>
                    <w:left w:val="none" w:sz="0" w:space="0" w:color="auto"/>
                    <w:bottom w:val="none" w:sz="0" w:space="0" w:color="auto"/>
                    <w:right w:val="none" w:sz="0" w:space="0" w:color="auto"/>
                  </w:divBdr>
                  <w:divsChild>
                    <w:div w:id="494301026">
                      <w:marLeft w:val="0"/>
                      <w:marRight w:val="0"/>
                      <w:marTop w:val="0"/>
                      <w:marBottom w:val="0"/>
                      <w:divBdr>
                        <w:top w:val="none" w:sz="0" w:space="0" w:color="auto"/>
                        <w:left w:val="none" w:sz="0" w:space="0" w:color="auto"/>
                        <w:bottom w:val="none" w:sz="0" w:space="0" w:color="auto"/>
                        <w:right w:val="none" w:sz="0" w:space="0" w:color="auto"/>
                      </w:divBdr>
                      <w:divsChild>
                        <w:div w:id="1591886199">
                          <w:marLeft w:val="0"/>
                          <w:marRight w:val="0"/>
                          <w:marTop w:val="0"/>
                          <w:marBottom w:val="0"/>
                          <w:divBdr>
                            <w:top w:val="none" w:sz="0" w:space="0" w:color="auto"/>
                            <w:left w:val="none" w:sz="0" w:space="0" w:color="auto"/>
                            <w:bottom w:val="none" w:sz="0" w:space="0" w:color="auto"/>
                            <w:right w:val="none" w:sz="0" w:space="0" w:color="auto"/>
                          </w:divBdr>
                          <w:divsChild>
                            <w:div w:id="129789922">
                              <w:marLeft w:val="0"/>
                              <w:marRight w:val="0"/>
                              <w:marTop w:val="0"/>
                              <w:marBottom w:val="0"/>
                              <w:divBdr>
                                <w:top w:val="none" w:sz="0" w:space="0" w:color="auto"/>
                                <w:left w:val="none" w:sz="0" w:space="0" w:color="auto"/>
                                <w:bottom w:val="none" w:sz="0" w:space="0" w:color="auto"/>
                                <w:right w:val="none" w:sz="0" w:space="0" w:color="auto"/>
                              </w:divBdr>
                              <w:divsChild>
                                <w:div w:id="451631874">
                                  <w:marLeft w:val="0"/>
                                  <w:marRight w:val="0"/>
                                  <w:marTop w:val="0"/>
                                  <w:marBottom w:val="0"/>
                                  <w:divBdr>
                                    <w:top w:val="none" w:sz="0" w:space="0" w:color="auto"/>
                                    <w:left w:val="none" w:sz="0" w:space="0" w:color="auto"/>
                                    <w:bottom w:val="none" w:sz="0" w:space="0" w:color="auto"/>
                                    <w:right w:val="none" w:sz="0" w:space="0" w:color="auto"/>
                                  </w:divBdr>
                                  <w:divsChild>
                                    <w:div w:id="1811555818">
                                      <w:marLeft w:val="0"/>
                                      <w:marRight w:val="0"/>
                                      <w:marTop w:val="0"/>
                                      <w:marBottom w:val="0"/>
                                      <w:divBdr>
                                        <w:top w:val="none" w:sz="0" w:space="0" w:color="auto"/>
                                        <w:left w:val="none" w:sz="0" w:space="0" w:color="auto"/>
                                        <w:bottom w:val="none" w:sz="0" w:space="0" w:color="auto"/>
                                        <w:right w:val="none" w:sz="0" w:space="0" w:color="auto"/>
                                      </w:divBdr>
                                      <w:divsChild>
                                        <w:div w:id="578289790">
                                          <w:marLeft w:val="0"/>
                                          <w:marRight w:val="0"/>
                                          <w:marTop w:val="0"/>
                                          <w:marBottom w:val="495"/>
                                          <w:divBdr>
                                            <w:top w:val="none" w:sz="0" w:space="0" w:color="auto"/>
                                            <w:left w:val="none" w:sz="0" w:space="0" w:color="auto"/>
                                            <w:bottom w:val="none" w:sz="0" w:space="0" w:color="auto"/>
                                            <w:right w:val="none" w:sz="0" w:space="0" w:color="auto"/>
                                          </w:divBdr>
                                          <w:divsChild>
                                            <w:div w:id="1093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33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h.org/annualrep/2003eng/USA.1120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docs/opiniones/seriea_10_ing1.pdf" TargetMode="External"/><Relationship Id="rId7" Type="http://schemas.openxmlformats.org/officeDocument/2006/relationships/hyperlink" Target="http://www.oas.org/en/iachr/decisions/2011/CAPU12586EN.doc" TargetMode="External"/><Relationship Id="rId2" Type="http://schemas.openxmlformats.org/officeDocument/2006/relationships/hyperlink" Target="http://www.oas.org/en/iachr/docs/annual/2017/docs/IA2017cap.2-en.pdf" TargetMode="External"/><Relationship Id="rId1" Type="http://schemas.openxmlformats.org/officeDocument/2006/relationships/hyperlink" Target="http://www.oas.org/en/iachr/docs/annual/2017/docs/IA2017cap.2-en.pdf" TargetMode="External"/><Relationship Id="rId6" Type="http://schemas.openxmlformats.org/officeDocument/2006/relationships/hyperlink" Target="http://www.oas.org/en/iachr/reports/pdfs/Towards-Closure-Guantanamo.pdf" TargetMode="External"/><Relationship Id="rId5" Type="http://schemas.openxmlformats.org/officeDocument/2006/relationships/hyperlink" Target="https://www.google.com/url?sa=t&amp;rct=j&amp;q=&amp;esrc=s&amp;source=web&amp;cd=&amp;ved=2ahUKEwiLqYHqsqvuAhUxU98KHf4UBzYQFjAAegQIAhAC&amp;url=https%3A%2F%2Fwww.oas.org%2Fen%2Fiachr%2Fdecisions%2F2011%2FUSPU12626EN.DOC&amp;usg=AOvVaw0gFsZpzEuak8WrUU4CafjN" TargetMode="External"/><Relationship Id="rId4" Type="http://schemas.openxmlformats.org/officeDocument/2006/relationships/hyperlink" Target="https://www.oas.org/en/iachr/decisions/2014/USPU12873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92A5-9EB8-443B-87F4-41645219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 Intern 17 (Rocha, Thais)</dc:creator>
  <cp:lastModifiedBy>Paez, Suzdal</cp:lastModifiedBy>
  <cp:revision>36</cp:revision>
  <dcterms:created xsi:type="dcterms:W3CDTF">2021-01-20T20:59:00Z</dcterms:created>
  <dcterms:modified xsi:type="dcterms:W3CDTF">2021-03-25T22:28:00Z</dcterms:modified>
</cp:coreProperties>
</file>