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832" w:rsidRPr="006629BC" w:rsidRDefault="00E35832" w:rsidP="00E35832">
      <w:pPr>
        <w:suppressAutoHyphens/>
        <w:spacing w:line="360" w:lineRule="auto"/>
        <w:ind w:left="7200" w:right="-664"/>
        <w:jc w:val="both"/>
        <w:rPr>
          <w:rFonts w:asciiTheme="majorHAnsi" w:hAnsiTheme="majorHAnsi"/>
          <w:sz w:val="20"/>
          <w:szCs w:val="20"/>
        </w:rPr>
      </w:pPr>
      <w:bookmarkStart w:id="0" w:name="_Toc369533052"/>
      <w:bookmarkStart w:id="1" w:name="_Toc369658457"/>
      <w:bookmarkStart w:id="2" w:name="_Toc369658540"/>
      <w:bookmarkStart w:id="3" w:name="_Toc369658939"/>
      <w:bookmarkStart w:id="4" w:name="_Toc496101526"/>
      <w:bookmarkStart w:id="5" w:name="_Toc496101595"/>
      <w:bookmarkStart w:id="6" w:name="_Toc496292362"/>
      <w:bookmarkStart w:id="7" w:name="_Toc497458275"/>
      <w:bookmarkStart w:id="8" w:name="_Toc497649694"/>
      <w:bookmarkStart w:id="9" w:name="_Toc497733328"/>
      <w:bookmarkStart w:id="10" w:name="_Toc494035179"/>
      <w:bookmarkStart w:id="11" w:name="_Toc369658543"/>
      <w:bookmarkStart w:id="12" w:name="_Toc369658601"/>
      <w:bookmarkStart w:id="13" w:name="_Toc369533055"/>
    </w:p>
    <w:p w:rsidR="008407A0" w:rsidRPr="00FD5B08" w:rsidRDefault="008407A0" w:rsidP="008407A0">
      <w:pPr>
        <w:jc w:val="center"/>
        <w:rPr>
          <w:rFonts w:ascii="Cambria" w:hAnsi="Cambria"/>
          <w:b/>
          <w:bCs/>
          <w:sz w:val="32"/>
        </w:rPr>
      </w:pPr>
      <w:r w:rsidRPr="00FD5B08">
        <w:rPr>
          <w:rFonts w:ascii="Cambria" w:hAnsi="Cambria"/>
          <w:b/>
          <w:bCs/>
          <w:sz w:val="32"/>
          <w:lang w:val="en"/>
        </w:rPr>
        <w:t>CHAPTER IV.B</w:t>
      </w:r>
    </w:p>
    <w:p w:rsidR="008407A0" w:rsidRPr="00FD5B08" w:rsidRDefault="008407A0" w:rsidP="008407A0">
      <w:pPr>
        <w:jc w:val="center"/>
        <w:rPr>
          <w:rFonts w:ascii="Cambria" w:hAnsi="Cambria"/>
          <w:b/>
          <w:bCs/>
          <w:sz w:val="32"/>
        </w:rPr>
      </w:pPr>
      <w:r w:rsidRPr="00FD5B08">
        <w:rPr>
          <w:rFonts w:ascii="Cambria" w:hAnsi="Cambria"/>
          <w:b/>
          <w:bCs/>
          <w:sz w:val="32"/>
          <w:lang w:val="en"/>
        </w:rPr>
        <w:t>VENEZUELA</w:t>
      </w:r>
    </w:p>
    <w:p w:rsidR="00E35832" w:rsidRPr="006629BC" w:rsidRDefault="00E35832" w:rsidP="008407A0">
      <w:pPr>
        <w:pStyle w:val="Header"/>
        <w:rPr>
          <w:rFonts w:asciiTheme="majorHAnsi" w:hAnsiTheme="majorHAnsi"/>
          <w:sz w:val="20"/>
          <w:szCs w:val="20"/>
        </w:rPr>
      </w:pPr>
      <w:r w:rsidRPr="006629BC">
        <w:tab/>
      </w:r>
      <w:r w:rsidRPr="006629BC">
        <w:tab/>
      </w:r>
    </w:p>
    <w:p w:rsidR="00EB77A8" w:rsidRPr="003A7870" w:rsidRDefault="00EB77A8" w:rsidP="00EB77A8">
      <w:pPr>
        <w:pStyle w:val="NoSpacing"/>
        <w:rPr>
          <w:rFonts w:asciiTheme="majorHAnsi" w:hAnsiTheme="majorHAnsi"/>
          <w:sz w:val="20"/>
          <w:szCs w:val="20"/>
        </w:rPr>
      </w:pPr>
      <w:bookmarkStart w:id="14" w:name="_Toc369658798"/>
      <w:bookmarkStart w:id="15" w:name="_Toc369658602"/>
      <w:bookmarkStart w:id="16" w:name="_Toc369658544"/>
      <w:bookmarkEnd w:id="0"/>
      <w:bookmarkEnd w:id="1"/>
      <w:bookmarkEnd w:id="2"/>
      <w:bookmarkEnd w:id="3"/>
      <w:bookmarkEnd w:id="4"/>
      <w:bookmarkEnd w:id="5"/>
      <w:bookmarkEnd w:id="6"/>
      <w:bookmarkEnd w:id="7"/>
      <w:bookmarkEnd w:id="8"/>
      <w:bookmarkEnd w:id="9"/>
      <w:bookmarkEnd w:id="10"/>
      <w:bookmarkEnd w:id="11"/>
      <w:bookmarkEnd w:id="12"/>
      <w:bookmarkEnd w:id="13"/>
    </w:p>
    <w:p w:rsidR="00557623" w:rsidRPr="003A7870" w:rsidRDefault="008407A0" w:rsidP="00557623">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contextualSpacing/>
        <w:jc w:val="both"/>
        <w:rPr>
          <w:rFonts w:asciiTheme="majorHAnsi" w:eastAsia="Times New Roman" w:hAnsiTheme="majorHAnsi"/>
          <w:sz w:val="18"/>
          <w:szCs w:val="18"/>
          <w:bdr w:val="none" w:sz="0" w:space="0" w:color="auto"/>
        </w:rPr>
      </w:pPr>
      <w:r>
        <w:rPr>
          <w:rFonts w:asciiTheme="majorHAnsi" w:hAnsiTheme="majorHAnsi"/>
          <w:sz w:val="20"/>
          <w:szCs w:val="20"/>
          <w:lang w:val="en"/>
        </w:rPr>
        <w:t xml:space="preserve">The Inter-American Commission on Human Rights (hereinafter “Inter-American Commission”, the “Commission” or “IACHR”) decided to </w:t>
      </w:r>
      <w:r w:rsidRPr="003A7870">
        <w:rPr>
          <w:rFonts w:asciiTheme="majorHAnsi" w:hAnsiTheme="majorHAnsi"/>
          <w:sz w:val="20"/>
          <w:szCs w:val="20"/>
          <w:lang w:val="en"/>
        </w:rPr>
        <w:t>include Venezuela in Chapter IVB of its 2017 Annual Report, pursuant to Article 5</w:t>
      </w:r>
      <w:r>
        <w:rPr>
          <w:rFonts w:asciiTheme="majorHAnsi" w:hAnsiTheme="majorHAnsi"/>
          <w:sz w:val="20"/>
          <w:szCs w:val="20"/>
          <w:lang w:val="en"/>
        </w:rPr>
        <w:t>9 of its Rules of Procedure. The Commission considers</w:t>
      </w:r>
      <w:r w:rsidRPr="003A7870">
        <w:rPr>
          <w:rFonts w:asciiTheme="majorHAnsi" w:hAnsiTheme="majorHAnsi"/>
          <w:sz w:val="20"/>
          <w:szCs w:val="20"/>
          <w:lang w:val="en"/>
        </w:rPr>
        <w:t xml:space="preserve"> that the situation in Venezuela falls within paragraphs 6.ai; 6.a.ii; 6.b; and 6.d.i of that article</w:t>
      </w:r>
      <w:r w:rsidR="00557623">
        <w:rPr>
          <w:rFonts w:asciiTheme="majorHAnsi" w:hAnsiTheme="majorHAnsi"/>
          <w:sz w:val="20"/>
          <w:szCs w:val="20"/>
          <w:lang w:val="en"/>
        </w:rPr>
        <w:t>.</w:t>
      </w:r>
    </w:p>
    <w:p w:rsidR="008407A0" w:rsidRPr="00557623" w:rsidRDefault="008407A0" w:rsidP="00557623">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rPr>
      </w:pPr>
    </w:p>
    <w:p w:rsidR="008407A0" w:rsidRPr="00DD2BC4" w:rsidRDefault="00DD2BC4" w:rsidP="00F615A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color w:val="auto"/>
          <w:sz w:val="20"/>
          <w:szCs w:val="20"/>
        </w:rPr>
      </w:pPr>
      <w:r w:rsidRPr="00DD2BC4">
        <w:rPr>
          <w:rFonts w:asciiTheme="majorHAnsi" w:hAnsiTheme="majorHAnsi"/>
          <w:sz w:val="20"/>
          <w:szCs w:val="20"/>
        </w:rPr>
        <w:t>Since the Commission has adopted its report </w:t>
      </w:r>
      <w:r>
        <w:rPr>
          <w:rFonts w:asciiTheme="majorHAnsi" w:hAnsiTheme="majorHAnsi"/>
          <w:i/>
          <w:iCs/>
          <w:sz w:val="20"/>
          <w:szCs w:val="20"/>
        </w:rPr>
        <w:t>Democratic Institutions, the Rule of Law, and Human Rights</w:t>
      </w:r>
      <w:r w:rsidRPr="00DD2BC4">
        <w:rPr>
          <w:rFonts w:asciiTheme="majorHAnsi" w:hAnsiTheme="majorHAnsi"/>
          <w:i/>
          <w:iCs/>
          <w:sz w:val="20"/>
          <w:szCs w:val="20"/>
        </w:rPr>
        <w:t xml:space="preserve"> in Venezuela,</w:t>
      </w:r>
      <w:r w:rsidRPr="00DD2BC4">
        <w:rPr>
          <w:rFonts w:asciiTheme="majorHAnsi" w:hAnsiTheme="majorHAnsi"/>
          <w:sz w:val="20"/>
          <w:szCs w:val="20"/>
        </w:rPr>
        <w:t> the executive summary of that report is included below.</w:t>
      </w:r>
    </w:p>
    <w:p w:rsidR="00DD2BC4" w:rsidRPr="00DD2BC4" w:rsidRDefault="00DD2BC4" w:rsidP="00DD2BC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contextualSpacing/>
        <w:jc w:val="both"/>
        <w:rPr>
          <w:rFonts w:asciiTheme="majorHAnsi" w:hAnsiTheme="majorHAnsi"/>
          <w:color w:val="auto"/>
          <w:sz w:val="20"/>
          <w:szCs w:val="20"/>
        </w:rPr>
      </w:pPr>
    </w:p>
    <w:p w:rsidR="00EB77A8" w:rsidRPr="003A7870" w:rsidRDefault="00EB77A8" w:rsidP="00F615A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color w:val="auto"/>
          <w:sz w:val="20"/>
          <w:szCs w:val="20"/>
        </w:rPr>
      </w:pPr>
      <w:r w:rsidRPr="003A7870">
        <w:rPr>
          <w:rFonts w:asciiTheme="majorHAnsi" w:hAnsiTheme="majorHAnsi"/>
          <w:color w:val="auto"/>
          <w:sz w:val="20"/>
        </w:rPr>
        <w:t>The Inter-American Com</w:t>
      </w:r>
      <w:r w:rsidR="0018445F">
        <w:rPr>
          <w:rFonts w:asciiTheme="majorHAnsi" w:hAnsiTheme="majorHAnsi"/>
          <w:color w:val="auto"/>
          <w:sz w:val="20"/>
        </w:rPr>
        <w:t xml:space="preserve">mission on Human Rights </w:t>
      </w:r>
      <w:r w:rsidRPr="003A7870">
        <w:rPr>
          <w:rFonts w:asciiTheme="majorHAnsi" w:hAnsiTheme="majorHAnsi"/>
          <w:color w:val="auto"/>
          <w:sz w:val="20"/>
        </w:rPr>
        <w:t xml:space="preserve">hereby presents its Country Report entitled </w:t>
      </w:r>
      <w:r w:rsidRPr="003A7870">
        <w:rPr>
          <w:rFonts w:asciiTheme="majorHAnsi" w:hAnsiTheme="majorHAnsi"/>
          <w:i/>
          <w:iCs/>
          <w:color w:val="auto"/>
          <w:sz w:val="20"/>
        </w:rPr>
        <w:t>Democratic Institutions, the Rule of Law, and Human Rights in Venezuela</w:t>
      </w:r>
      <w:r w:rsidRPr="003A7870">
        <w:rPr>
          <w:rFonts w:asciiTheme="majorHAnsi" w:hAnsiTheme="majorHAnsi"/>
          <w:color w:val="auto"/>
          <w:sz w:val="20"/>
        </w:rPr>
        <w:t xml:space="preserve">, its third report on the human rights situation in the Bolivarian Republic of Venezuela (Venezuela). The decision to produce this </w:t>
      </w:r>
      <w:r w:rsidRPr="003A7870">
        <w:rPr>
          <w:rFonts w:asciiTheme="majorHAnsi" w:hAnsiTheme="majorHAnsi"/>
          <w:sz w:val="20"/>
        </w:rPr>
        <w:t>report</w:t>
      </w:r>
      <w:r w:rsidRPr="003A7870">
        <w:rPr>
          <w:rFonts w:asciiTheme="majorHAnsi" w:hAnsiTheme="majorHAnsi"/>
          <w:color w:val="auto"/>
          <w:sz w:val="20"/>
        </w:rPr>
        <w:t xml:space="preserve"> stems from the marked deterioration in the country with respect to the exercise of human rights, and the grave political, economic, and social crisis in Venezuela over the past two years and, especially, in 2017.</w:t>
      </w:r>
    </w:p>
    <w:p w:rsidR="00EB77A8" w:rsidRPr="003A7870" w:rsidRDefault="00EB77A8" w:rsidP="00EB77A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ajorHAnsi" w:hAnsiTheme="majorHAnsi"/>
          <w:color w:val="auto"/>
          <w:sz w:val="20"/>
          <w:szCs w:val="20"/>
        </w:rPr>
      </w:pPr>
    </w:p>
    <w:p w:rsidR="00EB77A8" w:rsidRPr="003A7870" w:rsidRDefault="00EB77A8" w:rsidP="00131005">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color w:val="auto"/>
          <w:sz w:val="20"/>
          <w:szCs w:val="20"/>
        </w:rPr>
      </w:pPr>
      <w:r w:rsidRPr="003A7870">
        <w:rPr>
          <w:rFonts w:asciiTheme="majorHAnsi" w:hAnsiTheme="majorHAnsi"/>
          <w:color w:val="auto"/>
          <w:sz w:val="20"/>
        </w:rPr>
        <w:t xml:space="preserve">In this report, the Inter-American Commission addresses the human rights situation in Venezuela by analyzing the impact on them of the dismantling of much of democratic institutional system and the alarming increase in repression, violence, and citizen insecurity. Against that backdrop, it examines the situation with respect to political rights, freedom of expression, social protest, and </w:t>
      </w:r>
      <w:r w:rsidRPr="003A7870">
        <w:rPr>
          <w:rFonts w:asciiTheme="majorHAnsi" w:hAnsiTheme="majorHAnsi"/>
          <w:color w:val="auto"/>
          <w:sz w:val="20"/>
          <w:lang w:val="en"/>
        </w:rPr>
        <w:t>economic, social, cultural, and environmental rights.</w:t>
      </w:r>
      <w:r w:rsidRPr="003A7870">
        <w:rPr>
          <w:rFonts w:asciiTheme="majorHAnsi" w:hAnsiTheme="majorHAnsi"/>
          <w:color w:val="auto"/>
          <w:sz w:val="20"/>
        </w:rPr>
        <w:t xml:space="preserve"> The IACHR analyzes, across the board, the specific harm done to individuals, groups, and communities that are at greater risk and/or are victims of historical discrimination and exclusion, such as women; children and adolescents; older persons; human rights defenders; persons deprived of liberty; migrants, refugees, and persons in a similar situation;  and </w:t>
      </w:r>
      <w:r w:rsidRPr="003A7870">
        <w:rPr>
          <w:rFonts w:asciiTheme="majorHAnsi" w:hAnsiTheme="majorHAnsi"/>
          <w:sz w:val="20"/>
        </w:rPr>
        <w:t>others</w:t>
      </w:r>
      <w:r w:rsidRPr="003A7870">
        <w:rPr>
          <w:rFonts w:asciiTheme="majorHAnsi" w:hAnsiTheme="majorHAnsi"/>
          <w:color w:val="auto"/>
          <w:sz w:val="20"/>
        </w:rPr>
        <w:t>. Based on that analysis, it makes recommendation to the State on how to improve protection and safeguards for human rights.</w:t>
      </w:r>
    </w:p>
    <w:p w:rsidR="00EB77A8" w:rsidRPr="003A7870" w:rsidRDefault="00EB77A8" w:rsidP="00EB77A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ajorHAnsi" w:hAnsiTheme="majorHAnsi"/>
          <w:sz w:val="20"/>
          <w:szCs w:val="20"/>
        </w:rPr>
      </w:pPr>
    </w:p>
    <w:p w:rsidR="00EB77A8" w:rsidRPr="003A7870" w:rsidRDefault="00EB77A8" w:rsidP="00131005">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Cambria" w:hAnsi="Cambria"/>
          <w:sz w:val="20"/>
          <w:szCs w:val="20"/>
        </w:rPr>
      </w:pPr>
      <w:r w:rsidRPr="003A7870">
        <w:rPr>
          <w:rFonts w:asciiTheme="majorHAnsi" w:hAnsiTheme="majorHAnsi"/>
          <w:color w:val="auto"/>
          <w:sz w:val="20"/>
        </w:rPr>
        <w:t xml:space="preserve">The </w:t>
      </w:r>
      <w:r w:rsidRPr="003A7870">
        <w:rPr>
          <w:rFonts w:asciiTheme="majorHAnsi" w:hAnsiTheme="majorHAnsi"/>
          <w:sz w:val="20"/>
        </w:rPr>
        <w:t>Commission's</w:t>
      </w:r>
      <w:r w:rsidRPr="003A7870">
        <w:rPr>
          <w:rFonts w:asciiTheme="majorHAnsi" w:hAnsiTheme="majorHAnsi"/>
          <w:color w:val="auto"/>
          <w:sz w:val="20"/>
        </w:rPr>
        <w:t xml:space="preserve"> analysis of the situation of human rights in Venezuela is based on information received through its various protection mechanisms over the past two years, particularly in 2017. In addition, while preparing its report, the IACHR requested information from both civil society organizations </w:t>
      </w:r>
      <w:r w:rsidRPr="003A7870">
        <w:rPr>
          <w:rFonts w:asciiTheme="majorHAnsi" w:hAnsiTheme="majorHAnsi"/>
          <w:sz w:val="20"/>
        </w:rPr>
        <w:t>and</w:t>
      </w:r>
      <w:r w:rsidRPr="003A7870">
        <w:rPr>
          <w:rFonts w:asciiTheme="majorHAnsi" w:hAnsiTheme="majorHAnsi"/>
          <w:color w:val="auto"/>
          <w:sz w:val="20"/>
        </w:rPr>
        <w:t xml:space="preserve"> the State</w:t>
      </w:r>
      <w:r w:rsidRPr="003A7870">
        <w:rPr>
          <w:rFonts w:asciiTheme="majorHAnsi" w:hAnsiTheme="majorHAnsi"/>
          <w:color w:val="auto"/>
          <w:sz w:val="20"/>
          <w:lang w:val="en"/>
        </w:rPr>
        <w:t>,</w:t>
      </w:r>
      <w:r w:rsidRPr="003A7870">
        <w:rPr>
          <w:rFonts w:ascii="Cambria" w:hAnsi="Cambria"/>
          <w:sz w:val="20"/>
          <w:szCs w:val="20"/>
          <w:lang w:val="en"/>
        </w:rPr>
        <w:t xml:space="preserve"> which are fundamental sources for this report</w:t>
      </w:r>
      <w:r w:rsidRPr="003A7870">
        <w:rPr>
          <w:rFonts w:asciiTheme="majorHAnsi" w:hAnsiTheme="majorHAnsi"/>
          <w:color w:val="auto"/>
          <w:sz w:val="20"/>
        </w:rPr>
        <w:t>. That information was basic for this report. It afforded insight into the human rights situation, which was then analyzed in light of international obligations applicable to Venezuela.</w:t>
      </w:r>
      <w:r w:rsidRPr="003A7870">
        <w:rPr>
          <w:rStyle w:val="FootnoteReference"/>
          <w:rFonts w:asciiTheme="majorHAnsi" w:hAnsiTheme="majorHAnsi"/>
          <w:color w:val="auto"/>
          <w:sz w:val="20"/>
        </w:rPr>
        <w:footnoteReference w:id="1"/>
      </w:r>
      <w:r w:rsidRPr="003A7870">
        <w:rPr>
          <w:rFonts w:asciiTheme="majorHAnsi" w:hAnsiTheme="majorHAnsi"/>
          <w:sz w:val="20"/>
        </w:rPr>
        <w:t xml:space="preserve"> </w:t>
      </w:r>
      <w:r w:rsidRPr="003A7870">
        <w:rPr>
          <w:rFonts w:asciiTheme="majorHAnsi" w:hAnsiTheme="majorHAnsi"/>
          <w:color w:val="auto"/>
          <w:sz w:val="20"/>
        </w:rPr>
        <w:t xml:space="preserve">This report has four main focuses, which correspond to the Commission's core concerns with regard to Venezuela: </w:t>
      </w:r>
      <w:r w:rsidRPr="003A7870">
        <w:rPr>
          <w:rFonts w:asciiTheme="majorHAnsi" w:hAnsiTheme="majorHAnsi"/>
          <w:color w:val="auto"/>
          <w:sz w:val="20"/>
          <w:lang w:val="en"/>
        </w:rPr>
        <w:t>(i) democratic institutions (both individually and as a system); (ii) social protest and freedom of expression;  (iii) violence and citizen security and (iv) economic, social, cultural, and environmental rights (ESCER).</w:t>
      </w:r>
      <w:r w:rsidRPr="003A7870">
        <w:rPr>
          <w:rFonts w:asciiTheme="majorHAnsi" w:hAnsiTheme="majorHAnsi"/>
          <w:color w:val="auto"/>
          <w:sz w:val="20"/>
        </w:rPr>
        <w:t xml:space="preserve"> </w:t>
      </w:r>
    </w:p>
    <w:p w:rsidR="00EB77A8" w:rsidRPr="003A7870" w:rsidRDefault="00EB77A8" w:rsidP="00EB77A8">
      <w:pPr>
        <w:rPr>
          <w:rFonts w:asciiTheme="majorHAnsi" w:hAnsiTheme="majorHAnsi"/>
          <w:sz w:val="20"/>
          <w:szCs w:val="20"/>
        </w:rPr>
      </w:pPr>
    </w:p>
    <w:p w:rsidR="00EB77A8" w:rsidRPr="003A7870" w:rsidRDefault="00EB77A8" w:rsidP="00F615A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sz w:val="20"/>
          <w:szCs w:val="20"/>
        </w:rPr>
      </w:pPr>
      <w:r w:rsidRPr="003A7870">
        <w:rPr>
          <w:rFonts w:asciiTheme="majorHAnsi" w:hAnsiTheme="majorHAnsi"/>
          <w:sz w:val="20"/>
        </w:rPr>
        <w:t xml:space="preserve">This report reflects the interdependence and indivisibility that exists between the infringements in Venezuela of civil, political, economic, social, cultural, and environmental rights. Together those rights constitute an indissoluble whole, which is why -- even though the ESCER are addressed separately in this report, -- the IACHR stresses that the effective exercise of democracy in any State necessarily presupposes the full exercise of  all its inhabitants' rights and fundamental freedoms. </w:t>
      </w:r>
    </w:p>
    <w:p w:rsidR="00EB77A8" w:rsidRPr="003A7870" w:rsidRDefault="00EB77A8" w:rsidP="00F615AB">
      <w:pPr>
        <w:pStyle w:val="NoSpacing"/>
        <w:rPr>
          <w:rFonts w:asciiTheme="majorHAnsi" w:hAnsiTheme="majorHAnsi"/>
          <w:sz w:val="20"/>
          <w:szCs w:val="20"/>
        </w:rPr>
      </w:pPr>
    </w:p>
    <w:p w:rsidR="00F615AB" w:rsidRPr="0018445F" w:rsidRDefault="00F615AB" w:rsidP="00F615A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eastAsia="Times New Roman" w:hAnsiTheme="majorHAnsi"/>
          <w:sz w:val="20"/>
          <w:szCs w:val="20"/>
        </w:rPr>
      </w:pPr>
      <w:r w:rsidRPr="003A7870">
        <w:rPr>
          <w:rFonts w:asciiTheme="majorHAnsi" w:hAnsiTheme="majorHAnsi"/>
          <w:sz w:val="20"/>
          <w:szCs w:val="20"/>
          <w:lang w:val="en"/>
        </w:rPr>
        <w:lastRenderedPageBreak/>
        <w:t>This year, the IACHR decided to include Venezuela in Chapter IVB of its 2017 Annual Report, pursuant to Article 59 of its Rules of Procedure.</w:t>
      </w:r>
      <w:bookmarkStart w:id="17" w:name="_ftnref570"/>
      <w:bookmarkEnd w:id="17"/>
      <w:r w:rsidRPr="003A7870">
        <w:rPr>
          <w:rFonts w:asciiTheme="majorHAnsi" w:hAnsiTheme="majorHAnsi"/>
          <w:sz w:val="20"/>
          <w:szCs w:val="20"/>
          <w:lang w:val="en"/>
        </w:rPr>
        <w:t xml:space="preserve"> In accordance with the foregoing, the Commission finds that the situation in Venezuela falls within paragraphs 6.ai; 6.a.ii; 6.b; and 6.d.i of that article, which establishes the following criteria:</w:t>
      </w:r>
    </w:p>
    <w:p w:rsidR="00F615AB" w:rsidRPr="0018445F" w:rsidRDefault="00F615AB" w:rsidP="00F615AB">
      <w:pPr>
        <w:rPr>
          <w:rFonts w:asciiTheme="majorHAnsi" w:eastAsia="Times New Roman" w:hAnsiTheme="majorHAnsi" w:cs="Tahoma"/>
          <w:sz w:val="20"/>
          <w:szCs w:val="20"/>
        </w:rPr>
      </w:pPr>
    </w:p>
    <w:p w:rsidR="00F615AB" w:rsidRPr="0018445F" w:rsidRDefault="00F615AB" w:rsidP="00F615A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r w:rsidRPr="0018445F">
        <w:rPr>
          <w:rFonts w:asciiTheme="majorHAnsi" w:eastAsia="Times New Roman" w:hAnsiTheme="majorHAnsi"/>
          <w:sz w:val="20"/>
          <w:szCs w:val="20"/>
          <w:bdr w:val="none" w:sz="0" w:space="0" w:color="auto"/>
          <w:lang w:val="en"/>
        </w:rPr>
        <w:t xml:space="preserve">a. a serious breach of the core requirements and institutions of representative democracy mentioned in the Inter-American Democratic Charter, which are essential means of achieving human rights, including: </w:t>
      </w:r>
    </w:p>
    <w:p w:rsidR="00F615AB" w:rsidRPr="0018445F" w:rsidRDefault="00F615AB" w:rsidP="00F615A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p>
    <w:p w:rsidR="00F615AB" w:rsidRPr="0018445F" w:rsidRDefault="00F615AB" w:rsidP="00F615A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r w:rsidRPr="0018445F">
        <w:rPr>
          <w:rFonts w:asciiTheme="majorHAnsi" w:eastAsia="Times New Roman" w:hAnsiTheme="majorHAnsi"/>
          <w:sz w:val="20"/>
          <w:szCs w:val="20"/>
          <w:bdr w:val="none" w:sz="0" w:space="0" w:color="auto"/>
          <w:lang w:val="en"/>
        </w:rPr>
        <w:t xml:space="preserve">i. there is discriminatory access to or abusive exercise of power that undermines or denies the rule of law, such as systematic infringement of the independence of the judiciary or lack of subordination of State institutions to the legally constituted civilian authority; </w:t>
      </w:r>
    </w:p>
    <w:p w:rsidR="00F615AB" w:rsidRPr="0018445F" w:rsidRDefault="00F615AB" w:rsidP="00F615A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p>
    <w:p w:rsidR="00F615AB" w:rsidRPr="0018445F" w:rsidRDefault="00F615AB" w:rsidP="00F615A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r w:rsidRPr="0018445F">
        <w:rPr>
          <w:rFonts w:asciiTheme="majorHAnsi" w:eastAsia="Times New Roman" w:hAnsiTheme="majorHAnsi"/>
          <w:sz w:val="20"/>
          <w:szCs w:val="20"/>
          <w:bdr w:val="none" w:sz="0" w:space="0" w:color="auto"/>
          <w:lang w:val="en"/>
        </w:rPr>
        <w:t>ii. there has been an unconstitutional alteration of the constitutional regime that seriously impairs the democratic order; [...]</w:t>
      </w:r>
    </w:p>
    <w:p w:rsidR="00F615AB" w:rsidRPr="0018445F" w:rsidRDefault="00F615AB" w:rsidP="00F615A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p>
    <w:p w:rsidR="00F615AB" w:rsidRPr="0018445F" w:rsidRDefault="00F615AB" w:rsidP="00F615A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r w:rsidRPr="0018445F">
        <w:rPr>
          <w:rFonts w:asciiTheme="majorHAnsi" w:eastAsia="Times New Roman" w:hAnsiTheme="majorHAnsi"/>
          <w:sz w:val="20"/>
          <w:szCs w:val="20"/>
          <w:bdr w:val="none" w:sz="0" w:space="0" w:color="auto"/>
          <w:lang w:val="en"/>
        </w:rPr>
        <w:t xml:space="preserve"> b. The free exercise of the rights guaranteed in the American Declaration or the American Convention has been unlawfully suspended, totally or partially, by virtue of the imposition of exceptional measures such as a declaration of a state of emergency, state of siege, suspension of constitutional guarantees, or exceptional security measures. [...] The presence of other structural situations that seriously affect the use and enjoyment of fundamental rights recognized in the American Declaration, the American Convention or other applicable instruments. This criterion includes, for example: serious situations of violence that hinder the proper functioning of the Rule of Law; serious institutional crises; processes of institutional reform with serious negative consequences for human rights; or serious omissions in the adoption of necessary provisions to give effect to fundamental rights. </w:t>
      </w:r>
    </w:p>
    <w:p w:rsidR="00F615AB" w:rsidRPr="0018445F" w:rsidRDefault="00F615AB" w:rsidP="00F615A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p>
    <w:p w:rsidR="00F615AB" w:rsidRPr="0018445F" w:rsidRDefault="00F615AB" w:rsidP="00F615A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r w:rsidRPr="0018445F">
        <w:rPr>
          <w:rFonts w:asciiTheme="majorHAnsi" w:eastAsia="Times New Roman" w:hAnsiTheme="majorHAnsi"/>
          <w:sz w:val="20"/>
          <w:szCs w:val="20"/>
          <w:bdr w:val="none" w:sz="0" w:space="0" w:color="auto"/>
          <w:lang w:val="en"/>
        </w:rPr>
        <w:t xml:space="preserve">d. The presence of other structural situations that seriously affect the use and enjoyment of fundamental rights recognized in the American Declaration, the American Convention or other applicable instruments. Factors to be considered shall include the following, among others: </w:t>
      </w:r>
    </w:p>
    <w:p w:rsidR="00F615AB" w:rsidRPr="0018445F" w:rsidRDefault="00F615AB" w:rsidP="00F615A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p>
    <w:p w:rsidR="00F615AB" w:rsidRPr="0018445F" w:rsidRDefault="00F615AB" w:rsidP="00F615A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r w:rsidRPr="0018445F">
        <w:rPr>
          <w:rFonts w:asciiTheme="majorHAnsi" w:eastAsia="Times New Roman" w:hAnsiTheme="majorHAnsi"/>
          <w:sz w:val="20"/>
          <w:szCs w:val="20"/>
          <w:bdr w:val="none" w:sz="0" w:space="0" w:color="auto"/>
          <w:lang w:val="en"/>
        </w:rPr>
        <w:t>i. serious institutional crises that infringe the enjoyment of human rights; [...]</w:t>
      </w:r>
    </w:p>
    <w:p w:rsidR="00F615AB" w:rsidRPr="003A7870" w:rsidRDefault="00F615AB" w:rsidP="00F615AB">
      <w:pPr>
        <w:rPr>
          <w:rFonts w:asciiTheme="majorHAnsi" w:eastAsia="Times New Roman" w:hAnsiTheme="majorHAnsi" w:cs="Tahoma"/>
          <w:sz w:val="20"/>
          <w:szCs w:val="20"/>
        </w:rPr>
      </w:pPr>
    </w:p>
    <w:p w:rsidR="00F615AB" w:rsidRPr="003A7870" w:rsidRDefault="00F615AB" w:rsidP="00F615A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contextualSpacing/>
        <w:jc w:val="both"/>
        <w:rPr>
          <w:rFonts w:asciiTheme="majorHAnsi" w:eastAsia="Times New Roman" w:hAnsiTheme="majorHAnsi" w:cs="Times New Roman"/>
          <w:sz w:val="20"/>
          <w:szCs w:val="20"/>
        </w:rPr>
      </w:pPr>
      <w:r w:rsidRPr="003A7870">
        <w:rPr>
          <w:rFonts w:asciiTheme="majorHAnsi" w:eastAsia="Times New Roman" w:hAnsiTheme="majorHAnsi" w:cs="Times New Roman"/>
          <w:sz w:val="20"/>
          <w:szCs w:val="20"/>
          <w:lang w:val="en"/>
        </w:rPr>
        <w:t xml:space="preserve">On November 21, 2017, the IACHR sent the State a draft copy of this report pursuant to Article 60 section (a) of its Rules of Procedure and asked it to submit comments by the non-extendable deadline of one month. The IACHR also informed the State of its inclusion in the executive summary of the report in Chapter IV.B of the 2017 Annual Report, approved by the IACHR pursuant to articles 59.7 and 59.10 of its Rules of Procedure.  </w:t>
      </w:r>
    </w:p>
    <w:p w:rsidR="00F615AB" w:rsidRPr="003A7870" w:rsidRDefault="00F615AB" w:rsidP="00F615A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ajorHAnsi" w:eastAsia="Times New Roman" w:hAnsiTheme="majorHAnsi" w:cs="Times New Roman"/>
          <w:sz w:val="20"/>
          <w:szCs w:val="20"/>
        </w:rPr>
      </w:pPr>
    </w:p>
    <w:p w:rsidR="00F615AB" w:rsidRPr="003A7870" w:rsidRDefault="00F615AB" w:rsidP="00F615A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contextualSpacing/>
        <w:jc w:val="both"/>
        <w:rPr>
          <w:rFonts w:asciiTheme="majorHAnsi" w:eastAsia="Times New Roman" w:hAnsiTheme="majorHAnsi" w:cs="Times New Roman"/>
          <w:sz w:val="20"/>
          <w:szCs w:val="20"/>
        </w:rPr>
      </w:pPr>
      <w:r w:rsidRPr="003A7870">
        <w:rPr>
          <w:rFonts w:asciiTheme="majorHAnsi" w:hAnsiTheme="majorHAnsi" w:cs="Times New Roman"/>
          <w:sz w:val="20"/>
          <w:szCs w:val="20"/>
          <w:lang w:val="en"/>
        </w:rPr>
        <w:t>The State submitted its response on December 21, 2017,</w:t>
      </w:r>
      <w:r w:rsidRPr="003A7870">
        <w:rPr>
          <w:rStyle w:val="FootnoteReference"/>
          <w:rFonts w:asciiTheme="majorHAnsi" w:hAnsiTheme="majorHAnsi" w:cs="Times New Roman"/>
          <w:sz w:val="20"/>
          <w:szCs w:val="20"/>
          <w:lang w:val="en"/>
        </w:rPr>
        <w:footnoteReference w:id="2"/>
      </w:r>
      <w:r w:rsidRPr="003A7870">
        <w:rPr>
          <w:rFonts w:asciiTheme="majorHAnsi" w:hAnsiTheme="majorHAnsi" w:cs="Times New Roman"/>
          <w:sz w:val="20"/>
          <w:szCs w:val="20"/>
          <w:lang w:val="en"/>
        </w:rPr>
        <w:t xml:space="preserve"> saying that “the draft Country Report presents a selective and highly biased view of the true human rights situation of the Bolivarian Republic of Venezuela, violating the principles that should apply to the treatment of human rights matters."</w:t>
      </w:r>
      <w:r w:rsidRPr="003A7870">
        <w:rPr>
          <w:rStyle w:val="FootnoteReference"/>
          <w:rFonts w:asciiTheme="majorHAnsi" w:hAnsiTheme="majorHAnsi" w:cs="Times New Roman"/>
          <w:sz w:val="20"/>
          <w:szCs w:val="20"/>
          <w:lang w:val="en"/>
        </w:rPr>
        <w:footnoteReference w:id="3"/>
      </w:r>
      <w:r w:rsidRPr="003A7870">
        <w:rPr>
          <w:rFonts w:asciiTheme="majorHAnsi" w:hAnsiTheme="majorHAnsi" w:cs="Times New Roman"/>
          <w:sz w:val="20"/>
          <w:szCs w:val="20"/>
          <w:lang w:val="en"/>
        </w:rPr>
        <w:t xml:space="preserve"> In the State’s view, "to a large extent, this distorted view of the draft Report is the result of significant weaknesses in the methodology used to prepare it," and "the draft report gives excessive weight to nonobjective sources while the official information provided by the State is excluded almost entirely, despite all the documentation and elements the State provided to the Commission in 2017 through the different mechanisms available.”</w:t>
      </w:r>
      <w:r w:rsidRPr="003A7870">
        <w:rPr>
          <w:rStyle w:val="FootnoteReference"/>
          <w:rFonts w:asciiTheme="majorHAnsi" w:eastAsia="Times New Roman" w:hAnsiTheme="majorHAnsi" w:cs="Times New Roman"/>
          <w:sz w:val="20"/>
          <w:szCs w:val="20"/>
          <w:lang w:val="en"/>
        </w:rPr>
        <w:footnoteReference w:id="4"/>
      </w:r>
    </w:p>
    <w:p w:rsidR="00F615AB" w:rsidRPr="003A7870" w:rsidRDefault="00F615AB" w:rsidP="00F615AB">
      <w:pPr>
        <w:pStyle w:val="ListParagraph"/>
        <w:spacing w:after="0" w:line="240" w:lineRule="auto"/>
        <w:rPr>
          <w:rFonts w:asciiTheme="majorHAnsi" w:eastAsia="Times New Roman" w:hAnsiTheme="majorHAnsi" w:cs="Times New Roman"/>
          <w:sz w:val="20"/>
          <w:szCs w:val="20"/>
        </w:rPr>
      </w:pPr>
    </w:p>
    <w:p w:rsidR="00F615AB" w:rsidRPr="003A7870" w:rsidRDefault="00F615AB" w:rsidP="00F615A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contextualSpacing/>
        <w:jc w:val="both"/>
        <w:rPr>
          <w:rFonts w:asciiTheme="majorHAnsi" w:eastAsia="Times New Roman" w:hAnsiTheme="majorHAnsi" w:cs="Times New Roman"/>
          <w:sz w:val="20"/>
          <w:szCs w:val="20"/>
        </w:rPr>
      </w:pPr>
      <w:r w:rsidRPr="003A7870">
        <w:rPr>
          <w:rFonts w:asciiTheme="majorHAnsi" w:eastAsia="Times New Roman" w:hAnsiTheme="majorHAnsi"/>
          <w:sz w:val="20"/>
          <w:szCs w:val="20"/>
          <w:lang w:val="en"/>
        </w:rPr>
        <w:t>For its part, the State considers that "the conditions set forth in inter-American law for including Venezuela in Chapter IV.B of the Annual Report of the IACHR have not been met. The Venezuelan Government therefore rejects its inclusion in this chapter and takes note of the Commission’s offer [to conduct a country visit], but emphasizes that it is not possible to accept any mechanism that would involve the Venezuelan State’s acceptance of its arbitrary inclusion in Chapter IV.B of the 2017 Annual Report.”</w:t>
      </w:r>
      <w:r w:rsidRPr="003A7870">
        <w:rPr>
          <w:rStyle w:val="FootnoteReference"/>
          <w:rFonts w:asciiTheme="majorHAnsi" w:eastAsia="Times New Roman" w:hAnsiTheme="majorHAnsi"/>
          <w:sz w:val="20"/>
          <w:szCs w:val="20"/>
          <w:lang w:val="en"/>
        </w:rPr>
        <w:footnoteReference w:id="5"/>
      </w:r>
      <w:r w:rsidRPr="003A7870">
        <w:rPr>
          <w:rFonts w:asciiTheme="majorHAnsi" w:eastAsia="Times New Roman" w:hAnsiTheme="majorHAnsi"/>
          <w:sz w:val="20"/>
          <w:szCs w:val="20"/>
          <w:lang w:val="en"/>
        </w:rPr>
        <w:t xml:space="preserve"> Moreover, the State indicated its "willingness to have a constructive dialogue with the IACHR toward moving forward in compliance with its international obligations, based on the strict respect for the principles that must govern treatment of human rights matters, including principles of universality, objectivity, impartiality, and non-selectivity.”</w:t>
      </w:r>
      <w:r w:rsidRPr="003A7870">
        <w:rPr>
          <w:rStyle w:val="FootnoteReference"/>
          <w:rFonts w:asciiTheme="majorHAnsi" w:eastAsia="Times New Roman" w:hAnsiTheme="majorHAnsi"/>
          <w:sz w:val="20"/>
          <w:szCs w:val="20"/>
          <w:lang w:val="en"/>
        </w:rPr>
        <w:footnoteReference w:id="6"/>
      </w:r>
    </w:p>
    <w:p w:rsidR="00F615AB" w:rsidRPr="003A7870" w:rsidRDefault="00F615AB" w:rsidP="00F615AB">
      <w:pPr>
        <w:rPr>
          <w:rFonts w:asciiTheme="majorHAnsi" w:eastAsia="Times New Roman" w:hAnsiTheme="majorHAnsi"/>
          <w:sz w:val="20"/>
          <w:szCs w:val="20"/>
        </w:rPr>
      </w:pPr>
    </w:p>
    <w:p w:rsidR="00F615AB" w:rsidRPr="003A7870" w:rsidRDefault="00F615AB" w:rsidP="00F615A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contextualSpacing/>
        <w:jc w:val="both"/>
        <w:rPr>
          <w:rFonts w:asciiTheme="majorHAnsi" w:eastAsia="Times New Roman" w:hAnsiTheme="majorHAnsi" w:cs="Times New Roman"/>
          <w:sz w:val="20"/>
          <w:szCs w:val="20"/>
        </w:rPr>
      </w:pPr>
      <w:r w:rsidRPr="003A7870">
        <w:rPr>
          <w:rFonts w:asciiTheme="majorHAnsi" w:eastAsia="Times New Roman" w:hAnsiTheme="majorHAnsi" w:cs="Times New Roman"/>
          <w:sz w:val="20"/>
          <w:szCs w:val="20"/>
          <w:lang w:val="en"/>
        </w:rPr>
        <w:t>The State concludes by highlighting that:</w:t>
      </w:r>
    </w:p>
    <w:p w:rsidR="00F615AB" w:rsidRPr="003A7870" w:rsidRDefault="00F615AB" w:rsidP="00F615AB">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u w:color="000000"/>
        </w:rPr>
      </w:pPr>
    </w:p>
    <w:p w:rsidR="00F615AB" w:rsidRPr="00710882" w:rsidRDefault="00F615AB" w:rsidP="00F615AB">
      <w:pPr>
        <w:pBdr>
          <w:top w:val="none" w:sz="0" w:space="0" w:color="auto"/>
          <w:left w:val="none" w:sz="0" w:space="0" w:color="auto"/>
          <w:bottom w:val="none" w:sz="0" w:space="0" w:color="auto"/>
          <w:right w:val="none" w:sz="0" w:space="0" w:color="auto"/>
          <w:between w:val="none" w:sz="0" w:space="0" w:color="auto"/>
          <w:bar w:val="none" w:sz="0" w:color="auto"/>
        </w:pBdr>
        <w:ind w:left="708" w:right="776"/>
        <w:contextualSpacing/>
        <w:jc w:val="both"/>
        <w:rPr>
          <w:rFonts w:asciiTheme="majorHAnsi" w:eastAsia="Times New Roman" w:hAnsiTheme="majorHAnsi"/>
          <w:sz w:val="20"/>
          <w:szCs w:val="20"/>
        </w:rPr>
      </w:pPr>
      <w:r w:rsidRPr="00710882">
        <w:rPr>
          <w:rFonts w:asciiTheme="majorHAnsi" w:eastAsia="Times New Roman" w:hAnsiTheme="majorHAnsi"/>
          <w:sz w:val="20"/>
          <w:szCs w:val="20"/>
          <w:lang w:val="en"/>
        </w:rPr>
        <w:t>The Bolivarian Republic of Venezuela is a democratic and social constitutional State based on the rule of law and justice, with participatory and protagonist democracy that takes respect for and guarantee of human rights as a fundamental value. Like the other countries in the region, on issues of human rights, Venezuela has strengths as well as weaknesses. However, no objective and nondiscriminatory analysis would lead to the conclusion that the human rights situation in the Bolivarian Republic of Venezuela deserves treatment by the Organization of American States different from what it gives to other States.</w:t>
      </w:r>
      <w:r w:rsidRPr="00710882">
        <w:rPr>
          <w:rStyle w:val="FootnoteReference"/>
          <w:rFonts w:asciiTheme="majorHAnsi" w:eastAsia="Times New Roman" w:hAnsiTheme="majorHAnsi"/>
          <w:sz w:val="20"/>
          <w:szCs w:val="20"/>
          <w:lang w:val="en"/>
        </w:rPr>
        <w:footnoteReference w:id="7"/>
      </w:r>
      <w:r w:rsidRPr="00710882">
        <w:rPr>
          <w:rFonts w:asciiTheme="majorHAnsi" w:eastAsia="Times New Roman" w:hAnsiTheme="majorHAnsi"/>
          <w:sz w:val="20"/>
          <w:szCs w:val="20"/>
          <w:lang w:val="en"/>
        </w:rPr>
        <w:t xml:space="preserve">   </w:t>
      </w:r>
    </w:p>
    <w:p w:rsidR="00F615AB" w:rsidRPr="003A7870" w:rsidRDefault="00F615AB" w:rsidP="00F615AB">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rPr>
      </w:pPr>
    </w:p>
    <w:p w:rsidR="00F615AB" w:rsidRPr="003A7870" w:rsidRDefault="00F615AB" w:rsidP="00F615A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contextualSpacing/>
        <w:jc w:val="both"/>
        <w:rPr>
          <w:rFonts w:asciiTheme="majorHAnsi" w:eastAsia="Times New Roman" w:hAnsiTheme="majorHAnsi"/>
        </w:rPr>
      </w:pPr>
      <w:r w:rsidRPr="003A7870">
        <w:rPr>
          <w:rFonts w:asciiTheme="majorHAnsi" w:hAnsiTheme="majorHAnsi" w:cs="Cambria"/>
          <w:sz w:val="20"/>
          <w:szCs w:val="20"/>
          <w:lang w:val="en"/>
        </w:rPr>
        <w:t>The State’s comments have been included in this chapter where pertinent.  The Commission approved this report on December 31, 2017.</w:t>
      </w:r>
    </w:p>
    <w:p w:rsidR="00F615AB" w:rsidRPr="003A7870" w:rsidRDefault="00F615AB" w:rsidP="00EB77A8">
      <w:pPr>
        <w:pStyle w:val="NoSpacing"/>
        <w:rPr>
          <w:rFonts w:asciiTheme="majorHAnsi" w:hAnsiTheme="majorHAnsi"/>
          <w:sz w:val="20"/>
          <w:szCs w:val="20"/>
        </w:rPr>
      </w:pPr>
    </w:p>
    <w:p w:rsidR="00EB77A8" w:rsidRPr="003A7870" w:rsidRDefault="00EB77A8" w:rsidP="00F615AB">
      <w:pPr>
        <w:pStyle w:val="Heading2"/>
        <w:spacing w:before="0"/>
        <w:ind w:left="708"/>
        <w:rPr>
          <w:i/>
          <w:color w:val="auto"/>
          <w:sz w:val="20"/>
          <w:szCs w:val="20"/>
        </w:rPr>
      </w:pPr>
      <w:bookmarkStart w:id="22" w:name="_Toc503368260"/>
      <w:bookmarkStart w:id="23" w:name="_Toc497733332"/>
      <w:bookmarkStart w:id="24" w:name="_Toc497649698"/>
      <w:bookmarkStart w:id="25" w:name="_Toc497458279"/>
      <w:bookmarkStart w:id="26" w:name="_Toc496292366"/>
      <w:r w:rsidRPr="003A7870">
        <w:rPr>
          <w:i/>
          <w:iCs/>
          <w:color w:val="auto"/>
          <w:sz w:val="20"/>
        </w:rPr>
        <w:t>Democratic institutions</w:t>
      </w:r>
      <w:bookmarkEnd w:id="22"/>
      <w:bookmarkEnd w:id="23"/>
      <w:bookmarkEnd w:id="24"/>
      <w:bookmarkEnd w:id="25"/>
      <w:bookmarkEnd w:id="26"/>
    </w:p>
    <w:p w:rsidR="00EB77A8" w:rsidRPr="003A7870" w:rsidRDefault="00EB77A8" w:rsidP="00EB77A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ajorHAnsi" w:hAnsiTheme="majorHAnsi"/>
          <w:color w:val="auto"/>
          <w:sz w:val="20"/>
          <w:szCs w:val="20"/>
        </w:rPr>
      </w:pPr>
    </w:p>
    <w:p w:rsidR="00EB77A8" w:rsidRPr="003A7870" w:rsidRDefault="00EB77A8" w:rsidP="00F615A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contextualSpacing/>
        <w:jc w:val="both"/>
        <w:rPr>
          <w:rFonts w:asciiTheme="majorHAnsi" w:hAnsiTheme="majorHAnsi"/>
          <w:color w:val="auto"/>
          <w:sz w:val="20"/>
          <w:szCs w:val="20"/>
        </w:rPr>
      </w:pPr>
      <w:r w:rsidRPr="003A7870">
        <w:rPr>
          <w:rFonts w:asciiTheme="majorHAnsi" w:hAnsiTheme="majorHAnsi"/>
          <w:sz w:val="20"/>
        </w:rPr>
        <w:t>For several years now, the IACHR has been observing a gradual deterioration in the democratic institutional system and the human rights situation in Venezuela that has become significantly more intense and widespread since 2015. As the IACHR discusses in this report, there is complex set of issues rooted in interference by the Executive in the other branches of government. This breach of the principle of the separation of powers is most seriously manifested in the alarming behavior of the Judiciary, especially in the past two years. Indeed, the exacerbation of the recent crisis in Venezuela is closely linked to a series of decisions taken by the Supreme Court of Justice (TSJ) that amounted to interference with the National Assembly (AN) and violated the principle of the separation of powers. This situation worsened in 2017 to a point at which Judgments No. 155 and 156 handed down by the TSJ on March 28 and 29, respectively, produced an alteration of the constitutional order. In those judgments, the TSJ did away with the parliamentary immunity of deputies to the AN, established that their acts constituted "treason", granted the Executive broad discretionary authority, and arrogated to itself powers rightfully pertaining to the Legislature. As the IACHR pointed out at the time, those measures represented usurpation by the Judiciary and the Executive of powers constitutionally granted to parliament, as well as a de facto annulment of the popular vote, via which those deputies had been elected.</w:t>
      </w:r>
      <w:r w:rsidRPr="003A7870">
        <w:rPr>
          <w:rFonts w:asciiTheme="majorHAnsi" w:hAnsiTheme="majorHAnsi"/>
          <w:sz w:val="20"/>
          <w:vertAlign w:val="superscript"/>
        </w:rPr>
        <w:footnoteReference w:id="8"/>
      </w:r>
      <w:r w:rsidRPr="003A7870">
        <w:rPr>
          <w:rFonts w:asciiTheme="majorHAnsi" w:hAnsiTheme="majorHAnsi"/>
          <w:sz w:val="20"/>
        </w:rPr>
        <w:t xml:space="preserve"> </w:t>
      </w:r>
    </w:p>
    <w:p w:rsidR="00EB77A8" w:rsidRPr="003A7870" w:rsidRDefault="00EB77A8" w:rsidP="00EB77A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ajorHAnsi" w:hAnsiTheme="majorHAnsi"/>
          <w:color w:val="auto"/>
          <w:sz w:val="20"/>
          <w:szCs w:val="20"/>
        </w:rPr>
      </w:pPr>
    </w:p>
    <w:p w:rsidR="00EB77A8" w:rsidRPr="003A7870" w:rsidRDefault="00EB77A8" w:rsidP="00F615A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color w:val="000000" w:themeColor="text1"/>
          <w:sz w:val="20"/>
          <w:szCs w:val="20"/>
        </w:rPr>
      </w:pPr>
      <w:r w:rsidRPr="003A7870">
        <w:rPr>
          <w:rFonts w:asciiTheme="majorHAnsi" w:hAnsiTheme="majorHAnsi"/>
          <w:color w:val="auto"/>
          <w:sz w:val="20"/>
        </w:rPr>
        <w:t xml:space="preserve">The alteration of the constitutional order in Venezuela was possible due to a series of factors that mean that, in general, the country's democratic institutional system is seriously flawed. In the Commission's opinion, the lack of independence of the Judiciary has a decisive impact on both the Executive's </w:t>
      </w:r>
      <w:r w:rsidRPr="003A7870">
        <w:rPr>
          <w:rFonts w:asciiTheme="majorHAnsi" w:hAnsiTheme="majorHAnsi"/>
          <w:color w:val="auto"/>
          <w:sz w:val="20"/>
        </w:rPr>
        <w:lastRenderedPageBreak/>
        <w:t xml:space="preserve">interference in the Judiciary and on the Judiciary's interference in the Legislature.  </w:t>
      </w:r>
      <w:r w:rsidRPr="003A7870">
        <w:rPr>
          <w:rFonts w:asciiTheme="majorHAnsi" w:hAnsiTheme="majorHAnsi"/>
          <w:sz w:val="20"/>
        </w:rPr>
        <w:t xml:space="preserve">A key factor in that lack of independence is, in turn,  as we observe in this report, the </w:t>
      </w:r>
      <w:r w:rsidRPr="003A7870">
        <w:rPr>
          <w:rFonts w:asciiTheme="majorHAnsi" w:hAnsiTheme="majorHAnsi"/>
          <w:color w:val="000000" w:themeColor="text1"/>
          <w:sz w:val="20"/>
          <w:shd w:val="clear" w:color="auto" w:fill="FFFFFF"/>
        </w:rPr>
        <w:t>inappropriate nature of the process for electing TSJ judges and the lack of guarantees of their permanence in that position (tenure). That is why</w:t>
      </w:r>
      <w:r w:rsidRPr="003A7870">
        <w:rPr>
          <w:rFonts w:asciiTheme="majorHAnsi" w:hAnsiTheme="majorHAnsi"/>
          <w:color w:val="000000" w:themeColor="text1"/>
          <w:sz w:val="20"/>
        </w:rPr>
        <w:t xml:space="preserve"> the Commission considers it necessary that measures be adopted to avoid risks to judicial independence in the election, appointment, and tenure of members of the highest court in Venezuela. </w:t>
      </w:r>
      <w:r w:rsidRPr="003A7870">
        <w:rPr>
          <w:rFonts w:asciiTheme="majorHAnsi" w:hAnsiTheme="majorHAnsi"/>
          <w:sz w:val="20"/>
        </w:rPr>
        <w:t>In particular, care needs to be taken to ensure that in appointment processes notices of vacancy are disseminated in advance along with the deadlines and procedures to be followed; equal and inclusive access of candidates must be guaranteed, as well as ample civil society participation. Candidates must be assessed on their merits and professional abilities, not their political leanings or connections.</w:t>
      </w:r>
    </w:p>
    <w:p w:rsidR="00EB77A8" w:rsidRPr="003A7870" w:rsidRDefault="00EB77A8" w:rsidP="00EB77A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olor w:val="000000" w:themeColor="text1"/>
          <w:sz w:val="20"/>
          <w:szCs w:val="20"/>
        </w:rPr>
      </w:pPr>
    </w:p>
    <w:p w:rsidR="00EB77A8" w:rsidRPr="003A7870" w:rsidRDefault="00EB77A8" w:rsidP="00F615A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color w:val="000000" w:themeColor="text1"/>
          <w:sz w:val="20"/>
          <w:szCs w:val="20"/>
        </w:rPr>
      </w:pPr>
      <w:r w:rsidRPr="003A7870">
        <w:rPr>
          <w:rFonts w:asciiTheme="majorHAnsi" w:hAnsiTheme="majorHAnsi"/>
          <w:color w:val="auto"/>
          <w:sz w:val="20"/>
        </w:rPr>
        <w:t xml:space="preserve">Another reason that, in the Commission's view, generally explains the lack of judicial independence in Venezuela is the highly provisional nature of judges' terms. </w:t>
      </w:r>
      <w:r w:rsidRPr="003A7870">
        <w:rPr>
          <w:rFonts w:asciiTheme="majorHAnsi" w:hAnsiTheme="majorHAnsi"/>
          <w:sz w:val="20"/>
        </w:rPr>
        <w:t xml:space="preserve"> There, the State needs to adopt </w:t>
      </w:r>
      <w:r w:rsidRPr="003A7870">
        <w:rPr>
          <w:rFonts w:asciiTheme="majorHAnsi" w:hAnsiTheme="majorHAnsi"/>
          <w:color w:val="auto"/>
          <w:sz w:val="20"/>
          <w:shd w:val="clear" w:color="auto" w:fill="FFFFFF"/>
        </w:rPr>
        <w:t>urgent and decisive measures to</w:t>
      </w:r>
      <w:r w:rsidRPr="003A7870">
        <w:rPr>
          <w:rFonts w:asciiTheme="majorHAnsi" w:hAnsiTheme="majorHAnsi"/>
          <w:sz w:val="20"/>
        </w:rPr>
        <w:t xml:space="preserve"> significantly</w:t>
      </w:r>
      <w:r w:rsidRPr="003A7870">
        <w:rPr>
          <w:rFonts w:asciiTheme="majorHAnsi" w:hAnsiTheme="majorHAnsi"/>
          <w:color w:val="auto"/>
          <w:sz w:val="20"/>
          <w:shd w:val="clear" w:color="auto" w:fill="FFFFFF"/>
        </w:rPr>
        <w:t xml:space="preserve"> increase the </w:t>
      </w:r>
      <w:r w:rsidRPr="003A7870">
        <w:rPr>
          <w:rFonts w:asciiTheme="majorHAnsi" w:hAnsiTheme="majorHAnsi"/>
          <w:sz w:val="20"/>
        </w:rPr>
        <w:t xml:space="preserve">number of regular, </w:t>
      </w:r>
      <w:r w:rsidRPr="003A7870">
        <w:rPr>
          <w:rFonts w:asciiTheme="majorHAnsi" w:hAnsiTheme="majorHAnsi"/>
          <w:color w:val="auto"/>
          <w:sz w:val="20"/>
          <w:shd w:val="clear" w:color="auto" w:fill="FFFFFF"/>
        </w:rPr>
        <w:t>accredited judges</w:t>
      </w:r>
      <w:r w:rsidRPr="003A7870">
        <w:rPr>
          <w:rFonts w:asciiTheme="majorHAnsi" w:hAnsiTheme="majorHAnsi"/>
          <w:sz w:val="20"/>
        </w:rPr>
        <w:t xml:space="preserve"> and ensure that,</w:t>
      </w:r>
      <w:r w:rsidRPr="003A7870">
        <w:rPr>
          <w:rFonts w:asciiTheme="majorHAnsi" w:hAnsiTheme="majorHAnsi"/>
          <w:color w:val="auto"/>
          <w:sz w:val="20"/>
          <w:shd w:val="clear" w:color="auto" w:fill="FFFFFF"/>
        </w:rPr>
        <w:t xml:space="preserve"> even when they are provisional, judges are only removed </w:t>
      </w:r>
      <w:r w:rsidRPr="003A7870">
        <w:rPr>
          <w:rFonts w:asciiTheme="majorHAnsi" w:hAnsiTheme="majorHAnsi"/>
          <w:sz w:val="20"/>
        </w:rPr>
        <w:t>via</w:t>
      </w:r>
      <w:r w:rsidRPr="003A7870">
        <w:rPr>
          <w:rFonts w:asciiTheme="majorHAnsi" w:hAnsiTheme="majorHAnsi"/>
          <w:color w:val="auto"/>
          <w:sz w:val="20"/>
          <w:shd w:val="clear" w:color="auto" w:fill="FFFFFF"/>
        </w:rPr>
        <w:t xml:space="preserve"> </w:t>
      </w:r>
      <w:r w:rsidRPr="003A7870">
        <w:rPr>
          <w:rFonts w:asciiTheme="majorHAnsi" w:hAnsiTheme="majorHAnsi"/>
          <w:color w:val="auto"/>
          <w:sz w:val="20"/>
        </w:rPr>
        <w:t xml:space="preserve">a disciplinary process or administrative act that rigorously respects guarantees of due process and, in particular, the requirement to substantiate the grounds for removal from office and access to a judicial review of the decision. </w:t>
      </w:r>
      <w:r w:rsidRPr="003A7870">
        <w:rPr>
          <w:rFonts w:asciiTheme="majorHAnsi" w:hAnsiTheme="majorHAnsi"/>
          <w:sz w:val="20"/>
        </w:rPr>
        <w:t>Furthermore, given complaints of acts of harassments and threats against judges designed to exert improper pressure on them and influence their decisions, the Commission calls upon the State to refrain from any act of harassment or intimidation, or any action that might imply a threat or direct or indirect pressure on a judge's exercise of his or her judicial function. The IACHR further reiterates the duty of the State to investigate, try, and punish those responsible for such acts.</w:t>
      </w:r>
    </w:p>
    <w:p w:rsidR="00EB77A8" w:rsidRPr="003A7870" w:rsidRDefault="00EB77A8" w:rsidP="00EB77A8">
      <w:pPr>
        <w:pStyle w:val="NoSpacing"/>
        <w:rPr>
          <w:rFonts w:asciiTheme="majorHAnsi" w:hAnsiTheme="majorHAnsi"/>
          <w:sz w:val="20"/>
          <w:szCs w:val="20"/>
        </w:rPr>
      </w:pPr>
    </w:p>
    <w:p w:rsidR="00EB77A8" w:rsidRPr="003A7870" w:rsidRDefault="00EB77A8" w:rsidP="00F615A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color w:val="auto"/>
          <w:sz w:val="20"/>
          <w:szCs w:val="20"/>
        </w:rPr>
      </w:pPr>
      <w:r w:rsidRPr="003A7870">
        <w:rPr>
          <w:rFonts w:asciiTheme="majorHAnsi" w:hAnsiTheme="majorHAnsi"/>
          <w:sz w:val="20"/>
        </w:rPr>
        <w:t>As for the AN, the Commission notes that, even though some of the aforementioned measures adopted by the TSJ were subsequently revoked, there are still serious instances of interference with the Legislature and obstacles to the exercise of its constitutional functions, such as the ongoing claim that members of the AN are in contempt  of court and the labeling of their actions as “treason", as well as the ongoing authority of the President of the Republic to amend laws and to constitute mixed (public-private) enterprises without the authorization of Parliament.</w:t>
      </w:r>
      <w:r w:rsidRPr="003A7870">
        <w:rPr>
          <w:rFonts w:asciiTheme="majorHAnsi" w:hAnsiTheme="majorHAnsi"/>
          <w:color w:val="000000" w:themeColor="text1"/>
          <w:sz w:val="20"/>
        </w:rPr>
        <w:t xml:space="preserve"> </w:t>
      </w:r>
      <w:r w:rsidRPr="003A7870">
        <w:rPr>
          <w:rFonts w:asciiTheme="majorHAnsi" w:hAnsiTheme="majorHAnsi"/>
          <w:sz w:val="20"/>
        </w:rPr>
        <w:t xml:space="preserve">Accordingly, the Commission calls upon the State to adopt immediate and resolute measures to restore the constitutional order, and guarantee the separation of powers and appropriate exercise of the constitutionally established functions of the AN, including the lifting of the measures referred to above. </w:t>
      </w:r>
    </w:p>
    <w:p w:rsidR="00EB77A8" w:rsidRPr="003A7870" w:rsidRDefault="00EB77A8" w:rsidP="00EB77A8">
      <w:pPr>
        <w:rPr>
          <w:rFonts w:asciiTheme="majorHAnsi" w:eastAsia="Times New Roman" w:hAnsiTheme="majorHAnsi"/>
          <w:sz w:val="20"/>
          <w:szCs w:val="20"/>
        </w:rPr>
      </w:pPr>
    </w:p>
    <w:p w:rsidR="00EB77A8" w:rsidRPr="003A7870" w:rsidRDefault="00EB77A8" w:rsidP="00F615A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sz w:val="20"/>
          <w:szCs w:val="20"/>
        </w:rPr>
      </w:pPr>
      <w:r w:rsidRPr="003A7870">
        <w:rPr>
          <w:rFonts w:asciiTheme="majorHAnsi" w:hAnsiTheme="majorHAnsi"/>
          <w:sz w:val="20"/>
        </w:rPr>
        <w:t>I</w:t>
      </w:r>
      <w:r w:rsidRPr="003A7870">
        <w:rPr>
          <w:rFonts w:asciiTheme="majorHAnsi" w:hAnsiTheme="majorHAnsi"/>
          <w:color w:val="auto"/>
          <w:sz w:val="20"/>
          <w:shd w:val="clear" w:color="auto" w:fill="FFFFFF"/>
        </w:rPr>
        <w:t xml:space="preserve">n that context, President Nicolás Maduro convened a Constituent National Assembly (ANC), which was criticized in  respect of its origin and composition as well as for the measures it adopted once it was installed, which exceeded the nature of such an assembly and violated the principle of the  separation of powers. </w:t>
      </w:r>
      <w:r w:rsidRPr="003A7870">
        <w:rPr>
          <w:rFonts w:asciiTheme="majorHAnsi" w:hAnsiTheme="majorHAnsi"/>
          <w:sz w:val="20"/>
        </w:rPr>
        <w:t>Here the Commission considers it important to recall that, as this report points out, Venezuela's own Constitution and applicable law establish that the way said Assembly functions is governed by certain limits set in accordance with the values and principles enshrined in the history of Venezuela as a republic and by compliance with international treaties, agreements, and commitments duly underwritten by the Republic. In light of that and the fundamental principles set forth in the Inter-American Democratic  Charter, the Commission calls for a revocation of the measures that exceed the powers of a constituent body and impair the separation of powers and representative democracy and for a commitment to refrain from adopting decisions that exceed those powers.</w:t>
      </w:r>
    </w:p>
    <w:p w:rsidR="00EB77A8" w:rsidRPr="003A7870" w:rsidRDefault="00EB77A8" w:rsidP="00EB77A8">
      <w:pPr>
        <w:rPr>
          <w:rFonts w:asciiTheme="majorHAnsi" w:eastAsia="Times New Roman" w:hAnsiTheme="majorHAnsi" w:cs="Tahoma"/>
          <w:sz w:val="20"/>
          <w:szCs w:val="20"/>
          <w:shd w:val="clear" w:color="auto" w:fill="FFFFFF"/>
        </w:rPr>
      </w:pPr>
    </w:p>
    <w:p w:rsidR="00EB77A8" w:rsidRPr="003A7870" w:rsidRDefault="00EB77A8" w:rsidP="00F615A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color w:val="auto"/>
          <w:sz w:val="20"/>
          <w:szCs w:val="20"/>
        </w:rPr>
      </w:pPr>
      <w:r w:rsidRPr="003A7870">
        <w:rPr>
          <w:rFonts w:asciiTheme="majorHAnsi" w:hAnsiTheme="majorHAnsi"/>
          <w:color w:val="auto"/>
          <w:sz w:val="20"/>
          <w:shd w:val="clear" w:color="auto" w:fill="FFFFFF"/>
        </w:rPr>
        <w:t xml:space="preserve">The interferences of the Judiciary and the Executive in the Legislature have been accompanied by a lack of independence and  inadequate exercise of the functions of constitutional bodies that are vital for democracy, </w:t>
      </w:r>
      <w:r w:rsidRPr="003A7870">
        <w:rPr>
          <w:rFonts w:asciiTheme="majorHAnsi" w:hAnsiTheme="majorHAnsi"/>
          <w:sz w:val="20"/>
        </w:rPr>
        <w:t>such as the National Electoral Council (CNE), the Public Prosecutors' Office (</w:t>
      </w:r>
      <w:r w:rsidRPr="003A7870">
        <w:rPr>
          <w:rFonts w:asciiTheme="majorHAnsi" w:hAnsiTheme="majorHAnsi"/>
          <w:i/>
          <w:iCs/>
          <w:sz w:val="20"/>
        </w:rPr>
        <w:t>Ministerio Público</w:t>
      </w:r>
      <w:r w:rsidRPr="003A7870">
        <w:rPr>
          <w:rFonts w:asciiTheme="majorHAnsi" w:hAnsiTheme="majorHAnsi"/>
          <w:sz w:val="20"/>
        </w:rPr>
        <w:t xml:space="preserve"> -MP), and the Ombudsperson's Office (</w:t>
      </w:r>
      <w:r w:rsidRPr="003A7870">
        <w:rPr>
          <w:rFonts w:asciiTheme="majorHAnsi" w:hAnsiTheme="majorHAnsi"/>
          <w:i/>
          <w:iCs/>
          <w:sz w:val="20"/>
        </w:rPr>
        <w:t>Defensoría del Pueblo</w:t>
      </w:r>
      <w:r w:rsidRPr="003A7870">
        <w:rPr>
          <w:rFonts w:asciiTheme="majorHAnsi" w:hAnsiTheme="majorHAnsi"/>
          <w:sz w:val="20"/>
        </w:rPr>
        <w:t xml:space="preserve"> - DP).</w:t>
      </w:r>
      <w:r w:rsidRPr="003A7870">
        <w:rPr>
          <w:rFonts w:asciiTheme="majorHAnsi" w:hAnsiTheme="majorHAnsi"/>
          <w:color w:val="auto"/>
          <w:sz w:val="20"/>
        </w:rPr>
        <w:t xml:space="preserve"> </w:t>
      </w:r>
      <w:r w:rsidRPr="003A7870">
        <w:rPr>
          <w:rFonts w:asciiTheme="majorHAnsi" w:hAnsiTheme="majorHAnsi"/>
          <w:sz w:val="20"/>
        </w:rPr>
        <w:t>That being so, the Commission considers it essential to take decisive steps to ensure that these bodies function without interference or improper political  pressures and comply fully with their constitutional mandate, which is vital for the democratic rule of law in Venezuela.</w:t>
      </w:r>
    </w:p>
    <w:p w:rsidR="00EB77A8" w:rsidRPr="003A7870" w:rsidRDefault="00EB77A8" w:rsidP="00EB77A8">
      <w:pPr>
        <w:rPr>
          <w:rFonts w:asciiTheme="majorHAnsi" w:eastAsia="Times New Roman" w:hAnsiTheme="majorHAnsi" w:cs="Arial"/>
          <w:sz w:val="20"/>
          <w:szCs w:val="20"/>
        </w:rPr>
      </w:pPr>
    </w:p>
    <w:p w:rsidR="00EB77A8" w:rsidRPr="003A7870" w:rsidRDefault="00EB77A8" w:rsidP="00F615A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color w:val="auto"/>
          <w:sz w:val="20"/>
          <w:szCs w:val="20"/>
        </w:rPr>
      </w:pPr>
      <w:r w:rsidRPr="003A7870">
        <w:rPr>
          <w:rFonts w:asciiTheme="majorHAnsi" w:hAnsiTheme="majorHAnsi"/>
          <w:color w:val="auto"/>
          <w:sz w:val="20"/>
        </w:rPr>
        <w:t xml:space="preserve">The IACHR points out that the complaints about high levels of corruption in the country further undermine already weak government institutions, Given that impunity encourages and perpetuates acts of corruption, steps need to be taken to ensure that acts reported are investigated independently, </w:t>
      </w:r>
      <w:r w:rsidRPr="003A7870">
        <w:rPr>
          <w:rFonts w:asciiTheme="majorHAnsi" w:hAnsiTheme="majorHAnsi"/>
          <w:color w:val="auto"/>
          <w:sz w:val="20"/>
        </w:rPr>
        <w:lastRenderedPageBreak/>
        <w:t>impartially, and promptly, without pressures or discrimination based on membership of certain political parties or on the positions held by those under investigation. Preventive measures are also needed. They include governance imbued with the principles of openness, transparency, and effective public accountability.</w:t>
      </w:r>
    </w:p>
    <w:p w:rsidR="00EB77A8" w:rsidRPr="003A7870" w:rsidRDefault="00EB77A8" w:rsidP="00EB77A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contextualSpacing/>
        <w:jc w:val="both"/>
        <w:rPr>
          <w:rFonts w:asciiTheme="majorHAnsi" w:hAnsiTheme="majorHAnsi"/>
          <w:color w:val="auto"/>
          <w:sz w:val="20"/>
          <w:szCs w:val="20"/>
        </w:rPr>
      </w:pPr>
    </w:p>
    <w:p w:rsidR="00EB77A8" w:rsidRPr="003A7870" w:rsidRDefault="00EB77A8" w:rsidP="007C24FD">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color w:val="auto"/>
          <w:sz w:val="20"/>
          <w:szCs w:val="20"/>
        </w:rPr>
      </w:pPr>
      <w:r w:rsidRPr="003A7870">
        <w:rPr>
          <w:rFonts w:asciiTheme="majorHAnsi" w:hAnsiTheme="majorHAnsi"/>
          <w:color w:val="auto"/>
          <w:sz w:val="20"/>
        </w:rPr>
        <w:t>The</w:t>
      </w:r>
      <w:r w:rsidRPr="003A7870">
        <w:rPr>
          <w:rFonts w:asciiTheme="majorHAnsi" w:hAnsiTheme="majorHAnsi"/>
          <w:color w:val="auto"/>
          <w:sz w:val="20"/>
          <w:shd w:val="clear" w:color="auto" w:fill="FFFFFF"/>
        </w:rPr>
        <w:t xml:space="preserve"> problems associated with the weakness of democratic institutions referred to earlier have resulted</w:t>
      </w:r>
      <w:r w:rsidRPr="003A7870">
        <w:rPr>
          <w:rFonts w:asciiTheme="majorHAnsi" w:hAnsiTheme="majorHAnsi"/>
          <w:sz w:val="20"/>
        </w:rPr>
        <w:t xml:space="preserve"> in widespread impunity and have had a profound impact on the exercise of rights that are fundamental for democracy, such as political rights.</w:t>
      </w:r>
      <w:r w:rsidRPr="003A7870">
        <w:rPr>
          <w:rFonts w:asciiTheme="majorHAnsi" w:hAnsiTheme="majorHAnsi"/>
          <w:color w:val="auto"/>
          <w:sz w:val="20"/>
        </w:rPr>
        <w:t xml:space="preserve"> The IACHR is particularly concerned about the situation of these rights in Venezuela, Their exercise has been severely curtailed by a series of obstacles. Among the most recent are: the suspension of the Presidential recall referendum process; the putting off for a long time of municipal and regional elections; and serious recent allegations of unfair advantages and fraud in the regional election of October 15, 2017. </w:t>
      </w:r>
    </w:p>
    <w:p w:rsidR="007C24FD" w:rsidRPr="003A7870" w:rsidRDefault="007C24FD" w:rsidP="007C24F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rPr>
      </w:pPr>
    </w:p>
    <w:p w:rsidR="00EB77A8" w:rsidRPr="003A7870" w:rsidRDefault="00EB77A8" w:rsidP="00F615A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color w:val="auto"/>
          <w:sz w:val="20"/>
          <w:szCs w:val="20"/>
        </w:rPr>
      </w:pPr>
      <w:r w:rsidRPr="003A7870">
        <w:rPr>
          <w:rFonts w:asciiTheme="majorHAnsi" w:hAnsiTheme="majorHAnsi"/>
          <w:color w:val="auto"/>
          <w:sz w:val="20"/>
        </w:rPr>
        <w:t xml:space="preserve">In Venezuela those who dissent from the Government are victims of serious reprisals, as seen in the frequent detention and destitution of mayors, governors, members of parliament, and opposition figures in general. As emblematic cases, the IACHR points to the worrying acts committed against Henrique Capriles, Antonio Ledezma, and Leopoldo López.  </w:t>
      </w:r>
      <w:r w:rsidRPr="003A7870">
        <w:rPr>
          <w:rFonts w:asciiTheme="majorHAnsi" w:hAnsiTheme="majorHAnsi"/>
          <w:sz w:val="20"/>
        </w:rPr>
        <w:t xml:space="preserve">In light of the above, the Commission reiterates the need to guarantee, as a matter of priority, full exercise of the political rights of every authority and inhabitant of Venezuela, irrespective of their political sympathies; and the need to refrain from any act of harassment, intimidation, or criminalization of political dissent. </w:t>
      </w:r>
    </w:p>
    <w:p w:rsidR="00EB77A8" w:rsidRPr="003A7870" w:rsidRDefault="00EB77A8" w:rsidP="00EB77A8">
      <w:pPr>
        <w:pStyle w:val="NoSpacing"/>
        <w:jc w:val="both"/>
        <w:rPr>
          <w:rFonts w:asciiTheme="majorHAnsi" w:hAnsiTheme="majorHAnsi"/>
          <w:sz w:val="20"/>
          <w:szCs w:val="20"/>
        </w:rPr>
      </w:pPr>
    </w:p>
    <w:p w:rsidR="007377DA" w:rsidRPr="003A7870" w:rsidRDefault="007377DA" w:rsidP="007377DA">
      <w:pPr>
        <w:pStyle w:val="Heading2"/>
        <w:spacing w:before="0"/>
        <w:ind w:left="708"/>
        <w:rPr>
          <w:sz w:val="20"/>
          <w:szCs w:val="20"/>
        </w:rPr>
      </w:pPr>
      <w:bookmarkStart w:id="27" w:name="_Toc496292368"/>
      <w:bookmarkStart w:id="28" w:name="_Toc497458281"/>
      <w:bookmarkStart w:id="29" w:name="_Toc503368261"/>
      <w:bookmarkStart w:id="30" w:name="_Toc497733334"/>
      <w:bookmarkStart w:id="31" w:name="_Toc497649700"/>
      <w:bookmarkStart w:id="32" w:name="_Toc497458280"/>
      <w:bookmarkStart w:id="33" w:name="_Toc497649699"/>
      <w:bookmarkStart w:id="34" w:name="_Toc497733333"/>
      <w:bookmarkStart w:id="35" w:name="_Toc496292367"/>
      <w:r w:rsidRPr="003A7870">
        <w:rPr>
          <w:i/>
          <w:iCs/>
          <w:color w:val="auto"/>
          <w:sz w:val="20"/>
        </w:rPr>
        <w:t>Social protest</w:t>
      </w:r>
      <w:bookmarkEnd w:id="27"/>
      <w:bookmarkEnd w:id="28"/>
      <w:r w:rsidRPr="003A7870">
        <w:rPr>
          <w:i/>
          <w:iCs/>
          <w:color w:val="auto"/>
          <w:sz w:val="20"/>
        </w:rPr>
        <w:t xml:space="preserve"> and freedom of expression</w:t>
      </w:r>
      <w:bookmarkEnd w:id="29"/>
      <w:bookmarkEnd w:id="30"/>
      <w:bookmarkEnd w:id="31"/>
    </w:p>
    <w:p w:rsidR="007377DA" w:rsidRPr="003A7870" w:rsidRDefault="007377DA" w:rsidP="007377DA">
      <w:pPr>
        <w:pStyle w:val="NoSpacing"/>
        <w:jc w:val="both"/>
        <w:rPr>
          <w:rFonts w:asciiTheme="majorHAnsi" w:hAnsiTheme="majorHAnsi"/>
          <w:sz w:val="20"/>
          <w:szCs w:val="20"/>
        </w:rPr>
      </w:pPr>
    </w:p>
    <w:p w:rsidR="007377DA" w:rsidRPr="003A7870" w:rsidRDefault="007377DA" w:rsidP="00F615A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cs="Arial"/>
          <w:sz w:val="20"/>
          <w:szCs w:val="20"/>
        </w:rPr>
      </w:pPr>
      <w:r w:rsidRPr="003A7870">
        <w:rPr>
          <w:rFonts w:asciiTheme="majorHAnsi" w:hAnsiTheme="majorHAnsi"/>
          <w:color w:val="auto"/>
          <w:sz w:val="20"/>
        </w:rPr>
        <w:t xml:space="preserve">As a consequence of the political, economic, and social crisis in Venezuela, thousands of people took to the streets, </w:t>
      </w:r>
      <w:r w:rsidRPr="003A7870">
        <w:rPr>
          <w:rFonts w:asciiTheme="majorHAnsi" w:hAnsiTheme="majorHAnsi"/>
          <w:color w:val="auto"/>
          <w:sz w:val="20"/>
          <w:szCs w:val="20"/>
          <w:lang w:val="en"/>
        </w:rPr>
        <w:t xml:space="preserve">especially between </w:t>
      </w:r>
      <w:r w:rsidRPr="003A7870">
        <w:rPr>
          <w:rFonts w:asciiTheme="majorHAnsi" w:hAnsiTheme="majorHAnsi"/>
          <w:sz w:val="20"/>
          <w:lang w:val="en"/>
        </w:rPr>
        <w:t>April 1 and July 31, 2017</w:t>
      </w:r>
      <w:r w:rsidRPr="003A7870">
        <w:rPr>
          <w:rFonts w:asciiTheme="majorHAnsi" w:hAnsiTheme="majorHAnsi"/>
          <w:sz w:val="20"/>
          <w:szCs w:val="20"/>
        </w:rPr>
        <w:t>,</w:t>
      </w:r>
      <w:r w:rsidRPr="003A7870">
        <w:rPr>
          <w:rFonts w:asciiTheme="majorHAnsi" w:hAnsiTheme="majorHAnsi"/>
          <w:color w:val="auto"/>
          <w:sz w:val="20"/>
        </w:rPr>
        <w:t xml:space="preserve"> in several cities to repudiate the Government of President Maduro and the rulings of the TSJ, as well as to demand better living conditions, given the alarming shortages of food, medicine, and other essentials. </w:t>
      </w:r>
      <w:r w:rsidRPr="003A7870">
        <w:rPr>
          <w:rFonts w:asciiTheme="majorHAnsi" w:hAnsiTheme="majorHAnsi"/>
          <w:sz w:val="20"/>
        </w:rPr>
        <w:t>In that context, the Commission identified major restrictions and state acts that severely constrained exercise of the right to social protest and freedom of expression, which led it to assert that the effective exercise of those rights had been seriously impaired.</w:t>
      </w:r>
    </w:p>
    <w:p w:rsidR="007377DA" w:rsidRPr="003A7870" w:rsidRDefault="007377DA" w:rsidP="007377DA">
      <w:pPr>
        <w:pStyle w:val="NoSpacing"/>
        <w:jc w:val="both"/>
        <w:rPr>
          <w:rFonts w:asciiTheme="majorHAnsi" w:hAnsiTheme="majorHAnsi"/>
          <w:sz w:val="20"/>
          <w:szCs w:val="20"/>
        </w:rPr>
      </w:pPr>
    </w:p>
    <w:p w:rsidR="007377DA" w:rsidRPr="003A7870" w:rsidRDefault="007377DA" w:rsidP="00F615A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color w:val="auto"/>
          <w:sz w:val="20"/>
          <w:szCs w:val="20"/>
        </w:rPr>
      </w:pPr>
      <w:r w:rsidRPr="003A7870">
        <w:rPr>
          <w:rFonts w:asciiTheme="majorHAnsi" w:hAnsiTheme="majorHAnsi"/>
          <w:sz w:val="20"/>
          <w:shd w:val="clear" w:color="auto" w:fill="FFFFFF"/>
        </w:rPr>
        <w:t xml:space="preserve">With regard to </w:t>
      </w:r>
      <w:r w:rsidRPr="003A7870">
        <w:rPr>
          <w:rFonts w:asciiTheme="majorHAnsi" w:hAnsiTheme="majorHAnsi"/>
          <w:sz w:val="20"/>
        </w:rPr>
        <w:t xml:space="preserve">social protest, </w:t>
      </w:r>
      <w:r w:rsidRPr="003A7870">
        <w:rPr>
          <w:rFonts w:asciiTheme="majorHAnsi" w:hAnsiTheme="majorHAnsi"/>
          <w:color w:val="auto"/>
          <w:sz w:val="20"/>
        </w:rPr>
        <w:t xml:space="preserve">the IACHR notes the persistence of a regulatory framework that is incompatible with inter-American standards in that it still requires prior authorization for demonstrations and establishes outright bans on the exercise of that tight. Also noted is excessive direct use of firearms against demonstrators, along with indiscriminate use of tear gas. Those repression tactics disproportionately impacted children and adolescents, women, and older adults. Furthermore, members of the armed forces were also engaged in demonstration control, even though, as the IACHR has already pointed out to Venezuela, in a democratic system it is vital to establish a clear and precise distinction between domestic security as a police function and national defense as a function assigned to the armed forces, given that they are two, very different institutions in respect of the purposes for which they were created and in terms of their training and preparation. </w:t>
      </w:r>
      <w:r w:rsidRPr="003A7870">
        <w:rPr>
          <w:rFonts w:asciiTheme="majorHAnsi" w:hAnsiTheme="majorHAnsi"/>
          <w:sz w:val="20"/>
        </w:rPr>
        <w:t>That being so, the State must stop obstructing the legitimate exercise of the right to protest and curtail the use of force against demonstrators; train security officers in the proper use of force; refrain from involving security forces other than the police in said activities; and adopt regulations precluding the use of firearms at demonstrations.</w:t>
      </w:r>
    </w:p>
    <w:p w:rsidR="007377DA" w:rsidRPr="003A7870" w:rsidRDefault="007377DA" w:rsidP="007377DA">
      <w:pPr>
        <w:pStyle w:val="NoSpacing"/>
        <w:jc w:val="both"/>
        <w:rPr>
          <w:rFonts w:asciiTheme="majorHAnsi" w:hAnsiTheme="majorHAnsi" w:cs="Arial"/>
          <w:sz w:val="20"/>
          <w:szCs w:val="20"/>
        </w:rPr>
      </w:pPr>
    </w:p>
    <w:p w:rsidR="007377DA" w:rsidRPr="003A7870" w:rsidRDefault="007377DA" w:rsidP="00F615A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color w:val="auto"/>
          <w:sz w:val="20"/>
          <w:szCs w:val="20"/>
        </w:rPr>
      </w:pPr>
      <w:r w:rsidRPr="003A7870">
        <w:rPr>
          <w:rFonts w:asciiTheme="majorHAnsi" w:hAnsiTheme="majorHAnsi"/>
          <w:sz w:val="20"/>
          <w:shd w:val="clear" w:color="auto" w:fill="FFFFFF"/>
        </w:rPr>
        <w:t xml:space="preserve">The IACHR finds the number of persons killed or detained in connection with arbitrary operations to suppress them unacceptable. </w:t>
      </w:r>
      <w:r w:rsidRPr="003A7870">
        <w:rPr>
          <w:rFonts w:asciiTheme="majorHAnsi" w:hAnsiTheme="majorHAnsi"/>
          <w:color w:val="auto"/>
          <w:sz w:val="20"/>
        </w:rPr>
        <w:t xml:space="preserve">Thousands have been detained for taking part in public demonstrations. Most such detentions were made without a warrant, without flagrante delicto, when those detained were on their way to, or at, or after a demonstration, or even when they did not take part in the demonstration because they were deemed to be opposition supporters. </w:t>
      </w:r>
      <w:r w:rsidRPr="003A7870">
        <w:rPr>
          <w:rFonts w:asciiTheme="majorHAnsi" w:hAnsiTheme="majorHAnsi"/>
          <w:sz w:val="20"/>
        </w:rPr>
        <w:t>The Commission finds it alarming that detainees have been tortured, maltreated, and in some cases sexually abused. The State must with all due diligence and guarantees of due process conduct serious investigations to determine responsibilities within a reasonable period of time and, where applicable, impose the corresponding punishments.</w:t>
      </w:r>
    </w:p>
    <w:p w:rsidR="007377DA" w:rsidRPr="003A7870" w:rsidRDefault="007377DA" w:rsidP="007377DA">
      <w:pPr>
        <w:pStyle w:val="NoSpacing"/>
        <w:jc w:val="both"/>
        <w:rPr>
          <w:rFonts w:asciiTheme="majorHAnsi" w:hAnsiTheme="majorHAnsi"/>
          <w:sz w:val="20"/>
          <w:szCs w:val="20"/>
        </w:rPr>
      </w:pPr>
    </w:p>
    <w:p w:rsidR="007377DA" w:rsidRPr="003A7870" w:rsidRDefault="007377DA" w:rsidP="00F615A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color w:val="auto"/>
          <w:sz w:val="20"/>
          <w:szCs w:val="20"/>
        </w:rPr>
      </w:pPr>
      <w:r w:rsidRPr="003A7870">
        <w:rPr>
          <w:rFonts w:asciiTheme="majorHAnsi" w:hAnsiTheme="majorHAnsi"/>
          <w:color w:val="auto"/>
          <w:sz w:val="20"/>
        </w:rPr>
        <w:t xml:space="preserve">Also worrisome is the adoption of measures designed to discourage participation in protests and to punish those that do participate. Even at the highest levels of government statements have been made </w:t>
      </w:r>
      <w:r w:rsidRPr="003A7870">
        <w:rPr>
          <w:rFonts w:asciiTheme="majorHAnsi" w:hAnsiTheme="majorHAnsi"/>
          <w:color w:val="auto"/>
          <w:sz w:val="20"/>
        </w:rPr>
        <w:lastRenderedPageBreak/>
        <w:t xml:space="preserve">stigmatizing and harassing those who take part in demonstrations, opposition leaders, and even human rights defenders. Those who legitimately get together and take part in social protests have also been treated like criminals and have seen investigations and/or judicial proceedings initiated against them for poorly defined offenses, a practice incompatible with a democratic society in which people have the right to voice their opinion peacefully, without fear of any kind of reprisal. </w:t>
      </w:r>
    </w:p>
    <w:p w:rsidR="007377DA" w:rsidRPr="003A7870" w:rsidRDefault="007377DA" w:rsidP="007377DA">
      <w:pPr>
        <w:pStyle w:val="NoSpacing"/>
        <w:jc w:val="both"/>
        <w:rPr>
          <w:rFonts w:asciiTheme="majorHAnsi" w:hAnsiTheme="majorHAnsi"/>
          <w:sz w:val="20"/>
          <w:szCs w:val="20"/>
        </w:rPr>
      </w:pPr>
    </w:p>
    <w:p w:rsidR="007377DA" w:rsidRPr="003A7870" w:rsidRDefault="007377DA" w:rsidP="00F615A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0" w:firstLine="567"/>
        <w:contextualSpacing/>
        <w:jc w:val="both"/>
        <w:rPr>
          <w:rFonts w:asciiTheme="majorHAnsi" w:hAnsiTheme="majorHAnsi"/>
          <w:sz w:val="20"/>
          <w:szCs w:val="20"/>
        </w:rPr>
      </w:pPr>
      <w:r w:rsidRPr="003A7870">
        <w:rPr>
          <w:rFonts w:asciiTheme="majorHAnsi" w:hAnsiTheme="majorHAnsi"/>
          <w:color w:val="auto"/>
          <w:sz w:val="20"/>
        </w:rPr>
        <w:t>The IACHR is particularly concerned that dozens of civilians detained in connection with demonstrations are reportedly being tried and/or sentenced by military courts that do not meet the requirement for independence and impartiality. Contravening the principle of no crime or punishment without prior law (</w:t>
      </w:r>
      <w:r w:rsidRPr="003A7870">
        <w:rPr>
          <w:rFonts w:asciiTheme="majorHAnsi" w:hAnsiTheme="majorHAnsi"/>
          <w:i/>
          <w:iCs/>
          <w:color w:val="auto"/>
          <w:sz w:val="20"/>
        </w:rPr>
        <w:t>principio de legalidad</w:t>
      </w:r>
      <w:r w:rsidRPr="003A7870">
        <w:rPr>
          <w:rFonts w:asciiTheme="majorHAnsi" w:hAnsiTheme="majorHAnsi"/>
          <w:color w:val="auto"/>
          <w:sz w:val="20"/>
        </w:rPr>
        <w:t>), people are allegedly being randomly charged with "treason," "insurrection," (</w:t>
      </w:r>
      <w:r w:rsidRPr="003A7870">
        <w:rPr>
          <w:rFonts w:asciiTheme="majorHAnsi" w:hAnsiTheme="majorHAnsi"/>
          <w:i/>
          <w:iCs/>
          <w:color w:val="auto"/>
          <w:sz w:val="20"/>
        </w:rPr>
        <w:t>rebelión</w:t>
      </w:r>
      <w:r w:rsidRPr="003A7870">
        <w:rPr>
          <w:rFonts w:asciiTheme="majorHAnsi" w:hAnsiTheme="majorHAnsi"/>
          <w:color w:val="auto"/>
          <w:sz w:val="20"/>
        </w:rPr>
        <w:t>) and "assaulting guards" (</w:t>
      </w:r>
      <w:r w:rsidRPr="003A7870">
        <w:rPr>
          <w:rFonts w:asciiTheme="majorHAnsi" w:hAnsiTheme="majorHAnsi"/>
          <w:i/>
          <w:iCs/>
          <w:color w:val="auto"/>
          <w:sz w:val="20"/>
        </w:rPr>
        <w:t>ataque al centinela</w:t>
      </w:r>
      <w:r w:rsidRPr="003A7870">
        <w:rPr>
          <w:rFonts w:asciiTheme="majorHAnsi" w:hAnsiTheme="majorHAnsi"/>
          <w:color w:val="auto"/>
          <w:sz w:val="20"/>
        </w:rPr>
        <w:t xml:space="preserve">). </w:t>
      </w:r>
      <w:r w:rsidRPr="003A7870">
        <w:rPr>
          <w:rFonts w:asciiTheme="majorHAnsi" w:hAnsiTheme="majorHAnsi"/>
          <w:sz w:val="20"/>
        </w:rPr>
        <w:t>As a matter of priority, necessary (including legislative) measures must be measures must be adopted to ensure that civilians are not investigated, tried and/or sentenced by military courts and to bring any such cases already under way back to ordinary law courts.</w:t>
      </w:r>
    </w:p>
    <w:p w:rsidR="007377DA" w:rsidRPr="003A7870" w:rsidRDefault="007377DA" w:rsidP="007377DA">
      <w:pPr>
        <w:rPr>
          <w:rFonts w:asciiTheme="majorHAnsi" w:eastAsia="Times New Roman" w:hAnsiTheme="majorHAnsi"/>
          <w:sz w:val="20"/>
          <w:szCs w:val="20"/>
        </w:rPr>
      </w:pPr>
    </w:p>
    <w:p w:rsidR="007377DA" w:rsidRPr="003A7870" w:rsidRDefault="007377DA" w:rsidP="00F615A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0" w:firstLine="567"/>
        <w:contextualSpacing/>
        <w:jc w:val="both"/>
        <w:rPr>
          <w:rFonts w:asciiTheme="majorHAnsi" w:hAnsiTheme="majorHAnsi"/>
          <w:sz w:val="20"/>
          <w:szCs w:val="20"/>
        </w:rPr>
      </w:pPr>
      <w:r w:rsidRPr="003A7870">
        <w:rPr>
          <w:rFonts w:asciiTheme="majorHAnsi" w:hAnsiTheme="majorHAnsi"/>
          <w:sz w:val="20"/>
        </w:rPr>
        <w:t>As regards freedom of expression, severe curtailments to that right have been documented, including censorship and the closing down of media, attacks on journalists, and, in general, harassment and criminalization of those who express political views or dissemination that the State does not approve of. Such measures are not part of any regulatory framework compatible with Venezuela's international obligations in this regard and, in practice, they are geared to silencing critics of the current Government. The harm they are doing to Venezuelan democracy is obvious and requires priority attention.</w:t>
      </w:r>
    </w:p>
    <w:p w:rsidR="007377DA" w:rsidRPr="003A7870" w:rsidRDefault="007377DA" w:rsidP="007377DA">
      <w:pPr>
        <w:pStyle w:val="NoSpacing"/>
        <w:jc w:val="both"/>
        <w:rPr>
          <w:rFonts w:asciiTheme="majorHAnsi" w:hAnsiTheme="majorHAnsi"/>
          <w:sz w:val="20"/>
          <w:szCs w:val="20"/>
        </w:rPr>
      </w:pPr>
    </w:p>
    <w:p w:rsidR="00EB77A8" w:rsidRPr="003A7870" w:rsidRDefault="00EB77A8" w:rsidP="00EB77A8">
      <w:pPr>
        <w:pStyle w:val="Heading2"/>
        <w:spacing w:before="0"/>
        <w:ind w:left="708"/>
        <w:rPr>
          <w:sz w:val="20"/>
          <w:szCs w:val="20"/>
        </w:rPr>
      </w:pPr>
      <w:bookmarkStart w:id="36" w:name="_Toc503368262"/>
      <w:r w:rsidRPr="003A7870">
        <w:rPr>
          <w:i/>
          <w:iCs/>
          <w:color w:val="auto"/>
          <w:sz w:val="20"/>
        </w:rPr>
        <w:t>Violence and citizen insecurity</w:t>
      </w:r>
      <w:bookmarkEnd w:id="32"/>
      <w:bookmarkEnd w:id="33"/>
      <w:bookmarkEnd w:id="34"/>
      <w:bookmarkEnd w:id="35"/>
      <w:bookmarkEnd w:id="36"/>
    </w:p>
    <w:p w:rsidR="00EB77A8" w:rsidRPr="003A7870" w:rsidRDefault="00EB77A8" w:rsidP="00EB77A8">
      <w:pPr>
        <w:pStyle w:val="NoSpacing"/>
        <w:rPr>
          <w:rFonts w:asciiTheme="majorHAnsi" w:hAnsiTheme="majorHAnsi"/>
          <w:sz w:val="20"/>
          <w:szCs w:val="20"/>
        </w:rPr>
      </w:pPr>
    </w:p>
    <w:p w:rsidR="00EB77A8" w:rsidRPr="003A7870" w:rsidRDefault="00EB77A8" w:rsidP="00F615A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eastAsia="Times New Roman" w:hAnsiTheme="majorHAnsi" w:cs="Tahoma"/>
          <w:sz w:val="20"/>
          <w:szCs w:val="20"/>
          <w:shd w:val="clear" w:color="auto" w:fill="FFFFFF"/>
        </w:rPr>
      </w:pPr>
      <w:r w:rsidRPr="003A7870">
        <w:rPr>
          <w:rFonts w:asciiTheme="majorHAnsi" w:hAnsiTheme="majorHAnsi"/>
          <w:color w:val="auto"/>
          <w:sz w:val="20"/>
        </w:rPr>
        <w:t xml:space="preserve">Violence and crime have increased in recent years, thereby impairing the day-to-day life of the population as a whole, but especially that of individuals, groups, and communities that have traditionally have been victims of discrimination or at greater risk of rights violations, such as women, children and adolescents, and older adults. </w:t>
      </w:r>
      <w:r w:rsidRPr="003A7870">
        <w:rPr>
          <w:rFonts w:asciiTheme="majorHAnsi" w:hAnsiTheme="majorHAnsi"/>
          <w:sz w:val="20"/>
        </w:rPr>
        <w:t xml:space="preserve">It worries the IACHR </w:t>
      </w:r>
      <w:r w:rsidRPr="003A7870">
        <w:rPr>
          <w:rFonts w:asciiTheme="majorHAnsi" w:hAnsiTheme="majorHAnsi"/>
          <w:color w:val="auto"/>
          <w:sz w:val="20"/>
          <w:shd w:val="clear" w:color="auto" w:fill="FFFFFF"/>
        </w:rPr>
        <w:t xml:space="preserve">that the State's response has largely been </w:t>
      </w:r>
      <w:r w:rsidRPr="003A7870">
        <w:rPr>
          <w:rFonts w:asciiTheme="majorHAnsi" w:hAnsiTheme="majorHAnsi"/>
          <w:sz w:val="20"/>
        </w:rPr>
        <w:t xml:space="preserve">to militarize citizen security and to co-opt civilians for security force tasks, especially through the Liberation of the People Operation (OLP) and the Zamora Plan (PZ). </w:t>
      </w:r>
      <w:r w:rsidRPr="003A7870">
        <w:rPr>
          <w:rFonts w:asciiTheme="majorHAnsi" w:hAnsiTheme="majorHAnsi"/>
          <w:color w:val="auto"/>
          <w:sz w:val="20"/>
          <w:szCs w:val="20"/>
          <w:lang w:val="en"/>
        </w:rPr>
        <w:t>According to the information received, this has resulted in a steady increase in the number of extrajudicial executions, with 2015 seeing 37% more cases than 2014; and 2016 seeing 70% more cases than the previous year.</w:t>
      </w:r>
      <w:r w:rsidRPr="003A7870">
        <w:rPr>
          <w:rStyle w:val="FootnoteReference"/>
          <w:rFonts w:asciiTheme="majorHAnsi" w:hAnsiTheme="majorHAnsi"/>
          <w:color w:val="auto"/>
          <w:sz w:val="20"/>
          <w:szCs w:val="20"/>
          <w:lang w:val="en"/>
        </w:rPr>
        <w:footnoteReference w:id="9"/>
      </w:r>
      <w:r w:rsidRPr="003A7870">
        <w:rPr>
          <w:rFonts w:asciiTheme="majorHAnsi" w:hAnsiTheme="majorHAnsi"/>
          <w:color w:val="auto"/>
          <w:sz w:val="20"/>
          <w:szCs w:val="20"/>
          <w:lang w:val="en"/>
        </w:rPr>
        <w:t xml:space="preserve"> </w:t>
      </w:r>
      <w:r w:rsidR="00D66FCD" w:rsidRPr="003A7870">
        <w:rPr>
          <w:rFonts w:asciiTheme="majorHAnsi" w:hAnsiTheme="majorHAnsi"/>
          <w:color w:val="auto"/>
          <w:sz w:val="20"/>
          <w:szCs w:val="20"/>
          <w:lang w:val="en"/>
        </w:rPr>
        <w:t xml:space="preserve">Another source </w:t>
      </w:r>
      <w:r w:rsidR="00D66FCD" w:rsidRPr="003A7870">
        <w:rPr>
          <w:rFonts w:asciiTheme="majorHAnsi" w:hAnsiTheme="majorHAnsi"/>
          <w:sz w:val="20"/>
        </w:rPr>
        <w:t>estimated that in 2017 Venezuela registerd 89 violent deaths per 100,000 inhabitants and a total of 26.616 death persons in the whole national territory.</w:t>
      </w:r>
      <w:r w:rsidR="00D66FCD" w:rsidRPr="003A7870">
        <w:rPr>
          <w:rFonts w:asciiTheme="majorHAnsi" w:eastAsia="Arial Unicode MS" w:hAnsiTheme="majorHAnsi" w:cs="Tahoma"/>
          <w:color w:val="auto"/>
          <w:sz w:val="20"/>
          <w:szCs w:val="20"/>
          <w:vertAlign w:val="superscript"/>
          <w:lang w:val="es-PE" w:bidi="ar-SA"/>
        </w:rPr>
        <w:footnoteReference w:id="10"/>
      </w:r>
      <w:r w:rsidR="00D66FCD" w:rsidRPr="003A7870">
        <w:rPr>
          <w:rFonts w:asciiTheme="majorHAnsi" w:hAnsiTheme="majorHAnsi"/>
          <w:sz w:val="20"/>
        </w:rPr>
        <w:t xml:space="preserve"> </w:t>
      </w:r>
      <w:r w:rsidRPr="003A7870">
        <w:rPr>
          <w:rFonts w:asciiTheme="majorHAnsi" w:hAnsiTheme="majorHAnsi"/>
          <w:color w:val="auto"/>
          <w:sz w:val="20"/>
          <w:szCs w:val="20"/>
          <w:lang w:val="en"/>
        </w:rPr>
        <w:t xml:space="preserve">On the other hand, according to </w:t>
      </w:r>
      <w:r w:rsidRPr="003A7870">
        <w:rPr>
          <w:rFonts w:asciiTheme="majorHAnsi" w:hAnsiTheme="majorHAnsi"/>
          <w:color w:val="auto"/>
          <w:sz w:val="20"/>
          <w:szCs w:val="20"/>
          <w:shd w:val="clear" w:color="auto" w:fill="FFFFFF"/>
          <w:lang w:val="en"/>
        </w:rPr>
        <w:t>official statistics, in 2016 there were 21,752 intentional homicides, or a rate of 70.1 violent deaths per 100,000 residents.</w:t>
      </w:r>
      <w:r w:rsidRPr="003A7870">
        <w:rPr>
          <w:rFonts w:asciiTheme="majorHAnsi" w:hAnsiTheme="majorHAnsi"/>
          <w:color w:val="auto"/>
          <w:sz w:val="20"/>
          <w:szCs w:val="20"/>
          <w:shd w:val="clear" w:color="auto" w:fill="FFFFFF"/>
          <w:vertAlign w:val="superscript"/>
          <w:lang w:val="en"/>
        </w:rPr>
        <w:footnoteReference w:id="11"/>
      </w:r>
    </w:p>
    <w:p w:rsidR="00EB77A8" w:rsidRPr="003A7870" w:rsidRDefault="00EB77A8" w:rsidP="00EB77A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contextualSpacing/>
        <w:jc w:val="both"/>
        <w:rPr>
          <w:rFonts w:asciiTheme="majorHAnsi" w:eastAsia="Times New Roman" w:hAnsiTheme="majorHAnsi" w:cs="Tahoma"/>
          <w:sz w:val="20"/>
          <w:szCs w:val="20"/>
          <w:shd w:val="clear" w:color="auto" w:fill="FFFFFF"/>
        </w:rPr>
      </w:pPr>
    </w:p>
    <w:p w:rsidR="00EB77A8" w:rsidRPr="003A7870" w:rsidRDefault="00EB77A8" w:rsidP="00F615A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eastAsia="Times New Roman" w:hAnsiTheme="majorHAnsi" w:cs="Tahoma"/>
          <w:sz w:val="20"/>
          <w:szCs w:val="20"/>
          <w:shd w:val="clear" w:color="auto" w:fill="FFFFFF"/>
        </w:rPr>
      </w:pPr>
      <w:r w:rsidRPr="003A7870">
        <w:rPr>
          <w:rFonts w:asciiTheme="majorHAnsi" w:hAnsiTheme="majorHAnsi" w:cstheme="minorHAnsi"/>
          <w:sz w:val="20"/>
        </w:rPr>
        <w:t>The Commission considers it essential to give priority to eliminating the participation of the armed forces in citizen security activities for which the police are responsible. Likewise, steps need to be taken to ensure that lethal force is use in rigorous compliance with the principles of exceptional circumstances, legality, necessity, proportionality, nondiscrimination, and accountability.  It is also vital, in the IACHR's opinion, to incorporate a gender perspective in citizen security, based on the premise that citizens are to be protected, not treated as enemies to combat.</w:t>
      </w:r>
    </w:p>
    <w:p w:rsidR="00EB77A8" w:rsidRPr="003A7870" w:rsidRDefault="00EB77A8" w:rsidP="00EB77A8">
      <w:pPr>
        <w:pStyle w:val="NoSpacing"/>
        <w:rPr>
          <w:rFonts w:asciiTheme="majorHAnsi" w:eastAsia="Cambria" w:hAnsiTheme="majorHAnsi" w:cstheme="minorHAnsi"/>
          <w:sz w:val="20"/>
          <w:szCs w:val="20"/>
        </w:rPr>
      </w:pPr>
    </w:p>
    <w:p w:rsidR="00EB77A8" w:rsidRPr="003A7870" w:rsidRDefault="00EB77A8" w:rsidP="00F615A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eastAsia="Times New Roman" w:hAnsiTheme="majorHAnsi" w:cs="Tahoma"/>
          <w:sz w:val="20"/>
          <w:szCs w:val="20"/>
          <w:shd w:val="clear" w:color="auto" w:fill="FFFFFF"/>
        </w:rPr>
      </w:pPr>
      <w:r w:rsidRPr="003A7870">
        <w:rPr>
          <w:rFonts w:asciiTheme="majorHAnsi" w:hAnsiTheme="majorHAnsi" w:cstheme="minorHAnsi"/>
          <w:sz w:val="20"/>
        </w:rPr>
        <w:t xml:space="preserve">Contrary to what the Venezuelan State has done, the Commission reiterates that citizens must not be used for any kind of domestic security strategy. Nor should the role of society vis-à-vis national security be distorted. The State needs to comply with the above, bearing in mind its duty to act with due diligence to prevent human rights violations. Likewise, it must investigate and, where applicable punish and make reparation for any violent acts they may have committed. </w:t>
      </w:r>
    </w:p>
    <w:p w:rsidR="00EB77A8" w:rsidRPr="003A7870" w:rsidRDefault="00EB77A8" w:rsidP="00EB77A8">
      <w:pPr>
        <w:pStyle w:val="NoSpacing"/>
        <w:rPr>
          <w:rFonts w:asciiTheme="majorHAnsi" w:hAnsiTheme="majorHAnsi"/>
          <w:sz w:val="20"/>
          <w:szCs w:val="20"/>
        </w:rPr>
      </w:pPr>
    </w:p>
    <w:p w:rsidR="00710882" w:rsidRDefault="0071088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eastAsiaTheme="majorEastAsia" w:hAnsiTheme="majorHAnsi" w:cstheme="majorBidi"/>
          <w:b/>
          <w:bCs/>
          <w:i/>
          <w:iCs/>
          <w:sz w:val="20"/>
          <w:szCs w:val="26"/>
        </w:rPr>
      </w:pPr>
      <w:bookmarkStart w:id="37" w:name="_Toc496292369"/>
      <w:bookmarkStart w:id="38" w:name="_Toc497458282"/>
      <w:bookmarkStart w:id="39" w:name="_Toc497649701"/>
      <w:bookmarkStart w:id="40" w:name="_Toc497733335"/>
      <w:bookmarkStart w:id="41" w:name="_Toc503368263"/>
      <w:r>
        <w:rPr>
          <w:i/>
          <w:iCs/>
          <w:sz w:val="20"/>
        </w:rPr>
        <w:br w:type="page"/>
      </w:r>
    </w:p>
    <w:p w:rsidR="00EB77A8" w:rsidRPr="003A7870" w:rsidRDefault="00EB77A8" w:rsidP="00EB77A8">
      <w:pPr>
        <w:pStyle w:val="Heading2"/>
        <w:spacing w:before="0"/>
        <w:ind w:left="708"/>
        <w:rPr>
          <w:sz w:val="20"/>
          <w:szCs w:val="20"/>
        </w:rPr>
      </w:pPr>
      <w:r w:rsidRPr="003A7870">
        <w:rPr>
          <w:i/>
          <w:iCs/>
          <w:color w:val="auto"/>
          <w:sz w:val="20"/>
        </w:rPr>
        <w:lastRenderedPageBreak/>
        <w:t xml:space="preserve">Poverty and </w:t>
      </w:r>
      <w:bookmarkEnd w:id="37"/>
      <w:bookmarkEnd w:id="38"/>
      <w:bookmarkEnd w:id="39"/>
      <w:bookmarkEnd w:id="40"/>
      <w:bookmarkEnd w:id="41"/>
      <w:r w:rsidRPr="003A7870">
        <w:rPr>
          <w:i/>
          <w:iCs/>
          <w:color w:val="auto"/>
          <w:sz w:val="20"/>
        </w:rPr>
        <w:t xml:space="preserve">Economic, Social, Cultural, and </w:t>
      </w:r>
      <w:r w:rsidRPr="003A7870">
        <w:rPr>
          <w:i/>
          <w:iCs/>
          <w:color w:val="auto"/>
          <w:sz w:val="20"/>
          <w:lang w:val="en"/>
        </w:rPr>
        <w:t>Environmental</w:t>
      </w:r>
      <w:r w:rsidRPr="003A7870">
        <w:rPr>
          <w:i/>
          <w:iCs/>
          <w:color w:val="auto"/>
          <w:sz w:val="20"/>
        </w:rPr>
        <w:t xml:space="preserve"> Rights</w:t>
      </w:r>
      <w:r w:rsidRPr="003A7870">
        <w:tab/>
      </w:r>
    </w:p>
    <w:p w:rsidR="00EB77A8" w:rsidRPr="003A7870" w:rsidRDefault="00EB77A8" w:rsidP="00EB77A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Arial"/>
          <w:sz w:val="20"/>
          <w:szCs w:val="20"/>
        </w:rPr>
      </w:pPr>
    </w:p>
    <w:p w:rsidR="00EB77A8" w:rsidRPr="003A7870" w:rsidRDefault="00EB77A8" w:rsidP="00F615A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sz w:val="20"/>
          <w:szCs w:val="20"/>
        </w:rPr>
      </w:pPr>
      <w:r w:rsidRPr="003A7870">
        <w:rPr>
          <w:rFonts w:asciiTheme="majorHAnsi" w:hAnsiTheme="majorHAnsi"/>
          <w:color w:val="auto"/>
          <w:sz w:val="20"/>
        </w:rPr>
        <w:t xml:space="preserve">Venezuela is currently in the grip not just of a political crisis, but of a profound </w:t>
      </w:r>
      <w:r w:rsidRPr="003A7870">
        <w:rPr>
          <w:rFonts w:asciiTheme="majorHAnsi" w:hAnsiTheme="majorHAnsi"/>
          <w:color w:val="auto"/>
          <w:sz w:val="20"/>
          <w:lang w:val="en"/>
        </w:rPr>
        <w:t>economic and social</w:t>
      </w:r>
      <w:r w:rsidRPr="003A7870">
        <w:rPr>
          <w:rFonts w:asciiTheme="majorHAnsi" w:hAnsiTheme="majorHAnsi"/>
          <w:color w:val="auto"/>
          <w:sz w:val="20"/>
        </w:rPr>
        <w:t xml:space="preserve"> crisis as well, characterized by widespread shortages of food; medicine; and medical treatment, materials and inputs, to name but a few. </w:t>
      </w:r>
      <w:r w:rsidRPr="003A7870">
        <w:rPr>
          <w:rFonts w:asciiTheme="majorHAnsi" w:hAnsiTheme="majorHAnsi"/>
          <w:sz w:val="20"/>
        </w:rPr>
        <w:t>In 2015 prices rose by 180.9 percent and by April 2016, 80 percent of the population was suffering food shortages.</w:t>
      </w:r>
      <w:r w:rsidRPr="003A7870">
        <w:rPr>
          <w:rStyle w:val="FootnoteReference"/>
          <w:rFonts w:asciiTheme="majorHAnsi" w:hAnsiTheme="majorHAnsi"/>
          <w:sz w:val="20"/>
        </w:rPr>
        <w:footnoteReference w:id="12"/>
      </w:r>
      <w:r w:rsidRPr="003A7870">
        <w:rPr>
          <w:rFonts w:asciiTheme="majorHAnsi" w:hAnsiTheme="majorHAnsi"/>
          <w:sz w:val="20"/>
        </w:rPr>
        <w:t xml:space="preserve"> </w:t>
      </w:r>
      <w:r w:rsidRPr="003A7870">
        <w:rPr>
          <w:rFonts w:asciiTheme="majorHAnsi" w:hAnsiTheme="majorHAnsi"/>
          <w:color w:val="auto"/>
          <w:sz w:val="20"/>
        </w:rPr>
        <w:t xml:space="preserve">This situation has triggered alarming poverty and extreme poverty indices, along with serious impediments to the enjoyment of the population's economic, social, cultural </w:t>
      </w:r>
      <w:r w:rsidRPr="003A7870">
        <w:rPr>
          <w:rFonts w:asciiTheme="majorHAnsi" w:hAnsiTheme="majorHAnsi"/>
          <w:color w:val="auto"/>
          <w:sz w:val="20"/>
          <w:lang w:val="en"/>
        </w:rPr>
        <w:t>and environmental</w:t>
      </w:r>
      <w:r w:rsidRPr="003A7870">
        <w:rPr>
          <w:rFonts w:asciiTheme="majorHAnsi" w:hAnsiTheme="majorHAnsi"/>
          <w:color w:val="auto"/>
          <w:sz w:val="20"/>
        </w:rPr>
        <w:t xml:space="preserve"> rights, such as the rights to food, health, education, and housing.  Hardest hit are groups that are traditionally marginalized and discriminated against, such as children and adolescents, women, older adults, and indigenous peoples. </w:t>
      </w:r>
    </w:p>
    <w:p w:rsidR="00EB77A8" w:rsidRPr="003A7870" w:rsidRDefault="00EB77A8" w:rsidP="00EB77A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rPr>
      </w:pPr>
    </w:p>
    <w:p w:rsidR="00EB77A8" w:rsidRPr="003A7870" w:rsidRDefault="00EB77A8" w:rsidP="00F615A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color w:val="auto"/>
          <w:sz w:val="20"/>
          <w:szCs w:val="20"/>
        </w:rPr>
      </w:pPr>
      <w:r w:rsidRPr="003A7870">
        <w:rPr>
          <w:rFonts w:asciiTheme="majorHAnsi" w:hAnsiTheme="majorHAnsi"/>
          <w:color w:val="auto"/>
          <w:sz w:val="20"/>
        </w:rPr>
        <w:t>To deal with this situation, the State has issued a series of decrees declaring a "state of exception"(</w:t>
      </w:r>
      <w:r w:rsidRPr="003A7870">
        <w:rPr>
          <w:rFonts w:asciiTheme="majorHAnsi" w:hAnsiTheme="majorHAnsi"/>
          <w:i/>
          <w:iCs/>
          <w:color w:val="auto"/>
          <w:sz w:val="20"/>
        </w:rPr>
        <w:t>estado de excepción</w:t>
      </w:r>
      <w:r w:rsidRPr="003A7870">
        <w:rPr>
          <w:rFonts w:asciiTheme="majorHAnsi" w:hAnsiTheme="majorHAnsi"/>
          <w:color w:val="auto"/>
          <w:sz w:val="20"/>
        </w:rPr>
        <w:t xml:space="preserve">) and economic emergency." These states of emergency have successively been extended, meaning that in practice the measures they provide for are indefinite. The decrees have also contained measures broadening the powers of the Executive. One of the more worrying measures of this kind has been the militarization of such activities as food distribution, </w:t>
      </w:r>
      <w:r w:rsidRPr="003A7870">
        <w:rPr>
          <w:rFonts w:asciiTheme="majorHAnsi" w:hAnsiTheme="majorHAnsi"/>
          <w:sz w:val="20"/>
        </w:rPr>
        <w:t>In this area, the Commission urges the State to step up measures designed to reduce poverty and extreme poverty and to take all necessary steps to ensure that available resources are used, as a matter of priority, to avoid deterioration of the population's enjoyment of ESCER and to ensure the entire population's access to those rights, without discrimination.</w:t>
      </w:r>
    </w:p>
    <w:p w:rsidR="00EB77A8" w:rsidRPr="003A7870" w:rsidRDefault="00EB77A8" w:rsidP="00EB77A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Arial"/>
          <w:sz w:val="20"/>
          <w:szCs w:val="20"/>
        </w:rPr>
      </w:pPr>
    </w:p>
    <w:p w:rsidR="00EB77A8" w:rsidRPr="003A7870" w:rsidRDefault="00F81E26" w:rsidP="00F615A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color w:val="auto"/>
          <w:sz w:val="20"/>
          <w:szCs w:val="20"/>
        </w:rPr>
      </w:pPr>
      <w:r w:rsidRPr="003A7870">
        <w:rPr>
          <w:rFonts w:asciiTheme="majorHAnsi" w:hAnsiTheme="majorHAnsi"/>
          <w:sz w:val="20"/>
          <w:szCs w:val="20"/>
          <w:lang w:val="en"/>
        </w:rPr>
        <w:t xml:space="preserve">As a consequence of the grave economic and social crisis, disease outbreaks and other impacts on </w:t>
      </w:r>
      <w:r w:rsidRPr="003A7870">
        <w:rPr>
          <w:rFonts w:asciiTheme="majorHAnsi" w:hAnsiTheme="majorHAnsi"/>
          <w:color w:val="auto"/>
          <w:sz w:val="20"/>
          <w:szCs w:val="20"/>
          <w:lang w:val="en"/>
        </w:rPr>
        <w:t>health</w:t>
      </w:r>
      <w:r w:rsidRPr="003A7870">
        <w:rPr>
          <w:rFonts w:asciiTheme="majorHAnsi" w:hAnsiTheme="majorHAnsi"/>
          <w:sz w:val="20"/>
          <w:szCs w:val="20"/>
          <w:lang w:val="en"/>
        </w:rPr>
        <w:t xml:space="preserve"> have taken place, in the context of which the </w:t>
      </w:r>
      <w:r w:rsidRPr="003A7870">
        <w:rPr>
          <w:rFonts w:asciiTheme="majorHAnsi" w:hAnsiTheme="majorHAnsi"/>
          <w:color w:val="auto"/>
          <w:sz w:val="20"/>
          <w:szCs w:val="20"/>
          <w:lang w:val="en"/>
        </w:rPr>
        <w:t>scarcity of medications, materials, inputs, and medical treatment is concerning, particularly due to their impact on pregnant women, children and adolescents, the elderly</w:t>
      </w:r>
      <w:r w:rsidRPr="003A7870">
        <w:rPr>
          <w:rFonts w:asciiTheme="majorHAnsi" w:hAnsiTheme="majorHAnsi"/>
          <w:sz w:val="20"/>
          <w:szCs w:val="20"/>
          <w:lang w:val="en"/>
        </w:rPr>
        <w:t>, and people living with severe illnesses, chronic conditions, or the human immunodeficiency virus (HIV) and/or Acquired Immune Deficiency Syndrome (AIDS)</w:t>
      </w:r>
      <w:r w:rsidRPr="003A7870">
        <w:rPr>
          <w:rFonts w:asciiTheme="majorHAnsi" w:hAnsiTheme="majorHAnsi"/>
          <w:color w:val="auto"/>
          <w:sz w:val="20"/>
          <w:lang w:val="en"/>
        </w:rPr>
        <w:t>.</w:t>
      </w:r>
      <w:r w:rsidRPr="003A7870">
        <w:rPr>
          <w:rFonts w:asciiTheme="majorHAnsi" w:hAnsiTheme="majorHAnsi"/>
          <w:color w:val="auto"/>
          <w:sz w:val="20"/>
        </w:rPr>
        <w:t xml:space="preserve"> Infant and maternal mortality rates have increased, as has the number of epidemics. </w:t>
      </w:r>
      <w:r w:rsidRPr="003A7870">
        <w:rPr>
          <w:rFonts w:asciiTheme="majorHAnsi" w:hAnsiTheme="majorHAnsi"/>
          <w:sz w:val="20"/>
        </w:rPr>
        <w:t>By and large, in this scenario, the State has failed to provide the necessary access to health care. The Commission reiterates the need for the State to guarantee the availability and quality of health care by ensuring the provision of qualified medical personnel, medicines, and appropriate hospital equipment.</w:t>
      </w:r>
      <w:r w:rsidRPr="003A7870">
        <w:rPr>
          <w:rFonts w:asciiTheme="majorHAnsi" w:hAnsiTheme="majorHAnsi"/>
          <w:color w:val="auto"/>
          <w:sz w:val="20"/>
        </w:rPr>
        <w:t xml:space="preserve"> In particular, steps need to be taken to combat the high maternal mortality rates.</w:t>
      </w:r>
    </w:p>
    <w:p w:rsidR="00EB77A8" w:rsidRPr="003A7870" w:rsidRDefault="00EB77A8" w:rsidP="00EB77A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contextualSpacing/>
        <w:jc w:val="both"/>
        <w:rPr>
          <w:rFonts w:asciiTheme="majorHAnsi" w:hAnsiTheme="majorHAnsi"/>
          <w:color w:val="auto"/>
          <w:sz w:val="20"/>
          <w:szCs w:val="20"/>
        </w:rPr>
      </w:pPr>
    </w:p>
    <w:p w:rsidR="00EB77A8" w:rsidRPr="003A7870" w:rsidRDefault="00EB77A8" w:rsidP="00F615A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color w:val="auto"/>
          <w:sz w:val="20"/>
          <w:szCs w:val="20"/>
        </w:rPr>
      </w:pPr>
      <w:r w:rsidRPr="003A7870">
        <w:rPr>
          <w:rFonts w:asciiTheme="majorHAnsi" w:hAnsiTheme="majorHAnsi"/>
          <w:color w:val="auto"/>
          <w:sz w:val="20"/>
        </w:rPr>
        <w:t>As regards the right to food, shortages and, in some cases</w:t>
      </w:r>
      <w:r w:rsidR="007A3214" w:rsidRPr="003A7870">
        <w:rPr>
          <w:rFonts w:asciiTheme="majorHAnsi" w:hAnsiTheme="majorHAnsi"/>
          <w:color w:val="auto"/>
          <w:sz w:val="20"/>
        </w:rPr>
        <w:t>, a complete lack of supply has</w:t>
      </w:r>
      <w:r w:rsidRPr="003A7870">
        <w:rPr>
          <w:rFonts w:asciiTheme="majorHAnsi" w:hAnsiTheme="majorHAnsi"/>
          <w:color w:val="auto"/>
          <w:sz w:val="20"/>
        </w:rPr>
        <w:t xml:space="preserve"> reached critical levels. For many, this situation has led to excessive weight loss and malnutrition issues and even death, not just the lack of adequate access to food. To deal with this situation, the State has taken some steps such as setting up Local Supply and Production Committee, which the Commission welcomes. However, according to the information received by the Commission, these programs do not accord priority to groups that have traditionally been excluded and discriminated against and there have also been complaints of the application of politically motivate discrimination criteria. </w:t>
      </w:r>
      <w:r w:rsidRPr="003A7870">
        <w:rPr>
          <w:rFonts w:asciiTheme="majorHAnsi" w:hAnsiTheme="majorHAnsi"/>
          <w:sz w:val="20"/>
        </w:rPr>
        <w:t>The State must guarantee exercise of the right to food based on objective criteria and with a particular emphasis on persons and communities traditionally excluded or discriminated against, such as children and adolescents, persons with disabilities, and older adults.</w:t>
      </w:r>
    </w:p>
    <w:p w:rsidR="00EB77A8" w:rsidRPr="003A7870" w:rsidRDefault="00EB77A8" w:rsidP="00EB77A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contextualSpacing/>
        <w:jc w:val="both"/>
        <w:rPr>
          <w:rFonts w:asciiTheme="majorHAnsi" w:hAnsiTheme="majorHAnsi"/>
          <w:color w:val="auto"/>
          <w:sz w:val="20"/>
          <w:szCs w:val="20"/>
        </w:rPr>
      </w:pPr>
    </w:p>
    <w:p w:rsidR="00EB77A8" w:rsidRPr="003A7870" w:rsidRDefault="00EB77A8" w:rsidP="00F615A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color w:val="auto"/>
          <w:sz w:val="20"/>
          <w:szCs w:val="20"/>
        </w:rPr>
      </w:pPr>
      <w:r w:rsidRPr="003A7870">
        <w:rPr>
          <w:rFonts w:asciiTheme="majorHAnsi" w:hAnsiTheme="majorHAnsi"/>
          <w:color w:val="auto"/>
          <w:sz w:val="20"/>
        </w:rPr>
        <w:t xml:space="preserve">Exercise of the right to education has also been impaired by the crisis in the country, especially in the case of children and adolescents. Dropout rates have increased due to problems with access to food, transportation, and citizen security. </w:t>
      </w:r>
      <w:r w:rsidRPr="003A7870">
        <w:rPr>
          <w:rFonts w:asciiTheme="majorHAnsi" w:hAnsiTheme="majorHAnsi"/>
          <w:sz w:val="20"/>
        </w:rPr>
        <w:t>Other issues that have impacted the enjoyment of this right have had to do with water and electricity supply problems. Here, the IACHR stresses that the State must allocate the resources needed to ensure high quality, universal, cost-free, and accessible education, tailored to needs, and ensure that it be imparted in safe settings, free from violence and discrimination.</w:t>
      </w:r>
    </w:p>
    <w:p w:rsidR="00EB77A8" w:rsidRPr="003A7870" w:rsidRDefault="00EB77A8" w:rsidP="00EB77A8">
      <w:pPr>
        <w:jc w:val="both"/>
        <w:rPr>
          <w:rFonts w:asciiTheme="majorHAnsi" w:hAnsiTheme="majorHAnsi"/>
          <w:sz w:val="20"/>
          <w:szCs w:val="20"/>
        </w:rPr>
      </w:pPr>
    </w:p>
    <w:p w:rsidR="00EB77A8" w:rsidRPr="003A7870" w:rsidRDefault="00EB77A8" w:rsidP="00F615A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0" w:firstLine="567"/>
        <w:contextualSpacing/>
        <w:jc w:val="both"/>
        <w:rPr>
          <w:rFonts w:asciiTheme="majorHAnsi" w:hAnsiTheme="majorHAnsi"/>
          <w:sz w:val="20"/>
          <w:szCs w:val="20"/>
        </w:rPr>
      </w:pPr>
      <w:r w:rsidRPr="003A7870">
        <w:rPr>
          <w:rFonts w:asciiTheme="majorHAnsi" w:hAnsiTheme="majorHAnsi"/>
          <w:color w:val="auto"/>
          <w:sz w:val="20"/>
        </w:rPr>
        <w:t xml:space="preserve">Finally, the Commission observes that, while the establishment of social programs may have had a positive impact for some segments of the population on their exercise of the right to housing, there have been serious complaints that mitigate that progress, such as failure to formalize title deeds and numerous </w:t>
      </w:r>
      <w:r w:rsidRPr="003A7870">
        <w:rPr>
          <w:rFonts w:asciiTheme="majorHAnsi" w:hAnsiTheme="majorHAnsi"/>
          <w:color w:val="auto"/>
          <w:sz w:val="20"/>
        </w:rPr>
        <w:lastRenderedPageBreak/>
        <w:t xml:space="preserve">complaints of homes being raided, destroyed and even burnt down in connection with the OLP movement. </w:t>
      </w:r>
      <w:r w:rsidRPr="003A7870">
        <w:rPr>
          <w:rFonts w:asciiTheme="majorHAnsi" w:hAnsiTheme="majorHAnsi"/>
          <w:sz w:val="20"/>
        </w:rPr>
        <w:t>In light of the above, the State needs to adopt resolute measures to guarantee legal certainty for home tenure and to refrain from interfering, in any way, with the right to housing in connection with OLP or other operations.</w:t>
      </w:r>
    </w:p>
    <w:p w:rsidR="00EB77A8" w:rsidRPr="003A7870" w:rsidRDefault="00EB77A8" w:rsidP="00EB77A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contextualSpacing/>
        <w:jc w:val="both"/>
        <w:rPr>
          <w:rFonts w:asciiTheme="majorHAnsi" w:hAnsiTheme="majorHAnsi"/>
          <w:color w:val="auto"/>
          <w:sz w:val="20"/>
          <w:szCs w:val="20"/>
        </w:rPr>
      </w:pPr>
    </w:p>
    <w:p w:rsidR="00EB77A8" w:rsidRPr="003A7870" w:rsidRDefault="00EB77A8" w:rsidP="00F615A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0" w:firstLine="567"/>
        <w:contextualSpacing/>
        <w:jc w:val="both"/>
        <w:rPr>
          <w:rFonts w:asciiTheme="majorHAnsi" w:hAnsiTheme="majorHAnsi"/>
          <w:sz w:val="20"/>
          <w:szCs w:val="20"/>
        </w:rPr>
      </w:pPr>
      <w:r w:rsidRPr="003A7870">
        <w:rPr>
          <w:rFonts w:asciiTheme="majorHAnsi" w:hAnsiTheme="majorHAnsi"/>
          <w:sz w:val="20"/>
        </w:rPr>
        <w:t>Overall, the IACHR calls upon the State to step up measures to mitigate the situation of poverty and extreme poverty and avoid impairment of the exercise of ESCER, and to ensure that such measures focus on guaranteeing the full enjoyment of those rights without discrimination, thereby generating the conditions required for genuine equality. In particular, the State must refrain from any act involving differential treatment based on political view in respect of the exercise of those rights and it must conduct serious investigations into the allegations that have been made in that regard. It is likewise essential that the resources available be used, as a top priority, in favor of persons, groups, and communities that suffer discrimination or are excluded from society.</w:t>
      </w:r>
    </w:p>
    <w:p w:rsidR="00EB77A8" w:rsidRPr="003A7870" w:rsidRDefault="00EB77A8" w:rsidP="00EB77A8">
      <w:pPr>
        <w:pStyle w:val="NoSpacing"/>
        <w:jc w:val="both"/>
        <w:rPr>
          <w:rFonts w:asciiTheme="majorHAnsi" w:hAnsiTheme="majorHAnsi"/>
          <w:sz w:val="20"/>
          <w:szCs w:val="20"/>
        </w:rPr>
      </w:pPr>
    </w:p>
    <w:p w:rsidR="00EB77A8" w:rsidRPr="003A7870" w:rsidRDefault="00EB77A8" w:rsidP="00EB77A8">
      <w:pPr>
        <w:pStyle w:val="Heading2"/>
        <w:spacing w:before="0"/>
        <w:ind w:left="708"/>
        <w:jc w:val="both"/>
        <w:rPr>
          <w:i/>
          <w:color w:val="auto"/>
          <w:sz w:val="20"/>
          <w:szCs w:val="20"/>
        </w:rPr>
      </w:pPr>
      <w:bookmarkStart w:id="42" w:name="_Toc503368264"/>
      <w:bookmarkStart w:id="43" w:name="_Toc497733336"/>
      <w:bookmarkStart w:id="44" w:name="_Toc497649702"/>
      <w:bookmarkStart w:id="45" w:name="_Toc497458283"/>
      <w:bookmarkStart w:id="46" w:name="_Toc496292370"/>
      <w:r w:rsidRPr="003A7870">
        <w:rPr>
          <w:i/>
          <w:iCs/>
          <w:color w:val="auto"/>
          <w:sz w:val="20"/>
        </w:rPr>
        <w:t>Historically excluded persons, groups, and communities at greatest risk</w:t>
      </w:r>
      <w:bookmarkEnd w:id="42"/>
      <w:bookmarkEnd w:id="43"/>
      <w:bookmarkEnd w:id="44"/>
      <w:bookmarkEnd w:id="45"/>
      <w:bookmarkEnd w:id="46"/>
    </w:p>
    <w:p w:rsidR="00EB77A8" w:rsidRPr="003A7870" w:rsidRDefault="00EB77A8" w:rsidP="00EB77A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rPr>
      </w:pPr>
    </w:p>
    <w:p w:rsidR="00EB77A8" w:rsidRPr="003A7870" w:rsidRDefault="00EB77A8" w:rsidP="00F615A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color w:val="auto"/>
          <w:sz w:val="20"/>
          <w:szCs w:val="20"/>
        </w:rPr>
      </w:pPr>
      <w:r w:rsidRPr="003A7870">
        <w:rPr>
          <w:rFonts w:asciiTheme="majorHAnsi" w:hAnsiTheme="majorHAnsi"/>
          <w:color w:val="auto"/>
          <w:sz w:val="20"/>
        </w:rPr>
        <w:t xml:space="preserve">Bearing in mind the </w:t>
      </w:r>
      <w:r w:rsidRPr="003A7870">
        <w:rPr>
          <w:rFonts w:asciiTheme="majorHAnsi" w:hAnsiTheme="majorHAnsi"/>
          <w:color w:val="auto"/>
          <w:sz w:val="20"/>
          <w:lang w:val="en"/>
        </w:rPr>
        <w:t>economic and social</w:t>
      </w:r>
      <w:r w:rsidRPr="003A7870">
        <w:rPr>
          <w:rFonts w:asciiTheme="majorHAnsi" w:hAnsiTheme="majorHAnsi"/>
          <w:color w:val="auto"/>
          <w:sz w:val="20"/>
        </w:rPr>
        <w:t xml:space="preserve"> crisis that the country is undergoing, the Commission conducts, across the board and throughout the report, an analysis of its particular impact on the human rights of persons, groups, and communities at greatest risk and traditionally subject to discrimination and exclusion With regard to women, the IACHR voices its concern at the high levels of gender violence and trafficking in persons (</w:t>
      </w:r>
      <w:hyperlink r:id="rId9" w:history="1">
        <w:r w:rsidRPr="003A7870">
          <w:rPr>
            <w:rStyle w:val="Hyperlink"/>
            <w:rFonts w:asciiTheme="majorHAnsi" w:hAnsiTheme="majorHAnsi"/>
            <w:sz w:val="20"/>
          </w:rPr>
          <w:t>Chapter IV.A</w:t>
        </w:r>
      </w:hyperlink>
      <w:r w:rsidRPr="003A7870">
        <w:rPr>
          <w:rFonts w:asciiTheme="majorHAnsi" w:hAnsiTheme="majorHAnsi"/>
          <w:color w:val="auto"/>
          <w:sz w:val="20"/>
        </w:rPr>
        <w:t>); the specific impact on women of the Government's citizen security plans (</w:t>
      </w:r>
      <w:hyperlink r:id="rId10" w:history="1">
        <w:r w:rsidRPr="003A7870">
          <w:rPr>
            <w:rStyle w:val="Hyperlink"/>
            <w:rFonts w:asciiTheme="majorHAnsi" w:hAnsiTheme="majorHAnsi"/>
            <w:sz w:val="20"/>
          </w:rPr>
          <w:t>Chapter IV.B.1</w:t>
        </w:r>
      </w:hyperlink>
      <w:r w:rsidRPr="003A7870">
        <w:rPr>
          <w:rFonts w:asciiTheme="majorHAnsi" w:hAnsiTheme="majorHAnsi"/>
          <w:color w:val="auto"/>
          <w:sz w:val="20"/>
        </w:rPr>
        <w:t>) and the putting down (repression) of social protest (</w:t>
      </w:r>
      <w:hyperlink r:id="rId11" w:history="1">
        <w:r w:rsidRPr="003A7870">
          <w:rPr>
            <w:rStyle w:val="Hyperlink"/>
            <w:rFonts w:asciiTheme="majorHAnsi" w:hAnsiTheme="majorHAnsi"/>
            <w:sz w:val="20"/>
          </w:rPr>
          <w:t>Chapter III.A.2</w:t>
        </w:r>
      </w:hyperlink>
      <w:r w:rsidRPr="003A7870">
        <w:rPr>
          <w:rFonts w:asciiTheme="majorHAnsi" w:hAnsiTheme="majorHAnsi"/>
          <w:color w:val="auto"/>
          <w:sz w:val="20"/>
        </w:rPr>
        <w:t xml:space="preserve"> and </w:t>
      </w:r>
      <w:hyperlink r:id="rId12" w:history="1">
        <w:r w:rsidRPr="003A7870">
          <w:rPr>
            <w:rStyle w:val="Hyperlink"/>
            <w:rFonts w:asciiTheme="majorHAnsi" w:hAnsiTheme="majorHAnsi"/>
            <w:sz w:val="20"/>
          </w:rPr>
          <w:t>4</w:t>
        </w:r>
      </w:hyperlink>
      <w:r w:rsidRPr="003A7870">
        <w:rPr>
          <w:rFonts w:asciiTheme="majorHAnsi" w:hAnsiTheme="majorHAnsi"/>
          <w:color w:val="auto"/>
          <w:sz w:val="20"/>
        </w:rPr>
        <w:t>); and the different and more serious impact on women of the economic crisis, particularly as regards food shortages, access to health care, and sexual and reproductive rights (</w:t>
      </w:r>
      <w:hyperlink r:id="rId13" w:history="1">
        <w:r w:rsidRPr="003A7870">
          <w:rPr>
            <w:rStyle w:val="Hyperlink"/>
            <w:rFonts w:asciiTheme="majorHAnsi" w:hAnsiTheme="majorHAnsi"/>
            <w:sz w:val="20"/>
          </w:rPr>
          <w:t>Chapter V.B</w:t>
        </w:r>
      </w:hyperlink>
      <w:r w:rsidRPr="003A7870">
        <w:rPr>
          <w:rFonts w:asciiTheme="majorHAnsi" w:hAnsiTheme="majorHAnsi"/>
          <w:color w:val="auto"/>
          <w:sz w:val="20"/>
        </w:rPr>
        <w:t xml:space="preserve"> and </w:t>
      </w:r>
      <w:hyperlink r:id="rId14" w:history="1">
        <w:r w:rsidRPr="003A7870">
          <w:rPr>
            <w:rStyle w:val="Hyperlink"/>
            <w:rFonts w:asciiTheme="majorHAnsi" w:hAnsiTheme="majorHAnsi"/>
            <w:sz w:val="20"/>
          </w:rPr>
          <w:t>C</w:t>
        </w:r>
      </w:hyperlink>
      <w:r w:rsidRPr="003A7870">
        <w:rPr>
          <w:rFonts w:asciiTheme="majorHAnsi" w:hAnsiTheme="majorHAnsi"/>
          <w:color w:val="auto"/>
          <w:sz w:val="20"/>
        </w:rPr>
        <w:t>).</w:t>
      </w:r>
    </w:p>
    <w:p w:rsidR="00EB77A8" w:rsidRPr="003A7870" w:rsidRDefault="00EB77A8" w:rsidP="00EB77A8">
      <w:pPr>
        <w:pStyle w:val="ListParagraph"/>
        <w:spacing w:after="0" w:line="240" w:lineRule="auto"/>
        <w:jc w:val="both"/>
        <w:rPr>
          <w:rFonts w:asciiTheme="majorHAnsi" w:hAnsiTheme="majorHAnsi"/>
          <w:color w:val="auto"/>
          <w:sz w:val="20"/>
          <w:szCs w:val="20"/>
        </w:rPr>
      </w:pPr>
    </w:p>
    <w:p w:rsidR="00EB77A8" w:rsidRPr="003A7870" w:rsidRDefault="00EB77A8" w:rsidP="00F615A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color w:val="auto"/>
          <w:sz w:val="20"/>
          <w:szCs w:val="20"/>
        </w:rPr>
      </w:pPr>
      <w:r w:rsidRPr="003A7870">
        <w:rPr>
          <w:rFonts w:asciiTheme="majorHAnsi" w:hAnsiTheme="majorHAnsi"/>
          <w:color w:val="auto"/>
          <w:sz w:val="20"/>
        </w:rPr>
        <w:t>With regard to children and adolescents, the IACHR addresses the particular impact on them of violence and citizen insecurity (</w:t>
      </w:r>
      <w:hyperlink r:id="rId15" w:history="1">
        <w:r w:rsidRPr="003A7870">
          <w:rPr>
            <w:rStyle w:val="Hyperlink"/>
            <w:rFonts w:asciiTheme="majorHAnsi" w:hAnsiTheme="majorHAnsi"/>
            <w:sz w:val="20"/>
          </w:rPr>
          <w:t>Chapter IV.A</w:t>
        </w:r>
      </w:hyperlink>
      <w:r w:rsidRPr="003A7870">
        <w:rPr>
          <w:rFonts w:asciiTheme="majorHAnsi" w:hAnsiTheme="majorHAnsi"/>
          <w:color w:val="auto"/>
          <w:sz w:val="20"/>
        </w:rPr>
        <w:t>), as well as impairments to the right to life and integrity stemming from security plans (</w:t>
      </w:r>
      <w:hyperlink r:id="rId16" w:history="1">
        <w:r w:rsidRPr="003A7870">
          <w:rPr>
            <w:rStyle w:val="Hyperlink"/>
            <w:rFonts w:asciiTheme="majorHAnsi" w:hAnsiTheme="majorHAnsi"/>
            <w:sz w:val="20"/>
          </w:rPr>
          <w:t>Chapter IV.B.</w:t>
        </w:r>
      </w:hyperlink>
      <w:r w:rsidRPr="003A7870">
        <w:rPr>
          <w:rFonts w:asciiTheme="majorHAnsi" w:hAnsiTheme="majorHAnsi"/>
          <w:color w:val="auto"/>
          <w:sz w:val="20"/>
        </w:rPr>
        <w:t>) and the putting down of social protest (</w:t>
      </w:r>
      <w:hyperlink r:id="rId17" w:history="1">
        <w:r w:rsidRPr="003A7870">
          <w:rPr>
            <w:rStyle w:val="Hyperlink"/>
            <w:rFonts w:asciiTheme="majorHAnsi" w:hAnsiTheme="majorHAnsi"/>
            <w:sz w:val="20"/>
          </w:rPr>
          <w:t>Chapter III.A.2</w:t>
        </w:r>
      </w:hyperlink>
      <w:r w:rsidRPr="003A7870">
        <w:rPr>
          <w:rFonts w:asciiTheme="majorHAnsi" w:hAnsiTheme="majorHAnsi"/>
          <w:color w:val="auto"/>
          <w:sz w:val="20"/>
        </w:rPr>
        <w:t>). The IACHR likewise expresses its concern at regulations regarding children and adolescents at odds with (criminal) law (</w:t>
      </w:r>
      <w:hyperlink r:id="rId18" w:history="1">
        <w:r w:rsidRPr="003A7870">
          <w:rPr>
            <w:rStyle w:val="Hyperlink"/>
            <w:rFonts w:asciiTheme="majorHAnsi" w:hAnsiTheme="majorHAnsi"/>
            <w:sz w:val="20"/>
          </w:rPr>
          <w:t>Chapter IV.C</w:t>
        </w:r>
      </w:hyperlink>
      <w:r w:rsidRPr="003A7870">
        <w:rPr>
          <w:rFonts w:asciiTheme="majorHAnsi" w:hAnsiTheme="majorHAnsi"/>
          <w:color w:val="auto"/>
          <w:sz w:val="20"/>
        </w:rPr>
        <w:t>) and the impact of the economic crisis on enjoyment of the rights to food, health, and education (</w:t>
      </w:r>
      <w:hyperlink r:id="rId19" w:history="1">
        <w:r w:rsidRPr="003A7870">
          <w:rPr>
            <w:rStyle w:val="Hyperlink"/>
            <w:rFonts w:asciiTheme="majorHAnsi" w:hAnsiTheme="majorHAnsi"/>
            <w:sz w:val="20"/>
          </w:rPr>
          <w:t>Chapter V.B</w:t>
        </w:r>
      </w:hyperlink>
      <w:r w:rsidRPr="003A7870">
        <w:rPr>
          <w:rFonts w:asciiTheme="majorHAnsi" w:hAnsiTheme="majorHAnsi"/>
          <w:color w:val="auto"/>
          <w:sz w:val="20"/>
        </w:rPr>
        <w:t xml:space="preserve">, </w:t>
      </w:r>
      <w:hyperlink r:id="rId20" w:history="1">
        <w:r w:rsidRPr="003A7870">
          <w:rPr>
            <w:rStyle w:val="Hyperlink"/>
            <w:rFonts w:asciiTheme="majorHAnsi" w:hAnsiTheme="majorHAnsi"/>
            <w:sz w:val="20"/>
          </w:rPr>
          <w:t>C</w:t>
        </w:r>
      </w:hyperlink>
      <w:r w:rsidRPr="003A7870">
        <w:rPr>
          <w:rFonts w:asciiTheme="majorHAnsi" w:hAnsiTheme="majorHAnsi"/>
          <w:color w:val="auto"/>
          <w:sz w:val="20"/>
        </w:rPr>
        <w:t xml:space="preserve"> and </w:t>
      </w:r>
      <w:hyperlink r:id="rId21" w:history="1">
        <w:r w:rsidRPr="003A7870">
          <w:rPr>
            <w:rStyle w:val="Hyperlink"/>
            <w:rFonts w:asciiTheme="majorHAnsi" w:hAnsiTheme="majorHAnsi"/>
            <w:sz w:val="20"/>
          </w:rPr>
          <w:t>D</w:t>
        </w:r>
      </w:hyperlink>
      <w:r w:rsidRPr="003A7870">
        <w:rPr>
          <w:rFonts w:asciiTheme="majorHAnsi" w:hAnsiTheme="majorHAnsi"/>
          <w:color w:val="auto"/>
          <w:sz w:val="20"/>
        </w:rPr>
        <w:t xml:space="preserve">). </w:t>
      </w:r>
      <w:r w:rsidRPr="003A7870">
        <w:rPr>
          <w:rFonts w:asciiTheme="majorHAnsi" w:hAnsiTheme="majorHAnsi"/>
          <w:sz w:val="20"/>
        </w:rPr>
        <w:t xml:space="preserve">The IACHR also refers to the impact on older adults of citizen insecurity </w:t>
      </w:r>
      <w:r w:rsidRPr="003A7870">
        <w:rPr>
          <w:rFonts w:asciiTheme="majorHAnsi" w:hAnsiTheme="majorHAnsi"/>
          <w:color w:val="auto"/>
          <w:sz w:val="20"/>
        </w:rPr>
        <w:t>(</w:t>
      </w:r>
      <w:hyperlink r:id="rId22" w:history="1">
        <w:r w:rsidRPr="003A7870">
          <w:rPr>
            <w:rStyle w:val="Hyperlink"/>
            <w:rFonts w:asciiTheme="majorHAnsi" w:hAnsiTheme="majorHAnsi"/>
            <w:sz w:val="20"/>
          </w:rPr>
          <w:t>Chapter IV.A</w:t>
        </w:r>
      </w:hyperlink>
      <w:r w:rsidRPr="003A7870">
        <w:rPr>
          <w:rFonts w:asciiTheme="majorHAnsi" w:hAnsiTheme="majorHAnsi"/>
          <w:color w:val="auto"/>
          <w:sz w:val="20"/>
        </w:rPr>
        <w:t>), of the use of force to put down social protest (</w:t>
      </w:r>
      <w:hyperlink r:id="rId23" w:history="1">
        <w:r w:rsidRPr="003A7870">
          <w:rPr>
            <w:rStyle w:val="Hyperlink"/>
            <w:rFonts w:asciiTheme="majorHAnsi" w:hAnsiTheme="majorHAnsi"/>
            <w:sz w:val="20"/>
          </w:rPr>
          <w:t>Chapter III.A.2</w:t>
        </w:r>
      </w:hyperlink>
      <w:r w:rsidRPr="003A7870">
        <w:rPr>
          <w:rFonts w:asciiTheme="majorHAnsi" w:hAnsiTheme="majorHAnsi"/>
          <w:color w:val="auto"/>
          <w:sz w:val="20"/>
        </w:rPr>
        <w:t>), and of the food shortages the country is experiencing (</w:t>
      </w:r>
      <w:hyperlink r:id="rId24" w:history="1">
        <w:r w:rsidRPr="003A7870">
          <w:rPr>
            <w:rStyle w:val="Hyperlink"/>
            <w:rFonts w:asciiTheme="majorHAnsi" w:hAnsiTheme="majorHAnsi"/>
            <w:sz w:val="20"/>
          </w:rPr>
          <w:t>Chapter V.B</w:t>
        </w:r>
      </w:hyperlink>
      <w:r w:rsidRPr="003A7870">
        <w:rPr>
          <w:rFonts w:asciiTheme="majorHAnsi" w:hAnsiTheme="majorHAnsi"/>
          <w:color w:val="auto"/>
          <w:sz w:val="20"/>
        </w:rPr>
        <w:t xml:space="preserve">). </w:t>
      </w:r>
      <w:r w:rsidRPr="003A7870">
        <w:rPr>
          <w:rFonts w:asciiTheme="majorHAnsi" w:hAnsiTheme="majorHAnsi"/>
          <w:sz w:val="20"/>
        </w:rPr>
        <w:t xml:space="preserve">The Commission also looks at the impact of the crisis on indigenous peoples, especially in terms of malnutrition and access to food indices </w:t>
      </w:r>
      <w:r w:rsidRPr="003A7870">
        <w:rPr>
          <w:rFonts w:asciiTheme="majorHAnsi" w:hAnsiTheme="majorHAnsi"/>
          <w:color w:val="auto"/>
          <w:sz w:val="20"/>
        </w:rPr>
        <w:t>(</w:t>
      </w:r>
      <w:hyperlink r:id="rId25" w:history="1">
        <w:r w:rsidRPr="003A7870">
          <w:rPr>
            <w:rStyle w:val="Hyperlink"/>
            <w:rFonts w:asciiTheme="majorHAnsi" w:hAnsiTheme="majorHAnsi"/>
            <w:sz w:val="20"/>
          </w:rPr>
          <w:t>Chapter V.B</w:t>
        </w:r>
      </w:hyperlink>
      <w:r w:rsidRPr="003A7870">
        <w:rPr>
          <w:rFonts w:asciiTheme="majorHAnsi" w:hAnsiTheme="majorHAnsi"/>
          <w:color w:val="auto"/>
          <w:sz w:val="20"/>
        </w:rPr>
        <w:t>).</w:t>
      </w:r>
    </w:p>
    <w:p w:rsidR="00EB77A8" w:rsidRPr="003A7870" w:rsidRDefault="00EB77A8" w:rsidP="00EB77A8">
      <w:pPr>
        <w:pStyle w:val="ListParagraph"/>
        <w:spacing w:after="0" w:line="240" w:lineRule="auto"/>
        <w:jc w:val="both"/>
        <w:rPr>
          <w:rFonts w:asciiTheme="majorHAnsi" w:hAnsiTheme="majorHAnsi"/>
          <w:color w:val="auto"/>
          <w:sz w:val="20"/>
          <w:szCs w:val="20"/>
        </w:rPr>
      </w:pPr>
    </w:p>
    <w:p w:rsidR="00EB77A8" w:rsidRPr="003A7870" w:rsidRDefault="00EB77A8" w:rsidP="00F615A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color w:val="auto"/>
          <w:sz w:val="20"/>
          <w:szCs w:val="20"/>
        </w:rPr>
      </w:pPr>
      <w:r w:rsidRPr="003A7870">
        <w:rPr>
          <w:rFonts w:asciiTheme="majorHAnsi" w:hAnsiTheme="majorHAnsi"/>
          <w:color w:val="auto"/>
          <w:sz w:val="20"/>
        </w:rPr>
        <w:t>As regards persons deprived of liberty, the Commission voices its alarm at complaints of arbitrary detentions in connection with citizen security strategies (</w:t>
      </w:r>
      <w:hyperlink r:id="rId26" w:history="1">
        <w:r w:rsidRPr="003A7870">
          <w:rPr>
            <w:rStyle w:val="Hyperlink"/>
            <w:rFonts w:asciiTheme="majorHAnsi" w:hAnsiTheme="majorHAnsi"/>
            <w:sz w:val="20"/>
          </w:rPr>
          <w:t>Chapter IV.B.1</w:t>
        </w:r>
      </w:hyperlink>
      <w:r w:rsidRPr="003A7870">
        <w:rPr>
          <w:rFonts w:asciiTheme="majorHAnsi" w:hAnsiTheme="majorHAnsi"/>
          <w:color w:val="auto"/>
          <w:sz w:val="20"/>
        </w:rPr>
        <w:t xml:space="preserve"> and </w:t>
      </w:r>
      <w:hyperlink r:id="rId27" w:history="1">
        <w:r w:rsidRPr="003A7870">
          <w:rPr>
            <w:rStyle w:val="Hyperlink"/>
            <w:rFonts w:asciiTheme="majorHAnsi" w:hAnsiTheme="majorHAnsi"/>
            <w:sz w:val="20"/>
          </w:rPr>
          <w:t>2</w:t>
        </w:r>
      </w:hyperlink>
      <w:r w:rsidRPr="003A7870">
        <w:rPr>
          <w:rFonts w:asciiTheme="majorHAnsi" w:hAnsiTheme="majorHAnsi"/>
          <w:color w:val="auto"/>
          <w:sz w:val="20"/>
        </w:rPr>
        <w:t>); at complaints of arbitrary arrests of demonstrators and their subsequent subjection to torture and cruel, inhuman, and degrading treatment, including rape (</w:t>
      </w:r>
      <w:hyperlink r:id="rId28" w:history="1">
        <w:r w:rsidRPr="003A7870">
          <w:rPr>
            <w:rStyle w:val="Hyperlink"/>
            <w:rFonts w:asciiTheme="majorHAnsi" w:hAnsiTheme="majorHAnsi"/>
            <w:sz w:val="20"/>
          </w:rPr>
          <w:t>Chapter III.A.4</w:t>
        </w:r>
      </w:hyperlink>
      <w:r w:rsidRPr="003A7870">
        <w:rPr>
          <w:rFonts w:asciiTheme="majorHAnsi" w:hAnsiTheme="majorHAnsi"/>
          <w:color w:val="auto"/>
          <w:sz w:val="20"/>
        </w:rPr>
        <w:t>); and, in particular, at the violence occurring in detention centers and the deterioration of prison conditions, which are characterized by overcrowding, lack of food, and lack of medical care e (</w:t>
      </w:r>
      <w:hyperlink r:id="rId29" w:history="1">
        <w:r w:rsidRPr="003A7870">
          <w:rPr>
            <w:rStyle w:val="Hyperlink"/>
            <w:rFonts w:asciiTheme="majorHAnsi" w:hAnsiTheme="majorHAnsi"/>
            <w:sz w:val="20"/>
          </w:rPr>
          <w:t>Chapter IV.C</w:t>
        </w:r>
      </w:hyperlink>
      <w:r w:rsidRPr="003A7870">
        <w:rPr>
          <w:rFonts w:asciiTheme="majorHAnsi" w:hAnsiTheme="majorHAnsi"/>
          <w:color w:val="auto"/>
          <w:sz w:val="20"/>
        </w:rPr>
        <w:t xml:space="preserve">, </w:t>
      </w:r>
      <w:hyperlink r:id="rId30" w:history="1">
        <w:r w:rsidRPr="003A7870">
          <w:rPr>
            <w:rStyle w:val="Hyperlink"/>
            <w:rFonts w:asciiTheme="majorHAnsi" w:hAnsiTheme="majorHAnsi"/>
            <w:sz w:val="20"/>
          </w:rPr>
          <w:t>V.B</w:t>
        </w:r>
      </w:hyperlink>
      <w:r w:rsidRPr="003A7870">
        <w:rPr>
          <w:rFonts w:asciiTheme="majorHAnsi" w:hAnsiTheme="majorHAnsi"/>
          <w:color w:val="auto"/>
          <w:sz w:val="20"/>
        </w:rPr>
        <w:t xml:space="preserve"> and </w:t>
      </w:r>
      <w:hyperlink r:id="rId31" w:history="1">
        <w:r w:rsidRPr="003A7870">
          <w:rPr>
            <w:rStyle w:val="Hyperlink"/>
            <w:rFonts w:asciiTheme="majorHAnsi" w:hAnsiTheme="majorHAnsi"/>
            <w:sz w:val="20"/>
          </w:rPr>
          <w:t>C</w:t>
        </w:r>
      </w:hyperlink>
      <w:r w:rsidRPr="003A7870">
        <w:rPr>
          <w:rFonts w:asciiTheme="majorHAnsi" w:hAnsiTheme="majorHAnsi"/>
          <w:color w:val="auto"/>
          <w:sz w:val="20"/>
        </w:rPr>
        <w:t>).</w:t>
      </w:r>
    </w:p>
    <w:p w:rsidR="00EB77A8" w:rsidRPr="003A7870" w:rsidRDefault="00EB77A8" w:rsidP="00EB77A8">
      <w:pPr>
        <w:pStyle w:val="ListParagraph"/>
        <w:spacing w:after="0" w:line="240" w:lineRule="auto"/>
        <w:jc w:val="both"/>
        <w:rPr>
          <w:rFonts w:asciiTheme="majorHAnsi" w:hAnsiTheme="majorHAnsi"/>
          <w:color w:val="auto"/>
          <w:sz w:val="20"/>
          <w:szCs w:val="20"/>
        </w:rPr>
      </w:pPr>
    </w:p>
    <w:p w:rsidR="00EB77A8" w:rsidRPr="003A7870" w:rsidRDefault="00EB77A8" w:rsidP="00F615A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color w:val="auto"/>
          <w:sz w:val="20"/>
          <w:szCs w:val="20"/>
        </w:rPr>
      </w:pPr>
      <w:r w:rsidRPr="003A7870">
        <w:rPr>
          <w:rFonts w:asciiTheme="majorHAnsi" w:hAnsiTheme="majorHAnsi"/>
          <w:color w:val="auto"/>
          <w:sz w:val="20"/>
        </w:rPr>
        <w:t>With respect to the situation of human rights defenders, the IACHR repudiates the numerous threats and acts of harassment and criminalization to which they are subjected for denouncing the human rights situation in Venezuela, and for defending or representing persons detained on account of their political views or for having taken part in demonstrations (</w:t>
      </w:r>
      <w:hyperlink r:id="rId32" w:history="1">
        <w:r w:rsidRPr="003A7870">
          <w:rPr>
            <w:rStyle w:val="Hyperlink"/>
            <w:rFonts w:asciiTheme="majorHAnsi" w:hAnsiTheme="majorHAnsi"/>
            <w:sz w:val="20"/>
          </w:rPr>
          <w:t>Chapter III.A.3</w:t>
        </w:r>
      </w:hyperlink>
      <w:r w:rsidRPr="003A7870">
        <w:rPr>
          <w:rFonts w:asciiTheme="majorHAnsi" w:hAnsiTheme="majorHAnsi"/>
          <w:color w:val="auto"/>
          <w:sz w:val="20"/>
        </w:rPr>
        <w:t xml:space="preserve"> and </w:t>
      </w:r>
      <w:hyperlink r:id="rId33" w:history="1">
        <w:r w:rsidRPr="003A7870">
          <w:rPr>
            <w:rStyle w:val="Hyperlink"/>
            <w:rFonts w:asciiTheme="majorHAnsi" w:hAnsiTheme="majorHAnsi"/>
            <w:sz w:val="20"/>
          </w:rPr>
          <w:t>4</w:t>
        </w:r>
      </w:hyperlink>
      <w:r w:rsidRPr="003A7870">
        <w:rPr>
          <w:rFonts w:asciiTheme="majorHAnsi" w:hAnsiTheme="majorHAnsi"/>
          <w:color w:val="auto"/>
          <w:sz w:val="20"/>
        </w:rPr>
        <w:t xml:space="preserve">). </w:t>
      </w:r>
      <w:r w:rsidRPr="003A7870">
        <w:rPr>
          <w:rFonts w:asciiTheme="majorHAnsi" w:hAnsiTheme="majorHAnsi"/>
          <w:sz w:val="20"/>
        </w:rPr>
        <w:t xml:space="preserve">Likewise, the Commission voices its concern at the harassment and persecution of political opposition figures in Venezuela </w:t>
      </w:r>
      <w:r w:rsidRPr="003A7870">
        <w:rPr>
          <w:rFonts w:asciiTheme="majorHAnsi" w:hAnsiTheme="majorHAnsi"/>
          <w:color w:val="auto"/>
          <w:sz w:val="20"/>
        </w:rPr>
        <w:t>(</w:t>
      </w:r>
      <w:hyperlink r:id="rId34" w:history="1">
        <w:r w:rsidRPr="003A7870">
          <w:rPr>
            <w:rStyle w:val="Hyperlink"/>
            <w:rFonts w:asciiTheme="majorHAnsi" w:hAnsiTheme="majorHAnsi"/>
            <w:sz w:val="20"/>
          </w:rPr>
          <w:t>Chapter II.B.2</w:t>
        </w:r>
      </w:hyperlink>
      <w:r w:rsidRPr="003A7870">
        <w:rPr>
          <w:rFonts w:asciiTheme="majorHAnsi" w:hAnsiTheme="majorHAnsi"/>
          <w:color w:val="auto"/>
          <w:sz w:val="20"/>
        </w:rPr>
        <w:t>).</w:t>
      </w:r>
    </w:p>
    <w:p w:rsidR="00EB77A8" w:rsidRPr="003A7870" w:rsidRDefault="00EB77A8" w:rsidP="00EB77A8">
      <w:pPr>
        <w:pStyle w:val="ListParagraph"/>
        <w:spacing w:after="0" w:line="240" w:lineRule="auto"/>
        <w:jc w:val="both"/>
        <w:rPr>
          <w:rFonts w:asciiTheme="majorHAnsi" w:hAnsiTheme="majorHAnsi"/>
          <w:color w:val="auto"/>
          <w:sz w:val="20"/>
          <w:szCs w:val="20"/>
        </w:rPr>
      </w:pPr>
    </w:p>
    <w:p w:rsidR="00EB77A8" w:rsidRPr="003A7870" w:rsidRDefault="00EB77A8" w:rsidP="00F615A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color w:val="auto"/>
          <w:sz w:val="20"/>
          <w:szCs w:val="20"/>
        </w:rPr>
      </w:pPr>
      <w:r w:rsidRPr="003A7870">
        <w:rPr>
          <w:rFonts w:asciiTheme="majorHAnsi" w:hAnsiTheme="majorHAnsi"/>
          <w:sz w:val="20"/>
        </w:rPr>
        <w:t xml:space="preserve">Regarding migrants, refugees, and others in a similar situation to refugees, the IACHR reiterates its concern at the large number of Venezuelans who have been forced to migrate to other countries in the region in recent years for numerous reasons, especially forced migration as a survival mechanism given the </w:t>
      </w:r>
      <w:r w:rsidRPr="003A7870">
        <w:rPr>
          <w:rFonts w:asciiTheme="majorHAnsi" w:hAnsiTheme="majorHAnsi"/>
          <w:sz w:val="20"/>
          <w:lang w:val="en"/>
        </w:rPr>
        <w:t>grave crisis</w:t>
      </w:r>
      <w:r w:rsidRPr="003A7870">
        <w:rPr>
          <w:rFonts w:asciiTheme="majorHAnsi" w:hAnsiTheme="majorHAnsi"/>
          <w:sz w:val="20"/>
        </w:rPr>
        <w:t xml:space="preserve"> in Venezuela and the effects of its sequel of shortages of food, medicines, and medical treatment </w:t>
      </w:r>
      <w:r w:rsidRPr="003A7870">
        <w:rPr>
          <w:rFonts w:asciiTheme="majorHAnsi" w:hAnsiTheme="majorHAnsi"/>
          <w:color w:val="auto"/>
          <w:sz w:val="20"/>
        </w:rPr>
        <w:t>(</w:t>
      </w:r>
      <w:hyperlink r:id="rId35" w:history="1">
        <w:r w:rsidRPr="003A7870">
          <w:rPr>
            <w:rStyle w:val="Hyperlink"/>
            <w:rFonts w:asciiTheme="majorHAnsi" w:hAnsiTheme="majorHAnsi"/>
            <w:sz w:val="20"/>
          </w:rPr>
          <w:t>Chapter V</w:t>
        </w:r>
      </w:hyperlink>
      <w:r w:rsidRPr="003A7870">
        <w:rPr>
          <w:rFonts w:asciiTheme="majorHAnsi" w:hAnsiTheme="majorHAnsi"/>
          <w:color w:val="auto"/>
          <w:sz w:val="20"/>
        </w:rPr>
        <w:t>), violence and lack of security (</w:t>
      </w:r>
      <w:hyperlink r:id="rId36" w:history="1">
        <w:r w:rsidRPr="003A7870">
          <w:rPr>
            <w:rStyle w:val="Hyperlink"/>
            <w:rFonts w:asciiTheme="majorHAnsi" w:hAnsiTheme="majorHAnsi"/>
            <w:sz w:val="20"/>
          </w:rPr>
          <w:t>Chapter IV.A</w:t>
        </w:r>
      </w:hyperlink>
      <w:r w:rsidRPr="003A7870">
        <w:rPr>
          <w:rFonts w:asciiTheme="majorHAnsi" w:hAnsiTheme="majorHAnsi"/>
          <w:color w:val="auto"/>
          <w:sz w:val="20"/>
        </w:rPr>
        <w:t>). The IACHR also recognizes the efforts by some countries in the region to provide protection for Venezuelan migrants.</w:t>
      </w:r>
    </w:p>
    <w:p w:rsidR="00EB77A8" w:rsidRPr="003A7870" w:rsidRDefault="00EB77A8" w:rsidP="00EB77A8">
      <w:pPr>
        <w:pStyle w:val="NoSpacing"/>
        <w:jc w:val="both"/>
        <w:rPr>
          <w:rFonts w:asciiTheme="majorHAnsi" w:hAnsiTheme="majorHAnsi"/>
          <w:sz w:val="20"/>
          <w:szCs w:val="20"/>
        </w:rPr>
      </w:pPr>
    </w:p>
    <w:p w:rsidR="00EB77A8" w:rsidRPr="003A7870" w:rsidRDefault="00EB77A8" w:rsidP="00F615A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color w:val="auto"/>
          <w:sz w:val="20"/>
          <w:szCs w:val="20"/>
        </w:rPr>
      </w:pPr>
      <w:r w:rsidRPr="003A7870">
        <w:rPr>
          <w:rFonts w:asciiTheme="majorHAnsi" w:hAnsiTheme="majorHAnsi"/>
          <w:color w:val="auto"/>
          <w:sz w:val="20"/>
        </w:rPr>
        <w:lastRenderedPageBreak/>
        <w:t>The Inter-American Commission reiterates its offer to work with the State, and with Venezuelan society as a whole, to ensure effective compliance with the recommendations put forward in this report, thereby contributing to more robust defense and protection of human rights in a democratic context in Venezuela</w:t>
      </w:r>
      <w:r w:rsidRPr="003A7870">
        <w:rPr>
          <w:rFonts w:asciiTheme="majorHAnsi" w:hAnsiTheme="majorHAnsi"/>
          <w:color w:val="auto"/>
          <w:sz w:val="20"/>
          <w:lang w:val="en"/>
        </w:rPr>
        <w:t>.</w:t>
      </w:r>
      <w:r w:rsidRPr="003A7870">
        <w:rPr>
          <w:rFonts w:ascii="Cambria" w:hAnsi="Cambria"/>
          <w:color w:val="auto"/>
          <w:sz w:val="20"/>
          <w:szCs w:val="20"/>
          <w:lang w:val="en"/>
        </w:rPr>
        <w:t xml:space="preserve"> The IACHR in turn reiterates its interest and willingness to visit the country.</w:t>
      </w:r>
    </w:p>
    <w:bookmarkEnd w:id="14"/>
    <w:bookmarkEnd w:id="15"/>
    <w:bookmarkEnd w:id="16"/>
    <w:p w:rsidR="008E3D3F" w:rsidRPr="003A7870" w:rsidRDefault="008E3D3F" w:rsidP="008E3D3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ajorHAnsi" w:hAnsiTheme="majorHAnsi"/>
          <w:sz w:val="20"/>
          <w:szCs w:val="20"/>
        </w:rPr>
      </w:pPr>
    </w:p>
    <w:sectPr w:rsidR="008E3D3F" w:rsidRPr="003A7870" w:rsidSect="00CE4A13">
      <w:headerReference w:type="even" r:id="rId37"/>
      <w:headerReference w:type="default" r:id="rId38"/>
      <w:footerReference w:type="even" r:id="rId39"/>
      <w:footerReference w:type="default" r:id="rId40"/>
      <w:headerReference w:type="first" r:id="rId41"/>
      <w:footerReference w:type="first" r:id="rId42"/>
      <w:type w:val="oddPage"/>
      <w:pgSz w:w="12240" w:h="15840"/>
      <w:pgMar w:top="1440" w:right="1440" w:bottom="1440" w:left="1440" w:header="708" w:footer="708" w:gutter="0"/>
      <w:pgNumType w:start="66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E22" w:rsidRDefault="00847E22">
      <w:r>
        <w:separator/>
      </w:r>
    </w:p>
  </w:endnote>
  <w:endnote w:type="continuationSeparator" w:id="0">
    <w:p w:rsidR="00847E22" w:rsidRDefault="0084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6B" w:rsidRDefault="001356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675135"/>
      <w:docPartObj>
        <w:docPartGallery w:val="Page Numbers (Bottom of Page)"/>
        <w:docPartUnique/>
      </w:docPartObj>
    </w:sdtPr>
    <w:sdtEndPr>
      <w:rPr>
        <w:rFonts w:asciiTheme="minorHAnsi" w:hAnsiTheme="minorHAnsi"/>
        <w:noProof/>
        <w:sz w:val="16"/>
        <w:szCs w:val="16"/>
      </w:rPr>
    </w:sdtEndPr>
    <w:sdtContent>
      <w:p w:rsidR="007D5330" w:rsidRPr="007D5330" w:rsidRDefault="007D5330">
        <w:pPr>
          <w:pStyle w:val="Footer"/>
          <w:jc w:val="center"/>
          <w:rPr>
            <w:rFonts w:asciiTheme="minorHAnsi" w:hAnsiTheme="minorHAnsi"/>
            <w:sz w:val="16"/>
            <w:szCs w:val="16"/>
          </w:rPr>
        </w:pPr>
        <w:r w:rsidRPr="007D5330">
          <w:rPr>
            <w:rFonts w:asciiTheme="minorHAnsi" w:hAnsiTheme="minorHAnsi"/>
            <w:sz w:val="16"/>
            <w:szCs w:val="16"/>
          </w:rPr>
          <w:fldChar w:fldCharType="begin"/>
        </w:r>
        <w:r w:rsidRPr="007D5330">
          <w:rPr>
            <w:rFonts w:asciiTheme="minorHAnsi" w:hAnsiTheme="minorHAnsi"/>
            <w:sz w:val="16"/>
            <w:szCs w:val="16"/>
          </w:rPr>
          <w:instrText xml:space="preserve"> PAGE   \* MERGEFORMAT </w:instrText>
        </w:r>
        <w:r w:rsidRPr="007D5330">
          <w:rPr>
            <w:rFonts w:asciiTheme="minorHAnsi" w:hAnsiTheme="minorHAnsi"/>
            <w:sz w:val="16"/>
            <w:szCs w:val="16"/>
          </w:rPr>
          <w:fldChar w:fldCharType="separate"/>
        </w:r>
        <w:r w:rsidR="0000642E">
          <w:rPr>
            <w:rFonts w:asciiTheme="minorHAnsi" w:hAnsiTheme="minorHAnsi"/>
            <w:noProof/>
            <w:sz w:val="16"/>
            <w:szCs w:val="16"/>
          </w:rPr>
          <w:t>664</w:t>
        </w:r>
        <w:r w:rsidRPr="007D5330">
          <w:rPr>
            <w:rFonts w:asciiTheme="minorHAnsi" w:hAnsiTheme="minorHAnsi"/>
            <w:noProof/>
            <w:sz w:val="16"/>
            <w:szCs w:val="16"/>
          </w:rPr>
          <w:fldChar w:fldCharType="end"/>
        </w:r>
      </w:p>
    </w:sdtContent>
  </w:sdt>
  <w:p w:rsidR="00445CD3" w:rsidRPr="00B432CB" w:rsidRDefault="00445CD3" w:rsidP="00033D1D">
    <w:pPr>
      <w:pStyle w:val="Footer"/>
      <w:jc w:val="center"/>
      <w:rPr>
        <w:vanis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6B" w:rsidRDefault="00135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E22" w:rsidRDefault="00847E22">
      <w:r>
        <w:separator/>
      </w:r>
    </w:p>
  </w:footnote>
  <w:footnote w:type="continuationSeparator" w:id="0">
    <w:p w:rsidR="00847E22" w:rsidRDefault="00847E22">
      <w:r>
        <w:continuationSeparator/>
      </w:r>
    </w:p>
  </w:footnote>
  <w:footnote w:id="1">
    <w:p w:rsidR="00445CD3" w:rsidRPr="007D5330" w:rsidRDefault="00445CD3" w:rsidP="007D5330">
      <w:pPr>
        <w:pStyle w:val="FootnoteText"/>
        <w:spacing w:after="120"/>
        <w:ind w:firstLine="562"/>
        <w:jc w:val="both"/>
        <w:rPr>
          <w:rFonts w:asciiTheme="majorHAnsi" w:hAnsiTheme="majorHAnsi"/>
          <w:sz w:val="16"/>
          <w:szCs w:val="16"/>
        </w:rPr>
      </w:pPr>
      <w:r w:rsidRPr="007D5330">
        <w:rPr>
          <w:rStyle w:val="FootnoteReference"/>
          <w:rFonts w:asciiTheme="majorHAnsi" w:hAnsiTheme="majorHAnsi"/>
          <w:sz w:val="16"/>
          <w:szCs w:val="16"/>
        </w:rPr>
        <w:footnoteRef/>
      </w:r>
      <w:r w:rsidRPr="007D5330">
        <w:rPr>
          <w:rFonts w:asciiTheme="majorHAnsi" w:hAnsiTheme="majorHAnsi"/>
          <w:sz w:val="16"/>
          <w:szCs w:val="16"/>
        </w:rPr>
        <w:t xml:space="preserve"> Specifically, the Commission bases its analysis on the obligations contained in the American Declaration of the Rights and Duties of Man and the Charter of the Organization of American States.</w:t>
      </w:r>
      <w:r w:rsidRPr="007D5330">
        <w:rPr>
          <w:rFonts w:asciiTheme="majorHAnsi" w:hAnsiTheme="majorHAnsi"/>
          <w:b/>
          <w:bCs/>
          <w:sz w:val="16"/>
          <w:szCs w:val="16"/>
        </w:rPr>
        <w:t xml:space="preserve"> </w:t>
      </w:r>
      <w:r w:rsidRPr="007D5330">
        <w:rPr>
          <w:rFonts w:asciiTheme="majorHAnsi" w:hAnsiTheme="majorHAnsi"/>
          <w:sz w:val="16"/>
          <w:szCs w:val="16"/>
        </w:rPr>
        <w:t xml:space="preserve">Where relevant, it likewise takes into account other inter-American human rights treaties, such as the Inter-American Convention to Prevent and Punish Torture, the Inter-American Convention on the Prevention, Punishment and Eradication of Violence against Women or Belém Do Pará Convention; the Inter-American Convention on Forced Disappearance of Persons; and the Inter-American Convention on the Elimination of All Forms of Discrimination against Persons with Disabilities. Consideration is also given to the Inter-American Democratic Charter. </w:t>
      </w:r>
    </w:p>
  </w:footnote>
  <w:footnote w:id="2">
    <w:p w:rsidR="00445CD3" w:rsidRPr="007D5330" w:rsidRDefault="00445CD3" w:rsidP="007D5330">
      <w:pPr>
        <w:spacing w:after="120"/>
        <w:ind w:firstLine="562"/>
        <w:jc w:val="both"/>
        <w:rPr>
          <w:rFonts w:asciiTheme="majorHAnsi" w:hAnsiTheme="majorHAnsi"/>
          <w:sz w:val="16"/>
          <w:szCs w:val="16"/>
        </w:rPr>
      </w:pPr>
      <w:r w:rsidRPr="007D5330">
        <w:rPr>
          <w:rFonts w:asciiTheme="majorHAnsi" w:hAnsiTheme="majorHAnsi"/>
          <w:sz w:val="16"/>
          <w:szCs w:val="16"/>
          <w:vertAlign w:val="superscript"/>
          <w:lang w:val="en"/>
        </w:rPr>
        <w:footnoteRef/>
      </w:r>
      <w:r w:rsidRPr="007D5330">
        <w:rPr>
          <w:rFonts w:asciiTheme="majorHAnsi" w:hAnsiTheme="majorHAnsi"/>
          <w:sz w:val="16"/>
          <w:szCs w:val="16"/>
          <w:lang w:val="en"/>
        </w:rPr>
        <w:t xml:space="preserve"> Bolivarian Republic of Venezuela, Ministry of the People’s Power for Foreign Relations, Note </w:t>
      </w:r>
      <w:hyperlink r:id="rId1" w:history="1">
        <w:r w:rsidRPr="00041EEE">
          <w:rPr>
            <w:rStyle w:val="Hyperlink"/>
            <w:rFonts w:asciiTheme="majorHAnsi" w:hAnsiTheme="majorHAnsi"/>
            <w:sz w:val="16"/>
            <w:szCs w:val="16"/>
            <w:lang w:val="en"/>
          </w:rPr>
          <w:t>AGEV/2017-000300, comments on the draft country report</w:t>
        </w:r>
      </w:hyperlink>
      <w:r w:rsidRPr="007D5330">
        <w:rPr>
          <w:rFonts w:asciiTheme="majorHAnsi" w:hAnsiTheme="majorHAnsi"/>
          <w:sz w:val="16"/>
          <w:szCs w:val="16"/>
          <w:lang w:val="en"/>
        </w:rPr>
        <w:t xml:space="preserve"> December 21, 2017.</w:t>
      </w:r>
    </w:p>
  </w:footnote>
  <w:footnote w:id="3">
    <w:p w:rsidR="00445CD3" w:rsidRPr="007D5330" w:rsidRDefault="00445CD3" w:rsidP="007D5330">
      <w:pPr>
        <w:spacing w:after="120"/>
        <w:ind w:firstLine="562"/>
        <w:jc w:val="both"/>
        <w:rPr>
          <w:rFonts w:asciiTheme="majorHAnsi" w:hAnsiTheme="majorHAnsi"/>
          <w:sz w:val="16"/>
          <w:szCs w:val="16"/>
        </w:rPr>
      </w:pPr>
      <w:r w:rsidRPr="007D5330">
        <w:rPr>
          <w:rStyle w:val="FootnoteReference"/>
          <w:rFonts w:asciiTheme="majorHAnsi" w:hAnsiTheme="majorHAnsi"/>
          <w:sz w:val="16"/>
          <w:szCs w:val="16"/>
          <w:lang w:val="en"/>
        </w:rPr>
        <w:footnoteRef/>
      </w:r>
      <w:bookmarkStart w:id="18" w:name="_Hlk501700771"/>
      <w:r w:rsidRPr="007D5330">
        <w:rPr>
          <w:rFonts w:asciiTheme="majorHAnsi" w:hAnsiTheme="majorHAnsi"/>
          <w:sz w:val="16"/>
          <w:szCs w:val="16"/>
          <w:lang w:val="en"/>
        </w:rPr>
        <w:t xml:space="preserve"> Bolivarian Republic of Venezuela, Ministry of the People’s Power for Foreign Relations, Note </w:t>
      </w:r>
      <w:hyperlink r:id="rId2" w:history="1">
        <w:r w:rsidRPr="0000642E">
          <w:rPr>
            <w:rStyle w:val="Hyperlink"/>
            <w:rFonts w:asciiTheme="majorHAnsi" w:hAnsiTheme="majorHAnsi"/>
            <w:sz w:val="16"/>
            <w:szCs w:val="16"/>
            <w:lang w:val="en"/>
          </w:rPr>
          <w:t>AGEV/2017-000300, comments on the draft country report December 21, 2017</w:t>
        </w:r>
      </w:hyperlink>
      <w:r w:rsidRPr="007D5330">
        <w:rPr>
          <w:rFonts w:asciiTheme="majorHAnsi" w:hAnsiTheme="majorHAnsi"/>
          <w:sz w:val="16"/>
          <w:szCs w:val="16"/>
          <w:lang w:val="en"/>
        </w:rPr>
        <w:t>, para. 4.</w:t>
      </w:r>
    </w:p>
    <w:bookmarkEnd w:id="18"/>
  </w:footnote>
  <w:footnote w:id="4">
    <w:p w:rsidR="00445CD3" w:rsidRPr="007D5330" w:rsidRDefault="00445CD3" w:rsidP="007D5330">
      <w:pPr>
        <w:spacing w:after="120"/>
        <w:ind w:firstLine="562"/>
        <w:jc w:val="both"/>
        <w:rPr>
          <w:rFonts w:asciiTheme="majorHAnsi" w:hAnsiTheme="majorHAnsi"/>
          <w:sz w:val="16"/>
          <w:szCs w:val="16"/>
        </w:rPr>
      </w:pPr>
      <w:r w:rsidRPr="007D5330">
        <w:rPr>
          <w:rStyle w:val="FootnoteReference"/>
          <w:rFonts w:asciiTheme="majorHAnsi" w:hAnsiTheme="majorHAnsi"/>
          <w:sz w:val="16"/>
          <w:szCs w:val="16"/>
          <w:lang w:val="en"/>
        </w:rPr>
        <w:footnoteRef/>
      </w:r>
      <w:bookmarkStart w:id="19" w:name="_Hlk501701608"/>
      <w:r w:rsidRPr="007D5330">
        <w:rPr>
          <w:rFonts w:asciiTheme="majorHAnsi" w:hAnsiTheme="majorHAnsi"/>
          <w:sz w:val="16"/>
          <w:szCs w:val="16"/>
          <w:lang w:val="en"/>
        </w:rPr>
        <w:t xml:space="preserve"> Bolivarian Republic of Venezuela, Ministry of the People’s Power for Foreign Relations, </w:t>
      </w:r>
      <w:hyperlink r:id="rId3" w:history="1">
        <w:r w:rsidRPr="0000642E">
          <w:rPr>
            <w:rStyle w:val="Hyperlink"/>
            <w:rFonts w:asciiTheme="majorHAnsi" w:hAnsiTheme="majorHAnsi"/>
            <w:sz w:val="16"/>
            <w:szCs w:val="16"/>
            <w:lang w:val="en"/>
          </w:rPr>
          <w:t>Note AGEV/2017-000300, comments on the draft country report December 21, 2017</w:t>
        </w:r>
      </w:hyperlink>
      <w:bookmarkStart w:id="20" w:name="_GoBack"/>
      <w:bookmarkEnd w:id="20"/>
      <w:r w:rsidRPr="007D5330">
        <w:rPr>
          <w:rFonts w:asciiTheme="majorHAnsi" w:hAnsiTheme="majorHAnsi"/>
          <w:sz w:val="16"/>
          <w:szCs w:val="16"/>
          <w:lang w:val="en"/>
        </w:rPr>
        <w:t>, para. 5.</w:t>
      </w:r>
      <w:bookmarkEnd w:id="19"/>
    </w:p>
  </w:footnote>
  <w:footnote w:id="5">
    <w:p w:rsidR="00445CD3" w:rsidRPr="007D5330" w:rsidRDefault="00445CD3" w:rsidP="007D5330">
      <w:pPr>
        <w:spacing w:after="120"/>
        <w:ind w:firstLine="562"/>
        <w:jc w:val="both"/>
        <w:rPr>
          <w:rFonts w:asciiTheme="majorHAnsi" w:hAnsiTheme="majorHAnsi"/>
          <w:sz w:val="16"/>
          <w:szCs w:val="16"/>
        </w:rPr>
      </w:pPr>
      <w:r w:rsidRPr="007D5330">
        <w:rPr>
          <w:rStyle w:val="FootnoteReference"/>
          <w:rFonts w:asciiTheme="majorHAnsi" w:hAnsiTheme="majorHAnsi"/>
          <w:sz w:val="16"/>
          <w:szCs w:val="16"/>
          <w:lang w:val="en"/>
        </w:rPr>
        <w:footnoteRef/>
      </w:r>
      <w:r w:rsidRPr="007D5330">
        <w:rPr>
          <w:rFonts w:asciiTheme="majorHAnsi" w:hAnsiTheme="majorHAnsi"/>
          <w:sz w:val="16"/>
          <w:szCs w:val="16"/>
          <w:lang w:val="en"/>
        </w:rPr>
        <w:t xml:space="preserve"> Bolivarian Republic of Venezuela, Ministry of the People’s Power for Foreign Relations, Note AGEV/2017-000300, comments on the draft country report December 21, 2017, para. 6.</w:t>
      </w:r>
    </w:p>
  </w:footnote>
  <w:footnote w:id="6">
    <w:p w:rsidR="00445CD3" w:rsidRPr="007D5330" w:rsidRDefault="00445CD3" w:rsidP="007D5330">
      <w:pPr>
        <w:spacing w:after="120"/>
        <w:ind w:firstLine="562"/>
        <w:jc w:val="both"/>
        <w:rPr>
          <w:rFonts w:asciiTheme="majorHAnsi" w:hAnsiTheme="majorHAnsi"/>
          <w:sz w:val="16"/>
          <w:szCs w:val="16"/>
        </w:rPr>
      </w:pPr>
      <w:r w:rsidRPr="007D5330">
        <w:rPr>
          <w:rStyle w:val="FootnoteReference"/>
          <w:rFonts w:asciiTheme="majorHAnsi" w:hAnsiTheme="majorHAnsi"/>
          <w:sz w:val="16"/>
          <w:szCs w:val="16"/>
          <w:lang w:val="en"/>
        </w:rPr>
        <w:footnoteRef/>
      </w:r>
      <w:bookmarkStart w:id="21" w:name="_Hlk501719103"/>
      <w:r w:rsidRPr="007D5330">
        <w:rPr>
          <w:rFonts w:asciiTheme="majorHAnsi" w:hAnsiTheme="majorHAnsi"/>
          <w:sz w:val="16"/>
          <w:szCs w:val="16"/>
          <w:lang w:val="en"/>
        </w:rPr>
        <w:t xml:space="preserve"> Bolivarian Republic of Venezuela, Ministry of the People’s Power for Foreign Relations, Note AGEV/2017-000300, comments on the draft country report December 21, 2017, para. 7.</w:t>
      </w:r>
      <w:bookmarkEnd w:id="21"/>
    </w:p>
  </w:footnote>
  <w:footnote w:id="7">
    <w:p w:rsidR="00445CD3" w:rsidRPr="007D5330" w:rsidRDefault="00445CD3" w:rsidP="007D5330">
      <w:pPr>
        <w:pStyle w:val="FootnoteText"/>
        <w:spacing w:after="120"/>
        <w:ind w:firstLine="562"/>
        <w:jc w:val="both"/>
        <w:rPr>
          <w:rFonts w:asciiTheme="majorHAnsi" w:hAnsiTheme="majorHAnsi"/>
          <w:sz w:val="16"/>
          <w:szCs w:val="16"/>
        </w:rPr>
      </w:pPr>
      <w:r w:rsidRPr="007D5330">
        <w:rPr>
          <w:rStyle w:val="FootnoteReference"/>
          <w:rFonts w:asciiTheme="majorHAnsi" w:hAnsiTheme="majorHAnsi"/>
          <w:sz w:val="16"/>
          <w:szCs w:val="16"/>
          <w:lang w:val="en"/>
        </w:rPr>
        <w:footnoteRef/>
      </w:r>
      <w:r w:rsidRPr="007D5330">
        <w:rPr>
          <w:rFonts w:asciiTheme="majorHAnsi" w:hAnsiTheme="majorHAnsi"/>
          <w:sz w:val="16"/>
          <w:szCs w:val="16"/>
          <w:lang w:val="en"/>
        </w:rPr>
        <w:t xml:space="preserve"> Bolivarian Republic of Venezuela, Ministry of the People’s Power for Foreign Relations, Note AGEV/2017-000300, comments on the draft country report December 21, 2017, para. 103.</w:t>
      </w:r>
    </w:p>
  </w:footnote>
  <w:footnote w:id="8">
    <w:p w:rsidR="00445CD3" w:rsidRPr="007D5330" w:rsidRDefault="00445CD3" w:rsidP="007D5330">
      <w:pPr>
        <w:spacing w:after="120"/>
        <w:ind w:firstLine="562"/>
        <w:jc w:val="both"/>
        <w:rPr>
          <w:rFonts w:asciiTheme="majorHAnsi" w:hAnsiTheme="majorHAnsi"/>
          <w:sz w:val="16"/>
          <w:szCs w:val="16"/>
        </w:rPr>
      </w:pPr>
      <w:r w:rsidRPr="007D5330">
        <w:rPr>
          <w:rStyle w:val="FootnoteReference"/>
          <w:rFonts w:asciiTheme="majorHAnsi" w:hAnsiTheme="majorHAnsi"/>
          <w:sz w:val="16"/>
          <w:szCs w:val="16"/>
        </w:rPr>
        <w:footnoteRef/>
      </w:r>
      <w:r w:rsidRPr="007D5330">
        <w:rPr>
          <w:rFonts w:asciiTheme="majorHAnsi" w:hAnsiTheme="majorHAnsi"/>
          <w:sz w:val="16"/>
          <w:szCs w:val="16"/>
        </w:rPr>
        <w:t xml:space="preserve"> IACHR, Press Release No.041/17, </w:t>
      </w:r>
      <w:hyperlink r:id="rId4">
        <w:r w:rsidRPr="007D5330">
          <w:rPr>
            <w:rStyle w:val="Hyperlink"/>
            <w:rFonts w:asciiTheme="majorHAnsi" w:hAnsiTheme="majorHAnsi"/>
            <w:sz w:val="16"/>
            <w:szCs w:val="16"/>
          </w:rPr>
          <w:t>IACHR Condemns Supreme Court Rulings and the Alteration of the Constitutional and Democratic Order in Venezuela</w:t>
        </w:r>
      </w:hyperlink>
      <w:r w:rsidRPr="007D5330">
        <w:rPr>
          <w:rFonts w:asciiTheme="majorHAnsi" w:hAnsiTheme="majorHAnsi"/>
          <w:sz w:val="16"/>
          <w:szCs w:val="16"/>
        </w:rPr>
        <w:t xml:space="preserve">, March 31, 2017 </w:t>
      </w:r>
    </w:p>
  </w:footnote>
  <w:footnote w:id="9">
    <w:p w:rsidR="00445CD3" w:rsidRPr="007D5330" w:rsidRDefault="00445CD3" w:rsidP="007D5330">
      <w:pPr>
        <w:pStyle w:val="FootnoteText"/>
        <w:spacing w:after="120"/>
        <w:ind w:firstLine="562"/>
        <w:jc w:val="both"/>
        <w:rPr>
          <w:rFonts w:asciiTheme="majorHAnsi" w:hAnsiTheme="majorHAnsi"/>
          <w:sz w:val="16"/>
          <w:szCs w:val="16"/>
          <w:lang w:val="es-ES"/>
        </w:rPr>
      </w:pPr>
      <w:r w:rsidRPr="007D5330">
        <w:rPr>
          <w:rStyle w:val="FootnoteReference"/>
          <w:rFonts w:asciiTheme="majorHAnsi" w:hAnsiTheme="majorHAnsi"/>
          <w:sz w:val="16"/>
          <w:szCs w:val="16"/>
        </w:rPr>
        <w:footnoteRef/>
      </w:r>
      <w:r w:rsidRPr="007D5330">
        <w:rPr>
          <w:rFonts w:asciiTheme="majorHAnsi" w:hAnsiTheme="majorHAnsi"/>
          <w:sz w:val="16"/>
          <w:szCs w:val="16"/>
          <w:lang w:val="es-ES"/>
        </w:rPr>
        <w:t xml:space="preserve"> COFAVIC, Ejecuciones extrajudiciales, 40 historias de 6385 vidas ignoradas 2012-2017,</w:t>
      </w:r>
      <w:r w:rsidRPr="007D5330">
        <w:rPr>
          <w:rFonts w:asciiTheme="majorHAnsi" w:hAnsiTheme="majorHAnsi"/>
          <w:i/>
          <w:iCs/>
          <w:sz w:val="16"/>
          <w:szCs w:val="16"/>
          <w:lang w:val="es-ES"/>
        </w:rPr>
        <w:t xml:space="preserve"> </w:t>
      </w:r>
      <w:r w:rsidRPr="007D5330">
        <w:rPr>
          <w:rFonts w:asciiTheme="majorHAnsi" w:hAnsiTheme="majorHAnsi"/>
          <w:sz w:val="16"/>
          <w:szCs w:val="16"/>
          <w:lang w:val="es-ES"/>
        </w:rPr>
        <w:t>2017, págs. 39-40.</w:t>
      </w:r>
    </w:p>
  </w:footnote>
  <w:footnote w:id="10">
    <w:p w:rsidR="00445CD3" w:rsidRPr="007D5330" w:rsidRDefault="00445CD3" w:rsidP="007D5330">
      <w:pPr>
        <w:pStyle w:val="FootnoteText"/>
        <w:spacing w:after="120"/>
        <w:ind w:firstLine="562"/>
        <w:jc w:val="both"/>
        <w:rPr>
          <w:rFonts w:asciiTheme="majorHAnsi" w:hAnsiTheme="majorHAnsi"/>
          <w:sz w:val="16"/>
          <w:szCs w:val="16"/>
          <w:lang w:val="es-ES"/>
        </w:rPr>
      </w:pPr>
      <w:r w:rsidRPr="007D5330">
        <w:rPr>
          <w:rFonts w:asciiTheme="majorHAnsi" w:hAnsiTheme="majorHAnsi"/>
          <w:sz w:val="16"/>
          <w:szCs w:val="16"/>
          <w:vertAlign w:val="superscript"/>
        </w:rPr>
        <w:footnoteRef/>
      </w:r>
      <w:r w:rsidRPr="007D5330">
        <w:rPr>
          <w:rFonts w:asciiTheme="majorHAnsi" w:hAnsiTheme="majorHAnsi"/>
          <w:sz w:val="16"/>
          <w:szCs w:val="16"/>
          <w:lang w:val="es-ES"/>
        </w:rPr>
        <w:t xml:space="preserve"> OVV, </w:t>
      </w:r>
      <w:hyperlink r:id="rId5" w:history="1">
        <w:r w:rsidRPr="007D5330">
          <w:rPr>
            <w:rStyle w:val="Hyperlink"/>
            <w:rFonts w:asciiTheme="majorHAnsi" w:hAnsiTheme="majorHAnsi"/>
            <w:sz w:val="16"/>
            <w:szCs w:val="16"/>
            <w:lang w:val="es-ES"/>
          </w:rPr>
          <w:t>Informe OVV de violencia 2017</w:t>
        </w:r>
      </w:hyperlink>
      <w:r w:rsidRPr="007D5330">
        <w:rPr>
          <w:rFonts w:asciiTheme="majorHAnsi" w:hAnsiTheme="majorHAnsi"/>
          <w:sz w:val="16"/>
          <w:szCs w:val="16"/>
          <w:lang w:val="es-ES"/>
        </w:rPr>
        <w:t>, December 28, 2017.</w:t>
      </w:r>
    </w:p>
  </w:footnote>
  <w:footnote w:id="11">
    <w:p w:rsidR="00445CD3" w:rsidRPr="007D5330" w:rsidRDefault="00445CD3" w:rsidP="007D533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562"/>
        <w:jc w:val="both"/>
        <w:rPr>
          <w:rFonts w:asciiTheme="majorHAnsi" w:eastAsiaTheme="minorHAnsi" w:hAnsiTheme="majorHAnsi" w:cs="Calibri"/>
          <w:color w:val="000000"/>
          <w:sz w:val="16"/>
          <w:szCs w:val="16"/>
          <w:bdr w:val="none" w:sz="0" w:space="0" w:color="auto"/>
          <w:lang w:val="es-ES"/>
        </w:rPr>
      </w:pPr>
      <w:r w:rsidRPr="007D5330">
        <w:rPr>
          <w:rStyle w:val="FootnoteReference"/>
          <w:rFonts w:asciiTheme="majorHAnsi" w:hAnsiTheme="majorHAnsi"/>
          <w:sz w:val="16"/>
          <w:szCs w:val="16"/>
        </w:rPr>
        <w:footnoteRef/>
      </w:r>
      <w:r w:rsidRPr="007D5330">
        <w:rPr>
          <w:rFonts w:asciiTheme="majorHAnsi" w:hAnsiTheme="majorHAnsi"/>
          <w:sz w:val="16"/>
          <w:szCs w:val="16"/>
          <w:lang w:val="es-ES"/>
        </w:rPr>
        <w:t xml:space="preserve"> Ministerio Público, </w:t>
      </w:r>
      <w:hyperlink r:id="rId6" w:history="1">
        <w:r w:rsidRPr="007D5330">
          <w:rPr>
            <w:rStyle w:val="Hyperlink"/>
            <w:rFonts w:asciiTheme="majorHAnsi" w:eastAsiaTheme="minorHAnsi" w:hAnsiTheme="majorHAnsi"/>
            <w:color w:val="0000FF"/>
            <w:sz w:val="16"/>
            <w:szCs w:val="16"/>
            <w:bdr w:val="none" w:sz="0" w:space="0" w:color="auto"/>
            <w:lang w:val="es-ES"/>
          </w:rPr>
          <w:t>Informe de gestión correspondiente a 2016</w:t>
        </w:r>
      </w:hyperlink>
      <w:r w:rsidRPr="007D5330">
        <w:rPr>
          <w:rFonts w:asciiTheme="majorHAnsi" w:hAnsiTheme="majorHAnsi"/>
          <w:color w:val="000000"/>
          <w:sz w:val="16"/>
          <w:szCs w:val="16"/>
          <w:bdr w:val="none" w:sz="0" w:space="0" w:color="auto"/>
          <w:lang w:val="es-ES"/>
        </w:rPr>
        <w:t>,</w:t>
      </w:r>
      <w:r w:rsidRPr="007D5330">
        <w:rPr>
          <w:rFonts w:asciiTheme="majorHAnsi" w:hAnsiTheme="majorHAnsi"/>
          <w:i/>
          <w:iCs/>
          <w:color w:val="000000"/>
          <w:sz w:val="16"/>
          <w:szCs w:val="16"/>
          <w:bdr w:val="none" w:sz="0" w:space="0" w:color="auto"/>
          <w:lang w:val="es-ES"/>
        </w:rPr>
        <w:t xml:space="preserve"> </w:t>
      </w:r>
      <w:r w:rsidRPr="007D5330">
        <w:rPr>
          <w:rFonts w:asciiTheme="majorHAnsi" w:hAnsiTheme="majorHAnsi"/>
          <w:color w:val="000000"/>
          <w:sz w:val="16"/>
          <w:szCs w:val="16"/>
          <w:bdr w:val="none" w:sz="0" w:space="0" w:color="auto"/>
          <w:lang w:val="es-ES"/>
        </w:rPr>
        <w:t>31 de marzo de 2</w:t>
      </w:r>
      <w:r w:rsidRPr="007D5330">
        <w:rPr>
          <w:rFonts w:asciiTheme="majorHAnsi" w:hAnsiTheme="majorHAnsi"/>
          <w:color w:val="000000"/>
          <w:sz w:val="16"/>
          <w:szCs w:val="16"/>
          <w:bdr w:val="none" w:sz="0" w:space="0" w:color="auto"/>
          <w:lang w:val="es-ES"/>
        </w:rPr>
        <w:tab/>
        <w:t>017.</w:t>
      </w:r>
    </w:p>
  </w:footnote>
  <w:footnote w:id="12">
    <w:p w:rsidR="00445CD3" w:rsidRPr="007D5330" w:rsidRDefault="00445CD3" w:rsidP="007D5330">
      <w:pPr>
        <w:spacing w:after="120"/>
        <w:ind w:firstLine="562"/>
        <w:jc w:val="both"/>
        <w:rPr>
          <w:rFonts w:asciiTheme="majorHAnsi" w:hAnsiTheme="majorHAnsi"/>
          <w:sz w:val="16"/>
          <w:szCs w:val="16"/>
          <w:lang w:val="es-ES_tradnl"/>
        </w:rPr>
      </w:pPr>
      <w:r w:rsidRPr="007D5330">
        <w:rPr>
          <w:rStyle w:val="FootnoteReference"/>
          <w:rFonts w:asciiTheme="majorHAnsi" w:hAnsiTheme="majorHAnsi"/>
          <w:sz w:val="16"/>
          <w:szCs w:val="16"/>
        </w:rPr>
        <w:footnoteRef/>
      </w:r>
      <w:r w:rsidRPr="007D5330">
        <w:rPr>
          <w:rFonts w:asciiTheme="majorHAnsi" w:hAnsiTheme="majorHAnsi"/>
          <w:sz w:val="16"/>
          <w:szCs w:val="16"/>
          <w:lang w:val="es-ES_tradnl"/>
        </w:rPr>
        <w:t xml:space="preserve"> Analítica, </w:t>
      </w:r>
      <w:hyperlink r:id="rId7">
        <w:r w:rsidRPr="007D5330">
          <w:rPr>
            <w:rStyle w:val="Hyperlink"/>
            <w:rFonts w:asciiTheme="majorHAnsi" w:hAnsiTheme="majorHAnsi"/>
            <w:sz w:val="16"/>
            <w:szCs w:val="16"/>
            <w:lang w:val="es-ES_tradnl"/>
          </w:rPr>
          <w:t>Escasez de alimentos básicos en el país supera el 80%, según Datanálisis</w:t>
        </w:r>
      </w:hyperlink>
      <w:r w:rsidRPr="007D5330">
        <w:rPr>
          <w:rFonts w:asciiTheme="majorHAnsi" w:hAnsiTheme="majorHAnsi"/>
          <w:sz w:val="16"/>
          <w:szCs w:val="16"/>
          <w:lang w:val="es-ES_tradnl"/>
        </w:rPr>
        <w:t>, May 27,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6B" w:rsidRDefault="001356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2D" w:rsidRDefault="0009502D" w:rsidP="0009502D">
    <w:pPr>
      <w:pStyle w:val="Header"/>
      <w:jc w:val="center"/>
    </w:pPr>
    <w:r>
      <w:rPr>
        <w:noProof/>
        <w:lang w:bidi="ar-SA"/>
      </w:rPr>
      <w:drawing>
        <wp:inline distT="0" distB="0" distL="0" distR="0" wp14:anchorId="0C9D483E" wp14:editId="08E924F4">
          <wp:extent cx="2279015" cy="116205"/>
          <wp:effectExtent l="0" t="0" r="6985" b="0"/>
          <wp:docPr id="1" name="Picture 1"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9015" cy="116205"/>
                  </a:xfrm>
                  <a:prstGeom prst="rect">
                    <a:avLst/>
                  </a:prstGeom>
                  <a:noFill/>
                  <a:ln>
                    <a:noFill/>
                  </a:ln>
                </pic:spPr>
              </pic:pic>
            </a:graphicData>
          </a:graphic>
        </wp:inline>
      </w:drawing>
    </w:r>
  </w:p>
  <w:p w:rsidR="0009502D" w:rsidRDefault="00847E22">
    <w:pPr>
      <w:pStyle w:val="Header"/>
    </w:pPr>
    <w: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2D" w:rsidRDefault="0009502D" w:rsidP="0009502D">
    <w:pPr>
      <w:pStyle w:val="Header"/>
    </w:pPr>
    <w:r>
      <w:rPr>
        <w:noProof/>
        <w:bdr w:val="none" w:sz="0" w:space="0" w:color="auto"/>
        <w:lang w:bidi="ar-SA"/>
      </w:rPr>
      <w:drawing>
        <wp:anchor distT="0" distB="0" distL="114300" distR="114300" simplePos="0" relativeHeight="251660288" behindDoc="1" locked="0" layoutInCell="1" allowOverlap="1" wp14:anchorId="733B617B" wp14:editId="48179868">
          <wp:simplePos x="0" y="0"/>
          <wp:positionH relativeFrom="column">
            <wp:posOffset>-123825</wp:posOffset>
          </wp:positionH>
          <wp:positionV relativeFrom="paragraph">
            <wp:posOffset>-19050</wp:posOffset>
          </wp:positionV>
          <wp:extent cx="1800225" cy="397510"/>
          <wp:effectExtent l="0" t="0" r="9525" b="2540"/>
          <wp:wrapThrough wrapText="bothSides">
            <wp:wrapPolygon edited="0">
              <wp:start x="0" y="0"/>
              <wp:lineTo x="0" y="20703"/>
              <wp:lineTo x="21486" y="20703"/>
              <wp:lineTo x="21486" y="0"/>
              <wp:lineTo x="0" y="0"/>
            </wp:wrapPolygon>
          </wp:wrapThrough>
          <wp:docPr id="3" name="Picture 3" descr="IA2017-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2017-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bdr w:val="none" w:sz="0" w:space="0" w:color="auto"/>
        <w:lang w:bidi="ar-SA"/>
      </w:rPr>
      <w:drawing>
        <wp:anchor distT="0" distB="0" distL="114300" distR="114300" simplePos="0" relativeHeight="251659264" behindDoc="1" locked="0" layoutInCell="1" allowOverlap="1" wp14:anchorId="4C3E96D6" wp14:editId="182D6D68">
          <wp:simplePos x="0" y="0"/>
          <wp:positionH relativeFrom="column">
            <wp:posOffset>4093845</wp:posOffset>
          </wp:positionH>
          <wp:positionV relativeFrom="paragraph">
            <wp:posOffset>-50800</wp:posOffset>
          </wp:positionV>
          <wp:extent cx="1860550" cy="410845"/>
          <wp:effectExtent l="0" t="0" r="6350" b="8255"/>
          <wp:wrapThrough wrapText="bothSides">
            <wp:wrapPolygon edited="0">
              <wp:start x="0" y="0"/>
              <wp:lineTo x="0" y="21032"/>
              <wp:lineTo x="21453" y="21032"/>
              <wp:lineTo x="21453" y="0"/>
              <wp:lineTo x="0" y="0"/>
            </wp:wrapPolygon>
          </wp:wrapThrough>
          <wp:docPr id="2" name="Picture 2"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09502D" w:rsidRDefault="0009502D" w:rsidP="0009502D">
    <w:pPr>
      <w:pStyle w:val="Header"/>
    </w:pPr>
  </w:p>
  <w:p w:rsidR="0009502D" w:rsidRDefault="00847E22" w:rsidP="0009502D">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CCB"/>
    <w:multiLevelType w:val="hybridMultilevel"/>
    <w:tmpl w:val="F934FBD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38E1F6B"/>
    <w:multiLevelType w:val="hybridMultilevel"/>
    <w:tmpl w:val="9D9AC864"/>
    <w:lvl w:ilvl="0" w:tplc="280A0011">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5CC1679"/>
    <w:multiLevelType w:val="hybridMultilevel"/>
    <w:tmpl w:val="B922D02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72F3E09"/>
    <w:multiLevelType w:val="hybridMultilevel"/>
    <w:tmpl w:val="45DC646E"/>
    <w:lvl w:ilvl="0" w:tplc="CB1811A4">
      <w:start w:val="1"/>
      <w:numFmt w:val="upperLetter"/>
      <w:lvlText w:val="%1."/>
      <w:lvlJc w:val="left"/>
      <w:pPr>
        <w:ind w:left="720" w:hanging="360"/>
      </w:pPr>
      <w:rPr>
        <w:rFonts w:ascii="Cambria" w:hAnsi="Cambria" w:hint="default"/>
        <w:b/>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81B1B90"/>
    <w:multiLevelType w:val="hybridMultilevel"/>
    <w:tmpl w:val="E236DBAC"/>
    <w:lvl w:ilvl="0" w:tplc="1032C6E6">
      <w:start w:val="1"/>
      <w:numFmt w:val="decimal"/>
      <w:lvlText w:val="%1."/>
      <w:lvlJc w:val="left"/>
      <w:pPr>
        <w:ind w:left="1080" w:hanging="360"/>
      </w:pPr>
      <w:rPr>
        <w:rFonts w:ascii="Cambria" w:hAnsi="Cambria" w:hint="default"/>
        <w:b/>
        <w:i w:val="0"/>
        <w:sz w:val="20"/>
        <w:lang w:val="es-E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96C1328"/>
    <w:multiLevelType w:val="multilevel"/>
    <w:tmpl w:val="1996F3C6"/>
    <w:styleLink w:val="Lista51"/>
    <w:lvl w:ilvl="0">
      <w:start w:val="1"/>
      <w:numFmt w:val="decimal"/>
      <w:lvlText w:val="%1."/>
      <w:lvlJc w:val="left"/>
      <w:rPr>
        <w:rFonts w:ascii="Cambria" w:eastAsia="Cambria" w:hAnsi="Cambria" w:cs="Cambria"/>
        <w:position w:val="0"/>
        <w:lang w:val="es-ES_tradnl"/>
      </w:rPr>
    </w:lvl>
    <w:lvl w:ilvl="1">
      <w:start w:val="1"/>
      <w:numFmt w:val="upperLetter"/>
      <w:lvlText w:val="%2."/>
      <w:lvlJc w:val="left"/>
      <w:rPr>
        <w:rFonts w:ascii="Times New Roman" w:eastAsia="Times New Roman" w:hAnsi="Times New Roman" w:cs="Times New Roman"/>
        <w:position w:val="0"/>
        <w:lang w:val="es-ES_tradnl"/>
      </w:rPr>
    </w:lvl>
    <w:lvl w:ilvl="2">
      <w:start w:val="1"/>
      <w:numFmt w:val="lowerRoman"/>
      <w:lvlText w:val="%3."/>
      <w:lvlJc w:val="left"/>
      <w:rPr>
        <w:rFonts w:ascii="Cambria" w:eastAsia="Cambria" w:hAnsi="Cambria" w:cs="Cambria"/>
        <w:position w:val="0"/>
        <w:lang w:val="es-ES_tradnl"/>
      </w:rPr>
    </w:lvl>
    <w:lvl w:ilvl="3">
      <w:start w:val="1"/>
      <w:numFmt w:val="decimal"/>
      <w:lvlText w:val="%4."/>
      <w:lvlJc w:val="left"/>
      <w:rPr>
        <w:rFonts w:ascii="Cambria" w:eastAsia="Cambria" w:hAnsi="Cambria" w:cs="Cambria"/>
        <w:position w:val="0"/>
        <w:lang w:val="es-ES_tradnl"/>
      </w:rPr>
    </w:lvl>
    <w:lvl w:ilvl="4">
      <w:start w:val="1"/>
      <w:numFmt w:val="lowerLetter"/>
      <w:lvlText w:val="%5."/>
      <w:lvlJc w:val="left"/>
      <w:rPr>
        <w:rFonts w:ascii="Cambria" w:eastAsia="Cambria" w:hAnsi="Cambria" w:cs="Cambria"/>
        <w:position w:val="0"/>
        <w:lang w:val="es-ES_tradnl"/>
      </w:rPr>
    </w:lvl>
    <w:lvl w:ilvl="5">
      <w:start w:val="1"/>
      <w:numFmt w:val="lowerRoman"/>
      <w:lvlText w:val="%6."/>
      <w:lvlJc w:val="left"/>
      <w:rPr>
        <w:rFonts w:ascii="Cambria" w:eastAsia="Cambria" w:hAnsi="Cambria" w:cs="Cambria"/>
        <w:position w:val="0"/>
        <w:lang w:val="es-ES_tradnl"/>
      </w:rPr>
    </w:lvl>
    <w:lvl w:ilvl="6">
      <w:start w:val="1"/>
      <w:numFmt w:val="decimal"/>
      <w:lvlText w:val="%7."/>
      <w:lvlJc w:val="left"/>
      <w:rPr>
        <w:rFonts w:ascii="Cambria" w:eastAsia="Cambria" w:hAnsi="Cambria" w:cs="Cambria"/>
        <w:position w:val="0"/>
        <w:lang w:val="es-ES_tradnl"/>
      </w:rPr>
    </w:lvl>
    <w:lvl w:ilvl="7">
      <w:start w:val="1"/>
      <w:numFmt w:val="lowerLetter"/>
      <w:lvlText w:val="%8."/>
      <w:lvlJc w:val="left"/>
      <w:rPr>
        <w:rFonts w:ascii="Cambria" w:eastAsia="Cambria" w:hAnsi="Cambria" w:cs="Cambria"/>
        <w:position w:val="0"/>
        <w:lang w:val="es-ES_tradnl"/>
      </w:rPr>
    </w:lvl>
    <w:lvl w:ilvl="8">
      <w:start w:val="1"/>
      <w:numFmt w:val="lowerRoman"/>
      <w:lvlText w:val="%9."/>
      <w:lvlJc w:val="left"/>
      <w:rPr>
        <w:rFonts w:ascii="Cambria" w:eastAsia="Cambria" w:hAnsi="Cambria" w:cs="Cambria"/>
        <w:position w:val="0"/>
        <w:lang w:val="es-ES_tradnl"/>
      </w:rPr>
    </w:lvl>
  </w:abstractNum>
  <w:abstractNum w:abstractNumId="6">
    <w:nsid w:val="0A830288"/>
    <w:multiLevelType w:val="hybridMultilevel"/>
    <w:tmpl w:val="B4CA2D52"/>
    <w:lvl w:ilvl="0" w:tplc="00FC02D2">
      <w:start w:val="13"/>
      <w:numFmt w:val="decimal"/>
      <w:lvlText w:val="%1."/>
      <w:lvlJc w:val="left"/>
      <w:pPr>
        <w:ind w:left="720" w:hanging="360"/>
      </w:pPr>
      <w:rPr>
        <w:rFonts w:ascii="Cambria" w:hAnsi="Cambria" w:hint="default"/>
        <w:b w:val="0"/>
        <w:i w:val="0"/>
        <w:sz w:val="20"/>
        <w:szCs w:val="20"/>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C6D52EF"/>
    <w:multiLevelType w:val="hybridMultilevel"/>
    <w:tmpl w:val="3AA67A9A"/>
    <w:lvl w:ilvl="0" w:tplc="F6803FBE">
      <w:start w:val="1"/>
      <w:numFmt w:val="decimal"/>
      <w:lvlText w:val="%1."/>
      <w:lvlJc w:val="left"/>
      <w:pPr>
        <w:ind w:left="1778" w:hanging="360"/>
      </w:pPr>
      <w:rPr>
        <w:rFonts w:hint="default"/>
        <w:b w:val="0"/>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D10512C"/>
    <w:multiLevelType w:val="hybridMultilevel"/>
    <w:tmpl w:val="80A83B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D5B11DA"/>
    <w:multiLevelType w:val="multilevel"/>
    <w:tmpl w:val="FBA6C994"/>
    <w:styleLink w:val="List0"/>
    <w:lvl w:ilvl="0">
      <w:start w:val="1"/>
      <w:numFmt w:val="upperLetter"/>
      <w:lvlText w:val="%1."/>
      <w:lvlJc w:val="left"/>
      <w:rPr>
        <w:rFonts w:ascii="Times New Roman" w:eastAsia="Times New Roman" w:hAnsi="Times New Roman" w:cs="Times New Roman"/>
        <w:position w:val="0"/>
        <w:lang w:val="es-ES_tradnl"/>
      </w:rPr>
    </w:lvl>
    <w:lvl w:ilvl="1">
      <w:start w:val="1"/>
      <w:numFmt w:val="decimal"/>
      <w:lvlText w:val="%2."/>
      <w:lvlJc w:val="left"/>
      <w:rPr>
        <w:rFonts w:ascii="Cambria" w:eastAsia="Cambria" w:hAnsi="Cambria" w:cs="Cambria"/>
        <w:position w:val="0"/>
        <w:lang w:val="es-ES_tradnl"/>
      </w:rPr>
    </w:lvl>
    <w:lvl w:ilvl="2">
      <w:start w:val="1"/>
      <w:numFmt w:val="lowerLetter"/>
      <w:lvlText w:val="%3."/>
      <w:lvlJc w:val="left"/>
      <w:rPr>
        <w:rFonts w:ascii="Cambria" w:eastAsia="Cambria" w:hAnsi="Cambria" w:cs="Cambria"/>
        <w:position w:val="0"/>
        <w:lang w:val="es-ES_tradnl"/>
      </w:rPr>
    </w:lvl>
    <w:lvl w:ilvl="3">
      <w:start w:val="1"/>
      <w:numFmt w:val="decimal"/>
      <w:lvlText w:val="%4."/>
      <w:lvlJc w:val="left"/>
      <w:rPr>
        <w:rFonts w:ascii="Cambria" w:eastAsia="Cambria" w:hAnsi="Cambria" w:cs="Cambria"/>
        <w:position w:val="0"/>
        <w:lang w:val="es-ES_tradnl"/>
      </w:rPr>
    </w:lvl>
    <w:lvl w:ilvl="4">
      <w:start w:val="1"/>
      <w:numFmt w:val="lowerLetter"/>
      <w:lvlText w:val="%5."/>
      <w:lvlJc w:val="left"/>
      <w:rPr>
        <w:rFonts w:ascii="Cambria" w:eastAsia="Cambria" w:hAnsi="Cambria" w:cs="Cambria"/>
        <w:position w:val="0"/>
        <w:lang w:val="es-ES_tradnl"/>
      </w:rPr>
    </w:lvl>
    <w:lvl w:ilvl="5">
      <w:start w:val="1"/>
      <w:numFmt w:val="lowerRoman"/>
      <w:lvlText w:val="%6."/>
      <w:lvlJc w:val="left"/>
      <w:rPr>
        <w:rFonts w:ascii="Cambria" w:eastAsia="Cambria" w:hAnsi="Cambria" w:cs="Cambria"/>
        <w:position w:val="0"/>
        <w:lang w:val="es-ES_tradnl"/>
      </w:rPr>
    </w:lvl>
    <w:lvl w:ilvl="6">
      <w:start w:val="1"/>
      <w:numFmt w:val="decimal"/>
      <w:lvlText w:val="%7."/>
      <w:lvlJc w:val="left"/>
      <w:rPr>
        <w:rFonts w:ascii="Cambria" w:eastAsia="Cambria" w:hAnsi="Cambria" w:cs="Cambria"/>
        <w:position w:val="0"/>
        <w:lang w:val="es-ES_tradnl"/>
      </w:rPr>
    </w:lvl>
    <w:lvl w:ilvl="7">
      <w:start w:val="1"/>
      <w:numFmt w:val="lowerLetter"/>
      <w:lvlText w:val="%8."/>
      <w:lvlJc w:val="left"/>
      <w:rPr>
        <w:rFonts w:ascii="Cambria" w:eastAsia="Cambria" w:hAnsi="Cambria" w:cs="Cambria"/>
        <w:position w:val="0"/>
        <w:lang w:val="es-ES_tradnl"/>
      </w:rPr>
    </w:lvl>
    <w:lvl w:ilvl="8">
      <w:start w:val="1"/>
      <w:numFmt w:val="lowerRoman"/>
      <w:lvlText w:val="%9."/>
      <w:lvlJc w:val="left"/>
      <w:rPr>
        <w:rFonts w:ascii="Cambria" w:eastAsia="Cambria" w:hAnsi="Cambria" w:cs="Cambria"/>
        <w:position w:val="0"/>
        <w:lang w:val="es-ES_tradnl"/>
      </w:rPr>
    </w:lvl>
  </w:abstractNum>
  <w:abstractNum w:abstractNumId="10">
    <w:nsid w:val="0E005743"/>
    <w:multiLevelType w:val="hybridMultilevel"/>
    <w:tmpl w:val="FAB6CF6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0ED704D7"/>
    <w:multiLevelType w:val="hybridMultilevel"/>
    <w:tmpl w:val="44668E7C"/>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0FFB363A"/>
    <w:multiLevelType w:val="hybridMultilevel"/>
    <w:tmpl w:val="3AA67A9A"/>
    <w:lvl w:ilvl="0" w:tplc="F6803FBE">
      <w:start w:val="1"/>
      <w:numFmt w:val="decimal"/>
      <w:lvlText w:val="%1."/>
      <w:lvlJc w:val="left"/>
      <w:pPr>
        <w:ind w:left="1778"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2767BE4"/>
    <w:multiLevelType w:val="hybridMultilevel"/>
    <w:tmpl w:val="0ABE7D5C"/>
    <w:lvl w:ilvl="0" w:tplc="B09CFC32">
      <w:start w:val="5"/>
      <w:numFmt w:val="decimal"/>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6F31CBF"/>
    <w:multiLevelType w:val="hybridMultilevel"/>
    <w:tmpl w:val="0A4C531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18BE6A73"/>
    <w:multiLevelType w:val="hybridMultilevel"/>
    <w:tmpl w:val="270C5E0C"/>
    <w:lvl w:ilvl="0" w:tplc="C644D3A4">
      <w:start w:val="1"/>
      <w:numFmt w:val="decimal"/>
      <w:lvlText w:val="%1."/>
      <w:lvlJc w:val="left"/>
      <w:pPr>
        <w:tabs>
          <w:tab w:val="num" w:pos="852"/>
        </w:tabs>
        <w:ind w:left="132" w:firstLine="720"/>
      </w:pPr>
      <w:rPr>
        <w:rFonts w:ascii="Cambria" w:eastAsia="Calibri" w:hAnsi="Cambria" w:cs="Arial" w:hint="default"/>
        <w:b w:val="0"/>
        <w:i w:val="0"/>
        <w:color w:val="808080"/>
        <w:sz w:val="20"/>
        <w:szCs w:val="20"/>
      </w:rPr>
    </w:lvl>
    <w:lvl w:ilvl="1" w:tplc="D7E297E4">
      <w:start w:val="1"/>
      <w:numFmt w:val="bullet"/>
      <w:lvlText w:val="­"/>
      <w:lvlJc w:val="left"/>
      <w:pPr>
        <w:tabs>
          <w:tab w:val="num" w:pos="1080"/>
        </w:tabs>
        <w:ind w:left="1440" w:hanging="360"/>
      </w:pPr>
      <w:rPr>
        <w:rFonts w:ascii="Courier New" w:hAnsi="Courier New" w:hint="default"/>
        <w:sz w:val="22"/>
      </w:rPr>
    </w:lvl>
    <w:lvl w:ilvl="2" w:tplc="0C8CD0DE">
      <w:start w:val="1"/>
      <w:numFmt w:val="lowerLetter"/>
      <w:lvlText w:val="%3."/>
      <w:lvlJc w:val="left"/>
      <w:pPr>
        <w:tabs>
          <w:tab w:val="num" w:pos="3420"/>
        </w:tabs>
        <w:ind w:left="3420" w:hanging="1440"/>
      </w:pPr>
      <w:rPr>
        <w:rFonts w:hint="default"/>
      </w:rPr>
    </w:lvl>
    <w:lvl w:ilvl="3" w:tplc="3E14DA86">
      <w:start w:val="1"/>
      <w:numFmt w:val="bullet"/>
      <w:lvlText w:val="-"/>
      <w:lvlJc w:val="left"/>
      <w:pPr>
        <w:tabs>
          <w:tab w:val="num" w:pos="3960"/>
        </w:tabs>
        <w:ind w:left="3960" w:hanging="1440"/>
      </w:pPr>
      <w:rPr>
        <w:rFonts w:ascii="Calibri" w:eastAsia="Times New Roman" w:hAnsi="Calibri"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C7E413F"/>
    <w:multiLevelType w:val="multilevel"/>
    <w:tmpl w:val="A0B8426E"/>
    <w:styleLink w:val="List1"/>
    <w:lvl w:ilvl="0">
      <w:start w:val="1"/>
      <w:numFmt w:val="decimal"/>
      <w:lvlText w:val="%1."/>
      <w:lvlJc w:val="left"/>
      <w:rPr>
        <w:rFonts w:ascii="Times New Roman" w:eastAsia="Times New Roman" w:hAnsi="Times New Roman" w:cs="Times New Roman"/>
        <w:position w:val="0"/>
        <w:lang w:val="es-ES_tradnl"/>
      </w:rPr>
    </w:lvl>
    <w:lvl w:ilvl="1">
      <w:start w:val="1"/>
      <w:numFmt w:val="upperLetter"/>
      <w:lvlText w:val="%2."/>
      <w:lvlJc w:val="left"/>
      <w:rPr>
        <w:rFonts w:ascii="Cambria" w:eastAsia="Cambria" w:hAnsi="Cambria" w:cs="Cambria"/>
        <w:position w:val="0"/>
        <w:lang w:val="es-ES_tradnl"/>
      </w:rPr>
    </w:lvl>
    <w:lvl w:ilvl="2">
      <w:start w:val="1"/>
      <w:numFmt w:val="lowerRoman"/>
      <w:lvlText w:val="%3."/>
      <w:lvlJc w:val="left"/>
      <w:rPr>
        <w:rFonts w:ascii="Cambria" w:eastAsia="Cambria" w:hAnsi="Cambria" w:cs="Cambria"/>
        <w:position w:val="0"/>
        <w:lang w:val="es-ES_tradnl"/>
      </w:rPr>
    </w:lvl>
    <w:lvl w:ilvl="3">
      <w:start w:val="1"/>
      <w:numFmt w:val="decimal"/>
      <w:lvlText w:val="%4."/>
      <w:lvlJc w:val="left"/>
      <w:rPr>
        <w:rFonts w:ascii="Cambria" w:eastAsia="Cambria" w:hAnsi="Cambria" w:cs="Cambria"/>
        <w:position w:val="0"/>
        <w:lang w:val="es-ES_tradnl"/>
      </w:rPr>
    </w:lvl>
    <w:lvl w:ilvl="4">
      <w:start w:val="1"/>
      <w:numFmt w:val="lowerLetter"/>
      <w:lvlText w:val="%5."/>
      <w:lvlJc w:val="left"/>
      <w:rPr>
        <w:rFonts w:ascii="Cambria" w:eastAsia="Cambria" w:hAnsi="Cambria" w:cs="Cambria"/>
        <w:position w:val="0"/>
        <w:lang w:val="es-ES_tradnl"/>
      </w:rPr>
    </w:lvl>
    <w:lvl w:ilvl="5">
      <w:start w:val="1"/>
      <w:numFmt w:val="lowerRoman"/>
      <w:lvlText w:val="%6."/>
      <w:lvlJc w:val="left"/>
      <w:rPr>
        <w:rFonts w:ascii="Cambria" w:eastAsia="Cambria" w:hAnsi="Cambria" w:cs="Cambria"/>
        <w:position w:val="0"/>
        <w:lang w:val="es-ES_tradnl"/>
      </w:rPr>
    </w:lvl>
    <w:lvl w:ilvl="6">
      <w:start w:val="1"/>
      <w:numFmt w:val="decimal"/>
      <w:lvlText w:val="%7."/>
      <w:lvlJc w:val="left"/>
      <w:rPr>
        <w:rFonts w:ascii="Cambria" w:eastAsia="Cambria" w:hAnsi="Cambria" w:cs="Cambria"/>
        <w:position w:val="0"/>
        <w:lang w:val="es-ES_tradnl"/>
      </w:rPr>
    </w:lvl>
    <w:lvl w:ilvl="7">
      <w:start w:val="1"/>
      <w:numFmt w:val="lowerLetter"/>
      <w:lvlText w:val="%8."/>
      <w:lvlJc w:val="left"/>
      <w:rPr>
        <w:rFonts w:ascii="Cambria" w:eastAsia="Cambria" w:hAnsi="Cambria" w:cs="Cambria"/>
        <w:position w:val="0"/>
        <w:lang w:val="es-ES_tradnl"/>
      </w:rPr>
    </w:lvl>
    <w:lvl w:ilvl="8">
      <w:start w:val="1"/>
      <w:numFmt w:val="lowerRoman"/>
      <w:lvlText w:val="%9."/>
      <w:lvlJc w:val="left"/>
      <w:rPr>
        <w:rFonts w:ascii="Cambria" w:eastAsia="Cambria" w:hAnsi="Cambria" w:cs="Cambria"/>
        <w:position w:val="0"/>
        <w:lang w:val="es-ES_tradnl"/>
      </w:rPr>
    </w:lvl>
  </w:abstractNum>
  <w:abstractNum w:abstractNumId="17">
    <w:nsid w:val="21480DA4"/>
    <w:multiLevelType w:val="hybridMultilevel"/>
    <w:tmpl w:val="C52CCB40"/>
    <w:lvl w:ilvl="0" w:tplc="32DA57F4">
      <w:start w:val="1"/>
      <w:numFmt w:val="decimal"/>
      <w:lvlText w:val="%1)"/>
      <w:lvlJc w:val="left"/>
      <w:pPr>
        <w:ind w:left="720" w:hanging="360"/>
      </w:pPr>
      <w:rPr>
        <w:rFonts w:asciiTheme="minorHAnsi" w:eastAsiaTheme="minorEastAsia" w:hAnsiTheme="minorHAnsi" w:cstheme="minorBidi"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4377BAE"/>
    <w:multiLevelType w:val="multilevel"/>
    <w:tmpl w:val="44640F04"/>
    <w:styleLink w:val="Lista21"/>
    <w:lvl w:ilvl="0">
      <w:start w:val="1"/>
      <w:numFmt w:val="upperLetter"/>
      <w:lvlText w:val="%1."/>
      <w:lvlJc w:val="left"/>
      <w:rPr>
        <w:rFonts w:ascii="Cambria" w:eastAsia="Cambria" w:hAnsi="Cambria" w:cs="Cambria"/>
        <w:position w:val="0"/>
        <w:lang w:val="es-ES_tradnl"/>
      </w:rPr>
    </w:lvl>
    <w:lvl w:ilvl="1">
      <w:start w:val="1"/>
      <w:numFmt w:val="decimal"/>
      <w:lvlText w:val="%2."/>
      <w:lvlJc w:val="left"/>
      <w:rPr>
        <w:rFonts w:ascii="Times New Roman" w:eastAsia="Times New Roman" w:hAnsi="Times New Roman" w:cs="Times New Roman"/>
        <w:position w:val="0"/>
        <w:lang w:val="es-ES_tradnl"/>
      </w:rPr>
    </w:lvl>
    <w:lvl w:ilvl="2">
      <w:start w:val="1"/>
      <w:numFmt w:val="lowerLetter"/>
      <w:lvlText w:val="%3."/>
      <w:lvlJc w:val="left"/>
      <w:rPr>
        <w:rFonts w:ascii="Cambria" w:eastAsia="Cambria" w:hAnsi="Cambria" w:cs="Cambria"/>
        <w:position w:val="0"/>
        <w:lang w:val="es-ES_tradnl"/>
      </w:rPr>
    </w:lvl>
    <w:lvl w:ilvl="3">
      <w:start w:val="1"/>
      <w:numFmt w:val="decimal"/>
      <w:lvlText w:val="%4."/>
      <w:lvlJc w:val="left"/>
      <w:rPr>
        <w:rFonts w:ascii="Cambria" w:eastAsia="Cambria" w:hAnsi="Cambria" w:cs="Cambria"/>
        <w:position w:val="0"/>
        <w:lang w:val="es-ES_tradnl"/>
      </w:rPr>
    </w:lvl>
    <w:lvl w:ilvl="4">
      <w:start w:val="1"/>
      <w:numFmt w:val="lowerLetter"/>
      <w:lvlText w:val="%5."/>
      <w:lvlJc w:val="left"/>
      <w:rPr>
        <w:rFonts w:ascii="Cambria" w:eastAsia="Cambria" w:hAnsi="Cambria" w:cs="Cambria"/>
        <w:position w:val="0"/>
        <w:lang w:val="es-ES_tradnl"/>
      </w:rPr>
    </w:lvl>
    <w:lvl w:ilvl="5">
      <w:start w:val="1"/>
      <w:numFmt w:val="lowerRoman"/>
      <w:lvlText w:val="%6."/>
      <w:lvlJc w:val="left"/>
      <w:rPr>
        <w:rFonts w:ascii="Cambria" w:eastAsia="Cambria" w:hAnsi="Cambria" w:cs="Cambria"/>
        <w:position w:val="0"/>
        <w:lang w:val="es-ES_tradnl"/>
      </w:rPr>
    </w:lvl>
    <w:lvl w:ilvl="6">
      <w:start w:val="1"/>
      <w:numFmt w:val="decimal"/>
      <w:lvlText w:val="%7."/>
      <w:lvlJc w:val="left"/>
      <w:rPr>
        <w:rFonts w:ascii="Cambria" w:eastAsia="Cambria" w:hAnsi="Cambria" w:cs="Cambria"/>
        <w:position w:val="0"/>
        <w:lang w:val="es-ES_tradnl"/>
      </w:rPr>
    </w:lvl>
    <w:lvl w:ilvl="7">
      <w:start w:val="1"/>
      <w:numFmt w:val="lowerLetter"/>
      <w:lvlText w:val="%8."/>
      <w:lvlJc w:val="left"/>
      <w:rPr>
        <w:rFonts w:ascii="Cambria" w:eastAsia="Cambria" w:hAnsi="Cambria" w:cs="Cambria"/>
        <w:position w:val="0"/>
        <w:lang w:val="es-ES_tradnl"/>
      </w:rPr>
    </w:lvl>
    <w:lvl w:ilvl="8">
      <w:start w:val="1"/>
      <w:numFmt w:val="lowerRoman"/>
      <w:lvlText w:val="%9."/>
      <w:lvlJc w:val="left"/>
      <w:rPr>
        <w:rFonts w:ascii="Cambria" w:eastAsia="Cambria" w:hAnsi="Cambria" w:cs="Cambria"/>
        <w:position w:val="0"/>
        <w:lang w:val="es-ES_tradnl"/>
      </w:rPr>
    </w:lvl>
  </w:abstractNum>
  <w:abstractNum w:abstractNumId="19">
    <w:nsid w:val="2CC9553D"/>
    <w:multiLevelType w:val="hybridMultilevel"/>
    <w:tmpl w:val="6C381B5C"/>
    <w:lvl w:ilvl="0" w:tplc="5FEC3C0E">
      <w:start w:val="1"/>
      <w:numFmt w:val="decimal"/>
      <w:lvlText w:val="%1."/>
      <w:lvlJc w:val="left"/>
      <w:pPr>
        <w:ind w:left="720" w:hanging="360"/>
      </w:pPr>
      <w:rPr>
        <w:rFonts w:ascii="Cambria" w:hAnsi="Cambria" w:cs="Calibri" w:hint="default"/>
        <w:b/>
        <w:i w:val="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2D363572"/>
    <w:multiLevelType w:val="hybridMultilevel"/>
    <w:tmpl w:val="0B6465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30F27992"/>
    <w:multiLevelType w:val="multilevel"/>
    <w:tmpl w:val="7622811E"/>
    <w:styleLink w:val="List7"/>
    <w:lvl w:ilvl="0">
      <w:start w:val="1"/>
      <w:numFmt w:val="decimal"/>
      <w:lvlText w:val="%1."/>
      <w:lvlJc w:val="left"/>
      <w:rPr>
        <w:rFonts w:ascii="Cambria" w:eastAsia="Cambria" w:hAnsi="Cambria" w:cs="Cambria"/>
        <w:position w:val="0"/>
      </w:rPr>
    </w:lvl>
    <w:lvl w:ilvl="1">
      <w:start w:val="1"/>
      <w:numFmt w:val="upperLetter"/>
      <w:lvlText w:val="%2."/>
      <w:lvlJc w:val="left"/>
      <w:rPr>
        <w:rFonts w:ascii="Times New Roman" w:eastAsia="Times New Roman" w:hAnsi="Times New Roman" w:cs="Times New Roman"/>
        <w:position w:val="0"/>
      </w:rPr>
    </w:lvl>
    <w:lvl w:ilvl="2">
      <w:start w:val="1"/>
      <w:numFmt w:val="lowerRoman"/>
      <w:lvlText w:val="%3."/>
      <w:lvlJc w:val="left"/>
      <w:rPr>
        <w:rFonts w:ascii="Cambria" w:eastAsia="Cambria" w:hAnsi="Cambria" w:cs="Cambria"/>
        <w:position w:val="0"/>
      </w:rPr>
    </w:lvl>
    <w:lvl w:ilvl="3">
      <w:start w:val="1"/>
      <w:numFmt w:val="decimal"/>
      <w:lvlText w:val="%4."/>
      <w:lvlJc w:val="left"/>
      <w:rPr>
        <w:rFonts w:ascii="Cambria" w:eastAsia="Cambria" w:hAnsi="Cambria" w:cs="Cambria"/>
        <w:position w:val="0"/>
      </w:rPr>
    </w:lvl>
    <w:lvl w:ilvl="4">
      <w:start w:val="1"/>
      <w:numFmt w:val="lowerLetter"/>
      <w:lvlText w:val="%5."/>
      <w:lvlJc w:val="left"/>
      <w:rPr>
        <w:rFonts w:ascii="Cambria" w:eastAsia="Cambria" w:hAnsi="Cambria" w:cs="Cambria"/>
        <w:position w:val="0"/>
      </w:rPr>
    </w:lvl>
    <w:lvl w:ilvl="5">
      <w:start w:val="1"/>
      <w:numFmt w:val="lowerRoman"/>
      <w:lvlText w:val="%6."/>
      <w:lvlJc w:val="left"/>
      <w:rPr>
        <w:rFonts w:ascii="Cambria" w:eastAsia="Cambria" w:hAnsi="Cambria" w:cs="Cambria"/>
        <w:position w:val="0"/>
      </w:rPr>
    </w:lvl>
    <w:lvl w:ilvl="6">
      <w:start w:val="1"/>
      <w:numFmt w:val="decimal"/>
      <w:lvlText w:val="%7."/>
      <w:lvlJc w:val="left"/>
      <w:rPr>
        <w:rFonts w:ascii="Cambria" w:eastAsia="Cambria" w:hAnsi="Cambria" w:cs="Cambria"/>
        <w:position w:val="0"/>
      </w:rPr>
    </w:lvl>
    <w:lvl w:ilvl="7">
      <w:start w:val="1"/>
      <w:numFmt w:val="lowerLetter"/>
      <w:lvlText w:val="%8."/>
      <w:lvlJc w:val="left"/>
      <w:rPr>
        <w:rFonts w:ascii="Cambria" w:eastAsia="Cambria" w:hAnsi="Cambria" w:cs="Cambria"/>
        <w:position w:val="0"/>
      </w:rPr>
    </w:lvl>
    <w:lvl w:ilvl="8">
      <w:start w:val="1"/>
      <w:numFmt w:val="lowerRoman"/>
      <w:lvlText w:val="%9."/>
      <w:lvlJc w:val="left"/>
      <w:rPr>
        <w:rFonts w:ascii="Cambria" w:eastAsia="Cambria" w:hAnsi="Cambria" w:cs="Cambria"/>
        <w:position w:val="0"/>
      </w:rPr>
    </w:lvl>
  </w:abstractNum>
  <w:abstractNum w:abstractNumId="22">
    <w:nsid w:val="318505C1"/>
    <w:multiLevelType w:val="hybridMultilevel"/>
    <w:tmpl w:val="A2008D00"/>
    <w:lvl w:ilvl="0" w:tplc="2E109760">
      <w:start w:val="1"/>
      <w:numFmt w:val="decimal"/>
      <w:lvlText w:val="%1."/>
      <w:lvlJc w:val="left"/>
      <w:pPr>
        <w:ind w:left="720" w:hanging="360"/>
      </w:pPr>
      <w:rPr>
        <w:rFonts w:ascii="Cambria" w:hAnsi="Cambria" w:cs="Calibri" w:hint="default"/>
        <w:b/>
        <w:i w:val="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32AB773F"/>
    <w:multiLevelType w:val="hybridMultilevel"/>
    <w:tmpl w:val="4ADC39D6"/>
    <w:lvl w:ilvl="0" w:tplc="CD8CF706">
      <w:numFmt w:val="bullet"/>
      <w:lvlText w:val="-"/>
      <w:lvlJc w:val="left"/>
      <w:pPr>
        <w:ind w:left="720" w:hanging="360"/>
      </w:pPr>
      <w:rPr>
        <w:rFonts w:ascii="Calibri" w:eastAsiaTheme="minorEastAsia"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34210FD7"/>
    <w:multiLevelType w:val="hybridMultilevel"/>
    <w:tmpl w:val="B6763C94"/>
    <w:lvl w:ilvl="0" w:tplc="74F42DA0">
      <w:start w:val="1"/>
      <w:numFmt w:val="decimal"/>
      <w:lvlText w:val="%1."/>
      <w:lvlJc w:val="left"/>
      <w:pPr>
        <w:ind w:left="1778" w:hanging="360"/>
      </w:pPr>
      <w:rPr>
        <w:rFonts w:hint="default"/>
        <w:b w:val="0"/>
        <w:i w:val="0"/>
        <w:sz w:val="20"/>
        <w:szCs w:val="20"/>
      </w:rPr>
    </w:lvl>
    <w:lvl w:ilvl="1" w:tplc="0C0A0019">
      <w:start w:val="1"/>
      <w:numFmt w:val="lowerLetter"/>
      <w:lvlText w:val="%2."/>
      <w:lvlJc w:val="left"/>
      <w:pPr>
        <w:ind w:left="1440" w:hanging="360"/>
      </w:pPr>
    </w:lvl>
    <w:lvl w:ilvl="2" w:tplc="9A46DA98">
      <w:start w:val="1"/>
      <w:numFmt w:val="upperRoman"/>
      <w:lvlText w:val="%3."/>
      <w:lvlJc w:val="left"/>
      <w:pPr>
        <w:ind w:left="2700" w:hanging="720"/>
      </w:pPr>
      <w:rPr>
        <w:rFonts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6812FFF"/>
    <w:multiLevelType w:val="multilevel"/>
    <w:tmpl w:val="008A0F68"/>
    <w:styleLink w:val="Lista41"/>
    <w:lvl w:ilvl="0">
      <w:start w:val="1"/>
      <w:numFmt w:val="upperLetter"/>
      <w:lvlText w:val="%1."/>
      <w:lvlJc w:val="left"/>
      <w:rPr>
        <w:rFonts w:ascii="Cambria" w:eastAsia="Cambria" w:hAnsi="Cambria" w:cs="Cambria"/>
        <w:position w:val="0"/>
        <w:lang w:val="es-ES_tradnl"/>
      </w:rPr>
    </w:lvl>
    <w:lvl w:ilvl="1">
      <w:start w:val="1"/>
      <w:numFmt w:val="decimal"/>
      <w:lvlText w:val="%2."/>
      <w:lvlJc w:val="left"/>
      <w:rPr>
        <w:rFonts w:ascii="Times New Roman" w:eastAsia="Times New Roman" w:hAnsi="Times New Roman" w:cs="Times New Roman"/>
        <w:position w:val="0"/>
        <w:lang w:val="es-ES_tradnl"/>
      </w:rPr>
    </w:lvl>
    <w:lvl w:ilvl="2">
      <w:start w:val="1"/>
      <w:numFmt w:val="lowerRoman"/>
      <w:lvlText w:val="%3."/>
      <w:lvlJc w:val="left"/>
      <w:rPr>
        <w:rFonts w:ascii="Cambria" w:eastAsia="Cambria" w:hAnsi="Cambria" w:cs="Cambria"/>
        <w:position w:val="0"/>
        <w:lang w:val="es-ES_tradnl"/>
      </w:rPr>
    </w:lvl>
    <w:lvl w:ilvl="3">
      <w:start w:val="1"/>
      <w:numFmt w:val="decimal"/>
      <w:lvlText w:val="%4."/>
      <w:lvlJc w:val="left"/>
      <w:rPr>
        <w:rFonts w:ascii="Cambria" w:eastAsia="Cambria" w:hAnsi="Cambria" w:cs="Cambria"/>
        <w:position w:val="0"/>
        <w:lang w:val="es-ES_tradnl"/>
      </w:rPr>
    </w:lvl>
    <w:lvl w:ilvl="4">
      <w:start w:val="1"/>
      <w:numFmt w:val="lowerLetter"/>
      <w:lvlText w:val="%5."/>
      <w:lvlJc w:val="left"/>
      <w:rPr>
        <w:rFonts w:ascii="Cambria" w:eastAsia="Cambria" w:hAnsi="Cambria" w:cs="Cambria"/>
        <w:position w:val="0"/>
        <w:lang w:val="es-ES_tradnl"/>
      </w:rPr>
    </w:lvl>
    <w:lvl w:ilvl="5">
      <w:start w:val="1"/>
      <w:numFmt w:val="lowerRoman"/>
      <w:lvlText w:val="%6."/>
      <w:lvlJc w:val="left"/>
      <w:rPr>
        <w:rFonts w:ascii="Cambria" w:eastAsia="Cambria" w:hAnsi="Cambria" w:cs="Cambria"/>
        <w:position w:val="0"/>
        <w:lang w:val="es-ES_tradnl"/>
      </w:rPr>
    </w:lvl>
    <w:lvl w:ilvl="6">
      <w:start w:val="1"/>
      <w:numFmt w:val="decimal"/>
      <w:lvlText w:val="%7."/>
      <w:lvlJc w:val="left"/>
      <w:rPr>
        <w:rFonts w:ascii="Cambria" w:eastAsia="Cambria" w:hAnsi="Cambria" w:cs="Cambria"/>
        <w:position w:val="0"/>
        <w:lang w:val="es-ES_tradnl"/>
      </w:rPr>
    </w:lvl>
    <w:lvl w:ilvl="7">
      <w:start w:val="1"/>
      <w:numFmt w:val="lowerLetter"/>
      <w:lvlText w:val="%8."/>
      <w:lvlJc w:val="left"/>
      <w:rPr>
        <w:rFonts w:ascii="Cambria" w:eastAsia="Cambria" w:hAnsi="Cambria" w:cs="Cambria"/>
        <w:position w:val="0"/>
        <w:lang w:val="es-ES_tradnl"/>
      </w:rPr>
    </w:lvl>
    <w:lvl w:ilvl="8">
      <w:start w:val="1"/>
      <w:numFmt w:val="lowerRoman"/>
      <w:lvlText w:val="%9."/>
      <w:lvlJc w:val="left"/>
      <w:rPr>
        <w:rFonts w:ascii="Cambria" w:eastAsia="Cambria" w:hAnsi="Cambria" w:cs="Cambria"/>
        <w:position w:val="0"/>
        <w:lang w:val="es-ES_tradnl"/>
      </w:rPr>
    </w:lvl>
  </w:abstractNum>
  <w:abstractNum w:abstractNumId="26">
    <w:nsid w:val="382A6B44"/>
    <w:multiLevelType w:val="hybridMultilevel"/>
    <w:tmpl w:val="B44091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3C7177BE"/>
    <w:multiLevelType w:val="hybridMultilevel"/>
    <w:tmpl w:val="31BAFC9A"/>
    <w:lvl w:ilvl="0" w:tplc="6A5CA39E">
      <w:start w:val="1"/>
      <w:numFmt w:val="bullet"/>
      <w:lvlText w:val="­"/>
      <w:lvlJc w:val="left"/>
      <w:pPr>
        <w:ind w:left="720" w:hanging="360"/>
      </w:pPr>
      <w:rPr>
        <w:rFonts w:ascii="Calibri" w:hAnsi="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3EA46500"/>
    <w:multiLevelType w:val="hybridMultilevel"/>
    <w:tmpl w:val="AE66F912"/>
    <w:lvl w:ilvl="0" w:tplc="6F28CB88">
      <w:start w:val="1"/>
      <w:numFmt w:val="decimal"/>
      <w:lvlText w:val="%1."/>
      <w:lvlJc w:val="left"/>
      <w:pPr>
        <w:ind w:left="720" w:hanging="360"/>
      </w:pPr>
      <w:rPr>
        <w:rFonts w:ascii="Cambria" w:hAnsi="Cambria" w:cs="Calibri" w:hint="default"/>
        <w:b/>
        <w:i w:val="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3FAC6E2F"/>
    <w:multiLevelType w:val="hybridMultilevel"/>
    <w:tmpl w:val="A18A9F2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3FBA0DEA"/>
    <w:multiLevelType w:val="hybridMultilevel"/>
    <w:tmpl w:val="D8B2B544"/>
    <w:lvl w:ilvl="0" w:tplc="9A46DA98">
      <w:start w:val="1"/>
      <w:numFmt w:val="upp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406A6142"/>
    <w:multiLevelType w:val="hybridMultilevel"/>
    <w:tmpl w:val="8B0A9296"/>
    <w:lvl w:ilvl="0" w:tplc="03F299B0">
      <w:start w:val="1"/>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2380FDA"/>
    <w:multiLevelType w:val="hybridMultilevel"/>
    <w:tmpl w:val="B924155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488B3B83"/>
    <w:multiLevelType w:val="hybridMultilevel"/>
    <w:tmpl w:val="807201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489B18B6"/>
    <w:multiLevelType w:val="multilevel"/>
    <w:tmpl w:val="5A1A0ADA"/>
    <w:styleLink w:val="List6"/>
    <w:lvl w:ilvl="0">
      <w:start w:val="1"/>
      <w:numFmt w:val="decimal"/>
      <w:lvlText w:val="%1."/>
      <w:lvlJc w:val="left"/>
      <w:rPr>
        <w:rFonts w:ascii="Cambria" w:eastAsia="Cambria" w:hAnsi="Cambria" w:cs="Cambria"/>
        <w:position w:val="0"/>
        <w:lang w:val="es-ES_tradnl"/>
      </w:rPr>
    </w:lvl>
    <w:lvl w:ilvl="1">
      <w:start w:val="1"/>
      <w:numFmt w:val="decimal"/>
      <w:lvlText w:val="%2."/>
      <w:lvlJc w:val="left"/>
      <w:rPr>
        <w:rFonts w:ascii="Times New Roman" w:eastAsia="Times New Roman" w:hAnsi="Times New Roman" w:cs="Times New Roman"/>
        <w:position w:val="0"/>
        <w:lang w:val="es-ES_tradnl"/>
      </w:rPr>
    </w:lvl>
    <w:lvl w:ilvl="2">
      <w:start w:val="1"/>
      <w:numFmt w:val="lowerRoman"/>
      <w:lvlText w:val="%3."/>
      <w:lvlJc w:val="left"/>
      <w:rPr>
        <w:rFonts w:ascii="Cambria" w:eastAsia="Cambria" w:hAnsi="Cambria" w:cs="Cambria"/>
        <w:position w:val="0"/>
        <w:lang w:val="es-ES_tradnl"/>
      </w:rPr>
    </w:lvl>
    <w:lvl w:ilvl="3">
      <w:start w:val="1"/>
      <w:numFmt w:val="decimal"/>
      <w:lvlText w:val="%4."/>
      <w:lvlJc w:val="left"/>
      <w:rPr>
        <w:rFonts w:ascii="Cambria" w:eastAsia="Cambria" w:hAnsi="Cambria" w:cs="Cambria"/>
        <w:position w:val="0"/>
        <w:lang w:val="es-ES_tradnl"/>
      </w:rPr>
    </w:lvl>
    <w:lvl w:ilvl="4">
      <w:start w:val="1"/>
      <w:numFmt w:val="lowerLetter"/>
      <w:lvlText w:val="%5."/>
      <w:lvlJc w:val="left"/>
      <w:rPr>
        <w:rFonts w:ascii="Cambria" w:eastAsia="Cambria" w:hAnsi="Cambria" w:cs="Cambria"/>
        <w:position w:val="0"/>
        <w:lang w:val="es-ES_tradnl"/>
      </w:rPr>
    </w:lvl>
    <w:lvl w:ilvl="5">
      <w:start w:val="1"/>
      <w:numFmt w:val="lowerRoman"/>
      <w:lvlText w:val="%6."/>
      <w:lvlJc w:val="left"/>
      <w:rPr>
        <w:rFonts w:ascii="Cambria" w:eastAsia="Cambria" w:hAnsi="Cambria" w:cs="Cambria"/>
        <w:position w:val="0"/>
        <w:lang w:val="es-ES_tradnl"/>
      </w:rPr>
    </w:lvl>
    <w:lvl w:ilvl="6">
      <w:start w:val="1"/>
      <w:numFmt w:val="decimal"/>
      <w:lvlText w:val="%7."/>
      <w:lvlJc w:val="left"/>
      <w:rPr>
        <w:rFonts w:ascii="Cambria" w:eastAsia="Cambria" w:hAnsi="Cambria" w:cs="Cambria"/>
        <w:position w:val="0"/>
        <w:lang w:val="es-ES_tradnl"/>
      </w:rPr>
    </w:lvl>
    <w:lvl w:ilvl="7">
      <w:start w:val="1"/>
      <w:numFmt w:val="lowerLetter"/>
      <w:lvlText w:val="%8."/>
      <w:lvlJc w:val="left"/>
      <w:rPr>
        <w:rFonts w:ascii="Cambria" w:eastAsia="Cambria" w:hAnsi="Cambria" w:cs="Cambria"/>
        <w:position w:val="0"/>
        <w:lang w:val="es-ES_tradnl"/>
      </w:rPr>
    </w:lvl>
    <w:lvl w:ilvl="8">
      <w:start w:val="1"/>
      <w:numFmt w:val="lowerRoman"/>
      <w:lvlText w:val="%9."/>
      <w:lvlJc w:val="left"/>
      <w:rPr>
        <w:rFonts w:ascii="Cambria" w:eastAsia="Cambria" w:hAnsi="Cambria" w:cs="Cambria"/>
        <w:position w:val="0"/>
        <w:lang w:val="es-ES_tradnl"/>
      </w:rPr>
    </w:lvl>
  </w:abstractNum>
  <w:abstractNum w:abstractNumId="35">
    <w:nsid w:val="4AA31745"/>
    <w:multiLevelType w:val="hybridMultilevel"/>
    <w:tmpl w:val="D62A9B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4D4E6EA3"/>
    <w:multiLevelType w:val="hybridMultilevel"/>
    <w:tmpl w:val="09F6A57A"/>
    <w:lvl w:ilvl="0" w:tplc="77E4D3E8">
      <w:start w:val="1"/>
      <w:numFmt w:val="upperLetter"/>
      <w:lvlText w:val="%1."/>
      <w:lvlJc w:val="left"/>
      <w:pPr>
        <w:ind w:left="927" w:hanging="360"/>
      </w:pPr>
      <w:rPr>
        <w:rFonts w:ascii="Cambria" w:hAnsi="Cambria" w:hint="default"/>
        <w:b/>
        <w:i w:val="0"/>
        <w:sz w:val="22"/>
      </w:r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7">
    <w:nsid w:val="524575DB"/>
    <w:multiLevelType w:val="hybridMultilevel"/>
    <w:tmpl w:val="D7EC17DE"/>
    <w:lvl w:ilvl="0" w:tplc="C4965BC4">
      <w:start w:val="4"/>
      <w:numFmt w:val="bullet"/>
      <w:lvlText w:val="-"/>
      <w:lvlJc w:val="left"/>
      <w:pPr>
        <w:ind w:left="720" w:hanging="360"/>
      </w:pPr>
      <w:rPr>
        <w:rFonts w:ascii="Calibri" w:eastAsiaTheme="minorEastAsia"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5DC06818"/>
    <w:multiLevelType w:val="hybridMultilevel"/>
    <w:tmpl w:val="FB64C5AC"/>
    <w:lvl w:ilvl="0" w:tplc="297CE84A">
      <w:start w:val="1"/>
      <w:numFmt w:val="upperLetter"/>
      <w:lvlText w:val="%1."/>
      <w:lvlJc w:val="left"/>
      <w:pPr>
        <w:ind w:left="360" w:hanging="360"/>
      </w:pPr>
      <w:rPr>
        <w:rFonts w:ascii="Cambria" w:hAnsi="Cambria" w:hint="default"/>
        <w:b/>
        <w:i w:val="0"/>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9">
    <w:nsid w:val="5F6B6246"/>
    <w:multiLevelType w:val="hybridMultilevel"/>
    <w:tmpl w:val="47329B34"/>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68C478BB"/>
    <w:multiLevelType w:val="hybridMultilevel"/>
    <w:tmpl w:val="F544F228"/>
    <w:lvl w:ilvl="0" w:tplc="0C0A0015">
      <w:start w:val="1"/>
      <w:numFmt w:val="upperLetter"/>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1">
    <w:nsid w:val="6A25549D"/>
    <w:multiLevelType w:val="hybridMultilevel"/>
    <w:tmpl w:val="3B7A3C54"/>
    <w:lvl w:ilvl="0" w:tplc="74F42DA0">
      <w:start w:val="1"/>
      <w:numFmt w:val="decimal"/>
      <w:lvlText w:val="%1."/>
      <w:lvlJc w:val="left"/>
      <w:pPr>
        <w:ind w:left="1778" w:hanging="360"/>
      </w:pPr>
      <w:rPr>
        <w:rFonts w:hint="default"/>
        <w:b w:val="0"/>
        <w:i w:val="0"/>
        <w:sz w:val="20"/>
        <w:szCs w:val="20"/>
      </w:rPr>
    </w:lvl>
    <w:lvl w:ilvl="1" w:tplc="0C0A0019">
      <w:start w:val="1"/>
      <w:numFmt w:val="lowerLetter"/>
      <w:lvlText w:val="%2."/>
      <w:lvlJc w:val="left"/>
      <w:pPr>
        <w:ind w:left="1440" w:hanging="360"/>
      </w:pPr>
    </w:lvl>
    <w:lvl w:ilvl="2" w:tplc="9A46DA98">
      <w:start w:val="1"/>
      <w:numFmt w:val="upperRoman"/>
      <w:lvlText w:val="%3."/>
      <w:lvlJc w:val="left"/>
      <w:pPr>
        <w:ind w:left="2700" w:hanging="720"/>
      </w:pPr>
      <w:rPr>
        <w:rFonts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D7E3AFA"/>
    <w:multiLevelType w:val="hybridMultilevel"/>
    <w:tmpl w:val="C5D64A02"/>
    <w:lvl w:ilvl="0" w:tplc="729AFB48">
      <w:start w:val="1"/>
      <w:numFmt w:val="low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3">
    <w:nsid w:val="7EDB75BB"/>
    <w:multiLevelType w:val="multilevel"/>
    <w:tmpl w:val="D270911C"/>
    <w:styleLink w:val="Lista31"/>
    <w:lvl w:ilvl="0">
      <w:start w:val="1"/>
      <w:numFmt w:val="upperLetter"/>
      <w:lvlText w:val="%1."/>
      <w:lvlJc w:val="left"/>
      <w:rPr>
        <w:rFonts w:ascii="Times New Roman" w:eastAsia="Times New Roman" w:hAnsi="Times New Roman" w:cs="Times New Roman"/>
        <w:position w:val="0"/>
        <w:lang w:val="es-ES_tradnl"/>
      </w:rPr>
    </w:lvl>
    <w:lvl w:ilvl="1">
      <w:start w:val="1"/>
      <w:numFmt w:val="upperLetter"/>
      <w:lvlText w:val="%2."/>
      <w:lvlJc w:val="left"/>
      <w:rPr>
        <w:rFonts w:ascii="Cambria" w:eastAsia="Cambria" w:hAnsi="Cambria" w:cs="Cambria"/>
        <w:position w:val="0"/>
        <w:lang w:val="es-ES_tradnl"/>
      </w:rPr>
    </w:lvl>
    <w:lvl w:ilvl="2">
      <w:start w:val="1"/>
      <w:numFmt w:val="lowerRoman"/>
      <w:lvlText w:val="%3."/>
      <w:lvlJc w:val="left"/>
      <w:rPr>
        <w:rFonts w:ascii="Cambria" w:eastAsia="Cambria" w:hAnsi="Cambria" w:cs="Cambria"/>
        <w:position w:val="0"/>
        <w:lang w:val="es-ES_tradnl"/>
      </w:rPr>
    </w:lvl>
    <w:lvl w:ilvl="3">
      <w:start w:val="1"/>
      <w:numFmt w:val="decimal"/>
      <w:lvlText w:val="%4."/>
      <w:lvlJc w:val="left"/>
      <w:rPr>
        <w:rFonts w:ascii="Cambria" w:eastAsia="Cambria" w:hAnsi="Cambria" w:cs="Cambria"/>
        <w:position w:val="0"/>
        <w:lang w:val="es-ES_tradnl"/>
      </w:rPr>
    </w:lvl>
    <w:lvl w:ilvl="4">
      <w:start w:val="1"/>
      <w:numFmt w:val="lowerLetter"/>
      <w:lvlText w:val="%5."/>
      <w:lvlJc w:val="left"/>
      <w:rPr>
        <w:rFonts w:ascii="Cambria" w:eastAsia="Cambria" w:hAnsi="Cambria" w:cs="Cambria"/>
        <w:position w:val="0"/>
        <w:lang w:val="es-ES_tradnl"/>
      </w:rPr>
    </w:lvl>
    <w:lvl w:ilvl="5">
      <w:start w:val="1"/>
      <w:numFmt w:val="lowerRoman"/>
      <w:lvlText w:val="%6."/>
      <w:lvlJc w:val="left"/>
      <w:rPr>
        <w:rFonts w:ascii="Cambria" w:eastAsia="Cambria" w:hAnsi="Cambria" w:cs="Cambria"/>
        <w:position w:val="0"/>
        <w:lang w:val="es-ES_tradnl"/>
      </w:rPr>
    </w:lvl>
    <w:lvl w:ilvl="6">
      <w:start w:val="1"/>
      <w:numFmt w:val="decimal"/>
      <w:lvlText w:val="%7."/>
      <w:lvlJc w:val="left"/>
      <w:rPr>
        <w:rFonts w:ascii="Cambria" w:eastAsia="Cambria" w:hAnsi="Cambria" w:cs="Cambria"/>
        <w:position w:val="0"/>
        <w:lang w:val="es-ES_tradnl"/>
      </w:rPr>
    </w:lvl>
    <w:lvl w:ilvl="7">
      <w:start w:val="1"/>
      <w:numFmt w:val="lowerLetter"/>
      <w:lvlText w:val="%8."/>
      <w:lvlJc w:val="left"/>
      <w:rPr>
        <w:rFonts w:ascii="Cambria" w:eastAsia="Cambria" w:hAnsi="Cambria" w:cs="Cambria"/>
        <w:position w:val="0"/>
        <w:lang w:val="es-ES_tradnl"/>
      </w:rPr>
    </w:lvl>
    <w:lvl w:ilvl="8">
      <w:start w:val="1"/>
      <w:numFmt w:val="lowerRoman"/>
      <w:lvlText w:val="%9."/>
      <w:lvlJc w:val="left"/>
      <w:rPr>
        <w:rFonts w:ascii="Cambria" w:eastAsia="Cambria" w:hAnsi="Cambria" w:cs="Cambria"/>
        <w:position w:val="0"/>
        <w:lang w:val="es-ES_tradnl"/>
      </w:rPr>
    </w:lvl>
  </w:abstractNum>
  <w:num w:numId="1">
    <w:abstractNumId w:val="9"/>
  </w:num>
  <w:num w:numId="2">
    <w:abstractNumId w:val="16"/>
  </w:num>
  <w:num w:numId="3">
    <w:abstractNumId w:val="18"/>
  </w:num>
  <w:num w:numId="4">
    <w:abstractNumId w:val="43"/>
  </w:num>
  <w:num w:numId="5">
    <w:abstractNumId w:val="25"/>
  </w:num>
  <w:num w:numId="6">
    <w:abstractNumId w:val="5"/>
  </w:num>
  <w:num w:numId="7">
    <w:abstractNumId w:val="34"/>
  </w:num>
  <w:num w:numId="8">
    <w:abstractNumId w:val="21"/>
  </w:num>
  <w:num w:numId="9">
    <w:abstractNumId w:val="36"/>
  </w:num>
  <w:num w:numId="10">
    <w:abstractNumId w:val="28"/>
  </w:num>
  <w:num w:numId="11">
    <w:abstractNumId w:val="22"/>
  </w:num>
  <w:num w:numId="12">
    <w:abstractNumId w:val="19"/>
  </w:num>
  <w:num w:numId="13">
    <w:abstractNumId w:val="3"/>
  </w:num>
  <w:num w:numId="14">
    <w:abstractNumId w:val="33"/>
  </w:num>
  <w:num w:numId="15">
    <w:abstractNumId w:val="29"/>
  </w:num>
  <w:num w:numId="16">
    <w:abstractNumId w:val="38"/>
  </w:num>
  <w:num w:numId="17">
    <w:abstractNumId w:val="40"/>
  </w:num>
  <w:num w:numId="18">
    <w:abstractNumId w:val="31"/>
  </w:num>
  <w:num w:numId="19">
    <w:abstractNumId w:val="24"/>
  </w:num>
  <w:num w:numId="20">
    <w:abstractNumId w:val="2"/>
  </w:num>
  <w:num w:numId="21">
    <w:abstractNumId w:val="42"/>
  </w:num>
  <w:num w:numId="22">
    <w:abstractNumId w:val="4"/>
  </w:num>
  <w:num w:numId="23">
    <w:abstractNumId w:val="13"/>
  </w:num>
  <w:num w:numId="24">
    <w:abstractNumId w:val="37"/>
  </w:num>
  <w:num w:numId="25">
    <w:abstractNumId w:val="12"/>
  </w:num>
  <w:num w:numId="26">
    <w:abstractNumId w:val="17"/>
  </w:num>
  <w:num w:numId="27">
    <w:abstractNumId w:val="39"/>
  </w:num>
  <w:num w:numId="28">
    <w:abstractNumId w:val="27"/>
  </w:num>
  <w:num w:numId="29">
    <w:abstractNumId w:val="11"/>
  </w:num>
  <w:num w:numId="30">
    <w:abstractNumId w:val="1"/>
  </w:num>
  <w:num w:numId="31">
    <w:abstractNumId w:val="32"/>
  </w:num>
  <w:num w:numId="32">
    <w:abstractNumId w:val="14"/>
  </w:num>
  <w:num w:numId="33">
    <w:abstractNumId w:val="26"/>
  </w:num>
  <w:num w:numId="34">
    <w:abstractNumId w:val="35"/>
  </w:num>
  <w:num w:numId="35">
    <w:abstractNumId w:val="0"/>
  </w:num>
  <w:num w:numId="36">
    <w:abstractNumId w:val="23"/>
  </w:num>
  <w:num w:numId="37">
    <w:abstractNumId w:val="7"/>
  </w:num>
  <w:num w:numId="38">
    <w:abstractNumId w:val="20"/>
  </w:num>
  <w:num w:numId="39">
    <w:abstractNumId w:val="15"/>
  </w:num>
  <w:num w:numId="40">
    <w:abstractNumId w:val="8"/>
  </w:num>
  <w:num w:numId="41">
    <w:abstractNumId w:val="6"/>
  </w:num>
  <w:num w:numId="42">
    <w:abstractNumId w:val="10"/>
  </w:num>
  <w:num w:numId="43">
    <w:abstractNumId w:val="30"/>
  </w:num>
  <w:num w:numId="44">
    <w:abstractNumId w:val="4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PE" w:vendorID="64" w:dllVersion="6" w:nlCheck="1" w:checkStyle="1"/>
  <w:activeWritingStyle w:appName="MSWord" w:lang="es-ES" w:vendorID="64" w:dllVersion="6" w:nlCheck="1" w:checkStyle="1"/>
  <w:activeWritingStyle w:appName="MSWord" w:lang="en-US" w:vendorID="64" w:dllVersion="6" w:nlCheck="1" w:checkStyle="1"/>
  <w:activeWritingStyle w:appName="MSWord" w:lang="es-UY" w:vendorID="64" w:dllVersion="6" w:nlCheck="1" w:checkStyle="1"/>
  <w:activeWritingStyle w:appName="MSWord" w:lang="en-GB" w:vendorID="64" w:dllVersion="6" w:nlCheck="1" w:checkStyle="1"/>
  <w:activeWritingStyle w:appName="MSWord" w:lang="es-CO" w:vendorID="64" w:dllVersion="6" w:nlCheck="1" w:checkStyle="1"/>
  <w:activeWritingStyle w:appName="MSWord" w:lang="es-AR" w:vendorID="64" w:dllVersion="6" w:nlCheck="1" w:checkStyle="1"/>
  <w:activeWritingStyle w:appName="MSWord" w:lang="es-US" w:vendorID="64" w:dllVersion="6" w:nlCheck="1" w:checkStyle="1"/>
  <w:activeWritingStyle w:appName="MSWord" w:lang="fr-CA" w:vendorID="64" w:dllVersion="6" w:nlCheck="1" w:checkStyle="1"/>
  <w:activeWritingStyle w:appName="MSWord" w:lang="es-VE" w:vendorID="64" w:dllVersion="6" w:nlCheck="1" w:checkStyle="1"/>
  <w:activeWritingStyle w:appName="MSWord" w:lang="es-CR"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s-CO" w:vendorID="64" w:dllVersion="4096" w:nlCheck="1" w:checkStyle="0"/>
  <w:activeWritingStyle w:appName="MSWord" w:lang="es-UY" w:vendorID="64" w:dllVersion="4096" w:nlCheck="1" w:checkStyle="0"/>
  <w:activeWritingStyle w:appName="MSWord" w:lang="es-VE"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AR" w:vendorID="64" w:dllVersion="4096" w:nlCheck="1" w:checkStyle="0"/>
  <w:activeWritingStyle w:appName="MSWord" w:lang="es-CR"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s-AR" w:vendorID="64" w:dllVersion="0" w:nlCheck="1" w:checkStyle="0"/>
  <w:activeWritingStyle w:appName="MSWord" w:lang="es-ES" w:vendorID="64" w:dllVersion="0" w:nlCheck="1" w:checkStyle="0"/>
  <w:activeWritingStyle w:appName="MSWord" w:lang="es-PE" w:vendorID="64" w:dllVersion="0" w:nlCheck="1" w:checkStyle="0"/>
  <w:activeWritingStyle w:appName="MSWord" w:lang="pt-BR" w:vendorID="64" w:dllVersion="0" w:nlCheck="1" w:checkStyle="0"/>
  <w:activeWritingStyle w:appName="MSWord" w:lang="es-CO" w:vendorID="64" w:dllVersion="0" w:nlCheck="1" w:checkStyle="0"/>
  <w:activeWritingStyle w:appName="MSWord" w:lang="es-UY" w:vendorID="64" w:dllVersion="0" w:nlCheck="1" w:checkStyle="0"/>
  <w:activeWritingStyle w:appName="MSWord" w:lang="es-MX" w:vendorID="64" w:dllVersion="0" w:nlCheck="1" w:checkStyle="0"/>
  <w:activeWritingStyle w:appName="MSWord" w:lang="es-CR" w:vendorID="64" w:dllVersion="0" w:nlCheck="1" w:checkStyle="0"/>
  <w:activeWritingStyle w:appName="MSWord" w:lang="es-US" w:vendorID="64" w:dllVersion="0" w:nlCheck="1" w:checkStyle="0"/>
  <w:activeWritingStyle w:appName="MSWord" w:lang="fr-CA"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VE" w:vendorID="64" w:dllVersion="0" w:nlCheck="1" w:checkStyle="0"/>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3A76050-0E10-4B0F-9B7D-AEC4369E418B}"/>
    <w:docVar w:name="dgnword-eventsink" w:val="493161168"/>
  </w:docVars>
  <w:rsids>
    <w:rsidRoot w:val="00214C76"/>
    <w:rsid w:val="0000009C"/>
    <w:rsid w:val="000006FF"/>
    <w:rsid w:val="0000097B"/>
    <w:rsid w:val="00000984"/>
    <w:rsid w:val="00000E4D"/>
    <w:rsid w:val="0000174B"/>
    <w:rsid w:val="000027E7"/>
    <w:rsid w:val="00002B55"/>
    <w:rsid w:val="00002BDA"/>
    <w:rsid w:val="00003A39"/>
    <w:rsid w:val="00003AC8"/>
    <w:rsid w:val="00004B38"/>
    <w:rsid w:val="000058D1"/>
    <w:rsid w:val="00005964"/>
    <w:rsid w:val="00005FC1"/>
    <w:rsid w:val="0000642E"/>
    <w:rsid w:val="00006FC0"/>
    <w:rsid w:val="0000794B"/>
    <w:rsid w:val="000100DA"/>
    <w:rsid w:val="000105B5"/>
    <w:rsid w:val="000106C8"/>
    <w:rsid w:val="0001134A"/>
    <w:rsid w:val="000124C9"/>
    <w:rsid w:val="0001332A"/>
    <w:rsid w:val="0001351A"/>
    <w:rsid w:val="00014484"/>
    <w:rsid w:val="000144F1"/>
    <w:rsid w:val="00015074"/>
    <w:rsid w:val="00016762"/>
    <w:rsid w:val="00016A25"/>
    <w:rsid w:val="0001708F"/>
    <w:rsid w:val="00017F89"/>
    <w:rsid w:val="000234FD"/>
    <w:rsid w:val="0002360C"/>
    <w:rsid w:val="00023CDE"/>
    <w:rsid w:val="000266A7"/>
    <w:rsid w:val="000328AA"/>
    <w:rsid w:val="00032E28"/>
    <w:rsid w:val="00033D1D"/>
    <w:rsid w:val="00034C91"/>
    <w:rsid w:val="00034CAA"/>
    <w:rsid w:val="000359FE"/>
    <w:rsid w:val="00035AF6"/>
    <w:rsid w:val="00036C3F"/>
    <w:rsid w:val="00037B81"/>
    <w:rsid w:val="00037E6C"/>
    <w:rsid w:val="00037EFC"/>
    <w:rsid w:val="00037FA0"/>
    <w:rsid w:val="00040D38"/>
    <w:rsid w:val="00041093"/>
    <w:rsid w:val="00041EEE"/>
    <w:rsid w:val="000432C6"/>
    <w:rsid w:val="000443EC"/>
    <w:rsid w:val="00044BFF"/>
    <w:rsid w:val="00044D38"/>
    <w:rsid w:val="00044DDF"/>
    <w:rsid w:val="000465DB"/>
    <w:rsid w:val="00046797"/>
    <w:rsid w:val="000469C4"/>
    <w:rsid w:val="00047216"/>
    <w:rsid w:val="000479AD"/>
    <w:rsid w:val="000500D8"/>
    <w:rsid w:val="000505B2"/>
    <w:rsid w:val="00050DEA"/>
    <w:rsid w:val="00051941"/>
    <w:rsid w:val="00051F51"/>
    <w:rsid w:val="00052857"/>
    <w:rsid w:val="000529D1"/>
    <w:rsid w:val="000530CE"/>
    <w:rsid w:val="000536E6"/>
    <w:rsid w:val="00054B0D"/>
    <w:rsid w:val="00054C6B"/>
    <w:rsid w:val="00054C99"/>
    <w:rsid w:val="000557E2"/>
    <w:rsid w:val="000559D6"/>
    <w:rsid w:val="0005726E"/>
    <w:rsid w:val="0005762F"/>
    <w:rsid w:val="000576F6"/>
    <w:rsid w:val="00057AE6"/>
    <w:rsid w:val="00057D64"/>
    <w:rsid w:val="000606A5"/>
    <w:rsid w:val="00061045"/>
    <w:rsid w:val="0006178D"/>
    <w:rsid w:val="0006341D"/>
    <w:rsid w:val="00063822"/>
    <w:rsid w:val="00063B75"/>
    <w:rsid w:val="00063D1C"/>
    <w:rsid w:val="00063FAF"/>
    <w:rsid w:val="0006410D"/>
    <w:rsid w:val="0006438B"/>
    <w:rsid w:val="00064AAF"/>
    <w:rsid w:val="00065477"/>
    <w:rsid w:val="000658F1"/>
    <w:rsid w:val="00066CF0"/>
    <w:rsid w:val="00067488"/>
    <w:rsid w:val="000675E2"/>
    <w:rsid w:val="000711C3"/>
    <w:rsid w:val="00071987"/>
    <w:rsid w:val="00071A41"/>
    <w:rsid w:val="00072ABC"/>
    <w:rsid w:val="00072F96"/>
    <w:rsid w:val="00073669"/>
    <w:rsid w:val="0007436A"/>
    <w:rsid w:val="00074A96"/>
    <w:rsid w:val="00075B31"/>
    <w:rsid w:val="00076D71"/>
    <w:rsid w:val="00077047"/>
    <w:rsid w:val="00077725"/>
    <w:rsid w:val="00077CF0"/>
    <w:rsid w:val="00077D47"/>
    <w:rsid w:val="0008036B"/>
    <w:rsid w:val="000803A4"/>
    <w:rsid w:val="00080A54"/>
    <w:rsid w:val="0008353D"/>
    <w:rsid w:val="000837A5"/>
    <w:rsid w:val="00083C6B"/>
    <w:rsid w:val="00084C0D"/>
    <w:rsid w:val="00084CE8"/>
    <w:rsid w:val="00085A57"/>
    <w:rsid w:val="00085A62"/>
    <w:rsid w:val="00086B69"/>
    <w:rsid w:val="00087CA7"/>
    <w:rsid w:val="000903E4"/>
    <w:rsid w:val="00090E36"/>
    <w:rsid w:val="00091FDB"/>
    <w:rsid w:val="000923E8"/>
    <w:rsid w:val="00094885"/>
    <w:rsid w:val="00094932"/>
    <w:rsid w:val="0009496A"/>
    <w:rsid w:val="00094F08"/>
    <w:rsid w:val="0009502D"/>
    <w:rsid w:val="000968D2"/>
    <w:rsid w:val="00097A7D"/>
    <w:rsid w:val="000A0138"/>
    <w:rsid w:val="000A0451"/>
    <w:rsid w:val="000A09CA"/>
    <w:rsid w:val="000A1C72"/>
    <w:rsid w:val="000A208E"/>
    <w:rsid w:val="000A2582"/>
    <w:rsid w:val="000A2689"/>
    <w:rsid w:val="000A2F7A"/>
    <w:rsid w:val="000A3A6C"/>
    <w:rsid w:val="000A4003"/>
    <w:rsid w:val="000A4F25"/>
    <w:rsid w:val="000A55D9"/>
    <w:rsid w:val="000A56BD"/>
    <w:rsid w:val="000A586D"/>
    <w:rsid w:val="000A58A5"/>
    <w:rsid w:val="000A63A3"/>
    <w:rsid w:val="000A64E1"/>
    <w:rsid w:val="000B1512"/>
    <w:rsid w:val="000B1A0A"/>
    <w:rsid w:val="000B1DA0"/>
    <w:rsid w:val="000B1E82"/>
    <w:rsid w:val="000B21C6"/>
    <w:rsid w:val="000B277D"/>
    <w:rsid w:val="000B3FDA"/>
    <w:rsid w:val="000B467B"/>
    <w:rsid w:val="000B6783"/>
    <w:rsid w:val="000B6BE5"/>
    <w:rsid w:val="000B7064"/>
    <w:rsid w:val="000B745E"/>
    <w:rsid w:val="000B7DC8"/>
    <w:rsid w:val="000C0D2C"/>
    <w:rsid w:val="000C11B5"/>
    <w:rsid w:val="000C1213"/>
    <w:rsid w:val="000C17AD"/>
    <w:rsid w:val="000C1BA5"/>
    <w:rsid w:val="000C222E"/>
    <w:rsid w:val="000C2378"/>
    <w:rsid w:val="000C4E5E"/>
    <w:rsid w:val="000C5E44"/>
    <w:rsid w:val="000C629A"/>
    <w:rsid w:val="000C6DA7"/>
    <w:rsid w:val="000C785B"/>
    <w:rsid w:val="000D013E"/>
    <w:rsid w:val="000D0536"/>
    <w:rsid w:val="000D144F"/>
    <w:rsid w:val="000D15ED"/>
    <w:rsid w:val="000D18B5"/>
    <w:rsid w:val="000D2ED3"/>
    <w:rsid w:val="000D38F5"/>
    <w:rsid w:val="000D3B72"/>
    <w:rsid w:val="000D41AC"/>
    <w:rsid w:val="000D6628"/>
    <w:rsid w:val="000D7700"/>
    <w:rsid w:val="000D7AB1"/>
    <w:rsid w:val="000E0C92"/>
    <w:rsid w:val="000E165D"/>
    <w:rsid w:val="000E19DD"/>
    <w:rsid w:val="000E1CA5"/>
    <w:rsid w:val="000E2C5D"/>
    <w:rsid w:val="000E2D89"/>
    <w:rsid w:val="000E374C"/>
    <w:rsid w:val="000E4130"/>
    <w:rsid w:val="000E45A8"/>
    <w:rsid w:val="000E4CF4"/>
    <w:rsid w:val="000E508E"/>
    <w:rsid w:val="000E56B6"/>
    <w:rsid w:val="000E6066"/>
    <w:rsid w:val="000E669B"/>
    <w:rsid w:val="000E6753"/>
    <w:rsid w:val="000E6DC4"/>
    <w:rsid w:val="000E6FB7"/>
    <w:rsid w:val="000E77D7"/>
    <w:rsid w:val="000E7A1C"/>
    <w:rsid w:val="000E7C97"/>
    <w:rsid w:val="000E7D69"/>
    <w:rsid w:val="000F1667"/>
    <w:rsid w:val="000F3191"/>
    <w:rsid w:val="000F3A88"/>
    <w:rsid w:val="000F3E52"/>
    <w:rsid w:val="000F4656"/>
    <w:rsid w:val="000F493C"/>
    <w:rsid w:val="000F4EE5"/>
    <w:rsid w:val="000F5278"/>
    <w:rsid w:val="000F5ABA"/>
    <w:rsid w:val="000F5EE2"/>
    <w:rsid w:val="000F6F8E"/>
    <w:rsid w:val="000F72B9"/>
    <w:rsid w:val="000F741E"/>
    <w:rsid w:val="000F7757"/>
    <w:rsid w:val="000F7765"/>
    <w:rsid w:val="000F7A19"/>
    <w:rsid w:val="000F7DE7"/>
    <w:rsid w:val="00100A8C"/>
    <w:rsid w:val="00100D58"/>
    <w:rsid w:val="00100F5B"/>
    <w:rsid w:val="001015CF"/>
    <w:rsid w:val="001018B0"/>
    <w:rsid w:val="00101D8E"/>
    <w:rsid w:val="00101DB8"/>
    <w:rsid w:val="001037DF"/>
    <w:rsid w:val="00105D10"/>
    <w:rsid w:val="00107E35"/>
    <w:rsid w:val="001102A9"/>
    <w:rsid w:val="001105B4"/>
    <w:rsid w:val="0011067C"/>
    <w:rsid w:val="001106D1"/>
    <w:rsid w:val="001112DC"/>
    <w:rsid w:val="00111F97"/>
    <w:rsid w:val="00112143"/>
    <w:rsid w:val="00113903"/>
    <w:rsid w:val="001142A7"/>
    <w:rsid w:val="00114938"/>
    <w:rsid w:val="0011532E"/>
    <w:rsid w:val="001163B7"/>
    <w:rsid w:val="0011660F"/>
    <w:rsid w:val="00117064"/>
    <w:rsid w:val="001170DE"/>
    <w:rsid w:val="00117902"/>
    <w:rsid w:val="0012179E"/>
    <w:rsid w:val="00121C9C"/>
    <w:rsid w:val="001220C2"/>
    <w:rsid w:val="00122D25"/>
    <w:rsid w:val="00123024"/>
    <w:rsid w:val="0012433B"/>
    <w:rsid w:val="00124B97"/>
    <w:rsid w:val="00124F39"/>
    <w:rsid w:val="001254A2"/>
    <w:rsid w:val="0012713B"/>
    <w:rsid w:val="00131005"/>
    <w:rsid w:val="00131BD7"/>
    <w:rsid w:val="00132589"/>
    <w:rsid w:val="00132644"/>
    <w:rsid w:val="00132B1D"/>
    <w:rsid w:val="0013521F"/>
    <w:rsid w:val="0013566B"/>
    <w:rsid w:val="00136603"/>
    <w:rsid w:val="00136C8A"/>
    <w:rsid w:val="00140B62"/>
    <w:rsid w:val="00140C54"/>
    <w:rsid w:val="00140DBF"/>
    <w:rsid w:val="00141801"/>
    <w:rsid w:val="00141B3C"/>
    <w:rsid w:val="00141FE4"/>
    <w:rsid w:val="001428A0"/>
    <w:rsid w:val="00142F30"/>
    <w:rsid w:val="00142FF5"/>
    <w:rsid w:val="00143005"/>
    <w:rsid w:val="0014417D"/>
    <w:rsid w:val="00144BCB"/>
    <w:rsid w:val="001453F5"/>
    <w:rsid w:val="001458D1"/>
    <w:rsid w:val="00145A90"/>
    <w:rsid w:val="00146848"/>
    <w:rsid w:val="00146F8D"/>
    <w:rsid w:val="0015156F"/>
    <w:rsid w:val="0015274A"/>
    <w:rsid w:val="00152AC0"/>
    <w:rsid w:val="001531CB"/>
    <w:rsid w:val="00154FA3"/>
    <w:rsid w:val="001554B3"/>
    <w:rsid w:val="001555A6"/>
    <w:rsid w:val="0015567E"/>
    <w:rsid w:val="001563F1"/>
    <w:rsid w:val="00156D00"/>
    <w:rsid w:val="00156F48"/>
    <w:rsid w:val="00156FD7"/>
    <w:rsid w:val="00160F85"/>
    <w:rsid w:val="001621BE"/>
    <w:rsid w:val="0016232C"/>
    <w:rsid w:val="00162BBA"/>
    <w:rsid w:val="0016347F"/>
    <w:rsid w:val="00163600"/>
    <w:rsid w:val="00164DF6"/>
    <w:rsid w:val="00164F6B"/>
    <w:rsid w:val="00164F86"/>
    <w:rsid w:val="001652AD"/>
    <w:rsid w:val="001653CF"/>
    <w:rsid w:val="001653E2"/>
    <w:rsid w:val="00165AB8"/>
    <w:rsid w:val="001661E3"/>
    <w:rsid w:val="00167B31"/>
    <w:rsid w:val="00167DC6"/>
    <w:rsid w:val="00170B3A"/>
    <w:rsid w:val="0017126C"/>
    <w:rsid w:val="0017142B"/>
    <w:rsid w:val="001716B3"/>
    <w:rsid w:val="0017170E"/>
    <w:rsid w:val="00171DE0"/>
    <w:rsid w:val="0017266A"/>
    <w:rsid w:val="001729FA"/>
    <w:rsid w:val="00172BCD"/>
    <w:rsid w:val="00173AF5"/>
    <w:rsid w:val="00174EA0"/>
    <w:rsid w:val="001750EF"/>
    <w:rsid w:val="001767C1"/>
    <w:rsid w:val="001775ED"/>
    <w:rsid w:val="0017785B"/>
    <w:rsid w:val="00177A00"/>
    <w:rsid w:val="00180165"/>
    <w:rsid w:val="001807EA"/>
    <w:rsid w:val="00180E0F"/>
    <w:rsid w:val="00181027"/>
    <w:rsid w:val="00181942"/>
    <w:rsid w:val="001819F7"/>
    <w:rsid w:val="00181F8A"/>
    <w:rsid w:val="001820CF"/>
    <w:rsid w:val="00182544"/>
    <w:rsid w:val="00183CA3"/>
    <w:rsid w:val="0018445F"/>
    <w:rsid w:val="00184ADF"/>
    <w:rsid w:val="001861E8"/>
    <w:rsid w:val="00186410"/>
    <w:rsid w:val="0018747A"/>
    <w:rsid w:val="00187B5E"/>
    <w:rsid w:val="00190A1A"/>
    <w:rsid w:val="00191A55"/>
    <w:rsid w:val="00193809"/>
    <w:rsid w:val="00193D5B"/>
    <w:rsid w:val="00193EAD"/>
    <w:rsid w:val="0019484C"/>
    <w:rsid w:val="00194CC1"/>
    <w:rsid w:val="001954F6"/>
    <w:rsid w:val="0019597D"/>
    <w:rsid w:val="00197426"/>
    <w:rsid w:val="001A1FF2"/>
    <w:rsid w:val="001A224E"/>
    <w:rsid w:val="001A28B2"/>
    <w:rsid w:val="001A2CDB"/>
    <w:rsid w:val="001A2F6B"/>
    <w:rsid w:val="001A33B4"/>
    <w:rsid w:val="001A355E"/>
    <w:rsid w:val="001A3729"/>
    <w:rsid w:val="001A3C87"/>
    <w:rsid w:val="001A3E13"/>
    <w:rsid w:val="001A549E"/>
    <w:rsid w:val="001A67F1"/>
    <w:rsid w:val="001A7534"/>
    <w:rsid w:val="001A7974"/>
    <w:rsid w:val="001A7D78"/>
    <w:rsid w:val="001B04DF"/>
    <w:rsid w:val="001B09CB"/>
    <w:rsid w:val="001B0EE3"/>
    <w:rsid w:val="001B1618"/>
    <w:rsid w:val="001B1C23"/>
    <w:rsid w:val="001B25CE"/>
    <w:rsid w:val="001B25D7"/>
    <w:rsid w:val="001B2A9C"/>
    <w:rsid w:val="001B303C"/>
    <w:rsid w:val="001B367F"/>
    <w:rsid w:val="001B3728"/>
    <w:rsid w:val="001B4B6D"/>
    <w:rsid w:val="001B597E"/>
    <w:rsid w:val="001C20D5"/>
    <w:rsid w:val="001C21BC"/>
    <w:rsid w:val="001C26D2"/>
    <w:rsid w:val="001C3405"/>
    <w:rsid w:val="001C3E48"/>
    <w:rsid w:val="001C42BA"/>
    <w:rsid w:val="001C472E"/>
    <w:rsid w:val="001C5095"/>
    <w:rsid w:val="001C703D"/>
    <w:rsid w:val="001C7D61"/>
    <w:rsid w:val="001C7FA1"/>
    <w:rsid w:val="001D0B74"/>
    <w:rsid w:val="001D0BD9"/>
    <w:rsid w:val="001D3A0C"/>
    <w:rsid w:val="001D4070"/>
    <w:rsid w:val="001D423E"/>
    <w:rsid w:val="001D4349"/>
    <w:rsid w:val="001D5091"/>
    <w:rsid w:val="001D5758"/>
    <w:rsid w:val="001D6481"/>
    <w:rsid w:val="001D6FEA"/>
    <w:rsid w:val="001D73C8"/>
    <w:rsid w:val="001D74A0"/>
    <w:rsid w:val="001D7AC2"/>
    <w:rsid w:val="001D7B24"/>
    <w:rsid w:val="001E169C"/>
    <w:rsid w:val="001E355D"/>
    <w:rsid w:val="001E37E1"/>
    <w:rsid w:val="001E4360"/>
    <w:rsid w:val="001E4744"/>
    <w:rsid w:val="001E4975"/>
    <w:rsid w:val="001E4DB0"/>
    <w:rsid w:val="001E59A1"/>
    <w:rsid w:val="001E7A62"/>
    <w:rsid w:val="001E7C44"/>
    <w:rsid w:val="001F0347"/>
    <w:rsid w:val="001F04EE"/>
    <w:rsid w:val="001F09A3"/>
    <w:rsid w:val="001F0C32"/>
    <w:rsid w:val="001F0EA6"/>
    <w:rsid w:val="001F1F70"/>
    <w:rsid w:val="001F2382"/>
    <w:rsid w:val="001F2478"/>
    <w:rsid w:val="001F363C"/>
    <w:rsid w:val="001F3DF9"/>
    <w:rsid w:val="001F4FB0"/>
    <w:rsid w:val="001F5820"/>
    <w:rsid w:val="001F5ABC"/>
    <w:rsid w:val="001F5B86"/>
    <w:rsid w:val="001F5CCA"/>
    <w:rsid w:val="001F629D"/>
    <w:rsid w:val="001F639F"/>
    <w:rsid w:val="001F64B3"/>
    <w:rsid w:val="001F6D9A"/>
    <w:rsid w:val="001F6E21"/>
    <w:rsid w:val="002005F3"/>
    <w:rsid w:val="00200887"/>
    <w:rsid w:val="00200F56"/>
    <w:rsid w:val="00200FA3"/>
    <w:rsid w:val="002012F3"/>
    <w:rsid w:val="00203797"/>
    <w:rsid w:val="00203A49"/>
    <w:rsid w:val="002040CF"/>
    <w:rsid w:val="002072E3"/>
    <w:rsid w:val="00207888"/>
    <w:rsid w:val="00207C56"/>
    <w:rsid w:val="002105AE"/>
    <w:rsid w:val="0021117C"/>
    <w:rsid w:val="002112A7"/>
    <w:rsid w:val="002114A8"/>
    <w:rsid w:val="00211A37"/>
    <w:rsid w:val="00212B63"/>
    <w:rsid w:val="00212E45"/>
    <w:rsid w:val="00213202"/>
    <w:rsid w:val="00213728"/>
    <w:rsid w:val="002138BE"/>
    <w:rsid w:val="002141CB"/>
    <w:rsid w:val="00214C63"/>
    <w:rsid w:val="00214C76"/>
    <w:rsid w:val="00214D51"/>
    <w:rsid w:val="00214EDD"/>
    <w:rsid w:val="002152A4"/>
    <w:rsid w:val="00215A0F"/>
    <w:rsid w:val="00215D8B"/>
    <w:rsid w:val="00216125"/>
    <w:rsid w:val="0021785C"/>
    <w:rsid w:val="00217A9D"/>
    <w:rsid w:val="00217B20"/>
    <w:rsid w:val="00217B52"/>
    <w:rsid w:val="00220776"/>
    <w:rsid w:val="0022078C"/>
    <w:rsid w:val="00220A91"/>
    <w:rsid w:val="00222A52"/>
    <w:rsid w:val="00222C75"/>
    <w:rsid w:val="002233CB"/>
    <w:rsid w:val="002235FA"/>
    <w:rsid w:val="00223D49"/>
    <w:rsid w:val="00224085"/>
    <w:rsid w:val="00224893"/>
    <w:rsid w:val="00225E90"/>
    <w:rsid w:val="0022618F"/>
    <w:rsid w:val="00226804"/>
    <w:rsid w:val="00227833"/>
    <w:rsid w:val="002308CA"/>
    <w:rsid w:val="00231082"/>
    <w:rsid w:val="00231BD6"/>
    <w:rsid w:val="00234C99"/>
    <w:rsid w:val="0023569D"/>
    <w:rsid w:val="00235D96"/>
    <w:rsid w:val="00236386"/>
    <w:rsid w:val="00236AE9"/>
    <w:rsid w:val="00236E25"/>
    <w:rsid w:val="0024032F"/>
    <w:rsid w:val="00240970"/>
    <w:rsid w:val="00241232"/>
    <w:rsid w:val="00241CD2"/>
    <w:rsid w:val="0024235D"/>
    <w:rsid w:val="00242502"/>
    <w:rsid w:val="00242EE8"/>
    <w:rsid w:val="002452EF"/>
    <w:rsid w:val="0024567B"/>
    <w:rsid w:val="0024592F"/>
    <w:rsid w:val="002460A6"/>
    <w:rsid w:val="00247A39"/>
    <w:rsid w:val="002510EA"/>
    <w:rsid w:val="00251491"/>
    <w:rsid w:val="00252F79"/>
    <w:rsid w:val="0025306B"/>
    <w:rsid w:val="00253891"/>
    <w:rsid w:val="00255477"/>
    <w:rsid w:val="00256248"/>
    <w:rsid w:val="00256F10"/>
    <w:rsid w:val="00257B49"/>
    <w:rsid w:val="00260609"/>
    <w:rsid w:val="00260D17"/>
    <w:rsid w:val="002615C7"/>
    <w:rsid w:val="00262D4F"/>
    <w:rsid w:val="00263A5E"/>
    <w:rsid w:val="00263EBC"/>
    <w:rsid w:val="002661C0"/>
    <w:rsid w:val="00266214"/>
    <w:rsid w:val="0026627D"/>
    <w:rsid w:val="0026637B"/>
    <w:rsid w:val="00270578"/>
    <w:rsid w:val="002706E8"/>
    <w:rsid w:val="00270C57"/>
    <w:rsid w:val="00271450"/>
    <w:rsid w:val="00272126"/>
    <w:rsid w:val="00272788"/>
    <w:rsid w:val="002732AC"/>
    <w:rsid w:val="00274AC9"/>
    <w:rsid w:val="00275293"/>
    <w:rsid w:val="002766F0"/>
    <w:rsid w:val="00276C86"/>
    <w:rsid w:val="00276EBC"/>
    <w:rsid w:val="00277074"/>
    <w:rsid w:val="00277D9C"/>
    <w:rsid w:val="0028006A"/>
    <w:rsid w:val="002803D7"/>
    <w:rsid w:val="0028105E"/>
    <w:rsid w:val="002810E5"/>
    <w:rsid w:val="00281D2A"/>
    <w:rsid w:val="00282BC0"/>
    <w:rsid w:val="00285794"/>
    <w:rsid w:val="002859C8"/>
    <w:rsid w:val="002861C2"/>
    <w:rsid w:val="002866D2"/>
    <w:rsid w:val="00286970"/>
    <w:rsid w:val="00287916"/>
    <w:rsid w:val="00291690"/>
    <w:rsid w:val="002918ED"/>
    <w:rsid w:val="00291B97"/>
    <w:rsid w:val="00291BEB"/>
    <w:rsid w:val="00291CFE"/>
    <w:rsid w:val="00292BCC"/>
    <w:rsid w:val="00293A43"/>
    <w:rsid w:val="00293D43"/>
    <w:rsid w:val="002944DD"/>
    <w:rsid w:val="002955FC"/>
    <w:rsid w:val="00295BB2"/>
    <w:rsid w:val="002967DF"/>
    <w:rsid w:val="00297E29"/>
    <w:rsid w:val="002A064D"/>
    <w:rsid w:val="002A1350"/>
    <w:rsid w:val="002A13F0"/>
    <w:rsid w:val="002A2B31"/>
    <w:rsid w:val="002A3DE8"/>
    <w:rsid w:val="002A4693"/>
    <w:rsid w:val="002A4754"/>
    <w:rsid w:val="002A64D5"/>
    <w:rsid w:val="002A6B08"/>
    <w:rsid w:val="002A740B"/>
    <w:rsid w:val="002A76E0"/>
    <w:rsid w:val="002B06A3"/>
    <w:rsid w:val="002B06D8"/>
    <w:rsid w:val="002B0ECD"/>
    <w:rsid w:val="002B164B"/>
    <w:rsid w:val="002B1A02"/>
    <w:rsid w:val="002B2170"/>
    <w:rsid w:val="002B2C2E"/>
    <w:rsid w:val="002B2D4B"/>
    <w:rsid w:val="002B3D06"/>
    <w:rsid w:val="002B4013"/>
    <w:rsid w:val="002B547A"/>
    <w:rsid w:val="002B5A6D"/>
    <w:rsid w:val="002B6DCF"/>
    <w:rsid w:val="002B7325"/>
    <w:rsid w:val="002C01C2"/>
    <w:rsid w:val="002C0967"/>
    <w:rsid w:val="002C110F"/>
    <w:rsid w:val="002C1908"/>
    <w:rsid w:val="002C2A06"/>
    <w:rsid w:val="002C2A9B"/>
    <w:rsid w:val="002C354F"/>
    <w:rsid w:val="002C4FBC"/>
    <w:rsid w:val="002C593E"/>
    <w:rsid w:val="002C691D"/>
    <w:rsid w:val="002C6FFF"/>
    <w:rsid w:val="002C7AAE"/>
    <w:rsid w:val="002D0579"/>
    <w:rsid w:val="002D147D"/>
    <w:rsid w:val="002D213A"/>
    <w:rsid w:val="002D3191"/>
    <w:rsid w:val="002D3530"/>
    <w:rsid w:val="002D35BD"/>
    <w:rsid w:val="002D3A43"/>
    <w:rsid w:val="002D438E"/>
    <w:rsid w:val="002D4C9D"/>
    <w:rsid w:val="002D4E19"/>
    <w:rsid w:val="002D5361"/>
    <w:rsid w:val="002D56C2"/>
    <w:rsid w:val="002D6666"/>
    <w:rsid w:val="002E167B"/>
    <w:rsid w:val="002E23E9"/>
    <w:rsid w:val="002E3E80"/>
    <w:rsid w:val="002E5548"/>
    <w:rsid w:val="002E60A4"/>
    <w:rsid w:val="002E6E18"/>
    <w:rsid w:val="002F0FFF"/>
    <w:rsid w:val="002F2B5C"/>
    <w:rsid w:val="002F2D79"/>
    <w:rsid w:val="002F2E43"/>
    <w:rsid w:val="002F33F2"/>
    <w:rsid w:val="002F3671"/>
    <w:rsid w:val="002F3C0E"/>
    <w:rsid w:val="002F4C48"/>
    <w:rsid w:val="002F4C8F"/>
    <w:rsid w:val="002F514F"/>
    <w:rsid w:val="002F5204"/>
    <w:rsid w:val="002F6661"/>
    <w:rsid w:val="002F6DD4"/>
    <w:rsid w:val="003005F5"/>
    <w:rsid w:val="00300FC0"/>
    <w:rsid w:val="003014E4"/>
    <w:rsid w:val="00302560"/>
    <w:rsid w:val="00303795"/>
    <w:rsid w:val="00303AB8"/>
    <w:rsid w:val="00304824"/>
    <w:rsid w:val="00304CC8"/>
    <w:rsid w:val="00305071"/>
    <w:rsid w:val="003060B5"/>
    <w:rsid w:val="003062AD"/>
    <w:rsid w:val="00306359"/>
    <w:rsid w:val="00306832"/>
    <w:rsid w:val="00307C9A"/>
    <w:rsid w:val="00310268"/>
    <w:rsid w:val="0031261A"/>
    <w:rsid w:val="00312865"/>
    <w:rsid w:val="00312F15"/>
    <w:rsid w:val="003139F0"/>
    <w:rsid w:val="0031421C"/>
    <w:rsid w:val="00314907"/>
    <w:rsid w:val="00316AAA"/>
    <w:rsid w:val="00316CEE"/>
    <w:rsid w:val="00316EEA"/>
    <w:rsid w:val="003175DC"/>
    <w:rsid w:val="00320920"/>
    <w:rsid w:val="00321858"/>
    <w:rsid w:val="003223B1"/>
    <w:rsid w:val="00322E5F"/>
    <w:rsid w:val="00323190"/>
    <w:rsid w:val="00324684"/>
    <w:rsid w:val="00325C88"/>
    <w:rsid w:val="00325F87"/>
    <w:rsid w:val="003266CA"/>
    <w:rsid w:val="0032673B"/>
    <w:rsid w:val="003304BD"/>
    <w:rsid w:val="00331066"/>
    <w:rsid w:val="003327F5"/>
    <w:rsid w:val="0033350C"/>
    <w:rsid w:val="00334523"/>
    <w:rsid w:val="00334630"/>
    <w:rsid w:val="00334886"/>
    <w:rsid w:val="00335243"/>
    <w:rsid w:val="003372E3"/>
    <w:rsid w:val="00337F27"/>
    <w:rsid w:val="00341467"/>
    <w:rsid w:val="003427BC"/>
    <w:rsid w:val="003433AA"/>
    <w:rsid w:val="00343A7E"/>
    <w:rsid w:val="0034401E"/>
    <w:rsid w:val="00344146"/>
    <w:rsid w:val="00344360"/>
    <w:rsid w:val="00344DD9"/>
    <w:rsid w:val="00345416"/>
    <w:rsid w:val="00345583"/>
    <w:rsid w:val="0034617C"/>
    <w:rsid w:val="00346465"/>
    <w:rsid w:val="0034713F"/>
    <w:rsid w:val="003507B8"/>
    <w:rsid w:val="003532E0"/>
    <w:rsid w:val="00353313"/>
    <w:rsid w:val="0035496D"/>
    <w:rsid w:val="00354BFE"/>
    <w:rsid w:val="0035566D"/>
    <w:rsid w:val="003558FC"/>
    <w:rsid w:val="00355955"/>
    <w:rsid w:val="00355AAC"/>
    <w:rsid w:val="00361640"/>
    <w:rsid w:val="00362D5B"/>
    <w:rsid w:val="0036367A"/>
    <w:rsid w:val="0036558D"/>
    <w:rsid w:val="00365B88"/>
    <w:rsid w:val="00366A40"/>
    <w:rsid w:val="00367EA8"/>
    <w:rsid w:val="00370654"/>
    <w:rsid w:val="003743A1"/>
    <w:rsid w:val="0038028E"/>
    <w:rsid w:val="00380512"/>
    <w:rsid w:val="00380D00"/>
    <w:rsid w:val="003810D6"/>
    <w:rsid w:val="00381151"/>
    <w:rsid w:val="00381B9D"/>
    <w:rsid w:val="003838C2"/>
    <w:rsid w:val="00383DAB"/>
    <w:rsid w:val="00385818"/>
    <w:rsid w:val="00386A7E"/>
    <w:rsid w:val="00387A24"/>
    <w:rsid w:val="00387F14"/>
    <w:rsid w:val="00390487"/>
    <w:rsid w:val="0039084D"/>
    <w:rsid w:val="00390F12"/>
    <w:rsid w:val="003910FF"/>
    <w:rsid w:val="00391ACB"/>
    <w:rsid w:val="00391B74"/>
    <w:rsid w:val="00391DAE"/>
    <w:rsid w:val="00392B37"/>
    <w:rsid w:val="00392B39"/>
    <w:rsid w:val="00392D5E"/>
    <w:rsid w:val="0039446D"/>
    <w:rsid w:val="003947BB"/>
    <w:rsid w:val="00395E78"/>
    <w:rsid w:val="00396B70"/>
    <w:rsid w:val="00397155"/>
    <w:rsid w:val="00397D5B"/>
    <w:rsid w:val="003A025E"/>
    <w:rsid w:val="003A0BF9"/>
    <w:rsid w:val="003A0E49"/>
    <w:rsid w:val="003A140E"/>
    <w:rsid w:val="003A1553"/>
    <w:rsid w:val="003A1E3D"/>
    <w:rsid w:val="003A2FAF"/>
    <w:rsid w:val="003A337F"/>
    <w:rsid w:val="003A54AB"/>
    <w:rsid w:val="003A6814"/>
    <w:rsid w:val="003A7255"/>
    <w:rsid w:val="003A76E1"/>
    <w:rsid w:val="003A7870"/>
    <w:rsid w:val="003B067C"/>
    <w:rsid w:val="003B0833"/>
    <w:rsid w:val="003B0B03"/>
    <w:rsid w:val="003B1C8E"/>
    <w:rsid w:val="003B246C"/>
    <w:rsid w:val="003B4DB1"/>
    <w:rsid w:val="003B4FE3"/>
    <w:rsid w:val="003B529A"/>
    <w:rsid w:val="003B5990"/>
    <w:rsid w:val="003B5BBD"/>
    <w:rsid w:val="003B6C85"/>
    <w:rsid w:val="003B70EB"/>
    <w:rsid w:val="003B7196"/>
    <w:rsid w:val="003B7279"/>
    <w:rsid w:val="003B76E4"/>
    <w:rsid w:val="003B7B19"/>
    <w:rsid w:val="003C04C3"/>
    <w:rsid w:val="003C0713"/>
    <w:rsid w:val="003C0A37"/>
    <w:rsid w:val="003C0CFE"/>
    <w:rsid w:val="003C10CA"/>
    <w:rsid w:val="003C1BFC"/>
    <w:rsid w:val="003C25E6"/>
    <w:rsid w:val="003C28BC"/>
    <w:rsid w:val="003C318F"/>
    <w:rsid w:val="003C441C"/>
    <w:rsid w:val="003C580D"/>
    <w:rsid w:val="003C58B2"/>
    <w:rsid w:val="003C6345"/>
    <w:rsid w:val="003C719C"/>
    <w:rsid w:val="003C7696"/>
    <w:rsid w:val="003C7C23"/>
    <w:rsid w:val="003D009E"/>
    <w:rsid w:val="003D11F9"/>
    <w:rsid w:val="003D161C"/>
    <w:rsid w:val="003D1AAE"/>
    <w:rsid w:val="003D2C1A"/>
    <w:rsid w:val="003D2F40"/>
    <w:rsid w:val="003D3140"/>
    <w:rsid w:val="003D394D"/>
    <w:rsid w:val="003D4E08"/>
    <w:rsid w:val="003D510E"/>
    <w:rsid w:val="003D56CC"/>
    <w:rsid w:val="003D684E"/>
    <w:rsid w:val="003D7387"/>
    <w:rsid w:val="003D77BD"/>
    <w:rsid w:val="003D7C98"/>
    <w:rsid w:val="003E17FD"/>
    <w:rsid w:val="003E2671"/>
    <w:rsid w:val="003E3C6D"/>
    <w:rsid w:val="003E3FC5"/>
    <w:rsid w:val="003E5AC1"/>
    <w:rsid w:val="003E64BB"/>
    <w:rsid w:val="003E6600"/>
    <w:rsid w:val="003E7063"/>
    <w:rsid w:val="003E76CE"/>
    <w:rsid w:val="003E79F7"/>
    <w:rsid w:val="003F01E4"/>
    <w:rsid w:val="003F0DDE"/>
    <w:rsid w:val="003F15E9"/>
    <w:rsid w:val="003F161D"/>
    <w:rsid w:val="003F2C1E"/>
    <w:rsid w:val="003F515A"/>
    <w:rsid w:val="003F5AC0"/>
    <w:rsid w:val="003F650D"/>
    <w:rsid w:val="0040054E"/>
    <w:rsid w:val="00400925"/>
    <w:rsid w:val="00400DE8"/>
    <w:rsid w:val="004012BE"/>
    <w:rsid w:val="00401BE7"/>
    <w:rsid w:val="00402C19"/>
    <w:rsid w:val="00403169"/>
    <w:rsid w:val="00403BBE"/>
    <w:rsid w:val="004043E9"/>
    <w:rsid w:val="00404A6B"/>
    <w:rsid w:val="004060A2"/>
    <w:rsid w:val="00406808"/>
    <w:rsid w:val="00410F64"/>
    <w:rsid w:val="00411212"/>
    <w:rsid w:val="00411787"/>
    <w:rsid w:val="00414489"/>
    <w:rsid w:val="004152B8"/>
    <w:rsid w:val="004154C4"/>
    <w:rsid w:val="00415771"/>
    <w:rsid w:val="00415BEA"/>
    <w:rsid w:val="00415C84"/>
    <w:rsid w:val="004203EF"/>
    <w:rsid w:val="00421150"/>
    <w:rsid w:val="00422DB7"/>
    <w:rsid w:val="00423FBD"/>
    <w:rsid w:val="00424716"/>
    <w:rsid w:val="00424CB2"/>
    <w:rsid w:val="00425DAB"/>
    <w:rsid w:val="00427592"/>
    <w:rsid w:val="00427DE7"/>
    <w:rsid w:val="0043192B"/>
    <w:rsid w:val="00432884"/>
    <w:rsid w:val="00433E94"/>
    <w:rsid w:val="00434962"/>
    <w:rsid w:val="00434AC5"/>
    <w:rsid w:val="004350B7"/>
    <w:rsid w:val="004353BC"/>
    <w:rsid w:val="00435855"/>
    <w:rsid w:val="00435B44"/>
    <w:rsid w:val="00436AC5"/>
    <w:rsid w:val="004376A6"/>
    <w:rsid w:val="0044142A"/>
    <w:rsid w:val="004415E0"/>
    <w:rsid w:val="00441B73"/>
    <w:rsid w:val="00442ABB"/>
    <w:rsid w:val="004438DD"/>
    <w:rsid w:val="004440BC"/>
    <w:rsid w:val="00444CA3"/>
    <w:rsid w:val="004454CA"/>
    <w:rsid w:val="00445CD3"/>
    <w:rsid w:val="00445EA5"/>
    <w:rsid w:val="00447BF2"/>
    <w:rsid w:val="0045073A"/>
    <w:rsid w:val="00450D47"/>
    <w:rsid w:val="00451A6A"/>
    <w:rsid w:val="0045318F"/>
    <w:rsid w:val="004533A5"/>
    <w:rsid w:val="00453711"/>
    <w:rsid w:val="00453D33"/>
    <w:rsid w:val="00455B8E"/>
    <w:rsid w:val="00455E90"/>
    <w:rsid w:val="00456856"/>
    <w:rsid w:val="004572C6"/>
    <w:rsid w:val="0045751E"/>
    <w:rsid w:val="00457A0A"/>
    <w:rsid w:val="00457ED5"/>
    <w:rsid w:val="004602FB"/>
    <w:rsid w:val="00460C68"/>
    <w:rsid w:val="0046132C"/>
    <w:rsid w:val="004616BE"/>
    <w:rsid w:val="00461AA2"/>
    <w:rsid w:val="00462560"/>
    <w:rsid w:val="00463202"/>
    <w:rsid w:val="00463979"/>
    <w:rsid w:val="0046416D"/>
    <w:rsid w:val="00465DB7"/>
    <w:rsid w:val="00465EB2"/>
    <w:rsid w:val="0046665C"/>
    <w:rsid w:val="00467D90"/>
    <w:rsid w:val="00470153"/>
    <w:rsid w:val="00470252"/>
    <w:rsid w:val="00470615"/>
    <w:rsid w:val="004707BE"/>
    <w:rsid w:val="004713B6"/>
    <w:rsid w:val="00471720"/>
    <w:rsid w:val="004718A6"/>
    <w:rsid w:val="004725EA"/>
    <w:rsid w:val="00472611"/>
    <w:rsid w:val="00473C60"/>
    <w:rsid w:val="00474C9D"/>
    <w:rsid w:val="00474E89"/>
    <w:rsid w:val="00475781"/>
    <w:rsid w:val="00476378"/>
    <w:rsid w:val="004768B2"/>
    <w:rsid w:val="00476C97"/>
    <w:rsid w:val="00477641"/>
    <w:rsid w:val="00477683"/>
    <w:rsid w:val="004776FB"/>
    <w:rsid w:val="00477A8D"/>
    <w:rsid w:val="004820E5"/>
    <w:rsid w:val="0048220D"/>
    <w:rsid w:val="00482EC4"/>
    <w:rsid w:val="004830D3"/>
    <w:rsid w:val="00483F9F"/>
    <w:rsid w:val="004847A6"/>
    <w:rsid w:val="00485A18"/>
    <w:rsid w:val="00485B04"/>
    <w:rsid w:val="00486FE6"/>
    <w:rsid w:val="0049097D"/>
    <w:rsid w:val="00490DE7"/>
    <w:rsid w:val="00491D3E"/>
    <w:rsid w:val="00493337"/>
    <w:rsid w:val="004934A5"/>
    <w:rsid w:val="00493B98"/>
    <w:rsid w:val="00493C10"/>
    <w:rsid w:val="00493C4D"/>
    <w:rsid w:val="00493E21"/>
    <w:rsid w:val="00494964"/>
    <w:rsid w:val="00495788"/>
    <w:rsid w:val="00495E11"/>
    <w:rsid w:val="004964C3"/>
    <w:rsid w:val="00496784"/>
    <w:rsid w:val="00496BF8"/>
    <w:rsid w:val="00496D4A"/>
    <w:rsid w:val="0049704C"/>
    <w:rsid w:val="00497221"/>
    <w:rsid w:val="0049731D"/>
    <w:rsid w:val="004A0837"/>
    <w:rsid w:val="004A1AE4"/>
    <w:rsid w:val="004A2104"/>
    <w:rsid w:val="004A38E0"/>
    <w:rsid w:val="004A3CB4"/>
    <w:rsid w:val="004A4ACE"/>
    <w:rsid w:val="004A61A5"/>
    <w:rsid w:val="004A68E8"/>
    <w:rsid w:val="004A71D5"/>
    <w:rsid w:val="004A73D9"/>
    <w:rsid w:val="004A7627"/>
    <w:rsid w:val="004B0149"/>
    <w:rsid w:val="004B0363"/>
    <w:rsid w:val="004B0495"/>
    <w:rsid w:val="004B0B00"/>
    <w:rsid w:val="004B0B98"/>
    <w:rsid w:val="004B25B5"/>
    <w:rsid w:val="004B2FBC"/>
    <w:rsid w:val="004B42A6"/>
    <w:rsid w:val="004B4695"/>
    <w:rsid w:val="004B4DEA"/>
    <w:rsid w:val="004B593C"/>
    <w:rsid w:val="004B5DFE"/>
    <w:rsid w:val="004C22F3"/>
    <w:rsid w:val="004C2B6A"/>
    <w:rsid w:val="004C3D9C"/>
    <w:rsid w:val="004C474F"/>
    <w:rsid w:val="004C47E2"/>
    <w:rsid w:val="004C555A"/>
    <w:rsid w:val="004C63F8"/>
    <w:rsid w:val="004D05E9"/>
    <w:rsid w:val="004D21A4"/>
    <w:rsid w:val="004D27DC"/>
    <w:rsid w:val="004D27F2"/>
    <w:rsid w:val="004D33C5"/>
    <w:rsid w:val="004D3B1B"/>
    <w:rsid w:val="004D575D"/>
    <w:rsid w:val="004D660C"/>
    <w:rsid w:val="004D7D8F"/>
    <w:rsid w:val="004E0DBF"/>
    <w:rsid w:val="004E1ED2"/>
    <w:rsid w:val="004E353C"/>
    <w:rsid w:val="004E3C0F"/>
    <w:rsid w:val="004E442E"/>
    <w:rsid w:val="004E5419"/>
    <w:rsid w:val="004E5477"/>
    <w:rsid w:val="004E577A"/>
    <w:rsid w:val="004E6CA4"/>
    <w:rsid w:val="004E773B"/>
    <w:rsid w:val="004E77F4"/>
    <w:rsid w:val="004F1056"/>
    <w:rsid w:val="004F21E4"/>
    <w:rsid w:val="004F220B"/>
    <w:rsid w:val="004F247F"/>
    <w:rsid w:val="004F2A4C"/>
    <w:rsid w:val="004F3887"/>
    <w:rsid w:val="004F3B8E"/>
    <w:rsid w:val="004F4A85"/>
    <w:rsid w:val="004F4BB8"/>
    <w:rsid w:val="004F553F"/>
    <w:rsid w:val="004F5A0B"/>
    <w:rsid w:val="004F69B7"/>
    <w:rsid w:val="004F7223"/>
    <w:rsid w:val="004F75C9"/>
    <w:rsid w:val="004F7DFE"/>
    <w:rsid w:val="00500842"/>
    <w:rsid w:val="005008DE"/>
    <w:rsid w:val="00500934"/>
    <w:rsid w:val="0050190C"/>
    <w:rsid w:val="00501972"/>
    <w:rsid w:val="00501BED"/>
    <w:rsid w:val="0050278F"/>
    <w:rsid w:val="0050284F"/>
    <w:rsid w:val="00502E47"/>
    <w:rsid w:val="00504A4B"/>
    <w:rsid w:val="00505FEC"/>
    <w:rsid w:val="00506735"/>
    <w:rsid w:val="00507B3D"/>
    <w:rsid w:val="00507DE4"/>
    <w:rsid w:val="005108CE"/>
    <w:rsid w:val="00512A8C"/>
    <w:rsid w:val="0051326D"/>
    <w:rsid w:val="005141F7"/>
    <w:rsid w:val="00514C81"/>
    <w:rsid w:val="005156A1"/>
    <w:rsid w:val="005156E6"/>
    <w:rsid w:val="005164B2"/>
    <w:rsid w:val="0051656E"/>
    <w:rsid w:val="00516A02"/>
    <w:rsid w:val="00516DCA"/>
    <w:rsid w:val="0051738D"/>
    <w:rsid w:val="00520566"/>
    <w:rsid w:val="005223E6"/>
    <w:rsid w:val="005229AF"/>
    <w:rsid w:val="00522DF6"/>
    <w:rsid w:val="00523B3F"/>
    <w:rsid w:val="00524424"/>
    <w:rsid w:val="00524628"/>
    <w:rsid w:val="00526470"/>
    <w:rsid w:val="00526A64"/>
    <w:rsid w:val="00526C47"/>
    <w:rsid w:val="00527406"/>
    <w:rsid w:val="00527869"/>
    <w:rsid w:val="00527C9C"/>
    <w:rsid w:val="00527DA3"/>
    <w:rsid w:val="005304A2"/>
    <w:rsid w:val="00530539"/>
    <w:rsid w:val="005306B4"/>
    <w:rsid w:val="00530ED1"/>
    <w:rsid w:val="005310AD"/>
    <w:rsid w:val="0053184C"/>
    <w:rsid w:val="00531CA9"/>
    <w:rsid w:val="005321D4"/>
    <w:rsid w:val="0053221C"/>
    <w:rsid w:val="00532258"/>
    <w:rsid w:val="00532356"/>
    <w:rsid w:val="005323E6"/>
    <w:rsid w:val="00533C65"/>
    <w:rsid w:val="005355F8"/>
    <w:rsid w:val="005357D1"/>
    <w:rsid w:val="00535A95"/>
    <w:rsid w:val="00535CCF"/>
    <w:rsid w:val="00535E9E"/>
    <w:rsid w:val="005363E5"/>
    <w:rsid w:val="00536A44"/>
    <w:rsid w:val="00540022"/>
    <w:rsid w:val="0054007A"/>
    <w:rsid w:val="0054153E"/>
    <w:rsid w:val="00541618"/>
    <w:rsid w:val="00541876"/>
    <w:rsid w:val="00541F6B"/>
    <w:rsid w:val="00542787"/>
    <w:rsid w:val="005427E9"/>
    <w:rsid w:val="00542F7A"/>
    <w:rsid w:val="00543A10"/>
    <w:rsid w:val="0054456F"/>
    <w:rsid w:val="0054462A"/>
    <w:rsid w:val="00544A06"/>
    <w:rsid w:val="00544E81"/>
    <w:rsid w:val="00545579"/>
    <w:rsid w:val="00545982"/>
    <w:rsid w:val="00546052"/>
    <w:rsid w:val="00546E77"/>
    <w:rsid w:val="00547774"/>
    <w:rsid w:val="00547A5E"/>
    <w:rsid w:val="00547A95"/>
    <w:rsid w:val="00547F93"/>
    <w:rsid w:val="005502D8"/>
    <w:rsid w:val="00550AE6"/>
    <w:rsid w:val="005512ED"/>
    <w:rsid w:val="0055155D"/>
    <w:rsid w:val="00551FD4"/>
    <w:rsid w:val="00552F1D"/>
    <w:rsid w:val="00553D94"/>
    <w:rsid w:val="00554608"/>
    <w:rsid w:val="0055494D"/>
    <w:rsid w:val="00554EFF"/>
    <w:rsid w:val="00555460"/>
    <w:rsid w:val="00555610"/>
    <w:rsid w:val="00555B68"/>
    <w:rsid w:val="00555F7E"/>
    <w:rsid w:val="00556D4F"/>
    <w:rsid w:val="00556E7B"/>
    <w:rsid w:val="00557623"/>
    <w:rsid w:val="00560812"/>
    <w:rsid w:val="00560825"/>
    <w:rsid w:val="00563A34"/>
    <w:rsid w:val="00564676"/>
    <w:rsid w:val="005670B9"/>
    <w:rsid w:val="00567B15"/>
    <w:rsid w:val="005704DF"/>
    <w:rsid w:val="00571B90"/>
    <w:rsid w:val="005731FD"/>
    <w:rsid w:val="00573476"/>
    <w:rsid w:val="00573B09"/>
    <w:rsid w:val="00574386"/>
    <w:rsid w:val="005744F1"/>
    <w:rsid w:val="0057638A"/>
    <w:rsid w:val="005765D6"/>
    <w:rsid w:val="0057661B"/>
    <w:rsid w:val="00576F2D"/>
    <w:rsid w:val="00577B3F"/>
    <w:rsid w:val="0058069B"/>
    <w:rsid w:val="00580EBC"/>
    <w:rsid w:val="00581B2F"/>
    <w:rsid w:val="00584302"/>
    <w:rsid w:val="00584A63"/>
    <w:rsid w:val="005856A1"/>
    <w:rsid w:val="00587D8B"/>
    <w:rsid w:val="00590B3A"/>
    <w:rsid w:val="005910A2"/>
    <w:rsid w:val="00591A84"/>
    <w:rsid w:val="00591B31"/>
    <w:rsid w:val="0059233A"/>
    <w:rsid w:val="005925E3"/>
    <w:rsid w:val="00592899"/>
    <w:rsid w:val="00594860"/>
    <w:rsid w:val="0059492F"/>
    <w:rsid w:val="0059586B"/>
    <w:rsid w:val="005962CC"/>
    <w:rsid w:val="00596902"/>
    <w:rsid w:val="005970B8"/>
    <w:rsid w:val="00597407"/>
    <w:rsid w:val="005A0503"/>
    <w:rsid w:val="005A13CE"/>
    <w:rsid w:val="005A1A9F"/>
    <w:rsid w:val="005A32C6"/>
    <w:rsid w:val="005A36DE"/>
    <w:rsid w:val="005A3C78"/>
    <w:rsid w:val="005A4BB6"/>
    <w:rsid w:val="005A4E5E"/>
    <w:rsid w:val="005A6DAC"/>
    <w:rsid w:val="005B0B43"/>
    <w:rsid w:val="005B1A10"/>
    <w:rsid w:val="005B3211"/>
    <w:rsid w:val="005B3406"/>
    <w:rsid w:val="005B447B"/>
    <w:rsid w:val="005B5DFB"/>
    <w:rsid w:val="005B6437"/>
    <w:rsid w:val="005B73DF"/>
    <w:rsid w:val="005B7FFC"/>
    <w:rsid w:val="005C0156"/>
    <w:rsid w:val="005C075C"/>
    <w:rsid w:val="005C0D6C"/>
    <w:rsid w:val="005C1C20"/>
    <w:rsid w:val="005C3F8B"/>
    <w:rsid w:val="005C4134"/>
    <w:rsid w:val="005C5626"/>
    <w:rsid w:val="005C5763"/>
    <w:rsid w:val="005C5F2B"/>
    <w:rsid w:val="005C6CCD"/>
    <w:rsid w:val="005C71C4"/>
    <w:rsid w:val="005C736F"/>
    <w:rsid w:val="005D0469"/>
    <w:rsid w:val="005D12CA"/>
    <w:rsid w:val="005D153A"/>
    <w:rsid w:val="005D18AD"/>
    <w:rsid w:val="005D28BA"/>
    <w:rsid w:val="005D3863"/>
    <w:rsid w:val="005D39A3"/>
    <w:rsid w:val="005D4F60"/>
    <w:rsid w:val="005D5B49"/>
    <w:rsid w:val="005D630A"/>
    <w:rsid w:val="005D6F1E"/>
    <w:rsid w:val="005D7560"/>
    <w:rsid w:val="005E02DE"/>
    <w:rsid w:val="005E0943"/>
    <w:rsid w:val="005E0BD5"/>
    <w:rsid w:val="005E0C93"/>
    <w:rsid w:val="005E1602"/>
    <w:rsid w:val="005E22A3"/>
    <w:rsid w:val="005E2A73"/>
    <w:rsid w:val="005E403C"/>
    <w:rsid w:val="005E410B"/>
    <w:rsid w:val="005E433E"/>
    <w:rsid w:val="005E5C0D"/>
    <w:rsid w:val="005E5E38"/>
    <w:rsid w:val="005E6552"/>
    <w:rsid w:val="005E6C97"/>
    <w:rsid w:val="005E6CBE"/>
    <w:rsid w:val="005F00DA"/>
    <w:rsid w:val="005F041E"/>
    <w:rsid w:val="005F07E4"/>
    <w:rsid w:val="005F0979"/>
    <w:rsid w:val="005F0F4C"/>
    <w:rsid w:val="005F100F"/>
    <w:rsid w:val="005F12C0"/>
    <w:rsid w:val="005F14DA"/>
    <w:rsid w:val="005F159A"/>
    <w:rsid w:val="005F1AA0"/>
    <w:rsid w:val="005F1E4E"/>
    <w:rsid w:val="005F2B13"/>
    <w:rsid w:val="005F3AE7"/>
    <w:rsid w:val="005F4CEE"/>
    <w:rsid w:val="005F558B"/>
    <w:rsid w:val="005F6134"/>
    <w:rsid w:val="005F6B55"/>
    <w:rsid w:val="005F7B9C"/>
    <w:rsid w:val="00600439"/>
    <w:rsid w:val="006009DB"/>
    <w:rsid w:val="00601B8D"/>
    <w:rsid w:val="0060328F"/>
    <w:rsid w:val="00603429"/>
    <w:rsid w:val="0060401F"/>
    <w:rsid w:val="00604377"/>
    <w:rsid w:val="0060552F"/>
    <w:rsid w:val="0060658C"/>
    <w:rsid w:val="00606D61"/>
    <w:rsid w:val="0060701E"/>
    <w:rsid w:val="00607F17"/>
    <w:rsid w:val="0061035A"/>
    <w:rsid w:val="006110F7"/>
    <w:rsid w:val="00611BB6"/>
    <w:rsid w:val="00612124"/>
    <w:rsid w:val="00612365"/>
    <w:rsid w:val="00612E7C"/>
    <w:rsid w:val="006133D1"/>
    <w:rsid w:val="006134A1"/>
    <w:rsid w:val="006139B8"/>
    <w:rsid w:val="00613BE3"/>
    <w:rsid w:val="006143E6"/>
    <w:rsid w:val="00614660"/>
    <w:rsid w:val="00614A4E"/>
    <w:rsid w:val="0061529C"/>
    <w:rsid w:val="0061716E"/>
    <w:rsid w:val="00621353"/>
    <w:rsid w:val="00621CA5"/>
    <w:rsid w:val="0062325E"/>
    <w:rsid w:val="00624010"/>
    <w:rsid w:val="00626DB1"/>
    <w:rsid w:val="0062794B"/>
    <w:rsid w:val="00627D0D"/>
    <w:rsid w:val="00627F25"/>
    <w:rsid w:val="00631283"/>
    <w:rsid w:val="0063348A"/>
    <w:rsid w:val="006341A9"/>
    <w:rsid w:val="006344EA"/>
    <w:rsid w:val="00634730"/>
    <w:rsid w:val="00634B81"/>
    <w:rsid w:val="006359AB"/>
    <w:rsid w:val="00640909"/>
    <w:rsid w:val="00644C2F"/>
    <w:rsid w:val="0064649C"/>
    <w:rsid w:val="00647426"/>
    <w:rsid w:val="00647510"/>
    <w:rsid w:val="00647585"/>
    <w:rsid w:val="006478F3"/>
    <w:rsid w:val="00650243"/>
    <w:rsid w:val="00650495"/>
    <w:rsid w:val="00651A38"/>
    <w:rsid w:val="00651D84"/>
    <w:rsid w:val="00651F3A"/>
    <w:rsid w:val="006521D3"/>
    <w:rsid w:val="00652E8C"/>
    <w:rsid w:val="006547E4"/>
    <w:rsid w:val="00654B4A"/>
    <w:rsid w:val="00654D32"/>
    <w:rsid w:val="006564FE"/>
    <w:rsid w:val="0065666F"/>
    <w:rsid w:val="00656B2A"/>
    <w:rsid w:val="00656BD4"/>
    <w:rsid w:val="00657022"/>
    <w:rsid w:val="00660EDA"/>
    <w:rsid w:val="006629BC"/>
    <w:rsid w:val="0066339F"/>
    <w:rsid w:val="00663DCE"/>
    <w:rsid w:val="006640C8"/>
    <w:rsid w:val="006653FC"/>
    <w:rsid w:val="00665FA1"/>
    <w:rsid w:val="00667949"/>
    <w:rsid w:val="00667B1F"/>
    <w:rsid w:val="006715F3"/>
    <w:rsid w:val="00672EBB"/>
    <w:rsid w:val="006735A9"/>
    <w:rsid w:val="00674A5E"/>
    <w:rsid w:val="0067607F"/>
    <w:rsid w:val="006766E2"/>
    <w:rsid w:val="00676C56"/>
    <w:rsid w:val="00677A6E"/>
    <w:rsid w:val="00677C19"/>
    <w:rsid w:val="006805FE"/>
    <w:rsid w:val="00682316"/>
    <w:rsid w:val="0068296E"/>
    <w:rsid w:val="00682DB6"/>
    <w:rsid w:val="00683BCF"/>
    <w:rsid w:val="00683DE7"/>
    <w:rsid w:val="00685761"/>
    <w:rsid w:val="00685EC4"/>
    <w:rsid w:val="00686402"/>
    <w:rsid w:val="00686B6F"/>
    <w:rsid w:val="00687073"/>
    <w:rsid w:val="006870F1"/>
    <w:rsid w:val="0069004C"/>
    <w:rsid w:val="00692A05"/>
    <w:rsid w:val="00693396"/>
    <w:rsid w:val="006934D0"/>
    <w:rsid w:val="006936E5"/>
    <w:rsid w:val="00695053"/>
    <w:rsid w:val="006951E2"/>
    <w:rsid w:val="0069531D"/>
    <w:rsid w:val="00695F24"/>
    <w:rsid w:val="00696A10"/>
    <w:rsid w:val="00697894"/>
    <w:rsid w:val="006A089B"/>
    <w:rsid w:val="006A0DF3"/>
    <w:rsid w:val="006A1161"/>
    <w:rsid w:val="006A162F"/>
    <w:rsid w:val="006A2335"/>
    <w:rsid w:val="006A4A6F"/>
    <w:rsid w:val="006A5898"/>
    <w:rsid w:val="006A5A42"/>
    <w:rsid w:val="006A5D8F"/>
    <w:rsid w:val="006A5FB4"/>
    <w:rsid w:val="006A7088"/>
    <w:rsid w:val="006A712E"/>
    <w:rsid w:val="006A74C1"/>
    <w:rsid w:val="006A7ABB"/>
    <w:rsid w:val="006B1540"/>
    <w:rsid w:val="006B173A"/>
    <w:rsid w:val="006B191D"/>
    <w:rsid w:val="006B1AC3"/>
    <w:rsid w:val="006B1C29"/>
    <w:rsid w:val="006B2E6C"/>
    <w:rsid w:val="006B35D8"/>
    <w:rsid w:val="006B405D"/>
    <w:rsid w:val="006B40BD"/>
    <w:rsid w:val="006B46B7"/>
    <w:rsid w:val="006B72D3"/>
    <w:rsid w:val="006C0086"/>
    <w:rsid w:val="006C008B"/>
    <w:rsid w:val="006C0CDA"/>
    <w:rsid w:val="006C13CD"/>
    <w:rsid w:val="006C17BB"/>
    <w:rsid w:val="006C184B"/>
    <w:rsid w:val="006C20DE"/>
    <w:rsid w:val="006C362C"/>
    <w:rsid w:val="006C4F6A"/>
    <w:rsid w:val="006C5A5B"/>
    <w:rsid w:val="006C7DC3"/>
    <w:rsid w:val="006D0577"/>
    <w:rsid w:val="006D2252"/>
    <w:rsid w:val="006D373D"/>
    <w:rsid w:val="006D3F02"/>
    <w:rsid w:val="006D46AA"/>
    <w:rsid w:val="006D59F0"/>
    <w:rsid w:val="006D6144"/>
    <w:rsid w:val="006D66C7"/>
    <w:rsid w:val="006D71F4"/>
    <w:rsid w:val="006D7289"/>
    <w:rsid w:val="006D7D12"/>
    <w:rsid w:val="006E00CD"/>
    <w:rsid w:val="006E02E8"/>
    <w:rsid w:val="006E0D87"/>
    <w:rsid w:val="006E121E"/>
    <w:rsid w:val="006E158D"/>
    <w:rsid w:val="006E31DD"/>
    <w:rsid w:val="006E3236"/>
    <w:rsid w:val="006E5053"/>
    <w:rsid w:val="006E5641"/>
    <w:rsid w:val="006E6479"/>
    <w:rsid w:val="006E6A30"/>
    <w:rsid w:val="006E74F5"/>
    <w:rsid w:val="006E7DFA"/>
    <w:rsid w:val="006F1371"/>
    <w:rsid w:val="006F21D7"/>
    <w:rsid w:val="006F2BE0"/>
    <w:rsid w:val="006F396B"/>
    <w:rsid w:val="006F3BB4"/>
    <w:rsid w:val="006F46A0"/>
    <w:rsid w:val="006F47BA"/>
    <w:rsid w:val="006F4DCD"/>
    <w:rsid w:val="006F61C6"/>
    <w:rsid w:val="006F6CF4"/>
    <w:rsid w:val="006F6DD7"/>
    <w:rsid w:val="006F7A28"/>
    <w:rsid w:val="00702226"/>
    <w:rsid w:val="007022FB"/>
    <w:rsid w:val="0070255C"/>
    <w:rsid w:val="00703399"/>
    <w:rsid w:val="00703445"/>
    <w:rsid w:val="00704AE1"/>
    <w:rsid w:val="00704F11"/>
    <w:rsid w:val="00706088"/>
    <w:rsid w:val="007063B5"/>
    <w:rsid w:val="00706625"/>
    <w:rsid w:val="0070679B"/>
    <w:rsid w:val="007069DE"/>
    <w:rsid w:val="00710882"/>
    <w:rsid w:val="007110AD"/>
    <w:rsid w:val="00711263"/>
    <w:rsid w:val="00711543"/>
    <w:rsid w:val="00711A74"/>
    <w:rsid w:val="00712573"/>
    <w:rsid w:val="00713E6F"/>
    <w:rsid w:val="007146EB"/>
    <w:rsid w:val="0071497A"/>
    <w:rsid w:val="007149DB"/>
    <w:rsid w:val="0071758F"/>
    <w:rsid w:val="007203DC"/>
    <w:rsid w:val="00720FEB"/>
    <w:rsid w:val="00721E2D"/>
    <w:rsid w:val="00721EA6"/>
    <w:rsid w:val="00722441"/>
    <w:rsid w:val="00722D4A"/>
    <w:rsid w:val="00722DA0"/>
    <w:rsid w:val="0072333C"/>
    <w:rsid w:val="007239CF"/>
    <w:rsid w:val="00723A43"/>
    <w:rsid w:val="007256EA"/>
    <w:rsid w:val="00725F18"/>
    <w:rsid w:val="007265B6"/>
    <w:rsid w:val="00726E3F"/>
    <w:rsid w:val="00727508"/>
    <w:rsid w:val="00730F8E"/>
    <w:rsid w:val="00733599"/>
    <w:rsid w:val="007335F3"/>
    <w:rsid w:val="00733775"/>
    <w:rsid w:val="00733F8C"/>
    <w:rsid w:val="007341D6"/>
    <w:rsid w:val="00735A3F"/>
    <w:rsid w:val="007363EA"/>
    <w:rsid w:val="0073675C"/>
    <w:rsid w:val="00736D03"/>
    <w:rsid w:val="007372DB"/>
    <w:rsid w:val="00737707"/>
    <w:rsid w:val="007377DA"/>
    <w:rsid w:val="00737D94"/>
    <w:rsid w:val="007404B3"/>
    <w:rsid w:val="0074137D"/>
    <w:rsid w:val="00741B80"/>
    <w:rsid w:val="00741CD1"/>
    <w:rsid w:val="00742777"/>
    <w:rsid w:val="00742C02"/>
    <w:rsid w:val="007444FF"/>
    <w:rsid w:val="007447B3"/>
    <w:rsid w:val="007458A3"/>
    <w:rsid w:val="007469EC"/>
    <w:rsid w:val="00747DF6"/>
    <w:rsid w:val="007500BA"/>
    <w:rsid w:val="007513C1"/>
    <w:rsid w:val="00752D5F"/>
    <w:rsid w:val="007533A3"/>
    <w:rsid w:val="007545F6"/>
    <w:rsid w:val="00754D8C"/>
    <w:rsid w:val="007564F8"/>
    <w:rsid w:val="00756BFD"/>
    <w:rsid w:val="007575A9"/>
    <w:rsid w:val="00757DAD"/>
    <w:rsid w:val="007600DD"/>
    <w:rsid w:val="007610F2"/>
    <w:rsid w:val="00761350"/>
    <w:rsid w:val="007613C0"/>
    <w:rsid w:val="0076190A"/>
    <w:rsid w:val="00761A74"/>
    <w:rsid w:val="0076250E"/>
    <w:rsid w:val="00762968"/>
    <w:rsid w:val="00762AC6"/>
    <w:rsid w:val="00763127"/>
    <w:rsid w:val="007637B3"/>
    <w:rsid w:val="00763B39"/>
    <w:rsid w:val="00764A8C"/>
    <w:rsid w:val="00765755"/>
    <w:rsid w:val="00765E35"/>
    <w:rsid w:val="007660DB"/>
    <w:rsid w:val="0076644C"/>
    <w:rsid w:val="00766BC5"/>
    <w:rsid w:val="007702CD"/>
    <w:rsid w:val="0077128C"/>
    <w:rsid w:val="00773017"/>
    <w:rsid w:val="00773107"/>
    <w:rsid w:val="00774049"/>
    <w:rsid w:val="0077497A"/>
    <w:rsid w:val="0077572C"/>
    <w:rsid w:val="00776080"/>
    <w:rsid w:val="0077796C"/>
    <w:rsid w:val="00780CF9"/>
    <w:rsid w:val="007810F9"/>
    <w:rsid w:val="00783498"/>
    <w:rsid w:val="00783C94"/>
    <w:rsid w:val="00784232"/>
    <w:rsid w:val="007845E6"/>
    <w:rsid w:val="00784604"/>
    <w:rsid w:val="0078508B"/>
    <w:rsid w:val="00785C45"/>
    <w:rsid w:val="00786B4A"/>
    <w:rsid w:val="00787BE0"/>
    <w:rsid w:val="00790398"/>
    <w:rsid w:val="00790953"/>
    <w:rsid w:val="00790A3D"/>
    <w:rsid w:val="0079210A"/>
    <w:rsid w:val="007929CA"/>
    <w:rsid w:val="00792F37"/>
    <w:rsid w:val="00792F65"/>
    <w:rsid w:val="007930E6"/>
    <w:rsid w:val="007948E7"/>
    <w:rsid w:val="00794FA5"/>
    <w:rsid w:val="007952C3"/>
    <w:rsid w:val="007953BD"/>
    <w:rsid w:val="00796E1E"/>
    <w:rsid w:val="00796E28"/>
    <w:rsid w:val="00797907"/>
    <w:rsid w:val="00797A34"/>
    <w:rsid w:val="00797B03"/>
    <w:rsid w:val="007A0388"/>
    <w:rsid w:val="007A0D49"/>
    <w:rsid w:val="007A1677"/>
    <w:rsid w:val="007A1D82"/>
    <w:rsid w:val="007A217F"/>
    <w:rsid w:val="007A21FD"/>
    <w:rsid w:val="007A23E6"/>
    <w:rsid w:val="007A28B6"/>
    <w:rsid w:val="007A2A9B"/>
    <w:rsid w:val="007A2D65"/>
    <w:rsid w:val="007A3214"/>
    <w:rsid w:val="007A334B"/>
    <w:rsid w:val="007A37FC"/>
    <w:rsid w:val="007A575C"/>
    <w:rsid w:val="007A5E94"/>
    <w:rsid w:val="007A6BE2"/>
    <w:rsid w:val="007A729C"/>
    <w:rsid w:val="007B1328"/>
    <w:rsid w:val="007B1FDD"/>
    <w:rsid w:val="007B2708"/>
    <w:rsid w:val="007B27A4"/>
    <w:rsid w:val="007B3752"/>
    <w:rsid w:val="007B3790"/>
    <w:rsid w:val="007B3918"/>
    <w:rsid w:val="007B3E30"/>
    <w:rsid w:val="007B5BB1"/>
    <w:rsid w:val="007B72BA"/>
    <w:rsid w:val="007B730B"/>
    <w:rsid w:val="007B7CE6"/>
    <w:rsid w:val="007C041B"/>
    <w:rsid w:val="007C1133"/>
    <w:rsid w:val="007C1D5C"/>
    <w:rsid w:val="007C24FD"/>
    <w:rsid w:val="007C3164"/>
    <w:rsid w:val="007C33F0"/>
    <w:rsid w:val="007C45E4"/>
    <w:rsid w:val="007C4CDB"/>
    <w:rsid w:val="007C4DAA"/>
    <w:rsid w:val="007C4F8D"/>
    <w:rsid w:val="007C6418"/>
    <w:rsid w:val="007C6AD9"/>
    <w:rsid w:val="007C6E20"/>
    <w:rsid w:val="007C7228"/>
    <w:rsid w:val="007D0AC1"/>
    <w:rsid w:val="007D0BA5"/>
    <w:rsid w:val="007D0D18"/>
    <w:rsid w:val="007D1F35"/>
    <w:rsid w:val="007D20EE"/>
    <w:rsid w:val="007D25F3"/>
    <w:rsid w:val="007D3F31"/>
    <w:rsid w:val="007D4D9C"/>
    <w:rsid w:val="007D5330"/>
    <w:rsid w:val="007D5942"/>
    <w:rsid w:val="007D610F"/>
    <w:rsid w:val="007D6CB7"/>
    <w:rsid w:val="007E24C3"/>
    <w:rsid w:val="007E29C3"/>
    <w:rsid w:val="007E2AAB"/>
    <w:rsid w:val="007E2D21"/>
    <w:rsid w:val="007E3815"/>
    <w:rsid w:val="007E3CCD"/>
    <w:rsid w:val="007E3D96"/>
    <w:rsid w:val="007E5129"/>
    <w:rsid w:val="007E6CED"/>
    <w:rsid w:val="007E6CF8"/>
    <w:rsid w:val="007E73C6"/>
    <w:rsid w:val="007F089B"/>
    <w:rsid w:val="007F0A22"/>
    <w:rsid w:val="007F0E56"/>
    <w:rsid w:val="007F102E"/>
    <w:rsid w:val="007F27ED"/>
    <w:rsid w:val="007F308D"/>
    <w:rsid w:val="007F3B8F"/>
    <w:rsid w:val="007F470E"/>
    <w:rsid w:val="007F6515"/>
    <w:rsid w:val="007F79FF"/>
    <w:rsid w:val="007F7CD6"/>
    <w:rsid w:val="00800069"/>
    <w:rsid w:val="0080081B"/>
    <w:rsid w:val="008016D7"/>
    <w:rsid w:val="00801935"/>
    <w:rsid w:val="00801A29"/>
    <w:rsid w:val="00801E9F"/>
    <w:rsid w:val="00802618"/>
    <w:rsid w:val="008027D4"/>
    <w:rsid w:val="00803060"/>
    <w:rsid w:val="008043F9"/>
    <w:rsid w:val="008046DF"/>
    <w:rsid w:val="00804AB7"/>
    <w:rsid w:val="0080528E"/>
    <w:rsid w:val="008052D0"/>
    <w:rsid w:val="0080607C"/>
    <w:rsid w:val="00806E76"/>
    <w:rsid w:val="00807BA3"/>
    <w:rsid w:val="0081001F"/>
    <w:rsid w:val="00810131"/>
    <w:rsid w:val="00810ADF"/>
    <w:rsid w:val="00811F3F"/>
    <w:rsid w:val="00812497"/>
    <w:rsid w:val="008124B4"/>
    <w:rsid w:val="008126E1"/>
    <w:rsid w:val="00812B3F"/>
    <w:rsid w:val="00813451"/>
    <w:rsid w:val="008145DD"/>
    <w:rsid w:val="00815857"/>
    <w:rsid w:val="008158DA"/>
    <w:rsid w:val="00815970"/>
    <w:rsid w:val="008160EC"/>
    <w:rsid w:val="00816208"/>
    <w:rsid w:val="00817B1A"/>
    <w:rsid w:val="008219C3"/>
    <w:rsid w:val="00821A85"/>
    <w:rsid w:val="00821D56"/>
    <w:rsid w:val="0082248B"/>
    <w:rsid w:val="008234F6"/>
    <w:rsid w:val="0082494B"/>
    <w:rsid w:val="00826EC4"/>
    <w:rsid w:val="00827961"/>
    <w:rsid w:val="00827D6B"/>
    <w:rsid w:val="0083096E"/>
    <w:rsid w:val="00831DDA"/>
    <w:rsid w:val="008340BE"/>
    <w:rsid w:val="00834971"/>
    <w:rsid w:val="00835247"/>
    <w:rsid w:val="00835478"/>
    <w:rsid w:val="00835E27"/>
    <w:rsid w:val="00836D97"/>
    <w:rsid w:val="008373E1"/>
    <w:rsid w:val="008407A0"/>
    <w:rsid w:val="008420F3"/>
    <w:rsid w:val="008430F3"/>
    <w:rsid w:val="00843960"/>
    <w:rsid w:val="00843B2D"/>
    <w:rsid w:val="00843E64"/>
    <w:rsid w:val="0084567D"/>
    <w:rsid w:val="008456D7"/>
    <w:rsid w:val="00847C20"/>
    <w:rsid w:val="00847E22"/>
    <w:rsid w:val="008516DE"/>
    <w:rsid w:val="00851958"/>
    <w:rsid w:val="00851A6F"/>
    <w:rsid w:val="00853549"/>
    <w:rsid w:val="00853AEF"/>
    <w:rsid w:val="00854431"/>
    <w:rsid w:val="00855426"/>
    <w:rsid w:val="008554B9"/>
    <w:rsid w:val="008557A8"/>
    <w:rsid w:val="0085683B"/>
    <w:rsid w:val="00857118"/>
    <w:rsid w:val="00857470"/>
    <w:rsid w:val="00857711"/>
    <w:rsid w:val="008604BE"/>
    <w:rsid w:val="00860631"/>
    <w:rsid w:val="00861078"/>
    <w:rsid w:val="008620E5"/>
    <w:rsid w:val="00862AED"/>
    <w:rsid w:val="00862CF7"/>
    <w:rsid w:val="00863129"/>
    <w:rsid w:val="0086440F"/>
    <w:rsid w:val="00865283"/>
    <w:rsid w:val="008657DC"/>
    <w:rsid w:val="00865A7E"/>
    <w:rsid w:val="00865C85"/>
    <w:rsid w:val="00865ED4"/>
    <w:rsid w:val="008669A1"/>
    <w:rsid w:val="008700E8"/>
    <w:rsid w:val="008703F9"/>
    <w:rsid w:val="00870452"/>
    <w:rsid w:val="00870911"/>
    <w:rsid w:val="00871065"/>
    <w:rsid w:val="008718EE"/>
    <w:rsid w:val="008735FD"/>
    <w:rsid w:val="00873779"/>
    <w:rsid w:val="00874178"/>
    <w:rsid w:val="008751AD"/>
    <w:rsid w:val="00876684"/>
    <w:rsid w:val="0087669D"/>
    <w:rsid w:val="008770DD"/>
    <w:rsid w:val="00877983"/>
    <w:rsid w:val="00880CC1"/>
    <w:rsid w:val="00881782"/>
    <w:rsid w:val="00881B78"/>
    <w:rsid w:val="0088343F"/>
    <w:rsid w:val="0088412B"/>
    <w:rsid w:val="00884156"/>
    <w:rsid w:val="00884B2A"/>
    <w:rsid w:val="008869DA"/>
    <w:rsid w:val="00887682"/>
    <w:rsid w:val="008903AF"/>
    <w:rsid w:val="008908F5"/>
    <w:rsid w:val="00891510"/>
    <w:rsid w:val="008916D8"/>
    <w:rsid w:val="00892F01"/>
    <w:rsid w:val="00893DB3"/>
    <w:rsid w:val="00894CA0"/>
    <w:rsid w:val="00895093"/>
    <w:rsid w:val="008952B2"/>
    <w:rsid w:val="008976AE"/>
    <w:rsid w:val="00897E4F"/>
    <w:rsid w:val="008A00E6"/>
    <w:rsid w:val="008A03D9"/>
    <w:rsid w:val="008A130E"/>
    <w:rsid w:val="008A2339"/>
    <w:rsid w:val="008A265F"/>
    <w:rsid w:val="008A2A94"/>
    <w:rsid w:val="008A367B"/>
    <w:rsid w:val="008A5B5C"/>
    <w:rsid w:val="008A618E"/>
    <w:rsid w:val="008A64E1"/>
    <w:rsid w:val="008A6FD4"/>
    <w:rsid w:val="008A6FEA"/>
    <w:rsid w:val="008A7236"/>
    <w:rsid w:val="008A734C"/>
    <w:rsid w:val="008A74C0"/>
    <w:rsid w:val="008A7566"/>
    <w:rsid w:val="008B0592"/>
    <w:rsid w:val="008B1408"/>
    <w:rsid w:val="008B24FE"/>
    <w:rsid w:val="008B29F5"/>
    <w:rsid w:val="008B2D97"/>
    <w:rsid w:val="008B311D"/>
    <w:rsid w:val="008B3FAD"/>
    <w:rsid w:val="008B468F"/>
    <w:rsid w:val="008B47F0"/>
    <w:rsid w:val="008B5133"/>
    <w:rsid w:val="008B5255"/>
    <w:rsid w:val="008B6551"/>
    <w:rsid w:val="008B666D"/>
    <w:rsid w:val="008B6FC7"/>
    <w:rsid w:val="008B7F3C"/>
    <w:rsid w:val="008C0B1C"/>
    <w:rsid w:val="008C1C92"/>
    <w:rsid w:val="008C26E9"/>
    <w:rsid w:val="008C2736"/>
    <w:rsid w:val="008C2BC7"/>
    <w:rsid w:val="008C38B6"/>
    <w:rsid w:val="008C44F1"/>
    <w:rsid w:val="008C49D0"/>
    <w:rsid w:val="008C4F05"/>
    <w:rsid w:val="008C54F4"/>
    <w:rsid w:val="008C5551"/>
    <w:rsid w:val="008C5C67"/>
    <w:rsid w:val="008C5EAE"/>
    <w:rsid w:val="008C62B7"/>
    <w:rsid w:val="008C6436"/>
    <w:rsid w:val="008C68E7"/>
    <w:rsid w:val="008C6A45"/>
    <w:rsid w:val="008D0177"/>
    <w:rsid w:val="008D03EF"/>
    <w:rsid w:val="008D392B"/>
    <w:rsid w:val="008D4ACB"/>
    <w:rsid w:val="008D4BB0"/>
    <w:rsid w:val="008D4BE5"/>
    <w:rsid w:val="008D5A2C"/>
    <w:rsid w:val="008D5D66"/>
    <w:rsid w:val="008D6274"/>
    <w:rsid w:val="008D665F"/>
    <w:rsid w:val="008D684C"/>
    <w:rsid w:val="008D7521"/>
    <w:rsid w:val="008E02A1"/>
    <w:rsid w:val="008E099B"/>
    <w:rsid w:val="008E19C3"/>
    <w:rsid w:val="008E1D66"/>
    <w:rsid w:val="008E29DE"/>
    <w:rsid w:val="008E2BE3"/>
    <w:rsid w:val="008E3D3F"/>
    <w:rsid w:val="008E4265"/>
    <w:rsid w:val="008E4CEA"/>
    <w:rsid w:val="008E5E31"/>
    <w:rsid w:val="008E78FD"/>
    <w:rsid w:val="008F06D4"/>
    <w:rsid w:val="008F0B79"/>
    <w:rsid w:val="008F0F08"/>
    <w:rsid w:val="008F1345"/>
    <w:rsid w:val="008F1ECC"/>
    <w:rsid w:val="008F26C7"/>
    <w:rsid w:val="008F2AC0"/>
    <w:rsid w:val="008F2E49"/>
    <w:rsid w:val="008F49FE"/>
    <w:rsid w:val="008F4A25"/>
    <w:rsid w:val="008F4F69"/>
    <w:rsid w:val="008F575B"/>
    <w:rsid w:val="00900CB4"/>
    <w:rsid w:val="00901FED"/>
    <w:rsid w:val="0090262A"/>
    <w:rsid w:val="00902953"/>
    <w:rsid w:val="00902F1D"/>
    <w:rsid w:val="00902FA6"/>
    <w:rsid w:val="00903249"/>
    <w:rsid w:val="0090327B"/>
    <w:rsid w:val="00903D4E"/>
    <w:rsid w:val="009051C9"/>
    <w:rsid w:val="00905AE5"/>
    <w:rsid w:val="00905B1D"/>
    <w:rsid w:val="00905BD0"/>
    <w:rsid w:val="0090655B"/>
    <w:rsid w:val="00906AF4"/>
    <w:rsid w:val="00906B5D"/>
    <w:rsid w:val="00906F0A"/>
    <w:rsid w:val="009078FE"/>
    <w:rsid w:val="009123FB"/>
    <w:rsid w:val="00912536"/>
    <w:rsid w:val="00912668"/>
    <w:rsid w:val="00915426"/>
    <w:rsid w:val="00915C1B"/>
    <w:rsid w:val="00916374"/>
    <w:rsid w:val="009164CE"/>
    <w:rsid w:val="00916EE6"/>
    <w:rsid w:val="0092000D"/>
    <w:rsid w:val="00920794"/>
    <w:rsid w:val="00920A44"/>
    <w:rsid w:val="009228FF"/>
    <w:rsid w:val="00922A7F"/>
    <w:rsid w:val="00922E73"/>
    <w:rsid w:val="00924C45"/>
    <w:rsid w:val="0092500C"/>
    <w:rsid w:val="009250B6"/>
    <w:rsid w:val="0092531F"/>
    <w:rsid w:val="009273C8"/>
    <w:rsid w:val="009279F9"/>
    <w:rsid w:val="0093073F"/>
    <w:rsid w:val="00931384"/>
    <w:rsid w:val="00931BA1"/>
    <w:rsid w:val="009326CF"/>
    <w:rsid w:val="0093282D"/>
    <w:rsid w:val="0093376B"/>
    <w:rsid w:val="009346F6"/>
    <w:rsid w:val="00936807"/>
    <w:rsid w:val="0093699F"/>
    <w:rsid w:val="00936C9F"/>
    <w:rsid w:val="00936F41"/>
    <w:rsid w:val="00937C6B"/>
    <w:rsid w:val="00940389"/>
    <w:rsid w:val="009404C8"/>
    <w:rsid w:val="009416FA"/>
    <w:rsid w:val="0094190C"/>
    <w:rsid w:val="0094243F"/>
    <w:rsid w:val="0094296E"/>
    <w:rsid w:val="00942A5A"/>
    <w:rsid w:val="00943191"/>
    <w:rsid w:val="00943E85"/>
    <w:rsid w:val="009442F5"/>
    <w:rsid w:val="00944C7A"/>
    <w:rsid w:val="00944C8C"/>
    <w:rsid w:val="00944CA8"/>
    <w:rsid w:val="00945884"/>
    <w:rsid w:val="009458C4"/>
    <w:rsid w:val="00946530"/>
    <w:rsid w:val="00946DE5"/>
    <w:rsid w:val="00946E6D"/>
    <w:rsid w:val="00947BD7"/>
    <w:rsid w:val="00950409"/>
    <w:rsid w:val="009506CB"/>
    <w:rsid w:val="0095148E"/>
    <w:rsid w:val="00951A0C"/>
    <w:rsid w:val="00952415"/>
    <w:rsid w:val="00952778"/>
    <w:rsid w:val="00953AAA"/>
    <w:rsid w:val="009559EC"/>
    <w:rsid w:val="00955B27"/>
    <w:rsid w:val="00957218"/>
    <w:rsid w:val="009605C3"/>
    <w:rsid w:val="0096065E"/>
    <w:rsid w:val="009617DE"/>
    <w:rsid w:val="009624F6"/>
    <w:rsid w:val="00962E97"/>
    <w:rsid w:val="0096369E"/>
    <w:rsid w:val="00965A11"/>
    <w:rsid w:val="00966755"/>
    <w:rsid w:val="0096754D"/>
    <w:rsid w:val="009676D5"/>
    <w:rsid w:val="00967A7D"/>
    <w:rsid w:val="009704C0"/>
    <w:rsid w:val="009709AF"/>
    <w:rsid w:val="00970E10"/>
    <w:rsid w:val="00970F36"/>
    <w:rsid w:val="0097163E"/>
    <w:rsid w:val="00971B95"/>
    <w:rsid w:val="00972A79"/>
    <w:rsid w:val="00972AB8"/>
    <w:rsid w:val="00973B26"/>
    <w:rsid w:val="009750DE"/>
    <w:rsid w:val="0097636B"/>
    <w:rsid w:val="009771B2"/>
    <w:rsid w:val="00981381"/>
    <w:rsid w:val="00981806"/>
    <w:rsid w:val="0098225D"/>
    <w:rsid w:val="00982563"/>
    <w:rsid w:val="009831BD"/>
    <w:rsid w:val="00983F66"/>
    <w:rsid w:val="00986287"/>
    <w:rsid w:val="009879B9"/>
    <w:rsid w:val="00987D14"/>
    <w:rsid w:val="00987E90"/>
    <w:rsid w:val="00991A42"/>
    <w:rsid w:val="009939B4"/>
    <w:rsid w:val="00993DB7"/>
    <w:rsid w:val="00994227"/>
    <w:rsid w:val="00995643"/>
    <w:rsid w:val="009956DB"/>
    <w:rsid w:val="00995F88"/>
    <w:rsid w:val="00996A31"/>
    <w:rsid w:val="00996C10"/>
    <w:rsid w:val="00997891"/>
    <w:rsid w:val="009A0198"/>
    <w:rsid w:val="009A0843"/>
    <w:rsid w:val="009A0A61"/>
    <w:rsid w:val="009A19A2"/>
    <w:rsid w:val="009A1D2F"/>
    <w:rsid w:val="009A59F9"/>
    <w:rsid w:val="009A5BFA"/>
    <w:rsid w:val="009A5F00"/>
    <w:rsid w:val="009B045A"/>
    <w:rsid w:val="009B0919"/>
    <w:rsid w:val="009B1826"/>
    <w:rsid w:val="009B1B91"/>
    <w:rsid w:val="009B5322"/>
    <w:rsid w:val="009B53C6"/>
    <w:rsid w:val="009B6E8B"/>
    <w:rsid w:val="009B729F"/>
    <w:rsid w:val="009B7645"/>
    <w:rsid w:val="009C0A48"/>
    <w:rsid w:val="009C0C87"/>
    <w:rsid w:val="009C30B9"/>
    <w:rsid w:val="009C3203"/>
    <w:rsid w:val="009C346D"/>
    <w:rsid w:val="009C3632"/>
    <w:rsid w:val="009C37E2"/>
    <w:rsid w:val="009C3854"/>
    <w:rsid w:val="009C3A75"/>
    <w:rsid w:val="009C4690"/>
    <w:rsid w:val="009C5062"/>
    <w:rsid w:val="009C50F4"/>
    <w:rsid w:val="009C5DEC"/>
    <w:rsid w:val="009C5F80"/>
    <w:rsid w:val="009C61FA"/>
    <w:rsid w:val="009C726A"/>
    <w:rsid w:val="009C759B"/>
    <w:rsid w:val="009D0254"/>
    <w:rsid w:val="009D0F8E"/>
    <w:rsid w:val="009D1272"/>
    <w:rsid w:val="009D1A4B"/>
    <w:rsid w:val="009D37DE"/>
    <w:rsid w:val="009D4166"/>
    <w:rsid w:val="009D65B8"/>
    <w:rsid w:val="009D6616"/>
    <w:rsid w:val="009D6F35"/>
    <w:rsid w:val="009D7014"/>
    <w:rsid w:val="009D7D1A"/>
    <w:rsid w:val="009D7E47"/>
    <w:rsid w:val="009E180C"/>
    <w:rsid w:val="009E1E3F"/>
    <w:rsid w:val="009E2030"/>
    <w:rsid w:val="009E2CD6"/>
    <w:rsid w:val="009E3729"/>
    <w:rsid w:val="009E43BA"/>
    <w:rsid w:val="009E603F"/>
    <w:rsid w:val="009E6A4A"/>
    <w:rsid w:val="009E7103"/>
    <w:rsid w:val="009E71FB"/>
    <w:rsid w:val="009E7546"/>
    <w:rsid w:val="009F0839"/>
    <w:rsid w:val="009F0B93"/>
    <w:rsid w:val="009F14C9"/>
    <w:rsid w:val="009F1AD9"/>
    <w:rsid w:val="009F1E87"/>
    <w:rsid w:val="009F2D25"/>
    <w:rsid w:val="009F359E"/>
    <w:rsid w:val="009F47C8"/>
    <w:rsid w:val="009F4936"/>
    <w:rsid w:val="009F4C8B"/>
    <w:rsid w:val="009F51C0"/>
    <w:rsid w:val="009F51D2"/>
    <w:rsid w:val="009F54B0"/>
    <w:rsid w:val="009F550E"/>
    <w:rsid w:val="009F5C77"/>
    <w:rsid w:val="009F63B7"/>
    <w:rsid w:val="009F6D75"/>
    <w:rsid w:val="009F7249"/>
    <w:rsid w:val="00A00040"/>
    <w:rsid w:val="00A00167"/>
    <w:rsid w:val="00A007D3"/>
    <w:rsid w:val="00A00D61"/>
    <w:rsid w:val="00A01867"/>
    <w:rsid w:val="00A01EE0"/>
    <w:rsid w:val="00A03573"/>
    <w:rsid w:val="00A03D1A"/>
    <w:rsid w:val="00A03F5E"/>
    <w:rsid w:val="00A04DFB"/>
    <w:rsid w:val="00A05044"/>
    <w:rsid w:val="00A069C9"/>
    <w:rsid w:val="00A072A6"/>
    <w:rsid w:val="00A07E4C"/>
    <w:rsid w:val="00A105E2"/>
    <w:rsid w:val="00A1078C"/>
    <w:rsid w:val="00A12383"/>
    <w:rsid w:val="00A13275"/>
    <w:rsid w:val="00A13589"/>
    <w:rsid w:val="00A13DFE"/>
    <w:rsid w:val="00A15928"/>
    <w:rsid w:val="00A1683C"/>
    <w:rsid w:val="00A1757B"/>
    <w:rsid w:val="00A1765B"/>
    <w:rsid w:val="00A17B1A"/>
    <w:rsid w:val="00A20DAB"/>
    <w:rsid w:val="00A20EFA"/>
    <w:rsid w:val="00A21BE9"/>
    <w:rsid w:val="00A2330F"/>
    <w:rsid w:val="00A23314"/>
    <w:rsid w:val="00A24564"/>
    <w:rsid w:val="00A246E8"/>
    <w:rsid w:val="00A24E00"/>
    <w:rsid w:val="00A2591D"/>
    <w:rsid w:val="00A25EBE"/>
    <w:rsid w:val="00A25EDE"/>
    <w:rsid w:val="00A264C8"/>
    <w:rsid w:val="00A271C5"/>
    <w:rsid w:val="00A27A86"/>
    <w:rsid w:val="00A300B5"/>
    <w:rsid w:val="00A313C2"/>
    <w:rsid w:val="00A31F3D"/>
    <w:rsid w:val="00A322C3"/>
    <w:rsid w:val="00A3283F"/>
    <w:rsid w:val="00A32FBF"/>
    <w:rsid w:val="00A33045"/>
    <w:rsid w:val="00A33513"/>
    <w:rsid w:val="00A33D29"/>
    <w:rsid w:val="00A3573D"/>
    <w:rsid w:val="00A35B86"/>
    <w:rsid w:val="00A35EA0"/>
    <w:rsid w:val="00A36824"/>
    <w:rsid w:val="00A3775A"/>
    <w:rsid w:val="00A37E62"/>
    <w:rsid w:val="00A47C20"/>
    <w:rsid w:val="00A47F24"/>
    <w:rsid w:val="00A50446"/>
    <w:rsid w:val="00A50599"/>
    <w:rsid w:val="00A507B9"/>
    <w:rsid w:val="00A509B4"/>
    <w:rsid w:val="00A50A26"/>
    <w:rsid w:val="00A50C5C"/>
    <w:rsid w:val="00A51854"/>
    <w:rsid w:val="00A5299E"/>
    <w:rsid w:val="00A53447"/>
    <w:rsid w:val="00A5441F"/>
    <w:rsid w:val="00A54DA8"/>
    <w:rsid w:val="00A54DFF"/>
    <w:rsid w:val="00A55323"/>
    <w:rsid w:val="00A55A33"/>
    <w:rsid w:val="00A55AF3"/>
    <w:rsid w:val="00A576B2"/>
    <w:rsid w:val="00A579B9"/>
    <w:rsid w:val="00A57D85"/>
    <w:rsid w:val="00A57E50"/>
    <w:rsid w:val="00A605BA"/>
    <w:rsid w:val="00A61024"/>
    <w:rsid w:val="00A6175C"/>
    <w:rsid w:val="00A61B5D"/>
    <w:rsid w:val="00A63330"/>
    <w:rsid w:val="00A6352E"/>
    <w:rsid w:val="00A63F23"/>
    <w:rsid w:val="00A64FD4"/>
    <w:rsid w:val="00A65E5A"/>
    <w:rsid w:val="00A6660D"/>
    <w:rsid w:val="00A70763"/>
    <w:rsid w:val="00A713D4"/>
    <w:rsid w:val="00A71C35"/>
    <w:rsid w:val="00A71E30"/>
    <w:rsid w:val="00A71E38"/>
    <w:rsid w:val="00A73238"/>
    <w:rsid w:val="00A74E71"/>
    <w:rsid w:val="00A75C3A"/>
    <w:rsid w:val="00A77395"/>
    <w:rsid w:val="00A776AD"/>
    <w:rsid w:val="00A77FB7"/>
    <w:rsid w:val="00A804E5"/>
    <w:rsid w:val="00A80FC9"/>
    <w:rsid w:val="00A81326"/>
    <w:rsid w:val="00A83A26"/>
    <w:rsid w:val="00A83FE9"/>
    <w:rsid w:val="00A8491B"/>
    <w:rsid w:val="00A85A72"/>
    <w:rsid w:val="00A861C8"/>
    <w:rsid w:val="00A87862"/>
    <w:rsid w:val="00A87A65"/>
    <w:rsid w:val="00A87E83"/>
    <w:rsid w:val="00A908AD"/>
    <w:rsid w:val="00A90C97"/>
    <w:rsid w:val="00A9133E"/>
    <w:rsid w:val="00A91A36"/>
    <w:rsid w:val="00A92031"/>
    <w:rsid w:val="00A92D76"/>
    <w:rsid w:val="00A94027"/>
    <w:rsid w:val="00A941A4"/>
    <w:rsid w:val="00A94BDC"/>
    <w:rsid w:val="00A955FF"/>
    <w:rsid w:val="00A95FD0"/>
    <w:rsid w:val="00A9776B"/>
    <w:rsid w:val="00A97967"/>
    <w:rsid w:val="00AA0C31"/>
    <w:rsid w:val="00AA1180"/>
    <w:rsid w:val="00AA1A7E"/>
    <w:rsid w:val="00AA1D6C"/>
    <w:rsid w:val="00AA1DD7"/>
    <w:rsid w:val="00AA3026"/>
    <w:rsid w:val="00AA37D9"/>
    <w:rsid w:val="00AA445B"/>
    <w:rsid w:val="00AA5303"/>
    <w:rsid w:val="00AA533C"/>
    <w:rsid w:val="00AA570E"/>
    <w:rsid w:val="00AA6BE4"/>
    <w:rsid w:val="00AA6F10"/>
    <w:rsid w:val="00AA7F31"/>
    <w:rsid w:val="00AB0DAD"/>
    <w:rsid w:val="00AB1FE7"/>
    <w:rsid w:val="00AB31F0"/>
    <w:rsid w:val="00AB368C"/>
    <w:rsid w:val="00AB431B"/>
    <w:rsid w:val="00AB43A1"/>
    <w:rsid w:val="00AB4D71"/>
    <w:rsid w:val="00AB4E8C"/>
    <w:rsid w:val="00AB5EC6"/>
    <w:rsid w:val="00AB65A1"/>
    <w:rsid w:val="00AB6DE2"/>
    <w:rsid w:val="00AB7CD0"/>
    <w:rsid w:val="00AB7E21"/>
    <w:rsid w:val="00AC08B9"/>
    <w:rsid w:val="00AC1359"/>
    <w:rsid w:val="00AC19E8"/>
    <w:rsid w:val="00AC29D6"/>
    <w:rsid w:val="00AC5C10"/>
    <w:rsid w:val="00AC5DEB"/>
    <w:rsid w:val="00AC61EB"/>
    <w:rsid w:val="00AC6F57"/>
    <w:rsid w:val="00AC7E85"/>
    <w:rsid w:val="00AD07C5"/>
    <w:rsid w:val="00AD110F"/>
    <w:rsid w:val="00AD1C3B"/>
    <w:rsid w:val="00AD1DB3"/>
    <w:rsid w:val="00AD1F88"/>
    <w:rsid w:val="00AD306C"/>
    <w:rsid w:val="00AD3633"/>
    <w:rsid w:val="00AD4C87"/>
    <w:rsid w:val="00AD55B4"/>
    <w:rsid w:val="00AD5879"/>
    <w:rsid w:val="00AD587F"/>
    <w:rsid w:val="00AD5C22"/>
    <w:rsid w:val="00AD608F"/>
    <w:rsid w:val="00AD6FCB"/>
    <w:rsid w:val="00AD70A1"/>
    <w:rsid w:val="00AD73C6"/>
    <w:rsid w:val="00AD73D2"/>
    <w:rsid w:val="00AD758E"/>
    <w:rsid w:val="00AE1049"/>
    <w:rsid w:val="00AE11FE"/>
    <w:rsid w:val="00AE273F"/>
    <w:rsid w:val="00AE3CCE"/>
    <w:rsid w:val="00AE3EF5"/>
    <w:rsid w:val="00AE41C1"/>
    <w:rsid w:val="00AE45CC"/>
    <w:rsid w:val="00AE4701"/>
    <w:rsid w:val="00AE485B"/>
    <w:rsid w:val="00AE5CA4"/>
    <w:rsid w:val="00AE6235"/>
    <w:rsid w:val="00AE75EF"/>
    <w:rsid w:val="00AE7DDC"/>
    <w:rsid w:val="00AF1764"/>
    <w:rsid w:val="00AF1B06"/>
    <w:rsid w:val="00AF270B"/>
    <w:rsid w:val="00AF2931"/>
    <w:rsid w:val="00AF330D"/>
    <w:rsid w:val="00AF33E6"/>
    <w:rsid w:val="00AF3F71"/>
    <w:rsid w:val="00AF41A0"/>
    <w:rsid w:val="00AF4BC6"/>
    <w:rsid w:val="00AF57DE"/>
    <w:rsid w:val="00AF5B4B"/>
    <w:rsid w:val="00AF6BEE"/>
    <w:rsid w:val="00AF6C59"/>
    <w:rsid w:val="00B017C2"/>
    <w:rsid w:val="00B04995"/>
    <w:rsid w:val="00B04E7F"/>
    <w:rsid w:val="00B05731"/>
    <w:rsid w:val="00B06EEF"/>
    <w:rsid w:val="00B11C11"/>
    <w:rsid w:val="00B1277C"/>
    <w:rsid w:val="00B12E82"/>
    <w:rsid w:val="00B145E3"/>
    <w:rsid w:val="00B1603E"/>
    <w:rsid w:val="00B16260"/>
    <w:rsid w:val="00B16262"/>
    <w:rsid w:val="00B16BAF"/>
    <w:rsid w:val="00B17723"/>
    <w:rsid w:val="00B1798D"/>
    <w:rsid w:val="00B20354"/>
    <w:rsid w:val="00B225AD"/>
    <w:rsid w:val="00B225B4"/>
    <w:rsid w:val="00B22AD6"/>
    <w:rsid w:val="00B22EE1"/>
    <w:rsid w:val="00B23430"/>
    <w:rsid w:val="00B23591"/>
    <w:rsid w:val="00B24056"/>
    <w:rsid w:val="00B24A13"/>
    <w:rsid w:val="00B257B1"/>
    <w:rsid w:val="00B25BA7"/>
    <w:rsid w:val="00B261A3"/>
    <w:rsid w:val="00B26A64"/>
    <w:rsid w:val="00B26B8C"/>
    <w:rsid w:val="00B26D28"/>
    <w:rsid w:val="00B31082"/>
    <w:rsid w:val="00B3143A"/>
    <w:rsid w:val="00B31692"/>
    <w:rsid w:val="00B32991"/>
    <w:rsid w:val="00B33524"/>
    <w:rsid w:val="00B3708F"/>
    <w:rsid w:val="00B376FF"/>
    <w:rsid w:val="00B40212"/>
    <w:rsid w:val="00B4054B"/>
    <w:rsid w:val="00B40D22"/>
    <w:rsid w:val="00B41CE4"/>
    <w:rsid w:val="00B432CB"/>
    <w:rsid w:val="00B43685"/>
    <w:rsid w:val="00B44D79"/>
    <w:rsid w:val="00B44F54"/>
    <w:rsid w:val="00B46242"/>
    <w:rsid w:val="00B4676F"/>
    <w:rsid w:val="00B47F58"/>
    <w:rsid w:val="00B50549"/>
    <w:rsid w:val="00B517CB"/>
    <w:rsid w:val="00B54075"/>
    <w:rsid w:val="00B5470B"/>
    <w:rsid w:val="00B56239"/>
    <w:rsid w:val="00B56B18"/>
    <w:rsid w:val="00B57F4D"/>
    <w:rsid w:val="00B607FA"/>
    <w:rsid w:val="00B60914"/>
    <w:rsid w:val="00B62B0F"/>
    <w:rsid w:val="00B62CCD"/>
    <w:rsid w:val="00B63D1E"/>
    <w:rsid w:val="00B63F03"/>
    <w:rsid w:val="00B648E1"/>
    <w:rsid w:val="00B65614"/>
    <w:rsid w:val="00B664B6"/>
    <w:rsid w:val="00B67905"/>
    <w:rsid w:val="00B705ED"/>
    <w:rsid w:val="00B70BDC"/>
    <w:rsid w:val="00B70F8D"/>
    <w:rsid w:val="00B71AD9"/>
    <w:rsid w:val="00B71C4E"/>
    <w:rsid w:val="00B735F4"/>
    <w:rsid w:val="00B73707"/>
    <w:rsid w:val="00B73EF5"/>
    <w:rsid w:val="00B7551D"/>
    <w:rsid w:val="00B75E58"/>
    <w:rsid w:val="00B803D9"/>
    <w:rsid w:val="00B80A7D"/>
    <w:rsid w:val="00B80C28"/>
    <w:rsid w:val="00B80DBC"/>
    <w:rsid w:val="00B81279"/>
    <w:rsid w:val="00B817B1"/>
    <w:rsid w:val="00B82817"/>
    <w:rsid w:val="00B82C2D"/>
    <w:rsid w:val="00B83750"/>
    <w:rsid w:val="00B83BE2"/>
    <w:rsid w:val="00B83F46"/>
    <w:rsid w:val="00B84311"/>
    <w:rsid w:val="00B862AE"/>
    <w:rsid w:val="00B87238"/>
    <w:rsid w:val="00B873BA"/>
    <w:rsid w:val="00B87A47"/>
    <w:rsid w:val="00B87B73"/>
    <w:rsid w:val="00B91674"/>
    <w:rsid w:val="00B91F7C"/>
    <w:rsid w:val="00B93A58"/>
    <w:rsid w:val="00B941D2"/>
    <w:rsid w:val="00B95D36"/>
    <w:rsid w:val="00B96001"/>
    <w:rsid w:val="00B9794D"/>
    <w:rsid w:val="00BA053A"/>
    <w:rsid w:val="00BA15EC"/>
    <w:rsid w:val="00BA166D"/>
    <w:rsid w:val="00BA29B6"/>
    <w:rsid w:val="00BA3246"/>
    <w:rsid w:val="00BA3DC3"/>
    <w:rsid w:val="00BA4496"/>
    <w:rsid w:val="00BA6641"/>
    <w:rsid w:val="00BA76F4"/>
    <w:rsid w:val="00BB03B0"/>
    <w:rsid w:val="00BB08B2"/>
    <w:rsid w:val="00BB129A"/>
    <w:rsid w:val="00BB247F"/>
    <w:rsid w:val="00BB3458"/>
    <w:rsid w:val="00BB34E6"/>
    <w:rsid w:val="00BB3547"/>
    <w:rsid w:val="00BB36EC"/>
    <w:rsid w:val="00BB38E6"/>
    <w:rsid w:val="00BB4219"/>
    <w:rsid w:val="00BB43CD"/>
    <w:rsid w:val="00BB447D"/>
    <w:rsid w:val="00BB44BD"/>
    <w:rsid w:val="00BB47B7"/>
    <w:rsid w:val="00BB5091"/>
    <w:rsid w:val="00BB596C"/>
    <w:rsid w:val="00BB5A18"/>
    <w:rsid w:val="00BB5A6F"/>
    <w:rsid w:val="00BB5BB5"/>
    <w:rsid w:val="00BB6230"/>
    <w:rsid w:val="00BB6650"/>
    <w:rsid w:val="00BB6D9F"/>
    <w:rsid w:val="00BB71E9"/>
    <w:rsid w:val="00BB72C3"/>
    <w:rsid w:val="00BC08A6"/>
    <w:rsid w:val="00BC0B1F"/>
    <w:rsid w:val="00BC145A"/>
    <w:rsid w:val="00BC19D7"/>
    <w:rsid w:val="00BC2732"/>
    <w:rsid w:val="00BC336A"/>
    <w:rsid w:val="00BC394E"/>
    <w:rsid w:val="00BC398E"/>
    <w:rsid w:val="00BC4A4A"/>
    <w:rsid w:val="00BC4D85"/>
    <w:rsid w:val="00BC4F69"/>
    <w:rsid w:val="00BC528A"/>
    <w:rsid w:val="00BC6703"/>
    <w:rsid w:val="00BC6F26"/>
    <w:rsid w:val="00BD000B"/>
    <w:rsid w:val="00BD037A"/>
    <w:rsid w:val="00BD14F8"/>
    <w:rsid w:val="00BD1B8B"/>
    <w:rsid w:val="00BD2542"/>
    <w:rsid w:val="00BD2BC0"/>
    <w:rsid w:val="00BD2DDA"/>
    <w:rsid w:val="00BD363A"/>
    <w:rsid w:val="00BD3BFD"/>
    <w:rsid w:val="00BD404F"/>
    <w:rsid w:val="00BD45B5"/>
    <w:rsid w:val="00BD4A00"/>
    <w:rsid w:val="00BD5082"/>
    <w:rsid w:val="00BD5508"/>
    <w:rsid w:val="00BD5883"/>
    <w:rsid w:val="00BD678B"/>
    <w:rsid w:val="00BD6977"/>
    <w:rsid w:val="00BE08BB"/>
    <w:rsid w:val="00BE1BBE"/>
    <w:rsid w:val="00BE2F07"/>
    <w:rsid w:val="00BE3C27"/>
    <w:rsid w:val="00BE4235"/>
    <w:rsid w:val="00BE61B4"/>
    <w:rsid w:val="00BE6A28"/>
    <w:rsid w:val="00BE6BA8"/>
    <w:rsid w:val="00BF1DE7"/>
    <w:rsid w:val="00BF2886"/>
    <w:rsid w:val="00BF3AD6"/>
    <w:rsid w:val="00BF4ED5"/>
    <w:rsid w:val="00BF5111"/>
    <w:rsid w:val="00BF7B11"/>
    <w:rsid w:val="00C001A4"/>
    <w:rsid w:val="00C005E3"/>
    <w:rsid w:val="00C00AC2"/>
    <w:rsid w:val="00C0123B"/>
    <w:rsid w:val="00C02347"/>
    <w:rsid w:val="00C02483"/>
    <w:rsid w:val="00C02FF4"/>
    <w:rsid w:val="00C030BA"/>
    <w:rsid w:val="00C0363B"/>
    <w:rsid w:val="00C04183"/>
    <w:rsid w:val="00C04790"/>
    <w:rsid w:val="00C060AC"/>
    <w:rsid w:val="00C060E0"/>
    <w:rsid w:val="00C067B9"/>
    <w:rsid w:val="00C071CD"/>
    <w:rsid w:val="00C07673"/>
    <w:rsid w:val="00C076C0"/>
    <w:rsid w:val="00C07C48"/>
    <w:rsid w:val="00C10140"/>
    <w:rsid w:val="00C10268"/>
    <w:rsid w:val="00C10385"/>
    <w:rsid w:val="00C106E0"/>
    <w:rsid w:val="00C1085A"/>
    <w:rsid w:val="00C10CE1"/>
    <w:rsid w:val="00C118AD"/>
    <w:rsid w:val="00C120CA"/>
    <w:rsid w:val="00C12F42"/>
    <w:rsid w:val="00C13639"/>
    <w:rsid w:val="00C143A5"/>
    <w:rsid w:val="00C147DA"/>
    <w:rsid w:val="00C14F81"/>
    <w:rsid w:val="00C154A9"/>
    <w:rsid w:val="00C1625A"/>
    <w:rsid w:val="00C1722B"/>
    <w:rsid w:val="00C20249"/>
    <w:rsid w:val="00C205E5"/>
    <w:rsid w:val="00C21477"/>
    <w:rsid w:val="00C219CD"/>
    <w:rsid w:val="00C23091"/>
    <w:rsid w:val="00C23BE3"/>
    <w:rsid w:val="00C24078"/>
    <w:rsid w:val="00C2495E"/>
    <w:rsid w:val="00C26378"/>
    <w:rsid w:val="00C26EDC"/>
    <w:rsid w:val="00C27520"/>
    <w:rsid w:val="00C30231"/>
    <w:rsid w:val="00C31961"/>
    <w:rsid w:val="00C31D3C"/>
    <w:rsid w:val="00C34BBB"/>
    <w:rsid w:val="00C34F48"/>
    <w:rsid w:val="00C3509D"/>
    <w:rsid w:val="00C3555D"/>
    <w:rsid w:val="00C36308"/>
    <w:rsid w:val="00C36C87"/>
    <w:rsid w:val="00C412DB"/>
    <w:rsid w:val="00C41EFC"/>
    <w:rsid w:val="00C42E63"/>
    <w:rsid w:val="00C43AA2"/>
    <w:rsid w:val="00C43F74"/>
    <w:rsid w:val="00C448E1"/>
    <w:rsid w:val="00C44DD3"/>
    <w:rsid w:val="00C46103"/>
    <w:rsid w:val="00C471B4"/>
    <w:rsid w:val="00C474FC"/>
    <w:rsid w:val="00C4799A"/>
    <w:rsid w:val="00C50314"/>
    <w:rsid w:val="00C506C2"/>
    <w:rsid w:val="00C5088E"/>
    <w:rsid w:val="00C5109C"/>
    <w:rsid w:val="00C515FE"/>
    <w:rsid w:val="00C51C19"/>
    <w:rsid w:val="00C5271A"/>
    <w:rsid w:val="00C52ECE"/>
    <w:rsid w:val="00C5319F"/>
    <w:rsid w:val="00C536E4"/>
    <w:rsid w:val="00C53A7E"/>
    <w:rsid w:val="00C54627"/>
    <w:rsid w:val="00C56CD5"/>
    <w:rsid w:val="00C57497"/>
    <w:rsid w:val="00C57BB9"/>
    <w:rsid w:val="00C6150C"/>
    <w:rsid w:val="00C61646"/>
    <w:rsid w:val="00C61702"/>
    <w:rsid w:val="00C6188E"/>
    <w:rsid w:val="00C62801"/>
    <w:rsid w:val="00C62D6C"/>
    <w:rsid w:val="00C635AD"/>
    <w:rsid w:val="00C6464B"/>
    <w:rsid w:val="00C64F32"/>
    <w:rsid w:val="00C65510"/>
    <w:rsid w:val="00C66321"/>
    <w:rsid w:val="00C66BA9"/>
    <w:rsid w:val="00C6710D"/>
    <w:rsid w:val="00C714C4"/>
    <w:rsid w:val="00C722EC"/>
    <w:rsid w:val="00C72AAD"/>
    <w:rsid w:val="00C72CEF"/>
    <w:rsid w:val="00C72E2D"/>
    <w:rsid w:val="00C73734"/>
    <w:rsid w:val="00C73AF5"/>
    <w:rsid w:val="00C73BD0"/>
    <w:rsid w:val="00C73EE4"/>
    <w:rsid w:val="00C7592D"/>
    <w:rsid w:val="00C75BEF"/>
    <w:rsid w:val="00C778E5"/>
    <w:rsid w:val="00C77B6E"/>
    <w:rsid w:val="00C8019A"/>
    <w:rsid w:val="00C804FC"/>
    <w:rsid w:val="00C807B9"/>
    <w:rsid w:val="00C81007"/>
    <w:rsid w:val="00C817C2"/>
    <w:rsid w:val="00C82B86"/>
    <w:rsid w:val="00C837AE"/>
    <w:rsid w:val="00C83E08"/>
    <w:rsid w:val="00C84C2C"/>
    <w:rsid w:val="00C8576B"/>
    <w:rsid w:val="00C85E49"/>
    <w:rsid w:val="00C861D5"/>
    <w:rsid w:val="00C86BBB"/>
    <w:rsid w:val="00C87D9A"/>
    <w:rsid w:val="00C87E52"/>
    <w:rsid w:val="00C90360"/>
    <w:rsid w:val="00C90D47"/>
    <w:rsid w:val="00C91883"/>
    <w:rsid w:val="00C91A57"/>
    <w:rsid w:val="00C97EA3"/>
    <w:rsid w:val="00CA12E8"/>
    <w:rsid w:val="00CA173F"/>
    <w:rsid w:val="00CA24CE"/>
    <w:rsid w:val="00CA45D0"/>
    <w:rsid w:val="00CA4FCD"/>
    <w:rsid w:val="00CA5818"/>
    <w:rsid w:val="00CA5931"/>
    <w:rsid w:val="00CA60F3"/>
    <w:rsid w:val="00CA6936"/>
    <w:rsid w:val="00CA6CFC"/>
    <w:rsid w:val="00CA6E24"/>
    <w:rsid w:val="00CA7B1A"/>
    <w:rsid w:val="00CB06BE"/>
    <w:rsid w:val="00CB0763"/>
    <w:rsid w:val="00CB08F3"/>
    <w:rsid w:val="00CB1006"/>
    <w:rsid w:val="00CB12B8"/>
    <w:rsid w:val="00CB1BDC"/>
    <w:rsid w:val="00CB1E38"/>
    <w:rsid w:val="00CB2283"/>
    <w:rsid w:val="00CB26B6"/>
    <w:rsid w:val="00CB3325"/>
    <w:rsid w:val="00CB4207"/>
    <w:rsid w:val="00CB48B6"/>
    <w:rsid w:val="00CB4A3A"/>
    <w:rsid w:val="00CB5C5F"/>
    <w:rsid w:val="00CB5F99"/>
    <w:rsid w:val="00CB7AEC"/>
    <w:rsid w:val="00CC0D33"/>
    <w:rsid w:val="00CC1851"/>
    <w:rsid w:val="00CC1AF1"/>
    <w:rsid w:val="00CC471D"/>
    <w:rsid w:val="00CC515A"/>
    <w:rsid w:val="00CC5953"/>
    <w:rsid w:val="00CC6299"/>
    <w:rsid w:val="00CC62FA"/>
    <w:rsid w:val="00CC6DCF"/>
    <w:rsid w:val="00CC6E03"/>
    <w:rsid w:val="00CC6E46"/>
    <w:rsid w:val="00CC70B6"/>
    <w:rsid w:val="00CC7236"/>
    <w:rsid w:val="00CD0304"/>
    <w:rsid w:val="00CD0688"/>
    <w:rsid w:val="00CD09DB"/>
    <w:rsid w:val="00CD12FF"/>
    <w:rsid w:val="00CD15B9"/>
    <w:rsid w:val="00CD177F"/>
    <w:rsid w:val="00CD25D1"/>
    <w:rsid w:val="00CD48A6"/>
    <w:rsid w:val="00CD68F9"/>
    <w:rsid w:val="00CD6ACB"/>
    <w:rsid w:val="00CD6FE0"/>
    <w:rsid w:val="00CE0371"/>
    <w:rsid w:val="00CE086C"/>
    <w:rsid w:val="00CE1344"/>
    <w:rsid w:val="00CE14CB"/>
    <w:rsid w:val="00CE197A"/>
    <w:rsid w:val="00CE2967"/>
    <w:rsid w:val="00CE2F03"/>
    <w:rsid w:val="00CE312D"/>
    <w:rsid w:val="00CE317D"/>
    <w:rsid w:val="00CE3EE9"/>
    <w:rsid w:val="00CE4784"/>
    <w:rsid w:val="00CE4A13"/>
    <w:rsid w:val="00CE593B"/>
    <w:rsid w:val="00CE7A86"/>
    <w:rsid w:val="00CF0223"/>
    <w:rsid w:val="00CF0283"/>
    <w:rsid w:val="00CF083A"/>
    <w:rsid w:val="00CF0B87"/>
    <w:rsid w:val="00CF1171"/>
    <w:rsid w:val="00CF1389"/>
    <w:rsid w:val="00CF16E3"/>
    <w:rsid w:val="00CF3289"/>
    <w:rsid w:val="00CF409A"/>
    <w:rsid w:val="00CF427A"/>
    <w:rsid w:val="00CF485E"/>
    <w:rsid w:val="00CF59E9"/>
    <w:rsid w:val="00CF622D"/>
    <w:rsid w:val="00CF6D09"/>
    <w:rsid w:val="00CF7FF6"/>
    <w:rsid w:val="00D00921"/>
    <w:rsid w:val="00D0112D"/>
    <w:rsid w:val="00D03293"/>
    <w:rsid w:val="00D04FA0"/>
    <w:rsid w:val="00D07851"/>
    <w:rsid w:val="00D07853"/>
    <w:rsid w:val="00D10039"/>
    <w:rsid w:val="00D10690"/>
    <w:rsid w:val="00D10B0F"/>
    <w:rsid w:val="00D10C5A"/>
    <w:rsid w:val="00D11817"/>
    <w:rsid w:val="00D118DE"/>
    <w:rsid w:val="00D11F36"/>
    <w:rsid w:val="00D12ED1"/>
    <w:rsid w:val="00D13116"/>
    <w:rsid w:val="00D13397"/>
    <w:rsid w:val="00D14492"/>
    <w:rsid w:val="00D14C5C"/>
    <w:rsid w:val="00D1560C"/>
    <w:rsid w:val="00D15C1C"/>
    <w:rsid w:val="00D162C7"/>
    <w:rsid w:val="00D167A8"/>
    <w:rsid w:val="00D17903"/>
    <w:rsid w:val="00D20218"/>
    <w:rsid w:val="00D20A67"/>
    <w:rsid w:val="00D20FA3"/>
    <w:rsid w:val="00D2153A"/>
    <w:rsid w:val="00D223EF"/>
    <w:rsid w:val="00D22BAD"/>
    <w:rsid w:val="00D23E44"/>
    <w:rsid w:val="00D24378"/>
    <w:rsid w:val="00D264A8"/>
    <w:rsid w:val="00D2702B"/>
    <w:rsid w:val="00D2720F"/>
    <w:rsid w:val="00D27643"/>
    <w:rsid w:val="00D278C5"/>
    <w:rsid w:val="00D30186"/>
    <w:rsid w:val="00D3120B"/>
    <w:rsid w:val="00D31D24"/>
    <w:rsid w:val="00D31D5C"/>
    <w:rsid w:val="00D32459"/>
    <w:rsid w:val="00D335CF"/>
    <w:rsid w:val="00D338CF"/>
    <w:rsid w:val="00D33D16"/>
    <w:rsid w:val="00D33F25"/>
    <w:rsid w:val="00D349DE"/>
    <w:rsid w:val="00D36CF1"/>
    <w:rsid w:val="00D37807"/>
    <w:rsid w:val="00D40814"/>
    <w:rsid w:val="00D408C3"/>
    <w:rsid w:val="00D40D72"/>
    <w:rsid w:val="00D4126A"/>
    <w:rsid w:val="00D41DB0"/>
    <w:rsid w:val="00D421B7"/>
    <w:rsid w:val="00D425EF"/>
    <w:rsid w:val="00D43491"/>
    <w:rsid w:val="00D45326"/>
    <w:rsid w:val="00D45D9B"/>
    <w:rsid w:val="00D4603C"/>
    <w:rsid w:val="00D4613D"/>
    <w:rsid w:val="00D463D0"/>
    <w:rsid w:val="00D46621"/>
    <w:rsid w:val="00D46C8D"/>
    <w:rsid w:val="00D47206"/>
    <w:rsid w:val="00D50046"/>
    <w:rsid w:val="00D50427"/>
    <w:rsid w:val="00D50846"/>
    <w:rsid w:val="00D513AB"/>
    <w:rsid w:val="00D522F3"/>
    <w:rsid w:val="00D529B9"/>
    <w:rsid w:val="00D52CFD"/>
    <w:rsid w:val="00D5334D"/>
    <w:rsid w:val="00D53520"/>
    <w:rsid w:val="00D53E4C"/>
    <w:rsid w:val="00D5567C"/>
    <w:rsid w:val="00D61449"/>
    <w:rsid w:val="00D61F15"/>
    <w:rsid w:val="00D62EF5"/>
    <w:rsid w:val="00D63821"/>
    <w:rsid w:val="00D64A54"/>
    <w:rsid w:val="00D64FBC"/>
    <w:rsid w:val="00D65720"/>
    <w:rsid w:val="00D65900"/>
    <w:rsid w:val="00D65EBB"/>
    <w:rsid w:val="00D66088"/>
    <w:rsid w:val="00D66715"/>
    <w:rsid w:val="00D668CD"/>
    <w:rsid w:val="00D66E10"/>
    <w:rsid w:val="00D66FCD"/>
    <w:rsid w:val="00D673CA"/>
    <w:rsid w:val="00D70E34"/>
    <w:rsid w:val="00D70E3D"/>
    <w:rsid w:val="00D71005"/>
    <w:rsid w:val="00D7102E"/>
    <w:rsid w:val="00D712C0"/>
    <w:rsid w:val="00D714D7"/>
    <w:rsid w:val="00D71640"/>
    <w:rsid w:val="00D72129"/>
    <w:rsid w:val="00D72679"/>
    <w:rsid w:val="00D726D2"/>
    <w:rsid w:val="00D72E5D"/>
    <w:rsid w:val="00D73542"/>
    <w:rsid w:val="00D73844"/>
    <w:rsid w:val="00D74E3B"/>
    <w:rsid w:val="00D75728"/>
    <w:rsid w:val="00D759B7"/>
    <w:rsid w:val="00D80DE5"/>
    <w:rsid w:val="00D81C89"/>
    <w:rsid w:val="00D82135"/>
    <w:rsid w:val="00D83526"/>
    <w:rsid w:val="00D848F7"/>
    <w:rsid w:val="00D85F5D"/>
    <w:rsid w:val="00D86364"/>
    <w:rsid w:val="00D866FD"/>
    <w:rsid w:val="00D903D0"/>
    <w:rsid w:val="00D90ED3"/>
    <w:rsid w:val="00D91ADE"/>
    <w:rsid w:val="00D91BE8"/>
    <w:rsid w:val="00D91D7A"/>
    <w:rsid w:val="00D923AB"/>
    <w:rsid w:val="00D930E9"/>
    <w:rsid w:val="00D93FAC"/>
    <w:rsid w:val="00D954D7"/>
    <w:rsid w:val="00D96DB9"/>
    <w:rsid w:val="00DA012C"/>
    <w:rsid w:val="00DA1A0D"/>
    <w:rsid w:val="00DA1C17"/>
    <w:rsid w:val="00DA2428"/>
    <w:rsid w:val="00DA2B81"/>
    <w:rsid w:val="00DA3186"/>
    <w:rsid w:val="00DA38D0"/>
    <w:rsid w:val="00DA3C29"/>
    <w:rsid w:val="00DA5C1A"/>
    <w:rsid w:val="00DA5E03"/>
    <w:rsid w:val="00DA6295"/>
    <w:rsid w:val="00DA62BD"/>
    <w:rsid w:val="00DA710A"/>
    <w:rsid w:val="00DA741A"/>
    <w:rsid w:val="00DA7447"/>
    <w:rsid w:val="00DB07A3"/>
    <w:rsid w:val="00DB15B3"/>
    <w:rsid w:val="00DB1608"/>
    <w:rsid w:val="00DB24E5"/>
    <w:rsid w:val="00DB340F"/>
    <w:rsid w:val="00DB5F59"/>
    <w:rsid w:val="00DB62FC"/>
    <w:rsid w:val="00DB6C86"/>
    <w:rsid w:val="00DC0980"/>
    <w:rsid w:val="00DC0B63"/>
    <w:rsid w:val="00DC1083"/>
    <w:rsid w:val="00DC1262"/>
    <w:rsid w:val="00DC1A83"/>
    <w:rsid w:val="00DC2170"/>
    <w:rsid w:val="00DC219E"/>
    <w:rsid w:val="00DC25BE"/>
    <w:rsid w:val="00DC2DF1"/>
    <w:rsid w:val="00DC32E8"/>
    <w:rsid w:val="00DC38C5"/>
    <w:rsid w:val="00DC40D6"/>
    <w:rsid w:val="00DC742B"/>
    <w:rsid w:val="00DC76DD"/>
    <w:rsid w:val="00DD0539"/>
    <w:rsid w:val="00DD082B"/>
    <w:rsid w:val="00DD1F36"/>
    <w:rsid w:val="00DD2BC4"/>
    <w:rsid w:val="00DD33D0"/>
    <w:rsid w:val="00DD3F55"/>
    <w:rsid w:val="00DD4946"/>
    <w:rsid w:val="00DD4E7C"/>
    <w:rsid w:val="00DD5470"/>
    <w:rsid w:val="00DD5ACC"/>
    <w:rsid w:val="00DD6B24"/>
    <w:rsid w:val="00DD6DB1"/>
    <w:rsid w:val="00DD766F"/>
    <w:rsid w:val="00DD787B"/>
    <w:rsid w:val="00DE11A3"/>
    <w:rsid w:val="00DE1973"/>
    <w:rsid w:val="00DE2D4F"/>
    <w:rsid w:val="00DE35A3"/>
    <w:rsid w:val="00DE40A4"/>
    <w:rsid w:val="00DE45BD"/>
    <w:rsid w:val="00DE52A7"/>
    <w:rsid w:val="00DE604A"/>
    <w:rsid w:val="00DF040F"/>
    <w:rsid w:val="00DF0796"/>
    <w:rsid w:val="00DF0926"/>
    <w:rsid w:val="00DF0A8A"/>
    <w:rsid w:val="00DF0DE5"/>
    <w:rsid w:val="00DF1B00"/>
    <w:rsid w:val="00DF21B6"/>
    <w:rsid w:val="00DF28D2"/>
    <w:rsid w:val="00DF3158"/>
    <w:rsid w:val="00DF3485"/>
    <w:rsid w:val="00DF3E59"/>
    <w:rsid w:val="00DF3EA5"/>
    <w:rsid w:val="00DF4149"/>
    <w:rsid w:val="00DF49BE"/>
    <w:rsid w:val="00DF5CF0"/>
    <w:rsid w:val="00DF6670"/>
    <w:rsid w:val="00DF6FCE"/>
    <w:rsid w:val="00DF7798"/>
    <w:rsid w:val="00DF7B6C"/>
    <w:rsid w:val="00E00A0E"/>
    <w:rsid w:val="00E00BD4"/>
    <w:rsid w:val="00E011DB"/>
    <w:rsid w:val="00E01951"/>
    <w:rsid w:val="00E01C95"/>
    <w:rsid w:val="00E02064"/>
    <w:rsid w:val="00E02423"/>
    <w:rsid w:val="00E028DB"/>
    <w:rsid w:val="00E02CB2"/>
    <w:rsid w:val="00E02DCC"/>
    <w:rsid w:val="00E02E5B"/>
    <w:rsid w:val="00E02FBF"/>
    <w:rsid w:val="00E03065"/>
    <w:rsid w:val="00E030AF"/>
    <w:rsid w:val="00E04555"/>
    <w:rsid w:val="00E04BB6"/>
    <w:rsid w:val="00E051A2"/>
    <w:rsid w:val="00E05B99"/>
    <w:rsid w:val="00E111CD"/>
    <w:rsid w:val="00E11292"/>
    <w:rsid w:val="00E11733"/>
    <w:rsid w:val="00E12AF7"/>
    <w:rsid w:val="00E13133"/>
    <w:rsid w:val="00E1371E"/>
    <w:rsid w:val="00E14C7C"/>
    <w:rsid w:val="00E156FA"/>
    <w:rsid w:val="00E1647F"/>
    <w:rsid w:val="00E175D0"/>
    <w:rsid w:val="00E20815"/>
    <w:rsid w:val="00E20DC2"/>
    <w:rsid w:val="00E2168B"/>
    <w:rsid w:val="00E21D11"/>
    <w:rsid w:val="00E220AA"/>
    <w:rsid w:val="00E22243"/>
    <w:rsid w:val="00E228B6"/>
    <w:rsid w:val="00E23220"/>
    <w:rsid w:val="00E23636"/>
    <w:rsid w:val="00E239CC"/>
    <w:rsid w:val="00E23B0C"/>
    <w:rsid w:val="00E241B6"/>
    <w:rsid w:val="00E24E35"/>
    <w:rsid w:val="00E252E9"/>
    <w:rsid w:val="00E25316"/>
    <w:rsid w:val="00E2694E"/>
    <w:rsid w:val="00E274C5"/>
    <w:rsid w:val="00E274CD"/>
    <w:rsid w:val="00E306DF"/>
    <w:rsid w:val="00E316E3"/>
    <w:rsid w:val="00E330C7"/>
    <w:rsid w:val="00E33ABC"/>
    <w:rsid w:val="00E349E1"/>
    <w:rsid w:val="00E35832"/>
    <w:rsid w:val="00E35D18"/>
    <w:rsid w:val="00E40065"/>
    <w:rsid w:val="00E40345"/>
    <w:rsid w:val="00E4069D"/>
    <w:rsid w:val="00E41A44"/>
    <w:rsid w:val="00E41C7A"/>
    <w:rsid w:val="00E4217F"/>
    <w:rsid w:val="00E4332F"/>
    <w:rsid w:val="00E4447E"/>
    <w:rsid w:val="00E46223"/>
    <w:rsid w:val="00E46813"/>
    <w:rsid w:val="00E468FB"/>
    <w:rsid w:val="00E50768"/>
    <w:rsid w:val="00E51462"/>
    <w:rsid w:val="00E51737"/>
    <w:rsid w:val="00E51A6D"/>
    <w:rsid w:val="00E521C9"/>
    <w:rsid w:val="00E522F3"/>
    <w:rsid w:val="00E52B6E"/>
    <w:rsid w:val="00E52C1A"/>
    <w:rsid w:val="00E532AA"/>
    <w:rsid w:val="00E54483"/>
    <w:rsid w:val="00E54B21"/>
    <w:rsid w:val="00E54F2F"/>
    <w:rsid w:val="00E563C9"/>
    <w:rsid w:val="00E56BB5"/>
    <w:rsid w:val="00E575DD"/>
    <w:rsid w:val="00E57A52"/>
    <w:rsid w:val="00E57F41"/>
    <w:rsid w:val="00E609A1"/>
    <w:rsid w:val="00E61095"/>
    <w:rsid w:val="00E61336"/>
    <w:rsid w:val="00E61487"/>
    <w:rsid w:val="00E61D53"/>
    <w:rsid w:val="00E6221E"/>
    <w:rsid w:val="00E6261B"/>
    <w:rsid w:val="00E62C37"/>
    <w:rsid w:val="00E62F80"/>
    <w:rsid w:val="00E63076"/>
    <w:rsid w:val="00E64911"/>
    <w:rsid w:val="00E64F30"/>
    <w:rsid w:val="00E6540C"/>
    <w:rsid w:val="00E70323"/>
    <w:rsid w:val="00E70595"/>
    <w:rsid w:val="00E74A36"/>
    <w:rsid w:val="00E74F73"/>
    <w:rsid w:val="00E75693"/>
    <w:rsid w:val="00E76177"/>
    <w:rsid w:val="00E771B0"/>
    <w:rsid w:val="00E80431"/>
    <w:rsid w:val="00E82C6D"/>
    <w:rsid w:val="00E82EE4"/>
    <w:rsid w:val="00E82F1E"/>
    <w:rsid w:val="00E8385B"/>
    <w:rsid w:val="00E84A9C"/>
    <w:rsid w:val="00E85A72"/>
    <w:rsid w:val="00E86970"/>
    <w:rsid w:val="00E874AE"/>
    <w:rsid w:val="00E91E51"/>
    <w:rsid w:val="00E9293B"/>
    <w:rsid w:val="00E92EBE"/>
    <w:rsid w:val="00E93150"/>
    <w:rsid w:val="00E9374D"/>
    <w:rsid w:val="00E939B6"/>
    <w:rsid w:val="00E946D3"/>
    <w:rsid w:val="00E9602C"/>
    <w:rsid w:val="00E96C38"/>
    <w:rsid w:val="00E976A7"/>
    <w:rsid w:val="00EA0C20"/>
    <w:rsid w:val="00EA0F77"/>
    <w:rsid w:val="00EA1031"/>
    <w:rsid w:val="00EA1845"/>
    <w:rsid w:val="00EA2BD1"/>
    <w:rsid w:val="00EA3B2B"/>
    <w:rsid w:val="00EA3B39"/>
    <w:rsid w:val="00EA491D"/>
    <w:rsid w:val="00EA4EE0"/>
    <w:rsid w:val="00EA68B5"/>
    <w:rsid w:val="00EA6B64"/>
    <w:rsid w:val="00EB00CC"/>
    <w:rsid w:val="00EB128B"/>
    <w:rsid w:val="00EB1354"/>
    <w:rsid w:val="00EB2CAF"/>
    <w:rsid w:val="00EB37BD"/>
    <w:rsid w:val="00EB3C09"/>
    <w:rsid w:val="00EB5294"/>
    <w:rsid w:val="00EB759E"/>
    <w:rsid w:val="00EB77A8"/>
    <w:rsid w:val="00EC0460"/>
    <w:rsid w:val="00EC1430"/>
    <w:rsid w:val="00EC1785"/>
    <w:rsid w:val="00EC240A"/>
    <w:rsid w:val="00EC2424"/>
    <w:rsid w:val="00EC32B1"/>
    <w:rsid w:val="00EC38D5"/>
    <w:rsid w:val="00EC5AA5"/>
    <w:rsid w:val="00EC5C61"/>
    <w:rsid w:val="00EC666F"/>
    <w:rsid w:val="00EC6E04"/>
    <w:rsid w:val="00ED086F"/>
    <w:rsid w:val="00ED0E6D"/>
    <w:rsid w:val="00ED18F4"/>
    <w:rsid w:val="00ED3737"/>
    <w:rsid w:val="00ED3EE9"/>
    <w:rsid w:val="00ED46A7"/>
    <w:rsid w:val="00ED4DDB"/>
    <w:rsid w:val="00ED5C02"/>
    <w:rsid w:val="00EE07CD"/>
    <w:rsid w:val="00EE0DBE"/>
    <w:rsid w:val="00EE15CB"/>
    <w:rsid w:val="00EE52A7"/>
    <w:rsid w:val="00EE6245"/>
    <w:rsid w:val="00EE67C7"/>
    <w:rsid w:val="00EF0501"/>
    <w:rsid w:val="00EF190D"/>
    <w:rsid w:val="00EF1CA2"/>
    <w:rsid w:val="00EF248E"/>
    <w:rsid w:val="00EF2E1A"/>
    <w:rsid w:val="00EF2F3F"/>
    <w:rsid w:val="00EF504E"/>
    <w:rsid w:val="00EF5A0E"/>
    <w:rsid w:val="00EF63F9"/>
    <w:rsid w:val="00EF6E00"/>
    <w:rsid w:val="00EF7343"/>
    <w:rsid w:val="00EF757B"/>
    <w:rsid w:val="00EF773A"/>
    <w:rsid w:val="00F00F2D"/>
    <w:rsid w:val="00F01352"/>
    <w:rsid w:val="00F01A68"/>
    <w:rsid w:val="00F02126"/>
    <w:rsid w:val="00F0327E"/>
    <w:rsid w:val="00F03F5B"/>
    <w:rsid w:val="00F04169"/>
    <w:rsid w:val="00F04DDC"/>
    <w:rsid w:val="00F058CB"/>
    <w:rsid w:val="00F05E83"/>
    <w:rsid w:val="00F0669F"/>
    <w:rsid w:val="00F067F9"/>
    <w:rsid w:val="00F06915"/>
    <w:rsid w:val="00F06B1C"/>
    <w:rsid w:val="00F07429"/>
    <w:rsid w:val="00F07578"/>
    <w:rsid w:val="00F12AB4"/>
    <w:rsid w:val="00F132AE"/>
    <w:rsid w:val="00F133A8"/>
    <w:rsid w:val="00F13605"/>
    <w:rsid w:val="00F1443C"/>
    <w:rsid w:val="00F1452D"/>
    <w:rsid w:val="00F14712"/>
    <w:rsid w:val="00F14890"/>
    <w:rsid w:val="00F155BE"/>
    <w:rsid w:val="00F16081"/>
    <w:rsid w:val="00F2182C"/>
    <w:rsid w:val="00F21D46"/>
    <w:rsid w:val="00F232CC"/>
    <w:rsid w:val="00F23B05"/>
    <w:rsid w:val="00F2475B"/>
    <w:rsid w:val="00F248D3"/>
    <w:rsid w:val="00F25485"/>
    <w:rsid w:val="00F26362"/>
    <w:rsid w:val="00F26701"/>
    <w:rsid w:val="00F27E85"/>
    <w:rsid w:val="00F30381"/>
    <w:rsid w:val="00F303FA"/>
    <w:rsid w:val="00F31BB1"/>
    <w:rsid w:val="00F31D0E"/>
    <w:rsid w:val="00F32A9B"/>
    <w:rsid w:val="00F35520"/>
    <w:rsid w:val="00F35DED"/>
    <w:rsid w:val="00F36AA0"/>
    <w:rsid w:val="00F40150"/>
    <w:rsid w:val="00F40CD0"/>
    <w:rsid w:val="00F412AF"/>
    <w:rsid w:val="00F413FD"/>
    <w:rsid w:val="00F41A01"/>
    <w:rsid w:val="00F41D6E"/>
    <w:rsid w:val="00F42160"/>
    <w:rsid w:val="00F42736"/>
    <w:rsid w:val="00F4311E"/>
    <w:rsid w:val="00F43581"/>
    <w:rsid w:val="00F43D13"/>
    <w:rsid w:val="00F43FE8"/>
    <w:rsid w:val="00F44203"/>
    <w:rsid w:val="00F447E1"/>
    <w:rsid w:val="00F45B78"/>
    <w:rsid w:val="00F45CBF"/>
    <w:rsid w:val="00F45D04"/>
    <w:rsid w:val="00F4770D"/>
    <w:rsid w:val="00F477C9"/>
    <w:rsid w:val="00F47C2E"/>
    <w:rsid w:val="00F505DD"/>
    <w:rsid w:val="00F50674"/>
    <w:rsid w:val="00F50898"/>
    <w:rsid w:val="00F50C15"/>
    <w:rsid w:val="00F52488"/>
    <w:rsid w:val="00F5311F"/>
    <w:rsid w:val="00F54641"/>
    <w:rsid w:val="00F54CED"/>
    <w:rsid w:val="00F54E97"/>
    <w:rsid w:val="00F55472"/>
    <w:rsid w:val="00F556B4"/>
    <w:rsid w:val="00F56310"/>
    <w:rsid w:val="00F56A22"/>
    <w:rsid w:val="00F56DC3"/>
    <w:rsid w:val="00F57E1D"/>
    <w:rsid w:val="00F604B5"/>
    <w:rsid w:val="00F615AB"/>
    <w:rsid w:val="00F6203B"/>
    <w:rsid w:val="00F62ECC"/>
    <w:rsid w:val="00F63D95"/>
    <w:rsid w:val="00F65C47"/>
    <w:rsid w:val="00F66268"/>
    <w:rsid w:val="00F70670"/>
    <w:rsid w:val="00F709A0"/>
    <w:rsid w:val="00F70C5A"/>
    <w:rsid w:val="00F721F4"/>
    <w:rsid w:val="00F72457"/>
    <w:rsid w:val="00F72ADE"/>
    <w:rsid w:val="00F72B85"/>
    <w:rsid w:val="00F72F7F"/>
    <w:rsid w:val="00F74472"/>
    <w:rsid w:val="00F76400"/>
    <w:rsid w:val="00F769EA"/>
    <w:rsid w:val="00F775A7"/>
    <w:rsid w:val="00F808C5"/>
    <w:rsid w:val="00F80AF0"/>
    <w:rsid w:val="00F80F76"/>
    <w:rsid w:val="00F81E26"/>
    <w:rsid w:val="00F8227A"/>
    <w:rsid w:val="00F82599"/>
    <w:rsid w:val="00F83C05"/>
    <w:rsid w:val="00F8592B"/>
    <w:rsid w:val="00F85B49"/>
    <w:rsid w:val="00F8711A"/>
    <w:rsid w:val="00F8715E"/>
    <w:rsid w:val="00F878E3"/>
    <w:rsid w:val="00F90DCD"/>
    <w:rsid w:val="00F92104"/>
    <w:rsid w:val="00F92BDB"/>
    <w:rsid w:val="00F934D1"/>
    <w:rsid w:val="00F938DF"/>
    <w:rsid w:val="00F939F6"/>
    <w:rsid w:val="00F941CC"/>
    <w:rsid w:val="00F94A7A"/>
    <w:rsid w:val="00F94B3F"/>
    <w:rsid w:val="00F94C9F"/>
    <w:rsid w:val="00F95A6C"/>
    <w:rsid w:val="00F95AC3"/>
    <w:rsid w:val="00F95BFD"/>
    <w:rsid w:val="00F96335"/>
    <w:rsid w:val="00F96725"/>
    <w:rsid w:val="00F96D7E"/>
    <w:rsid w:val="00F97140"/>
    <w:rsid w:val="00FA04FE"/>
    <w:rsid w:val="00FA0842"/>
    <w:rsid w:val="00FA13D7"/>
    <w:rsid w:val="00FA2EFA"/>
    <w:rsid w:val="00FA41C1"/>
    <w:rsid w:val="00FA5FF7"/>
    <w:rsid w:val="00FA640E"/>
    <w:rsid w:val="00FA677F"/>
    <w:rsid w:val="00FB054D"/>
    <w:rsid w:val="00FB057B"/>
    <w:rsid w:val="00FB1FE0"/>
    <w:rsid w:val="00FB3349"/>
    <w:rsid w:val="00FB46D9"/>
    <w:rsid w:val="00FB4FC7"/>
    <w:rsid w:val="00FB56DF"/>
    <w:rsid w:val="00FB58B1"/>
    <w:rsid w:val="00FB6496"/>
    <w:rsid w:val="00FB6865"/>
    <w:rsid w:val="00FB6AAB"/>
    <w:rsid w:val="00FB6CED"/>
    <w:rsid w:val="00FB72BD"/>
    <w:rsid w:val="00FC0796"/>
    <w:rsid w:val="00FC297A"/>
    <w:rsid w:val="00FC29BD"/>
    <w:rsid w:val="00FC2CE1"/>
    <w:rsid w:val="00FC378F"/>
    <w:rsid w:val="00FC4FF5"/>
    <w:rsid w:val="00FC51A8"/>
    <w:rsid w:val="00FC6188"/>
    <w:rsid w:val="00FD10D4"/>
    <w:rsid w:val="00FD123A"/>
    <w:rsid w:val="00FD1C0C"/>
    <w:rsid w:val="00FD27B2"/>
    <w:rsid w:val="00FD2B1C"/>
    <w:rsid w:val="00FD3C08"/>
    <w:rsid w:val="00FD4901"/>
    <w:rsid w:val="00FD4A06"/>
    <w:rsid w:val="00FD5B08"/>
    <w:rsid w:val="00FD611C"/>
    <w:rsid w:val="00FD61A6"/>
    <w:rsid w:val="00FD64F5"/>
    <w:rsid w:val="00FD6617"/>
    <w:rsid w:val="00FD7728"/>
    <w:rsid w:val="00FE1C1D"/>
    <w:rsid w:val="00FE22A0"/>
    <w:rsid w:val="00FE2D40"/>
    <w:rsid w:val="00FE2D6B"/>
    <w:rsid w:val="00FE2E91"/>
    <w:rsid w:val="00FE3942"/>
    <w:rsid w:val="00FE4A5D"/>
    <w:rsid w:val="00FE4E4E"/>
    <w:rsid w:val="00FE519E"/>
    <w:rsid w:val="00FE5218"/>
    <w:rsid w:val="00FE5369"/>
    <w:rsid w:val="00FE5888"/>
    <w:rsid w:val="00FE67A0"/>
    <w:rsid w:val="00FE773B"/>
    <w:rsid w:val="00FF0C2C"/>
    <w:rsid w:val="00FF0E6D"/>
    <w:rsid w:val="00FF161E"/>
    <w:rsid w:val="00FF2072"/>
    <w:rsid w:val="00FF3E5F"/>
    <w:rsid w:val="00FF4B47"/>
    <w:rsid w:val="00FF4EAA"/>
    <w:rsid w:val="00FF50DD"/>
    <w:rsid w:val="00FF53A9"/>
    <w:rsid w:val="00FF71C7"/>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19C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rsid w:val="001018B0"/>
    <w:pPr>
      <w:keepNext/>
      <w:keepLines/>
      <w:outlineLvl w:val="0"/>
    </w:pPr>
    <w:rPr>
      <w:rFonts w:asciiTheme="majorHAnsi" w:eastAsia="Cambria" w:hAnsiTheme="majorHAnsi" w:cs="Cambria"/>
      <w:b/>
      <w:bCs/>
      <w:sz w:val="20"/>
      <w:szCs w:val="20"/>
    </w:rPr>
  </w:style>
  <w:style w:type="paragraph" w:styleId="Heading2">
    <w:name w:val="heading 2"/>
    <w:basedOn w:val="Normal"/>
    <w:next w:val="Normal"/>
    <w:link w:val="Heading2Char"/>
    <w:uiPriority w:val="9"/>
    <w:unhideWhenUsed/>
    <w:qFormat/>
    <w:rsid w:val="008610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10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F6E0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C219CD"/>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customStyle="1" w:styleId="Body">
    <w:name w:val="Body"/>
    <w:rsid w:val="00C219CD"/>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aliases w:val="List,Segundo nivel de viñetas,List Paragraph1,titulo 3,Bullets,Llista Nivell1,Párrafo de lista1,Ha,Párrafo de lista2,Lista vistosa - Énfasis 11,Cuadrícula clara - Énfasis 31,Dot pt,F5 List Paragraph,No Spacing1,Indicator Text,Bullet 1"/>
    <w:link w:val="ListParagraphChar"/>
    <w:uiPriority w:val="34"/>
    <w:qFormat/>
    <w:rsid w:val="00C219CD"/>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List0">
    <w:name w:val="List 0"/>
    <w:basedOn w:val="NoList"/>
    <w:rsid w:val="00C219CD"/>
    <w:pPr>
      <w:numPr>
        <w:numId w:val="1"/>
      </w:numPr>
    </w:pPr>
  </w:style>
  <w:style w:type="numbering" w:customStyle="1" w:styleId="List1">
    <w:name w:val="List 1"/>
    <w:basedOn w:val="NoList"/>
    <w:rsid w:val="00C219CD"/>
    <w:pPr>
      <w:numPr>
        <w:numId w:val="2"/>
      </w:numPr>
    </w:pPr>
  </w:style>
  <w:style w:type="numbering" w:customStyle="1" w:styleId="Lista21">
    <w:name w:val="Lista 21"/>
    <w:basedOn w:val="NoList"/>
    <w:rsid w:val="00C219CD"/>
    <w:pPr>
      <w:numPr>
        <w:numId w:val="3"/>
      </w:numPr>
    </w:pPr>
  </w:style>
  <w:style w:type="numbering" w:customStyle="1" w:styleId="Lista31">
    <w:name w:val="Lista 31"/>
    <w:basedOn w:val="NoList"/>
    <w:rsid w:val="00C219CD"/>
    <w:pPr>
      <w:numPr>
        <w:numId w:val="4"/>
      </w:numPr>
    </w:pPr>
  </w:style>
  <w:style w:type="numbering" w:customStyle="1" w:styleId="Lista41">
    <w:name w:val="Lista 41"/>
    <w:basedOn w:val="NoList"/>
    <w:rsid w:val="00C219CD"/>
    <w:pPr>
      <w:numPr>
        <w:numId w:val="5"/>
      </w:numPr>
    </w:pPr>
  </w:style>
  <w:style w:type="numbering" w:customStyle="1" w:styleId="Lista51">
    <w:name w:val="Lista 51"/>
    <w:basedOn w:val="NoList"/>
    <w:rsid w:val="00C219CD"/>
    <w:pPr>
      <w:numPr>
        <w:numId w:val="6"/>
      </w:numPr>
    </w:pPr>
  </w:style>
  <w:style w:type="numbering" w:customStyle="1" w:styleId="List6">
    <w:name w:val="List 6"/>
    <w:basedOn w:val="NoList"/>
    <w:rsid w:val="00C219CD"/>
    <w:pPr>
      <w:numPr>
        <w:numId w:val="7"/>
      </w:numPr>
    </w:pPr>
  </w:style>
  <w:style w:type="numbering" w:customStyle="1" w:styleId="List7">
    <w:name w:val="List 7"/>
    <w:basedOn w:val="NoList"/>
    <w:rsid w:val="00C219CD"/>
    <w:pPr>
      <w:numPr>
        <w:numId w:val="8"/>
      </w:numPr>
    </w:pPr>
  </w:style>
  <w:style w:type="character" w:customStyle="1" w:styleId="Heading1Char">
    <w:name w:val="Heading 1 Char"/>
    <w:basedOn w:val="DefaultParagraphFont"/>
    <w:link w:val="Heading1"/>
    <w:uiPriority w:val="9"/>
    <w:rsid w:val="001018B0"/>
    <w:rPr>
      <w:rFonts w:asciiTheme="majorHAnsi" w:eastAsia="Cambria" w:hAnsiTheme="majorHAnsi" w:cs="Cambria"/>
      <w:b/>
      <w:bCs/>
      <w:sz w:val="20"/>
      <w:szCs w:val="20"/>
      <w:bdr w:val="nil"/>
    </w:rPr>
  </w:style>
  <w:style w:type="character" w:customStyle="1" w:styleId="Heading2Char">
    <w:name w:val="Heading 2 Char"/>
    <w:basedOn w:val="DefaultParagraphFont"/>
    <w:link w:val="Heading2"/>
    <w:uiPriority w:val="9"/>
    <w:rsid w:val="00861078"/>
    <w:rPr>
      <w:rFonts w:asciiTheme="majorHAnsi" w:eastAsiaTheme="majorEastAsia" w:hAnsiTheme="majorHAnsi" w:cstheme="majorBidi"/>
      <w:b/>
      <w:bCs/>
      <w:color w:val="4F81BD" w:themeColor="accent1"/>
      <w:sz w:val="26"/>
      <w:szCs w:val="26"/>
      <w:bdr w:val="nil"/>
      <w:lang w:val="en-US"/>
    </w:rPr>
  </w:style>
  <w:style w:type="character" w:customStyle="1" w:styleId="Heading3Char">
    <w:name w:val="Heading 3 Char"/>
    <w:basedOn w:val="DefaultParagraphFont"/>
    <w:link w:val="Heading3"/>
    <w:uiPriority w:val="9"/>
    <w:rsid w:val="00861078"/>
    <w:rPr>
      <w:rFonts w:asciiTheme="majorHAnsi" w:eastAsiaTheme="majorEastAsia" w:hAnsiTheme="majorHAnsi" w:cstheme="majorBidi"/>
      <w:b/>
      <w:bCs/>
      <w:color w:val="4F81BD" w:themeColor="accent1"/>
      <w:sz w:val="24"/>
      <w:szCs w:val="24"/>
      <w:bdr w:val="nil"/>
      <w:lang w:val="en-US"/>
    </w:rPr>
  </w:style>
  <w:style w:type="paragraph" w:styleId="NoSpacing">
    <w:name w:val="No Spacing"/>
    <w:aliases w:val="Informes"/>
    <w:link w:val="NoSpacingChar"/>
    <w:uiPriority w:val="1"/>
    <w:qFormat/>
    <w:rsid w:val="0034558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ListParagraphChar">
    <w:name w:val="List Paragraph Char"/>
    <w:aliases w:val="List Char,Segundo nivel de viñetas Char,List Paragraph1 Char,titulo 3 Char,Bullets Char,Llista Nivell1 Char,Párrafo de lista1 Char,Ha Char,Párrafo de lista2 Char,Lista vistosa - Énfasis 11 Char,Cuadrícula clara - Énfasis 31 Char"/>
    <w:link w:val="ListParagraph"/>
    <w:uiPriority w:val="34"/>
    <w:locked/>
    <w:rsid w:val="00EF6E00"/>
    <w:rPr>
      <w:rFonts w:ascii="Calibri" w:eastAsia="Calibri" w:hAnsi="Calibri" w:cs="Calibri"/>
      <w:color w:val="000000"/>
      <w:u w:color="000000"/>
      <w:bdr w:val="nil"/>
      <w:lang w:val="en-US" w:eastAsia="en-US"/>
    </w:rPr>
  </w:style>
  <w:style w:type="character" w:styleId="Hyperlink">
    <w:name w:val="Hyperlink"/>
    <w:basedOn w:val="DefaultParagraphFont"/>
    <w:uiPriority w:val="99"/>
    <w:unhideWhenUsed/>
    <w:rsid w:val="00EF6E00"/>
    <w:rPr>
      <w:color w:val="0000FF" w:themeColor="hyperlink"/>
      <w:u w:val="single"/>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EF6E0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dr w:val="none" w:sz="0" w:space="0" w:color="auto"/>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uiPriority w:val="99"/>
    <w:qFormat/>
    <w:rsid w:val="00EF6E00"/>
    <w:rPr>
      <w:rFonts w:eastAsiaTheme="minorEastAsia"/>
      <w:sz w:val="24"/>
      <w:szCs w:val="24"/>
      <w:lang w:val="en-US" w:eastAsia="en-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
    <w:basedOn w:val="DefaultParagraphFont"/>
    <w:link w:val="Appelnotedebasde"/>
    <w:uiPriority w:val="99"/>
    <w:unhideWhenUsed/>
    <w:qFormat/>
    <w:rsid w:val="00EF6E00"/>
    <w:rPr>
      <w:vertAlign w:val="superscript"/>
    </w:rPr>
  </w:style>
  <w:style w:type="paragraph" w:customStyle="1" w:styleId="Appelnotedebasde">
    <w:name w:val="Appel note de bas de..."/>
    <w:basedOn w:val="Normal"/>
    <w:link w:val="FootnoteReference"/>
    <w:uiPriority w:val="99"/>
    <w:rsid w:val="00EF6E0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sz w:val="22"/>
      <w:szCs w:val="22"/>
      <w:bdr w:val="none" w:sz="0" w:space="0" w:color="auto"/>
      <w:vertAlign w:val="superscript"/>
    </w:rPr>
  </w:style>
  <w:style w:type="character" w:styleId="CommentReference">
    <w:name w:val="annotation reference"/>
    <w:basedOn w:val="DefaultParagraphFont"/>
    <w:uiPriority w:val="99"/>
    <w:semiHidden/>
    <w:unhideWhenUsed/>
    <w:rsid w:val="00EF6E00"/>
    <w:rPr>
      <w:sz w:val="16"/>
      <w:szCs w:val="16"/>
    </w:rPr>
  </w:style>
  <w:style w:type="paragraph" w:styleId="CommentText">
    <w:name w:val="annotation text"/>
    <w:basedOn w:val="Normal"/>
    <w:link w:val="CommentTextChar"/>
    <w:uiPriority w:val="99"/>
    <w:unhideWhenUsed/>
    <w:rsid w:val="00EF6E0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0"/>
      <w:szCs w:val="20"/>
      <w:bdr w:val="none" w:sz="0" w:space="0" w:color="auto"/>
    </w:rPr>
  </w:style>
  <w:style w:type="character" w:customStyle="1" w:styleId="CommentTextChar">
    <w:name w:val="Comment Text Char"/>
    <w:basedOn w:val="DefaultParagraphFont"/>
    <w:link w:val="CommentText"/>
    <w:uiPriority w:val="99"/>
    <w:rsid w:val="00EF6E00"/>
    <w:rPr>
      <w:rFonts w:eastAsiaTheme="minorEastAsia"/>
      <w:sz w:val="20"/>
      <w:szCs w:val="20"/>
      <w:lang w:val="en-US" w:eastAsia="en-US"/>
    </w:rPr>
  </w:style>
  <w:style w:type="paragraph" w:styleId="BalloonText">
    <w:name w:val="Balloon Text"/>
    <w:basedOn w:val="Normal"/>
    <w:link w:val="BalloonTextChar"/>
    <w:uiPriority w:val="99"/>
    <w:semiHidden/>
    <w:unhideWhenUsed/>
    <w:rsid w:val="00EF6E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E00"/>
    <w:rPr>
      <w:rFonts w:ascii="Segoe UI" w:eastAsia="Arial Unicode MS" w:hAnsi="Segoe UI" w:cs="Segoe UI"/>
      <w:sz w:val="18"/>
      <w:szCs w:val="18"/>
      <w:bdr w:val="nil"/>
      <w:lang w:val="en-US"/>
    </w:rPr>
  </w:style>
  <w:style w:type="character" w:customStyle="1" w:styleId="Heading4Char">
    <w:name w:val="Heading 4 Char"/>
    <w:basedOn w:val="DefaultParagraphFont"/>
    <w:link w:val="Heading4"/>
    <w:uiPriority w:val="9"/>
    <w:rsid w:val="00EF6E00"/>
    <w:rPr>
      <w:rFonts w:asciiTheme="majorHAnsi" w:eastAsiaTheme="majorEastAsia" w:hAnsiTheme="majorHAnsi" w:cstheme="majorBidi"/>
      <w:i/>
      <w:iCs/>
      <w:color w:val="365F91" w:themeColor="accent1" w:themeShade="BF"/>
      <w:sz w:val="24"/>
      <w:szCs w:val="24"/>
      <w:bdr w:val="nil"/>
      <w:lang w:val="en-US"/>
    </w:rPr>
  </w:style>
  <w:style w:type="paragraph" w:customStyle="1" w:styleId="leyestitulo">
    <w:name w:val="leyes_titulo"/>
    <w:basedOn w:val="Normal"/>
    <w:rsid w:val="00EF6E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SpacingChar">
    <w:name w:val="No Spacing Char"/>
    <w:aliases w:val="Informes Char"/>
    <w:link w:val="NoSpacing"/>
    <w:uiPriority w:val="1"/>
    <w:rsid w:val="00397155"/>
    <w:rPr>
      <w:rFonts w:ascii="Times New Roman" w:eastAsia="Arial Unicode MS" w:hAnsi="Times New Roman" w:cs="Times New Roman"/>
      <w:sz w:val="24"/>
      <w:szCs w:val="24"/>
      <w:bdr w:val="nil"/>
      <w:lang w:val="en-US"/>
    </w:rPr>
  </w:style>
  <w:style w:type="character" w:customStyle="1" w:styleId="apple-converted-space">
    <w:name w:val="apple-converted-space"/>
    <w:rsid w:val="00422DB7"/>
    <w:rPr>
      <w:rFonts w:cs="Times New Roman"/>
    </w:rPr>
  </w:style>
  <w:style w:type="character" w:styleId="Emphasis">
    <w:name w:val="Emphasis"/>
    <w:qFormat/>
    <w:rsid w:val="00422DB7"/>
    <w:rPr>
      <w:i/>
      <w:iCs/>
    </w:rPr>
  </w:style>
  <w:style w:type="paragraph" w:styleId="TOC1">
    <w:name w:val="toc 1"/>
    <w:basedOn w:val="Normal"/>
    <w:next w:val="Normal"/>
    <w:autoRedefine/>
    <w:uiPriority w:val="39"/>
    <w:unhideWhenUsed/>
    <w:rsid w:val="00112143"/>
    <w:pPr>
      <w:spacing w:before="120"/>
    </w:pPr>
    <w:rPr>
      <w:rFonts w:asciiTheme="minorHAnsi" w:hAnsiTheme="minorHAnsi"/>
      <w:b/>
    </w:rPr>
  </w:style>
  <w:style w:type="paragraph" w:styleId="TOC2">
    <w:name w:val="toc 2"/>
    <w:basedOn w:val="Normal"/>
    <w:next w:val="Normal"/>
    <w:autoRedefine/>
    <w:uiPriority w:val="39"/>
    <w:unhideWhenUsed/>
    <w:rsid w:val="00112143"/>
    <w:pPr>
      <w:ind w:left="240"/>
    </w:pPr>
    <w:rPr>
      <w:rFonts w:asciiTheme="minorHAnsi" w:hAnsiTheme="minorHAnsi"/>
      <w:b/>
      <w:sz w:val="22"/>
      <w:szCs w:val="22"/>
    </w:rPr>
  </w:style>
  <w:style w:type="paragraph" w:styleId="TOC3">
    <w:name w:val="toc 3"/>
    <w:basedOn w:val="Normal"/>
    <w:next w:val="Normal"/>
    <w:autoRedefine/>
    <w:uiPriority w:val="39"/>
    <w:unhideWhenUsed/>
    <w:rsid w:val="00112143"/>
    <w:pPr>
      <w:ind w:left="480"/>
    </w:pPr>
    <w:rPr>
      <w:rFonts w:asciiTheme="minorHAnsi" w:hAnsiTheme="minorHAnsi"/>
      <w:sz w:val="22"/>
      <w:szCs w:val="22"/>
    </w:rPr>
  </w:style>
  <w:style w:type="paragraph" w:styleId="TOC4">
    <w:name w:val="toc 4"/>
    <w:basedOn w:val="Normal"/>
    <w:next w:val="Normal"/>
    <w:autoRedefine/>
    <w:uiPriority w:val="39"/>
    <w:unhideWhenUsed/>
    <w:rsid w:val="00112143"/>
    <w:pPr>
      <w:ind w:left="720"/>
    </w:pPr>
    <w:rPr>
      <w:rFonts w:asciiTheme="minorHAnsi" w:hAnsiTheme="minorHAnsi"/>
      <w:sz w:val="20"/>
      <w:szCs w:val="20"/>
    </w:rPr>
  </w:style>
  <w:style w:type="table" w:styleId="TableGrid">
    <w:name w:val="Table Grid"/>
    <w:basedOn w:val="TableNormal"/>
    <w:uiPriority w:val="39"/>
    <w:rsid w:val="007F089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C63F8"/>
    <w:pPr>
      <w:pBdr>
        <w:top w:val="nil"/>
        <w:left w:val="nil"/>
        <w:bottom w:val="nil"/>
        <w:right w:val="nil"/>
        <w:between w:val="nil"/>
        <w:bar w:val="nil"/>
      </w:pBdr>
    </w:pPr>
    <w:rPr>
      <w:rFonts w:ascii="Times New Roman" w:eastAsia="Arial Unicode MS" w:hAnsi="Times New Roman" w:cs="Times New Roman"/>
      <w:b/>
      <w:bCs/>
      <w:bdr w:val="nil"/>
    </w:rPr>
  </w:style>
  <w:style w:type="character" w:customStyle="1" w:styleId="CommentSubjectChar">
    <w:name w:val="Comment Subject Char"/>
    <w:basedOn w:val="CommentTextChar"/>
    <w:link w:val="CommentSubject"/>
    <w:uiPriority w:val="99"/>
    <w:semiHidden/>
    <w:rsid w:val="004C63F8"/>
    <w:rPr>
      <w:rFonts w:ascii="Times New Roman" w:eastAsia="Arial Unicode MS" w:hAnsi="Times New Roman" w:cs="Times New Roman"/>
      <w:b/>
      <w:bCs/>
      <w:sz w:val="20"/>
      <w:szCs w:val="20"/>
      <w:bdr w:val="nil"/>
      <w:lang w:val="en-US" w:eastAsia="en-US"/>
    </w:rPr>
  </w:style>
  <w:style w:type="paragraph" w:customStyle="1" w:styleId="Default">
    <w:name w:val="Default"/>
    <w:rsid w:val="00D53E4C"/>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903249"/>
    <w:pPr>
      <w:tabs>
        <w:tab w:val="center" w:pos="4419"/>
        <w:tab w:val="right" w:pos="8838"/>
      </w:tabs>
    </w:pPr>
  </w:style>
  <w:style w:type="character" w:customStyle="1" w:styleId="HeaderChar">
    <w:name w:val="Header Char"/>
    <w:basedOn w:val="DefaultParagraphFont"/>
    <w:link w:val="Header"/>
    <w:uiPriority w:val="99"/>
    <w:rsid w:val="00903249"/>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903249"/>
    <w:pPr>
      <w:tabs>
        <w:tab w:val="center" w:pos="4419"/>
        <w:tab w:val="right" w:pos="8838"/>
      </w:tabs>
    </w:pPr>
  </w:style>
  <w:style w:type="character" w:customStyle="1" w:styleId="FooterChar">
    <w:name w:val="Footer Char"/>
    <w:basedOn w:val="DefaultParagraphFont"/>
    <w:link w:val="Footer"/>
    <w:uiPriority w:val="99"/>
    <w:rsid w:val="00903249"/>
    <w:rPr>
      <w:rFonts w:ascii="Times New Roman" w:eastAsia="Arial Unicode MS" w:hAnsi="Times New Roman" w:cs="Times New Roman"/>
      <w:sz w:val="24"/>
      <w:szCs w:val="24"/>
      <w:bdr w:val="nil"/>
      <w:lang w:val="en-US"/>
    </w:rPr>
  </w:style>
  <w:style w:type="paragraph" w:styleId="NormalWeb">
    <w:name w:val="Normal (Web)"/>
    <w:basedOn w:val="Normal"/>
    <w:uiPriority w:val="99"/>
    <w:unhideWhenUsed/>
    <w:rsid w:val="007B73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UnresolvedMention1">
    <w:name w:val="Unresolved Mention1"/>
    <w:basedOn w:val="DefaultParagraphFont"/>
    <w:uiPriority w:val="99"/>
    <w:semiHidden/>
    <w:unhideWhenUsed/>
    <w:rsid w:val="000B1A0A"/>
    <w:rPr>
      <w:color w:val="808080"/>
      <w:shd w:val="clear" w:color="auto" w:fill="E6E6E6"/>
    </w:rPr>
  </w:style>
  <w:style w:type="character" w:styleId="Strong">
    <w:name w:val="Strong"/>
    <w:basedOn w:val="DefaultParagraphFont"/>
    <w:uiPriority w:val="22"/>
    <w:qFormat/>
    <w:rsid w:val="0036558D"/>
    <w:rPr>
      <w:b/>
      <w:bCs/>
    </w:rPr>
  </w:style>
  <w:style w:type="paragraph" w:customStyle="1" w:styleId="style1">
    <w:name w:val="style1"/>
    <w:basedOn w:val="Normal"/>
    <w:rsid w:val="002D05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qowt-font1-timesnewroman">
    <w:name w:val="qowt-font1-timesnewroman"/>
    <w:basedOn w:val="DefaultParagraphFont"/>
    <w:rsid w:val="008C54F4"/>
  </w:style>
  <w:style w:type="paragraph" w:styleId="Revision">
    <w:name w:val="Revision"/>
    <w:hidden/>
    <w:uiPriority w:val="99"/>
    <w:semiHidden/>
    <w:rsid w:val="00AD1F88"/>
    <w:pPr>
      <w:spacing w:after="0" w:line="240" w:lineRule="auto"/>
    </w:pPr>
    <w:rPr>
      <w:rFonts w:ascii="Times New Roman" w:eastAsia="Arial Unicode MS" w:hAnsi="Times New Roman" w:cs="Times New Roman"/>
      <w:sz w:val="24"/>
      <w:szCs w:val="24"/>
      <w:bdr w:val="nil"/>
    </w:rPr>
  </w:style>
  <w:style w:type="paragraph" w:styleId="DocumentMap">
    <w:name w:val="Document Map"/>
    <w:basedOn w:val="Normal"/>
    <w:link w:val="DocumentMapChar"/>
    <w:uiPriority w:val="99"/>
    <w:semiHidden/>
    <w:unhideWhenUsed/>
    <w:rsid w:val="00054C6B"/>
    <w:rPr>
      <w:rFonts w:ascii="Lucida Grande" w:hAnsi="Lucida Grande" w:cs="Lucida Grande"/>
    </w:rPr>
  </w:style>
  <w:style w:type="character" w:customStyle="1" w:styleId="DocumentMapChar">
    <w:name w:val="Document Map Char"/>
    <w:basedOn w:val="DefaultParagraphFont"/>
    <w:link w:val="DocumentMap"/>
    <w:uiPriority w:val="99"/>
    <w:semiHidden/>
    <w:rsid w:val="00054C6B"/>
    <w:rPr>
      <w:rFonts w:ascii="Lucida Grande" w:eastAsia="Arial Unicode MS" w:hAnsi="Lucida Grande" w:cs="Lucida Grande"/>
      <w:sz w:val="24"/>
      <w:szCs w:val="24"/>
      <w:bdr w:val="nil"/>
      <w:lang w:val="en-US"/>
    </w:rPr>
  </w:style>
  <w:style w:type="paragraph" w:customStyle="1" w:styleId="Char2">
    <w:name w:val="Char2"/>
    <w:basedOn w:val="Normal"/>
    <w:uiPriority w:val="99"/>
    <w:rsid w:val="00122D2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Calibri" w:eastAsia="Calibri" w:hAnsi="Calibri"/>
      <w:sz w:val="20"/>
      <w:szCs w:val="20"/>
      <w:bdr w:val="none" w:sz="0" w:space="0" w:color="auto"/>
      <w:vertAlign w:val="superscript"/>
    </w:rPr>
  </w:style>
  <w:style w:type="character" w:styleId="FollowedHyperlink">
    <w:name w:val="FollowedHyperlink"/>
    <w:basedOn w:val="DefaultParagraphFont"/>
    <w:uiPriority w:val="99"/>
    <w:semiHidden/>
    <w:unhideWhenUsed/>
    <w:rsid w:val="00122D25"/>
    <w:rPr>
      <w:color w:val="800080" w:themeColor="followedHyperlink"/>
      <w:u w:val="single"/>
    </w:rPr>
  </w:style>
  <w:style w:type="paragraph" w:styleId="TOC5">
    <w:name w:val="toc 5"/>
    <w:basedOn w:val="Normal"/>
    <w:next w:val="Normal"/>
    <w:autoRedefine/>
    <w:uiPriority w:val="39"/>
    <w:unhideWhenUsed/>
    <w:rsid w:val="00EA0F77"/>
    <w:pPr>
      <w:ind w:left="960"/>
    </w:pPr>
    <w:rPr>
      <w:rFonts w:asciiTheme="minorHAnsi" w:hAnsiTheme="minorHAnsi"/>
      <w:sz w:val="20"/>
      <w:szCs w:val="20"/>
    </w:rPr>
  </w:style>
  <w:style w:type="paragraph" w:styleId="TOC6">
    <w:name w:val="toc 6"/>
    <w:basedOn w:val="Normal"/>
    <w:next w:val="Normal"/>
    <w:autoRedefine/>
    <w:uiPriority w:val="39"/>
    <w:unhideWhenUsed/>
    <w:rsid w:val="00EA0F77"/>
    <w:pPr>
      <w:ind w:left="1200"/>
    </w:pPr>
    <w:rPr>
      <w:rFonts w:asciiTheme="minorHAnsi" w:hAnsiTheme="minorHAnsi"/>
      <w:sz w:val="20"/>
      <w:szCs w:val="20"/>
    </w:rPr>
  </w:style>
  <w:style w:type="paragraph" w:styleId="TOC7">
    <w:name w:val="toc 7"/>
    <w:basedOn w:val="Normal"/>
    <w:next w:val="Normal"/>
    <w:autoRedefine/>
    <w:uiPriority w:val="39"/>
    <w:unhideWhenUsed/>
    <w:rsid w:val="00EA0F77"/>
    <w:pPr>
      <w:ind w:left="1440"/>
    </w:pPr>
    <w:rPr>
      <w:rFonts w:asciiTheme="minorHAnsi" w:hAnsiTheme="minorHAnsi"/>
      <w:sz w:val="20"/>
      <w:szCs w:val="20"/>
    </w:rPr>
  </w:style>
  <w:style w:type="paragraph" w:styleId="TOC8">
    <w:name w:val="toc 8"/>
    <w:basedOn w:val="Normal"/>
    <w:next w:val="Normal"/>
    <w:autoRedefine/>
    <w:uiPriority w:val="39"/>
    <w:unhideWhenUsed/>
    <w:rsid w:val="00EA0F77"/>
    <w:pPr>
      <w:ind w:left="1680"/>
    </w:pPr>
    <w:rPr>
      <w:rFonts w:asciiTheme="minorHAnsi" w:hAnsiTheme="minorHAnsi"/>
      <w:sz w:val="20"/>
      <w:szCs w:val="20"/>
    </w:rPr>
  </w:style>
  <w:style w:type="paragraph" w:styleId="TOC9">
    <w:name w:val="toc 9"/>
    <w:basedOn w:val="Normal"/>
    <w:next w:val="Normal"/>
    <w:autoRedefine/>
    <w:uiPriority w:val="39"/>
    <w:unhideWhenUsed/>
    <w:rsid w:val="00EA0F77"/>
    <w:pPr>
      <w:ind w:left="1920"/>
    </w:pPr>
    <w:rPr>
      <w:rFonts w:asciiTheme="minorHAnsi" w:hAnsiTheme="minorHAnsi"/>
      <w:sz w:val="20"/>
      <w:szCs w:val="20"/>
    </w:rPr>
  </w:style>
  <w:style w:type="table" w:customStyle="1" w:styleId="Tabladecuadrcula5oscura-nfasis51">
    <w:name w:val="Tabla de cuadrícula 5 oscura - Énfasis 51"/>
    <w:basedOn w:val="TableNormal"/>
    <w:uiPriority w:val="50"/>
    <w:rsid w:val="001018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m-8946065444081616593msofootnotereference">
    <w:name w:val="m_-8946065444081616593msofootnotereference"/>
    <w:basedOn w:val="DefaultParagraphFont"/>
    <w:rsid w:val="00460C68"/>
  </w:style>
  <w:style w:type="character" w:customStyle="1" w:styleId="StrongEmphasis">
    <w:name w:val="Strong Emphasis"/>
    <w:rsid w:val="00CC471D"/>
    <w:rPr>
      <w:b/>
      <w:bCs/>
    </w:rPr>
  </w:style>
  <w:style w:type="character" w:customStyle="1" w:styleId="FootnoteAnchor">
    <w:name w:val="Footnote Anchor"/>
    <w:rsid w:val="00CC471D"/>
    <w:rPr>
      <w:vertAlign w:val="superscript"/>
    </w:rPr>
  </w:style>
  <w:style w:type="character" w:customStyle="1" w:styleId="InternetLink">
    <w:name w:val="Internet Link"/>
    <w:rsid w:val="00CC471D"/>
    <w:rPr>
      <w:color w:val="000080"/>
      <w:u w:val="single"/>
    </w:rPr>
  </w:style>
  <w:style w:type="paragraph" w:customStyle="1" w:styleId="TextBody">
    <w:name w:val="Text Body"/>
    <w:basedOn w:val="Normal"/>
    <w:rsid w:val="00CC471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40" w:line="288" w:lineRule="auto"/>
    </w:pPr>
    <w:rPr>
      <w:rFonts w:ascii="Liberation Serif" w:eastAsia="Droid Sans Fallback" w:hAnsi="Liberation Serif" w:cs="FreeSans"/>
      <w:bdr w:val="none" w:sz="0" w:space="0" w:color="auto"/>
    </w:rPr>
  </w:style>
  <w:style w:type="character" w:customStyle="1" w:styleId="tgc">
    <w:name w:val="_tgc"/>
    <w:rsid w:val="00CC471D"/>
  </w:style>
  <w:style w:type="paragraph" w:customStyle="1" w:styleId="f1">
    <w:name w:val="f1"/>
    <w:basedOn w:val="Normal"/>
    <w:uiPriority w:val="99"/>
    <w:rsid w:val="00CC471D"/>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Calibri" w:eastAsia="Calibri" w:hAnsi="Calibri"/>
      <w:sz w:val="20"/>
      <w:szCs w:val="20"/>
      <w:bdr w:val="none" w:sz="0" w:space="0" w:color="auto"/>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CC471D"/>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Calibri" w:eastAsia="Calibri" w:hAnsi="Calibri"/>
      <w:sz w:val="20"/>
      <w:szCs w:val="20"/>
      <w:bdr w:val="none" w:sz="0" w:space="0" w:color="auto"/>
      <w:vertAlign w:val="superscript"/>
    </w:rPr>
  </w:style>
  <w:style w:type="paragraph" w:styleId="HTMLPreformatted">
    <w:name w:val="HTML Preformatted"/>
    <w:basedOn w:val="Normal"/>
    <w:link w:val="HTMLPreformattedChar"/>
    <w:uiPriority w:val="99"/>
    <w:semiHidden/>
    <w:unhideWhenUsed/>
    <w:rsid w:val="00CC471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CC471D"/>
    <w:rPr>
      <w:rFonts w:ascii="Courier New" w:eastAsia="Times New Roman" w:hAnsi="Courier New" w:cs="Courier New"/>
      <w:sz w:val="20"/>
      <w:szCs w:val="20"/>
      <w:lang w:val="en-US"/>
    </w:rPr>
  </w:style>
  <w:style w:type="paragraph" w:styleId="BodyText">
    <w:name w:val="Body Text"/>
    <w:basedOn w:val="Normal"/>
    <w:link w:val="BodyTextChar"/>
    <w:uiPriority w:val="99"/>
    <w:semiHidden/>
    <w:unhideWhenUsed/>
    <w:rsid w:val="00CC47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BodyTextChar">
    <w:name w:val="Body Text Char"/>
    <w:basedOn w:val="DefaultParagraphFont"/>
    <w:link w:val="BodyText"/>
    <w:uiPriority w:val="99"/>
    <w:semiHidden/>
    <w:rsid w:val="00CC471D"/>
    <w:rPr>
      <w:rFonts w:ascii="Times New Roman" w:eastAsia="Times New Roman" w:hAnsi="Times New Roman" w:cs="Times New Roman"/>
      <w:sz w:val="24"/>
      <w:szCs w:val="24"/>
      <w:lang w:val="en-US"/>
    </w:rPr>
  </w:style>
  <w:style w:type="character" w:customStyle="1" w:styleId="Caracteresdenotaalpie">
    <w:name w:val="Caracteres de nota al pie"/>
    <w:rsid w:val="00CC471D"/>
    <w:rPr>
      <w:vertAlign w:val="superscript"/>
    </w:rPr>
  </w:style>
  <w:style w:type="paragraph" w:customStyle="1" w:styleId="textbox">
    <w:name w:val="textbox"/>
    <w:basedOn w:val="Normal"/>
    <w:rsid w:val="003616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PlaceholderText">
    <w:name w:val="Placeholder Text"/>
    <w:basedOn w:val="DefaultParagraphFont"/>
    <w:uiPriority w:val="99"/>
    <w:semiHidden/>
    <w:rsid w:val="00AF4BC6"/>
    <w:rPr>
      <w:color w:val="808080"/>
    </w:rPr>
  </w:style>
  <w:style w:type="paragraph" w:customStyle="1" w:styleId="Body1">
    <w:name w:val="Body 1"/>
    <w:link w:val="Body1Char"/>
    <w:uiPriority w:val="99"/>
    <w:rsid w:val="00E35832"/>
    <w:pPr>
      <w:spacing w:after="0" w:line="240" w:lineRule="auto"/>
      <w:outlineLvl w:val="0"/>
    </w:pPr>
    <w:rPr>
      <w:rFonts w:ascii="Times New Roman" w:eastAsia="Arial Unicode MS" w:hAnsi="Times New Roman" w:cs="Times New Roman"/>
      <w:color w:val="000000"/>
      <w:sz w:val="24"/>
      <w:szCs w:val="20"/>
      <w:u w:color="000000"/>
    </w:rPr>
  </w:style>
  <w:style w:type="character" w:customStyle="1" w:styleId="Body1Char">
    <w:name w:val="Body 1 Char"/>
    <w:link w:val="Body1"/>
    <w:uiPriority w:val="99"/>
    <w:locked/>
    <w:rsid w:val="00E35832"/>
    <w:rPr>
      <w:rFonts w:ascii="Times New Roman" w:eastAsia="Arial Unicode MS" w:hAnsi="Times New Roman" w:cs="Times New Roman"/>
      <w:color w:val="000000"/>
      <w:sz w:val="24"/>
      <w:szCs w:val="2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19C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rsid w:val="001018B0"/>
    <w:pPr>
      <w:keepNext/>
      <w:keepLines/>
      <w:outlineLvl w:val="0"/>
    </w:pPr>
    <w:rPr>
      <w:rFonts w:asciiTheme="majorHAnsi" w:eastAsia="Cambria" w:hAnsiTheme="majorHAnsi" w:cs="Cambria"/>
      <w:b/>
      <w:bCs/>
      <w:sz w:val="20"/>
      <w:szCs w:val="20"/>
    </w:rPr>
  </w:style>
  <w:style w:type="paragraph" w:styleId="Heading2">
    <w:name w:val="heading 2"/>
    <w:basedOn w:val="Normal"/>
    <w:next w:val="Normal"/>
    <w:link w:val="Heading2Char"/>
    <w:uiPriority w:val="9"/>
    <w:unhideWhenUsed/>
    <w:qFormat/>
    <w:rsid w:val="008610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10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F6E0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C219CD"/>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customStyle="1" w:styleId="Body">
    <w:name w:val="Body"/>
    <w:rsid w:val="00C219CD"/>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aliases w:val="List,Segundo nivel de viñetas,List Paragraph1,titulo 3,Bullets,Llista Nivell1,Párrafo de lista1,Ha,Párrafo de lista2,Lista vistosa - Énfasis 11,Cuadrícula clara - Énfasis 31,Dot pt,F5 List Paragraph,No Spacing1,Indicator Text,Bullet 1"/>
    <w:link w:val="ListParagraphChar"/>
    <w:uiPriority w:val="34"/>
    <w:qFormat/>
    <w:rsid w:val="00C219CD"/>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List0">
    <w:name w:val="List 0"/>
    <w:basedOn w:val="NoList"/>
    <w:rsid w:val="00C219CD"/>
    <w:pPr>
      <w:numPr>
        <w:numId w:val="1"/>
      </w:numPr>
    </w:pPr>
  </w:style>
  <w:style w:type="numbering" w:customStyle="1" w:styleId="List1">
    <w:name w:val="List 1"/>
    <w:basedOn w:val="NoList"/>
    <w:rsid w:val="00C219CD"/>
    <w:pPr>
      <w:numPr>
        <w:numId w:val="2"/>
      </w:numPr>
    </w:pPr>
  </w:style>
  <w:style w:type="numbering" w:customStyle="1" w:styleId="Lista21">
    <w:name w:val="Lista 21"/>
    <w:basedOn w:val="NoList"/>
    <w:rsid w:val="00C219CD"/>
    <w:pPr>
      <w:numPr>
        <w:numId w:val="3"/>
      </w:numPr>
    </w:pPr>
  </w:style>
  <w:style w:type="numbering" w:customStyle="1" w:styleId="Lista31">
    <w:name w:val="Lista 31"/>
    <w:basedOn w:val="NoList"/>
    <w:rsid w:val="00C219CD"/>
    <w:pPr>
      <w:numPr>
        <w:numId w:val="4"/>
      </w:numPr>
    </w:pPr>
  </w:style>
  <w:style w:type="numbering" w:customStyle="1" w:styleId="Lista41">
    <w:name w:val="Lista 41"/>
    <w:basedOn w:val="NoList"/>
    <w:rsid w:val="00C219CD"/>
    <w:pPr>
      <w:numPr>
        <w:numId w:val="5"/>
      </w:numPr>
    </w:pPr>
  </w:style>
  <w:style w:type="numbering" w:customStyle="1" w:styleId="Lista51">
    <w:name w:val="Lista 51"/>
    <w:basedOn w:val="NoList"/>
    <w:rsid w:val="00C219CD"/>
    <w:pPr>
      <w:numPr>
        <w:numId w:val="6"/>
      </w:numPr>
    </w:pPr>
  </w:style>
  <w:style w:type="numbering" w:customStyle="1" w:styleId="List6">
    <w:name w:val="List 6"/>
    <w:basedOn w:val="NoList"/>
    <w:rsid w:val="00C219CD"/>
    <w:pPr>
      <w:numPr>
        <w:numId w:val="7"/>
      </w:numPr>
    </w:pPr>
  </w:style>
  <w:style w:type="numbering" w:customStyle="1" w:styleId="List7">
    <w:name w:val="List 7"/>
    <w:basedOn w:val="NoList"/>
    <w:rsid w:val="00C219CD"/>
    <w:pPr>
      <w:numPr>
        <w:numId w:val="8"/>
      </w:numPr>
    </w:pPr>
  </w:style>
  <w:style w:type="character" w:customStyle="1" w:styleId="Heading1Char">
    <w:name w:val="Heading 1 Char"/>
    <w:basedOn w:val="DefaultParagraphFont"/>
    <w:link w:val="Heading1"/>
    <w:uiPriority w:val="9"/>
    <w:rsid w:val="001018B0"/>
    <w:rPr>
      <w:rFonts w:asciiTheme="majorHAnsi" w:eastAsia="Cambria" w:hAnsiTheme="majorHAnsi" w:cs="Cambria"/>
      <w:b/>
      <w:bCs/>
      <w:sz w:val="20"/>
      <w:szCs w:val="20"/>
      <w:bdr w:val="nil"/>
    </w:rPr>
  </w:style>
  <w:style w:type="character" w:customStyle="1" w:styleId="Heading2Char">
    <w:name w:val="Heading 2 Char"/>
    <w:basedOn w:val="DefaultParagraphFont"/>
    <w:link w:val="Heading2"/>
    <w:uiPriority w:val="9"/>
    <w:rsid w:val="00861078"/>
    <w:rPr>
      <w:rFonts w:asciiTheme="majorHAnsi" w:eastAsiaTheme="majorEastAsia" w:hAnsiTheme="majorHAnsi" w:cstheme="majorBidi"/>
      <w:b/>
      <w:bCs/>
      <w:color w:val="4F81BD" w:themeColor="accent1"/>
      <w:sz w:val="26"/>
      <w:szCs w:val="26"/>
      <w:bdr w:val="nil"/>
      <w:lang w:val="en-US"/>
    </w:rPr>
  </w:style>
  <w:style w:type="character" w:customStyle="1" w:styleId="Heading3Char">
    <w:name w:val="Heading 3 Char"/>
    <w:basedOn w:val="DefaultParagraphFont"/>
    <w:link w:val="Heading3"/>
    <w:uiPriority w:val="9"/>
    <w:rsid w:val="00861078"/>
    <w:rPr>
      <w:rFonts w:asciiTheme="majorHAnsi" w:eastAsiaTheme="majorEastAsia" w:hAnsiTheme="majorHAnsi" w:cstheme="majorBidi"/>
      <w:b/>
      <w:bCs/>
      <w:color w:val="4F81BD" w:themeColor="accent1"/>
      <w:sz w:val="24"/>
      <w:szCs w:val="24"/>
      <w:bdr w:val="nil"/>
      <w:lang w:val="en-US"/>
    </w:rPr>
  </w:style>
  <w:style w:type="paragraph" w:styleId="NoSpacing">
    <w:name w:val="No Spacing"/>
    <w:aliases w:val="Informes"/>
    <w:link w:val="NoSpacingChar"/>
    <w:uiPriority w:val="1"/>
    <w:qFormat/>
    <w:rsid w:val="0034558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ListParagraphChar">
    <w:name w:val="List Paragraph Char"/>
    <w:aliases w:val="List Char,Segundo nivel de viñetas Char,List Paragraph1 Char,titulo 3 Char,Bullets Char,Llista Nivell1 Char,Párrafo de lista1 Char,Ha Char,Párrafo de lista2 Char,Lista vistosa - Énfasis 11 Char,Cuadrícula clara - Énfasis 31 Char"/>
    <w:link w:val="ListParagraph"/>
    <w:uiPriority w:val="34"/>
    <w:locked/>
    <w:rsid w:val="00EF6E00"/>
    <w:rPr>
      <w:rFonts w:ascii="Calibri" w:eastAsia="Calibri" w:hAnsi="Calibri" w:cs="Calibri"/>
      <w:color w:val="000000"/>
      <w:u w:color="000000"/>
      <w:bdr w:val="nil"/>
      <w:lang w:val="en-US" w:eastAsia="en-US"/>
    </w:rPr>
  </w:style>
  <w:style w:type="character" w:styleId="Hyperlink">
    <w:name w:val="Hyperlink"/>
    <w:basedOn w:val="DefaultParagraphFont"/>
    <w:uiPriority w:val="99"/>
    <w:unhideWhenUsed/>
    <w:rsid w:val="00EF6E00"/>
    <w:rPr>
      <w:color w:val="0000FF" w:themeColor="hyperlink"/>
      <w:u w:val="single"/>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EF6E0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dr w:val="none" w:sz="0" w:space="0" w:color="auto"/>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uiPriority w:val="99"/>
    <w:qFormat/>
    <w:rsid w:val="00EF6E00"/>
    <w:rPr>
      <w:rFonts w:eastAsiaTheme="minorEastAsia"/>
      <w:sz w:val="24"/>
      <w:szCs w:val="24"/>
      <w:lang w:val="en-US" w:eastAsia="en-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
    <w:basedOn w:val="DefaultParagraphFont"/>
    <w:link w:val="Appelnotedebasde"/>
    <w:uiPriority w:val="99"/>
    <w:unhideWhenUsed/>
    <w:qFormat/>
    <w:rsid w:val="00EF6E00"/>
    <w:rPr>
      <w:vertAlign w:val="superscript"/>
    </w:rPr>
  </w:style>
  <w:style w:type="paragraph" w:customStyle="1" w:styleId="Appelnotedebasde">
    <w:name w:val="Appel note de bas de..."/>
    <w:basedOn w:val="Normal"/>
    <w:link w:val="FootnoteReference"/>
    <w:uiPriority w:val="99"/>
    <w:rsid w:val="00EF6E0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sz w:val="22"/>
      <w:szCs w:val="22"/>
      <w:bdr w:val="none" w:sz="0" w:space="0" w:color="auto"/>
      <w:vertAlign w:val="superscript"/>
    </w:rPr>
  </w:style>
  <w:style w:type="character" w:styleId="CommentReference">
    <w:name w:val="annotation reference"/>
    <w:basedOn w:val="DefaultParagraphFont"/>
    <w:uiPriority w:val="99"/>
    <w:semiHidden/>
    <w:unhideWhenUsed/>
    <w:rsid w:val="00EF6E00"/>
    <w:rPr>
      <w:sz w:val="16"/>
      <w:szCs w:val="16"/>
    </w:rPr>
  </w:style>
  <w:style w:type="paragraph" w:styleId="CommentText">
    <w:name w:val="annotation text"/>
    <w:basedOn w:val="Normal"/>
    <w:link w:val="CommentTextChar"/>
    <w:uiPriority w:val="99"/>
    <w:unhideWhenUsed/>
    <w:rsid w:val="00EF6E0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0"/>
      <w:szCs w:val="20"/>
      <w:bdr w:val="none" w:sz="0" w:space="0" w:color="auto"/>
    </w:rPr>
  </w:style>
  <w:style w:type="character" w:customStyle="1" w:styleId="CommentTextChar">
    <w:name w:val="Comment Text Char"/>
    <w:basedOn w:val="DefaultParagraphFont"/>
    <w:link w:val="CommentText"/>
    <w:uiPriority w:val="99"/>
    <w:rsid w:val="00EF6E00"/>
    <w:rPr>
      <w:rFonts w:eastAsiaTheme="minorEastAsia"/>
      <w:sz w:val="20"/>
      <w:szCs w:val="20"/>
      <w:lang w:val="en-US" w:eastAsia="en-US"/>
    </w:rPr>
  </w:style>
  <w:style w:type="paragraph" w:styleId="BalloonText">
    <w:name w:val="Balloon Text"/>
    <w:basedOn w:val="Normal"/>
    <w:link w:val="BalloonTextChar"/>
    <w:uiPriority w:val="99"/>
    <w:semiHidden/>
    <w:unhideWhenUsed/>
    <w:rsid w:val="00EF6E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E00"/>
    <w:rPr>
      <w:rFonts w:ascii="Segoe UI" w:eastAsia="Arial Unicode MS" w:hAnsi="Segoe UI" w:cs="Segoe UI"/>
      <w:sz w:val="18"/>
      <w:szCs w:val="18"/>
      <w:bdr w:val="nil"/>
      <w:lang w:val="en-US"/>
    </w:rPr>
  </w:style>
  <w:style w:type="character" w:customStyle="1" w:styleId="Heading4Char">
    <w:name w:val="Heading 4 Char"/>
    <w:basedOn w:val="DefaultParagraphFont"/>
    <w:link w:val="Heading4"/>
    <w:uiPriority w:val="9"/>
    <w:rsid w:val="00EF6E00"/>
    <w:rPr>
      <w:rFonts w:asciiTheme="majorHAnsi" w:eastAsiaTheme="majorEastAsia" w:hAnsiTheme="majorHAnsi" w:cstheme="majorBidi"/>
      <w:i/>
      <w:iCs/>
      <w:color w:val="365F91" w:themeColor="accent1" w:themeShade="BF"/>
      <w:sz w:val="24"/>
      <w:szCs w:val="24"/>
      <w:bdr w:val="nil"/>
      <w:lang w:val="en-US"/>
    </w:rPr>
  </w:style>
  <w:style w:type="paragraph" w:customStyle="1" w:styleId="leyestitulo">
    <w:name w:val="leyes_titulo"/>
    <w:basedOn w:val="Normal"/>
    <w:rsid w:val="00EF6E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SpacingChar">
    <w:name w:val="No Spacing Char"/>
    <w:aliases w:val="Informes Char"/>
    <w:link w:val="NoSpacing"/>
    <w:uiPriority w:val="1"/>
    <w:rsid w:val="00397155"/>
    <w:rPr>
      <w:rFonts w:ascii="Times New Roman" w:eastAsia="Arial Unicode MS" w:hAnsi="Times New Roman" w:cs="Times New Roman"/>
      <w:sz w:val="24"/>
      <w:szCs w:val="24"/>
      <w:bdr w:val="nil"/>
      <w:lang w:val="en-US"/>
    </w:rPr>
  </w:style>
  <w:style w:type="character" w:customStyle="1" w:styleId="apple-converted-space">
    <w:name w:val="apple-converted-space"/>
    <w:rsid w:val="00422DB7"/>
    <w:rPr>
      <w:rFonts w:cs="Times New Roman"/>
    </w:rPr>
  </w:style>
  <w:style w:type="character" w:styleId="Emphasis">
    <w:name w:val="Emphasis"/>
    <w:qFormat/>
    <w:rsid w:val="00422DB7"/>
    <w:rPr>
      <w:i/>
      <w:iCs/>
    </w:rPr>
  </w:style>
  <w:style w:type="paragraph" w:styleId="TOC1">
    <w:name w:val="toc 1"/>
    <w:basedOn w:val="Normal"/>
    <w:next w:val="Normal"/>
    <w:autoRedefine/>
    <w:uiPriority w:val="39"/>
    <w:unhideWhenUsed/>
    <w:rsid w:val="00112143"/>
    <w:pPr>
      <w:spacing w:before="120"/>
    </w:pPr>
    <w:rPr>
      <w:rFonts w:asciiTheme="minorHAnsi" w:hAnsiTheme="minorHAnsi"/>
      <w:b/>
    </w:rPr>
  </w:style>
  <w:style w:type="paragraph" w:styleId="TOC2">
    <w:name w:val="toc 2"/>
    <w:basedOn w:val="Normal"/>
    <w:next w:val="Normal"/>
    <w:autoRedefine/>
    <w:uiPriority w:val="39"/>
    <w:unhideWhenUsed/>
    <w:rsid w:val="00112143"/>
    <w:pPr>
      <w:ind w:left="240"/>
    </w:pPr>
    <w:rPr>
      <w:rFonts w:asciiTheme="minorHAnsi" w:hAnsiTheme="minorHAnsi"/>
      <w:b/>
      <w:sz w:val="22"/>
      <w:szCs w:val="22"/>
    </w:rPr>
  </w:style>
  <w:style w:type="paragraph" w:styleId="TOC3">
    <w:name w:val="toc 3"/>
    <w:basedOn w:val="Normal"/>
    <w:next w:val="Normal"/>
    <w:autoRedefine/>
    <w:uiPriority w:val="39"/>
    <w:unhideWhenUsed/>
    <w:rsid w:val="00112143"/>
    <w:pPr>
      <w:ind w:left="480"/>
    </w:pPr>
    <w:rPr>
      <w:rFonts w:asciiTheme="minorHAnsi" w:hAnsiTheme="minorHAnsi"/>
      <w:sz w:val="22"/>
      <w:szCs w:val="22"/>
    </w:rPr>
  </w:style>
  <w:style w:type="paragraph" w:styleId="TOC4">
    <w:name w:val="toc 4"/>
    <w:basedOn w:val="Normal"/>
    <w:next w:val="Normal"/>
    <w:autoRedefine/>
    <w:uiPriority w:val="39"/>
    <w:unhideWhenUsed/>
    <w:rsid w:val="00112143"/>
    <w:pPr>
      <w:ind w:left="720"/>
    </w:pPr>
    <w:rPr>
      <w:rFonts w:asciiTheme="minorHAnsi" w:hAnsiTheme="minorHAnsi"/>
      <w:sz w:val="20"/>
      <w:szCs w:val="20"/>
    </w:rPr>
  </w:style>
  <w:style w:type="table" w:styleId="TableGrid">
    <w:name w:val="Table Grid"/>
    <w:basedOn w:val="TableNormal"/>
    <w:uiPriority w:val="39"/>
    <w:rsid w:val="007F089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C63F8"/>
    <w:pPr>
      <w:pBdr>
        <w:top w:val="nil"/>
        <w:left w:val="nil"/>
        <w:bottom w:val="nil"/>
        <w:right w:val="nil"/>
        <w:between w:val="nil"/>
        <w:bar w:val="nil"/>
      </w:pBdr>
    </w:pPr>
    <w:rPr>
      <w:rFonts w:ascii="Times New Roman" w:eastAsia="Arial Unicode MS" w:hAnsi="Times New Roman" w:cs="Times New Roman"/>
      <w:b/>
      <w:bCs/>
      <w:bdr w:val="nil"/>
    </w:rPr>
  </w:style>
  <w:style w:type="character" w:customStyle="1" w:styleId="CommentSubjectChar">
    <w:name w:val="Comment Subject Char"/>
    <w:basedOn w:val="CommentTextChar"/>
    <w:link w:val="CommentSubject"/>
    <w:uiPriority w:val="99"/>
    <w:semiHidden/>
    <w:rsid w:val="004C63F8"/>
    <w:rPr>
      <w:rFonts w:ascii="Times New Roman" w:eastAsia="Arial Unicode MS" w:hAnsi="Times New Roman" w:cs="Times New Roman"/>
      <w:b/>
      <w:bCs/>
      <w:sz w:val="20"/>
      <w:szCs w:val="20"/>
      <w:bdr w:val="nil"/>
      <w:lang w:val="en-US" w:eastAsia="en-US"/>
    </w:rPr>
  </w:style>
  <w:style w:type="paragraph" w:customStyle="1" w:styleId="Default">
    <w:name w:val="Default"/>
    <w:rsid w:val="00D53E4C"/>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903249"/>
    <w:pPr>
      <w:tabs>
        <w:tab w:val="center" w:pos="4419"/>
        <w:tab w:val="right" w:pos="8838"/>
      </w:tabs>
    </w:pPr>
  </w:style>
  <w:style w:type="character" w:customStyle="1" w:styleId="HeaderChar">
    <w:name w:val="Header Char"/>
    <w:basedOn w:val="DefaultParagraphFont"/>
    <w:link w:val="Header"/>
    <w:uiPriority w:val="99"/>
    <w:rsid w:val="00903249"/>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903249"/>
    <w:pPr>
      <w:tabs>
        <w:tab w:val="center" w:pos="4419"/>
        <w:tab w:val="right" w:pos="8838"/>
      </w:tabs>
    </w:pPr>
  </w:style>
  <w:style w:type="character" w:customStyle="1" w:styleId="FooterChar">
    <w:name w:val="Footer Char"/>
    <w:basedOn w:val="DefaultParagraphFont"/>
    <w:link w:val="Footer"/>
    <w:uiPriority w:val="99"/>
    <w:rsid w:val="00903249"/>
    <w:rPr>
      <w:rFonts w:ascii="Times New Roman" w:eastAsia="Arial Unicode MS" w:hAnsi="Times New Roman" w:cs="Times New Roman"/>
      <w:sz w:val="24"/>
      <w:szCs w:val="24"/>
      <w:bdr w:val="nil"/>
      <w:lang w:val="en-US"/>
    </w:rPr>
  </w:style>
  <w:style w:type="paragraph" w:styleId="NormalWeb">
    <w:name w:val="Normal (Web)"/>
    <w:basedOn w:val="Normal"/>
    <w:uiPriority w:val="99"/>
    <w:unhideWhenUsed/>
    <w:rsid w:val="007B73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UnresolvedMention1">
    <w:name w:val="Unresolved Mention1"/>
    <w:basedOn w:val="DefaultParagraphFont"/>
    <w:uiPriority w:val="99"/>
    <w:semiHidden/>
    <w:unhideWhenUsed/>
    <w:rsid w:val="000B1A0A"/>
    <w:rPr>
      <w:color w:val="808080"/>
      <w:shd w:val="clear" w:color="auto" w:fill="E6E6E6"/>
    </w:rPr>
  </w:style>
  <w:style w:type="character" w:styleId="Strong">
    <w:name w:val="Strong"/>
    <w:basedOn w:val="DefaultParagraphFont"/>
    <w:uiPriority w:val="22"/>
    <w:qFormat/>
    <w:rsid w:val="0036558D"/>
    <w:rPr>
      <w:b/>
      <w:bCs/>
    </w:rPr>
  </w:style>
  <w:style w:type="paragraph" w:customStyle="1" w:styleId="style1">
    <w:name w:val="style1"/>
    <w:basedOn w:val="Normal"/>
    <w:rsid w:val="002D05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qowt-font1-timesnewroman">
    <w:name w:val="qowt-font1-timesnewroman"/>
    <w:basedOn w:val="DefaultParagraphFont"/>
    <w:rsid w:val="008C54F4"/>
  </w:style>
  <w:style w:type="paragraph" w:styleId="Revision">
    <w:name w:val="Revision"/>
    <w:hidden/>
    <w:uiPriority w:val="99"/>
    <w:semiHidden/>
    <w:rsid w:val="00AD1F88"/>
    <w:pPr>
      <w:spacing w:after="0" w:line="240" w:lineRule="auto"/>
    </w:pPr>
    <w:rPr>
      <w:rFonts w:ascii="Times New Roman" w:eastAsia="Arial Unicode MS" w:hAnsi="Times New Roman" w:cs="Times New Roman"/>
      <w:sz w:val="24"/>
      <w:szCs w:val="24"/>
      <w:bdr w:val="nil"/>
    </w:rPr>
  </w:style>
  <w:style w:type="paragraph" w:styleId="DocumentMap">
    <w:name w:val="Document Map"/>
    <w:basedOn w:val="Normal"/>
    <w:link w:val="DocumentMapChar"/>
    <w:uiPriority w:val="99"/>
    <w:semiHidden/>
    <w:unhideWhenUsed/>
    <w:rsid w:val="00054C6B"/>
    <w:rPr>
      <w:rFonts w:ascii="Lucida Grande" w:hAnsi="Lucida Grande" w:cs="Lucida Grande"/>
    </w:rPr>
  </w:style>
  <w:style w:type="character" w:customStyle="1" w:styleId="DocumentMapChar">
    <w:name w:val="Document Map Char"/>
    <w:basedOn w:val="DefaultParagraphFont"/>
    <w:link w:val="DocumentMap"/>
    <w:uiPriority w:val="99"/>
    <w:semiHidden/>
    <w:rsid w:val="00054C6B"/>
    <w:rPr>
      <w:rFonts w:ascii="Lucida Grande" w:eastAsia="Arial Unicode MS" w:hAnsi="Lucida Grande" w:cs="Lucida Grande"/>
      <w:sz w:val="24"/>
      <w:szCs w:val="24"/>
      <w:bdr w:val="nil"/>
      <w:lang w:val="en-US"/>
    </w:rPr>
  </w:style>
  <w:style w:type="paragraph" w:customStyle="1" w:styleId="Char2">
    <w:name w:val="Char2"/>
    <w:basedOn w:val="Normal"/>
    <w:uiPriority w:val="99"/>
    <w:rsid w:val="00122D2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Calibri" w:eastAsia="Calibri" w:hAnsi="Calibri"/>
      <w:sz w:val="20"/>
      <w:szCs w:val="20"/>
      <w:bdr w:val="none" w:sz="0" w:space="0" w:color="auto"/>
      <w:vertAlign w:val="superscript"/>
    </w:rPr>
  </w:style>
  <w:style w:type="character" w:styleId="FollowedHyperlink">
    <w:name w:val="FollowedHyperlink"/>
    <w:basedOn w:val="DefaultParagraphFont"/>
    <w:uiPriority w:val="99"/>
    <w:semiHidden/>
    <w:unhideWhenUsed/>
    <w:rsid w:val="00122D25"/>
    <w:rPr>
      <w:color w:val="800080" w:themeColor="followedHyperlink"/>
      <w:u w:val="single"/>
    </w:rPr>
  </w:style>
  <w:style w:type="paragraph" w:styleId="TOC5">
    <w:name w:val="toc 5"/>
    <w:basedOn w:val="Normal"/>
    <w:next w:val="Normal"/>
    <w:autoRedefine/>
    <w:uiPriority w:val="39"/>
    <w:unhideWhenUsed/>
    <w:rsid w:val="00EA0F77"/>
    <w:pPr>
      <w:ind w:left="960"/>
    </w:pPr>
    <w:rPr>
      <w:rFonts w:asciiTheme="minorHAnsi" w:hAnsiTheme="minorHAnsi"/>
      <w:sz w:val="20"/>
      <w:szCs w:val="20"/>
    </w:rPr>
  </w:style>
  <w:style w:type="paragraph" w:styleId="TOC6">
    <w:name w:val="toc 6"/>
    <w:basedOn w:val="Normal"/>
    <w:next w:val="Normal"/>
    <w:autoRedefine/>
    <w:uiPriority w:val="39"/>
    <w:unhideWhenUsed/>
    <w:rsid w:val="00EA0F77"/>
    <w:pPr>
      <w:ind w:left="1200"/>
    </w:pPr>
    <w:rPr>
      <w:rFonts w:asciiTheme="minorHAnsi" w:hAnsiTheme="minorHAnsi"/>
      <w:sz w:val="20"/>
      <w:szCs w:val="20"/>
    </w:rPr>
  </w:style>
  <w:style w:type="paragraph" w:styleId="TOC7">
    <w:name w:val="toc 7"/>
    <w:basedOn w:val="Normal"/>
    <w:next w:val="Normal"/>
    <w:autoRedefine/>
    <w:uiPriority w:val="39"/>
    <w:unhideWhenUsed/>
    <w:rsid w:val="00EA0F77"/>
    <w:pPr>
      <w:ind w:left="1440"/>
    </w:pPr>
    <w:rPr>
      <w:rFonts w:asciiTheme="minorHAnsi" w:hAnsiTheme="minorHAnsi"/>
      <w:sz w:val="20"/>
      <w:szCs w:val="20"/>
    </w:rPr>
  </w:style>
  <w:style w:type="paragraph" w:styleId="TOC8">
    <w:name w:val="toc 8"/>
    <w:basedOn w:val="Normal"/>
    <w:next w:val="Normal"/>
    <w:autoRedefine/>
    <w:uiPriority w:val="39"/>
    <w:unhideWhenUsed/>
    <w:rsid w:val="00EA0F77"/>
    <w:pPr>
      <w:ind w:left="1680"/>
    </w:pPr>
    <w:rPr>
      <w:rFonts w:asciiTheme="minorHAnsi" w:hAnsiTheme="minorHAnsi"/>
      <w:sz w:val="20"/>
      <w:szCs w:val="20"/>
    </w:rPr>
  </w:style>
  <w:style w:type="paragraph" w:styleId="TOC9">
    <w:name w:val="toc 9"/>
    <w:basedOn w:val="Normal"/>
    <w:next w:val="Normal"/>
    <w:autoRedefine/>
    <w:uiPriority w:val="39"/>
    <w:unhideWhenUsed/>
    <w:rsid w:val="00EA0F77"/>
    <w:pPr>
      <w:ind w:left="1920"/>
    </w:pPr>
    <w:rPr>
      <w:rFonts w:asciiTheme="minorHAnsi" w:hAnsiTheme="minorHAnsi"/>
      <w:sz w:val="20"/>
      <w:szCs w:val="20"/>
    </w:rPr>
  </w:style>
  <w:style w:type="table" w:customStyle="1" w:styleId="Tabladecuadrcula5oscura-nfasis51">
    <w:name w:val="Tabla de cuadrícula 5 oscura - Énfasis 51"/>
    <w:basedOn w:val="TableNormal"/>
    <w:uiPriority w:val="50"/>
    <w:rsid w:val="001018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m-8946065444081616593msofootnotereference">
    <w:name w:val="m_-8946065444081616593msofootnotereference"/>
    <w:basedOn w:val="DefaultParagraphFont"/>
    <w:rsid w:val="00460C68"/>
  </w:style>
  <w:style w:type="character" w:customStyle="1" w:styleId="StrongEmphasis">
    <w:name w:val="Strong Emphasis"/>
    <w:rsid w:val="00CC471D"/>
    <w:rPr>
      <w:b/>
      <w:bCs/>
    </w:rPr>
  </w:style>
  <w:style w:type="character" w:customStyle="1" w:styleId="FootnoteAnchor">
    <w:name w:val="Footnote Anchor"/>
    <w:rsid w:val="00CC471D"/>
    <w:rPr>
      <w:vertAlign w:val="superscript"/>
    </w:rPr>
  </w:style>
  <w:style w:type="character" w:customStyle="1" w:styleId="InternetLink">
    <w:name w:val="Internet Link"/>
    <w:rsid w:val="00CC471D"/>
    <w:rPr>
      <w:color w:val="000080"/>
      <w:u w:val="single"/>
    </w:rPr>
  </w:style>
  <w:style w:type="paragraph" w:customStyle="1" w:styleId="TextBody">
    <w:name w:val="Text Body"/>
    <w:basedOn w:val="Normal"/>
    <w:rsid w:val="00CC471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40" w:line="288" w:lineRule="auto"/>
    </w:pPr>
    <w:rPr>
      <w:rFonts w:ascii="Liberation Serif" w:eastAsia="Droid Sans Fallback" w:hAnsi="Liberation Serif" w:cs="FreeSans"/>
      <w:bdr w:val="none" w:sz="0" w:space="0" w:color="auto"/>
    </w:rPr>
  </w:style>
  <w:style w:type="character" w:customStyle="1" w:styleId="tgc">
    <w:name w:val="_tgc"/>
    <w:rsid w:val="00CC471D"/>
  </w:style>
  <w:style w:type="paragraph" w:customStyle="1" w:styleId="f1">
    <w:name w:val="f1"/>
    <w:basedOn w:val="Normal"/>
    <w:uiPriority w:val="99"/>
    <w:rsid w:val="00CC471D"/>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Calibri" w:eastAsia="Calibri" w:hAnsi="Calibri"/>
      <w:sz w:val="20"/>
      <w:szCs w:val="20"/>
      <w:bdr w:val="none" w:sz="0" w:space="0" w:color="auto"/>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CC471D"/>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Calibri" w:eastAsia="Calibri" w:hAnsi="Calibri"/>
      <w:sz w:val="20"/>
      <w:szCs w:val="20"/>
      <w:bdr w:val="none" w:sz="0" w:space="0" w:color="auto"/>
      <w:vertAlign w:val="superscript"/>
    </w:rPr>
  </w:style>
  <w:style w:type="paragraph" w:styleId="HTMLPreformatted">
    <w:name w:val="HTML Preformatted"/>
    <w:basedOn w:val="Normal"/>
    <w:link w:val="HTMLPreformattedChar"/>
    <w:uiPriority w:val="99"/>
    <w:semiHidden/>
    <w:unhideWhenUsed/>
    <w:rsid w:val="00CC471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CC471D"/>
    <w:rPr>
      <w:rFonts w:ascii="Courier New" w:eastAsia="Times New Roman" w:hAnsi="Courier New" w:cs="Courier New"/>
      <w:sz w:val="20"/>
      <w:szCs w:val="20"/>
      <w:lang w:val="en-US"/>
    </w:rPr>
  </w:style>
  <w:style w:type="paragraph" w:styleId="BodyText">
    <w:name w:val="Body Text"/>
    <w:basedOn w:val="Normal"/>
    <w:link w:val="BodyTextChar"/>
    <w:uiPriority w:val="99"/>
    <w:semiHidden/>
    <w:unhideWhenUsed/>
    <w:rsid w:val="00CC47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BodyTextChar">
    <w:name w:val="Body Text Char"/>
    <w:basedOn w:val="DefaultParagraphFont"/>
    <w:link w:val="BodyText"/>
    <w:uiPriority w:val="99"/>
    <w:semiHidden/>
    <w:rsid w:val="00CC471D"/>
    <w:rPr>
      <w:rFonts w:ascii="Times New Roman" w:eastAsia="Times New Roman" w:hAnsi="Times New Roman" w:cs="Times New Roman"/>
      <w:sz w:val="24"/>
      <w:szCs w:val="24"/>
      <w:lang w:val="en-US"/>
    </w:rPr>
  </w:style>
  <w:style w:type="character" w:customStyle="1" w:styleId="Caracteresdenotaalpie">
    <w:name w:val="Caracteres de nota al pie"/>
    <w:rsid w:val="00CC471D"/>
    <w:rPr>
      <w:vertAlign w:val="superscript"/>
    </w:rPr>
  </w:style>
  <w:style w:type="paragraph" w:customStyle="1" w:styleId="textbox">
    <w:name w:val="textbox"/>
    <w:basedOn w:val="Normal"/>
    <w:rsid w:val="003616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PlaceholderText">
    <w:name w:val="Placeholder Text"/>
    <w:basedOn w:val="DefaultParagraphFont"/>
    <w:uiPriority w:val="99"/>
    <w:semiHidden/>
    <w:rsid w:val="00AF4BC6"/>
    <w:rPr>
      <w:color w:val="808080"/>
    </w:rPr>
  </w:style>
  <w:style w:type="paragraph" w:customStyle="1" w:styleId="Body1">
    <w:name w:val="Body 1"/>
    <w:link w:val="Body1Char"/>
    <w:uiPriority w:val="99"/>
    <w:rsid w:val="00E35832"/>
    <w:pPr>
      <w:spacing w:after="0" w:line="240" w:lineRule="auto"/>
      <w:outlineLvl w:val="0"/>
    </w:pPr>
    <w:rPr>
      <w:rFonts w:ascii="Times New Roman" w:eastAsia="Arial Unicode MS" w:hAnsi="Times New Roman" w:cs="Times New Roman"/>
      <w:color w:val="000000"/>
      <w:sz w:val="24"/>
      <w:szCs w:val="20"/>
      <w:u w:color="000000"/>
    </w:rPr>
  </w:style>
  <w:style w:type="character" w:customStyle="1" w:styleId="Body1Char">
    <w:name w:val="Body 1 Char"/>
    <w:link w:val="Body1"/>
    <w:uiPriority w:val="99"/>
    <w:locked/>
    <w:rsid w:val="00E35832"/>
    <w:rPr>
      <w:rFonts w:ascii="Times New Roman" w:eastAsia="Arial Unicode MS" w:hAnsi="Times New Roman" w:cs="Times New Roman"/>
      <w:color w:val="000000"/>
      <w:sz w:val="24"/>
      <w:szCs w:val="2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8214">
      <w:bodyDiv w:val="1"/>
      <w:marLeft w:val="0"/>
      <w:marRight w:val="0"/>
      <w:marTop w:val="0"/>
      <w:marBottom w:val="0"/>
      <w:divBdr>
        <w:top w:val="none" w:sz="0" w:space="0" w:color="auto"/>
        <w:left w:val="none" w:sz="0" w:space="0" w:color="auto"/>
        <w:bottom w:val="none" w:sz="0" w:space="0" w:color="auto"/>
        <w:right w:val="none" w:sz="0" w:space="0" w:color="auto"/>
      </w:divBdr>
    </w:div>
    <w:div w:id="449476581">
      <w:bodyDiv w:val="1"/>
      <w:marLeft w:val="0"/>
      <w:marRight w:val="0"/>
      <w:marTop w:val="0"/>
      <w:marBottom w:val="0"/>
      <w:divBdr>
        <w:top w:val="none" w:sz="0" w:space="0" w:color="auto"/>
        <w:left w:val="none" w:sz="0" w:space="0" w:color="auto"/>
        <w:bottom w:val="none" w:sz="0" w:space="0" w:color="auto"/>
        <w:right w:val="none" w:sz="0" w:space="0" w:color="auto"/>
      </w:divBdr>
    </w:div>
    <w:div w:id="487676008">
      <w:bodyDiv w:val="1"/>
      <w:marLeft w:val="0"/>
      <w:marRight w:val="0"/>
      <w:marTop w:val="0"/>
      <w:marBottom w:val="0"/>
      <w:divBdr>
        <w:top w:val="none" w:sz="0" w:space="0" w:color="auto"/>
        <w:left w:val="none" w:sz="0" w:space="0" w:color="auto"/>
        <w:bottom w:val="none" w:sz="0" w:space="0" w:color="auto"/>
        <w:right w:val="none" w:sz="0" w:space="0" w:color="auto"/>
      </w:divBdr>
    </w:div>
    <w:div w:id="641153213">
      <w:bodyDiv w:val="1"/>
      <w:marLeft w:val="0"/>
      <w:marRight w:val="0"/>
      <w:marTop w:val="0"/>
      <w:marBottom w:val="0"/>
      <w:divBdr>
        <w:top w:val="none" w:sz="0" w:space="0" w:color="auto"/>
        <w:left w:val="none" w:sz="0" w:space="0" w:color="auto"/>
        <w:bottom w:val="none" w:sz="0" w:space="0" w:color="auto"/>
        <w:right w:val="none" w:sz="0" w:space="0" w:color="auto"/>
      </w:divBdr>
    </w:div>
    <w:div w:id="689642112">
      <w:bodyDiv w:val="1"/>
      <w:marLeft w:val="0"/>
      <w:marRight w:val="0"/>
      <w:marTop w:val="0"/>
      <w:marBottom w:val="0"/>
      <w:divBdr>
        <w:top w:val="none" w:sz="0" w:space="0" w:color="auto"/>
        <w:left w:val="none" w:sz="0" w:space="0" w:color="auto"/>
        <w:bottom w:val="none" w:sz="0" w:space="0" w:color="auto"/>
        <w:right w:val="none" w:sz="0" w:space="0" w:color="auto"/>
      </w:divBdr>
      <w:divsChild>
        <w:div w:id="1078012964">
          <w:marLeft w:val="0"/>
          <w:marRight w:val="0"/>
          <w:marTop w:val="0"/>
          <w:marBottom w:val="0"/>
          <w:divBdr>
            <w:top w:val="none" w:sz="0" w:space="0" w:color="auto"/>
            <w:left w:val="none" w:sz="0" w:space="0" w:color="auto"/>
            <w:bottom w:val="none" w:sz="0" w:space="0" w:color="auto"/>
            <w:right w:val="none" w:sz="0" w:space="0" w:color="auto"/>
          </w:divBdr>
        </w:div>
        <w:div w:id="1775249899">
          <w:marLeft w:val="0"/>
          <w:marRight w:val="0"/>
          <w:marTop w:val="0"/>
          <w:marBottom w:val="0"/>
          <w:divBdr>
            <w:top w:val="none" w:sz="0" w:space="0" w:color="auto"/>
            <w:left w:val="none" w:sz="0" w:space="0" w:color="auto"/>
            <w:bottom w:val="none" w:sz="0" w:space="0" w:color="auto"/>
            <w:right w:val="none" w:sz="0" w:space="0" w:color="auto"/>
          </w:divBdr>
        </w:div>
      </w:divsChild>
    </w:div>
    <w:div w:id="692463670">
      <w:bodyDiv w:val="1"/>
      <w:marLeft w:val="0"/>
      <w:marRight w:val="0"/>
      <w:marTop w:val="0"/>
      <w:marBottom w:val="0"/>
      <w:divBdr>
        <w:top w:val="none" w:sz="0" w:space="0" w:color="auto"/>
        <w:left w:val="none" w:sz="0" w:space="0" w:color="auto"/>
        <w:bottom w:val="none" w:sz="0" w:space="0" w:color="auto"/>
        <w:right w:val="none" w:sz="0" w:space="0" w:color="auto"/>
      </w:divBdr>
      <w:divsChild>
        <w:div w:id="720978156">
          <w:marLeft w:val="0"/>
          <w:marRight w:val="0"/>
          <w:marTop w:val="0"/>
          <w:marBottom w:val="0"/>
          <w:divBdr>
            <w:top w:val="none" w:sz="0" w:space="0" w:color="auto"/>
            <w:left w:val="none" w:sz="0" w:space="0" w:color="auto"/>
            <w:bottom w:val="none" w:sz="0" w:space="0" w:color="auto"/>
            <w:right w:val="none" w:sz="0" w:space="0" w:color="auto"/>
          </w:divBdr>
        </w:div>
      </w:divsChild>
    </w:div>
    <w:div w:id="757287425">
      <w:bodyDiv w:val="1"/>
      <w:marLeft w:val="0"/>
      <w:marRight w:val="0"/>
      <w:marTop w:val="0"/>
      <w:marBottom w:val="0"/>
      <w:divBdr>
        <w:top w:val="none" w:sz="0" w:space="0" w:color="auto"/>
        <w:left w:val="none" w:sz="0" w:space="0" w:color="auto"/>
        <w:bottom w:val="none" w:sz="0" w:space="0" w:color="auto"/>
        <w:right w:val="none" w:sz="0" w:space="0" w:color="auto"/>
      </w:divBdr>
    </w:div>
    <w:div w:id="823469952">
      <w:bodyDiv w:val="1"/>
      <w:marLeft w:val="0"/>
      <w:marRight w:val="0"/>
      <w:marTop w:val="0"/>
      <w:marBottom w:val="0"/>
      <w:divBdr>
        <w:top w:val="none" w:sz="0" w:space="0" w:color="auto"/>
        <w:left w:val="none" w:sz="0" w:space="0" w:color="auto"/>
        <w:bottom w:val="none" w:sz="0" w:space="0" w:color="auto"/>
        <w:right w:val="none" w:sz="0" w:space="0" w:color="auto"/>
      </w:divBdr>
    </w:div>
    <w:div w:id="863397546">
      <w:bodyDiv w:val="1"/>
      <w:marLeft w:val="0"/>
      <w:marRight w:val="0"/>
      <w:marTop w:val="0"/>
      <w:marBottom w:val="0"/>
      <w:divBdr>
        <w:top w:val="none" w:sz="0" w:space="0" w:color="auto"/>
        <w:left w:val="none" w:sz="0" w:space="0" w:color="auto"/>
        <w:bottom w:val="none" w:sz="0" w:space="0" w:color="auto"/>
        <w:right w:val="none" w:sz="0" w:space="0" w:color="auto"/>
      </w:divBdr>
    </w:div>
    <w:div w:id="1124353092">
      <w:bodyDiv w:val="1"/>
      <w:marLeft w:val="0"/>
      <w:marRight w:val="0"/>
      <w:marTop w:val="0"/>
      <w:marBottom w:val="0"/>
      <w:divBdr>
        <w:top w:val="none" w:sz="0" w:space="0" w:color="auto"/>
        <w:left w:val="none" w:sz="0" w:space="0" w:color="auto"/>
        <w:bottom w:val="none" w:sz="0" w:space="0" w:color="auto"/>
        <w:right w:val="none" w:sz="0" w:space="0" w:color="auto"/>
      </w:divBdr>
    </w:div>
    <w:div w:id="1152330325">
      <w:bodyDiv w:val="1"/>
      <w:marLeft w:val="0"/>
      <w:marRight w:val="0"/>
      <w:marTop w:val="0"/>
      <w:marBottom w:val="0"/>
      <w:divBdr>
        <w:top w:val="none" w:sz="0" w:space="0" w:color="auto"/>
        <w:left w:val="none" w:sz="0" w:space="0" w:color="auto"/>
        <w:bottom w:val="none" w:sz="0" w:space="0" w:color="auto"/>
        <w:right w:val="none" w:sz="0" w:space="0" w:color="auto"/>
      </w:divBdr>
    </w:div>
    <w:div w:id="1159999907">
      <w:bodyDiv w:val="1"/>
      <w:marLeft w:val="0"/>
      <w:marRight w:val="0"/>
      <w:marTop w:val="0"/>
      <w:marBottom w:val="0"/>
      <w:divBdr>
        <w:top w:val="none" w:sz="0" w:space="0" w:color="auto"/>
        <w:left w:val="none" w:sz="0" w:space="0" w:color="auto"/>
        <w:bottom w:val="none" w:sz="0" w:space="0" w:color="auto"/>
        <w:right w:val="none" w:sz="0" w:space="0" w:color="auto"/>
      </w:divBdr>
    </w:div>
    <w:div w:id="1176382064">
      <w:bodyDiv w:val="1"/>
      <w:marLeft w:val="0"/>
      <w:marRight w:val="0"/>
      <w:marTop w:val="0"/>
      <w:marBottom w:val="0"/>
      <w:divBdr>
        <w:top w:val="none" w:sz="0" w:space="0" w:color="auto"/>
        <w:left w:val="none" w:sz="0" w:space="0" w:color="auto"/>
        <w:bottom w:val="none" w:sz="0" w:space="0" w:color="auto"/>
        <w:right w:val="none" w:sz="0" w:space="0" w:color="auto"/>
      </w:divBdr>
    </w:div>
    <w:div w:id="1209493695">
      <w:bodyDiv w:val="1"/>
      <w:marLeft w:val="0"/>
      <w:marRight w:val="0"/>
      <w:marTop w:val="0"/>
      <w:marBottom w:val="0"/>
      <w:divBdr>
        <w:top w:val="none" w:sz="0" w:space="0" w:color="auto"/>
        <w:left w:val="none" w:sz="0" w:space="0" w:color="auto"/>
        <w:bottom w:val="none" w:sz="0" w:space="0" w:color="auto"/>
        <w:right w:val="none" w:sz="0" w:space="0" w:color="auto"/>
      </w:divBdr>
    </w:div>
    <w:div w:id="1312758542">
      <w:bodyDiv w:val="1"/>
      <w:marLeft w:val="0"/>
      <w:marRight w:val="0"/>
      <w:marTop w:val="0"/>
      <w:marBottom w:val="0"/>
      <w:divBdr>
        <w:top w:val="none" w:sz="0" w:space="0" w:color="auto"/>
        <w:left w:val="none" w:sz="0" w:space="0" w:color="auto"/>
        <w:bottom w:val="none" w:sz="0" w:space="0" w:color="auto"/>
        <w:right w:val="none" w:sz="0" w:space="0" w:color="auto"/>
      </w:divBdr>
    </w:div>
    <w:div w:id="1331519231">
      <w:bodyDiv w:val="1"/>
      <w:marLeft w:val="0"/>
      <w:marRight w:val="0"/>
      <w:marTop w:val="0"/>
      <w:marBottom w:val="0"/>
      <w:divBdr>
        <w:top w:val="none" w:sz="0" w:space="0" w:color="auto"/>
        <w:left w:val="none" w:sz="0" w:space="0" w:color="auto"/>
        <w:bottom w:val="none" w:sz="0" w:space="0" w:color="auto"/>
        <w:right w:val="none" w:sz="0" w:space="0" w:color="auto"/>
      </w:divBdr>
    </w:div>
    <w:div w:id="1334457236">
      <w:bodyDiv w:val="1"/>
      <w:marLeft w:val="0"/>
      <w:marRight w:val="0"/>
      <w:marTop w:val="0"/>
      <w:marBottom w:val="0"/>
      <w:divBdr>
        <w:top w:val="none" w:sz="0" w:space="0" w:color="auto"/>
        <w:left w:val="none" w:sz="0" w:space="0" w:color="auto"/>
        <w:bottom w:val="none" w:sz="0" w:space="0" w:color="auto"/>
        <w:right w:val="none" w:sz="0" w:space="0" w:color="auto"/>
      </w:divBdr>
    </w:div>
    <w:div w:id="1513185783">
      <w:bodyDiv w:val="1"/>
      <w:marLeft w:val="0"/>
      <w:marRight w:val="0"/>
      <w:marTop w:val="0"/>
      <w:marBottom w:val="0"/>
      <w:divBdr>
        <w:top w:val="none" w:sz="0" w:space="0" w:color="auto"/>
        <w:left w:val="none" w:sz="0" w:space="0" w:color="auto"/>
        <w:bottom w:val="none" w:sz="0" w:space="0" w:color="auto"/>
        <w:right w:val="none" w:sz="0" w:space="0" w:color="auto"/>
      </w:divBdr>
    </w:div>
    <w:div w:id="1593664175">
      <w:bodyDiv w:val="1"/>
      <w:marLeft w:val="0"/>
      <w:marRight w:val="0"/>
      <w:marTop w:val="0"/>
      <w:marBottom w:val="0"/>
      <w:divBdr>
        <w:top w:val="none" w:sz="0" w:space="0" w:color="auto"/>
        <w:left w:val="none" w:sz="0" w:space="0" w:color="auto"/>
        <w:bottom w:val="none" w:sz="0" w:space="0" w:color="auto"/>
        <w:right w:val="none" w:sz="0" w:space="0" w:color="auto"/>
      </w:divBdr>
    </w:div>
    <w:div w:id="1710228985">
      <w:bodyDiv w:val="1"/>
      <w:marLeft w:val="0"/>
      <w:marRight w:val="0"/>
      <w:marTop w:val="0"/>
      <w:marBottom w:val="0"/>
      <w:divBdr>
        <w:top w:val="none" w:sz="0" w:space="0" w:color="auto"/>
        <w:left w:val="none" w:sz="0" w:space="0" w:color="auto"/>
        <w:bottom w:val="none" w:sz="0" w:space="0" w:color="auto"/>
        <w:right w:val="none" w:sz="0" w:space="0" w:color="auto"/>
      </w:divBdr>
    </w:div>
    <w:div w:id="1755473846">
      <w:bodyDiv w:val="1"/>
      <w:marLeft w:val="0"/>
      <w:marRight w:val="0"/>
      <w:marTop w:val="0"/>
      <w:marBottom w:val="0"/>
      <w:divBdr>
        <w:top w:val="none" w:sz="0" w:space="0" w:color="auto"/>
        <w:left w:val="none" w:sz="0" w:space="0" w:color="auto"/>
        <w:bottom w:val="none" w:sz="0" w:space="0" w:color="auto"/>
        <w:right w:val="none" w:sz="0" w:space="0" w:color="auto"/>
      </w:divBdr>
    </w:div>
    <w:div w:id="1834711725">
      <w:bodyDiv w:val="1"/>
      <w:marLeft w:val="0"/>
      <w:marRight w:val="0"/>
      <w:marTop w:val="0"/>
      <w:marBottom w:val="0"/>
      <w:divBdr>
        <w:top w:val="none" w:sz="0" w:space="0" w:color="auto"/>
        <w:left w:val="none" w:sz="0" w:space="0" w:color="auto"/>
        <w:bottom w:val="none" w:sz="0" w:space="0" w:color="auto"/>
        <w:right w:val="none" w:sz="0" w:space="0" w:color="auto"/>
      </w:divBdr>
    </w:div>
    <w:div w:id="203799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jdkc\Documents\NEW%20VENEZUELA\_Alimentaci%252525C3%252525B3n" TargetMode="External"/><Relationship Id="rId18" Type="http://schemas.openxmlformats.org/officeDocument/2006/relationships/hyperlink" Target="file:///C:\Users\jdkc\Documents\NEW%20VENEZUELA\_Situaci%252525C3%252525B3n__de" TargetMode="External"/><Relationship Id="rId26" Type="http://schemas.openxmlformats.org/officeDocument/2006/relationships/hyperlink" Target="file:///C:\Users\jdkc\Documents\NEW%20VENEZUELA\_Preocupaciones_generales:_militariz"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Users\jdkc\Documents\NEW%20VENEZUELA\_Educaci%252525C3%252525B3n" TargetMode="External"/><Relationship Id="rId34" Type="http://schemas.openxmlformats.org/officeDocument/2006/relationships/hyperlink" Target="file:///C:\Users\jdkc\Documents\NEW%20VENEZUELA\_Situaci%252525C3%252525B3n_de_la"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file:///C:\Users\jdkc\Documents\NEW%20VENEZUELA\_Detenciones_arbitrarias,_actos" TargetMode="External"/><Relationship Id="rId17" Type="http://schemas.openxmlformats.org/officeDocument/2006/relationships/hyperlink" Target="file:///C:\Users\jdkc\Documents\NEW%20VENEZUELA\_Uso__excesivo" TargetMode="External"/><Relationship Id="rId25" Type="http://schemas.openxmlformats.org/officeDocument/2006/relationships/hyperlink" Target="file:///C:\Users\jdkc\Documents\NEW%20VENEZUELA\_Alimentaci%252525C3%252525B3n" TargetMode="External"/><Relationship Id="rId33" Type="http://schemas.openxmlformats.org/officeDocument/2006/relationships/hyperlink" Target="file:///C:\Users\jdkc\Documents\NEW%20VENEZUELA\_Detenciones_arbitrarias,_actos"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C:\Users\jdkc\Documents\NEW%20VENEZUELA\_Respuesta_estatal_ante" TargetMode="External"/><Relationship Id="rId20" Type="http://schemas.openxmlformats.org/officeDocument/2006/relationships/hyperlink" Target="file:///C:\Users\jdkc\Documents\NEW%20VENEZUELA\_Salud" TargetMode="External"/><Relationship Id="rId29" Type="http://schemas.openxmlformats.org/officeDocument/2006/relationships/hyperlink" Target="file:///C:\Users\jdkc\Documents\NEW%20VENEZUELA\_Situaci%252525C3%252525B3n__de"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jdkc\Documents\NEW%20VENEZUELA\_Uso__excesivo" TargetMode="External"/><Relationship Id="rId24" Type="http://schemas.openxmlformats.org/officeDocument/2006/relationships/hyperlink" Target="file:///C:\Users\jdkc\Documents\NEW%20VENEZUELA\_Alimentaci%252525C3%252525B3n" TargetMode="External"/><Relationship Id="rId32" Type="http://schemas.openxmlformats.org/officeDocument/2006/relationships/hyperlink" Target="file:///C:\Users\jdkc\Documents\NEW%20VENEZUELA\_Detenciones_arbitrarias,_actos"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file:///C:\Users\jdkc\Documents\NEW%20VENEZUELA\_Situaci%252525C3%252525B3n_general" TargetMode="External"/><Relationship Id="rId23" Type="http://schemas.openxmlformats.org/officeDocument/2006/relationships/hyperlink" Target="file:///C:\Users\jdkc\Documents\NEW%20VENEZUELA\_Uso__excesivo" TargetMode="External"/><Relationship Id="rId28" Type="http://schemas.openxmlformats.org/officeDocument/2006/relationships/hyperlink" Target="file:///C:\Users\jdkc\Documents\NEW%20VENEZUELA\_Detenciones_arbitrarias,_actos" TargetMode="External"/><Relationship Id="rId36" Type="http://schemas.openxmlformats.org/officeDocument/2006/relationships/hyperlink" Target="file:///C:\Users\jdkc\Documents\NEW%20VENEZUELA\_Situaci%252525C3%252525B3n_general" TargetMode="External"/><Relationship Id="rId10" Type="http://schemas.openxmlformats.org/officeDocument/2006/relationships/hyperlink" Target="file:///C:\Users\jdkc\Documents\NEW%20VENEZUELA\_Respuesta_estatal_ante" TargetMode="External"/><Relationship Id="rId19" Type="http://schemas.openxmlformats.org/officeDocument/2006/relationships/hyperlink" Target="file:///C:\Users\jdkc\Documents\NEW%20VENEZUELA\_Alimentaci%252525C3%252525B3n" TargetMode="External"/><Relationship Id="rId31" Type="http://schemas.openxmlformats.org/officeDocument/2006/relationships/hyperlink" Target="file:///C:\Users\jdkc\Documents\NEW%20VENEZUELA\_Salud"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jdkc\Documents\NEW%20VENEZUELA\_Situaci%252525C3%252525B3n_general" TargetMode="External"/><Relationship Id="rId14" Type="http://schemas.openxmlformats.org/officeDocument/2006/relationships/hyperlink" Target="file:///C:\Users\jdkc\Documents\NEW%20VENEZUELA\_Salud" TargetMode="External"/><Relationship Id="rId22" Type="http://schemas.openxmlformats.org/officeDocument/2006/relationships/hyperlink" Target="file:///C:\Users\jdkc\Documents\NEW%20VENEZUELA\_Situaci%252525C3%252525B3n_general" TargetMode="External"/><Relationship Id="rId27" Type="http://schemas.openxmlformats.org/officeDocument/2006/relationships/hyperlink" Target="file:///C:\Users\jdkc\Documents\NEW%20VENEZUELA\_Operativos,_planes_y" TargetMode="External"/><Relationship Id="rId30" Type="http://schemas.openxmlformats.org/officeDocument/2006/relationships/hyperlink" Target="file:///C:\Users\jdkc\Documents\NEW%20VENEZUELA\_Alimentaci%252525C3%252525B3n" TargetMode="External"/><Relationship Id="rId35" Type="http://schemas.openxmlformats.org/officeDocument/2006/relationships/hyperlink" Target="file:///C:\Users\jdkc\Documents\NEW%20VENEZUELA\_Derechos_econ%252525C3%252525B3micos,_sociales,"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ocs/anual/2017/docs/VE-Observaciones2017.pdf" TargetMode="External"/><Relationship Id="rId7" Type="http://schemas.openxmlformats.org/officeDocument/2006/relationships/hyperlink" Target="http://www.analitica.com/economia/escasez-de-alimentos-basicos-en-el-pais-supera-el-80-segun-datanalisis/" TargetMode="External"/><Relationship Id="rId2" Type="http://schemas.openxmlformats.org/officeDocument/2006/relationships/hyperlink" Target="http://www.oas.org/es/cidh/docs/anual/2017/docs/VE-Observaciones2017.pdf" TargetMode="External"/><Relationship Id="rId1" Type="http://schemas.openxmlformats.org/officeDocument/2006/relationships/hyperlink" Target="http://www.oas.org/es/cidh/docs/anual/2017/docs/VE-Observaciones2017.pdf" TargetMode="External"/><Relationship Id="rId6" Type="http://schemas.openxmlformats.org/officeDocument/2006/relationships/hyperlink" Target="http://www.eluniversal.com/noticias/sucesos/ministerio-publico-2016-hubo-mil-752-homicidios_646326" TargetMode="External"/><Relationship Id="rId5" Type="http://schemas.openxmlformats.org/officeDocument/2006/relationships/hyperlink" Target="https://observatoriodeviolencia.org.ve/informe-ovv-de-violencia-2017/" TargetMode="External"/><Relationship Id="rId4" Type="http://schemas.openxmlformats.org/officeDocument/2006/relationships/hyperlink" Target="http://www.oas.org/en/iachr/media_center/PReleases/2017/041.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EDF39-FBC8-4C77-B4CF-41CD7D023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5584</Words>
  <Characters>30662</Characters>
  <Application>Microsoft Office Word</Application>
  <DocSecurity>0</DocSecurity>
  <Lines>444</Lines>
  <Paragraphs>69</Paragraphs>
  <ScaleCrop>false</ScaleCrop>
  <LinksUpToDate>false</LinksUpToDate>
  <CharactersWithSpaces>36177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Annual Report - Chapter IV.B Venezuela</dc:title>
  <dc:creator/>
  <cp:lastModifiedBy/>
  <cp:revision>1</cp:revision>
  <dcterms:created xsi:type="dcterms:W3CDTF">2018-03-05T08:31:00Z</dcterms:created>
  <dcterms:modified xsi:type="dcterms:W3CDTF">2018-03-20T17:06:00Z</dcterms:modified>
</cp:coreProperties>
</file>