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FC9" w:rsidRPr="005A41E0" w:rsidRDefault="007237FB" w:rsidP="005A41E0">
      <w:pPr>
        <w:jc w:val="center"/>
        <w:rPr>
          <w:rFonts w:asciiTheme="majorHAnsi" w:hAnsiTheme="majorHAnsi"/>
          <w:b/>
          <w:sz w:val="20"/>
          <w:szCs w:val="20"/>
          <w:shd w:val="clear" w:color="auto" w:fill="FFFFFF"/>
          <w:lang w:val="en-US"/>
        </w:rPr>
      </w:pPr>
      <w:r>
        <w:rPr>
          <w:rFonts w:asciiTheme="majorHAnsi" w:hAnsiTheme="majorHAnsi"/>
          <w:b/>
          <w:sz w:val="20"/>
          <w:szCs w:val="20"/>
          <w:shd w:val="clear" w:color="auto" w:fill="FFFFFF"/>
          <w:lang w:val="en-US"/>
        </w:rPr>
        <w:br/>
      </w:r>
    </w:p>
    <w:p w:rsidR="0048631A" w:rsidRPr="005A41E0" w:rsidRDefault="0048631A" w:rsidP="005A41E0">
      <w:pPr>
        <w:jc w:val="center"/>
        <w:rPr>
          <w:rFonts w:asciiTheme="majorHAnsi" w:hAnsiTheme="majorHAnsi"/>
          <w:b/>
          <w:sz w:val="32"/>
          <w:szCs w:val="28"/>
          <w:shd w:val="clear" w:color="auto" w:fill="FFFFFF"/>
          <w:lang w:val="en-US"/>
        </w:rPr>
      </w:pPr>
      <w:r w:rsidRPr="005A41E0">
        <w:rPr>
          <w:rFonts w:asciiTheme="majorHAnsi" w:hAnsiTheme="majorHAnsi"/>
          <w:b/>
          <w:sz w:val="32"/>
          <w:szCs w:val="28"/>
          <w:shd w:val="clear" w:color="auto" w:fill="FFFFFF"/>
          <w:lang w:val="en-US"/>
        </w:rPr>
        <w:t>C</w:t>
      </w:r>
      <w:r w:rsidR="002F1E7E" w:rsidRPr="005A41E0">
        <w:rPr>
          <w:rFonts w:asciiTheme="majorHAnsi" w:hAnsiTheme="majorHAnsi"/>
          <w:b/>
          <w:sz w:val="32"/>
          <w:szCs w:val="28"/>
          <w:shd w:val="clear" w:color="auto" w:fill="FFFFFF"/>
          <w:lang w:val="en-US"/>
        </w:rPr>
        <w:t xml:space="preserve">HAPTER </w:t>
      </w:r>
      <w:r w:rsidRPr="005A41E0">
        <w:rPr>
          <w:rFonts w:asciiTheme="majorHAnsi" w:hAnsiTheme="majorHAnsi"/>
          <w:b/>
          <w:sz w:val="32"/>
          <w:szCs w:val="28"/>
          <w:shd w:val="clear" w:color="auto" w:fill="FFFFFF"/>
          <w:lang w:val="en-US"/>
        </w:rPr>
        <w:t>I</w:t>
      </w:r>
    </w:p>
    <w:p w:rsidR="0048631A" w:rsidRPr="005A41E0" w:rsidRDefault="002F1E7E" w:rsidP="005A41E0">
      <w:pPr>
        <w:jc w:val="center"/>
        <w:rPr>
          <w:rFonts w:asciiTheme="majorHAnsi" w:hAnsiTheme="majorHAnsi"/>
          <w:b/>
          <w:sz w:val="32"/>
          <w:szCs w:val="28"/>
          <w:shd w:val="clear" w:color="auto" w:fill="FFFFFF"/>
          <w:lang w:val="en-US"/>
        </w:rPr>
      </w:pPr>
      <w:r w:rsidRPr="005A41E0">
        <w:rPr>
          <w:rFonts w:asciiTheme="majorHAnsi" w:hAnsiTheme="majorHAnsi"/>
          <w:b/>
          <w:sz w:val="32"/>
          <w:szCs w:val="28"/>
          <w:shd w:val="clear" w:color="auto" w:fill="FFFFFF"/>
          <w:lang w:val="en-US"/>
        </w:rPr>
        <w:t>ACTIVITI</w:t>
      </w:r>
      <w:r w:rsidR="0048631A" w:rsidRPr="005A41E0">
        <w:rPr>
          <w:rFonts w:asciiTheme="majorHAnsi" w:hAnsiTheme="majorHAnsi"/>
          <w:b/>
          <w:sz w:val="32"/>
          <w:szCs w:val="28"/>
          <w:shd w:val="clear" w:color="auto" w:fill="FFFFFF"/>
          <w:lang w:val="en-US"/>
        </w:rPr>
        <w:t xml:space="preserve">ES </w:t>
      </w:r>
      <w:r w:rsidRPr="005A41E0">
        <w:rPr>
          <w:rFonts w:asciiTheme="majorHAnsi" w:hAnsiTheme="majorHAnsi"/>
          <w:b/>
          <w:sz w:val="32"/>
          <w:szCs w:val="28"/>
          <w:shd w:val="clear" w:color="auto" w:fill="FFFFFF"/>
          <w:lang w:val="en-US"/>
        </w:rPr>
        <w:t xml:space="preserve">OF THE IACHR IN </w:t>
      </w:r>
      <w:r w:rsidR="0048631A" w:rsidRPr="005A41E0">
        <w:rPr>
          <w:rFonts w:asciiTheme="majorHAnsi" w:hAnsiTheme="majorHAnsi"/>
          <w:b/>
          <w:sz w:val="32"/>
          <w:szCs w:val="28"/>
          <w:shd w:val="clear" w:color="auto" w:fill="FFFFFF"/>
          <w:lang w:val="en-US"/>
        </w:rPr>
        <w:t>2016</w:t>
      </w:r>
    </w:p>
    <w:p w:rsidR="0048631A" w:rsidRPr="005A41E0" w:rsidRDefault="0048631A" w:rsidP="005A41E0">
      <w:pPr>
        <w:jc w:val="center"/>
        <w:rPr>
          <w:rFonts w:asciiTheme="majorHAnsi" w:hAnsiTheme="majorHAnsi"/>
          <w:b/>
          <w:sz w:val="20"/>
          <w:szCs w:val="20"/>
          <w:shd w:val="clear" w:color="auto" w:fill="FFFFFF"/>
          <w:lang w:val="en-US"/>
        </w:rPr>
      </w:pPr>
    </w:p>
    <w:p w:rsidR="0048631A" w:rsidRPr="005A41E0" w:rsidRDefault="0048631A" w:rsidP="005A41E0">
      <w:pPr>
        <w:jc w:val="center"/>
        <w:rPr>
          <w:rFonts w:asciiTheme="majorHAnsi" w:hAnsiTheme="majorHAnsi"/>
          <w:b/>
          <w:sz w:val="20"/>
          <w:szCs w:val="20"/>
          <w:shd w:val="clear" w:color="auto" w:fill="FFFFFF"/>
          <w:lang w:val="en-US"/>
        </w:rPr>
      </w:pPr>
    </w:p>
    <w:p w:rsidR="0048631A" w:rsidRPr="005A41E0" w:rsidRDefault="0048631A" w:rsidP="005A41E0">
      <w:pPr>
        <w:jc w:val="both"/>
        <w:rPr>
          <w:rFonts w:asciiTheme="majorHAnsi" w:hAnsiTheme="majorHAnsi"/>
          <w:b/>
          <w:sz w:val="20"/>
          <w:szCs w:val="20"/>
          <w:shd w:val="clear" w:color="auto" w:fill="FFFFFF"/>
          <w:lang w:val="en-US"/>
        </w:rPr>
      </w:pPr>
    </w:p>
    <w:p w:rsidR="0048631A" w:rsidRPr="005A41E0" w:rsidRDefault="002F1E7E" w:rsidP="005A41E0">
      <w:pPr>
        <w:pStyle w:val="Heading1"/>
        <w:rPr>
          <w:lang w:val="en-US"/>
        </w:rPr>
      </w:pPr>
      <w:r w:rsidRPr="005A41E0">
        <w:rPr>
          <w:lang w:val="en-US"/>
        </w:rPr>
        <w:t>Electio</w:t>
      </w:r>
      <w:r w:rsidR="0048631A" w:rsidRPr="005A41E0">
        <w:rPr>
          <w:lang w:val="en-US"/>
        </w:rPr>
        <w:t xml:space="preserve">n </w:t>
      </w:r>
      <w:r w:rsidRPr="005A41E0">
        <w:rPr>
          <w:lang w:val="en-US"/>
        </w:rPr>
        <w:t xml:space="preserve">of the Executive Secretary </w:t>
      </w:r>
    </w:p>
    <w:p w:rsidR="0048631A" w:rsidRPr="005A41E0" w:rsidRDefault="0048631A" w:rsidP="005A41E0">
      <w:pPr>
        <w:jc w:val="both"/>
        <w:rPr>
          <w:rFonts w:asciiTheme="majorHAnsi" w:hAnsiTheme="majorHAnsi"/>
          <w:b/>
          <w:sz w:val="20"/>
          <w:szCs w:val="20"/>
          <w:shd w:val="clear" w:color="auto" w:fill="FFFFFF"/>
          <w:lang w:val="en-US"/>
        </w:rPr>
      </w:pPr>
    </w:p>
    <w:p w:rsidR="0048631A" w:rsidRPr="005A41E0" w:rsidRDefault="0048631A" w:rsidP="005A41E0">
      <w:pPr>
        <w:pStyle w:val="Heading2"/>
        <w:rPr>
          <w:lang w:val="en-US"/>
        </w:rPr>
      </w:pPr>
      <w:r w:rsidRPr="005A41E0">
        <w:rPr>
          <w:lang w:val="en-US"/>
        </w:rPr>
        <w:t xml:space="preserve">1. </w:t>
      </w:r>
      <w:r w:rsidRPr="005A41E0">
        <w:rPr>
          <w:lang w:val="en-US"/>
        </w:rPr>
        <w:tab/>
      </w:r>
      <w:r w:rsidR="007E27CF" w:rsidRPr="005A41E0">
        <w:rPr>
          <w:lang w:val="en-US"/>
        </w:rPr>
        <w:t xml:space="preserve">Announcement of the Opening </w:t>
      </w:r>
    </w:p>
    <w:p w:rsidR="0048631A" w:rsidRPr="005A41E0" w:rsidRDefault="0048631A" w:rsidP="005A41E0">
      <w:pPr>
        <w:jc w:val="both"/>
        <w:rPr>
          <w:rFonts w:asciiTheme="majorHAnsi" w:hAnsiTheme="majorHAnsi"/>
          <w:sz w:val="20"/>
          <w:szCs w:val="20"/>
          <w:shd w:val="clear" w:color="auto" w:fill="FFFFFF"/>
          <w:lang w:val="en-US"/>
        </w:rPr>
      </w:pPr>
    </w:p>
    <w:p w:rsidR="0048631A" w:rsidRPr="005A41E0" w:rsidRDefault="007E27CF" w:rsidP="005A41E0">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Style w:val="Strong"/>
          <w:rFonts w:asciiTheme="majorHAnsi" w:hAnsiTheme="majorHAnsi" w:cs="Tahoma"/>
          <w:b w:val="0"/>
          <w:sz w:val="20"/>
          <w:szCs w:val="20"/>
          <w:lang w:val="en-US"/>
        </w:rPr>
        <w:t xml:space="preserve">This year the Inter-American Commission on Human Rights elected the new Executive Secretary. The term of Executive Secretary </w:t>
      </w:r>
      <w:r w:rsidR="0048631A" w:rsidRPr="005A41E0">
        <w:rPr>
          <w:rStyle w:val="Strong"/>
          <w:rFonts w:asciiTheme="majorHAnsi" w:hAnsiTheme="majorHAnsi" w:cs="Tahoma"/>
          <w:b w:val="0"/>
          <w:sz w:val="20"/>
          <w:szCs w:val="20"/>
          <w:lang w:val="en-US"/>
        </w:rPr>
        <w:t xml:space="preserve">Emilio Álvarez Icaza Longoria </w:t>
      </w:r>
      <w:r w:rsidRPr="005A41E0">
        <w:rPr>
          <w:rStyle w:val="Strong"/>
          <w:rFonts w:asciiTheme="majorHAnsi" w:hAnsiTheme="majorHAnsi" w:cs="Tahoma"/>
          <w:b w:val="0"/>
          <w:sz w:val="20"/>
          <w:szCs w:val="20"/>
          <w:lang w:val="en-US"/>
        </w:rPr>
        <w:t xml:space="preserve">ended on August </w:t>
      </w:r>
      <w:r w:rsidR="00D133F1" w:rsidRPr="005A41E0">
        <w:rPr>
          <w:rFonts w:asciiTheme="majorHAnsi" w:hAnsiTheme="majorHAnsi" w:cs="Tahoma"/>
          <w:sz w:val="20"/>
          <w:szCs w:val="20"/>
          <w:shd w:val="clear" w:color="auto" w:fill="FFFFFF"/>
          <w:lang w:val="en-US"/>
        </w:rPr>
        <w:t>15</w:t>
      </w:r>
      <w:r w:rsidRPr="005A41E0">
        <w:rPr>
          <w:rFonts w:asciiTheme="majorHAnsi" w:hAnsiTheme="majorHAnsi" w:cs="Tahoma"/>
          <w:sz w:val="20"/>
          <w:szCs w:val="20"/>
          <w:shd w:val="clear" w:color="auto" w:fill="FFFFFF"/>
          <w:lang w:val="en-US"/>
        </w:rPr>
        <w:t>,</w:t>
      </w:r>
      <w:r w:rsidR="00D133F1" w:rsidRPr="005A41E0">
        <w:rPr>
          <w:rFonts w:asciiTheme="majorHAnsi" w:hAnsiTheme="majorHAnsi" w:cs="Tahoma"/>
          <w:sz w:val="20"/>
          <w:szCs w:val="20"/>
          <w:shd w:val="clear" w:color="auto" w:fill="FFFFFF"/>
          <w:lang w:val="en-US"/>
        </w:rPr>
        <w:t xml:space="preserve"> </w:t>
      </w:r>
      <w:r w:rsidR="0048631A" w:rsidRPr="005A41E0">
        <w:rPr>
          <w:rFonts w:asciiTheme="majorHAnsi" w:hAnsiTheme="majorHAnsi" w:cs="Tahoma"/>
          <w:sz w:val="20"/>
          <w:szCs w:val="20"/>
          <w:shd w:val="clear" w:color="auto" w:fill="FFFFFF"/>
          <w:lang w:val="en-US"/>
        </w:rPr>
        <w:t>2016</w:t>
      </w:r>
      <w:r w:rsidRPr="005A41E0">
        <w:rPr>
          <w:rFonts w:asciiTheme="majorHAnsi" w:hAnsiTheme="majorHAnsi" w:cs="Tahoma"/>
          <w:sz w:val="20"/>
          <w:szCs w:val="20"/>
          <w:shd w:val="clear" w:color="auto" w:fill="FFFFFF"/>
          <w:lang w:val="en-US"/>
        </w:rPr>
        <w:t xml:space="preserve">, as he decided not to seek re-election. In keeping with the procedure established at Article 11 of the IACHR’s Rules of Procedure, on January </w:t>
      </w:r>
      <w:r w:rsidR="0048631A" w:rsidRPr="005A41E0">
        <w:rPr>
          <w:rFonts w:asciiTheme="majorHAnsi" w:hAnsiTheme="majorHAnsi" w:cs="Tahoma"/>
          <w:sz w:val="20"/>
          <w:szCs w:val="20"/>
          <w:shd w:val="clear" w:color="auto" w:fill="FFFFFF"/>
          <w:lang w:val="en-US"/>
        </w:rPr>
        <w:t>9</w:t>
      </w:r>
      <w:r w:rsidRPr="005A41E0">
        <w:rPr>
          <w:rFonts w:asciiTheme="majorHAnsi" w:hAnsiTheme="majorHAnsi" w:cs="Tahoma"/>
          <w:sz w:val="20"/>
          <w:szCs w:val="20"/>
          <w:shd w:val="clear" w:color="auto" w:fill="FFFFFF"/>
          <w:lang w:val="en-US"/>
        </w:rPr>
        <w:t>,</w:t>
      </w:r>
      <w:r w:rsidR="0048631A" w:rsidRPr="005A41E0">
        <w:rPr>
          <w:rFonts w:asciiTheme="majorHAnsi" w:hAnsiTheme="majorHAnsi" w:cs="Tahoma"/>
          <w:sz w:val="20"/>
          <w:szCs w:val="20"/>
          <w:shd w:val="clear" w:color="auto" w:fill="FFFFFF"/>
          <w:lang w:val="en-US"/>
        </w:rPr>
        <w:t xml:space="preserve"> 2016</w:t>
      </w:r>
      <w:r w:rsidRPr="005A41E0">
        <w:rPr>
          <w:rFonts w:asciiTheme="majorHAnsi" w:hAnsiTheme="majorHAnsi" w:cs="Tahoma"/>
          <w:sz w:val="20"/>
          <w:szCs w:val="20"/>
          <w:shd w:val="clear" w:color="auto" w:fill="FFFFFF"/>
          <w:lang w:val="en-US"/>
        </w:rPr>
        <w:t xml:space="preserve">, </w:t>
      </w:r>
      <w:r w:rsidR="00337200" w:rsidRPr="005A41E0">
        <w:rPr>
          <w:rFonts w:asciiTheme="majorHAnsi" w:hAnsiTheme="majorHAnsi" w:cs="Tahoma"/>
          <w:sz w:val="20"/>
          <w:szCs w:val="20"/>
          <w:shd w:val="clear" w:color="auto" w:fill="FFFFFF"/>
          <w:lang w:val="en-US"/>
        </w:rPr>
        <w:t xml:space="preserve">the job announcement was published </w:t>
      </w:r>
      <w:r w:rsidRPr="005A41E0">
        <w:rPr>
          <w:rFonts w:asciiTheme="majorHAnsi" w:hAnsiTheme="majorHAnsi" w:cs="Tahoma"/>
          <w:sz w:val="20"/>
          <w:szCs w:val="20"/>
          <w:shd w:val="clear" w:color="auto" w:fill="FFFFFF"/>
          <w:lang w:val="en-US"/>
        </w:rPr>
        <w:t xml:space="preserve">for </w:t>
      </w:r>
      <w:r w:rsidR="00337200" w:rsidRPr="005A41E0">
        <w:rPr>
          <w:rFonts w:asciiTheme="majorHAnsi" w:hAnsiTheme="majorHAnsi" w:cs="Tahoma"/>
          <w:sz w:val="20"/>
          <w:szCs w:val="20"/>
          <w:shd w:val="clear" w:color="auto" w:fill="FFFFFF"/>
          <w:lang w:val="en-US"/>
        </w:rPr>
        <w:t xml:space="preserve">the </w:t>
      </w:r>
      <w:r w:rsidRPr="005A41E0">
        <w:rPr>
          <w:rFonts w:asciiTheme="majorHAnsi" w:hAnsiTheme="majorHAnsi" w:cs="Tahoma"/>
          <w:sz w:val="20"/>
          <w:szCs w:val="20"/>
          <w:shd w:val="clear" w:color="auto" w:fill="FFFFFF"/>
          <w:lang w:val="en-US"/>
        </w:rPr>
        <w:t xml:space="preserve">Executive Secretary </w:t>
      </w:r>
      <w:r w:rsidR="00337200" w:rsidRPr="005A41E0">
        <w:rPr>
          <w:rFonts w:asciiTheme="majorHAnsi" w:hAnsiTheme="majorHAnsi" w:cs="Tahoma"/>
          <w:sz w:val="20"/>
          <w:szCs w:val="20"/>
          <w:shd w:val="clear" w:color="auto" w:fill="FFFFFF"/>
          <w:lang w:val="en-US"/>
        </w:rPr>
        <w:t xml:space="preserve">position for </w:t>
      </w:r>
      <w:r w:rsidRPr="005A41E0">
        <w:rPr>
          <w:rFonts w:asciiTheme="majorHAnsi" w:hAnsiTheme="majorHAnsi" w:cs="Tahoma"/>
          <w:sz w:val="20"/>
          <w:szCs w:val="20"/>
          <w:shd w:val="clear" w:color="auto" w:fill="FFFFFF"/>
          <w:lang w:val="en-US"/>
        </w:rPr>
        <w:t xml:space="preserve">the period from August 2016 to August 2020. </w:t>
      </w:r>
    </w:p>
    <w:p w:rsidR="0048631A" w:rsidRPr="005A41E0" w:rsidRDefault="0048631A" w:rsidP="005A41E0">
      <w:pPr>
        <w:shd w:val="clear" w:color="auto" w:fill="FFFFFF"/>
        <w:jc w:val="both"/>
        <w:rPr>
          <w:rFonts w:asciiTheme="majorHAnsi" w:hAnsiTheme="majorHAnsi" w:cs="Tahoma"/>
          <w:b/>
          <w:sz w:val="20"/>
          <w:szCs w:val="20"/>
          <w:shd w:val="clear" w:color="auto" w:fill="FFFFFF"/>
          <w:lang w:val="en-US"/>
        </w:rPr>
      </w:pPr>
    </w:p>
    <w:p w:rsidR="0048631A" w:rsidRPr="005A41E0" w:rsidRDefault="007E27CF" w:rsidP="005A41E0">
      <w:pPr>
        <w:pStyle w:val="Heading2"/>
        <w:rPr>
          <w:lang w:val="en-US"/>
        </w:rPr>
      </w:pPr>
      <w:r w:rsidRPr="005A41E0">
        <w:rPr>
          <w:lang w:val="en-US"/>
        </w:rPr>
        <w:t xml:space="preserve">2. </w:t>
      </w:r>
      <w:r w:rsidRPr="005A41E0">
        <w:rPr>
          <w:lang w:val="en-US"/>
        </w:rPr>
        <w:tab/>
        <w:t>Selection</w:t>
      </w:r>
      <w:r w:rsidR="0048631A" w:rsidRPr="005A41E0">
        <w:rPr>
          <w:lang w:val="en-US"/>
        </w:rPr>
        <w:t xml:space="preserve"> </w:t>
      </w:r>
    </w:p>
    <w:p w:rsidR="0048631A" w:rsidRPr="005A41E0" w:rsidRDefault="0048631A" w:rsidP="005A41E0">
      <w:pPr>
        <w:shd w:val="clear" w:color="auto" w:fill="FFFFFF"/>
        <w:jc w:val="both"/>
        <w:rPr>
          <w:rFonts w:asciiTheme="majorHAnsi" w:hAnsiTheme="majorHAnsi" w:cs="Tahoma"/>
          <w:b/>
          <w:sz w:val="20"/>
          <w:szCs w:val="20"/>
          <w:shd w:val="clear" w:color="auto" w:fill="FFFFFF"/>
          <w:lang w:val="en-US"/>
        </w:rPr>
      </w:pPr>
    </w:p>
    <w:p w:rsidR="00D133F1" w:rsidRPr="005A41E0" w:rsidRDefault="007E27CF" w:rsidP="008748D8">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cs="Tahoma"/>
          <w:sz w:val="20"/>
          <w:szCs w:val="20"/>
          <w:shd w:val="clear" w:color="auto" w:fill="FFFFFF"/>
          <w:lang w:val="en-US"/>
        </w:rPr>
        <w:t>The selection process was open, participatory, and transparent. More than 90 candidates applied</w:t>
      </w:r>
      <w:r w:rsidR="00D133F1" w:rsidRPr="005A41E0">
        <w:rPr>
          <w:rFonts w:asciiTheme="majorHAnsi" w:hAnsiTheme="majorHAnsi" w:cs="Tahoma"/>
          <w:sz w:val="20"/>
          <w:szCs w:val="20"/>
          <w:shd w:val="clear" w:color="auto" w:fill="FFFFFF"/>
          <w:lang w:val="en-US"/>
        </w:rPr>
        <w:t xml:space="preserve">. </w:t>
      </w:r>
      <w:r w:rsidR="008748D8">
        <w:rPr>
          <w:rFonts w:asciiTheme="majorHAnsi" w:hAnsiTheme="majorHAnsi" w:cs="Tahoma"/>
          <w:sz w:val="20"/>
          <w:szCs w:val="20"/>
          <w:shd w:val="clear" w:color="auto" w:fill="FFFFFF"/>
          <w:lang w:val="en-US"/>
        </w:rPr>
        <w:t>For one month the IACHR posted</w:t>
      </w:r>
      <w:r w:rsidRPr="005A41E0">
        <w:rPr>
          <w:rFonts w:asciiTheme="majorHAnsi" w:hAnsiTheme="majorHAnsi" w:cs="Tahoma"/>
          <w:sz w:val="20"/>
          <w:szCs w:val="20"/>
          <w:shd w:val="clear" w:color="auto" w:fill="FFFFFF"/>
          <w:lang w:val="en-US"/>
        </w:rPr>
        <w:t xml:space="preserve"> the curriculum vitae of the finalists on its website for the purpose of receiving observations. </w:t>
      </w:r>
    </w:p>
    <w:p w:rsidR="00D133F1" w:rsidRPr="005A41E0" w:rsidRDefault="00D133F1" w:rsidP="005A41E0">
      <w:pPr>
        <w:shd w:val="clear" w:color="auto" w:fill="FFFFFF"/>
        <w:ind w:left="360"/>
        <w:jc w:val="both"/>
        <w:rPr>
          <w:rFonts w:asciiTheme="majorHAnsi" w:hAnsiTheme="majorHAnsi" w:cs="Tahoma"/>
          <w:sz w:val="20"/>
          <w:szCs w:val="20"/>
          <w:shd w:val="clear" w:color="auto" w:fill="FFFFFF"/>
          <w:lang w:val="en-US"/>
        </w:rPr>
      </w:pPr>
    </w:p>
    <w:p w:rsidR="0048631A" w:rsidRPr="005A41E0" w:rsidRDefault="007E27CF" w:rsidP="008748D8">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cs="Tahoma"/>
          <w:sz w:val="20"/>
          <w:szCs w:val="20"/>
          <w:shd w:val="clear" w:color="auto" w:fill="FFFFFF"/>
          <w:lang w:val="en-US"/>
        </w:rPr>
        <w:t xml:space="preserve">The five finalists were interviewed during a working meeting in </w:t>
      </w:r>
      <w:r w:rsidR="0048631A" w:rsidRPr="005A41E0">
        <w:rPr>
          <w:rFonts w:asciiTheme="majorHAnsi" w:hAnsiTheme="majorHAnsi" w:cs="Tahoma"/>
          <w:sz w:val="20"/>
          <w:szCs w:val="20"/>
          <w:shd w:val="clear" w:color="auto" w:fill="FFFFFF"/>
          <w:lang w:val="en-US"/>
        </w:rPr>
        <w:t>Washington</w:t>
      </w:r>
      <w:r w:rsidR="00DF4295" w:rsidRPr="005A41E0">
        <w:rPr>
          <w:rFonts w:asciiTheme="majorHAnsi" w:hAnsiTheme="majorHAnsi" w:cs="Tahoma"/>
          <w:sz w:val="20"/>
          <w:szCs w:val="20"/>
          <w:shd w:val="clear" w:color="auto" w:fill="FFFFFF"/>
          <w:lang w:val="en-US"/>
        </w:rPr>
        <w:t xml:space="preserve"> D.C.</w:t>
      </w:r>
      <w:r w:rsidR="0048631A"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 xml:space="preserve">July </w:t>
      </w:r>
      <w:r w:rsidR="00D133F1" w:rsidRPr="005A41E0">
        <w:rPr>
          <w:rFonts w:asciiTheme="majorHAnsi" w:hAnsiTheme="majorHAnsi" w:cs="Tahoma"/>
          <w:sz w:val="20"/>
          <w:szCs w:val="20"/>
          <w:shd w:val="clear" w:color="auto" w:fill="FFFFFF"/>
          <w:lang w:val="en-US"/>
        </w:rPr>
        <w:t xml:space="preserve">18 </w:t>
      </w:r>
      <w:r w:rsidRPr="005A41E0">
        <w:rPr>
          <w:rFonts w:asciiTheme="majorHAnsi" w:hAnsiTheme="majorHAnsi" w:cs="Tahoma"/>
          <w:sz w:val="20"/>
          <w:szCs w:val="20"/>
          <w:shd w:val="clear" w:color="auto" w:fill="FFFFFF"/>
          <w:lang w:val="en-US"/>
        </w:rPr>
        <w:t xml:space="preserve">to </w:t>
      </w:r>
      <w:r w:rsidR="008748D8">
        <w:rPr>
          <w:rFonts w:asciiTheme="majorHAnsi" w:hAnsiTheme="majorHAnsi" w:cs="Tahoma"/>
          <w:sz w:val="20"/>
          <w:szCs w:val="20"/>
          <w:shd w:val="clear" w:color="auto" w:fill="FFFFFF"/>
          <w:lang w:val="en-US"/>
        </w:rPr>
        <w:t>2</w:t>
      </w:r>
      <w:r w:rsidR="00D133F1" w:rsidRPr="005A41E0">
        <w:rPr>
          <w:rFonts w:asciiTheme="majorHAnsi" w:hAnsiTheme="majorHAnsi" w:cs="Tahoma"/>
          <w:sz w:val="20"/>
          <w:szCs w:val="20"/>
          <w:shd w:val="clear" w:color="auto" w:fill="FFFFFF"/>
          <w:lang w:val="en-US"/>
        </w:rPr>
        <w:t>9</w:t>
      </w:r>
      <w:r w:rsidRPr="005A41E0">
        <w:rPr>
          <w:rFonts w:asciiTheme="majorHAnsi" w:hAnsiTheme="majorHAnsi" w:cs="Tahoma"/>
          <w:sz w:val="20"/>
          <w:szCs w:val="20"/>
          <w:shd w:val="clear" w:color="auto" w:fill="FFFFFF"/>
          <w:lang w:val="en-US"/>
        </w:rPr>
        <w:t>,</w:t>
      </w:r>
      <w:r w:rsidR="00D133F1" w:rsidRPr="005A41E0">
        <w:rPr>
          <w:rFonts w:asciiTheme="majorHAnsi" w:hAnsiTheme="majorHAnsi" w:cs="Tahoma"/>
          <w:sz w:val="20"/>
          <w:szCs w:val="20"/>
          <w:shd w:val="clear" w:color="auto" w:fill="FFFFFF"/>
          <w:lang w:val="en-US"/>
        </w:rPr>
        <w:t xml:space="preserve"> 201</w:t>
      </w:r>
      <w:r w:rsidR="00DF4295" w:rsidRPr="005A41E0">
        <w:rPr>
          <w:rFonts w:asciiTheme="majorHAnsi" w:hAnsiTheme="majorHAnsi" w:cs="Tahoma"/>
          <w:sz w:val="20"/>
          <w:szCs w:val="20"/>
          <w:shd w:val="clear" w:color="auto" w:fill="FFFFFF"/>
          <w:lang w:val="en-US"/>
        </w:rPr>
        <w:t>6</w:t>
      </w:r>
      <w:r w:rsidR="00DF1F66"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 xml:space="preserve">The finalists were: </w:t>
      </w:r>
      <w:r w:rsidR="0048631A" w:rsidRPr="005A41E0">
        <w:rPr>
          <w:rFonts w:asciiTheme="majorHAnsi" w:hAnsiTheme="majorHAnsi" w:cs="Tahoma"/>
          <w:sz w:val="20"/>
          <w:szCs w:val="20"/>
          <w:shd w:val="clear" w:color="auto" w:fill="FFFFFF"/>
          <w:lang w:val="en-US"/>
        </w:rPr>
        <w:t xml:space="preserve">Elizabeth </w:t>
      </w:r>
      <w:r w:rsidR="009E0541" w:rsidRPr="005A41E0">
        <w:rPr>
          <w:rFonts w:asciiTheme="majorHAnsi" w:hAnsiTheme="majorHAnsi" w:cs="Tahoma"/>
          <w:sz w:val="20"/>
          <w:szCs w:val="20"/>
          <w:shd w:val="clear" w:color="auto" w:fill="FFFFFF"/>
          <w:lang w:val="en-US"/>
        </w:rPr>
        <w:t>Abi-Mershed</w:t>
      </w:r>
      <w:r w:rsidR="0048631A"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of the United States</w:t>
      </w:r>
      <w:r w:rsidR="0048631A" w:rsidRPr="005A41E0">
        <w:rPr>
          <w:rFonts w:asciiTheme="majorHAnsi" w:hAnsiTheme="majorHAnsi" w:cs="Tahoma"/>
          <w:sz w:val="20"/>
          <w:szCs w:val="20"/>
          <w:shd w:val="clear" w:color="auto" w:fill="FFFFFF"/>
          <w:lang w:val="en-US"/>
        </w:rPr>
        <w:t xml:space="preserve">; Paulo Abrão, </w:t>
      </w:r>
      <w:r w:rsidRPr="005A41E0">
        <w:rPr>
          <w:rFonts w:asciiTheme="majorHAnsi" w:hAnsiTheme="majorHAnsi" w:cs="Tahoma"/>
          <w:sz w:val="20"/>
          <w:szCs w:val="20"/>
          <w:shd w:val="clear" w:color="auto" w:fill="FFFFFF"/>
          <w:lang w:val="en-US"/>
        </w:rPr>
        <w:t>of Brazil</w:t>
      </w:r>
      <w:r w:rsidR="0048631A" w:rsidRPr="005A41E0">
        <w:rPr>
          <w:rFonts w:asciiTheme="majorHAnsi" w:hAnsiTheme="majorHAnsi" w:cs="Tahoma"/>
          <w:sz w:val="20"/>
          <w:szCs w:val="20"/>
          <w:shd w:val="clear" w:color="auto" w:fill="FFFFFF"/>
          <w:lang w:val="en-US"/>
        </w:rPr>
        <w:t xml:space="preserve">; Renzo Pomi, </w:t>
      </w:r>
      <w:r w:rsidRPr="005A41E0">
        <w:rPr>
          <w:rFonts w:asciiTheme="majorHAnsi" w:hAnsiTheme="majorHAnsi" w:cs="Tahoma"/>
          <w:sz w:val="20"/>
          <w:szCs w:val="20"/>
          <w:shd w:val="clear" w:color="auto" w:fill="FFFFFF"/>
          <w:lang w:val="en-US"/>
        </w:rPr>
        <w:t xml:space="preserve">of </w:t>
      </w:r>
      <w:r w:rsidR="008748D8">
        <w:rPr>
          <w:rFonts w:asciiTheme="majorHAnsi" w:hAnsiTheme="majorHAnsi" w:cs="Tahoma"/>
          <w:sz w:val="20"/>
          <w:szCs w:val="20"/>
          <w:shd w:val="clear" w:color="auto" w:fill="FFFFFF"/>
          <w:lang w:val="en-US"/>
        </w:rPr>
        <w:t>U</w:t>
      </w:r>
      <w:r w:rsidRPr="005A41E0">
        <w:rPr>
          <w:rFonts w:asciiTheme="majorHAnsi" w:hAnsiTheme="majorHAnsi" w:cs="Tahoma"/>
          <w:sz w:val="20"/>
          <w:szCs w:val="20"/>
          <w:shd w:val="clear" w:color="auto" w:fill="FFFFFF"/>
          <w:lang w:val="en-US"/>
        </w:rPr>
        <w:t>ruguay</w:t>
      </w:r>
      <w:r w:rsidR="0048631A" w:rsidRPr="005A41E0">
        <w:rPr>
          <w:rFonts w:asciiTheme="majorHAnsi" w:hAnsiTheme="majorHAnsi" w:cs="Tahoma"/>
          <w:sz w:val="20"/>
          <w:szCs w:val="20"/>
          <w:shd w:val="clear" w:color="auto" w:fill="FFFFFF"/>
          <w:lang w:val="en-US"/>
        </w:rPr>
        <w:t xml:space="preserve">; Michael </w:t>
      </w:r>
      <w:r w:rsidR="009E0541" w:rsidRPr="005A41E0">
        <w:rPr>
          <w:rFonts w:asciiTheme="majorHAnsi" w:hAnsiTheme="majorHAnsi" w:cs="Tahoma"/>
          <w:sz w:val="20"/>
          <w:szCs w:val="20"/>
          <w:shd w:val="clear" w:color="auto" w:fill="FFFFFF"/>
          <w:lang w:val="en-US"/>
        </w:rPr>
        <w:t>Reed Hurtado</w:t>
      </w:r>
      <w:r w:rsidR="0048631A"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 xml:space="preserve">of Colombia; and </w:t>
      </w:r>
      <w:r w:rsidR="0048631A" w:rsidRPr="005A41E0">
        <w:rPr>
          <w:rFonts w:asciiTheme="majorHAnsi" w:hAnsiTheme="majorHAnsi" w:cs="Tahoma"/>
          <w:sz w:val="20"/>
          <w:szCs w:val="20"/>
          <w:shd w:val="clear" w:color="auto" w:fill="FFFFFF"/>
          <w:lang w:val="en-US"/>
        </w:rPr>
        <w:t xml:space="preserve">Lisa M. Shoman, </w:t>
      </w:r>
      <w:r w:rsidRPr="005A41E0">
        <w:rPr>
          <w:rFonts w:asciiTheme="majorHAnsi" w:hAnsiTheme="majorHAnsi" w:cs="Tahoma"/>
          <w:sz w:val="20"/>
          <w:szCs w:val="20"/>
          <w:shd w:val="clear" w:color="auto" w:fill="FFFFFF"/>
          <w:lang w:val="en-US"/>
        </w:rPr>
        <w:t>of Beliz</w:t>
      </w:r>
      <w:r w:rsidR="0048631A" w:rsidRPr="005A41E0">
        <w:rPr>
          <w:rFonts w:asciiTheme="majorHAnsi" w:hAnsiTheme="majorHAnsi" w:cs="Tahoma"/>
          <w:sz w:val="20"/>
          <w:szCs w:val="20"/>
          <w:shd w:val="clear" w:color="auto" w:fill="FFFFFF"/>
          <w:lang w:val="en-US"/>
        </w:rPr>
        <w:t xml:space="preserve">e. </w:t>
      </w:r>
    </w:p>
    <w:p w:rsidR="0048631A" w:rsidRPr="005A41E0" w:rsidRDefault="0048631A" w:rsidP="005A41E0">
      <w:pPr>
        <w:shd w:val="clear" w:color="auto" w:fill="FFFFFF"/>
        <w:jc w:val="both"/>
        <w:rPr>
          <w:rFonts w:asciiTheme="majorHAnsi" w:hAnsiTheme="majorHAnsi" w:cs="Tahoma"/>
          <w:sz w:val="20"/>
          <w:szCs w:val="20"/>
          <w:shd w:val="clear" w:color="auto" w:fill="FFFFFF"/>
          <w:lang w:val="en-US"/>
        </w:rPr>
      </w:pPr>
    </w:p>
    <w:p w:rsidR="0048631A" w:rsidRPr="005A41E0" w:rsidRDefault="0048631A" w:rsidP="005A41E0">
      <w:pPr>
        <w:pStyle w:val="Heading2"/>
        <w:rPr>
          <w:lang w:val="en-US"/>
        </w:rPr>
      </w:pPr>
      <w:r w:rsidRPr="005A41E0">
        <w:rPr>
          <w:lang w:val="en-US"/>
        </w:rPr>
        <w:t xml:space="preserve">3. </w:t>
      </w:r>
      <w:r w:rsidRPr="005A41E0">
        <w:rPr>
          <w:lang w:val="en-US"/>
        </w:rPr>
        <w:tab/>
      </w:r>
      <w:r w:rsidR="007E27CF" w:rsidRPr="005A41E0">
        <w:rPr>
          <w:lang w:val="en-US"/>
        </w:rPr>
        <w:t xml:space="preserve">Profile of Executive Secretary </w:t>
      </w:r>
      <w:r w:rsidRPr="005A41E0">
        <w:rPr>
          <w:lang w:val="en-US"/>
        </w:rPr>
        <w:t>Paulo Abrão</w:t>
      </w:r>
    </w:p>
    <w:p w:rsidR="0048631A" w:rsidRPr="005A41E0" w:rsidRDefault="0048631A" w:rsidP="005A41E0">
      <w:pPr>
        <w:shd w:val="clear" w:color="auto" w:fill="FFFFFF"/>
        <w:jc w:val="both"/>
        <w:rPr>
          <w:rFonts w:asciiTheme="majorHAnsi" w:hAnsiTheme="majorHAnsi" w:cs="Tahoma"/>
          <w:sz w:val="20"/>
          <w:szCs w:val="20"/>
          <w:shd w:val="clear" w:color="auto" w:fill="FFFFFF"/>
          <w:lang w:val="en-US"/>
        </w:rPr>
      </w:pPr>
    </w:p>
    <w:p w:rsidR="0048631A" w:rsidRPr="005A41E0" w:rsidRDefault="007E27CF" w:rsidP="0000081F">
      <w:pPr>
        <w:pStyle w:val="ListParagraph"/>
        <w:numPr>
          <w:ilvl w:val="0"/>
          <w:numId w:val="15"/>
        </w:numPr>
        <w:shd w:val="clear" w:color="auto" w:fill="FFFFFF"/>
        <w:tabs>
          <w:tab w:val="clear" w:pos="1080"/>
        </w:tabs>
        <w:ind w:left="0"/>
        <w:jc w:val="both"/>
        <w:rPr>
          <w:rFonts w:asciiTheme="majorHAnsi" w:hAnsiTheme="majorHAnsi" w:cs="Tahoma"/>
          <w:sz w:val="20"/>
          <w:szCs w:val="20"/>
          <w:lang w:val="en-US"/>
        </w:rPr>
      </w:pPr>
      <w:r w:rsidRPr="005A41E0">
        <w:rPr>
          <w:rStyle w:val="Strong"/>
          <w:rFonts w:asciiTheme="majorHAnsi" w:hAnsiTheme="majorHAnsi" w:cs="Tahoma"/>
          <w:b w:val="0"/>
          <w:sz w:val="20"/>
          <w:szCs w:val="20"/>
          <w:lang w:val="en-US"/>
        </w:rPr>
        <w:t xml:space="preserve">On July </w:t>
      </w:r>
      <w:r w:rsidR="00DF1F66" w:rsidRPr="005A41E0">
        <w:rPr>
          <w:rStyle w:val="Strong"/>
          <w:rFonts w:asciiTheme="majorHAnsi" w:hAnsiTheme="majorHAnsi" w:cs="Tahoma"/>
          <w:b w:val="0"/>
          <w:sz w:val="20"/>
          <w:szCs w:val="20"/>
          <w:lang w:val="en-US"/>
        </w:rPr>
        <w:t>27</w:t>
      </w:r>
      <w:r w:rsidRPr="005A41E0">
        <w:rPr>
          <w:rStyle w:val="Strong"/>
          <w:rFonts w:asciiTheme="majorHAnsi" w:hAnsiTheme="majorHAnsi" w:cs="Tahoma"/>
          <w:b w:val="0"/>
          <w:sz w:val="20"/>
          <w:szCs w:val="20"/>
          <w:lang w:val="en-US"/>
        </w:rPr>
        <w:t>,</w:t>
      </w:r>
      <w:r w:rsidR="00DF1F66" w:rsidRPr="005A41E0">
        <w:rPr>
          <w:rStyle w:val="Strong"/>
          <w:rFonts w:asciiTheme="majorHAnsi" w:hAnsiTheme="majorHAnsi" w:cs="Tahoma"/>
          <w:b w:val="0"/>
          <w:sz w:val="20"/>
          <w:szCs w:val="20"/>
          <w:lang w:val="en-US"/>
        </w:rPr>
        <w:t xml:space="preserve"> </w:t>
      </w:r>
      <w:r w:rsidR="0048631A" w:rsidRPr="005A41E0">
        <w:rPr>
          <w:rStyle w:val="Strong"/>
          <w:rFonts w:asciiTheme="majorHAnsi" w:hAnsiTheme="majorHAnsi" w:cs="Tahoma"/>
          <w:b w:val="0"/>
          <w:sz w:val="20"/>
          <w:szCs w:val="20"/>
          <w:lang w:val="en-US"/>
        </w:rPr>
        <w:t xml:space="preserve">2016 </w:t>
      </w:r>
      <w:r w:rsidRPr="005A41E0">
        <w:rPr>
          <w:rStyle w:val="Strong"/>
          <w:rFonts w:asciiTheme="majorHAnsi" w:hAnsiTheme="majorHAnsi" w:cs="Tahoma"/>
          <w:b w:val="0"/>
          <w:sz w:val="20"/>
          <w:szCs w:val="20"/>
          <w:lang w:val="en-US"/>
        </w:rPr>
        <w:t xml:space="preserve">the IACHR selected </w:t>
      </w:r>
      <w:r w:rsidR="00D909F1" w:rsidRPr="005A41E0">
        <w:rPr>
          <w:rFonts w:asciiTheme="majorHAnsi" w:hAnsiTheme="majorHAnsi" w:cs="Tahoma"/>
          <w:sz w:val="20"/>
          <w:szCs w:val="20"/>
          <w:shd w:val="clear" w:color="auto" w:fill="FFFFFF"/>
          <w:lang w:val="en-US"/>
        </w:rPr>
        <w:t xml:space="preserve">Paulo Abrão </w:t>
      </w:r>
      <w:r w:rsidRPr="005A41E0">
        <w:rPr>
          <w:rFonts w:asciiTheme="majorHAnsi" w:hAnsiTheme="majorHAnsi" w:cs="Tahoma"/>
          <w:sz w:val="20"/>
          <w:szCs w:val="20"/>
          <w:shd w:val="clear" w:color="auto" w:fill="FFFFFF"/>
          <w:lang w:val="en-US"/>
        </w:rPr>
        <w:t xml:space="preserve">as its new Executive Secretary. </w:t>
      </w:r>
      <w:r w:rsidR="00D909F1" w:rsidRPr="005A41E0">
        <w:rPr>
          <w:rFonts w:asciiTheme="majorHAnsi" w:hAnsiTheme="majorHAnsi" w:cs="Tahoma"/>
          <w:sz w:val="20"/>
          <w:szCs w:val="20"/>
          <w:shd w:val="clear" w:color="auto" w:fill="FFFFFF"/>
          <w:lang w:val="en-US"/>
        </w:rPr>
        <w:t xml:space="preserve">Paulo </w:t>
      </w:r>
      <w:r w:rsidR="0048631A" w:rsidRPr="005A41E0">
        <w:rPr>
          <w:rFonts w:asciiTheme="majorHAnsi" w:hAnsiTheme="majorHAnsi" w:cs="Tahoma"/>
          <w:sz w:val="20"/>
          <w:szCs w:val="20"/>
          <w:shd w:val="clear" w:color="auto" w:fill="FFFFFF"/>
          <w:lang w:val="en-US"/>
        </w:rPr>
        <w:t xml:space="preserve">Abrão </w:t>
      </w:r>
      <w:r w:rsidRPr="005A41E0">
        <w:rPr>
          <w:rFonts w:asciiTheme="majorHAnsi" w:hAnsiTheme="majorHAnsi" w:cs="Tahoma"/>
          <w:sz w:val="20"/>
          <w:szCs w:val="20"/>
          <w:shd w:val="clear" w:color="auto" w:fill="FFFFFF"/>
          <w:lang w:val="en-US"/>
        </w:rPr>
        <w:t xml:space="preserve">completed a doctorate in law at the </w:t>
      </w:r>
      <w:r w:rsidR="0048631A" w:rsidRPr="005A41E0">
        <w:rPr>
          <w:rFonts w:asciiTheme="majorHAnsi" w:hAnsiTheme="majorHAnsi" w:cs="Tahoma"/>
          <w:sz w:val="20"/>
          <w:szCs w:val="20"/>
          <w:shd w:val="clear" w:color="auto" w:fill="FFFFFF"/>
          <w:lang w:val="en-US"/>
        </w:rPr>
        <w:t>Pontif</w:t>
      </w:r>
      <w:r w:rsidR="008748D8" w:rsidRPr="000643A5">
        <w:rPr>
          <w:rFonts w:asciiTheme="majorHAnsi" w:hAnsiTheme="majorHAnsi" w:cs="Tahoma"/>
          <w:sz w:val="20"/>
          <w:szCs w:val="20"/>
          <w:shd w:val="clear" w:color="auto" w:fill="FFFFFF"/>
          <w:lang w:val="en-US"/>
        </w:rPr>
        <w:t>í</w:t>
      </w:r>
      <w:r w:rsidR="008748D8">
        <w:rPr>
          <w:rFonts w:asciiTheme="majorHAnsi" w:hAnsiTheme="majorHAnsi" w:cs="Tahoma"/>
          <w:sz w:val="20"/>
          <w:szCs w:val="20"/>
          <w:shd w:val="clear" w:color="auto" w:fill="FFFFFF"/>
          <w:lang w:val="en-US"/>
        </w:rPr>
        <w:t>cia Universidade Católica do</w:t>
      </w:r>
      <w:r w:rsidRPr="005A41E0">
        <w:rPr>
          <w:rFonts w:asciiTheme="majorHAnsi" w:hAnsiTheme="majorHAnsi" w:cs="Tahoma"/>
          <w:sz w:val="20"/>
          <w:szCs w:val="20"/>
          <w:shd w:val="clear" w:color="auto" w:fill="FFFFFF"/>
          <w:lang w:val="en-US"/>
        </w:rPr>
        <w:t xml:space="preserve"> Ri</w:t>
      </w:r>
      <w:r w:rsidR="0048631A" w:rsidRPr="005A41E0">
        <w:rPr>
          <w:rFonts w:asciiTheme="majorHAnsi" w:hAnsiTheme="majorHAnsi" w:cs="Tahoma"/>
          <w:sz w:val="20"/>
          <w:szCs w:val="20"/>
          <w:shd w:val="clear" w:color="auto" w:fill="FFFFFF"/>
          <w:lang w:val="en-US"/>
        </w:rPr>
        <w:t xml:space="preserve">o de Janeiro </w:t>
      </w:r>
      <w:r w:rsidRPr="005A41E0">
        <w:rPr>
          <w:rFonts w:asciiTheme="majorHAnsi" w:hAnsiTheme="majorHAnsi" w:cs="Tahoma"/>
          <w:sz w:val="20"/>
          <w:szCs w:val="20"/>
          <w:shd w:val="clear" w:color="auto" w:fill="FFFFFF"/>
          <w:lang w:val="en-US"/>
        </w:rPr>
        <w:t xml:space="preserve">and did graduate studies in human rights and processes of democratization at the </w:t>
      </w:r>
      <w:r w:rsidR="0048631A" w:rsidRPr="005A41E0">
        <w:rPr>
          <w:rFonts w:asciiTheme="majorHAnsi" w:hAnsiTheme="majorHAnsi" w:cs="Tahoma"/>
          <w:sz w:val="20"/>
          <w:szCs w:val="20"/>
          <w:shd w:val="clear" w:color="auto" w:fill="FFFFFF"/>
          <w:lang w:val="en-US"/>
        </w:rPr>
        <w:t xml:space="preserve">Universidad de Chile. Paulo Abrão </w:t>
      </w:r>
      <w:r w:rsidRPr="005A41E0">
        <w:rPr>
          <w:rFonts w:asciiTheme="majorHAnsi" w:hAnsiTheme="majorHAnsi" w:cs="Tahoma"/>
          <w:sz w:val="20"/>
          <w:szCs w:val="20"/>
          <w:shd w:val="clear" w:color="auto" w:fill="FFFFFF"/>
          <w:lang w:val="en-US"/>
        </w:rPr>
        <w:t>is also a professor of law</w:t>
      </w:r>
      <w:r w:rsidR="008748D8">
        <w:rPr>
          <w:rFonts w:asciiTheme="majorHAnsi" w:hAnsiTheme="majorHAnsi" w:cs="Tahoma"/>
          <w:sz w:val="20"/>
          <w:szCs w:val="20"/>
          <w:shd w:val="clear" w:color="auto" w:fill="FFFFFF"/>
          <w:lang w:val="en-US"/>
        </w:rPr>
        <w:t xml:space="preserve"> teaching political </w:t>
      </w:r>
      <w:r w:rsidR="0000081F">
        <w:rPr>
          <w:rFonts w:asciiTheme="majorHAnsi" w:hAnsiTheme="majorHAnsi" w:cs="Tahoma"/>
          <w:sz w:val="20"/>
          <w:szCs w:val="20"/>
          <w:shd w:val="clear" w:color="auto" w:fill="FFFFFF"/>
          <w:lang w:val="en-US"/>
        </w:rPr>
        <w:t xml:space="preserve">and </w:t>
      </w:r>
      <w:r w:rsidR="008748D8">
        <w:rPr>
          <w:rFonts w:asciiTheme="majorHAnsi" w:hAnsiTheme="majorHAnsi" w:cs="Tahoma"/>
          <w:sz w:val="20"/>
          <w:szCs w:val="20"/>
          <w:shd w:val="clear" w:color="auto" w:fill="FFFFFF"/>
          <w:lang w:val="en-US"/>
        </w:rPr>
        <w:t xml:space="preserve">legal sciences </w:t>
      </w:r>
      <w:r w:rsidRPr="005A41E0">
        <w:rPr>
          <w:rFonts w:asciiTheme="majorHAnsi" w:hAnsiTheme="majorHAnsi" w:cs="Tahoma"/>
          <w:sz w:val="20"/>
          <w:szCs w:val="20"/>
          <w:shd w:val="clear" w:color="auto" w:fill="FFFFFF"/>
          <w:lang w:val="en-US"/>
        </w:rPr>
        <w:t xml:space="preserve">at the </w:t>
      </w:r>
      <w:r w:rsidR="0048631A" w:rsidRPr="005A41E0">
        <w:rPr>
          <w:rFonts w:asciiTheme="majorHAnsi" w:hAnsiTheme="majorHAnsi" w:cs="Tahoma"/>
          <w:sz w:val="20"/>
          <w:szCs w:val="20"/>
          <w:shd w:val="clear" w:color="auto" w:fill="FFFFFF"/>
          <w:lang w:val="en-US"/>
        </w:rPr>
        <w:t xml:space="preserve">Universidad Pablo Olavide </w:t>
      </w:r>
      <w:r w:rsidRPr="005A41E0">
        <w:rPr>
          <w:rFonts w:asciiTheme="majorHAnsi" w:hAnsiTheme="majorHAnsi" w:cs="Tahoma"/>
          <w:sz w:val="20"/>
          <w:szCs w:val="20"/>
          <w:shd w:val="clear" w:color="auto" w:fill="FFFFFF"/>
          <w:lang w:val="en-US"/>
        </w:rPr>
        <w:t xml:space="preserve">in Spain and professor of law at the </w:t>
      </w:r>
      <w:r w:rsidR="0048631A" w:rsidRPr="005A41E0">
        <w:rPr>
          <w:rFonts w:asciiTheme="majorHAnsi" w:hAnsiTheme="majorHAnsi" w:cs="Tahoma"/>
          <w:sz w:val="20"/>
          <w:szCs w:val="20"/>
          <w:shd w:val="clear" w:color="auto" w:fill="FFFFFF"/>
          <w:lang w:val="en-US"/>
        </w:rPr>
        <w:t>Pon</w:t>
      </w:r>
      <w:r w:rsidR="008748D8">
        <w:rPr>
          <w:rFonts w:asciiTheme="majorHAnsi" w:hAnsiTheme="majorHAnsi" w:cs="Tahoma"/>
          <w:sz w:val="20"/>
          <w:szCs w:val="20"/>
          <w:shd w:val="clear" w:color="auto" w:fill="FFFFFF"/>
          <w:lang w:val="en-US"/>
        </w:rPr>
        <w:t>tí</w:t>
      </w:r>
      <w:r w:rsidR="0048631A" w:rsidRPr="005A41E0">
        <w:rPr>
          <w:rFonts w:asciiTheme="majorHAnsi" w:hAnsiTheme="majorHAnsi" w:cs="Tahoma"/>
          <w:sz w:val="20"/>
          <w:szCs w:val="20"/>
          <w:shd w:val="clear" w:color="auto" w:fill="FFFFFF"/>
          <w:lang w:val="en-US"/>
        </w:rPr>
        <w:t xml:space="preserve">ficia </w:t>
      </w:r>
      <w:r w:rsidR="0048631A" w:rsidRPr="005A41E0">
        <w:rPr>
          <w:rStyle w:val="Strong"/>
          <w:rFonts w:asciiTheme="majorHAnsi" w:hAnsiTheme="majorHAnsi" w:cs="Tahoma"/>
          <w:b w:val="0"/>
          <w:sz w:val="20"/>
          <w:szCs w:val="20"/>
          <w:lang w:val="en-US"/>
        </w:rPr>
        <w:t>Universidad</w:t>
      </w:r>
      <w:r w:rsidRPr="005A41E0">
        <w:rPr>
          <w:rStyle w:val="Strong"/>
          <w:rFonts w:asciiTheme="majorHAnsi" w:hAnsiTheme="majorHAnsi" w:cs="Tahoma"/>
          <w:b w:val="0"/>
          <w:sz w:val="20"/>
          <w:szCs w:val="20"/>
          <w:lang w:val="en-US"/>
        </w:rPr>
        <w:t>e</w:t>
      </w:r>
      <w:r w:rsidRPr="005A41E0">
        <w:rPr>
          <w:rFonts w:asciiTheme="majorHAnsi" w:hAnsiTheme="majorHAnsi" w:cs="Tahoma"/>
          <w:sz w:val="20"/>
          <w:szCs w:val="20"/>
          <w:shd w:val="clear" w:color="auto" w:fill="FFFFFF"/>
          <w:lang w:val="en-US"/>
        </w:rPr>
        <w:t xml:space="preserve"> Católica d</w:t>
      </w:r>
      <w:r w:rsidR="008748D8">
        <w:rPr>
          <w:rFonts w:asciiTheme="majorHAnsi" w:hAnsiTheme="majorHAnsi" w:cs="Tahoma"/>
          <w:sz w:val="20"/>
          <w:szCs w:val="20"/>
          <w:shd w:val="clear" w:color="auto" w:fill="FFFFFF"/>
          <w:lang w:val="en-US"/>
        </w:rPr>
        <w:t>o</w:t>
      </w:r>
      <w:r w:rsidRPr="005A41E0">
        <w:rPr>
          <w:rFonts w:asciiTheme="majorHAnsi" w:hAnsiTheme="majorHAnsi" w:cs="Tahoma"/>
          <w:sz w:val="20"/>
          <w:szCs w:val="20"/>
          <w:shd w:val="clear" w:color="auto" w:fill="FFFFFF"/>
          <w:lang w:val="en-US"/>
        </w:rPr>
        <w:t xml:space="preserve"> Ri</w:t>
      </w:r>
      <w:r w:rsidR="008748D8">
        <w:rPr>
          <w:rFonts w:asciiTheme="majorHAnsi" w:hAnsiTheme="majorHAnsi" w:cs="Tahoma"/>
          <w:sz w:val="20"/>
          <w:szCs w:val="20"/>
          <w:shd w:val="clear" w:color="auto" w:fill="FFFFFF"/>
          <w:lang w:val="en-US"/>
        </w:rPr>
        <w:t xml:space="preserve">o Grande do Sul </w:t>
      </w:r>
      <w:r w:rsidRPr="005A41E0">
        <w:rPr>
          <w:rFonts w:asciiTheme="majorHAnsi" w:hAnsiTheme="majorHAnsi" w:cs="Tahoma"/>
          <w:sz w:val="20"/>
          <w:szCs w:val="20"/>
          <w:shd w:val="clear" w:color="auto" w:fill="FFFFFF"/>
          <w:lang w:val="en-US"/>
        </w:rPr>
        <w:t>in Brazil</w:t>
      </w:r>
      <w:r w:rsidR="0048631A" w:rsidRPr="005A41E0">
        <w:rPr>
          <w:rFonts w:asciiTheme="majorHAnsi" w:hAnsiTheme="majorHAnsi" w:cs="Tahoma"/>
          <w:sz w:val="20"/>
          <w:szCs w:val="20"/>
          <w:shd w:val="clear" w:color="auto" w:fill="FFFFFF"/>
          <w:lang w:val="en-US"/>
        </w:rPr>
        <w:t xml:space="preserve">. Paulo Abrão </w:t>
      </w:r>
      <w:r w:rsidRPr="005A41E0">
        <w:rPr>
          <w:rFonts w:asciiTheme="majorHAnsi" w:hAnsiTheme="majorHAnsi" w:cs="Tahoma"/>
          <w:sz w:val="20"/>
          <w:szCs w:val="20"/>
          <w:shd w:val="clear" w:color="auto" w:fill="FFFFFF"/>
          <w:lang w:val="en-US"/>
        </w:rPr>
        <w:t xml:space="preserve">has professional experience in </w:t>
      </w:r>
      <w:r w:rsidR="008748D8">
        <w:rPr>
          <w:rFonts w:asciiTheme="majorHAnsi" w:hAnsiTheme="majorHAnsi" w:cs="Tahoma"/>
          <w:sz w:val="20"/>
          <w:szCs w:val="20"/>
          <w:shd w:val="clear" w:color="auto" w:fill="FFFFFF"/>
          <w:lang w:val="en-US"/>
        </w:rPr>
        <w:t xml:space="preserve">administration of </w:t>
      </w:r>
      <w:r w:rsidRPr="005A41E0">
        <w:rPr>
          <w:rFonts w:asciiTheme="majorHAnsi" w:hAnsiTheme="majorHAnsi" w:cs="Tahoma"/>
          <w:sz w:val="20"/>
          <w:szCs w:val="20"/>
          <w:shd w:val="clear" w:color="auto" w:fill="FFFFFF"/>
          <w:lang w:val="en-US"/>
        </w:rPr>
        <w:t>public policies, financial pol</w:t>
      </w:r>
      <w:r w:rsidR="008748D8">
        <w:rPr>
          <w:rFonts w:asciiTheme="majorHAnsi" w:hAnsiTheme="majorHAnsi" w:cs="Tahoma"/>
          <w:sz w:val="20"/>
          <w:szCs w:val="20"/>
          <w:shd w:val="clear" w:color="auto" w:fill="FFFFFF"/>
          <w:lang w:val="en-US"/>
        </w:rPr>
        <w:t>icies, budgetary policies, fund</w:t>
      </w:r>
      <w:r w:rsidRPr="005A41E0">
        <w:rPr>
          <w:rFonts w:asciiTheme="majorHAnsi" w:hAnsiTheme="majorHAnsi" w:cs="Tahoma"/>
          <w:sz w:val="20"/>
          <w:szCs w:val="20"/>
          <w:shd w:val="clear" w:color="auto" w:fill="FFFFFF"/>
          <w:lang w:val="en-US"/>
        </w:rPr>
        <w:t xml:space="preserve">raising, and directing </w:t>
      </w:r>
      <w:r w:rsidR="00560DB6" w:rsidRPr="005A41E0">
        <w:rPr>
          <w:rFonts w:asciiTheme="majorHAnsi" w:hAnsiTheme="majorHAnsi" w:cs="Tahoma"/>
          <w:sz w:val="20"/>
          <w:szCs w:val="20"/>
          <w:shd w:val="clear" w:color="auto" w:fill="FFFFFF"/>
          <w:lang w:val="en-US"/>
        </w:rPr>
        <w:t xml:space="preserve">projects funded by </w:t>
      </w:r>
      <w:r w:rsidRPr="005A41E0">
        <w:rPr>
          <w:rFonts w:asciiTheme="majorHAnsi" w:hAnsiTheme="majorHAnsi" w:cs="Tahoma"/>
          <w:sz w:val="20"/>
          <w:szCs w:val="20"/>
          <w:shd w:val="clear" w:color="auto" w:fill="FFFFFF"/>
          <w:lang w:val="en-US"/>
        </w:rPr>
        <w:t>international cooperation</w:t>
      </w:r>
      <w:r w:rsidR="0048631A" w:rsidRPr="005A41E0">
        <w:rPr>
          <w:rFonts w:asciiTheme="majorHAnsi" w:hAnsiTheme="majorHAnsi" w:cs="Tahoma"/>
          <w:sz w:val="20"/>
          <w:szCs w:val="20"/>
          <w:shd w:val="clear" w:color="auto" w:fill="FFFFFF"/>
          <w:lang w:val="en-US"/>
        </w:rPr>
        <w:t xml:space="preserve">. </w:t>
      </w:r>
      <w:r w:rsidR="00560DB6" w:rsidRPr="005A41E0">
        <w:rPr>
          <w:rFonts w:asciiTheme="majorHAnsi" w:hAnsiTheme="majorHAnsi" w:cs="Tahoma"/>
          <w:sz w:val="20"/>
          <w:szCs w:val="20"/>
          <w:shd w:val="clear" w:color="auto" w:fill="FFFFFF"/>
          <w:lang w:val="en-US"/>
        </w:rPr>
        <w:t xml:space="preserve">Before assuming his current position </w:t>
      </w:r>
      <w:r w:rsidR="0048631A" w:rsidRPr="005A41E0">
        <w:rPr>
          <w:rFonts w:asciiTheme="majorHAnsi" w:hAnsiTheme="majorHAnsi" w:cs="Tahoma"/>
          <w:sz w:val="20"/>
          <w:szCs w:val="20"/>
          <w:shd w:val="clear" w:color="auto" w:fill="FFFFFF"/>
          <w:lang w:val="en-US"/>
        </w:rPr>
        <w:t xml:space="preserve">Paulo </w:t>
      </w:r>
      <w:r w:rsidR="00D909F1" w:rsidRPr="005A41E0">
        <w:rPr>
          <w:rFonts w:asciiTheme="majorHAnsi" w:hAnsiTheme="majorHAnsi" w:cs="Tahoma"/>
          <w:sz w:val="20"/>
          <w:szCs w:val="20"/>
          <w:shd w:val="clear" w:color="auto" w:fill="FFFFFF"/>
          <w:lang w:val="en-US"/>
        </w:rPr>
        <w:t xml:space="preserve">Abrão </w:t>
      </w:r>
      <w:r w:rsidR="00560DB6" w:rsidRPr="005A41E0">
        <w:rPr>
          <w:rFonts w:asciiTheme="majorHAnsi" w:hAnsiTheme="majorHAnsi" w:cs="Tahoma"/>
          <w:sz w:val="20"/>
          <w:szCs w:val="20"/>
          <w:shd w:val="clear" w:color="auto" w:fill="FFFFFF"/>
          <w:lang w:val="en-US"/>
        </w:rPr>
        <w:t xml:space="preserve">was the Executive Secretary of the </w:t>
      </w:r>
      <w:r w:rsidR="0048631A" w:rsidRPr="005A41E0">
        <w:rPr>
          <w:rFonts w:asciiTheme="majorHAnsi" w:hAnsiTheme="majorHAnsi" w:cs="Tahoma"/>
          <w:sz w:val="20"/>
          <w:szCs w:val="20"/>
          <w:shd w:val="clear" w:color="auto" w:fill="FFFFFF"/>
          <w:lang w:val="en-US"/>
        </w:rPr>
        <w:t>Institut</w:t>
      </w:r>
      <w:r w:rsidR="00560DB6" w:rsidRPr="005A41E0">
        <w:rPr>
          <w:rFonts w:asciiTheme="majorHAnsi" w:hAnsiTheme="majorHAnsi" w:cs="Tahoma"/>
          <w:sz w:val="20"/>
          <w:szCs w:val="20"/>
          <w:shd w:val="clear" w:color="auto" w:fill="FFFFFF"/>
          <w:lang w:val="en-US"/>
        </w:rPr>
        <w:t xml:space="preserve">e of Public Policies on Human Rights of </w:t>
      </w:r>
      <w:r w:rsidR="0048631A" w:rsidRPr="005A41E0">
        <w:rPr>
          <w:rFonts w:asciiTheme="majorHAnsi" w:hAnsiTheme="majorHAnsi" w:cs="Tahoma"/>
          <w:sz w:val="20"/>
          <w:szCs w:val="20"/>
          <w:shd w:val="clear" w:color="auto" w:fill="FFFFFF"/>
          <w:lang w:val="en-US"/>
        </w:rPr>
        <w:t>Mercosur</w:t>
      </w:r>
      <w:r w:rsidR="00D909F1" w:rsidRPr="005A41E0">
        <w:rPr>
          <w:rFonts w:asciiTheme="majorHAnsi" w:hAnsiTheme="majorHAnsi" w:cs="Tahoma"/>
          <w:sz w:val="20"/>
          <w:szCs w:val="20"/>
          <w:shd w:val="clear" w:color="auto" w:fill="FFFFFF"/>
          <w:lang w:val="en-US"/>
        </w:rPr>
        <w:t>,</w:t>
      </w:r>
      <w:r w:rsidR="0048631A" w:rsidRPr="005A41E0">
        <w:rPr>
          <w:rFonts w:asciiTheme="majorHAnsi" w:hAnsiTheme="majorHAnsi" w:cs="Tahoma"/>
          <w:sz w:val="20"/>
          <w:szCs w:val="20"/>
          <w:shd w:val="clear" w:color="auto" w:fill="FFFFFF"/>
          <w:lang w:val="en-US"/>
        </w:rPr>
        <w:t xml:space="preserve"> </w:t>
      </w:r>
      <w:r w:rsidR="00560DB6" w:rsidRPr="005A41E0">
        <w:rPr>
          <w:rFonts w:asciiTheme="majorHAnsi" w:hAnsiTheme="majorHAnsi" w:cs="Tahoma"/>
          <w:sz w:val="20"/>
          <w:szCs w:val="20"/>
          <w:shd w:val="clear" w:color="auto" w:fill="FFFFFF"/>
          <w:lang w:val="en-US"/>
        </w:rPr>
        <w:t xml:space="preserve">as well as the </w:t>
      </w:r>
      <w:r w:rsidR="008748D8">
        <w:rPr>
          <w:rFonts w:asciiTheme="majorHAnsi" w:hAnsiTheme="majorHAnsi" w:cs="Tahoma"/>
          <w:sz w:val="20"/>
          <w:szCs w:val="20"/>
          <w:shd w:val="clear" w:color="auto" w:fill="FFFFFF"/>
          <w:lang w:val="en-US"/>
        </w:rPr>
        <w:t xml:space="preserve">Chairman </w:t>
      </w:r>
      <w:r w:rsidR="00560DB6" w:rsidRPr="005A41E0">
        <w:rPr>
          <w:rFonts w:asciiTheme="majorHAnsi" w:hAnsiTheme="majorHAnsi" w:cs="Tahoma"/>
          <w:sz w:val="20"/>
          <w:szCs w:val="20"/>
          <w:shd w:val="clear" w:color="auto" w:fill="FFFFFF"/>
          <w:lang w:val="en-US"/>
        </w:rPr>
        <w:t xml:space="preserve">of the Brazilian Amnesty Commission. In Brazil he also held the positions of National Secretary for Justice, </w:t>
      </w:r>
      <w:r w:rsidR="008748D8">
        <w:rPr>
          <w:rFonts w:asciiTheme="majorHAnsi" w:hAnsiTheme="majorHAnsi" w:cs="Tahoma"/>
          <w:sz w:val="20"/>
          <w:szCs w:val="20"/>
          <w:shd w:val="clear" w:color="auto" w:fill="FFFFFF"/>
          <w:lang w:val="en-US"/>
        </w:rPr>
        <w:t xml:space="preserve">Chairman </w:t>
      </w:r>
      <w:r w:rsidR="00560DB6" w:rsidRPr="005A41E0">
        <w:rPr>
          <w:rFonts w:asciiTheme="majorHAnsi" w:hAnsiTheme="majorHAnsi" w:cs="Tahoma"/>
          <w:sz w:val="20"/>
          <w:szCs w:val="20"/>
          <w:shd w:val="clear" w:color="auto" w:fill="FFFFFF"/>
          <w:lang w:val="en-US"/>
        </w:rPr>
        <w:t xml:space="preserve">of the National Committee for Refugees and of the National Committee against Human Trafficking. </w:t>
      </w:r>
    </w:p>
    <w:p w:rsidR="0048631A" w:rsidRPr="005A41E0" w:rsidRDefault="0048631A" w:rsidP="005A41E0">
      <w:pPr>
        <w:shd w:val="clear" w:color="auto" w:fill="FFFFFF"/>
        <w:ind w:left="360"/>
        <w:jc w:val="both"/>
        <w:rPr>
          <w:rFonts w:asciiTheme="majorHAnsi" w:hAnsiTheme="majorHAnsi" w:cs="Tahoma"/>
          <w:sz w:val="20"/>
          <w:szCs w:val="20"/>
          <w:shd w:val="clear" w:color="auto" w:fill="FFFFFF"/>
          <w:lang w:val="en-US"/>
        </w:rPr>
      </w:pPr>
    </w:p>
    <w:p w:rsidR="0048631A" w:rsidRPr="005A41E0" w:rsidRDefault="00560DB6" w:rsidP="005A41E0">
      <w:pPr>
        <w:pStyle w:val="ListParagraph"/>
        <w:numPr>
          <w:ilvl w:val="0"/>
          <w:numId w:val="15"/>
        </w:numPr>
        <w:shd w:val="clear" w:color="auto" w:fill="FFFFFF"/>
        <w:tabs>
          <w:tab w:val="clear" w:pos="1080"/>
        </w:tabs>
        <w:ind w:left="0"/>
        <w:jc w:val="both"/>
        <w:rPr>
          <w:rFonts w:asciiTheme="majorHAnsi" w:hAnsiTheme="majorHAnsi" w:cs="Tahoma"/>
          <w:b/>
          <w:sz w:val="20"/>
          <w:szCs w:val="20"/>
          <w:lang w:val="en-US"/>
        </w:rPr>
      </w:pPr>
      <w:r w:rsidRPr="005A41E0">
        <w:rPr>
          <w:rFonts w:asciiTheme="majorHAnsi" w:hAnsiTheme="majorHAnsi" w:cs="Tahoma"/>
          <w:sz w:val="20"/>
          <w:szCs w:val="20"/>
          <w:shd w:val="clear" w:color="auto" w:fill="FFFFFF"/>
          <w:lang w:val="en-US"/>
        </w:rPr>
        <w:t xml:space="preserve">The IACHR is grateful for the participation of all those who applied, and the finalists in particular are acknowledged for their capacity and their lofty professional and moral standing. </w:t>
      </w:r>
    </w:p>
    <w:p w:rsidR="0048631A" w:rsidRPr="005A41E0" w:rsidRDefault="0048631A" w:rsidP="005A41E0">
      <w:pPr>
        <w:shd w:val="clear" w:color="auto" w:fill="FFFFFF"/>
        <w:jc w:val="both"/>
        <w:rPr>
          <w:rFonts w:asciiTheme="majorHAnsi" w:hAnsiTheme="majorHAnsi" w:cs="Tahoma"/>
          <w:b/>
          <w:sz w:val="20"/>
          <w:szCs w:val="20"/>
          <w:lang w:val="en-US"/>
        </w:rPr>
      </w:pPr>
    </w:p>
    <w:p w:rsidR="0048631A" w:rsidRPr="005A41E0" w:rsidRDefault="00560DB6" w:rsidP="005A41E0">
      <w:pPr>
        <w:pStyle w:val="Heading1"/>
        <w:rPr>
          <w:lang w:val="en-US"/>
        </w:rPr>
      </w:pPr>
      <w:r w:rsidRPr="005A41E0">
        <w:rPr>
          <w:lang w:val="en-US"/>
        </w:rPr>
        <w:t>Financial crisis and efforts to address it</w:t>
      </w:r>
    </w:p>
    <w:p w:rsidR="00A52A48" w:rsidRPr="005A41E0" w:rsidRDefault="00A52A48" w:rsidP="005A41E0">
      <w:pPr>
        <w:pStyle w:val="Heading2"/>
        <w:rPr>
          <w:lang w:val="en-US"/>
        </w:rPr>
      </w:pPr>
    </w:p>
    <w:p w:rsidR="0048631A" w:rsidRPr="005A41E0" w:rsidRDefault="0048631A" w:rsidP="005A41E0">
      <w:pPr>
        <w:pStyle w:val="Heading2"/>
        <w:rPr>
          <w:lang w:val="en-US"/>
        </w:rPr>
      </w:pPr>
      <w:r w:rsidRPr="005A41E0">
        <w:rPr>
          <w:lang w:val="en-US"/>
        </w:rPr>
        <w:t xml:space="preserve">1.  </w:t>
      </w:r>
      <w:r w:rsidRPr="005A41E0">
        <w:rPr>
          <w:lang w:val="en-US"/>
        </w:rPr>
        <w:tab/>
      </w:r>
      <w:r w:rsidR="00560DB6" w:rsidRPr="005A41E0">
        <w:rPr>
          <w:lang w:val="en-US"/>
        </w:rPr>
        <w:t xml:space="preserve">Announcement of the financial crisis </w:t>
      </w:r>
    </w:p>
    <w:p w:rsidR="0048631A" w:rsidRPr="005A41E0" w:rsidRDefault="0048631A" w:rsidP="005A41E0">
      <w:pPr>
        <w:shd w:val="clear" w:color="auto" w:fill="FFFFFF"/>
        <w:jc w:val="both"/>
        <w:rPr>
          <w:rFonts w:asciiTheme="majorHAnsi" w:hAnsiTheme="majorHAnsi" w:cs="Tahoma"/>
          <w:b/>
          <w:sz w:val="20"/>
          <w:szCs w:val="20"/>
          <w:lang w:val="en-US"/>
        </w:rPr>
      </w:pPr>
    </w:p>
    <w:p w:rsidR="0048631A" w:rsidRPr="005A41E0" w:rsidRDefault="00560DB6" w:rsidP="008748D8">
      <w:pPr>
        <w:pStyle w:val="ListParagraph"/>
        <w:numPr>
          <w:ilvl w:val="0"/>
          <w:numId w:val="15"/>
        </w:numPr>
        <w:shd w:val="clear" w:color="auto" w:fill="FFFFFF"/>
        <w:tabs>
          <w:tab w:val="clear" w:pos="1080"/>
        </w:tabs>
        <w:ind w:left="0"/>
        <w:jc w:val="both"/>
        <w:rPr>
          <w:rFonts w:asciiTheme="majorHAnsi" w:hAnsiTheme="majorHAnsi" w:cs="Tahoma"/>
          <w:sz w:val="20"/>
          <w:szCs w:val="20"/>
          <w:lang w:val="en-US"/>
        </w:rPr>
      </w:pPr>
      <w:r w:rsidRPr="005A41E0">
        <w:rPr>
          <w:rFonts w:asciiTheme="majorHAnsi" w:hAnsiTheme="majorHAnsi" w:cs="Tahoma"/>
          <w:sz w:val="20"/>
          <w:szCs w:val="20"/>
          <w:lang w:val="en-US"/>
        </w:rPr>
        <w:t xml:space="preserve">At the Permanent Council session of May </w:t>
      </w:r>
      <w:r w:rsidR="006D1EDF" w:rsidRPr="005A41E0">
        <w:rPr>
          <w:rFonts w:asciiTheme="majorHAnsi" w:hAnsiTheme="majorHAnsi" w:cs="Tahoma"/>
          <w:sz w:val="20"/>
          <w:szCs w:val="20"/>
          <w:lang w:val="en-US"/>
        </w:rPr>
        <w:t>23</w:t>
      </w:r>
      <w:r w:rsidRPr="005A41E0">
        <w:rPr>
          <w:rFonts w:asciiTheme="majorHAnsi" w:hAnsiTheme="majorHAnsi" w:cs="Tahoma"/>
          <w:sz w:val="20"/>
          <w:szCs w:val="20"/>
          <w:lang w:val="en-US"/>
        </w:rPr>
        <w:t>,</w:t>
      </w:r>
      <w:r w:rsidR="006D1EDF" w:rsidRPr="005A41E0">
        <w:rPr>
          <w:rFonts w:asciiTheme="majorHAnsi" w:hAnsiTheme="majorHAnsi" w:cs="Tahoma"/>
          <w:sz w:val="20"/>
          <w:szCs w:val="20"/>
          <w:lang w:val="en-US"/>
        </w:rPr>
        <w:t xml:space="preserve"> 2016</w:t>
      </w:r>
      <w:r w:rsidRPr="005A41E0">
        <w:rPr>
          <w:rFonts w:asciiTheme="majorHAnsi" w:hAnsiTheme="majorHAnsi" w:cs="Tahoma"/>
          <w:sz w:val="20"/>
          <w:szCs w:val="20"/>
          <w:lang w:val="en-US"/>
        </w:rPr>
        <w:t xml:space="preserve">, the IACHR announced the extreme financial crisis it underwent this year. At that time the IACHR risked losing almost 40% of its staff due to the lack of funds </w:t>
      </w:r>
      <w:r w:rsidR="00FA45C7" w:rsidRPr="005A41E0">
        <w:rPr>
          <w:rFonts w:asciiTheme="majorHAnsi" w:hAnsiTheme="majorHAnsi" w:cs="Tahoma"/>
          <w:sz w:val="20"/>
          <w:szCs w:val="20"/>
          <w:lang w:val="en-US"/>
        </w:rPr>
        <w:t xml:space="preserve">for renewing the contracts. </w:t>
      </w:r>
      <w:r w:rsidR="00337200" w:rsidRPr="005A41E0">
        <w:rPr>
          <w:rFonts w:asciiTheme="majorHAnsi" w:hAnsiTheme="majorHAnsi" w:cs="Tahoma"/>
          <w:sz w:val="20"/>
          <w:szCs w:val="20"/>
          <w:lang w:val="en-US"/>
        </w:rPr>
        <w:t xml:space="preserve">The instability and lack of resources </w:t>
      </w:r>
      <w:r w:rsidR="008748D8">
        <w:rPr>
          <w:rFonts w:asciiTheme="majorHAnsi" w:hAnsiTheme="majorHAnsi" w:cs="Tahoma"/>
          <w:sz w:val="20"/>
          <w:szCs w:val="20"/>
          <w:lang w:val="en-US"/>
        </w:rPr>
        <w:t xml:space="preserve">was such that it could have </w:t>
      </w:r>
      <w:r w:rsidR="00337200" w:rsidRPr="005A41E0">
        <w:rPr>
          <w:rFonts w:asciiTheme="majorHAnsi" w:hAnsiTheme="majorHAnsi" w:cs="Tahoma"/>
          <w:sz w:val="20"/>
          <w:szCs w:val="20"/>
          <w:lang w:val="en-US"/>
        </w:rPr>
        <w:t xml:space="preserve">put at risk the capacity </w:t>
      </w:r>
      <w:r w:rsidR="008A7A73" w:rsidRPr="005A41E0">
        <w:rPr>
          <w:rFonts w:asciiTheme="majorHAnsi" w:hAnsiTheme="majorHAnsi" w:cs="Tahoma"/>
          <w:sz w:val="20"/>
          <w:szCs w:val="20"/>
          <w:lang w:val="en-US"/>
        </w:rPr>
        <w:t xml:space="preserve">to carry out </w:t>
      </w:r>
      <w:r w:rsidR="008748D8">
        <w:rPr>
          <w:rFonts w:asciiTheme="majorHAnsi" w:hAnsiTheme="majorHAnsi" w:cs="Tahoma"/>
          <w:sz w:val="20"/>
          <w:szCs w:val="20"/>
          <w:lang w:val="en-US"/>
        </w:rPr>
        <w:t xml:space="preserve">its </w:t>
      </w:r>
      <w:r w:rsidR="008A7A73" w:rsidRPr="005A41E0">
        <w:rPr>
          <w:rFonts w:asciiTheme="majorHAnsi" w:hAnsiTheme="majorHAnsi" w:cs="Tahoma"/>
          <w:sz w:val="20"/>
          <w:szCs w:val="20"/>
          <w:lang w:val="en-US"/>
        </w:rPr>
        <w:t xml:space="preserve">mandate and perform </w:t>
      </w:r>
      <w:r w:rsidR="008748D8">
        <w:rPr>
          <w:rFonts w:asciiTheme="majorHAnsi" w:hAnsiTheme="majorHAnsi" w:cs="Tahoma"/>
          <w:sz w:val="20"/>
          <w:szCs w:val="20"/>
          <w:lang w:val="en-US"/>
        </w:rPr>
        <w:t xml:space="preserve">its </w:t>
      </w:r>
      <w:r w:rsidR="008A7A73" w:rsidRPr="005A41E0">
        <w:rPr>
          <w:rFonts w:asciiTheme="majorHAnsi" w:hAnsiTheme="majorHAnsi" w:cs="Tahoma"/>
          <w:sz w:val="20"/>
          <w:szCs w:val="20"/>
          <w:lang w:val="en-US"/>
        </w:rPr>
        <w:t>basic functions</w:t>
      </w:r>
      <w:r w:rsidR="008748D8">
        <w:rPr>
          <w:rFonts w:asciiTheme="majorHAnsi" w:hAnsiTheme="majorHAnsi" w:cs="Tahoma"/>
          <w:sz w:val="20"/>
          <w:szCs w:val="20"/>
          <w:lang w:val="en-US"/>
        </w:rPr>
        <w:t>,</w:t>
      </w:r>
      <w:r w:rsidR="008A7A73" w:rsidRPr="005A41E0">
        <w:rPr>
          <w:rFonts w:asciiTheme="majorHAnsi" w:hAnsiTheme="majorHAnsi" w:cs="Tahoma"/>
          <w:sz w:val="20"/>
          <w:szCs w:val="20"/>
          <w:lang w:val="en-US"/>
        </w:rPr>
        <w:t xml:space="preserve"> since the flow of work continued </w:t>
      </w:r>
      <w:r w:rsidR="008A7A73" w:rsidRPr="005A41E0">
        <w:rPr>
          <w:rFonts w:asciiTheme="majorHAnsi" w:hAnsiTheme="majorHAnsi" w:cs="Tahoma"/>
          <w:sz w:val="20"/>
          <w:szCs w:val="20"/>
          <w:lang w:val="en-US"/>
        </w:rPr>
        <w:lastRenderedPageBreak/>
        <w:t>increasing. Planned visits were suspended, as was the period of sessions scheduled for October, due to lack of funds.</w:t>
      </w:r>
      <w:r w:rsidR="0048631A" w:rsidRPr="005A41E0">
        <w:rPr>
          <w:rFonts w:asciiTheme="majorHAnsi" w:hAnsiTheme="majorHAnsi" w:cs="Tahoma"/>
          <w:sz w:val="20"/>
          <w:szCs w:val="20"/>
          <w:lang w:val="en-US"/>
        </w:rPr>
        <w:t xml:space="preserve">  </w:t>
      </w:r>
    </w:p>
    <w:p w:rsidR="0048631A" w:rsidRPr="005A41E0" w:rsidRDefault="0048631A" w:rsidP="005A41E0">
      <w:pPr>
        <w:shd w:val="clear" w:color="auto" w:fill="FFFFFF"/>
        <w:ind w:left="360"/>
        <w:jc w:val="both"/>
        <w:rPr>
          <w:rFonts w:asciiTheme="majorHAnsi" w:hAnsiTheme="majorHAnsi" w:cs="Tahoma"/>
          <w:b/>
          <w:color w:val="3366FF"/>
          <w:sz w:val="20"/>
          <w:szCs w:val="20"/>
          <w:lang w:val="en-US"/>
        </w:rPr>
      </w:pPr>
    </w:p>
    <w:p w:rsidR="0048631A" w:rsidRPr="005A41E0" w:rsidRDefault="008A7A73" w:rsidP="005A41E0">
      <w:pPr>
        <w:pStyle w:val="ListParagraph"/>
        <w:numPr>
          <w:ilvl w:val="0"/>
          <w:numId w:val="15"/>
        </w:numPr>
        <w:shd w:val="clear" w:color="auto" w:fill="FFFFFF"/>
        <w:tabs>
          <w:tab w:val="clear" w:pos="1080"/>
        </w:tabs>
        <w:ind w:left="0"/>
        <w:jc w:val="both"/>
        <w:rPr>
          <w:rFonts w:asciiTheme="majorHAnsi" w:hAnsiTheme="majorHAnsi" w:cs="Tahoma"/>
          <w:sz w:val="20"/>
          <w:szCs w:val="20"/>
          <w:lang w:val="en-US"/>
        </w:rPr>
      </w:pPr>
      <w:r w:rsidRPr="005A41E0">
        <w:rPr>
          <w:rFonts w:asciiTheme="majorHAnsi" w:hAnsiTheme="majorHAnsi" w:cs="Tahoma"/>
          <w:sz w:val="20"/>
          <w:szCs w:val="20"/>
          <w:lang w:val="en-US"/>
        </w:rPr>
        <w:t xml:space="preserve">The IACHR considers that a new financial crisis could be avoided if the member states approve an adequate regular budget, for the insufficient financing is structural and systematic. It is essential to solve the mismatch between the mandate that the member states of the Organization of American States (OAS) have assigned to the IACHR and the financial resources they allocate to it. </w:t>
      </w:r>
    </w:p>
    <w:p w:rsidR="0048631A" w:rsidRPr="005A41E0" w:rsidRDefault="0048631A" w:rsidP="005A41E0">
      <w:pPr>
        <w:shd w:val="clear" w:color="auto" w:fill="FFFFFF"/>
        <w:jc w:val="both"/>
        <w:rPr>
          <w:rFonts w:asciiTheme="majorHAnsi" w:hAnsiTheme="majorHAnsi" w:cs="Tahoma"/>
          <w:b/>
          <w:sz w:val="20"/>
          <w:szCs w:val="20"/>
          <w:lang w:val="en-US"/>
        </w:rPr>
      </w:pPr>
    </w:p>
    <w:p w:rsidR="0048631A" w:rsidRPr="005A41E0" w:rsidRDefault="0048631A" w:rsidP="005A41E0">
      <w:pPr>
        <w:pStyle w:val="Heading2"/>
        <w:rPr>
          <w:lang w:val="en-US"/>
        </w:rPr>
      </w:pPr>
      <w:r w:rsidRPr="005A41E0">
        <w:rPr>
          <w:lang w:val="en-US"/>
        </w:rPr>
        <w:t xml:space="preserve">2.  </w:t>
      </w:r>
      <w:r w:rsidRPr="005A41E0">
        <w:rPr>
          <w:lang w:val="en-US"/>
        </w:rPr>
        <w:tab/>
      </w:r>
      <w:r w:rsidR="008A7A73" w:rsidRPr="005A41E0">
        <w:rPr>
          <w:lang w:val="en-US"/>
        </w:rPr>
        <w:t xml:space="preserve">Efforts by the President of the IACHR </w:t>
      </w:r>
    </w:p>
    <w:p w:rsidR="00F41005" w:rsidRPr="005A41E0" w:rsidRDefault="00F41005" w:rsidP="005A41E0">
      <w:pPr>
        <w:rPr>
          <w:lang w:val="en-US"/>
        </w:rPr>
      </w:pPr>
    </w:p>
    <w:p w:rsidR="003155B1" w:rsidRPr="005A41E0" w:rsidRDefault="008A7A73" w:rsidP="005A41E0">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cs="Tahoma"/>
          <w:sz w:val="20"/>
          <w:szCs w:val="20"/>
          <w:shd w:val="clear" w:color="auto" w:fill="FFFFFF"/>
          <w:lang w:val="en-US"/>
        </w:rPr>
        <w:t xml:space="preserve">Before the announcement of the financial crisis, the IACHR President </w:t>
      </w:r>
      <w:r w:rsidR="00F41005" w:rsidRPr="005A41E0">
        <w:rPr>
          <w:rFonts w:asciiTheme="majorHAnsi" w:hAnsiTheme="majorHAnsi" w:cs="Tahoma"/>
          <w:sz w:val="20"/>
          <w:szCs w:val="20"/>
          <w:shd w:val="clear" w:color="auto" w:fill="FFFFFF"/>
          <w:lang w:val="en-US"/>
        </w:rPr>
        <w:t xml:space="preserve">James </w:t>
      </w:r>
      <w:r w:rsidR="003155B1" w:rsidRPr="005A41E0">
        <w:rPr>
          <w:rFonts w:asciiTheme="majorHAnsi" w:hAnsiTheme="majorHAnsi" w:cs="Tahoma"/>
          <w:sz w:val="20"/>
          <w:szCs w:val="20"/>
          <w:shd w:val="clear" w:color="auto" w:fill="FFFFFF"/>
          <w:lang w:val="en-US"/>
        </w:rPr>
        <w:t xml:space="preserve">Cavallaro </w:t>
      </w:r>
      <w:r w:rsidRPr="005A41E0">
        <w:rPr>
          <w:rFonts w:asciiTheme="majorHAnsi" w:hAnsiTheme="majorHAnsi" w:cs="Tahoma"/>
          <w:sz w:val="20"/>
          <w:szCs w:val="20"/>
          <w:shd w:val="clear" w:color="auto" w:fill="FFFFFF"/>
          <w:lang w:val="en-US"/>
        </w:rPr>
        <w:t xml:space="preserve">began to take initiatives and engage in dialogues with member countries and the Inter-American Court. This took up a large part of the President’s agenda. He, together with Executive Secretary </w:t>
      </w:r>
      <w:r w:rsidR="00F41005" w:rsidRPr="005A41E0">
        <w:rPr>
          <w:rFonts w:asciiTheme="majorHAnsi" w:hAnsiTheme="majorHAnsi" w:cs="Tahoma"/>
          <w:sz w:val="20"/>
          <w:szCs w:val="20"/>
          <w:shd w:val="clear" w:color="auto" w:fill="FFFFFF"/>
          <w:lang w:val="en-US"/>
        </w:rPr>
        <w:t xml:space="preserve">Alvarez Icaza </w:t>
      </w:r>
      <w:r w:rsidRPr="005A41E0">
        <w:rPr>
          <w:rFonts w:asciiTheme="majorHAnsi" w:hAnsiTheme="majorHAnsi" w:cs="Tahoma"/>
          <w:sz w:val="20"/>
          <w:szCs w:val="20"/>
          <w:shd w:val="clear" w:color="auto" w:fill="FFFFFF"/>
          <w:lang w:val="en-US"/>
        </w:rPr>
        <w:t xml:space="preserve">and then with Executive Secretary </w:t>
      </w:r>
      <w:r w:rsidR="00F41005" w:rsidRPr="005A41E0">
        <w:rPr>
          <w:rFonts w:asciiTheme="majorHAnsi" w:hAnsiTheme="majorHAnsi" w:cs="Tahoma"/>
          <w:sz w:val="20"/>
          <w:szCs w:val="20"/>
          <w:shd w:val="clear" w:color="auto" w:fill="FFFFFF"/>
          <w:lang w:val="en-US"/>
        </w:rPr>
        <w:t xml:space="preserve">Abrão, </w:t>
      </w:r>
      <w:r w:rsidRPr="005A41E0">
        <w:rPr>
          <w:rFonts w:asciiTheme="majorHAnsi" w:hAnsiTheme="majorHAnsi" w:cs="Tahoma"/>
          <w:sz w:val="20"/>
          <w:szCs w:val="20"/>
          <w:shd w:val="clear" w:color="auto" w:fill="FFFFFF"/>
          <w:lang w:val="en-US"/>
        </w:rPr>
        <w:t xml:space="preserve">directed the staff of the Executive Secretariat to design the campaign to address the crisis, and to pursue political and diplomatic agendas with high-level authorities to explain the impact of the crisis on the inter-American human rights system. </w:t>
      </w:r>
    </w:p>
    <w:p w:rsidR="00DF1F66" w:rsidRPr="005A41E0" w:rsidRDefault="00DF1F66" w:rsidP="005A41E0">
      <w:pPr>
        <w:shd w:val="clear" w:color="auto" w:fill="FFFFFF"/>
        <w:jc w:val="both"/>
        <w:rPr>
          <w:rFonts w:asciiTheme="majorHAnsi" w:hAnsiTheme="majorHAnsi" w:cs="Tahoma"/>
          <w:sz w:val="20"/>
          <w:szCs w:val="20"/>
          <w:shd w:val="clear" w:color="auto" w:fill="FFFFFF"/>
          <w:lang w:val="en-US"/>
        </w:rPr>
      </w:pPr>
    </w:p>
    <w:p w:rsidR="00702019" w:rsidRPr="005A41E0" w:rsidRDefault="008A7A73" w:rsidP="005A41E0">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cs="Tahoma"/>
          <w:sz w:val="20"/>
          <w:szCs w:val="20"/>
          <w:shd w:val="clear" w:color="auto" w:fill="FFFFFF"/>
          <w:lang w:val="en-US"/>
        </w:rPr>
        <w:t xml:space="preserve">The formal announcement of the serious financial crisis, on May 23, sparked various reactions from 16 states, which recognized the importance of the IACHR’s work.  One could perceive two approaches in the statements by the states, solidarity, and the call for a debate on the causes of the crisis. </w:t>
      </w:r>
    </w:p>
    <w:p w:rsidR="00DF1F66" w:rsidRPr="005A41E0" w:rsidRDefault="00DF1F66" w:rsidP="005A41E0">
      <w:pPr>
        <w:shd w:val="clear" w:color="auto" w:fill="FFFFFF"/>
        <w:jc w:val="both"/>
        <w:rPr>
          <w:rFonts w:asciiTheme="majorHAnsi" w:hAnsiTheme="majorHAnsi" w:cs="Tahoma"/>
          <w:sz w:val="20"/>
          <w:szCs w:val="20"/>
          <w:shd w:val="clear" w:color="auto" w:fill="FFFFFF"/>
          <w:lang w:val="en-US"/>
        </w:rPr>
      </w:pPr>
    </w:p>
    <w:p w:rsidR="00CE2F31" w:rsidRPr="005A41E0" w:rsidRDefault="008A7A73" w:rsidP="005A41E0">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cs="Tahoma"/>
          <w:sz w:val="20"/>
          <w:szCs w:val="20"/>
          <w:shd w:val="clear" w:color="auto" w:fill="FFFFFF"/>
          <w:lang w:val="en-US"/>
        </w:rPr>
        <w:t xml:space="preserve">During the forty-sixth regular session of the OAS General Assembly, held in </w:t>
      </w:r>
      <w:r w:rsidR="003D15CC" w:rsidRPr="005A41E0">
        <w:rPr>
          <w:rFonts w:asciiTheme="majorHAnsi" w:hAnsiTheme="majorHAnsi" w:cs="Tahoma"/>
          <w:sz w:val="20"/>
          <w:szCs w:val="20"/>
          <w:shd w:val="clear" w:color="auto" w:fill="FFFFFF"/>
          <w:lang w:val="en-US"/>
        </w:rPr>
        <w:t xml:space="preserve">Santo Domingo, </w:t>
      </w:r>
      <w:r w:rsidRPr="005A41E0">
        <w:rPr>
          <w:rFonts w:asciiTheme="majorHAnsi" w:hAnsiTheme="majorHAnsi" w:cs="Tahoma"/>
          <w:sz w:val="20"/>
          <w:szCs w:val="20"/>
          <w:shd w:val="clear" w:color="auto" w:fill="FFFFFF"/>
          <w:lang w:val="en-US"/>
        </w:rPr>
        <w:t xml:space="preserve">Dominican Republic, June 13 to 15, the President of the IACHR participated with a communication strategy on the financial crisis; he met with civil society representatives, and representatives of the states. He also participated in a civil society roundtable on the financial crisis of the inter-American human rights system in a dialogue that preceded the </w:t>
      </w:r>
      <w:r w:rsidR="00DF1F66" w:rsidRPr="005A41E0">
        <w:rPr>
          <w:rFonts w:asciiTheme="majorHAnsi" w:hAnsiTheme="majorHAnsi" w:cs="Tahoma"/>
          <w:sz w:val="20"/>
          <w:szCs w:val="20"/>
          <w:shd w:val="clear" w:color="auto" w:fill="FFFFFF"/>
          <w:lang w:val="en-US"/>
        </w:rPr>
        <w:t>General</w:t>
      </w:r>
      <w:r w:rsidRPr="005A41E0">
        <w:rPr>
          <w:rFonts w:asciiTheme="majorHAnsi" w:hAnsiTheme="majorHAnsi" w:cs="Tahoma"/>
          <w:sz w:val="20"/>
          <w:szCs w:val="20"/>
          <w:shd w:val="clear" w:color="auto" w:fill="FFFFFF"/>
          <w:lang w:val="en-US"/>
        </w:rPr>
        <w:t xml:space="preserve"> Assembly</w:t>
      </w:r>
      <w:r w:rsidR="00DF1F66" w:rsidRPr="005A41E0">
        <w:rPr>
          <w:rFonts w:asciiTheme="majorHAnsi" w:hAnsiTheme="majorHAnsi" w:cs="Tahoma"/>
          <w:sz w:val="20"/>
          <w:szCs w:val="20"/>
          <w:shd w:val="clear" w:color="auto" w:fill="FFFFFF"/>
          <w:lang w:val="en-US"/>
        </w:rPr>
        <w:t>.</w:t>
      </w:r>
    </w:p>
    <w:p w:rsidR="00DF1F66" w:rsidRPr="005A41E0" w:rsidRDefault="00DF1F66" w:rsidP="005A41E0">
      <w:pPr>
        <w:shd w:val="clear" w:color="auto" w:fill="FFFFFF"/>
        <w:jc w:val="both"/>
        <w:rPr>
          <w:rFonts w:asciiTheme="majorHAnsi" w:hAnsiTheme="majorHAnsi" w:cs="Tahoma"/>
          <w:sz w:val="20"/>
          <w:szCs w:val="20"/>
          <w:shd w:val="clear" w:color="auto" w:fill="FFFFFF"/>
          <w:lang w:val="en-US"/>
        </w:rPr>
      </w:pPr>
    </w:p>
    <w:p w:rsidR="003155B1" w:rsidRPr="005A41E0" w:rsidRDefault="008A7A73" w:rsidP="007B5495">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cs="Tahoma"/>
          <w:sz w:val="20"/>
          <w:szCs w:val="20"/>
          <w:shd w:val="clear" w:color="auto" w:fill="FFFFFF"/>
          <w:lang w:val="en-US"/>
        </w:rPr>
        <w:t>In June</w:t>
      </w:r>
      <w:r w:rsidR="00272D27" w:rsidRPr="005A41E0">
        <w:rPr>
          <w:rFonts w:asciiTheme="majorHAnsi" w:hAnsiTheme="majorHAnsi" w:cs="Tahoma"/>
          <w:sz w:val="20"/>
          <w:szCs w:val="20"/>
          <w:shd w:val="clear" w:color="auto" w:fill="FFFFFF"/>
          <w:lang w:val="en-US"/>
        </w:rPr>
        <w:t xml:space="preserve"> 2016 </w:t>
      </w:r>
      <w:r w:rsidRPr="005A41E0">
        <w:rPr>
          <w:rFonts w:asciiTheme="majorHAnsi" w:hAnsiTheme="majorHAnsi" w:cs="Tahoma"/>
          <w:sz w:val="20"/>
          <w:szCs w:val="20"/>
          <w:shd w:val="clear" w:color="auto" w:fill="FFFFFF"/>
          <w:lang w:val="en-US"/>
        </w:rPr>
        <w:t xml:space="preserve">the President attended the </w:t>
      </w:r>
      <w:r w:rsidR="007808A2" w:rsidRPr="005A41E0">
        <w:rPr>
          <w:rFonts w:asciiTheme="majorHAnsi" w:hAnsiTheme="majorHAnsi" w:cs="Tahoma"/>
          <w:sz w:val="20"/>
          <w:szCs w:val="20"/>
          <w:shd w:val="clear" w:color="auto" w:fill="FFFFFF"/>
          <w:lang w:val="en-US"/>
        </w:rPr>
        <w:t xml:space="preserve">Annual Meeting of Chairpersons of Human Rights Treaty Bodies (United Nations) in New York. Although the meeting was not </w:t>
      </w:r>
      <w:r w:rsidR="007B5495">
        <w:rPr>
          <w:rFonts w:asciiTheme="majorHAnsi" w:hAnsiTheme="majorHAnsi" w:cs="Tahoma"/>
          <w:sz w:val="20"/>
          <w:szCs w:val="20"/>
          <w:shd w:val="clear" w:color="auto" w:fill="FFFFFF"/>
          <w:lang w:val="en-US"/>
        </w:rPr>
        <w:t xml:space="preserve">about </w:t>
      </w:r>
      <w:r w:rsidR="007808A2" w:rsidRPr="005A41E0">
        <w:rPr>
          <w:rFonts w:asciiTheme="majorHAnsi" w:hAnsiTheme="majorHAnsi" w:cs="Tahoma"/>
          <w:sz w:val="20"/>
          <w:szCs w:val="20"/>
          <w:shd w:val="clear" w:color="auto" w:fill="FFFFFF"/>
          <w:lang w:val="en-US"/>
        </w:rPr>
        <w:t xml:space="preserve">the economic crisis of the IACHR, the representatives of the United Nations took up the matter and announced that a press release had been approved expressing support for the IACHR. </w:t>
      </w:r>
    </w:p>
    <w:p w:rsidR="00DF1F66" w:rsidRPr="005A41E0" w:rsidRDefault="00DF1F66" w:rsidP="005A41E0">
      <w:pPr>
        <w:shd w:val="clear" w:color="auto" w:fill="FFFFFF"/>
        <w:jc w:val="both"/>
        <w:rPr>
          <w:rFonts w:asciiTheme="majorHAnsi" w:hAnsiTheme="majorHAnsi" w:cs="Tahoma"/>
          <w:sz w:val="20"/>
          <w:szCs w:val="20"/>
          <w:shd w:val="clear" w:color="auto" w:fill="FFFFFF"/>
          <w:lang w:val="en-US"/>
        </w:rPr>
      </w:pPr>
    </w:p>
    <w:p w:rsidR="001A3239" w:rsidRPr="005A41E0" w:rsidRDefault="007808A2" w:rsidP="007B5495">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cs="Tahoma"/>
          <w:sz w:val="20"/>
          <w:szCs w:val="20"/>
          <w:shd w:val="clear" w:color="auto" w:fill="FFFFFF"/>
          <w:lang w:val="en-US"/>
        </w:rPr>
        <w:t xml:space="preserve">Also in June </w:t>
      </w:r>
      <w:r w:rsidR="001A3239" w:rsidRPr="005A41E0">
        <w:rPr>
          <w:rFonts w:asciiTheme="majorHAnsi" w:hAnsiTheme="majorHAnsi" w:cs="Tahoma"/>
          <w:sz w:val="20"/>
          <w:szCs w:val="20"/>
          <w:shd w:val="clear" w:color="auto" w:fill="FFFFFF"/>
          <w:lang w:val="en-US"/>
        </w:rPr>
        <w:t xml:space="preserve">2016, </w:t>
      </w:r>
      <w:r w:rsidRPr="005A41E0">
        <w:rPr>
          <w:rFonts w:asciiTheme="majorHAnsi" w:hAnsiTheme="majorHAnsi" w:cs="Tahoma"/>
          <w:sz w:val="20"/>
          <w:szCs w:val="20"/>
          <w:shd w:val="clear" w:color="auto" w:fill="FFFFFF"/>
          <w:lang w:val="en-US"/>
        </w:rPr>
        <w:t xml:space="preserve">the President travelled to </w:t>
      </w:r>
      <w:r w:rsidR="001A3239" w:rsidRPr="005A41E0">
        <w:rPr>
          <w:rFonts w:asciiTheme="majorHAnsi" w:hAnsiTheme="majorHAnsi" w:cs="Tahoma"/>
          <w:sz w:val="20"/>
          <w:szCs w:val="20"/>
          <w:shd w:val="clear" w:color="auto" w:fill="FFFFFF"/>
          <w:lang w:val="en-US"/>
        </w:rPr>
        <w:t>Vie</w:t>
      </w:r>
      <w:r w:rsidRPr="005A41E0">
        <w:rPr>
          <w:rFonts w:asciiTheme="majorHAnsi" w:hAnsiTheme="majorHAnsi" w:cs="Tahoma"/>
          <w:sz w:val="20"/>
          <w:szCs w:val="20"/>
          <w:shd w:val="clear" w:color="auto" w:fill="FFFFFF"/>
          <w:lang w:val="en-US"/>
        </w:rPr>
        <w:t>n</w:t>
      </w:r>
      <w:r w:rsidR="001A3239" w:rsidRPr="005A41E0">
        <w:rPr>
          <w:rFonts w:asciiTheme="majorHAnsi" w:hAnsiTheme="majorHAnsi" w:cs="Tahoma"/>
          <w:sz w:val="20"/>
          <w:szCs w:val="20"/>
          <w:shd w:val="clear" w:color="auto" w:fill="FFFFFF"/>
          <w:lang w:val="en-US"/>
        </w:rPr>
        <w:t xml:space="preserve">na </w:t>
      </w:r>
      <w:r w:rsidRPr="005A41E0">
        <w:rPr>
          <w:rFonts w:asciiTheme="majorHAnsi" w:hAnsiTheme="majorHAnsi" w:cs="Tahoma"/>
          <w:sz w:val="20"/>
          <w:szCs w:val="20"/>
          <w:shd w:val="clear" w:color="auto" w:fill="FFFFFF"/>
          <w:lang w:val="en-US"/>
        </w:rPr>
        <w:t>at the invitation of the European Union Agency for Fundamental Rights to participate in the Fundamental Rights Forum</w:t>
      </w:r>
      <w:r w:rsidR="001A3239"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 xml:space="preserve">At that activity President </w:t>
      </w:r>
      <w:r w:rsidR="001A3239" w:rsidRPr="005A41E0">
        <w:rPr>
          <w:rFonts w:asciiTheme="majorHAnsi" w:hAnsiTheme="majorHAnsi" w:cs="Tahoma"/>
          <w:sz w:val="20"/>
          <w:szCs w:val="20"/>
          <w:shd w:val="clear" w:color="auto" w:fill="FFFFFF"/>
          <w:lang w:val="en-US"/>
        </w:rPr>
        <w:t xml:space="preserve">Cavallaro </w:t>
      </w:r>
      <w:r w:rsidRPr="005A41E0">
        <w:rPr>
          <w:rFonts w:asciiTheme="majorHAnsi" w:hAnsiTheme="majorHAnsi" w:cs="Tahoma"/>
          <w:sz w:val="20"/>
          <w:szCs w:val="20"/>
          <w:shd w:val="clear" w:color="auto" w:fill="FFFFFF"/>
          <w:lang w:val="en-US"/>
        </w:rPr>
        <w:t xml:space="preserve">engaged in conversation with </w:t>
      </w:r>
      <w:r w:rsidR="001A3239" w:rsidRPr="005A41E0">
        <w:rPr>
          <w:rFonts w:asciiTheme="majorHAnsi" w:hAnsiTheme="majorHAnsi"/>
          <w:sz w:val="20"/>
          <w:szCs w:val="20"/>
          <w:lang w:val="en-US"/>
        </w:rPr>
        <w:t xml:space="preserve">Michael O'Flaherty, Director </w:t>
      </w:r>
      <w:r w:rsidRPr="005A41E0">
        <w:rPr>
          <w:rFonts w:asciiTheme="majorHAnsi" w:hAnsiTheme="majorHAnsi"/>
          <w:sz w:val="20"/>
          <w:szCs w:val="20"/>
          <w:lang w:val="en-US"/>
        </w:rPr>
        <w:t xml:space="preserve">of the European Agency of Fundamental Rights and with </w:t>
      </w:r>
      <w:r w:rsidR="001A3239" w:rsidRPr="005A41E0">
        <w:rPr>
          <w:rFonts w:asciiTheme="majorHAnsi" w:hAnsiTheme="majorHAnsi"/>
          <w:sz w:val="20"/>
          <w:szCs w:val="20"/>
          <w:lang w:val="en-US"/>
        </w:rPr>
        <w:t xml:space="preserve">Paul d'Auchamp, </w:t>
      </w:r>
      <w:r w:rsidRPr="005A41E0">
        <w:rPr>
          <w:rFonts w:asciiTheme="majorHAnsi" w:hAnsiTheme="majorHAnsi"/>
          <w:sz w:val="20"/>
          <w:szCs w:val="20"/>
          <w:lang w:val="en-US"/>
        </w:rPr>
        <w:t>Deputy Regional Representative for Europe of the OHCHR</w:t>
      </w:r>
      <w:r w:rsidR="001A3239" w:rsidRPr="005A41E0">
        <w:rPr>
          <w:rFonts w:asciiTheme="majorHAnsi" w:hAnsiTheme="majorHAnsi"/>
          <w:sz w:val="20"/>
          <w:szCs w:val="20"/>
          <w:lang w:val="en-US"/>
        </w:rPr>
        <w:t xml:space="preserve">.  </w:t>
      </w:r>
    </w:p>
    <w:p w:rsidR="0070357A" w:rsidRPr="005A41E0" w:rsidRDefault="0070357A" w:rsidP="005A41E0">
      <w:pPr>
        <w:jc w:val="both"/>
        <w:rPr>
          <w:rFonts w:asciiTheme="majorHAnsi" w:hAnsiTheme="majorHAnsi"/>
          <w:sz w:val="20"/>
          <w:szCs w:val="20"/>
          <w:lang w:val="en-US"/>
        </w:rPr>
      </w:pPr>
    </w:p>
    <w:p w:rsidR="001E14DE" w:rsidRPr="005A41E0" w:rsidRDefault="007808A2" w:rsidP="007B5495">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cs="Tahoma"/>
          <w:sz w:val="20"/>
          <w:szCs w:val="20"/>
          <w:shd w:val="clear" w:color="auto" w:fill="FFFFFF"/>
          <w:lang w:val="en-US"/>
        </w:rPr>
        <w:t xml:space="preserve">In October the President of the IACHR participated in a meeting of the Working Party on Latin America and the Caribbean </w:t>
      </w:r>
      <w:r w:rsidR="001E14DE" w:rsidRPr="005A41E0">
        <w:rPr>
          <w:rFonts w:asciiTheme="majorHAnsi" w:hAnsiTheme="majorHAnsi" w:cs="Tahoma"/>
          <w:sz w:val="20"/>
          <w:szCs w:val="20"/>
          <w:shd w:val="clear" w:color="auto" w:fill="FFFFFF"/>
          <w:lang w:val="en-US"/>
        </w:rPr>
        <w:t xml:space="preserve">(COLAC) </w:t>
      </w:r>
      <w:r w:rsidRPr="005A41E0">
        <w:rPr>
          <w:rFonts w:asciiTheme="majorHAnsi" w:hAnsiTheme="majorHAnsi" w:cs="Tahoma"/>
          <w:sz w:val="20"/>
          <w:szCs w:val="20"/>
          <w:shd w:val="clear" w:color="auto" w:fill="FFFFFF"/>
          <w:lang w:val="en-US"/>
        </w:rPr>
        <w:t>of the European Parliament, where he reported on the situation of crisis affecting the IACHR. During that stay in Europe the President</w:t>
      </w:r>
      <w:r w:rsidR="001E14DE"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also met with the EU Special Representative for Human Rights</w:t>
      </w:r>
      <w:r w:rsidR="001E14DE" w:rsidRPr="005A41E0">
        <w:rPr>
          <w:rFonts w:asciiTheme="majorHAnsi" w:hAnsiTheme="majorHAnsi"/>
          <w:sz w:val="20"/>
          <w:szCs w:val="20"/>
          <w:lang w:val="en-US"/>
        </w:rPr>
        <w:t>, Stavros Lambrinidis</w:t>
      </w:r>
      <w:r w:rsidR="00D47C42" w:rsidRPr="005A41E0">
        <w:rPr>
          <w:rFonts w:asciiTheme="majorHAnsi" w:hAnsiTheme="majorHAnsi"/>
          <w:sz w:val="20"/>
          <w:szCs w:val="20"/>
          <w:lang w:val="en-US"/>
        </w:rPr>
        <w:t>;</w:t>
      </w:r>
      <w:r w:rsidR="001E14DE"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Head of Division for Regional Affairs for the Americas, </w:t>
      </w:r>
      <w:r w:rsidR="001E14DE" w:rsidRPr="005A41E0">
        <w:rPr>
          <w:rFonts w:asciiTheme="majorHAnsi" w:hAnsiTheme="majorHAnsi"/>
          <w:sz w:val="20"/>
          <w:szCs w:val="20"/>
          <w:lang w:val="en-US"/>
        </w:rPr>
        <w:t>Manfredo Fanti</w:t>
      </w:r>
      <w:r w:rsidR="00D47C42" w:rsidRPr="005A41E0">
        <w:rPr>
          <w:rFonts w:asciiTheme="majorHAnsi" w:hAnsiTheme="majorHAnsi"/>
          <w:sz w:val="20"/>
          <w:szCs w:val="20"/>
          <w:lang w:val="en-US"/>
        </w:rPr>
        <w:t>;</w:t>
      </w:r>
      <w:r w:rsidR="001E14DE"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other </w:t>
      </w:r>
      <w:r w:rsidR="005058B1" w:rsidRPr="005A41E0">
        <w:rPr>
          <w:rFonts w:asciiTheme="majorHAnsi" w:hAnsiTheme="majorHAnsi"/>
          <w:sz w:val="20"/>
          <w:szCs w:val="20"/>
          <w:lang w:val="en-US"/>
        </w:rPr>
        <w:t xml:space="preserve">EU officials from the Department of Human Rights of the </w:t>
      </w:r>
      <w:r w:rsidR="001E14DE" w:rsidRPr="005A41E0">
        <w:rPr>
          <w:rFonts w:asciiTheme="majorHAnsi" w:hAnsiTheme="majorHAnsi"/>
          <w:sz w:val="20"/>
          <w:szCs w:val="20"/>
          <w:lang w:val="en-US"/>
        </w:rPr>
        <w:t xml:space="preserve">EEAS (GLOBAL.1), </w:t>
      </w:r>
      <w:r w:rsidR="007B5495">
        <w:rPr>
          <w:rFonts w:asciiTheme="majorHAnsi" w:hAnsiTheme="majorHAnsi"/>
          <w:sz w:val="20"/>
          <w:szCs w:val="20"/>
          <w:lang w:val="en-US"/>
        </w:rPr>
        <w:t xml:space="preserve">from </w:t>
      </w:r>
      <w:r w:rsidR="005058B1" w:rsidRPr="005A41E0">
        <w:rPr>
          <w:rFonts w:asciiTheme="majorHAnsi" w:hAnsiTheme="majorHAnsi"/>
          <w:sz w:val="20"/>
          <w:szCs w:val="20"/>
          <w:lang w:val="en-US"/>
        </w:rPr>
        <w:t xml:space="preserve">the European Commission </w:t>
      </w:r>
      <w:r w:rsidR="001E14DE" w:rsidRPr="005A41E0">
        <w:rPr>
          <w:rFonts w:asciiTheme="majorHAnsi" w:hAnsiTheme="majorHAnsi"/>
          <w:sz w:val="20"/>
          <w:szCs w:val="20"/>
          <w:lang w:val="en-US"/>
        </w:rPr>
        <w:t xml:space="preserve">(DEVCO), </w:t>
      </w:r>
      <w:r w:rsidR="005058B1" w:rsidRPr="005A41E0">
        <w:rPr>
          <w:rFonts w:asciiTheme="majorHAnsi" w:hAnsiTheme="majorHAnsi"/>
          <w:sz w:val="20"/>
          <w:szCs w:val="20"/>
          <w:lang w:val="en-US"/>
        </w:rPr>
        <w:t xml:space="preserve">and </w:t>
      </w:r>
      <w:r w:rsidR="007B5495">
        <w:rPr>
          <w:rFonts w:asciiTheme="majorHAnsi" w:hAnsiTheme="majorHAnsi"/>
          <w:sz w:val="20"/>
          <w:szCs w:val="20"/>
          <w:lang w:val="en-US"/>
        </w:rPr>
        <w:t xml:space="preserve">from </w:t>
      </w:r>
      <w:r w:rsidR="005058B1" w:rsidRPr="005A41E0">
        <w:rPr>
          <w:rFonts w:asciiTheme="majorHAnsi" w:hAnsiTheme="majorHAnsi"/>
          <w:sz w:val="20"/>
          <w:szCs w:val="20"/>
          <w:lang w:val="en-US"/>
        </w:rPr>
        <w:t xml:space="preserve">the geographic divisions of the Americas. </w:t>
      </w:r>
    </w:p>
    <w:p w:rsidR="00DF1F66" w:rsidRPr="005A41E0" w:rsidRDefault="00DF1F66" w:rsidP="005A41E0">
      <w:pPr>
        <w:shd w:val="clear" w:color="auto" w:fill="FFFFFF"/>
        <w:jc w:val="both"/>
        <w:rPr>
          <w:rFonts w:asciiTheme="majorHAnsi" w:hAnsiTheme="majorHAnsi"/>
          <w:sz w:val="20"/>
          <w:szCs w:val="20"/>
          <w:lang w:val="en-US"/>
        </w:rPr>
      </w:pPr>
    </w:p>
    <w:p w:rsidR="001A3239" w:rsidRPr="005A41E0" w:rsidRDefault="005058B1" w:rsidP="007B5495">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cs="Tahoma"/>
          <w:sz w:val="20"/>
          <w:szCs w:val="20"/>
          <w:shd w:val="clear" w:color="auto" w:fill="FFFFFF"/>
          <w:lang w:val="en-US"/>
        </w:rPr>
        <w:t>The President promoted a strategic alliance with the Inter-American Court of Human Rights.</w:t>
      </w:r>
      <w:r w:rsidR="002228E6"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 xml:space="preserve">Thanks to the dialogue between both organs, on September 30 both presented to the OAS Secretary General, </w:t>
      </w:r>
      <w:r w:rsidR="002228E6" w:rsidRPr="005A41E0">
        <w:rPr>
          <w:rFonts w:asciiTheme="majorHAnsi" w:hAnsiTheme="majorHAnsi" w:cs="Tahoma"/>
          <w:sz w:val="20"/>
          <w:szCs w:val="20"/>
          <w:shd w:val="clear" w:color="auto" w:fill="FFFFFF"/>
          <w:lang w:val="en-US"/>
        </w:rPr>
        <w:t xml:space="preserve">Luis Almagro, </w:t>
      </w:r>
      <w:r w:rsidRPr="005A41E0">
        <w:rPr>
          <w:rFonts w:asciiTheme="majorHAnsi" w:hAnsiTheme="majorHAnsi" w:cs="Tahoma"/>
          <w:sz w:val="20"/>
          <w:szCs w:val="20"/>
          <w:shd w:val="clear" w:color="auto" w:fill="FFFFFF"/>
          <w:lang w:val="en-US"/>
        </w:rPr>
        <w:t>a proposal for financing that seeks to improve the financial situation of the inter-American system.</w:t>
      </w:r>
    </w:p>
    <w:p w:rsidR="00DF1F66" w:rsidRPr="005A41E0" w:rsidRDefault="00DF1F66" w:rsidP="005A41E0">
      <w:pPr>
        <w:shd w:val="clear" w:color="auto" w:fill="FFFFFF"/>
        <w:jc w:val="both"/>
        <w:rPr>
          <w:rFonts w:asciiTheme="majorHAnsi" w:hAnsiTheme="majorHAnsi" w:cs="Tahoma"/>
          <w:sz w:val="20"/>
          <w:szCs w:val="20"/>
          <w:shd w:val="clear" w:color="auto" w:fill="FFFFFF"/>
          <w:lang w:val="en-US"/>
        </w:rPr>
      </w:pPr>
    </w:p>
    <w:p w:rsidR="0048631A" w:rsidRPr="005A41E0" w:rsidRDefault="005058B1" w:rsidP="005A41E0">
      <w:pPr>
        <w:pStyle w:val="ListParagraph"/>
        <w:numPr>
          <w:ilvl w:val="0"/>
          <w:numId w:val="15"/>
        </w:numPr>
        <w:shd w:val="clear" w:color="auto" w:fill="FFFFFF"/>
        <w:tabs>
          <w:tab w:val="clear" w:pos="1080"/>
        </w:tabs>
        <w:ind w:left="0"/>
        <w:jc w:val="both"/>
        <w:rPr>
          <w:rFonts w:asciiTheme="majorHAnsi" w:hAnsiTheme="majorHAnsi" w:cs="Tahoma"/>
          <w:sz w:val="20"/>
          <w:szCs w:val="20"/>
          <w:lang w:val="en-US"/>
        </w:rPr>
      </w:pPr>
      <w:r w:rsidRPr="005A41E0">
        <w:rPr>
          <w:rFonts w:asciiTheme="majorHAnsi" w:hAnsiTheme="majorHAnsi" w:cs="Tahoma"/>
          <w:sz w:val="20"/>
          <w:szCs w:val="20"/>
          <w:shd w:val="clear" w:color="auto" w:fill="FFFFFF"/>
          <w:lang w:val="en-US"/>
        </w:rPr>
        <w:t xml:space="preserve">The proposal of the IACHR in response to this year’s serious financial crisis includes medium- and long-term measures to adapt the budgetary outlay so that the member states of the Organization of American States will be the main funders of both organs of the system. The proposal was included in the Program Budget of the OAS to be approved during the General Assembly on October </w:t>
      </w:r>
      <w:r w:rsidR="0048631A" w:rsidRPr="005A41E0">
        <w:rPr>
          <w:rFonts w:asciiTheme="majorHAnsi" w:hAnsiTheme="majorHAnsi" w:cs="Tahoma"/>
          <w:sz w:val="20"/>
          <w:szCs w:val="20"/>
          <w:lang w:val="en-US"/>
        </w:rPr>
        <w:t>31</w:t>
      </w:r>
      <w:r w:rsidRPr="005A41E0">
        <w:rPr>
          <w:rFonts w:asciiTheme="majorHAnsi" w:hAnsiTheme="majorHAnsi" w:cs="Tahoma"/>
          <w:sz w:val="20"/>
          <w:szCs w:val="20"/>
          <w:lang w:val="en-US"/>
        </w:rPr>
        <w:t>,</w:t>
      </w:r>
      <w:r w:rsidR="0048631A" w:rsidRPr="005A41E0">
        <w:rPr>
          <w:rFonts w:asciiTheme="majorHAnsi" w:hAnsiTheme="majorHAnsi" w:cs="Tahoma"/>
          <w:sz w:val="20"/>
          <w:szCs w:val="20"/>
          <w:lang w:val="en-US"/>
        </w:rPr>
        <w:t xml:space="preserve"> 2016. </w:t>
      </w:r>
      <w:r w:rsidRPr="005A41E0">
        <w:rPr>
          <w:rFonts w:asciiTheme="majorHAnsi" w:hAnsiTheme="majorHAnsi" w:cs="Tahoma"/>
          <w:sz w:val="20"/>
          <w:szCs w:val="20"/>
          <w:lang w:val="en-US"/>
        </w:rPr>
        <w:t xml:space="preserve">The decision on the matter was not made during the period covered by this report. </w:t>
      </w:r>
    </w:p>
    <w:p w:rsidR="00DF1F66" w:rsidRPr="005A41E0" w:rsidRDefault="00DF1F66" w:rsidP="005A41E0">
      <w:pPr>
        <w:shd w:val="clear" w:color="auto" w:fill="FFFFFF"/>
        <w:jc w:val="both"/>
        <w:rPr>
          <w:rFonts w:asciiTheme="majorHAnsi" w:hAnsiTheme="majorHAnsi" w:cs="Tahoma"/>
          <w:sz w:val="20"/>
          <w:szCs w:val="20"/>
          <w:lang w:val="en-US"/>
        </w:rPr>
      </w:pPr>
    </w:p>
    <w:p w:rsidR="0048631A" w:rsidRPr="005A41E0" w:rsidRDefault="00F24569" w:rsidP="005A41E0">
      <w:pPr>
        <w:pStyle w:val="ListParagraph"/>
        <w:numPr>
          <w:ilvl w:val="0"/>
          <w:numId w:val="15"/>
        </w:numPr>
        <w:shd w:val="clear" w:color="auto" w:fill="FFFFFF"/>
        <w:tabs>
          <w:tab w:val="clear" w:pos="1080"/>
        </w:tabs>
        <w:ind w:left="0"/>
        <w:jc w:val="both"/>
        <w:rPr>
          <w:rFonts w:asciiTheme="majorHAnsi" w:hAnsiTheme="majorHAnsi" w:cs="Tahoma"/>
          <w:color w:val="333333"/>
          <w:sz w:val="20"/>
          <w:szCs w:val="20"/>
          <w:lang w:val="en-US"/>
        </w:rPr>
      </w:pPr>
      <w:r w:rsidRPr="005A41E0">
        <w:rPr>
          <w:rFonts w:asciiTheme="majorHAnsi" w:hAnsiTheme="majorHAnsi" w:cs="Tahoma"/>
          <w:sz w:val="20"/>
          <w:szCs w:val="20"/>
          <w:lang w:val="en-US"/>
        </w:rPr>
        <w:t>The new budget would ensure the stability and sustainability of the funds available for the two organs of the system, and consequently would improve their capacity for planning and management. It is proposed that the annual budget for the inter-American system should be US$</w:t>
      </w:r>
      <w:r w:rsidR="0048631A" w:rsidRPr="005A41E0">
        <w:rPr>
          <w:rFonts w:asciiTheme="majorHAnsi" w:hAnsiTheme="majorHAnsi" w:cs="Tahoma"/>
          <w:sz w:val="20"/>
          <w:szCs w:val="20"/>
          <w:lang w:val="en-US"/>
        </w:rPr>
        <w:t>18</w:t>
      </w:r>
      <w:r w:rsidRPr="005A41E0">
        <w:rPr>
          <w:rFonts w:asciiTheme="majorHAnsi" w:hAnsiTheme="majorHAnsi" w:cs="Tahoma"/>
          <w:sz w:val="20"/>
          <w:szCs w:val="20"/>
          <w:lang w:val="en-US"/>
        </w:rPr>
        <w:t>,</w:t>
      </w:r>
      <w:r w:rsidR="0048631A" w:rsidRPr="005A41E0">
        <w:rPr>
          <w:rFonts w:asciiTheme="majorHAnsi" w:hAnsiTheme="majorHAnsi" w:cs="Tahoma"/>
          <w:sz w:val="20"/>
          <w:szCs w:val="20"/>
          <w:lang w:val="en-US"/>
        </w:rPr>
        <w:t>204</w:t>
      </w:r>
      <w:r w:rsidRPr="005A41E0">
        <w:rPr>
          <w:rFonts w:asciiTheme="majorHAnsi" w:hAnsiTheme="majorHAnsi" w:cs="Tahoma"/>
          <w:sz w:val="20"/>
          <w:szCs w:val="20"/>
          <w:lang w:val="en-US"/>
        </w:rPr>
        <w:t>,</w:t>
      </w:r>
      <w:r w:rsidR="0048631A" w:rsidRPr="005A41E0">
        <w:rPr>
          <w:rFonts w:asciiTheme="majorHAnsi" w:hAnsiTheme="majorHAnsi" w:cs="Tahoma"/>
          <w:sz w:val="20"/>
          <w:szCs w:val="20"/>
          <w:lang w:val="en-US"/>
        </w:rPr>
        <w:t xml:space="preserve">450, </w:t>
      </w:r>
      <w:r w:rsidRPr="005A41E0">
        <w:rPr>
          <w:rFonts w:asciiTheme="majorHAnsi" w:hAnsiTheme="majorHAnsi" w:cs="Tahoma"/>
          <w:sz w:val="20"/>
          <w:szCs w:val="20"/>
          <w:lang w:val="en-US"/>
        </w:rPr>
        <w:t>US$</w:t>
      </w:r>
      <w:r w:rsidR="0048631A" w:rsidRPr="005A41E0">
        <w:rPr>
          <w:rFonts w:asciiTheme="majorHAnsi" w:hAnsiTheme="majorHAnsi" w:cs="Tahoma"/>
          <w:sz w:val="20"/>
          <w:szCs w:val="20"/>
          <w:lang w:val="en-US"/>
        </w:rPr>
        <w:t>11</w:t>
      </w:r>
      <w:r w:rsidRPr="005A41E0">
        <w:rPr>
          <w:rFonts w:asciiTheme="majorHAnsi" w:hAnsiTheme="majorHAnsi" w:cs="Tahoma"/>
          <w:sz w:val="20"/>
          <w:szCs w:val="20"/>
          <w:lang w:val="en-US"/>
        </w:rPr>
        <w:t>,</w:t>
      </w:r>
      <w:r w:rsidR="0048631A" w:rsidRPr="005A41E0">
        <w:rPr>
          <w:rFonts w:asciiTheme="majorHAnsi" w:hAnsiTheme="majorHAnsi" w:cs="Tahoma"/>
          <w:sz w:val="20"/>
          <w:szCs w:val="20"/>
          <w:lang w:val="en-US"/>
        </w:rPr>
        <w:t>228</w:t>
      </w:r>
      <w:r w:rsidRPr="005A41E0">
        <w:rPr>
          <w:rFonts w:asciiTheme="majorHAnsi" w:hAnsiTheme="majorHAnsi" w:cs="Tahoma"/>
          <w:sz w:val="20"/>
          <w:szCs w:val="20"/>
          <w:lang w:val="en-US"/>
        </w:rPr>
        <w:t>,</w:t>
      </w:r>
      <w:r w:rsidR="0048631A" w:rsidRPr="005A41E0">
        <w:rPr>
          <w:rFonts w:asciiTheme="majorHAnsi" w:hAnsiTheme="majorHAnsi" w:cs="Tahoma"/>
          <w:sz w:val="20"/>
          <w:szCs w:val="20"/>
          <w:lang w:val="en-US"/>
        </w:rPr>
        <w:t>250</w:t>
      </w:r>
      <w:r w:rsidRPr="005A41E0">
        <w:rPr>
          <w:rFonts w:asciiTheme="majorHAnsi" w:hAnsiTheme="majorHAnsi" w:cs="Tahoma"/>
          <w:sz w:val="20"/>
          <w:szCs w:val="20"/>
          <w:lang w:val="en-US"/>
        </w:rPr>
        <w:t xml:space="preserve"> would be earmarked for the IACHR, and US$</w:t>
      </w:r>
      <w:r w:rsidR="0048631A" w:rsidRPr="005A41E0">
        <w:rPr>
          <w:rFonts w:asciiTheme="majorHAnsi" w:hAnsiTheme="majorHAnsi" w:cs="Tahoma"/>
          <w:sz w:val="20"/>
          <w:szCs w:val="20"/>
          <w:lang w:val="en-US"/>
        </w:rPr>
        <w:t>6</w:t>
      </w:r>
      <w:r w:rsidRPr="005A41E0">
        <w:rPr>
          <w:rFonts w:asciiTheme="majorHAnsi" w:hAnsiTheme="majorHAnsi" w:cs="Tahoma"/>
          <w:sz w:val="20"/>
          <w:szCs w:val="20"/>
          <w:lang w:val="en-US"/>
        </w:rPr>
        <w:t>,</w:t>
      </w:r>
      <w:r w:rsidR="0048631A" w:rsidRPr="005A41E0">
        <w:rPr>
          <w:rFonts w:asciiTheme="majorHAnsi" w:hAnsiTheme="majorHAnsi" w:cs="Tahoma"/>
          <w:sz w:val="20"/>
          <w:szCs w:val="20"/>
          <w:lang w:val="en-US"/>
        </w:rPr>
        <w:t>976</w:t>
      </w:r>
      <w:r w:rsidRPr="005A41E0">
        <w:rPr>
          <w:rFonts w:asciiTheme="majorHAnsi" w:hAnsiTheme="majorHAnsi" w:cs="Tahoma"/>
          <w:sz w:val="20"/>
          <w:szCs w:val="20"/>
          <w:lang w:val="en-US"/>
        </w:rPr>
        <w:t>,</w:t>
      </w:r>
      <w:r w:rsidR="0048631A" w:rsidRPr="005A41E0">
        <w:rPr>
          <w:rFonts w:asciiTheme="majorHAnsi" w:hAnsiTheme="majorHAnsi" w:cs="Tahoma"/>
          <w:sz w:val="20"/>
          <w:szCs w:val="20"/>
          <w:lang w:val="en-US"/>
        </w:rPr>
        <w:t xml:space="preserve">200 </w:t>
      </w:r>
      <w:r w:rsidRPr="005A41E0">
        <w:rPr>
          <w:rFonts w:asciiTheme="majorHAnsi" w:hAnsiTheme="majorHAnsi" w:cs="Tahoma"/>
          <w:sz w:val="20"/>
          <w:szCs w:val="20"/>
          <w:lang w:val="en-US"/>
        </w:rPr>
        <w:t xml:space="preserve">for the Court. </w:t>
      </w:r>
    </w:p>
    <w:p w:rsidR="0048631A" w:rsidRPr="005A41E0" w:rsidRDefault="0048631A" w:rsidP="005A41E0">
      <w:pPr>
        <w:shd w:val="clear" w:color="auto" w:fill="FFFFFF"/>
        <w:ind w:left="360"/>
        <w:jc w:val="both"/>
        <w:rPr>
          <w:rFonts w:asciiTheme="majorHAnsi" w:hAnsiTheme="majorHAnsi" w:cs="Tahoma"/>
          <w:b/>
          <w:sz w:val="20"/>
          <w:szCs w:val="20"/>
          <w:lang w:val="en-US"/>
        </w:rPr>
      </w:pPr>
    </w:p>
    <w:p w:rsidR="0048631A" w:rsidRPr="005A41E0" w:rsidRDefault="0048631A" w:rsidP="005A41E0">
      <w:pPr>
        <w:pStyle w:val="Heading2"/>
        <w:rPr>
          <w:lang w:val="en-US"/>
        </w:rPr>
      </w:pPr>
      <w:r w:rsidRPr="005A41E0">
        <w:rPr>
          <w:lang w:val="en-US"/>
        </w:rPr>
        <w:t>3.</w:t>
      </w:r>
      <w:r w:rsidRPr="005A41E0">
        <w:rPr>
          <w:lang w:val="en-US"/>
        </w:rPr>
        <w:tab/>
      </w:r>
      <w:r w:rsidR="00F24569" w:rsidRPr="005A41E0">
        <w:rPr>
          <w:lang w:val="en-US"/>
        </w:rPr>
        <w:t xml:space="preserve">Voluntary contributions and support for the IACHR </w:t>
      </w:r>
    </w:p>
    <w:p w:rsidR="0048631A" w:rsidRPr="005A41E0" w:rsidRDefault="0048631A" w:rsidP="005A41E0">
      <w:pPr>
        <w:shd w:val="clear" w:color="auto" w:fill="FFFFFF"/>
        <w:ind w:left="360"/>
        <w:jc w:val="both"/>
        <w:rPr>
          <w:rFonts w:asciiTheme="majorHAnsi" w:hAnsiTheme="majorHAnsi" w:cs="Tahoma"/>
          <w:b/>
          <w:sz w:val="20"/>
          <w:szCs w:val="20"/>
          <w:lang w:val="en-US"/>
        </w:rPr>
      </w:pPr>
    </w:p>
    <w:p w:rsidR="0048631A" w:rsidRPr="005A41E0" w:rsidRDefault="00F24569" w:rsidP="007B5495">
      <w:pPr>
        <w:pStyle w:val="ListParagraph"/>
        <w:numPr>
          <w:ilvl w:val="0"/>
          <w:numId w:val="15"/>
        </w:numPr>
        <w:shd w:val="clear" w:color="auto" w:fill="FFFFFF"/>
        <w:tabs>
          <w:tab w:val="clear" w:pos="1080"/>
        </w:tabs>
        <w:ind w:left="0"/>
        <w:jc w:val="both"/>
        <w:rPr>
          <w:rFonts w:asciiTheme="majorHAnsi" w:hAnsiTheme="majorHAnsi" w:cs="Tahoma"/>
          <w:sz w:val="20"/>
          <w:szCs w:val="20"/>
          <w:lang w:val="en-US"/>
        </w:rPr>
      </w:pPr>
      <w:r w:rsidRPr="005A41E0">
        <w:rPr>
          <w:rFonts w:asciiTheme="majorHAnsi" w:hAnsiTheme="majorHAnsi" w:cs="Tahoma"/>
          <w:sz w:val="20"/>
          <w:szCs w:val="20"/>
          <w:lang w:val="en-US"/>
        </w:rPr>
        <w:t xml:space="preserve">After the first announcement on the economic crisis and its effects the IACHR received commitments of financial support from several member states. </w:t>
      </w:r>
      <w:r w:rsidR="00A80BBA" w:rsidRPr="005A41E0">
        <w:rPr>
          <w:rFonts w:asciiTheme="majorHAnsi" w:hAnsiTheme="majorHAnsi" w:cs="Tahoma"/>
          <w:sz w:val="20"/>
          <w:szCs w:val="20"/>
          <w:lang w:val="en-US"/>
        </w:rPr>
        <w:t>The IACHR expresses gratitude to the following states for their extraordinary contributions</w:t>
      </w:r>
      <w:r w:rsidR="0048631A" w:rsidRPr="005A41E0">
        <w:rPr>
          <w:rFonts w:asciiTheme="majorHAnsi" w:hAnsiTheme="majorHAnsi" w:cs="Tahoma"/>
          <w:sz w:val="20"/>
          <w:szCs w:val="20"/>
          <w:lang w:val="en-US"/>
        </w:rPr>
        <w:t xml:space="preserve">: Antigua </w:t>
      </w:r>
      <w:r w:rsidR="00A80BBA" w:rsidRPr="005A41E0">
        <w:rPr>
          <w:rFonts w:asciiTheme="majorHAnsi" w:hAnsiTheme="majorHAnsi" w:cs="Tahoma"/>
          <w:sz w:val="20"/>
          <w:szCs w:val="20"/>
          <w:lang w:val="en-US"/>
        </w:rPr>
        <w:t xml:space="preserve">and </w:t>
      </w:r>
      <w:r w:rsidR="0048631A" w:rsidRPr="005A41E0">
        <w:rPr>
          <w:rFonts w:asciiTheme="majorHAnsi" w:hAnsiTheme="majorHAnsi" w:cs="Tahoma"/>
          <w:sz w:val="20"/>
          <w:szCs w:val="20"/>
          <w:lang w:val="en-US"/>
        </w:rPr>
        <w:t>B</w:t>
      </w:r>
      <w:r w:rsidR="00A80BBA" w:rsidRPr="005A41E0">
        <w:rPr>
          <w:rFonts w:asciiTheme="majorHAnsi" w:hAnsiTheme="majorHAnsi" w:cs="Tahoma"/>
          <w:sz w:val="20"/>
          <w:szCs w:val="20"/>
          <w:lang w:val="en-US"/>
        </w:rPr>
        <w:t>arbuda, Argentina, Chile,</w:t>
      </w:r>
      <w:r w:rsidR="0048631A" w:rsidRPr="005A41E0">
        <w:rPr>
          <w:rFonts w:asciiTheme="majorHAnsi" w:hAnsiTheme="majorHAnsi" w:cs="Tahoma"/>
          <w:sz w:val="20"/>
          <w:szCs w:val="20"/>
          <w:lang w:val="en-US"/>
        </w:rPr>
        <w:t xml:space="preserve"> Colombia, </w:t>
      </w:r>
      <w:r w:rsidR="000F45D3">
        <w:rPr>
          <w:rFonts w:asciiTheme="majorHAnsi" w:hAnsiTheme="majorHAnsi" w:cs="Tahoma"/>
          <w:sz w:val="20"/>
          <w:szCs w:val="20"/>
          <w:lang w:val="en-US"/>
        </w:rPr>
        <w:t xml:space="preserve">Mexico, </w:t>
      </w:r>
      <w:r w:rsidR="00A80BBA" w:rsidRPr="005A41E0">
        <w:rPr>
          <w:rFonts w:asciiTheme="majorHAnsi" w:hAnsiTheme="majorHAnsi" w:cs="Tahoma"/>
          <w:sz w:val="20"/>
          <w:szCs w:val="20"/>
          <w:lang w:val="en-US"/>
        </w:rPr>
        <w:t xml:space="preserve">Panama, </w:t>
      </w:r>
      <w:r w:rsidR="000F45D3">
        <w:rPr>
          <w:rFonts w:asciiTheme="majorHAnsi" w:hAnsiTheme="majorHAnsi" w:cs="Tahoma"/>
          <w:sz w:val="20"/>
          <w:szCs w:val="20"/>
          <w:lang w:val="en-US"/>
        </w:rPr>
        <w:t>Peru, t</w:t>
      </w:r>
      <w:r w:rsidR="00A80BBA" w:rsidRPr="005A41E0">
        <w:rPr>
          <w:rFonts w:asciiTheme="majorHAnsi" w:hAnsiTheme="majorHAnsi" w:cs="Tahoma"/>
          <w:sz w:val="20"/>
          <w:szCs w:val="20"/>
          <w:lang w:val="en-US"/>
        </w:rPr>
        <w:t xml:space="preserve">he United States, and </w:t>
      </w:r>
      <w:r w:rsidR="0048631A" w:rsidRPr="005A41E0">
        <w:rPr>
          <w:rFonts w:asciiTheme="majorHAnsi" w:hAnsiTheme="majorHAnsi" w:cs="Tahoma"/>
          <w:sz w:val="20"/>
          <w:szCs w:val="20"/>
          <w:lang w:val="en-US"/>
        </w:rPr>
        <w:t xml:space="preserve">Uruguay.  </w:t>
      </w:r>
    </w:p>
    <w:p w:rsidR="0048631A" w:rsidRPr="005A41E0" w:rsidRDefault="0048631A" w:rsidP="005A41E0">
      <w:pPr>
        <w:shd w:val="clear" w:color="auto" w:fill="FFFFFF"/>
        <w:ind w:left="360"/>
        <w:jc w:val="both"/>
        <w:rPr>
          <w:rFonts w:asciiTheme="majorHAnsi" w:hAnsiTheme="majorHAnsi" w:cs="Tahoma"/>
          <w:sz w:val="20"/>
          <w:szCs w:val="20"/>
          <w:lang w:val="en-US"/>
        </w:rPr>
      </w:pPr>
    </w:p>
    <w:p w:rsidR="0048631A" w:rsidRPr="005A41E0" w:rsidRDefault="000F45D3" w:rsidP="00861BAE">
      <w:pPr>
        <w:pStyle w:val="ListParagraph"/>
        <w:numPr>
          <w:ilvl w:val="0"/>
          <w:numId w:val="15"/>
        </w:numPr>
        <w:shd w:val="clear" w:color="auto" w:fill="FFFFFF"/>
        <w:tabs>
          <w:tab w:val="clear" w:pos="1080"/>
          <w:tab w:val="num" w:pos="1440"/>
        </w:tabs>
        <w:ind w:left="0"/>
        <w:jc w:val="both"/>
        <w:rPr>
          <w:rFonts w:asciiTheme="majorHAnsi" w:hAnsiTheme="majorHAnsi" w:cs="Tahoma"/>
          <w:sz w:val="20"/>
          <w:szCs w:val="20"/>
          <w:shd w:val="clear" w:color="auto" w:fill="FFFFFF"/>
          <w:lang w:val="en-US"/>
        </w:rPr>
      </w:pPr>
      <w:r w:rsidRPr="000F45D3">
        <w:rPr>
          <w:rFonts w:asciiTheme="majorHAnsi" w:hAnsiTheme="majorHAnsi" w:cs="Tahoma"/>
          <w:sz w:val="20"/>
          <w:szCs w:val="20"/>
          <w:lang w:val="en-US"/>
        </w:rPr>
        <w:t xml:space="preserve">IACHR would </w:t>
      </w:r>
      <w:r w:rsidR="0028351C">
        <w:rPr>
          <w:rFonts w:asciiTheme="majorHAnsi" w:hAnsiTheme="majorHAnsi" w:cs="Tahoma"/>
          <w:sz w:val="20"/>
          <w:szCs w:val="20"/>
          <w:lang w:val="en-US"/>
        </w:rPr>
        <w:t xml:space="preserve">also </w:t>
      </w:r>
      <w:r w:rsidRPr="000F45D3">
        <w:rPr>
          <w:rFonts w:asciiTheme="majorHAnsi" w:hAnsiTheme="majorHAnsi" w:cs="Tahoma"/>
          <w:sz w:val="20"/>
          <w:szCs w:val="20"/>
          <w:lang w:val="en-US"/>
        </w:rPr>
        <w:t xml:space="preserve">like </w:t>
      </w:r>
      <w:r w:rsidR="00CB7F52">
        <w:rPr>
          <w:rFonts w:asciiTheme="majorHAnsi" w:hAnsiTheme="majorHAnsi" w:cs="Tahoma"/>
          <w:sz w:val="20"/>
          <w:szCs w:val="20"/>
          <w:lang w:val="en-US"/>
        </w:rPr>
        <w:t xml:space="preserve">to </w:t>
      </w:r>
      <w:r w:rsidRPr="000F45D3">
        <w:rPr>
          <w:rFonts w:asciiTheme="majorHAnsi" w:hAnsiTheme="majorHAnsi" w:cs="Tahoma"/>
          <w:sz w:val="20"/>
          <w:szCs w:val="20"/>
          <w:lang w:val="en-US"/>
        </w:rPr>
        <w:t xml:space="preserve">express </w:t>
      </w:r>
      <w:r w:rsidR="00CB7F52" w:rsidRPr="00CB7F52">
        <w:rPr>
          <w:rFonts w:asciiTheme="majorHAnsi" w:hAnsiTheme="majorHAnsi" w:cs="Tahoma"/>
          <w:sz w:val="20"/>
          <w:szCs w:val="20"/>
          <w:lang w:val="en-US"/>
        </w:rPr>
        <w:t>its gratitude for the contributions received, as of October 31st, 2016, from the following Member States: Antigua and Barbuda, Argentina, Chile, Colombia, Costa Rica, United States, Mexico, Pana</w:t>
      </w:r>
      <w:bookmarkStart w:id="0" w:name="_GoBack"/>
      <w:bookmarkEnd w:id="0"/>
      <w:r w:rsidR="00CB7F52" w:rsidRPr="00CB7F52">
        <w:rPr>
          <w:rFonts w:asciiTheme="majorHAnsi" w:hAnsiTheme="majorHAnsi" w:cs="Tahoma"/>
          <w:sz w:val="20"/>
          <w:szCs w:val="20"/>
          <w:lang w:val="en-US"/>
        </w:rPr>
        <w:t>ma, Peru, Uruguay; from Permanent Observers: Denmark, Spain, Sweden, Switzerland, European Union; and from non-member states and others: UNHCR, Avinna, Arcus Foundation, University of Notre Dame</w:t>
      </w:r>
      <w:r w:rsidR="007B7713">
        <w:rPr>
          <w:rFonts w:asciiTheme="majorHAnsi" w:hAnsiTheme="majorHAnsi" w:cs="Tahoma"/>
          <w:sz w:val="20"/>
          <w:szCs w:val="20"/>
          <w:lang w:val="en-US"/>
        </w:rPr>
        <w:t>,</w:t>
      </w:r>
      <w:r w:rsidR="00CB7F52" w:rsidRPr="00CB7F52">
        <w:rPr>
          <w:rFonts w:asciiTheme="majorHAnsi" w:hAnsiTheme="majorHAnsi" w:cs="Tahoma"/>
          <w:sz w:val="20"/>
          <w:szCs w:val="20"/>
          <w:lang w:val="en-US"/>
        </w:rPr>
        <w:t xml:space="preserve"> and Stanford University</w:t>
      </w:r>
      <w:r w:rsidR="0048631A" w:rsidRPr="005A41E0">
        <w:rPr>
          <w:rFonts w:asciiTheme="majorHAnsi" w:hAnsiTheme="majorHAnsi" w:cs="Tahoma"/>
          <w:sz w:val="20"/>
          <w:szCs w:val="20"/>
          <w:shd w:val="clear" w:color="auto" w:fill="FFFFFF"/>
          <w:lang w:val="en-US"/>
        </w:rPr>
        <w:t xml:space="preserve">. </w:t>
      </w:r>
    </w:p>
    <w:p w:rsidR="0048631A" w:rsidRPr="005A41E0" w:rsidRDefault="0048631A" w:rsidP="005A41E0">
      <w:pPr>
        <w:shd w:val="clear" w:color="auto" w:fill="FFFFFF"/>
        <w:ind w:left="360"/>
        <w:jc w:val="both"/>
        <w:rPr>
          <w:rFonts w:asciiTheme="majorHAnsi" w:hAnsiTheme="majorHAnsi" w:cs="Tahoma"/>
          <w:sz w:val="20"/>
          <w:szCs w:val="20"/>
          <w:lang w:val="en-US"/>
        </w:rPr>
      </w:pPr>
    </w:p>
    <w:p w:rsidR="0048631A" w:rsidRPr="005A41E0" w:rsidRDefault="0086501B" w:rsidP="00756700">
      <w:pPr>
        <w:pStyle w:val="ListParagraph"/>
        <w:numPr>
          <w:ilvl w:val="0"/>
          <w:numId w:val="15"/>
        </w:numPr>
        <w:shd w:val="clear" w:color="auto" w:fill="FFFFFF"/>
        <w:tabs>
          <w:tab w:val="clear" w:pos="1080"/>
        </w:tabs>
        <w:ind w:left="0"/>
        <w:jc w:val="both"/>
        <w:rPr>
          <w:rFonts w:asciiTheme="majorHAnsi" w:hAnsiTheme="majorHAnsi" w:cs="Tahoma"/>
          <w:sz w:val="20"/>
          <w:szCs w:val="20"/>
          <w:lang w:val="en-US"/>
        </w:rPr>
      </w:pPr>
      <w:r w:rsidRPr="005A41E0">
        <w:rPr>
          <w:rFonts w:asciiTheme="majorHAnsi" w:hAnsiTheme="majorHAnsi" w:cs="Tahoma"/>
          <w:sz w:val="20"/>
          <w:szCs w:val="20"/>
          <w:lang w:val="en-US"/>
        </w:rPr>
        <w:t xml:space="preserve">Special mention should be made of the moral support from hundreds of national, regional, and international human rights organizations and associations of youths, indigenous peoples, Afrodescendants, women, writers, </w:t>
      </w:r>
      <w:r w:rsidR="00756700">
        <w:rPr>
          <w:rFonts w:asciiTheme="majorHAnsi" w:hAnsiTheme="majorHAnsi" w:cs="Tahoma"/>
          <w:sz w:val="20"/>
          <w:szCs w:val="20"/>
          <w:lang w:val="en-US"/>
        </w:rPr>
        <w:t xml:space="preserve">monitors, </w:t>
      </w:r>
      <w:r w:rsidRPr="005A41E0">
        <w:rPr>
          <w:rFonts w:asciiTheme="majorHAnsi" w:hAnsiTheme="majorHAnsi" w:cs="Tahoma"/>
          <w:sz w:val="20"/>
          <w:szCs w:val="20"/>
          <w:lang w:val="en-US"/>
        </w:rPr>
        <w:t>students, universities, and other educational institutions</w:t>
      </w:r>
      <w:r w:rsidR="004B64DF" w:rsidRPr="005A41E0">
        <w:rPr>
          <w:rFonts w:asciiTheme="majorHAnsi" w:hAnsiTheme="majorHAnsi" w:cs="Tahoma"/>
          <w:sz w:val="20"/>
          <w:szCs w:val="20"/>
          <w:lang w:val="en-US"/>
        </w:rPr>
        <w:t>,</w:t>
      </w:r>
      <w:r w:rsidR="0048631A" w:rsidRPr="005A41E0">
        <w:rPr>
          <w:rFonts w:asciiTheme="majorHAnsi" w:hAnsiTheme="majorHAnsi" w:cs="Tahoma"/>
          <w:sz w:val="20"/>
          <w:szCs w:val="20"/>
          <w:lang w:val="en-US"/>
        </w:rPr>
        <w:t xml:space="preserve"> </w:t>
      </w:r>
      <w:r w:rsidRPr="005A41E0">
        <w:rPr>
          <w:rFonts w:asciiTheme="majorHAnsi" w:hAnsiTheme="majorHAnsi" w:cs="Tahoma"/>
          <w:sz w:val="20"/>
          <w:szCs w:val="20"/>
          <w:lang w:val="en-US"/>
        </w:rPr>
        <w:t xml:space="preserve">as well as victims whose cases were processed by the IACHR, and their family members and representatives. The IACHR also appreciates the work done by its Executive Secretariat, which made it possible to </w:t>
      </w:r>
      <w:r w:rsidR="007B5495">
        <w:rPr>
          <w:rFonts w:asciiTheme="majorHAnsi" w:hAnsiTheme="majorHAnsi" w:cs="Tahoma"/>
          <w:sz w:val="20"/>
          <w:szCs w:val="20"/>
          <w:lang w:val="en-US"/>
        </w:rPr>
        <w:t xml:space="preserve">get through </w:t>
      </w:r>
      <w:r w:rsidRPr="005A41E0">
        <w:rPr>
          <w:rFonts w:asciiTheme="majorHAnsi" w:hAnsiTheme="majorHAnsi" w:cs="Tahoma"/>
          <w:sz w:val="20"/>
          <w:szCs w:val="20"/>
          <w:lang w:val="en-US"/>
        </w:rPr>
        <w:t xml:space="preserve">this </w:t>
      </w:r>
      <w:r w:rsidR="0048631A" w:rsidRPr="005A41E0">
        <w:rPr>
          <w:rFonts w:asciiTheme="majorHAnsi" w:hAnsiTheme="majorHAnsi" w:cs="Tahoma"/>
          <w:sz w:val="20"/>
          <w:szCs w:val="20"/>
          <w:lang w:val="en-US"/>
        </w:rPr>
        <w:t xml:space="preserve">crisis. </w:t>
      </w:r>
    </w:p>
    <w:p w:rsidR="0048631A" w:rsidRPr="005A41E0" w:rsidRDefault="0048631A" w:rsidP="005A41E0">
      <w:pPr>
        <w:shd w:val="clear" w:color="auto" w:fill="FFFFFF"/>
        <w:ind w:left="360"/>
        <w:jc w:val="both"/>
        <w:rPr>
          <w:rFonts w:asciiTheme="majorHAnsi" w:hAnsiTheme="majorHAnsi" w:cs="Tahoma"/>
          <w:sz w:val="20"/>
          <w:szCs w:val="20"/>
          <w:lang w:val="en-US"/>
        </w:rPr>
      </w:pPr>
    </w:p>
    <w:p w:rsidR="00EA2291" w:rsidRPr="005A41E0" w:rsidRDefault="0086501B" w:rsidP="007B5495">
      <w:pPr>
        <w:pStyle w:val="ListParagraph"/>
        <w:numPr>
          <w:ilvl w:val="0"/>
          <w:numId w:val="15"/>
        </w:numPr>
        <w:shd w:val="clear" w:color="auto" w:fill="FFFFFF"/>
        <w:tabs>
          <w:tab w:val="clear" w:pos="1080"/>
        </w:tabs>
        <w:ind w:left="0"/>
        <w:jc w:val="both"/>
        <w:rPr>
          <w:rFonts w:asciiTheme="majorHAnsi" w:hAnsiTheme="majorHAnsi" w:cs="Tahoma"/>
          <w:sz w:val="20"/>
          <w:szCs w:val="20"/>
          <w:lang w:val="en-US"/>
        </w:rPr>
      </w:pPr>
      <w:r w:rsidRPr="005A41E0">
        <w:rPr>
          <w:rFonts w:asciiTheme="majorHAnsi" w:hAnsiTheme="majorHAnsi" w:cs="Tahoma"/>
          <w:sz w:val="20"/>
          <w:szCs w:val="20"/>
          <w:lang w:val="en-US"/>
        </w:rPr>
        <w:t>The IACHR wishes to especially thank the State of Chile and the State of Panama for the</w:t>
      </w:r>
      <w:r w:rsidR="007B5495">
        <w:rPr>
          <w:rFonts w:asciiTheme="majorHAnsi" w:hAnsiTheme="majorHAnsi" w:cs="Tahoma"/>
          <w:sz w:val="20"/>
          <w:szCs w:val="20"/>
          <w:lang w:val="en-US"/>
        </w:rPr>
        <w:t>ir</w:t>
      </w:r>
      <w:r w:rsidRPr="005A41E0">
        <w:rPr>
          <w:rFonts w:asciiTheme="majorHAnsi" w:hAnsiTheme="majorHAnsi" w:cs="Tahoma"/>
          <w:sz w:val="20"/>
          <w:szCs w:val="20"/>
          <w:lang w:val="en-US"/>
        </w:rPr>
        <w:t xml:space="preserve"> </w:t>
      </w:r>
      <w:r w:rsidR="007B5495">
        <w:rPr>
          <w:rFonts w:asciiTheme="majorHAnsi" w:hAnsiTheme="majorHAnsi" w:cs="Tahoma"/>
          <w:sz w:val="20"/>
          <w:szCs w:val="20"/>
          <w:lang w:val="en-US"/>
        </w:rPr>
        <w:t xml:space="preserve">support, which </w:t>
      </w:r>
      <w:r w:rsidRPr="005A41E0">
        <w:rPr>
          <w:rFonts w:asciiTheme="majorHAnsi" w:hAnsiTheme="majorHAnsi" w:cs="Tahoma"/>
          <w:sz w:val="20"/>
          <w:szCs w:val="20"/>
          <w:lang w:val="en-US"/>
        </w:rPr>
        <w:t>that made it possible to hold the 158</w:t>
      </w:r>
      <w:r w:rsidRPr="005A41E0">
        <w:rPr>
          <w:rFonts w:asciiTheme="majorHAnsi" w:hAnsiTheme="majorHAnsi" w:cs="Tahoma"/>
          <w:sz w:val="20"/>
          <w:szCs w:val="20"/>
          <w:vertAlign w:val="superscript"/>
          <w:lang w:val="en-US"/>
        </w:rPr>
        <w:t>th</w:t>
      </w:r>
      <w:r w:rsidRPr="005A41E0">
        <w:rPr>
          <w:rFonts w:asciiTheme="majorHAnsi" w:hAnsiTheme="majorHAnsi" w:cs="Tahoma"/>
          <w:sz w:val="20"/>
          <w:szCs w:val="20"/>
          <w:lang w:val="en-US"/>
        </w:rPr>
        <w:t xml:space="preserve"> and 159</w:t>
      </w:r>
      <w:r w:rsidRPr="005A41E0">
        <w:rPr>
          <w:rFonts w:asciiTheme="majorHAnsi" w:hAnsiTheme="majorHAnsi" w:cs="Tahoma"/>
          <w:sz w:val="20"/>
          <w:szCs w:val="20"/>
          <w:vertAlign w:val="superscript"/>
          <w:lang w:val="en-US"/>
        </w:rPr>
        <w:t>th</w:t>
      </w:r>
      <w:r w:rsidRPr="005A41E0">
        <w:rPr>
          <w:rFonts w:asciiTheme="majorHAnsi" w:hAnsiTheme="majorHAnsi" w:cs="Tahoma"/>
          <w:sz w:val="20"/>
          <w:szCs w:val="20"/>
          <w:lang w:val="en-US"/>
        </w:rPr>
        <w:t xml:space="preserve"> periods of sessions, respectively. </w:t>
      </w:r>
    </w:p>
    <w:p w:rsidR="004718D7" w:rsidRPr="005A41E0" w:rsidRDefault="004718D7" w:rsidP="005A41E0">
      <w:pPr>
        <w:shd w:val="clear" w:color="auto" w:fill="FFFFFF"/>
        <w:jc w:val="both"/>
        <w:rPr>
          <w:rFonts w:asciiTheme="majorHAnsi" w:hAnsiTheme="majorHAnsi" w:cs="Tahoma"/>
          <w:sz w:val="20"/>
          <w:szCs w:val="20"/>
          <w:lang w:val="en-US"/>
        </w:rPr>
      </w:pPr>
    </w:p>
    <w:p w:rsidR="0048631A" w:rsidRPr="005A41E0" w:rsidRDefault="0048631A" w:rsidP="005A41E0">
      <w:pPr>
        <w:pStyle w:val="Heading2"/>
        <w:rPr>
          <w:lang w:val="en-US"/>
        </w:rPr>
      </w:pPr>
      <w:r w:rsidRPr="005A41E0">
        <w:rPr>
          <w:lang w:val="en-US"/>
        </w:rPr>
        <w:t xml:space="preserve">4. </w:t>
      </w:r>
      <w:r w:rsidRPr="005A41E0">
        <w:rPr>
          <w:lang w:val="en-US"/>
        </w:rPr>
        <w:tab/>
      </w:r>
      <w:r w:rsidR="0086501B" w:rsidRPr="005A41E0">
        <w:rPr>
          <w:lang w:val="en-US"/>
        </w:rPr>
        <w:t xml:space="preserve">Announcement of the end of the financial crisis </w:t>
      </w:r>
    </w:p>
    <w:p w:rsidR="00522765" w:rsidRPr="005A41E0" w:rsidRDefault="00522765" w:rsidP="005A41E0">
      <w:pPr>
        <w:shd w:val="clear" w:color="auto" w:fill="FFFFFF"/>
        <w:jc w:val="both"/>
        <w:rPr>
          <w:rFonts w:asciiTheme="majorHAnsi" w:hAnsiTheme="majorHAnsi" w:cs="Tahoma"/>
          <w:sz w:val="20"/>
          <w:szCs w:val="20"/>
          <w:lang w:val="en-US"/>
        </w:rPr>
      </w:pPr>
    </w:p>
    <w:p w:rsidR="0048631A" w:rsidRPr="005A41E0" w:rsidRDefault="0086501B" w:rsidP="007B5495">
      <w:pPr>
        <w:pStyle w:val="ListParagraph"/>
        <w:numPr>
          <w:ilvl w:val="0"/>
          <w:numId w:val="15"/>
        </w:numPr>
        <w:shd w:val="clear" w:color="auto" w:fill="FFFFFF"/>
        <w:tabs>
          <w:tab w:val="clear" w:pos="1080"/>
        </w:tabs>
        <w:ind w:left="0"/>
        <w:jc w:val="both"/>
        <w:rPr>
          <w:rFonts w:asciiTheme="majorHAnsi" w:hAnsiTheme="majorHAnsi" w:cs="Tahoma"/>
          <w:sz w:val="20"/>
          <w:szCs w:val="20"/>
          <w:lang w:val="en-US"/>
        </w:rPr>
      </w:pPr>
      <w:r w:rsidRPr="005A41E0">
        <w:rPr>
          <w:rFonts w:asciiTheme="majorHAnsi" w:hAnsiTheme="majorHAnsi" w:cs="Tahoma"/>
          <w:sz w:val="20"/>
          <w:szCs w:val="20"/>
          <w:lang w:val="en-US"/>
        </w:rPr>
        <w:t xml:space="preserve">Thanks to the </w:t>
      </w:r>
      <w:r w:rsidR="007B5495">
        <w:rPr>
          <w:rFonts w:asciiTheme="majorHAnsi" w:hAnsiTheme="majorHAnsi" w:cs="Tahoma"/>
          <w:sz w:val="20"/>
          <w:szCs w:val="20"/>
          <w:lang w:val="en-US"/>
        </w:rPr>
        <w:t xml:space="preserve">fundraising </w:t>
      </w:r>
      <w:r w:rsidRPr="005A41E0">
        <w:rPr>
          <w:rFonts w:asciiTheme="majorHAnsi" w:hAnsiTheme="majorHAnsi" w:cs="Tahoma"/>
          <w:sz w:val="20"/>
          <w:szCs w:val="20"/>
          <w:lang w:val="en-US"/>
        </w:rPr>
        <w:t xml:space="preserve">efforts, and the swift and effective response </w:t>
      </w:r>
      <w:r w:rsidR="007B5495">
        <w:rPr>
          <w:rFonts w:asciiTheme="majorHAnsi" w:hAnsiTheme="majorHAnsi" w:cs="Tahoma"/>
          <w:sz w:val="20"/>
          <w:szCs w:val="20"/>
          <w:lang w:val="en-US"/>
        </w:rPr>
        <w:t xml:space="preserve">on the part of the </w:t>
      </w:r>
      <w:r w:rsidRPr="005A41E0">
        <w:rPr>
          <w:rFonts w:asciiTheme="majorHAnsi" w:hAnsiTheme="majorHAnsi" w:cs="Tahoma"/>
          <w:sz w:val="20"/>
          <w:szCs w:val="20"/>
          <w:lang w:val="en-US"/>
        </w:rPr>
        <w:t xml:space="preserve">states and donors, the IACHR celebrated the announcement that the crisis had been surpassed on September </w:t>
      </w:r>
      <w:r w:rsidR="0048631A" w:rsidRPr="005A41E0">
        <w:rPr>
          <w:rFonts w:asciiTheme="majorHAnsi" w:hAnsiTheme="majorHAnsi" w:cs="Tahoma"/>
          <w:sz w:val="20"/>
          <w:szCs w:val="20"/>
          <w:lang w:val="en-US"/>
        </w:rPr>
        <w:t>30</w:t>
      </w:r>
      <w:r w:rsidRPr="005A41E0">
        <w:rPr>
          <w:rFonts w:asciiTheme="majorHAnsi" w:hAnsiTheme="majorHAnsi" w:cs="Tahoma"/>
          <w:sz w:val="20"/>
          <w:szCs w:val="20"/>
          <w:lang w:val="en-US"/>
        </w:rPr>
        <w:t>,</w:t>
      </w:r>
      <w:r w:rsidR="0048631A" w:rsidRPr="005A41E0">
        <w:rPr>
          <w:rFonts w:asciiTheme="majorHAnsi" w:hAnsiTheme="majorHAnsi" w:cs="Tahoma"/>
          <w:sz w:val="20"/>
          <w:szCs w:val="20"/>
          <w:lang w:val="en-US"/>
        </w:rPr>
        <w:t xml:space="preserve"> </w:t>
      </w:r>
      <w:r w:rsidR="004B64DF" w:rsidRPr="005A41E0">
        <w:rPr>
          <w:rFonts w:asciiTheme="majorHAnsi" w:hAnsiTheme="majorHAnsi" w:cs="Tahoma"/>
          <w:sz w:val="20"/>
          <w:szCs w:val="20"/>
          <w:lang w:val="en-US"/>
        </w:rPr>
        <w:t>2016</w:t>
      </w:r>
      <w:r w:rsidR="0048631A" w:rsidRPr="005A41E0">
        <w:rPr>
          <w:rFonts w:asciiTheme="majorHAnsi" w:hAnsiTheme="majorHAnsi" w:cs="Tahoma"/>
          <w:sz w:val="20"/>
          <w:szCs w:val="20"/>
          <w:lang w:val="en-US"/>
        </w:rPr>
        <w:t xml:space="preserve">. </w:t>
      </w:r>
      <w:r w:rsidRPr="005A41E0">
        <w:rPr>
          <w:rFonts w:asciiTheme="majorHAnsi" w:hAnsiTheme="majorHAnsi" w:cs="Tahoma"/>
          <w:sz w:val="20"/>
          <w:szCs w:val="20"/>
          <w:lang w:val="en-US"/>
        </w:rPr>
        <w:t xml:space="preserve">The IACHR expresses its profound recognition to the member states and donors for their financial efforts, which made it possible, among other things, to renew the contracts of its staff for the next year and to turn its attention back to its activities and its mandate. </w:t>
      </w:r>
    </w:p>
    <w:p w:rsidR="0048631A" w:rsidRPr="005A41E0" w:rsidRDefault="0048631A" w:rsidP="005A41E0">
      <w:pPr>
        <w:shd w:val="clear" w:color="auto" w:fill="FFFFFF"/>
        <w:jc w:val="both"/>
        <w:rPr>
          <w:rFonts w:asciiTheme="majorHAnsi" w:hAnsiTheme="majorHAnsi"/>
          <w:sz w:val="20"/>
          <w:szCs w:val="20"/>
          <w:lang w:val="en-US"/>
        </w:rPr>
      </w:pPr>
    </w:p>
    <w:p w:rsidR="0048631A" w:rsidRPr="005A41E0" w:rsidRDefault="0086501B" w:rsidP="005A41E0">
      <w:pPr>
        <w:pStyle w:val="Heading1"/>
        <w:rPr>
          <w:lang w:val="en-US"/>
        </w:rPr>
      </w:pPr>
      <w:r w:rsidRPr="005A41E0">
        <w:rPr>
          <w:lang w:val="en-US"/>
        </w:rPr>
        <w:t xml:space="preserve">Periods of sessions of the IACHR held in </w:t>
      </w:r>
      <w:r w:rsidR="00B174E6" w:rsidRPr="005A41E0">
        <w:rPr>
          <w:lang w:val="en-US"/>
        </w:rPr>
        <w:t>2016</w:t>
      </w:r>
    </w:p>
    <w:p w:rsidR="0048631A" w:rsidRPr="005A41E0" w:rsidRDefault="0048631A" w:rsidP="005A41E0">
      <w:pPr>
        <w:shd w:val="clear" w:color="auto" w:fill="FFFFFF"/>
        <w:ind w:left="360"/>
        <w:jc w:val="both"/>
        <w:rPr>
          <w:rFonts w:asciiTheme="majorHAnsi" w:hAnsiTheme="majorHAnsi"/>
          <w:sz w:val="20"/>
          <w:szCs w:val="20"/>
          <w:lang w:val="en-US"/>
        </w:rPr>
      </w:pPr>
    </w:p>
    <w:p w:rsidR="00362E20" w:rsidRPr="005A41E0" w:rsidRDefault="0086501B"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the course of </w:t>
      </w:r>
      <w:r w:rsidR="0048631A" w:rsidRPr="005A41E0">
        <w:rPr>
          <w:rFonts w:asciiTheme="majorHAnsi" w:hAnsiTheme="majorHAnsi"/>
          <w:sz w:val="20"/>
          <w:szCs w:val="20"/>
          <w:lang w:val="en-US"/>
        </w:rPr>
        <w:t>2016</w:t>
      </w:r>
      <w:r w:rsidRPr="005A41E0">
        <w:rPr>
          <w:rFonts w:asciiTheme="majorHAnsi" w:hAnsiTheme="majorHAnsi"/>
          <w:sz w:val="20"/>
          <w:szCs w:val="20"/>
          <w:lang w:val="en-US"/>
        </w:rPr>
        <w:t xml:space="preserve"> the IACHR held four periods of sessions</w:t>
      </w:r>
      <w:r w:rsidR="0048631A" w:rsidRPr="005A41E0">
        <w:rPr>
          <w:rFonts w:asciiTheme="majorHAnsi" w:hAnsiTheme="majorHAnsi"/>
          <w:sz w:val="20"/>
          <w:szCs w:val="20"/>
          <w:lang w:val="en-US"/>
        </w:rPr>
        <w:t xml:space="preserve">: </w:t>
      </w:r>
    </w:p>
    <w:p w:rsidR="00362E20" w:rsidRPr="005A41E0" w:rsidRDefault="00362E20" w:rsidP="005A41E0">
      <w:pPr>
        <w:shd w:val="clear" w:color="auto" w:fill="FFFFFF"/>
        <w:ind w:left="360"/>
        <w:jc w:val="both"/>
        <w:rPr>
          <w:rFonts w:asciiTheme="majorHAnsi" w:hAnsiTheme="majorHAnsi"/>
          <w:sz w:val="20"/>
          <w:szCs w:val="20"/>
          <w:lang w:val="en-US"/>
        </w:rPr>
      </w:pPr>
    </w:p>
    <w:tbl>
      <w:tblPr>
        <w:tblStyle w:val="MediumShading1-Accent3"/>
        <w:tblW w:w="0" w:type="auto"/>
        <w:jc w:val="center"/>
        <w:tblLook w:val="04A0" w:firstRow="1" w:lastRow="0" w:firstColumn="1" w:lastColumn="0" w:noHBand="0" w:noVBand="1"/>
      </w:tblPr>
      <w:tblGrid>
        <w:gridCol w:w="3798"/>
        <w:gridCol w:w="3420"/>
        <w:gridCol w:w="1998"/>
      </w:tblGrid>
      <w:tr w:rsidR="00641709" w:rsidRPr="005A41E0" w:rsidTr="007C3F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641709" w:rsidRPr="005A41E0" w:rsidRDefault="00641709" w:rsidP="005A41E0">
            <w:pPr>
              <w:jc w:val="center"/>
              <w:rPr>
                <w:rFonts w:asciiTheme="majorHAnsi" w:hAnsiTheme="majorHAnsi"/>
                <w:sz w:val="20"/>
                <w:szCs w:val="20"/>
                <w:lang w:val="en-US"/>
              </w:rPr>
            </w:pPr>
            <w:r w:rsidRPr="005A41E0">
              <w:rPr>
                <w:rFonts w:asciiTheme="majorHAnsi" w:hAnsiTheme="majorHAnsi"/>
                <w:sz w:val="20"/>
                <w:szCs w:val="20"/>
                <w:lang w:val="en-US"/>
              </w:rPr>
              <w:t>Per</w:t>
            </w:r>
            <w:r w:rsidR="0086501B" w:rsidRPr="005A41E0">
              <w:rPr>
                <w:rFonts w:asciiTheme="majorHAnsi" w:hAnsiTheme="majorHAnsi"/>
                <w:sz w:val="20"/>
                <w:szCs w:val="20"/>
                <w:lang w:val="en-US"/>
              </w:rPr>
              <w:t xml:space="preserve">iod of sessions </w:t>
            </w:r>
          </w:p>
        </w:tc>
        <w:tc>
          <w:tcPr>
            <w:tcW w:w="3420" w:type="dxa"/>
          </w:tcPr>
          <w:p w:rsidR="00641709" w:rsidRPr="005A41E0" w:rsidRDefault="0086501B" w:rsidP="005A41E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Date</w:t>
            </w:r>
          </w:p>
        </w:tc>
        <w:tc>
          <w:tcPr>
            <w:tcW w:w="1998" w:type="dxa"/>
          </w:tcPr>
          <w:p w:rsidR="00641709" w:rsidRPr="005A41E0" w:rsidRDefault="0086501B" w:rsidP="005A41E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Place</w:t>
            </w:r>
          </w:p>
        </w:tc>
      </w:tr>
      <w:tr w:rsidR="00641709" w:rsidRPr="005A41E0" w:rsidTr="007C3F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641709" w:rsidRPr="005A41E0" w:rsidRDefault="0086501B" w:rsidP="005A41E0">
            <w:pPr>
              <w:rPr>
                <w:rFonts w:asciiTheme="majorHAnsi" w:hAnsiTheme="majorHAnsi"/>
                <w:b w:val="0"/>
                <w:sz w:val="20"/>
                <w:szCs w:val="20"/>
                <w:lang w:val="en-US"/>
              </w:rPr>
            </w:pPr>
            <w:r w:rsidRPr="005A41E0">
              <w:rPr>
                <w:rFonts w:asciiTheme="majorHAnsi" w:hAnsiTheme="majorHAnsi"/>
                <w:b w:val="0"/>
                <w:sz w:val="20"/>
                <w:szCs w:val="20"/>
                <w:lang w:val="en-US"/>
              </w:rPr>
              <w:t>157</w:t>
            </w:r>
            <w:r w:rsidRPr="005A41E0">
              <w:rPr>
                <w:rFonts w:asciiTheme="majorHAnsi" w:hAnsiTheme="majorHAnsi"/>
                <w:b w:val="0"/>
                <w:sz w:val="20"/>
                <w:szCs w:val="20"/>
                <w:vertAlign w:val="superscript"/>
                <w:lang w:val="en-US"/>
              </w:rPr>
              <w:t>th</w:t>
            </w:r>
            <w:r w:rsidRPr="005A41E0">
              <w:rPr>
                <w:rFonts w:asciiTheme="majorHAnsi" w:hAnsiTheme="majorHAnsi"/>
                <w:b w:val="0"/>
                <w:sz w:val="20"/>
                <w:szCs w:val="20"/>
                <w:lang w:val="en-US"/>
              </w:rPr>
              <w:t xml:space="preserve"> period of sessions </w:t>
            </w:r>
          </w:p>
        </w:tc>
        <w:tc>
          <w:tcPr>
            <w:tcW w:w="3420" w:type="dxa"/>
          </w:tcPr>
          <w:p w:rsidR="00641709" w:rsidRPr="005A41E0" w:rsidRDefault="0086501B" w:rsidP="005A4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 xml:space="preserve">April </w:t>
            </w:r>
            <w:r w:rsidR="00641709" w:rsidRPr="005A41E0">
              <w:rPr>
                <w:rFonts w:asciiTheme="majorHAnsi" w:hAnsiTheme="majorHAnsi"/>
                <w:sz w:val="20"/>
                <w:szCs w:val="20"/>
                <w:lang w:val="en-US"/>
              </w:rPr>
              <w:t xml:space="preserve">2 </w:t>
            </w:r>
            <w:r w:rsidRPr="005A41E0">
              <w:rPr>
                <w:rFonts w:asciiTheme="majorHAnsi" w:hAnsiTheme="majorHAnsi"/>
                <w:sz w:val="20"/>
                <w:szCs w:val="20"/>
                <w:lang w:val="en-US"/>
              </w:rPr>
              <w:t xml:space="preserve">to </w:t>
            </w:r>
            <w:r w:rsidR="00641709" w:rsidRPr="005A41E0">
              <w:rPr>
                <w:rFonts w:asciiTheme="majorHAnsi" w:hAnsiTheme="majorHAnsi"/>
                <w:sz w:val="20"/>
                <w:szCs w:val="20"/>
                <w:lang w:val="en-US"/>
              </w:rPr>
              <w:t xml:space="preserve">15 </w:t>
            </w:r>
          </w:p>
        </w:tc>
        <w:tc>
          <w:tcPr>
            <w:tcW w:w="1998" w:type="dxa"/>
          </w:tcPr>
          <w:p w:rsidR="00641709" w:rsidRPr="005A41E0" w:rsidRDefault="0086501B" w:rsidP="005A4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Washington, D.C.</w:t>
            </w:r>
          </w:p>
        </w:tc>
      </w:tr>
      <w:tr w:rsidR="00641709" w:rsidRPr="005A41E0" w:rsidTr="007C3F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641709" w:rsidRPr="005A41E0" w:rsidRDefault="00641709" w:rsidP="005A41E0">
            <w:pPr>
              <w:rPr>
                <w:rFonts w:asciiTheme="majorHAnsi" w:hAnsiTheme="majorHAnsi"/>
                <w:b w:val="0"/>
                <w:sz w:val="20"/>
                <w:szCs w:val="20"/>
                <w:lang w:val="en-US"/>
              </w:rPr>
            </w:pPr>
            <w:r w:rsidRPr="005A41E0">
              <w:rPr>
                <w:rFonts w:asciiTheme="majorHAnsi" w:hAnsiTheme="majorHAnsi"/>
                <w:b w:val="0"/>
                <w:sz w:val="20"/>
                <w:szCs w:val="20"/>
                <w:lang w:val="en-US"/>
              </w:rPr>
              <w:t>158</w:t>
            </w:r>
            <w:r w:rsidR="0086501B" w:rsidRPr="005A41E0">
              <w:rPr>
                <w:rFonts w:asciiTheme="majorHAnsi" w:hAnsiTheme="majorHAnsi"/>
                <w:b w:val="0"/>
                <w:sz w:val="20"/>
                <w:szCs w:val="20"/>
                <w:vertAlign w:val="superscript"/>
                <w:lang w:val="en-US"/>
              </w:rPr>
              <w:t>th</w:t>
            </w:r>
            <w:r w:rsidR="0086501B" w:rsidRPr="005A41E0">
              <w:rPr>
                <w:rFonts w:asciiTheme="majorHAnsi" w:hAnsiTheme="majorHAnsi"/>
                <w:b w:val="0"/>
                <w:sz w:val="20"/>
                <w:szCs w:val="20"/>
                <w:lang w:val="en-US"/>
              </w:rPr>
              <w:t xml:space="preserve"> special period of sessions </w:t>
            </w:r>
          </w:p>
        </w:tc>
        <w:tc>
          <w:tcPr>
            <w:tcW w:w="3420" w:type="dxa"/>
          </w:tcPr>
          <w:p w:rsidR="00641709" w:rsidRPr="005A41E0" w:rsidRDefault="0086501B" w:rsidP="005A41E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 xml:space="preserve">June </w:t>
            </w:r>
            <w:r w:rsidR="00F61562" w:rsidRPr="005A41E0">
              <w:rPr>
                <w:rFonts w:asciiTheme="majorHAnsi" w:hAnsiTheme="majorHAnsi"/>
                <w:sz w:val="20"/>
                <w:szCs w:val="20"/>
                <w:lang w:val="en-US"/>
              </w:rPr>
              <w:t xml:space="preserve">6 </w:t>
            </w:r>
            <w:r w:rsidRPr="005A41E0">
              <w:rPr>
                <w:rFonts w:asciiTheme="majorHAnsi" w:hAnsiTheme="majorHAnsi"/>
                <w:sz w:val="20"/>
                <w:szCs w:val="20"/>
                <w:lang w:val="en-US"/>
              </w:rPr>
              <w:t xml:space="preserve">to </w:t>
            </w:r>
            <w:r w:rsidR="00F61562" w:rsidRPr="005A41E0">
              <w:rPr>
                <w:rFonts w:asciiTheme="majorHAnsi" w:hAnsiTheme="majorHAnsi"/>
                <w:sz w:val="20"/>
                <w:szCs w:val="20"/>
                <w:lang w:val="en-US"/>
              </w:rPr>
              <w:t xml:space="preserve">10 </w:t>
            </w:r>
          </w:p>
        </w:tc>
        <w:tc>
          <w:tcPr>
            <w:tcW w:w="1998" w:type="dxa"/>
          </w:tcPr>
          <w:p w:rsidR="00641709" w:rsidRPr="005A41E0" w:rsidRDefault="00F61562" w:rsidP="005A41E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Santiago</w:t>
            </w:r>
            <w:r w:rsidR="0086501B" w:rsidRPr="005A41E0">
              <w:rPr>
                <w:rFonts w:asciiTheme="majorHAnsi" w:hAnsiTheme="majorHAnsi"/>
                <w:sz w:val="20"/>
                <w:szCs w:val="20"/>
                <w:lang w:val="en-US"/>
              </w:rPr>
              <w:t>,</w:t>
            </w:r>
            <w:r w:rsidRPr="005A41E0">
              <w:rPr>
                <w:rFonts w:asciiTheme="majorHAnsi" w:hAnsiTheme="majorHAnsi"/>
                <w:sz w:val="20"/>
                <w:szCs w:val="20"/>
                <w:lang w:val="en-US"/>
              </w:rPr>
              <w:t xml:space="preserve"> Chile</w:t>
            </w:r>
          </w:p>
        </w:tc>
      </w:tr>
      <w:tr w:rsidR="00641709" w:rsidRPr="005A41E0" w:rsidTr="007C3F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641709" w:rsidRPr="005A41E0" w:rsidRDefault="0086501B" w:rsidP="005A41E0">
            <w:pPr>
              <w:rPr>
                <w:rFonts w:asciiTheme="majorHAnsi" w:hAnsiTheme="majorHAnsi"/>
                <w:b w:val="0"/>
                <w:sz w:val="20"/>
                <w:szCs w:val="20"/>
                <w:lang w:val="en-US"/>
              </w:rPr>
            </w:pPr>
            <w:r w:rsidRPr="005A41E0">
              <w:rPr>
                <w:rFonts w:asciiTheme="majorHAnsi" w:hAnsiTheme="majorHAnsi"/>
                <w:b w:val="0"/>
                <w:sz w:val="20"/>
                <w:szCs w:val="20"/>
                <w:lang w:val="en-US"/>
              </w:rPr>
              <w:t>159</w:t>
            </w:r>
            <w:r w:rsidRPr="005A41E0">
              <w:rPr>
                <w:rFonts w:asciiTheme="majorHAnsi" w:hAnsiTheme="majorHAnsi"/>
                <w:b w:val="0"/>
                <w:sz w:val="20"/>
                <w:szCs w:val="20"/>
                <w:vertAlign w:val="superscript"/>
                <w:lang w:val="en-US"/>
              </w:rPr>
              <w:t>th</w:t>
            </w:r>
            <w:r w:rsidRPr="005A41E0">
              <w:rPr>
                <w:rFonts w:asciiTheme="majorHAnsi" w:hAnsiTheme="majorHAnsi"/>
                <w:b w:val="0"/>
                <w:sz w:val="20"/>
                <w:szCs w:val="20"/>
                <w:lang w:val="en-US"/>
              </w:rPr>
              <w:t xml:space="preserve"> period of </w:t>
            </w:r>
            <w:r w:rsidR="000E6E39" w:rsidRPr="005A41E0">
              <w:rPr>
                <w:rFonts w:asciiTheme="majorHAnsi" w:hAnsiTheme="majorHAnsi"/>
                <w:b w:val="0"/>
                <w:sz w:val="20"/>
                <w:szCs w:val="20"/>
                <w:lang w:val="en-US"/>
              </w:rPr>
              <w:t>s</w:t>
            </w:r>
            <w:r w:rsidR="00010648" w:rsidRPr="005A41E0">
              <w:rPr>
                <w:rFonts w:asciiTheme="majorHAnsi" w:hAnsiTheme="majorHAnsi"/>
                <w:b w:val="0"/>
                <w:sz w:val="20"/>
                <w:szCs w:val="20"/>
                <w:lang w:val="en-US"/>
              </w:rPr>
              <w:t>e</w:t>
            </w:r>
            <w:r w:rsidRPr="005A41E0">
              <w:rPr>
                <w:rFonts w:asciiTheme="majorHAnsi" w:hAnsiTheme="majorHAnsi"/>
                <w:b w:val="0"/>
                <w:sz w:val="20"/>
                <w:szCs w:val="20"/>
                <w:lang w:val="en-US"/>
              </w:rPr>
              <w:t>s</w:t>
            </w:r>
            <w:r w:rsidR="00010648" w:rsidRPr="005A41E0">
              <w:rPr>
                <w:rFonts w:asciiTheme="majorHAnsi" w:hAnsiTheme="majorHAnsi"/>
                <w:b w:val="0"/>
                <w:sz w:val="20"/>
                <w:szCs w:val="20"/>
                <w:lang w:val="en-US"/>
              </w:rPr>
              <w:t>sions</w:t>
            </w:r>
          </w:p>
        </w:tc>
        <w:tc>
          <w:tcPr>
            <w:tcW w:w="3420" w:type="dxa"/>
          </w:tcPr>
          <w:p w:rsidR="00641709" w:rsidRPr="005A41E0" w:rsidRDefault="0086501B" w:rsidP="005A4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 xml:space="preserve">November </w:t>
            </w:r>
            <w:r w:rsidR="00F61562" w:rsidRPr="005A41E0">
              <w:rPr>
                <w:rFonts w:asciiTheme="majorHAnsi" w:hAnsiTheme="majorHAnsi"/>
                <w:sz w:val="20"/>
                <w:szCs w:val="20"/>
                <w:lang w:val="en-US"/>
              </w:rPr>
              <w:t xml:space="preserve">27 </w:t>
            </w:r>
            <w:r w:rsidRPr="005A41E0">
              <w:rPr>
                <w:rFonts w:asciiTheme="majorHAnsi" w:hAnsiTheme="majorHAnsi"/>
                <w:sz w:val="20"/>
                <w:szCs w:val="20"/>
                <w:lang w:val="en-US"/>
              </w:rPr>
              <w:t xml:space="preserve">to December </w:t>
            </w:r>
            <w:r w:rsidR="00F61562" w:rsidRPr="005A41E0">
              <w:rPr>
                <w:rFonts w:asciiTheme="majorHAnsi" w:hAnsiTheme="majorHAnsi"/>
                <w:sz w:val="20"/>
                <w:szCs w:val="20"/>
                <w:lang w:val="en-US"/>
              </w:rPr>
              <w:t>7</w:t>
            </w:r>
          </w:p>
        </w:tc>
        <w:tc>
          <w:tcPr>
            <w:tcW w:w="1998" w:type="dxa"/>
          </w:tcPr>
          <w:p w:rsidR="00641709" w:rsidRPr="005A41E0" w:rsidRDefault="0086501B" w:rsidP="005A41E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 xml:space="preserve">Panama </w:t>
            </w:r>
            <w:r w:rsidR="00F61562" w:rsidRPr="005A41E0">
              <w:rPr>
                <w:rFonts w:asciiTheme="majorHAnsi" w:hAnsiTheme="majorHAnsi"/>
                <w:sz w:val="20"/>
                <w:szCs w:val="20"/>
                <w:lang w:val="en-US"/>
              </w:rPr>
              <w:t>Ci</w:t>
            </w:r>
            <w:r w:rsidRPr="005A41E0">
              <w:rPr>
                <w:rFonts w:asciiTheme="majorHAnsi" w:hAnsiTheme="majorHAnsi"/>
                <w:sz w:val="20"/>
                <w:szCs w:val="20"/>
                <w:lang w:val="en-US"/>
              </w:rPr>
              <w:t>ty</w:t>
            </w:r>
          </w:p>
        </w:tc>
      </w:tr>
      <w:tr w:rsidR="00641709" w:rsidRPr="005A41E0" w:rsidTr="007C3F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8" w:type="dxa"/>
          </w:tcPr>
          <w:p w:rsidR="00641709" w:rsidRPr="005A41E0" w:rsidRDefault="0086501B" w:rsidP="005A41E0">
            <w:pPr>
              <w:rPr>
                <w:rFonts w:asciiTheme="majorHAnsi" w:hAnsiTheme="majorHAnsi"/>
                <w:b w:val="0"/>
                <w:sz w:val="20"/>
                <w:szCs w:val="20"/>
                <w:lang w:val="en-US"/>
              </w:rPr>
            </w:pPr>
            <w:r w:rsidRPr="005A41E0">
              <w:rPr>
                <w:rFonts w:asciiTheme="majorHAnsi" w:hAnsiTheme="majorHAnsi"/>
                <w:b w:val="0"/>
                <w:sz w:val="20"/>
                <w:szCs w:val="20"/>
                <w:lang w:val="en-US"/>
              </w:rPr>
              <w:t>160</w:t>
            </w:r>
            <w:r w:rsidRPr="005A41E0">
              <w:rPr>
                <w:rFonts w:asciiTheme="majorHAnsi" w:hAnsiTheme="majorHAnsi"/>
                <w:b w:val="0"/>
                <w:sz w:val="20"/>
                <w:szCs w:val="20"/>
                <w:vertAlign w:val="superscript"/>
                <w:lang w:val="en-US"/>
              </w:rPr>
              <w:t>th</w:t>
            </w:r>
            <w:r w:rsidRPr="005A41E0">
              <w:rPr>
                <w:rFonts w:asciiTheme="majorHAnsi" w:hAnsiTheme="majorHAnsi"/>
                <w:b w:val="0"/>
                <w:sz w:val="20"/>
                <w:szCs w:val="20"/>
                <w:lang w:val="en-US"/>
              </w:rPr>
              <w:t xml:space="preserve"> special period of sessions </w:t>
            </w:r>
          </w:p>
        </w:tc>
        <w:tc>
          <w:tcPr>
            <w:tcW w:w="3420" w:type="dxa"/>
          </w:tcPr>
          <w:p w:rsidR="00641709" w:rsidRPr="005A41E0" w:rsidRDefault="0086501B" w:rsidP="005A41E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 xml:space="preserve">December </w:t>
            </w:r>
            <w:r w:rsidR="00F61562" w:rsidRPr="005A41E0">
              <w:rPr>
                <w:rFonts w:asciiTheme="majorHAnsi" w:hAnsiTheme="majorHAnsi"/>
                <w:sz w:val="20"/>
                <w:szCs w:val="20"/>
                <w:lang w:val="en-US"/>
              </w:rPr>
              <w:t xml:space="preserve">9 </w:t>
            </w:r>
            <w:r w:rsidRPr="005A41E0">
              <w:rPr>
                <w:rFonts w:asciiTheme="majorHAnsi" w:hAnsiTheme="majorHAnsi"/>
                <w:sz w:val="20"/>
                <w:szCs w:val="20"/>
                <w:lang w:val="en-US"/>
              </w:rPr>
              <w:t xml:space="preserve">and </w:t>
            </w:r>
            <w:r w:rsidR="00F61562" w:rsidRPr="005A41E0">
              <w:rPr>
                <w:rFonts w:asciiTheme="majorHAnsi" w:hAnsiTheme="majorHAnsi"/>
                <w:sz w:val="20"/>
                <w:szCs w:val="20"/>
                <w:lang w:val="en-US"/>
              </w:rPr>
              <w:t xml:space="preserve">10 </w:t>
            </w:r>
          </w:p>
        </w:tc>
        <w:tc>
          <w:tcPr>
            <w:tcW w:w="1998" w:type="dxa"/>
          </w:tcPr>
          <w:p w:rsidR="00641709" w:rsidRPr="005A41E0" w:rsidRDefault="00F61562" w:rsidP="005A41E0">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Washington, D.C.</w:t>
            </w:r>
          </w:p>
        </w:tc>
      </w:tr>
    </w:tbl>
    <w:p w:rsidR="00362E20" w:rsidRPr="005A41E0" w:rsidRDefault="00362E20" w:rsidP="005A41E0">
      <w:pPr>
        <w:shd w:val="clear" w:color="auto" w:fill="FFFFFF"/>
        <w:jc w:val="both"/>
        <w:rPr>
          <w:rFonts w:asciiTheme="majorHAnsi" w:hAnsiTheme="majorHAnsi"/>
          <w:sz w:val="20"/>
          <w:szCs w:val="20"/>
          <w:lang w:val="en-US"/>
        </w:rPr>
      </w:pPr>
    </w:p>
    <w:p w:rsidR="0048631A" w:rsidRPr="005A41E0" w:rsidRDefault="0048631A" w:rsidP="005A41E0">
      <w:pPr>
        <w:shd w:val="clear" w:color="auto" w:fill="FFFFFF"/>
        <w:ind w:left="360"/>
        <w:jc w:val="both"/>
        <w:rPr>
          <w:rFonts w:asciiTheme="majorHAnsi" w:hAnsiTheme="majorHAnsi"/>
          <w:sz w:val="20"/>
          <w:szCs w:val="20"/>
          <w:lang w:val="en-US"/>
        </w:rPr>
      </w:pPr>
    </w:p>
    <w:p w:rsidR="0048631A" w:rsidRPr="005A41E0" w:rsidRDefault="00E0071A" w:rsidP="007B5495">
      <w:pPr>
        <w:pStyle w:val="ListParagraph"/>
        <w:numPr>
          <w:ilvl w:val="0"/>
          <w:numId w:val="15"/>
        </w:numPr>
        <w:shd w:val="clear" w:color="auto" w:fill="FFFFFF"/>
        <w:tabs>
          <w:tab w:val="clear" w:pos="1080"/>
        </w:tabs>
        <w:ind w:left="0"/>
        <w:jc w:val="both"/>
        <w:rPr>
          <w:rFonts w:asciiTheme="majorHAnsi" w:hAnsiTheme="majorHAnsi"/>
          <w:color w:val="3366FF"/>
          <w:sz w:val="20"/>
          <w:szCs w:val="20"/>
          <w:lang w:val="en-US"/>
        </w:rPr>
      </w:pPr>
      <w:r w:rsidRPr="005A41E0">
        <w:rPr>
          <w:rFonts w:asciiTheme="majorHAnsi" w:hAnsiTheme="majorHAnsi"/>
          <w:sz w:val="20"/>
          <w:szCs w:val="20"/>
          <w:lang w:val="en-US"/>
        </w:rPr>
        <w:t xml:space="preserve">The figures </w:t>
      </w:r>
      <w:r w:rsidR="007B5495">
        <w:rPr>
          <w:rFonts w:asciiTheme="majorHAnsi" w:hAnsiTheme="majorHAnsi"/>
          <w:sz w:val="20"/>
          <w:szCs w:val="20"/>
          <w:lang w:val="en-US"/>
        </w:rPr>
        <w:t xml:space="preserve">of </w:t>
      </w:r>
      <w:r w:rsidRPr="005A41E0">
        <w:rPr>
          <w:rFonts w:asciiTheme="majorHAnsi" w:hAnsiTheme="majorHAnsi"/>
          <w:sz w:val="20"/>
          <w:szCs w:val="20"/>
          <w:lang w:val="en-US"/>
        </w:rPr>
        <w:t xml:space="preserve">the number of reports on cases adopted </w:t>
      </w:r>
      <w:r w:rsidR="007B5495">
        <w:rPr>
          <w:rFonts w:asciiTheme="majorHAnsi" w:hAnsiTheme="majorHAnsi"/>
          <w:sz w:val="20"/>
          <w:szCs w:val="20"/>
          <w:lang w:val="en-US"/>
        </w:rPr>
        <w:t xml:space="preserve">in </w:t>
      </w:r>
      <w:r w:rsidR="00010648" w:rsidRPr="005A41E0">
        <w:rPr>
          <w:rFonts w:asciiTheme="majorHAnsi" w:hAnsiTheme="majorHAnsi"/>
          <w:sz w:val="20"/>
          <w:szCs w:val="20"/>
          <w:lang w:val="en-US"/>
        </w:rPr>
        <w:t xml:space="preserve">2016 </w:t>
      </w:r>
      <w:r w:rsidRPr="005A41E0">
        <w:rPr>
          <w:rFonts w:asciiTheme="majorHAnsi" w:hAnsiTheme="majorHAnsi"/>
          <w:sz w:val="20"/>
          <w:szCs w:val="20"/>
          <w:lang w:val="en-US"/>
        </w:rPr>
        <w:t>are as follows</w:t>
      </w:r>
      <w:r w:rsidR="000E6E39" w:rsidRPr="005A41E0">
        <w:rPr>
          <w:rFonts w:asciiTheme="majorHAnsi" w:hAnsiTheme="majorHAnsi"/>
          <w:color w:val="3366FF"/>
          <w:sz w:val="20"/>
          <w:szCs w:val="20"/>
          <w:lang w:val="en-US"/>
        </w:rPr>
        <w:t>:</w:t>
      </w:r>
    </w:p>
    <w:p w:rsidR="000E6E39" w:rsidRPr="005A41E0" w:rsidRDefault="000E6E39" w:rsidP="005A41E0">
      <w:pPr>
        <w:shd w:val="clear" w:color="auto" w:fill="FFFFFF"/>
        <w:jc w:val="both"/>
        <w:rPr>
          <w:rFonts w:asciiTheme="majorHAnsi" w:hAnsiTheme="majorHAnsi"/>
          <w:color w:val="3366FF"/>
          <w:sz w:val="20"/>
          <w:szCs w:val="20"/>
          <w:lang w:val="en-US"/>
        </w:rPr>
      </w:pPr>
    </w:p>
    <w:tbl>
      <w:tblPr>
        <w:tblStyle w:val="MediumShading1-Accent3"/>
        <w:tblW w:w="0" w:type="auto"/>
        <w:jc w:val="center"/>
        <w:tblLook w:val="01E0" w:firstRow="1" w:lastRow="1" w:firstColumn="1" w:lastColumn="1" w:noHBand="0" w:noVBand="0"/>
      </w:tblPr>
      <w:tblGrid>
        <w:gridCol w:w="1260"/>
        <w:gridCol w:w="1192"/>
        <w:gridCol w:w="1217"/>
        <w:gridCol w:w="1692"/>
        <w:gridCol w:w="1680"/>
        <w:gridCol w:w="1304"/>
        <w:gridCol w:w="1231"/>
      </w:tblGrid>
      <w:tr w:rsidR="00E0071A" w:rsidRPr="005A41E0" w:rsidTr="007C3F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3" w:type="dxa"/>
          </w:tcPr>
          <w:p w:rsidR="0048631A" w:rsidRPr="005A41E0" w:rsidRDefault="0048631A" w:rsidP="005A41E0">
            <w:pPr>
              <w:jc w:val="both"/>
              <w:rPr>
                <w:rFonts w:asciiTheme="majorHAnsi" w:hAnsiTheme="majorHAnsi"/>
                <w:b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1199" w:type="dxa"/>
          </w:tcPr>
          <w:p w:rsidR="0048631A" w:rsidRPr="005A41E0" w:rsidRDefault="00E0071A" w:rsidP="005A41E0">
            <w:pPr>
              <w:jc w:val="center"/>
              <w:rPr>
                <w:rFonts w:asciiTheme="majorHAnsi" w:hAnsiTheme="majorHAnsi"/>
                <w:color w:val="FFFFFF"/>
                <w:sz w:val="20"/>
                <w:szCs w:val="20"/>
                <w:lang w:val="en-US"/>
              </w:rPr>
            </w:pPr>
            <w:r w:rsidRPr="005A41E0">
              <w:rPr>
                <w:rFonts w:asciiTheme="majorHAnsi" w:hAnsiTheme="majorHAnsi"/>
                <w:color w:val="FFFFFF"/>
                <w:sz w:val="20"/>
                <w:szCs w:val="20"/>
                <w:lang w:val="en-US"/>
              </w:rPr>
              <w:t>Merits</w:t>
            </w:r>
          </w:p>
        </w:tc>
        <w:tc>
          <w:tcPr>
            <w:tcW w:w="1194" w:type="dxa"/>
          </w:tcPr>
          <w:p w:rsidR="0048631A" w:rsidRPr="005A41E0" w:rsidRDefault="00E0071A" w:rsidP="005A41E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en-US"/>
              </w:rPr>
            </w:pPr>
            <w:r w:rsidRPr="005A41E0">
              <w:rPr>
                <w:rFonts w:asciiTheme="majorHAnsi" w:hAnsiTheme="majorHAnsi"/>
                <w:sz w:val="20"/>
                <w:szCs w:val="20"/>
                <w:lang w:val="en-US"/>
              </w:rPr>
              <w:t xml:space="preserve">Friendly Settlement </w:t>
            </w:r>
          </w:p>
        </w:tc>
        <w:tc>
          <w:tcPr>
            <w:cnfStyle w:val="000010000000" w:firstRow="0" w:lastRow="0" w:firstColumn="0" w:lastColumn="0" w:oddVBand="1" w:evenVBand="0" w:oddHBand="0" w:evenHBand="0" w:firstRowFirstColumn="0" w:firstRowLastColumn="0" w:lastRowFirstColumn="0" w:lastRowLastColumn="0"/>
            <w:tcW w:w="1697" w:type="dxa"/>
          </w:tcPr>
          <w:p w:rsidR="0048631A" w:rsidRPr="005A41E0" w:rsidRDefault="0048631A" w:rsidP="005A41E0">
            <w:pPr>
              <w:jc w:val="center"/>
              <w:rPr>
                <w:rFonts w:asciiTheme="majorHAnsi" w:hAnsiTheme="majorHAnsi"/>
                <w:sz w:val="20"/>
                <w:szCs w:val="20"/>
                <w:lang w:val="en-US"/>
              </w:rPr>
            </w:pPr>
            <w:r w:rsidRPr="005A41E0">
              <w:rPr>
                <w:rFonts w:asciiTheme="majorHAnsi" w:hAnsiTheme="majorHAnsi"/>
                <w:sz w:val="20"/>
                <w:szCs w:val="20"/>
                <w:lang w:val="en-US"/>
              </w:rPr>
              <w:t>Admis</w:t>
            </w:r>
            <w:r w:rsidR="00E0071A" w:rsidRPr="005A41E0">
              <w:rPr>
                <w:rFonts w:asciiTheme="majorHAnsi" w:hAnsiTheme="majorHAnsi"/>
                <w:sz w:val="20"/>
                <w:szCs w:val="20"/>
                <w:lang w:val="en-US"/>
              </w:rPr>
              <w:t>sibility</w:t>
            </w:r>
          </w:p>
        </w:tc>
        <w:tc>
          <w:tcPr>
            <w:tcW w:w="1681" w:type="dxa"/>
          </w:tcPr>
          <w:p w:rsidR="0048631A" w:rsidRPr="005A41E0" w:rsidRDefault="0048631A" w:rsidP="005A41E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lang w:val="en-US"/>
              </w:rPr>
            </w:pPr>
            <w:r w:rsidRPr="005A41E0">
              <w:rPr>
                <w:rFonts w:asciiTheme="majorHAnsi" w:hAnsiTheme="majorHAnsi"/>
                <w:sz w:val="20"/>
                <w:szCs w:val="20"/>
                <w:lang w:val="en-US"/>
              </w:rPr>
              <w:t>Inadmi</w:t>
            </w:r>
            <w:r w:rsidR="00E0071A" w:rsidRPr="005A41E0">
              <w:rPr>
                <w:rFonts w:asciiTheme="majorHAnsi" w:hAnsiTheme="majorHAnsi"/>
                <w:sz w:val="20"/>
                <w:szCs w:val="20"/>
                <w:lang w:val="en-US"/>
              </w:rPr>
              <w:t>ssibility</w:t>
            </w:r>
          </w:p>
        </w:tc>
        <w:tc>
          <w:tcPr>
            <w:cnfStyle w:val="000010000000" w:firstRow="0" w:lastRow="0" w:firstColumn="0" w:lastColumn="0" w:oddVBand="1" w:evenVBand="0" w:oddHBand="0" w:evenHBand="0" w:firstRowFirstColumn="0" w:firstRowLastColumn="0" w:lastRowFirstColumn="0" w:lastRowLastColumn="0"/>
            <w:tcW w:w="1305" w:type="dxa"/>
          </w:tcPr>
          <w:p w:rsidR="0048631A" w:rsidRPr="005A41E0" w:rsidRDefault="00E0071A" w:rsidP="005A41E0">
            <w:pPr>
              <w:jc w:val="center"/>
              <w:rPr>
                <w:rFonts w:asciiTheme="majorHAnsi" w:hAnsiTheme="majorHAnsi"/>
                <w:sz w:val="20"/>
                <w:szCs w:val="20"/>
                <w:lang w:val="en-US"/>
              </w:rPr>
            </w:pPr>
            <w:r w:rsidRPr="005A41E0">
              <w:rPr>
                <w:rFonts w:asciiTheme="majorHAnsi" w:hAnsiTheme="majorHAnsi"/>
                <w:sz w:val="20"/>
                <w:szCs w:val="20"/>
                <w:lang w:val="en-US"/>
              </w:rPr>
              <w:t>Publication</w:t>
            </w:r>
          </w:p>
        </w:tc>
        <w:tc>
          <w:tcPr>
            <w:cnfStyle w:val="000100000000" w:firstRow="0" w:lastRow="0" w:firstColumn="0" w:lastColumn="1" w:oddVBand="0" w:evenVBand="0" w:oddHBand="0" w:evenHBand="0" w:firstRowFirstColumn="0" w:firstRowLastColumn="0" w:lastRowFirstColumn="0" w:lastRowLastColumn="0"/>
            <w:tcW w:w="1237" w:type="dxa"/>
          </w:tcPr>
          <w:p w:rsidR="0048631A" w:rsidRPr="005A41E0" w:rsidRDefault="0048631A" w:rsidP="005A41E0">
            <w:pPr>
              <w:jc w:val="center"/>
              <w:rPr>
                <w:rFonts w:asciiTheme="majorHAnsi" w:hAnsiTheme="majorHAnsi"/>
                <w:sz w:val="20"/>
                <w:szCs w:val="20"/>
                <w:lang w:val="en-US"/>
              </w:rPr>
            </w:pPr>
            <w:r w:rsidRPr="005A41E0">
              <w:rPr>
                <w:rFonts w:asciiTheme="majorHAnsi" w:hAnsiTheme="majorHAnsi"/>
                <w:sz w:val="20"/>
                <w:szCs w:val="20"/>
                <w:lang w:val="en-US"/>
              </w:rPr>
              <w:t>Archiv</w:t>
            </w:r>
            <w:r w:rsidR="00E0071A" w:rsidRPr="005A41E0">
              <w:rPr>
                <w:rFonts w:asciiTheme="majorHAnsi" w:hAnsiTheme="majorHAnsi"/>
                <w:sz w:val="20"/>
                <w:szCs w:val="20"/>
                <w:lang w:val="en-US"/>
              </w:rPr>
              <w:t>e</w:t>
            </w:r>
          </w:p>
        </w:tc>
      </w:tr>
      <w:tr w:rsidR="00E0071A" w:rsidRPr="005A41E0" w:rsidTr="007C3F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3" w:type="dxa"/>
            <w:vAlign w:val="center"/>
          </w:tcPr>
          <w:p w:rsidR="0048631A" w:rsidRPr="005A41E0" w:rsidRDefault="00E0071A" w:rsidP="005A41E0">
            <w:pPr>
              <w:jc w:val="center"/>
              <w:rPr>
                <w:rFonts w:asciiTheme="majorHAnsi" w:hAnsiTheme="majorHAnsi"/>
                <w:b w:val="0"/>
                <w:sz w:val="20"/>
                <w:szCs w:val="20"/>
                <w:lang w:val="en-US"/>
              </w:rPr>
            </w:pPr>
            <w:r w:rsidRPr="005A41E0">
              <w:rPr>
                <w:rFonts w:asciiTheme="majorHAnsi" w:hAnsiTheme="majorHAnsi"/>
                <w:b w:val="0"/>
                <w:sz w:val="20"/>
                <w:szCs w:val="20"/>
                <w:lang w:val="en-US"/>
              </w:rPr>
              <w:t xml:space="preserve">Reports approved </w:t>
            </w:r>
          </w:p>
        </w:tc>
        <w:tc>
          <w:tcPr>
            <w:cnfStyle w:val="000010000000" w:firstRow="0" w:lastRow="0" w:firstColumn="0" w:lastColumn="0" w:oddVBand="1" w:evenVBand="0" w:oddHBand="0" w:evenHBand="0" w:firstRowFirstColumn="0" w:firstRowLastColumn="0" w:lastRowFirstColumn="0" w:lastRowLastColumn="0"/>
            <w:tcW w:w="1199" w:type="dxa"/>
            <w:vAlign w:val="center"/>
          </w:tcPr>
          <w:p w:rsidR="0048631A" w:rsidRPr="005A41E0" w:rsidRDefault="00792933" w:rsidP="005A41E0">
            <w:pPr>
              <w:jc w:val="center"/>
              <w:rPr>
                <w:rFonts w:asciiTheme="majorHAnsi" w:hAnsiTheme="majorHAnsi"/>
                <w:b w:val="0"/>
                <w:sz w:val="20"/>
                <w:szCs w:val="20"/>
                <w:lang w:val="en-US"/>
              </w:rPr>
            </w:pPr>
            <w:r w:rsidRPr="005A41E0">
              <w:rPr>
                <w:rFonts w:asciiTheme="majorHAnsi" w:hAnsiTheme="majorHAnsi"/>
                <w:b w:val="0"/>
                <w:sz w:val="20"/>
                <w:szCs w:val="20"/>
                <w:lang w:val="en-US"/>
              </w:rPr>
              <w:t>16</w:t>
            </w:r>
          </w:p>
        </w:tc>
        <w:tc>
          <w:tcPr>
            <w:tcW w:w="1194" w:type="dxa"/>
            <w:vAlign w:val="center"/>
          </w:tcPr>
          <w:p w:rsidR="0048631A" w:rsidRPr="005A41E0" w:rsidRDefault="00656A16" w:rsidP="005A41E0">
            <w:pPr>
              <w:jc w:val="center"/>
              <w:cnfStyle w:val="010000000000" w:firstRow="0" w:lastRow="1" w:firstColumn="0" w:lastColumn="0" w:oddVBand="0" w:evenVBand="0" w:oddHBand="0" w:evenHBand="0" w:firstRowFirstColumn="0" w:firstRowLastColumn="0" w:lastRowFirstColumn="0" w:lastRowLastColumn="0"/>
              <w:rPr>
                <w:rFonts w:asciiTheme="majorHAnsi" w:hAnsiTheme="majorHAnsi"/>
                <w:b w:val="0"/>
                <w:sz w:val="20"/>
                <w:szCs w:val="20"/>
                <w:lang w:val="en-US"/>
              </w:rPr>
            </w:pPr>
            <w:r w:rsidRPr="005A41E0">
              <w:rPr>
                <w:rFonts w:asciiTheme="majorHAnsi" w:hAnsiTheme="majorHAnsi"/>
                <w:b w:val="0"/>
                <w:sz w:val="20"/>
                <w:szCs w:val="20"/>
                <w:lang w:val="en-US"/>
              </w:rPr>
              <w:t>8</w:t>
            </w:r>
          </w:p>
        </w:tc>
        <w:tc>
          <w:tcPr>
            <w:cnfStyle w:val="000010000000" w:firstRow="0" w:lastRow="0" w:firstColumn="0" w:lastColumn="0" w:oddVBand="1" w:evenVBand="0" w:oddHBand="0" w:evenHBand="0" w:firstRowFirstColumn="0" w:firstRowLastColumn="0" w:lastRowFirstColumn="0" w:lastRowLastColumn="0"/>
            <w:tcW w:w="1697" w:type="dxa"/>
            <w:vAlign w:val="center"/>
          </w:tcPr>
          <w:p w:rsidR="0048631A" w:rsidRPr="005A41E0" w:rsidRDefault="00656A16" w:rsidP="005A41E0">
            <w:pPr>
              <w:jc w:val="center"/>
              <w:rPr>
                <w:rFonts w:asciiTheme="majorHAnsi" w:hAnsiTheme="majorHAnsi"/>
                <w:b w:val="0"/>
                <w:sz w:val="20"/>
                <w:szCs w:val="20"/>
                <w:lang w:val="en-US"/>
              </w:rPr>
            </w:pPr>
            <w:r w:rsidRPr="005A41E0">
              <w:rPr>
                <w:rFonts w:asciiTheme="majorHAnsi" w:hAnsiTheme="majorHAnsi"/>
                <w:b w:val="0"/>
                <w:sz w:val="20"/>
                <w:szCs w:val="20"/>
                <w:lang w:val="en-US"/>
              </w:rPr>
              <w:t>43</w:t>
            </w:r>
          </w:p>
        </w:tc>
        <w:tc>
          <w:tcPr>
            <w:tcW w:w="1681" w:type="dxa"/>
            <w:vAlign w:val="center"/>
          </w:tcPr>
          <w:p w:rsidR="0048631A" w:rsidRPr="005A41E0" w:rsidRDefault="00656A16" w:rsidP="005A41E0">
            <w:pPr>
              <w:jc w:val="center"/>
              <w:cnfStyle w:val="010000000000" w:firstRow="0" w:lastRow="1" w:firstColumn="0" w:lastColumn="0" w:oddVBand="0" w:evenVBand="0" w:oddHBand="0" w:evenHBand="0" w:firstRowFirstColumn="0" w:firstRowLastColumn="0" w:lastRowFirstColumn="0" w:lastRowLastColumn="0"/>
              <w:rPr>
                <w:rFonts w:asciiTheme="majorHAnsi" w:hAnsiTheme="majorHAnsi"/>
                <w:b w:val="0"/>
                <w:sz w:val="20"/>
                <w:szCs w:val="20"/>
                <w:lang w:val="en-US"/>
              </w:rPr>
            </w:pPr>
            <w:r w:rsidRPr="005A41E0">
              <w:rPr>
                <w:rFonts w:asciiTheme="majorHAnsi" w:hAnsiTheme="majorHAnsi"/>
                <w:b w:val="0"/>
                <w:sz w:val="20"/>
                <w:szCs w:val="20"/>
                <w:lang w:val="en-US"/>
              </w:rPr>
              <w:t>2</w:t>
            </w:r>
          </w:p>
        </w:tc>
        <w:tc>
          <w:tcPr>
            <w:cnfStyle w:val="000010000000" w:firstRow="0" w:lastRow="0" w:firstColumn="0" w:lastColumn="0" w:oddVBand="1" w:evenVBand="0" w:oddHBand="0" w:evenHBand="0" w:firstRowFirstColumn="0" w:firstRowLastColumn="0" w:lastRowFirstColumn="0" w:lastRowLastColumn="0"/>
            <w:tcW w:w="1305" w:type="dxa"/>
            <w:vAlign w:val="center"/>
          </w:tcPr>
          <w:p w:rsidR="0048631A" w:rsidRPr="005A41E0" w:rsidRDefault="00656A16" w:rsidP="005A41E0">
            <w:pPr>
              <w:jc w:val="center"/>
              <w:rPr>
                <w:rFonts w:asciiTheme="majorHAnsi" w:hAnsiTheme="majorHAnsi"/>
                <w:b w:val="0"/>
                <w:sz w:val="20"/>
                <w:szCs w:val="20"/>
                <w:lang w:val="en-US"/>
              </w:rPr>
            </w:pPr>
            <w:r w:rsidRPr="005A41E0">
              <w:rPr>
                <w:rFonts w:asciiTheme="majorHAnsi" w:hAnsiTheme="majorHAnsi"/>
                <w:b w:val="0"/>
                <w:sz w:val="20"/>
                <w:szCs w:val="20"/>
                <w:lang w:val="en-US"/>
              </w:rPr>
              <w:t>5</w:t>
            </w:r>
          </w:p>
        </w:tc>
        <w:tc>
          <w:tcPr>
            <w:cnfStyle w:val="000100000000" w:firstRow="0" w:lastRow="0" w:firstColumn="0" w:lastColumn="1" w:oddVBand="0" w:evenVBand="0" w:oddHBand="0" w:evenHBand="0" w:firstRowFirstColumn="0" w:firstRowLastColumn="0" w:lastRowFirstColumn="0" w:lastRowLastColumn="0"/>
            <w:tcW w:w="1237" w:type="dxa"/>
            <w:vAlign w:val="center"/>
          </w:tcPr>
          <w:p w:rsidR="0048631A" w:rsidRPr="005A41E0" w:rsidRDefault="00FE0922" w:rsidP="005A41E0">
            <w:pPr>
              <w:jc w:val="center"/>
              <w:rPr>
                <w:rFonts w:asciiTheme="majorHAnsi" w:hAnsiTheme="majorHAnsi"/>
                <w:b w:val="0"/>
                <w:sz w:val="20"/>
                <w:szCs w:val="20"/>
                <w:lang w:val="en-US"/>
              </w:rPr>
            </w:pPr>
            <w:r w:rsidRPr="005A41E0">
              <w:rPr>
                <w:rFonts w:asciiTheme="majorHAnsi" w:hAnsiTheme="majorHAnsi"/>
                <w:b w:val="0"/>
                <w:sz w:val="20"/>
                <w:szCs w:val="20"/>
                <w:lang w:val="en-US"/>
              </w:rPr>
              <w:t>77</w:t>
            </w:r>
          </w:p>
        </w:tc>
      </w:tr>
    </w:tbl>
    <w:p w:rsidR="0048631A" w:rsidRPr="005A41E0" w:rsidRDefault="0048631A" w:rsidP="005A41E0">
      <w:pPr>
        <w:shd w:val="clear" w:color="auto" w:fill="FFFFFF"/>
        <w:ind w:left="360"/>
        <w:jc w:val="both"/>
        <w:rPr>
          <w:rFonts w:asciiTheme="majorHAnsi" w:hAnsiTheme="majorHAnsi"/>
          <w:b/>
          <w:sz w:val="20"/>
          <w:szCs w:val="20"/>
          <w:lang w:val="en-US"/>
        </w:rPr>
      </w:pPr>
    </w:p>
    <w:p w:rsidR="0048631A" w:rsidRPr="005A41E0" w:rsidRDefault="00147D55" w:rsidP="005A41E0">
      <w:pPr>
        <w:pStyle w:val="Heading2"/>
        <w:rPr>
          <w:lang w:val="en-US"/>
        </w:rPr>
      </w:pPr>
      <w:r w:rsidRPr="005A41E0">
        <w:rPr>
          <w:lang w:val="en-US"/>
        </w:rPr>
        <w:t xml:space="preserve">1. </w:t>
      </w:r>
      <w:r w:rsidRPr="005A41E0">
        <w:rPr>
          <w:lang w:val="en-US"/>
        </w:rPr>
        <w:tab/>
      </w:r>
      <w:r w:rsidR="000E6E39" w:rsidRPr="005A41E0">
        <w:rPr>
          <w:lang w:val="en-US"/>
        </w:rPr>
        <w:t>157</w:t>
      </w:r>
      <w:r w:rsidR="00E0071A" w:rsidRPr="005A41E0">
        <w:rPr>
          <w:vertAlign w:val="superscript"/>
          <w:lang w:val="en-US"/>
        </w:rPr>
        <w:t>th</w:t>
      </w:r>
      <w:r w:rsidR="00E0071A" w:rsidRPr="005A41E0">
        <w:rPr>
          <w:lang w:val="en-US"/>
        </w:rPr>
        <w:t xml:space="preserve"> regular period of sessions </w:t>
      </w:r>
      <w:r w:rsidR="005A1CB7" w:rsidRPr="005A41E0">
        <w:rPr>
          <w:lang w:val="en-US"/>
        </w:rPr>
        <w:t>(Washington, D.C.)</w:t>
      </w:r>
    </w:p>
    <w:p w:rsidR="0048631A" w:rsidRPr="005A41E0" w:rsidRDefault="0048631A" w:rsidP="005A41E0">
      <w:pPr>
        <w:shd w:val="clear" w:color="auto" w:fill="FFFFFF"/>
        <w:ind w:left="360"/>
        <w:jc w:val="both"/>
        <w:rPr>
          <w:rFonts w:asciiTheme="majorHAnsi" w:hAnsiTheme="majorHAnsi"/>
          <w:sz w:val="20"/>
          <w:szCs w:val="20"/>
          <w:lang w:val="en-US"/>
        </w:rPr>
      </w:pPr>
    </w:p>
    <w:p w:rsidR="00F61562" w:rsidRPr="005A41E0" w:rsidRDefault="00E0071A"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The IACHR held its 157</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regular period of sessions from April 2 to 15,</w:t>
      </w:r>
      <w:r w:rsidR="006D1D56">
        <w:rPr>
          <w:rFonts w:asciiTheme="majorHAnsi" w:hAnsiTheme="majorHAnsi"/>
          <w:sz w:val="20"/>
          <w:szCs w:val="20"/>
          <w:lang w:val="en-US"/>
        </w:rPr>
        <w:t xml:space="preserve"> </w:t>
      </w:r>
      <w:r w:rsidRPr="005A41E0">
        <w:rPr>
          <w:rFonts w:asciiTheme="majorHAnsi" w:hAnsiTheme="majorHAnsi"/>
          <w:sz w:val="20"/>
          <w:szCs w:val="20"/>
          <w:lang w:val="en-US"/>
        </w:rPr>
        <w:t xml:space="preserve">2016, at its headquarters. </w:t>
      </w:r>
    </w:p>
    <w:p w:rsidR="00F61562" w:rsidRPr="005A41E0" w:rsidRDefault="00F61562" w:rsidP="005A41E0">
      <w:pPr>
        <w:shd w:val="clear" w:color="auto" w:fill="FFFFFF"/>
        <w:jc w:val="both"/>
        <w:rPr>
          <w:rFonts w:asciiTheme="majorHAnsi" w:hAnsiTheme="majorHAnsi"/>
          <w:sz w:val="20"/>
          <w:szCs w:val="20"/>
          <w:lang w:val="en-US"/>
        </w:rPr>
      </w:pPr>
    </w:p>
    <w:p w:rsidR="0048631A" w:rsidRPr="005A41E0" w:rsidRDefault="00E0071A"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The election of authorities at the beginning of the sessions resulted in the following composition of its board of officers</w:t>
      </w:r>
      <w:r w:rsidR="004523A4" w:rsidRPr="005A41E0">
        <w:rPr>
          <w:rFonts w:asciiTheme="majorHAnsi" w:hAnsiTheme="majorHAnsi" w:cs="Tahoma"/>
          <w:color w:val="333333"/>
          <w:sz w:val="20"/>
          <w:szCs w:val="20"/>
          <w:shd w:val="clear" w:color="auto" w:fill="FFFFFF"/>
          <w:lang w:val="en-US"/>
        </w:rPr>
        <w:t>:</w:t>
      </w:r>
      <w:r w:rsidR="0048631A" w:rsidRPr="005A41E0">
        <w:rPr>
          <w:rFonts w:asciiTheme="majorHAnsi" w:hAnsiTheme="majorHAnsi" w:cs="Tahoma"/>
          <w:color w:val="333333"/>
          <w:sz w:val="20"/>
          <w:szCs w:val="20"/>
          <w:shd w:val="clear" w:color="auto" w:fill="FFFFFF"/>
          <w:lang w:val="en-US"/>
        </w:rPr>
        <w:t xml:space="preserve"> James </w:t>
      </w:r>
      <w:r w:rsidR="00D60308" w:rsidRPr="005A41E0">
        <w:rPr>
          <w:rFonts w:asciiTheme="majorHAnsi" w:hAnsiTheme="majorHAnsi" w:cs="Tahoma"/>
          <w:color w:val="333333"/>
          <w:sz w:val="20"/>
          <w:szCs w:val="20"/>
          <w:shd w:val="clear" w:color="auto" w:fill="FFFFFF"/>
          <w:lang w:val="en-US"/>
        </w:rPr>
        <w:t xml:space="preserve">L. </w:t>
      </w:r>
      <w:r w:rsidR="0048631A" w:rsidRPr="005A41E0">
        <w:rPr>
          <w:rFonts w:asciiTheme="majorHAnsi" w:hAnsiTheme="majorHAnsi" w:cs="Tahoma"/>
          <w:color w:val="333333"/>
          <w:sz w:val="20"/>
          <w:szCs w:val="20"/>
          <w:shd w:val="clear" w:color="auto" w:fill="FFFFFF"/>
          <w:lang w:val="en-US"/>
        </w:rPr>
        <w:t>Cavallaro</w:t>
      </w:r>
      <w:r w:rsidR="004523A4" w:rsidRPr="005A41E0">
        <w:rPr>
          <w:rFonts w:asciiTheme="majorHAnsi" w:hAnsiTheme="majorHAnsi" w:cs="Tahoma"/>
          <w:color w:val="333333"/>
          <w:sz w:val="20"/>
          <w:szCs w:val="20"/>
          <w:shd w:val="clear" w:color="auto" w:fill="FFFFFF"/>
          <w:lang w:val="en-US"/>
        </w:rPr>
        <w:t>,</w:t>
      </w:r>
      <w:r w:rsidRPr="005A41E0">
        <w:rPr>
          <w:rFonts w:asciiTheme="majorHAnsi" w:hAnsiTheme="majorHAnsi" w:cs="Tahoma"/>
          <w:color w:val="333333"/>
          <w:sz w:val="20"/>
          <w:szCs w:val="20"/>
          <w:shd w:val="clear" w:color="auto" w:fill="FFFFFF"/>
          <w:lang w:val="en-US"/>
        </w:rPr>
        <w:t xml:space="preserve"> President</w:t>
      </w:r>
      <w:r w:rsidR="004523A4" w:rsidRPr="005A41E0">
        <w:rPr>
          <w:rFonts w:asciiTheme="majorHAnsi" w:hAnsiTheme="majorHAnsi" w:cs="Tahoma"/>
          <w:color w:val="333333"/>
          <w:sz w:val="20"/>
          <w:szCs w:val="20"/>
          <w:shd w:val="clear" w:color="auto" w:fill="FFFFFF"/>
          <w:lang w:val="en-US"/>
        </w:rPr>
        <w:t>;</w:t>
      </w:r>
      <w:r w:rsidR="0048631A" w:rsidRPr="005A41E0">
        <w:rPr>
          <w:rFonts w:asciiTheme="majorHAnsi" w:hAnsiTheme="majorHAnsi" w:cs="Tahoma"/>
          <w:sz w:val="20"/>
          <w:szCs w:val="20"/>
          <w:shd w:val="clear" w:color="auto" w:fill="FFFFFF"/>
          <w:lang w:val="en-US"/>
        </w:rPr>
        <w:t xml:space="preserve"> Francisco Eguiguren Praeli</w:t>
      </w:r>
      <w:r w:rsidR="004523A4" w:rsidRPr="005A41E0">
        <w:rPr>
          <w:rFonts w:asciiTheme="majorHAnsi" w:hAnsiTheme="majorHAnsi" w:cs="Tahoma"/>
          <w:sz w:val="20"/>
          <w:szCs w:val="20"/>
          <w:shd w:val="clear" w:color="auto" w:fill="FFFFFF"/>
          <w:lang w:val="en-US"/>
        </w:rPr>
        <w:t>,</w:t>
      </w:r>
      <w:r w:rsidR="0048631A"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First Vice President</w:t>
      </w:r>
      <w:r w:rsidR="004523A4" w:rsidRPr="005A41E0">
        <w:rPr>
          <w:rFonts w:asciiTheme="majorHAnsi" w:hAnsiTheme="majorHAnsi" w:cs="Tahoma"/>
          <w:sz w:val="20"/>
          <w:szCs w:val="20"/>
          <w:shd w:val="clear" w:color="auto" w:fill="FFFFFF"/>
          <w:lang w:val="en-US"/>
        </w:rPr>
        <w:t>;</w:t>
      </w:r>
      <w:r w:rsidR="0048631A"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 xml:space="preserve">and </w:t>
      </w:r>
      <w:r w:rsidR="0048631A" w:rsidRPr="005A41E0">
        <w:rPr>
          <w:rFonts w:asciiTheme="majorHAnsi" w:hAnsiTheme="majorHAnsi" w:cs="Tahoma"/>
          <w:sz w:val="20"/>
          <w:szCs w:val="20"/>
          <w:shd w:val="clear" w:color="auto" w:fill="FFFFFF"/>
          <w:lang w:val="en-US"/>
        </w:rPr>
        <w:t>Margarette May Macaulay</w:t>
      </w:r>
      <w:r w:rsidR="004523A4" w:rsidRPr="005A41E0">
        <w:rPr>
          <w:rFonts w:asciiTheme="majorHAnsi" w:hAnsiTheme="majorHAnsi" w:cs="Tahoma"/>
          <w:sz w:val="20"/>
          <w:szCs w:val="20"/>
          <w:shd w:val="clear" w:color="auto" w:fill="FFFFFF"/>
          <w:lang w:val="en-US"/>
        </w:rPr>
        <w:t>,</w:t>
      </w:r>
      <w:r w:rsidR="0048631A"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 xml:space="preserve">Second </w:t>
      </w:r>
      <w:r w:rsidR="0048631A" w:rsidRPr="005A41E0">
        <w:rPr>
          <w:rFonts w:asciiTheme="majorHAnsi" w:hAnsiTheme="majorHAnsi" w:cs="Tahoma"/>
          <w:sz w:val="20"/>
          <w:szCs w:val="20"/>
          <w:shd w:val="clear" w:color="auto" w:fill="FFFFFF"/>
          <w:lang w:val="en-US"/>
        </w:rPr>
        <w:t>Vice</w:t>
      </w:r>
      <w:r w:rsidRPr="005A41E0">
        <w:rPr>
          <w:rFonts w:asciiTheme="majorHAnsi" w:hAnsiTheme="majorHAnsi" w:cs="Tahoma"/>
          <w:sz w:val="20"/>
          <w:szCs w:val="20"/>
          <w:shd w:val="clear" w:color="auto" w:fill="FFFFFF"/>
          <w:lang w:val="en-US"/>
        </w:rPr>
        <w:t xml:space="preserve"> President</w:t>
      </w:r>
      <w:r w:rsidR="0048631A" w:rsidRPr="005A41E0">
        <w:rPr>
          <w:rFonts w:asciiTheme="majorHAnsi" w:hAnsiTheme="majorHAnsi" w:cs="Tahoma"/>
          <w:sz w:val="20"/>
          <w:szCs w:val="20"/>
          <w:shd w:val="clear" w:color="auto" w:fill="FFFFFF"/>
          <w:lang w:val="en-US"/>
        </w:rPr>
        <w:t>. </w:t>
      </w:r>
      <w:r w:rsidRPr="005A41E0">
        <w:rPr>
          <w:rFonts w:asciiTheme="majorHAnsi" w:hAnsiTheme="majorHAnsi" w:cs="Tahoma"/>
          <w:sz w:val="20"/>
          <w:szCs w:val="20"/>
          <w:shd w:val="clear" w:color="auto" w:fill="FFFFFF"/>
          <w:lang w:val="en-US"/>
        </w:rPr>
        <w:t>The other Commissioners are</w:t>
      </w:r>
      <w:r w:rsidR="0048631A" w:rsidRPr="005A41E0">
        <w:rPr>
          <w:rFonts w:asciiTheme="majorHAnsi" w:hAnsiTheme="majorHAnsi" w:cs="Tahoma"/>
          <w:sz w:val="20"/>
          <w:szCs w:val="20"/>
          <w:shd w:val="clear" w:color="auto" w:fill="FFFFFF"/>
          <w:lang w:val="en-US"/>
        </w:rPr>
        <w:t>: José de Jesús Orozco</w:t>
      </w:r>
      <w:r w:rsidR="000E6E39" w:rsidRPr="005A41E0">
        <w:rPr>
          <w:rFonts w:asciiTheme="majorHAnsi" w:hAnsiTheme="majorHAnsi" w:cs="Tahoma"/>
          <w:sz w:val="20"/>
          <w:szCs w:val="20"/>
          <w:shd w:val="clear" w:color="auto" w:fill="FFFFFF"/>
          <w:lang w:val="en-US"/>
        </w:rPr>
        <w:t xml:space="preserve"> Henríquez</w:t>
      </w:r>
      <w:r w:rsidR="0048631A" w:rsidRPr="005A41E0">
        <w:rPr>
          <w:rFonts w:asciiTheme="majorHAnsi" w:hAnsiTheme="majorHAnsi" w:cs="Tahoma"/>
          <w:sz w:val="20"/>
          <w:szCs w:val="20"/>
          <w:shd w:val="clear" w:color="auto" w:fill="FFFFFF"/>
          <w:lang w:val="en-US"/>
        </w:rPr>
        <w:t>, Paulo Vannuchi, Esmeralda Arosemena de Troitiño</w:t>
      </w:r>
      <w:r w:rsidRPr="005A41E0">
        <w:rPr>
          <w:rFonts w:asciiTheme="majorHAnsi" w:hAnsiTheme="majorHAnsi" w:cs="Tahoma"/>
          <w:sz w:val="20"/>
          <w:szCs w:val="20"/>
          <w:shd w:val="clear" w:color="auto" w:fill="FFFFFF"/>
          <w:lang w:val="en-US"/>
        </w:rPr>
        <w:t xml:space="preserve">, and </w:t>
      </w:r>
      <w:r w:rsidR="0048631A" w:rsidRPr="005A41E0">
        <w:rPr>
          <w:rFonts w:asciiTheme="majorHAnsi" w:hAnsiTheme="majorHAnsi" w:cs="Tahoma"/>
          <w:sz w:val="20"/>
          <w:szCs w:val="20"/>
          <w:shd w:val="clear" w:color="auto" w:fill="FFFFFF"/>
          <w:lang w:val="en-US"/>
        </w:rPr>
        <w:t>Enrique Gil Botero.</w:t>
      </w:r>
    </w:p>
    <w:p w:rsidR="0048631A" w:rsidRPr="005A41E0" w:rsidRDefault="0048631A" w:rsidP="005A41E0">
      <w:pPr>
        <w:shd w:val="clear" w:color="auto" w:fill="FFFFFF"/>
        <w:ind w:left="360"/>
        <w:jc w:val="both"/>
        <w:rPr>
          <w:rFonts w:asciiTheme="majorHAnsi" w:hAnsiTheme="majorHAnsi"/>
          <w:sz w:val="20"/>
          <w:szCs w:val="20"/>
          <w:lang w:val="en-US"/>
        </w:rPr>
      </w:pPr>
    </w:p>
    <w:p w:rsidR="0048631A" w:rsidRPr="005A41E0" w:rsidRDefault="00F61562"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D</w:t>
      </w:r>
      <w:r w:rsidR="00E0071A" w:rsidRPr="005A41E0">
        <w:rPr>
          <w:rFonts w:asciiTheme="majorHAnsi" w:hAnsiTheme="majorHAnsi"/>
          <w:sz w:val="20"/>
          <w:szCs w:val="20"/>
          <w:lang w:val="en-US"/>
        </w:rPr>
        <w:t>uring the 157</w:t>
      </w:r>
      <w:r w:rsidR="00E0071A" w:rsidRPr="005A41E0">
        <w:rPr>
          <w:rFonts w:asciiTheme="majorHAnsi" w:hAnsiTheme="majorHAnsi"/>
          <w:sz w:val="20"/>
          <w:szCs w:val="20"/>
          <w:vertAlign w:val="superscript"/>
          <w:lang w:val="en-US"/>
        </w:rPr>
        <w:t>th</w:t>
      </w:r>
      <w:r w:rsidR="00E0071A" w:rsidRPr="005A41E0">
        <w:rPr>
          <w:rFonts w:asciiTheme="majorHAnsi" w:hAnsiTheme="majorHAnsi"/>
          <w:sz w:val="20"/>
          <w:szCs w:val="20"/>
          <w:lang w:val="en-US"/>
        </w:rPr>
        <w:t xml:space="preserve"> period of sessions 49 public hearings were held, as well as 34 working meetings with states and civil society organizations.</w:t>
      </w:r>
      <w:r w:rsidR="0048631A" w:rsidRPr="005A41E0">
        <w:rPr>
          <w:rFonts w:asciiTheme="majorHAnsi" w:hAnsiTheme="majorHAnsi"/>
          <w:sz w:val="20"/>
          <w:szCs w:val="20"/>
          <w:lang w:val="en-US"/>
        </w:rPr>
        <w:t xml:space="preserve"> </w:t>
      </w:r>
    </w:p>
    <w:p w:rsidR="00010648" w:rsidRPr="005A41E0" w:rsidRDefault="00010648" w:rsidP="005A41E0">
      <w:pPr>
        <w:shd w:val="clear" w:color="auto" w:fill="FFFFFF"/>
        <w:jc w:val="both"/>
        <w:rPr>
          <w:rFonts w:asciiTheme="majorHAnsi" w:hAnsiTheme="majorHAnsi"/>
          <w:sz w:val="20"/>
          <w:szCs w:val="20"/>
          <w:lang w:val="en-US"/>
        </w:rPr>
      </w:pPr>
    </w:p>
    <w:p w:rsidR="00010648" w:rsidRPr="005A41E0" w:rsidRDefault="00E0071A" w:rsidP="006D1D56">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IACHR received information from more than 19 countries and </w:t>
      </w:r>
      <w:r w:rsidR="006D1D56">
        <w:rPr>
          <w:rFonts w:asciiTheme="majorHAnsi" w:hAnsiTheme="majorHAnsi"/>
          <w:sz w:val="20"/>
          <w:szCs w:val="20"/>
          <w:lang w:val="en-US"/>
        </w:rPr>
        <w:t xml:space="preserve">on a regional basis </w:t>
      </w:r>
      <w:r w:rsidRPr="005A41E0">
        <w:rPr>
          <w:rFonts w:asciiTheme="majorHAnsi" w:hAnsiTheme="majorHAnsi"/>
          <w:sz w:val="20"/>
          <w:szCs w:val="20"/>
          <w:lang w:val="en-US"/>
        </w:rPr>
        <w:t>on various human rights issues</w:t>
      </w:r>
      <w:r w:rsidR="00010648"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Of the </w:t>
      </w:r>
      <w:r w:rsidR="00010648" w:rsidRPr="005A41E0">
        <w:rPr>
          <w:rFonts w:asciiTheme="majorHAnsi" w:hAnsiTheme="majorHAnsi"/>
          <w:sz w:val="20"/>
          <w:szCs w:val="20"/>
          <w:lang w:val="en-US"/>
        </w:rPr>
        <w:t xml:space="preserve">49 </w:t>
      </w:r>
      <w:r w:rsidRPr="005A41E0">
        <w:rPr>
          <w:rFonts w:asciiTheme="majorHAnsi" w:hAnsiTheme="majorHAnsi"/>
          <w:sz w:val="20"/>
          <w:szCs w:val="20"/>
          <w:lang w:val="en-US"/>
        </w:rPr>
        <w:t xml:space="preserve">hearings held, seven were </w:t>
      </w:r>
      <w:r w:rsidR="006D1D56">
        <w:rPr>
          <w:rFonts w:asciiTheme="majorHAnsi" w:hAnsiTheme="majorHAnsi"/>
          <w:sz w:val="20"/>
          <w:szCs w:val="20"/>
          <w:lang w:val="en-US"/>
        </w:rPr>
        <w:t>to receive arguments from the p</w:t>
      </w:r>
      <w:r w:rsidRPr="005A41E0">
        <w:rPr>
          <w:rFonts w:asciiTheme="majorHAnsi" w:hAnsiTheme="majorHAnsi"/>
          <w:sz w:val="20"/>
          <w:szCs w:val="20"/>
          <w:lang w:val="en-US"/>
        </w:rPr>
        <w:t>a</w:t>
      </w:r>
      <w:r w:rsidR="006D1D56">
        <w:rPr>
          <w:rFonts w:asciiTheme="majorHAnsi" w:hAnsiTheme="majorHAnsi"/>
          <w:sz w:val="20"/>
          <w:szCs w:val="20"/>
          <w:lang w:val="en-US"/>
        </w:rPr>
        <w:t>r</w:t>
      </w:r>
      <w:r w:rsidRPr="005A41E0">
        <w:rPr>
          <w:rFonts w:asciiTheme="majorHAnsi" w:hAnsiTheme="majorHAnsi"/>
          <w:sz w:val="20"/>
          <w:szCs w:val="20"/>
          <w:lang w:val="en-US"/>
        </w:rPr>
        <w:t xml:space="preserve">ties on cases in the merits stage, five of which were at the request of member states, namely </w:t>
      </w:r>
      <w:r w:rsidR="00010648" w:rsidRPr="005A41E0">
        <w:rPr>
          <w:rFonts w:asciiTheme="majorHAnsi" w:hAnsiTheme="majorHAnsi"/>
          <w:sz w:val="20"/>
          <w:szCs w:val="20"/>
          <w:lang w:val="en-US"/>
        </w:rPr>
        <w:t>Bra</w:t>
      </w:r>
      <w:r w:rsidRPr="005A41E0">
        <w:rPr>
          <w:rFonts w:asciiTheme="majorHAnsi" w:hAnsiTheme="majorHAnsi"/>
          <w:sz w:val="20"/>
          <w:szCs w:val="20"/>
          <w:lang w:val="en-US"/>
        </w:rPr>
        <w:t>z</w:t>
      </w:r>
      <w:r w:rsidR="00010648" w:rsidRPr="005A41E0">
        <w:rPr>
          <w:rFonts w:asciiTheme="majorHAnsi" w:hAnsiTheme="majorHAnsi"/>
          <w:sz w:val="20"/>
          <w:szCs w:val="20"/>
          <w:lang w:val="en-US"/>
        </w:rPr>
        <w:t>il, Costa Rica, M</w:t>
      </w:r>
      <w:r w:rsidRPr="005A41E0">
        <w:rPr>
          <w:rFonts w:asciiTheme="majorHAnsi" w:hAnsiTheme="majorHAnsi"/>
          <w:sz w:val="20"/>
          <w:szCs w:val="20"/>
          <w:lang w:val="en-US"/>
        </w:rPr>
        <w:t>exico, Peru</w:t>
      </w:r>
      <w:r w:rsidR="00010648" w:rsidRPr="005A41E0">
        <w:rPr>
          <w:rFonts w:asciiTheme="majorHAnsi" w:hAnsiTheme="majorHAnsi"/>
          <w:sz w:val="20"/>
          <w:szCs w:val="20"/>
          <w:lang w:val="en-US"/>
        </w:rPr>
        <w:t>,</w:t>
      </w:r>
      <w:r w:rsidRPr="005A41E0">
        <w:rPr>
          <w:rFonts w:asciiTheme="majorHAnsi" w:hAnsiTheme="majorHAnsi"/>
          <w:sz w:val="20"/>
          <w:szCs w:val="20"/>
          <w:lang w:val="en-US"/>
        </w:rPr>
        <w:t xml:space="preserve"> and</w:t>
      </w:r>
      <w:r w:rsidR="00010648" w:rsidRPr="005A41E0">
        <w:rPr>
          <w:rFonts w:asciiTheme="majorHAnsi" w:hAnsiTheme="majorHAnsi"/>
          <w:sz w:val="20"/>
          <w:szCs w:val="20"/>
          <w:lang w:val="en-US"/>
        </w:rPr>
        <w:t xml:space="preserve"> Venezuela. </w:t>
      </w:r>
      <w:r w:rsidRPr="005A41E0">
        <w:rPr>
          <w:rFonts w:asciiTheme="majorHAnsi" w:hAnsiTheme="majorHAnsi"/>
          <w:sz w:val="20"/>
          <w:szCs w:val="20"/>
          <w:lang w:val="en-US"/>
        </w:rPr>
        <w:t xml:space="preserve">Civil society representatives requested 40 of </w:t>
      </w:r>
      <w:r w:rsidR="006D1D56">
        <w:rPr>
          <w:rFonts w:asciiTheme="majorHAnsi" w:hAnsiTheme="majorHAnsi"/>
          <w:sz w:val="20"/>
          <w:szCs w:val="20"/>
          <w:lang w:val="en-US"/>
        </w:rPr>
        <w:t>the hearings held</w:t>
      </w:r>
      <w:r w:rsidRPr="005A41E0">
        <w:rPr>
          <w:rFonts w:asciiTheme="majorHAnsi" w:hAnsiTheme="majorHAnsi"/>
          <w:sz w:val="20"/>
          <w:szCs w:val="20"/>
          <w:lang w:val="en-US"/>
        </w:rPr>
        <w:t xml:space="preserve">; and five were held at the initiative of the IACHR. </w:t>
      </w:r>
    </w:p>
    <w:p w:rsidR="00010648" w:rsidRPr="005A41E0" w:rsidRDefault="00010648" w:rsidP="005A41E0">
      <w:pPr>
        <w:shd w:val="clear" w:color="auto" w:fill="FFFFFF"/>
        <w:jc w:val="both"/>
        <w:rPr>
          <w:rFonts w:asciiTheme="majorHAnsi" w:hAnsiTheme="majorHAnsi"/>
          <w:sz w:val="20"/>
          <w:szCs w:val="20"/>
          <w:lang w:val="en-US"/>
        </w:rPr>
      </w:pPr>
    </w:p>
    <w:p w:rsidR="00F61562" w:rsidRPr="005A41E0" w:rsidRDefault="00E0071A" w:rsidP="006D1D56">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During this period of sessions, the IACHR presented five thematic reports</w:t>
      </w:r>
      <w:r w:rsidR="0048631A" w:rsidRPr="005A41E0">
        <w:rPr>
          <w:rFonts w:asciiTheme="majorHAnsi" w:hAnsiTheme="majorHAnsi"/>
          <w:sz w:val="20"/>
          <w:szCs w:val="20"/>
          <w:lang w:val="en-US"/>
        </w:rPr>
        <w:t xml:space="preserve">: </w:t>
      </w:r>
    </w:p>
    <w:p w:rsidR="00F61562" w:rsidRPr="005A41E0" w:rsidRDefault="00F61562" w:rsidP="005A41E0">
      <w:pPr>
        <w:pStyle w:val="ListParagraph"/>
        <w:shd w:val="clear" w:color="auto" w:fill="FFFFFF"/>
        <w:ind w:left="1800"/>
        <w:jc w:val="both"/>
        <w:rPr>
          <w:rFonts w:asciiTheme="majorHAnsi" w:hAnsiTheme="majorHAnsi"/>
          <w:sz w:val="20"/>
          <w:szCs w:val="20"/>
          <w:lang w:val="en-US"/>
        </w:rPr>
      </w:pPr>
    </w:p>
    <w:p w:rsidR="00F61562" w:rsidRPr="005A41E0" w:rsidRDefault="00907CE1" w:rsidP="00907CE1">
      <w:pPr>
        <w:pStyle w:val="ListParagraph"/>
        <w:numPr>
          <w:ilvl w:val="0"/>
          <w:numId w:val="23"/>
        </w:numPr>
        <w:shd w:val="clear" w:color="auto" w:fill="FFFFFF"/>
        <w:ind w:left="1080"/>
        <w:jc w:val="both"/>
        <w:rPr>
          <w:rFonts w:asciiTheme="majorHAnsi" w:hAnsiTheme="majorHAnsi" w:cs="Tahoma"/>
          <w:sz w:val="20"/>
          <w:szCs w:val="20"/>
          <w:lang w:val="en-US"/>
        </w:rPr>
      </w:pPr>
      <w:r w:rsidRPr="00907CE1">
        <w:rPr>
          <w:rFonts w:asciiTheme="majorHAnsi" w:hAnsiTheme="majorHAnsi" w:cs="Tahoma"/>
          <w:sz w:val="20"/>
          <w:szCs w:val="20"/>
          <w:lang w:val="en-US"/>
        </w:rPr>
        <w:t xml:space="preserve">Indigenous Peoples, Afro-Descendent Communities, and Natural Resources: Human Rights Protection in the Context of Extraction, Exploitation, and Development Activities </w:t>
      </w:r>
    </w:p>
    <w:p w:rsidR="00F61562" w:rsidRPr="005A41E0" w:rsidRDefault="00F61562" w:rsidP="005A41E0">
      <w:pPr>
        <w:pStyle w:val="ListParagraph"/>
        <w:shd w:val="clear" w:color="auto" w:fill="FFFFFF"/>
        <w:ind w:left="1080"/>
        <w:jc w:val="both"/>
        <w:rPr>
          <w:rFonts w:asciiTheme="majorHAnsi" w:hAnsiTheme="majorHAnsi" w:cs="Tahoma"/>
          <w:sz w:val="20"/>
          <w:szCs w:val="20"/>
          <w:lang w:val="en-US"/>
        </w:rPr>
      </w:pPr>
    </w:p>
    <w:p w:rsidR="00F61562" w:rsidRPr="005A41E0" w:rsidRDefault="00E0071A" w:rsidP="005A41E0">
      <w:pPr>
        <w:pStyle w:val="ListParagraph"/>
        <w:numPr>
          <w:ilvl w:val="0"/>
          <w:numId w:val="23"/>
        </w:numPr>
        <w:shd w:val="clear" w:color="auto" w:fill="FFFFFF"/>
        <w:ind w:left="1080"/>
        <w:jc w:val="both"/>
        <w:rPr>
          <w:rFonts w:asciiTheme="majorHAnsi" w:hAnsiTheme="majorHAnsi" w:cs="Tahoma"/>
          <w:sz w:val="20"/>
          <w:szCs w:val="20"/>
          <w:lang w:val="en-US"/>
        </w:rPr>
      </w:pPr>
      <w:r w:rsidRPr="005A41E0">
        <w:rPr>
          <w:rFonts w:asciiTheme="majorHAnsi" w:hAnsiTheme="majorHAnsi" w:cs="Tahoma"/>
          <w:sz w:val="20"/>
          <w:szCs w:val="20"/>
          <w:lang w:val="en-US"/>
        </w:rPr>
        <w:t xml:space="preserve">Violence, Children and Organized Crime </w:t>
      </w:r>
    </w:p>
    <w:p w:rsidR="00F61562" w:rsidRPr="005A41E0" w:rsidRDefault="00F61562" w:rsidP="005A41E0">
      <w:pPr>
        <w:pStyle w:val="ListParagraph"/>
        <w:shd w:val="clear" w:color="auto" w:fill="FFFFFF"/>
        <w:ind w:left="1080"/>
        <w:jc w:val="both"/>
        <w:rPr>
          <w:rFonts w:asciiTheme="majorHAnsi" w:hAnsiTheme="majorHAnsi" w:cs="Tahoma"/>
          <w:sz w:val="20"/>
          <w:szCs w:val="20"/>
          <w:lang w:val="en-US"/>
        </w:rPr>
      </w:pPr>
    </w:p>
    <w:p w:rsidR="00F61562" w:rsidRPr="005A41E0" w:rsidRDefault="00907CE1" w:rsidP="00907CE1">
      <w:pPr>
        <w:pStyle w:val="ListParagraph"/>
        <w:numPr>
          <w:ilvl w:val="0"/>
          <w:numId w:val="23"/>
        </w:numPr>
        <w:shd w:val="clear" w:color="auto" w:fill="FFFFFF"/>
        <w:ind w:left="1080"/>
        <w:jc w:val="both"/>
        <w:rPr>
          <w:rFonts w:asciiTheme="majorHAnsi" w:hAnsiTheme="majorHAnsi" w:cs="Tahoma"/>
          <w:sz w:val="20"/>
          <w:szCs w:val="20"/>
          <w:lang w:val="en-US"/>
        </w:rPr>
      </w:pPr>
      <w:r>
        <w:rPr>
          <w:rFonts w:asciiTheme="majorHAnsi" w:hAnsiTheme="majorHAnsi" w:cs="Tahoma"/>
          <w:sz w:val="20"/>
          <w:szCs w:val="20"/>
          <w:lang w:val="en-US"/>
        </w:rPr>
        <w:t xml:space="preserve">Legal Standards: General Equality and Women’s Rights </w:t>
      </w:r>
    </w:p>
    <w:p w:rsidR="00F61562" w:rsidRPr="005A41E0" w:rsidRDefault="00F61562" w:rsidP="005A41E0">
      <w:pPr>
        <w:pStyle w:val="ListParagraph"/>
        <w:shd w:val="clear" w:color="auto" w:fill="FFFFFF"/>
        <w:ind w:left="1080"/>
        <w:jc w:val="both"/>
        <w:rPr>
          <w:rFonts w:asciiTheme="majorHAnsi" w:hAnsiTheme="majorHAnsi" w:cs="Tahoma"/>
          <w:sz w:val="20"/>
          <w:szCs w:val="20"/>
          <w:lang w:val="en-US"/>
        </w:rPr>
      </w:pPr>
    </w:p>
    <w:p w:rsidR="00F61562" w:rsidRPr="005A41E0" w:rsidRDefault="00907CE1" w:rsidP="00907CE1">
      <w:pPr>
        <w:pStyle w:val="ListParagraph"/>
        <w:numPr>
          <w:ilvl w:val="0"/>
          <w:numId w:val="23"/>
        </w:numPr>
        <w:shd w:val="clear" w:color="auto" w:fill="FFFFFF"/>
        <w:ind w:left="1080"/>
        <w:jc w:val="both"/>
        <w:rPr>
          <w:rFonts w:asciiTheme="majorHAnsi" w:hAnsiTheme="majorHAnsi" w:cs="Tahoma"/>
          <w:sz w:val="20"/>
          <w:szCs w:val="20"/>
          <w:lang w:val="en-US"/>
        </w:rPr>
      </w:pPr>
      <w:r>
        <w:rPr>
          <w:rFonts w:asciiTheme="majorHAnsi" w:hAnsiTheme="majorHAnsi" w:cs="Tahoma"/>
          <w:sz w:val="20"/>
          <w:szCs w:val="20"/>
          <w:lang w:val="en-US"/>
        </w:rPr>
        <w:t xml:space="preserve">Violence against Lesbian, Gay, Bisexual, Trans, and Intersex (LGBTI) Persons </w:t>
      </w:r>
      <w:r w:rsidR="0048631A" w:rsidRPr="005A41E0">
        <w:rPr>
          <w:rFonts w:asciiTheme="majorHAnsi" w:hAnsiTheme="majorHAnsi" w:cs="Tahoma"/>
          <w:sz w:val="20"/>
          <w:szCs w:val="20"/>
          <w:lang w:val="en-US"/>
        </w:rPr>
        <w:t xml:space="preserve"> </w:t>
      </w:r>
      <w:r>
        <w:rPr>
          <w:rFonts w:asciiTheme="majorHAnsi" w:hAnsiTheme="majorHAnsi" w:cs="Tahoma"/>
          <w:sz w:val="20"/>
          <w:szCs w:val="20"/>
          <w:lang w:val="en-US"/>
        </w:rPr>
        <w:t xml:space="preserve">in the Americas </w:t>
      </w:r>
    </w:p>
    <w:p w:rsidR="00F61562" w:rsidRPr="005A41E0" w:rsidRDefault="00F61562" w:rsidP="005A41E0">
      <w:pPr>
        <w:pStyle w:val="ListParagraph"/>
        <w:shd w:val="clear" w:color="auto" w:fill="FFFFFF"/>
        <w:ind w:left="1080"/>
        <w:jc w:val="both"/>
        <w:rPr>
          <w:rFonts w:asciiTheme="majorHAnsi" w:hAnsiTheme="majorHAnsi" w:cs="Tahoma"/>
          <w:sz w:val="20"/>
          <w:szCs w:val="20"/>
          <w:lang w:val="en-US"/>
        </w:rPr>
      </w:pPr>
    </w:p>
    <w:p w:rsidR="0048631A" w:rsidRPr="005A41E0" w:rsidRDefault="00E0071A" w:rsidP="005A41E0">
      <w:pPr>
        <w:pStyle w:val="ListParagraph"/>
        <w:numPr>
          <w:ilvl w:val="0"/>
          <w:numId w:val="23"/>
        </w:numPr>
        <w:shd w:val="clear" w:color="auto" w:fill="FFFFFF"/>
        <w:ind w:left="1080"/>
        <w:jc w:val="both"/>
        <w:rPr>
          <w:rFonts w:asciiTheme="majorHAnsi" w:hAnsiTheme="majorHAnsi" w:cs="Tahoma"/>
          <w:sz w:val="20"/>
          <w:szCs w:val="20"/>
          <w:lang w:val="en-US"/>
        </w:rPr>
      </w:pPr>
      <w:r w:rsidRPr="005A41E0">
        <w:rPr>
          <w:rFonts w:asciiTheme="majorHAnsi" w:hAnsiTheme="majorHAnsi" w:cs="Tahoma"/>
          <w:sz w:val="20"/>
          <w:szCs w:val="20"/>
          <w:lang w:val="en-US"/>
        </w:rPr>
        <w:t xml:space="preserve">Criminalization of Human Rights Defenders </w:t>
      </w:r>
    </w:p>
    <w:p w:rsidR="00F61562" w:rsidRPr="005A41E0" w:rsidRDefault="00F61562" w:rsidP="005A41E0">
      <w:pPr>
        <w:pStyle w:val="ListParagraph"/>
        <w:shd w:val="clear" w:color="auto" w:fill="FFFFFF"/>
        <w:ind w:left="1800"/>
        <w:jc w:val="both"/>
        <w:rPr>
          <w:rFonts w:asciiTheme="majorHAnsi" w:hAnsiTheme="majorHAnsi" w:cs="Tahoma"/>
          <w:sz w:val="20"/>
          <w:szCs w:val="20"/>
          <w:lang w:val="en-US"/>
        </w:rPr>
      </w:pPr>
    </w:p>
    <w:p w:rsidR="0048631A" w:rsidRPr="005A41E0" w:rsidRDefault="00907CE1" w:rsidP="00907CE1">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The IACHR had more than seven millions views through social networks and the live broadcast of its hearings. </w:t>
      </w:r>
      <w:r w:rsidR="00E0071A" w:rsidRPr="005A41E0">
        <w:rPr>
          <w:rFonts w:asciiTheme="majorHAnsi" w:hAnsiTheme="majorHAnsi"/>
          <w:sz w:val="20"/>
          <w:szCs w:val="20"/>
          <w:lang w:val="en-US"/>
        </w:rPr>
        <w:t xml:space="preserve">The IACHR is grateful for and values the public’s growing interest in human rights in the region and the mechanisms of the inter-American system. </w:t>
      </w:r>
    </w:p>
    <w:p w:rsidR="0048631A" w:rsidRPr="005A41E0" w:rsidRDefault="0048631A" w:rsidP="005A41E0">
      <w:pPr>
        <w:shd w:val="clear" w:color="auto" w:fill="FFFFFF"/>
        <w:ind w:left="360"/>
        <w:jc w:val="both"/>
        <w:rPr>
          <w:rFonts w:asciiTheme="majorHAnsi" w:hAnsiTheme="majorHAnsi"/>
          <w:sz w:val="20"/>
          <w:szCs w:val="20"/>
          <w:lang w:val="en-US"/>
        </w:rPr>
      </w:pPr>
    </w:p>
    <w:p w:rsidR="00214C26" w:rsidRPr="005A41E0" w:rsidRDefault="00A476F8" w:rsidP="00907CE1">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IACHR appreciates the participation of agencies of the United Nations during the period of sessions and highlights the importance of the work of the </w:t>
      </w:r>
      <w:r w:rsidR="00555356" w:rsidRPr="005A41E0">
        <w:rPr>
          <w:rFonts w:asciiTheme="majorHAnsi" w:hAnsiTheme="majorHAnsi"/>
          <w:sz w:val="20"/>
          <w:szCs w:val="20"/>
          <w:lang w:val="en-US"/>
        </w:rPr>
        <w:t xml:space="preserve">universal </w:t>
      </w:r>
      <w:r w:rsidRPr="005A41E0">
        <w:rPr>
          <w:rFonts w:asciiTheme="majorHAnsi" w:hAnsiTheme="majorHAnsi"/>
          <w:sz w:val="20"/>
          <w:szCs w:val="20"/>
          <w:lang w:val="en-US"/>
        </w:rPr>
        <w:t xml:space="preserve">and </w:t>
      </w:r>
      <w:r w:rsidR="00555356" w:rsidRPr="005A41E0">
        <w:rPr>
          <w:rFonts w:asciiTheme="majorHAnsi" w:hAnsiTheme="majorHAnsi"/>
          <w:sz w:val="20"/>
          <w:szCs w:val="20"/>
          <w:lang w:val="en-US"/>
        </w:rPr>
        <w:t>regional</w:t>
      </w:r>
      <w:r w:rsidR="0048631A"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systems for promoting and protecting human rights more effectively in the Americas. </w:t>
      </w:r>
      <w:r w:rsidR="00907CE1">
        <w:rPr>
          <w:rFonts w:asciiTheme="majorHAnsi" w:hAnsiTheme="majorHAnsi"/>
          <w:sz w:val="20"/>
          <w:szCs w:val="20"/>
          <w:lang w:val="en-US"/>
        </w:rPr>
        <w:t>S</w:t>
      </w:r>
      <w:r w:rsidR="00907CE1" w:rsidRPr="005A41E0">
        <w:rPr>
          <w:rFonts w:asciiTheme="majorHAnsi" w:hAnsiTheme="majorHAnsi"/>
          <w:sz w:val="20"/>
          <w:szCs w:val="20"/>
          <w:lang w:val="en-US"/>
        </w:rPr>
        <w:t xml:space="preserve">everal United Nations rapporteurs participated </w:t>
      </w:r>
      <w:r w:rsidR="00907CE1">
        <w:rPr>
          <w:rFonts w:asciiTheme="majorHAnsi" w:hAnsiTheme="majorHAnsi"/>
          <w:sz w:val="20"/>
          <w:szCs w:val="20"/>
          <w:lang w:val="en-US"/>
        </w:rPr>
        <w:t xml:space="preserve">in the </w:t>
      </w:r>
      <w:r w:rsidRPr="005A41E0">
        <w:rPr>
          <w:rFonts w:asciiTheme="majorHAnsi" w:hAnsiTheme="majorHAnsi"/>
          <w:sz w:val="20"/>
          <w:szCs w:val="20"/>
          <w:lang w:val="en-US"/>
        </w:rPr>
        <w:t>157</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w:t>
      </w:r>
      <w:r w:rsidR="00214C26" w:rsidRPr="005A41E0">
        <w:rPr>
          <w:rFonts w:asciiTheme="majorHAnsi" w:hAnsiTheme="majorHAnsi"/>
          <w:sz w:val="20"/>
          <w:szCs w:val="20"/>
          <w:lang w:val="en-US"/>
        </w:rPr>
        <w:t>:</w:t>
      </w:r>
    </w:p>
    <w:p w:rsidR="00214C26" w:rsidRPr="005A41E0" w:rsidRDefault="00214C26" w:rsidP="005A41E0">
      <w:pPr>
        <w:shd w:val="clear" w:color="auto" w:fill="FFFFFF"/>
        <w:jc w:val="both"/>
        <w:rPr>
          <w:rFonts w:asciiTheme="majorHAnsi" w:hAnsiTheme="majorHAnsi"/>
          <w:sz w:val="20"/>
          <w:szCs w:val="20"/>
          <w:lang w:val="en-US"/>
        </w:rPr>
      </w:pPr>
    </w:p>
    <w:p w:rsidR="00214C26" w:rsidRPr="005A41E0" w:rsidRDefault="00A476F8" w:rsidP="00907CE1">
      <w:pPr>
        <w:pStyle w:val="ListParagraph"/>
        <w:numPr>
          <w:ilvl w:val="0"/>
          <w:numId w:val="21"/>
        </w:numPr>
        <w:shd w:val="clear" w:color="auto" w:fill="FFFFFF"/>
        <w:ind w:left="1080"/>
        <w:jc w:val="both"/>
        <w:rPr>
          <w:rFonts w:asciiTheme="majorHAnsi" w:hAnsiTheme="majorHAnsi"/>
          <w:sz w:val="20"/>
          <w:szCs w:val="20"/>
          <w:lang w:val="en-US"/>
        </w:rPr>
      </w:pPr>
      <w:r w:rsidRPr="005A41E0">
        <w:rPr>
          <w:rFonts w:asciiTheme="majorHAnsi" w:hAnsiTheme="majorHAnsi"/>
          <w:sz w:val="20"/>
          <w:szCs w:val="20"/>
          <w:lang w:val="en-US"/>
        </w:rPr>
        <w:t xml:space="preserve">Regional civil society consultation organized jointly by the Office of the High Commissioner for Human Rights, the Inter-American Court, and the IACHR. The session was </w:t>
      </w:r>
      <w:r w:rsidR="00907CE1">
        <w:rPr>
          <w:rFonts w:asciiTheme="majorHAnsi" w:hAnsiTheme="majorHAnsi"/>
          <w:sz w:val="20"/>
          <w:szCs w:val="20"/>
          <w:lang w:val="en-US"/>
        </w:rPr>
        <w:t xml:space="preserve">opened </w:t>
      </w:r>
      <w:r w:rsidRPr="005A41E0">
        <w:rPr>
          <w:rFonts w:asciiTheme="majorHAnsi" w:hAnsiTheme="majorHAnsi"/>
          <w:sz w:val="20"/>
          <w:szCs w:val="20"/>
          <w:lang w:val="en-US"/>
        </w:rPr>
        <w:t xml:space="preserve">by </w:t>
      </w:r>
      <w:r w:rsidR="00214C26" w:rsidRPr="005A41E0">
        <w:rPr>
          <w:rFonts w:asciiTheme="majorHAnsi" w:hAnsiTheme="majorHAnsi"/>
          <w:sz w:val="20"/>
          <w:szCs w:val="20"/>
          <w:lang w:val="en-US"/>
        </w:rPr>
        <w:t xml:space="preserve">Ivan Šimonović, </w:t>
      </w:r>
      <w:r w:rsidRPr="005A41E0">
        <w:rPr>
          <w:rFonts w:asciiTheme="majorHAnsi" w:hAnsiTheme="majorHAnsi"/>
          <w:sz w:val="20"/>
          <w:szCs w:val="20"/>
          <w:lang w:val="en-US"/>
        </w:rPr>
        <w:t>United Nations Deputy Secretary</w:t>
      </w:r>
      <w:r w:rsidR="00214C26" w:rsidRPr="005A41E0">
        <w:rPr>
          <w:rFonts w:asciiTheme="majorHAnsi" w:hAnsiTheme="majorHAnsi"/>
          <w:sz w:val="20"/>
          <w:szCs w:val="20"/>
          <w:lang w:val="en-US"/>
        </w:rPr>
        <w:t xml:space="preserve"> General </w:t>
      </w:r>
      <w:r w:rsidR="00907CE1">
        <w:rPr>
          <w:rFonts w:asciiTheme="majorHAnsi" w:hAnsiTheme="majorHAnsi"/>
          <w:sz w:val="20"/>
          <w:szCs w:val="20"/>
          <w:lang w:val="en-US"/>
        </w:rPr>
        <w:t>for Human Rights;</w:t>
      </w:r>
      <w:r w:rsidRPr="005A41E0">
        <w:rPr>
          <w:rFonts w:asciiTheme="majorHAnsi" w:hAnsiTheme="majorHAnsi"/>
          <w:sz w:val="20"/>
          <w:szCs w:val="20"/>
          <w:lang w:val="en-US"/>
        </w:rPr>
        <w:t xml:space="preserve"> the Vice President of the Inter-American </w:t>
      </w:r>
      <w:r w:rsidR="00907CE1">
        <w:rPr>
          <w:rFonts w:asciiTheme="majorHAnsi" w:hAnsiTheme="majorHAnsi"/>
          <w:sz w:val="20"/>
          <w:szCs w:val="20"/>
          <w:lang w:val="en-US"/>
        </w:rPr>
        <w:t>Court, Eduardo Ferrer MacGregor;</w:t>
      </w:r>
      <w:r w:rsidRPr="005A41E0">
        <w:rPr>
          <w:rFonts w:asciiTheme="majorHAnsi" w:hAnsiTheme="majorHAnsi"/>
          <w:sz w:val="20"/>
          <w:szCs w:val="20"/>
          <w:lang w:val="en-US"/>
        </w:rPr>
        <w:t xml:space="preserve"> and the President of the IACHR, </w:t>
      </w:r>
      <w:r w:rsidR="00214C26" w:rsidRPr="005A41E0">
        <w:rPr>
          <w:rFonts w:asciiTheme="majorHAnsi" w:hAnsiTheme="majorHAnsi"/>
          <w:sz w:val="20"/>
          <w:szCs w:val="20"/>
          <w:lang w:val="en-US"/>
        </w:rPr>
        <w:t>Jame</w:t>
      </w:r>
      <w:r w:rsidR="004523A4" w:rsidRPr="005A41E0">
        <w:rPr>
          <w:rFonts w:asciiTheme="majorHAnsi" w:hAnsiTheme="majorHAnsi"/>
          <w:sz w:val="20"/>
          <w:szCs w:val="20"/>
          <w:lang w:val="en-US"/>
        </w:rPr>
        <w:t xml:space="preserve">s Cavallaro. </w:t>
      </w:r>
      <w:r w:rsidRPr="005A41E0">
        <w:rPr>
          <w:rFonts w:asciiTheme="majorHAnsi" w:hAnsiTheme="majorHAnsi"/>
          <w:sz w:val="20"/>
          <w:szCs w:val="20"/>
          <w:lang w:val="en-US"/>
        </w:rPr>
        <w:t xml:space="preserve">This activity included the participation of more than </w:t>
      </w:r>
      <w:r w:rsidR="00214C26" w:rsidRPr="005A41E0">
        <w:rPr>
          <w:rFonts w:asciiTheme="majorHAnsi" w:hAnsiTheme="majorHAnsi"/>
          <w:sz w:val="20"/>
          <w:szCs w:val="20"/>
          <w:lang w:val="en-US"/>
        </w:rPr>
        <w:t xml:space="preserve">80 </w:t>
      </w:r>
      <w:r w:rsidRPr="005A41E0">
        <w:rPr>
          <w:rFonts w:asciiTheme="majorHAnsi" w:hAnsiTheme="majorHAnsi"/>
          <w:sz w:val="20"/>
          <w:szCs w:val="20"/>
          <w:lang w:val="en-US"/>
        </w:rPr>
        <w:t xml:space="preserve">organizations of human rights defenders, as well as United Nations special rapporteurs such as </w:t>
      </w:r>
      <w:r w:rsidR="004523A4" w:rsidRPr="005A41E0">
        <w:rPr>
          <w:rFonts w:asciiTheme="majorHAnsi" w:hAnsiTheme="majorHAnsi"/>
          <w:sz w:val="20"/>
          <w:szCs w:val="20"/>
          <w:lang w:val="en-US"/>
        </w:rPr>
        <w:t xml:space="preserve">Dubravka Šimonović, </w:t>
      </w:r>
      <w:r w:rsidRPr="005A41E0">
        <w:rPr>
          <w:rFonts w:asciiTheme="majorHAnsi" w:hAnsiTheme="majorHAnsi"/>
          <w:sz w:val="20"/>
          <w:szCs w:val="20"/>
          <w:lang w:val="en-US"/>
        </w:rPr>
        <w:t xml:space="preserve">Rapporteur on violence against women; </w:t>
      </w:r>
      <w:r w:rsidR="00214C26" w:rsidRPr="005A41E0">
        <w:rPr>
          <w:rFonts w:asciiTheme="majorHAnsi" w:hAnsiTheme="majorHAnsi"/>
          <w:sz w:val="20"/>
          <w:szCs w:val="20"/>
          <w:lang w:val="en-US"/>
        </w:rPr>
        <w:t xml:space="preserve">Juan Méndez, </w:t>
      </w:r>
      <w:r w:rsidRPr="005A41E0">
        <w:rPr>
          <w:rFonts w:asciiTheme="majorHAnsi" w:hAnsiTheme="majorHAnsi"/>
          <w:sz w:val="20"/>
          <w:szCs w:val="20"/>
          <w:lang w:val="en-US"/>
        </w:rPr>
        <w:t>Special Rapporteur on torture and</w:t>
      </w:r>
      <w:r w:rsidR="00907CE1">
        <w:rPr>
          <w:rFonts w:asciiTheme="majorHAnsi" w:hAnsiTheme="majorHAnsi"/>
          <w:sz w:val="20"/>
          <w:szCs w:val="20"/>
          <w:lang w:val="en-US"/>
        </w:rPr>
        <w:t xml:space="preserve"> other cruel, inhuman or degrad</w:t>
      </w:r>
      <w:r w:rsidRPr="005A41E0">
        <w:rPr>
          <w:rFonts w:asciiTheme="majorHAnsi" w:hAnsiTheme="majorHAnsi"/>
          <w:sz w:val="20"/>
          <w:szCs w:val="20"/>
          <w:lang w:val="en-US"/>
        </w:rPr>
        <w:t xml:space="preserve">ing treatment or punishment; </w:t>
      </w:r>
      <w:r w:rsidR="00214C26" w:rsidRPr="005A41E0">
        <w:rPr>
          <w:rFonts w:asciiTheme="majorHAnsi" w:hAnsiTheme="majorHAnsi"/>
          <w:sz w:val="20"/>
          <w:szCs w:val="20"/>
          <w:lang w:val="en-US"/>
        </w:rPr>
        <w:t xml:space="preserve">Mónica Pinto, </w:t>
      </w:r>
      <w:r w:rsidRPr="005A41E0">
        <w:rPr>
          <w:rFonts w:asciiTheme="majorHAnsi" w:hAnsiTheme="majorHAnsi"/>
          <w:sz w:val="20"/>
          <w:szCs w:val="20"/>
          <w:lang w:val="en-US"/>
        </w:rPr>
        <w:t>Special Rapporteur on the independence of judges and lawyers</w:t>
      </w:r>
      <w:r w:rsidR="00214C26" w:rsidRPr="005A41E0">
        <w:rPr>
          <w:rFonts w:asciiTheme="majorHAnsi" w:hAnsiTheme="majorHAnsi"/>
          <w:sz w:val="20"/>
          <w:szCs w:val="20"/>
          <w:lang w:val="en-US"/>
        </w:rPr>
        <w:t xml:space="preserve">; Michel Forst, </w:t>
      </w:r>
      <w:r w:rsidRPr="005A41E0">
        <w:rPr>
          <w:rFonts w:asciiTheme="majorHAnsi" w:hAnsiTheme="majorHAnsi"/>
          <w:sz w:val="20"/>
          <w:szCs w:val="20"/>
          <w:lang w:val="en-US"/>
        </w:rPr>
        <w:t xml:space="preserve">Special Rapporteur on the situation of human rights defenders; and </w:t>
      </w:r>
      <w:r w:rsidR="00214C26" w:rsidRPr="005A41E0">
        <w:rPr>
          <w:rFonts w:asciiTheme="majorHAnsi" w:hAnsiTheme="majorHAnsi"/>
          <w:sz w:val="20"/>
          <w:szCs w:val="20"/>
          <w:lang w:val="en-US"/>
        </w:rPr>
        <w:t xml:space="preserve">Ariel Dulitzky, </w:t>
      </w:r>
      <w:r w:rsidRPr="005A41E0">
        <w:rPr>
          <w:rFonts w:asciiTheme="majorHAnsi" w:hAnsiTheme="majorHAnsi"/>
          <w:sz w:val="20"/>
          <w:szCs w:val="20"/>
          <w:lang w:val="en-US"/>
        </w:rPr>
        <w:t>member of the Working Group on Enforced or Involuntary Disappearances</w:t>
      </w:r>
      <w:r w:rsidR="00214C26" w:rsidRPr="005A41E0">
        <w:rPr>
          <w:rFonts w:asciiTheme="majorHAnsi" w:hAnsiTheme="majorHAnsi"/>
          <w:sz w:val="20"/>
          <w:szCs w:val="20"/>
          <w:lang w:val="en-US"/>
        </w:rPr>
        <w:t>.</w:t>
      </w:r>
      <w:r w:rsidRPr="005A41E0">
        <w:rPr>
          <w:rFonts w:asciiTheme="majorHAnsi" w:hAnsiTheme="majorHAnsi"/>
          <w:sz w:val="20"/>
          <w:szCs w:val="20"/>
          <w:lang w:val="en-US"/>
        </w:rPr>
        <w:t xml:space="preserve"> </w:t>
      </w:r>
    </w:p>
    <w:p w:rsidR="00BD4888" w:rsidRPr="005A41E0" w:rsidRDefault="00BD4888" w:rsidP="005A41E0">
      <w:pPr>
        <w:pStyle w:val="ListParagraph"/>
        <w:shd w:val="clear" w:color="auto" w:fill="FFFFFF"/>
        <w:ind w:left="1080"/>
        <w:jc w:val="both"/>
        <w:rPr>
          <w:rFonts w:asciiTheme="majorHAnsi" w:hAnsiTheme="majorHAnsi"/>
          <w:sz w:val="20"/>
          <w:szCs w:val="20"/>
          <w:lang w:val="en-US"/>
        </w:rPr>
      </w:pPr>
    </w:p>
    <w:p w:rsidR="00214C26" w:rsidRPr="005A41E0" w:rsidRDefault="00A476F8" w:rsidP="00C42082">
      <w:pPr>
        <w:pStyle w:val="ListParagraph"/>
        <w:numPr>
          <w:ilvl w:val="0"/>
          <w:numId w:val="21"/>
        </w:numPr>
        <w:shd w:val="clear" w:color="auto" w:fill="FFFFFF"/>
        <w:ind w:left="1080"/>
        <w:jc w:val="both"/>
        <w:rPr>
          <w:rFonts w:asciiTheme="majorHAnsi" w:hAnsiTheme="majorHAnsi"/>
          <w:sz w:val="20"/>
          <w:szCs w:val="20"/>
          <w:lang w:val="en-US"/>
        </w:rPr>
      </w:pPr>
      <w:r w:rsidRPr="005A41E0">
        <w:rPr>
          <w:rFonts w:asciiTheme="majorHAnsi" w:hAnsiTheme="majorHAnsi"/>
          <w:sz w:val="20"/>
          <w:szCs w:val="20"/>
          <w:lang w:val="en-US"/>
        </w:rPr>
        <w:lastRenderedPageBreak/>
        <w:t xml:space="preserve">Meeting with a delegation of the Office of the High Commissioner for Human Rights led by </w:t>
      </w:r>
      <w:r w:rsidR="00BD4888" w:rsidRPr="005A41E0">
        <w:rPr>
          <w:rFonts w:asciiTheme="majorHAnsi" w:hAnsiTheme="majorHAnsi"/>
          <w:sz w:val="20"/>
          <w:szCs w:val="20"/>
          <w:lang w:val="en-US"/>
        </w:rPr>
        <w:t>Iván</w:t>
      </w:r>
      <w:r w:rsidR="001F1FF2" w:rsidRPr="005A41E0">
        <w:rPr>
          <w:rFonts w:asciiTheme="majorHAnsi" w:hAnsiTheme="majorHAnsi"/>
          <w:sz w:val="20"/>
          <w:szCs w:val="20"/>
          <w:lang w:val="en-US"/>
        </w:rPr>
        <w:t xml:space="preserve"> Šimonović</w:t>
      </w:r>
      <w:r w:rsidRPr="005A41E0">
        <w:rPr>
          <w:rFonts w:asciiTheme="majorHAnsi" w:hAnsiTheme="majorHAnsi"/>
          <w:sz w:val="20"/>
          <w:szCs w:val="20"/>
          <w:lang w:val="en-US"/>
        </w:rPr>
        <w:t xml:space="preserve"> and made up of </w:t>
      </w:r>
      <w:r w:rsidR="00BD4888" w:rsidRPr="005A41E0">
        <w:rPr>
          <w:rFonts w:asciiTheme="majorHAnsi" w:hAnsiTheme="majorHAnsi"/>
          <w:sz w:val="20"/>
          <w:szCs w:val="20"/>
          <w:lang w:val="en-US"/>
        </w:rPr>
        <w:t>Ame</w:t>
      </w:r>
      <w:r w:rsidRPr="005A41E0">
        <w:rPr>
          <w:rFonts w:asciiTheme="majorHAnsi" w:hAnsiTheme="majorHAnsi"/>
          <w:sz w:val="20"/>
          <w:szCs w:val="20"/>
          <w:lang w:val="en-US"/>
        </w:rPr>
        <w:t>rigo Incalcaterra, Representati</w:t>
      </w:r>
      <w:r w:rsidR="00C42082">
        <w:rPr>
          <w:rFonts w:asciiTheme="majorHAnsi" w:hAnsiTheme="majorHAnsi"/>
          <w:sz w:val="20"/>
          <w:szCs w:val="20"/>
          <w:lang w:val="en-US"/>
        </w:rPr>
        <w:t>v</w:t>
      </w:r>
      <w:r w:rsidRPr="005A41E0">
        <w:rPr>
          <w:rFonts w:asciiTheme="majorHAnsi" w:hAnsiTheme="majorHAnsi"/>
          <w:sz w:val="20"/>
          <w:szCs w:val="20"/>
          <w:lang w:val="en-US"/>
        </w:rPr>
        <w:t xml:space="preserve">e of the Regional Office for South America, and </w:t>
      </w:r>
      <w:r w:rsidR="00BD4888" w:rsidRPr="005A41E0">
        <w:rPr>
          <w:rFonts w:asciiTheme="majorHAnsi" w:hAnsiTheme="majorHAnsi"/>
          <w:sz w:val="20"/>
          <w:szCs w:val="20"/>
          <w:lang w:val="en-US"/>
        </w:rPr>
        <w:t xml:space="preserve">Vladlen </w:t>
      </w:r>
      <w:r w:rsidR="001F1FF2" w:rsidRPr="005A41E0">
        <w:rPr>
          <w:rFonts w:asciiTheme="majorHAnsi" w:hAnsiTheme="majorHAnsi"/>
          <w:sz w:val="20"/>
          <w:szCs w:val="20"/>
          <w:lang w:val="en-US"/>
        </w:rPr>
        <w:t xml:space="preserve">Stefanov, </w:t>
      </w:r>
      <w:r w:rsidRPr="005A41E0">
        <w:rPr>
          <w:rFonts w:asciiTheme="majorHAnsi" w:hAnsiTheme="majorHAnsi"/>
          <w:sz w:val="20"/>
          <w:szCs w:val="20"/>
          <w:lang w:val="en-US"/>
        </w:rPr>
        <w:t xml:space="preserve">Chief of the </w:t>
      </w:r>
      <w:r w:rsidR="00C42082" w:rsidRPr="00C42082">
        <w:rPr>
          <w:rFonts w:asciiTheme="majorHAnsi" w:hAnsiTheme="majorHAnsi"/>
          <w:sz w:val="20"/>
          <w:szCs w:val="20"/>
          <w:lang w:val="en-US"/>
        </w:rPr>
        <w:t>National Institutions, Regional Mechanisms and Civil Society Section</w:t>
      </w:r>
      <w:r w:rsidR="00BD4888"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as well as human rights officers </w:t>
      </w:r>
      <w:r w:rsidR="00BD4888" w:rsidRPr="005A41E0">
        <w:rPr>
          <w:rFonts w:asciiTheme="majorHAnsi" w:hAnsiTheme="majorHAnsi"/>
          <w:sz w:val="20"/>
          <w:szCs w:val="20"/>
          <w:lang w:val="en-US"/>
        </w:rPr>
        <w:t xml:space="preserve">Claudia Gerez </w:t>
      </w:r>
      <w:r w:rsidRPr="005A41E0">
        <w:rPr>
          <w:rFonts w:asciiTheme="majorHAnsi" w:hAnsiTheme="majorHAnsi"/>
          <w:sz w:val="20"/>
          <w:szCs w:val="20"/>
          <w:lang w:val="en-US"/>
        </w:rPr>
        <w:t xml:space="preserve">and </w:t>
      </w:r>
      <w:r w:rsidR="00BD4888" w:rsidRPr="005A41E0">
        <w:rPr>
          <w:rFonts w:asciiTheme="majorHAnsi" w:hAnsiTheme="majorHAnsi"/>
          <w:sz w:val="20"/>
          <w:szCs w:val="20"/>
          <w:lang w:val="en-US"/>
        </w:rPr>
        <w:t xml:space="preserve">Liza Sekaggya. </w:t>
      </w:r>
      <w:r w:rsidRPr="005A41E0">
        <w:rPr>
          <w:rFonts w:asciiTheme="majorHAnsi" w:hAnsiTheme="majorHAnsi"/>
          <w:sz w:val="20"/>
          <w:szCs w:val="20"/>
          <w:lang w:val="en-US"/>
        </w:rPr>
        <w:t>That meeting was held following up on the jo</w:t>
      </w:r>
      <w:r w:rsidR="00C42082">
        <w:rPr>
          <w:rFonts w:asciiTheme="majorHAnsi" w:hAnsiTheme="majorHAnsi"/>
          <w:sz w:val="20"/>
          <w:szCs w:val="20"/>
          <w:lang w:val="en-US"/>
        </w:rPr>
        <w:t xml:space="preserve">int declaration of cooperation </w:t>
      </w:r>
      <w:r w:rsidRPr="005A41E0">
        <w:rPr>
          <w:rFonts w:asciiTheme="majorHAnsi" w:hAnsiTheme="majorHAnsi"/>
          <w:sz w:val="20"/>
          <w:szCs w:val="20"/>
          <w:lang w:val="en-US"/>
        </w:rPr>
        <w:t xml:space="preserve">signed in </w:t>
      </w:r>
      <w:r w:rsidR="00BD4888" w:rsidRPr="005A41E0">
        <w:rPr>
          <w:rFonts w:asciiTheme="majorHAnsi" w:hAnsiTheme="majorHAnsi"/>
          <w:sz w:val="20"/>
          <w:szCs w:val="20"/>
          <w:lang w:val="en-US"/>
        </w:rPr>
        <w:t>2014.</w:t>
      </w:r>
    </w:p>
    <w:p w:rsidR="00BD4888" w:rsidRPr="005A41E0" w:rsidRDefault="00BD4888" w:rsidP="005A41E0">
      <w:pPr>
        <w:shd w:val="clear" w:color="auto" w:fill="FFFFFF"/>
        <w:ind w:left="1080"/>
        <w:jc w:val="both"/>
        <w:rPr>
          <w:rFonts w:asciiTheme="majorHAnsi" w:hAnsiTheme="majorHAnsi"/>
          <w:sz w:val="20"/>
          <w:szCs w:val="20"/>
          <w:lang w:val="en-US"/>
        </w:rPr>
      </w:pPr>
    </w:p>
    <w:p w:rsidR="00BD4888" w:rsidRPr="005A41E0" w:rsidRDefault="00A476F8" w:rsidP="00C42082">
      <w:pPr>
        <w:pStyle w:val="ListParagraph"/>
        <w:numPr>
          <w:ilvl w:val="0"/>
          <w:numId w:val="21"/>
        </w:numPr>
        <w:shd w:val="clear" w:color="auto" w:fill="FFFFFF"/>
        <w:ind w:left="1080"/>
        <w:jc w:val="both"/>
        <w:rPr>
          <w:rFonts w:asciiTheme="majorHAnsi" w:hAnsiTheme="majorHAnsi"/>
          <w:sz w:val="20"/>
          <w:szCs w:val="20"/>
          <w:lang w:val="en-US"/>
        </w:rPr>
      </w:pPr>
      <w:r w:rsidRPr="005A41E0">
        <w:rPr>
          <w:rFonts w:asciiTheme="majorHAnsi" w:hAnsiTheme="majorHAnsi"/>
          <w:sz w:val="20"/>
          <w:szCs w:val="20"/>
          <w:lang w:val="en-US"/>
        </w:rPr>
        <w:t>Dialogue on fiscal policy and human rights in times of austerity, attended</w:t>
      </w:r>
      <w:r w:rsidR="00C42082">
        <w:rPr>
          <w:rFonts w:asciiTheme="majorHAnsi" w:hAnsiTheme="majorHAnsi"/>
          <w:sz w:val="20"/>
          <w:szCs w:val="20"/>
          <w:lang w:val="en-US"/>
        </w:rPr>
        <w:t xml:space="preserve"> by</w:t>
      </w:r>
      <w:r w:rsidRPr="005A41E0">
        <w:rPr>
          <w:rFonts w:asciiTheme="majorHAnsi" w:hAnsiTheme="majorHAnsi"/>
          <w:sz w:val="20"/>
          <w:szCs w:val="20"/>
          <w:lang w:val="en-US"/>
        </w:rPr>
        <w:t xml:space="preserve">, among other experts, </w:t>
      </w:r>
      <w:r w:rsidR="00C42082">
        <w:rPr>
          <w:rFonts w:asciiTheme="majorHAnsi" w:hAnsiTheme="majorHAnsi"/>
          <w:sz w:val="20"/>
          <w:szCs w:val="20"/>
          <w:lang w:val="en-US"/>
        </w:rPr>
        <w:t>Ricardo Martner</w:t>
      </w:r>
      <w:r w:rsidR="00BD4888" w:rsidRPr="005A41E0">
        <w:rPr>
          <w:rFonts w:asciiTheme="majorHAnsi" w:hAnsiTheme="majorHAnsi"/>
          <w:sz w:val="20"/>
          <w:szCs w:val="20"/>
          <w:lang w:val="en-US"/>
        </w:rPr>
        <w:t xml:space="preserve"> </w:t>
      </w:r>
      <w:r w:rsidRPr="005A41E0">
        <w:rPr>
          <w:rFonts w:asciiTheme="majorHAnsi" w:hAnsiTheme="majorHAnsi"/>
          <w:sz w:val="20"/>
          <w:szCs w:val="20"/>
          <w:lang w:val="en-US"/>
        </w:rPr>
        <w:t>of the Economic Commission for Latin America and the Caribbean (ECLAC</w:t>
      </w:r>
      <w:r w:rsidR="00BD4888" w:rsidRPr="005A41E0">
        <w:rPr>
          <w:rFonts w:asciiTheme="majorHAnsi" w:hAnsiTheme="majorHAnsi"/>
          <w:sz w:val="20"/>
          <w:szCs w:val="20"/>
          <w:lang w:val="en-US"/>
        </w:rPr>
        <w:t xml:space="preserve">) </w:t>
      </w:r>
      <w:r w:rsidR="00C42082">
        <w:rPr>
          <w:rFonts w:asciiTheme="majorHAnsi" w:hAnsiTheme="majorHAnsi"/>
          <w:sz w:val="20"/>
          <w:szCs w:val="20"/>
          <w:lang w:val="en-US"/>
        </w:rPr>
        <w:t>and Rodrigo Uprimny, m</w:t>
      </w:r>
      <w:r w:rsidRPr="005A41E0">
        <w:rPr>
          <w:rFonts w:asciiTheme="majorHAnsi" w:hAnsiTheme="majorHAnsi"/>
          <w:sz w:val="20"/>
          <w:szCs w:val="20"/>
          <w:lang w:val="en-US"/>
        </w:rPr>
        <w:t xml:space="preserve">ember of the Committee on Economic, Social and Cultural Rights of the United Nations. </w:t>
      </w:r>
    </w:p>
    <w:p w:rsidR="00214C26" w:rsidRPr="005A41E0" w:rsidRDefault="00214C26" w:rsidP="005A41E0">
      <w:pPr>
        <w:pStyle w:val="ListParagraph"/>
        <w:shd w:val="clear" w:color="auto" w:fill="FFFFFF"/>
        <w:ind w:left="1080"/>
        <w:jc w:val="both"/>
        <w:rPr>
          <w:rFonts w:asciiTheme="majorHAnsi" w:hAnsiTheme="majorHAnsi"/>
          <w:sz w:val="20"/>
          <w:szCs w:val="20"/>
          <w:lang w:val="en-US"/>
        </w:rPr>
      </w:pPr>
    </w:p>
    <w:p w:rsidR="00214C26" w:rsidRPr="005A41E0" w:rsidRDefault="00A476F8" w:rsidP="00C42082">
      <w:pPr>
        <w:pStyle w:val="ListParagraph"/>
        <w:numPr>
          <w:ilvl w:val="0"/>
          <w:numId w:val="21"/>
        </w:numPr>
        <w:shd w:val="clear" w:color="auto" w:fill="FFFFFF"/>
        <w:ind w:left="1080"/>
        <w:jc w:val="both"/>
        <w:rPr>
          <w:rFonts w:asciiTheme="majorHAnsi" w:hAnsiTheme="majorHAnsi"/>
          <w:sz w:val="20"/>
          <w:szCs w:val="20"/>
          <w:lang w:val="en-US"/>
        </w:rPr>
      </w:pPr>
      <w:r w:rsidRPr="005A41E0">
        <w:rPr>
          <w:rFonts w:asciiTheme="majorHAnsi" w:hAnsiTheme="majorHAnsi"/>
          <w:sz w:val="20"/>
          <w:szCs w:val="20"/>
          <w:lang w:val="en-US"/>
        </w:rPr>
        <w:t>The letter sent by the Special Rapporteur on the right</w:t>
      </w:r>
      <w:r w:rsidR="00C42082">
        <w:rPr>
          <w:rFonts w:asciiTheme="majorHAnsi" w:hAnsiTheme="majorHAnsi"/>
          <w:sz w:val="20"/>
          <w:szCs w:val="20"/>
          <w:lang w:val="en-US"/>
        </w:rPr>
        <w:t xml:space="preserve">s to freedom of </w:t>
      </w:r>
      <w:r w:rsidRPr="005A41E0">
        <w:rPr>
          <w:rFonts w:asciiTheme="majorHAnsi" w:hAnsiTheme="majorHAnsi"/>
          <w:sz w:val="20"/>
          <w:szCs w:val="20"/>
          <w:lang w:val="en-US"/>
        </w:rPr>
        <w:t xml:space="preserve">peaceful assembly and </w:t>
      </w:r>
      <w:r w:rsidR="00C42082">
        <w:rPr>
          <w:rFonts w:asciiTheme="majorHAnsi" w:hAnsiTheme="majorHAnsi"/>
          <w:sz w:val="20"/>
          <w:szCs w:val="20"/>
          <w:lang w:val="en-US"/>
        </w:rPr>
        <w:t xml:space="preserve">of </w:t>
      </w:r>
      <w:r w:rsidRPr="005A41E0">
        <w:rPr>
          <w:rFonts w:asciiTheme="majorHAnsi" w:hAnsiTheme="majorHAnsi"/>
          <w:sz w:val="20"/>
          <w:szCs w:val="20"/>
          <w:lang w:val="en-US"/>
        </w:rPr>
        <w:t>association, Maina Kiai,</w:t>
      </w:r>
      <w:r w:rsidR="00BD4888" w:rsidRPr="005A41E0">
        <w:rPr>
          <w:rFonts w:asciiTheme="majorHAnsi" w:hAnsiTheme="majorHAnsi"/>
          <w:sz w:val="20"/>
          <w:szCs w:val="20"/>
          <w:lang w:val="en-US"/>
        </w:rPr>
        <w:t xml:space="preserve"> </w:t>
      </w:r>
      <w:r w:rsidRPr="005A41E0">
        <w:rPr>
          <w:rFonts w:asciiTheme="majorHAnsi" w:hAnsiTheme="majorHAnsi"/>
          <w:sz w:val="20"/>
          <w:szCs w:val="20"/>
          <w:lang w:val="en-US"/>
        </w:rPr>
        <w:t>who saluted the holding of the hearing “Situation of the right of association in the Americas.</w:t>
      </w:r>
      <w:r w:rsidR="00BD4888" w:rsidRPr="005A41E0">
        <w:rPr>
          <w:rFonts w:asciiTheme="majorHAnsi" w:hAnsiTheme="majorHAnsi"/>
          <w:sz w:val="20"/>
          <w:szCs w:val="20"/>
          <w:lang w:val="en-US"/>
        </w:rPr>
        <w:t xml:space="preserve">” </w:t>
      </w:r>
      <w:r w:rsidRPr="005A41E0">
        <w:rPr>
          <w:rFonts w:asciiTheme="majorHAnsi" w:hAnsiTheme="majorHAnsi"/>
          <w:sz w:val="20"/>
          <w:szCs w:val="20"/>
          <w:lang w:val="en-US"/>
        </w:rPr>
        <w:t>I</w:t>
      </w:r>
      <w:r w:rsidR="00BD4888" w:rsidRPr="005A41E0">
        <w:rPr>
          <w:rFonts w:asciiTheme="majorHAnsi" w:hAnsiTheme="majorHAnsi"/>
          <w:sz w:val="20"/>
          <w:szCs w:val="20"/>
          <w:lang w:val="en-US"/>
        </w:rPr>
        <w:t xml:space="preserve">n </w:t>
      </w:r>
      <w:r w:rsidRPr="005A41E0">
        <w:rPr>
          <w:rFonts w:asciiTheme="majorHAnsi" w:hAnsiTheme="majorHAnsi"/>
          <w:sz w:val="20"/>
          <w:szCs w:val="20"/>
          <w:lang w:val="en-US"/>
        </w:rPr>
        <w:t xml:space="preserve">this context, the Special Rapporteur filed an </w:t>
      </w:r>
      <w:r w:rsidR="00BD4888" w:rsidRPr="005A41E0">
        <w:rPr>
          <w:rFonts w:asciiTheme="majorHAnsi" w:hAnsiTheme="majorHAnsi"/>
          <w:i/>
          <w:sz w:val="20"/>
          <w:szCs w:val="20"/>
          <w:lang w:val="en-US"/>
        </w:rPr>
        <w:t>amicus curiae</w:t>
      </w:r>
      <w:r w:rsidR="00BD4888"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brief with the Constitutional Court of </w:t>
      </w:r>
      <w:r w:rsidR="00BD4888" w:rsidRPr="005A41E0">
        <w:rPr>
          <w:rFonts w:asciiTheme="majorHAnsi" w:hAnsiTheme="majorHAnsi"/>
          <w:sz w:val="20"/>
          <w:szCs w:val="20"/>
          <w:lang w:val="en-US"/>
        </w:rPr>
        <w:t xml:space="preserve">Bolivia </w:t>
      </w:r>
      <w:r w:rsidRPr="005A41E0">
        <w:rPr>
          <w:rFonts w:asciiTheme="majorHAnsi" w:hAnsiTheme="majorHAnsi"/>
          <w:sz w:val="20"/>
          <w:szCs w:val="20"/>
          <w:lang w:val="en-US"/>
        </w:rPr>
        <w:t xml:space="preserve">in May </w:t>
      </w:r>
      <w:r w:rsidR="00BD4888" w:rsidRPr="005A41E0">
        <w:rPr>
          <w:rFonts w:asciiTheme="majorHAnsi" w:hAnsiTheme="majorHAnsi"/>
          <w:sz w:val="20"/>
          <w:szCs w:val="20"/>
          <w:lang w:val="en-US"/>
        </w:rPr>
        <w:t>2015</w:t>
      </w:r>
      <w:r w:rsidR="001F1FF2" w:rsidRPr="005A41E0">
        <w:rPr>
          <w:rFonts w:asciiTheme="majorHAnsi" w:hAnsiTheme="majorHAnsi"/>
          <w:sz w:val="20"/>
          <w:szCs w:val="20"/>
          <w:lang w:val="en-US"/>
        </w:rPr>
        <w:t xml:space="preserve"> </w:t>
      </w:r>
      <w:r w:rsidR="003E3C81" w:rsidRPr="005A41E0">
        <w:rPr>
          <w:rFonts w:asciiTheme="majorHAnsi" w:hAnsiTheme="majorHAnsi"/>
          <w:sz w:val="20"/>
          <w:szCs w:val="20"/>
          <w:lang w:val="en-US"/>
        </w:rPr>
        <w:t xml:space="preserve">related to the requirements for establishing civil society organizations and for their operations which, in his opinion would be incompatible with international human rights standards. </w:t>
      </w:r>
    </w:p>
    <w:p w:rsidR="00BD4888" w:rsidRPr="005A41E0" w:rsidRDefault="00BD4888" w:rsidP="005A41E0">
      <w:pPr>
        <w:shd w:val="clear" w:color="auto" w:fill="FFFFFF"/>
        <w:jc w:val="both"/>
        <w:rPr>
          <w:rFonts w:asciiTheme="majorHAnsi" w:hAnsiTheme="majorHAnsi"/>
          <w:sz w:val="20"/>
          <w:szCs w:val="20"/>
          <w:lang w:val="en-US"/>
        </w:rPr>
      </w:pPr>
    </w:p>
    <w:p w:rsidR="0048631A" w:rsidRPr="005A41E0" w:rsidRDefault="003E3C81"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During the sessions the IACHR met with the Interdisciplinary Group of Independent Experts </w:t>
      </w:r>
      <w:r w:rsidR="0048631A" w:rsidRPr="005A41E0">
        <w:rPr>
          <w:rFonts w:asciiTheme="majorHAnsi" w:hAnsiTheme="majorHAnsi"/>
          <w:sz w:val="20"/>
          <w:szCs w:val="20"/>
          <w:lang w:val="en-US"/>
        </w:rPr>
        <w:t>(GIEI)</w:t>
      </w:r>
      <w:r w:rsidRPr="005A41E0">
        <w:rPr>
          <w:rFonts w:asciiTheme="majorHAnsi" w:hAnsiTheme="majorHAnsi"/>
          <w:sz w:val="20"/>
          <w:szCs w:val="20"/>
          <w:lang w:val="en-US"/>
        </w:rPr>
        <w:t>, which</w:t>
      </w:r>
      <w:r w:rsidR="0048631A"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worked in Mexico in the investigations into the case of the 43 students who disappeared from </w:t>
      </w:r>
      <w:r w:rsidR="0048631A" w:rsidRPr="005A41E0">
        <w:rPr>
          <w:rStyle w:val="Strong"/>
          <w:rFonts w:asciiTheme="majorHAnsi" w:hAnsiTheme="majorHAnsi" w:cs="Tahoma"/>
          <w:b w:val="0"/>
          <w:sz w:val="20"/>
          <w:szCs w:val="20"/>
          <w:lang w:val="en-US"/>
        </w:rPr>
        <w:t>Ayotzinapa</w:t>
      </w:r>
      <w:r w:rsidR="0048631A"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with high-level representatives of the Mexican State and family members of the victims. In these meetings the IACHR decided to create a special mechanism for follow-up, at the request of the victims’ family members, to give continuity to the important work of the GIEI. </w:t>
      </w:r>
    </w:p>
    <w:p w:rsidR="0048631A" w:rsidRPr="005A41E0" w:rsidRDefault="0048631A" w:rsidP="005A41E0">
      <w:pPr>
        <w:shd w:val="clear" w:color="auto" w:fill="FFFFFF"/>
        <w:ind w:left="360"/>
        <w:jc w:val="both"/>
        <w:rPr>
          <w:rFonts w:asciiTheme="majorHAnsi" w:hAnsiTheme="majorHAnsi"/>
          <w:sz w:val="20"/>
          <w:szCs w:val="20"/>
          <w:lang w:val="en-US"/>
        </w:rPr>
      </w:pPr>
    </w:p>
    <w:p w:rsidR="0048631A" w:rsidRPr="005A41E0" w:rsidRDefault="003E3C81"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Secretary </w:t>
      </w:r>
      <w:r w:rsidR="0048631A" w:rsidRPr="005A41E0">
        <w:rPr>
          <w:rFonts w:asciiTheme="majorHAnsi" w:hAnsiTheme="majorHAnsi"/>
          <w:sz w:val="20"/>
          <w:szCs w:val="20"/>
          <w:lang w:val="en-US"/>
        </w:rPr>
        <w:t xml:space="preserve">General </w:t>
      </w:r>
      <w:r w:rsidRPr="005A41E0">
        <w:rPr>
          <w:rFonts w:asciiTheme="majorHAnsi" w:hAnsiTheme="majorHAnsi"/>
          <w:sz w:val="20"/>
          <w:szCs w:val="20"/>
          <w:lang w:val="en-US"/>
        </w:rPr>
        <w:t xml:space="preserve">of the OAS, </w:t>
      </w:r>
      <w:r w:rsidR="0048631A" w:rsidRPr="005A41E0">
        <w:rPr>
          <w:rFonts w:asciiTheme="majorHAnsi" w:hAnsiTheme="majorHAnsi"/>
          <w:sz w:val="20"/>
          <w:szCs w:val="20"/>
          <w:lang w:val="en-US"/>
        </w:rPr>
        <w:t xml:space="preserve">Luis Almagro, </w:t>
      </w:r>
      <w:r w:rsidRPr="005A41E0">
        <w:rPr>
          <w:rFonts w:asciiTheme="majorHAnsi" w:hAnsiTheme="majorHAnsi"/>
          <w:sz w:val="20"/>
          <w:szCs w:val="20"/>
          <w:lang w:val="en-US"/>
        </w:rPr>
        <w:t xml:space="preserve">supported the request for </w:t>
      </w:r>
      <w:r w:rsidR="00C42082">
        <w:rPr>
          <w:rFonts w:asciiTheme="majorHAnsi" w:hAnsiTheme="majorHAnsi"/>
          <w:sz w:val="20"/>
          <w:szCs w:val="20"/>
          <w:lang w:val="en-US"/>
        </w:rPr>
        <w:t xml:space="preserve">the </w:t>
      </w:r>
      <w:r w:rsidRPr="005A41E0">
        <w:rPr>
          <w:rFonts w:asciiTheme="majorHAnsi" w:hAnsiTheme="majorHAnsi"/>
          <w:sz w:val="20"/>
          <w:szCs w:val="20"/>
          <w:lang w:val="en-US"/>
        </w:rPr>
        <w:t>creation</w:t>
      </w:r>
      <w:r w:rsidR="00E77B2F"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of a group of independent experts </w:t>
      </w:r>
      <w:r w:rsidR="00E77B2F" w:rsidRPr="005A41E0">
        <w:rPr>
          <w:rFonts w:asciiTheme="majorHAnsi" w:hAnsiTheme="majorHAnsi"/>
          <w:sz w:val="20"/>
          <w:szCs w:val="20"/>
          <w:lang w:val="en-US"/>
        </w:rPr>
        <w:t>to investigate the assassi</w:t>
      </w:r>
      <w:r w:rsidR="00C42082">
        <w:rPr>
          <w:rFonts w:asciiTheme="majorHAnsi" w:hAnsiTheme="majorHAnsi"/>
          <w:sz w:val="20"/>
          <w:szCs w:val="20"/>
          <w:lang w:val="en-US"/>
        </w:rPr>
        <w:t>nation of human rights defender</w:t>
      </w:r>
      <w:r w:rsidR="00E77B2F" w:rsidRPr="005A41E0">
        <w:rPr>
          <w:rFonts w:asciiTheme="majorHAnsi" w:hAnsiTheme="majorHAnsi"/>
          <w:sz w:val="20"/>
          <w:szCs w:val="20"/>
          <w:lang w:val="en-US"/>
        </w:rPr>
        <w:t xml:space="preserve"> </w:t>
      </w:r>
      <w:r w:rsidR="0048631A" w:rsidRPr="005A41E0">
        <w:rPr>
          <w:rFonts w:asciiTheme="majorHAnsi" w:hAnsiTheme="majorHAnsi"/>
          <w:sz w:val="20"/>
          <w:szCs w:val="20"/>
          <w:lang w:val="en-US"/>
        </w:rPr>
        <w:t xml:space="preserve">Berta Cáceres. </w:t>
      </w:r>
      <w:r w:rsidR="0048631A" w:rsidRPr="005A41E0">
        <w:rPr>
          <w:rStyle w:val="Strong"/>
          <w:rFonts w:asciiTheme="majorHAnsi" w:hAnsiTheme="majorHAnsi" w:cs="Tahoma"/>
          <w:b w:val="0"/>
          <w:sz w:val="20"/>
          <w:szCs w:val="20"/>
          <w:lang w:val="en-US"/>
        </w:rPr>
        <w:t>Berta</w:t>
      </w:r>
      <w:r w:rsidR="0048631A" w:rsidRPr="005A41E0">
        <w:rPr>
          <w:rFonts w:asciiTheme="majorHAnsi" w:hAnsiTheme="majorHAnsi"/>
          <w:sz w:val="20"/>
          <w:szCs w:val="20"/>
          <w:lang w:val="en-US"/>
        </w:rPr>
        <w:t xml:space="preserve"> Cáceres </w:t>
      </w:r>
      <w:r w:rsidR="00E77B2F" w:rsidRPr="005A41E0">
        <w:rPr>
          <w:rFonts w:asciiTheme="majorHAnsi" w:hAnsiTheme="majorHAnsi"/>
          <w:sz w:val="20"/>
          <w:szCs w:val="20"/>
          <w:lang w:val="en-US"/>
        </w:rPr>
        <w:t xml:space="preserve">was the leader of her indigenous community and the general coordinator of the </w:t>
      </w:r>
      <w:r w:rsidR="0048631A" w:rsidRPr="005A41E0">
        <w:rPr>
          <w:rFonts w:asciiTheme="majorHAnsi" w:hAnsiTheme="majorHAnsi"/>
          <w:sz w:val="20"/>
          <w:szCs w:val="20"/>
          <w:lang w:val="en-US"/>
        </w:rPr>
        <w:t>Consejo Cívico de Organizaciones Populares e Indígenas de Honduras (COPINH)</w:t>
      </w:r>
      <w:r w:rsidR="00E77B2F" w:rsidRPr="005A41E0">
        <w:rPr>
          <w:rFonts w:asciiTheme="majorHAnsi" w:hAnsiTheme="majorHAnsi"/>
          <w:sz w:val="20"/>
          <w:szCs w:val="20"/>
          <w:lang w:val="en-US"/>
        </w:rPr>
        <w:t xml:space="preserve">, as well as the beneficiary of precautionary measures issued by the IACHR. </w:t>
      </w:r>
      <w:r w:rsidR="0048631A" w:rsidRPr="005A41E0">
        <w:rPr>
          <w:rFonts w:asciiTheme="majorHAnsi" w:hAnsiTheme="majorHAnsi"/>
          <w:sz w:val="20"/>
          <w:szCs w:val="20"/>
          <w:lang w:val="en-US"/>
        </w:rPr>
        <w:t xml:space="preserve">Berta </w:t>
      </w:r>
      <w:r w:rsidR="00E77B2F" w:rsidRPr="005A41E0">
        <w:rPr>
          <w:rFonts w:asciiTheme="majorHAnsi" w:hAnsiTheme="majorHAnsi"/>
          <w:sz w:val="20"/>
          <w:szCs w:val="20"/>
          <w:lang w:val="en-US"/>
        </w:rPr>
        <w:t xml:space="preserve">publicly denounced to the authorities her situation </w:t>
      </w:r>
      <w:r w:rsidR="00C42082">
        <w:rPr>
          <w:rFonts w:asciiTheme="majorHAnsi" w:hAnsiTheme="majorHAnsi"/>
          <w:sz w:val="20"/>
          <w:szCs w:val="20"/>
          <w:lang w:val="en-US"/>
        </w:rPr>
        <w:t xml:space="preserve">of risk and </w:t>
      </w:r>
      <w:r w:rsidR="00E77B2F" w:rsidRPr="005A41E0">
        <w:rPr>
          <w:rFonts w:asciiTheme="majorHAnsi" w:hAnsiTheme="majorHAnsi"/>
          <w:sz w:val="20"/>
          <w:szCs w:val="20"/>
          <w:lang w:val="en-US"/>
        </w:rPr>
        <w:t xml:space="preserve">grave threats, yet </w:t>
      </w:r>
      <w:r w:rsidR="0048631A" w:rsidRPr="005A41E0">
        <w:rPr>
          <w:rFonts w:asciiTheme="majorHAnsi" w:hAnsiTheme="majorHAnsi"/>
          <w:sz w:val="20"/>
          <w:szCs w:val="20"/>
          <w:lang w:val="en-US"/>
        </w:rPr>
        <w:t xml:space="preserve">Honduras </w:t>
      </w:r>
      <w:r w:rsidR="00E77B2F" w:rsidRPr="005A41E0">
        <w:rPr>
          <w:rFonts w:asciiTheme="majorHAnsi" w:hAnsiTheme="majorHAnsi"/>
          <w:sz w:val="20"/>
          <w:szCs w:val="20"/>
          <w:lang w:val="en-US"/>
        </w:rPr>
        <w:t xml:space="preserve">failed to implement the precautionary measures recommended by the IACHR. The assassination of </w:t>
      </w:r>
      <w:r w:rsidR="0048631A" w:rsidRPr="005A41E0">
        <w:rPr>
          <w:rFonts w:asciiTheme="majorHAnsi" w:hAnsiTheme="majorHAnsi"/>
          <w:sz w:val="20"/>
          <w:szCs w:val="20"/>
          <w:lang w:val="en-US"/>
        </w:rPr>
        <w:t xml:space="preserve">Berta Cáceres </w:t>
      </w:r>
      <w:r w:rsidR="00E77B2F" w:rsidRPr="005A41E0">
        <w:rPr>
          <w:rFonts w:asciiTheme="majorHAnsi" w:hAnsiTheme="majorHAnsi"/>
          <w:sz w:val="20"/>
          <w:szCs w:val="20"/>
          <w:lang w:val="en-US"/>
        </w:rPr>
        <w:t xml:space="preserve">in March 2016 confirms the grave situation of human rights defenders in </w:t>
      </w:r>
      <w:r w:rsidR="0048631A" w:rsidRPr="005A41E0">
        <w:rPr>
          <w:rFonts w:asciiTheme="majorHAnsi" w:hAnsiTheme="majorHAnsi"/>
          <w:sz w:val="20"/>
          <w:szCs w:val="20"/>
          <w:lang w:val="en-US"/>
        </w:rPr>
        <w:t xml:space="preserve">Honduras </w:t>
      </w:r>
      <w:r w:rsidR="00E77B2F" w:rsidRPr="005A41E0">
        <w:rPr>
          <w:rFonts w:asciiTheme="majorHAnsi" w:hAnsiTheme="majorHAnsi"/>
          <w:sz w:val="20"/>
          <w:szCs w:val="20"/>
          <w:lang w:val="en-US"/>
        </w:rPr>
        <w:t xml:space="preserve">and the failure of the State to implement the requests for precautionary measures adopted by the IACHR. </w:t>
      </w:r>
    </w:p>
    <w:p w:rsidR="0048631A" w:rsidRPr="005A41E0" w:rsidRDefault="0048631A" w:rsidP="005A41E0">
      <w:pPr>
        <w:shd w:val="clear" w:color="auto" w:fill="FFFFFF"/>
        <w:ind w:left="360"/>
        <w:jc w:val="both"/>
        <w:rPr>
          <w:rFonts w:asciiTheme="majorHAnsi" w:hAnsiTheme="majorHAnsi"/>
          <w:sz w:val="20"/>
          <w:szCs w:val="20"/>
          <w:lang w:val="en-US"/>
        </w:rPr>
      </w:pPr>
    </w:p>
    <w:p w:rsidR="0048631A" w:rsidRPr="005A41E0" w:rsidRDefault="00E77B2F" w:rsidP="00C736D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situation of risk </w:t>
      </w:r>
      <w:r w:rsidR="00DE749F">
        <w:rPr>
          <w:rFonts w:asciiTheme="majorHAnsi" w:hAnsiTheme="majorHAnsi"/>
          <w:sz w:val="20"/>
          <w:szCs w:val="20"/>
          <w:lang w:val="en-US"/>
        </w:rPr>
        <w:t xml:space="preserve">faced by </w:t>
      </w:r>
      <w:r w:rsidRPr="005A41E0">
        <w:rPr>
          <w:rFonts w:asciiTheme="majorHAnsi" w:hAnsiTheme="majorHAnsi"/>
          <w:sz w:val="20"/>
          <w:szCs w:val="20"/>
          <w:lang w:val="en-US"/>
        </w:rPr>
        <w:t xml:space="preserve">human rights defenders occupied the attention of the IACHR, in </w:t>
      </w:r>
      <w:r w:rsidR="00555356" w:rsidRPr="005A41E0">
        <w:rPr>
          <w:rFonts w:asciiTheme="majorHAnsi" w:hAnsiTheme="majorHAnsi"/>
          <w:sz w:val="20"/>
          <w:szCs w:val="20"/>
          <w:lang w:val="en-US"/>
        </w:rPr>
        <w:t xml:space="preserve">particular </w:t>
      </w:r>
      <w:r w:rsidRPr="005A41E0">
        <w:rPr>
          <w:rFonts w:asciiTheme="majorHAnsi" w:hAnsiTheme="majorHAnsi"/>
          <w:sz w:val="20"/>
          <w:szCs w:val="20"/>
          <w:lang w:val="en-US"/>
        </w:rPr>
        <w:t>the acts of harassment, threats, assaults, and assassination</w:t>
      </w:r>
      <w:r w:rsidR="00DE749F">
        <w:rPr>
          <w:rFonts w:asciiTheme="majorHAnsi" w:hAnsiTheme="majorHAnsi"/>
          <w:sz w:val="20"/>
          <w:szCs w:val="20"/>
          <w:lang w:val="en-US"/>
        </w:rPr>
        <w:t>s</w:t>
      </w:r>
      <w:r w:rsidRPr="005A41E0">
        <w:rPr>
          <w:rFonts w:asciiTheme="majorHAnsi" w:hAnsiTheme="majorHAnsi"/>
          <w:sz w:val="20"/>
          <w:szCs w:val="20"/>
          <w:lang w:val="en-US"/>
        </w:rPr>
        <w:t xml:space="preserve"> in </w:t>
      </w:r>
      <w:r w:rsidR="0048631A" w:rsidRPr="005A41E0">
        <w:rPr>
          <w:rFonts w:asciiTheme="majorHAnsi" w:hAnsiTheme="majorHAnsi"/>
          <w:sz w:val="20"/>
          <w:szCs w:val="20"/>
          <w:lang w:val="en-US"/>
        </w:rPr>
        <w:t>Bra</w:t>
      </w:r>
      <w:r w:rsidRPr="005A41E0">
        <w:rPr>
          <w:rFonts w:asciiTheme="majorHAnsi" w:hAnsiTheme="majorHAnsi"/>
          <w:sz w:val="20"/>
          <w:szCs w:val="20"/>
          <w:lang w:val="en-US"/>
        </w:rPr>
        <w:t>zil, Colombia, Cuba, Honduras, Me</w:t>
      </w:r>
      <w:r w:rsidR="0048631A" w:rsidRPr="005A41E0">
        <w:rPr>
          <w:rFonts w:asciiTheme="majorHAnsi" w:hAnsiTheme="majorHAnsi"/>
          <w:sz w:val="20"/>
          <w:szCs w:val="20"/>
          <w:lang w:val="en-US"/>
        </w:rPr>
        <w:t>xico, Nicaragua</w:t>
      </w:r>
      <w:r w:rsidRPr="005A41E0">
        <w:rPr>
          <w:rFonts w:asciiTheme="majorHAnsi" w:hAnsiTheme="majorHAnsi"/>
          <w:sz w:val="20"/>
          <w:szCs w:val="20"/>
          <w:lang w:val="en-US"/>
        </w:rPr>
        <w:t xml:space="preserve">, and </w:t>
      </w:r>
      <w:r w:rsidR="0048631A" w:rsidRPr="005A41E0">
        <w:rPr>
          <w:rFonts w:asciiTheme="majorHAnsi" w:hAnsiTheme="majorHAnsi"/>
          <w:sz w:val="20"/>
          <w:szCs w:val="20"/>
          <w:lang w:val="en-US"/>
        </w:rPr>
        <w:t>Venezuela</w:t>
      </w:r>
      <w:r w:rsidR="00555356" w:rsidRPr="005A41E0">
        <w:rPr>
          <w:rFonts w:asciiTheme="majorHAnsi" w:hAnsiTheme="majorHAnsi"/>
          <w:sz w:val="20"/>
          <w:szCs w:val="20"/>
          <w:lang w:val="en-US"/>
        </w:rPr>
        <w:t>,</w:t>
      </w:r>
      <w:r w:rsidR="0048631A" w:rsidRPr="005A41E0">
        <w:rPr>
          <w:rFonts w:asciiTheme="majorHAnsi" w:hAnsiTheme="majorHAnsi"/>
          <w:sz w:val="20"/>
          <w:szCs w:val="20"/>
          <w:lang w:val="en-US"/>
        </w:rPr>
        <w:t xml:space="preserve"> </w:t>
      </w:r>
      <w:r w:rsidRPr="005A41E0">
        <w:rPr>
          <w:rFonts w:asciiTheme="majorHAnsi" w:hAnsiTheme="majorHAnsi"/>
          <w:sz w:val="20"/>
          <w:szCs w:val="20"/>
          <w:lang w:val="en-US"/>
        </w:rPr>
        <w:t>among others. Some of the human rights defenders who participated in the hearings during the 157</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 have been threatened upon returning to their countries. These lamentable incidents have recurred, for impunity is common in these cases. In several countries public accusations have been directed against them, and they have been targeted by defamatory campaigns and criminalization. The IACHR reiterates the obligation of the states to prevent any attack on the life and physical integrity of human rights defenders and to guarantee, in all circumstances, that they can pursue their legitimate human rights activities without fear or reprisals and free of any restrictions. It is a duty of the states to guarantee the security of groups of human rights defenders in special situations of risk, and to adopt specific measures adapted to their needs</w:t>
      </w:r>
      <w:r w:rsidR="001F1FF2"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for example, through specialized protocols. </w:t>
      </w:r>
    </w:p>
    <w:p w:rsidR="0048631A" w:rsidRPr="005A41E0" w:rsidRDefault="0048631A" w:rsidP="005A41E0">
      <w:pPr>
        <w:shd w:val="clear" w:color="auto" w:fill="FFFFFF"/>
        <w:ind w:left="360"/>
        <w:jc w:val="both"/>
        <w:rPr>
          <w:rFonts w:asciiTheme="majorHAnsi" w:hAnsiTheme="majorHAnsi"/>
          <w:sz w:val="20"/>
          <w:szCs w:val="20"/>
          <w:lang w:val="en-US"/>
        </w:rPr>
      </w:pPr>
    </w:p>
    <w:p w:rsidR="0048631A" w:rsidRPr="005A41E0" w:rsidRDefault="00E77B2F" w:rsidP="00B3514E">
      <w:pPr>
        <w:pStyle w:val="ListParagraph"/>
        <w:numPr>
          <w:ilvl w:val="0"/>
          <w:numId w:val="15"/>
        </w:numPr>
        <w:shd w:val="clear" w:color="auto" w:fill="FFFFFF"/>
        <w:tabs>
          <w:tab w:val="clear" w:pos="1080"/>
        </w:tabs>
        <w:ind w:left="0"/>
        <w:jc w:val="both"/>
        <w:rPr>
          <w:rStyle w:val="Strong"/>
          <w:rFonts w:asciiTheme="majorHAnsi" w:hAnsiTheme="majorHAnsi"/>
          <w:b w:val="0"/>
          <w:sz w:val="20"/>
          <w:szCs w:val="20"/>
          <w:lang w:val="en-US"/>
        </w:rPr>
      </w:pPr>
      <w:r w:rsidRPr="005A41E0">
        <w:rPr>
          <w:rFonts w:asciiTheme="majorHAnsi" w:hAnsiTheme="majorHAnsi"/>
          <w:sz w:val="20"/>
          <w:szCs w:val="20"/>
          <w:lang w:val="en-US"/>
        </w:rPr>
        <w:t xml:space="preserve">The IACHR appreciates the major progress achieved in the peace negotiations </w:t>
      </w:r>
      <w:r w:rsidR="0048631A" w:rsidRPr="005A41E0">
        <w:rPr>
          <w:rFonts w:asciiTheme="majorHAnsi" w:hAnsiTheme="majorHAnsi"/>
          <w:sz w:val="20"/>
          <w:szCs w:val="20"/>
          <w:lang w:val="en-US"/>
        </w:rPr>
        <w:t xml:space="preserve">Colombia. </w:t>
      </w:r>
      <w:r w:rsidRPr="005A41E0">
        <w:rPr>
          <w:rFonts w:asciiTheme="majorHAnsi" w:hAnsiTheme="majorHAnsi"/>
          <w:sz w:val="20"/>
          <w:szCs w:val="20"/>
          <w:lang w:val="en-US"/>
        </w:rPr>
        <w:t>Even though, unfortunately, the peace agreement was not approved in the respective plebiscite</w:t>
      </w:r>
      <w:r w:rsidR="0048631A"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IACHR recognizes the efforts of the government and the </w:t>
      </w:r>
      <w:r w:rsidR="00EA7CD9" w:rsidRPr="005A41E0">
        <w:rPr>
          <w:rFonts w:asciiTheme="majorHAnsi" w:hAnsiTheme="majorHAnsi"/>
          <w:sz w:val="20"/>
          <w:szCs w:val="20"/>
          <w:lang w:val="en-US"/>
        </w:rPr>
        <w:t>Fuerzas Armadas Revolucionarias de Colombia (</w:t>
      </w:r>
      <w:r w:rsidR="0048631A" w:rsidRPr="005A41E0">
        <w:rPr>
          <w:rFonts w:asciiTheme="majorHAnsi" w:hAnsiTheme="majorHAnsi"/>
          <w:sz w:val="20"/>
          <w:szCs w:val="20"/>
          <w:lang w:val="en-US"/>
        </w:rPr>
        <w:t>FARC</w:t>
      </w:r>
      <w:r w:rsidR="00EA7CD9" w:rsidRPr="005A41E0">
        <w:rPr>
          <w:rFonts w:asciiTheme="majorHAnsi" w:hAnsiTheme="majorHAnsi"/>
          <w:sz w:val="20"/>
          <w:szCs w:val="20"/>
          <w:lang w:val="en-US"/>
        </w:rPr>
        <w:t>)</w:t>
      </w:r>
      <w:r w:rsidR="0048631A"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over the last four years of negotiations. This was a major step along the path of consolidating peace in </w:t>
      </w:r>
      <w:r w:rsidR="0048631A" w:rsidRPr="005A41E0">
        <w:rPr>
          <w:rFonts w:asciiTheme="majorHAnsi" w:hAnsiTheme="majorHAnsi"/>
          <w:sz w:val="20"/>
          <w:szCs w:val="20"/>
          <w:lang w:val="en-US"/>
        </w:rPr>
        <w:t xml:space="preserve">Colombia </w:t>
      </w:r>
      <w:r w:rsidRPr="005A41E0">
        <w:rPr>
          <w:rFonts w:asciiTheme="majorHAnsi" w:hAnsiTheme="majorHAnsi"/>
          <w:sz w:val="20"/>
          <w:szCs w:val="20"/>
          <w:lang w:val="en-US"/>
        </w:rPr>
        <w:t>and will be essential for the continuity of the negotiations. Peace in Colombia is essential for protecting human rights in the country and to ensure that crimes against human rights that took place during the conflict not remain in impunity</w:t>
      </w:r>
      <w:r w:rsidR="0048631A" w:rsidRPr="005A41E0">
        <w:rPr>
          <w:rFonts w:asciiTheme="majorHAnsi" w:hAnsiTheme="majorHAnsi"/>
          <w:sz w:val="20"/>
          <w:szCs w:val="20"/>
          <w:lang w:val="en-US"/>
        </w:rPr>
        <w:t xml:space="preserve">. </w:t>
      </w:r>
      <w:r w:rsidRPr="005A41E0">
        <w:rPr>
          <w:rFonts w:asciiTheme="majorHAnsi" w:hAnsiTheme="majorHAnsi"/>
          <w:sz w:val="20"/>
          <w:szCs w:val="20"/>
          <w:lang w:val="en-US"/>
        </w:rPr>
        <w:t>The IACHR urges all the parties to continue working</w:t>
      </w:r>
      <w:r w:rsidR="00953110" w:rsidRPr="005A41E0">
        <w:rPr>
          <w:rFonts w:asciiTheme="majorHAnsi" w:hAnsiTheme="majorHAnsi"/>
          <w:sz w:val="20"/>
          <w:szCs w:val="20"/>
          <w:lang w:val="en-US"/>
        </w:rPr>
        <w:t xml:space="preserve"> to </w:t>
      </w:r>
      <w:r w:rsidR="005C427B">
        <w:rPr>
          <w:rFonts w:asciiTheme="majorHAnsi" w:hAnsiTheme="majorHAnsi"/>
          <w:sz w:val="20"/>
          <w:szCs w:val="20"/>
          <w:lang w:val="en-US"/>
        </w:rPr>
        <w:t xml:space="preserve">optimize the agreement, making it more just and objective for all. </w:t>
      </w:r>
    </w:p>
    <w:p w:rsidR="0048631A" w:rsidRPr="005A41E0" w:rsidRDefault="0048631A" w:rsidP="005A41E0">
      <w:pPr>
        <w:shd w:val="clear" w:color="auto" w:fill="FFFFFF"/>
        <w:ind w:left="360"/>
        <w:jc w:val="both"/>
        <w:rPr>
          <w:rStyle w:val="Strong"/>
          <w:rFonts w:asciiTheme="majorHAnsi" w:hAnsiTheme="majorHAnsi" w:cs="Tahoma"/>
          <w:sz w:val="20"/>
          <w:szCs w:val="20"/>
          <w:lang w:val="en-US"/>
        </w:rPr>
      </w:pPr>
    </w:p>
    <w:p w:rsidR="0048631A" w:rsidRPr="005A41E0" w:rsidRDefault="0048631A" w:rsidP="005A41E0">
      <w:pPr>
        <w:pStyle w:val="Heading2"/>
        <w:rPr>
          <w:rStyle w:val="Strong"/>
          <w:b/>
          <w:lang w:val="en-US"/>
        </w:rPr>
      </w:pPr>
      <w:r w:rsidRPr="005A41E0">
        <w:rPr>
          <w:rStyle w:val="Strong"/>
          <w:b/>
          <w:lang w:val="en-US"/>
        </w:rPr>
        <w:lastRenderedPageBreak/>
        <w:t xml:space="preserve">2. </w:t>
      </w:r>
      <w:r w:rsidR="00953110" w:rsidRPr="005A41E0">
        <w:rPr>
          <w:rStyle w:val="Strong"/>
          <w:b/>
          <w:lang w:val="en-US"/>
        </w:rPr>
        <w:tab/>
        <w:t>158</w:t>
      </w:r>
      <w:r w:rsidR="00953110" w:rsidRPr="005A41E0">
        <w:rPr>
          <w:rStyle w:val="Strong"/>
          <w:b/>
          <w:vertAlign w:val="superscript"/>
          <w:lang w:val="en-US"/>
        </w:rPr>
        <w:t>th</w:t>
      </w:r>
      <w:r w:rsidR="00953110" w:rsidRPr="005A41E0">
        <w:rPr>
          <w:rStyle w:val="Strong"/>
          <w:b/>
          <w:lang w:val="en-US"/>
        </w:rPr>
        <w:t xml:space="preserve"> special period of sessions </w:t>
      </w:r>
      <w:r w:rsidR="005A1CB7" w:rsidRPr="005A41E0">
        <w:rPr>
          <w:rStyle w:val="Strong"/>
          <w:b/>
          <w:lang w:val="en-US"/>
        </w:rPr>
        <w:t>(Santiago</w:t>
      </w:r>
      <w:r w:rsidR="00953110" w:rsidRPr="005A41E0">
        <w:rPr>
          <w:rStyle w:val="Strong"/>
          <w:b/>
          <w:lang w:val="en-US"/>
        </w:rPr>
        <w:t>,</w:t>
      </w:r>
      <w:r w:rsidR="005A1CB7" w:rsidRPr="005A41E0">
        <w:rPr>
          <w:rStyle w:val="Strong"/>
          <w:b/>
          <w:lang w:val="en-US"/>
        </w:rPr>
        <w:t xml:space="preserve"> Chile)</w:t>
      </w:r>
    </w:p>
    <w:p w:rsidR="0048631A" w:rsidRPr="005A41E0" w:rsidRDefault="0048631A" w:rsidP="005A41E0">
      <w:pPr>
        <w:shd w:val="clear" w:color="auto" w:fill="FFFFFF"/>
        <w:jc w:val="both"/>
        <w:rPr>
          <w:rStyle w:val="Strong"/>
          <w:rFonts w:asciiTheme="majorHAnsi" w:hAnsiTheme="majorHAnsi" w:cs="Tahoma"/>
          <w:sz w:val="20"/>
          <w:szCs w:val="20"/>
          <w:lang w:val="en-US"/>
        </w:rPr>
      </w:pPr>
    </w:p>
    <w:p w:rsidR="0048631A" w:rsidRPr="005A41E0" w:rsidRDefault="00953110" w:rsidP="00E3280C">
      <w:pPr>
        <w:pStyle w:val="ListParagraph"/>
        <w:numPr>
          <w:ilvl w:val="0"/>
          <w:numId w:val="15"/>
        </w:numPr>
        <w:shd w:val="clear" w:color="auto" w:fill="FFFFFF"/>
        <w:tabs>
          <w:tab w:val="clear" w:pos="1080"/>
        </w:tabs>
        <w:ind w:left="0"/>
        <w:jc w:val="both"/>
        <w:rPr>
          <w:rStyle w:val="Strong"/>
          <w:rFonts w:asciiTheme="majorHAnsi" w:hAnsiTheme="majorHAnsi" w:cs="Tahoma"/>
          <w:b w:val="0"/>
          <w:sz w:val="20"/>
          <w:szCs w:val="20"/>
          <w:lang w:val="en-US"/>
        </w:rPr>
      </w:pPr>
      <w:r w:rsidRPr="005A41E0">
        <w:rPr>
          <w:rStyle w:val="Strong"/>
          <w:rFonts w:asciiTheme="majorHAnsi" w:hAnsiTheme="majorHAnsi" w:cs="Tahoma"/>
          <w:b w:val="0"/>
          <w:sz w:val="20"/>
          <w:szCs w:val="20"/>
          <w:lang w:val="en-US"/>
        </w:rPr>
        <w:t>The IACHR held its 158</w:t>
      </w:r>
      <w:r w:rsidRPr="005A41E0">
        <w:rPr>
          <w:rStyle w:val="Strong"/>
          <w:rFonts w:asciiTheme="majorHAnsi" w:hAnsiTheme="majorHAnsi" w:cs="Tahoma"/>
          <w:b w:val="0"/>
          <w:sz w:val="20"/>
          <w:szCs w:val="20"/>
          <w:vertAlign w:val="superscript"/>
          <w:lang w:val="en-US"/>
        </w:rPr>
        <w:t>th</w:t>
      </w:r>
      <w:r w:rsidRPr="005A41E0">
        <w:rPr>
          <w:rStyle w:val="Strong"/>
          <w:rFonts w:asciiTheme="majorHAnsi" w:hAnsiTheme="majorHAnsi" w:cs="Tahoma"/>
          <w:b w:val="0"/>
          <w:sz w:val="20"/>
          <w:szCs w:val="20"/>
          <w:lang w:val="en-US"/>
        </w:rPr>
        <w:t xml:space="preserve"> special period of sessions in </w:t>
      </w:r>
      <w:r w:rsidR="0048631A" w:rsidRPr="005A41E0">
        <w:rPr>
          <w:rStyle w:val="Strong"/>
          <w:rFonts w:asciiTheme="majorHAnsi" w:hAnsiTheme="majorHAnsi" w:cs="Tahoma"/>
          <w:b w:val="0"/>
          <w:sz w:val="20"/>
          <w:szCs w:val="20"/>
          <w:lang w:val="en-US"/>
        </w:rPr>
        <w:t>Santiago</w:t>
      </w:r>
      <w:r w:rsidRPr="005A41E0">
        <w:rPr>
          <w:rStyle w:val="Strong"/>
          <w:rFonts w:asciiTheme="majorHAnsi" w:hAnsiTheme="majorHAnsi" w:cs="Tahoma"/>
          <w:b w:val="0"/>
          <w:sz w:val="20"/>
          <w:szCs w:val="20"/>
          <w:lang w:val="en-US"/>
        </w:rPr>
        <w:t>,</w:t>
      </w:r>
      <w:r w:rsidR="0048631A" w:rsidRPr="005A41E0">
        <w:rPr>
          <w:rStyle w:val="Strong"/>
          <w:rFonts w:asciiTheme="majorHAnsi" w:hAnsiTheme="majorHAnsi" w:cs="Tahoma"/>
          <w:b w:val="0"/>
          <w:sz w:val="20"/>
          <w:szCs w:val="20"/>
          <w:lang w:val="en-US"/>
        </w:rPr>
        <w:t xml:space="preserve"> Chile</w:t>
      </w:r>
      <w:r w:rsidRPr="005A41E0">
        <w:rPr>
          <w:rStyle w:val="Strong"/>
          <w:rFonts w:asciiTheme="majorHAnsi" w:hAnsiTheme="majorHAnsi" w:cs="Tahoma"/>
          <w:b w:val="0"/>
          <w:sz w:val="20"/>
          <w:szCs w:val="20"/>
          <w:lang w:val="en-US"/>
        </w:rPr>
        <w:t xml:space="preserve">, June </w:t>
      </w:r>
      <w:r w:rsidR="0048631A" w:rsidRPr="005A41E0">
        <w:rPr>
          <w:rStyle w:val="Strong"/>
          <w:rFonts w:asciiTheme="majorHAnsi" w:hAnsiTheme="majorHAnsi" w:cs="Tahoma"/>
          <w:b w:val="0"/>
          <w:sz w:val="20"/>
          <w:szCs w:val="20"/>
          <w:lang w:val="en-US"/>
        </w:rPr>
        <w:t xml:space="preserve">6 </w:t>
      </w:r>
      <w:r w:rsidRPr="005A41E0">
        <w:rPr>
          <w:rStyle w:val="Strong"/>
          <w:rFonts w:asciiTheme="majorHAnsi" w:hAnsiTheme="majorHAnsi" w:cs="Tahoma"/>
          <w:b w:val="0"/>
          <w:sz w:val="20"/>
          <w:szCs w:val="20"/>
          <w:lang w:val="en-US"/>
        </w:rPr>
        <w:t xml:space="preserve">to </w:t>
      </w:r>
      <w:r w:rsidR="0048631A" w:rsidRPr="005A41E0">
        <w:rPr>
          <w:rStyle w:val="Strong"/>
          <w:rFonts w:asciiTheme="majorHAnsi" w:hAnsiTheme="majorHAnsi" w:cs="Tahoma"/>
          <w:b w:val="0"/>
          <w:sz w:val="20"/>
          <w:szCs w:val="20"/>
          <w:lang w:val="en-US"/>
        </w:rPr>
        <w:t>10</w:t>
      </w:r>
      <w:r w:rsidRPr="005A41E0">
        <w:rPr>
          <w:rStyle w:val="Strong"/>
          <w:rFonts w:asciiTheme="majorHAnsi" w:hAnsiTheme="majorHAnsi" w:cs="Tahoma"/>
          <w:b w:val="0"/>
          <w:sz w:val="20"/>
          <w:szCs w:val="20"/>
          <w:lang w:val="en-US"/>
        </w:rPr>
        <w:t>,</w:t>
      </w:r>
      <w:r w:rsidR="0048631A" w:rsidRPr="005A41E0">
        <w:rPr>
          <w:rStyle w:val="Strong"/>
          <w:rFonts w:asciiTheme="majorHAnsi" w:hAnsiTheme="majorHAnsi" w:cs="Tahoma"/>
          <w:b w:val="0"/>
          <w:sz w:val="20"/>
          <w:szCs w:val="20"/>
          <w:lang w:val="en-US"/>
        </w:rPr>
        <w:t xml:space="preserve"> </w:t>
      </w:r>
      <w:r w:rsidR="00555356" w:rsidRPr="005A41E0">
        <w:rPr>
          <w:rStyle w:val="Strong"/>
          <w:rFonts w:asciiTheme="majorHAnsi" w:hAnsiTheme="majorHAnsi" w:cs="Tahoma"/>
          <w:b w:val="0"/>
          <w:sz w:val="20"/>
          <w:szCs w:val="20"/>
          <w:lang w:val="en-US"/>
        </w:rPr>
        <w:t xml:space="preserve">2016, </w:t>
      </w:r>
      <w:r w:rsidRPr="005A41E0">
        <w:rPr>
          <w:rStyle w:val="Strong"/>
          <w:rFonts w:asciiTheme="majorHAnsi" w:hAnsiTheme="majorHAnsi" w:cs="Tahoma"/>
          <w:b w:val="0"/>
          <w:sz w:val="20"/>
          <w:szCs w:val="20"/>
          <w:lang w:val="en-US"/>
        </w:rPr>
        <w:t xml:space="preserve">at the invitation of the State of Chile. While in </w:t>
      </w:r>
      <w:r w:rsidR="00555356" w:rsidRPr="005A41E0">
        <w:rPr>
          <w:rStyle w:val="Strong"/>
          <w:rFonts w:asciiTheme="majorHAnsi" w:hAnsiTheme="majorHAnsi" w:cs="Tahoma"/>
          <w:b w:val="0"/>
          <w:sz w:val="20"/>
          <w:szCs w:val="20"/>
          <w:lang w:val="en-US"/>
        </w:rPr>
        <w:t>Chile</w:t>
      </w:r>
      <w:r w:rsidR="00E3280C">
        <w:rPr>
          <w:rStyle w:val="Strong"/>
          <w:rFonts w:asciiTheme="majorHAnsi" w:hAnsiTheme="majorHAnsi" w:cs="Tahoma"/>
          <w:b w:val="0"/>
          <w:sz w:val="20"/>
          <w:szCs w:val="20"/>
          <w:lang w:val="en-US"/>
        </w:rPr>
        <w:t xml:space="preserve"> the IACHR held meetings </w:t>
      </w:r>
      <w:r w:rsidRPr="005A41E0">
        <w:rPr>
          <w:rStyle w:val="Strong"/>
          <w:rFonts w:asciiTheme="majorHAnsi" w:hAnsiTheme="majorHAnsi" w:cs="Tahoma"/>
          <w:b w:val="0"/>
          <w:sz w:val="20"/>
          <w:szCs w:val="20"/>
          <w:lang w:val="en-US"/>
        </w:rPr>
        <w:t xml:space="preserve">with high-level authorities of the host country and Chilean and regional civil society organizations. Ten public hearings were held, as well as different events for promoting human rights. </w:t>
      </w:r>
    </w:p>
    <w:p w:rsidR="0048631A" w:rsidRPr="005A41E0" w:rsidRDefault="0048631A" w:rsidP="005A41E0">
      <w:pPr>
        <w:shd w:val="clear" w:color="auto" w:fill="FFFFFF"/>
        <w:ind w:left="360"/>
        <w:jc w:val="both"/>
        <w:rPr>
          <w:rStyle w:val="Strong"/>
          <w:rFonts w:asciiTheme="majorHAnsi" w:hAnsiTheme="majorHAnsi" w:cs="Tahoma"/>
          <w:b w:val="0"/>
          <w:sz w:val="20"/>
          <w:szCs w:val="20"/>
          <w:lang w:val="en-US"/>
        </w:rPr>
      </w:pPr>
    </w:p>
    <w:p w:rsidR="0048631A" w:rsidRPr="005A41E0" w:rsidRDefault="00953110" w:rsidP="00E3280C">
      <w:pPr>
        <w:pStyle w:val="ListParagraph"/>
        <w:numPr>
          <w:ilvl w:val="0"/>
          <w:numId w:val="15"/>
        </w:numPr>
        <w:shd w:val="clear" w:color="auto" w:fill="FFFFFF"/>
        <w:tabs>
          <w:tab w:val="clear" w:pos="1080"/>
        </w:tabs>
        <w:ind w:left="0"/>
        <w:jc w:val="both"/>
        <w:rPr>
          <w:rStyle w:val="Strong"/>
          <w:rFonts w:asciiTheme="majorHAnsi" w:hAnsiTheme="majorHAnsi" w:cs="Tahoma"/>
          <w:b w:val="0"/>
          <w:sz w:val="20"/>
          <w:szCs w:val="20"/>
          <w:lang w:val="en-US"/>
        </w:rPr>
      </w:pPr>
      <w:r w:rsidRPr="005A41E0">
        <w:rPr>
          <w:rStyle w:val="Strong"/>
          <w:rFonts w:asciiTheme="majorHAnsi" w:hAnsiTheme="majorHAnsi" w:cs="Tahoma"/>
          <w:b w:val="0"/>
          <w:sz w:val="20"/>
          <w:szCs w:val="20"/>
          <w:lang w:val="en-US"/>
        </w:rPr>
        <w:t>The IACHR is profoundly grateful to the Government of Chile for the invitation to hold its special period of sessions in the country, and for the facilities provided. The Commission is especially grateful to the Legislative branch, the Judicial branch, the National Human Rights Institute</w:t>
      </w:r>
      <w:r w:rsidR="0048631A" w:rsidRPr="005A41E0">
        <w:rPr>
          <w:rStyle w:val="Strong"/>
          <w:rFonts w:asciiTheme="majorHAnsi" w:hAnsiTheme="majorHAnsi" w:cs="Tahoma"/>
          <w:b w:val="0"/>
          <w:sz w:val="20"/>
          <w:szCs w:val="20"/>
          <w:lang w:val="en-US"/>
        </w:rPr>
        <w:t xml:space="preserve">, </w:t>
      </w:r>
      <w:r w:rsidRPr="005A41E0">
        <w:rPr>
          <w:rStyle w:val="Strong"/>
          <w:rFonts w:asciiTheme="majorHAnsi" w:hAnsiTheme="majorHAnsi" w:cs="Tahoma"/>
          <w:b w:val="0"/>
          <w:sz w:val="20"/>
          <w:szCs w:val="20"/>
          <w:lang w:val="en-US"/>
        </w:rPr>
        <w:t xml:space="preserve">and civil society organizations and the people of Chile for their warm hospitality and assistance. </w:t>
      </w:r>
    </w:p>
    <w:p w:rsidR="0048631A" w:rsidRPr="005A41E0" w:rsidRDefault="0048631A" w:rsidP="005A41E0">
      <w:pPr>
        <w:shd w:val="clear" w:color="auto" w:fill="FFFFFF"/>
        <w:ind w:left="360"/>
        <w:jc w:val="both"/>
        <w:rPr>
          <w:rStyle w:val="Strong"/>
          <w:rFonts w:asciiTheme="majorHAnsi" w:hAnsiTheme="majorHAnsi" w:cs="Tahoma"/>
          <w:b w:val="0"/>
          <w:sz w:val="20"/>
          <w:szCs w:val="20"/>
          <w:lang w:val="en-US"/>
        </w:rPr>
      </w:pPr>
    </w:p>
    <w:p w:rsidR="0048631A" w:rsidRPr="005A41E0" w:rsidRDefault="00953110" w:rsidP="005A41E0">
      <w:pPr>
        <w:pStyle w:val="ListParagraph"/>
        <w:numPr>
          <w:ilvl w:val="0"/>
          <w:numId w:val="15"/>
        </w:numPr>
        <w:shd w:val="clear" w:color="auto" w:fill="FFFFFF"/>
        <w:tabs>
          <w:tab w:val="clear" w:pos="1080"/>
        </w:tabs>
        <w:ind w:left="0"/>
        <w:jc w:val="both"/>
        <w:rPr>
          <w:rStyle w:val="Strong"/>
          <w:rFonts w:asciiTheme="majorHAnsi" w:hAnsiTheme="majorHAnsi" w:cs="Tahoma"/>
          <w:b w:val="0"/>
          <w:sz w:val="20"/>
          <w:szCs w:val="20"/>
          <w:lang w:val="en-US"/>
        </w:rPr>
      </w:pPr>
      <w:r w:rsidRPr="005A41E0">
        <w:rPr>
          <w:rStyle w:val="Strong"/>
          <w:rFonts w:asciiTheme="majorHAnsi" w:hAnsiTheme="majorHAnsi" w:cs="Tahoma"/>
          <w:b w:val="0"/>
          <w:sz w:val="20"/>
          <w:szCs w:val="20"/>
          <w:lang w:val="en-US"/>
        </w:rPr>
        <w:t xml:space="preserve">While in Chile the IACHR held high-level meetings with authorities of the State. It engaged in a dialogue with the President of the Republic, </w:t>
      </w:r>
      <w:r w:rsidR="0048631A" w:rsidRPr="005A41E0">
        <w:rPr>
          <w:rStyle w:val="Strong"/>
          <w:rFonts w:asciiTheme="majorHAnsi" w:hAnsiTheme="majorHAnsi" w:cs="Tahoma"/>
          <w:b w:val="0"/>
          <w:sz w:val="20"/>
          <w:szCs w:val="20"/>
          <w:lang w:val="en-US"/>
        </w:rPr>
        <w:t xml:space="preserve">Michelle Bachelet; </w:t>
      </w:r>
      <w:r w:rsidRPr="005A41E0">
        <w:rPr>
          <w:rStyle w:val="Strong"/>
          <w:rFonts w:asciiTheme="majorHAnsi" w:hAnsiTheme="majorHAnsi" w:cs="Tahoma"/>
          <w:b w:val="0"/>
          <w:sz w:val="20"/>
          <w:szCs w:val="20"/>
          <w:lang w:val="en-US"/>
        </w:rPr>
        <w:t xml:space="preserve">the Minister of Foreign Affairs, </w:t>
      </w:r>
      <w:r w:rsidR="0048631A" w:rsidRPr="005A41E0">
        <w:rPr>
          <w:rStyle w:val="Strong"/>
          <w:rFonts w:asciiTheme="majorHAnsi" w:hAnsiTheme="majorHAnsi" w:cs="Tahoma"/>
          <w:b w:val="0"/>
          <w:sz w:val="20"/>
          <w:szCs w:val="20"/>
          <w:lang w:val="en-US"/>
        </w:rPr>
        <w:t xml:space="preserve">Heraldo Muñoz Valenzuela; </w:t>
      </w:r>
      <w:r w:rsidRPr="005A41E0">
        <w:rPr>
          <w:rStyle w:val="Strong"/>
          <w:rFonts w:asciiTheme="majorHAnsi" w:hAnsiTheme="majorHAnsi" w:cs="Tahoma"/>
          <w:b w:val="0"/>
          <w:sz w:val="20"/>
          <w:szCs w:val="20"/>
          <w:lang w:val="en-US"/>
        </w:rPr>
        <w:t>the President of the Senate</w:t>
      </w:r>
      <w:r w:rsidR="0048631A" w:rsidRPr="005A41E0">
        <w:rPr>
          <w:rStyle w:val="Strong"/>
          <w:rFonts w:asciiTheme="majorHAnsi" w:hAnsiTheme="majorHAnsi" w:cs="Tahoma"/>
          <w:b w:val="0"/>
          <w:sz w:val="20"/>
          <w:szCs w:val="20"/>
          <w:lang w:val="en-US"/>
        </w:rPr>
        <w:t xml:space="preserve">, Ricardo Lagos Weber; </w:t>
      </w:r>
      <w:r w:rsidRPr="005A41E0">
        <w:rPr>
          <w:rStyle w:val="Strong"/>
          <w:rFonts w:asciiTheme="majorHAnsi" w:hAnsiTheme="majorHAnsi" w:cs="Tahoma"/>
          <w:b w:val="0"/>
          <w:sz w:val="20"/>
          <w:szCs w:val="20"/>
          <w:lang w:val="en-US"/>
        </w:rPr>
        <w:t xml:space="preserve">the President of the National Congress, </w:t>
      </w:r>
      <w:r w:rsidR="0048631A" w:rsidRPr="005A41E0">
        <w:rPr>
          <w:rStyle w:val="Strong"/>
          <w:rFonts w:asciiTheme="majorHAnsi" w:hAnsiTheme="majorHAnsi" w:cs="Tahoma"/>
          <w:b w:val="0"/>
          <w:sz w:val="20"/>
          <w:szCs w:val="20"/>
          <w:lang w:val="en-US"/>
        </w:rPr>
        <w:t>Osvaldo Andrade Lara</w:t>
      </w:r>
      <w:r w:rsidR="00EA7CD9" w:rsidRPr="005A41E0">
        <w:rPr>
          <w:rStyle w:val="Strong"/>
          <w:rFonts w:asciiTheme="majorHAnsi" w:hAnsiTheme="majorHAnsi" w:cs="Tahoma"/>
          <w:b w:val="0"/>
          <w:sz w:val="20"/>
          <w:szCs w:val="20"/>
          <w:lang w:val="en-US"/>
        </w:rPr>
        <w:t>;</w:t>
      </w:r>
      <w:r w:rsidR="0048631A" w:rsidRPr="005A41E0">
        <w:rPr>
          <w:rStyle w:val="Strong"/>
          <w:rFonts w:asciiTheme="majorHAnsi" w:hAnsiTheme="majorHAnsi" w:cs="Tahoma"/>
          <w:b w:val="0"/>
          <w:sz w:val="20"/>
          <w:szCs w:val="20"/>
          <w:lang w:val="en-US"/>
        </w:rPr>
        <w:t xml:space="preserve"> </w:t>
      </w:r>
      <w:r w:rsidRPr="005A41E0">
        <w:rPr>
          <w:rStyle w:val="Strong"/>
          <w:rFonts w:asciiTheme="majorHAnsi" w:hAnsiTheme="majorHAnsi" w:cs="Tahoma"/>
          <w:b w:val="0"/>
          <w:sz w:val="20"/>
          <w:szCs w:val="20"/>
          <w:lang w:val="en-US"/>
        </w:rPr>
        <w:t>the Minister of Justice</w:t>
      </w:r>
      <w:r w:rsidR="0048631A" w:rsidRPr="005A41E0">
        <w:rPr>
          <w:rStyle w:val="Strong"/>
          <w:rFonts w:asciiTheme="majorHAnsi" w:hAnsiTheme="majorHAnsi" w:cs="Tahoma"/>
          <w:b w:val="0"/>
          <w:sz w:val="20"/>
          <w:szCs w:val="20"/>
          <w:lang w:val="en-US"/>
        </w:rPr>
        <w:t>, Javiera Blanco Suárez</w:t>
      </w:r>
      <w:r w:rsidR="00EA7CD9" w:rsidRPr="005A41E0">
        <w:rPr>
          <w:rStyle w:val="Strong"/>
          <w:rFonts w:asciiTheme="majorHAnsi" w:hAnsiTheme="majorHAnsi" w:cs="Tahoma"/>
          <w:b w:val="0"/>
          <w:sz w:val="20"/>
          <w:szCs w:val="20"/>
          <w:lang w:val="en-US"/>
        </w:rPr>
        <w:t>;</w:t>
      </w:r>
      <w:r w:rsidR="0048631A" w:rsidRPr="005A41E0">
        <w:rPr>
          <w:rStyle w:val="Strong"/>
          <w:rFonts w:asciiTheme="majorHAnsi" w:hAnsiTheme="majorHAnsi" w:cs="Tahoma"/>
          <w:b w:val="0"/>
          <w:sz w:val="20"/>
          <w:szCs w:val="20"/>
          <w:lang w:val="en-US"/>
        </w:rPr>
        <w:t xml:space="preserve"> </w:t>
      </w:r>
      <w:r w:rsidRPr="005A41E0">
        <w:rPr>
          <w:rStyle w:val="Strong"/>
          <w:rFonts w:asciiTheme="majorHAnsi" w:hAnsiTheme="majorHAnsi" w:cs="Tahoma"/>
          <w:b w:val="0"/>
          <w:sz w:val="20"/>
          <w:szCs w:val="20"/>
          <w:lang w:val="en-US"/>
        </w:rPr>
        <w:t xml:space="preserve">and the President of the Supreme Court of Justice, </w:t>
      </w:r>
      <w:r w:rsidR="0048631A" w:rsidRPr="005A41E0">
        <w:rPr>
          <w:rStyle w:val="Strong"/>
          <w:rFonts w:asciiTheme="majorHAnsi" w:hAnsiTheme="majorHAnsi" w:cs="Tahoma"/>
          <w:b w:val="0"/>
          <w:sz w:val="20"/>
          <w:szCs w:val="20"/>
          <w:lang w:val="en-US"/>
        </w:rPr>
        <w:t xml:space="preserve">Hugo Enrique Dolmetsch Urra. </w:t>
      </w:r>
    </w:p>
    <w:p w:rsidR="0048631A" w:rsidRPr="005A41E0" w:rsidRDefault="0048631A" w:rsidP="005A41E0">
      <w:pPr>
        <w:shd w:val="clear" w:color="auto" w:fill="FFFFFF"/>
        <w:ind w:left="360"/>
        <w:jc w:val="both"/>
        <w:rPr>
          <w:rStyle w:val="Strong"/>
          <w:rFonts w:asciiTheme="majorHAnsi" w:hAnsiTheme="majorHAnsi" w:cs="Tahoma"/>
          <w:b w:val="0"/>
          <w:sz w:val="20"/>
          <w:szCs w:val="20"/>
          <w:lang w:val="en-US"/>
        </w:rPr>
      </w:pPr>
    </w:p>
    <w:p w:rsidR="0048631A" w:rsidRPr="005A41E0" w:rsidRDefault="00953110" w:rsidP="005A41E0">
      <w:pPr>
        <w:pStyle w:val="ListParagraph"/>
        <w:numPr>
          <w:ilvl w:val="0"/>
          <w:numId w:val="15"/>
        </w:numPr>
        <w:tabs>
          <w:tab w:val="clear" w:pos="1080"/>
        </w:tabs>
        <w:ind w:left="0"/>
        <w:jc w:val="both"/>
        <w:rPr>
          <w:rFonts w:asciiTheme="majorHAnsi" w:hAnsiTheme="majorHAnsi" w:cs="Tahoma"/>
          <w:bCs/>
          <w:sz w:val="20"/>
          <w:szCs w:val="20"/>
          <w:shd w:val="clear" w:color="auto" w:fill="F4F5F7"/>
          <w:lang w:val="en-US"/>
        </w:rPr>
      </w:pPr>
      <w:r w:rsidRPr="005A41E0">
        <w:rPr>
          <w:rFonts w:asciiTheme="majorHAnsi" w:hAnsiTheme="majorHAnsi" w:cs="Tahoma"/>
          <w:bCs/>
          <w:sz w:val="20"/>
          <w:szCs w:val="20"/>
          <w:lang w:val="en-US"/>
        </w:rPr>
        <w:t xml:space="preserve">The IACHR also held meetings with persons who participated on their own behalf. The various meetings addressed the following topics: general human rights situation in </w:t>
      </w:r>
      <w:r w:rsidR="0048631A" w:rsidRPr="005A41E0">
        <w:rPr>
          <w:rFonts w:asciiTheme="majorHAnsi" w:hAnsiTheme="majorHAnsi" w:cs="Tahoma"/>
          <w:sz w:val="20"/>
          <w:szCs w:val="20"/>
          <w:shd w:val="clear" w:color="auto" w:fill="FFFFFF"/>
          <w:lang w:val="en-US"/>
        </w:rPr>
        <w:t>Chile</w:t>
      </w:r>
      <w:r w:rsidR="00B2128D" w:rsidRPr="005A41E0">
        <w:rPr>
          <w:rFonts w:asciiTheme="majorHAnsi" w:hAnsiTheme="majorHAnsi" w:cs="Tahoma"/>
          <w:sz w:val="20"/>
          <w:szCs w:val="20"/>
          <w:shd w:val="clear" w:color="auto" w:fill="FFFFFF"/>
          <w:lang w:val="en-US"/>
        </w:rPr>
        <w:t>;</w:t>
      </w:r>
      <w:r w:rsidR="0048631A"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human rights situation of persons deprived of liberty</w:t>
      </w:r>
      <w:r w:rsidR="0048631A"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migrants, women, children and adolescents, indigenous persons, Afrodescendants, lesbian, gay, bisexual</w:t>
      </w:r>
      <w:r w:rsidR="0048631A" w:rsidRPr="005A41E0">
        <w:rPr>
          <w:rFonts w:asciiTheme="majorHAnsi" w:hAnsiTheme="majorHAnsi" w:cs="Tahoma"/>
          <w:sz w:val="20"/>
          <w:szCs w:val="20"/>
          <w:shd w:val="clear" w:color="auto" w:fill="FFFFFF"/>
          <w:lang w:val="en-US"/>
        </w:rPr>
        <w:t xml:space="preserve">, trans </w:t>
      </w:r>
      <w:r w:rsidRPr="005A41E0">
        <w:rPr>
          <w:rFonts w:asciiTheme="majorHAnsi" w:hAnsiTheme="majorHAnsi" w:cs="Tahoma"/>
          <w:sz w:val="20"/>
          <w:szCs w:val="20"/>
          <w:shd w:val="clear" w:color="auto" w:fill="FFFFFF"/>
          <w:lang w:val="en-US"/>
        </w:rPr>
        <w:t xml:space="preserve">and </w:t>
      </w:r>
      <w:r w:rsidR="0048631A" w:rsidRPr="005A41E0">
        <w:rPr>
          <w:rFonts w:asciiTheme="majorHAnsi" w:hAnsiTheme="majorHAnsi" w:cs="Tahoma"/>
          <w:sz w:val="20"/>
          <w:szCs w:val="20"/>
          <w:shd w:val="clear" w:color="auto" w:fill="FFFFFF"/>
          <w:lang w:val="en-US"/>
        </w:rPr>
        <w:t>intersex</w:t>
      </w:r>
      <w:r w:rsidRPr="005A41E0">
        <w:rPr>
          <w:rFonts w:asciiTheme="majorHAnsi" w:hAnsiTheme="majorHAnsi" w:cs="Tahoma"/>
          <w:sz w:val="20"/>
          <w:szCs w:val="20"/>
          <w:shd w:val="clear" w:color="auto" w:fill="FFFFFF"/>
          <w:lang w:val="en-US"/>
        </w:rPr>
        <w:t xml:space="preserve"> persons</w:t>
      </w:r>
      <w:r w:rsidR="0048631A" w:rsidRPr="005A41E0">
        <w:rPr>
          <w:rFonts w:asciiTheme="majorHAnsi" w:hAnsiTheme="majorHAnsi" w:cs="Tahoma"/>
          <w:sz w:val="20"/>
          <w:szCs w:val="20"/>
          <w:shd w:val="clear" w:color="auto" w:fill="FFFFFF"/>
          <w:lang w:val="en-US"/>
        </w:rPr>
        <w:t xml:space="preserve">, </w:t>
      </w:r>
      <w:r w:rsidRPr="005A41E0">
        <w:rPr>
          <w:rFonts w:asciiTheme="majorHAnsi" w:hAnsiTheme="majorHAnsi" w:cs="Tahoma"/>
          <w:sz w:val="20"/>
          <w:szCs w:val="20"/>
          <w:shd w:val="clear" w:color="auto" w:fill="FFFFFF"/>
          <w:lang w:val="en-US"/>
        </w:rPr>
        <w:t xml:space="preserve">human rights defenders, and judicial officers; as well as the situation of the right to freedom of expression, </w:t>
      </w:r>
      <w:r w:rsidR="00E3280C">
        <w:rPr>
          <w:rFonts w:asciiTheme="majorHAnsi" w:hAnsiTheme="majorHAnsi" w:cs="Tahoma"/>
          <w:sz w:val="20"/>
          <w:szCs w:val="20"/>
          <w:shd w:val="clear" w:color="auto" w:fill="FFFFFF"/>
          <w:lang w:val="en-US"/>
        </w:rPr>
        <w:t xml:space="preserve">the </w:t>
      </w:r>
      <w:r w:rsidRPr="005A41E0">
        <w:rPr>
          <w:rFonts w:asciiTheme="majorHAnsi" w:hAnsiTheme="majorHAnsi" w:cs="Tahoma"/>
          <w:sz w:val="20"/>
          <w:szCs w:val="20"/>
          <w:shd w:val="clear" w:color="auto" w:fill="FFFFFF"/>
          <w:lang w:val="en-US"/>
        </w:rPr>
        <w:t xml:space="preserve">right to </w:t>
      </w:r>
      <w:r w:rsidR="00E3280C">
        <w:rPr>
          <w:rFonts w:asciiTheme="majorHAnsi" w:hAnsiTheme="majorHAnsi" w:cs="Tahoma"/>
          <w:sz w:val="20"/>
          <w:szCs w:val="20"/>
          <w:shd w:val="clear" w:color="auto" w:fill="FFFFFF"/>
          <w:lang w:val="en-US"/>
        </w:rPr>
        <w:t xml:space="preserve">freedom of </w:t>
      </w:r>
      <w:r w:rsidRPr="005A41E0">
        <w:rPr>
          <w:rFonts w:asciiTheme="majorHAnsi" w:hAnsiTheme="majorHAnsi" w:cs="Tahoma"/>
          <w:sz w:val="20"/>
          <w:szCs w:val="20"/>
          <w:shd w:val="clear" w:color="auto" w:fill="FFFFFF"/>
          <w:lang w:val="en-US"/>
        </w:rPr>
        <w:t>assembly, association, and public protest, economic, social, and cultural rights, and the right</w:t>
      </w:r>
      <w:r w:rsidR="00E3280C">
        <w:rPr>
          <w:rFonts w:asciiTheme="majorHAnsi" w:hAnsiTheme="majorHAnsi" w:cs="Tahoma"/>
          <w:sz w:val="20"/>
          <w:szCs w:val="20"/>
          <w:shd w:val="clear" w:color="auto" w:fill="FFFFFF"/>
          <w:lang w:val="en-US"/>
        </w:rPr>
        <w:t>s</w:t>
      </w:r>
      <w:r w:rsidRPr="005A41E0">
        <w:rPr>
          <w:rFonts w:asciiTheme="majorHAnsi" w:hAnsiTheme="majorHAnsi" w:cs="Tahoma"/>
          <w:sz w:val="20"/>
          <w:szCs w:val="20"/>
          <w:shd w:val="clear" w:color="auto" w:fill="FFFFFF"/>
          <w:lang w:val="en-US"/>
        </w:rPr>
        <w:t xml:space="preserve"> to water, health, and education. </w:t>
      </w:r>
    </w:p>
    <w:p w:rsidR="0048631A" w:rsidRPr="005A41E0" w:rsidRDefault="0048631A" w:rsidP="005A41E0">
      <w:pPr>
        <w:ind w:left="360"/>
        <w:jc w:val="both"/>
        <w:rPr>
          <w:rFonts w:asciiTheme="majorHAnsi" w:hAnsiTheme="majorHAnsi" w:cs="Tahoma"/>
          <w:sz w:val="20"/>
          <w:szCs w:val="20"/>
          <w:shd w:val="clear" w:color="auto" w:fill="FFFFFF"/>
          <w:lang w:val="en-US"/>
        </w:rPr>
      </w:pPr>
    </w:p>
    <w:p w:rsidR="0048631A" w:rsidRPr="000643A5" w:rsidRDefault="00FF1824" w:rsidP="005A41E0">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rPr>
      </w:pPr>
      <w:r w:rsidRPr="000643A5">
        <w:rPr>
          <w:rFonts w:asciiTheme="majorHAnsi" w:hAnsiTheme="majorHAnsi" w:cs="Tahoma"/>
          <w:sz w:val="20"/>
          <w:szCs w:val="20"/>
          <w:shd w:val="clear" w:color="auto" w:fill="FFFFFF"/>
        </w:rPr>
        <w:t>The organizations that participated in these meetings were</w:t>
      </w:r>
      <w:r w:rsidR="0048631A" w:rsidRPr="000643A5">
        <w:rPr>
          <w:rFonts w:asciiTheme="majorHAnsi" w:hAnsiTheme="majorHAnsi" w:cs="Tahoma"/>
          <w:sz w:val="20"/>
          <w:szCs w:val="20"/>
          <w:shd w:val="clear" w:color="auto" w:fill="FFFFFF"/>
        </w:rPr>
        <w:t xml:space="preserve">: 81 Razones, Agrupación Lésbica Rompiendo el Silencio, Caritas Chile, Casa Memoria José Domingo Cañas, Centro de Estudios en Seguridad Ciudadana, Corporación Fundamental, Corporación Opción, Fundación Iguales, Fundación PIDEE, Instituto de Estudios Internacionales Universidad Arturo Prat, Instituto de la Mujer, </w:t>
      </w:r>
      <w:r w:rsidR="00C02CCC" w:rsidRPr="000643A5">
        <w:rPr>
          <w:rFonts w:asciiTheme="majorHAnsi" w:hAnsiTheme="majorHAnsi" w:cs="Tahoma"/>
          <w:sz w:val="20"/>
          <w:szCs w:val="20"/>
          <w:shd w:val="clear" w:color="auto" w:fill="FFFFFF"/>
        </w:rPr>
        <w:t>Litigación Estratégica para el Sur (</w:t>
      </w:r>
      <w:r w:rsidR="0048631A" w:rsidRPr="000643A5">
        <w:rPr>
          <w:rFonts w:asciiTheme="majorHAnsi" w:hAnsiTheme="majorHAnsi" w:cs="Tahoma"/>
          <w:sz w:val="20"/>
          <w:szCs w:val="20"/>
          <w:shd w:val="clear" w:color="auto" w:fill="FFFFFF"/>
        </w:rPr>
        <w:t>LEASUR</w:t>
      </w:r>
      <w:r w:rsidR="00C02CCC" w:rsidRPr="000643A5">
        <w:rPr>
          <w:rFonts w:asciiTheme="majorHAnsi" w:hAnsiTheme="majorHAnsi" w:cs="Tahoma"/>
          <w:sz w:val="20"/>
          <w:szCs w:val="20"/>
          <w:shd w:val="clear" w:color="auto" w:fill="FFFFFF"/>
        </w:rPr>
        <w:t>)</w:t>
      </w:r>
      <w:r w:rsidR="0048631A" w:rsidRPr="000643A5">
        <w:rPr>
          <w:rFonts w:asciiTheme="majorHAnsi" w:hAnsiTheme="majorHAnsi" w:cs="Tahoma"/>
          <w:sz w:val="20"/>
          <w:szCs w:val="20"/>
          <w:shd w:val="clear" w:color="auto" w:fill="FFFFFF"/>
        </w:rPr>
        <w:t>, Londres 38, Movilizándonos, Movimiento Acción Migrante, Movimiento de Integración y Liberación Homosexual (MOVILH), Observadores DDHH Casa Memoria, Observatorio Ciudadano, Oro Negro, Pastoral Carcelaria Nacional, Red CELAR, Red CELAM</w:t>
      </w:r>
      <w:r w:rsidR="00B2128D" w:rsidRPr="000643A5">
        <w:rPr>
          <w:rFonts w:asciiTheme="majorHAnsi" w:hAnsiTheme="majorHAnsi" w:cs="Tahoma"/>
          <w:sz w:val="20"/>
          <w:szCs w:val="20"/>
          <w:shd w:val="clear" w:color="auto" w:fill="FFFFFF"/>
        </w:rPr>
        <w:t>/</w:t>
      </w:r>
      <w:r w:rsidR="0048631A" w:rsidRPr="000643A5">
        <w:rPr>
          <w:rFonts w:asciiTheme="majorHAnsi" w:hAnsiTheme="majorHAnsi" w:cs="Tahoma"/>
          <w:sz w:val="20"/>
          <w:szCs w:val="20"/>
          <w:shd w:val="clear" w:color="auto" w:fill="FFFFFF"/>
        </w:rPr>
        <w:t>SELACC</w:t>
      </w:r>
      <w:r w:rsidR="00B2128D" w:rsidRPr="000643A5">
        <w:rPr>
          <w:rFonts w:asciiTheme="majorHAnsi" w:hAnsiTheme="majorHAnsi" w:cs="Tahoma"/>
          <w:sz w:val="20"/>
          <w:szCs w:val="20"/>
          <w:shd w:val="clear" w:color="auto" w:fill="FFFFFF"/>
        </w:rPr>
        <w:t xml:space="preserve"> (</w:t>
      </w:r>
      <w:r w:rsidRPr="000643A5">
        <w:rPr>
          <w:rFonts w:asciiTheme="majorHAnsi" w:hAnsiTheme="majorHAnsi" w:cs="Tahoma"/>
          <w:sz w:val="20"/>
          <w:szCs w:val="20"/>
          <w:shd w:val="clear" w:color="auto" w:fill="FFFFFF"/>
        </w:rPr>
        <w:t xml:space="preserve">Latin American Bishops Council/Secretariat for Latin America and the Caribbean of Caritas), </w:t>
      </w:r>
      <w:r w:rsidR="0048631A" w:rsidRPr="000643A5">
        <w:rPr>
          <w:rFonts w:asciiTheme="majorHAnsi" w:hAnsiTheme="majorHAnsi" w:cs="Tahoma"/>
          <w:sz w:val="20"/>
          <w:szCs w:val="20"/>
          <w:shd w:val="clear" w:color="auto" w:fill="FFFFFF"/>
        </w:rPr>
        <w:t xml:space="preserve">Red de Organizaciones de Infancia y Juventud (ROIJ), Red Nacional de ONGs de Niñez y Adolescencia, </w:t>
      </w:r>
      <w:r w:rsidRPr="000643A5">
        <w:rPr>
          <w:rFonts w:asciiTheme="majorHAnsi" w:hAnsiTheme="majorHAnsi" w:cs="Tahoma"/>
          <w:sz w:val="20"/>
          <w:szCs w:val="20"/>
          <w:shd w:val="clear" w:color="auto" w:fill="FFFFFF"/>
        </w:rPr>
        <w:t xml:space="preserve">and </w:t>
      </w:r>
      <w:r w:rsidR="0048631A" w:rsidRPr="000643A5">
        <w:rPr>
          <w:rFonts w:asciiTheme="majorHAnsi" w:hAnsiTheme="majorHAnsi" w:cs="Tahoma"/>
          <w:sz w:val="20"/>
          <w:szCs w:val="20"/>
          <w:shd w:val="clear" w:color="auto" w:fill="FFFFFF"/>
        </w:rPr>
        <w:t>Visibles</w:t>
      </w:r>
      <w:r w:rsidR="00B2128D" w:rsidRPr="000643A5">
        <w:rPr>
          <w:rFonts w:asciiTheme="majorHAnsi" w:hAnsiTheme="majorHAnsi" w:cs="Tahoma"/>
          <w:sz w:val="20"/>
          <w:szCs w:val="20"/>
          <w:shd w:val="clear" w:color="auto" w:fill="FFFFFF"/>
        </w:rPr>
        <w:t>.</w:t>
      </w:r>
    </w:p>
    <w:p w:rsidR="00013047" w:rsidRPr="000643A5" w:rsidRDefault="00013047" w:rsidP="005A41E0">
      <w:pPr>
        <w:pStyle w:val="ListParagraph"/>
        <w:ind w:left="1800"/>
        <w:jc w:val="both"/>
        <w:rPr>
          <w:rFonts w:asciiTheme="majorHAnsi" w:hAnsiTheme="majorHAnsi" w:cs="Tahoma"/>
          <w:sz w:val="20"/>
          <w:szCs w:val="20"/>
          <w:shd w:val="clear" w:color="auto" w:fill="FFFFFF"/>
        </w:rPr>
      </w:pPr>
    </w:p>
    <w:p w:rsidR="00013047" w:rsidRPr="005A41E0" w:rsidRDefault="00FF1824" w:rsidP="005A41E0">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cs="Tahoma"/>
          <w:sz w:val="20"/>
          <w:szCs w:val="20"/>
          <w:shd w:val="clear" w:color="auto" w:fill="FFFFFF"/>
          <w:lang w:val="en-US"/>
        </w:rPr>
        <w:t>During the special period of sessions the IACHR participated in three academic promotion activities</w:t>
      </w:r>
      <w:r w:rsidR="00013047" w:rsidRPr="005A41E0">
        <w:rPr>
          <w:rFonts w:asciiTheme="majorHAnsi" w:hAnsiTheme="majorHAnsi" w:cs="Tahoma"/>
          <w:sz w:val="20"/>
          <w:szCs w:val="20"/>
          <w:shd w:val="clear" w:color="auto" w:fill="FFFFFF"/>
          <w:lang w:val="en-US"/>
        </w:rPr>
        <w:t>:</w:t>
      </w:r>
    </w:p>
    <w:p w:rsidR="00013047" w:rsidRPr="005A41E0" w:rsidRDefault="00013047" w:rsidP="005A41E0">
      <w:pPr>
        <w:pStyle w:val="ListParagraph"/>
        <w:ind w:left="1800"/>
        <w:jc w:val="both"/>
        <w:rPr>
          <w:rFonts w:asciiTheme="majorHAnsi" w:hAnsiTheme="majorHAnsi" w:cs="Tahoma"/>
          <w:sz w:val="20"/>
          <w:szCs w:val="20"/>
          <w:shd w:val="clear" w:color="auto" w:fill="FFFFFF"/>
          <w:lang w:val="en-US"/>
        </w:rPr>
      </w:pPr>
    </w:p>
    <w:p w:rsidR="00013047" w:rsidRPr="005A41E0" w:rsidRDefault="00C02CCC" w:rsidP="005A41E0">
      <w:pPr>
        <w:pStyle w:val="ListParagraph"/>
        <w:numPr>
          <w:ilvl w:val="0"/>
          <w:numId w:val="19"/>
        </w:numPr>
        <w:ind w:left="1080"/>
        <w:jc w:val="both"/>
        <w:rPr>
          <w:rFonts w:asciiTheme="majorHAnsi" w:hAnsiTheme="majorHAnsi"/>
          <w:sz w:val="20"/>
          <w:szCs w:val="20"/>
          <w:lang w:val="en-US"/>
        </w:rPr>
      </w:pPr>
      <w:r w:rsidRPr="005A41E0">
        <w:rPr>
          <w:rFonts w:asciiTheme="majorHAnsi" w:hAnsiTheme="majorHAnsi"/>
          <w:sz w:val="20"/>
          <w:szCs w:val="20"/>
          <w:lang w:val="en-US"/>
        </w:rPr>
        <w:t>P</w:t>
      </w:r>
      <w:r w:rsidR="00FF1824" w:rsidRPr="005A41E0">
        <w:rPr>
          <w:rFonts w:asciiTheme="majorHAnsi" w:hAnsiTheme="majorHAnsi"/>
          <w:sz w:val="20"/>
          <w:szCs w:val="20"/>
          <w:lang w:val="en-US"/>
        </w:rPr>
        <w:t>anel discussions o</w:t>
      </w:r>
      <w:r w:rsidR="0023745C">
        <w:rPr>
          <w:rFonts w:asciiTheme="majorHAnsi" w:hAnsiTheme="majorHAnsi"/>
          <w:sz w:val="20"/>
          <w:szCs w:val="20"/>
          <w:lang w:val="en-US"/>
        </w:rPr>
        <w:t xml:space="preserve">n the gains made and challenges </w:t>
      </w:r>
      <w:r w:rsidR="00FF1824" w:rsidRPr="005A41E0">
        <w:rPr>
          <w:rFonts w:asciiTheme="majorHAnsi" w:hAnsiTheme="majorHAnsi"/>
          <w:sz w:val="20"/>
          <w:szCs w:val="20"/>
          <w:lang w:val="en-US"/>
        </w:rPr>
        <w:t xml:space="preserve">faced by the IACHR, right to truth, justice, and reparation, and inter-American standards on equity and non-discrimination, at the Museum of Memory and Human Rights. </w:t>
      </w:r>
    </w:p>
    <w:p w:rsidR="00013047" w:rsidRPr="005A41E0" w:rsidRDefault="00013047" w:rsidP="005A41E0">
      <w:pPr>
        <w:ind w:left="1080" w:hanging="360"/>
        <w:jc w:val="both"/>
        <w:rPr>
          <w:rFonts w:asciiTheme="majorHAnsi" w:hAnsiTheme="majorHAnsi" w:cs="Tahoma"/>
          <w:sz w:val="20"/>
          <w:szCs w:val="20"/>
          <w:shd w:val="clear" w:color="auto" w:fill="FFFFFF"/>
          <w:lang w:val="en-US"/>
        </w:rPr>
      </w:pPr>
    </w:p>
    <w:p w:rsidR="009624BB" w:rsidRPr="005A41E0" w:rsidRDefault="00FF1824" w:rsidP="005A41E0">
      <w:pPr>
        <w:pStyle w:val="ListParagraph"/>
        <w:numPr>
          <w:ilvl w:val="0"/>
          <w:numId w:val="19"/>
        </w:numPr>
        <w:ind w:left="1080"/>
        <w:jc w:val="both"/>
        <w:rPr>
          <w:rFonts w:asciiTheme="majorHAnsi" w:hAnsiTheme="majorHAnsi"/>
          <w:sz w:val="20"/>
          <w:szCs w:val="20"/>
          <w:lang w:val="en-US"/>
        </w:rPr>
      </w:pPr>
      <w:r w:rsidRPr="005A41E0">
        <w:rPr>
          <w:rFonts w:asciiTheme="majorHAnsi" w:hAnsiTheme="majorHAnsi"/>
          <w:sz w:val="20"/>
          <w:szCs w:val="20"/>
          <w:lang w:val="en-US"/>
        </w:rPr>
        <w:t xml:space="preserve">Colloquium on States, Businesses and Human Rights, organized by the Human Rights Center of the </w:t>
      </w:r>
      <w:r w:rsidR="00013047" w:rsidRPr="005A41E0">
        <w:rPr>
          <w:rFonts w:asciiTheme="majorHAnsi" w:hAnsiTheme="majorHAnsi"/>
          <w:sz w:val="20"/>
          <w:szCs w:val="20"/>
          <w:lang w:val="en-US"/>
        </w:rPr>
        <w:t>Universidad Diego Portales</w:t>
      </w:r>
      <w:r w:rsidR="00C02CCC" w:rsidRPr="005A41E0">
        <w:rPr>
          <w:rFonts w:asciiTheme="majorHAnsi" w:hAnsiTheme="majorHAnsi"/>
          <w:sz w:val="20"/>
          <w:szCs w:val="20"/>
          <w:lang w:val="en-US"/>
        </w:rPr>
        <w:t>,</w:t>
      </w:r>
      <w:r w:rsidR="00013047"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at the National Human Rights Institute. </w:t>
      </w:r>
    </w:p>
    <w:p w:rsidR="009624BB" w:rsidRPr="005A41E0" w:rsidRDefault="009624BB" w:rsidP="005A41E0">
      <w:pPr>
        <w:ind w:left="1080" w:hanging="360"/>
        <w:jc w:val="both"/>
        <w:rPr>
          <w:rFonts w:asciiTheme="majorHAnsi" w:hAnsiTheme="majorHAnsi"/>
          <w:sz w:val="20"/>
          <w:szCs w:val="20"/>
          <w:lang w:val="en-US"/>
        </w:rPr>
      </w:pPr>
    </w:p>
    <w:p w:rsidR="0048631A" w:rsidRPr="005A41E0" w:rsidRDefault="00FF1824" w:rsidP="0023745C">
      <w:pPr>
        <w:pStyle w:val="ListParagraph"/>
        <w:numPr>
          <w:ilvl w:val="0"/>
          <w:numId w:val="19"/>
        </w:numPr>
        <w:ind w:left="1080"/>
        <w:jc w:val="both"/>
        <w:rPr>
          <w:rFonts w:asciiTheme="majorHAnsi" w:hAnsiTheme="majorHAnsi" w:cs="Tahoma"/>
          <w:sz w:val="20"/>
          <w:szCs w:val="20"/>
          <w:shd w:val="clear" w:color="auto" w:fill="FFFFFF"/>
          <w:lang w:val="en-US"/>
        </w:rPr>
      </w:pPr>
      <w:r w:rsidRPr="005A41E0">
        <w:rPr>
          <w:rFonts w:asciiTheme="majorHAnsi" w:hAnsiTheme="majorHAnsi"/>
          <w:sz w:val="20"/>
          <w:szCs w:val="20"/>
          <w:lang w:val="en-US"/>
        </w:rPr>
        <w:t xml:space="preserve">Colloquium on enforcement of treaty obligations by domestic law judges (“control of conventionality”) with members of the Human Rights Committee of the </w:t>
      </w:r>
      <w:r w:rsidR="00013047" w:rsidRPr="005A41E0">
        <w:rPr>
          <w:rFonts w:asciiTheme="majorHAnsi" w:hAnsiTheme="majorHAnsi"/>
          <w:sz w:val="20"/>
          <w:szCs w:val="20"/>
          <w:lang w:val="en-US"/>
        </w:rPr>
        <w:t>Judicial</w:t>
      </w:r>
      <w:r w:rsidRPr="005A41E0">
        <w:rPr>
          <w:rFonts w:asciiTheme="majorHAnsi" w:hAnsiTheme="majorHAnsi"/>
          <w:sz w:val="20"/>
          <w:szCs w:val="20"/>
          <w:lang w:val="en-US"/>
        </w:rPr>
        <w:t xml:space="preserve"> branch</w:t>
      </w:r>
      <w:r w:rsidR="00013047" w:rsidRPr="005A41E0">
        <w:rPr>
          <w:rFonts w:asciiTheme="majorHAnsi" w:hAnsiTheme="majorHAnsi"/>
          <w:sz w:val="20"/>
          <w:szCs w:val="20"/>
          <w:lang w:val="en-US"/>
        </w:rPr>
        <w:t xml:space="preserve">, </w:t>
      </w:r>
      <w:r w:rsidRPr="005A41E0">
        <w:rPr>
          <w:rFonts w:asciiTheme="majorHAnsi" w:hAnsiTheme="majorHAnsi"/>
          <w:sz w:val="20"/>
          <w:szCs w:val="20"/>
          <w:lang w:val="en-US"/>
        </w:rPr>
        <w:t>at the offices of the Institute of Judicial Studies (Instituto</w:t>
      </w:r>
      <w:r w:rsidR="00013047" w:rsidRPr="005A41E0">
        <w:rPr>
          <w:rFonts w:asciiTheme="majorHAnsi" w:hAnsiTheme="majorHAnsi"/>
          <w:sz w:val="20"/>
          <w:szCs w:val="20"/>
          <w:lang w:val="en-US"/>
        </w:rPr>
        <w:t xml:space="preserve"> de Estudios Judiciales</w:t>
      </w:r>
      <w:r w:rsidRPr="005A41E0">
        <w:rPr>
          <w:rFonts w:asciiTheme="majorHAnsi" w:hAnsiTheme="majorHAnsi"/>
          <w:sz w:val="20"/>
          <w:szCs w:val="20"/>
          <w:lang w:val="en-US"/>
        </w:rPr>
        <w:t>)</w:t>
      </w:r>
      <w:r w:rsidR="00013047" w:rsidRPr="005A41E0">
        <w:rPr>
          <w:rFonts w:asciiTheme="majorHAnsi" w:hAnsiTheme="majorHAnsi"/>
          <w:sz w:val="20"/>
          <w:szCs w:val="20"/>
          <w:lang w:val="en-US"/>
        </w:rPr>
        <w:t>.</w:t>
      </w:r>
    </w:p>
    <w:p w:rsidR="0048631A" w:rsidRPr="005A41E0" w:rsidRDefault="0048631A" w:rsidP="005A41E0">
      <w:pPr>
        <w:ind w:left="360"/>
        <w:jc w:val="both"/>
        <w:rPr>
          <w:rFonts w:asciiTheme="majorHAnsi" w:hAnsiTheme="majorHAnsi" w:cs="Tahoma"/>
          <w:sz w:val="20"/>
          <w:szCs w:val="20"/>
          <w:shd w:val="clear" w:color="auto" w:fill="FFFFFF"/>
          <w:lang w:val="en-US"/>
        </w:rPr>
      </w:pPr>
    </w:p>
    <w:p w:rsidR="0048631A" w:rsidRPr="005A41E0" w:rsidRDefault="00FF1824" w:rsidP="005A41E0">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cs="Tahoma"/>
          <w:sz w:val="20"/>
          <w:szCs w:val="20"/>
          <w:shd w:val="clear" w:color="auto" w:fill="FFFFFF"/>
          <w:lang w:val="en-US"/>
        </w:rPr>
        <w:t>In the context of the sessions in Chile, the IACHR held a working luncheon with representatives of United Nations agencies in Chile in order to share experiences and coordinate in planning their work.</w:t>
      </w:r>
    </w:p>
    <w:p w:rsidR="0048631A" w:rsidRPr="005A41E0" w:rsidRDefault="0048631A" w:rsidP="005A41E0">
      <w:pPr>
        <w:ind w:left="360"/>
        <w:jc w:val="both"/>
        <w:rPr>
          <w:rFonts w:asciiTheme="majorHAnsi" w:hAnsiTheme="majorHAnsi" w:cs="Tahoma"/>
          <w:sz w:val="20"/>
          <w:szCs w:val="20"/>
          <w:shd w:val="clear" w:color="auto" w:fill="FFFFFF"/>
          <w:lang w:val="en-US"/>
        </w:rPr>
      </w:pPr>
    </w:p>
    <w:p w:rsidR="0048631A" w:rsidRPr="005A41E0" w:rsidRDefault="00344205" w:rsidP="005A41E0">
      <w:pPr>
        <w:pStyle w:val="Heading2"/>
        <w:rPr>
          <w:lang w:val="en-US"/>
        </w:rPr>
      </w:pPr>
      <w:r w:rsidRPr="005A41E0">
        <w:rPr>
          <w:lang w:val="en-US"/>
        </w:rPr>
        <w:lastRenderedPageBreak/>
        <w:t xml:space="preserve">3. </w:t>
      </w:r>
      <w:r w:rsidR="00AE5384" w:rsidRPr="005A41E0">
        <w:rPr>
          <w:lang w:val="en-US"/>
        </w:rPr>
        <w:tab/>
      </w:r>
      <w:r w:rsidR="00C326D1" w:rsidRPr="005A41E0">
        <w:rPr>
          <w:rStyle w:val="Strong"/>
          <w:b/>
          <w:lang w:val="en-US"/>
        </w:rPr>
        <w:t>159</w:t>
      </w:r>
      <w:r w:rsidR="00FF1824" w:rsidRPr="005A41E0">
        <w:rPr>
          <w:rStyle w:val="Strong"/>
          <w:b/>
          <w:vertAlign w:val="superscript"/>
          <w:lang w:val="en-US"/>
        </w:rPr>
        <w:t>th</w:t>
      </w:r>
      <w:r w:rsidR="00FF1824" w:rsidRPr="005A41E0">
        <w:rPr>
          <w:rStyle w:val="Strong"/>
          <w:b/>
          <w:lang w:val="en-US"/>
        </w:rPr>
        <w:t xml:space="preserve"> regular period of sessions </w:t>
      </w:r>
      <w:r w:rsidR="005A1CB7" w:rsidRPr="005A41E0">
        <w:rPr>
          <w:rStyle w:val="Strong"/>
          <w:b/>
          <w:lang w:val="en-US"/>
        </w:rPr>
        <w:t>(</w:t>
      </w:r>
      <w:r w:rsidR="00FF1824" w:rsidRPr="005A41E0">
        <w:rPr>
          <w:rStyle w:val="Strong"/>
          <w:b/>
          <w:lang w:val="en-US"/>
        </w:rPr>
        <w:t>Panama City, Panama</w:t>
      </w:r>
      <w:r w:rsidR="005A1CB7" w:rsidRPr="005A41E0">
        <w:rPr>
          <w:rStyle w:val="Strong"/>
          <w:b/>
          <w:lang w:val="en-US"/>
        </w:rPr>
        <w:t>)</w:t>
      </w:r>
    </w:p>
    <w:p w:rsidR="0048631A" w:rsidRPr="005A41E0" w:rsidRDefault="0048631A" w:rsidP="005A41E0">
      <w:pPr>
        <w:ind w:left="360"/>
        <w:jc w:val="both"/>
        <w:rPr>
          <w:rFonts w:asciiTheme="majorHAnsi" w:hAnsiTheme="majorHAnsi" w:cs="Tahoma"/>
          <w:sz w:val="20"/>
          <w:szCs w:val="20"/>
          <w:shd w:val="clear" w:color="auto" w:fill="FFFFFF"/>
          <w:lang w:val="en-US"/>
        </w:rPr>
      </w:pPr>
    </w:p>
    <w:p w:rsidR="0048631A" w:rsidRPr="005A41E0" w:rsidRDefault="00946935"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The IACHR held its 159</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regular period of sessions in Panama from November </w:t>
      </w:r>
      <w:r w:rsidR="00344205" w:rsidRPr="005A41E0">
        <w:rPr>
          <w:rFonts w:asciiTheme="majorHAnsi" w:hAnsiTheme="majorHAnsi"/>
          <w:sz w:val="20"/>
          <w:szCs w:val="20"/>
          <w:lang w:val="en-US"/>
        </w:rPr>
        <w:t xml:space="preserve">28 </w:t>
      </w:r>
      <w:r w:rsidRPr="005A41E0">
        <w:rPr>
          <w:rFonts w:asciiTheme="majorHAnsi" w:hAnsiTheme="majorHAnsi"/>
          <w:sz w:val="20"/>
          <w:szCs w:val="20"/>
          <w:lang w:val="en-US"/>
        </w:rPr>
        <w:t xml:space="preserve">to December </w:t>
      </w:r>
      <w:r w:rsidR="00344205" w:rsidRPr="005A41E0">
        <w:rPr>
          <w:rFonts w:asciiTheme="majorHAnsi" w:hAnsiTheme="majorHAnsi"/>
          <w:sz w:val="20"/>
          <w:szCs w:val="20"/>
          <w:lang w:val="en-US"/>
        </w:rPr>
        <w:t>7</w:t>
      </w:r>
      <w:r w:rsidRPr="005A41E0">
        <w:rPr>
          <w:rFonts w:asciiTheme="majorHAnsi" w:hAnsiTheme="majorHAnsi"/>
          <w:sz w:val="20"/>
          <w:szCs w:val="20"/>
          <w:lang w:val="en-US"/>
        </w:rPr>
        <w:t>,</w:t>
      </w:r>
      <w:r w:rsidR="00344205" w:rsidRPr="005A41E0">
        <w:rPr>
          <w:rFonts w:asciiTheme="majorHAnsi" w:hAnsiTheme="majorHAnsi"/>
          <w:sz w:val="20"/>
          <w:szCs w:val="20"/>
          <w:lang w:val="en-US"/>
        </w:rPr>
        <w:t xml:space="preserve"> 2016, </w:t>
      </w:r>
      <w:r w:rsidRPr="005A41E0">
        <w:rPr>
          <w:rFonts w:asciiTheme="majorHAnsi" w:hAnsiTheme="majorHAnsi"/>
          <w:sz w:val="20"/>
          <w:szCs w:val="20"/>
          <w:lang w:val="en-US"/>
        </w:rPr>
        <w:t xml:space="preserve">at the invitation of the Panamanian State. The IACHR thanks the State for all the facilities provided, as well as the civil society organizations and the people of Panama for their hospitality and support. </w:t>
      </w:r>
    </w:p>
    <w:p w:rsidR="00344205" w:rsidRPr="005A41E0" w:rsidRDefault="00344205" w:rsidP="005A41E0">
      <w:pPr>
        <w:pStyle w:val="ListParagraph"/>
        <w:ind w:left="1800"/>
        <w:jc w:val="both"/>
        <w:rPr>
          <w:rFonts w:asciiTheme="majorHAnsi" w:hAnsiTheme="majorHAnsi"/>
          <w:sz w:val="20"/>
          <w:szCs w:val="20"/>
          <w:lang w:val="en-US"/>
        </w:rPr>
      </w:pPr>
    </w:p>
    <w:p w:rsidR="00344205" w:rsidRPr="005A41E0" w:rsidRDefault="009E6E7D" w:rsidP="007E06CF">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cs="Tahoma"/>
          <w:sz w:val="20"/>
          <w:szCs w:val="20"/>
          <w:shd w:val="clear" w:color="auto" w:fill="FFFFFF"/>
          <w:lang w:val="en-US"/>
        </w:rPr>
        <w:t xml:space="preserve">This was the first period of sessions </w:t>
      </w:r>
      <w:r w:rsidR="007E06CF">
        <w:rPr>
          <w:rFonts w:asciiTheme="majorHAnsi" w:hAnsiTheme="majorHAnsi" w:cs="Tahoma"/>
          <w:sz w:val="20"/>
          <w:szCs w:val="20"/>
          <w:shd w:val="clear" w:color="auto" w:fill="FFFFFF"/>
          <w:lang w:val="en-US"/>
        </w:rPr>
        <w:t xml:space="preserve">with the participation of </w:t>
      </w:r>
      <w:r w:rsidRPr="005A41E0">
        <w:rPr>
          <w:rFonts w:asciiTheme="majorHAnsi" w:hAnsiTheme="majorHAnsi" w:cs="Tahoma"/>
          <w:sz w:val="20"/>
          <w:szCs w:val="20"/>
          <w:shd w:val="clear" w:color="auto" w:fill="FFFFFF"/>
          <w:lang w:val="en-US"/>
        </w:rPr>
        <w:t xml:space="preserve">the new Executive Secretary of the IACHR, </w:t>
      </w:r>
      <w:r w:rsidR="00344205" w:rsidRPr="005A41E0">
        <w:rPr>
          <w:rFonts w:asciiTheme="majorHAnsi" w:hAnsiTheme="majorHAnsi" w:cs="Tahoma"/>
          <w:sz w:val="20"/>
          <w:szCs w:val="20"/>
          <w:shd w:val="clear" w:color="auto" w:fill="FFFFFF"/>
          <w:lang w:val="en-US"/>
        </w:rPr>
        <w:t>Paulo Abr</w:t>
      </w:r>
      <w:r w:rsidR="00BC29BC" w:rsidRPr="005A41E0">
        <w:rPr>
          <w:rFonts w:asciiTheme="majorHAnsi" w:hAnsiTheme="majorHAnsi" w:cs="Arial"/>
          <w:sz w:val="20"/>
          <w:szCs w:val="20"/>
          <w:shd w:val="clear" w:color="auto" w:fill="FFFFFF"/>
          <w:lang w:val="en-US"/>
        </w:rPr>
        <w:t>ã</w:t>
      </w:r>
      <w:r w:rsidR="00344205" w:rsidRPr="005A41E0">
        <w:rPr>
          <w:rFonts w:asciiTheme="majorHAnsi" w:hAnsiTheme="majorHAnsi" w:cs="Tahoma"/>
          <w:sz w:val="20"/>
          <w:szCs w:val="20"/>
          <w:shd w:val="clear" w:color="auto" w:fill="FFFFFF"/>
          <w:lang w:val="en-US"/>
        </w:rPr>
        <w:t>o</w:t>
      </w:r>
      <w:r w:rsidRPr="005A41E0">
        <w:rPr>
          <w:rFonts w:asciiTheme="majorHAnsi" w:hAnsiTheme="majorHAnsi" w:cs="Tahoma"/>
          <w:sz w:val="20"/>
          <w:szCs w:val="20"/>
          <w:shd w:val="clear" w:color="auto" w:fill="FFFFFF"/>
          <w:lang w:val="en-US"/>
        </w:rPr>
        <w:t xml:space="preserve">. Since then he has channeled the efforts to </w:t>
      </w:r>
      <w:r w:rsidR="007E06CF">
        <w:rPr>
          <w:rFonts w:asciiTheme="majorHAnsi" w:hAnsiTheme="majorHAnsi" w:cs="Tahoma"/>
          <w:sz w:val="20"/>
          <w:szCs w:val="20"/>
          <w:shd w:val="clear" w:color="auto" w:fill="FFFFFF"/>
          <w:lang w:val="en-US"/>
        </w:rPr>
        <w:t xml:space="preserve">put together </w:t>
      </w:r>
      <w:r w:rsidRPr="005A41E0">
        <w:rPr>
          <w:rFonts w:asciiTheme="majorHAnsi" w:hAnsiTheme="majorHAnsi" w:cs="Tahoma"/>
          <w:sz w:val="20"/>
          <w:szCs w:val="20"/>
          <w:shd w:val="clear" w:color="auto" w:fill="FFFFFF"/>
          <w:lang w:val="en-US"/>
        </w:rPr>
        <w:t xml:space="preserve">the Commission’s Strategic Plan </w:t>
      </w:r>
      <w:r w:rsidR="00722E46" w:rsidRPr="005A41E0">
        <w:rPr>
          <w:rFonts w:asciiTheme="majorHAnsi" w:hAnsiTheme="majorHAnsi" w:cs="Tahoma"/>
          <w:sz w:val="20"/>
          <w:szCs w:val="20"/>
          <w:shd w:val="clear" w:color="auto" w:fill="FFFFFF"/>
          <w:lang w:val="en-US"/>
        </w:rPr>
        <w:t>2017</w:t>
      </w:r>
      <w:r w:rsidR="00415CED" w:rsidRPr="005A41E0">
        <w:rPr>
          <w:rFonts w:asciiTheme="majorHAnsi" w:hAnsiTheme="majorHAnsi" w:cs="Tahoma"/>
          <w:sz w:val="20"/>
          <w:szCs w:val="20"/>
          <w:shd w:val="clear" w:color="auto" w:fill="FFFFFF"/>
          <w:lang w:val="en-US"/>
        </w:rPr>
        <w:t>/</w:t>
      </w:r>
      <w:r w:rsidR="00722E46" w:rsidRPr="005A41E0">
        <w:rPr>
          <w:rFonts w:asciiTheme="majorHAnsi" w:hAnsiTheme="majorHAnsi" w:cs="Tahoma"/>
          <w:sz w:val="20"/>
          <w:szCs w:val="20"/>
          <w:shd w:val="clear" w:color="auto" w:fill="FFFFFF"/>
          <w:lang w:val="en-US"/>
        </w:rPr>
        <w:t>2020</w:t>
      </w:r>
      <w:r w:rsidR="00344205" w:rsidRPr="005A41E0">
        <w:rPr>
          <w:rFonts w:asciiTheme="majorHAnsi" w:hAnsiTheme="majorHAnsi" w:cs="Tahoma"/>
          <w:sz w:val="20"/>
          <w:szCs w:val="20"/>
          <w:shd w:val="clear" w:color="auto" w:fill="FFFFFF"/>
          <w:lang w:val="en-US"/>
        </w:rPr>
        <w:t>.</w:t>
      </w:r>
    </w:p>
    <w:p w:rsidR="00344205" w:rsidRPr="005A41E0" w:rsidRDefault="00344205" w:rsidP="005A41E0">
      <w:pPr>
        <w:jc w:val="both"/>
        <w:rPr>
          <w:rFonts w:asciiTheme="majorHAnsi" w:hAnsiTheme="majorHAnsi" w:cs="Tahoma"/>
          <w:sz w:val="20"/>
          <w:szCs w:val="20"/>
          <w:shd w:val="clear" w:color="auto" w:fill="FFFFFF"/>
          <w:lang w:val="en-US"/>
        </w:rPr>
      </w:pPr>
    </w:p>
    <w:p w:rsidR="00344205" w:rsidRPr="005A41E0" w:rsidRDefault="009E6E7D" w:rsidP="005A41E0">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sidRPr="005A41E0">
        <w:rPr>
          <w:rFonts w:asciiTheme="majorHAnsi" w:hAnsiTheme="majorHAnsi"/>
          <w:sz w:val="20"/>
          <w:szCs w:val="20"/>
          <w:lang w:val="en-US"/>
        </w:rPr>
        <w:t xml:space="preserve">During the sessions the IACHR held </w:t>
      </w:r>
      <w:r w:rsidR="00A00C10" w:rsidRPr="005A41E0">
        <w:rPr>
          <w:rFonts w:asciiTheme="majorHAnsi" w:hAnsiTheme="majorHAnsi"/>
          <w:sz w:val="20"/>
          <w:szCs w:val="20"/>
          <w:lang w:val="en-US"/>
        </w:rPr>
        <w:t>37</w:t>
      </w:r>
      <w:r w:rsidR="00722E46"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public hearings, and 32 working meetings on precautionary measures and friendly settlements. It also engaged in consultations on its first thematic report on poverty and human rights and announced the decision to start up its Special Rapporteurship on Economic, Social and Cultural Rights. </w:t>
      </w:r>
    </w:p>
    <w:p w:rsidR="00722E46" w:rsidRPr="005A41E0" w:rsidRDefault="00722E46" w:rsidP="005A41E0">
      <w:pPr>
        <w:jc w:val="both"/>
        <w:rPr>
          <w:rFonts w:asciiTheme="majorHAnsi" w:hAnsiTheme="majorHAnsi"/>
          <w:sz w:val="20"/>
          <w:szCs w:val="20"/>
          <w:lang w:val="en-US"/>
        </w:rPr>
      </w:pPr>
    </w:p>
    <w:p w:rsidR="00722E46" w:rsidRPr="005A41E0" w:rsidRDefault="009E6E7D"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The following promotional activities were undertaken in the context of the sessions in Panama</w:t>
      </w:r>
      <w:r w:rsidR="00722E46" w:rsidRPr="005A41E0">
        <w:rPr>
          <w:rFonts w:asciiTheme="majorHAnsi" w:hAnsiTheme="majorHAnsi"/>
          <w:sz w:val="20"/>
          <w:szCs w:val="20"/>
          <w:lang w:val="en-US"/>
        </w:rPr>
        <w:t xml:space="preserve">: </w:t>
      </w:r>
    </w:p>
    <w:p w:rsidR="00C326D1" w:rsidRPr="005A41E0" w:rsidRDefault="00C326D1" w:rsidP="005A41E0">
      <w:pPr>
        <w:shd w:val="clear" w:color="auto" w:fill="FFFFFF"/>
        <w:jc w:val="both"/>
        <w:rPr>
          <w:rFonts w:asciiTheme="majorHAnsi" w:hAnsiTheme="majorHAnsi"/>
          <w:sz w:val="20"/>
          <w:szCs w:val="20"/>
          <w:lang w:val="en-US"/>
        </w:rPr>
      </w:pPr>
    </w:p>
    <w:p w:rsidR="00722E46" w:rsidRPr="005A41E0" w:rsidRDefault="000F522C" w:rsidP="005A41E0">
      <w:pPr>
        <w:pStyle w:val="ListParagraph"/>
        <w:numPr>
          <w:ilvl w:val="0"/>
          <w:numId w:val="13"/>
        </w:numPr>
        <w:spacing w:after="120"/>
        <w:ind w:left="1080"/>
        <w:jc w:val="both"/>
        <w:rPr>
          <w:rFonts w:asciiTheme="majorHAnsi" w:hAnsiTheme="majorHAnsi"/>
          <w:sz w:val="20"/>
          <w:szCs w:val="20"/>
          <w:lang w:val="en-US"/>
        </w:rPr>
      </w:pPr>
      <w:r w:rsidRPr="005A41E0">
        <w:rPr>
          <w:rFonts w:asciiTheme="majorHAnsi" w:hAnsiTheme="majorHAnsi"/>
          <w:sz w:val="20"/>
          <w:szCs w:val="20"/>
          <w:lang w:val="en-US"/>
        </w:rPr>
        <w:t xml:space="preserve">Presentation of the report </w:t>
      </w:r>
      <w:r w:rsidR="00415CED" w:rsidRPr="005A41E0">
        <w:rPr>
          <w:rFonts w:asciiTheme="majorHAnsi" w:hAnsiTheme="majorHAnsi"/>
          <w:sz w:val="20"/>
          <w:szCs w:val="20"/>
          <w:lang w:val="en-US"/>
        </w:rPr>
        <w:t>“</w:t>
      </w:r>
      <w:r w:rsidRPr="005A41E0">
        <w:rPr>
          <w:rFonts w:asciiTheme="majorHAnsi" w:hAnsiTheme="majorHAnsi"/>
          <w:sz w:val="20"/>
          <w:szCs w:val="20"/>
          <w:lang w:val="en-US"/>
        </w:rPr>
        <w:t>Criminalization of the work of human rights defenders.”</w:t>
      </w:r>
    </w:p>
    <w:p w:rsidR="00722E46" w:rsidRPr="005A41E0" w:rsidRDefault="000F522C" w:rsidP="005A41E0">
      <w:pPr>
        <w:pStyle w:val="ListParagraph"/>
        <w:numPr>
          <w:ilvl w:val="0"/>
          <w:numId w:val="13"/>
        </w:numPr>
        <w:spacing w:after="120"/>
        <w:ind w:left="1080"/>
        <w:jc w:val="both"/>
        <w:rPr>
          <w:rFonts w:asciiTheme="majorHAnsi" w:hAnsiTheme="majorHAnsi"/>
          <w:sz w:val="20"/>
          <w:szCs w:val="20"/>
          <w:lang w:val="en-US"/>
        </w:rPr>
      </w:pPr>
      <w:r w:rsidRPr="005A41E0">
        <w:rPr>
          <w:rFonts w:asciiTheme="majorHAnsi" w:hAnsiTheme="majorHAnsi"/>
          <w:sz w:val="20"/>
          <w:szCs w:val="20"/>
          <w:lang w:val="en-US"/>
        </w:rPr>
        <w:t xml:space="preserve">Workshop on friendly settlement mechanism for Panamanian public servants. </w:t>
      </w:r>
    </w:p>
    <w:p w:rsidR="009F5174" w:rsidRDefault="000F522C" w:rsidP="007E06CF">
      <w:pPr>
        <w:pStyle w:val="ListParagraph"/>
        <w:numPr>
          <w:ilvl w:val="0"/>
          <w:numId w:val="13"/>
        </w:numPr>
        <w:spacing w:after="120"/>
        <w:ind w:left="1080"/>
        <w:jc w:val="both"/>
        <w:rPr>
          <w:rFonts w:asciiTheme="majorHAnsi" w:hAnsiTheme="majorHAnsi"/>
          <w:sz w:val="20"/>
          <w:szCs w:val="20"/>
          <w:lang w:val="en-US"/>
        </w:rPr>
      </w:pPr>
      <w:r w:rsidRPr="005A41E0">
        <w:rPr>
          <w:rFonts w:asciiTheme="majorHAnsi" w:hAnsiTheme="majorHAnsi"/>
          <w:sz w:val="20"/>
          <w:szCs w:val="20"/>
          <w:lang w:val="en-US"/>
        </w:rPr>
        <w:t xml:space="preserve">Course for journalists co-organized with the Ministry of Foreign Relations of Panama. </w:t>
      </w:r>
    </w:p>
    <w:p w:rsidR="007E06CF" w:rsidRPr="007E06CF" w:rsidRDefault="007E06CF" w:rsidP="007E06CF">
      <w:pPr>
        <w:pStyle w:val="ListParagraph"/>
        <w:spacing w:after="120"/>
        <w:ind w:left="1080"/>
        <w:jc w:val="both"/>
        <w:rPr>
          <w:rFonts w:asciiTheme="majorHAnsi" w:hAnsiTheme="majorHAnsi"/>
          <w:sz w:val="20"/>
          <w:szCs w:val="20"/>
          <w:lang w:val="en-US"/>
        </w:rPr>
      </w:pPr>
    </w:p>
    <w:p w:rsidR="009F5174" w:rsidRPr="005A41E0" w:rsidRDefault="000F522C" w:rsidP="005A41E0">
      <w:pPr>
        <w:pStyle w:val="Heading2"/>
        <w:rPr>
          <w:lang w:val="en-US"/>
        </w:rPr>
      </w:pPr>
      <w:r w:rsidRPr="005A41E0">
        <w:rPr>
          <w:lang w:val="en-US"/>
        </w:rPr>
        <w:t>4.</w:t>
      </w:r>
      <w:r w:rsidRPr="005A41E0">
        <w:rPr>
          <w:lang w:val="en-US"/>
        </w:rPr>
        <w:tab/>
        <w:t>160</w:t>
      </w:r>
      <w:r w:rsidRPr="005A41E0">
        <w:rPr>
          <w:vertAlign w:val="superscript"/>
          <w:lang w:val="en-US"/>
        </w:rPr>
        <w:t>th</w:t>
      </w:r>
      <w:r w:rsidRPr="005A41E0">
        <w:rPr>
          <w:lang w:val="en-US"/>
        </w:rPr>
        <w:t xml:space="preserve"> special period of sessions </w:t>
      </w:r>
      <w:r w:rsidR="009F5174" w:rsidRPr="005A41E0">
        <w:rPr>
          <w:lang w:val="en-US"/>
        </w:rPr>
        <w:t>(Washington, D.C.)</w:t>
      </w:r>
    </w:p>
    <w:p w:rsidR="009F5174" w:rsidRPr="005A41E0" w:rsidRDefault="009F5174" w:rsidP="005A41E0">
      <w:pPr>
        <w:spacing w:after="120"/>
        <w:ind w:left="720"/>
        <w:jc w:val="both"/>
        <w:rPr>
          <w:rFonts w:asciiTheme="majorHAnsi" w:hAnsiTheme="majorHAnsi"/>
          <w:sz w:val="20"/>
          <w:szCs w:val="20"/>
          <w:lang w:val="en-US"/>
        </w:rPr>
      </w:pPr>
    </w:p>
    <w:p w:rsidR="009F5174" w:rsidRPr="007E06CF" w:rsidRDefault="000F522C" w:rsidP="007E06CF">
      <w:pPr>
        <w:pStyle w:val="ListParagraph"/>
        <w:numPr>
          <w:ilvl w:val="0"/>
          <w:numId w:val="15"/>
        </w:numPr>
        <w:shd w:val="clear" w:color="auto" w:fill="FFFFFF"/>
        <w:tabs>
          <w:tab w:val="clear" w:pos="1080"/>
          <w:tab w:val="num" w:pos="1440"/>
        </w:tabs>
        <w:ind w:left="0"/>
        <w:jc w:val="both"/>
        <w:rPr>
          <w:rFonts w:asciiTheme="majorHAnsi" w:hAnsiTheme="majorHAnsi"/>
          <w:sz w:val="20"/>
          <w:szCs w:val="20"/>
          <w:lang w:val="en-US"/>
        </w:rPr>
      </w:pPr>
      <w:r w:rsidRPr="005A41E0">
        <w:rPr>
          <w:rFonts w:asciiTheme="majorHAnsi" w:hAnsiTheme="majorHAnsi"/>
          <w:sz w:val="20"/>
          <w:szCs w:val="20"/>
          <w:lang w:val="en-US"/>
        </w:rPr>
        <w:t>The IACHR held its 160</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special period of sessions in </w:t>
      </w:r>
      <w:r w:rsidR="00374BF7" w:rsidRPr="005A41E0">
        <w:rPr>
          <w:rFonts w:asciiTheme="majorHAnsi" w:hAnsiTheme="majorHAnsi"/>
          <w:sz w:val="20"/>
          <w:szCs w:val="20"/>
          <w:lang w:val="en-US"/>
        </w:rPr>
        <w:t xml:space="preserve">Washington, D.C., </w:t>
      </w:r>
      <w:r w:rsidRPr="005A41E0">
        <w:rPr>
          <w:rFonts w:asciiTheme="majorHAnsi" w:hAnsiTheme="majorHAnsi"/>
          <w:sz w:val="20"/>
          <w:szCs w:val="20"/>
          <w:lang w:val="en-US"/>
        </w:rPr>
        <w:t xml:space="preserve">on December </w:t>
      </w:r>
      <w:r w:rsidR="00374BF7" w:rsidRPr="005A41E0">
        <w:rPr>
          <w:rFonts w:asciiTheme="majorHAnsi" w:hAnsiTheme="majorHAnsi"/>
          <w:sz w:val="20"/>
          <w:szCs w:val="20"/>
          <w:lang w:val="en-US"/>
        </w:rPr>
        <w:t xml:space="preserve">9 </w:t>
      </w:r>
      <w:r w:rsidRPr="005A41E0">
        <w:rPr>
          <w:rFonts w:asciiTheme="majorHAnsi" w:hAnsiTheme="majorHAnsi"/>
          <w:sz w:val="20"/>
          <w:szCs w:val="20"/>
          <w:lang w:val="en-US"/>
        </w:rPr>
        <w:t xml:space="preserve">and </w:t>
      </w:r>
      <w:r w:rsidR="00374BF7" w:rsidRPr="005A41E0">
        <w:rPr>
          <w:rFonts w:asciiTheme="majorHAnsi" w:hAnsiTheme="majorHAnsi"/>
          <w:sz w:val="20"/>
          <w:szCs w:val="20"/>
          <w:lang w:val="en-US"/>
        </w:rPr>
        <w:t>10</w:t>
      </w:r>
      <w:r w:rsidRPr="005A41E0">
        <w:rPr>
          <w:rFonts w:asciiTheme="majorHAnsi" w:hAnsiTheme="majorHAnsi"/>
          <w:sz w:val="20"/>
          <w:szCs w:val="20"/>
          <w:lang w:val="en-US"/>
        </w:rPr>
        <w:t xml:space="preserve">, </w:t>
      </w:r>
      <w:r w:rsidR="00374BF7"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The IACHR expresses its gratitude to the United States for the additional financing that made it possible to organize this special period of sessions at the Commission’s headquarters. </w:t>
      </w:r>
    </w:p>
    <w:p w:rsidR="0048631A" w:rsidRPr="005A41E0" w:rsidRDefault="0048631A" w:rsidP="005A41E0">
      <w:pPr>
        <w:jc w:val="both"/>
        <w:rPr>
          <w:rFonts w:asciiTheme="majorHAnsi" w:hAnsiTheme="majorHAnsi" w:cs="Tahoma"/>
          <w:sz w:val="20"/>
          <w:szCs w:val="20"/>
          <w:shd w:val="clear" w:color="auto" w:fill="FFFFFF"/>
          <w:lang w:val="en-US"/>
        </w:rPr>
      </w:pPr>
    </w:p>
    <w:p w:rsidR="00147D55" w:rsidRPr="005A41E0" w:rsidRDefault="000F522C" w:rsidP="005A41E0">
      <w:pPr>
        <w:pStyle w:val="Heading1"/>
        <w:rPr>
          <w:lang w:val="en-US"/>
        </w:rPr>
      </w:pPr>
      <w:r w:rsidRPr="005A41E0">
        <w:rPr>
          <w:lang w:val="en-US"/>
        </w:rPr>
        <w:t xml:space="preserve">Activities of the IACHR in relation to the Inter-American Court of Human Rights </w:t>
      </w:r>
    </w:p>
    <w:p w:rsidR="00147D55" w:rsidRPr="005A41E0" w:rsidRDefault="00147D55" w:rsidP="005A41E0">
      <w:pPr>
        <w:pStyle w:val="FootnoteText"/>
        <w:spacing w:before="0" w:beforeAutospacing="0" w:after="0" w:afterAutospacing="0"/>
        <w:jc w:val="both"/>
        <w:rPr>
          <w:rFonts w:asciiTheme="majorHAnsi" w:hAnsiTheme="majorHAnsi"/>
          <w:sz w:val="20"/>
          <w:lang w:val="en-US"/>
        </w:rPr>
      </w:pPr>
    </w:p>
    <w:p w:rsidR="00F82001" w:rsidRPr="005A41E0" w:rsidRDefault="000F522C"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w:t>
      </w:r>
      <w:r w:rsidR="00F82001"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the IACHR continued exercising its mandates under the Convention and the Rules of Procedure vis-à-vis the Inter-American Court. </w:t>
      </w:r>
      <w:r w:rsidR="0014721D" w:rsidRPr="005A41E0">
        <w:rPr>
          <w:rFonts w:asciiTheme="majorHAnsi" w:hAnsiTheme="majorHAnsi"/>
          <w:sz w:val="20"/>
          <w:szCs w:val="20"/>
          <w:lang w:val="en-US"/>
        </w:rPr>
        <w:t xml:space="preserve">Next is a summary of the IACHR’s activities before the Court. </w:t>
      </w:r>
    </w:p>
    <w:p w:rsidR="00F82001" w:rsidRPr="005A41E0" w:rsidRDefault="00F82001" w:rsidP="005A41E0">
      <w:pPr>
        <w:pStyle w:val="FootnoteText"/>
        <w:spacing w:before="0" w:beforeAutospacing="0" w:after="0" w:afterAutospacing="0"/>
        <w:jc w:val="both"/>
        <w:rPr>
          <w:rFonts w:asciiTheme="majorHAnsi" w:hAnsiTheme="majorHAnsi"/>
          <w:sz w:val="20"/>
          <w:lang w:val="en-US"/>
        </w:rPr>
      </w:pPr>
    </w:p>
    <w:p w:rsidR="00F82001" w:rsidRPr="005A41E0" w:rsidRDefault="00F82001" w:rsidP="005A41E0">
      <w:pPr>
        <w:pStyle w:val="Heading2"/>
        <w:rPr>
          <w:lang w:val="en-US"/>
        </w:rPr>
      </w:pPr>
      <w:r w:rsidRPr="005A41E0">
        <w:rPr>
          <w:lang w:val="en-US"/>
        </w:rPr>
        <w:t>1.</w:t>
      </w:r>
      <w:r w:rsidRPr="005A41E0">
        <w:rPr>
          <w:lang w:val="en-US"/>
        </w:rPr>
        <w:tab/>
      </w:r>
      <w:r w:rsidR="0014721D" w:rsidRPr="005A41E0">
        <w:rPr>
          <w:lang w:val="en-US"/>
        </w:rPr>
        <w:t xml:space="preserve">Submission of contentious cases </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14721D" w:rsidP="007E06C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Pursuant to Article </w:t>
      </w:r>
      <w:r w:rsidR="00F82001" w:rsidRPr="005A41E0">
        <w:rPr>
          <w:rFonts w:asciiTheme="majorHAnsi" w:hAnsiTheme="majorHAnsi"/>
          <w:sz w:val="20"/>
          <w:szCs w:val="20"/>
          <w:lang w:val="en-US"/>
        </w:rPr>
        <w:t xml:space="preserve">51 </w:t>
      </w:r>
      <w:r w:rsidRPr="005A41E0">
        <w:rPr>
          <w:rFonts w:asciiTheme="majorHAnsi" w:hAnsiTheme="majorHAnsi"/>
          <w:sz w:val="20"/>
          <w:szCs w:val="20"/>
          <w:lang w:val="en-US"/>
        </w:rPr>
        <w:t>of the American Convention on Human Rights and Article 45 of its Rules of Procedure the IACHR submitted 16 cases to the jurisdiction of the Inter-American Court</w:t>
      </w:r>
      <w:r w:rsidR="00F82001" w:rsidRPr="005A41E0">
        <w:rPr>
          <w:rFonts w:asciiTheme="majorHAnsi" w:hAnsiTheme="majorHAnsi"/>
          <w:sz w:val="20"/>
          <w:szCs w:val="20"/>
          <w:lang w:val="en-US"/>
        </w:rPr>
        <w:t>.</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F82001" w:rsidP="005A41E0">
      <w:pPr>
        <w:pStyle w:val="FootnoteText"/>
        <w:spacing w:before="0" w:beforeAutospacing="0" w:after="0" w:afterAutospacing="0"/>
        <w:ind w:left="1440" w:hanging="720"/>
        <w:jc w:val="both"/>
        <w:rPr>
          <w:rFonts w:asciiTheme="majorHAnsi" w:hAnsiTheme="majorHAnsi"/>
          <w:b/>
          <w:sz w:val="20"/>
          <w:lang w:val="en-US"/>
        </w:rPr>
      </w:pPr>
      <w:r w:rsidRPr="000643A5">
        <w:rPr>
          <w:rFonts w:asciiTheme="majorHAnsi" w:hAnsiTheme="majorHAnsi"/>
          <w:b/>
          <w:sz w:val="20"/>
        </w:rPr>
        <w:t>a.</w:t>
      </w:r>
      <w:r w:rsidRPr="000643A5">
        <w:rPr>
          <w:rFonts w:asciiTheme="majorHAnsi" w:hAnsiTheme="majorHAnsi"/>
          <w:b/>
          <w:sz w:val="20"/>
        </w:rPr>
        <w:tab/>
        <w:t xml:space="preserve">Gómez Murillo </w:t>
      </w:r>
      <w:r w:rsidR="0014721D" w:rsidRPr="000643A5">
        <w:rPr>
          <w:rFonts w:asciiTheme="majorHAnsi" w:hAnsiTheme="majorHAnsi"/>
          <w:b/>
          <w:sz w:val="20"/>
        </w:rPr>
        <w:t xml:space="preserve">et al. </w:t>
      </w:r>
      <w:r w:rsidRPr="005A41E0">
        <w:rPr>
          <w:rFonts w:asciiTheme="majorHAnsi" w:hAnsiTheme="majorHAnsi"/>
          <w:b/>
          <w:sz w:val="20"/>
          <w:lang w:val="en-US"/>
        </w:rPr>
        <w:t>(</w:t>
      </w:r>
      <w:r w:rsidR="0014721D" w:rsidRPr="005A41E0">
        <w:rPr>
          <w:rFonts w:asciiTheme="majorHAnsi" w:hAnsiTheme="majorHAnsi"/>
          <w:b/>
          <w:i/>
          <w:sz w:val="20"/>
          <w:lang w:val="en-US"/>
        </w:rPr>
        <w:t>I</w:t>
      </w:r>
      <w:r w:rsidRPr="005A41E0">
        <w:rPr>
          <w:rFonts w:asciiTheme="majorHAnsi" w:hAnsiTheme="majorHAnsi"/>
          <w:b/>
          <w:i/>
          <w:sz w:val="20"/>
          <w:lang w:val="en-US"/>
        </w:rPr>
        <w:t>n vitro</w:t>
      </w:r>
      <w:r w:rsidR="0014721D" w:rsidRPr="005A41E0">
        <w:rPr>
          <w:rFonts w:asciiTheme="majorHAnsi" w:hAnsiTheme="majorHAnsi"/>
          <w:b/>
          <w:i/>
          <w:sz w:val="20"/>
          <w:lang w:val="en-US"/>
        </w:rPr>
        <w:t xml:space="preserve"> </w:t>
      </w:r>
      <w:r w:rsidR="0014721D" w:rsidRPr="005A41E0">
        <w:rPr>
          <w:rFonts w:asciiTheme="majorHAnsi" w:hAnsiTheme="majorHAnsi"/>
          <w:b/>
          <w:iCs/>
          <w:sz w:val="20"/>
          <w:lang w:val="en-US"/>
        </w:rPr>
        <w:t>fertilization</w:t>
      </w:r>
      <w:r w:rsidR="0014721D" w:rsidRPr="005A41E0">
        <w:rPr>
          <w:rFonts w:asciiTheme="majorHAnsi" w:hAnsiTheme="majorHAnsi"/>
          <w:b/>
          <w:sz w:val="20"/>
          <w:lang w:val="en-US"/>
        </w:rPr>
        <w:t>) v</w:t>
      </w:r>
      <w:r w:rsidRPr="005A41E0">
        <w:rPr>
          <w:rFonts w:asciiTheme="majorHAnsi" w:hAnsiTheme="majorHAnsi"/>
          <w:b/>
          <w:sz w:val="20"/>
          <w:lang w:val="en-US"/>
        </w:rPr>
        <w:t>.  Costa Rica (</w:t>
      </w:r>
      <w:r w:rsidR="0014721D" w:rsidRPr="005A41E0">
        <w:rPr>
          <w:rFonts w:asciiTheme="majorHAnsi" w:hAnsiTheme="majorHAnsi"/>
          <w:b/>
          <w:sz w:val="20"/>
          <w:lang w:val="en-US"/>
        </w:rPr>
        <w:t xml:space="preserve">submitted January </w:t>
      </w:r>
      <w:r w:rsidRPr="005A41E0">
        <w:rPr>
          <w:rFonts w:asciiTheme="majorHAnsi" w:hAnsiTheme="majorHAnsi"/>
          <w:b/>
          <w:sz w:val="20"/>
          <w:lang w:val="en-US"/>
        </w:rPr>
        <w:t>18</w:t>
      </w:r>
      <w:r w:rsidR="0014721D" w:rsidRPr="005A41E0">
        <w:rPr>
          <w:rFonts w:asciiTheme="majorHAnsi" w:hAnsiTheme="majorHAnsi"/>
          <w:b/>
          <w:sz w:val="20"/>
          <w:lang w:val="en-US"/>
        </w:rPr>
        <w:t>,</w:t>
      </w:r>
      <w:r w:rsidRPr="005A41E0">
        <w:rPr>
          <w:rFonts w:asciiTheme="majorHAnsi" w:hAnsiTheme="majorHAnsi"/>
          <w:b/>
          <w:sz w:val="20"/>
          <w:lang w:val="en-US"/>
        </w:rPr>
        <w:t xml:space="preserve"> 2016)</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14721D"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The case is related to the violation of the rights to humane treatment, personal liberty, private and family life, and to establish a family, and to equality and non-discrimination</w:t>
      </w:r>
      <w:r w:rsidR="0077023D">
        <w:rPr>
          <w:rFonts w:asciiTheme="majorHAnsi" w:hAnsiTheme="majorHAnsi"/>
          <w:sz w:val="20"/>
          <w:szCs w:val="20"/>
          <w:lang w:val="en-US"/>
        </w:rPr>
        <w:t>,</w:t>
      </w:r>
      <w:r w:rsidRPr="005A41E0">
        <w:rPr>
          <w:rFonts w:asciiTheme="majorHAnsi" w:hAnsiTheme="majorHAnsi"/>
          <w:sz w:val="20"/>
          <w:szCs w:val="20"/>
          <w:lang w:val="en-US"/>
        </w:rPr>
        <w:t xml:space="preserve"> enshrined at Articles </w:t>
      </w:r>
      <w:r w:rsidR="00F82001" w:rsidRPr="005A41E0">
        <w:rPr>
          <w:rFonts w:asciiTheme="majorHAnsi" w:hAnsiTheme="majorHAnsi"/>
          <w:iCs/>
          <w:sz w:val="20"/>
          <w:szCs w:val="20"/>
          <w:lang w:val="en-US"/>
        </w:rPr>
        <w:t>5, 7, 11, 17</w:t>
      </w:r>
      <w:r w:rsidRPr="005A41E0">
        <w:rPr>
          <w:rFonts w:asciiTheme="majorHAnsi" w:hAnsiTheme="majorHAnsi"/>
          <w:iCs/>
          <w:sz w:val="20"/>
          <w:szCs w:val="20"/>
          <w:lang w:val="en-US"/>
        </w:rPr>
        <w:t xml:space="preserve">, and </w:t>
      </w:r>
      <w:r w:rsidR="00F82001" w:rsidRPr="005A41E0">
        <w:rPr>
          <w:rFonts w:asciiTheme="majorHAnsi" w:hAnsiTheme="majorHAnsi"/>
          <w:iCs/>
          <w:sz w:val="20"/>
          <w:szCs w:val="20"/>
          <w:lang w:val="en-US"/>
        </w:rPr>
        <w:t xml:space="preserve">24 </w:t>
      </w:r>
      <w:r w:rsidRPr="005A41E0">
        <w:rPr>
          <w:rFonts w:asciiTheme="majorHAnsi" w:hAnsiTheme="majorHAnsi"/>
          <w:iCs/>
          <w:sz w:val="20"/>
          <w:szCs w:val="20"/>
          <w:lang w:val="en-US"/>
        </w:rPr>
        <w:t xml:space="preserve">of the American Convention in relation to Articles </w:t>
      </w:r>
      <w:r w:rsidR="00F82001" w:rsidRPr="005A41E0">
        <w:rPr>
          <w:rFonts w:asciiTheme="majorHAnsi" w:hAnsiTheme="majorHAnsi"/>
          <w:iCs/>
          <w:sz w:val="20"/>
          <w:szCs w:val="20"/>
          <w:lang w:val="en-US"/>
        </w:rPr>
        <w:t>1</w:t>
      </w:r>
      <w:r w:rsidRPr="005A41E0">
        <w:rPr>
          <w:rFonts w:asciiTheme="majorHAnsi" w:hAnsiTheme="majorHAnsi"/>
          <w:iCs/>
          <w:sz w:val="20"/>
          <w:szCs w:val="20"/>
          <w:lang w:val="en-US"/>
        </w:rPr>
        <w:t>(</w:t>
      </w:r>
      <w:r w:rsidR="00F82001" w:rsidRPr="005A41E0">
        <w:rPr>
          <w:rFonts w:asciiTheme="majorHAnsi" w:hAnsiTheme="majorHAnsi"/>
          <w:iCs/>
          <w:sz w:val="20"/>
          <w:szCs w:val="20"/>
          <w:lang w:val="en-US"/>
        </w:rPr>
        <w:t>1</w:t>
      </w:r>
      <w:r w:rsidRPr="005A41E0">
        <w:rPr>
          <w:rFonts w:asciiTheme="majorHAnsi" w:hAnsiTheme="majorHAnsi"/>
          <w:iCs/>
          <w:sz w:val="20"/>
          <w:szCs w:val="20"/>
          <w:lang w:val="en-US"/>
        </w:rPr>
        <w:t xml:space="preserve">) and </w:t>
      </w:r>
      <w:r w:rsidR="00F82001" w:rsidRPr="005A41E0">
        <w:rPr>
          <w:rFonts w:asciiTheme="majorHAnsi" w:hAnsiTheme="majorHAnsi"/>
          <w:iCs/>
          <w:sz w:val="20"/>
          <w:szCs w:val="20"/>
          <w:lang w:val="en-US"/>
        </w:rPr>
        <w:t xml:space="preserve">2 </w:t>
      </w:r>
      <w:r w:rsidRPr="005A41E0">
        <w:rPr>
          <w:rFonts w:asciiTheme="majorHAnsi" w:hAnsiTheme="majorHAnsi"/>
          <w:iCs/>
          <w:sz w:val="20"/>
          <w:szCs w:val="20"/>
          <w:lang w:val="en-US"/>
        </w:rPr>
        <w:t xml:space="preserve">of the same instrument, to the detriment of </w:t>
      </w:r>
      <w:r w:rsidR="00F82001" w:rsidRPr="005A41E0">
        <w:rPr>
          <w:rFonts w:asciiTheme="majorHAnsi" w:hAnsiTheme="majorHAnsi"/>
          <w:sz w:val="20"/>
          <w:szCs w:val="20"/>
          <w:lang w:val="en-US"/>
        </w:rPr>
        <w:t>Daniel Gerardo Gómez Murillo, Aída Marcela Garita Sánchez, Roberto Pérez Gutiérrez, Silvia María Sosa Ulate, Luis Miguel Cruz Comparaz, Raquel Sanvicente Rojas, Randall Alberto Torres Quirós, Geanina Isela Marín Rankin, Carlos Edgardo López Vega, Albania Elizondo</w:t>
      </w:r>
      <w:r w:rsidRPr="005A41E0">
        <w:rPr>
          <w:rFonts w:asciiTheme="majorHAnsi" w:hAnsiTheme="majorHAnsi"/>
          <w:sz w:val="20"/>
          <w:szCs w:val="20"/>
          <w:lang w:val="en-US"/>
        </w:rPr>
        <w:t xml:space="preserve"> Rodríguez, Miguel Acuña Cartín, and </w:t>
      </w:r>
      <w:r w:rsidR="00F82001" w:rsidRPr="005A41E0">
        <w:rPr>
          <w:rFonts w:asciiTheme="majorHAnsi" w:hAnsiTheme="majorHAnsi"/>
          <w:sz w:val="20"/>
          <w:szCs w:val="20"/>
          <w:lang w:val="en-US"/>
        </w:rPr>
        <w:t>Patricia Nú</w:t>
      </w:r>
      <w:r w:rsidR="00F82001" w:rsidRPr="005A41E0">
        <w:rPr>
          <w:rFonts w:asciiTheme="majorHAnsi" w:hAnsiTheme="majorHAnsi" w:cs="Arial"/>
          <w:sz w:val="20"/>
          <w:szCs w:val="20"/>
          <w:lang w:val="en-US"/>
        </w:rPr>
        <w:t>ñez Marín.</w:t>
      </w:r>
    </w:p>
    <w:p w:rsidR="00F82001" w:rsidRPr="005A41E0" w:rsidRDefault="00F82001" w:rsidP="005A41E0">
      <w:pPr>
        <w:jc w:val="both"/>
        <w:rPr>
          <w:rFonts w:asciiTheme="majorHAnsi" w:hAnsiTheme="majorHAnsi"/>
          <w:iCs/>
          <w:color w:val="000000"/>
          <w:sz w:val="20"/>
          <w:szCs w:val="20"/>
          <w:lang w:val="en-US"/>
        </w:rPr>
      </w:pPr>
    </w:p>
    <w:p w:rsidR="00F82001" w:rsidRPr="005A41E0" w:rsidRDefault="00EB130A" w:rsidP="005A41E0">
      <w:pPr>
        <w:pStyle w:val="ListParagraph"/>
        <w:numPr>
          <w:ilvl w:val="0"/>
          <w:numId w:val="15"/>
        </w:numPr>
        <w:shd w:val="clear" w:color="auto" w:fill="FFFFFF"/>
        <w:tabs>
          <w:tab w:val="clear" w:pos="1080"/>
        </w:tabs>
        <w:ind w:left="0"/>
        <w:jc w:val="both"/>
        <w:rPr>
          <w:rFonts w:asciiTheme="majorHAnsi" w:hAnsiTheme="majorHAnsi"/>
          <w:iCs/>
          <w:sz w:val="20"/>
          <w:szCs w:val="20"/>
          <w:lang w:val="en-US"/>
        </w:rPr>
      </w:pPr>
      <w:r w:rsidRPr="005A41E0">
        <w:rPr>
          <w:rFonts w:asciiTheme="majorHAnsi" w:hAnsiTheme="majorHAnsi"/>
          <w:iCs/>
          <w:color w:val="000000"/>
          <w:sz w:val="20"/>
          <w:szCs w:val="20"/>
          <w:lang w:val="en-US"/>
        </w:rPr>
        <w:t xml:space="preserve">Those violations occurred as the result of a general prohibition on the technique of assisted reproduction known as in vitro fertilization, which has been in force in </w:t>
      </w:r>
      <w:r w:rsidR="00F82001" w:rsidRPr="005A41E0">
        <w:rPr>
          <w:rFonts w:asciiTheme="majorHAnsi" w:hAnsiTheme="majorHAnsi"/>
          <w:iCs/>
          <w:sz w:val="20"/>
          <w:szCs w:val="20"/>
          <w:lang w:val="en-US"/>
        </w:rPr>
        <w:t xml:space="preserve">Costa Rica </w:t>
      </w:r>
      <w:r w:rsidRPr="005A41E0">
        <w:rPr>
          <w:rFonts w:asciiTheme="majorHAnsi" w:hAnsiTheme="majorHAnsi"/>
          <w:iCs/>
          <w:sz w:val="20"/>
          <w:szCs w:val="20"/>
          <w:lang w:val="en-US"/>
        </w:rPr>
        <w:t xml:space="preserve">since the year </w:t>
      </w:r>
      <w:r w:rsidR="00F82001" w:rsidRPr="005A41E0">
        <w:rPr>
          <w:rFonts w:asciiTheme="majorHAnsi" w:hAnsiTheme="majorHAnsi"/>
          <w:iCs/>
          <w:sz w:val="20"/>
          <w:szCs w:val="20"/>
          <w:lang w:val="en-US"/>
        </w:rPr>
        <w:t xml:space="preserve">2000 </w:t>
      </w:r>
      <w:r w:rsidRPr="005A41E0">
        <w:rPr>
          <w:rFonts w:asciiTheme="majorHAnsi" w:hAnsiTheme="majorHAnsi"/>
          <w:iCs/>
          <w:sz w:val="20"/>
          <w:szCs w:val="20"/>
          <w:lang w:val="en-US"/>
        </w:rPr>
        <w:t xml:space="preserve">after a decision handed down by the Constitutional Chamber of the Supreme Court. As indicated in report on the </w:t>
      </w:r>
      <w:r w:rsidRPr="005A41E0">
        <w:rPr>
          <w:rFonts w:asciiTheme="majorHAnsi" w:hAnsiTheme="majorHAnsi"/>
          <w:iCs/>
          <w:sz w:val="20"/>
          <w:szCs w:val="20"/>
          <w:lang w:val="en-US"/>
        </w:rPr>
        <w:lastRenderedPageBreak/>
        <w:t xml:space="preserve">merits </w:t>
      </w:r>
      <w:r w:rsidR="00F82001" w:rsidRPr="005A41E0">
        <w:rPr>
          <w:rFonts w:asciiTheme="majorHAnsi" w:hAnsiTheme="majorHAnsi"/>
          <w:iCs/>
          <w:sz w:val="20"/>
          <w:szCs w:val="20"/>
          <w:lang w:val="en-US"/>
        </w:rPr>
        <w:t xml:space="preserve">1/15, </w:t>
      </w:r>
      <w:r w:rsidRPr="005A41E0">
        <w:rPr>
          <w:rFonts w:asciiTheme="majorHAnsi" w:hAnsiTheme="majorHAnsi"/>
          <w:iCs/>
          <w:sz w:val="20"/>
          <w:szCs w:val="20"/>
          <w:lang w:val="en-US"/>
        </w:rPr>
        <w:t xml:space="preserve">by virtue of the principle of procedural economy and as it is a matter general in scope already resolved by both organs of the inter-American system, the IACHR determined the international responsibility of the State of Costa Rica with reference to the analysis of law and articles applied both in its report on the merits </w:t>
      </w:r>
      <w:r w:rsidR="00F82001" w:rsidRPr="005A41E0">
        <w:rPr>
          <w:rFonts w:asciiTheme="majorHAnsi" w:hAnsiTheme="majorHAnsi"/>
          <w:sz w:val="20"/>
          <w:szCs w:val="20"/>
          <w:lang w:val="en-US"/>
        </w:rPr>
        <w:t xml:space="preserve">85/10 </w:t>
      </w:r>
      <w:r w:rsidRPr="005A41E0">
        <w:rPr>
          <w:rFonts w:asciiTheme="majorHAnsi" w:hAnsiTheme="majorHAnsi"/>
          <w:sz w:val="20"/>
          <w:szCs w:val="20"/>
          <w:lang w:val="en-US"/>
        </w:rPr>
        <w:t xml:space="preserve">with respect to case </w:t>
      </w:r>
      <w:r w:rsidR="00F82001" w:rsidRPr="005A41E0">
        <w:rPr>
          <w:rFonts w:asciiTheme="majorHAnsi" w:hAnsiTheme="majorHAnsi"/>
          <w:sz w:val="20"/>
          <w:szCs w:val="20"/>
          <w:lang w:val="en-US"/>
        </w:rPr>
        <w:t>12</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361 - </w:t>
      </w:r>
      <w:r w:rsidR="00F82001" w:rsidRPr="005A41E0">
        <w:rPr>
          <w:rFonts w:asciiTheme="majorHAnsi" w:hAnsiTheme="majorHAnsi"/>
          <w:i/>
          <w:sz w:val="20"/>
          <w:szCs w:val="20"/>
          <w:lang w:val="en-US"/>
        </w:rPr>
        <w:t xml:space="preserve">Artavia Murillo </w:t>
      </w:r>
      <w:r w:rsidRPr="005A41E0">
        <w:rPr>
          <w:rFonts w:asciiTheme="majorHAnsi" w:hAnsiTheme="majorHAnsi"/>
          <w:i/>
          <w:sz w:val="20"/>
          <w:szCs w:val="20"/>
          <w:lang w:val="en-US"/>
        </w:rPr>
        <w:t>et al.</w:t>
      </w:r>
      <w:r w:rsidRPr="005A41E0">
        <w:rPr>
          <w:rFonts w:asciiTheme="majorHAnsi" w:hAnsiTheme="majorHAnsi"/>
          <w:sz w:val="20"/>
          <w:szCs w:val="20"/>
          <w:lang w:val="en-US"/>
        </w:rPr>
        <w:t>, and in the Judgment on Preliminary Objection</w:t>
      </w:r>
      <w:r w:rsidR="0077023D">
        <w:rPr>
          <w:rFonts w:asciiTheme="majorHAnsi" w:hAnsiTheme="majorHAnsi"/>
          <w:sz w:val="20"/>
          <w:szCs w:val="20"/>
          <w:lang w:val="en-US"/>
        </w:rPr>
        <w:t>s, Merits, Reparations and Costs</w:t>
      </w:r>
      <w:r w:rsidRPr="005A41E0">
        <w:rPr>
          <w:rFonts w:asciiTheme="majorHAnsi" w:hAnsiTheme="majorHAnsi"/>
          <w:sz w:val="20"/>
          <w:szCs w:val="20"/>
          <w:lang w:val="en-US"/>
        </w:rPr>
        <w:t xml:space="preserve"> issued by the Inter-American Court in the same case. </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F82001" w:rsidP="005A41E0">
      <w:pPr>
        <w:pStyle w:val="FootnoteText"/>
        <w:spacing w:before="0" w:beforeAutospacing="0" w:after="0" w:afterAutospacing="0"/>
        <w:ind w:left="1440" w:hanging="720"/>
        <w:jc w:val="both"/>
        <w:rPr>
          <w:rFonts w:asciiTheme="majorHAnsi" w:hAnsiTheme="majorHAnsi"/>
          <w:b/>
          <w:sz w:val="20"/>
          <w:lang w:val="en-US"/>
        </w:rPr>
      </w:pPr>
      <w:r w:rsidRPr="005A41E0">
        <w:rPr>
          <w:rFonts w:asciiTheme="majorHAnsi" w:hAnsiTheme="majorHAnsi"/>
          <w:b/>
          <w:sz w:val="20"/>
          <w:lang w:val="en-US"/>
        </w:rPr>
        <w:t>b.</w:t>
      </w:r>
      <w:r w:rsidRPr="005A41E0">
        <w:rPr>
          <w:rFonts w:asciiTheme="majorHAnsi" w:hAnsiTheme="majorHAnsi"/>
          <w:b/>
          <w:sz w:val="20"/>
          <w:lang w:val="en-US"/>
        </w:rPr>
        <w:tab/>
        <w:t xml:space="preserve">Ramírez Escobar </w:t>
      </w:r>
      <w:r w:rsidR="00EB130A" w:rsidRPr="005A41E0">
        <w:rPr>
          <w:rFonts w:asciiTheme="majorHAnsi" w:hAnsiTheme="majorHAnsi"/>
          <w:b/>
          <w:sz w:val="20"/>
          <w:lang w:val="en-US"/>
        </w:rPr>
        <w:t xml:space="preserve">et al. v. </w:t>
      </w:r>
      <w:r w:rsidRPr="005A41E0">
        <w:rPr>
          <w:rFonts w:asciiTheme="majorHAnsi" w:hAnsiTheme="majorHAnsi"/>
          <w:b/>
          <w:sz w:val="20"/>
          <w:lang w:val="en-US"/>
        </w:rPr>
        <w:t>Guatemala (</w:t>
      </w:r>
      <w:r w:rsidR="00EB130A" w:rsidRPr="005A41E0">
        <w:rPr>
          <w:rFonts w:asciiTheme="majorHAnsi" w:hAnsiTheme="majorHAnsi"/>
          <w:b/>
          <w:sz w:val="20"/>
          <w:lang w:val="en-US"/>
        </w:rPr>
        <w:t xml:space="preserve">submitted February </w:t>
      </w:r>
      <w:r w:rsidRPr="005A41E0">
        <w:rPr>
          <w:rFonts w:asciiTheme="majorHAnsi" w:hAnsiTheme="majorHAnsi"/>
          <w:b/>
          <w:sz w:val="20"/>
          <w:lang w:val="en-US"/>
        </w:rPr>
        <w:t>12</w:t>
      </w:r>
      <w:r w:rsidR="00EB130A" w:rsidRPr="005A41E0">
        <w:rPr>
          <w:rFonts w:asciiTheme="majorHAnsi" w:hAnsiTheme="majorHAnsi"/>
          <w:b/>
          <w:sz w:val="20"/>
          <w:lang w:val="en-US"/>
        </w:rPr>
        <w:t>,</w:t>
      </w:r>
      <w:r w:rsidRPr="005A41E0">
        <w:rPr>
          <w:rFonts w:asciiTheme="majorHAnsi" w:hAnsiTheme="majorHAnsi"/>
          <w:b/>
          <w:sz w:val="20"/>
          <w:lang w:val="en-US"/>
        </w:rPr>
        <w:t xml:space="preserve"> 2016)</w:t>
      </w:r>
    </w:p>
    <w:p w:rsidR="00F82001" w:rsidRPr="005A41E0" w:rsidRDefault="00F82001" w:rsidP="005A41E0">
      <w:pPr>
        <w:pStyle w:val="FootnoteText"/>
        <w:spacing w:before="0" w:beforeAutospacing="0" w:after="0" w:afterAutospacing="0"/>
        <w:ind w:left="1440" w:hanging="720"/>
        <w:jc w:val="both"/>
        <w:rPr>
          <w:rFonts w:asciiTheme="majorHAnsi" w:hAnsiTheme="majorHAnsi"/>
          <w:b/>
          <w:sz w:val="20"/>
          <w:lang w:val="en-US"/>
        </w:rPr>
      </w:pPr>
    </w:p>
    <w:p w:rsidR="00F82001" w:rsidRPr="005A41E0" w:rsidRDefault="00141598" w:rsidP="005C427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case is related to a series of violations of the American Convention as a result of the process of international adoption by </w:t>
      </w:r>
      <w:r w:rsidR="005C427B">
        <w:rPr>
          <w:rFonts w:asciiTheme="majorHAnsi" w:hAnsiTheme="majorHAnsi"/>
          <w:sz w:val="20"/>
          <w:szCs w:val="20"/>
          <w:lang w:val="en-US"/>
        </w:rPr>
        <w:t xml:space="preserve">a procedure </w:t>
      </w:r>
      <w:r w:rsidRPr="005A41E0">
        <w:rPr>
          <w:rFonts w:asciiTheme="majorHAnsi" w:hAnsiTheme="majorHAnsi"/>
          <w:sz w:val="20"/>
          <w:szCs w:val="20"/>
          <w:lang w:val="en-US"/>
        </w:rPr>
        <w:t>before a notary of two children, ages 7 and 2 year</w:t>
      </w:r>
      <w:r w:rsidR="0077023D">
        <w:rPr>
          <w:rFonts w:asciiTheme="majorHAnsi" w:hAnsiTheme="majorHAnsi"/>
          <w:sz w:val="20"/>
          <w:szCs w:val="20"/>
          <w:lang w:val="en-US"/>
        </w:rPr>
        <w:t>s</w:t>
      </w:r>
      <w:r w:rsidRPr="005A41E0">
        <w:rPr>
          <w:rFonts w:asciiTheme="majorHAnsi" w:hAnsiTheme="majorHAnsi"/>
          <w:sz w:val="20"/>
          <w:szCs w:val="20"/>
          <w:lang w:val="en-US"/>
        </w:rPr>
        <w:t xml:space="preserve"> respective</w:t>
      </w:r>
      <w:r w:rsidR="0077023D">
        <w:rPr>
          <w:rFonts w:asciiTheme="majorHAnsi" w:hAnsiTheme="majorHAnsi"/>
          <w:sz w:val="20"/>
          <w:szCs w:val="20"/>
          <w:lang w:val="en-US"/>
        </w:rPr>
        <w:t>ly</w:t>
      </w:r>
      <w:r w:rsidRPr="005A41E0">
        <w:rPr>
          <w:rFonts w:asciiTheme="majorHAnsi" w:hAnsiTheme="majorHAnsi"/>
          <w:sz w:val="20"/>
          <w:szCs w:val="20"/>
          <w:lang w:val="en-US"/>
        </w:rPr>
        <w:t xml:space="preserve">, in June </w:t>
      </w:r>
      <w:r w:rsidR="00F82001" w:rsidRPr="005A41E0">
        <w:rPr>
          <w:rFonts w:asciiTheme="majorHAnsi" w:hAnsiTheme="majorHAnsi"/>
          <w:sz w:val="20"/>
          <w:szCs w:val="20"/>
          <w:lang w:val="en-US"/>
        </w:rPr>
        <w:t xml:space="preserve">1998, </w:t>
      </w:r>
      <w:r w:rsidRPr="005A41E0">
        <w:rPr>
          <w:rFonts w:asciiTheme="majorHAnsi" w:hAnsiTheme="majorHAnsi"/>
          <w:sz w:val="20"/>
          <w:szCs w:val="20"/>
          <w:lang w:val="en-US"/>
        </w:rPr>
        <w:t xml:space="preserve">after the institutionalization of the two brothers as of January 9, </w:t>
      </w:r>
      <w:r w:rsidR="00F82001" w:rsidRPr="005A41E0">
        <w:rPr>
          <w:rFonts w:asciiTheme="majorHAnsi" w:hAnsiTheme="majorHAnsi"/>
          <w:sz w:val="20"/>
          <w:szCs w:val="20"/>
          <w:lang w:val="en-US"/>
        </w:rPr>
        <w:t>1997</w:t>
      </w:r>
      <w:r w:rsidRPr="005A41E0">
        <w:rPr>
          <w:rFonts w:asciiTheme="majorHAnsi" w:hAnsiTheme="majorHAnsi"/>
          <w:sz w:val="20"/>
          <w:szCs w:val="20"/>
          <w:lang w:val="en-US"/>
        </w:rPr>
        <w:t xml:space="preserve"> and the subsequent declaration of a </w:t>
      </w:r>
      <w:r w:rsidR="0077023D">
        <w:rPr>
          <w:rFonts w:asciiTheme="majorHAnsi" w:hAnsiTheme="majorHAnsi"/>
          <w:sz w:val="20"/>
          <w:szCs w:val="20"/>
          <w:lang w:val="en-US"/>
        </w:rPr>
        <w:t xml:space="preserve">supposed </w:t>
      </w:r>
      <w:r w:rsidRPr="005A41E0">
        <w:rPr>
          <w:rFonts w:asciiTheme="majorHAnsi" w:hAnsiTheme="majorHAnsi"/>
          <w:sz w:val="20"/>
          <w:szCs w:val="20"/>
          <w:lang w:val="en-US"/>
        </w:rPr>
        <w:t xml:space="preserve">state of abandonment. </w:t>
      </w:r>
    </w:p>
    <w:p w:rsidR="00F82001" w:rsidRPr="005A41E0" w:rsidRDefault="00F82001" w:rsidP="005A41E0">
      <w:pPr>
        <w:widowControl w:val="0"/>
        <w:autoSpaceDE w:val="0"/>
        <w:autoSpaceDN w:val="0"/>
        <w:adjustRightInd w:val="0"/>
        <w:jc w:val="both"/>
        <w:rPr>
          <w:rFonts w:asciiTheme="majorHAnsi" w:hAnsiTheme="majorHAnsi"/>
          <w:sz w:val="20"/>
          <w:szCs w:val="20"/>
          <w:lang w:val="en-US"/>
        </w:rPr>
      </w:pPr>
    </w:p>
    <w:p w:rsidR="00F82001" w:rsidRPr="005A41E0" w:rsidRDefault="00141598" w:rsidP="00565885">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IACHR concluded that the initial decision of institutionalization and the judicial declaration of the state of abandonment did not meet with the minimal substantive and procedural obligations to be able to consider them in keeping with the American Convention. Specifically, the IACHR determined that there was no immediate investigation of the situation from the moment the anonymous </w:t>
      </w:r>
      <w:r w:rsidR="0077023D">
        <w:rPr>
          <w:rFonts w:asciiTheme="majorHAnsi" w:hAnsiTheme="majorHAnsi"/>
          <w:sz w:val="20"/>
          <w:szCs w:val="20"/>
          <w:lang w:val="en-US"/>
        </w:rPr>
        <w:t xml:space="preserve">report </w:t>
      </w:r>
      <w:r w:rsidRPr="005A41E0">
        <w:rPr>
          <w:rFonts w:asciiTheme="majorHAnsi" w:hAnsiTheme="majorHAnsi"/>
          <w:sz w:val="20"/>
          <w:szCs w:val="20"/>
          <w:lang w:val="en-US"/>
        </w:rPr>
        <w:t xml:space="preserve">was received on the alleged situation of abandonment; after the visit with the children it was automatically ordered that they be institutionalized at the </w:t>
      </w:r>
      <w:r w:rsidR="00F82001" w:rsidRPr="005A41E0">
        <w:rPr>
          <w:rFonts w:asciiTheme="majorHAnsi" w:hAnsiTheme="majorHAnsi"/>
          <w:sz w:val="20"/>
          <w:szCs w:val="20"/>
          <w:lang w:val="en-US"/>
        </w:rPr>
        <w:t xml:space="preserve">Hogar Asociación </w:t>
      </w:r>
      <w:r w:rsidRPr="005A41E0">
        <w:rPr>
          <w:rFonts w:asciiTheme="majorHAnsi" w:hAnsiTheme="majorHAnsi"/>
          <w:sz w:val="20"/>
          <w:szCs w:val="20"/>
          <w:lang w:val="en-US"/>
        </w:rPr>
        <w:t xml:space="preserve">without any reference to the possibility of taking measures to support the mother or the possibility of looking for the father or the extended family for their care; it was found that throughout this process there was a general failure to seek alternatives less harmful than institutionalization and subsequent adoption; </w:t>
      </w:r>
      <w:r w:rsidR="00882727" w:rsidRPr="005A41E0">
        <w:rPr>
          <w:rFonts w:asciiTheme="majorHAnsi" w:hAnsiTheme="majorHAnsi"/>
          <w:sz w:val="20"/>
          <w:szCs w:val="20"/>
          <w:lang w:val="en-US"/>
        </w:rPr>
        <w:t xml:space="preserve">and that from the visit to the home of Ms. </w:t>
      </w:r>
      <w:r w:rsidR="00F82001" w:rsidRPr="005A41E0">
        <w:rPr>
          <w:rFonts w:asciiTheme="majorHAnsi" w:hAnsiTheme="majorHAnsi"/>
          <w:sz w:val="20"/>
          <w:szCs w:val="20"/>
          <w:lang w:val="en-US"/>
        </w:rPr>
        <w:t xml:space="preserve">Ramírez </w:t>
      </w:r>
      <w:r w:rsidR="00882727" w:rsidRPr="005A41E0">
        <w:rPr>
          <w:rFonts w:asciiTheme="majorHAnsi" w:hAnsiTheme="majorHAnsi"/>
          <w:sz w:val="20"/>
          <w:szCs w:val="20"/>
          <w:lang w:val="en-US"/>
        </w:rPr>
        <w:t xml:space="preserve">up to the declaration of a state of abandonment of her two children there were </w:t>
      </w:r>
      <w:r w:rsidR="00845C26" w:rsidRPr="005A41E0">
        <w:rPr>
          <w:rFonts w:asciiTheme="majorHAnsi" w:hAnsiTheme="majorHAnsi"/>
          <w:sz w:val="20"/>
          <w:szCs w:val="20"/>
          <w:lang w:val="en-US"/>
        </w:rPr>
        <w:t>numerous irregularities and evidentiary omissions. These include the failure to consult one of the children about his situation and that of his brother</w:t>
      </w:r>
      <w:r w:rsidR="00415CED"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00845C26" w:rsidRPr="005A41E0">
        <w:rPr>
          <w:rFonts w:asciiTheme="majorHAnsi" w:hAnsiTheme="majorHAnsi"/>
          <w:sz w:val="20"/>
          <w:szCs w:val="20"/>
          <w:lang w:val="en-US"/>
        </w:rPr>
        <w:t xml:space="preserve">the failure to consider Ms. </w:t>
      </w:r>
      <w:r w:rsidR="00F82001" w:rsidRPr="005A41E0">
        <w:rPr>
          <w:rFonts w:asciiTheme="majorHAnsi" w:hAnsiTheme="majorHAnsi"/>
          <w:sz w:val="20"/>
          <w:szCs w:val="20"/>
          <w:lang w:val="en-US"/>
        </w:rPr>
        <w:t>Ramírez</w:t>
      </w:r>
      <w:r w:rsidR="00845C26" w:rsidRPr="005A41E0">
        <w:rPr>
          <w:rFonts w:asciiTheme="majorHAnsi" w:hAnsiTheme="majorHAnsi"/>
          <w:sz w:val="20"/>
          <w:szCs w:val="20"/>
          <w:lang w:val="en-US"/>
        </w:rPr>
        <w:t xml:space="preserve">’s arguments once she went before the Court to request that her children be turned over to her; and the </w:t>
      </w:r>
      <w:r w:rsidR="005C427B">
        <w:rPr>
          <w:rFonts w:asciiTheme="majorHAnsi" w:hAnsiTheme="majorHAnsi"/>
          <w:sz w:val="20"/>
          <w:szCs w:val="20"/>
          <w:lang w:val="en-US"/>
        </w:rPr>
        <w:t xml:space="preserve">errors </w:t>
      </w:r>
      <w:r w:rsidR="00845C26" w:rsidRPr="005A41E0">
        <w:rPr>
          <w:rFonts w:asciiTheme="majorHAnsi" w:hAnsiTheme="majorHAnsi"/>
          <w:sz w:val="20"/>
          <w:szCs w:val="20"/>
          <w:lang w:val="en-US"/>
        </w:rPr>
        <w:t xml:space="preserve">in the reports of the </w:t>
      </w:r>
      <w:r w:rsidR="00565885">
        <w:rPr>
          <w:rFonts w:asciiTheme="majorHAnsi" w:hAnsiTheme="majorHAnsi"/>
          <w:sz w:val="20"/>
          <w:szCs w:val="20"/>
          <w:lang w:val="en-US"/>
        </w:rPr>
        <w:t xml:space="preserve">authorities (the </w:t>
      </w:r>
      <w:r w:rsidR="00F82001" w:rsidRPr="005A41E0">
        <w:rPr>
          <w:rFonts w:asciiTheme="majorHAnsi" w:hAnsiTheme="majorHAnsi"/>
          <w:sz w:val="20"/>
          <w:szCs w:val="20"/>
          <w:lang w:val="en-US"/>
        </w:rPr>
        <w:t>Procuraduría</w:t>
      </w:r>
      <w:r w:rsidR="00565885">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00845C26" w:rsidRPr="005A41E0">
        <w:rPr>
          <w:rFonts w:asciiTheme="majorHAnsi" w:hAnsiTheme="majorHAnsi"/>
          <w:sz w:val="20"/>
          <w:szCs w:val="20"/>
          <w:lang w:val="en-US"/>
        </w:rPr>
        <w:t xml:space="preserve">about the situation of the children and the delegation to the </w:t>
      </w:r>
      <w:r w:rsidR="00F82001" w:rsidRPr="005A41E0">
        <w:rPr>
          <w:rFonts w:asciiTheme="majorHAnsi" w:hAnsiTheme="majorHAnsi"/>
          <w:sz w:val="20"/>
          <w:szCs w:val="20"/>
          <w:lang w:val="en-US"/>
        </w:rPr>
        <w:t xml:space="preserve">Hogar Asociación </w:t>
      </w:r>
      <w:r w:rsidR="00845C26" w:rsidRPr="005A41E0">
        <w:rPr>
          <w:rFonts w:asciiTheme="majorHAnsi" w:hAnsiTheme="majorHAnsi"/>
          <w:sz w:val="20"/>
          <w:szCs w:val="20"/>
          <w:lang w:val="en-US"/>
        </w:rPr>
        <w:t xml:space="preserve">to perform the respective social studies without guarantees of independence or suitability, which was reflected in the motivations and conclusions of those studies. </w:t>
      </w:r>
    </w:p>
    <w:p w:rsidR="00F82001" w:rsidRPr="005A41E0" w:rsidRDefault="00F82001" w:rsidP="005A41E0">
      <w:pPr>
        <w:jc w:val="both"/>
        <w:rPr>
          <w:rFonts w:asciiTheme="majorHAnsi" w:hAnsiTheme="majorHAnsi"/>
          <w:sz w:val="20"/>
          <w:szCs w:val="20"/>
          <w:lang w:val="en-US"/>
        </w:rPr>
      </w:pPr>
    </w:p>
    <w:p w:rsidR="00F82001" w:rsidRPr="005A41E0" w:rsidRDefault="00845C26" w:rsidP="005C427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As regards the adoption process</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the IACHR took into account the concern that the different international organizations showed with respect to the legislation in force at the time of the facts on the process of adopting child</w:t>
      </w:r>
      <w:r w:rsidR="0077023D">
        <w:rPr>
          <w:rFonts w:asciiTheme="majorHAnsi" w:hAnsiTheme="majorHAnsi"/>
          <w:sz w:val="20"/>
          <w:szCs w:val="20"/>
          <w:lang w:val="en-US"/>
        </w:rPr>
        <w:t>ren, i</w:t>
      </w:r>
      <w:r w:rsidRPr="005A41E0">
        <w:rPr>
          <w:rFonts w:asciiTheme="majorHAnsi" w:hAnsiTheme="majorHAnsi"/>
          <w:sz w:val="20"/>
          <w:szCs w:val="20"/>
          <w:lang w:val="en-US"/>
        </w:rPr>
        <w:t xml:space="preserve">n </w:t>
      </w:r>
      <w:r w:rsidR="00F82001" w:rsidRPr="005A41E0">
        <w:rPr>
          <w:rFonts w:asciiTheme="majorHAnsi" w:hAnsiTheme="majorHAnsi"/>
          <w:sz w:val="20"/>
          <w:szCs w:val="20"/>
          <w:lang w:val="en-US"/>
        </w:rPr>
        <w:t xml:space="preserve">particular, </w:t>
      </w:r>
      <w:r w:rsidRPr="005A41E0">
        <w:rPr>
          <w:rFonts w:asciiTheme="majorHAnsi" w:hAnsiTheme="majorHAnsi"/>
          <w:sz w:val="20"/>
          <w:szCs w:val="20"/>
          <w:lang w:val="en-US"/>
        </w:rPr>
        <w:t xml:space="preserve">that the </w:t>
      </w:r>
      <w:r w:rsidR="00F82001" w:rsidRPr="005A41E0">
        <w:rPr>
          <w:rFonts w:asciiTheme="majorHAnsi" w:hAnsiTheme="majorHAnsi"/>
          <w:sz w:val="20"/>
          <w:szCs w:val="20"/>
          <w:lang w:val="en-US"/>
        </w:rPr>
        <w:t xml:space="preserve">extrajudicial </w:t>
      </w:r>
      <w:r w:rsidRPr="005A41E0">
        <w:rPr>
          <w:rFonts w:asciiTheme="majorHAnsi" w:hAnsiTheme="majorHAnsi"/>
          <w:sz w:val="20"/>
          <w:szCs w:val="20"/>
          <w:lang w:val="en-US"/>
        </w:rPr>
        <w:t xml:space="preserve">adoption process did not require any major investigation, red tape, </w:t>
      </w:r>
      <w:r w:rsidR="0077023D">
        <w:rPr>
          <w:rFonts w:asciiTheme="majorHAnsi" w:hAnsiTheme="majorHAnsi"/>
          <w:sz w:val="20"/>
          <w:szCs w:val="20"/>
          <w:lang w:val="en-US"/>
        </w:rPr>
        <w:t xml:space="preserve">or </w:t>
      </w:r>
      <w:r w:rsidRPr="005A41E0">
        <w:rPr>
          <w:rFonts w:asciiTheme="majorHAnsi" w:hAnsiTheme="majorHAnsi"/>
          <w:sz w:val="20"/>
          <w:szCs w:val="20"/>
          <w:lang w:val="en-US"/>
        </w:rPr>
        <w:t xml:space="preserve">procedures, nor was it subject to obligatory judicial review. In addition, it did not have the minimum procedural or substantive safeguards to ensure that all possible alternatives would be explored before proceeding to the adoption, </w:t>
      </w:r>
      <w:r w:rsidR="0077023D">
        <w:rPr>
          <w:rFonts w:asciiTheme="majorHAnsi" w:hAnsiTheme="majorHAnsi"/>
          <w:sz w:val="20"/>
          <w:szCs w:val="20"/>
          <w:lang w:val="en-US"/>
        </w:rPr>
        <w:t xml:space="preserve">nor was </w:t>
      </w:r>
      <w:r w:rsidRPr="005A41E0">
        <w:rPr>
          <w:rFonts w:asciiTheme="majorHAnsi" w:hAnsiTheme="majorHAnsi"/>
          <w:sz w:val="20"/>
          <w:szCs w:val="20"/>
          <w:lang w:val="en-US"/>
        </w:rPr>
        <w:t>the presence or declaration of consent of the parents made in keeping with the standards described in the report. Also of concern was the fact that it was not required that the children be heard from, or that their opinion be weighed commensurate with their maturity. The IACHR determined that these problems in the existing regulation</w:t>
      </w:r>
      <w:r w:rsidR="0077023D">
        <w:rPr>
          <w:rFonts w:asciiTheme="majorHAnsi" w:hAnsiTheme="majorHAnsi"/>
          <w:sz w:val="20"/>
          <w:szCs w:val="20"/>
          <w:lang w:val="en-US"/>
        </w:rPr>
        <w:t>s</w:t>
      </w:r>
      <w:r w:rsidRPr="005A41E0">
        <w:rPr>
          <w:rFonts w:asciiTheme="majorHAnsi" w:hAnsiTheme="majorHAnsi"/>
          <w:sz w:val="20"/>
          <w:szCs w:val="20"/>
          <w:lang w:val="en-US"/>
        </w:rPr>
        <w:t xml:space="preserve"> and practices in adoptions at the time of the facts were clearly present in this case. </w:t>
      </w:r>
    </w:p>
    <w:p w:rsidR="00F82001" w:rsidRPr="005A41E0" w:rsidRDefault="00F82001" w:rsidP="005A41E0">
      <w:pPr>
        <w:jc w:val="both"/>
        <w:rPr>
          <w:rFonts w:asciiTheme="majorHAnsi" w:hAnsiTheme="majorHAnsi"/>
          <w:sz w:val="20"/>
          <w:szCs w:val="20"/>
          <w:lang w:val="en-US"/>
        </w:rPr>
      </w:pPr>
    </w:p>
    <w:p w:rsidR="00F82001" w:rsidRPr="005A41E0" w:rsidRDefault="00845C26" w:rsidP="0077023D">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Specifically, the IACHR concluded that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i) </w:t>
      </w:r>
      <w:r w:rsidRPr="005A41E0">
        <w:rPr>
          <w:rFonts w:asciiTheme="majorHAnsi" w:hAnsiTheme="majorHAnsi"/>
          <w:sz w:val="20"/>
          <w:szCs w:val="20"/>
          <w:lang w:val="en-US"/>
        </w:rPr>
        <w:t>the court that ordered the adoption did not analyze whether there were remedies pending in the proceeding</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ii) </w:t>
      </w:r>
      <w:r w:rsidRPr="005A41E0">
        <w:rPr>
          <w:rFonts w:asciiTheme="majorHAnsi" w:hAnsiTheme="majorHAnsi"/>
          <w:sz w:val="20"/>
          <w:szCs w:val="20"/>
          <w:lang w:val="en-US"/>
        </w:rPr>
        <w:t xml:space="preserve">no type of measure was ordered </w:t>
      </w:r>
      <w:r w:rsidR="0077023D">
        <w:rPr>
          <w:rFonts w:asciiTheme="majorHAnsi" w:hAnsiTheme="majorHAnsi"/>
          <w:sz w:val="20"/>
          <w:szCs w:val="20"/>
          <w:lang w:val="en-US"/>
        </w:rPr>
        <w:t xml:space="preserve">for </w:t>
      </w:r>
      <w:r w:rsidRPr="005A41E0">
        <w:rPr>
          <w:rFonts w:asciiTheme="majorHAnsi" w:hAnsiTheme="majorHAnsi"/>
          <w:sz w:val="20"/>
          <w:szCs w:val="20"/>
          <w:lang w:val="en-US"/>
        </w:rPr>
        <w:t xml:space="preserve">the purpose of analyzing Ms. </w:t>
      </w:r>
      <w:r w:rsidR="00F82001" w:rsidRPr="005A41E0">
        <w:rPr>
          <w:rFonts w:asciiTheme="majorHAnsi" w:hAnsiTheme="majorHAnsi"/>
          <w:sz w:val="20"/>
          <w:szCs w:val="20"/>
          <w:lang w:val="en-US"/>
        </w:rPr>
        <w:t>Ramírez</w:t>
      </w:r>
      <w:r w:rsidRPr="005A41E0">
        <w:rPr>
          <w:rFonts w:asciiTheme="majorHAnsi" w:hAnsiTheme="majorHAnsi"/>
          <w:sz w:val="20"/>
          <w:szCs w:val="20"/>
          <w:lang w:val="en-US"/>
        </w:rPr>
        <w:t>’s situation</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iii) </w:t>
      </w:r>
      <w:r w:rsidR="00BA5574" w:rsidRPr="005A41E0">
        <w:rPr>
          <w:rFonts w:asciiTheme="majorHAnsi" w:hAnsiTheme="majorHAnsi"/>
          <w:sz w:val="20"/>
          <w:szCs w:val="20"/>
          <w:lang w:val="en-US"/>
        </w:rPr>
        <w:t>no investigative steps were taken nor was the possibility considered of decreeing that the children would be placed in the care of their extended family</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iv) </w:t>
      </w:r>
      <w:r w:rsidR="00BA5574" w:rsidRPr="005A41E0">
        <w:rPr>
          <w:rFonts w:asciiTheme="majorHAnsi" w:hAnsiTheme="majorHAnsi"/>
          <w:sz w:val="20"/>
          <w:szCs w:val="20"/>
          <w:lang w:val="en-US"/>
        </w:rPr>
        <w:t>even though international adoption should be exception</w:t>
      </w:r>
      <w:r w:rsidR="0077023D">
        <w:rPr>
          <w:rFonts w:asciiTheme="majorHAnsi" w:hAnsiTheme="majorHAnsi"/>
          <w:sz w:val="20"/>
          <w:szCs w:val="20"/>
          <w:lang w:val="en-US"/>
        </w:rPr>
        <w:t>al</w:t>
      </w:r>
      <w:r w:rsidR="00BA5574" w:rsidRPr="005A41E0">
        <w:rPr>
          <w:rFonts w:asciiTheme="majorHAnsi" w:hAnsiTheme="majorHAnsi"/>
          <w:sz w:val="20"/>
          <w:szCs w:val="20"/>
          <w:lang w:val="en-US"/>
        </w:rPr>
        <w:t xml:space="preserve">, in this matter the court failed to analyze the possibility of exploring an adoption in </w:t>
      </w:r>
      <w:r w:rsidR="00F82001" w:rsidRPr="005A41E0">
        <w:rPr>
          <w:rFonts w:asciiTheme="majorHAnsi" w:hAnsiTheme="majorHAnsi"/>
          <w:sz w:val="20"/>
          <w:szCs w:val="20"/>
          <w:lang w:val="en-US"/>
        </w:rPr>
        <w:t>Guatemala</w:t>
      </w:r>
      <w:r w:rsidR="00BA5574" w:rsidRPr="005A41E0">
        <w:rPr>
          <w:rFonts w:asciiTheme="majorHAnsi" w:hAnsiTheme="majorHAnsi"/>
          <w:sz w:val="20"/>
          <w:szCs w:val="20"/>
          <w:lang w:val="en-US"/>
        </w:rPr>
        <w:t>, but rather requested international adoption to the United States on an expedited basis</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v) </w:t>
      </w:r>
      <w:r w:rsidR="0077023D">
        <w:rPr>
          <w:rFonts w:asciiTheme="majorHAnsi" w:hAnsiTheme="majorHAnsi"/>
          <w:sz w:val="20"/>
          <w:szCs w:val="20"/>
          <w:lang w:val="en-US"/>
        </w:rPr>
        <w:t>nor did the court weigh</w:t>
      </w:r>
      <w:r w:rsidR="00BA5574" w:rsidRPr="005A41E0">
        <w:rPr>
          <w:rFonts w:asciiTheme="majorHAnsi" w:hAnsiTheme="majorHAnsi"/>
          <w:sz w:val="20"/>
          <w:szCs w:val="20"/>
          <w:lang w:val="en-US"/>
        </w:rPr>
        <w:t xml:space="preserve"> the suitability of the adopting families in relation to the specific needs of the children, who were separated from one another, even though they are brothers</w:t>
      </w:r>
      <w:r w:rsidR="00F82001" w:rsidRPr="005A41E0">
        <w:rPr>
          <w:rFonts w:asciiTheme="majorHAnsi" w:hAnsiTheme="majorHAnsi"/>
          <w:sz w:val="20"/>
          <w:szCs w:val="20"/>
          <w:lang w:val="en-US"/>
        </w:rPr>
        <w:t xml:space="preserve">; </w:t>
      </w:r>
      <w:r w:rsidR="00BA5574" w:rsidRPr="005A41E0">
        <w:rPr>
          <w:rFonts w:asciiTheme="majorHAnsi" w:hAnsiTheme="majorHAnsi"/>
          <w:sz w:val="20"/>
          <w:szCs w:val="20"/>
          <w:lang w:val="en-US"/>
        </w:rPr>
        <w:t xml:space="preserve">and </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vi) </w:t>
      </w:r>
      <w:r w:rsidR="00BA5574" w:rsidRPr="005A41E0">
        <w:rPr>
          <w:rFonts w:asciiTheme="majorHAnsi" w:hAnsiTheme="majorHAnsi"/>
          <w:sz w:val="20"/>
          <w:szCs w:val="20"/>
          <w:lang w:val="en-US"/>
        </w:rPr>
        <w:t xml:space="preserve">there was no effort to check whether they had been heard during the adoption process. </w:t>
      </w:r>
    </w:p>
    <w:p w:rsidR="00F82001" w:rsidRPr="005A41E0" w:rsidRDefault="00F82001" w:rsidP="005A41E0">
      <w:pPr>
        <w:widowControl w:val="0"/>
        <w:autoSpaceDE w:val="0"/>
        <w:autoSpaceDN w:val="0"/>
        <w:adjustRightInd w:val="0"/>
        <w:jc w:val="both"/>
        <w:rPr>
          <w:rFonts w:asciiTheme="majorHAnsi" w:hAnsiTheme="majorHAnsi"/>
          <w:sz w:val="20"/>
          <w:szCs w:val="20"/>
          <w:lang w:val="en-US"/>
        </w:rPr>
      </w:pPr>
    </w:p>
    <w:p w:rsidR="00F82001" w:rsidRPr="005A41E0" w:rsidRDefault="00BA5574"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Finally</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the IACHR concluded that the motion for review (</w:t>
      </w:r>
      <w:r w:rsidR="00F82001" w:rsidRPr="0077023D">
        <w:rPr>
          <w:rFonts w:asciiTheme="majorHAnsi" w:hAnsiTheme="majorHAnsi"/>
          <w:i/>
          <w:iCs/>
          <w:sz w:val="20"/>
          <w:szCs w:val="20"/>
          <w:lang w:val="en-US"/>
        </w:rPr>
        <w:t>recurso de revisión</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filed was not an effective remedy to address the human rights violations that took place in the context of the proceedings on declaration of abandonment and international adoption. In addition, the IACHR determined that the remedy was not resolved within a reasonable time. </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0643A5" w:rsidRDefault="00F82001" w:rsidP="005A41E0">
      <w:pPr>
        <w:pStyle w:val="FootnoteText"/>
        <w:spacing w:before="0" w:beforeAutospacing="0" w:after="0" w:afterAutospacing="0"/>
        <w:ind w:left="1440" w:hanging="720"/>
        <w:jc w:val="both"/>
        <w:rPr>
          <w:rFonts w:asciiTheme="majorHAnsi" w:hAnsiTheme="majorHAnsi"/>
          <w:b/>
          <w:sz w:val="20"/>
        </w:rPr>
      </w:pPr>
      <w:r w:rsidRPr="000643A5">
        <w:rPr>
          <w:rFonts w:asciiTheme="majorHAnsi" w:hAnsiTheme="majorHAnsi"/>
          <w:b/>
          <w:sz w:val="20"/>
        </w:rPr>
        <w:t xml:space="preserve">c. </w:t>
      </w:r>
      <w:r w:rsidRPr="000643A5">
        <w:rPr>
          <w:rFonts w:asciiTheme="majorHAnsi" w:hAnsiTheme="majorHAnsi"/>
          <w:b/>
          <w:sz w:val="20"/>
        </w:rPr>
        <w:tab/>
        <w:t xml:space="preserve">Rocío San Miguel Sosa </w:t>
      </w:r>
      <w:r w:rsidR="00BA5574" w:rsidRPr="000643A5">
        <w:rPr>
          <w:rFonts w:asciiTheme="majorHAnsi" w:hAnsiTheme="majorHAnsi"/>
          <w:b/>
          <w:sz w:val="20"/>
        </w:rPr>
        <w:t xml:space="preserve">et al. v. </w:t>
      </w:r>
      <w:r w:rsidRPr="000643A5">
        <w:rPr>
          <w:rFonts w:asciiTheme="majorHAnsi" w:hAnsiTheme="majorHAnsi"/>
          <w:b/>
          <w:sz w:val="20"/>
        </w:rPr>
        <w:t>Venezuela (s</w:t>
      </w:r>
      <w:r w:rsidR="00BA5574" w:rsidRPr="000643A5">
        <w:rPr>
          <w:rFonts w:asciiTheme="majorHAnsi" w:hAnsiTheme="majorHAnsi"/>
          <w:b/>
          <w:sz w:val="20"/>
        </w:rPr>
        <w:t xml:space="preserve">ubmitted March </w:t>
      </w:r>
      <w:r w:rsidRPr="000643A5">
        <w:rPr>
          <w:rFonts w:asciiTheme="majorHAnsi" w:hAnsiTheme="majorHAnsi"/>
          <w:b/>
          <w:sz w:val="20"/>
        </w:rPr>
        <w:t>8</w:t>
      </w:r>
      <w:r w:rsidR="00BA5574" w:rsidRPr="000643A5">
        <w:rPr>
          <w:rFonts w:asciiTheme="majorHAnsi" w:hAnsiTheme="majorHAnsi"/>
          <w:b/>
          <w:sz w:val="20"/>
        </w:rPr>
        <w:t>,</w:t>
      </w:r>
      <w:r w:rsidRPr="000643A5">
        <w:rPr>
          <w:rFonts w:asciiTheme="majorHAnsi" w:hAnsiTheme="majorHAnsi"/>
          <w:b/>
          <w:sz w:val="20"/>
        </w:rPr>
        <w:t xml:space="preserve"> 2016)</w:t>
      </w:r>
    </w:p>
    <w:p w:rsidR="00F82001" w:rsidRPr="000643A5" w:rsidRDefault="00F82001" w:rsidP="005A41E0">
      <w:pPr>
        <w:ind w:firstLine="720"/>
        <w:jc w:val="both"/>
        <w:rPr>
          <w:rFonts w:asciiTheme="majorHAnsi" w:hAnsiTheme="majorHAnsi"/>
          <w:iCs/>
          <w:sz w:val="20"/>
          <w:szCs w:val="20"/>
        </w:rPr>
      </w:pPr>
    </w:p>
    <w:p w:rsidR="00F82001" w:rsidRPr="005A41E0" w:rsidRDefault="00BA5574" w:rsidP="005A41E0">
      <w:pPr>
        <w:pStyle w:val="ListParagraph"/>
        <w:numPr>
          <w:ilvl w:val="0"/>
          <w:numId w:val="15"/>
        </w:numPr>
        <w:shd w:val="clear" w:color="auto" w:fill="FFFFFF"/>
        <w:tabs>
          <w:tab w:val="clear" w:pos="1080"/>
        </w:tabs>
        <w:ind w:left="0"/>
        <w:jc w:val="both"/>
        <w:rPr>
          <w:rFonts w:asciiTheme="majorHAnsi" w:hAnsiTheme="majorHAnsi" w:cs="Arial"/>
          <w:snapToGrid w:val="0"/>
          <w:sz w:val="20"/>
          <w:szCs w:val="20"/>
          <w:lang w:val="en-US"/>
        </w:rPr>
      </w:pPr>
      <w:r w:rsidRPr="005A41E0">
        <w:rPr>
          <w:rFonts w:asciiTheme="majorHAnsi" w:hAnsiTheme="majorHAnsi"/>
          <w:sz w:val="20"/>
          <w:szCs w:val="20"/>
          <w:lang w:val="en-US"/>
        </w:rPr>
        <w:t xml:space="preserve">The case is related to the arbitrary dismissal of </w:t>
      </w:r>
      <w:r w:rsidR="00F82001" w:rsidRPr="005A41E0">
        <w:rPr>
          <w:rFonts w:asciiTheme="majorHAnsi" w:hAnsiTheme="majorHAnsi"/>
          <w:sz w:val="20"/>
          <w:szCs w:val="20"/>
          <w:lang w:val="en-US"/>
        </w:rPr>
        <w:t>Rocío San Miguel Sosa, Magally Chang Girón</w:t>
      </w:r>
      <w:r w:rsidRPr="005A41E0">
        <w:rPr>
          <w:rFonts w:asciiTheme="majorHAnsi" w:hAnsiTheme="majorHAnsi"/>
          <w:sz w:val="20"/>
          <w:szCs w:val="20"/>
          <w:lang w:val="en-US"/>
        </w:rPr>
        <w:t xml:space="preserve">, and </w:t>
      </w:r>
      <w:r w:rsidR="00F82001" w:rsidRPr="005A41E0">
        <w:rPr>
          <w:rFonts w:asciiTheme="majorHAnsi" w:hAnsiTheme="majorHAnsi"/>
          <w:sz w:val="20"/>
          <w:szCs w:val="20"/>
          <w:lang w:val="en-US"/>
        </w:rPr>
        <w:t xml:space="preserve">Thais Coromoto Peña </w:t>
      </w:r>
      <w:r w:rsidRPr="005A41E0">
        <w:rPr>
          <w:rFonts w:asciiTheme="majorHAnsi" w:hAnsiTheme="majorHAnsi"/>
          <w:sz w:val="20"/>
          <w:szCs w:val="20"/>
          <w:lang w:val="en-US"/>
        </w:rPr>
        <w:t xml:space="preserve">from their respective public positions in the National Council of Borders on March </w:t>
      </w:r>
      <w:r w:rsidR="00F82001" w:rsidRPr="005A41E0">
        <w:rPr>
          <w:rFonts w:asciiTheme="majorHAnsi" w:hAnsiTheme="majorHAnsi"/>
          <w:sz w:val="20"/>
          <w:szCs w:val="20"/>
          <w:lang w:val="en-US"/>
        </w:rPr>
        <w:t>12</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2004 </w:t>
      </w:r>
      <w:r w:rsidRPr="005A41E0">
        <w:rPr>
          <w:rFonts w:asciiTheme="majorHAnsi" w:hAnsiTheme="majorHAnsi"/>
          <w:sz w:val="20"/>
          <w:szCs w:val="20"/>
          <w:lang w:val="en-US"/>
        </w:rPr>
        <w:t>after having signed the call for a referendum to revoke the presidential mandate of then-President</w:t>
      </w:r>
      <w:r w:rsidR="00F82001" w:rsidRPr="005A41E0">
        <w:rPr>
          <w:rFonts w:asciiTheme="majorHAnsi" w:hAnsiTheme="majorHAnsi"/>
          <w:sz w:val="20"/>
          <w:szCs w:val="20"/>
          <w:lang w:val="en-US"/>
        </w:rPr>
        <w:t xml:space="preserve"> Hugo Chávez Frías. </w:t>
      </w:r>
    </w:p>
    <w:p w:rsidR="00F82001" w:rsidRPr="005A41E0" w:rsidRDefault="00F82001" w:rsidP="005A41E0">
      <w:pPr>
        <w:widowControl w:val="0"/>
        <w:autoSpaceDE w:val="0"/>
        <w:autoSpaceDN w:val="0"/>
        <w:adjustRightInd w:val="0"/>
        <w:jc w:val="both"/>
        <w:rPr>
          <w:rFonts w:asciiTheme="majorHAnsi" w:hAnsiTheme="majorHAnsi"/>
          <w:sz w:val="20"/>
          <w:szCs w:val="20"/>
          <w:lang w:val="en-US"/>
        </w:rPr>
      </w:pPr>
    </w:p>
    <w:p w:rsidR="00F82001" w:rsidRPr="005A41E0" w:rsidRDefault="00BA5574" w:rsidP="00565885">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This political process took place in a context of significant polarization in which the then-</w:t>
      </w:r>
      <w:r w:rsidRPr="005A41E0">
        <w:rPr>
          <w:rFonts w:asciiTheme="majorHAnsi" w:hAnsiTheme="majorHAnsi"/>
          <w:color w:val="000000"/>
          <w:sz w:val="20"/>
          <w:szCs w:val="20"/>
          <w:lang w:val="en-US"/>
        </w:rPr>
        <w:t xml:space="preserve">President of the Republic and other high-level state officials made contemporaneous statements, </w:t>
      </w:r>
      <w:r w:rsidR="00565885">
        <w:rPr>
          <w:rFonts w:asciiTheme="majorHAnsi" w:hAnsiTheme="majorHAnsi"/>
          <w:color w:val="000000"/>
          <w:sz w:val="20"/>
          <w:szCs w:val="20"/>
          <w:lang w:val="en-US"/>
        </w:rPr>
        <w:t xml:space="preserve">either </w:t>
      </w:r>
      <w:r w:rsidRPr="005A41E0">
        <w:rPr>
          <w:rFonts w:asciiTheme="majorHAnsi" w:hAnsiTheme="majorHAnsi"/>
          <w:color w:val="000000"/>
          <w:sz w:val="20"/>
          <w:szCs w:val="20"/>
          <w:lang w:val="en-US"/>
        </w:rPr>
        <w:t xml:space="preserve">at the time of signing, or in presenting them to the National Electoral Council, whose contents clearly reflect that these were forms of pressure for </w:t>
      </w:r>
      <w:r w:rsidR="0077023D">
        <w:rPr>
          <w:rFonts w:asciiTheme="majorHAnsi" w:hAnsiTheme="majorHAnsi"/>
          <w:color w:val="000000"/>
          <w:sz w:val="20"/>
          <w:szCs w:val="20"/>
          <w:lang w:val="en-US"/>
        </w:rPr>
        <w:t xml:space="preserve">them </w:t>
      </w:r>
      <w:r w:rsidRPr="005A41E0">
        <w:rPr>
          <w:rFonts w:asciiTheme="majorHAnsi" w:hAnsiTheme="majorHAnsi"/>
          <w:color w:val="000000"/>
          <w:sz w:val="20"/>
          <w:szCs w:val="20"/>
          <w:lang w:val="en-US"/>
        </w:rPr>
        <w:t>not to sign</w:t>
      </w:r>
      <w:r w:rsidR="00F82001" w:rsidRPr="005A41E0">
        <w:rPr>
          <w:rFonts w:asciiTheme="majorHAnsi" w:hAnsiTheme="majorHAnsi"/>
          <w:color w:val="000000"/>
          <w:sz w:val="20"/>
          <w:szCs w:val="20"/>
          <w:lang w:val="en-US"/>
        </w:rPr>
        <w:t xml:space="preserve">, </w:t>
      </w:r>
      <w:r w:rsidRPr="005A41E0">
        <w:rPr>
          <w:rFonts w:asciiTheme="majorHAnsi" w:hAnsiTheme="majorHAnsi"/>
          <w:color w:val="000000"/>
          <w:sz w:val="20"/>
          <w:szCs w:val="20"/>
          <w:lang w:val="en-US"/>
        </w:rPr>
        <w:t>threats of reprisals and even unfounded accusations that those who signed were terrorists. Part of the context of the s</w:t>
      </w:r>
      <w:r w:rsidR="0077023D">
        <w:rPr>
          <w:rFonts w:asciiTheme="majorHAnsi" w:hAnsiTheme="majorHAnsi"/>
          <w:color w:val="000000"/>
          <w:sz w:val="20"/>
          <w:szCs w:val="20"/>
          <w:lang w:val="en-US"/>
        </w:rPr>
        <w:t>ignatures and the dismissal has</w:t>
      </w:r>
      <w:r w:rsidRPr="005A41E0">
        <w:rPr>
          <w:rFonts w:asciiTheme="majorHAnsi" w:hAnsiTheme="majorHAnsi"/>
          <w:color w:val="000000"/>
          <w:sz w:val="20"/>
          <w:szCs w:val="20"/>
          <w:lang w:val="en-US"/>
        </w:rPr>
        <w:t xml:space="preserve"> to do with the creation and publication of the so-called </w:t>
      </w:r>
      <w:r w:rsidR="00F82001" w:rsidRPr="005A41E0">
        <w:rPr>
          <w:rFonts w:asciiTheme="majorHAnsi" w:hAnsiTheme="majorHAnsi"/>
          <w:color w:val="000000"/>
          <w:sz w:val="20"/>
          <w:szCs w:val="20"/>
          <w:lang w:val="en-US"/>
        </w:rPr>
        <w:t>“Tascón</w:t>
      </w:r>
      <w:r w:rsidRPr="005A41E0">
        <w:rPr>
          <w:rFonts w:asciiTheme="majorHAnsi" w:hAnsiTheme="majorHAnsi"/>
          <w:color w:val="000000"/>
          <w:sz w:val="20"/>
          <w:szCs w:val="20"/>
          <w:lang w:val="en-US"/>
        </w:rPr>
        <w:t xml:space="preserve"> list,</w:t>
      </w:r>
      <w:r w:rsidR="00F82001" w:rsidRPr="005A41E0">
        <w:rPr>
          <w:rFonts w:asciiTheme="majorHAnsi" w:hAnsiTheme="majorHAnsi"/>
          <w:color w:val="000000"/>
          <w:sz w:val="20"/>
          <w:szCs w:val="20"/>
          <w:lang w:val="en-US"/>
        </w:rPr>
        <w:t xml:space="preserve">” </w:t>
      </w:r>
      <w:r w:rsidRPr="005A41E0">
        <w:rPr>
          <w:rFonts w:asciiTheme="majorHAnsi" w:hAnsiTheme="majorHAnsi"/>
          <w:color w:val="000000"/>
          <w:sz w:val="20"/>
          <w:szCs w:val="20"/>
          <w:lang w:val="en-US"/>
        </w:rPr>
        <w:t>which included the persons who signed the call to the referendum to revok</w:t>
      </w:r>
      <w:r w:rsidR="0077023D">
        <w:rPr>
          <w:rFonts w:asciiTheme="majorHAnsi" w:hAnsiTheme="majorHAnsi"/>
          <w:color w:val="000000"/>
          <w:sz w:val="20"/>
          <w:szCs w:val="20"/>
          <w:lang w:val="en-US"/>
        </w:rPr>
        <w:t>e the presidential mandate. The</w:t>
      </w:r>
      <w:r w:rsidRPr="005A41E0">
        <w:rPr>
          <w:rFonts w:asciiTheme="majorHAnsi" w:hAnsiTheme="majorHAnsi"/>
          <w:color w:val="000000"/>
          <w:sz w:val="20"/>
          <w:szCs w:val="20"/>
          <w:lang w:val="en-US"/>
        </w:rPr>
        <w:t xml:space="preserve"> </w:t>
      </w:r>
      <w:r w:rsidR="00523D0B" w:rsidRPr="005A41E0">
        <w:rPr>
          <w:rFonts w:asciiTheme="majorHAnsi" w:hAnsiTheme="majorHAnsi"/>
          <w:color w:val="000000"/>
          <w:sz w:val="20"/>
          <w:szCs w:val="20"/>
          <w:lang w:val="en-US"/>
        </w:rPr>
        <w:t xml:space="preserve">drawing up of that </w:t>
      </w:r>
      <w:r w:rsidRPr="005A41E0">
        <w:rPr>
          <w:rFonts w:asciiTheme="majorHAnsi" w:hAnsiTheme="majorHAnsi"/>
          <w:color w:val="000000"/>
          <w:sz w:val="20"/>
          <w:szCs w:val="20"/>
          <w:lang w:val="en-US"/>
        </w:rPr>
        <w:t xml:space="preserve">list was </w:t>
      </w:r>
      <w:r w:rsidR="00523D0B" w:rsidRPr="005A41E0">
        <w:rPr>
          <w:rFonts w:asciiTheme="majorHAnsi" w:hAnsiTheme="majorHAnsi"/>
          <w:color w:val="000000"/>
          <w:sz w:val="20"/>
          <w:szCs w:val="20"/>
          <w:lang w:val="en-US"/>
        </w:rPr>
        <w:t xml:space="preserve">entrusted </w:t>
      </w:r>
      <w:r w:rsidRPr="005A41E0">
        <w:rPr>
          <w:rFonts w:asciiTheme="majorHAnsi" w:hAnsiTheme="majorHAnsi"/>
          <w:color w:val="000000"/>
          <w:sz w:val="20"/>
          <w:szCs w:val="20"/>
          <w:lang w:val="en-US"/>
        </w:rPr>
        <w:t xml:space="preserve">by the President of the </w:t>
      </w:r>
      <w:r w:rsidR="00523D0B" w:rsidRPr="005A41E0">
        <w:rPr>
          <w:rFonts w:asciiTheme="majorHAnsi" w:hAnsiTheme="majorHAnsi"/>
          <w:color w:val="000000"/>
          <w:sz w:val="20"/>
          <w:szCs w:val="20"/>
          <w:lang w:val="en-US"/>
        </w:rPr>
        <w:t>Republic to a legislator with the aim of “showing the faces” (</w:t>
      </w:r>
      <w:r w:rsidR="00F82001" w:rsidRPr="005A41E0">
        <w:rPr>
          <w:rFonts w:asciiTheme="majorHAnsi" w:hAnsiTheme="majorHAnsi"/>
          <w:color w:val="000000"/>
          <w:sz w:val="20"/>
          <w:szCs w:val="20"/>
          <w:lang w:val="en-US"/>
        </w:rPr>
        <w:t>“</w:t>
      </w:r>
      <w:r w:rsidR="00F82001" w:rsidRPr="005A41E0">
        <w:rPr>
          <w:rFonts w:asciiTheme="majorHAnsi" w:hAnsiTheme="majorHAnsi"/>
          <w:i/>
          <w:iCs/>
          <w:color w:val="000000"/>
          <w:sz w:val="20"/>
          <w:szCs w:val="20"/>
          <w:lang w:val="en-US"/>
        </w:rPr>
        <w:t>que salgan los rostros</w:t>
      </w:r>
      <w:r w:rsidR="00F82001" w:rsidRPr="005A41E0">
        <w:rPr>
          <w:rFonts w:asciiTheme="majorHAnsi" w:hAnsiTheme="majorHAnsi"/>
          <w:color w:val="000000"/>
          <w:sz w:val="20"/>
          <w:szCs w:val="20"/>
          <w:lang w:val="en-US"/>
        </w:rPr>
        <w:t>”</w:t>
      </w:r>
      <w:r w:rsidR="00523D0B" w:rsidRPr="005A41E0">
        <w:rPr>
          <w:rFonts w:asciiTheme="majorHAnsi" w:hAnsiTheme="majorHAnsi"/>
          <w:color w:val="000000"/>
          <w:sz w:val="20"/>
          <w:szCs w:val="20"/>
          <w:lang w:val="en-US"/>
        </w:rPr>
        <w:t>)</w:t>
      </w:r>
      <w:r w:rsidR="00F82001" w:rsidRPr="005A41E0">
        <w:rPr>
          <w:rFonts w:asciiTheme="majorHAnsi" w:hAnsiTheme="majorHAnsi"/>
          <w:color w:val="000000"/>
          <w:sz w:val="20"/>
          <w:szCs w:val="20"/>
          <w:lang w:val="en-US"/>
        </w:rPr>
        <w:t xml:space="preserve"> </w:t>
      </w:r>
      <w:r w:rsidR="00523D0B" w:rsidRPr="005A41E0">
        <w:rPr>
          <w:rFonts w:asciiTheme="majorHAnsi" w:hAnsiTheme="majorHAnsi"/>
          <w:color w:val="000000"/>
          <w:sz w:val="20"/>
          <w:szCs w:val="20"/>
          <w:lang w:val="en-US"/>
        </w:rPr>
        <w:t>of what was called a supposed “mega-fraud.</w:t>
      </w:r>
      <w:r w:rsidR="00F82001" w:rsidRPr="005A41E0">
        <w:rPr>
          <w:rFonts w:asciiTheme="majorHAnsi" w:hAnsiTheme="majorHAnsi"/>
          <w:color w:val="000000"/>
          <w:sz w:val="20"/>
          <w:szCs w:val="20"/>
          <w:lang w:val="en-US"/>
        </w:rPr>
        <w:t xml:space="preserve">” </w:t>
      </w:r>
      <w:r w:rsidR="00523D0B" w:rsidRPr="005A41E0">
        <w:rPr>
          <w:rFonts w:asciiTheme="majorHAnsi" w:hAnsiTheme="majorHAnsi"/>
          <w:color w:val="000000"/>
          <w:sz w:val="20"/>
          <w:szCs w:val="20"/>
          <w:lang w:val="en-US"/>
        </w:rPr>
        <w:t>In addition, a process of “misgivings” (</w:t>
      </w:r>
      <w:r w:rsidR="00F82001" w:rsidRPr="005A41E0">
        <w:rPr>
          <w:rFonts w:asciiTheme="majorHAnsi" w:hAnsiTheme="majorHAnsi"/>
          <w:color w:val="000000"/>
          <w:sz w:val="20"/>
          <w:szCs w:val="20"/>
          <w:lang w:val="en-US"/>
        </w:rPr>
        <w:t>“</w:t>
      </w:r>
      <w:r w:rsidR="00F82001" w:rsidRPr="0077023D">
        <w:rPr>
          <w:rFonts w:asciiTheme="majorHAnsi" w:hAnsiTheme="majorHAnsi"/>
          <w:i/>
          <w:iCs/>
          <w:color w:val="000000"/>
          <w:sz w:val="20"/>
          <w:szCs w:val="20"/>
          <w:lang w:val="en-US"/>
        </w:rPr>
        <w:t>reparos</w:t>
      </w:r>
      <w:r w:rsidR="00F82001" w:rsidRPr="005A41E0">
        <w:rPr>
          <w:rFonts w:asciiTheme="majorHAnsi" w:hAnsiTheme="majorHAnsi"/>
          <w:color w:val="000000"/>
          <w:sz w:val="20"/>
          <w:szCs w:val="20"/>
          <w:lang w:val="en-US"/>
        </w:rPr>
        <w:t>”</w:t>
      </w:r>
      <w:r w:rsidR="00523D0B" w:rsidRPr="005A41E0">
        <w:rPr>
          <w:rFonts w:asciiTheme="majorHAnsi" w:hAnsiTheme="majorHAnsi"/>
          <w:color w:val="000000"/>
          <w:sz w:val="20"/>
          <w:szCs w:val="20"/>
          <w:lang w:val="en-US"/>
        </w:rPr>
        <w:t>)</w:t>
      </w:r>
      <w:r w:rsidR="00F82001" w:rsidRPr="005A41E0">
        <w:rPr>
          <w:rFonts w:asciiTheme="majorHAnsi" w:hAnsiTheme="majorHAnsi"/>
          <w:color w:val="000000"/>
          <w:sz w:val="20"/>
          <w:szCs w:val="20"/>
          <w:lang w:val="en-US"/>
        </w:rPr>
        <w:t xml:space="preserve"> </w:t>
      </w:r>
      <w:r w:rsidR="00523D0B" w:rsidRPr="005A41E0">
        <w:rPr>
          <w:rFonts w:asciiTheme="majorHAnsi" w:hAnsiTheme="majorHAnsi"/>
          <w:color w:val="000000"/>
          <w:sz w:val="20"/>
          <w:szCs w:val="20"/>
          <w:lang w:val="en-US"/>
        </w:rPr>
        <w:t xml:space="preserve">of signatures was carried out that was not limited to correcting possible fraudulent uses of signatures and identities, but that included a general call to those persons who had validly signed to retract. </w:t>
      </w:r>
    </w:p>
    <w:p w:rsidR="00F82001" w:rsidRPr="005A41E0" w:rsidRDefault="00F82001" w:rsidP="005A41E0">
      <w:pPr>
        <w:pStyle w:val="ListParagraph"/>
        <w:ind w:left="0"/>
        <w:jc w:val="both"/>
        <w:rPr>
          <w:rFonts w:asciiTheme="majorHAnsi" w:hAnsiTheme="majorHAnsi"/>
          <w:sz w:val="20"/>
          <w:szCs w:val="20"/>
          <w:lang w:val="en-US"/>
        </w:rPr>
      </w:pPr>
    </w:p>
    <w:p w:rsidR="00F82001" w:rsidRPr="005A41E0" w:rsidRDefault="00523D0B" w:rsidP="00351598">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In addition to all these contextual elements, the IACHR took note of: (</w:t>
      </w:r>
      <w:r w:rsidR="00F82001" w:rsidRPr="005A41E0">
        <w:rPr>
          <w:rFonts w:asciiTheme="majorHAnsi" w:hAnsiTheme="majorHAnsi"/>
          <w:sz w:val="20"/>
          <w:szCs w:val="20"/>
          <w:lang w:val="en-US"/>
        </w:rPr>
        <w:t xml:space="preserve">i) </w:t>
      </w:r>
      <w:r w:rsidRPr="005A41E0">
        <w:rPr>
          <w:rFonts w:asciiTheme="majorHAnsi" w:hAnsiTheme="majorHAnsi"/>
          <w:sz w:val="20"/>
          <w:szCs w:val="20"/>
          <w:lang w:val="en-US"/>
        </w:rPr>
        <w:t xml:space="preserve">the declarations of three victims, in particular that of </w:t>
      </w:r>
      <w:r w:rsidR="00F82001" w:rsidRPr="005A41E0">
        <w:rPr>
          <w:rFonts w:asciiTheme="majorHAnsi" w:hAnsiTheme="majorHAnsi"/>
          <w:sz w:val="20"/>
          <w:szCs w:val="20"/>
          <w:lang w:val="en-US"/>
        </w:rPr>
        <w:t xml:space="preserve">Rocío San Miguel Sosa, </w:t>
      </w:r>
      <w:r w:rsidRPr="005A41E0">
        <w:rPr>
          <w:rFonts w:asciiTheme="majorHAnsi" w:hAnsiTheme="majorHAnsi"/>
          <w:sz w:val="20"/>
          <w:szCs w:val="20"/>
          <w:lang w:val="en-US"/>
        </w:rPr>
        <w:t>who made reference to and produced the transcript of a conversation with the Executive Secretary of the National Border Council and with the office of legal counsel of the Vice Presidency from which it is apparent that the reason for the dismissal was having signed the call for the revocation referendum</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w:t>
      </w:r>
      <w:r w:rsidR="00F82001" w:rsidRPr="005A41E0">
        <w:rPr>
          <w:rFonts w:asciiTheme="majorHAnsi" w:hAnsiTheme="majorHAnsi" w:cs="Times"/>
          <w:sz w:val="20"/>
          <w:szCs w:val="20"/>
          <w:lang w:val="en-US"/>
        </w:rPr>
        <w:t xml:space="preserve">ii) </w:t>
      </w:r>
      <w:r w:rsidRPr="005A41E0">
        <w:rPr>
          <w:rFonts w:asciiTheme="majorHAnsi" w:hAnsiTheme="majorHAnsi" w:cs="Times"/>
          <w:sz w:val="20"/>
          <w:szCs w:val="20"/>
          <w:lang w:val="en-US"/>
        </w:rPr>
        <w:t xml:space="preserve">the fact that of the </w:t>
      </w:r>
      <w:r w:rsidR="00F600C5" w:rsidRPr="005A41E0">
        <w:rPr>
          <w:rFonts w:asciiTheme="majorHAnsi" w:hAnsiTheme="majorHAnsi" w:cs="Times"/>
          <w:sz w:val="20"/>
          <w:szCs w:val="20"/>
          <w:lang w:val="en-US"/>
        </w:rPr>
        <w:t xml:space="preserve">of the </w:t>
      </w:r>
      <w:r w:rsidR="00F82001" w:rsidRPr="005A41E0">
        <w:rPr>
          <w:rFonts w:asciiTheme="majorHAnsi" w:hAnsiTheme="majorHAnsi" w:cs="Times"/>
          <w:sz w:val="20"/>
          <w:szCs w:val="20"/>
          <w:lang w:val="en-US"/>
        </w:rPr>
        <w:t xml:space="preserve">23 </w:t>
      </w:r>
      <w:r w:rsidR="00F600C5" w:rsidRPr="005A41E0">
        <w:rPr>
          <w:rFonts w:asciiTheme="majorHAnsi" w:hAnsiTheme="majorHAnsi" w:cs="Times"/>
          <w:sz w:val="20"/>
          <w:szCs w:val="20"/>
          <w:lang w:val="en-US"/>
        </w:rPr>
        <w:t>employees of the National Border Council, the only four persons dismissed were the ones who signed the request for the revocation referendum</w:t>
      </w:r>
      <w:r w:rsidR="00F82001" w:rsidRPr="005A41E0">
        <w:rPr>
          <w:rFonts w:asciiTheme="majorHAnsi" w:hAnsiTheme="majorHAnsi"/>
          <w:sz w:val="20"/>
          <w:szCs w:val="20"/>
          <w:lang w:val="en-US"/>
        </w:rPr>
        <w:t xml:space="preserve">; </w:t>
      </w:r>
      <w:r w:rsidR="00F600C5"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iii) </w:t>
      </w:r>
      <w:r w:rsidR="00F600C5" w:rsidRPr="005A41E0">
        <w:rPr>
          <w:rFonts w:asciiTheme="majorHAnsi" w:hAnsiTheme="majorHAnsi"/>
          <w:sz w:val="20"/>
          <w:szCs w:val="20"/>
          <w:lang w:val="en-US"/>
        </w:rPr>
        <w:t>the various references that the State did not con</w:t>
      </w:r>
      <w:r w:rsidR="0077023D">
        <w:rPr>
          <w:rFonts w:asciiTheme="majorHAnsi" w:hAnsiTheme="majorHAnsi"/>
          <w:sz w:val="20"/>
          <w:szCs w:val="20"/>
          <w:lang w:val="en-US"/>
        </w:rPr>
        <w:t>tro</w:t>
      </w:r>
      <w:r w:rsidR="00F600C5" w:rsidRPr="005A41E0">
        <w:rPr>
          <w:rFonts w:asciiTheme="majorHAnsi" w:hAnsiTheme="majorHAnsi"/>
          <w:sz w:val="20"/>
          <w:szCs w:val="20"/>
          <w:lang w:val="en-US"/>
        </w:rPr>
        <w:t xml:space="preserve">vert that indicate that of these four persons the only one that was able to keep </w:t>
      </w:r>
      <w:r w:rsidR="00351598">
        <w:rPr>
          <w:rFonts w:asciiTheme="majorHAnsi" w:hAnsiTheme="majorHAnsi"/>
          <w:sz w:val="20"/>
          <w:szCs w:val="20"/>
          <w:lang w:val="en-US"/>
        </w:rPr>
        <w:t xml:space="preserve">his or her </w:t>
      </w:r>
      <w:r w:rsidR="00F600C5" w:rsidRPr="005A41E0">
        <w:rPr>
          <w:rFonts w:asciiTheme="majorHAnsi" w:hAnsiTheme="majorHAnsi"/>
          <w:sz w:val="20"/>
          <w:szCs w:val="20"/>
          <w:lang w:val="en-US"/>
        </w:rPr>
        <w:t>job was precisely on</w:t>
      </w:r>
      <w:r w:rsidR="00351598">
        <w:rPr>
          <w:rFonts w:asciiTheme="majorHAnsi" w:hAnsiTheme="majorHAnsi"/>
          <w:sz w:val="20"/>
          <w:szCs w:val="20"/>
          <w:lang w:val="en-US"/>
        </w:rPr>
        <w:t>e</w:t>
      </w:r>
      <w:r w:rsidR="00F600C5" w:rsidRPr="005A41E0">
        <w:rPr>
          <w:rFonts w:asciiTheme="majorHAnsi" w:hAnsiTheme="majorHAnsi"/>
          <w:sz w:val="20"/>
          <w:szCs w:val="20"/>
          <w:lang w:val="en-US"/>
        </w:rPr>
        <w:t xml:space="preserve"> who objected to his or her signature</w:t>
      </w:r>
      <w:r w:rsidR="00F82001" w:rsidRPr="005A41E0">
        <w:rPr>
          <w:rFonts w:asciiTheme="majorHAnsi" w:hAnsiTheme="majorHAnsi"/>
          <w:sz w:val="20"/>
          <w:szCs w:val="20"/>
          <w:lang w:val="en-US"/>
        </w:rPr>
        <w:t xml:space="preserve">; </w:t>
      </w:r>
      <w:r w:rsidR="00F600C5"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iv) </w:t>
      </w:r>
      <w:r w:rsidR="00F600C5" w:rsidRPr="005A41E0">
        <w:rPr>
          <w:rFonts w:asciiTheme="majorHAnsi" w:hAnsiTheme="majorHAnsi"/>
          <w:sz w:val="20"/>
          <w:szCs w:val="20"/>
          <w:lang w:val="en-US"/>
        </w:rPr>
        <w:t>the fact that three victims had had their contracts renewed repeatedly for periods of eight, seven, and four years respectively; and (</w:t>
      </w:r>
      <w:r w:rsidR="00F82001" w:rsidRPr="005A41E0">
        <w:rPr>
          <w:rFonts w:asciiTheme="majorHAnsi" w:hAnsiTheme="majorHAnsi"/>
          <w:sz w:val="20"/>
          <w:szCs w:val="20"/>
          <w:lang w:val="en-US"/>
        </w:rPr>
        <w:t xml:space="preserve">v) </w:t>
      </w:r>
      <w:r w:rsidR="00F600C5" w:rsidRPr="005A41E0">
        <w:rPr>
          <w:rFonts w:asciiTheme="majorHAnsi" w:hAnsiTheme="majorHAnsi"/>
          <w:sz w:val="20"/>
          <w:szCs w:val="20"/>
          <w:lang w:val="en-US"/>
        </w:rPr>
        <w:t xml:space="preserve">the information that indicates that in the case of </w:t>
      </w:r>
      <w:r w:rsidR="00F82001" w:rsidRPr="005A41E0">
        <w:rPr>
          <w:rFonts w:asciiTheme="majorHAnsi" w:hAnsiTheme="majorHAnsi"/>
          <w:sz w:val="20"/>
          <w:szCs w:val="20"/>
          <w:lang w:val="en-US"/>
        </w:rPr>
        <w:t>Rocío San Miguel Sosa</w:t>
      </w:r>
      <w:r w:rsidR="00F82001" w:rsidRPr="005A41E0">
        <w:rPr>
          <w:rFonts w:asciiTheme="majorHAnsi" w:eastAsia="Calibri" w:hAnsiTheme="majorHAnsi"/>
          <w:sz w:val="20"/>
          <w:szCs w:val="20"/>
          <w:lang w:val="en-US"/>
        </w:rPr>
        <w:t>, Magally Chang Girón</w:t>
      </w:r>
      <w:r w:rsidR="00F600C5" w:rsidRPr="005A41E0">
        <w:rPr>
          <w:rFonts w:asciiTheme="majorHAnsi" w:eastAsia="Calibri" w:hAnsiTheme="majorHAnsi"/>
          <w:sz w:val="20"/>
          <w:szCs w:val="20"/>
          <w:lang w:val="en-US"/>
        </w:rPr>
        <w:t xml:space="preserve">, and </w:t>
      </w:r>
      <w:r w:rsidR="00F82001" w:rsidRPr="005A41E0">
        <w:rPr>
          <w:rFonts w:asciiTheme="majorHAnsi" w:eastAsia="Calibri" w:hAnsiTheme="majorHAnsi"/>
          <w:sz w:val="20"/>
          <w:szCs w:val="20"/>
          <w:lang w:val="en-US"/>
        </w:rPr>
        <w:t xml:space="preserve">Thais Coromoto Peña, </w:t>
      </w:r>
      <w:r w:rsidR="00F600C5" w:rsidRPr="005A41E0">
        <w:rPr>
          <w:rFonts w:asciiTheme="majorHAnsi" w:eastAsia="Calibri" w:hAnsiTheme="majorHAnsi"/>
          <w:sz w:val="20"/>
          <w:szCs w:val="20"/>
          <w:lang w:val="en-US"/>
        </w:rPr>
        <w:t xml:space="preserve">it was not an isolated case but rather multiple reports were documented of dismissals in the public sector as retaliation for having signed the call for the revocation referendum. </w:t>
      </w:r>
    </w:p>
    <w:p w:rsidR="00F82001" w:rsidRPr="005A41E0" w:rsidRDefault="00F82001" w:rsidP="005A41E0">
      <w:pPr>
        <w:pStyle w:val="ListParagraph"/>
        <w:rPr>
          <w:rFonts w:asciiTheme="majorHAnsi" w:hAnsiTheme="majorHAnsi"/>
          <w:sz w:val="20"/>
          <w:szCs w:val="20"/>
          <w:lang w:val="en-US"/>
        </w:rPr>
      </w:pPr>
    </w:p>
    <w:p w:rsidR="00F82001" w:rsidRPr="005A41E0" w:rsidRDefault="00F600C5"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IACHR considered that all the elements described are mutually consistent and allow one to reach the conviction that the termination of the contracts of </w:t>
      </w:r>
      <w:r w:rsidR="00F82001" w:rsidRPr="005A41E0">
        <w:rPr>
          <w:rFonts w:asciiTheme="majorHAnsi" w:hAnsiTheme="majorHAnsi"/>
          <w:sz w:val="20"/>
          <w:szCs w:val="20"/>
          <w:lang w:val="en-US"/>
        </w:rPr>
        <w:t>Rocío San Miguel Sosa, Magally Chang Girón</w:t>
      </w:r>
      <w:r w:rsidRPr="005A41E0">
        <w:rPr>
          <w:rFonts w:asciiTheme="majorHAnsi" w:hAnsiTheme="majorHAnsi"/>
          <w:sz w:val="20"/>
          <w:szCs w:val="20"/>
          <w:lang w:val="en-US"/>
        </w:rPr>
        <w:t xml:space="preserve">, and Thais Coromoto Peña was an act of abuse of authority in which </w:t>
      </w:r>
      <w:r w:rsidR="005F0961" w:rsidRPr="005A41E0">
        <w:rPr>
          <w:rFonts w:asciiTheme="majorHAnsi" w:hAnsiTheme="majorHAnsi"/>
          <w:sz w:val="20"/>
          <w:szCs w:val="20"/>
          <w:lang w:val="en-US"/>
        </w:rPr>
        <w:t xml:space="preserve">the existence of a discretionary power in the contracts was used as a veil of legality to conceal the real motive, </w:t>
      </w:r>
      <w:r w:rsidR="00351598">
        <w:rPr>
          <w:rFonts w:asciiTheme="majorHAnsi" w:hAnsiTheme="majorHAnsi"/>
          <w:sz w:val="20"/>
          <w:szCs w:val="20"/>
          <w:lang w:val="en-US"/>
        </w:rPr>
        <w:t xml:space="preserve">i.e. </w:t>
      </w:r>
      <w:r w:rsidR="005F0961" w:rsidRPr="005A41E0">
        <w:rPr>
          <w:rFonts w:asciiTheme="majorHAnsi" w:hAnsiTheme="majorHAnsi"/>
          <w:sz w:val="20"/>
          <w:szCs w:val="20"/>
          <w:lang w:val="en-US"/>
        </w:rPr>
        <w:t xml:space="preserve">to punish the victims for the expression of their political opinion by signing the call for the revocation referendum. The IACHR determined that this implicit sanction was a violation of political rights, discrimination on grounds of political opinion, and an indirect restriction on the freedom of expression. </w:t>
      </w:r>
    </w:p>
    <w:p w:rsidR="00F82001" w:rsidRPr="005A41E0" w:rsidRDefault="00F82001" w:rsidP="005A41E0">
      <w:pPr>
        <w:pBdr>
          <w:top w:val="nil"/>
        </w:pBdr>
        <w:jc w:val="both"/>
        <w:rPr>
          <w:rFonts w:asciiTheme="majorHAnsi" w:hAnsiTheme="majorHAnsi"/>
          <w:sz w:val="20"/>
          <w:szCs w:val="20"/>
          <w:lang w:val="en-US"/>
        </w:rPr>
      </w:pPr>
    </w:p>
    <w:p w:rsidR="00F82001" w:rsidRPr="005A41E0" w:rsidRDefault="005F0961"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Finally</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IACHR concluded that neither the writ of </w:t>
      </w:r>
      <w:r w:rsidR="00F82001" w:rsidRPr="005A41E0">
        <w:rPr>
          <w:rFonts w:asciiTheme="majorHAnsi" w:hAnsiTheme="majorHAnsi"/>
          <w:i/>
          <w:iCs/>
          <w:sz w:val="20"/>
          <w:szCs w:val="20"/>
          <w:lang w:val="en-US"/>
        </w:rPr>
        <w:t>amparo</w:t>
      </w:r>
      <w:r w:rsidR="00F82001" w:rsidRPr="005A41E0">
        <w:rPr>
          <w:rFonts w:asciiTheme="majorHAnsi" w:hAnsiTheme="majorHAnsi"/>
          <w:sz w:val="20"/>
          <w:szCs w:val="20"/>
          <w:lang w:val="en-US"/>
        </w:rPr>
        <w:t xml:space="preserve"> </w:t>
      </w:r>
      <w:r w:rsidR="007B0F9F">
        <w:rPr>
          <w:rFonts w:asciiTheme="majorHAnsi" w:hAnsiTheme="majorHAnsi"/>
          <w:sz w:val="20"/>
          <w:szCs w:val="20"/>
          <w:lang w:val="en-US"/>
        </w:rPr>
        <w:t>n</w:t>
      </w:r>
      <w:r w:rsidRPr="005A41E0">
        <w:rPr>
          <w:rFonts w:asciiTheme="majorHAnsi" w:hAnsiTheme="majorHAnsi"/>
          <w:sz w:val="20"/>
          <w:szCs w:val="20"/>
          <w:lang w:val="en-US"/>
        </w:rPr>
        <w:t xml:space="preserve">or the criminal investigation, including the motion appealing the dismissal, constituted effective remedies for examining an abuse of authority materialized in concealed discrimination. The IACHR also determined that the writ of </w:t>
      </w:r>
      <w:r w:rsidR="00F82001" w:rsidRPr="007B0F9F">
        <w:rPr>
          <w:rFonts w:asciiTheme="majorHAnsi" w:hAnsiTheme="majorHAnsi"/>
          <w:i/>
          <w:iCs/>
          <w:sz w:val="20"/>
          <w:szCs w:val="20"/>
          <w:lang w:val="en-US"/>
        </w:rPr>
        <w:t>amparo</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was not resolved in a reasonable time.</w:t>
      </w:r>
      <w:r w:rsidR="00F82001" w:rsidRPr="005A41E0">
        <w:rPr>
          <w:rFonts w:asciiTheme="majorHAnsi" w:hAnsiTheme="majorHAnsi"/>
          <w:sz w:val="20"/>
          <w:szCs w:val="20"/>
          <w:lang w:val="en-US"/>
        </w:rPr>
        <w:t xml:space="preserve"> </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F82001" w:rsidP="005A41E0">
      <w:pPr>
        <w:pStyle w:val="FootnoteText"/>
        <w:spacing w:before="0" w:beforeAutospacing="0" w:after="0" w:afterAutospacing="0"/>
        <w:ind w:left="1440" w:hanging="720"/>
        <w:jc w:val="both"/>
        <w:rPr>
          <w:rFonts w:asciiTheme="majorHAnsi" w:hAnsiTheme="majorHAnsi"/>
          <w:b/>
          <w:sz w:val="20"/>
          <w:lang w:val="en-US"/>
        </w:rPr>
      </w:pPr>
      <w:r w:rsidRPr="005A41E0">
        <w:rPr>
          <w:rFonts w:asciiTheme="majorHAnsi" w:hAnsiTheme="majorHAnsi"/>
          <w:b/>
          <w:sz w:val="20"/>
          <w:lang w:val="en-US"/>
        </w:rPr>
        <w:t>d.</w:t>
      </w:r>
      <w:r w:rsidRPr="005A41E0">
        <w:rPr>
          <w:rFonts w:asciiTheme="majorHAnsi" w:hAnsiTheme="majorHAnsi"/>
          <w:b/>
          <w:sz w:val="20"/>
          <w:lang w:val="en-US"/>
        </w:rPr>
        <w:tab/>
        <w:t xml:space="preserve">Xucurú </w:t>
      </w:r>
      <w:r w:rsidR="005F0961" w:rsidRPr="005A41E0">
        <w:rPr>
          <w:rFonts w:asciiTheme="majorHAnsi" w:hAnsiTheme="majorHAnsi"/>
          <w:b/>
          <w:sz w:val="20"/>
          <w:lang w:val="en-US"/>
        </w:rPr>
        <w:t xml:space="preserve">Indigenous People and its members v. </w:t>
      </w:r>
      <w:r w:rsidRPr="005A41E0">
        <w:rPr>
          <w:rFonts w:asciiTheme="majorHAnsi" w:hAnsiTheme="majorHAnsi"/>
          <w:b/>
          <w:sz w:val="20"/>
          <w:lang w:val="en-US"/>
        </w:rPr>
        <w:t>Bra</w:t>
      </w:r>
      <w:r w:rsidR="005F0961" w:rsidRPr="005A41E0">
        <w:rPr>
          <w:rFonts w:asciiTheme="majorHAnsi" w:hAnsiTheme="majorHAnsi"/>
          <w:b/>
          <w:sz w:val="20"/>
          <w:lang w:val="en-US"/>
        </w:rPr>
        <w:t>z</w:t>
      </w:r>
      <w:r w:rsidRPr="005A41E0">
        <w:rPr>
          <w:rFonts w:asciiTheme="majorHAnsi" w:hAnsiTheme="majorHAnsi"/>
          <w:b/>
          <w:sz w:val="20"/>
          <w:lang w:val="en-US"/>
        </w:rPr>
        <w:t>il (</w:t>
      </w:r>
      <w:r w:rsidR="005F0961" w:rsidRPr="005A41E0">
        <w:rPr>
          <w:rFonts w:asciiTheme="majorHAnsi" w:hAnsiTheme="majorHAnsi"/>
          <w:b/>
          <w:sz w:val="20"/>
          <w:lang w:val="en-US"/>
        </w:rPr>
        <w:t xml:space="preserve">submitted March </w:t>
      </w:r>
      <w:r w:rsidRPr="005A41E0">
        <w:rPr>
          <w:rFonts w:asciiTheme="majorHAnsi" w:hAnsiTheme="majorHAnsi"/>
          <w:b/>
          <w:sz w:val="20"/>
          <w:lang w:val="en-US"/>
        </w:rPr>
        <w:t>16</w:t>
      </w:r>
      <w:r w:rsidR="005F0961" w:rsidRPr="005A41E0">
        <w:rPr>
          <w:rFonts w:asciiTheme="majorHAnsi" w:hAnsiTheme="majorHAnsi"/>
          <w:b/>
          <w:sz w:val="20"/>
          <w:lang w:val="en-US"/>
        </w:rPr>
        <w:t>,</w:t>
      </w:r>
      <w:r w:rsidRPr="005A41E0">
        <w:rPr>
          <w:rFonts w:asciiTheme="majorHAnsi" w:hAnsiTheme="majorHAnsi"/>
          <w:b/>
          <w:sz w:val="20"/>
          <w:lang w:val="en-US"/>
        </w:rPr>
        <w:t xml:space="preserve"> 2016)</w:t>
      </w:r>
    </w:p>
    <w:p w:rsidR="00F82001" w:rsidRPr="005A41E0" w:rsidRDefault="00F82001" w:rsidP="005A41E0">
      <w:pPr>
        <w:autoSpaceDE w:val="0"/>
        <w:autoSpaceDN w:val="0"/>
        <w:adjustRightInd w:val="0"/>
        <w:jc w:val="both"/>
        <w:rPr>
          <w:rFonts w:asciiTheme="majorHAnsi" w:hAnsiTheme="majorHAnsi"/>
          <w:sz w:val="20"/>
          <w:szCs w:val="20"/>
          <w:lang w:val="en-US"/>
        </w:rPr>
      </w:pPr>
    </w:p>
    <w:p w:rsidR="00F82001" w:rsidRPr="005A41E0" w:rsidRDefault="005F0961"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case is related to the violation of the right to collective property of the </w:t>
      </w:r>
      <w:r w:rsidR="004C0F72" w:rsidRPr="005A41E0">
        <w:rPr>
          <w:rFonts w:asciiTheme="majorHAnsi" w:hAnsiTheme="majorHAnsi"/>
          <w:sz w:val="20"/>
          <w:szCs w:val="20"/>
          <w:lang w:val="en-US"/>
        </w:rPr>
        <w:t>Xucurú</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indigenous people as a result of (</w:t>
      </w:r>
      <w:r w:rsidR="00F82001" w:rsidRPr="005A41E0">
        <w:rPr>
          <w:rFonts w:asciiTheme="majorHAnsi" w:hAnsiTheme="majorHAnsi"/>
          <w:sz w:val="20"/>
          <w:szCs w:val="20"/>
          <w:lang w:val="en-US"/>
        </w:rPr>
        <w:t xml:space="preserve">i) </w:t>
      </w:r>
      <w:r w:rsidRPr="005A41E0">
        <w:rPr>
          <w:rFonts w:asciiTheme="majorHAnsi" w:hAnsiTheme="majorHAnsi"/>
          <w:sz w:val="20"/>
          <w:szCs w:val="20"/>
          <w:lang w:val="en-US"/>
        </w:rPr>
        <w:t xml:space="preserve">the delay of more than 16 years, from </w:t>
      </w:r>
      <w:r w:rsidR="00F82001" w:rsidRPr="005A41E0">
        <w:rPr>
          <w:rFonts w:asciiTheme="majorHAnsi" w:hAnsiTheme="majorHAnsi"/>
          <w:sz w:val="20"/>
          <w:szCs w:val="20"/>
          <w:lang w:val="en-US"/>
        </w:rPr>
        <w:t xml:space="preserve">1989 </w:t>
      </w:r>
      <w:r w:rsidRPr="005A41E0">
        <w:rPr>
          <w:rFonts w:asciiTheme="majorHAnsi" w:hAnsiTheme="majorHAnsi"/>
          <w:sz w:val="20"/>
          <w:szCs w:val="20"/>
          <w:lang w:val="en-US"/>
        </w:rPr>
        <w:t xml:space="preserve">to </w:t>
      </w:r>
      <w:r w:rsidR="00F82001" w:rsidRPr="005A41E0">
        <w:rPr>
          <w:rFonts w:asciiTheme="majorHAnsi" w:hAnsiTheme="majorHAnsi"/>
          <w:sz w:val="20"/>
          <w:szCs w:val="20"/>
          <w:lang w:val="en-US"/>
        </w:rPr>
        <w:t xml:space="preserve">2005, </w:t>
      </w:r>
      <w:r w:rsidRPr="005A41E0">
        <w:rPr>
          <w:rFonts w:asciiTheme="majorHAnsi" w:hAnsiTheme="majorHAnsi"/>
          <w:sz w:val="20"/>
          <w:szCs w:val="20"/>
          <w:lang w:val="en-US"/>
        </w:rPr>
        <w:t>in the administrative process of recognition, titling, demarcation, and delimitatio</w:t>
      </w:r>
      <w:r w:rsidR="00F82001" w:rsidRPr="005A41E0">
        <w:rPr>
          <w:rFonts w:asciiTheme="majorHAnsi" w:hAnsiTheme="majorHAnsi"/>
          <w:sz w:val="20"/>
          <w:szCs w:val="20"/>
          <w:lang w:val="en-US"/>
        </w:rPr>
        <w:t xml:space="preserve">n </w:t>
      </w:r>
      <w:r w:rsidRPr="005A41E0">
        <w:rPr>
          <w:rFonts w:asciiTheme="majorHAnsi" w:hAnsiTheme="majorHAnsi"/>
          <w:sz w:val="20"/>
          <w:szCs w:val="20"/>
          <w:lang w:val="en-US"/>
        </w:rPr>
        <w:t>of their ancestral lands and territories; and (</w:t>
      </w:r>
      <w:r w:rsidR="00F82001" w:rsidRPr="005A41E0">
        <w:rPr>
          <w:rFonts w:asciiTheme="majorHAnsi" w:hAnsiTheme="majorHAnsi"/>
          <w:sz w:val="20"/>
          <w:szCs w:val="20"/>
          <w:lang w:val="en-US"/>
        </w:rPr>
        <w:t xml:space="preserve">ii) </w:t>
      </w:r>
      <w:r w:rsidRPr="005A41E0">
        <w:rPr>
          <w:rFonts w:asciiTheme="majorHAnsi" w:hAnsiTheme="majorHAnsi"/>
          <w:sz w:val="20"/>
          <w:szCs w:val="20"/>
          <w:lang w:val="en-US"/>
        </w:rPr>
        <w:t>the delay in totally clearing title to those lands and territories</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such that the said indigenous people could peacefully exercise that right. The case also established the violation of the rights to judicial guarantees and judicial protection as a result of the failure to guarantee a reasonable time in that administrative procedure, </w:t>
      </w:r>
      <w:r w:rsidRPr="005A41E0">
        <w:rPr>
          <w:rFonts w:asciiTheme="majorHAnsi" w:hAnsiTheme="majorHAnsi"/>
          <w:sz w:val="20"/>
          <w:szCs w:val="20"/>
          <w:lang w:val="en-US"/>
        </w:rPr>
        <w:lastRenderedPageBreak/>
        <w:t xml:space="preserve">as well as the delay in resolving the civil actions brought by non-indigenous persons in relation to part of the ancestral lands and territories of the </w:t>
      </w:r>
      <w:r w:rsidR="004C0F72" w:rsidRPr="005A41E0">
        <w:rPr>
          <w:rFonts w:asciiTheme="majorHAnsi" w:hAnsiTheme="majorHAnsi"/>
          <w:sz w:val="20"/>
          <w:szCs w:val="20"/>
          <w:lang w:val="en-US"/>
        </w:rPr>
        <w:t>Xucurú</w:t>
      </w:r>
      <w:r w:rsidRPr="005A41E0">
        <w:rPr>
          <w:rFonts w:asciiTheme="majorHAnsi" w:hAnsiTheme="majorHAnsi"/>
          <w:sz w:val="20"/>
          <w:szCs w:val="20"/>
          <w:lang w:val="en-US"/>
        </w:rPr>
        <w:t xml:space="preserve"> indigenous people</w:t>
      </w:r>
      <w:r w:rsidR="00F82001" w:rsidRPr="005A41E0">
        <w:rPr>
          <w:rFonts w:asciiTheme="majorHAnsi" w:hAnsiTheme="majorHAnsi"/>
          <w:sz w:val="20"/>
          <w:szCs w:val="20"/>
          <w:lang w:val="en-US"/>
        </w:rPr>
        <w:t xml:space="preserve">. </w:t>
      </w:r>
    </w:p>
    <w:p w:rsidR="00F82001" w:rsidRPr="005A41E0" w:rsidRDefault="00F82001" w:rsidP="005A41E0">
      <w:pPr>
        <w:widowControl w:val="0"/>
        <w:autoSpaceDE w:val="0"/>
        <w:autoSpaceDN w:val="0"/>
        <w:adjustRightInd w:val="0"/>
        <w:jc w:val="both"/>
        <w:rPr>
          <w:rFonts w:asciiTheme="majorHAnsi" w:hAnsiTheme="majorHAnsi" w:cs="Arial"/>
          <w:snapToGrid w:val="0"/>
          <w:sz w:val="20"/>
          <w:szCs w:val="20"/>
          <w:lang w:val="en-US"/>
        </w:rPr>
      </w:pPr>
    </w:p>
    <w:p w:rsidR="00F82001" w:rsidRPr="005A41E0" w:rsidRDefault="005F0961" w:rsidP="005A41E0">
      <w:pPr>
        <w:pStyle w:val="FootnoteText"/>
        <w:spacing w:before="0" w:beforeAutospacing="0" w:after="0" w:afterAutospacing="0"/>
        <w:ind w:left="1440" w:hanging="720"/>
        <w:jc w:val="both"/>
        <w:rPr>
          <w:rFonts w:asciiTheme="majorHAnsi" w:hAnsiTheme="majorHAnsi"/>
          <w:b/>
          <w:sz w:val="20"/>
          <w:lang w:val="en-US"/>
        </w:rPr>
      </w:pPr>
      <w:r w:rsidRPr="005A41E0">
        <w:rPr>
          <w:rFonts w:asciiTheme="majorHAnsi" w:hAnsiTheme="majorHAnsi"/>
          <w:b/>
          <w:sz w:val="20"/>
          <w:lang w:val="en-US"/>
        </w:rPr>
        <w:t>e.</w:t>
      </w:r>
      <w:r w:rsidRPr="005A41E0">
        <w:rPr>
          <w:rFonts w:asciiTheme="majorHAnsi" w:hAnsiTheme="majorHAnsi"/>
          <w:b/>
          <w:sz w:val="20"/>
          <w:lang w:val="en-US"/>
        </w:rPr>
        <w:tab/>
        <w:t>Víctor Manuel Isaza Uribe v</w:t>
      </w:r>
      <w:r w:rsidR="00F82001" w:rsidRPr="005A41E0">
        <w:rPr>
          <w:rFonts w:asciiTheme="majorHAnsi" w:hAnsiTheme="majorHAnsi"/>
          <w:b/>
          <w:sz w:val="20"/>
          <w:lang w:val="en-US"/>
        </w:rPr>
        <w:t>. Colombia (</w:t>
      </w:r>
      <w:r w:rsidRPr="005A41E0">
        <w:rPr>
          <w:rFonts w:asciiTheme="majorHAnsi" w:hAnsiTheme="majorHAnsi"/>
          <w:b/>
          <w:sz w:val="20"/>
          <w:lang w:val="en-US"/>
        </w:rPr>
        <w:t xml:space="preserve">submitted April </w:t>
      </w:r>
      <w:r w:rsidR="00F82001" w:rsidRPr="005A41E0">
        <w:rPr>
          <w:rFonts w:asciiTheme="majorHAnsi" w:hAnsiTheme="majorHAnsi"/>
          <w:b/>
          <w:sz w:val="20"/>
          <w:lang w:val="en-US"/>
        </w:rPr>
        <w:t>3</w:t>
      </w:r>
      <w:r w:rsidRPr="005A41E0">
        <w:rPr>
          <w:rFonts w:asciiTheme="majorHAnsi" w:hAnsiTheme="majorHAnsi"/>
          <w:b/>
          <w:sz w:val="20"/>
          <w:lang w:val="en-US"/>
        </w:rPr>
        <w:t>,</w:t>
      </w:r>
      <w:r w:rsidR="00F82001" w:rsidRPr="005A41E0">
        <w:rPr>
          <w:rFonts w:asciiTheme="majorHAnsi" w:hAnsiTheme="majorHAnsi"/>
          <w:b/>
          <w:sz w:val="20"/>
          <w:lang w:val="en-US"/>
        </w:rPr>
        <w:t xml:space="preserve"> 2016)</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5F0961" w:rsidP="00EE0F18">
      <w:pPr>
        <w:pStyle w:val="ListParagraph"/>
        <w:numPr>
          <w:ilvl w:val="0"/>
          <w:numId w:val="15"/>
        </w:numPr>
        <w:shd w:val="clear" w:color="auto" w:fill="FFFFFF"/>
        <w:tabs>
          <w:tab w:val="clear" w:pos="1080"/>
        </w:tabs>
        <w:ind w:left="0"/>
        <w:jc w:val="both"/>
        <w:rPr>
          <w:rFonts w:asciiTheme="majorHAnsi" w:eastAsia="MS Gothic" w:hAnsiTheme="majorHAnsi"/>
          <w:bCs/>
          <w:sz w:val="20"/>
          <w:szCs w:val="20"/>
          <w:lang w:val="en-US"/>
        </w:rPr>
      </w:pPr>
      <w:r w:rsidRPr="005A41E0">
        <w:rPr>
          <w:rFonts w:asciiTheme="majorHAnsi" w:hAnsiTheme="majorHAnsi"/>
          <w:sz w:val="20"/>
          <w:szCs w:val="20"/>
          <w:lang w:val="en-US"/>
        </w:rPr>
        <w:t xml:space="preserve">The case refers to the forced disappearance of </w:t>
      </w:r>
      <w:r w:rsidR="00F82001" w:rsidRPr="005A41E0">
        <w:rPr>
          <w:rFonts w:asciiTheme="majorHAnsi" w:hAnsiTheme="majorHAnsi" w:cs="Arial"/>
          <w:sz w:val="20"/>
          <w:szCs w:val="20"/>
          <w:lang w:val="en-US"/>
        </w:rPr>
        <w:t xml:space="preserve">Víctor Manuel Isaza Uribe </w:t>
      </w:r>
      <w:r w:rsidRPr="005A41E0">
        <w:rPr>
          <w:rFonts w:asciiTheme="majorHAnsi" w:hAnsiTheme="majorHAnsi" w:cs="Arial"/>
          <w:sz w:val="20"/>
          <w:szCs w:val="20"/>
          <w:lang w:val="en-US"/>
        </w:rPr>
        <w:t xml:space="preserve">as of November </w:t>
      </w:r>
      <w:r w:rsidR="00F82001" w:rsidRPr="005A41E0">
        <w:rPr>
          <w:rFonts w:asciiTheme="majorHAnsi" w:hAnsiTheme="majorHAnsi" w:cs="Arial"/>
          <w:sz w:val="20"/>
          <w:szCs w:val="20"/>
          <w:lang w:val="en-US"/>
        </w:rPr>
        <w:t>19</w:t>
      </w:r>
      <w:r w:rsidRPr="005A41E0">
        <w:rPr>
          <w:rFonts w:asciiTheme="majorHAnsi" w:hAnsiTheme="majorHAnsi" w:cs="Arial"/>
          <w:sz w:val="20"/>
          <w:szCs w:val="20"/>
          <w:lang w:val="en-US"/>
        </w:rPr>
        <w:t>,</w:t>
      </w:r>
      <w:r w:rsidR="00F82001" w:rsidRPr="005A41E0">
        <w:rPr>
          <w:rFonts w:asciiTheme="majorHAnsi" w:hAnsiTheme="majorHAnsi" w:cs="Arial"/>
          <w:sz w:val="20"/>
          <w:szCs w:val="20"/>
          <w:lang w:val="en-US"/>
        </w:rPr>
        <w:t xml:space="preserve"> 1987 </w:t>
      </w:r>
      <w:r w:rsidRPr="005A41E0">
        <w:rPr>
          <w:rFonts w:asciiTheme="majorHAnsi" w:hAnsiTheme="majorHAnsi" w:cs="Arial"/>
          <w:sz w:val="20"/>
          <w:szCs w:val="20"/>
          <w:lang w:val="en-US"/>
        </w:rPr>
        <w:t xml:space="preserve">while he was detained at the jail in </w:t>
      </w:r>
      <w:r w:rsidR="00F82001" w:rsidRPr="005A41E0">
        <w:rPr>
          <w:rFonts w:asciiTheme="majorHAnsi" w:hAnsiTheme="majorHAnsi" w:cs="Arial"/>
          <w:sz w:val="20"/>
          <w:szCs w:val="20"/>
          <w:lang w:val="en-US"/>
        </w:rPr>
        <w:t xml:space="preserve">Puerto Nare, Antioquia. </w:t>
      </w:r>
      <w:r w:rsidRPr="005A41E0">
        <w:rPr>
          <w:rFonts w:asciiTheme="majorHAnsi" w:hAnsiTheme="majorHAnsi" w:cs="Arial"/>
          <w:sz w:val="20"/>
          <w:szCs w:val="20"/>
          <w:lang w:val="en-US"/>
        </w:rPr>
        <w:t xml:space="preserve">Mr. </w:t>
      </w:r>
      <w:r w:rsidR="00F82001" w:rsidRPr="005A41E0">
        <w:rPr>
          <w:rFonts w:asciiTheme="majorHAnsi" w:hAnsiTheme="majorHAnsi" w:cs="Arial"/>
          <w:sz w:val="20"/>
          <w:szCs w:val="20"/>
          <w:lang w:val="en-US"/>
        </w:rPr>
        <w:t xml:space="preserve">Isaza Uribe </w:t>
      </w:r>
      <w:r w:rsidRPr="005A41E0">
        <w:rPr>
          <w:rFonts w:asciiTheme="majorHAnsi" w:hAnsiTheme="majorHAnsi" w:cs="Arial"/>
          <w:sz w:val="20"/>
          <w:szCs w:val="20"/>
          <w:lang w:val="en-US"/>
        </w:rPr>
        <w:t xml:space="preserve">was a member of the trade union </w:t>
      </w:r>
      <w:r w:rsidR="00F82001" w:rsidRPr="005A41E0">
        <w:rPr>
          <w:rFonts w:asciiTheme="majorHAnsi" w:hAnsiTheme="majorHAnsi"/>
          <w:sz w:val="20"/>
          <w:szCs w:val="20"/>
          <w:lang w:val="en-US"/>
        </w:rPr>
        <w:t xml:space="preserve">Sindicato Único de Trabajadores de la Industria de Materiales de la Construcción (SUTIMAC) </w:t>
      </w:r>
      <w:r w:rsidRPr="005A41E0">
        <w:rPr>
          <w:rFonts w:asciiTheme="majorHAnsi" w:hAnsiTheme="majorHAnsi"/>
          <w:sz w:val="20"/>
          <w:szCs w:val="20"/>
          <w:lang w:val="en-US"/>
        </w:rPr>
        <w:t xml:space="preserve">in </w:t>
      </w:r>
      <w:r w:rsidR="00F82001" w:rsidRPr="005A41E0">
        <w:rPr>
          <w:rFonts w:asciiTheme="majorHAnsi" w:hAnsiTheme="majorHAnsi"/>
          <w:sz w:val="20"/>
          <w:szCs w:val="20"/>
          <w:lang w:val="en-US"/>
        </w:rPr>
        <w:t xml:space="preserve">Puerto Nare, </w:t>
      </w:r>
      <w:r w:rsidRPr="005A41E0">
        <w:rPr>
          <w:rFonts w:asciiTheme="majorHAnsi" w:hAnsiTheme="majorHAnsi"/>
          <w:sz w:val="20"/>
          <w:szCs w:val="20"/>
          <w:lang w:val="en-US"/>
        </w:rPr>
        <w:t xml:space="preserve">as well as a sympathizer of the </w:t>
      </w:r>
      <w:r w:rsidR="00F82001" w:rsidRPr="005A41E0">
        <w:rPr>
          <w:rFonts w:asciiTheme="majorHAnsi" w:hAnsiTheme="majorHAnsi"/>
          <w:sz w:val="20"/>
          <w:szCs w:val="20"/>
          <w:lang w:val="en-US"/>
        </w:rPr>
        <w:t>Unión Patriótica</w:t>
      </w:r>
      <w:r w:rsidRPr="005A41E0">
        <w:rPr>
          <w:rFonts w:asciiTheme="majorHAnsi" w:hAnsiTheme="majorHAnsi"/>
          <w:sz w:val="20"/>
          <w:szCs w:val="20"/>
          <w:lang w:val="en-US"/>
        </w:rPr>
        <w:t xml:space="preserve"> political party. The IACHR recalled that when a person is under the custody of the state, the state is under an obligation to offer a satisfactory explanation of what happened in those circumstances. This did not happen in the instant case, for the State limited itself to validating the official version that he had escaped without adequately and exhaustively investigating the facts, taking into account all the indicia pointing to the hypothesis of forced disappearance</w:t>
      </w:r>
      <w:r w:rsidR="00F82001" w:rsidRPr="005A41E0">
        <w:rPr>
          <w:rFonts w:asciiTheme="majorHAnsi" w:hAnsiTheme="majorHAnsi"/>
          <w:sz w:val="20"/>
          <w:szCs w:val="20"/>
          <w:lang w:val="en-US"/>
        </w:rPr>
        <w:t xml:space="preserve">. </w:t>
      </w:r>
      <w:r w:rsidR="00146453" w:rsidRPr="005A41E0">
        <w:rPr>
          <w:rFonts w:asciiTheme="majorHAnsi" w:hAnsiTheme="majorHAnsi"/>
          <w:sz w:val="20"/>
          <w:szCs w:val="20"/>
          <w:lang w:val="en-US"/>
        </w:rPr>
        <w:t xml:space="preserve">With respect to those indicia, the IACHR emphasized first the declaration of one of the detainees, who indicated he had recognized one of the persons who entered the jail as a member of a paramilitary group. Second, the IACHR took into account that as of that date there was a concurrence of multiple contexts that made it evident that Mr. </w:t>
      </w:r>
      <w:r w:rsidR="007B0F9F">
        <w:rPr>
          <w:rFonts w:asciiTheme="majorHAnsi" w:eastAsia="MS Gothic" w:hAnsiTheme="majorHAnsi"/>
          <w:bCs/>
          <w:sz w:val="20"/>
          <w:szCs w:val="20"/>
          <w:lang w:val="en-US"/>
        </w:rPr>
        <w:t xml:space="preserve">Isaza Uribe faced a </w:t>
      </w:r>
      <w:r w:rsidR="00146453" w:rsidRPr="005A41E0">
        <w:rPr>
          <w:rFonts w:asciiTheme="majorHAnsi" w:eastAsia="MS Gothic" w:hAnsiTheme="majorHAnsi"/>
          <w:bCs/>
          <w:sz w:val="20"/>
          <w:szCs w:val="20"/>
          <w:lang w:val="en-US"/>
        </w:rPr>
        <w:t xml:space="preserve">grave risk of being attacked by paramilitaries who were presented in the area. Those contexts include the situation of violence by agents against persons associated with the </w:t>
      </w:r>
      <w:r w:rsidR="00F82001" w:rsidRPr="005A41E0">
        <w:rPr>
          <w:rFonts w:asciiTheme="majorHAnsi" w:eastAsia="MS Gothic" w:hAnsiTheme="majorHAnsi"/>
          <w:bCs/>
          <w:sz w:val="20"/>
          <w:szCs w:val="20"/>
          <w:lang w:val="en-US"/>
        </w:rPr>
        <w:t>Unión Patriótica</w:t>
      </w:r>
      <w:r w:rsidR="00146453" w:rsidRPr="005A41E0">
        <w:rPr>
          <w:rFonts w:asciiTheme="majorHAnsi" w:eastAsia="MS Gothic" w:hAnsiTheme="majorHAnsi"/>
          <w:bCs/>
          <w:sz w:val="20"/>
          <w:szCs w:val="20"/>
          <w:lang w:val="en-US"/>
        </w:rPr>
        <w:t xml:space="preserve"> political party</w:t>
      </w:r>
      <w:r w:rsidR="00F82001" w:rsidRPr="005A41E0">
        <w:rPr>
          <w:rFonts w:asciiTheme="majorHAnsi" w:eastAsia="MS Gothic" w:hAnsiTheme="majorHAnsi"/>
          <w:bCs/>
          <w:sz w:val="20"/>
          <w:szCs w:val="20"/>
          <w:lang w:val="en-US"/>
        </w:rPr>
        <w:t xml:space="preserve">; </w:t>
      </w:r>
      <w:r w:rsidR="00146453" w:rsidRPr="005A41E0">
        <w:rPr>
          <w:rFonts w:asciiTheme="majorHAnsi" w:eastAsia="MS Gothic" w:hAnsiTheme="majorHAnsi"/>
          <w:bCs/>
          <w:sz w:val="20"/>
          <w:szCs w:val="20"/>
          <w:lang w:val="en-US"/>
        </w:rPr>
        <w:t xml:space="preserve">the context of persecution and even extermination of trade unionists precisely of the organization Mr. </w:t>
      </w:r>
      <w:r w:rsidR="00F82001" w:rsidRPr="005A41E0">
        <w:rPr>
          <w:rFonts w:asciiTheme="majorHAnsi" w:eastAsia="MS Gothic" w:hAnsiTheme="majorHAnsi"/>
          <w:bCs/>
          <w:sz w:val="20"/>
          <w:szCs w:val="20"/>
          <w:lang w:val="en-US"/>
        </w:rPr>
        <w:t xml:space="preserve">Isaza Uribe </w:t>
      </w:r>
      <w:r w:rsidR="00146453" w:rsidRPr="005A41E0">
        <w:rPr>
          <w:rFonts w:asciiTheme="majorHAnsi" w:eastAsia="MS Gothic" w:hAnsiTheme="majorHAnsi"/>
          <w:bCs/>
          <w:sz w:val="20"/>
          <w:szCs w:val="20"/>
          <w:lang w:val="en-US"/>
        </w:rPr>
        <w:t xml:space="preserve">belonged to and specifically in the municipality of </w:t>
      </w:r>
      <w:r w:rsidR="00F82001" w:rsidRPr="005A41E0">
        <w:rPr>
          <w:rFonts w:asciiTheme="majorHAnsi" w:eastAsia="MS Gothic" w:hAnsiTheme="majorHAnsi"/>
          <w:bCs/>
          <w:sz w:val="20"/>
          <w:szCs w:val="20"/>
          <w:lang w:val="en-US"/>
        </w:rPr>
        <w:t xml:space="preserve">Puerto Nare; </w:t>
      </w:r>
      <w:r w:rsidR="00146453" w:rsidRPr="005A41E0">
        <w:rPr>
          <w:rFonts w:asciiTheme="majorHAnsi" w:eastAsia="MS Gothic" w:hAnsiTheme="majorHAnsi"/>
          <w:bCs/>
          <w:sz w:val="20"/>
          <w:szCs w:val="20"/>
          <w:lang w:val="en-US"/>
        </w:rPr>
        <w:t xml:space="preserve">and the existence of patterns of joint action by the armed forces and National Police and paramilitary groups in the zone. Third, the IACHR determined that the State maintained in force legal frameworks with respect to paramilitarism and identifying trade unionists as being encompassed within the notion of internal enemy. The IACHR noted that in the report </w:t>
      </w:r>
      <w:r w:rsidR="00F82001" w:rsidRPr="005A41E0">
        <w:rPr>
          <w:rFonts w:asciiTheme="majorHAnsi" w:eastAsia="MS Gothic" w:hAnsiTheme="majorHAnsi"/>
          <w:bCs/>
          <w:sz w:val="20"/>
          <w:szCs w:val="20"/>
          <w:lang w:val="en-US"/>
        </w:rPr>
        <w:t>Huellas y Rostros de la Desaparición Forzada</w:t>
      </w:r>
      <w:r w:rsidR="00146453" w:rsidRPr="005A41E0">
        <w:rPr>
          <w:rFonts w:asciiTheme="majorHAnsi" w:eastAsia="MS Gothic" w:hAnsiTheme="majorHAnsi"/>
          <w:bCs/>
          <w:sz w:val="20"/>
          <w:szCs w:val="20"/>
          <w:lang w:val="en-US"/>
        </w:rPr>
        <w:t>, by the National Center for Historical Memory (</w:t>
      </w:r>
      <w:r w:rsidR="00F82001" w:rsidRPr="005A41E0">
        <w:rPr>
          <w:rFonts w:asciiTheme="majorHAnsi" w:eastAsia="MS Gothic" w:hAnsiTheme="majorHAnsi"/>
          <w:bCs/>
          <w:sz w:val="20"/>
          <w:szCs w:val="20"/>
          <w:lang w:val="en-US"/>
        </w:rPr>
        <w:t>Centro Nacional de Memoria Histórica</w:t>
      </w:r>
      <w:r w:rsidR="00146453" w:rsidRPr="005A41E0">
        <w:rPr>
          <w:rFonts w:asciiTheme="majorHAnsi" w:eastAsia="MS Gothic" w:hAnsiTheme="majorHAnsi"/>
          <w:bCs/>
          <w:sz w:val="20"/>
          <w:szCs w:val="20"/>
          <w:lang w:val="en-US"/>
        </w:rPr>
        <w:t>)</w:t>
      </w:r>
      <w:r w:rsidR="00F82001" w:rsidRPr="005A41E0">
        <w:rPr>
          <w:rFonts w:asciiTheme="majorHAnsi" w:eastAsia="MS Gothic" w:hAnsiTheme="majorHAnsi"/>
          <w:bCs/>
          <w:sz w:val="20"/>
          <w:szCs w:val="20"/>
          <w:lang w:val="en-US"/>
        </w:rPr>
        <w:t xml:space="preserve">, </w:t>
      </w:r>
      <w:r w:rsidR="00146453" w:rsidRPr="005A41E0">
        <w:rPr>
          <w:rFonts w:asciiTheme="majorHAnsi" w:eastAsia="MS Gothic" w:hAnsiTheme="majorHAnsi"/>
          <w:bCs/>
          <w:sz w:val="20"/>
          <w:szCs w:val="20"/>
          <w:lang w:val="en-US"/>
        </w:rPr>
        <w:t xml:space="preserve">the case of Mr. </w:t>
      </w:r>
      <w:r w:rsidR="00F82001" w:rsidRPr="005A41E0">
        <w:rPr>
          <w:rFonts w:asciiTheme="majorHAnsi" w:eastAsia="MS Gothic" w:hAnsiTheme="majorHAnsi"/>
          <w:bCs/>
          <w:sz w:val="20"/>
          <w:szCs w:val="20"/>
          <w:lang w:val="en-US"/>
        </w:rPr>
        <w:t xml:space="preserve">Isaza Uribe </w:t>
      </w:r>
      <w:r w:rsidR="00146453" w:rsidRPr="005A41E0">
        <w:rPr>
          <w:rFonts w:asciiTheme="majorHAnsi" w:eastAsia="MS Gothic" w:hAnsiTheme="majorHAnsi"/>
          <w:bCs/>
          <w:sz w:val="20"/>
          <w:szCs w:val="20"/>
          <w:lang w:val="en-US"/>
        </w:rPr>
        <w:t xml:space="preserve">is featured as emblematic of the forced disappearance of trade unionists at a particular time of the Colombian armed conflict. To date no further information </w:t>
      </w:r>
      <w:r w:rsidR="007B0F9F">
        <w:rPr>
          <w:rFonts w:asciiTheme="majorHAnsi" w:eastAsia="MS Gothic" w:hAnsiTheme="majorHAnsi"/>
          <w:bCs/>
          <w:sz w:val="20"/>
          <w:szCs w:val="20"/>
          <w:lang w:val="en-US"/>
        </w:rPr>
        <w:t xml:space="preserve">has come to light </w:t>
      </w:r>
      <w:r w:rsidR="00146453" w:rsidRPr="005A41E0">
        <w:rPr>
          <w:rFonts w:asciiTheme="majorHAnsi" w:eastAsia="MS Gothic" w:hAnsiTheme="majorHAnsi"/>
          <w:bCs/>
          <w:sz w:val="20"/>
          <w:szCs w:val="20"/>
          <w:lang w:val="en-US"/>
        </w:rPr>
        <w:t xml:space="preserve">on the fate or whereabouts of </w:t>
      </w:r>
      <w:r w:rsidR="00F82001" w:rsidRPr="005A41E0">
        <w:rPr>
          <w:rFonts w:asciiTheme="majorHAnsi" w:hAnsiTheme="majorHAnsi"/>
          <w:sz w:val="20"/>
          <w:szCs w:val="20"/>
          <w:lang w:val="en-US"/>
        </w:rPr>
        <w:t xml:space="preserve">Víctor Manuel Isaza Uribe. </w:t>
      </w:r>
    </w:p>
    <w:p w:rsidR="00F82001" w:rsidRPr="005A41E0" w:rsidRDefault="00F82001" w:rsidP="005A41E0">
      <w:pPr>
        <w:widowControl w:val="0"/>
        <w:autoSpaceDE w:val="0"/>
        <w:autoSpaceDN w:val="0"/>
        <w:adjustRightInd w:val="0"/>
        <w:jc w:val="both"/>
        <w:rPr>
          <w:rFonts w:asciiTheme="majorHAnsi" w:hAnsiTheme="majorHAnsi" w:cs="Arial"/>
          <w:snapToGrid w:val="0"/>
          <w:sz w:val="20"/>
          <w:szCs w:val="20"/>
          <w:lang w:val="en-US"/>
        </w:rPr>
      </w:pPr>
    </w:p>
    <w:p w:rsidR="00F82001" w:rsidRPr="005A41E0" w:rsidRDefault="00BA36EF" w:rsidP="005C427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eastAsia="MS Gothic" w:hAnsiTheme="majorHAnsi"/>
          <w:bCs/>
          <w:sz w:val="20"/>
          <w:szCs w:val="20"/>
          <w:lang w:val="en-US"/>
        </w:rPr>
        <w:t xml:space="preserve">The IACHR established that the international responsibility of the State was also triggered by the domestic proceedings into these facts. Specifically, it determined that the State has not provided information on specific actions taken immediately to determine the whereabouts of Mr. </w:t>
      </w:r>
      <w:r w:rsidR="00F82001" w:rsidRPr="005A41E0">
        <w:rPr>
          <w:rFonts w:asciiTheme="majorHAnsi" w:hAnsiTheme="majorHAnsi"/>
          <w:sz w:val="20"/>
          <w:szCs w:val="20"/>
          <w:lang w:val="en-US"/>
        </w:rPr>
        <w:t xml:space="preserve">Uribe </w:t>
      </w:r>
      <w:r>
        <w:rPr>
          <w:rFonts w:asciiTheme="majorHAnsi" w:hAnsiTheme="majorHAnsi"/>
          <w:sz w:val="20"/>
          <w:szCs w:val="20"/>
          <w:lang w:val="en-US"/>
        </w:rPr>
        <w:t xml:space="preserve">and to protect his life and integrity. In addition, the IACHR indicated that </w:t>
      </w:r>
      <w:r w:rsidR="005C427B">
        <w:rPr>
          <w:rFonts w:asciiTheme="majorHAnsi" w:hAnsiTheme="majorHAnsi"/>
          <w:sz w:val="20"/>
          <w:szCs w:val="20"/>
          <w:lang w:val="en-US"/>
        </w:rPr>
        <w:t>t</w:t>
      </w:r>
      <w:r>
        <w:rPr>
          <w:rFonts w:asciiTheme="majorHAnsi" w:hAnsiTheme="majorHAnsi"/>
          <w:sz w:val="20"/>
          <w:szCs w:val="20"/>
          <w:lang w:val="en-US"/>
        </w:rPr>
        <w:t xml:space="preserve">he criminal proceeding has been subject to unwarranted delays and that more than 27 years after the facts they have yet to be clarified, and the criminal investigation continues in the preliminary investigative phase. The IACHR also concluded that lines of investigation were not developed and </w:t>
      </w:r>
      <w:r w:rsidR="005C427B">
        <w:rPr>
          <w:rFonts w:asciiTheme="majorHAnsi" w:hAnsiTheme="majorHAnsi"/>
          <w:sz w:val="20"/>
          <w:szCs w:val="20"/>
          <w:lang w:val="en-US"/>
        </w:rPr>
        <w:t>followed</w:t>
      </w:r>
      <w:r>
        <w:rPr>
          <w:rFonts w:asciiTheme="majorHAnsi" w:hAnsiTheme="majorHAnsi"/>
          <w:sz w:val="20"/>
          <w:szCs w:val="20"/>
          <w:lang w:val="en-US"/>
        </w:rPr>
        <w:t xml:space="preserve"> with respect to the multiple contexts operating at the same time in the zone, and that were clearly relevant in </w:t>
      </w:r>
      <w:r w:rsidR="005C427B">
        <w:rPr>
          <w:rFonts w:asciiTheme="majorHAnsi" w:hAnsiTheme="majorHAnsi"/>
          <w:sz w:val="20"/>
          <w:szCs w:val="20"/>
          <w:lang w:val="en-US"/>
        </w:rPr>
        <w:t xml:space="preserve">any </w:t>
      </w:r>
      <w:r>
        <w:rPr>
          <w:rFonts w:asciiTheme="majorHAnsi" w:hAnsiTheme="majorHAnsi"/>
          <w:sz w:val="20"/>
          <w:szCs w:val="20"/>
          <w:lang w:val="en-US"/>
        </w:rPr>
        <w:t xml:space="preserve">investigation into what happened to the victim. </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0643A5" w:rsidRDefault="00F82001" w:rsidP="005A41E0">
      <w:pPr>
        <w:pStyle w:val="FootnoteText"/>
        <w:spacing w:before="0" w:beforeAutospacing="0" w:after="0" w:afterAutospacing="0"/>
        <w:ind w:left="1440" w:hanging="720"/>
        <w:jc w:val="both"/>
        <w:rPr>
          <w:rFonts w:asciiTheme="majorHAnsi" w:hAnsiTheme="majorHAnsi"/>
          <w:b/>
          <w:sz w:val="20"/>
        </w:rPr>
      </w:pPr>
      <w:r w:rsidRPr="000643A5">
        <w:rPr>
          <w:rFonts w:asciiTheme="majorHAnsi" w:hAnsiTheme="majorHAnsi"/>
          <w:b/>
          <w:sz w:val="20"/>
        </w:rPr>
        <w:t>f.</w:t>
      </w:r>
      <w:r w:rsidRPr="000643A5">
        <w:rPr>
          <w:rFonts w:asciiTheme="majorHAnsi" w:hAnsiTheme="majorHAnsi"/>
          <w:b/>
          <w:sz w:val="20"/>
        </w:rPr>
        <w:tab/>
        <w:t>Gu</w:t>
      </w:r>
      <w:r w:rsidR="00C367E5" w:rsidRPr="000643A5">
        <w:rPr>
          <w:rFonts w:asciiTheme="majorHAnsi" w:hAnsiTheme="majorHAnsi"/>
          <w:b/>
          <w:sz w:val="20"/>
        </w:rPr>
        <w:t xml:space="preserve">stavo Giraldo Villamizar Durán et al. v. </w:t>
      </w:r>
      <w:r w:rsidRPr="000643A5">
        <w:rPr>
          <w:rFonts w:asciiTheme="majorHAnsi" w:hAnsiTheme="majorHAnsi"/>
          <w:b/>
          <w:sz w:val="20"/>
        </w:rPr>
        <w:t>Colombia (</w:t>
      </w:r>
      <w:r w:rsidR="00C367E5" w:rsidRPr="000643A5">
        <w:rPr>
          <w:rFonts w:asciiTheme="majorHAnsi" w:hAnsiTheme="majorHAnsi"/>
          <w:b/>
          <w:sz w:val="20"/>
        </w:rPr>
        <w:t xml:space="preserve">submitted April </w:t>
      </w:r>
      <w:r w:rsidRPr="000643A5">
        <w:rPr>
          <w:rFonts w:asciiTheme="majorHAnsi" w:hAnsiTheme="majorHAnsi"/>
          <w:b/>
          <w:sz w:val="20"/>
        </w:rPr>
        <w:t>14</w:t>
      </w:r>
      <w:r w:rsidR="00C367E5" w:rsidRPr="000643A5">
        <w:rPr>
          <w:rFonts w:asciiTheme="majorHAnsi" w:hAnsiTheme="majorHAnsi"/>
          <w:b/>
          <w:sz w:val="20"/>
        </w:rPr>
        <w:t>,</w:t>
      </w:r>
      <w:r w:rsidRPr="000643A5">
        <w:rPr>
          <w:rFonts w:asciiTheme="majorHAnsi" w:hAnsiTheme="majorHAnsi"/>
          <w:b/>
          <w:sz w:val="20"/>
        </w:rPr>
        <w:t xml:space="preserve"> 2016)</w:t>
      </w:r>
    </w:p>
    <w:p w:rsidR="00F82001" w:rsidRPr="000643A5" w:rsidRDefault="00F82001" w:rsidP="005A41E0">
      <w:pPr>
        <w:pStyle w:val="FootnoteText"/>
        <w:spacing w:before="0" w:beforeAutospacing="0" w:after="0" w:afterAutospacing="0"/>
        <w:jc w:val="both"/>
        <w:rPr>
          <w:rFonts w:asciiTheme="majorHAnsi" w:hAnsiTheme="majorHAnsi"/>
          <w:b/>
          <w:sz w:val="20"/>
        </w:rPr>
      </w:pPr>
    </w:p>
    <w:p w:rsidR="00F82001" w:rsidRPr="005A41E0" w:rsidRDefault="00C367E5"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0643A5">
        <w:rPr>
          <w:rFonts w:asciiTheme="majorHAnsi" w:hAnsiTheme="majorHAnsi"/>
          <w:sz w:val="20"/>
          <w:szCs w:val="20"/>
        </w:rPr>
        <w:t>The case is related to the extrajudicial executions of Gustavo Giraldo Villamizar Durá</w:t>
      </w:r>
      <w:r w:rsidR="00F82001" w:rsidRPr="000643A5">
        <w:rPr>
          <w:rFonts w:asciiTheme="majorHAnsi" w:hAnsiTheme="majorHAnsi"/>
          <w:sz w:val="20"/>
          <w:szCs w:val="20"/>
        </w:rPr>
        <w:t xml:space="preserve">n, </w:t>
      </w:r>
      <w:r w:rsidRPr="000643A5">
        <w:rPr>
          <w:rFonts w:asciiTheme="majorHAnsi" w:hAnsiTheme="majorHAnsi"/>
          <w:sz w:val="20"/>
          <w:szCs w:val="20"/>
        </w:rPr>
        <w:t xml:space="preserve">on August </w:t>
      </w:r>
      <w:r w:rsidR="00F82001" w:rsidRPr="000643A5">
        <w:rPr>
          <w:rFonts w:asciiTheme="majorHAnsi" w:hAnsiTheme="majorHAnsi"/>
          <w:sz w:val="20"/>
          <w:szCs w:val="20"/>
        </w:rPr>
        <w:t>11</w:t>
      </w:r>
      <w:r w:rsidRPr="000643A5">
        <w:rPr>
          <w:rFonts w:asciiTheme="majorHAnsi" w:hAnsiTheme="majorHAnsi"/>
          <w:sz w:val="20"/>
          <w:szCs w:val="20"/>
        </w:rPr>
        <w:t>,</w:t>
      </w:r>
      <w:r w:rsidR="00F82001" w:rsidRPr="000643A5">
        <w:rPr>
          <w:rFonts w:asciiTheme="majorHAnsi" w:hAnsiTheme="majorHAnsi"/>
          <w:sz w:val="20"/>
          <w:szCs w:val="20"/>
        </w:rPr>
        <w:t xml:space="preserve"> 1996; Elio Gelves Carrillo, </w:t>
      </w:r>
      <w:r w:rsidRPr="000643A5">
        <w:rPr>
          <w:rFonts w:asciiTheme="majorHAnsi" w:hAnsiTheme="majorHAnsi"/>
          <w:sz w:val="20"/>
          <w:szCs w:val="20"/>
        </w:rPr>
        <w:t xml:space="preserve">on May </w:t>
      </w:r>
      <w:r w:rsidR="00F82001" w:rsidRPr="000643A5">
        <w:rPr>
          <w:rFonts w:asciiTheme="majorHAnsi" w:hAnsiTheme="majorHAnsi"/>
          <w:sz w:val="20"/>
          <w:szCs w:val="20"/>
        </w:rPr>
        <w:t>28</w:t>
      </w:r>
      <w:r w:rsidRPr="000643A5">
        <w:rPr>
          <w:rFonts w:asciiTheme="majorHAnsi" w:hAnsiTheme="majorHAnsi"/>
          <w:sz w:val="20"/>
          <w:szCs w:val="20"/>
        </w:rPr>
        <w:t>,</w:t>
      </w:r>
      <w:r w:rsidR="00F82001" w:rsidRPr="000643A5">
        <w:rPr>
          <w:rFonts w:asciiTheme="majorHAnsi" w:hAnsiTheme="majorHAnsi"/>
          <w:sz w:val="20"/>
          <w:szCs w:val="20"/>
        </w:rPr>
        <w:t xml:space="preserve"> 1997; Carlos Arturo Uva Velandia, </w:t>
      </w:r>
      <w:r w:rsidRPr="000643A5">
        <w:rPr>
          <w:rFonts w:asciiTheme="majorHAnsi" w:hAnsiTheme="majorHAnsi"/>
          <w:sz w:val="20"/>
          <w:szCs w:val="20"/>
        </w:rPr>
        <w:t xml:space="preserve">on June </w:t>
      </w:r>
      <w:r w:rsidR="00F82001" w:rsidRPr="000643A5">
        <w:rPr>
          <w:rFonts w:asciiTheme="majorHAnsi" w:hAnsiTheme="majorHAnsi"/>
          <w:sz w:val="20"/>
          <w:szCs w:val="20"/>
        </w:rPr>
        <w:t>21</w:t>
      </w:r>
      <w:r w:rsidRPr="000643A5">
        <w:rPr>
          <w:rFonts w:asciiTheme="majorHAnsi" w:hAnsiTheme="majorHAnsi"/>
          <w:sz w:val="20"/>
          <w:szCs w:val="20"/>
        </w:rPr>
        <w:t>,</w:t>
      </w:r>
      <w:r w:rsidR="00F82001" w:rsidRPr="000643A5">
        <w:rPr>
          <w:rFonts w:asciiTheme="majorHAnsi" w:hAnsiTheme="majorHAnsi"/>
          <w:sz w:val="20"/>
          <w:szCs w:val="20"/>
        </w:rPr>
        <w:t xml:space="preserve"> 1992; </w:t>
      </w:r>
      <w:r w:rsidRPr="000643A5">
        <w:rPr>
          <w:rFonts w:asciiTheme="majorHAnsi" w:hAnsiTheme="majorHAnsi"/>
          <w:sz w:val="20"/>
          <w:szCs w:val="20"/>
        </w:rPr>
        <w:t xml:space="preserve">and </w:t>
      </w:r>
      <w:r w:rsidR="00F82001" w:rsidRPr="000643A5">
        <w:rPr>
          <w:rFonts w:asciiTheme="majorHAnsi" w:hAnsiTheme="majorHAnsi"/>
          <w:sz w:val="20"/>
          <w:szCs w:val="20"/>
        </w:rPr>
        <w:t>Wilfredo Quiñónez Bárcenas, José Gregorio Romero Reyes</w:t>
      </w:r>
      <w:r w:rsidRPr="000643A5">
        <w:rPr>
          <w:rFonts w:asciiTheme="majorHAnsi" w:hAnsiTheme="majorHAnsi"/>
          <w:sz w:val="20"/>
          <w:szCs w:val="20"/>
        </w:rPr>
        <w:t xml:space="preserve">, and </w:t>
      </w:r>
      <w:r w:rsidR="00F82001" w:rsidRPr="000643A5">
        <w:rPr>
          <w:rFonts w:asciiTheme="majorHAnsi" w:hAnsiTheme="majorHAnsi"/>
          <w:sz w:val="20"/>
          <w:szCs w:val="20"/>
        </w:rPr>
        <w:t xml:space="preserve">Albeiro Ramírez Jorge, </w:t>
      </w:r>
      <w:r w:rsidRPr="000643A5">
        <w:rPr>
          <w:rFonts w:asciiTheme="majorHAnsi" w:hAnsiTheme="majorHAnsi"/>
          <w:sz w:val="20"/>
          <w:szCs w:val="20"/>
        </w:rPr>
        <w:t xml:space="preserve">on September </w:t>
      </w:r>
      <w:r w:rsidR="00F82001" w:rsidRPr="000643A5">
        <w:rPr>
          <w:rFonts w:asciiTheme="majorHAnsi" w:hAnsiTheme="majorHAnsi"/>
          <w:sz w:val="20"/>
          <w:szCs w:val="20"/>
        </w:rPr>
        <w:t>4</w:t>
      </w:r>
      <w:r w:rsidRPr="000643A5">
        <w:rPr>
          <w:rFonts w:asciiTheme="majorHAnsi" w:hAnsiTheme="majorHAnsi"/>
          <w:sz w:val="20"/>
          <w:szCs w:val="20"/>
        </w:rPr>
        <w:t>,</w:t>
      </w:r>
      <w:r w:rsidR="00F82001" w:rsidRPr="000643A5">
        <w:rPr>
          <w:rFonts w:asciiTheme="majorHAnsi" w:hAnsiTheme="majorHAnsi"/>
          <w:sz w:val="20"/>
          <w:szCs w:val="20"/>
        </w:rPr>
        <w:t xml:space="preserve"> 1995. </w:t>
      </w:r>
      <w:r w:rsidRPr="005A41E0">
        <w:rPr>
          <w:rFonts w:asciiTheme="majorHAnsi" w:hAnsiTheme="majorHAnsi"/>
          <w:sz w:val="20"/>
          <w:szCs w:val="20"/>
          <w:lang w:val="en-US"/>
        </w:rPr>
        <w:t>The IACHR established that the deaths occurred at the hands of state security agents and that they took place in the context of the so-called “false positive</w:t>
      </w:r>
      <w:r w:rsidR="00F82001" w:rsidRPr="005A41E0">
        <w:rPr>
          <w:rFonts w:asciiTheme="majorHAnsi" w:hAnsiTheme="majorHAnsi"/>
          <w:sz w:val="20"/>
          <w:szCs w:val="20"/>
          <w:lang w:val="en-US"/>
        </w:rPr>
        <w:t>s</w:t>
      </w:r>
      <w:r w:rsidRPr="005A41E0">
        <w:rPr>
          <w:rFonts w:asciiTheme="majorHAnsi" w:hAnsiTheme="majorHAnsi"/>
          <w:sz w:val="20"/>
          <w:szCs w:val="20"/>
          <w:lang w:val="en-US"/>
        </w:rPr>
        <w:t>,</w:t>
      </w:r>
      <w:r w:rsidR="00F82001" w:rsidRPr="005A41E0">
        <w:rPr>
          <w:rFonts w:asciiTheme="majorHAnsi" w:hAnsiTheme="majorHAnsi"/>
          <w:sz w:val="20"/>
          <w:szCs w:val="20"/>
          <w:lang w:val="en-US"/>
        </w:rPr>
        <w:t>”</w:t>
      </w:r>
      <w:r w:rsidRPr="005A41E0">
        <w:rPr>
          <w:rFonts w:asciiTheme="majorHAnsi" w:hAnsiTheme="majorHAnsi"/>
          <w:sz w:val="20"/>
          <w:szCs w:val="20"/>
          <w:lang w:val="en-US"/>
        </w:rPr>
        <w:t xml:space="preserve"> consisting of extrajudicial executions in the context of the armed conflict. </w:t>
      </w:r>
      <w:r w:rsidR="004C0F72" w:rsidRPr="005A41E0">
        <w:rPr>
          <w:rFonts w:asciiTheme="majorHAnsi" w:hAnsiTheme="majorHAnsi"/>
          <w:sz w:val="20"/>
          <w:szCs w:val="20"/>
          <w:lang w:val="en-US"/>
        </w:rPr>
        <w:t>El</w:t>
      </w:r>
      <w:r w:rsidR="00F82001" w:rsidRPr="005A41E0">
        <w:rPr>
          <w:rFonts w:asciiTheme="majorHAnsi" w:hAnsiTheme="majorHAnsi"/>
          <w:sz w:val="20"/>
          <w:szCs w:val="20"/>
          <w:lang w:val="en-US"/>
        </w:rPr>
        <w:t xml:space="preserve"> </w:t>
      </w:r>
      <w:r w:rsidR="00F82001" w:rsidRPr="005A41E0">
        <w:rPr>
          <w:rFonts w:asciiTheme="majorHAnsi" w:hAnsiTheme="majorHAnsi"/>
          <w:i/>
          <w:sz w:val="20"/>
          <w:szCs w:val="20"/>
          <w:lang w:val="en-US"/>
        </w:rPr>
        <w:t xml:space="preserve">modus operandi </w:t>
      </w:r>
      <w:r w:rsidR="008C7F79" w:rsidRPr="005A41E0">
        <w:rPr>
          <w:rFonts w:asciiTheme="majorHAnsi" w:hAnsiTheme="majorHAnsi"/>
          <w:sz w:val="20"/>
          <w:szCs w:val="20"/>
          <w:lang w:val="en-US"/>
        </w:rPr>
        <w:t>is characterized by the execution of civilians during operations, and subsequently presenting them to the public as members of illegal armed groups killed in combat</w:t>
      </w:r>
      <w:r w:rsidR="00F82001" w:rsidRPr="005A41E0">
        <w:rPr>
          <w:rFonts w:asciiTheme="majorHAnsi" w:hAnsiTheme="majorHAnsi"/>
          <w:sz w:val="20"/>
          <w:szCs w:val="20"/>
          <w:lang w:val="en-US"/>
        </w:rPr>
        <w:t xml:space="preserve">, </w:t>
      </w:r>
      <w:r w:rsidR="008C7F79" w:rsidRPr="005A41E0">
        <w:rPr>
          <w:rFonts w:asciiTheme="majorHAnsi" w:hAnsiTheme="majorHAnsi"/>
          <w:sz w:val="20"/>
          <w:szCs w:val="20"/>
          <w:lang w:val="en-US"/>
        </w:rPr>
        <w:t xml:space="preserve">using various mechanisms to distort the crime scene and the circumstances of manner, time, and place in which the facts occurred. In addition to the determination of the arbitrary deprivation of the right to life, in the cases of </w:t>
      </w:r>
      <w:r w:rsidR="00F82001" w:rsidRPr="005A41E0">
        <w:rPr>
          <w:rFonts w:asciiTheme="majorHAnsi" w:hAnsiTheme="majorHAnsi"/>
          <w:sz w:val="20"/>
          <w:szCs w:val="20"/>
          <w:lang w:val="en-US"/>
        </w:rPr>
        <w:t>Gustavo Giraldo Villamizar D</w:t>
      </w:r>
      <w:r w:rsidR="008C7F79" w:rsidRPr="005A41E0">
        <w:rPr>
          <w:rFonts w:asciiTheme="majorHAnsi" w:hAnsiTheme="majorHAnsi"/>
          <w:sz w:val="20"/>
          <w:szCs w:val="20"/>
          <w:lang w:val="en-US"/>
        </w:rPr>
        <w:t xml:space="preserve">urán and </w:t>
      </w:r>
      <w:r w:rsidR="00F82001" w:rsidRPr="005A41E0">
        <w:rPr>
          <w:rFonts w:asciiTheme="majorHAnsi" w:hAnsiTheme="majorHAnsi"/>
          <w:sz w:val="20"/>
          <w:szCs w:val="20"/>
          <w:lang w:val="en-US"/>
        </w:rPr>
        <w:t xml:space="preserve">Elio Gelves Carrillo, </w:t>
      </w:r>
      <w:r w:rsidR="008C7F79" w:rsidRPr="005A41E0">
        <w:rPr>
          <w:rFonts w:asciiTheme="majorHAnsi" w:hAnsiTheme="majorHAnsi"/>
          <w:sz w:val="20"/>
          <w:szCs w:val="20"/>
          <w:lang w:val="en-US"/>
        </w:rPr>
        <w:t xml:space="preserve">the IACHR also found a violation of the right to honor and dignity since they were presented as members of illegal armed groups. In addition, in the cases of </w:t>
      </w:r>
      <w:r w:rsidR="00F82001" w:rsidRPr="005A41E0">
        <w:rPr>
          <w:rFonts w:asciiTheme="majorHAnsi" w:hAnsiTheme="majorHAnsi"/>
          <w:sz w:val="20"/>
          <w:szCs w:val="20"/>
          <w:lang w:val="en-US"/>
        </w:rPr>
        <w:t xml:space="preserve">Elio Gelves Carrillo, Carlos </w:t>
      </w:r>
      <w:r w:rsidR="004C0F72" w:rsidRPr="005A41E0">
        <w:rPr>
          <w:rFonts w:asciiTheme="majorHAnsi" w:hAnsiTheme="majorHAnsi"/>
          <w:sz w:val="20"/>
          <w:szCs w:val="20"/>
          <w:lang w:val="en-US"/>
        </w:rPr>
        <w:t>Arturo</w:t>
      </w:r>
      <w:r w:rsidR="00F82001" w:rsidRPr="005A41E0">
        <w:rPr>
          <w:rFonts w:asciiTheme="majorHAnsi" w:hAnsiTheme="majorHAnsi"/>
          <w:sz w:val="20"/>
          <w:szCs w:val="20"/>
          <w:lang w:val="en-US"/>
        </w:rPr>
        <w:t xml:space="preserve"> Uva Velandia, Wilfredo Quiñónez Bárcenas, José Gregorio Romero Reyes</w:t>
      </w:r>
      <w:r w:rsidR="008C7F79" w:rsidRPr="005A41E0">
        <w:rPr>
          <w:rFonts w:asciiTheme="majorHAnsi" w:hAnsiTheme="majorHAnsi"/>
          <w:sz w:val="20"/>
          <w:szCs w:val="20"/>
          <w:lang w:val="en-US"/>
        </w:rPr>
        <w:t xml:space="preserve">, and </w:t>
      </w:r>
      <w:r w:rsidR="00F82001" w:rsidRPr="005A41E0">
        <w:rPr>
          <w:rFonts w:asciiTheme="majorHAnsi" w:hAnsiTheme="majorHAnsi"/>
          <w:sz w:val="20"/>
          <w:szCs w:val="20"/>
          <w:lang w:val="en-US"/>
        </w:rPr>
        <w:t xml:space="preserve">Albeiro Ramírez Jorge, </w:t>
      </w:r>
      <w:r w:rsidR="008C7F79" w:rsidRPr="005A41E0">
        <w:rPr>
          <w:rFonts w:asciiTheme="majorHAnsi" w:hAnsiTheme="majorHAnsi"/>
          <w:sz w:val="20"/>
          <w:szCs w:val="20"/>
          <w:lang w:val="en-US"/>
        </w:rPr>
        <w:t xml:space="preserve">the </w:t>
      </w:r>
      <w:r w:rsidR="00BA36EF">
        <w:rPr>
          <w:rFonts w:asciiTheme="majorHAnsi" w:hAnsiTheme="majorHAnsi"/>
          <w:sz w:val="20"/>
          <w:szCs w:val="20"/>
          <w:lang w:val="en-US"/>
        </w:rPr>
        <w:t>IACHR determined that since their</w:t>
      </w:r>
      <w:r w:rsidR="008C7F79" w:rsidRPr="005A41E0">
        <w:rPr>
          <w:rFonts w:asciiTheme="majorHAnsi" w:hAnsiTheme="majorHAnsi"/>
          <w:sz w:val="20"/>
          <w:szCs w:val="20"/>
          <w:lang w:val="en-US"/>
        </w:rPr>
        <w:t xml:space="preserve"> deaths were preceded by a deprivation of liberty in which they could foresee their fatal destiny, these persons were also victims of the violation of their rights to humane treatment and personal liberty.</w:t>
      </w:r>
      <w:r w:rsidR="00F82001" w:rsidRPr="005A41E0">
        <w:rPr>
          <w:rFonts w:asciiTheme="majorHAnsi" w:hAnsiTheme="majorHAnsi"/>
          <w:sz w:val="20"/>
          <w:szCs w:val="20"/>
          <w:lang w:val="en-US"/>
        </w:rPr>
        <w:t xml:space="preserve"> </w:t>
      </w:r>
    </w:p>
    <w:p w:rsidR="00F82001" w:rsidRPr="005A41E0" w:rsidRDefault="00F82001" w:rsidP="005A41E0">
      <w:pPr>
        <w:widowControl w:val="0"/>
        <w:autoSpaceDE w:val="0"/>
        <w:autoSpaceDN w:val="0"/>
        <w:adjustRightInd w:val="0"/>
        <w:ind w:firstLine="720"/>
        <w:jc w:val="both"/>
        <w:rPr>
          <w:rFonts w:asciiTheme="majorHAnsi" w:hAnsiTheme="majorHAnsi"/>
          <w:sz w:val="20"/>
          <w:szCs w:val="20"/>
          <w:lang w:val="en-US"/>
        </w:rPr>
      </w:pPr>
    </w:p>
    <w:p w:rsidR="00F82001" w:rsidRPr="005A41E0" w:rsidRDefault="008C7F79"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eastAsia="ja-JP"/>
        </w:rPr>
      </w:pPr>
      <w:r w:rsidRPr="005A41E0">
        <w:rPr>
          <w:rFonts w:asciiTheme="majorHAnsi" w:hAnsiTheme="majorHAnsi"/>
          <w:sz w:val="20"/>
          <w:szCs w:val="20"/>
          <w:lang w:val="en-US"/>
        </w:rPr>
        <w:lastRenderedPageBreak/>
        <w:t xml:space="preserve">The </w:t>
      </w:r>
      <w:r w:rsidR="00CF6E18" w:rsidRPr="005A41E0">
        <w:rPr>
          <w:rFonts w:asciiTheme="majorHAnsi" w:hAnsiTheme="majorHAnsi"/>
          <w:sz w:val="20"/>
          <w:szCs w:val="20"/>
          <w:lang w:val="en-US"/>
        </w:rPr>
        <w:t xml:space="preserve">IACHR </w:t>
      </w:r>
      <w:r w:rsidRPr="005A41E0">
        <w:rPr>
          <w:rFonts w:asciiTheme="majorHAnsi" w:hAnsiTheme="majorHAnsi"/>
          <w:sz w:val="20"/>
          <w:szCs w:val="20"/>
          <w:lang w:val="en-US"/>
        </w:rPr>
        <w:t>conclud</w:t>
      </w:r>
      <w:r w:rsidR="00CF6E18" w:rsidRPr="005A41E0">
        <w:rPr>
          <w:rFonts w:asciiTheme="majorHAnsi" w:hAnsiTheme="majorHAnsi"/>
          <w:sz w:val="20"/>
          <w:szCs w:val="20"/>
          <w:lang w:val="en-US"/>
        </w:rPr>
        <w:t>e</w:t>
      </w:r>
      <w:r w:rsidRPr="005A41E0">
        <w:rPr>
          <w:rFonts w:asciiTheme="majorHAnsi" w:hAnsiTheme="majorHAnsi"/>
          <w:sz w:val="20"/>
          <w:szCs w:val="20"/>
          <w:lang w:val="en-US"/>
        </w:rPr>
        <w:t>d that in all the cases there were multiple factors of impunity, including</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i) </w:t>
      </w:r>
      <w:r w:rsidR="00CF6E18" w:rsidRPr="005A41E0">
        <w:rPr>
          <w:rFonts w:asciiTheme="majorHAnsi" w:hAnsiTheme="majorHAnsi"/>
          <w:sz w:val="20"/>
          <w:szCs w:val="20"/>
          <w:lang w:val="en-US"/>
        </w:rPr>
        <w:t>knowledge of the facts by the military justice authorities; (</w:t>
      </w:r>
      <w:r w:rsidR="00F82001" w:rsidRPr="005A41E0">
        <w:rPr>
          <w:rFonts w:asciiTheme="majorHAnsi" w:hAnsiTheme="majorHAnsi"/>
          <w:sz w:val="20"/>
          <w:szCs w:val="20"/>
          <w:lang w:val="en-US"/>
        </w:rPr>
        <w:t xml:space="preserve">ii) </w:t>
      </w:r>
      <w:r w:rsidR="00CF6E18" w:rsidRPr="005A41E0">
        <w:rPr>
          <w:rFonts w:asciiTheme="majorHAnsi" w:hAnsiTheme="majorHAnsi"/>
          <w:sz w:val="20"/>
          <w:szCs w:val="20"/>
          <w:lang w:val="en-US"/>
        </w:rPr>
        <w:t>breach of the duty to investigate with due diligence; and (</w:t>
      </w:r>
      <w:r w:rsidR="00F82001" w:rsidRPr="005A41E0">
        <w:rPr>
          <w:rFonts w:asciiTheme="majorHAnsi" w:hAnsiTheme="majorHAnsi"/>
          <w:sz w:val="20"/>
          <w:szCs w:val="20"/>
          <w:lang w:val="en-US"/>
        </w:rPr>
        <w:t xml:space="preserve">iii) </w:t>
      </w:r>
      <w:r w:rsidR="00CF6E18" w:rsidRPr="005A41E0">
        <w:rPr>
          <w:rFonts w:asciiTheme="majorHAnsi" w:hAnsiTheme="majorHAnsi"/>
          <w:sz w:val="20"/>
          <w:szCs w:val="20"/>
          <w:lang w:val="en-US"/>
        </w:rPr>
        <w:t xml:space="preserve">failure to uphold the guarantees of reasonable time. Specifically in the cases of </w:t>
      </w:r>
      <w:r w:rsidR="00F82001" w:rsidRPr="005A41E0">
        <w:rPr>
          <w:rFonts w:asciiTheme="majorHAnsi" w:hAnsiTheme="majorHAnsi"/>
          <w:sz w:val="20"/>
          <w:szCs w:val="20"/>
          <w:lang w:val="en-US"/>
        </w:rPr>
        <w:t>Wilfredo Quiñónez Bárcenas, José Gregorio Romero Reyes</w:t>
      </w:r>
      <w:r w:rsidR="00CF6E18" w:rsidRPr="005A41E0">
        <w:rPr>
          <w:rFonts w:asciiTheme="majorHAnsi" w:hAnsiTheme="majorHAnsi"/>
          <w:sz w:val="20"/>
          <w:szCs w:val="20"/>
          <w:lang w:val="en-US"/>
        </w:rPr>
        <w:t xml:space="preserve">, and </w:t>
      </w:r>
      <w:r w:rsidR="00F82001" w:rsidRPr="005A41E0">
        <w:rPr>
          <w:rFonts w:asciiTheme="majorHAnsi" w:hAnsiTheme="majorHAnsi"/>
          <w:sz w:val="20"/>
          <w:szCs w:val="20"/>
          <w:lang w:val="en-US"/>
        </w:rPr>
        <w:t xml:space="preserve">Albeiro Ramírez Jorge, </w:t>
      </w:r>
      <w:r w:rsidR="00CF6E18" w:rsidRPr="005A41E0">
        <w:rPr>
          <w:rFonts w:asciiTheme="majorHAnsi" w:hAnsiTheme="majorHAnsi"/>
          <w:sz w:val="20"/>
          <w:szCs w:val="20"/>
          <w:lang w:val="en-US"/>
        </w:rPr>
        <w:t xml:space="preserve">the IACHR concluded that the State also breached its duty to investigate with due diligence the possible torture they suffered prior to their deaths. </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4C0F72" w:rsidP="005A41E0">
      <w:pPr>
        <w:pStyle w:val="FootnoteText"/>
        <w:spacing w:before="0" w:beforeAutospacing="0" w:after="0" w:afterAutospacing="0"/>
        <w:ind w:left="1440" w:hanging="720"/>
        <w:jc w:val="both"/>
        <w:rPr>
          <w:rFonts w:asciiTheme="majorHAnsi" w:hAnsiTheme="majorHAnsi"/>
          <w:b/>
          <w:sz w:val="20"/>
          <w:lang w:val="en-US"/>
        </w:rPr>
      </w:pPr>
      <w:r w:rsidRPr="005A41E0">
        <w:rPr>
          <w:rFonts w:asciiTheme="majorHAnsi" w:hAnsiTheme="majorHAnsi"/>
          <w:b/>
          <w:sz w:val="20"/>
          <w:lang w:val="en-US"/>
        </w:rPr>
        <w:t>g.</w:t>
      </w:r>
      <w:r w:rsidRPr="005A41E0">
        <w:rPr>
          <w:rFonts w:asciiTheme="majorHAnsi" w:hAnsiTheme="majorHAnsi"/>
          <w:b/>
          <w:sz w:val="20"/>
          <w:lang w:val="en-US"/>
        </w:rPr>
        <w:tab/>
        <w:t xml:space="preserve">Vladimir Herzog </w:t>
      </w:r>
      <w:r w:rsidR="00CF6E18" w:rsidRPr="005A41E0">
        <w:rPr>
          <w:rFonts w:asciiTheme="majorHAnsi" w:hAnsiTheme="majorHAnsi"/>
          <w:b/>
          <w:sz w:val="20"/>
          <w:lang w:val="en-US"/>
        </w:rPr>
        <w:t xml:space="preserve">et al v. </w:t>
      </w:r>
      <w:r w:rsidR="00F82001" w:rsidRPr="005A41E0">
        <w:rPr>
          <w:rFonts w:asciiTheme="majorHAnsi" w:hAnsiTheme="majorHAnsi"/>
          <w:b/>
          <w:sz w:val="20"/>
          <w:lang w:val="en-US"/>
        </w:rPr>
        <w:t>Bra</w:t>
      </w:r>
      <w:r w:rsidR="00CF6E18" w:rsidRPr="005A41E0">
        <w:rPr>
          <w:rFonts w:asciiTheme="majorHAnsi" w:hAnsiTheme="majorHAnsi"/>
          <w:b/>
          <w:sz w:val="20"/>
          <w:lang w:val="en-US"/>
        </w:rPr>
        <w:t>z</w:t>
      </w:r>
      <w:r w:rsidR="00F82001" w:rsidRPr="005A41E0">
        <w:rPr>
          <w:rFonts w:asciiTheme="majorHAnsi" w:hAnsiTheme="majorHAnsi"/>
          <w:b/>
          <w:sz w:val="20"/>
          <w:lang w:val="en-US"/>
        </w:rPr>
        <w:t>il (s</w:t>
      </w:r>
      <w:r w:rsidR="00CF6E18" w:rsidRPr="005A41E0">
        <w:rPr>
          <w:rFonts w:asciiTheme="majorHAnsi" w:hAnsiTheme="majorHAnsi"/>
          <w:b/>
          <w:sz w:val="20"/>
          <w:lang w:val="en-US"/>
        </w:rPr>
        <w:t xml:space="preserve">ubmitted April </w:t>
      </w:r>
      <w:r w:rsidR="00F82001" w:rsidRPr="005A41E0">
        <w:rPr>
          <w:rFonts w:asciiTheme="majorHAnsi" w:hAnsiTheme="majorHAnsi"/>
          <w:b/>
          <w:sz w:val="20"/>
          <w:lang w:val="en-US"/>
        </w:rPr>
        <w:t>22</w:t>
      </w:r>
      <w:r w:rsidR="00CF6E18" w:rsidRPr="005A41E0">
        <w:rPr>
          <w:rFonts w:asciiTheme="majorHAnsi" w:hAnsiTheme="majorHAnsi"/>
          <w:b/>
          <w:sz w:val="20"/>
          <w:lang w:val="en-US"/>
        </w:rPr>
        <w:t>,</w:t>
      </w:r>
      <w:r w:rsidR="00F82001" w:rsidRPr="005A41E0">
        <w:rPr>
          <w:rFonts w:asciiTheme="majorHAnsi" w:hAnsiTheme="majorHAnsi"/>
          <w:b/>
          <w:sz w:val="20"/>
          <w:lang w:val="en-US"/>
        </w:rPr>
        <w:t xml:space="preserve"> 2016)</w:t>
      </w:r>
    </w:p>
    <w:p w:rsidR="00F82001" w:rsidRPr="005A41E0" w:rsidRDefault="00F82001" w:rsidP="005A41E0">
      <w:pPr>
        <w:pStyle w:val="FootnoteText"/>
        <w:spacing w:before="0" w:beforeAutospacing="0" w:after="0" w:afterAutospacing="0"/>
        <w:ind w:left="360"/>
        <w:jc w:val="both"/>
        <w:rPr>
          <w:rFonts w:asciiTheme="majorHAnsi" w:hAnsiTheme="majorHAnsi"/>
          <w:b/>
          <w:sz w:val="20"/>
          <w:lang w:val="en-US"/>
        </w:rPr>
      </w:pPr>
    </w:p>
    <w:p w:rsidR="00F82001" w:rsidRPr="005A41E0" w:rsidRDefault="00CF6E1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case involves the international responsibility of the State of Brazil for the arbitrary detention, torture, and death of journalist </w:t>
      </w:r>
      <w:r w:rsidR="00F82001" w:rsidRPr="005A41E0">
        <w:rPr>
          <w:rFonts w:asciiTheme="majorHAnsi" w:hAnsiTheme="majorHAnsi"/>
          <w:sz w:val="20"/>
          <w:szCs w:val="20"/>
          <w:lang w:val="en-US"/>
        </w:rPr>
        <w:t xml:space="preserve">Vladimir Herzog </w:t>
      </w:r>
      <w:r w:rsidRPr="005A41E0">
        <w:rPr>
          <w:rFonts w:asciiTheme="majorHAnsi" w:hAnsiTheme="majorHAnsi"/>
          <w:sz w:val="20"/>
          <w:szCs w:val="20"/>
          <w:lang w:val="en-US"/>
        </w:rPr>
        <w:t xml:space="preserve">on October </w:t>
      </w:r>
      <w:r w:rsidR="00F82001" w:rsidRPr="005A41E0">
        <w:rPr>
          <w:rFonts w:asciiTheme="majorHAnsi" w:hAnsiTheme="majorHAnsi"/>
          <w:sz w:val="20"/>
          <w:szCs w:val="20"/>
          <w:lang w:val="en-US"/>
        </w:rPr>
        <w:t>25</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1975, during</w:t>
      </w:r>
      <w:r w:rsidR="00F82001" w:rsidRPr="005A41E0">
        <w:rPr>
          <w:rFonts w:asciiTheme="majorHAnsi" w:hAnsiTheme="majorHAnsi"/>
          <w:sz w:val="20"/>
          <w:szCs w:val="20"/>
          <w:lang w:val="en-US"/>
        </w:rPr>
        <w:t xml:space="preserve"> </w:t>
      </w:r>
      <w:r w:rsidR="00854D6E" w:rsidRPr="005A41E0">
        <w:rPr>
          <w:rFonts w:asciiTheme="majorHAnsi" w:hAnsiTheme="majorHAnsi"/>
          <w:sz w:val="20"/>
          <w:szCs w:val="20"/>
          <w:lang w:val="en-US"/>
        </w:rPr>
        <w:t xml:space="preserve">the military dictatorship in that country, as well as the situation of impunity in relation to those events because of the amnesty law promulgated during the dictatorship. </w:t>
      </w:r>
    </w:p>
    <w:p w:rsidR="00F82001" w:rsidRPr="005A41E0" w:rsidRDefault="00F82001" w:rsidP="005A41E0">
      <w:pPr>
        <w:jc w:val="both"/>
        <w:rPr>
          <w:rFonts w:asciiTheme="majorHAnsi" w:hAnsiTheme="majorHAnsi"/>
          <w:sz w:val="20"/>
          <w:szCs w:val="20"/>
          <w:lang w:val="en-US"/>
        </w:rPr>
      </w:pPr>
    </w:p>
    <w:p w:rsidR="00F82001" w:rsidRPr="005A41E0" w:rsidRDefault="00854D6E" w:rsidP="00EE0F18">
      <w:pPr>
        <w:pStyle w:val="ListParagraph"/>
        <w:numPr>
          <w:ilvl w:val="0"/>
          <w:numId w:val="15"/>
        </w:numPr>
        <w:shd w:val="clear" w:color="auto" w:fill="FFFFFF"/>
        <w:tabs>
          <w:tab w:val="clear" w:pos="1080"/>
        </w:tabs>
        <w:ind w:left="0"/>
        <w:jc w:val="both"/>
        <w:rPr>
          <w:rFonts w:asciiTheme="majorHAnsi" w:hAnsiTheme="majorHAnsi" w:cs="Arial"/>
          <w:sz w:val="20"/>
          <w:szCs w:val="20"/>
          <w:lang w:val="en-US"/>
        </w:rPr>
      </w:pPr>
      <w:r w:rsidRPr="005A41E0">
        <w:rPr>
          <w:rFonts w:asciiTheme="majorHAnsi" w:hAnsiTheme="majorHAnsi"/>
          <w:sz w:val="20"/>
          <w:szCs w:val="20"/>
          <w:lang w:val="en-US"/>
        </w:rPr>
        <w:t xml:space="preserve">In its report on the merits, the IACHR established that journalist </w:t>
      </w:r>
      <w:r w:rsidR="00F82001" w:rsidRPr="005A41E0">
        <w:rPr>
          <w:rFonts w:asciiTheme="majorHAnsi" w:hAnsiTheme="majorHAnsi"/>
          <w:sz w:val="20"/>
          <w:szCs w:val="20"/>
          <w:lang w:val="en-US"/>
        </w:rPr>
        <w:t xml:space="preserve">Vladimir Herzog </w:t>
      </w:r>
      <w:r w:rsidRPr="005A41E0">
        <w:rPr>
          <w:rFonts w:asciiTheme="majorHAnsi" w:hAnsiTheme="majorHAnsi"/>
          <w:sz w:val="20"/>
          <w:szCs w:val="20"/>
          <w:lang w:val="en-US"/>
        </w:rPr>
        <w:t>was detained, tortured, and assassinated by state agents while under the custody of and in a facility of the State. The IACHR noted that the facts took place in the context of the serious human rights violations that occurred during the dictatorship</w:t>
      </w:r>
      <w:r w:rsidRPr="005A41E0">
        <w:rPr>
          <w:rStyle w:val="hps"/>
          <w:rFonts w:asciiTheme="majorHAnsi" w:hAnsiTheme="majorHAnsi"/>
          <w:sz w:val="20"/>
          <w:szCs w:val="20"/>
          <w:lang w:val="en-US"/>
        </w:rPr>
        <w:t xml:space="preserve"> and</w:t>
      </w:r>
      <w:r w:rsidR="00F82001" w:rsidRPr="005A41E0">
        <w:rPr>
          <w:rStyle w:val="hps"/>
          <w:rFonts w:asciiTheme="majorHAnsi" w:hAnsiTheme="majorHAnsi"/>
          <w:sz w:val="20"/>
          <w:szCs w:val="20"/>
          <w:lang w:val="en-US"/>
        </w:rPr>
        <w:t xml:space="preserve">, </w:t>
      </w:r>
      <w:r w:rsidRPr="005A41E0">
        <w:rPr>
          <w:rStyle w:val="hps"/>
          <w:rFonts w:asciiTheme="majorHAnsi" w:hAnsiTheme="majorHAnsi"/>
          <w:sz w:val="20"/>
          <w:szCs w:val="20"/>
          <w:lang w:val="en-US"/>
        </w:rPr>
        <w:t xml:space="preserve">in </w:t>
      </w:r>
      <w:r w:rsidR="00F82001" w:rsidRPr="005A41E0">
        <w:rPr>
          <w:rStyle w:val="hps"/>
          <w:rFonts w:asciiTheme="majorHAnsi" w:hAnsiTheme="majorHAnsi"/>
          <w:sz w:val="20"/>
          <w:szCs w:val="20"/>
          <w:lang w:val="en-US"/>
        </w:rPr>
        <w:t xml:space="preserve">particular, </w:t>
      </w:r>
      <w:r w:rsidRPr="005A41E0">
        <w:rPr>
          <w:rStyle w:val="hps"/>
          <w:rFonts w:asciiTheme="majorHAnsi" w:hAnsiTheme="majorHAnsi"/>
          <w:sz w:val="20"/>
          <w:szCs w:val="20"/>
          <w:lang w:val="en-US"/>
        </w:rPr>
        <w:t xml:space="preserve">as part of a recognized systematic pattern of repressive actions against the </w:t>
      </w:r>
      <w:r w:rsidR="00476354">
        <w:rPr>
          <w:rStyle w:val="hps"/>
          <w:rFonts w:asciiTheme="majorHAnsi" w:hAnsiTheme="majorHAnsi"/>
          <w:sz w:val="20"/>
          <w:szCs w:val="20"/>
          <w:lang w:val="en-US"/>
        </w:rPr>
        <w:t xml:space="preserve">Partido Comunista </w:t>
      </w:r>
      <w:r w:rsidR="00EE0F18">
        <w:rPr>
          <w:rStyle w:val="hps"/>
          <w:rFonts w:asciiTheme="majorHAnsi" w:hAnsiTheme="majorHAnsi"/>
          <w:sz w:val="20"/>
          <w:szCs w:val="20"/>
          <w:lang w:val="en-US"/>
        </w:rPr>
        <w:t xml:space="preserve">Brasileiro </w:t>
      </w:r>
      <w:r w:rsidR="00F82001" w:rsidRPr="005A41E0">
        <w:rPr>
          <w:rStyle w:val="hps"/>
          <w:rFonts w:asciiTheme="majorHAnsi" w:hAnsiTheme="majorHAnsi"/>
          <w:sz w:val="20"/>
          <w:szCs w:val="20"/>
          <w:lang w:val="en-US"/>
        </w:rPr>
        <w:t xml:space="preserve">(PCB), </w:t>
      </w:r>
      <w:r w:rsidRPr="005A41E0">
        <w:rPr>
          <w:rStyle w:val="hps"/>
          <w:rFonts w:asciiTheme="majorHAnsi" w:hAnsiTheme="majorHAnsi"/>
          <w:sz w:val="20"/>
          <w:szCs w:val="20"/>
          <w:lang w:val="en-US"/>
        </w:rPr>
        <w:t xml:space="preserve">in which dozens of activists and at least 12 journalists were detained and tortured for their real or suspected activism in the </w:t>
      </w:r>
      <w:r w:rsidR="00F82001" w:rsidRPr="005A41E0">
        <w:rPr>
          <w:rStyle w:val="hps"/>
          <w:rFonts w:asciiTheme="majorHAnsi" w:hAnsiTheme="majorHAnsi"/>
          <w:sz w:val="20"/>
          <w:szCs w:val="20"/>
          <w:lang w:val="en-US"/>
        </w:rPr>
        <w:t>PCB</w:t>
      </w:r>
      <w:r w:rsidR="00F82001" w:rsidRPr="005A41E0">
        <w:rPr>
          <w:rStyle w:val="Emphasis"/>
          <w:rFonts w:asciiTheme="majorHAnsi" w:hAnsiTheme="majorHAnsi"/>
          <w:i w:val="0"/>
          <w:sz w:val="20"/>
          <w:szCs w:val="20"/>
          <w:lang w:val="en-US"/>
        </w:rPr>
        <w:t>.</w:t>
      </w:r>
      <w:r w:rsidR="00F82001" w:rsidRPr="005A41E0">
        <w:rPr>
          <w:rStyle w:val="Emphasis"/>
          <w:rFonts w:asciiTheme="majorHAnsi" w:hAnsiTheme="majorHAnsi"/>
          <w:sz w:val="20"/>
          <w:szCs w:val="20"/>
          <w:lang w:val="en-US"/>
        </w:rPr>
        <w:t xml:space="preserve"> </w:t>
      </w:r>
      <w:r w:rsidRPr="005A41E0">
        <w:rPr>
          <w:rFonts w:asciiTheme="majorHAnsi" w:hAnsiTheme="majorHAnsi"/>
          <w:sz w:val="20"/>
          <w:szCs w:val="20"/>
          <w:lang w:val="en-US"/>
        </w:rPr>
        <w:t xml:space="preserve">The IACHR determined that Brazil is responsible for violating the rights to personal liberty, to humane treatment, and to life of journalist </w:t>
      </w:r>
      <w:r w:rsidR="00121C3F" w:rsidRPr="005A41E0">
        <w:rPr>
          <w:rFonts w:asciiTheme="majorHAnsi" w:hAnsiTheme="majorHAnsi"/>
          <w:sz w:val="20"/>
          <w:szCs w:val="20"/>
          <w:lang w:val="en-US"/>
        </w:rPr>
        <w:t>Herzog</w:t>
      </w:r>
      <w:r w:rsidR="00F82001" w:rsidRPr="005A41E0">
        <w:rPr>
          <w:rFonts w:asciiTheme="majorHAnsi" w:hAnsiTheme="majorHAnsi"/>
          <w:sz w:val="20"/>
          <w:szCs w:val="20"/>
          <w:lang w:val="en-US"/>
        </w:rPr>
        <w:t>.</w:t>
      </w:r>
    </w:p>
    <w:p w:rsidR="00F82001" w:rsidRPr="005A41E0" w:rsidRDefault="00F82001" w:rsidP="005A41E0">
      <w:pPr>
        <w:jc w:val="both"/>
        <w:rPr>
          <w:rFonts w:asciiTheme="majorHAnsi" w:hAnsiTheme="majorHAnsi" w:cs="Arial"/>
          <w:sz w:val="20"/>
          <w:szCs w:val="20"/>
          <w:lang w:val="en-US"/>
        </w:rPr>
      </w:pPr>
    </w:p>
    <w:p w:rsidR="00F82001" w:rsidRPr="005A41E0" w:rsidRDefault="00854D6E" w:rsidP="00EE0F18">
      <w:pPr>
        <w:pStyle w:val="ListParagraph"/>
        <w:numPr>
          <w:ilvl w:val="0"/>
          <w:numId w:val="15"/>
        </w:numPr>
        <w:shd w:val="clear" w:color="auto" w:fill="FFFFFF"/>
        <w:tabs>
          <w:tab w:val="clear" w:pos="1080"/>
        </w:tabs>
        <w:ind w:left="0"/>
        <w:jc w:val="both"/>
        <w:rPr>
          <w:rFonts w:asciiTheme="majorHAnsi" w:hAnsiTheme="majorHAnsi" w:cs="Arial"/>
          <w:sz w:val="20"/>
          <w:szCs w:val="20"/>
          <w:lang w:val="en-US"/>
        </w:rPr>
      </w:pPr>
      <w:r w:rsidRPr="005A41E0">
        <w:rPr>
          <w:rFonts w:asciiTheme="majorHAnsi" w:hAnsiTheme="majorHAnsi"/>
          <w:sz w:val="20"/>
          <w:szCs w:val="20"/>
          <w:lang w:val="en-US"/>
        </w:rPr>
        <w:t xml:space="preserve">In addition, the IACHR considered that the actions of the State sought to impede his political activism and his </w:t>
      </w:r>
      <w:r w:rsidR="00476354">
        <w:rPr>
          <w:rFonts w:asciiTheme="majorHAnsi" w:hAnsiTheme="majorHAnsi"/>
          <w:sz w:val="20"/>
          <w:szCs w:val="20"/>
          <w:lang w:val="en-US"/>
        </w:rPr>
        <w:t>work as a journalist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thus they were also unlawful restrictions on his right to freedom of expression and freedom of association for political purposes. </w:t>
      </w:r>
      <w:r w:rsidR="00F1111E" w:rsidRPr="005A41E0">
        <w:rPr>
          <w:rFonts w:asciiTheme="majorHAnsi" w:hAnsiTheme="majorHAnsi"/>
          <w:sz w:val="20"/>
          <w:szCs w:val="20"/>
          <w:lang w:val="en-US"/>
        </w:rPr>
        <w:t>The Commission also found that those violations had an intimidating and chilling effect for other journalists</w:t>
      </w:r>
      <w:r w:rsidR="00F82001" w:rsidRPr="005A41E0">
        <w:rPr>
          <w:rFonts w:asciiTheme="majorHAnsi" w:hAnsiTheme="majorHAnsi"/>
          <w:sz w:val="20"/>
          <w:szCs w:val="20"/>
          <w:lang w:val="en-US"/>
        </w:rPr>
        <w:t xml:space="preserve"> </w:t>
      </w:r>
      <w:r w:rsidR="00F1111E" w:rsidRPr="005A41E0">
        <w:rPr>
          <w:rFonts w:asciiTheme="majorHAnsi" w:hAnsiTheme="majorHAnsi"/>
          <w:sz w:val="20"/>
          <w:szCs w:val="20"/>
          <w:lang w:val="en-US"/>
        </w:rPr>
        <w:t xml:space="preserve">critical of the military regime and their colleagues at work, as well as for the community of persons actively involved in the </w:t>
      </w:r>
      <w:r w:rsidR="00F82001" w:rsidRPr="005A41E0">
        <w:rPr>
          <w:rFonts w:asciiTheme="majorHAnsi" w:hAnsiTheme="majorHAnsi"/>
          <w:sz w:val="20"/>
          <w:szCs w:val="20"/>
          <w:lang w:val="en-US"/>
        </w:rPr>
        <w:t xml:space="preserve">PCB </w:t>
      </w:r>
      <w:r w:rsidR="00F1111E" w:rsidRPr="005A41E0">
        <w:rPr>
          <w:rFonts w:asciiTheme="majorHAnsi" w:hAnsiTheme="majorHAnsi"/>
          <w:sz w:val="20"/>
          <w:szCs w:val="20"/>
          <w:lang w:val="en-US"/>
        </w:rPr>
        <w:t xml:space="preserve">or that sympathized with its outlook. </w:t>
      </w:r>
    </w:p>
    <w:p w:rsidR="00F82001" w:rsidRPr="005A41E0" w:rsidRDefault="00F82001" w:rsidP="005A41E0">
      <w:pPr>
        <w:jc w:val="both"/>
        <w:rPr>
          <w:rFonts w:asciiTheme="majorHAnsi" w:hAnsiTheme="majorHAnsi"/>
          <w:sz w:val="20"/>
          <w:szCs w:val="20"/>
          <w:lang w:val="en-US"/>
        </w:rPr>
      </w:pPr>
    </w:p>
    <w:p w:rsidR="00F82001" w:rsidRPr="005A41E0" w:rsidRDefault="00F1111E"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IACHR also found the State responsible for violating the right of access to justice of the family members of </w:t>
      </w:r>
      <w:r w:rsidR="00F82001" w:rsidRPr="005A41E0">
        <w:rPr>
          <w:rFonts w:asciiTheme="majorHAnsi" w:hAnsiTheme="majorHAnsi"/>
          <w:sz w:val="20"/>
          <w:szCs w:val="20"/>
          <w:lang w:val="en-US"/>
        </w:rPr>
        <w:t xml:space="preserve">Vladimir Herzog. </w:t>
      </w:r>
    </w:p>
    <w:p w:rsidR="00F82001" w:rsidRPr="005A41E0" w:rsidRDefault="00F82001" w:rsidP="005A41E0">
      <w:pPr>
        <w:ind w:firstLine="720"/>
        <w:jc w:val="both"/>
        <w:rPr>
          <w:rFonts w:asciiTheme="majorHAnsi" w:hAnsiTheme="majorHAnsi"/>
          <w:sz w:val="20"/>
          <w:szCs w:val="20"/>
          <w:lang w:val="en-US"/>
        </w:rPr>
      </w:pPr>
    </w:p>
    <w:p w:rsidR="00F82001" w:rsidRPr="005A41E0" w:rsidRDefault="00F1111E" w:rsidP="00EE0F18">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As regards the investigation in the military jurisdiction, the Commission considered that it impeded clarification of the facts and violated the right of the victim’s family members to know the truth of what had happened. In effect, the report on the merits shows that the military regime concocted a false version of the death of </w:t>
      </w:r>
      <w:r w:rsidR="00F82001" w:rsidRPr="005A41E0">
        <w:rPr>
          <w:rFonts w:asciiTheme="majorHAnsi" w:hAnsiTheme="majorHAnsi"/>
          <w:sz w:val="20"/>
          <w:szCs w:val="20"/>
          <w:lang w:val="en-US"/>
        </w:rPr>
        <w:t>Vladimir Herzog</w:t>
      </w:r>
      <w:r w:rsidR="00476354">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attributing it to suicide. The preliminary investigation begun in the military criminal jurisdiction was aimed at making impossible any critique of that version, ensuring impunity for what had happened, With respect to the </w:t>
      </w:r>
      <w:r w:rsidR="00EE0F18">
        <w:rPr>
          <w:rFonts w:asciiTheme="majorHAnsi" w:hAnsiTheme="majorHAnsi"/>
          <w:sz w:val="20"/>
          <w:szCs w:val="20"/>
          <w:lang w:val="en-US"/>
        </w:rPr>
        <w:t xml:space="preserve">civil declaratory action </w:t>
      </w:r>
      <w:r w:rsidRPr="005A41E0">
        <w:rPr>
          <w:rFonts w:asciiTheme="majorHAnsi" w:hAnsiTheme="majorHAnsi"/>
          <w:sz w:val="20"/>
          <w:szCs w:val="20"/>
          <w:lang w:val="en-US"/>
        </w:rPr>
        <w:t xml:space="preserve">filed by his wife </w:t>
      </w:r>
      <w:r w:rsidR="00F82001" w:rsidRPr="005A41E0">
        <w:rPr>
          <w:rFonts w:asciiTheme="majorHAnsi" w:hAnsiTheme="majorHAnsi"/>
          <w:sz w:val="20"/>
          <w:szCs w:val="20"/>
          <w:lang w:val="en-US"/>
        </w:rPr>
        <w:t xml:space="preserve">Clarice Herzog </w:t>
      </w:r>
      <w:r w:rsidRPr="005A41E0">
        <w:rPr>
          <w:rFonts w:asciiTheme="majorHAnsi" w:hAnsiTheme="majorHAnsi"/>
          <w:sz w:val="20"/>
          <w:szCs w:val="20"/>
          <w:lang w:val="en-US"/>
        </w:rPr>
        <w:t xml:space="preserve">and their children, the Commission noted that it did not proceed in a reasonable time, nor was it an effective remedy for ensuring the rights of the victim </w:t>
      </w:r>
      <w:r w:rsidR="00476354">
        <w:rPr>
          <w:rFonts w:asciiTheme="majorHAnsi" w:hAnsiTheme="majorHAnsi"/>
          <w:sz w:val="20"/>
          <w:szCs w:val="20"/>
          <w:lang w:val="en-US"/>
        </w:rPr>
        <w:t xml:space="preserve">or </w:t>
      </w:r>
      <w:r w:rsidRPr="005A41E0">
        <w:rPr>
          <w:rFonts w:asciiTheme="majorHAnsi" w:hAnsiTheme="majorHAnsi"/>
          <w:sz w:val="20"/>
          <w:szCs w:val="20"/>
          <w:lang w:val="en-US"/>
        </w:rPr>
        <w:t xml:space="preserve">his next-of-kin. As regards the criminal investigation in the regular jurisdiction, the IACHR concluded that the decisions to close or archive the investigation that stemmed from the interpretation and application of Law </w:t>
      </w:r>
      <w:r w:rsidR="00F82001" w:rsidRPr="005A41E0">
        <w:rPr>
          <w:rFonts w:asciiTheme="majorHAnsi" w:hAnsiTheme="majorHAnsi"/>
          <w:sz w:val="20"/>
          <w:szCs w:val="20"/>
          <w:lang w:val="en-US"/>
        </w:rPr>
        <w:t>No. 6</w:t>
      </w:r>
      <w:r w:rsidRPr="005A41E0">
        <w:rPr>
          <w:rFonts w:asciiTheme="majorHAnsi" w:hAnsiTheme="majorHAnsi"/>
          <w:sz w:val="20"/>
          <w:szCs w:val="20"/>
          <w:lang w:val="en-US"/>
        </w:rPr>
        <w:t>,</w:t>
      </w:r>
      <w:r w:rsidR="00F82001" w:rsidRPr="005A41E0">
        <w:rPr>
          <w:rFonts w:asciiTheme="majorHAnsi" w:hAnsiTheme="majorHAnsi"/>
          <w:sz w:val="20"/>
          <w:szCs w:val="20"/>
          <w:lang w:val="en-US"/>
        </w:rPr>
        <w:t>683/79 (</w:t>
      </w:r>
      <w:r w:rsidRPr="005A41E0">
        <w:rPr>
          <w:rFonts w:asciiTheme="majorHAnsi" w:hAnsiTheme="majorHAnsi"/>
          <w:sz w:val="20"/>
          <w:szCs w:val="20"/>
          <w:lang w:val="en-US"/>
        </w:rPr>
        <w:t>Amnesty Law</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of the application of </w:t>
      </w:r>
      <w:r w:rsidRPr="005A41E0">
        <w:rPr>
          <w:rFonts w:asciiTheme="majorHAnsi" w:hAnsiTheme="majorHAnsi"/>
          <w:i/>
          <w:iCs/>
          <w:sz w:val="20"/>
          <w:szCs w:val="20"/>
          <w:lang w:val="en-US"/>
        </w:rPr>
        <w:t>res judicata</w:t>
      </w:r>
      <w:r w:rsidRPr="005A41E0">
        <w:rPr>
          <w:rFonts w:asciiTheme="majorHAnsi" w:hAnsiTheme="majorHAnsi"/>
          <w:sz w:val="20"/>
          <w:szCs w:val="20"/>
          <w:lang w:val="en-US"/>
        </w:rPr>
        <w:t xml:space="preserve"> and prescription of the criminal action have impeded the investigation and criminal prosecution of the facts of the case. Finally, the IACHR noted that the facts in this case </w:t>
      </w:r>
      <w:r w:rsidR="00A1639D" w:rsidRPr="005A41E0">
        <w:rPr>
          <w:rFonts w:asciiTheme="majorHAnsi" w:hAnsiTheme="majorHAnsi"/>
          <w:sz w:val="20"/>
          <w:szCs w:val="20"/>
          <w:lang w:val="en-US"/>
        </w:rPr>
        <w:t xml:space="preserve">resulted in the violation of the psychological and moral integrity of his family members. </w:t>
      </w:r>
    </w:p>
    <w:p w:rsidR="00F82001" w:rsidRPr="005A41E0" w:rsidRDefault="00F82001" w:rsidP="005A41E0">
      <w:pPr>
        <w:widowControl w:val="0"/>
        <w:autoSpaceDE w:val="0"/>
        <w:autoSpaceDN w:val="0"/>
        <w:adjustRightInd w:val="0"/>
        <w:jc w:val="both"/>
        <w:rPr>
          <w:rFonts w:asciiTheme="majorHAnsi" w:hAnsiTheme="majorHAnsi" w:cs="Arial"/>
          <w:snapToGrid w:val="0"/>
          <w:sz w:val="20"/>
          <w:szCs w:val="20"/>
          <w:lang w:val="en-US"/>
        </w:rPr>
      </w:pPr>
    </w:p>
    <w:p w:rsidR="00F82001" w:rsidRPr="005A41E0" w:rsidRDefault="00F82001" w:rsidP="005A41E0">
      <w:pPr>
        <w:pStyle w:val="FootnoteText"/>
        <w:spacing w:before="0" w:beforeAutospacing="0" w:after="0" w:afterAutospacing="0"/>
        <w:ind w:left="1440" w:hanging="720"/>
        <w:jc w:val="both"/>
        <w:rPr>
          <w:rFonts w:asciiTheme="majorHAnsi" w:hAnsiTheme="majorHAnsi"/>
          <w:b/>
          <w:sz w:val="20"/>
          <w:lang w:val="en-US"/>
        </w:rPr>
      </w:pPr>
      <w:r w:rsidRPr="005A41E0">
        <w:rPr>
          <w:rFonts w:asciiTheme="majorHAnsi" w:hAnsiTheme="majorHAnsi"/>
          <w:b/>
          <w:sz w:val="20"/>
          <w:lang w:val="en-US"/>
        </w:rPr>
        <w:t>h</w:t>
      </w:r>
      <w:r w:rsidR="00A1639D" w:rsidRPr="005A41E0">
        <w:rPr>
          <w:rFonts w:asciiTheme="majorHAnsi" w:hAnsiTheme="majorHAnsi"/>
          <w:b/>
          <w:sz w:val="20"/>
          <w:lang w:val="en-US"/>
        </w:rPr>
        <w:t>.</w:t>
      </w:r>
      <w:r w:rsidR="00A1639D" w:rsidRPr="005A41E0">
        <w:rPr>
          <w:rFonts w:asciiTheme="majorHAnsi" w:hAnsiTheme="majorHAnsi"/>
          <w:b/>
          <w:sz w:val="20"/>
          <w:lang w:val="en-US"/>
        </w:rPr>
        <w:tab/>
        <w:t>Noel Emiro Omeara Carrascal v</w:t>
      </w:r>
      <w:r w:rsidRPr="005A41E0">
        <w:rPr>
          <w:rFonts w:asciiTheme="majorHAnsi" w:hAnsiTheme="majorHAnsi"/>
          <w:b/>
          <w:sz w:val="20"/>
          <w:lang w:val="en-US"/>
        </w:rPr>
        <w:t>. Colombia (</w:t>
      </w:r>
      <w:r w:rsidR="00A1639D" w:rsidRPr="005A41E0">
        <w:rPr>
          <w:rFonts w:asciiTheme="majorHAnsi" w:hAnsiTheme="majorHAnsi"/>
          <w:b/>
          <w:sz w:val="20"/>
          <w:lang w:val="en-US"/>
        </w:rPr>
        <w:t xml:space="preserve">submitted May </w:t>
      </w:r>
      <w:r w:rsidRPr="005A41E0">
        <w:rPr>
          <w:rFonts w:asciiTheme="majorHAnsi" w:hAnsiTheme="majorHAnsi"/>
          <w:b/>
          <w:sz w:val="20"/>
          <w:lang w:val="en-US"/>
        </w:rPr>
        <w:t>21</w:t>
      </w:r>
      <w:r w:rsidR="00A1639D" w:rsidRPr="005A41E0">
        <w:rPr>
          <w:rFonts w:asciiTheme="majorHAnsi" w:hAnsiTheme="majorHAnsi"/>
          <w:b/>
          <w:sz w:val="20"/>
          <w:lang w:val="en-US"/>
        </w:rPr>
        <w:t>,</w:t>
      </w:r>
      <w:r w:rsidRPr="005A41E0">
        <w:rPr>
          <w:rFonts w:asciiTheme="majorHAnsi" w:hAnsiTheme="majorHAnsi"/>
          <w:b/>
          <w:sz w:val="20"/>
          <w:lang w:val="en-US"/>
        </w:rPr>
        <w:t xml:space="preserve"> 2016)</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A1639D"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case is related to a sequence of serious human rights violations committed against three members of the same family. Specifically, the attack suffered by Noel Emiro Omeara Carrascal on January </w:t>
      </w:r>
      <w:r w:rsidR="00F82001" w:rsidRPr="005A41E0">
        <w:rPr>
          <w:rFonts w:asciiTheme="majorHAnsi" w:hAnsiTheme="majorHAnsi"/>
          <w:sz w:val="20"/>
          <w:szCs w:val="20"/>
          <w:lang w:val="en-US"/>
        </w:rPr>
        <w:t>28</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1994 and his subsequent death; the disappearance and execution of </w:t>
      </w:r>
      <w:r w:rsidR="00F82001" w:rsidRPr="005A41E0">
        <w:rPr>
          <w:rFonts w:asciiTheme="majorHAnsi" w:hAnsiTheme="majorHAnsi"/>
          <w:sz w:val="20"/>
          <w:szCs w:val="20"/>
          <w:lang w:val="en-US"/>
        </w:rPr>
        <w:t xml:space="preserve">Manuel Guillermo Omeara Miraval, </w:t>
      </w:r>
      <w:r w:rsidRPr="005A41E0">
        <w:rPr>
          <w:rFonts w:asciiTheme="majorHAnsi" w:hAnsiTheme="majorHAnsi"/>
          <w:sz w:val="20"/>
          <w:szCs w:val="20"/>
          <w:lang w:val="en-US"/>
        </w:rPr>
        <w:t xml:space="preserve">the son of the Noel Emiro Omeara Carrascal, as of October </w:t>
      </w:r>
      <w:r w:rsidR="00F82001" w:rsidRPr="005A41E0">
        <w:rPr>
          <w:rFonts w:asciiTheme="majorHAnsi" w:hAnsiTheme="majorHAnsi"/>
          <w:sz w:val="20"/>
          <w:szCs w:val="20"/>
          <w:lang w:val="en-US"/>
        </w:rPr>
        <w:t>27</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1994; </w:t>
      </w:r>
      <w:r w:rsidRPr="005A41E0">
        <w:rPr>
          <w:rFonts w:asciiTheme="majorHAnsi" w:hAnsiTheme="majorHAnsi"/>
          <w:sz w:val="20"/>
          <w:szCs w:val="20"/>
          <w:lang w:val="en-US"/>
        </w:rPr>
        <w:t xml:space="preserve">and the attack on and subsequent death of </w:t>
      </w:r>
      <w:r w:rsidR="00F82001" w:rsidRPr="005A41E0">
        <w:rPr>
          <w:rFonts w:asciiTheme="majorHAnsi" w:hAnsiTheme="majorHAnsi"/>
          <w:sz w:val="20"/>
          <w:szCs w:val="20"/>
          <w:lang w:val="en-US"/>
        </w:rPr>
        <w:t xml:space="preserve">Héctor Álvarez Sánchez, </w:t>
      </w:r>
      <w:r w:rsidRPr="005A41E0">
        <w:rPr>
          <w:rFonts w:asciiTheme="majorHAnsi" w:hAnsiTheme="majorHAnsi"/>
          <w:sz w:val="20"/>
          <w:szCs w:val="20"/>
          <w:lang w:val="en-US"/>
        </w:rPr>
        <w:t xml:space="preserve">the father-in-law of Manuel Guillermo Omeara Miraval, on October </w:t>
      </w:r>
      <w:r w:rsidR="00F82001" w:rsidRPr="005A41E0">
        <w:rPr>
          <w:rFonts w:asciiTheme="majorHAnsi" w:hAnsiTheme="majorHAnsi"/>
          <w:sz w:val="20"/>
          <w:szCs w:val="20"/>
          <w:lang w:val="en-US"/>
        </w:rPr>
        <w:t>21</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1994. </w:t>
      </w:r>
      <w:r w:rsidRPr="005A41E0">
        <w:rPr>
          <w:rFonts w:asciiTheme="majorHAnsi" w:hAnsiTheme="majorHAnsi"/>
          <w:sz w:val="20"/>
          <w:szCs w:val="20"/>
          <w:lang w:val="en-US"/>
        </w:rPr>
        <w:t xml:space="preserve">The IACHR analyzed the facts of the case in light of a context of coordination and acquiescence between members </w:t>
      </w:r>
      <w:r w:rsidRPr="005A41E0">
        <w:rPr>
          <w:rFonts w:asciiTheme="majorHAnsi" w:hAnsiTheme="majorHAnsi"/>
          <w:sz w:val="20"/>
          <w:szCs w:val="20"/>
          <w:lang w:val="en-US"/>
        </w:rPr>
        <w:lastRenderedPageBreak/>
        <w:t xml:space="preserve">of the armed forces and National Police and an illegal armed group, </w:t>
      </w:r>
      <w:r w:rsidR="00476354">
        <w:rPr>
          <w:rFonts w:asciiTheme="majorHAnsi" w:hAnsiTheme="majorHAnsi"/>
          <w:sz w:val="20"/>
          <w:szCs w:val="20"/>
          <w:lang w:val="en-US"/>
        </w:rPr>
        <w:t xml:space="preserve">which was </w:t>
      </w:r>
      <w:r w:rsidRPr="005A41E0">
        <w:rPr>
          <w:rFonts w:asciiTheme="majorHAnsi" w:hAnsiTheme="majorHAnsi"/>
          <w:sz w:val="20"/>
          <w:szCs w:val="20"/>
          <w:lang w:val="en-US"/>
        </w:rPr>
        <w:t xml:space="preserve">not refuted by the State by a diligent investigation. </w:t>
      </w:r>
    </w:p>
    <w:p w:rsidR="00F82001" w:rsidRPr="005A41E0" w:rsidRDefault="00F82001" w:rsidP="005A41E0">
      <w:pPr>
        <w:widowControl w:val="0"/>
        <w:autoSpaceDE w:val="0"/>
        <w:autoSpaceDN w:val="0"/>
        <w:adjustRightInd w:val="0"/>
        <w:jc w:val="both"/>
        <w:rPr>
          <w:rFonts w:asciiTheme="majorHAnsi" w:hAnsiTheme="majorHAnsi"/>
          <w:sz w:val="20"/>
          <w:szCs w:val="20"/>
          <w:lang w:val="en-US"/>
        </w:rPr>
      </w:pPr>
    </w:p>
    <w:p w:rsidR="00F82001" w:rsidRPr="005A41E0" w:rsidRDefault="00A1639D" w:rsidP="005C427B">
      <w:pPr>
        <w:pStyle w:val="ListParagraph"/>
        <w:numPr>
          <w:ilvl w:val="0"/>
          <w:numId w:val="15"/>
        </w:numPr>
        <w:shd w:val="clear" w:color="auto" w:fill="FFFFFF"/>
        <w:tabs>
          <w:tab w:val="clear" w:pos="1080"/>
        </w:tabs>
        <w:ind w:left="0"/>
        <w:jc w:val="both"/>
        <w:rPr>
          <w:rFonts w:asciiTheme="majorHAnsi" w:hAnsiTheme="majorHAnsi" w:cs="Garamond"/>
          <w:sz w:val="20"/>
          <w:szCs w:val="20"/>
          <w:lang w:val="en-US"/>
        </w:rPr>
      </w:pPr>
      <w:r w:rsidRPr="005A41E0">
        <w:rPr>
          <w:rFonts w:asciiTheme="majorHAnsi" w:hAnsiTheme="majorHAnsi"/>
          <w:sz w:val="20"/>
          <w:szCs w:val="20"/>
          <w:lang w:val="en-US"/>
        </w:rPr>
        <w:t xml:space="preserve">As for what happened to </w:t>
      </w:r>
      <w:r w:rsidR="00F82001" w:rsidRPr="005A41E0">
        <w:rPr>
          <w:rFonts w:asciiTheme="majorHAnsi" w:hAnsiTheme="majorHAnsi"/>
          <w:sz w:val="20"/>
          <w:szCs w:val="20"/>
          <w:lang w:val="en-US"/>
        </w:rPr>
        <w:t xml:space="preserve">Noel Emiro Omeara Carrascal </w:t>
      </w:r>
      <w:r w:rsidRPr="005A41E0">
        <w:rPr>
          <w:rFonts w:asciiTheme="majorHAnsi" w:hAnsiTheme="majorHAnsi"/>
          <w:sz w:val="20"/>
          <w:szCs w:val="20"/>
          <w:lang w:val="en-US"/>
        </w:rPr>
        <w:t xml:space="preserve">in the context of an attack against a person by the name of </w:t>
      </w:r>
      <w:r w:rsidR="00F82001" w:rsidRPr="005A41E0">
        <w:rPr>
          <w:rFonts w:asciiTheme="majorHAnsi" w:hAnsiTheme="majorHAnsi"/>
          <w:sz w:val="20"/>
          <w:szCs w:val="20"/>
          <w:lang w:val="en-US"/>
        </w:rPr>
        <w:t xml:space="preserve">Erminson Sepúlveda, </w:t>
      </w:r>
      <w:r w:rsidRPr="005A41E0">
        <w:rPr>
          <w:rFonts w:asciiTheme="majorHAnsi" w:hAnsiTheme="majorHAnsi"/>
          <w:sz w:val="20"/>
          <w:szCs w:val="20"/>
          <w:lang w:val="en-US"/>
        </w:rPr>
        <w:t xml:space="preserve">the IACHR concluded that the State had the duty to protect that person, and that the breach of the duty to prevent </w:t>
      </w:r>
      <w:r w:rsidR="00476354">
        <w:rPr>
          <w:rFonts w:asciiTheme="majorHAnsi" w:hAnsiTheme="majorHAnsi"/>
          <w:sz w:val="20"/>
          <w:szCs w:val="20"/>
          <w:lang w:val="en-US"/>
        </w:rPr>
        <w:t xml:space="preserve">helped create the conditions for </w:t>
      </w:r>
      <w:r w:rsidRPr="005A41E0">
        <w:rPr>
          <w:rFonts w:asciiTheme="majorHAnsi" w:hAnsiTheme="majorHAnsi" w:cs="Cambria"/>
          <w:sz w:val="20"/>
          <w:szCs w:val="20"/>
          <w:lang w:val="en-US"/>
        </w:rPr>
        <w:t xml:space="preserve">the attack. In addition, the IACHR determined that there are sufficient elements to </w:t>
      </w:r>
      <w:r w:rsidRPr="005A41E0">
        <w:rPr>
          <w:rFonts w:asciiTheme="majorHAnsi" w:hAnsiTheme="majorHAnsi"/>
          <w:sz w:val="20"/>
          <w:szCs w:val="20"/>
          <w:lang w:val="en-US"/>
        </w:rPr>
        <w:t xml:space="preserve">conclude that in addition to breaching the duty to prevent, there was collaboration of state agents for the attack to be able to occur. With respect to the disappearance and subsequent execution of </w:t>
      </w:r>
      <w:r w:rsidR="00F82001" w:rsidRPr="005A41E0">
        <w:rPr>
          <w:rFonts w:asciiTheme="majorHAnsi" w:hAnsiTheme="majorHAnsi"/>
          <w:sz w:val="20"/>
          <w:szCs w:val="20"/>
          <w:lang w:val="en-US"/>
        </w:rPr>
        <w:t xml:space="preserve">Manuel Guillermo Omeara Miraval, </w:t>
      </w:r>
      <w:r w:rsidRPr="005A41E0">
        <w:rPr>
          <w:rFonts w:asciiTheme="majorHAnsi" w:hAnsiTheme="majorHAnsi"/>
          <w:sz w:val="20"/>
          <w:szCs w:val="20"/>
          <w:lang w:val="en-US"/>
        </w:rPr>
        <w:t>the IACHR determine</w:t>
      </w:r>
      <w:r w:rsidR="00476354">
        <w:rPr>
          <w:rFonts w:asciiTheme="majorHAnsi" w:hAnsiTheme="majorHAnsi"/>
          <w:sz w:val="20"/>
          <w:szCs w:val="20"/>
          <w:lang w:val="en-US"/>
        </w:rPr>
        <w:t>d</w:t>
      </w:r>
      <w:r w:rsidRPr="005A41E0">
        <w:rPr>
          <w:rFonts w:asciiTheme="majorHAnsi" w:hAnsiTheme="majorHAnsi"/>
          <w:sz w:val="20"/>
          <w:szCs w:val="20"/>
          <w:lang w:val="en-US"/>
        </w:rPr>
        <w:t xml:space="preserve"> that he was deprived of liberty </w:t>
      </w:r>
      <w:r w:rsidR="00476354">
        <w:rPr>
          <w:rFonts w:asciiTheme="majorHAnsi" w:hAnsiTheme="majorHAnsi"/>
          <w:sz w:val="20"/>
          <w:szCs w:val="20"/>
          <w:lang w:val="en-US"/>
        </w:rPr>
        <w:t xml:space="preserve">by </w:t>
      </w:r>
      <w:r w:rsidRPr="005A41E0">
        <w:rPr>
          <w:rFonts w:asciiTheme="majorHAnsi" w:hAnsiTheme="majorHAnsi"/>
          <w:sz w:val="20"/>
          <w:szCs w:val="20"/>
          <w:lang w:val="en-US"/>
        </w:rPr>
        <w:t>persons who belong</w:t>
      </w:r>
      <w:r w:rsidR="00476354">
        <w:rPr>
          <w:rFonts w:asciiTheme="majorHAnsi" w:hAnsiTheme="majorHAnsi"/>
          <w:sz w:val="20"/>
          <w:szCs w:val="20"/>
          <w:lang w:val="en-US"/>
        </w:rPr>
        <w:t>ed</w:t>
      </w:r>
      <w:r w:rsidRPr="005A41E0">
        <w:rPr>
          <w:rFonts w:asciiTheme="majorHAnsi" w:hAnsiTheme="majorHAnsi"/>
          <w:sz w:val="20"/>
          <w:szCs w:val="20"/>
          <w:lang w:val="en-US"/>
        </w:rPr>
        <w:t xml:space="preserve"> to a paramilitary group that operated in the zone. In addition, the IACHR found multiple indicia of state participation in the facts, thus it determined that what happened to this person was attributable to the State. The IACHR also determined that what happened between the disappearance and execution amounted to torture. With respect to the attack on and subsequent death of </w:t>
      </w:r>
      <w:r w:rsidR="00476354">
        <w:rPr>
          <w:rFonts w:asciiTheme="majorHAnsi" w:hAnsiTheme="majorHAnsi"/>
          <w:sz w:val="20"/>
          <w:szCs w:val="20"/>
          <w:lang w:val="en-US"/>
        </w:rPr>
        <w:t>Héctor Álvarez Sánchez</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IACHR determined that the State failed to give him the protection he needed, which made it possible for members of a paramilitary group to shoot him several times from a motorcycle, as a result of which he was paraplegic and unable to speak until his subsequent death. As in the three previous cases, the IACHR considered that the State was not able to refute the multiple indicia of its responsibility for the ties with the illegal armed groups that committed these acts. </w:t>
      </w:r>
    </w:p>
    <w:p w:rsidR="00F82001" w:rsidRPr="005A41E0" w:rsidRDefault="00F82001" w:rsidP="005A41E0">
      <w:pPr>
        <w:pStyle w:val="BodyTextIndent"/>
        <w:ind w:left="0"/>
        <w:jc w:val="both"/>
        <w:rPr>
          <w:rFonts w:asciiTheme="majorHAnsi" w:eastAsia="Calibri" w:hAnsiTheme="majorHAnsi"/>
          <w:b/>
          <w:sz w:val="20"/>
          <w:szCs w:val="20"/>
          <w:bdr w:val="none" w:sz="0" w:space="0" w:color="auto" w:frame="1"/>
          <w:lang w:val="en-US"/>
        </w:rPr>
      </w:pPr>
    </w:p>
    <w:p w:rsidR="00F82001" w:rsidRPr="005A41E0" w:rsidRDefault="00A1639D" w:rsidP="0047635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eastAsia="Calibri" w:hAnsiTheme="majorHAnsi"/>
          <w:sz w:val="20"/>
          <w:szCs w:val="20"/>
          <w:bdr w:val="none" w:sz="0" w:space="0" w:color="auto" w:frame="1"/>
          <w:lang w:val="en-US"/>
        </w:rPr>
        <w:t>Finally</w:t>
      </w:r>
      <w:r w:rsidR="00F82001" w:rsidRPr="005A41E0">
        <w:rPr>
          <w:rFonts w:asciiTheme="majorHAnsi" w:eastAsia="Calibri" w:hAnsiTheme="majorHAnsi"/>
          <w:sz w:val="20"/>
          <w:szCs w:val="20"/>
          <w:bdr w:val="none" w:sz="0" w:space="0" w:color="auto" w:frame="1"/>
          <w:lang w:val="en-US"/>
        </w:rPr>
        <w:t xml:space="preserve">, </w:t>
      </w:r>
      <w:r w:rsidRPr="005A41E0">
        <w:rPr>
          <w:rFonts w:asciiTheme="majorHAnsi" w:eastAsia="Calibri" w:hAnsiTheme="majorHAnsi"/>
          <w:sz w:val="20"/>
          <w:szCs w:val="20"/>
          <w:bdr w:val="none" w:sz="0" w:space="0" w:color="auto" w:frame="1"/>
          <w:lang w:val="en-US"/>
        </w:rPr>
        <w:t>after the respective a</w:t>
      </w:r>
      <w:r w:rsidR="00476354">
        <w:rPr>
          <w:rFonts w:asciiTheme="majorHAnsi" w:eastAsia="Calibri" w:hAnsiTheme="majorHAnsi"/>
          <w:sz w:val="20"/>
          <w:szCs w:val="20"/>
          <w:bdr w:val="none" w:sz="0" w:space="0" w:color="auto" w:frame="1"/>
          <w:lang w:val="en-US"/>
        </w:rPr>
        <w:t>nalysis of each of the processes</w:t>
      </w:r>
      <w:r w:rsidRPr="005A41E0">
        <w:rPr>
          <w:rFonts w:asciiTheme="majorHAnsi" w:eastAsia="Calibri" w:hAnsiTheme="majorHAnsi"/>
          <w:sz w:val="20"/>
          <w:szCs w:val="20"/>
          <w:bdr w:val="none" w:sz="0" w:space="0" w:color="auto" w:frame="1"/>
          <w:lang w:val="en-US"/>
        </w:rPr>
        <w:t xml:space="preserve"> and investigations related to the victims of the case, the IACHR considered that the lack of an adequate </w:t>
      </w:r>
      <w:r w:rsidR="00A74832" w:rsidRPr="005A41E0">
        <w:rPr>
          <w:rFonts w:asciiTheme="majorHAnsi" w:eastAsia="Calibri" w:hAnsiTheme="majorHAnsi"/>
          <w:sz w:val="20"/>
          <w:szCs w:val="20"/>
          <w:bdr w:val="none" w:sz="0" w:space="0" w:color="auto" w:frame="1"/>
          <w:lang w:val="en-US"/>
        </w:rPr>
        <w:t xml:space="preserve">link among them has made it difficult to clear up the facts </w:t>
      </w:r>
      <w:r w:rsidR="00A74832" w:rsidRPr="005A41E0">
        <w:rPr>
          <w:rFonts w:asciiTheme="majorHAnsi" w:hAnsiTheme="majorHAnsi"/>
          <w:sz w:val="20"/>
          <w:szCs w:val="20"/>
          <w:lang w:val="en-US"/>
        </w:rPr>
        <w:t>and identify the persons responsible. In addition, the IACHR noted that notwithstanding the serious indicia of responsibility of state agents and members of paramilitary groups the State was not able to show that it had conducted a serious, timely, and exhaustive investigation of those indicia.</w:t>
      </w:r>
      <w:r w:rsidR="00F82001" w:rsidRPr="005A41E0">
        <w:rPr>
          <w:rFonts w:asciiTheme="majorHAnsi" w:hAnsiTheme="majorHAnsi"/>
          <w:sz w:val="20"/>
          <w:szCs w:val="20"/>
          <w:lang w:val="en-US"/>
        </w:rPr>
        <w:t xml:space="preserve"> </w:t>
      </w:r>
      <w:r w:rsidR="00A74832" w:rsidRPr="005A41E0">
        <w:rPr>
          <w:rFonts w:asciiTheme="majorHAnsi" w:hAnsiTheme="majorHAnsi"/>
          <w:sz w:val="20"/>
          <w:szCs w:val="20"/>
          <w:lang w:val="en-US"/>
        </w:rPr>
        <w:t xml:space="preserve">The IACHR also determined that the delays by the State have resulted in some of the alleged perpetrators having already died, and also that even though more than 21 years have elapsed since the facts, to date the truth is not known as to the motives </w:t>
      </w:r>
      <w:r w:rsidR="00476354">
        <w:rPr>
          <w:rFonts w:asciiTheme="majorHAnsi" w:hAnsiTheme="majorHAnsi"/>
          <w:sz w:val="20"/>
          <w:szCs w:val="20"/>
          <w:lang w:val="en-US"/>
        </w:rPr>
        <w:t xml:space="preserve">or </w:t>
      </w:r>
      <w:r w:rsidR="00A74832" w:rsidRPr="005A41E0">
        <w:rPr>
          <w:rFonts w:asciiTheme="majorHAnsi" w:hAnsiTheme="majorHAnsi"/>
          <w:sz w:val="20"/>
          <w:szCs w:val="20"/>
          <w:lang w:val="en-US"/>
        </w:rPr>
        <w:t xml:space="preserve">circumstances in which the violent acts were ordered, </w:t>
      </w:r>
      <w:r w:rsidR="00476354">
        <w:rPr>
          <w:rFonts w:asciiTheme="majorHAnsi" w:hAnsiTheme="majorHAnsi"/>
          <w:sz w:val="20"/>
          <w:szCs w:val="20"/>
          <w:lang w:val="en-US"/>
        </w:rPr>
        <w:t xml:space="preserve">or </w:t>
      </w:r>
      <w:r w:rsidR="00A74832" w:rsidRPr="005A41E0">
        <w:rPr>
          <w:rFonts w:asciiTheme="majorHAnsi" w:hAnsiTheme="majorHAnsi"/>
          <w:sz w:val="20"/>
          <w:szCs w:val="20"/>
          <w:lang w:val="en-US"/>
        </w:rPr>
        <w:t xml:space="preserve">how they may have been coordinated with state agents. </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A74832" w:rsidP="005A41E0">
      <w:pPr>
        <w:pStyle w:val="FootnoteText"/>
        <w:spacing w:before="0" w:beforeAutospacing="0" w:after="0" w:afterAutospacing="0"/>
        <w:ind w:left="1440" w:hanging="720"/>
        <w:jc w:val="both"/>
        <w:rPr>
          <w:rFonts w:asciiTheme="majorHAnsi" w:hAnsiTheme="majorHAnsi"/>
          <w:b/>
          <w:sz w:val="20"/>
          <w:lang w:val="en-US"/>
        </w:rPr>
      </w:pPr>
      <w:r w:rsidRPr="005A41E0">
        <w:rPr>
          <w:rFonts w:asciiTheme="majorHAnsi" w:hAnsiTheme="majorHAnsi"/>
          <w:b/>
          <w:sz w:val="20"/>
          <w:lang w:val="en-US"/>
        </w:rPr>
        <w:t>i.</w:t>
      </w:r>
      <w:r w:rsidRPr="005A41E0">
        <w:rPr>
          <w:rFonts w:asciiTheme="majorHAnsi" w:hAnsiTheme="majorHAnsi"/>
          <w:b/>
          <w:sz w:val="20"/>
          <w:lang w:val="en-US"/>
        </w:rPr>
        <w:tab/>
        <w:t>V.R.P</w:t>
      </w:r>
      <w:r w:rsidR="008450A1" w:rsidRPr="005A41E0">
        <w:rPr>
          <w:rFonts w:asciiTheme="majorHAnsi" w:hAnsiTheme="majorHAnsi"/>
          <w:b/>
          <w:sz w:val="20"/>
          <w:lang w:val="en-US"/>
        </w:rPr>
        <w:t>.</w:t>
      </w:r>
      <w:r w:rsidRPr="005A41E0">
        <w:rPr>
          <w:rFonts w:asciiTheme="majorHAnsi" w:hAnsiTheme="majorHAnsi"/>
          <w:b/>
          <w:sz w:val="20"/>
          <w:lang w:val="en-US"/>
        </w:rPr>
        <w:t xml:space="preserve"> and </w:t>
      </w:r>
      <w:r w:rsidR="00F82001" w:rsidRPr="005A41E0">
        <w:rPr>
          <w:rFonts w:asciiTheme="majorHAnsi" w:hAnsiTheme="majorHAnsi"/>
          <w:b/>
          <w:sz w:val="20"/>
          <w:lang w:val="en-US"/>
        </w:rPr>
        <w:t xml:space="preserve">V.C.P. </w:t>
      </w:r>
      <w:r w:rsidRPr="005A41E0">
        <w:rPr>
          <w:rFonts w:asciiTheme="majorHAnsi" w:hAnsiTheme="majorHAnsi"/>
          <w:b/>
          <w:sz w:val="20"/>
          <w:lang w:val="en-US"/>
        </w:rPr>
        <w:t>v</w:t>
      </w:r>
      <w:r w:rsidR="00F82001" w:rsidRPr="005A41E0">
        <w:rPr>
          <w:rFonts w:asciiTheme="majorHAnsi" w:hAnsiTheme="majorHAnsi"/>
          <w:b/>
          <w:sz w:val="20"/>
          <w:lang w:val="en-US"/>
        </w:rPr>
        <w:t>. Nicaragua (</w:t>
      </w:r>
      <w:r w:rsidRPr="005A41E0">
        <w:rPr>
          <w:rFonts w:asciiTheme="majorHAnsi" w:hAnsiTheme="majorHAnsi"/>
          <w:b/>
          <w:sz w:val="20"/>
          <w:lang w:val="en-US"/>
        </w:rPr>
        <w:t xml:space="preserve">submitted August </w:t>
      </w:r>
      <w:r w:rsidR="00F82001" w:rsidRPr="005A41E0">
        <w:rPr>
          <w:rFonts w:asciiTheme="majorHAnsi" w:hAnsiTheme="majorHAnsi"/>
          <w:b/>
          <w:sz w:val="20"/>
          <w:lang w:val="en-US"/>
        </w:rPr>
        <w:t>25</w:t>
      </w:r>
      <w:r w:rsidRPr="005A41E0">
        <w:rPr>
          <w:rFonts w:asciiTheme="majorHAnsi" w:hAnsiTheme="majorHAnsi"/>
          <w:b/>
          <w:sz w:val="20"/>
          <w:lang w:val="en-US"/>
        </w:rPr>
        <w:t>,</w:t>
      </w:r>
      <w:r w:rsidR="00F82001" w:rsidRPr="005A41E0">
        <w:rPr>
          <w:rFonts w:asciiTheme="majorHAnsi" w:hAnsiTheme="majorHAnsi"/>
          <w:b/>
          <w:sz w:val="20"/>
          <w:lang w:val="en-US"/>
        </w:rPr>
        <w:t xml:space="preserve"> 2016)</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A74832" w:rsidP="0057075E">
      <w:pPr>
        <w:pStyle w:val="ListParagraph"/>
        <w:numPr>
          <w:ilvl w:val="0"/>
          <w:numId w:val="15"/>
        </w:numPr>
        <w:shd w:val="clear" w:color="auto" w:fill="FFFFFF"/>
        <w:tabs>
          <w:tab w:val="clear" w:pos="1080"/>
        </w:tabs>
        <w:ind w:left="0"/>
        <w:jc w:val="both"/>
        <w:rPr>
          <w:rFonts w:asciiTheme="majorHAnsi" w:hAnsiTheme="majorHAnsi" w:cs="Arial"/>
          <w:sz w:val="20"/>
          <w:szCs w:val="20"/>
          <w:lang w:val="en-US"/>
        </w:rPr>
      </w:pPr>
      <w:r w:rsidRPr="005A41E0">
        <w:rPr>
          <w:rFonts w:asciiTheme="majorHAnsi" w:hAnsiTheme="majorHAnsi" w:cs="Arial"/>
          <w:sz w:val="20"/>
          <w:szCs w:val="20"/>
          <w:lang w:val="en-US"/>
        </w:rPr>
        <w:t xml:space="preserve">The case refers to the rape suffered by the girl </w:t>
      </w:r>
      <w:r w:rsidR="00F82001" w:rsidRPr="005A41E0">
        <w:rPr>
          <w:rFonts w:asciiTheme="majorHAnsi" w:hAnsiTheme="majorHAnsi"/>
          <w:sz w:val="20"/>
          <w:szCs w:val="20"/>
          <w:lang w:val="en-US"/>
        </w:rPr>
        <w:t>V.R.P</w:t>
      </w:r>
      <w:r w:rsidRPr="005A41E0">
        <w:rPr>
          <w:rFonts w:asciiTheme="majorHAnsi" w:hAnsiTheme="majorHAnsi"/>
          <w:sz w:val="20"/>
          <w:szCs w:val="20"/>
          <w:lang w:val="en-US"/>
        </w:rPr>
        <w:t xml:space="preserve">., who at the time of the facts was 9 years old, and who from the outset of the investigation asserted that the person responsible for those incidents of rape was her father.  </w:t>
      </w:r>
      <w:r w:rsidR="006A51E4" w:rsidRPr="005A41E0">
        <w:rPr>
          <w:rFonts w:asciiTheme="majorHAnsi" w:hAnsiTheme="majorHAnsi"/>
          <w:sz w:val="20"/>
          <w:szCs w:val="20"/>
          <w:lang w:val="en-US"/>
        </w:rPr>
        <w:t xml:space="preserve">The IACHR determined that the lack of a response by the State to rape committed by a non-state actor makes it responsible for the </w:t>
      </w:r>
      <w:r w:rsidR="0057075E">
        <w:rPr>
          <w:rFonts w:asciiTheme="majorHAnsi" w:hAnsiTheme="majorHAnsi"/>
          <w:sz w:val="20"/>
          <w:szCs w:val="20"/>
          <w:lang w:val="en-US"/>
        </w:rPr>
        <w:t xml:space="preserve">violations </w:t>
      </w:r>
      <w:r w:rsidR="006A51E4" w:rsidRPr="005A41E0">
        <w:rPr>
          <w:rFonts w:asciiTheme="majorHAnsi" w:hAnsiTheme="majorHAnsi"/>
          <w:sz w:val="20"/>
          <w:szCs w:val="20"/>
          <w:lang w:val="en-US"/>
        </w:rPr>
        <w:t xml:space="preserve">of the rights to humane treatment, dignity, privacy and autonomy, equality and non-discrimination, and special protection as a child, to the detriment of </w:t>
      </w:r>
      <w:r w:rsidR="00F82001" w:rsidRPr="005A41E0">
        <w:rPr>
          <w:rFonts w:asciiTheme="majorHAnsi" w:hAnsiTheme="majorHAnsi"/>
          <w:sz w:val="20"/>
          <w:szCs w:val="20"/>
          <w:lang w:val="en-US"/>
        </w:rPr>
        <w:t xml:space="preserve">V.R.P. </w:t>
      </w:r>
      <w:r w:rsidR="006A51E4" w:rsidRPr="005A41E0">
        <w:rPr>
          <w:rFonts w:asciiTheme="majorHAnsi" w:hAnsiTheme="majorHAnsi"/>
          <w:sz w:val="20"/>
          <w:szCs w:val="20"/>
          <w:lang w:val="en-US"/>
        </w:rPr>
        <w:t xml:space="preserve">In this regard, the IACHR determined that the State of </w:t>
      </w:r>
      <w:r w:rsidR="00F82001" w:rsidRPr="005A41E0">
        <w:rPr>
          <w:rFonts w:asciiTheme="majorHAnsi" w:hAnsiTheme="majorHAnsi"/>
          <w:sz w:val="20"/>
          <w:szCs w:val="20"/>
          <w:lang w:val="en-US"/>
        </w:rPr>
        <w:t xml:space="preserve">Nicaragua </w:t>
      </w:r>
      <w:r w:rsidR="006A51E4" w:rsidRPr="005A41E0">
        <w:rPr>
          <w:rFonts w:asciiTheme="majorHAnsi" w:hAnsiTheme="majorHAnsi"/>
          <w:sz w:val="20"/>
          <w:szCs w:val="20"/>
          <w:lang w:val="en-US"/>
        </w:rPr>
        <w:t>is responsi</w:t>
      </w:r>
      <w:r w:rsidR="00F82001" w:rsidRPr="005A41E0">
        <w:rPr>
          <w:rFonts w:asciiTheme="majorHAnsi" w:hAnsiTheme="majorHAnsi"/>
          <w:sz w:val="20"/>
          <w:szCs w:val="20"/>
          <w:lang w:val="en-US"/>
        </w:rPr>
        <w:t>ble interna</w:t>
      </w:r>
      <w:r w:rsidR="006A51E4" w:rsidRPr="005A41E0">
        <w:rPr>
          <w:rFonts w:asciiTheme="majorHAnsi" w:hAnsiTheme="majorHAnsi"/>
          <w:sz w:val="20"/>
          <w:szCs w:val="20"/>
          <w:lang w:val="en-US"/>
        </w:rPr>
        <w:t xml:space="preserve">tionally for the breach of the duty to guarantee those rights, </w:t>
      </w:r>
      <w:r w:rsidR="0057075E">
        <w:rPr>
          <w:rFonts w:asciiTheme="majorHAnsi" w:hAnsiTheme="majorHAnsi"/>
          <w:sz w:val="20"/>
          <w:szCs w:val="20"/>
          <w:lang w:val="en-US"/>
        </w:rPr>
        <w:t xml:space="preserve">in </w:t>
      </w:r>
      <w:r w:rsidR="006A51E4" w:rsidRPr="005A41E0">
        <w:rPr>
          <w:rFonts w:asciiTheme="majorHAnsi" w:hAnsiTheme="majorHAnsi"/>
          <w:sz w:val="20"/>
          <w:szCs w:val="20"/>
          <w:lang w:val="en-US"/>
        </w:rPr>
        <w:t xml:space="preserve">particular breach of the duty to investigate with due diligence, in a reasonable time, and in a manner in keeping with a gender perspective and the reinforced state duties stemming from the victim’s condition as a child. The IACHR considered moreover that </w:t>
      </w:r>
      <w:r w:rsidR="00F82001" w:rsidRPr="005A41E0">
        <w:rPr>
          <w:rFonts w:asciiTheme="majorHAnsi" w:hAnsiTheme="majorHAnsi"/>
          <w:sz w:val="20"/>
          <w:szCs w:val="20"/>
          <w:lang w:val="en-US"/>
        </w:rPr>
        <w:t>V.R.P</w:t>
      </w:r>
      <w:r w:rsidR="006A51E4"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006A51E4" w:rsidRPr="005A41E0">
        <w:rPr>
          <w:rFonts w:asciiTheme="majorHAnsi" w:hAnsiTheme="majorHAnsi"/>
          <w:sz w:val="20"/>
          <w:szCs w:val="20"/>
          <w:lang w:val="en-US"/>
        </w:rPr>
        <w:t>was gravely re-victimized wit</w:t>
      </w:r>
      <w:r w:rsidR="0057075E">
        <w:rPr>
          <w:rFonts w:asciiTheme="majorHAnsi" w:hAnsiTheme="majorHAnsi"/>
          <w:sz w:val="20"/>
          <w:szCs w:val="20"/>
          <w:lang w:val="en-US"/>
        </w:rPr>
        <w:t>h a severe impact on the psychological</w:t>
      </w:r>
      <w:r w:rsidR="006A51E4" w:rsidRPr="005A41E0">
        <w:rPr>
          <w:rFonts w:asciiTheme="majorHAnsi" w:hAnsiTheme="majorHAnsi"/>
          <w:sz w:val="20"/>
          <w:szCs w:val="20"/>
          <w:lang w:val="en-US"/>
        </w:rPr>
        <w:t xml:space="preserve"> integrity of her</w:t>
      </w:r>
      <w:r w:rsidR="0057075E">
        <w:rPr>
          <w:rFonts w:asciiTheme="majorHAnsi" w:hAnsiTheme="majorHAnsi"/>
          <w:sz w:val="20"/>
          <w:szCs w:val="20"/>
          <w:lang w:val="en-US"/>
        </w:rPr>
        <w:t>self</w:t>
      </w:r>
      <w:r w:rsidR="006A51E4" w:rsidRPr="005A41E0">
        <w:rPr>
          <w:rFonts w:asciiTheme="majorHAnsi" w:hAnsiTheme="majorHAnsi"/>
          <w:sz w:val="20"/>
          <w:szCs w:val="20"/>
          <w:lang w:val="en-US"/>
        </w:rPr>
        <w:t xml:space="preserve"> and her mother, and the mother’s other children. </w:t>
      </w:r>
      <w:r w:rsidR="008450A1" w:rsidRPr="005A41E0">
        <w:rPr>
          <w:rFonts w:asciiTheme="majorHAnsi" w:hAnsiTheme="majorHAnsi"/>
          <w:sz w:val="20"/>
          <w:szCs w:val="20"/>
          <w:lang w:val="en-US"/>
        </w:rPr>
        <w:t xml:space="preserve">The IACHR concluded that the acquittal of </w:t>
      </w:r>
      <w:r w:rsidR="00F82001" w:rsidRPr="005A41E0">
        <w:rPr>
          <w:rFonts w:asciiTheme="majorHAnsi" w:hAnsiTheme="majorHAnsi"/>
          <w:sz w:val="20"/>
          <w:szCs w:val="20"/>
          <w:lang w:val="en-US"/>
        </w:rPr>
        <w:t>V.R.P</w:t>
      </w:r>
      <w:r w:rsidR="008450A1" w:rsidRPr="005A41E0">
        <w:rPr>
          <w:rFonts w:asciiTheme="majorHAnsi" w:hAnsiTheme="majorHAnsi"/>
          <w:sz w:val="20"/>
          <w:szCs w:val="20"/>
          <w:lang w:val="en-US"/>
        </w:rPr>
        <w:t xml:space="preserve">.’s father was the result of a proceeding violative of the international obligations of the State and, therefore, as it is a serious human rights violation, the IACHR recommended continuing the investigation domestically, among other measures of reparation. </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F82001" w:rsidP="005A41E0">
      <w:pPr>
        <w:pStyle w:val="FootnoteText"/>
        <w:spacing w:before="0" w:beforeAutospacing="0" w:after="0" w:afterAutospacing="0"/>
        <w:ind w:left="1440" w:hanging="720"/>
        <w:jc w:val="both"/>
        <w:rPr>
          <w:rFonts w:asciiTheme="majorHAnsi" w:hAnsiTheme="majorHAnsi"/>
          <w:b/>
          <w:sz w:val="20"/>
          <w:lang w:val="en-US"/>
        </w:rPr>
      </w:pPr>
      <w:r w:rsidRPr="005A41E0">
        <w:rPr>
          <w:rFonts w:asciiTheme="majorHAnsi" w:hAnsiTheme="majorHAnsi"/>
          <w:b/>
          <w:sz w:val="20"/>
          <w:lang w:val="en-US"/>
        </w:rPr>
        <w:t>j.</w:t>
      </w:r>
      <w:r w:rsidRPr="005A41E0">
        <w:rPr>
          <w:rFonts w:asciiTheme="majorHAnsi" w:hAnsiTheme="majorHAnsi"/>
          <w:b/>
          <w:sz w:val="20"/>
          <w:lang w:val="en-US"/>
        </w:rPr>
        <w:tab/>
        <w:t>Vin</w:t>
      </w:r>
      <w:r w:rsidR="008450A1" w:rsidRPr="005A41E0">
        <w:rPr>
          <w:rFonts w:asciiTheme="majorHAnsi" w:hAnsiTheme="majorHAnsi"/>
          <w:b/>
          <w:sz w:val="20"/>
          <w:lang w:val="en-US"/>
        </w:rPr>
        <w:t>icio Antonio  Poblete Vilches v</w:t>
      </w:r>
      <w:r w:rsidRPr="005A41E0">
        <w:rPr>
          <w:rFonts w:asciiTheme="majorHAnsi" w:hAnsiTheme="majorHAnsi"/>
          <w:b/>
          <w:sz w:val="20"/>
          <w:lang w:val="en-US"/>
        </w:rPr>
        <w:t>. Chile (</w:t>
      </w:r>
      <w:r w:rsidR="008450A1" w:rsidRPr="005A41E0">
        <w:rPr>
          <w:rFonts w:asciiTheme="majorHAnsi" w:hAnsiTheme="majorHAnsi"/>
          <w:b/>
          <w:sz w:val="20"/>
          <w:lang w:val="en-US"/>
        </w:rPr>
        <w:t xml:space="preserve">submitted August </w:t>
      </w:r>
      <w:r w:rsidRPr="005A41E0">
        <w:rPr>
          <w:rFonts w:asciiTheme="majorHAnsi" w:hAnsiTheme="majorHAnsi"/>
          <w:b/>
          <w:sz w:val="20"/>
          <w:lang w:val="en-US"/>
        </w:rPr>
        <w:t>27</w:t>
      </w:r>
      <w:r w:rsidR="008450A1" w:rsidRPr="005A41E0">
        <w:rPr>
          <w:rFonts w:asciiTheme="majorHAnsi" w:hAnsiTheme="majorHAnsi"/>
          <w:b/>
          <w:sz w:val="20"/>
          <w:lang w:val="en-US"/>
        </w:rPr>
        <w:t>,</w:t>
      </w:r>
      <w:r w:rsidRPr="005A41E0">
        <w:rPr>
          <w:rFonts w:asciiTheme="majorHAnsi" w:hAnsiTheme="majorHAnsi"/>
          <w:b/>
          <w:sz w:val="20"/>
          <w:lang w:val="en-US"/>
        </w:rPr>
        <w:t xml:space="preserve"> 2016)</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8450A1" w:rsidP="00693AE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case is related to the various actions and omissions that occurred from January 17 to February 7, 2001, dates on which </w:t>
      </w:r>
      <w:r w:rsidR="00F82001" w:rsidRPr="005A41E0">
        <w:rPr>
          <w:rFonts w:asciiTheme="majorHAnsi" w:hAnsiTheme="majorHAnsi"/>
          <w:sz w:val="20"/>
          <w:szCs w:val="20"/>
          <w:lang w:val="en-US"/>
        </w:rPr>
        <w:t xml:space="preserve">Vinicio Antonio Poblete Vilches </w:t>
      </w:r>
      <w:r w:rsidRPr="005A41E0">
        <w:rPr>
          <w:rFonts w:asciiTheme="majorHAnsi" w:hAnsiTheme="majorHAnsi"/>
          <w:sz w:val="20"/>
          <w:szCs w:val="20"/>
          <w:lang w:val="en-US"/>
        </w:rPr>
        <w:t xml:space="preserve">on two occasions entered the public hospital known as </w:t>
      </w:r>
      <w:r w:rsidR="00F82001" w:rsidRPr="005A41E0">
        <w:rPr>
          <w:rFonts w:asciiTheme="majorHAnsi" w:hAnsiTheme="majorHAnsi"/>
          <w:sz w:val="20"/>
          <w:szCs w:val="20"/>
          <w:lang w:val="en-US"/>
        </w:rPr>
        <w:t xml:space="preserve">Hospital Público Sótero del Río, </w:t>
      </w:r>
      <w:r w:rsidRPr="005A41E0">
        <w:rPr>
          <w:rFonts w:asciiTheme="majorHAnsi" w:hAnsiTheme="majorHAnsi"/>
          <w:sz w:val="20"/>
          <w:szCs w:val="20"/>
          <w:lang w:val="en-US"/>
        </w:rPr>
        <w:t>where he died on the latter date. The IACHR established that the medical personnel at the hospital refrained from obtaining informed consent for making health-re</w:t>
      </w:r>
      <w:r w:rsidR="0057075E">
        <w:rPr>
          <w:rFonts w:asciiTheme="majorHAnsi" w:hAnsiTheme="majorHAnsi"/>
          <w:sz w:val="20"/>
          <w:szCs w:val="20"/>
          <w:lang w:val="en-US"/>
        </w:rPr>
        <w:t>lated decisions at two moments, f</w:t>
      </w:r>
      <w:r w:rsidRPr="005A41E0">
        <w:rPr>
          <w:rFonts w:asciiTheme="majorHAnsi" w:hAnsiTheme="majorHAnsi"/>
          <w:sz w:val="20"/>
          <w:szCs w:val="20"/>
          <w:lang w:val="en-US"/>
        </w:rPr>
        <w:t xml:space="preserve">irst, in the context of a procedure performed on January </w:t>
      </w:r>
      <w:r w:rsidR="00F82001" w:rsidRPr="005A41E0">
        <w:rPr>
          <w:rFonts w:asciiTheme="majorHAnsi" w:hAnsiTheme="majorHAnsi"/>
          <w:sz w:val="20"/>
          <w:szCs w:val="20"/>
          <w:lang w:val="en-US"/>
        </w:rPr>
        <w:t>26</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2001</w:t>
      </w:r>
      <w:r w:rsidRPr="005A41E0">
        <w:rPr>
          <w:rFonts w:asciiTheme="majorHAnsi" w:hAnsiTheme="majorHAnsi"/>
          <w:sz w:val="20"/>
          <w:szCs w:val="20"/>
          <w:lang w:val="en-US"/>
        </w:rPr>
        <w:t>, the first time he was admitted to the hospital; and second</w:t>
      </w:r>
      <w:r w:rsidR="0057075E">
        <w:rPr>
          <w:rFonts w:asciiTheme="majorHAnsi" w:hAnsiTheme="majorHAnsi"/>
          <w:sz w:val="20"/>
          <w:szCs w:val="20"/>
          <w:lang w:val="en-US"/>
        </w:rPr>
        <w:t>,</w:t>
      </w:r>
      <w:r w:rsidRPr="005A41E0">
        <w:rPr>
          <w:rFonts w:asciiTheme="majorHAnsi" w:hAnsiTheme="majorHAnsi"/>
          <w:sz w:val="20"/>
          <w:szCs w:val="20"/>
          <w:lang w:val="en-US"/>
        </w:rPr>
        <w:t xml:space="preserve"> on making the decision to keep him in “intermediate treatment” in the hours prior to his death after the was admitted to the hospital the second time. </w:t>
      </w:r>
      <w:r w:rsidR="0084080F" w:rsidRPr="005A41E0">
        <w:rPr>
          <w:rFonts w:asciiTheme="majorHAnsi" w:hAnsiTheme="majorHAnsi"/>
          <w:sz w:val="20"/>
          <w:szCs w:val="20"/>
          <w:lang w:val="en-US"/>
        </w:rPr>
        <w:t xml:space="preserve">The IACHR </w:t>
      </w:r>
      <w:r w:rsidR="0084080F" w:rsidRPr="005A41E0">
        <w:rPr>
          <w:rFonts w:asciiTheme="majorHAnsi" w:hAnsiTheme="majorHAnsi"/>
          <w:sz w:val="20"/>
          <w:szCs w:val="20"/>
          <w:lang w:val="en-US"/>
        </w:rPr>
        <w:lastRenderedPageBreak/>
        <w:t xml:space="preserve">also concluded that there are sufficient elements to consider that the decision to discharge Mr. </w:t>
      </w:r>
      <w:r w:rsidR="00F82001" w:rsidRPr="005A41E0">
        <w:rPr>
          <w:rFonts w:asciiTheme="majorHAnsi" w:hAnsiTheme="majorHAnsi"/>
          <w:sz w:val="20"/>
          <w:szCs w:val="20"/>
          <w:lang w:val="en-US"/>
        </w:rPr>
        <w:t xml:space="preserve">Poblete Vilches </w:t>
      </w:r>
      <w:r w:rsidR="0084080F" w:rsidRPr="005A41E0">
        <w:rPr>
          <w:rFonts w:asciiTheme="majorHAnsi" w:hAnsiTheme="majorHAnsi"/>
          <w:sz w:val="20"/>
          <w:szCs w:val="20"/>
          <w:lang w:val="en-US"/>
        </w:rPr>
        <w:t xml:space="preserve">and the way in which it was done could have had an impact on the rapid deterioration he suffered in the days immediately following his discharge from the hospital and his subsequent death when he entered again, in </w:t>
      </w:r>
      <w:r w:rsidR="0057075E">
        <w:rPr>
          <w:rFonts w:asciiTheme="majorHAnsi" w:hAnsiTheme="majorHAnsi"/>
          <w:sz w:val="20"/>
          <w:szCs w:val="20"/>
          <w:lang w:val="en-US"/>
        </w:rPr>
        <w:t xml:space="preserve">very poor health. </w:t>
      </w:r>
      <w:r w:rsidR="00796EDD" w:rsidRPr="005A41E0">
        <w:rPr>
          <w:rFonts w:asciiTheme="majorHAnsi" w:hAnsiTheme="majorHAnsi"/>
          <w:sz w:val="20"/>
          <w:szCs w:val="20"/>
          <w:lang w:val="en-US"/>
        </w:rPr>
        <w:t xml:space="preserve">The IACHR also determined state responsibility for failure to provide the intensive treatment he needed when he was admitted to the hospital the second time. Finally, the IACHR considered that the investigations domestically were not </w:t>
      </w:r>
      <w:r w:rsidR="00693AEF">
        <w:rPr>
          <w:rFonts w:asciiTheme="majorHAnsi" w:hAnsiTheme="majorHAnsi"/>
          <w:sz w:val="20"/>
          <w:szCs w:val="20"/>
          <w:lang w:val="en-US"/>
        </w:rPr>
        <w:t xml:space="preserve">pursued </w:t>
      </w:r>
      <w:r w:rsidR="00796EDD" w:rsidRPr="005A41E0">
        <w:rPr>
          <w:rFonts w:asciiTheme="majorHAnsi" w:hAnsiTheme="majorHAnsi"/>
          <w:sz w:val="20"/>
          <w:szCs w:val="20"/>
          <w:lang w:val="en-US"/>
        </w:rPr>
        <w:t xml:space="preserve">with due diligence or in a reasonable time. </w:t>
      </w:r>
    </w:p>
    <w:p w:rsidR="00F82001" w:rsidRPr="005A41E0" w:rsidRDefault="00F82001" w:rsidP="005A41E0">
      <w:pPr>
        <w:pStyle w:val="FootnoteText"/>
        <w:spacing w:before="0" w:beforeAutospacing="0" w:after="0" w:afterAutospacing="0"/>
        <w:jc w:val="both"/>
        <w:rPr>
          <w:rFonts w:asciiTheme="majorHAnsi" w:hAnsiTheme="majorHAnsi"/>
          <w:sz w:val="20"/>
          <w:lang w:val="en-US"/>
        </w:rPr>
      </w:pPr>
    </w:p>
    <w:p w:rsidR="00F82001" w:rsidRPr="005A41E0" w:rsidRDefault="00F82001" w:rsidP="005A41E0">
      <w:pPr>
        <w:pStyle w:val="FootnoteText"/>
        <w:spacing w:before="0" w:beforeAutospacing="0" w:after="0" w:afterAutospacing="0"/>
        <w:ind w:left="1440" w:hanging="720"/>
        <w:jc w:val="both"/>
        <w:rPr>
          <w:rFonts w:asciiTheme="majorHAnsi" w:hAnsiTheme="majorHAnsi"/>
          <w:b/>
          <w:sz w:val="20"/>
          <w:lang w:val="en-US"/>
        </w:rPr>
      </w:pPr>
      <w:r w:rsidRPr="005A41E0">
        <w:rPr>
          <w:rFonts w:asciiTheme="majorHAnsi" w:hAnsiTheme="majorHAnsi"/>
          <w:b/>
          <w:sz w:val="20"/>
          <w:lang w:val="en-US"/>
        </w:rPr>
        <w:t>k.</w:t>
      </w:r>
      <w:r w:rsidRPr="005A41E0">
        <w:rPr>
          <w:rFonts w:asciiTheme="majorHAnsi" w:hAnsiTheme="majorHAnsi"/>
          <w:b/>
          <w:sz w:val="20"/>
          <w:lang w:val="en-US"/>
        </w:rPr>
        <w:tab/>
        <w:t xml:space="preserve">Mariana Selvas Gómez </w:t>
      </w:r>
      <w:r w:rsidR="00796EDD" w:rsidRPr="005A41E0">
        <w:rPr>
          <w:rFonts w:asciiTheme="majorHAnsi" w:hAnsiTheme="majorHAnsi"/>
          <w:b/>
          <w:sz w:val="20"/>
          <w:lang w:val="en-US"/>
        </w:rPr>
        <w:t>et al. v. Me</w:t>
      </w:r>
      <w:r w:rsidRPr="005A41E0">
        <w:rPr>
          <w:rFonts w:asciiTheme="majorHAnsi" w:hAnsiTheme="majorHAnsi"/>
          <w:b/>
          <w:sz w:val="20"/>
          <w:lang w:val="en-US"/>
        </w:rPr>
        <w:t>xico (s</w:t>
      </w:r>
      <w:r w:rsidR="00796EDD" w:rsidRPr="005A41E0">
        <w:rPr>
          <w:rFonts w:asciiTheme="majorHAnsi" w:hAnsiTheme="majorHAnsi"/>
          <w:b/>
          <w:sz w:val="20"/>
          <w:lang w:val="en-US"/>
        </w:rPr>
        <w:t xml:space="preserve">ubmitted September </w:t>
      </w:r>
      <w:r w:rsidRPr="005A41E0">
        <w:rPr>
          <w:rFonts w:asciiTheme="majorHAnsi" w:hAnsiTheme="majorHAnsi"/>
          <w:b/>
          <w:sz w:val="20"/>
          <w:lang w:val="en-US"/>
        </w:rPr>
        <w:t>17</w:t>
      </w:r>
      <w:r w:rsidR="00796EDD" w:rsidRPr="005A41E0">
        <w:rPr>
          <w:rFonts w:asciiTheme="majorHAnsi" w:hAnsiTheme="majorHAnsi"/>
          <w:b/>
          <w:sz w:val="20"/>
          <w:lang w:val="en-US"/>
        </w:rPr>
        <w:t>,</w:t>
      </w:r>
      <w:r w:rsidRPr="005A41E0">
        <w:rPr>
          <w:rFonts w:asciiTheme="majorHAnsi" w:hAnsiTheme="majorHAnsi"/>
          <w:b/>
          <w:sz w:val="20"/>
          <w:lang w:val="en-US"/>
        </w:rPr>
        <w:t xml:space="preserve"> 2016)</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796EDD" w:rsidP="005375E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case is related to a series of violates of the American Convention on Human Rights, the Inter-American Convention to Prevent and Punish Torture, and the </w:t>
      </w:r>
      <w:r w:rsidR="005375EF" w:rsidRPr="005375EF">
        <w:rPr>
          <w:rFonts w:asciiTheme="majorHAnsi" w:hAnsiTheme="majorHAnsi"/>
          <w:sz w:val="20"/>
          <w:szCs w:val="20"/>
          <w:lang w:val="en-US"/>
        </w:rPr>
        <w:t>Inter-American Convention on the Prevention, Punishment and Eradication of Violence against Women</w:t>
      </w:r>
      <w:r w:rsidRPr="005A41E0">
        <w:rPr>
          <w:rFonts w:asciiTheme="majorHAnsi" w:hAnsiTheme="majorHAnsi"/>
          <w:sz w:val="20"/>
          <w:szCs w:val="20"/>
          <w:lang w:val="en-US"/>
        </w:rPr>
        <w:t xml:space="preserve">, committed against </w:t>
      </w:r>
      <w:r w:rsidR="00F82001" w:rsidRPr="005A41E0">
        <w:rPr>
          <w:rFonts w:asciiTheme="majorHAnsi" w:hAnsiTheme="majorHAnsi"/>
          <w:sz w:val="20"/>
          <w:szCs w:val="20"/>
          <w:lang w:val="en-US"/>
        </w:rPr>
        <w:t>Mariana Selvas Gómez, Georgina Edith Rosales Gutiérrez, María Patricia Romero Hernández, Norma Aidé Jiménez Osorio, Claudia Hernández Martínez, Bárbara Italia Méndez Moreno, Ana María Velasco Rodríguez, Yolanda Muñoz Diosdada, Cristina Sánchez Hernández, Patricia Torres Linares</w:t>
      </w:r>
      <w:r w:rsidRPr="005A41E0">
        <w:rPr>
          <w:rFonts w:asciiTheme="majorHAnsi" w:hAnsiTheme="majorHAnsi"/>
          <w:sz w:val="20"/>
          <w:szCs w:val="20"/>
          <w:lang w:val="en-US"/>
        </w:rPr>
        <w:t xml:space="preserve">, and </w:t>
      </w:r>
      <w:r w:rsidR="00F82001" w:rsidRPr="005A41E0">
        <w:rPr>
          <w:rFonts w:asciiTheme="majorHAnsi" w:hAnsiTheme="majorHAnsi"/>
          <w:sz w:val="20"/>
          <w:szCs w:val="20"/>
          <w:lang w:val="en-US"/>
        </w:rPr>
        <w:t xml:space="preserve">Suhelen Gabriela Cuevas Jaramillo, </w:t>
      </w:r>
      <w:r w:rsidRPr="005A41E0">
        <w:rPr>
          <w:rFonts w:asciiTheme="majorHAnsi" w:hAnsiTheme="majorHAnsi"/>
          <w:sz w:val="20"/>
          <w:szCs w:val="20"/>
          <w:lang w:val="en-US"/>
        </w:rPr>
        <w:t xml:space="preserve">in the context of detentions and transfer effectuated in police operations that took place in the municipalities of </w:t>
      </w:r>
      <w:r w:rsidR="00F82001" w:rsidRPr="005A41E0">
        <w:rPr>
          <w:rFonts w:asciiTheme="majorHAnsi" w:hAnsiTheme="majorHAnsi"/>
          <w:sz w:val="20"/>
          <w:szCs w:val="20"/>
          <w:lang w:val="en-US"/>
        </w:rPr>
        <w:t xml:space="preserve">Texcoco </w:t>
      </w:r>
      <w:r w:rsidRPr="005A41E0">
        <w:rPr>
          <w:rFonts w:asciiTheme="majorHAnsi" w:hAnsiTheme="majorHAnsi"/>
          <w:sz w:val="20"/>
          <w:szCs w:val="20"/>
          <w:lang w:val="en-US"/>
        </w:rPr>
        <w:t xml:space="preserve">and </w:t>
      </w:r>
      <w:r w:rsidR="00F82001" w:rsidRPr="005A41E0">
        <w:rPr>
          <w:rFonts w:asciiTheme="majorHAnsi" w:hAnsiTheme="majorHAnsi"/>
          <w:sz w:val="20"/>
          <w:szCs w:val="20"/>
          <w:lang w:val="en-US"/>
        </w:rPr>
        <w:t xml:space="preserve">San Salvador Atenco </w:t>
      </w:r>
      <w:r w:rsidRPr="005A41E0">
        <w:rPr>
          <w:rFonts w:asciiTheme="majorHAnsi" w:hAnsiTheme="majorHAnsi"/>
          <w:sz w:val="20"/>
          <w:szCs w:val="20"/>
          <w:lang w:val="en-US"/>
        </w:rPr>
        <w:t xml:space="preserve">on May </w:t>
      </w:r>
      <w:r w:rsidR="00F82001" w:rsidRPr="005A41E0">
        <w:rPr>
          <w:rFonts w:asciiTheme="majorHAnsi" w:hAnsiTheme="majorHAnsi"/>
          <w:sz w:val="20"/>
          <w:szCs w:val="20"/>
          <w:lang w:val="en-US"/>
        </w:rPr>
        <w:t xml:space="preserve">3 </w:t>
      </w:r>
      <w:r w:rsidRPr="005A41E0">
        <w:rPr>
          <w:rFonts w:asciiTheme="majorHAnsi" w:hAnsiTheme="majorHAnsi"/>
          <w:sz w:val="20"/>
          <w:szCs w:val="20"/>
          <w:lang w:val="en-US"/>
        </w:rPr>
        <w:t xml:space="preserve">and </w:t>
      </w:r>
      <w:r w:rsidR="00F82001" w:rsidRPr="005A41E0">
        <w:rPr>
          <w:rFonts w:asciiTheme="majorHAnsi" w:hAnsiTheme="majorHAnsi"/>
          <w:sz w:val="20"/>
          <w:szCs w:val="20"/>
          <w:lang w:val="en-US"/>
        </w:rPr>
        <w:t>4</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2006, respectively</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in the context of the conflict and protests of the flower growers and other groups. </w:t>
      </w:r>
    </w:p>
    <w:p w:rsidR="00F82001" w:rsidRPr="005A41E0" w:rsidRDefault="00F82001" w:rsidP="005A41E0">
      <w:pPr>
        <w:widowControl w:val="0"/>
        <w:autoSpaceDE w:val="0"/>
        <w:autoSpaceDN w:val="0"/>
        <w:adjustRightInd w:val="0"/>
        <w:jc w:val="both"/>
        <w:rPr>
          <w:rFonts w:asciiTheme="majorHAnsi" w:hAnsiTheme="majorHAnsi"/>
          <w:sz w:val="20"/>
          <w:szCs w:val="20"/>
          <w:lang w:val="en-US"/>
        </w:rPr>
      </w:pPr>
    </w:p>
    <w:p w:rsidR="00F82001" w:rsidRPr="005A41E0" w:rsidRDefault="00796EDD" w:rsidP="005F6A60">
      <w:pPr>
        <w:pStyle w:val="ListParagraph"/>
        <w:numPr>
          <w:ilvl w:val="0"/>
          <w:numId w:val="15"/>
        </w:numPr>
        <w:shd w:val="clear" w:color="auto" w:fill="FFFFFF"/>
        <w:tabs>
          <w:tab w:val="clear" w:pos="1080"/>
        </w:tabs>
        <w:ind w:left="0"/>
        <w:jc w:val="both"/>
        <w:rPr>
          <w:rFonts w:asciiTheme="majorHAnsi" w:hAnsiTheme="majorHAnsi" w:cs="Cambria"/>
          <w:sz w:val="20"/>
          <w:szCs w:val="20"/>
          <w:u w:color="000000"/>
          <w:lang w:val="en-US" w:eastAsia="es-ES"/>
        </w:rPr>
      </w:pPr>
      <w:r w:rsidRPr="005A41E0">
        <w:rPr>
          <w:rFonts w:asciiTheme="majorHAnsi" w:hAnsiTheme="majorHAnsi" w:cs="Cambria"/>
          <w:sz w:val="20"/>
          <w:szCs w:val="20"/>
          <w:u w:color="000000"/>
          <w:lang w:val="en-US" w:eastAsia="es-ES"/>
        </w:rPr>
        <w:t xml:space="preserve">The IACHR established that the detention of the 11 women on May </w:t>
      </w:r>
      <w:r w:rsidR="00F82001" w:rsidRPr="005A41E0">
        <w:rPr>
          <w:rFonts w:asciiTheme="majorHAnsi" w:hAnsiTheme="majorHAnsi" w:cs="Cambria"/>
          <w:sz w:val="20"/>
          <w:szCs w:val="20"/>
          <w:u w:color="000000"/>
          <w:lang w:val="en-US" w:eastAsia="es-ES"/>
        </w:rPr>
        <w:t xml:space="preserve">3 </w:t>
      </w:r>
      <w:r w:rsidRPr="005A41E0">
        <w:rPr>
          <w:rFonts w:asciiTheme="majorHAnsi" w:hAnsiTheme="majorHAnsi" w:cs="Cambria"/>
          <w:sz w:val="20"/>
          <w:szCs w:val="20"/>
          <w:u w:color="000000"/>
          <w:lang w:val="en-US" w:eastAsia="es-ES"/>
        </w:rPr>
        <w:t xml:space="preserve">and </w:t>
      </w:r>
      <w:r w:rsidR="00F82001" w:rsidRPr="005A41E0">
        <w:rPr>
          <w:rFonts w:asciiTheme="majorHAnsi" w:hAnsiTheme="majorHAnsi" w:cs="Cambria"/>
          <w:sz w:val="20"/>
          <w:szCs w:val="20"/>
          <w:u w:color="000000"/>
          <w:lang w:val="en-US" w:eastAsia="es-ES"/>
        </w:rPr>
        <w:t>4</w:t>
      </w:r>
      <w:r w:rsidRPr="005A41E0">
        <w:rPr>
          <w:rFonts w:asciiTheme="majorHAnsi" w:hAnsiTheme="majorHAnsi" w:cs="Cambria"/>
          <w:sz w:val="20"/>
          <w:szCs w:val="20"/>
          <w:u w:color="000000"/>
          <w:lang w:val="en-US" w:eastAsia="es-ES"/>
        </w:rPr>
        <w:t>,</w:t>
      </w:r>
      <w:r w:rsidR="00F82001" w:rsidRPr="005A41E0">
        <w:rPr>
          <w:rFonts w:asciiTheme="majorHAnsi" w:hAnsiTheme="majorHAnsi" w:cs="Cambria"/>
          <w:sz w:val="20"/>
          <w:szCs w:val="20"/>
          <w:u w:color="000000"/>
          <w:lang w:val="en-US" w:eastAsia="es-ES"/>
        </w:rPr>
        <w:t xml:space="preserve"> 2006 </w:t>
      </w:r>
      <w:r w:rsidRPr="005A41E0">
        <w:rPr>
          <w:rFonts w:asciiTheme="majorHAnsi" w:hAnsiTheme="majorHAnsi" w:cs="Cambria"/>
          <w:sz w:val="20"/>
          <w:szCs w:val="20"/>
          <w:u w:color="000000"/>
          <w:lang w:val="en-US" w:eastAsia="es-ES"/>
        </w:rPr>
        <w:t xml:space="preserve">was </w:t>
      </w:r>
      <w:r w:rsidR="00573F46" w:rsidRPr="005A41E0">
        <w:rPr>
          <w:rFonts w:asciiTheme="majorHAnsi" w:hAnsiTheme="majorHAnsi" w:cs="Cambria"/>
          <w:sz w:val="20"/>
          <w:szCs w:val="20"/>
          <w:u w:color="000000"/>
          <w:lang w:val="en-US" w:eastAsia="es-ES"/>
        </w:rPr>
        <w:t>il</w:t>
      </w:r>
      <w:r w:rsidR="005375EF">
        <w:rPr>
          <w:rFonts w:asciiTheme="majorHAnsi" w:hAnsiTheme="majorHAnsi" w:cs="Cambria"/>
          <w:sz w:val="20"/>
          <w:szCs w:val="20"/>
          <w:u w:color="000000"/>
          <w:lang w:val="en-US" w:eastAsia="es-ES"/>
        </w:rPr>
        <w:t>legal and</w:t>
      </w:r>
      <w:r w:rsidRPr="005A41E0">
        <w:rPr>
          <w:rFonts w:asciiTheme="majorHAnsi" w:hAnsiTheme="majorHAnsi" w:cs="Cambria"/>
          <w:sz w:val="20"/>
          <w:szCs w:val="20"/>
          <w:u w:color="000000"/>
          <w:lang w:val="en-US" w:eastAsia="es-ES"/>
        </w:rPr>
        <w:t xml:space="preserve"> arbitrary, and that they were not informed of </w:t>
      </w:r>
      <w:r w:rsidR="005375EF">
        <w:rPr>
          <w:rFonts w:asciiTheme="majorHAnsi" w:hAnsiTheme="majorHAnsi" w:cs="Cambria"/>
          <w:sz w:val="20"/>
          <w:szCs w:val="20"/>
          <w:u w:color="000000"/>
          <w:lang w:val="en-US" w:eastAsia="es-ES"/>
        </w:rPr>
        <w:t>the reasons for their detention</w:t>
      </w:r>
      <w:r w:rsidRPr="005A41E0">
        <w:rPr>
          <w:rFonts w:asciiTheme="majorHAnsi" w:hAnsiTheme="majorHAnsi" w:cs="Cambria"/>
          <w:sz w:val="20"/>
          <w:szCs w:val="20"/>
          <w:u w:color="000000"/>
          <w:lang w:val="en-US" w:eastAsia="es-ES"/>
        </w:rPr>
        <w:t xml:space="preserve"> or of the respective charges. In addition, the IACHR determined that the 11 women went to give their first statements without having even the minimum of information and without any assistance of counsel</w:t>
      </w:r>
      <w:r w:rsidR="005375EF">
        <w:rPr>
          <w:rFonts w:asciiTheme="majorHAnsi" w:hAnsiTheme="majorHAnsi" w:cs="Cambria"/>
          <w:sz w:val="20"/>
          <w:szCs w:val="20"/>
          <w:u w:color="000000"/>
          <w:lang w:val="en-US" w:eastAsia="es-ES"/>
        </w:rPr>
        <w:t xml:space="preserve"> whatsoever. </w:t>
      </w:r>
    </w:p>
    <w:p w:rsidR="00F82001" w:rsidRPr="005A41E0" w:rsidRDefault="00F82001" w:rsidP="005A41E0">
      <w:pPr>
        <w:jc w:val="both"/>
        <w:rPr>
          <w:rFonts w:asciiTheme="majorHAnsi" w:hAnsiTheme="majorHAnsi" w:cs="Arial"/>
          <w:b/>
          <w:sz w:val="20"/>
          <w:szCs w:val="20"/>
          <w:lang w:val="en-US"/>
        </w:rPr>
      </w:pPr>
    </w:p>
    <w:p w:rsidR="00F82001" w:rsidRPr="005A41E0" w:rsidRDefault="00796EDD" w:rsidP="005F6A60">
      <w:pPr>
        <w:pStyle w:val="ListParagraph"/>
        <w:numPr>
          <w:ilvl w:val="0"/>
          <w:numId w:val="15"/>
        </w:numPr>
        <w:shd w:val="clear" w:color="auto" w:fill="FFFFFF"/>
        <w:tabs>
          <w:tab w:val="clear" w:pos="1080"/>
        </w:tabs>
        <w:ind w:left="0"/>
        <w:jc w:val="both"/>
        <w:rPr>
          <w:rFonts w:asciiTheme="majorHAnsi" w:hAnsiTheme="majorHAnsi" w:cs="Arial"/>
          <w:sz w:val="20"/>
          <w:szCs w:val="20"/>
          <w:lang w:val="en-US"/>
        </w:rPr>
      </w:pPr>
      <w:r w:rsidRPr="005A41E0">
        <w:rPr>
          <w:rFonts w:asciiTheme="majorHAnsi" w:hAnsiTheme="majorHAnsi" w:cs="Arial"/>
          <w:sz w:val="20"/>
          <w:szCs w:val="20"/>
          <w:lang w:val="en-US"/>
        </w:rPr>
        <w:t>After analyzing the evidence available, the IACHR considered i</w:t>
      </w:r>
      <w:r w:rsidR="005375EF">
        <w:rPr>
          <w:rFonts w:asciiTheme="majorHAnsi" w:hAnsiTheme="majorHAnsi" w:cs="Arial"/>
          <w:sz w:val="20"/>
          <w:szCs w:val="20"/>
          <w:lang w:val="en-US"/>
        </w:rPr>
        <w:t>t to have been shown that grave</w:t>
      </w:r>
      <w:r w:rsidRPr="005A41E0">
        <w:rPr>
          <w:rFonts w:asciiTheme="majorHAnsi" w:hAnsiTheme="majorHAnsi" w:cs="Arial"/>
          <w:sz w:val="20"/>
          <w:szCs w:val="20"/>
          <w:lang w:val="en-US"/>
        </w:rPr>
        <w:t xml:space="preserve"> acts of physical and psychological violence occurred, including several forms of sexual violence against the 11 women, and rape in the case of </w:t>
      </w:r>
      <w:r w:rsidR="00F82001" w:rsidRPr="005A41E0">
        <w:rPr>
          <w:rFonts w:asciiTheme="majorHAnsi" w:hAnsiTheme="majorHAnsi" w:cs="Arial"/>
          <w:sz w:val="20"/>
          <w:szCs w:val="20"/>
          <w:lang w:val="en-US"/>
        </w:rPr>
        <w:t>Norma Aidé Jiménez Osorio, Mariana Selvas Gómez, Ana María Velasco Rodríguez, Suhelen Gabriela Cuevas Jaramillo, Bárbara Italia Méndez Moreno, Patricia Torres Linares</w:t>
      </w:r>
      <w:r w:rsidRPr="005A41E0">
        <w:rPr>
          <w:rFonts w:asciiTheme="majorHAnsi" w:hAnsiTheme="majorHAnsi" w:cs="Arial"/>
          <w:sz w:val="20"/>
          <w:szCs w:val="20"/>
          <w:lang w:val="en-US"/>
        </w:rPr>
        <w:t xml:space="preserve">, and </w:t>
      </w:r>
      <w:r w:rsidR="00F82001" w:rsidRPr="005A41E0">
        <w:rPr>
          <w:rFonts w:asciiTheme="majorHAnsi" w:hAnsiTheme="majorHAnsi" w:cs="Arial"/>
          <w:sz w:val="20"/>
          <w:szCs w:val="20"/>
          <w:lang w:val="en-US"/>
        </w:rPr>
        <w:t xml:space="preserve">Claudia Hernández Martínez. </w:t>
      </w:r>
      <w:r w:rsidRPr="005A41E0">
        <w:rPr>
          <w:rFonts w:asciiTheme="majorHAnsi" w:hAnsiTheme="majorHAnsi" w:cs="Arial"/>
          <w:sz w:val="20"/>
          <w:szCs w:val="20"/>
          <w:lang w:val="en-US"/>
        </w:rPr>
        <w:t xml:space="preserve">In addition, the IACHR considered it to have been shown that these acts were committed by state agents and took place at the moment of detention, in the context of the transfers and the arrival at the Center for Prevention and Social Readaptation (CEPRESO: </w:t>
      </w:r>
      <w:r w:rsidR="00573F46" w:rsidRPr="005A41E0">
        <w:rPr>
          <w:rFonts w:asciiTheme="majorHAnsi" w:hAnsiTheme="majorHAnsi" w:cs="Arial"/>
          <w:sz w:val="20"/>
          <w:szCs w:val="20"/>
          <w:lang w:val="en-US"/>
        </w:rPr>
        <w:t>Centro Preventivo y de Readaptación Social)</w:t>
      </w:r>
      <w:r w:rsidR="00F82001" w:rsidRPr="005A41E0">
        <w:rPr>
          <w:rFonts w:asciiTheme="majorHAnsi" w:hAnsiTheme="majorHAnsi" w:cs="Arial"/>
          <w:sz w:val="20"/>
          <w:szCs w:val="20"/>
          <w:lang w:val="en-US"/>
        </w:rPr>
        <w:t xml:space="preserve">. </w:t>
      </w:r>
      <w:r w:rsidRPr="005A41E0">
        <w:rPr>
          <w:rFonts w:asciiTheme="majorHAnsi" w:hAnsiTheme="majorHAnsi" w:cs="Arial"/>
          <w:sz w:val="20"/>
          <w:szCs w:val="20"/>
          <w:lang w:val="en-US"/>
        </w:rPr>
        <w:t>Among the forms of physical, psychological, and sexual violence shown are: (</w:t>
      </w:r>
      <w:r w:rsidR="00F82001" w:rsidRPr="005A41E0">
        <w:rPr>
          <w:rFonts w:asciiTheme="majorHAnsi" w:hAnsiTheme="majorHAnsi" w:cs="Arial"/>
          <w:sz w:val="20"/>
          <w:szCs w:val="20"/>
          <w:lang w:val="en-US"/>
        </w:rPr>
        <w:t xml:space="preserve">i) </w:t>
      </w:r>
      <w:r w:rsidRPr="005A41E0">
        <w:rPr>
          <w:rFonts w:asciiTheme="majorHAnsi" w:hAnsiTheme="majorHAnsi" w:cs="Arial"/>
          <w:sz w:val="20"/>
          <w:szCs w:val="20"/>
          <w:lang w:val="en-US"/>
        </w:rPr>
        <w:t xml:space="preserve">strong blows to different parts of the body, with punches, kicking, and </w:t>
      </w:r>
      <w:r w:rsidR="005375EF">
        <w:rPr>
          <w:rFonts w:asciiTheme="majorHAnsi" w:hAnsiTheme="majorHAnsi" w:cs="Arial"/>
          <w:sz w:val="20"/>
          <w:szCs w:val="20"/>
          <w:lang w:val="en-US"/>
        </w:rPr>
        <w:t xml:space="preserve">use of </w:t>
      </w:r>
      <w:r w:rsidRPr="005A41E0">
        <w:rPr>
          <w:rFonts w:asciiTheme="majorHAnsi" w:hAnsiTheme="majorHAnsi" w:cs="Arial"/>
          <w:sz w:val="20"/>
          <w:szCs w:val="20"/>
          <w:lang w:val="en-US"/>
        </w:rPr>
        <w:t>clubs</w:t>
      </w:r>
      <w:r w:rsidR="00F82001" w:rsidRPr="005A41E0">
        <w:rPr>
          <w:rFonts w:asciiTheme="majorHAnsi" w:hAnsiTheme="majorHAnsi" w:cs="Arial"/>
          <w:sz w:val="20"/>
          <w:szCs w:val="20"/>
          <w:lang w:val="en-US"/>
        </w:rPr>
        <w:t xml:space="preserve">; </w:t>
      </w:r>
      <w:r w:rsidRPr="005A41E0">
        <w:rPr>
          <w:rFonts w:asciiTheme="majorHAnsi" w:hAnsiTheme="majorHAnsi" w:cs="Arial"/>
          <w:sz w:val="20"/>
          <w:szCs w:val="20"/>
          <w:lang w:val="en-US"/>
        </w:rPr>
        <w:t>(</w:t>
      </w:r>
      <w:r w:rsidR="00F82001" w:rsidRPr="005A41E0">
        <w:rPr>
          <w:rFonts w:asciiTheme="majorHAnsi" w:hAnsiTheme="majorHAnsi" w:cs="Arial"/>
          <w:sz w:val="20"/>
          <w:szCs w:val="20"/>
          <w:lang w:val="en-US"/>
        </w:rPr>
        <w:t xml:space="preserve">ii) </w:t>
      </w:r>
      <w:r w:rsidRPr="005A41E0">
        <w:rPr>
          <w:rFonts w:asciiTheme="majorHAnsi" w:hAnsiTheme="majorHAnsi" w:cs="Arial"/>
          <w:sz w:val="20"/>
          <w:szCs w:val="20"/>
          <w:lang w:val="en-US"/>
        </w:rPr>
        <w:t>threats of rape, death, or disappe</w:t>
      </w:r>
      <w:r w:rsidR="005375EF">
        <w:rPr>
          <w:rFonts w:asciiTheme="majorHAnsi" w:hAnsiTheme="majorHAnsi" w:cs="Arial"/>
          <w:sz w:val="20"/>
          <w:szCs w:val="20"/>
          <w:lang w:val="en-US"/>
        </w:rPr>
        <w:t>a</w:t>
      </w:r>
      <w:r w:rsidRPr="005A41E0">
        <w:rPr>
          <w:rFonts w:asciiTheme="majorHAnsi" w:hAnsiTheme="majorHAnsi" w:cs="Arial"/>
          <w:sz w:val="20"/>
          <w:szCs w:val="20"/>
          <w:lang w:val="en-US"/>
        </w:rPr>
        <w:t>rance</w:t>
      </w:r>
      <w:r w:rsidR="00F82001" w:rsidRPr="005A41E0">
        <w:rPr>
          <w:rFonts w:asciiTheme="majorHAnsi" w:hAnsiTheme="majorHAnsi" w:cs="Arial"/>
          <w:sz w:val="20"/>
          <w:szCs w:val="20"/>
          <w:lang w:val="en-US"/>
        </w:rPr>
        <w:t xml:space="preserve">; </w:t>
      </w:r>
      <w:r w:rsidRPr="005A41E0">
        <w:rPr>
          <w:rFonts w:asciiTheme="majorHAnsi" w:hAnsiTheme="majorHAnsi" w:cs="Arial"/>
          <w:sz w:val="20"/>
          <w:szCs w:val="20"/>
          <w:lang w:val="en-US"/>
        </w:rPr>
        <w:t>(</w:t>
      </w:r>
      <w:r w:rsidR="00F82001" w:rsidRPr="005A41E0">
        <w:rPr>
          <w:rFonts w:asciiTheme="majorHAnsi" w:hAnsiTheme="majorHAnsi" w:cs="Arial"/>
          <w:sz w:val="20"/>
          <w:szCs w:val="20"/>
          <w:lang w:val="en-US"/>
        </w:rPr>
        <w:t xml:space="preserve">iii) </w:t>
      </w:r>
      <w:r w:rsidRPr="005A41E0">
        <w:rPr>
          <w:rFonts w:asciiTheme="majorHAnsi" w:hAnsiTheme="majorHAnsi" w:cs="Arial"/>
          <w:sz w:val="20"/>
          <w:szCs w:val="20"/>
          <w:lang w:val="en-US"/>
        </w:rPr>
        <w:t xml:space="preserve">touching the gluteus, breasts, and </w:t>
      </w:r>
      <w:r w:rsidR="00F82001" w:rsidRPr="005A41E0">
        <w:rPr>
          <w:rFonts w:asciiTheme="majorHAnsi" w:hAnsiTheme="majorHAnsi" w:cs="Arial"/>
          <w:sz w:val="20"/>
          <w:szCs w:val="20"/>
          <w:lang w:val="en-US"/>
        </w:rPr>
        <w:t xml:space="preserve">vagina, </w:t>
      </w:r>
      <w:r w:rsidR="00F13D52" w:rsidRPr="005A41E0">
        <w:rPr>
          <w:rFonts w:asciiTheme="majorHAnsi" w:hAnsiTheme="majorHAnsi" w:cs="Arial"/>
          <w:sz w:val="20"/>
          <w:szCs w:val="20"/>
          <w:lang w:val="en-US"/>
        </w:rPr>
        <w:t>blows and pinching on those same parts of the body, grabbing, biting, and pinching the nipples, violent removal of underwear</w:t>
      </w:r>
      <w:r w:rsidR="005375EF">
        <w:rPr>
          <w:rFonts w:asciiTheme="majorHAnsi" w:hAnsiTheme="majorHAnsi" w:cs="Arial"/>
          <w:sz w:val="20"/>
          <w:szCs w:val="20"/>
          <w:lang w:val="en-US"/>
        </w:rPr>
        <w:t>,</w:t>
      </w:r>
      <w:r w:rsidR="00F13D52" w:rsidRPr="005A41E0">
        <w:rPr>
          <w:rFonts w:asciiTheme="majorHAnsi" w:hAnsiTheme="majorHAnsi" w:cs="Arial"/>
          <w:sz w:val="20"/>
          <w:szCs w:val="20"/>
          <w:lang w:val="en-US"/>
        </w:rPr>
        <w:t xml:space="preserve"> and forced stripping</w:t>
      </w:r>
      <w:r w:rsidR="00F82001" w:rsidRPr="005A41E0">
        <w:rPr>
          <w:rFonts w:asciiTheme="majorHAnsi" w:hAnsiTheme="majorHAnsi" w:cs="Arial"/>
          <w:sz w:val="20"/>
          <w:szCs w:val="20"/>
          <w:lang w:val="en-US"/>
        </w:rPr>
        <w:t xml:space="preserve">; </w:t>
      </w:r>
      <w:r w:rsidR="00F13D52" w:rsidRPr="005A41E0">
        <w:rPr>
          <w:rFonts w:asciiTheme="majorHAnsi" w:hAnsiTheme="majorHAnsi" w:cs="Arial"/>
          <w:sz w:val="20"/>
          <w:szCs w:val="20"/>
          <w:lang w:val="en-US"/>
        </w:rPr>
        <w:t xml:space="preserve">(iv) penetration of fingers and objects in the </w:t>
      </w:r>
      <w:r w:rsidR="00F82001" w:rsidRPr="005A41E0">
        <w:rPr>
          <w:rFonts w:asciiTheme="majorHAnsi" w:hAnsiTheme="majorHAnsi" w:cs="Arial"/>
          <w:sz w:val="20"/>
          <w:szCs w:val="20"/>
          <w:lang w:val="en-US"/>
        </w:rPr>
        <w:t xml:space="preserve">vagina </w:t>
      </w:r>
      <w:r w:rsidR="00F13D52" w:rsidRPr="005A41E0">
        <w:rPr>
          <w:rFonts w:asciiTheme="majorHAnsi" w:hAnsiTheme="majorHAnsi" w:cs="Arial"/>
          <w:sz w:val="20"/>
          <w:szCs w:val="20"/>
          <w:lang w:val="en-US"/>
        </w:rPr>
        <w:t>and anus</w:t>
      </w:r>
      <w:r w:rsidR="00F82001" w:rsidRPr="005A41E0">
        <w:rPr>
          <w:rFonts w:asciiTheme="majorHAnsi" w:hAnsiTheme="majorHAnsi" w:cs="Arial"/>
          <w:sz w:val="20"/>
          <w:szCs w:val="20"/>
          <w:lang w:val="en-US"/>
        </w:rPr>
        <w:t xml:space="preserve">, </w:t>
      </w:r>
      <w:r w:rsidR="00F13D52" w:rsidRPr="005A41E0">
        <w:rPr>
          <w:rFonts w:asciiTheme="majorHAnsi" w:hAnsiTheme="majorHAnsi" w:cs="Arial"/>
          <w:sz w:val="20"/>
          <w:szCs w:val="20"/>
          <w:lang w:val="en-US"/>
        </w:rPr>
        <w:t>invasion of the vaginal labia with fingers and objects, as well as demand</w:t>
      </w:r>
      <w:r w:rsidR="005F6A60">
        <w:rPr>
          <w:rFonts w:asciiTheme="majorHAnsi" w:hAnsiTheme="majorHAnsi" w:cs="Arial"/>
          <w:sz w:val="20"/>
          <w:szCs w:val="20"/>
          <w:lang w:val="en-US"/>
        </w:rPr>
        <w:t>s</w:t>
      </w:r>
      <w:r w:rsidR="00F13D52" w:rsidRPr="005A41E0">
        <w:rPr>
          <w:rFonts w:asciiTheme="majorHAnsi" w:hAnsiTheme="majorHAnsi" w:cs="Arial"/>
          <w:sz w:val="20"/>
          <w:szCs w:val="20"/>
          <w:lang w:val="en-US"/>
        </w:rPr>
        <w:t xml:space="preserve"> to perform oral sex</w:t>
      </w:r>
      <w:r w:rsidR="00F82001" w:rsidRPr="005A41E0">
        <w:rPr>
          <w:rFonts w:asciiTheme="majorHAnsi" w:hAnsiTheme="majorHAnsi" w:cs="Arial"/>
          <w:sz w:val="20"/>
          <w:szCs w:val="20"/>
          <w:lang w:val="en-US"/>
        </w:rPr>
        <w:t xml:space="preserve">; </w:t>
      </w:r>
      <w:r w:rsidR="00F13D52" w:rsidRPr="005A41E0">
        <w:rPr>
          <w:rFonts w:asciiTheme="majorHAnsi" w:hAnsiTheme="majorHAnsi" w:cs="Arial"/>
          <w:sz w:val="20"/>
          <w:szCs w:val="20"/>
          <w:lang w:val="en-US"/>
        </w:rPr>
        <w:t>and (v) insults and denigrating and humiliating expressions</w:t>
      </w:r>
      <w:r w:rsidR="00F82001" w:rsidRPr="005A41E0">
        <w:rPr>
          <w:rFonts w:asciiTheme="majorHAnsi" w:hAnsiTheme="majorHAnsi" w:cs="Arial"/>
          <w:sz w:val="20"/>
          <w:szCs w:val="20"/>
          <w:lang w:val="en-US"/>
        </w:rPr>
        <w:t xml:space="preserve">. </w:t>
      </w:r>
      <w:r w:rsidR="00F13D52" w:rsidRPr="005A41E0">
        <w:rPr>
          <w:rFonts w:asciiTheme="majorHAnsi" w:hAnsiTheme="majorHAnsi" w:cs="Arial"/>
          <w:sz w:val="20"/>
          <w:szCs w:val="20"/>
          <w:lang w:val="en-US"/>
        </w:rPr>
        <w:t xml:space="preserve">The IACHR determined that all these acts reflected the special viciousness of the police agents directed against the victims because they are women. </w:t>
      </w:r>
    </w:p>
    <w:p w:rsidR="00F82001" w:rsidRPr="005A41E0" w:rsidRDefault="00F82001" w:rsidP="005A41E0">
      <w:pPr>
        <w:pStyle w:val="BodyTextIndent"/>
        <w:ind w:left="0"/>
        <w:rPr>
          <w:rFonts w:asciiTheme="majorHAnsi" w:hAnsiTheme="majorHAnsi"/>
          <w:sz w:val="20"/>
          <w:szCs w:val="20"/>
          <w:lang w:val="en-US"/>
        </w:rPr>
      </w:pPr>
    </w:p>
    <w:p w:rsidR="00F82001" w:rsidRPr="005A41E0" w:rsidRDefault="00F13D52" w:rsidP="005375E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cs="Cambria"/>
          <w:sz w:val="20"/>
          <w:szCs w:val="20"/>
          <w:u w:color="000000"/>
          <w:lang w:val="en-US" w:eastAsia="es-ES"/>
        </w:rPr>
        <w:t xml:space="preserve">The IACHR characterized these facts as torture and determined that the 11 women were the victims of various forms of physical, psychological, and sexual torture in the context of their detention, transfers, and arrival at the detention center. The IACHR also established that the Mexican State breached its duty to investigate these acts of physical, psychological, and sexual torture with due diligence and within a reasonable time. </w:t>
      </w:r>
      <w:r w:rsidRPr="005A41E0">
        <w:rPr>
          <w:rFonts w:asciiTheme="majorHAnsi" w:hAnsiTheme="majorHAnsi"/>
          <w:sz w:val="20"/>
          <w:szCs w:val="20"/>
          <w:lang w:val="en-US"/>
        </w:rPr>
        <w:t>Finally</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IACHR determined that there were violations of psychological and moral integrity to the detriment of the victims’ next-of-kin. </w:t>
      </w:r>
    </w:p>
    <w:p w:rsidR="00F82001" w:rsidRPr="005A41E0" w:rsidRDefault="00F82001" w:rsidP="005A41E0">
      <w:pPr>
        <w:jc w:val="both"/>
        <w:rPr>
          <w:rFonts w:asciiTheme="majorHAnsi" w:hAnsiTheme="majorHAnsi" w:cs="Arial"/>
          <w:sz w:val="20"/>
          <w:szCs w:val="20"/>
          <w:lang w:val="en-US"/>
        </w:rPr>
      </w:pPr>
    </w:p>
    <w:p w:rsidR="00F82001" w:rsidRPr="005A41E0" w:rsidRDefault="00F82001" w:rsidP="005A41E0">
      <w:pPr>
        <w:ind w:left="1440" w:hanging="720"/>
        <w:jc w:val="both"/>
        <w:rPr>
          <w:rFonts w:asciiTheme="majorHAnsi" w:hAnsiTheme="majorHAnsi" w:cs="Arial"/>
          <w:sz w:val="20"/>
          <w:szCs w:val="20"/>
          <w:lang w:val="en-US"/>
        </w:rPr>
      </w:pPr>
      <w:r w:rsidRPr="000643A5">
        <w:rPr>
          <w:rFonts w:asciiTheme="majorHAnsi" w:hAnsiTheme="majorHAnsi"/>
          <w:b/>
          <w:sz w:val="20"/>
          <w:szCs w:val="20"/>
          <w:lang w:val="fr-CA"/>
        </w:rPr>
        <w:t xml:space="preserve">l. </w:t>
      </w:r>
      <w:r w:rsidRPr="000643A5">
        <w:rPr>
          <w:rFonts w:asciiTheme="majorHAnsi" w:hAnsiTheme="majorHAnsi"/>
          <w:b/>
          <w:sz w:val="20"/>
          <w:szCs w:val="20"/>
          <w:lang w:val="fr-CA"/>
        </w:rPr>
        <w:tab/>
        <w:t xml:space="preserve">Maurilia Coc Max </w:t>
      </w:r>
      <w:r w:rsidR="00F13D52" w:rsidRPr="000643A5">
        <w:rPr>
          <w:rFonts w:asciiTheme="majorHAnsi" w:hAnsiTheme="majorHAnsi"/>
          <w:b/>
          <w:sz w:val="20"/>
          <w:szCs w:val="20"/>
          <w:lang w:val="fr-CA"/>
        </w:rPr>
        <w:t xml:space="preserve">et al. </w:t>
      </w:r>
      <w:r w:rsidRPr="005A41E0">
        <w:rPr>
          <w:rFonts w:asciiTheme="majorHAnsi" w:hAnsiTheme="majorHAnsi"/>
          <w:b/>
          <w:sz w:val="20"/>
          <w:szCs w:val="20"/>
          <w:lang w:val="en-US"/>
        </w:rPr>
        <w:t>(Ma</w:t>
      </w:r>
      <w:r w:rsidR="00F13D52" w:rsidRPr="005A41E0">
        <w:rPr>
          <w:rFonts w:asciiTheme="majorHAnsi" w:hAnsiTheme="majorHAnsi"/>
          <w:b/>
          <w:sz w:val="20"/>
          <w:szCs w:val="20"/>
          <w:lang w:val="en-US"/>
        </w:rPr>
        <w:t>s</w:t>
      </w:r>
      <w:r w:rsidRPr="005A41E0">
        <w:rPr>
          <w:rFonts w:asciiTheme="majorHAnsi" w:hAnsiTheme="majorHAnsi"/>
          <w:b/>
          <w:sz w:val="20"/>
          <w:szCs w:val="20"/>
          <w:lang w:val="en-US"/>
        </w:rPr>
        <w:t xml:space="preserve">sacre </w:t>
      </w:r>
      <w:r w:rsidR="00F13D52" w:rsidRPr="005A41E0">
        <w:rPr>
          <w:rFonts w:asciiTheme="majorHAnsi" w:hAnsiTheme="majorHAnsi"/>
          <w:b/>
          <w:sz w:val="20"/>
          <w:szCs w:val="20"/>
          <w:lang w:val="en-US"/>
        </w:rPr>
        <w:t>of Xamán) v</w:t>
      </w:r>
      <w:r w:rsidRPr="005A41E0">
        <w:rPr>
          <w:rFonts w:asciiTheme="majorHAnsi" w:hAnsiTheme="majorHAnsi"/>
          <w:b/>
          <w:sz w:val="20"/>
          <w:szCs w:val="20"/>
          <w:lang w:val="en-US"/>
        </w:rPr>
        <w:t>. Guatemala (</w:t>
      </w:r>
      <w:r w:rsidR="00F13D52" w:rsidRPr="005A41E0">
        <w:rPr>
          <w:rFonts w:asciiTheme="majorHAnsi" w:hAnsiTheme="majorHAnsi"/>
          <w:b/>
          <w:sz w:val="20"/>
          <w:szCs w:val="20"/>
          <w:lang w:val="en-US"/>
        </w:rPr>
        <w:t xml:space="preserve">submitted September 21, </w:t>
      </w:r>
      <w:r w:rsidRPr="005A41E0">
        <w:rPr>
          <w:rFonts w:asciiTheme="majorHAnsi" w:hAnsiTheme="majorHAnsi"/>
          <w:b/>
          <w:sz w:val="20"/>
          <w:szCs w:val="20"/>
          <w:lang w:val="en-US"/>
        </w:rPr>
        <w:t>2016)</w:t>
      </w:r>
    </w:p>
    <w:p w:rsidR="00F82001" w:rsidRPr="005A41E0" w:rsidRDefault="00F82001" w:rsidP="005A41E0">
      <w:pPr>
        <w:jc w:val="both"/>
        <w:rPr>
          <w:rFonts w:asciiTheme="majorHAnsi" w:hAnsiTheme="majorHAnsi" w:cs="Arial"/>
          <w:sz w:val="20"/>
          <w:szCs w:val="20"/>
          <w:lang w:val="en-US"/>
        </w:rPr>
      </w:pPr>
    </w:p>
    <w:p w:rsidR="00F82001" w:rsidRPr="005A41E0" w:rsidRDefault="00F13D52" w:rsidP="00EE0F18">
      <w:pPr>
        <w:pStyle w:val="ListParagraph"/>
        <w:numPr>
          <w:ilvl w:val="0"/>
          <w:numId w:val="15"/>
        </w:numPr>
        <w:shd w:val="clear" w:color="auto" w:fill="FFFFFF"/>
        <w:tabs>
          <w:tab w:val="clear" w:pos="1080"/>
        </w:tabs>
        <w:ind w:left="0"/>
        <w:jc w:val="both"/>
        <w:rPr>
          <w:rFonts w:asciiTheme="majorHAnsi" w:hAnsiTheme="majorHAnsi" w:cs="Arial"/>
          <w:sz w:val="20"/>
          <w:szCs w:val="20"/>
          <w:lang w:val="en-US"/>
        </w:rPr>
      </w:pPr>
      <w:r w:rsidRPr="005A41E0">
        <w:rPr>
          <w:rFonts w:asciiTheme="majorHAnsi" w:hAnsiTheme="majorHAnsi"/>
          <w:sz w:val="20"/>
          <w:szCs w:val="20"/>
          <w:lang w:val="en-US"/>
        </w:rPr>
        <w:t xml:space="preserve">The case has to do with the massacre perpetrated by members of the Armed Forces of Guatemala on October 5, </w:t>
      </w:r>
      <w:r w:rsidR="00F82001" w:rsidRPr="005A41E0">
        <w:rPr>
          <w:rFonts w:asciiTheme="majorHAnsi" w:hAnsiTheme="majorHAnsi"/>
          <w:sz w:val="20"/>
          <w:szCs w:val="20"/>
          <w:lang w:val="en-US"/>
        </w:rPr>
        <w:t xml:space="preserve">1995 </w:t>
      </w:r>
      <w:r w:rsidRPr="005A41E0">
        <w:rPr>
          <w:rFonts w:asciiTheme="majorHAnsi" w:hAnsiTheme="majorHAnsi"/>
          <w:sz w:val="20"/>
          <w:szCs w:val="20"/>
          <w:lang w:val="en-US"/>
        </w:rPr>
        <w:t>of 11 persons, including three children, who were part of the Q</w:t>
      </w:r>
      <w:r w:rsidR="00F82001" w:rsidRPr="005A41E0">
        <w:rPr>
          <w:rFonts w:asciiTheme="majorHAnsi" w:hAnsiTheme="majorHAnsi"/>
          <w:sz w:val="20"/>
          <w:szCs w:val="20"/>
          <w:lang w:val="en-US"/>
        </w:rPr>
        <w:t xml:space="preserve">’eqchi’, </w:t>
      </w:r>
      <w:r w:rsidRPr="005A41E0">
        <w:rPr>
          <w:rFonts w:asciiTheme="majorHAnsi" w:hAnsiTheme="majorHAnsi"/>
          <w:sz w:val="20"/>
          <w:szCs w:val="20"/>
          <w:lang w:val="en-US"/>
        </w:rPr>
        <w:t>Mam, Q</w:t>
      </w:r>
      <w:r w:rsidR="00F82001" w:rsidRPr="005A41E0">
        <w:rPr>
          <w:rFonts w:asciiTheme="majorHAnsi" w:hAnsiTheme="majorHAnsi"/>
          <w:sz w:val="20"/>
          <w:szCs w:val="20"/>
          <w:lang w:val="en-US"/>
        </w:rPr>
        <w:t>’anjob’al</w:t>
      </w:r>
      <w:r w:rsidR="00573F46"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Ixil, and</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K’iche indigenous population occupying the </w:t>
      </w:r>
      <w:r w:rsidR="00573F46" w:rsidRPr="005A41E0">
        <w:rPr>
          <w:rFonts w:asciiTheme="majorHAnsi" w:hAnsiTheme="majorHAnsi"/>
          <w:sz w:val="20"/>
          <w:szCs w:val="20"/>
          <w:lang w:val="en-US"/>
        </w:rPr>
        <w:t>Xamá</w:t>
      </w:r>
      <w:r w:rsidR="00F82001" w:rsidRPr="005A41E0">
        <w:rPr>
          <w:rFonts w:asciiTheme="majorHAnsi" w:hAnsiTheme="majorHAnsi"/>
          <w:sz w:val="20"/>
          <w:szCs w:val="20"/>
          <w:lang w:val="en-US"/>
        </w:rPr>
        <w:t xml:space="preserve">n </w:t>
      </w:r>
      <w:r w:rsidRPr="005A41E0">
        <w:rPr>
          <w:rFonts w:asciiTheme="majorHAnsi" w:hAnsiTheme="majorHAnsi"/>
          <w:sz w:val="20"/>
          <w:szCs w:val="20"/>
          <w:lang w:val="en-US"/>
        </w:rPr>
        <w:t>farm after having been refu</w:t>
      </w:r>
      <w:r w:rsidR="005375EF">
        <w:rPr>
          <w:rFonts w:asciiTheme="majorHAnsi" w:hAnsiTheme="majorHAnsi"/>
          <w:sz w:val="20"/>
          <w:szCs w:val="20"/>
          <w:lang w:val="en-US"/>
        </w:rPr>
        <w:t>g</w:t>
      </w:r>
      <w:r w:rsidRPr="005A41E0">
        <w:rPr>
          <w:rFonts w:asciiTheme="majorHAnsi" w:hAnsiTheme="majorHAnsi"/>
          <w:sz w:val="20"/>
          <w:szCs w:val="20"/>
          <w:lang w:val="en-US"/>
        </w:rPr>
        <w:t xml:space="preserve">ees in Mexico as a result of the serious human rights violations committed during the internal armed conflict. In </w:t>
      </w:r>
      <w:r w:rsidRPr="005A41E0">
        <w:rPr>
          <w:rFonts w:asciiTheme="majorHAnsi" w:hAnsiTheme="majorHAnsi"/>
          <w:sz w:val="20"/>
          <w:szCs w:val="20"/>
          <w:lang w:val="en-US"/>
        </w:rPr>
        <w:lastRenderedPageBreak/>
        <w:t>those same events 29 person</w:t>
      </w:r>
      <w:r w:rsidR="00F82001" w:rsidRPr="005A41E0">
        <w:rPr>
          <w:rFonts w:asciiTheme="majorHAnsi" w:hAnsiTheme="majorHAnsi"/>
          <w:sz w:val="20"/>
          <w:szCs w:val="20"/>
          <w:lang w:val="en-US"/>
        </w:rPr>
        <w:t xml:space="preserve">s </w:t>
      </w:r>
      <w:r w:rsidRPr="005A41E0">
        <w:rPr>
          <w:rFonts w:asciiTheme="majorHAnsi" w:hAnsiTheme="majorHAnsi"/>
          <w:sz w:val="20"/>
          <w:szCs w:val="20"/>
          <w:lang w:val="en-US"/>
        </w:rPr>
        <w:t>were wounded, three of whom subsequently died from the wounds suffered. The IACHR determined that while the case was under consideration by the military criminal courts, the State breached its duty to investigate independently and impartially. In addition, the IACHR determined that whil</w:t>
      </w:r>
      <w:r w:rsidR="005375EF">
        <w:rPr>
          <w:rFonts w:asciiTheme="majorHAnsi" w:hAnsiTheme="majorHAnsi"/>
          <w:sz w:val="20"/>
          <w:szCs w:val="20"/>
          <w:lang w:val="en-US"/>
        </w:rPr>
        <w:t>e</w:t>
      </w:r>
      <w:r w:rsidRPr="005A41E0">
        <w:rPr>
          <w:rFonts w:asciiTheme="majorHAnsi" w:hAnsiTheme="majorHAnsi"/>
          <w:sz w:val="20"/>
          <w:szCs w:val="20"/>
          <w:lang w:val="en-US"/>
        </w:rPr>
        <w:t xml:space="preserve"> the judicial authorities of </w:t>
      </w:r>
      <w:r w:rsidR="00F82001" w:rsidRPr="005A41E0">
        <w:rPr>
          <w:rFonts w:asciiTheme="majorHAnsi" w:hAnsiTheme="majorHAnsi"/>
          <w:sz w:val="20"/>
          <w:szCs w:val="20"/>
          <w:lang w:val="en-US"/>
        </w:rPr>
        <w:t xml:space="preserve">Guatemala </w:t>
      </w:r>
      <w:r w:rsidRPr="005A41E0">
        <w:rPr>
          <w:rFonts w:asciiTheme="majorHAnsi" w:hAnsiTheme="majorHAnsi"/>
          <w:sz w:val="20"/>
          <w:szCs w:val="20"/>
          <w:lang w:val="en-US"/>
        </w:rPr>
        <w:t xml:space="preserve">convicted 14 members of the Armed Forces for these facts, throughout the trial that led to this conclusion there were shortcomings and irregularities in violation of the duty to investigate with due diligence and in a reasonable time. The IACHR concluded that the State </w:t>
      </w:r>
      <w:r w:rsidR="004C2AD0" w:rsidRPr="005A41E0">
        <w:rPr>
          <w:rFonts w:asciiTheme="majorHAnsi" w:hAnsiTheme="majorHAnsi"/>
          <w:sz w:val="20"/>
          <w:szCs w:val="20"/>
          <w:lang w:val="en-US"/>
        </w:rPr>
        <w:t xml:space="preserve">breached its </w:t>
      </w:r>
      <w:r w:rsidR="005375EF">
        <w:rPr>
          <w:rFonts w:asciiTheme="majorHAnsi" w:hAnsiTheme="majorHAnsi"/>
          <w:sz w:val="20"/>
          <w:szCs w:val="20"/>
          <w:lang w:val="en-US"/>
        </w:rPr>
        <w:t xml:space="preserve">duty </w:t>
      </w:r>
      <w:r w:rsidR="004C2AD0" w:rsidRPr="005A41E0">
        <w:rPr>
          <w:rFonts w:asciiTheme="majorHAnsi" w:hAnsiTheme="majorHAnsi"/>
          <w:sz w:val="20"/>
          <w:szCs w:val="20"/>
          <w:lang w:val="en-US"/>
        </w:rPr>
        <w:t xml:space="preserve">to remove the obstacles created by the threats and harassment against various actors in the </w:t>
      </w:r>
      <w:r w:rsidR="005375EF">
        <w:rPr>
          <w:rFonts w:asciiTheme="majorHAnsi" w:hAnsiTheme="majorHAnsi"/>
          <w:sz w:val="20"/>
          <w:szCs w:val="20"/>
          <w:lang w:val="en-US"/>
        </w:rPr>
        <w:t xml:space="preserve">trial. </w:t>
      </w:r>
      <w:r w:rsidR="004C2AD0" w:rsidRPr="005A41E0">
        <w:rPr>
          <w:rFonts w:asciiTheme="majorHAnsi" w:hAnsiTheme="majorHAnsi"/>
          <w:sz w:val="20"/>
          <w:szCs w:val="20"/>
          <w:lang w:val="en-US"/>
        </w:rPr>
        <w:t>Finally</w:t>
      </w:r>
      <w:r w:rsidR="00F82001" w:rsidRPr="005A41E0">
        <w:rPr>
          <w:rFonts w:asciiTheme="majorHAnsi" w:hAnsiTheme="majorHAnsi"/>
          <w:sz w:val="20"/>
          <w:szCs w:val="20"/>
          <w:lang w:val="en-US"/>
        </w:rPr>
        <w:t xml:space="preserve">, </w:t>
      </w:r>
      <w:r w:rsidR="004C2AD0" w:rsidRPr="005A41E0">
        <w:rPr>
          <w:rFonts w:asciiTheme="majorHAnsi" w:hAnsiTheme="majorHAnsi"/>
          <w:sz w:val="20"/>
          <w:szCs w:val="20"/>
          <w:lang w:val="en-US"/>
        </w:rPr>
        <w:t xml:space="preserve">the IACHR determined that the facts constitute an expression of racial discrimination against the Maya people during the armed conflict in </w:t>
      </w:r>
      <w:r w:rsidR="00F82001" w:rsidRPr="005A41E0">
        <w:rPr>
          <w:rFonts w:asciiTheme="majorHAnsi" w:hAnsiTheme="majorHAnsi"/>
          <w:sz w:val="20"/>
          <w:szCs w:val="20"/>
          <w:lang w:val="en-US"/>
        </w:rPr>
        <w:t>Guatemala.</w:t>
      </w:r>
    </w:p>
    <w:p w:rsidR="00F82001" w:rsidRPr="005A41E0" w:rsidRDefault="00F82001" w:rsidP="005A41E0">
      <w:pPr>
        <w:jc w:val="both"/>
        <w:rPr>
          <w:rFonts w:asciiTheme="majorHAnsi" w:hAnsiTheme="majorHAnsi"/>
          <w:sz w:val="20"/>
          <w:szCs w:val="20"/>
          <w:lang w:val="en-US"/>
        </w:rPr>
      </w:pPr>
    </w:p>
    <w:p w:rsidR="00F82001" w:rsidRPr="005A41E0" w:rsidRDefault="00F82001" w:rsidP="005A41E0">
      <w:pPr>
        <w:ind w:left="1440" w:hanging="720"/>
        <w:jc w:val="both"/>
        <w:rPr>
          <w:rFonts w:asciiTheme="majorHAnsi" w:hAnsiTheme="majorHAnsi" w:cs="Arial"/>
          <w:sz w:val="20"/>
          <w:szCs w:val="20"/>
          <w:lang w:val="en-US"/>
        </w:rPr>
      </w:pPr>
      <w:r w:rsidRPr="005A41E0">
        <w:rPr>
          <w:rFonts w:asciiTheme="majorHAnsi" w:hAnsiTheme="majorHAnsi"/>
          <w:b/>
          <w:sz w:val="20"/>
          <w:szCs w:val="20"/>
          <w:lang w:val="en-US"/>
        </w:rPr>
        <w:t xml:space="preserve">m. </w:t>
      </w:r>
      <w:r w:rsidRPr="005A41E0">
        <w:rPr>
          <w:rFonts w:asciiTheme="majorHAnsi" w:hAnsiTheme="majorHAnsi"/>
          <w:b/>
          <w:sz w:val="20"/>
          <w:szCs w:val="20"/>
          <w:lang w:val="en-US"/>
        </w:rPr>
        <w:tab/>
        <w:t xml:space="preserve">Linda Loaiza López Soto </w:t>
      </w:r>
      <w:r w:rsidR="004C2AD0" w:rsidRPr="005A41E0">
        <w:rPr>
          <w:rFonts w:asciiTheme="majorHAnsi" w:hAnsiTheme="majorHAnsi"/>
          <w:b/>
          <w:sz w:val="20"/>
          <w:szCs w:val="20"/>
          <w:lang w:val="en-US"/>
        </w:rPr>
        <w:t xml:space="preserve">and family members v. </w:t>
      </w:r>
      <w:r w:rsidRPr="005A41E0">
        <w:rPr>
          <w:rFonts w:asciiTheme="majorHAnsi" w:hAnsiTheme="majorHAnsi"/>
          <w:b/>
          <w:sz w:val="20"/>
          <w:szCs w:val="20"/>
          <w:lang w:val="en-US"/>
        </w:rPr>
        <w:t>Venezuela (s</w:t>
      </w:r>
      <w:r w:rsidR="004C2AD0" w:rsidRPr="005A41E0">
        <w:rPr>
          <w:rFonts w:asciiTheme="majorHAnsi" w:hAnsiTheme="majorHAnsi"/>
          <w:b/>
          <w:sz w:val="20"/>
          <w:szCs w:val="20"/>
          <w:lang w:val="en-US"/>
        </w:rPr>
        <w:t xml:space="preserve">ubmitted November </w:t>
      </w:r>
      <w:r w:rsidRPr="005A41E0">
        <w:rPr>
          <w:rFonts w:asciiTheme="majorHAnsi" w:hAnsiTheme="majorHAnsi"/>
          <w:b/>
          <w:sz w:val="20"/>
          <w:szCs w:val="20"/>
          <w:lang w:val="en-US"/>
        </w:rPr>
        <w:t>2</w:t>
      </w:r>
      <w:r w:rsidR="004C2AD0" w:rsidRPr="005A41E0">
        <w:rPr>
          <w:rFonts w:asciiTheme="majorHAnsi" w:hAnsiTheme="majorHAnsi"/>
          <w:b/>
          <w:sz w:val="20"/>
          <w:szCs w:val="20"/>
          <w:lang w:val="en-US"/>
        </w:rPr>
        <w:t>,</w:t>
      </w:r>
      <w:r w:rsidRPr="005A41E0">
        <w:rPr>
          <w:rFonts w:asciiTheme="majorHAnsi" w:hAnsiTheme="majorHAnsi"/>
          <w:b/>
          <w:sz w:val="20"/>
          <w:szCs w:val="20"/>
          <w:lang w:val="en-US"/>
        </w:rPr>
        <w:t xml:space="preserve"> 2016)</w:t>
      </w:r>
    </w:p>
    <w:p w:rsidR="00F82001" w:rsidRPr="005A41E0" w:rsidRDefault="00F82001" w:rsidP="005A41E0">
      <w:pPr>
        <w:jc w:val="both"/>
        <w:rPr>
          <w:rFonts w:asciiTheme="majorHAnsi" w:hAnsiTheme="majorHAnsi" w:cs="Arial"/>
          <w:sz w:val="20"/>
          <w:szCs w:val="20"/>
          <w:lang w:val="en-US"/>
        </w:rPr>
      </w:pPr>
    </w:p>
    <w:p w:rsidR="00F82001" w:rsidRPr="005A41E0" w:rsidRDefault="00231BAE" w:rsidP="00B3514E">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case has to do with the international responsibility of the State of </w:t>
      </w:r>
      <w:r w:rsidR="00F82001" w:rsidRPr="005A41E0">
        <w:rPr>
          <w:rFonts w:asciiTheme="majorHAnsi" w:hAnsiTheme="majorHAnsi"/>
          <w:sz w:val="20"/>
          <w:szCs w:val="20"/>
          <w:lang w:val="en-US"/>
        </w:rPr>
        <w:t xml:space="preserve">Venezuela </w:t>
      </w:r>
      <w:r w:rsidRPr="005A41E0">
        <w:rPr>
          <w:rFonts w:asciiTheme="majorHAnsi" w:hAnsiTheme="majorHAnsi"/>
          <w:sz w:val="20"/>
          <w:szCs w:val="20"/>
          <w:lang w:val="en-US"/>
        </w:rPr>
        <w:t xml:space="preserve">for the serious </w:t>
      </w:r>
      <w:r w:rsidR="005375EF">
        <w:rPr>
          <w:rFonts w:asciiTheme="majorHAnsi" w:hAnsiTheme="majorHAnsi"/>
          <w:sz w:val="20"/>
          <w:szCs w:val="20"/>
          <w:lang w:val="en-US"/>
        </w:rPr>
        <w:t xml:space="preserve">violations </w:t>
      </w:r>
      <w:r w:rsidRPr="005A41E0">
        <w:rPr>
          <w:rFonts w:asciiTheme="majorHAnsi" w:hAnsiTheme="majorHAnsi"/>
          <w:sz w:val="20"/>
          <w:szCs w:val="20"/>
          <w:lang w:val="en-US"/>
        </w:rPr>
        <w:t xml:space="preserve">of </w:t>
      </w:r>
      <w:r w:rsidR="005375EF">
        <w:rPr>
          <w:rFonts w:asciiTheme="majorHAnsi" w:hAnsiTheme="majorHAnsi"/>
          <w:sz w:val="20"/>
          <w:szCs w:val="20"/>
          <w:lang w:val="en-US"/>
        </w:rPr>
        <w:t xml:space="preserve">the rights to </w:t>
      </w:r>
      <w:r w:rsidRPr="005A41E0">
        <w:rPr>
          <w:rFonts w:asciiTheme="majorHAnsi" w:hAnsiTheme="majorHAnsi"/>
          <w:sz w:val="20"/>
          <w:szCs w:val="20"/>
          <w:lang w:val="en-US"/>
        </w:rPr>
        <w:t>humane treatment, personal liberty, private life, dignity and autonomy, and the right to live free from violence and discrimination, suffered by</w:t>
      </w:r>
      <w:r w:rsidR="00F82001" w:rsidRPr="005A41E0">
        <w:rPr>
          <w:rFonts w:asciiTheme="majorHAnsi" w:hAnsiTheme="majorHAnsi"/>
          <w:sz w:val="20"/>
          <w:szCs w:val="20"/>
          <w:lang w:val="en-US"/>
        </w:rPr>
        <w:t xml:space="preserve"> Linda Loaiza López Soto, </w:t>
      </w:r>
      <w:r w:rsidRPr="005A41E0">
        <w:rPr>
          <w:rFonts w:asciiTheme="majorHAnsi" w:hAnsiTheme="majorHAnsi"/>
          <w:sz w:val="20"/>
          <w:szCs w:val="20"/>
          <w:lang w:val="en-US"/>
        </w:rPr>
        <w:t xml:space="preserve">19 years old at the time, from March 27 to July 19, </w:t>
      </w:r>
      <w:r w:rsidR="00F82001" w:rsidRPr="005A41E0">
        <w:rPr>
          <w:rFonts w:asciiTheme="majorHAnsi" w:hAnsiTheme="majorHAnsi"/>
          <w:sz w:val="20"/>
          <w:szCs w:val="20"/>
          <w:lang w:val="en-US"/>
        </w:rPr>
        <w:t xml:space="preserve">2001. </w:t>
      </w:r>
      <w:r w:rsidRPr="005A41E0">
        <w:rPr>
          <w:rFonts w:asciiTheme="majorHAnsi" w:hAnsiTheme="majorHAnsi"/>
          <w:sz w:val="20"/>
          <w:szCs w:val="20"/>
          <w:lang w:val="en-US"/>
        </w:rPr>
        <w:t xml:space="preserve">The IACHR determined that </w:t>
      </w:r>
      <w:r w:rsidR="00F82001" w:rsidRPr="005A41E0">
        <w:rPr>
          <w:rFonts w:asciiTheme="majorHAnsi" w:hAnsiTheme="majorHAnsi"/>
          <w:sz w:val="20"/>
          <w:szCs w:val="20"/>
          <w:lang w:val="en-US"/>
        </w:rPr>
        <w:t xml:space="preserve">Linda Loaiza López Soto </w:t>
      </w:r>
      <w:r w:rsidRPr="005A41E0">
        <w:rPr>
          <w:rFonts w:asciiTheme="majorHAnsi" w:hAnsiTheme="majorHAnsi"/>
          <w:sz w:val="20"/>
          <w:szCs w:val="20"/>
          <w:lang w:val="en-US"/>
        </w:rPr>
        <w:t xml:space="preserve">was deprived of liberty against her will and that she was the victim of acts of atrocious violence for almost four months, which included mutilations, severe physical injuries, and psychological </w:t>
      </w:r>
      <w:r w:rsidR="005375EF">
        <w:rPr>
          <w:rFonts w:asciiTheme="majorHAnsi" w:hAnsiTheme="majorHAnsi"/>
          <w:sz w:val="20"/>
          <w:szCs w:val="20"/>
          <w:lang w:val="en-US"/>
        </w:rPr>
        <w:t xml:space="preserve">affections </w:t>
      </w:r>
      <w:r w:rsidRPr="005A41E0">
        <w:rPr>
          <w:rFonts w:asciiTheme="majorHAnsi" w:hAnsiTheme="majorHAnsi"/>
          <w:sz w:val="20"/>
          <w:szCs w:val="20"/>
          <w:lang w:val="en-US"/>
        </w:rPr>
        <w:t>committed with great cruelty, as well as repeated forms of violence and rape, all with a profound and irreversible impact on her life</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violence was motivated </w:t>
      </w:r>
      <w:r w:rsidR="00B53D6C">
        <w:rPr>
          <w:rFonts w:asciiTheme="majorHAnsi" w:hAnsiTheme="majorHAnsi"/>
          <w:sz w:val="20"/>
          <w:szCs w:val="20"/>
          <w:lang w:val="en-US"/>
        </w:rPr>
        <w:t xml:space="preserve">by </w:t>
      </w:r>
      <w:r w:rsidRPr="005A41E0">
        <w:rPr>
          <w:rFonts w:asciiTheme="majorHAnsi" w:hAnsiTheme="majorHAnsi"/>
          <w:sz w:val="20"/>
          <w:szCs w:val="20"/>
          <w:lang w:val="en-US"/>
        </w:rPr>
        <w:t>and cast light on a brutal viciousne</w:t>
      </w:r>
      <w:r w:rsidR="00B3514E">
        <w:rPr>
          <w:rFonts w:asciiTheme="majorHAnsi" w:hAnsiTheme="majorHAnsi"/>
          <w:sz w:val="20"/>
          <w:szCs w:val="20"/>
          <w:lang w:val="en-US"/>
        </w:rPr>
        <w:t>ss toward the victim as a woman;</w:t>
      </w:r>
      <w:r w:rsidRPr="005A41E0">
        <w:rPr>
          <w:rFonts w:asciiTheme="majorHAnsi" w:hAnsiTheme="majorHAnsi"/>
          <w:sz w:val="20"/>
          <w:szCs w:val="20"/>
          <w:lang w:val="en-US"/>
        </w:rPr>
        <w:t xml:space="preserve"> accordingly</w:t>
      </w:r>
      <w:r w:rsidR="00B3514E">
        <w:rPr>
          <w:rFonts w:asciiTheme="majorHAnsi" w:hAnsiTheme="majorHAnsi"/>
          <w:sz w:val="20"/>
          <w:szCs w:val="20"/>
          <w:lang w:val="en-US"/>
        </w:rPr>
        <w:t>,</w:t>
      </w:r>
      <w:r w:rsidRPr="005A41E0">
        <w:rPr>
          <w:rFonts w:asciiTheme="majorHAnsi" w:hAnsiTheme="majorHAnsi"/>
          <w:sz w:val="20"/>
          <w:szCs w:val="20"/>
          <w:lang w:val="en-US"/>
        </w:rPr>
        <w:t xml:space="preserve"> it constitutes extremely intense gender violence.</w:t>
      </w:r>
      <w:r w:rsidR="00F82001" w:rsidRPr="005A41E0">
        <w:rPr>
          <w:rFonts w:asciiTheme="majorHAnsi" w:hAnsiTheme="majorHAnsi"/>
          <w:sz w:val="20"/>
          <w:szCs w:val="20"/>
          <w:lang w:val="en-US"/>
        </w:rPr>
        <w:t xml:space="preserve"> </w:t>
      </w:r>
    </w:p>
    <w:p w:rsidR="00F82001" w:rsidRPr="005A41E0" w:rsidRDefault="00F82001" w:rsidP="005A41E0">
      <w:pPr>
        <w:jc w:val="both"/>
        <w:rPr>
          <w:rFonts w:asciiTheme="majorHAnsi" w:hAnsiTheme="majorHAnsi"/>
          <w:sz w:val="20"/>
          <w:szCs w:val="20"/>
          <w:lang w:val="en-US"/>
        </w:rPr>
      </w:pPr>
    </w:p>
    <w:p w:rsidR="00F82001" w:rsidRPr="005A41E0" w:rsidRDefault="00231BAE" w:rsidP="00B60489">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cs="Arial"/>
          <w:sz w:val="20"/>
          <w:szCs w:val="20"/>
          <w:lang w:val="en-US"/>
        </w:rPr>
        <w:t xml:space="preserve">The IACHR determined that the Venezuelan State had or should have had knowledge of the situation of real and imminent risk in which </w:t>
      </w:r>
      <w:r w:rsidR="00F82001" w:rsidRPr="005A41E0">
        <w:rPr>
          <w:rFonts w:asciiTheme="majorHAnsi" w:hAnsiTheme="majorHAnsi"/>
          <w:sz w:val="20"/>
          <w:szCs w:val="20"/>
          <w:lang w:val="en-US"/>
        </w:rPr>
        <w:t xml:space="preserve">Linda Loaiza López Soto </w:t>
      </w:r>
      <w:r w:rsidRPr="005A41E0">
        <w:rPr>
          <w:rFonts w:asciiTheme="majorHAnsi" w:hAnsiTheme="majorHAnsi"/>
          <w:sz w:val="20"/>
          <w:szCs w:val="20"/>
          <w:lang w:val="en-US"/>
        </w:rPr>
        <w:t>was found with the repeated efforts by her sister to lodge a complaint concerning her disappearance. From that knowledge an</w:t>
      </w:r>
      <w:r w:rsidR="00B60489">
        <w:rPr>
          <w:rFonts w:asciiTheme="majorHAnsi" w:hAnsiTheme="majorHAnsi"/>
          <w:sz w:val="20"/>
          <w:szCs w:val="20"/>
          <w:lang w:val="en-US"/>
        </w:rPr>
        <w:t>d up to the moment of her rescu</w:t>
      </w:r>
      <w:r w:rsidRPr="005A41E0">
        <w:rPr>
          <w:rFonts w:asciiTheme="majorHAnsi" w:hAnsiTheme="majorHAnsi"/>
          <w:sz w:val="20"/>
          <w:szCs w:val="20"/>
          <w:lang w:val="en-US"/>
        </w:rPr>
        <w:t xml:space="preserve">e the State did not adopt any measure whatsoever to protect her from the risk in which she was in, and to </w:t>
      </w:r>
      <w:r w:rsidR="003C4098" w:rsidRPr="005A41E0">
        <w:rPr>
          <w:rFonts w:asciiTheme="majorHAnsi" w:hAnsiTheme="majorHAnsi"/>
          <w:sz w:val="20"/>
          <w:szCs w:val="20"/>
          <w:lang w:val="en-US"/>
        </w:rPr>
        <w:t xml:space="preserve">prevent it from materializing. In addition, the IACHR established that the breach of the duty of prevention in the terms of the specific case </w:t>
      </w:r>
      <w:r w:rsidR="00B60489">
        <w:rPr>
          <w:rFonts w:asciiTheme="majorHAnsi" w:hAnsiTheme="majorHAnsi"/>
          <w:sz w:val="20"/>
          <w:szCs w:val="20"/>
          <w:lang w:val="en-US"/>
        </w:rPr>
        <w:t xml:space="preserve">stemmed </w:t>
      </w:r>
      <w:r w:rsidR="003C4098" w:rsidRPr="005A41E0">
        <w:rPr>
          <w:rFonts w:asciiTheme="majorHAnsi" w:hAnsiTheme="majorHAnsi"/>
          <w:sz w:val="20"/>
          <w:szCs w:val="20"/>
          <w:lang w:val="en-US"/>
        </w:rPr>
        <w:t xml:space="preserve">a situation of acquiescence by the State and, therefore, the serious acts of physical, psychological, and sexual violence suffered by </w:t>
      </w:r>
      <w:r w:rsidR="00F82001" w:rsidRPr="005A41E0">
        <w:rPr>
          <w:rFonts w:asciiTheme="majorHAnsi" w:hAnsiTheme="majorHAnsi"/>
          <w:sz w:val="20"/>
          <w:szCs w:val="20"/>
          <w:lang w:val="en-US"/>
        </w:rPr>
        <w:t>Lin</w:t>
      </w:r>
      <w:r w:rsidR="003C4098" w:rsidRPr="005A41E0">
        <w:rPr>
          <w:rFonts w:asciiTheme="majorHAnsi" w:hAnsiTheme="majorHAnsi"/>
          <w:sz w:val="20"/>
          <w:szCs w:val="20"/>
          <w:lang w:val="en-US"/>
        </w:rPr>
        <w:t xml:space="preserve">da Loaiza López Soto constitute </w:t>
      </w:r>
      <w:r w:rsidR="00B60489">
        <w:rPr>
          <w:rFonts w:asciiTheme="majorHAnsi" w:hAnsiTheme="majorHAnsi"/>
          <w:sz w:val="20"/>
          <w:szCs w:val="20"/>
          <w:lang w:val="en-US"/>
        </w:rPr>
        <w:t xml:space="preserve">a </w:t>
      </w:r>
      <w:r w:rsidR="003C4098" w:rsidRPr="005A41E0">
        <w:rPr>
          <w:rFonts w:asciiTheme="majorHAnsi" w:hAnsiTheme="majorHAnsi"/>
          <w:sz w:val="20"/>
          <w:szCs w:val="20"/>
          <w:lang w:val="en-US"/>
        </w:rPr>
        <w:t xml:space="preserve">breach of state </w:t>
      </w:r>
      <w:r w:rsidR="00B60489">
        <w:rPr>
          <w:rFonts w:asciiTheme="majorHAnsi" w:hAnsiTheme="majorHAnsi"/>
          <w:sz w:val="20"/>
          <w:szCs w:val="20"/>
          <w:lang w:val="en-US"/>
        </w:rPr>
        <w:t xml:space="preserve">duties </w:t>
      </w:r>
      <w:r w:rsidR="003C4098" w:rsidRPr="005A41E0">
        <w:rPr>
          <w:rFonts w:asciiTheme="majorHAnsi" w:hAnsiTheme="majorHAnsi"/>
          <w:sz w:val="20"/>
          <w:szCs w:val="20"/>
          <w:lang w:val="en-US"/>
        </w:rPr>
        <w:t xml:space="preserve">in the face of the absolute prohibition on torture and cruel, inhuman, or degrading treatment. </w:t>
      </w:r>
    </w:p>
    <w:p w:rsidR="00F82001" w:rsidRPr="005A41E0" w:rsidRDefault="00F82001" w:rsidP="005A41E0">
      <w:pPr>
        <w:jc w:val="both"/>
        <w:rPr>
          <w:rFonts w:asciiTheme="majorHAnsi" w:hAnsiTheme="majorHAnsi"/>
          <w:sz w:val="20"/>
          <w:szCs w:val="20"/>
          <w:lang w:val="en-US"/>
        </w:rPr>
      </w:pPr>
    </w:p>
    <w:p w:rsidR="00F82001" w:rsidRPr="005A41E0" w:rsidRDefault="003C4098" w:rsidP="00693AE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cs="Arial"/>
          <w:sz w:val="20"/>
          <w:szCs w:val="20"/>
          <w:lang w:val="en-US"/>
        </w:rPr>
        <w:t xml:space="preserve">The case is also related to the violations of the rights to judicial guarantees and judicial protection in the context of the respective investigation and criminal procedure. The IACHR determined that the Venezuelan State breached its obligation to </w:t>
      </w:r>
      <w:r w:rsidRPr="005A41E0">
        <w:rPr>
          <w:rFonts w:asciiTheme="majorHAnsi" w:hAnsiTheme="majorHAnsi"/>
          <w:sz w:val="20"/>
          <w:szCs w:val="20"/>
          <w:lang w:val="en-US"/>
        </w:rPr>
        <w:t>investigate with due diligence due to</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i) </w:t>
      </w:r>
      <w:r w:rsidR="00847366" w:rsidRPr="005A41E0">
        <w:rPr>
          <w:rFonts w:asciiTheme="majorHAnsi" w:hAnsiTheme="majorHAnsi"/>
          <w:sz w:val="20"/>
          <w:szCs w:val="20"/>
          <w:lang w:val="en-US"/>
        </w:rPr>
        <w:t xml:space="preserve">The omissions in the initial identification and the </w:t>
      </w:r>
      <w:r w:rsidR="00B60489">
        <w:rPr>
          <w:rFonts w:asciiTheme="majorHAnsi" w:hAnsiTheme="majorHAnsi"/>
          <w:sz w:val="20"/>
          <w:szCs w:val="20"/>
          <w:lang w:val="en-US"/>
        </w:rPr>
        <w:t xml:space="preserve">collection of evidence </w:t>
      </w:r>
      <w:r w:rsidR="00847366" w:rsidRPr="005A41E0">
        <w:rPr>
          <w:rFonts w:asciiTheme="majorHAnsi" w:hAnsiTheme="majorHAnsi" w:cs="Cambria"/>
          <w:sz w:val="20"/>
          <w:szCs w:val="20"/>
          <w:u w:color="000000"/>
          <w:lang w:val="en-US" w:eastAsia="es-ES"/>
        </w:rPr>
        <w:t>taking into account that it was a case of violence again</w:t>
      </w:r>
      <w:r w:rsidR="00B60489">
        <w:rPr>
          <w:rFonts w:asciiTheme="majorHAnsi" w:hAnsiTheme="majorHAnsi" w:cs="Cambria"/>
          <w:sz w:val="20"/>
          <w:szCs w:val="20"/>
          <w:u w:color="000000"/>
          <w:lang w:val="en-US" w:eastAsia="es-ES"/>
        </w:rPr>
        <w:t>st</w:t>
      </w:r>
      <w:r w:rsidR="00847366" w:rsidRPr="005A41E0">
        <w:rPr>
          <w:rFonts w:asciiTheme="majorHAnsi" w:hAnsiTheme="majorHAnsi" w:cs="Cambria"/>
          <w:sz w:val="20"/>
          <w:szCs w:val="20"/>
          <w:u w:color="000000"/>
          <w:lang w:val="en-US" w:eastAsia="es-ES"/>
        </w:rPr>
        <w:t xml:space="preserve"> women</w:t>
      </w:r>
      <w:r w:rsidR="00B60489">
        <w:rPr>
          <w:rFonts w:asciiTheme="majorHAnsi" w:hAnsiTheme="majorHAnsi" w:cs="Cambria"/>
          <w:sz w:val="20"/>
          <w:szCs w:val="20"/>
          <w:u w:color="000000"/>
          <w:lang w:val="en-US" w:eastAsia="es-ES"/>
        </w:rPr>
        <w:t>,</w:t>
      </w:r>
      <w:r w:rsidR="00847366" w:rsidRPr="005A41E0">
        <w:rPr>
          <w:rFonts w:asciiTheme="majorHAnsi" w:hAnsiTheme="majorHAnsi" w:cs="Cambria"/>
          <w:sz w:val="20"/>
          <w:szCs w:val="20"/>
          <w:u w:color="000000"/>
          <w:lang w:val="en-US" w:eastAsia="es-ES"/>
        </w:rPr>
        <w:t xml:space="preserve"> including sexual violence; (</w:t>
      </w:r>
      <w:r w:rsidR="00F82001" w:rsidRPr="005A41E0">
        <w:rPr>
          <w:rFonts w:asciiTheme="majorHAnsi" w:hAnsiTheme="majorHAnsi" w:cs="Cambria"/>
          <w:sz w:val="20"/>
          <w:szCs w:val="20"/>
          <w:u w:color="000000"/>
          <w:lang w:val="en-US" w:eastAsia="es-ES"/>
        </w:rPr>
        <w:t xml:space="preserve">ii) </w:t>
      </w:r>
      <w:r w:rsidR="00847366" w:rsidRPr="005A41E0">
        <w:rPr>
          <w:rFonts w:asciiTheme="majorHAnsi" w:hAnsiTheme="majorHAnsi" w:cs="Cambria"/>
          <w:sz w:val="20"/>
          <w:szCs w:val="20"/>
          <w:u w:color="000000"/>
          <w:lang w:val="en-US" w:eastAsia="es-ES"/>
        </w:rPr>
        <w:t xml:space="preserve">the actions and omissions of the </w:t>
      </w:r>
      <w:r w:rsidR="00AA0FC0" w:rsidRPr="005A41E0">
        <w:rPr>
          <w:rFonts w:asciiTheme="majorHAnsi" w:hAnsiTheme="majorHAnsi" w:cs="Cambria"/>
          <w:sz w:val="20"/>
          <w:szCs w:val="20"/>
          <w:u w:color="000000"/>
          <w:lang w:val="en-US" w:eastAsia="es-ES"/>
        </w:rPr>
        <w:t>respective authorities throughout the investigation; and (</w:t>
      </w:r>
      <w:r w:rsidR="00F82001" w:rsidRPr="005A41E0">
        <w:rPr>
          <w:rFonts w:asciiTheme="majorHAnsi" w:hAnsiTheme="majorHAnsi" w:cs="Cambria"/>
          <w:sz w:val="20"/>
          <w:szCs w:val="20"/>
          <w:u w:color="000000"/>
          <w:lang w:val="en-US" w:eastAsia="es-ES"/>
        </w:rPr>
        <w:t xml:space="preserve">iii) </w:t>
      </w:r>
      <w:r w:rsidR="00AA0FC0" w:rsidRPr="005A41E0">
        <w:rPr>
          <w:rFonts w:asciiTheme="majorHAnsi" w:hAnsiTheme="majorHAnsi" w:cs="Cambria"/>
          <w:sz w:val="20"/>
          <w:szCs w:val="20"/>
          <w:u w:color="000000"/>
          <w:lang w:val="en-US" w:eastAsia="es-ES"/>
        </w:rPr>
        <w:t xml:space="preserve">the failure to investigate the alleged irregularities throughout the investigation and criminal process, as well as the threats and harassment denounced by </w:t>
      </w:r>
      <w:r w:rsidR="00F82001" w:rsidRPr="005A41E0">
        <w:rPr>
          <w:rFonts w:asciiTheme="majorHAnsi" w:hAnsiTheme="majorHAnsi"/>
          <w:sz w:val="20"/>
          <w:szCs w:val="20"/>
          <w:lang w:val="en-US"/>
        </w:rPr>
        <w:t xml:space="preserve">Linda Loaiza López Soto </w:t>
      </w:r>
      <w:r w:rsidR="00AA0FC0" w:rsidRPr="005A41E0">
        <w:rPr>
          <w:rFonts w:asciiTheme="majorHAnsi" w:hAnsiTheme="majorHAnsi"/>
          <w:sz w:val="20"/>
          <w:szCs w:val="20"/>
          <w:lang w:val="en-US"/>
        </w:rPr>
        <w:t>and her family</w:t>
      </w:r>
      <w:r w:rsidR="00F82001" w:rsidRPr="005A41E0">
        <w:rPr>
          <w:rFonts w:asciiTheme="majorHAnsi" w:hAnsiTheme="majorHAnsi"/>
          <w:sz w:val="20"/>
          <w:szCs w:val="20"/>
          <w:lang w:val="en-US"/>
        </w:rPr>
        <w:t xml:space="preserve">. </w:t>
      </w:r>
      <w:r w:rsidR="00AA0FC0" w:rsidRPr="005A41E0">
        <w:rPr>
          <w:rFonts w:asciiTheme="majorHAnsi" w:hAnsiTheme="majorHAnsi"/>
          <w:sz w:val="20"/>
          <w:szCs w:val="20"/>
          <w:lang w:val="en-US"/>
        </w:rPr>
        <w:t xml:space="preserve">The IACHR also established that the Venezuelan State breached its </w:t>
      </w:r>
      <w:r w:rsidR="00B60489">
        <w:rPr>
          <w:rFonts w:asciiTheme="majorHAnsi" w:hAnsiTheme="majorHAnsi"/>
          <w:sz w:val="20"/>
          <w:szCs w:val="20"/>
          <w:lang w:val="en-US"/>
        </w:rPr>
        <w:t xml:space="preserve">duty </w:t>
      </w:r>
      <w:r w:rsidR="00F9723C" w:rsidRPr="005A41E0">
        <w:rPr>
          <w:rFonts w:asciiTheme="majorHAnsi" w:hAnsiTheme="majorHAnsi"/>
          <w:sz w:val="20"/>
          <w:szCs w:val="20"/>
          <w:lang w:val="en-US"/>
        </w:rPr>
        <w:t xml:space="preserve">to investigate within a reasonable time. </w:t>
      </w:r>
    </w:p>
    <w:p w:rsidR="00F82001" w:rsidRPr="005A41E0" w:rsidRDefault="00F82001" w:rsidP="005A41E0">
      <w:pPr>
        <w:jc w:val="both"/>
        <w:rPr>
          <w:rFonts w:asciiTheme="majorHAnsi" w:hAnsiTheme="majorHAnsi"/>
          <w:sz w:val="20"/>
          <w:szCs w:val="20"/>
          <w:lang w:val="en-US"/>
        </w:rPr>
      </w:pPr>
    </w:p>
    <w:p w:rsidR="00F82001" w:rsidRPr="005A41E0" w:rsidRDefault="00F9723C" w:rsidP="009B4AB6">
      <w:pPr>
        <w:pStyle w:val="ListParagraph"/>
        <w:numPr>
          <w:ilvl w:val="0"/>
          <w:numId w:val="15"/>
        </w:numPr>
        <w:shd w:val="clear" w:color="auto" w:fill="FFFFFF"/>
        <w:tabs>
          <w:tab w:val="clear" w:pos="1080"/>
        </w:tabs>
        <w:ind w:left="0"/>
        <w:jc w:val="both"/>
        <w:rPr>
          <w:rFonts w:asciiTheme="majorHAnsi" w:hAnsiTheme="majorHAnsi"/>
          <w:sz w:val="20"/>
          <w:szCs w:val="20"/>
          <w:lang w:val="en-US" w:eastAsia="es-ES"/>
        </w:rPr>
      </w:pPr>
      <w:r w:rsidRPr="005A41E0">
        <w:rPr>
          <w:rFonts w:asciiTheme="majorHAnsi" w:hAnsiTheme="majorHAnsi"/>
          <w:sz w:val="20"/>
          <w:szCs w:val="20"/>
          <w:lang w:val="en-US"/>
        </w:rPr>
        <w:t>The IACHR concluded that the victims did not have access to justice in conditions of equality. To the contrary</w:t>
      </w:r>
      <w:r w:rsidR="00F82001" w:rsidRPr="005A41E0">
        <w:rPr>
          <w:rFonts w:asciiTheme="majorHAnsi" w:hAnsiTheme="majorHAnsi"/>
          <w:sz w:val="20"/>
          <w:szCs w:val="20"/>
          <w:lang w:val="en-US"/>
        </w:rPr>
        <w:t xml:space="preserve">, Linda Loaiza López Soto </w:t>
      </w:r>
      <w:r w:rsidRPr="005A41E0">
        <w:rPr>
          <w:rFonts w:asciiTheme="majorHAnsi" w:hAnsiTheme="majorHAnsi"/>
          <w:sz w:val="20"/>
          <w:szCs w:val="20"/>
          <w:lang w:val="en-US"/>
        </w:rPr>
        <w:t xml:space="preserve">did not receive adequate care </w:t>
      </w:r>
      <w:r w:rsidR="00B60489">
        <w:rPr>
          <w:rFonts w:asciiTheme="majorHAnsi" w:hAnsiTheme="majorHAnsi"/>
          <w:sz w:val="20"/>
          <w:szCs w:val="20"/>
          <w:lang w:val="en-US"/>
        </w:rPr>
        <w:t xml:space="preserve">or </w:t>
      </w:r>
      <w:r w:rsidRPr="005A41E0">
        <w:rPr>
          <w:rFonts w:asciiTheme="majorHAnsi" w:hAnsiTheme="majorHAnsi"/>
          <w:sz w:val="20"/>
          <w:szCs w:val="20"/>
          <w:lang w:val="en-US"/>
        </w:rPr>
        <w:t xml:space="preserve">treatment as a victim of violence against women, including sexual violence and rape, from the moment of her rescue and the subsequent moments, in her situation as a victim. In addition, the serious acts of violence she suffered were investigated in a discriminatory normative context </w:t>
      </w:r>
      <w:r w:rsidR="00F82001" w:rsidRPr="005A41E0">
        <w:rPr>
          <w:rFonts w:asciiTheme="majorHAnsi" w:hAnsiTheme="majorHAnsi"/>
          <w:sz w:val="20"/>
          <w:szCs w:val="20"/>
          <w:lang w:val="en-US"/>
        </w:rPr>
        <w:t xml:space="preserve">incompatible </w:t>
      </w:r>
      <w:r w:rsidRPr="005A41E0">
        <w:rPr>
          <w:rFonts w:asciiTheme="majorHAnsi" w:hAnsiTheme="majorHAnsi"/>
          <w:sz w:val="20"/>
          <w:szCs w:val="20"/>
          <w:lang w:val="en-US"/>
        </w:rPr>
        <w:t xml:space="preserve">with the American Convention that allowed the debate to focus on speculation about the victim’s life and not on clarifying what happened and determining the respective liabilities. The IACHR analyzed the almost total lack of credibility assigned to the testimony of </w:t>
      </w:r>
      <w:r w:rsidR="00F82001" w:rsidRPr="005A41E0">
        <w:rPr>
          <w:rFonts w:asciiTheme="majorHAnsi" w:hAnsiTheme="majorHAnsi"/>
          <w:sz w:val="20"/>
          <w:szCs w:val="20"/>
          <w:lang w:val="en-US"/>
        </w:rPr>
        <w:t xml:space="preserve">Linda Loaiza López </w:t>
      </w:r>
      <w:r w:rsidR="00E4000E" w:rsidRPr="005A41E0">
        <w:rPr>
          <w:rFonts w:asciiTheme="majorHAnsi" w:hAnsiTheme="majorHAnsi"/>
          <w:sz w:val="20"/>
          <w:szCs w:val="20"/>
          <w:lang w:val="en-US"/>
        </w:rPr>
        <w:t>Soto,</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as well as the various indicia that bring to light a bias in the lines of investigation </w:t>
      </w:r>
      <w:r w:rsidR="00B60489">
        <w:rPr>
          <w:rFonts w:asciiTheme="majorHAnsi" w:hAnsiTheme="majorHAnsi"/>
          <w:sz w:val="20"/>
          <w:szCs w:val="20"/>
          <w:lang w:val="en-US"/>
        </w:rPr>
        <w:t xml:space="preserve">pursued </w:t>
      </w:r>
      <w:r w:rsidRPr="005A41E0">
        <w:rPr>
          <w:rFonts w:asciiTheme="majorHAnsi" w:hAnsiTheme="majorHAnsi"/>
          <w:sz w:val="20"/>
          <w:szCs w:val="20"/>
          <w:lang w:val="en-US"/>
        </w:rPr>
        <w:t>and in the collection and weighing of the evidence. All these situations affected not only her right of access to justice, but also constituted forms of additional revictimization that negatively affected her private life and dignity as well as her psychological and moral integrity. Finally</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IACHR found that </w:t>
      </w:r>
      <w:r w:rsidR="009B4AB6">
        <w:rPr>
          <w:rFonts w:asciiTheme="majorHAnsi" w:hAnsiTheme="majorHAnsi"/>
          <w:sz w:val="20"/>
          <w:szCs w:val="20"/>
          <w:lang w:val="en-US"/>
        </w:rPr>
        <w:t xml:space="preserve">considering </w:t>
      </w:r>
      <w:r w:rsidRPr="005A41E0">
        <w:rPr>
          <w:rFonts w:asciiTheme="majorHAnsi" w:hAnsiTheme="majorHAnsi"/>
          <w:sz w:val="20"/>
          <w:szCs w:val="20"/>
          <w:lang w:val="en-US"/>
        </w:rPr>
        <w:t xml:space="preserve">the </w:t>
      </w:r>
      <w:r w:rsidRPr="005A41E0">
        <w:rPr>
          <w:rFonts w:asciiTheme="majorHAnsi" w:hAnsiTheme="majorHAnsi"/>
          <w:sz w:val="20"/>
          <w:szCs w:val="20"/>
          <w:lang w:val="en-US"/>
        </w:rPr>
        <w:lastRenderedPageBreak/>
        <w:t xml:space="preserve">seriousness of the facts, together with </w:t>
      </w:r>
      <w:r w:rsidR="006950E5" w:rsidRPr="005A41E0">
        <w:rPr>
          <w:rFonts w:asciiTheme="majorHAnsi" w:hAnsiTheme="majorHAnsi"/>
          <w:sz w:val="20"/>
          <w:szCs w:val="20"/>
          <w:lang w:val="en-US"/>
        </w:rPr>
        <w:t xml:space="preserve">the </w:t>
      </w:r>
      <w:r w:rsidRPr="005A41E0">
        <w:rPr>
          <w:rFonts w:asciiTheme="majorHAnsi" w:hAnsiTheme="majorHAnsi"/>
          <w:sz w:val="20"/>
          <w:szCs w:val="20"/>
          <w:lang w:val="en-US"/>
        </w:rPr>
        <w:t xml:space="preserve">lack of a timely and adequate judicial response, </w:t>
      </w:r>
      <w:r w:rsidR="006950E5" w:rsidRPr="005A41E0">
        <w:rPr>
          <w:rFonts w:asciiTheme="majorHAnsi" w:hAnsiTheme="majorHAnsi"/>
          <w:sz w:val="20"/>
          <w:szCs w:val="20"/>
          <w:lang w:val="en-US"/>
        </w:rPr>
        <w:t xml:space="preserve">the effects go beyond the direct victim and include her family members. </w:t>
      </w:r>
    </w:p>
    <w:p w:rsidR="00F82001" w:rsidRPr="005A41E0" w:rsidRDefault="00F82001" w:rsidP="005A41E0">
      <w:pPr>
        <w:ind w:firstLine="720"/>
        <w:jc w:val="both"/>
        <w:rPr>
          <w:rFonts w:asciiTheme="majorHAnsi" w:hAnsiTheme="majorHAnsi"/>
          <w:sz w:val="20"/>
          <w:szCs w:val="20"/>
          <w:lang w:val="en-US" w:eastAsia="es-ES"/>
        </w:rPr>
      </w:pPr>
    </w:p>
    <w:p w:rsidR="00F82001" w:rsidRPr="005A41E0" w:rsidRDefault="00F82001" w:rsidP="005A41E0">
      <w:pPr>
        <w:ind w:left="1440" w:hanging="720"/>
        <w:jc w:val="both"/>
        <w:rPr>
          <w:rFonts w:asciiTheme="majorHAnsi" w:hAnsiTheme="majorHAnsi" w:cs="Arial"/>
          <w:sz w:val="20"/>
          <w:szCs w:val="20"/>
          <w:lang w:val="en-US"/>
        </w:rPr>
      </w:pPr>
      <w:r w:rsidRPr="005A41E0">
        <w:rPr>
          <w:rFonts w:asciiTheme="majorHAnsi" w:hAnsiTheme="majorHAnsi"/>
          <w:b/>
          <w:sz w:val="20"/>
          <w:szCs w:val="20"/>
          <w:lang w:val="en-US"/>
        </w:rPr>
        <w:t xml:space="preserve">n. </w:t>
      </w:r>
      <w:r w:rsidRPr="005A41E0">
        <w:rPr>
          <w:rFonts w:asciiTheme="majorHAnsi" w:hAnsiTheme="majorHAnsi"/>
          <w:b/>
          <w:sz w:val="20"/>
          <w:szCs w:val="20"/>
          <w:lang w:val="en-US"/>
        </w:rPr>
        <w:tab/>
        <w:t xml:space="preserve">Nitza Paola Alvarado </w:t>
      </w:r>
      <w:r w:rsidR="006950E5" w:rsidRPr="005A41E0">
        <w:rPr>
          <w:rFonts w:asciiTheme="majorHAnsi" w:hAnsiTheme="majorHAnsi"/>
          <w:b/>
          <w:sz w:val="20"/>
          <w:szCs w:val="20"/>
          <w:lang w:val="en-US"/>
        </w:rPr>
        <w:t xml:space="preserve">et al. v. </w:t>
      </w:r>
      <w:r w:rsidRPr="005A41E0">
        <w:rPr>
          <w:rFonts w:asciiTheme="majorHAnsi" w:hAnsiTheme="majorHAnsi"/>
          <w:b/>
          <w:sz w:val="20"/>
          <w:szCs w:val="20"/>
          <w:lang w:val="en-US"/>
        </w:rPr>
        <w:t>M</w:t>
      </w:r>
      <w:r w:rsidR="006950E5" w:rsidRPr="005A41E0">
        <w:rPr>
          <w:rFonts w:asciiTheme="majorHAnsi" w:hAnsiTheme="majorHAnsi"/>
          <w:b/>
          <w:sz w:val="20"/>
          <w:szCs w:val="20"/>
          <w:lang w:val="en-US"/>
        </w:rPr>
        <w:t>e</w:t>
      </w:r>
      <w:r w:rsidRPr="005A41E0">
        <w:rPr>
          <w:rFonts w:asciiTheme="majorHAnsi" w:hAnsiTheme="majorHAnsi"/>
          <w:b/>
          <w:sz w:val="20"/>
          <w:szCs w:val="20"/>
          <w:lang w:val="en-US"/>
        </w:rPr>
        <w:t>xico (</w:t>
      </w:r>
      <w:r w:rsidR="006950E5" w:rsidRPr="005A41E0">
        <w:rPr>
          <w:rFonts w:asciiTheme="majorHAnsi" w:hAnsiTheme="majorHAnsi"/>
          <w:b/>
          <w:sz w:val="20"/>
          <w:szCs w:val="20"/>
          <w:lang w:val="en-US"/>
        </w:rPr>
        <w:t xml:space="preserve">submitted November </w:t>
      </w:r>
      <w:r w:rsidRPr="005A41E0">
        <w:rPr>
          <w:rFonts w:asciiTheme="majorHAnsi" w:hAnsiTheme="majorHAnsi"/>
          <w:b/>
          <w:sz w:val="20"/>
          <w:szCs w:val="20"/>
          <w:lang w:val="en-US"/>
        </w:rPr>
        <w:t>9</w:t>
      </w:r>
      <w:r w:rsidR="006950E5" w:rsidRPr="005A41E0">
        <w:rPr>
          <w:rFonts w:asciiTheme="majorHAnsi" w:hAnsiTheme="majorHAnsi"/>
          <w:b/>
          <w:sz w:val="20"/>
          <w:szCs w:val="20"/>
          <w:lang w:val="en-US"/>
        </w:rPr>
        <w:t>,</w:t>
      </w:r>
      <w:r w:rsidRPr="005A41E0">
        <w:rPr>
          <w:rFonts w:asciiTheme="majorHAnsi" w:hAnsiTheme="majorHAnsi"/>
          <w:b/>
          <w:sz w:val="20"/>
          <w:szCs w:val="20"/>
          <w:lang w:val="en-US"/>
        </w:rPr>
        <w:t xml:space="preserve"> 2016)</w:t>
      </w:r>
    </w:p>
    <w:p w:rsidR="00F82001" w:rsidRPr="005A41E0" w:rsidRDefault="00F82001" w:rsidP="005A41E0">
      <w:pPr>
        <w:jc w:val="both"/>
        <w:rPr>
          <w:rFonts w:asciiTheme="majorHAnsi" w:hAnsiTheme="majorHAnsi" w:cs="Arial"/>
          <w:sz w:val="20"/>
          <w:szCs w:val="20"/>
          <w:lang w:val="en-US"/>
        </w:rPr>
      </w:pPr>
    </w:p>
    <w:p w:rsidR="00F82001" w:rsidRPr="005A41E0" w:rsidRDefault="006950E5"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eastAsia="es-ES"/>
        </w:rPr>
      </w:pPr>
      <w:r w:rsidRPr="005A41E0">
        <w:rPr>
          <w:rFonts w:asciiTheme="majorHAnsi" w:hAnsiTheme="majorHAnsi"/>
          <w:sz w:val="20"/>
          <w:szCs w:val="20"/>
          <w:lang w:val="en-US"/>
        </w:rPr>
        <w:t xml:space="preserve">The case is related to the forced disappearance of </w:t>
      </w:r>
      <w:r w:rsidR="00F82001" w:rsidRPr="005A41E0">
        <w:rPr>
          <w:rFonts w:asciiTheme="majorHAnsi" w:hAnsiTheme="majorHAnsi"/>
          <w:sz w:val="20"/>
          <w:szCs w:val="20"/>
          <w:lang w:val="en-US" w:eastAsia="es-ES"/>
        </w:rPr>
        <w:t>Nitza Paola Alvarado Espinoza, José Ángel Alvarado Herrera</w:t>
      </w:r>
      <w:r w:rsidRPr="005A41E0">
        <w:rPr>
          <w:rFonts w:asciiTheme="majorHAnsi" w:hAnsiTheme="majorHAnsi"/>
          <w:sz w:val="20"/>
          <w:szCs w:val="20"/>
          <w:lang w:val="en-US" w:eastAsia="es-ES"/>
        </w:rPr>
        <w:t xml:space="preserve">, and </w:t>
      </w:r>
      <w:r w:rsidR="00F82001" w:rsidRPr="005A41E0">
        <w:rPr>
          <w:rFonts w:asciiTheme="majorHAnsi" w:hAnsiTheme="majorHAnsi"/>
          <w:sz w:val="20"/>
          <w:szCs w:val="20"/>
          <w:lang w:val="en-US" w:eastAsia="es-ES"/>
        </w:rPr>
        <w:t xml:space="preserve">Rocío Irene Alvarado Reyes, </w:t>
      </w:r>
      <w:r w:rsidRPr="005A41E0">
        <w:rPr>
          <w:rFonts w:asciiTheme="majorHAnsi" w:hAnsiTheme="majorHAnsi"/>
          <w:sz w:val="20"/>
          <w:szCs w:val="20"/>
          <w:lang w:val="en-US" w:eastAsia="es-ES"/>
        </w:rPr>
        <w:t xml:space="preserve">by state agents in the rural community </w:t>
      </w:r>
      <w:r w:rsidR="00F82001" w:rsidRPr="005A41E0">
        <w:rPr>
          <w:rFonts w:asciiTheme="majorHAnsi" w:hAnsiTheme="majorHAnsi"/>
          <w:sz w:val="20"/>
          <w:szCs w:val="20"/>
          <w:lang w:val="en-US" w:eastAsia="es-ES"/>
        </w:rPr>
        <w:t xml:space="preserve">Ejido Benito Juárez, </w:t>
      </w:r>
      <w:r w:rsidRPr="005A41E0">
        <w:rPr>
          <w:rFonts w:asciiTheme="majorHAnsi" w:hAnsiTheme="majorHAnsi"/>
          <w:sz w:val="20"/>
          <w:szCs w:val="20"/>
          <w:lang w:val="en-US" w:eastAsia="es-ES"/>
        </w:rPr>
        <w:t xml:space="preserve">state of </w:t>
      </w:r>
      <w:r w:rsidR="00F82001" w:rsidRPr="005A41E0">
        <w:rPr>
          <w:rFonts w:asciiTheme="majorHAnsi" w:hAnsiTheme="majorHAnsi"/>
          <w:sz w:val="20"/>
          <w:szCs w:val="20"/>
          <w:lang w:val="en-US" w:eastAsia="es-ES"/>
        </w:rPr>
        <w:t xml:space="preserve">Chihuahua, </w:t>
      </w:r>
      <w:r w:rsidRPr="005A41E0">
        <w:rPr>
          <w:rFonts w:asciiTheme="majorHAnsi" w:hAnsiTheme="majorHAnsi"/>
          <w:sz w:val="20"/>
          <w:szCs w:val="20"/>
          <w:lang w:val="en-US"/>
        </w:rPr>
        <w:t>Me</w:t>
      </w:r>
      <w:r w:rsidR="00F82001" w:rsidRPr="005A41E0">
        <w:rPr>
          <w:rFonts w:asciiTheme="majorHAnsi" w:hAnsiTheme="majorHAnsi"/>
          <w:sz w:val="20"/>
          <w:szCs w:val="20"/>
          <w:lang w:val="en-US"/>
        </w:rPr>
        <w:t>xico</w:t>
      </w:r>
      <w:r w:rsidR="00F82001" w:rsidRPr="005A41E0">
        <w:rPr>
          <w:rFonts w:asciiTheme="majorHAnsi" w:hAnsiTheme="majorHAnsi"/>
          <w:sz w:val="20"/>
          <w:szCs w:val="20"/>
          <w:lang w:val="en-US" w:eastAsia="es-ES"/>
        </w:rPr>
        <w:t xml:space="preserve">, </w:t>
      </w:r>
      <w:r w:rsidRPr="005A41E0">
        <w:rPr>
          <w:rFonts w:asciiTheme="majorHAnsi" w:hAnsiTheme="majorHAnsi"/>
          <w:sz w:val="20"/>
          <w:szCs w:val="20"/>
          <w:lang w:val="en-US" w:eastAsia="es-ES"/>
        </w:rPr>
        <w:t xml:space="preserve">as from December </w:t>
      </w:r>
      <w:r w:rsidR="00F82001" w:rsidRPr="005A41E0">
        <w:rPr>
          <w:rFonts w:asciiTheme="majorHAnsi" w:hAnsiTheme="majorHAnsi"/>
          <w:sz w:val="20"/>
          <w:szCs w:val="20"/>
          <w:lang w:val="en-US" w:eastAsia="es-ES"/>
        </w:rPr>
        <w:t>29</w:t>
      </w:r>
      <w:r w:rsidRPr="005A41E0">
        <w:rPr>
          <w:rFonts w:asciiTheme="majorHAnsi" w:hAnsiTheme="majorHAnsi"/>
          <w:sz w:val="20"/>
          <w:szCs w:val="20"/>
          <w:lang w:val="en-US" w:eastAsia="es-ES"/>
        </w:rPr>
        <w:t>,</w:t>
      </w:r>
      <w:r w:rsidR="00F82001" w:rsidRPr="005A41E0">
        <w:rPr>
          <w:rFonts w:asciiTheme="majorHAnsi" w:hAnsiTheme="majorHAnsi"/>
          <w:sz w:val="20"/>
          <w:szCs w:val="20"/>
          <w:lang w:val="en-US" w:eastAsia="es-ES"/>
        </w:rPr>
        <w:t xml:space="preserve"> 2009. </w:t>
      </w:r>
      <w:r w:rsidRPr="005A41E0">
        <w:rPr>
          <w:rFonts w:asciiTheme="majorHAnsi" w:hAnsiTheme="majorHAnsi"/>
          <w:sz w:val="20"/>
          <w:szCs w:val="20"/>
          <w:lang w:val="en-US" w:eastAsia="es-ES"/>
        </w:rPr>
        <w:t xml:space="preserve">To date the fate or whereabouts of the three disappeared victims has been unknown. </w:t>
      </w:r>
    </w:p>
    <w:p w:rsidR="00F82001" w:rsidRPr="005A41E0" w:rsidRDefault="00F82001" w:rsidP="005A41E0">
      <w:pPr>
        <w:widowControl w:val="0"/>
        <w:autoSpaceDE w:val="0"/>
        <w:autoSpaceDN w:val="0"/>
        <w:adjustRightInd w:val="0"/>
        <w:jc w:val="both"/>
        <w:rPr>
          <w:rFonts w:asciiTheme="majorHAnsi" w:hAnsiTheme="majorHAnsi"/>
          <w:sz w:val="20"/>
          <w:szCs w:val="20"/>
          <w:lang w:val="en-US" w:eastAsia="es-ES"/>
        </w:rPr>
      </w:pPr>
    </w:p>
    <w:p w:rsidR="00F82001" w:rsidRPr="005A41E0" w:rsidRDefault="006950E5" w:rsidP="00BF727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eastAsia="es-ES"/>
        </w:rPr>
        <w:t xml:space="preserve">The IACHR determined that </w:t>
      </w:r>
      <w:r w:rsidR="00F82001" w:rsidRPr="005A41E0">
        <w:rPr>
          <w:rFonts w:asciiTheme="majorHAnsi" w:hAnsiTheme="majorHAnsi"/>
          <w:sz w:val="20"/>
          <w:szCs w:val="20"/>
          <w:lang w:val="en-US" w:eastAsia="es-ES"/>
        </w:rPr>
        <w:t>José Ángel Alvarado Herrera, Nitza Paola Alvarado Espino</w:t>
      </w:r>
      <w:r w:rsidR="004F3FB3" w:rsidRPr="005A41E0">
        <w:rPr>
          <w:rFonts w:asciiTheme="majorHAnsi" w:hAnsiTheme="majorHAnsi"/>
          <w:sz w:val="20"/>
          <w:szCs w:val="20"/>
          <w:lang w:val="en-US" w:eastAsia="es-ES"/>
        </w:rPr>
        <w:t>za</w:t>
      </w:r>
      <w:r w:rsidR="009B0F78" w:rsidRPr="005A41E0">
        <w:rPr>
          <w:rFonts w:asciiTheme="majorHAnsi" w:hAnsiTheme="majorHAnsi"/>
          <w:sz w:val="20"/>
          <w:szCs w:val="20"/>
          <w:lang w:val="en-US" w:eastAsia="es-ES"/>
        </w:rPr>
        <w:t xml:space="preserve">, and </w:t>
      </w:r>
      <w:r w:rsidR="004F3FB3" w:rsidRPr="005A41E0">
        <w:rPr>
          <w:rFonts w:asciiTheme="majorHAnsi" w:hAnsiTheme="majorHAnsi"/>
          <w:sz w:val="20"/>
          <w:szCs w:val="20"/>
          <w:lang w:val="en-US" w:eastAsia="es-ES"/>
        </w:rPr>
        <w:t>Rocío Irene Alvarado Reyes</w:t>
      </w:r>
      <w:r w:rsidR="00F82001" w:rsidRPr="005A41E0">
        <w:rPr>
          <w:rFonts w:asciiTheme="majorHAnsi" w:hAnsiTheme="majorHAnsi"/>
          <w:sz w:val="20"/>
          <w:szCs w:val="20"/>
          <w:lang w:val="en-US" w:eastAsia="es-ES"/>
        </w:rPr>
        <w:t xml:space="preserve"> </w:t>
      </w:r>
      <w:r w:rsidR="009B0F78" w:rsidRPr="005A41E0">
        <w:rPr>
          <w:rFonts w:asciiTheme="majorHAnsi" w:hAnsiTheme="majorHAnsi"/>
          <w:sz w:val="20"/>
          <w:szCs w:val="20"/>
          <w:lang w:val="en-US" w:eastAsia="es-ES"/>
        </w:rPr>
        <w:t>were deprived of liberty by a group of eight to ten persons who were carrying long arms and wearing uniforms that identified them as military personnel. As regards the direct participation of state agents, the IACHR takes into account:</w:t>
      </w:r>
      <w:r w:rsidR="00F82001" w:rsidRPr="005A41E0">
        <w:rPr>
          <w:rFonts w:asciiTheme="majorHAnsi" w:hAnsiTheme="majorHAnsi"/>
          <w:sz w:val="20"/>
          <w:szCs w:val="20"/>
          <w:lang w:val="en-US" w:eastAsia="es-ES"/>
        </w:rPr>
        <w:t xml:space="preserve"> </w:t>
      </w:r>
      <w:r w:rsidR="009B0F78" w:rsidRPr="005A41E0">
        <w:rPr>
          <w:rFonts w:asciiTheme="majorHAnsi" w:hAnsiTheme="majorHAnsi"/>
          <w:sz w:val="20"/>
          <w:szCs w:val="20"/>
          <w:lang w:val="en-US" w:eastAsia="es-ES"/>
        </w:rPr>
        <w:t>(</w:t>
      </w:r>
      <w:r w:rsidR="00F82001" w:rsidRPr="005A41E0">
        <w:rPr>
          <w:rFonts w:asciiTheme="majorHAnsi" w:hAnsiTheme="majorHAnsi"/>
          <w:sz w:val="20"/>
          <w:szCs w:val="20"/>
          <w:lang w:val="en-US" w:eastAsia="es-ES"/>
        </w:rPr>
        <w:t xml:space="preserve">i) </w:t>
      </w:r>
      <w:r w:rsidR="00447513" w:rsidRPr="005A41E0">
        <w:rPr>
          <w:rFonts w:asciiTheme="majorHAnsi" w:hAnsiTheme="majorHAnsi"/>
          <w:sz w:val="20"/>
          <w:szCs w:val="20"/>
          <w:lang w:val="en-US" w:eastAsia="es-ES"/>
        </w:rPr>
        <w:t xml:space="preserve">the context, which included a large presence of members of the Army in the geographic zone in which the events occurred, as a result of the military operation </w:t>
      </w:r>
      <w:r w:rsidR="00F82001" w:rsidRPr="005A41E0">
        <w:rPr>
          <w:rFonts w:asciiTheme="majorHAnsi" w:hAnsiTheme="majorHAnsi"/>
          <w:sz w:val="20"/>
          <w:szCs w:val="20"/>
          <w:lang w:val="en-US" w:eastAsia="es-ES"/>
        </w:rPr>
        <w:t>Operativo Conjunto Chihuahua</w:t>
      </w:r>
      <w:r w:rsidR="00447513" w:rsidRPr="005A41E0">
        <w:rPr>
          <w:rFonts w:asciiTheme="majorHAnsi" w:hAnsiTheme="majorHAnsi"/>
          <w:sz w:val="20"/>
          <w:szCs w:val="20"/>
          <w:lang w:val="en-US" w:eastAsia="es-ES"/>
        </w:rPr>
        <w:t>, in the context of which serious human rights violations have been alleged, including forced disappearances</w:t>
      </w:r>
      <w:r w:rsidR="00F82001" w:rsidRPr="005A41E0">
        <w:rPr>
          <w:rFonts w:asciiTheme="majorHAnsi" w:hAnsiTheme="majorHAnsi"/>
          <w:sz w:val="20"/>
          <w:szCs w:val="20"/>
          <w:lang w:val="en-US" w:eastAsia="es-ES"/>
        </w:rPr>
        <w:t xml:space="preserve">; </w:t>
      </w:r>
      <w:r w:rsidR="009B0F78" w:rsidRPr="005A41E0">
        <w:rPr>
          <w:rFonts w:asciiTheme="majorHAnsi" w:hAnsiTheme="majorHAnsi"/>
          <w:sz w:val="20"/>
          <w:szCs w:val="20"/>
          <w:lang w:val="en-US" w:eastAsia="es-ES"/>
        </w:rPr>
        <w:t>(</w:t>
      </w:r>
      <w:r w:rsidR="00F82001" w:rsidRPr="005A41E0">
        <w:rPr>
          <w:rFonts w:asciiTheme="majorHAnsi" w:hAnsiTheme="majorHAnsi"/>
          <w:sz w:val="20"/>
          <w:szCs w:val="20"/>
          <w:lang w:val="en-US" w:eastAsia="es-ES"/>
        </w:rPr>
        <w:t xml:space="preserve">ii) </w:t>
      </w:r>
      <w:r w:rsidR="00447513" w:rsidRPr="005A41E0">
        <w:rPr>
          <w:rFonts w:asciiTheme="majorHAnsi" w:hAnsiTheme="majorHAnsi"/>
          <w:sz w:val="20"/>
          <w:szCs w:val="20"/>
          <w:lang w:val="en-US" w:eastAsia="es-ES"/>
        </w:rPr>
        <w:t xml:space="preserve">the consistency of the </w:t>
      </w:r>
      <w:r w:rsidR="00BF7270">
        <w:rPr>
          <w:rFonts w:asciiTheme="majorHAnsi" w:hAnsiTheme="majorHAnsi"/>
          <w:sz w:val="20"/>
          <w:szCs w:val="20"/>
          <w:lang w:val="en-US" w:eastAsia="es-ES"/>
        </w:rPr>
        <w:t xml:space="preserve">accounts by the </w:t>
      </w:r>
      <w:r w:rsidR="00447513" w:rsidRPr="005A41E0">
        <w:rPr>
          <w:rFonts w:asciiTheme="majorHAnsi" w:hAnsiTheme="majorHAnsi"/>
          <w:sz w:val="20"/>
          <w:szCs w:val="20"/>
          <w:lang w:val="en-US" w:eastAsia="es-ES"/>
        </w:rPr>
        <w:t>eyewitnesses to the detentions, who indicated that they were carried out by members of the Army</w:t>
      </w:r>
      <w:r w:rsidR="00F82001" w:rsidRPr="005A41E0">
        <w:rPr>
          <w:rFonts w:asciiTheme="majorHAnsi" w:hAnsiTheme="majorHAnsi"/>
          <w:sz w:val="20"/>
          <w:szCs w:val="20"/>
          <w:lang w:val="en-US" w:eastAsia="es-ES"/>
        </w:rPr>
        <w:t xml:space="preserve">; </w:t>
      </w:r>
      <w:r w:rsidR="009B0F78" w:rsidRPr="005A41E0">
        <w:rPr>
          <w:rFonts w:asciiTheme="majorHAnsi" w:hAnsiTheme="majorHAnsi"/>
          <w:sz w:val="20"/>
          <w:szCs w:val="20"/>
          <w:lang w:val="en-US" w:eastAsia="es-ES"/>
        </w:rPr>
        <w:t>(</w:t>
      </w:r>
      <w:r w:rsidR="00F82001" w:rsidRPr="005A41E0">
        <w:rPr>
          <w:rFonts w:asciiTheme="majorHAnsi" w:hAnsiTheme="majorHAnsi"/>
          <w:sz w:val="20"/>
          <w:szCs w:val="20"/>
          <w:lang w:val="en-US" w:eastAsia="es-ES"/>
        </w:rPr>
        <w:t xml:space="preserve">iii) </w:t>
      </w:r>
      <w:r w:rsidR="00447513" w:rsidRPr="005A41E0">
        <w:rPr>
          <w:rFonts w:asciiTheme="majorHAnsi" w:hAnsiTheme="majorHAnsi"/>
          <w:sz w:val="20"/>
          <w:szCs w:val="20"/>
          <w:lang w:val="en-US" w:eastAsia="es-ES"/>
        </w:rPr>
        <w:t>the statements of several family members, who indicated that at the moment they reported the incident and during the initial search efforts some state authorities indicated to them that their loved ones were at the 35</w:t>
      </w:r>
      <w:r w:rsidR="00447513" w:rsidRPr="005A41E0">
        <w:rPr>
          <w:rFonts w:asciiTheme="majorHAnsi" w:hAnsiTheme="majorHAnsi"/>
          <w:sz w:val="20"/>
          <w:szCs w:val="20"/>
          <w:vertAlign w:val="superscript"/>
          <w:lang w:val="en-US" w:eastAsia="es-ES"/>
        </w:rPr>
        <w:t>th</w:t>
      </w:r>
      <w:r w:rsidR="00447513" w:rsidRPr="005A41E0">
        <w:rPr>
          <w:rFonts w:asciiTheme="majorHAnsi" w:hAnsiTheme="majorHAnsi"/>
          <w:sz w:val="20"/>
          <w:szCs w:val="20"/>
          <w:lang w:val="en-US" w:eastAsia="es-ES"/>
        </w:rPr>
        <w:t xml:space="preserve"> Infantry Battalion; </w:t>
      </w:r>
      <w:r w:rsidR="009B0F78" w:rsidRPr="005A41E0">
        <w:rPr>
          <w:rFonts w:asciiTheme="majorHAnsi" w:hAnsiTheme="majorHAnsi"/>
          <w:sz w:val="20"/>
          <w:szCs w:val="20"/>
          <w:lang w:val="en-US" w:eastAsia="es-ES"/>
        </w:rPr>
        <w:t>(</w:t>
      </w:r>
      <w:r w:rsidR="00F82001" w:rsidRPr="005A41E0">
        <w:rPr>
          <w:rFonts w:asciiTheme="majorHAnsi" w:hAnsiTheme="majorHAnsi"/>
          <w:sz w:val="20"/>
          <w:szCs w:val="20"/>
          <w:lang w:val="en-US" w:eastAsia="es-ES"/>
        </w:rPr>
        <w:t xml:space="preserve">iv) </w:t>
      </w:r>
      <w:r w:rsidR="00447513" w:rsidRPr="005A41E0">
        <w:rPr>
          <w:rFonts w:asciiTheme="majorHAnsi" w:hAnsiTheme="majorHAnsi"/>
          <w:sz w:val="20"/>
          <w:szCs w:val="20"/>
          <w:lang w:val="en-US" w:eastAsia="es-ES"/>
        </w:rPr>
        <w:t>the statements of several public officials who indicated they had knowledge or had received information indicating that the victims were under the custody of the state</w:t>
      </w:r>
      <w:r w:rsidR="009B0F78" w:rsidRPr="005A41E0">
        <w:rPr>
          <w:rFonts w:asciiTheme="majorHAnsi" w:hAnsiTheme="majorHAnsi"/>
          <w:sz w:val="20"/>
          <w:szCs w:val="20"/>
          <w:lang w:val="en-US" w:eastAsia="es-ES"/>
        </w:rPr>
        <w:t>; and</w:t>
      </w:r>
      <w:r w:rsidR="00F82001" w:rsidRPr="005A41E0">
        <w:rPr>
          <w:rFonts w:asciiTheme="majorHAnsi" w:hAnsiTheme="majorHAnsi"/>
          <w:sz w:val="20"/>
          <w:szCs w:val="20"/>
          <w:lang w:val="en-US" w:eastAsia="es-ES"/>
        </w:rPr>
        <w:t xml:space="preserve"> </w:t>
      </w:r>
      <w:r w:rsidR="009B0F78" w:rsidRPr="005A41E0">
        <w:rPr>
          <w:rFonts w:asciiTheme="majorHAnsi" w:hAnsiTheme="majorHAnsi"/>
          <w:sz w:val="20"/>
          <w:szCs w:val="20"/>
          <w:lang w:val="en-US" w:eastAsia="es-ES"/>
        </w:rPr>
        <w:t>(</w:t>
      </w:r>
      <w:r w:rsidR="00F82001" w:rsidRPr="005A41E0">
        <w:rPr>
          <w:rFonts w:asciiTheme="majorHAnsi" w:hAnsiTheme="majorHAnsi"/>
          <w:sz w:val="20"/>
          <w:szCs w:val="20"/>
          <w:lang w:val="en-US" w:eastAsia="es-ES"/>
        </w:rPr>
        <w:t xml:space="preserve">v) </w:t>
      </w:r>
      <w:r w:rsidR="00447513" w:rsidRPr="005A41E0">
        <w:rPr>
          <w:rFonts w:asciiTheme="majorHAnsi" w:hAnsiTheme="majorHAnsi"/>
          <w:sz w:val="20"/>
          <w:szCs w:val="20"/>
          <w:lang w:val="en-US" w:eastAsia="es-ES"/>
        </w:rPr>
        <w:t xml:space="preserve">the considerations of the Office of the Attorney General for the State of </w:t>
      </w:r>
      <w:r w:rsidR="00F82001" w:rsidRPr="005A41E0">
        <w:rPr>
          <w:rFonts w:asciiTheme="majorHAnsi" w:hAnsiTheme="majorHAnsi"/>
          <w:sz w:val="20"/>
          <w:szCs w:val="20"/>
          <w:lang w:val="en-US" w:eastAsia="es-ES"/>
        </w:rPr>
        <w:t xml:space="preserve">Chihuahua, </w:t>
      </w:r>
      <w:r w:rsidR="00447513" w:rsidRPr="005A41E0">
        <w:rPr>
          <w:rFonts w:asciiTheme="majorHAnsi" w:hAnsiTheme="majorHAnsi"/>
          <w:sz w:val="20"/>
          <w:szCs w:val="20"/>
          <w:lang w:val="en-US" w:eastAsia="es-ES"/>
        </w:rPr>
        <w:t xml:space="preserve">the Federal Public Ministry, the Office of the Special Prosecutor for Crimes of Violence against Women and Human Trafficking </w:t>
      </w:r>
      <w:r w:rsidR="004F3FB3" w:rsidRPr="005A41E0">
        <w:rPr>
          <w:rFonts w:asciiTheme="majorHAnsi" w:hAnsiTheme="majorHAnsi"/>
          <w:sz w:val="20"/>
          <w:szCs w:val="20"/>
          <w:lang w:val="en-US" w:eastAsia="es-ES"/>
        </w:rPr>
        <w:t>(</w:t>
      </w:r>
      <w:r w:rsidR="00F82001" w:rsidRPr="005A41E0">
        <w:rPr>
          <w:rFonts w:asciiTheme="majorHAnsi" w:hAnsiTheme="majorHAnsi"/>
          <w:sz w:val="20"/>
          <w:szCs w:val="20"/>
          <w:lang w:val="en-US" w:eastAsia="es-ES"/>
        </w:rPr>
        <w:t>FEVIMTRA</w:t>
      </w:r>
      <w:r w:rsidR="004F3FB3" w:rsidRPr="005A41E0">
        <w:rPr>
          <w:rFonts w:asciiTheme="majorHAnsi" w:hAnsiTheme="majorHAnsi"/>
          <w:sz w:val="20"/>
          <w:szCs w:val="20"/>
          <w:lang w:val="en-US" w:eastAsia="es-ES"/>
        </w:rPr>
        <w:t>)</w:t>
      </w:r>
      <w:r w:rsidR="00F82001" w:rsidRPr="005A41E0">
        <w:rPr>
          <w:rFonts w:asciiTheme="majorHAnsi" w:hAnsiTheme="majorHAnsi"/>
          <w:sz w:val="20"/>
          <w:szCs w:val="20"/>
          <w:lang w:val="en-US" w:eastAsia="es-ES"/>
        </w:rPr>
        <w:t xml:space="preserve">, </w:t>
      </w:r>
      <w:r w:rsidR="00447513" w:rsidRPr="005A41E0">
        <w:rPr>
          <w:rFonts w:asciiTheme="majorHAnsi" w:hAnsiTheme="majorHAnsi"/>
          <w:sz w:val="20"/>
          <w:szCs w:val="20"/>
          <w:lang w:val="en-US" w:eastAsia="es-ES"/>
        </w:rPr>
        <w:t xml:space="preserve">the National Human Rights Commission </w:t>
      </w:r>
      <w:r w:rsidR="004F3FB3" w:rsidRPr="005A41E0">
        <w:rPr>
          <w:rFonts w:asciiTheme="majorHAnsi" w:hAnsiTheme="majorHAnsi"/>
          <w:sz w:val="20"/>
          <w:szCs w:val="20"/>
          <w:lang w:val="en-US" w:eastAsia="es-ES"/>
        </w:rPr>
        <w:t>(</w:t>
      </w:r>
      <w:r w:rsidR="00F82001" w:rsidRPr="005A41E0">
        <w:rPr>
          <w:rFonts w:asciiTheme="majorHAnsi" w:hAnsiTheme="majorHAnsi"/>
          <w:sz w:val="20"/>
          <w:szCs w:val="20"/>
          <w:lang w:val="en-US" w:eastAsia="es-ES"/>
        </w:rPr>
        <w:t>CNDH</w:t>
      </w:r>
      <w:r w:rsidR="004F3FB3" w:rsidRPr="005A41E0">
        <w:rPr>
          <w:rFonts w:asciiTheme="majorHAnsi" w:hAnsiTheme="majorHAnsi"/>
          <w:sz w:val="20"/>
          <w:szCs w:val="20"/>
          <w:lang w:val="en-US" w:eastAsia="es-ES"/>
        </w:rPr>
        <w:t>)</w:t>
      </w:r>
      <w:r w:rsidR="00447513" w:rsidRPr="005A41E0">
        <w:rPr>
          <w:rFonts w:asciiTheme="majorHAnsi" w:hAnsiTheme="majorHAnsi"/>
          <w:sz w:val="20"/>
          <w:szCs w:val="20"/>
          <w:lang w:val="en-US" w:eastAsia="es-ES"/>
        </w:rPr>
        <w:t xml:space="preserve">, and the report by international experts, on the presence of sufficient indicia of the Army’s participation. The IACHR also established that when the family members went to report what happened and to request information they were told by the authorities that they had no knowledge of their detention or whereabouts. In addition, it was determined that other mechanisms were activated to conceal what had happened. Based on the foregoing, the IACHR characterized the facts as a forced disappearance. </w:t>
      </w:r>
    </w:p>
    <w:p w:rsidR="00F82001" w:rsidRPr="005A41E0" w:rsidRDefault="00F82001" w:rsidP="005A41E0">
      <w:pPr>
        <w:widowControl w:val="0"/>
        <w:autoSpaceDE w:val="0"/>
        <w:autoSpaceDN w:val="0"/>
        <w:adjustRightInd w:val="0"/>
        <w:jc w:val="both"/>
        <w:rPr>
          <w:rFonts w:asciiTheme="majorHAnsi" w:hAnsiTheme="majorHAnsi" w:cs="Arial"/>
          <w:snapToGrid w:val="0"/>
          <w:sz w:val="20"/>
          <w:szCs w:val="20"/>
          <w:lang w:val="en-US"/>
        </w:rPr>
      </w:pPr>
    </w:p>
    <w:p w:rsidR="00F82001" w:rsidRPr="005A41E0" w:rsidRDefault="00447513" w:rsidP="00BF7270">
      <w:pPr>
        <w:pStyle w:val="ListParagraph"/>
        <w:numPr>
          <w:ilvl w:val="0"/>
          <w:numId w:val="15"/>
        </w:numPr>
        <w:shd w:val="clear" w:color="auto" w:fill="FFFFFF"/>
        <w:tabs>
          <w:tab w:val="clear" w:pos="1080"/>
        </w:tabs>
        <w:ind w:left="0"/>
        <w:jc w:val="both"/>
        <w:rPr>
          <w:rFonts w:asciiTheme="majorHAnsi" w:hAnsiTheme="majorHAnsi" w:cs="Arial"/>
          <w:sz w:val="20"/>
          <w:szCs w:val="20"/>
          <w:lang w:val="en-US"/>
        </w:rPr>
      </w:pPr>
      <w:r w:rsidRPr="005A41E0">
        <w:rPr>
          <w:rFonts w:asciiTheme="majorHAnsi" w:hAnsiTheme="majorHAnsi"/>
          <w:sz w:val="20"/>
          <w:szCs w:val="20"/>
          <w:lang w:val="en-US" w:eastAsia="es-ES"/>
        </w:rPr>
        <w:t xml:space="preserve">The case is also related to the situation of impunity affecting the three disappearances. The Commission determined that </w:t>
      </w:r>
      <w:r w:rsidR="00895078" w:rsidRPr="005A41E0">
        <w:rPr>
          <w:rFonts w:asciiTheme="majorHAnsi" w:hAnsiTheme="majorHAnsi"/>
          <w:sz w:val="20"/>
          <w:szCs w:val="20"/>
          <w:lang w:val="en-US" w:eastAsia="es-ES"/>
        </w:rPr>
        <w:t xml:space="preserve">applying the military justice system to the specific case violated the right to have a competent, independent, and impartial authority for obtaining justice. The Commission also established </w:t>
      </w:r>
      <w:r w:rsidR="00BF7270">
        <w:rPr>
          <w:rFonts w:asciiTheme="majorHAnsi" w:hAnsiTheme="majorHAnsi"/>
          <w:sz w:val="20"/>
          <w:szCs w:val="20"/>
          <w:lang w:val="en-US" w:eastAsia="es-ES"/>
        </w:rPr>
        <w:t xml:space="preserve">that the State breached </w:t>
      </w:r>
      <w:r w:rsidR="00895078" w:rsidRPr="005A41E0">
        <w:rPr>
          <w:rFonts w:asciiTheme="majorHAnsi" w:hAnsiTheme="majorHAnsi"/>
          <w:sz w:val="20"/>
          <w:szCs w:val="20"/>
          <w:lang w:val="en-US" w:eastAsia="es-ES"/>
        </w:rPr>
        <w:t>the duty to investigate with due diligence and in a reasonable time</w:t>
      </w:r>
      <w:r w:rsidR="00F82001" w:rsidRPr="005A41E0">
        <w:rPr>
          <w:rFonts w:asciiTheme="majorHAnsi" w:hAnsiTheme="majorHAnsi" w:cs="Arial"/>
          <w:sz w:val="20"/>
          <w:szCs w:val="20"/>
          <w:lang w:val="en-US"/>
        </w:rPr>
        <w:t xml:space="preserve">, </w:t>
      </w:r>
      <w:r w:rsidR="00895078" w:rsidRPr="005A41E0">
        <w:rPr>
          <w:rFonts w:asciiTheme="majorHAnsi" w:hAnsiTheme="majorHAnsi" w:cs="Arial"/>
          <w:sz w:val="20"/>
          <w:szCs w:val="20"/>
          <w:lang w:val="en-US"/>
        </w:rPr>
        <w:t xml:space="preserve">both with respect to the search for the disappeared victims and with respect to the clarification of the facts and the individual identification and punishment of the persons responsible. </w:t>
      </w:r>
    </w:p>
    <w:p w:rsidR="00F82001" w:rsidRPr="005A41E0" w:rsidRDefault="00F82001" w:rsidP="005A41E0">
      <w:pPr>
        <w:widowControl w:val="0"/>
        <w:autoSpaceDE w:val="0"/>
        <w:autoSpaceDN w:val="0"/>
        <w:adjustRightInd w:val="0"/>
        <w:ind w:firstLine="720"/>
        <w:jc w:val="both"/>
        <w:rPr>
          <w:rFonts w:asciiTheme="majorHAnsi" w:hAnsiTheme="majorHAnsi" w:cs="Arial"/>
          <w:sz w:val="20"/>
          <w:szCs w:val="20"/>
          <w:lang w:val="en-US"/>
        </w:rPr>
      </w:pPr>
    </w:p>
    <w:p w:rsidR="00F82001" w:rsidRPr="005A41E0" w:rsidRDefault="00895078" w:rsidP="005A41E0">
      <w:pPr>
        <w:pStyle w:val="ListParagraph"/>
        <w:numPr>
          <w:ilvl w:val="0"/>
          <w:numId w:val="15"/>
        </w:numPr>
        <w:shd w:val="clear" w:color="auto" w:fill="FFFFFF"/>
        <w:tabs>
          <w:tab w:val="clear" w:pos="1080"/>
        </w:tabs>
        <w:ind w:left="0"/>
        <w:jc w:val="both"/>
        <w:rPr>
          <w:rFonts w:asciiTheme="majorHAnsi" w:hAnsiTheme="majorHAnsi" w:cs="Arial"/>
          <w:sz w:val="20"/>
          <w:szCs w:val="20"/>
          <w:lang w:val="en-US"/>
        </w:rPr>
      </w:pPr>
      <w:r w:rsidRPr="005A41E0">
        <w:rPr>
          <w:rFonts w:asciiTheme="majorHAnsi" w:hAnsiTheme="majorHAnsi"/>
          <w:sz w:val="20"/>
          <w:szCs w:val="20"/>
          <w:lang w:val="en-US" w:eastAsia="es-ES"/>
        </w:rPr>
        <w:t>Finally</w:t>
      </w:r>
      <w:r w:rsidR="00F82001" w:rsidRPr="005A41E0">
        <w:rPr>
          <w:rFonts w:asciiTheme="majorHAnsi" w:hAnsiTheme="majorHAnsi"/>
          <w:sz w:val="20"/>
          <w:szCs w:val="20"/>
          <w:lang w:val="en-US" w:eastAsia="es-ES"/>
        </w:rPr>
        <w:t xml:space="preserve">, </w:t>
      </w:r>
      <w:r w:rsidRPr="005A41E0">
        <w:rPr>
          <w:rFonts w:asciiTheme="majorHAnsi" w:hAnsiTheme="majorHAnsi"/>
          <w:sz w:val="20"/>
          <w:szCs w:val="20"/>
          <w:lang w:val="en-US" w:eastAsia="es-ES"/>
        </w:rPr>
        <w:t xml:space="preserve">the Commission declared a series of related violations stemming from the threats and harassment the family groups have had to face, including the forced displacement of some of them. </w:t>
      </w:r>
    </w:p>
    <w:p w:rsidR="00F82001" w:rsidRPr="005A41E0" w:rsidRDefault="00F82001" w:rsidP="005A41E0">
      <w:pPr>
        <w:ind w:firstLine="720"/>
        <w:jc w:val="both"/>
        <w:rPr>
          <w:rFonts w:asciiTheme="majorHAnsi" w:hAnsiTheme="majorHAnsi"/>
          <w:sz w:val="20"/>
          <w:szCs w:val="20"/>
          <w:lang w:val="en-US" w:eastAsia="es-ES"/>
        </w:rPr>
      </w:pPr>
    </w:p>
    <w:p w:rsidR="00F82001" w:rsidRPr="005A41E0" w:rsidRDefault="004F3FB3" w:rsidP="005A41E0">
      <w:pPr>
        <w:ind w:left="1440" w:hanging="720"/>
        <w:jc w:val="both"/>
        <w:rPr>
          <w:rFonts w:asciiTheme="majorHAnsi" w:hAnsiTheme="majorHAnsi" w:cs="Arial"/>
          <w:sz w:val="20"/>
          <w:szCs w:val="20"/>
          <w:lang w:val="en-US"/>
        </w:rPr>
      </w:pPr>
      <w:r w:rsidRPr="005A41E0">
        <w:rPr>
          <w:rFonts w:asciiTheme="majorHAnsi" w:hAnsiTheme="majorHAnsi"/>
          <w:b/>
          <w:sz w:val="20"/>
          <w:szCs w:val="20"/>
          <w:lang w:val="en-US"/>
        </w:rPr>
        <w:t xml:space="preserve">o. </w:t>
      </w:r>
      <w:r w:rsidRPr="005A41E0">
        <w:rPr>
          <w:rFonts w:asciiTheme="majorHAnsi" w:hAnsiTheme="majorHAnsi"/>
          <w:b/>
          <w:sz w:val="20"/>
          <w:szCs w:val="20"/>
          <w:lang w:val="en-US"/>
        </w:rPr>
        <w:tab/>
      </w:r>
      <w:r w:rsidR="00F82001" w:rsidRPr="005A41E0">
        <w:rPr>
          <w:rFonts w:asciiTheme="majorHAnsi" w:hAnsiTheme="majorHAnsi" w:cs="Arial"/>
          <w:b/>
          <w:sz w:val="20"/>
          <w:szCs w:val="20"/>
          <w:lang w:val="en-US"/>
        </w:rPr>
        <w:t>Wilfredo Terrones Silva, Teresa Díaz Aparicio, Santiago Antezana Cueto, Néstor Rojas Medina</w:t>
      </w:r>
      <w:r w:rsidR="00895078" w:rsidRPr="005A41E0">
        <w:rPr>
          <w:rFonts w:asciiTheme="majorHAnsi" w:hAnsiTheme="majorHAnsi" w:cs="Arial"/>
          <w:b/>
          <w:sz w:val="20"/>
          <w:szCs w:val="20"/>
          <w:lang w:val="en-US"/>
        </w:rPr>
        <w:t xml:space="preserve">, and </w:t>
      </w:r>
      <w:r w:rsidR="00F82001" w:rsidRPr="005A41E0">
        <w:rPr>
          <w:rFonts w:asciiTheme="majorHAnsi" w:hAnsiTheme="majorHAnsi" w:cs="Arial"/>
          <w:b/>
          <w:sz w:val="20"/>
          <w:szCs w:val="20"/>
          <w:lang w:val="en-US"/>
        </w:rPr>
        <w:t xml:space="preserve">Cory Clodolia Tenicela Tello </w:t>
      </w:r>
      <w:r w:rsidR="00895078" w:rsidRPr="005A41E0">
        <w:rPr>
          <w:rFonts w:asciiTheme="majorHAnsi" w:hAnsiTheme="majorHAnsi" w:cs="Arial"/>
          <w:b/>
          <w:sz w:val="20"/>
          <w:szCs w:val="20"/>
          <w:lang w:val="en-US"/>
        </w:rPr>
        <w:t>v</w:t>
      </w:r>
      <w:r w:rsidR="00F82001" w:rsidRPr="005A41E0">
        <w:rPr>
          <w:rFonts w:asciiTheme="majorHAnsi" w:hAnsiTheme="majorHAnsi" w:cs="Arial"/>
          <w:b/>
          <w:sz w:val="20"/>
          <w:szCs w:val="20"/>
          <w:lang w:val="en-US"/>
        </w:rPr>
        <w:t xml:space="preserve">. </w:t>
      </w:r>
      <w:r w:rsidR="00895078" w:rsidRPr="005A41E0">
        <w:rPr>
          <w:rFonts w:asciiTheme="majorHAnsi" w:hAnsiTheme="majorHAnsi" w:cs="Arial"/>
          <w:b/>
          <w:sz w:val="20"/>
          <w:szCs w:val="20"/>
          <w:lang w:val="en-US"/>
        </w:rPr>
        <w:t>Peru</w:t>
      </w:r>
      <w:r w:rsidRPr="005A41E0">
        <w:rPr>
          <w:rFonts w:asciiTheme="majorHAnsi" w:hAnsiTheme="majorHAnsi" w:cs="Arial"/>
          <w:b/>
          <w:sz w:val="20"/>
          <w:szCs w:val="20"/>
          <w:lang w:val="en-US"/>
        </w:rPr>
        <w:t xml:space="preserve"> (</w:t>
      </w:r>
      <w:r w:rsidR="00895078" w:rsidRPr="005A41E0">
        <w:rPr>
          <w:rFonts w:asciiTheme="majorHAnsi" w:hAnsiTheme="majorHAnsi" w:cs="Arial"/>
          <w:b/>
          <w:sz w:val="20"/>
          <w:szCs w:val="20"/>
          <w:lang w:val="en-US"/>
        </w:rPr>
        <w:t xml:space="preserve">submitted November </w:t>
      </w:r>
      <w:r w:rsidR="00F82001" w:rsidRPr="005A41E0">
        <w:rPr>
          <w:rFonts w:asciiTheme="majorHAnsi" w:hAnsiTheme="majorHAnsi"/>
          <w:b/>
          <w:sz w:val="20"/>
          <w:szCs w:val="20"/>
          <w:lang w:val="en-US"/>
        </w:rPr>
        <w:t>9</w:t>
      </w:r>
      <w:r w:rsidR="00895078" w:rsidRPr="005A41E0">
        <w:rPr>
          <w:rFonts w:asciiTheme="majorHAnsi" w:hAnsiTheme="majorHAnsi"/>
          <w:b/>
          <w:sz w:val="20"/>
          <w:szCs w:val="20"/>
          <w:lang w:val="en-US"/>
        </w:rPr>
        <w:t>,</w:t>
      </w:r>
      <w:r w:rsidR="00F82001" w:rsidRPr="005A41E0">
        <w:rPr>
          <w:rFonts w:asciiTheme="majorHAnsi" w:hAnsiTheme="majorHAnsi"/>
          <w:b/>
          <w:sz w:val="20"/>
          <w:szCs w:val="20"/>
          <w:lang w:val="en-US"/>
        </w:rPr>
        <w:t xml:space="preserve"> 2016)</w:t>
      </w:r>
    </w:p>
    <w:p w:rsidR="00F82001" w:rsidRPr="005A41E0" w:rsidRDefault="00F82001" w:rsidP="005A41E0">
      <w:pPr>
        <w:ind w:firstLine="720"/>
        <w:jc w:val="both"/>
        <w:rPr>
          <w:rFonts w:asciiTheme="majorHAnsi" w:hAnsiTheme="majorHAnsi"/>
          <w:sz w:val="20"/>
          <w:szCs w:val="20"/>
          <w:lang w:val="en-US"/>
        </w:rPr>
      </w:pPr>
    </w:p>
    <w:p w:rsidR="00F82001" w:rsidRPr="005A41E0" w:rsidRDefault="009637A9" w:rsidP="00BF727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case refers to the forced disappearance of </w:t>
      </w:r>
      <w:r w:rsidR="00F82001" w:rsidRPr="005A41E0">
        <w:rPr>
          <w:rFonts w:asciiTheme="majorHAnsi" w:eastAsia="MS Gothic" w:hAnsiTheme="majorHAnsi"/>
          <w:bCs/>
          <w:sz w:val="20"/>
          <w:szCs w:val="20"/>
          <w:lang w:val="en-US"/>
        </w:rPr>
        <w:t>Wilfredo Terrones Silva (</w:t>
      </w:r>
      <w:r w:rsidRPr="005A41E0">
        <w:rPr>
          <w:rFonts w:asciiTheme="majorHAnsi" w:eastAsia="MS Gothic" w:hAnsiTheme="majorHAnsi"/>
          <w:bCs/>
          <w:sz w:val="20"/>
          <w:szCs w:val="20"/>
          <w:lang w:val="en-US"/>
        </w:rPr>
        <w:t xml:space="preserve">since August </w:t>
      </w:r>
      <w:r w:rsidR="00F82001" w:rsidRPr="005A41E0">
        <w:rPr>
          <w:rFonts w:asciiTheme="majorHAnsi" w:eastAsia="MS Gothic" w:hAnsiTheme="majorHAnsi"/>
          <w:bCs/>
          <w:sz w:val="20"/>
          <w:szCs w:val="20"/>
          <w:lang w:val="en-US"/>
        </w:rPr>
        <w:t>26</w:t>
      </w:r>
      <w:r w:rsidRPr="005A41E0">
        <w:rPr>
          <w:rFonts w:asciiTheme="majorHAnsi" w:eastAsia="MS Gothic" w:hAnsiTheme="majorHAnsi"/>
          <w:bCs/>
          <w:sz w:val="20"/>
          <w:szCs w:val="20"/>
          <w:lang w:val="en-US"/>
        </w:rPr>
        <w:t>,</w:t>
      </w:r>
      <w:r w:rsidR="00F82001" w:rsidRPr="005A41E0">
        <w:rPr>
          <w:rFonts w:asciiTheme="majorHAnsi" w:eastAsia="MS Gothic" w:hAnsiTheme="majorHAnsi"/>
          <w:bCs/>
          <w:sz w:val="20"/>
          <w:szCs w:val="20"/>
          <w:lang w:val="en-US"/>
        </w:rPr>
        <w:t xml:space="preserve"> 1992), Teresa Díaz Aparicio (</w:t>
      </w:r>
      <w:r w:rsidRPr="005A41E0">
        <w:rPr>
          <w:rFonts w:asciiTheme="majorHAnsi" w:eastAsia="MS Gothic" w:hAnsiTheme="majorHAnsi"/>
          <w:bCs/>
          <w:sz w:val="20"/>
          <w:szCs w:val="20"/>
          <w:lang w:val="en-US"/>
        </w:rPr>
        <w:t xml:space="preserve">since August </w:t>
      </w:r>
      <w:r w:rsidR="00F82001" w:rsidRPr="005A41E0">
        <w:rPr>
          <w:rFonts w:asciiTheme="majorHAnsi" w:eastAsia="MS Gothic" w:hAnsiTheme="majorHAnsi"/>
          <w:bCs/>
          <w:sz w:val="20"/>
          <w:szCs w:val="20"/>
          <w:lang w:val="en-US"/>
        </w:rPr>
        <w:t>19</w:t>
      </w:r>
      <w:r w:rsidRPr="005A41E0">
        <w:rPr>
          <w:rFonts w:asciiTheme="majorHAnsi" w:eastAsia="MS Gothic" w:hAnsiTheme="majorHAnsi"/>
          <w:bCs/>
          <w:sz w:val="20"/>
          <w:szCs w:val="20"/>
          <w:lang w:val="en-US"/>
        </w:rPr>
        <w:t>,</w:t>
      </w:r>
      <w:r w:rsidR="00F82001" w:rsidRPr="005A41E0">
        <w:rPr>
          <w:rFonts w:asciiTheme="majorHAnsi" w:eastAsia="MS Gothic" w:hAnsiTheme="majorHAnsi"/>
          <w:bCs/>
          <w:sz w:val="20"/>
          <w:szCs w:val="20"/>
          <w:lang w:val="en-US"/>
        </w:rPr>
        <w:t xml:space="preserve"> 1992), Santiago Antezana Cueto (</w:t>
      </w:r>
      <w:r w:rsidRPr="005A41E0">
        <w:rPr>
          <w:rFonts w:asciiTheme="majorHAnsi" w:eastAsia="MS Gothic" w:hAnsiTheme="majorHAnsi"/>
          <w:bCs/>
          <w:sz w:val="20"/>
          <w:szCs w:val="20"/>
          <w:lang w:val="en-US"/>
        </w:rPr>
        <w:t xml:space="preserve">since May </w:t>
      </w:r>
      <w:r w:rsidR="00F82001" w:rsidRPr="005A41E0">
        <w:rPr>
          <w:rFonts w:asciiTheme="majorHAnsi" w:eastAsia="MS Gothic" w:hAnsiTheme="majorHAnsi"/>
          <w:bCs/>
          <w:sz w:val="20"/>
          <w:szCs w:val="20"/>
          <w:lang w:val="en-US"/>
        </w:rPr>
        <w:t>7</w:t>
      </w:r>
      <w:r w:rsidRPr="005A41E0">
        <w:rPr>
          <w:rFonts w:asciiTheme="majorHAnsi" w:eastAsia="MS Gothic" w:hAnsiTheme="majorHAnsi"/>
          <w:bCs/>
          <w:sz w:val="20"/>
          <w:szCs w:val="20"/>
          <w:lang w:val="en-US"/>
        </w:rPr>
        <w:t>,</w:t>
      </w:r>
      <w:r w:rsidR="00F82001" w:rsidRPr="005A41E0">
        <w:rPr>
          <w:rFonts w:asciiTheme="majorHAnsi" w:eastAsia="MS Gothic" w:hAnsiTheme="majorHAnsi"/>
          <w:bCs/>
          <w:sz w:val="20"/>
          <w:szCs w:val="20"/>
          <w:lang w:val="en-US"/>
        </w:rPr>
        <w:t xml:space="preserve"> 1984), Néstor Rojas Medina (</w:t>
      </w:r>
      <w:r w:rsidRPr="005A41E0">
        <w:rPr>
          <w:rFonts w:asciiTheme="majorHAnsi" w:eastAsia="MS Gothic" w:hAnsiTheme="majorHAnsi"/>
          <w:bCs/>
          <w:sz w:val="20"/>
          <w:szCs w:val="20"/>
          <w:lang w:val="en-US"/>
        </w:rPr>
        <w:t xml:space="preserve">since January </w:t>
      </w:r>
      <w:r w:rsidR="00F82001" w:rsidRPr="005A41E0">
        <w:rPr>
          <w:rFonts w:asciiTheme="majorHAnsi" w:eastAsia="MS Gothic" w:hAnsiTheme="majorHAnsi"/>
          <w:bCs/>
          <w:sz w:val="20"/>
          <w:szCs w:val="20"/>
          <w:lang w:val="en-US"/>
        </w:rPr>
        <w:t>26</w:t>
      </w:r>
      <w:r w:rsidRPr="005A41E0">
        <w:rPr>
          <w:rFonts w:asciiTheme="majorHAnsi" w:eastAsia="MS Gothic" w:hAnsiTheme="majorHAnsi"/>
          <w:bCs/>
          <w:sz w:val="20"/>
          <w:szCs w:val="20"/>
          <w:lang w:val="en-US"/>
        </w:rPr>
        <w:t>,</w:t>
      </w:r>
      <w:r w:rsidR="00F82001" w:rsidRPr="005A41E0">
        <w:rPr>
          <w:rFonts w:asciiTheme="majorHAnsi" w:eastAsia="MS Gothic" w:hAnsiTheme="majorHAnsi"/>
          <w:bCs/>
          <w:sz w:val="20"/>
          <w:szCs w:val="20"/>
          <w:lang w:val="en-US"/>
        </w:rPr>
        <w:t xml:space="preserve"> 1991)</w:t>
      </w:r>
      <w:r w:rsidRPr="005A41E0">
        <w:rPr>
          <w:rFonts w:asciiTheme="majorHAnsi" w:eastAsia="MS Gothic" w:hAnsiTheme="majorHAnsi"/>
          <w:bCs/>
          <w:sz w:val="20"/>
          <w:szCs w:val="20"/>
          <w:lang w:val="en-US"/>
        </w:rPr>
        <w:t xml:space="preserve">, and </w:t>
      </w:r>
      <w:r w:rsidR="00F82001" w:rsidRPr="005A41E0">
        <w:rPr>
          <w:rFonts w:asciiTheme="majorHAnsi" w:eastAsia="MS Gothic" w:hAnsiTheme="majorHAnsi"/>
          <w:bCs/>
          <w:sz w:val="20"/>
          <w:szCs w:val="20"/>
          <w:lang w:val="en-US"/>
        </w:rPr>
        <w:t>Cory Clodolia Tenicela Tello (</w:t>
      </w:r>
      <w:r w:rsidRPr="005A41E0">
        <w:rPr>
          <w:rFonts w:asciiTheme="majorHAnsi" w:eastAsia="MS Gothic" w:hAnsiTheme="majorHAnsi"/>
          <w:bCs/>
          <w:sz w:val="20"/>
          <w:szCs w:val="20"/>
          <w:lang w:val="en-US"/>
        </w:rPr>
        <w:t xml:space="preserve">since October </w:t>
      </w:r>
      <w:r w:rsidR="00F82001" w:rsidRPr="005A41E0">
        <w:rPr>
          <w:rFonts w:asciiTheme="majorHAnsi" w:eastAsia="MS Gothic" w:hAnsiTheme="majorHAnsi"/>
          <w:bCs/>
          <w:sz w:val="20"/>
          <w:szCs w:val="20"/>
          <w:lang w:val="en-US"/>
        </w:rPr>
        <w:t>2</w:t>
      </w:r>
      <w:r w:rsidRPr="005A41E0">
        <w:rPr>
          <w:rFonts w:asciiTheme="majorHAnsi" w:eastAsia="MS Gothic" w:hAnsiTheme="majorHAnsi"/>
          <w:bCs/>
          <w:sz w:val="20"/>
          <w:szCs w:val="20"/>
          <w:lang w:val="en-US"/>
        </w:rPr>
        <w:t>,</w:t>
      </w:r>
      <w:r w:rsidR="00F82001" w:rsidRPr="005A41E0">
        <w:rPr>
          <w:rFonts w:asciiTheme="majorHAnsi" w:eastAsia="MS Gothic" w:hAnsiTheme="majorHAnsi"/>
          <w:bCs/>
          <w:sz w:val="20"/>
          <w:szCs w:val="20"/>
          <w:lang w:val="en-US"/>
        </w:rPr>
        <w:t xml:space="preserve"> 1992). </w:t>
      </w:r>
      <w:r w:rsidRPr="005A41E0">
        <w:rPr>
          <w:rFonts w:asciiTheme="majorHAnsi" w:eastAsia="MS Gothic" w:hAnsiTheme="majorHAnsi"/>
          <w:bCs/>
          <w:sz w:val="20"/>
          <w:szCs w:val="20"/>
          <w:lang w:val="en-US"/>
        </w:rPr>
        <w:t xml:space="preserve">This happened in the context of the systematic and widespread practice of forced disappearance </w:t>
      </w:r>
      <w:r w:rsidR="00BF7270">
        <w:rPr>
          <w:rFonts w:asciiTheme="majorHAnsi" w:eastAsia="MS Gothic" w:hAnsiTheme="majorHAnsi"/>
          <w:bCs/>
          <w:sz w:val="20"/>
          <w:szCs w:val="20"/>
          <w:lang w:val="en-US"/>
        </w:rPr>
        <w:t xml:space="preserve">during </w:t>
      </w:r>
      <w:r w:rsidRPr="005A41E0">
        <w:rPr>
          <w:rFonts w:asciiTheme="majorHAnsi" w:eastAsia="MS Gothic" w:hAnsiTheme="majorHAnsi"/>
          <w:bCs/>
          <w:sz w:val="20"/>
          <w:szCs w:val="20"/>
          <w:lang w:val="en-US"/>
        </w:rPr>
        <w:t xml:space="preserve">the counter-terrorist struggle of the Peruvian State, with a special impact in those years. The State did not produce information on alternative hypotheses to the forced disappearance of persons, and most of the cases are in total impunity. To date no victim’s fate or whereabouts is known, thus their forced disappearance continues. </w:t>
      </w:r>
    </w:p>
    <w:p w:rsidR="00F82001" w:rsidRPr="005A41E0" w:rsidRDefault="00F82001" w:rsidP="005A41E0">
      <w:pPr>
        <w:ind w:firstLine="720"/>
        <w:jc w:val="both"/>
        <w:rPr>
          <w:rFonts w:asciiTheme="majorHAnsi" w:hAnsiTheme="majorHAnsi"/>
          <w:sz w:val="20"/>
          <w:szCs w:val="20"/>
          <w:lang w:val="en-US"/>
        </w:rPr>
      </w:pPr>
    </w:p>
    <w:p w:rsidR="000643A5" w:rsidRDefault="000643A5">
      <w:pPr>
        <w:rPr>
          <w:rFonts w:asciiTheme="majorHAnsi" w:hAnsiTheme="majorHAnsi"/>
          <w:b/>
          <w:sz w:val="20"/>
          <w:szCs w:val="20"/>
          <w:lang w:val="en-US"/>
        </w:rPr>
      </w:pPr>
      <w:r>
        <w:rPr>
          <w:rFonts w:asciiTheme="majorHAnsi" w:hAnsiTheme="majorHAnsi"/>
          <w:b/>
          <w:sz w:val="20"/>
          <w:szCs w:val="20"/>
          <w:lang w:val="en-US"/>
        </w:rPr>
        <w:br w:type="page"/>
      </w:r>
    </w:p>
    <w:p w:rsidR="00F82001" w:rsidRPr="005A41E0" w:rsidRDefault="00F82001" w:rsidP="005A41E0">
      <w:pPr>
        <w:ind w:left="720"/>
        <w:jc w:val="both"/>
        <w:rPr>
          <w:rFonts w:asciiTheme="majorHAnsi" w:hAnsiTheme="majorHAnsi" w:cs="Arial"/>
          <w:sz w:val="20"/>
          <w:szCs w:val="20"/>
          <w:lang w:val="en-US"/>
        </w:rPr>
      </w:pPr>
      <w:r w:rsidRPr="005A41E0">
        <w:rPr>
          <w:rFonts w:asciiTheme="majorHAnsi" w:hAnsiTheme="majorHAnsi"/>
          <w:b/>
          <w:sz w:val="20"/>
          <w:szCs w:val="20"/>
          <w:lang w:val="en-US"/>
        </w:rPr>
        <w:lastRenderedPageBreak/>
        <w:t xml:space="preserve">p. </w:t>
      </w:r>
      <w:r w:rsidRPr="005A41E0">
        <w:rPr>
          <w:rFonts w:asciiTheme="majorHAnsi" w:hAnsiTheme="majorHAnsi"/>
          <w:b/>
          <w:sz w:val="20"/>
          <w:szCs w:val="20"/>
          <w:lang w:val="en-US"/>
        </w:rPr>
        <w:tab/>
      </w:r>
      <w:r w:rsidR="009637A9" w:rsidRPr="005A41E0">
        <w:rPr>
          <w:rFonts w:asciiTheme="majorHAnsi" w:hAnsiTheme="majorHAnsi" w:cs="Arial"/>
          <w:b/>
          <w:sz w:val="20"/>
          <w:szCs w:val="20"/>
          <w:lang w:val="en-US"/>
        </w:rPr>
        <w:t>Cuscul Piraval v</w:t>
      </w:r>
      <w:r w:rsidRPr="005A41E0">
        <w:rPr>
          <w:rFonts w:asciiTheme="majorHAnsi" w:hAnsiTheme="majorHAnsi" w:cs="Arial"/>
          <w:b/>
          <w:sz w:val="20"/>
          <w:szCs w:val="20"/>
          <w:lang w:val="en-US"/>
        </w:rPr>
        <w:t xml:space="preserve">. Guatemala </w:t>
      </w:r>
      <w:r w:rsidRPr="005A41E0">
        <w:rPr>
          <w:rFonts w:asciiTheme="majorHAnsi" w:hAnsiTheme="majorHAnsi"/>
          <w:b/>
          <w:sz w:val="20"/>
          <w:szCs w:val="20"/>
          <w:lang w:val="en-US"/>
        </w:rPr>
        <w:t>(</w:t>
      </w:r>
      <w:r w:rsidR="009637A9" w:rsidRPr="005A41E0">
        <w:rPr>
          <w:rFonts w:asciiTheme="majorHAnsi" w:hAnsiTheme="majorHAnsi"/>
          <w:b/>
          <w:sz w:val="20"/>
          <w:szCs w:val="20"/>
          <w:lang w:val="en-US"/>
        </w:rPr>
        <w:t xml:space="preserve">submitted December </w:t>
      </w:r>
      <w:r w:rsidRPr="005A41E0">
        <w:rPr>
          <w:rFonts w:asciiTheme="majorHAnsi" w:hAnsiTheme="majorHAnsi"/>
          <w:b/>
          <w:sz w:val="20"/>
          <w:szCs w:val="20"/>
          <w:lang w:val="en-US"/>
        </w:rPr>
        <w:t>2</w:t>
      </w:r>
      <w:r w:rsidR="009637A9" w:rsidRPr="005A41E0">
        <w:rPr>
          <w:rFonts w:asciiTheme="majorHAnsi" w:hAnsiTheme="majorHAnsi"/>
          <w:b/>
          <w:sz w:val="20"/>
          <w:szCs w:val="20"/>
          <w:lang w:val="en-US"/>
        </w:rPr>
        <w:t>,</w:t>
      </w:r>
      <w:r w:rsidRPr="005A41E0">
        <w:rPr>
          <w:rFonts w:asciiTheme="majorHAnsi" w:hAnsiTheme="majorHAnsi"/>
          <w:b/>
          <w:sz w:val="20"/>
          <w:szCs w:val="20"/>
          <w:lang w:val="en-US"/>
        </w:rPr>
        <w:t xml:space="preserve"> 2016)</w:t>
      </w:r>
    </w:p>
    <w:p w:rsidR="00F82001" w:rsidRPr="005A41E0" w:rsidRDefault="00F82001" w:rsidP="005A41E0">
      <w:pPr>
        <w:ind w:firstLine="720"/>
        <w:jc w:val="both"/>
        <w:rPr>
          <w:rFonts w:asciiTheme="majorHAnsi" w:hAnsiTheme="majorHAnsi"/>
          <w:sz w:val="20"/>
          <w:szCs w:val="20"/>
          <w:lang w:val="en-US"/>
        </w:rPr>
      </w:pPr>
    </w:p>
    <w:p w:rsidR="00F82001" w:rsidRPr="005A41E0" w:rsidRDefault="009637A9" w:rsidP="00507454">
      <w:pPr>
        <w:pStyle w:val="ListParagraph"/>
        <w:numPr>
          <w:ilvl w:val="0"/>
          <w:numId w:val="15"/>
        </w:numPr>
        <w:shd w:val="clear" w:color="auto" w:fill="FFFFFF"/>
        <w:tabs>
          <w:tab w:val="clear" w:pos="1080"/>
        </w:tabs>
        <w:ind w:left="0"/>
        <w:jc w:val="both"/>
        <w:rPr>
          <w:rFonts w:asciiTheme="majorHAnsi" w:hAnsiTheme="majorHAnsi" w:cs="Arial"/>
          <w:sz w:val="20"/>
          <w:szCs w:val="20"/>
          <w:lang w:val="en-US"/>
        </w:rPr>
      </w:pPr>
      <w:r w:rsidRPr="005A41E0">
        <w:rPr>
          <w:rFonts w:asciiTheme="majorHAnsi" w:hAnsiTheme="majorHAnsi" w:cs="Arial"/>
          <w:sz w:val="20"/>
          <w:szCs w:val="20"/>
          <w:lang w:val="en-US"/>
        </w:rPr>
        <w:t>Th</w:t>
      </w:r>
      <w:r w:rsidR="003D6DFE">
        <w:rPr>
          <w:rFonts w:asciiTheme="majorHAnsi" w:hAnsiTheme="majorHAnsi" w:cs="Arial"/>
          <w:sz w:val="20"/>
          <w:szCs w:val="20"/>
          <w:lang w:val="en-US"/>
        </w:rPr>
        <w:t>is</w:t>
      </w:r>
      <w:r w:rsidRPr="005A41E0">
        <w:rPr>
          <w:rFonts w:asciiTheme="majorHAnsi" w:hAnsiTheme="majorHAnsi" w:cs="Arial"/>
          <w:sz w:val="20"/>
          <w:szCs w:val="20"/>
          <w:lang w:val="en-US"/>
        </w:rPr>
        <w:t xml:space="preserve"> case is related to the international responsibility of the State for </w:t>
      </w:r>
      <w:r w:rsidR="00507454">
        <w:rPr>
          <w:rFonts w:asciiTheme="majorHAnsi" w:hAnsiTheme="majorHAnsi" w:cs="Arial"/>
          <w:sz w:val="20"/>
          <w:szCs w:val="20"/>
          <w:lang w:val="en-US"/>
        </w:rPr>
        <w:t>violating</w:t>
      </w:r>
      <w:r w:rsidRPr="005A41E0">
        <w:rPr>
          <w:rFonts w:asciiTheme="majorHAnsi" w:hAnsiTheme="majorHAnsi" w:cs="Arial"/>
          <w:sz w:val="20"/>
          <w:szCs w:val="20"/>
          <w:lang w:val="en-US"/>
        </w:rPr>
        <w:t xml:space="preserve"> various rights established in the American Convention to the detriment of </w:t>
      </w:r>
      <w:r w:rsidR="00F82001" w:rsidRPr="005A41E0">
        <w:rPr>
          <w:rFonts w:asciiTheme="majorHAnsi" w:hAnsiTheme="majorHAnsi"/>
          <w:sz w:val="20"/>
          <w:szCs w:val="20"/>
          <w:lang w:val="en-US"/>
        </w:rPr>
        <w:t xml:space="preserve">49 </w:t>
      </w:r>
      <w:r w:rsidRPr="005A41E0">
        <w:rPr>
          <w:rFonts w:asciiTheme="majorHAnsi" w:hAnsiTheme="majorHAnsi"/>
          <w:sz w:val="20"/>
          <w:szCs w:val="20"/>
          <w:lang w:val="en-US"/>
        </w:rPr>
        <w:t xml:space="preserve">victims diagnosed with HIV/AIDS from </w:t>
      </w:r>
      <w:r w:rsidR="00F82001" w:rsidRPr="005A41E0">
        <w:rPr>
          <w:rFonts w:asciiTheme="majorHAnsi" w:hAnsiTheme="majorHAnsi"/>
          <w:sz w:val="20"/>
          <w:szCs w:val="20"/>
          <w:lang w:val="en-US"/>
        </w:rPr>
        <w:t xml:space="preserve">1992 </w:t>
      </w:r>
      <w:r w:rsidRPr="005A41E0">
        <w:rPr>
          <w:rFonts w:asciiTheme="majorHAnsi" w:hAnsiTheme="majorHAnsi"/>
          <w:sz w:val="20"/>
          <w:szCs w:val="20"/>
          <w:lang w:val="en-US"/>
        </w:rPr>
        <w:t xml:space="preserve">to </w:t>
      </w:r>
      <w:r w:rsidR="00F82001" w:rsidRPr="005A41E0">
        <w:rPr>
          <w:rFonts w:asciiTheme="majorHAnsi" w:hAnsiTheme="majorHAnsi"/>
          <w:sz w:val="20"/>
          <w:szCs w:val="20"/>
          <w:lang w:val="en-US"/>
        </w:rPr>
        <w:t xml:space="preserve">2003.  </w:t>
      </w:r>
      <w:r w:rsidRPr="005A41E0">
        <w:rPr>
          <w:rFonts w:asciiTheme="majorHAnsi" w:hAnsiTheme="majorHAnsi"/>
          <w:sz w:val="20"/>
          <w:szCs w:val="20"/>
          <w:lang w:val="en-US"/>
        </w:rPr>
        <w:t xml:space="preserve">Specifically, the IACHR established that up until the years 2006 and 2007 there was a total lack of state medical care for the group of persons living with HIV/AIDS and affected by poverty. The IACHR determined that this omission had a serious impact on their health, life, and integrity. In addition, it established that the deaths of eight of the victims, </w:t>
      </w:r>
      <w:r w:rsidR="00F82001" w:rsidRPr="005A41E0">
        <w:rPr>
          <w:rFonts w:asciiTheme="majorHAnsi" w:hAnsiTheme="majorHAnsi"/>
          <w:sz w:val="20"/>
          <w:szCs w:val="20"/>
          <w:lang w:val="en-US"/>
        </w:rPr>
        <w:t>Alberto Quiché Cuxeva, Reina López Mujica, Ismar Ramírez Chajón, Rita Bubón Orozco, Facundo Gómez Reyes, José Rubén Delgado, Luis Edwin Cruz Gramau</w:t>
      </w:r>
      <w:r w:rsidRPr="005A41E0">
        <w:rPr>
          <w:rFonts w:asciiTheme="majorHAnsi" w:hAnsiTheme="majorHAnsi"/>
          <w:sz w:val="20"/>
          <w:szCs w:val="20"/>
          <w:lang w:val="en-US"/>
        </w:rPr>
        <w:t xml:space="preserve">, and </w:t>
      </w:r>
      <w:r w:rsidR="00F82001" w:rsidRPr="005A41E0">
        <w:rPr>
          <w:rFonts w:asciiTheme="majorHAnsi" w:hAnsiTheme="majorHAnsi"/>
          <w:sz w:val="20"/>
          <w:szCs w:val="20"/>
          <w:lang w:val="en-US"/>
        </w:rPr>
        <w:t xml:space="preserve">María Vail, </w:t>
      </w:r>
      <w:r w:rsidRPr="005A41E0">
        <w:rPr>
          <w:rFonts w:asciiTheme="majorHAnsi" w:hAnsiTheme="majorHAnsi"/>
          <w:sz w:val="20"/>
          <w:szCs w:val="20"/>
          <w:lang w:val="en-US"/>
        </w:rPr>
        <w:t xml:space="preserve">occurred as the result of opportunistic </w:t>
      </w:r>
      <w:r w:rsidR="00507454">
        <w:rPr>
          <w:rFonts w:asciiTheme="majorHAnsi" w:hAnsiTheme="majorHAnsi"/>
          <w:sz w:val="20"/>
          <w:szCs w:val="20"/>
          <w:lang w:val="en-US"/>
        </w:rPr>
        <w:t>diseases; or occurred in a time</w:t>
      </w:r>
      <w:r w:rsidRPr="005A41E0">
        <w:rPr>
          <w:rFonts w:asciiTheme="majorHAnsi" w:hAnsiTheme="majorHAnsi"/>
          <w:sz w:val="20"/>
          <w:szCs w:val="20"/>
          <w:lang w:val="en-US"/>
        </w:rPr>
        <w:t>frame in which they did not receive the care they needed from the State</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or after having received deficient care. Although the State began to </w:t>
      </w:r>
      <w:r w:rsidRPr="005A41E0">
        <w:rPr>
          <w:rFonts w:asciiTheme="majorHAnsi" w:hAnsiTheme="majorHAnsi" w:cs="Arial"/>
          <w:sz w:val="20"/>
          <w:szCs w:val="20"/>
          <w:lang w:val="en-US"/>
        </w:rPr>
        <w:t xml:space="preserve">implement some treatment for persons living with HIV/AIDS in the public sector after </w:t>
      </w:r>
      <w:r w:rsidR="00F82001" w:rsidRPr="005A41E0">
        <w:rPr>
          <w:rFonts w:asciiTheme="majorHAnsi" w:hAnsiTheme="majorHAnsi" w:cs="Arial"/>
          <w:sz w:val="20"/>
          <w:szCs w:val="20"/>
          <w:lang w:val="en-US"/>
        </w:rPr>
        <w:t xml:space="preserve">2006 </w:t>
      </w:r>
      <w:r w:rsidRPr="005A41E0">
        <w:rPr>
          <w:rFonts w:asciiTheme="majorHAnsi" w:hAnsiTheme="majorHAnsi" w:cs="Arial"/>
          <w:sz w:val="20"/>
          <w:szCs w:val="20"/>
          <w:lang w:val="en-US"/>
        </w:rPr>
        <w:t xml:space="preserve">and </w:t>
      </w:r>
      <w:r w:rsidR="00F82001" w:rsidRPr="005A41E0">
        <w:rPr>
          <w:rFonts w:asciiTheme="majorHAnsi" w:hAnsiTheme="majorHAnsi" w:cs="Arial"/>
          <w:sz w:val="20"/>
          <w:szCs w:val="20"/>
          <w:lang w:val="en-US"/>
        </w:rPr>
        <w:t xml:space="preserve">2007, </w:t>
      </w:r>
      <w:r w:rsidRPr="005A41E0">
        <w:rPr>
          <w:rFonts w:asciiTheme="majorHAnsi" w:hAnsiTheme="majorHAnsi" w:cs="Arial"/>
          <w:sz w:val="20"/>
          <w:szCs w:val="20"/>
          <w:lang w:val="en-US"/>
        </w:rPr>
        <w:t xml:space="preserve">the IACHR concluded that </w:t>
      </w:r>
      <w:r w:rsidR="00B62CA6" w:rsidRPr="005A41E0">
        <w:rPr>
          <w:rFonts w:asciiTheme="majorHAnsi" w:hAnsiTheme="majorHAnsi" w:cs="Arial"/>
          <w:sz w:val="20"/>
          <w:szCs w:val="20"/>
          <w:lang w:val="en-US"/>
        </w:rPr>
        <w:t xml:space="preserve">that care did not satisfy the minimum standards for being considered </w:t>
      </w:r>
      <w:r w:rsidR="00507454">
        <w:rPr>
          <w:rFonts w:asciiTheme="majorHAnsi" w:hAnsiTheme="majorHAnsi" w:cs="Arial"/>
          <w:sz w:val="20"/>
          <w:szCs w:val="20"/>
          <w:lang w:val="en-US"/>
        </w:rPr>
        <w:t xml:space="preserve">comprehensive </w:t>
      </w:r>
      <w:r w:rsidR="00B62CA6" w:rsidRPr="005A41E0">
        <w:rPr>
          <w:rFonts w:asciiTheme="majorHAnsi" w:hAnsiTheme="majorHAnsi" w:cs="Arial"/>
          <w:sz w:val="20"/>
          <w:szCs w:val="20"/>
          <w:lang w:val="en-US"/>
        </w:rPr>
        <w:t>and adequate</w:t>
      </w:r>
      <w:r w:rsidR="00F82001" w:rsidRPr="005A41E0">
        <w:rPr>
          <w:rFonts w:asciiTheme="majorHAnsi" w:hAnsiTheme="majorHAnsi" w:cs="Arial"/>
          <w:sz w:val="20"/>
          <w:szCs w:val="20"/>
          <w:lang w:val="en-US"/>
        </w:rPr>
        <w:t xml:space="preserve"> </w:t>
      </w:r>
      <w:r w:rsidR="00B62CA6" w:rsidRPr="005A41E0">
        <w:rPr>
          <w:rFonts w:asciiTheme="majorHAnsi" w:hAnsiTheme="majorHAnsi" w:cs="Arial"/>
          <w:sz w:val="20"/>
          <w:szCs w:val="20"/>
          <w:lang w:val="en-US"/>
        </w:rPr>
        <w:t xml:space="preserve">and, therefore, these shortcomings continued violating the rights to heath, life, and humane treatment to the detriment of the surviving victims. </w:t>
      </w:r>
    </w:p>
    <w:p w:rsidR="00F82001" w:rsidRPr="005A41E0" w:rsidRDefault="00F82001" w:rsidP="005A41E0">
      <w:pPr>
        <w:ind w:firstLine="720"/>
        <w:jc w:val="both"/>
        <w:rPr>
          <w:rFonts w:asciiTheme="majorHAnsi" w:hAnsiTheme="majorHAnsi" w:cs="Arial"/>
          <w:sz w:val="20"/>
          <w:szCs w:val="20"/>
          <w:lang w:val="en-US"/>
        </w:rPr>
      </w:pPr>
    </w:p>
    <w:p w:rsidR="00F82001" w:rsidRPr="005A41E0" w:rsidRDefault="00B62CA6" w:rsidP="00507454">
      <w:pPr>
        <w:pStyle w:val="ListParagraph"/>
        <w:numPr>
          <w:ilvl w:val="0"/>
          <w:numId w:val="15"/>
        </w:numPr>
        <w:shd w:val="clear" w:color="auto" w:fill="FFFFFF"/>
        <w:tabs>
          <w:tab w:val="clear" w:pos="1080"/>
        </w:tabs>
        <w:ind w:left="0"/>
        <w:jc w:val="both"/>
        <w:rPr>
          <w:rFonts w:asciiTheme="majorHAnsi" w:hAnsiTheme="majorHAnsi" w:cs="Arial"/>
          <w:sz w:val="20"/>
          <w:szCs w:val="20"/>
          <w:lang w:val="en-US"/>
        </w:rPr>
      </w:pPr>
      <w:r w:rsidRPr="005A41E0">
        <w:rPr>
          <w:rFonts w:asciiTheme="majorHAnsi" w:hAnsiTheme="majorHAnsi" w:cs="Arial"/>
          <w:sz w:val="20"/>
          <w:szCs w:val="20"/>
          <w:lang w:val="en-US"/>
        </w:rPr>
        <w:t xml:space="preserve">The IACHR also established that the writ of </w:t>
      </w:r>
      <w:r w:rsidR="00F82001" w:rsidRPr="005A41E0">
        <w:rPr>
          <w:rFonts w:asciiTheme="majorHAnsi" w:hAnsiTheme="majorHAnsi" w:cs="Arial"/>
          <w:i/>
          <w:iCs/>
          <w:sz w:val="20"/>
          <w:szCs w:val="20"/>
          <w:lang w:val="en-US"/>
        </w:rPr>
        <w:t>amparo</w:t>
      </w:r>
      <w:r w:rsidR="00F82001" w:rsidRPr="005A41E0">
        <w:rPr>
          <w:rFonts w:asciiTheme="majorHAnsi" w:hAnsiTheme="majorHAnsi" w:cs="Arial"/>
          <w:sz w:val="20"/>
          <w:szCs w:val="20"/>
          <w:lang w:val="en-US"/>
        </w:rPr>
        <w:t xml:space="preserve"> </w:t>
      </w:r>
      <w:r w:rsidRPr="005A41E0">
        <w:rPr>
          <w:rFonts w:asciiTheme="majorHAnsi" w:hAnsiTheme="majorHAnsi" w:cs="Arial"/>
          <w:sz w:val="20"/>
          <w:szCs w:val="20"/>
          <w:lang w:val="en-US"/>
        </w:rPr>
        <w:t xml:space="preserve">filed on July </w:t>
      </w:r>
      <w:r w:rsidR="00F82001" w:rsidRPr="005A41E0">
        <w:rPr>
          <w:rFonts w:asciiTheme="majorHAnsi" w:hAnsiTheme="majorHAnsi" w:cs="Arial"/>
          <w:sz w:val="20"/>
          <w:szCs w:val="20"/>
          <w:lang w:val="en-US"/>
        </w:rPr>
        <w:t>26</w:t>
      </w:r>
      <w:r w:rsidRPr="005A41E0">
        <w:rPr>
          <w:rFonts w:asciiTheme="majorHAnsi" w:hAnsiTheme="majorHAnsi" w:cs="Arial"/>
          <w:sz w:val="20"/>
          <w:szCs w:val="20"/>
          <w:lang w:val="en-US"/>
        </w:rPr>
        <w:t>,</w:t>
      </w:r>
      <w:r w:rsidR="00F82001" w:rsidRPr="005A41E0">
        <w:rPr>
          <w:rFonts w:asciiTheme="majorHAnsi" w:hAnsiTheme="majorHAnsi" w:cs="Arial"/>
          <w:sz w:val="20"/>
          <w:szCs w:val="20"/>
          <w:lang w:val="en-US"/>
        </w:rPr>
        <w:t xml:space="preserve"> 2002 </w:t>
      </w:r>
      <w:r w:rsidRPr="005A41E0">
        <w:rPr>
          <w:rFonts w:asciiTheme="majorHAnsi" w:hAnsiTheme="majorHAnsi" w:cs="Arial"/>
          <w:sz w:val="20"/>
          <w:szCs w:val="20"/>
          <w:lang w:val="en-US"/>
        </w:rPr>
        <w:t>with the Constitutional Court did not provide the victims with effective judicial protection. Finally</w:t>
      </w:r>
      <w:r w:rsidR="00F82001" w:rsidRPr="005A41E0">
        <w:rPr>
          <w:rFonts w:asciiTheme="majorHAnsi" w:hAnsiTheme="majorHAnsi" w:cs="Arial"/>
          <w:sz w:val="20"/>
          <w:szCs w:val="20"/>
          <w:lang w:val="en-US"/>
        </w:rPr>
        <w:t xml:space="preserve">, </w:t>
      </w:r>
      <w:r w:rsidRPr="005A41E0">
        <w:rPr>
          <w:rFonts w:asciiTheme="majorHAnsi" w:hAnsiTheme="majorHAnsi" w:cs="Arial"/>
          <w:sz w:val="20"/>
          <w:szCs w:val="20"/>
          <w:lang w:val="en-US"/>
        </w:rPr>
        <w:t xml:space="preserve">the IACHR determined that the next-of-kin and/or persons providing the closest support for the victims suffered </w:t>
      </w:r>
      <w:r w:rsidR="00507454">
        <w:rPr>
          <w:rFonts w:asciiTheme="majorHAnsi" w:hAnsiTheme="majorHAnsi" w:cs="Arial"/>
          <w:sz w:val="20"/>
          <w:szCs w:val="20"/>
          <w:lang w:val="en-US"/>
        </w:rPr>
        <w:t xml:space="preserve">violations of </w:t>
      </w:r>
      <w:r w:rsidRPr="005A41E0">
        <w:rPr>
          <w:rFonts w:asciiTheme="majorHAnsi" w:hAnsiTheme="majorHAnsi" w:cs="Arial"/>
          <w:sz w:val="20"/>
          <w:szCs w:val="20"/>
          <w:lang w:val="en-US"/>
        </w:rPr>
        <w:t xml:space="preserve">their psychological and moral integrity. </w:t>
      </w:r>
    </w:p>
    <w:p w:rsidR="00F82001" w:rsidRPr="005A41E0" w:rsidRDefault="00F82001" w:rsidP="005A41E0">
      <w:pPr>
        <w:ind w:firstLine="720"/>
        <w:jc w:val="both"/>
        <w:rPr>
          <w:rFonts w:asciiTheme="majorHAnsi" w:hAnsiTheme="majorHAnsi"/>
          <w:sz w:val="20"/>
          <w:szCs w:val="20"/>
          <w:lang w:val="en-US"/>
        </w:rPr>
      </w:pPr>
    </w:p>
    <w:p w:rsidR="00F82001" w:rsidRPr="005A41E0" w:rsidRDefault="00F82001" w:rsidP="00507454">
      <w:pPr>
        <w:pStyle w:val="Heading2"/>
        <w:ind w:left="1530" w:hanging="810"/>
        <w:rPr>
          <w:lang w:val="en-US"/>
        </w:rPr>
      </w:pPr>
      <w:r w:rsidRPr="005A41E0">
        <w:rPr>
          <w:lang w:val="en-US"/>
        </w:rPr>
        <w:t>2.</w:t>
      </w:r>
      <w:r w:rsidRPr="005A41E0">
        <w:rPr>
          <w:lang w:val="en-US"/>
        </w:rPr>
        <w:tab/>
      </w:r>
      <w:r w:rsidR="00B62CA6" w:rsidRPr="005A41E0">
        <w:rPr>
          <w:lang w:val="en-US"/>
        </w:rPr>
        <w:t xml:space="preserve">Appearances and participation in the public and private hearings, and on-site </w:t>
      </w:r>
      <w:r w:rsidR="00507454">
        <w:rPr>
          <w:lang w:val="en-US"/>
        </w:rPr>
        <w:t xml:space="preserve">investigative procedures </w:t>
      </w:r>
    </w:p>
    <w:p w:rsidR="00F82001" w:rsidRPr="005A41E0" w:rsidRDefault="00F82001" w:rsidP="005A41E0">
      <w:pPr>
        <w:pStyle w:val="Body1"/>
        <w:ind w:left="12"/>
        <w:jc w:val="both"/>
        <w:rPr>
          <w:rFonts w:asciiTheme="majorHAnsi" w:eastAsia="Times New Roman" w:hAnsiTheme="majorHAnsi"/>
          <w:b/>
          <w:color w:val="auto"/>
          <w:sz w:val="20"/>
        </w:rPr>
      </w:pPr>
    </w:p>
    <w:p w:rsidR="00F82001" w:rsidRPr="005A41E0" w:rsidRDefault="00520840" w:rsidP="00507454">
      <w:pPr>
        <w:pStyle w:val="ListParagraph"/>
        <w:numPr>
          <w:ilvl w:val="0"/>
          <w:numId w:val="15"/>
        </w:numPr>
        <w:shd w:val="clear" w:color="auto" w:fill="FFFFFF"/>
        <w:tabs>
          <w:tab w:val="clear" w:pos="1080"/>
        </w:tabs>
        <w:ind w:left="0"/>
        <w:jc w:val="both"/>
        <w:rPr>
          <w:rFonts w:asciiTheme="majorHAnsi" w:hAnsiTheme="majorHAnsi"/>
          <w:i/>
          <w:sz w:val="20"/>
          <w:szCs w:val="20"/>
          <w:u w:color="FF0000"/>
          <w:lang w:val="en-US"/>
        </w:rPr>
      </w:pPr>
      <w:r w:rsidRPr="005A41E0">
        <w:rPr>
          <w:rFonts w:asciiTheme="majorHAnsi" w:hAnsiTheme="majorHAnsi"/>
          <w:sz w:val="20"/>
          <w:szCs w:val="20"/>
          <w:lang w:val="en-US"/>
        </w:rPr>
        <w:t xml:space="preserve">From February </w:t>
      </w:r>
      <w:r w:rsidR="00F82001" w:rsidRPr="005A41E0">
        <w:rPr>
          <w:rFonts w:asciiTheme="majorHAnsi" w:hAnsiTheme="majorHAnsi"/>
          <w:sz w:val="20"/>
          <w:szCs w:val="20"/>
          <w:lang w:val="en-US"/>
        </w:rPr>
        <w:t xml:space="preserve">15 </w:t>
      </w:r>
      <w:r w:rsidRPr="005A41E0">
        <w:rPr>
          <w:rFonts w:asciiTheme="majorHAnsi" w:hAnsiTheme="majorHAnsi"/>
          <w:sz w:val="20"/>
          <w:szCs w:val="20"/>
          <w:lang w:val="en-US"/>
        </w:rPr>
        <w:t xml:space="preserve">to March </w:t>
      </w:r>
      <w:r w:rsidR="00F82001" w:rsidRPr="005A41E0">
        <w:rPr>
          <w:rFonts w:asciiTheme="majorHAnsi" w:hAnsiTheme="majorHAnsi"/>
          <w:sz w:val="20"/>
          <w:szCs w:val="20"/>
          <w:lang w:val="en-US"/>
        </w:rPr>
        <w:t>2</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2016 </w:t>
      </w:r>
      <w:r w:rsidR="00507454">
        <w:rPr>
          <w:rFonts w:asciiTheme="majorHAnsi" w:hAnsiTheme="majorHAnsi"/>
          <w:sz w:val="20"/>
          <w:szCs w:val="20"/>
          <w:lang w:val="en-US"/>
        </w:rPr>
        <w:t xml:space="preserve">the IACHR </w:t>
      </w:r>
      <w:r w:rsidRPr="005A41E0">
        <w:rPr>
          <w:rFonts w:asciiTheme="majorHAnsi" w:hAnsiTheme="majorHAnsi"/>
          <w:sz w:val="20"/>
          <w:szCs w:val="20"/>
          <w:lang w:val="en-US"/>
        </w:rPr>
        <w:t>participated in the hearing held during the 113</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regular </w:t>
      </w:r>
      <w:r w:rsidR="0008307D" w:rsidRPr="005A41E0">
        <w:rPr>
          <w:rFonts w:asciiTheme="majorHAnsi" w:hAnsiTheme="majorHAnsi"/>
          <w:sz w:val="20"/>
          <w:szCs w:val="20"/>
          <w:lang w:val="en-US"/>
        </w:rPr>
        <w:t xml:space="preserve">period of </w:t>
      </w:r>
      <w:r w:rsidRPr="005A41E0">
        <w:rPr>
          <w:rFonts w:asciiTheme="majorHAnsi" w:hAnsiTheme="majorHAnsi"/>
          <w:sz w:val="20"/>
          <w:szCs w:val="20"/>
          <w:lang w:val="en-US"/>
        </w:rPr>
        <w:t>session</w:t>
      </w:r>
      <w:r w:rsidR="0008307D" w:rsidRPr="005A41E0">
        <w:rPr>
          <w:rFonts w:asciiTheme="majorHAnsi" w:hAnsiTheme="majorHAnsi"/>
          <w:sz w:val="20"/>
          <w:szCs w:val="20"/>
          <w:lang w:val="en-US"/>
        </w:rPr>
        <w:t>s</w:t>
      </w:r>
      <w:r w:rsidRPr="005A41E0">
        <w:rPr>
          <w:rFonts w:asciiTheme="majorHAnsi" w:hAnsiTheme="majorHAnsi"/>
          <w:sz w:val="20"/>
          <w:szCs w:val="20"/>
          <w:lang w:val="en-US"/>
        </w:rPr>
        <w:t xml:space="preserve"> of the Inter-American Court in </w:t>
      </w:r>
      <w:r w:rsidR="00F82001" w:rsidRPr="005A41E0">
        <w:rPr>
          <w:rFonts w:asciiTheme="majorHAnsi" w:hAnsiTheme="majorHAnsi"/>
          <w:sz w:val="20"/>
          <w:szCs w:val="20"/>
          <w:lang w:val="en-US"/>
        </w:rPr>
        <w:t>San José</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Costa Rica. </w:t>
      </w:r>
      <w:r w:rsidRPr="005A41E0">
        <w:rPr>
          <w:rFonts w:asciiTheme="majorHAnsi" w:hAnsiTheme="majorHAnsi"/>
          <w:sz w:val="20"/>
          <w:szCs w:val="20"/>
          <w:lang w:val="en-US"/>
        </w:rPr>
        <w:t>During that session five public hearings were held, in the following cases</w:t>
      </w:r>
      <w:r w:rsidR="00F82001" w:rsidRPr="005A41E0">
        <w:rPr>
          <w:rFonts w:asciiTheme="majorHAnsi" w:hAnsiTheme="majorHAnsi"/>
          <w:sz w:val="20"/>
          <w:szCs w:val="20"/>
          <w:lang w:val="en-US"/>
        </w:rPr>
        <w:t xml:space="preserve">: Flor Freire (Ecuador); </w:t>
      </w:r>
      <w:r w:rsidR="0008307D" w:rsidRPr="005A41E0">
        <w:rPr>
          <w:rFonts w:asciiTheme="majorHAnsi" w:hAnsiTheme="majorHAnsi"/>
          <w:sz w:val="20"/>
          <w:szCs w:val="20"/>
          <w:lang w:val="en-US"/>
        </w:rPr>
        <w:t xml:space="preserve">“Fazenda </w:t>
      </w:r>
      <w:r w:rsidR="00F82001" w:rsidRPr="005A41E0">
        <w:rPr>
          <w:rFonts w:asciiTheme="majorHAnsi" w:hAnsiTheme="majorHAnsi"/>
          <w:sz w:val="20"/>
          <w:szCs w:val="20"/>
          <w:lang w:val="en-US"/>
        </w:rPr>
        <w:t>Brasil Verde</w:t>
      </w:r>
      <w:r w:rsidR="00507454">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0008307D" w:rsidRPr="005A41E0">
        <w:rPr>
          <w:rFonts w:asciiTheme="majorHAnsi" w:hAnsiTheme="majorHAnsi"/>
          <w:sz w:val="20"/>
          <w:szCs w:val="20"/>
          <w:lang w:val="en-US"/>
        </w:rPr>
        <w:t xml:space="preserve">Workers </w:t>
      </w:r>
      <w:r w:rsidR="00F82001" w:rsidRPr="005A41E0">
        <w:rPr>
          <w:rFonts w:asciiTheme="majorHAnsi" w:hAnsiTheme="majorHAnsi"/>
          <w:sz w:val="20"/>
          <w:szCs w:val="20"/>
          <w:lang w:val="en-US"/>
        </w:rPr>
        <w:t>(Bra</w:t>
      </w:r>
      <w:r w:rsidR="0008307D" w:rsidRPr="005A41E0">
        <w:rPr>
          <w:rFonts w:asciiTheme="majorHAnsi" w:hAnsiTheme="majorHAnsi"/>
          <w:sz w:val="20"/>
          <w:szCs w:val="20"/>
          <w:lang w:val="en-US"/>
        </w:rPr>
        <w:t>zil); Zegarra Marín (Peru); Tenorio Roca et al. (Peru</w:t>
      </w:r>
      <w:r w:rsidR="00F82001" w:rsidRPr="005A41E0">
        <w:rPr>
          <w:rFonts w:asciiTheme="majorHAnsi" w:hAnsiTheme="majorHAnsi"/>
          <w:sz w:val="20"/>
          <w:szCs w:val="20"/>
          <w:lang w:val="en-US"/>
        </w:rPr>
        <w:t xml:space="preserve">); </w:t>
      </w:r>
      <w:r w:rsidR="0008307D" w:rsidRPr="005A41E0">
        <w:rPr>
          <w:rFonts w:asciiTheme="majorHAnsi" w:hAnsiTheme="majorHAnsi"/>
          <w:sz w:val="20"/>
          <w:szCs w:val="20"/>
          <w:lang w:val="en-US"/>
        </w:rPr>
        <w:t xml:space="preserve">and </w:t>
      </w:r>
      <w:r w:rsidR="00F82001" w:rsidRPr="005A41E0">
        <w:rPr>
          <w:rFonts w:asciiTheme="majorHAnsi" w:hAnsiTheme="majorHAnsi"/>
          <w:sz w:val="20"/>
          <w:szCs w:val="20"/>
          <w:lang w:val="en-US"/>
        </w:rPr>
        <w:t xml:space="preserve">Herrera Espinoza </w:t>
      </w:r>
      <w:r w:rsidR="0008307D" w:rsidRPr="005A41E0">
        <w:rPr>
          <w:rFonts w:asciiTheme="majorHAnsi" w:hAnsiTheme="majorHAnsi"/>
          <w:sz w:val="20"/>
          <w:szCs w:val="20"/>
          <w:lang w:val="en-US"/>
        </w:rPr>
        <w:t xml:space="preserve">et al. </w:t>
      </w:r>
      <w:r w:rsidR="00F82001" w:rsidRPr="005A41E0">
        <w:rPr>
          <w:rFonts w:asciiTheme="majorHAnsi" w:hAnsiTheme="majorHAnsi"/>
          <w:sz w:val="20"/>
          <w:szCs w:val="20"/>
          <w:lang w:val="en-US"/>
        </w:rPr>
        <w:t xml:space="preserve">(Ecuador). </w:t>
      </w:r>
      <w:r w:rsidR="0008307D" w:rsidRPr="005A41E0">
        <w:rPr>
          <w:rFonts w:asciiTheme="majorHAnsi" w:hAnsiTheme="majorHAnsi"/>
          <w:sz w:val="20"/>
          <w:szCs w:val="20"/>
          <w:lang w:val="en-US"/>
        </w:rPr>
        <w:t xml:space="preserve">Commissioners Francisco Eguiguren and </w:t>
      </w:r>
      <w:r w:rsidR="00F82001" w:rsidRPr="005A41E0">
        <w:rPr>
          <w:rFonts w:asciiTheme="majorHAnsi" w:hAnsiTheme="majorHAnsi"/>
          <w:sz w:val="20"/>
          <w:szCs w:val="20"/>
          <w:lang w:val="en-US"/>
        </w:rPr>
        <w:t>Enrique Gil Botero</w:t>
      </w:r>
      <w:r w:rsidR="0008307D" w:rsidRPr="005A41E0">
        <w:rPr>
          <w:rFonts w:asciiTheme="majorHAnsi" w:hAnsiTheme="majorHAnsi"/>
          <w:sz w:val="20"/>
          <w:szCs w:val="20"/>
          <w:lang w:val="en-US"/>
        </w:rPr>
        <w:t xml:space="preserve"> participated in this session</w:t>
      </w:r>
      <w:r w:rsidR="00F82001" w:rsidRPr="005A41E0">
        <w:rPr>
          <w:rFonts w:asciiTheme="majorHAnsi" w:hAnsiTheme="majorHAnsi"/>
          <w:sz w:val="20"/>
          <w:szCs w:val="20"/>
          <w:lang w:val="en-US"/>
        </w:rPr>
        <w:t xml:space="preserve">. </w:t>
      </w:r>
    </w:p>
    <w:p w:rsidR="00F82001" w:rsidRPr="005A41E0" w:rsidRDefault="00F82001" w:rsidP="005A41E0">
      <w:pPr>
        <w:pStyle w:val="FootnoteText"/>
        <w:spacing w:before="0" w:beforeAutospacing="0" w:after="0" w:afterAutospacing="0"/>
        <w:ind w:left="720"/>
        <w:jc w:val="both"/>
        <w:rPr>
          <w:rFonts w:asciiTheme="majorHAnsi" w:hAnsiTheme="majorHAnsi"/>
          <w:i/>
          <w:sz w:val="20"/>
          <w:u w:color="FF0000"/>
          <w:lang w:val="en-US"/>
        </w:rPr>
      </w:pPr>
    </w:p>
    <w:p w:rsidR="00F82001" w:rsidRPr="005A41E0" w:rsidRDefault="0008307D" w:rsidP="005A41E0">
      <w:pPr>
        <w:pStyle w:val="ListParagraph"/>
        <w:numPr>
          <w:ilvl w:val="0"/>
          <w:numId w:val="15"/>
        </w:numPr>
        <w:shd w:val="clear" w:color="auto" w:fill="FFFFFF"/>
        <w:tabs>
          <w:tab w:val="clear" w:pos="1080"/>
        </w:tabs>
        <w:ind w:left="0"/>
        <w:jc w:val="both"/>
        <w:rPr>
          <w:rFonts w:asciiTheme="majorHAnsi" w:hAnsiTheme="majorHAnsi"/>
          <w:i/>
          <w:sz w:val="20"/>
          <w:szCs w:val="20"/>
          <w:u w:color="FF0000"/>
          <w:lang w:val="en-US"/>
        </w:rPr>
      </w:pPr>
      <w:r w:rsidRPr="005A41E0">
        <w:rPr>
          <w:rFonts w:asciiTheme="majorHAnsi" w:hAnsiTheme="majorHAnsi"/>
          <w:sz w:val="20"/>
          <w:szCs w:val="20"/>
          <w:lang w:val="en-US"/>
        </w:rPr>
        <w:t xml:space="preserve">From April </w:t>
      </w:r>
      <w:r w:rsidR="00F82001" w:rsidRPr="005A41E0">
        <w:rPr>
          <w:rFonts w:asciiTheme="majorHAnsi" w:hAnsiTheme="majorHAnsi"/>
          <w:sz w:val="20"/>
          <w:szCs w:val="20"/>
          <w:lang w:val="en-US"/>
        </w:rPr>
        <w:t xml:space="preserve">21 </w:t>
      </w:r>
      <w:r w:rsidRPr="005A41E0">
        <w:rPr>
          <w:rFonts w:asciiTheme="majorHAnsi" w:hAnsiTheme="majorHAnsi"/>
          <w:sz w:val="20"/>
          <w:szCs w:val="20"/>
          <w:lang w:val="en-US"/>
        </w:rPr>
        <w:t xml:space="preserve">to May </w:t>
      </w:r>
      <w:r w:rsidR="00F82001" w:rsidRPr="005A41E0">
        <w:rPr>
          <w:rFonts w:asciiTheme="majorHAnsi" w:hAnsiTheme="majorHAnsi"/>
          <w:sz w:val="20"/>
          <w:szCs w:val="20"/>
          <w:lang w:val="en-US"/>
        </w:rPr>
        <w:t>4</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2016 the Inter-American Commission participated in the hearings held in the 114</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regular period of sessions of the Court, held in </w:t>
      </w:r>
      <w:r w:rsidR="00F82001" w:rsidRPr="005A41E0">
        <w:rPr>
          <w:rFonts w:asciiTheme="majorHAnsi" w:hAnsiTheme="majorHAnsi"/>
          <w:sz w:val="20"/>
          <w:szCs w:val="20"/>
          <w:lang w:val="en-US"/>
        </w:rPr>
        <w:t>San José</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Costa Rica. </w:t>
      </w:r>
      <w:r w:rsidRPr="005A41E0">
        <w:rPr>
          <w:rFonts w:asciiTheme="majorHAnsi" w:hAnsiTheme="majorHAnsi"/>
          <w:sz w:val="20"/>
          <w:szCs w:val="20"/>
          <w:lang w:val="en-US"/>
        </w:rPr>
        <w:t xml:space="preserve">During that period of sessions public hearings were held in the cases </w:t>
      </w:r>
      <w:r w:rsidR="00F82001" w:rsidRPr="005A41E0">
        <w:rPr>
          <w:rFonts w:asciiTheme="majorHAnsi" w:hAnsiTheme="majorHAnsi"/>
          <w:sz w:val="20"/>
          <w:szCs w:val="20"/>
          <w:lang w:val="en-US"/>
        </w:rPr>
        <w:t xml:space="preserve">Pollo Rivera </w:t>
      </w:r>
      <w:r w:rsidRPr="005A41E0">
        <w:rPr>
          <w:rFonts w:asciiTheme="majorHAnsi" w:hAnsiTheme="majorHAnsi"/>
          <w:sz w:val="20"/>
          <w:szCs w:val="20"/>
          <w:lang w:val="en-US"/>
        </w:rPr>
        <w:t>et al. v. Peru</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Members of the Village of </w:t>
      </w:r>
      <w:r w:rsidR="00F82001" w:rsidRPr="005A41E0">
        <w:rPr>
          <w:rFonts w:asciiTheme="majorHAnsi" w:hAnsiTheme="majorHAnsi"/>
          <w:sz w:val="20"/>
          <w:szCs w:val="20"/>
          <w:lang w:val="en-US"/>
        </w:rPr>
        <w:t xml:space="preserve">Chichupac </w:t>
      </w:r>
      <w:r w:rsidRPr="005A41E0">
        <w:rPr>
          <w:rFonts w:asciiTheme="majorHAnsi" w:hAnsiTheme="majorHAnsi"/>
          <w:sz w:val="20"/>
          <w:szCs w:val="20"/>
          <w:lang w:val="en-US"/>
        </w:rPr>
        <w:t xml:space="preserve">and Neighboring Communities of the Municipality of </w:t>
      </w:r>
      <w:r w:rsidR="00F82001" w:rsidRPr="005A41E0">
        <w:rPr>
          <w:rFonts w:asciiTheme="majorHAnsi" w:hAnsiTheme="majorHAnsi"/>
          <w:sz w:val="20"/>
          <w:szCs w:val="20"/>
          <w:lang w:val="en-US"/>
        </w:rPr>
        <w:t>Rabinal (Guatemala)</w:t>
      </w:r>
      <w:r w:rsidR="00641E81" w:rsidRPr="005A41E0">
        <w:rPr>
          <w:rFonts w:asciiTheme="majorHAnsi" w:hAnsiTheme="majorHAnsi"/>
          <w:sz w:val="20"/>
          <w:szCs w:val="20"/>
          <w:lang w:val="en-US"/>
        </w:rPr>
        <w:t>,</w:t>
      </w:r>
      <w:r w:rsidRPr="005A41E0">
        <w:rPr>
          <w:rFonts w:asciiTheme="majorHAnsi" w:hAnsiTheme="majorHAnsi"/>
          <w:sz w:val="20"/>
          <w:szCs w:val="20"/>
          <w:lang w:val="en-US"/>
        </w:rPr>
        <w:t xml:space="preserve"> and </w:t>
      </w:r>
      <w:r w:rsidR="00F82001" w:rsidRPr="005A41E0">
        <w:rPr>
          <w:rFonts w:asciiTheme="majorHAnsi" w:hAnsiTheme="majorHAnsi"/>
          <w:sz w:val="20"/>
          <w:szCs w:val="20"/>
          <w:lang w:val="en-US"/>
        </w:rPr>
        <w:t>I.V</w:t>
      </w:r>
      <w:r w:rsidR="00641E81"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(Bolivia). </w:t>
      </w:r>
      <w:r w:rsidRPr="005A41E0">
        <w:rPr>
          <w:rFonts w:asciiTheme="majorHAnsi" w:hAnsiTheme="majorHAnsi"/>
          <w:sz w:val="20"/>
          <w:szCs w:val="20"/>
          <w:lang w:val="en-US"/>
        </w:rPr>
        <w:t xml:space="preserve">Commissioners </w:t>
      </w:r>
      <w:r w:rsidR="00F82001" w:rsidRPr="005A41E0">
        <w:rPr>
          <w:rFonts w:asciiTheme="majorHAnsi" w:hAnsiTheme="majorHAnsi"/>
          <w:sz w:val="20"/>
          <w:szCs w:val="20"/>
          <w:lang w:val="en-US"/>
        </w:rPr>
        <w:t>James Cavallaro</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Enrique Gil Botero, </w:t>
      </w:r>
      <w:r w:rsidRPr="005A41E0">
        <w:rPr>
          <w:rFonts w:asciiTheme="majorHAnsi" w:hAnsiTheme="majorHAnsi"/>
          <w:sz w:val="20"/>
          <w:szCs w:val="20"/>
          <w:lang w:val="en-US"/>
        </w:rPr>
        <w:t xml:space="preserve">and </w:t>
      </w:r>
      <w:r w:rsidR="00F82001" w:rsidRPr="005A41E0">
        <w:rPr>
          <w:rFonts w:asciiTheme="majorHAnsi" w:hAnsiTheme="majorHAnsi"/>
          <w:sz w:val="20"/>
          <w:szCs w:val="20"/>
          <w:lang w:val="en-US"/>
        </w:rPr>
        <w:t>Margarette May Macaulay</w:t>
      </w:r>
      <w:r w:rsidRPr="005A41E0">
        <w:rPr>
          <w:rFonts w:asciiTheme="majorHAnsi" w:hAnsiTheme="majorHAnsi"/>
          <w:sz w:val="20"/>
          <w:szCs w:val="20"/>
          <w:lang w:val="en-US"/>
        </w:rPr>
        <w:t xml:space="preserve"> participated during this period of sessions</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IACHR also participated in the private hearings to supervise compliance in the cases Massacres of </w:t>
      </w:r>
      <w:r w:rsidR="00F82001" w:rsidRPr="005A41E0">
        <w:rPr>
          <w:rFonts w:asciiTheme="majorHAnsi" w:hAnsiTheme="majorHAnsi"/>
          <w:sz w:val="20"/>
          <w:szCs w:val="20"/>
          <w:lang w:val="en-US"/>
        </w:rPr>
        <w:t xml:space="preserve">El Mozote </w:t>
      </w:r>
      <w:r w:rsidRPr="005A41E0">
        <w:rPr>
          <w:rFonts w:asciiTheme="majorHAnsi" w:hAnsiTheme="majorHAnsi"/>
          <w:sz w:val="20"/>
          <w:szCs w:val="20"/>
          <w:lang w:val="en-US"/>
        </w:rPr>
        <w:t xml:space="preserve">and nearby places with respect to </w:t>
      </w:r>
      <w:r w:rsidR="00F82001" w:rsidRPr="005A41E0">
        <w:rPr>
          <w:rFonts w:asciiTheme="majorHAnsi" w:hAnsiTheme="majorHAnsi"/>
          <w:sz w:val="20"/>
          <w:szCs w:val="20"/>
          <w:lang w:val="en-US"/>
        </w:rPr>
        <w:t xml:space="preserve">El Salvador, </w:t>
      </w:r>
      <w:r w:rsidRPr="005A41E0">
        <w:rPr>
          <w:rFonts w:asciiTheme="majorHAnsi" w:hAnsiTheme="majorHAnsi"/>
          <w:sz w:val="20"/>
          <w:szCs w:val="20"/>
          <w:lang w:val="en-US"/>
        </w:rPr>
        <w:t xml:space="preserve">the combined hearing for the cases of </w:t>
      </w:r>
      <w:r w:rsidR="00F82001" w:rsidRPr="005A41E0">
        <w:rPr>
          <w:rFonts w:asciiTheme="majorHAnsi" w:hAnsiTheme="majorHAnsi"/>
          <w:sz w:val="20"/>
          <w:szCs w:val="20"/>
          <w:lang w:val="en-US"/>
        </w:rPr>
        <w:t xml:space="preserve">Fernández Ortega </w:t>
      </w:r>
      <w:r w:rsidRPr="005A41E0">
        <w:rPr>
          <w:rFonts w:asciiTheme="majorHAnsi" w:hAnsiTheme="majorHAnsi"/>
          <w:sz w:val="20"/>
          <w:szCs w:val="20"/>
          <w:lang w:val="en-US"/>
        </w:rPr>
        <w:t xml:space="preserve">et al. and </w:t>
      </w:r>
      <w:r w:rsidR="00F82001" w:rsidRPr="005A41E0">
        <w:rPr>
          <w:rFonts w:asciiTheme="majorHAnsi" w:hAnsiTheme="majorHAnsi"/>
          <w:sz w:val="20"/>
          <w:szCs w:val="20"/>
          <w:lang w:val="en-US"/>
        </w:rPr>
        <w:t xml:space="preserve">Rosendo Cantú </w:t>
      </w:r>
      <w:r w:rsidRPr="005A41E0">
        <w:rPr>
          <w:rFonts w:asciiTheme="majorHAnsi" w:hAnsiTheme="majorHAnsi"/>
          <w:sz w:val="20"/>
          <w:szCs w:val="20"/>
          <w:lang w:val="en-US"/>
        </w:rPr>
        <w:t xml:space="preserve">et al. with respect to Mexico, and the combined hearing for the cases of </w:t>
      </w:r>
      <w:r w:rsidR="00F82001" w:rsidRPr="005A41E0">
        <w:rPr>
          <w:rFonts w:asciiTheme="majorHAnsi" w:hAnsiTheme="majorHAnsi"/>
          <w:sz w:val="20"/>
          <w:szCs w:val="20"/>
          <w:lang w:val="en-US"/>
        </w:rPr>
        <w:t xml:space="preserve">Raxcacó Reyes </w:t>
      </w:r>
      <w:r w:rsidRPr="005A41E0">
        <w:rPr>
          <w:rFonts w:asciiTheme="majorHAnsi" w:hAnsiTheme="majorHAnsi"/>
          <w:sz w:val="20"/>
          <w:szCs w:val="20"/>
          <w:lang w:val="en-US"/>
        </w:rPr>
        <w:t xml:space="preserve">and </w:t>
      </w:r>
      <w:r w:rsidR="00F82001" w:rsidRPr="005A41E0">
        <w:rPr>
          <w:rFonts w:asciiTheme="majorHAnsi" w:hAnsiTheme="majorHAnsi"/>
          <w:sz w:val="20"/>
          <w:szCs w:val="20"/>
          <w:lang w:val="en-US"/>
        </w:rPr>
        <w:t xml:space="preserve">Fermín  Ramírez </w:t>
      </w:r>
      <w:r w:rsidRPr="005A41E0">
        <w:rPr>
          <w:rFonts w:asciiTheme="majorHAnsi" w:hAnsiTheme="majorHAnsi"/>
          <w:sz w:val="20"/>
          <w:szCs w:val="20"/>
          <w:lang w:val="en-US"/>
        </w:rPr>
        <w:t xml:space="preserve">with respect to </w:t>
      </w:r>
      <w:r w:rsidR="00F82001" w:rsidRPr="005A41E0">
        <w:rPr>
          <w:rFonts w:asciiTheme="majorHAnsi" w:hAnsiTheme="majorHAnsi"/>
          <w:sz w:val="20"/>
          <w:szCs w:val="20"/>
          <w:lang w:val="en-US"/>
        </w:rPr>
        <w:t xml:space="preserve">Guatemala. </w:t>
      </w:r>
    </w:p>
    <w:p w:rsidR="00F82001" w:rsidRPr="005A41E0" w:rsidRDefault="00F82001" w:rsidP="005A41E0">
      <w:pPr>
        <w:pStyle w:val="FootnoteText"/>
        <w:spacing w:before="0" w:beforeAutospacing="0" w:after="0" w:afterAutospacing="0"/>
        <w:ind w:left="720"/>
        <w:jc w:val="both"/>
        <w:rPr>
          <w:rFonts w:asciiTheme="majorHAnsi" w:hAnsiTheme="majorHAnsi"/>
          <w:i/>
          <w:sz w:val="20"/>
          <w:u w:color="FF0000"/>
          <w:lang w:val="en-US"/>
        </w:rPr>
      </w:pPr>
    </w:p>
    <w:p w:rsidR="00F82001" w:rsidRPr="005A41E0" w:rsidRDefault="0008307D" w:rsidP="0050745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June </w:t>
      </w:r>
      <w:r w:rsidR="00F82001" w:rsidRPr="005A41E0">
        <w:rPr>
          <w:rFonts w:asciiTheme="majorHAnsi" w:hAnsiTheme="majorHAnsi"/>
          <w:sz w:val="20"/>
          <w:szCs w:val="20"/>
          <w:lang w:val="en-US"/>
        </w:rPr>
        <w:t xml:space="preserve">6 </w:t>
      </w:r>
      <w:r w:rsidRPr="005A41E0">
        <w:rPr>
          <w:rFonts w:asciiTheme="majorHAnsi" w:hAnsiTheme="majorHAnsi"/>
          <w:sz w:val="20"/>
          <w:szCs w:val="20"/>
          <w:lang w:val="en-US"/>
        </w:rPr>
        <w:t xml:space="preserve">and </w:t>
      </w:r>
      <w:r w:rsidR="00F82001" w:rsidRPr="005A41E0">
        <w:rPr>
          <w:rFonts w:asciiTheme="majorHAnsi" w:hAnsiTheme="majorHAnsi"/>
          <w:sz w:val="20"/>
          <w:szCs w:val="20"/>
          <w:lang w:val="en-US"/>
        </w:rPr>
        <w:t>7</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2016</w:t>
      </w:r>
      <w:r w:rsidRPr="005A41E0">
        <w:rPr>
          <w:rFonts w:asciiTheme="majorHAnsi" w:hAnsiTheme="majorHAnsi"/>
          <w:sz w:val="20"/>
          <w:szCs w:val="20"/>
          <w:lang w:val="en-US"/>
        </w:rPr>
        <w:t xml:space="preserve">, the Inter-American Commission participated in the on-site </w:t>
      </w:r>
      <w:r w:rsidR="00507454">
        <w:rPr>
          <w:rFonts w:asciiTheme="majorHAnsi" w:hAnsiTheme="majorHAnsi"/>
          <w:sz w:val="20"/>
          <w:szCs w:val="20"/>
          <w:lang w:val="en-US"/>
        </w:rPr>
        <w:t xml:space="preserve">investigative procedure </w:t>
      </w:r>
      <w:r w:rsidR="00B846B1" w:rsidRPr="005A41E0">
        <w:rPr>
          <w:rFonts w:asciiTheme="majorHAnsi" w:hAnsiTheme="majorHAnsi"/>
          <w:sz w:val="20"/>
          <w:szCs w:val="20"/>
          <w:lang w:val="en-US"/>
        </w:rPr>
        <w:t xml:space="preserve">by the Court in the context of the contentious case of the Fazenda </w:t>
      </w:r>
      <w:r w:rsidR="00F82001" w:rsidRPr="005A41E0">
        <w:rPr>
          <w:rFonts w:asciiTheme="majorHAnsi" w:hAnsiTheme="majorHAnsi"/>
          <w:sz w:val="20"/>
          <w:szCs w:val="20"/>
          <w:lang w:val="en-US"/>
        </w:rPr>
        <w:t xml:space="preserve">Brasil Verde </w:t>
      </w:r>
      <w:r w:rsidR="00507454">
        <w:rPr>
          <w:rFonts w:asciiTheme="majorHAnsi" w:hAnsiTheme="majorHAnsi"/>
          <w:sz w:val="20"/>
          <w:szCs w:val="20"/>
          <w:lang w:val="en-US"/>
        </w:rPr>
        <w:t xml:space="preserve">Workers </w:t>
      </w:r>
      <w:r w:rsidR="00B846B1" w:rsidRPr="005A41E0">
        <w:rPr>
          <w:rFonts w:asciiTheme="majorHAnsi" w:hAnsiTheme="majorHAnsi"/>
          <w:sz w:val="20"/>
          <w:szCs w:val="20"/>
          <w:lang w:val="en-US"/>
        </w:rPr>
        <w:t>v. Braz</w:t>
      </w:r>
      <w:r w:rsidR="00F82001" w:rsidRPr="005A41E0">
        <w:rPr>
          <w:rFonts w:asciiTheme="majorHAnsi" w:hAnsiTheme="majorHAnsi"/>
          <w:sz w:val="20"/>
          <w:szCs w:val="20"/>
          <w:lang w:val="en-US"/>
        </w:rPr>
        <w:t>il.</w:t>
      </w:r>
    </w:p>
    <w:p w:rsidR="00F82001" w:rsidRPr="005A41E0" w:rsidRDefault="00F82001" w:rsidP="005A41E0">
      <w:pPr>
        <w:pStyle w:val="ListParagraph"/>
        <w:rPr>
          <w:rFonts w:asciiTheme="majorHAnsi" w:hAnsiTheme="majorHAnsi"/>
          <w:sz w:val="20"/>
          <w:szCs w:val="20"/>
          <w:lang w:val="en-US"/>
        </w:rPr>
      </w:pPr>
    </w:p>
    <w:p w:rsidR="00F82001" w:rsidRPr="005A41E0" w:rsidRDefault="00B846B1" w:rsidP="00507454">
      <w:pPr>
        <w:pStyle w:val="ListParagraph"/>
        <w:numPr>
          <w:ilvl w:val="0"/>
          <w:numId w:val="15"/>
        </w:numPr>
        <w:shd w:val="clear" w:color="auto" w:fill="FFFFFF"/>
        <w:tabs>
          <w:tab w:val="clear" w:pos="1080"/>
        </w:tabs>
        <w:ind w:left="0"/>
        <w:jc w:val="both"/>
        <w:rPr>
          <w:rFonts w:asciiTheme="majorHAnsi" w:hAnsiTheme="majorHAnsi"/>
          <w:i/>
          <w:sz w:val="20"/>
          <w:szCs w:val="20"/>
          <w:u w:color="FF0000"/>
          <w:lang w:val="en-US"/>
        </w:rPr>
      </w:pPr>
      <w:r w:rsidRPr="005A41E0">
        <w:rPr>
          <w:rFonts w:asciiTheme="majorHAnsi" w:hAnsiTheme="majorHAnsi"/>
          <w:sz w:val="20"/>
          <w:szCs w:val="20"/>
          <w:lang w:val="en-US"/>
        </w:rPr>
        <w:t xml:space="preserve">On June </w:t>
      </w:r>
      <w:r w:rsidR="00F82001" w:rsidRPr="005A41E0">
        <w:rPr>
          <w:rFonts w:asciiTheme="majorHAnsi" w:hAnsiTheme="majorHAnsi"/>
          <w:sz w:val="20"/>
          <w:szCs w:val="20"/>
          <w:lang w:val="en-US"/>
        </w:rPr>
        <w:t>8</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2016, the Inter-American Commission participated in the on-site investigation by the Court at the Curado Prison Complex, in the city of </w:t>
      </w:r>
      <w:r w:rsidR="00F82001" w:rsidRPr="005A41E0">
        <w:rPr>
          <w:rFonts w:asciiTheme="majorHAnsi" w:hAnsiTheme="majorHAnsi"/>
          <w:sz w:val="20"/>
          <w:szCs w:val="20"/>
          <w:lang w:val="en-US"/>
        </w:rPr>
        <w:t xml:space="preserve">Recife, </w:t>
      </w:r>
      <w:r w:rsidRPr="005A41E0">
        <w:rPr>
          <w:rFonts w:asciiTheme="majorHAnsi" w:hAnsiTheme="majorHAnsi"/>
          <w:sz w:val="20"/>
          <w:szCs w:val="20"/>
          <w:lang w:val="en-US"/>
        </w:rPr>
        <w:t xml:space="preserve">state of </w:t>
      </w:r>
      <w:r w:rsidR="00F82001" w:rsidRPr="005A41E0">
        <w:rPr>
          <w:rFonts w:asciiTheme="majorHAnsi" w:hAnsiTheme="majorHAnsi"/>
          <w:sz w:val="20"/>
          <w:szCs w:val="20"/>
          <w:lang w:val="en-US"/>
        </w:rPr>
        <w:t>Pernambuco, Bra</w:t>
      </w:r>
      <w:r w:rsidRPr="005A41E0">
        <w:rPr>
          <w:rFonts w:asciiTheme="majorHAnsi" w:hAnsiTheme="majorHAnsi"/>
          <w:sz w:val="20"/>
          <w:szCs w:val="20"/>
          <w:lang w:val="en-US"/>
        </w:rPr>
        <w:t>z</w:t>
      </w:r>
      <w:r w:rsidR="00F82001" w:rsidRPr="005A41E0">
        <w:rPr>
          <w:rFonts w:asciiTheme="majorHAnsi" w:hAnsiTheme="majorHAnsi"/>
          <w:sz w:val="20"/>
          <w:szCs w:val="20"/>
          <w:lang w:val="en-US"/>
        </w:rPr>
        <w:t xml:space="preserve">il, </w:t>
      </w:r>
      <w:r w:rsidRPr="005A41E0">
        <w:rPr>
          <w:rFonts w:asciiTheme="majorHAnsi" w:hAnsiTheme="majorHAnsi"/>
          <w:sz w:val="20"/>
          <w:szCs w:val="20"/>
          <w:lang w:val="en-US"/>
        </w:rPr>
        <w:t xml:space="preserve">in the context of monitoring the implementation of the provisional measures related to that prison. </w:t>
      </w:r>
    </w:p>
    <w:p w:rsidR="00F82001" w:rsidRPr="005A41E0" w:rsidRDefault="00F82001" w:rsidP="005A41E0">
      <w:pPr>
        <w:pStyle w:val="ListParagraph"/>
        <w:rPr>
          <w:rFonts w:asciiTheme="majorHAnsi" w:hAnsiTheme="majorHAnsi"/>
          <w:i/>
          <w:sz w:val="20"/>
          <w:szCs w:val="20"/>
          <w:u w:color="FF0000"/>
          <w:lang w:val="en-US"/>
        </w:rPr>
      </w:pPr>
    </w:p>
    <w:p w:rsidR="00F82001" w:rsidRPr="005A41E0" w:rsidRDefault="00B846B1" w:rsidP="00507454">
      <w:pPr>
        <w:pStyle w:val="ListParagraph"/>
        <w:numPr>
          <w:ilvl w:val="0"/>
          <w:numId w:val="15"/>
        </w:numPr>
        <w:shd w:val="clear" w:color="auto" w:fill="FFFFFF"/>
        <w:tabs>
          <w:tab w:val="clear" w:pos="1080"/>
        </w:tabs>
        <w:ind w:left="0"/>
        <w:jc w:val="both"/>
        <w:rPr>
          <w:rFonts w:asciiTheme="majorHAnsi" w:hAnsiTheme="majorHAnsi"/>
          <w:i/>
          <w:sz w:val="20"/>
          <w:szCs w:val="20"/>
          <w:u w:color="FF0000"/>
          <w:lang w:val="en-US"/>
        </w:rPr>
      </w:pPr>
      <w:r w:rsidRPr="005A41E0">
        <w:rPr>
          <w:rFonts w:asciiTheme="majorHAnsi" w:hAnsiTheme="majorHAnsi"/>
          <w:sz w:val="20"/>
          <w:szCs w:val="20"/>
          <w:lang w:val="en-US"/>
        </w:rPr>
        <w:t xml:space="preserve">From June </w:t>
      </w:r>
      <w:r w:rsidR="00F82001" w:rsidRPr="005A41E0">
        <w:rPr>
          <w:rFonts w:asciiTheme="majorHAnsi" w:hAnsiTheme="majorHAnsi"/>
          <w:sz w:val="20"/>
          <w:szCs w:val="20"/>
          <w:lang w:val="en-US"/>
        </w:rPr>
        <w:t xml:space="preserve">20 </w:t>
      </w:r>
      <w:r w:rsidRPr="005A41E0">
        <w:rPr>
          <w:rFonts w:asciiTheme="majorHAnsi" w:hAnsiTheme="majorHAnsi"/>
          <w:sz w:val="20"/>
          <w:szCs w:val="20"/>
          <w:lang w:val="en-US"/>
        </w:rPr>
        <w:t xml:space="preserve">to </w:t>
      </w:r>
      <w:r w:rsidR="00F82001" w:rsidRPr="005A41E0">
        <w:rPr>
          <w:rFonts w:asciiTheme="majorHAnsi" w:hAnsiTheme="majorHAnsi"/>
          <w:sz w:val="20"/>
          <w:szCs w:val="20"/>
          <w:lang w:val="en-US"/>
        </w:rPr>
        <w:t>24</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2016 the Inter-American Commission participated in the hearings held in the 54</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extraordinary period of sessions of the Court, held in </w:t>
      </w:r>
      <w:r w:rsidR="00F82001" w:rsidRPr="005A41E0">
        <w:rPr>
          <w:rFonts w:asciiTheme="majorHAnsi" w:hAnsiTheme="majorHAnsi"/>
          <w:sz w:val="20"/>
          <w:szCs w:val="20"/>
          <w:lang w:val="en-US"/>
        </w:rPr>
        <w:t>San José</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Costa Rica. </w:t>
      </w:r>
      <w:r w:rsidRPr="005A41E0">
        <w:rPr>
          <w:rFonts w:asciiTheme="majorHAnsi" w:hAnsiTheme="majorHAnsi"/>
          <w:sz w:val="20"/>
          <w:szCs w:val="20"/>
          <w:lang w:val="en-US"/>
        </w:rPr>
        <w:t>During that period of session</w:t>
      </w:r>
      <w:r w:rsidR="00507454">
        <w:rPr>
          <w:rFonts w:asciiTheme="majorHAnsi" w:hAnsiTheme="majorHAnsi"/>
          <w:sz w:val="20"/>
          <w:szCs w:val="20"/>
          <w:lang w:val="en-US"/>
        </w:rPr>
        <w:t>s</w:t>
      </w:r>
      <w:r w:rsidRPr="005A41E0">
        <w:rPr>
          <w:rFonts w:asciiTheme="majorHAnsi" w:hAnsiTheme="majorHAnsi"/>
          <w:sz w:val="20"/>
          <w:szCs w:val="20"/>
          <w:lang w:val="en-US"/>
        </w:rPr>
        <w:t xml:space="preserve"> two public hearings were held, in the cases of Village of </w:t>
      </w:r>
      <w:r w:rsidR="00F82001" w:rsidRPr="005A41E0">
        <w:rPr>
          <w:rFonts w:asciiTheme="majorHAnsi" w:hAnsiTheme="majorHAnsi"/>
          <w:sz w:val="20"/>
          <w:szCs w:val="20"/>
          <w:lang w:val="en-US"/>
        </w:rPr>
        <w:t xml:space="preserve">La Esperanza (Colombia); </w:t>
      </w:r>
      <w:r w:rsidRPr="005A41E0">
        <w:rPr>
          <w:rFonts w:asciiTheme="majorHAnsi" w:hAnsiTheme="majorHAnsi"/>
          <w:sz w:val="20"/>
          <w:szCs w:val="20"/>
          <w:lang w:val="en-US"/>
        </w:rPr>
        <w:t xml:space="preserve">and </w:t>
      </w:r>
      <w:r w:rsidR="00F82001" w:rsidRPr="005A41E0">
        <w:rPr>
          <w:rFonts w:asciiTheme="majorHAnsi" w:hAnsiTheme="majorHAnsi"/>
          <w:sz w:val="20"/>
          <w:szCs w:val="20"/>
          <w:lang w:val="en-US"/>
        </w:rPr>
        <w:t>Andrade Salmón (Bolivia). Com</w:t>
      </w:r>
      <w:r w:rsidRPr="005A41E0">
        <w:rPr>
          <w:rFonts w:asciiTheme="majorHAnsi" w:hAnsiTheme="majorHAnsi"/>
          <w:sz w:val="20"/>
          <w:szCs w:val="20"/>
          <w:lang w:val="en-US"/>
        </w:rPr>
        <w:t>m</w:t>
      </w:r>
      <w:r w:rsidR="00F82001" w:rsidRPr="005A41E0">
        <w:rPr>
          <w:rFonts w:asciiTheme="majorHAnsi" w:hAnsiTheme="majorHAnsi"/>
          <w:sz w:val="20"/>
          <w:szCs w:val="20"/>
          <w:lang w:val="en-US"/>
        </w:rPr>
        <w:t>is</w:t>
      </w:r>
      <w:r w:rsidRPr="005A41E0">
        <w:rPr>
          <w:rFonts w:asciiTheme="majorHAnsi" w:hAnsiTheme="majorHAnsi"/>
          <w:sz w:val="20"/>
          <w:szCs w:val="20"/>
          <w:lang w:val="en-US"/>
        </w:rPr>
        <w:t xml:space="preserve">sioner </w:t>
      </w:r>
      <w:r w:rsidR="00F82001" w:rsidRPr="005A41E0">
        <w:rPr>
          <w:rFonts w:asciiTheme="majorHAnsi" w:hAnsiTheme="majorHAnsi"/>
          <w:sz w:val="20"/>
          <w:szCs w:val="20"/>
          <w:lang w:val="en-US"/>
        </w:rPr>
        <w:t>José de Jesús Orozco Henríquez</w:t>
      </w:r>
      <w:r w:rsidRPr="005A41E0">
        <w:rPr>
          <w:rFonts w:asciiTheme="majorHAnsi" w:hAnsiTheme="majorHAnsi"/>
          <w:sz w:val="20"/>
          <w:szCs w:val="20"/>
          <w:lang w:val="en-US"/>
        </w:rPr>
        <w:t xml:space="preserve"> participated in this period of sessions</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In addition, the Secretariat participated in the private hearing</w:t>
      </w:r>
      <w:r w:rsidR="00507454">
        <w:rPr>
          <w:rFonts w:asciiTheme="majorHAnsi" w:hAnsiTheme="majorHAnsi"/>
          <w:sz w:val="20"/>
          <w:szCs w:val="20"/>
          <w:lang w:val="en-US"/>
        </w:rPr>
        <w:t>s</w:t>
      </w:r>
      <w:r w:rsidRPr="005A41E0">
        <w:rPr>
          <w:rFonts w:asciiTheme="majorHAnsi" w:hAnsiTheme="majorHAnsi"/>
          <w:sz w:val="20"/>
          <w:szCs w:val="20"/>
          <w:lang w:val="en-US"/>
        </w:rPr>
        <w:t xml:space="preserve"> for supervision of compliance with judgment in the cases </w:t>
      </w:r>
      <w:r w:rsidR="00F82001" w:rsidRPr="005A41E0">
        <w:rPr>
          <w:rFonts w:asciiTheme="majorHAnsi" w:hAnsiTheme="majorHAnsi"/>
          <w:sz w:val="20"/>
          <w:szCs w:val="20"/>
          <w:lang w:val="en-US"/>
        </w:rPr>
        <w:t xml:space="preserve">Serrano Cruz </w:t>
      </w:r>
      <w:r w:rsidRPr="005A41E0">
        <w:rPr>
          <w:rFonts w:asciiTheme="majorHAnsi" w:hAnsiTheme="majorHAnsi"/>
          <w:sz w:val="20"/>
          <w:szCs w:val="20"/>
          <w:lang w:val="en-US"/>
        </w:rPr>
        <w:t xml:space="preserve">Sisters v. El Salvador and </w:t>
      </w:r>
      <w:r w:rsidR="00F82001" w:rsidRPr="005A41E0">
        <w:rPr>
          <w:rFonts w:asciiTheme="majorHAnsi" w:hAnsiTheme="majorHAnsi"/>
          <w:sz w:val="20"/>
          <w:szCs w:val="20"/>
          <w:lang w:val="en-US"/>
        </w:rPr>
        <w:t xml:space="preserve">Contreras </w:t>
      </w:r>
      <w:r w:rsidRPr="005A41E0">
        <w:rPr>
          <w:rFonts w:asciiTheme="majorHAnsi" w:hAnsiTheme="majorHAnsi"/>
          <w:sz w:val="20"/>
          <w:szCs w:val="20"/>
          <w:lang w:val="en-US"/>
        </w:rPr>
        <w:t xml:space="preserve">et al. v. </w:t>
      </w:r>
      <w:r w:rsidR="00F82001" w:rsidRPr="005A41E0">
        <w:rPr>
          <w:rFonts w:asciiTheme="majorHAnsi" w:hAnsiTheme="majorHAnsi"/>
          <w:sz w:val="20"/>
          <w:szCs w:val="20"/>
          <w:lang w:val="en-US"/>
        </w:rPr>
        <w:t xml:space="preserve">El Salvador. </w:t>
      </w:r>
    </w:p>
    <w:p w:rsidR="00F82001" w:rsidRPr="005A41E0" w:rsidRDefault="00F82001" w:rsidP="005A41E0">
      <w:pPr>
        <w:pStyle w:val="ListParagraph"/>
        <w:rPr>
          <w:rFonts w:asciiTheme="majorHAnsi" w:hAnsiTheme="majorHAnsi"/>
          <w:i/>
          <w:sz w:val="20"/>
          <w:szCs w:val="20"/>
          <w:u w:color="FF0000"/>
          <w:lang w:val="en-US"/>
        </w:rPr>
      </w:pPr>
    </w:p>
    <w:p w:rsidR="00F82001" w:rsidRPr="005A41E0" w:rsidRDefault="00B846B1" w:rsidP="005A41E0">
      <w:pPr>
        <w:pStyle w:val="ListParagraph"/>
        <w:numPr>
          <w:ilvl w:val="0"/>
          <w:numId w:val="15"/>
        </w:numPr>
        <w:shd w:val="clear" w:color="auto" w:fill="FFFFFF"/>
        <w:tabs>
          <w:tab w:val="clear" w:pos="1080"/>
        </w:tabs>
        <w:ind w:left="0"/>
        <w:jc w:val="both"/>
        <w:rPr>
          <w:rFonts w:asciiTheme="majorHAnsi" w:hAnsiTheme="majorHAnsi"/>
          <w:i/>
          <w:sz w:val="20"/>
          <w:szCs w:val="20"/>
          <w:u w:color="FF0000"/>
          <w:lang w:val="en-US"/>
        </w:rPr>
      </w:pPr>
      <w:r w:rsidRPr="005A41E0">
        <w:rPr>
          <w:rFonts w:asciiTheme="majorHAnsi" w:hAnsiTheme="majorHAnsi"/>
          <w:sz w:val="20"/>
          <w:szCs w:val="20"/>
          <w:lang w:val="en-US"/>
        </w:rPr>
        <w:lastRenderedPageBreak/>
        <w:t xml:space="preserve">From August </w:t>
      </w:r>
      <w:r w:rsidR="00F82001" w:rsidRPr="005A41E0">
        <w:rPr>
          <w:rFonts w:asciiTheme="majorHAnsi" w:hAnsiTheme="majorHAnsi"/>
          <w:sz w:val="20"/>
          <w:szCs w:val="20"/>
          <w:lang w:val="en-US"/>
        </w:rPr>
        <w:t xml:space="preserve">22 </w:t>
      </w:r>
      <w:r w:rsidRPr="005A41E0">
        <w:rPr>
          <w:rFonts w:asciiTheme="majorHAnsi" w:hAnsiTheme="majorHAnsi"/>
          <w:sz w:val="20"/>
          <w:szCs w:val="20"/>
          <w:lang w:val="en-US"/>
        </w:rPr>
        <w:t xml:space="preserve">to September </w:t>
      </w:r>
      <w:r w:rsidR="00F82001" w:rsidRPr="005A41E0">
        <w:rPr>
          <w:rFonts w:asciiTheme="majorHAnsi" w:hAnsiTheme="majorHAnsi"/>
          <w:sz w:val="20"/>
          <w:szCs w:val="20"/>
          <w:lang w:val="en-US"/>
        </w:rPr>
        <w:t>2</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the IACHR participated in the hearings held in the 55</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extraordinary period of sessions of the Court, held in Mex</w:t>
      </w:r>
      <w:r w:rsidR="00F82001" w:rsidRPr="005A41E0">
        <w:rPr>
          <w:rFonts w:asciiTheme="majorHAnsi" w:hAnsiTheme="majorHAnsi"/>
          <w:sz w:val="20"/>
          <w:szCs w:val="20"/>
          <w:lang w:val="en-US"/>
        </w:rPr>
        <w:t xml:space="preserve">ico. </w:t>
      </w:r>
      <w:r w:rsidRPr="005A41E0">
        <w:rPr>
          <w:rFonts w:asciiTheme="majorHAnsi" w:hAnsiTheme="majorHAnsi"/>
          <w:sz w:val="20"/>
          <w:szCs w:val="20"/>
          <w:lang w:val="en-US"/>
        </w:rPr>
        <w:t>In that period of sessions three public hearings were held, in the following cases</w:t>
      </w:r>
      <w:r w:rsidR="00F82001" w:rsidRPr="005A41E0">
        <w:rPr>
          <w:rFonts w:asciiTheme="majorHAnsi" w:hAnsiTheme="majorHAnsi"/>
          <w:sz w:val="20"/>
          <w:szCs w:val="20"/>
          <w:lang w:val="en-US"/>
        </w:rPr>
        <w:t xml:space="preserve">: Vásquez Durand (Ecuador); Valencia Hinojosa </w:t>
      </w:r>
      <w:r w:rsidRPr="005A41E0">
        <w:rPr>
          <w:rFonts w:asciiTheme="majorHAnsi" w:hAnsiTheme="majorHAnsi"/>
          <w:sz w:val="20"/>
          <w:szCs w:val="20"/>
          <w:lang w:val="en-US"/>
        </w:rPr>
        <w:t xml:space="preserve">et al. (Ecuador); and </w:t>
      </w:r>
      <w:r w:rsidR="00F82001" w:rsidRPr="005A41E0">
        <w:rPr>
          <w:rFonts w:asciiTheme="majorHAnsi" w:hAnsiTheme="majorHAnsi"/>
          <w:sz w:val="20"/>
          <w:szCs w:val="20"/>
          <w:lang w:val="en-US"/>
        </w:rPr>
        <w:t>Gutiérrez Hernández (Guatemala). Com</w:t>
      </w:r>
      <w:r w:rsidRPr="005A41E0">
        <w:rPr>
          <w:rFonts w:asciiTheme="majorHAnsi" w:hAnsiTheme="majorHAnsi"/>
          <w:sz w:val="20"/>
          <w:szCs w:val="20"/>
          <w:lang w:val="en-US"/>
        </w:rPr>
        <w:t>m</w:t>
      </w:r>
      <w:r w:rsidR="00F82001" w:rsidRPr="005A41E0">
        <w:rPr>
          <w:rFonts w:asciiTheme="majorHAnsi" w:hAnsiTheme="majorHAnsi"/>
          <w:sz w:val="20"/>
          <w:szCs w:val="20"/>
          <w:lang w:val="en-US"/>
        </w:rPr>
        <w:t>is</w:t>
      </w:r>
      <w:r w:rsidRPr="005A41E0">
        <w:rPr>
          <w:rFonts w:asciiTheme="majorHAnsi" w:hAnsiTheme="majorHAnsi"/>
          <w:sz w:val="20"/>
          <w:szCs w:val="20"/>
          <w:lang w:val="en-US"/>
        </w:rPr>
        <w:t>s</w:t>
      </w:r>
      <w:r w:rsidR="00F82001" w:rsidRPr="005A41E0">
        <w:rPr>
          <w:rFonts w:asciiTheme="majorHAnsi" w:hAnsiTheme="majorHAnsi"/>
          <w:sz w:val="20"/>
          <w:szCs w:val="20"/>
          <w:lang w:val="en-US"/>
        </w:rPr>
        <w:t>ion</w:t>
      </w:r>
      <w:r w:rsidRPr="005A41E0">
        <w:rPr>
          <w:rFonts w:asciiTheme="majorHAnsi" w:hAnsiTheme="majorHAnsi"/>
          <w:sz w:val="20"/>
          <w:szCs w:val="20"/>
          <w:lang w:val="en-US"/>
        </w:rPr>
        <w:t>er</w:t>
      </w:r>
      <w:r w:rsidR="00F82001" w:rsidRPr="005A41E0">
        <w:rPr>
          <w:rFonts w:asciiTheme="majorHAnsi" w:hAnsiTheme="majorHAnsi"/>
          <w:sz w:val="20"/>
          <w:szCs w:val="20"/>
          <w:lang w:val="en-US"/>
        </w:rPr>
        <w:t xml:space="preserve"> José de Jesús Orozco Henríquez</w:t>
      </w:r>
      <w:r w:rsidRPr="005A41E0">
        <w:rPr>
          <w:rFonts w:asciiTheme="majorHAnsi" w:hAnsiTheme="majorHAnsi"/>
          <w:sz w:val="20"/>
          <w:szCs w:val="20"/>
          <w:lang w:val="en-US"/>
        </w:rPr>
        <w:t xml:space="preserve"> participated in this period of sessions</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Secretariat also participated in the public hearing on provisional measures in the Case of the </w:t>
      </w:r>
      <w:r w:rsidR="00F82001" w:rsidRPr="005A41E0">
        <w:rPr>
          <w:rFonts w:asciiTheme="majorHAnsi" w:hAnsiTheme="majorHAnsi"/>
          <w:sz w:val="20"/>
          <w:szCs w:val="20"/>
          <w:lang w:val="en-US"/>
        </w:rPr>
        <w:t xml:space="preserve">Rochela </w:t>
      </w:r>
      <w:r w:rsidRPr="005A41E0">
        <w:rPr>
          <w:rFonts w:asciiTheme="majorHAnsi" w:hAnsiTheme="majorHAnsi"/>
          <w:sz w:val="20"/>
          <w:szCs w:val="20"/>
          <w:lang w:val="en-US"/>
        </w:rPr>
        <w:t xml:space="preserve">Massacre </w:t>
      </w:r>
      <w:r w:rsidR="00F82001" w:rsidRPr="005A41E0">
        <w:rPr>
          <w:rFonts w:asciiTheme="majorHAnsi" w:hAnsiTheme="majorHAnsi"/>
          <w:sz w:val="20"/>
          <w:szCs w:val="20"/>
          <w:lang w:val="en-US"/>
        </w:rPr>
        <w:t xml:space="preserve">(Colombia) </w:t>
      </w:r>
      <w:r w:rsidRPr="005A41E0">
        <w:rPr>
          <w:rFonts w:asciiTheme="majorHAnsi" w:hAnsiTheme="majorHAnsi"/>
          <w:sz w:val="20"/>
          <w:szCs w:val="20"/>
          <w:lang w:val="en-US"/>
        </w:rPr>
        <w:t xml:space="preserve">and in two private hearings on supervision of compliance with the judgment in the cases of </w:t>
      </w:r>
      <w:r w:rsidR="00F82001" w:rsidRPr="005A41E0">
        <w:rPr>
          <w:rFonts w:asciiTheme="majorHAnsi" w:hAnsiTheme="majorHAnsi"/>
          <w:sz w:val="20"/>
          <w:szCs w:val="20"/>
          <w:lang w:val="en-US"/>
        </w:rPr>
        <w:t xml:space="preserve">Radilla Pacheco </w:t>
      </w:r>
      <w:r w:rsidRPr="005A41E0">
        <w:rPr>
          <w:rFonts w:asciiTheme="majorHAnsi" w:hAnsiTheme="majorHAnsi"/>
          <w:sz w:val="20"/>
          <w:szCs w:val="20"/>
          <w:lang w:val="en-US"/>
        </w:rPr>
        <w:t xml:space="preserve">v. Mexico and </w:t>
      </w:r>
      <w:r w:rsidR="00F82001" w:rsidRPr="005A41E0">
        <w:rPr>
          <w:rFonts w:asciiTheme="majorHAnsi" w:hAnsiTheme="majorHAnsi"/>
          <w:sz w:val="20"/>
          <w:szCs w:val="20"/>
          <w:lang w:val="en-US"/>
        </w:rPr>
        <w:t xml:space="preserve">Cabrera García </w:t>
      </w:r>
      <w:r w:rsidRPr="005A41E0">
        <w:rPr>
          <w:rFonts w:asciiTheme="majorHAnsi" w:hAnsiTheme="majorHAnsi"/>
          <w:sz w:val="20"/>
          <w:szCs w:val="20"/>
          <w:lang w:val="en-US"/>
        </w:rPr>
        <w:t xml:space="preserve">and </w:t>
      </w:r>
      <w:r w:rsidR="00F82001" w:rsidRPr="005A41E0">
        <w:rPr>
          <w:rFonts w:asciiTheme="majorHAnsi" w:hAnsiTheme="majorHAnsi"/>
          <w:sz w:val="20"/>
          <w:szCs w:val="20"/>
          <w:lang w:val="en-US"/>
        </w:rPr>
        <w:t>Montiel Flores</w:t>
      </w:r>
      <w:r w:rsidRPr="005A41E0">
        <w:rPr>
          <w:rFonts w:asciiTheme="majorHAnsi" w:hAnsiTheme="majorHAnsi"/>
          <w:sz w:val="20"/>
          <w:szCs w:val="20"/>
          <w:lang w:val="en-US"/>
        </w:rPr>
        <w:t xml:space="preserve"> v. Mexico. </w:t>
      </w:r>
    </w:p>
    <w:p w:rsidR="00F82001" w:rsidRPr="005A41E0" w:rsidRDefault="00F82001" w:rsidP="005A41E0">
      <w:pPr>
        <w:pStyle w:val="ListParagraph"/>
        <w:rPr>
          <w:rFonts w:asciiTheme="majorHAnsi" w:hAnsiTheme="majorHAnsi"/>
          <w:i/>
          <w:sz w:val="20"/>
          <w:szCs w:val="20"/>
          <w:u w:color="FF0000"/>
          <w:lang w:val="en-US"/>
        </w:rPr>
      </w:pPr>
    </w:p>
    <w:p w:rsidR="00F82001" w:rsidRPr="005A41E0" w:rsidRDefault="00B85A80" w:rsidP="00507454">
      <w:pPr>
        <w:pStyle w:val="ListParagraph"/>
        <w:numPr>
          <w:ilvl w:val="0"/>
          <w:numId w:val="15"/>
        </w:numPr>
        <w:shd w:val="clear" w:color="auto" w:fill="FFFFFF"/>
        <w:tabs>
          <w:tab w:val="clear" w:pos="1080"/>
        </w:tabs>
        <w:ind w:left="0"/>
        <w:jc w:val="both"/>
        <w:rPr>
          <w:rFonts w:asciiTheme="majorHAnsi" w:hAnsiTheme="majorHAnsi"/>
          <w:i/>
          <w:sz w:val="20"/>
          <w:szCs w:val="20"/>
          <w:u w:color="FF0000"/>
          <w:lang w:val="en-US"/>
        </w:rPr>
      </w:pPr>
      <w:r w:rsidRPr="005A41E0">
        <w:rPr>
          <w:rFonts w:asciiTheme="majorHAnsi" w:hAnsiTheme="majorHAnsi"/>
          <w:sz w:val="20"/>
          <w:szCs w:val="20"/>
          <w:lang w:val="en-US"/>
        </w:rPr>
        <w:t xml:space="preserve">From October </w:t>
      </w:r>
      <w:r w:rsidR="00F82001" w:rsidRPr="005A41E0">
        <w:rPr>
          <w:rFonts w:asciiTheme="majorHAnsi" w:hAnsiTheme="majorHAnsi"/>
          <w:sz w:val="20"/>
          <w:szCs w:val="20"/>
          <w:lang w:val="en-US"/>
        </w:rPr>
        <w:t xml:space="preserve">10 </w:t>
      </w:r>
      <w:r w:rsidRPr="005A41E0">
        <w:rPr>
          <w:rFonts w:asciiTheme="majorHAnsi" w:hAnsiTheme="majorHAnsi"/>
          <w:sz w:val="20"/>
          <w:szCs w:val="20"/>
          <w:lang w:val="en-US"/>
        </w:rPr>
        <w:t xml:space="preserve">to </w:t>
      </w:r>
      <w:r w:rsidR="00F82001" w:rsidRPr="005A41E0">
        <w:rPr>
          <w:rFonts w:asciiTheme="majorHAnsi" w:hAnsiTheme="majorHAnsi"/>
          <w:sz w:val="20"/>
          <w:szCs w:val="20"/>
          <w:lang w:val="en-US"/>
        </w:rPr>
        <w:t>14</w:t>
      </w:r>
      <w:r w:rsidRPr="005A41E0">
        <w:rPr>
          <w:rFonts w:asciiTheme="majorHAnsi" w:hAnsiTheme="majorHAnsi"/>
          <w:sz w:val="20"/>
          <w:szCs w:val="20"/>
          <w:lang w:val="en-US"/>
        </w:rPr>
        <w:t>,</w:t>
      </w:r>
      <w:r w:rsidR="00F82001" w:rsidRPr="005A41E0">
        <w:rPr>
          <w:rFonts w:asciiTheme="majorHAnsi" w:hAnsiTheme="majorHAnsi"/>
          <w:sz w:val="20"/>
          <w:szCs w:val="20"/>
          <w:lang w:val="en-US"/>
        </w:rPr>
        <w:t xml:space="preserve"> 2016</w:t>
      </w:r>
      <w:r w:rsidRPr="005A41E0">
        <w:rPr>
          <w:rFonts w:asciiTheme="majorHAnsi" w:hAnsiTheme="majorHAnsi"/>
          <w:sz w:val="20"/>
          <w:szCs w:val="20"/>
          <w:lang w:val="en-US"/>
        </w:rPr>
        <w:t>, the Inter-American Commission participated in the hearings held in the 56</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extraordinary period of sessions of the Court, held in </w:t>
      </w:r>
      <w:r w:rsidR="00F82001" w:rsidRPr="005A41E0">
        <w:rPr>
          <w:rFonts w:asciiTheme="majorHAnsi" w:hAnsiTheme="majorHAnsi"/>
          <w:sz w:val="20"/>
          <w:szCs w:val="20"/>
          <w:lang w:val="en-US"/>
        </w:rPr>
        <w:t xml:space="preserve">Ecuador. </w:t>
      </w:r>
      <w:r w:rsidRPr="005A41E0">
        <w:rPr>
          <w:rFonts w:asciiTheme="majorHAnsi" w:hAnsiTheme="majorHAnsi"/>
          <w:sz w:val="20"/>
          <w:szCs w:val="20"/>
          <w:lang w:val="en-US"/>
        </w:rPr>
        <w:t xml:space="preserve">During that period of sessions, three public hearings were held, in the following cases: </w:t>
      </w:r>
      <w:r w:rsidR="00F82001" w:rsidRPr="005A41E0">
        <w:rPr>
          <w:rFonts w:asciiTheme="majorHAnsi" w:hAnsiTheme="majorHAnsi"/>
          <w:sz w:val="20"/>
          <w:szCs w:val="20"/>
          <w:lang w:val="en-US"/>
        </w:rPr>
        <w:t xml:space="preserve">Acosta </w:t>
      </w:r>
      <w:r w:rsidRPr="005A41E0">
        <w:rPr>
          <w:rFonts w:asciiTheme="majorHAnsi" w:hAnsiTheme="majorHAnsi"/>
          <w:sz w:val="20"/>
          <w:szCs w:val="20"/>
          <w:lang w:val="en-US"/>
        </w:rPr>
        <w:t xml:space="preserve">et al. </w:t>
      </w:r>
      <w:r w:rsidR="00F82001" w:rsidRPr="000643A5">
        <w:rPr>
          <w:rFonts w:asciiTheme="majorHAnsi" w:hAnsiTheme="majorHAnsi"/>
          <w:sz w:val="20"/>
          <w:szCs w:val="20"/>
          <w:lang w:val="pt-BR"/>
        </w:rPr>
        <w:t xml:space="preserve">(Nicaragua); </w:t>
      </w:r>
      <w:r w:rsidR="00507454" w:rsidRPr="000643A5">
        <w:rPr>
          <w:rFonts w:asciiTheme="majorHAnsi" w:hAnsiTheme="majorHAnsi"/>
          <w:sz w:val="20"/>
          <w:szCs w:val="20"/>
          <w:lang w:val="pt-BR"/>
        </w:rPr>
        <w:t xml:space="preserve">Workers </w:t>
      </w:r>
      <w:r w:rsidR="005D127F" w:rsidRPr="000643A5">
        <w:rPr>
          <w:rFonts w:asciiTheme="majorHAnsi" w:hAnsiTheme="majorHAnsi"/>
          <w:sz w:val="20"/>
          <w:szCs w:val="20"/>
          <w:lang w:val="pt-BR"/>
        </w:rPr>
        <w:t xml:space="preserve">Dismissed </w:t>
      </w:r>
      <w:r w:rsidR="00507454" w:rsidRPr="000643A5">
        <w:rPr>
          <w:rFonts w:asciiTheme="majorHAnsi" w:hAnsiTheme="majorHAnsi"/>
          <w:sz w:val="20"/>
          <w:szCs w:val="20"/>
          <w:lang w:val="pt-BR"/>
        </w:rPr>
        <w:t xml:space="preserve">from </w:t>
      </w:r>
      <w:r w:rsidR="00F82001" w:rsidRPr="000643A5">
        <w:rPr>
          <w:rFonts w:asciiTheme="majorHAnsi" w:hAnsiTheme="majorHAnsi"/>
          <w:sz w:val="20"/>
          <w:szCs w:val="20"/>
          <w:lang w:val="pt-BR"/>
        </w:rPr>
        <w:t xml:space="preserve">Petroperú </w:t>
      </w:r>
      <w:r w:rsidR="005D127F" w:rsidRPr="000643A5">
        <w:rPr>
          <w:rFonts w:asciiTheme="majorHAnsi" w:hAnsiTheme="majorHAnsi"/>
          <w:sz w:val="20"/>
          <w:szCs w:val="20"/>
          <w:lang w:val="pt-BR"/>
        </w:rPr>
        <w:t>et al. (Peru</w:t>
      </w:r>
      <w:r w:rsidR="00F82001" w:rsidRPr="000643A5">
        <w:rPr>
          <w:rFonts w:asciiTheme="majorHAnsi" w:hAnsiTheme="majorHAnsi"/>
          <w:sz w:val="20"/>
          <w:szCs w:val="20"/>
          <w:lang w:val="pt-BR"/>
        </w:rPr>
        <w:t xml:space="preserve">); </w:t>
      </w:r>
      <w:r w:rsidR="005D127F" w:rsidRPr="000643A5">
        <w:rPr>
          <w:rFonts w:asciiTheme="majorHAnsi" w:hAnsiTheme="majorHAnsi"/>
          <w:sz w:val="20"/>
          <w:szCs w:val="20"/>
          <w:lang w:val="pt-BR"/>
        </w:rPr>
        <w:t xml:space="preserve">and </w:t>
      </w:r>
      <w:r w:rsidR="00F82001" w:rsidRPr="000643A5">
        <w:rPr>
          <w:rFonts w:asciiTheme="majorHAnsi" w:hAnsiTheme="majorHAnsi"/>
          <w:sz w:val="20"/>
          <w:szCs w:val="20"/>
          <w:lang w:val="pt-BR"/>
        </w:rPr>
        <w:t xml:space="preserve">Cosme Genoveva </w:t>
      </w:r>
      <w:r w:rsidR="005D127F" w:rsidRPr="000643A5">
        <w:rPr>
          <w:rFonts w:asciiTheme="majorHAnsi" w:hAnsiTheme="majorHAnsi"/>
          <w:sz w:val="20"/>
          <w:szCs w:val="20"/>
          <w:lang w:val="pt-BR"/>
        </w:rPr>
        <w:t>et al. -- Favela Nova Brasí</w:t>
      </w:r>
      <w:r w:rsidR="00F82001" w:rsidRPr="000643A5">
        <w:rPr>
          <w:rFonts w:asciiTheme="majorHAnsi" w:hAnsiTheme="majorHAnsi"/>
          <w:sz w:val="20"/>
          <w:szCs w:val="20"/>
          <w:lang w:val="pt-BR"/>
        </w:rPr>
        <w:t>lia (Bra</w:t>
      </w:r>
      <w:r w:rsidR="005D127F" w:rsidRPr="000643A5">
        <w:rPr>
          <w:rFonts w:asciiTheme="majorHAnsi" w:hAnsiTheme="majorHAnsi"/>
          <w:sz w:val="20"/>
          <w:szCs w:val="20"/>
          <w:lang w:val="pt-BR"/>
        </w:rPr>
        <w:t>z</w:t>
      </w:r>
      <w:r w:rsidR="00F82001" w:rsidRPr="000643A5">
        <w:rPr>
          <w:rFonts w:asciiTheme="majorHAnsi" w:hAnsiTheme="majorHAnsi"/>
          <w:sz w:val="20"/>
          <w:szCs w:val="20"/>
          <w:lang w:val="pt-BR"/>
        </w:rPr>
        <w:t xml:space="preserve">il). </w:t>
      </w:r>
      <w:r w:rsidR="005D127F" w:rsidRPr="005A41E0">
        <w:rPr>
          <w:rFonts w:asciiTheme="majorHAnsi" w:hAnsiTheme="majorHAnsi"/>
          <w:sz w:val="20"/>
          <w:szCs w:val="20"/>
          <w:lang w:val="en-US"/>
        </w:rPr>
        <w:t xml:space="preserve">Commissioners </w:t>
      </w:r>
      <w:r w:rsidR="00F82001" w:rsidRPr="005A41E0">
        <w:rPr>
          <w:rFonts w:asciiTheme="majorHAnsi" w:hAnsiTheme="majorHAnsi"/>
          <w:sz w:val="20"/>
          <w:szCs w:val="20"/>
          <w:lang w:val="en-US"/>
        </w:rPr>
        <w:t xml:space="preserve">José de Jesús Orozco Henríquez </w:t>
      </w:r>
      <w:r w:rsidR="005D127F" w:rsidRPr="005A41E0">
        <w:rPr>
          <w:rFonts w:asciiTheme="majorHAnsi" w:hAnsiTheme="majorHAnsi"/>
          <w:sz w:val="20"/>
          <w:szCs w:val="20"/>
          <w:lang w:val="en-US"/>
        </w:rPr>
        <w:t xml:space="preserve">and </w:t>
      </w:r>
      <w:r w:rsidR="00F82001" w:rsidRPr="005A41E0">
        <w:rPr>
          <w:rFonts w:asciiTheme="majorHAnsi" w:hAnsiTheme="majorHAnsi"/>
          <w:sz w:val="20"/>
          <w:szCs w:val="20"/>
          <w:lang w:val="en-US"/>
        </w:rPr>
        <w:t>Francisco Eguiguren Praeli</w:t>
      </w:r>
      <w:r w:rsidR="005D127F" w:rsidRPr="005A41E0">
        <w:rPr>
          <w:rFonts w:asciiTheme="majorHAnsi" w:hAnsiTheme="majorHAnsi"/>
          <w:sz w:val="20"/>
          <w:szCs w:val="20"/>
          <w:lang w:val="en-US"/>
        </w:rPr>
        <w:t xml:space="preserve"> participated in this period of sessions</w:t>
      </w:r>
      <w:r w:rsidR="00F82001" w:rsidRPr="005A41E0">
        <w:rPr>
          <w:rFonts w:asciiTheme="majorHAnsi" w:hAnsiTheme="majorHAnsi"/>
          <w:sz w:val="20"/>
          <w:szCs w:val="20"/>
          <w:lang w:val="en-US"/>
        </w:rPr>
        <w:t xml:space="preserve">.  </w:t>
      </w:r>
    </w:p>
    <w:p w:rsidR="00F82001" w:rsidRPr="005A41E0" w:rsidRDefault="00F82001" w:rsidP="005A41E0">
      <w:pPr>
        <w:pStyle w:val="ListParagraph"/>
        <w:rPr>
          <w:rFonts w:asciiTheme="majorHAnsi" w:hAnsiTheme="majorHAnsi"/>
          <w:i/>
          <w:sz w:val="20"/>
          <w:szCs w:val="20"/>
          <w:u w:color="FF0000"/>
          <w:lang w:val="en-US"/>
        </w:rPr>
      </w:pPr>
    </w:p>
    <w:p w:rsidR="00F82001" w:rsidRPr="005A41E0" w:rsidRDefault="005D127F" w:rsidP="00507454">
      <w:pPr>
        <w:pStyle w:val="ListParagraph"/>
        <w:numPr>
          <w:ilvl w:val="0"/>
          <w:numId w:val="15"/>
        </w:numPr>
        <w:shd w:val="clear" w:color="auto" w:fill="FFFFFF"/>
        <w:tabs>
          <w:tab w:val="clear" w:pos="1080"/>
        </w:tabs>
        <w:ind w:left="0"/>
        <w:jc w:val="both"/>
        <w:rPr>
          <w:rFonts w:asciiTheme="majorHAnsi" w:hAnsiTheme="majorHAnsi"/>
          <w:i/>
          <w:sz w:val="20"/>
          <w:szCs w:val="20"/>
          <w:u w:color="FF0000"/>
          <w:lang w:val="en-US"/>
        </w:rPr>
      </w:pPr>
      <w:r w:rsidRPr="005A41E0">
        <w:rPr>
          <w:rFonts w:asciiTheme="majorHAnsi" w:hAnsiTheme="majorHAnsi"/>
          <w:sz w:val="20"/>
          <w:szCs w:val="20"/>
          <w:u w:color="FF0000"/>
          <w:lang w:val="en-US"/>
        </w:rPr>
        <w:t xml:space="preserve">On December 2, </w:t>
      </w:r>
      <w:r w:rsidR="00F82001" w:rsidRPr="005A41E0">
        <w:rPr>
          <w:rFonts w:asciiTheme="majorHAnsi" w:hAnsiTheme="majorHAnsi"/>
          <w:sz w:val="20"/>
          <w:szCs w:val="20"/>
          <w:u w:color="FF0000"/>
          <w:lang w:val="en-US"/>
        </w:rPr>
        <w:t>2016</w:t>
      </w:r>
      <w:r w:rsidRPr="005A41E0">
        <w:rPr>
          <w:rFonts w:asciiTheme="majorHAnsi" w:hAnsiTheme="majorHAnsi"/>
          <w:sz w:val="20"/>
          <w:szCs w:val="20"/>
          <w:u w:color="FF0000"/>
          <w:lang w:val="en-US"/>
        </w:rPr>
        <w:t xml:space="preserve">, the IACHR participated in the public hearing for supervision of compliance with the judgment in the case </w:t>
      </w:r>
      <w:r w:rsidR="00507454">
        <w:rPr>
          <w:rFonts w:asciiTheme="majorHAnsi" w:hAnsiTheme="majorHAnsi"/>
          <w:sz w:val="20"/>
          <w:szCs w:val="20"/>
          <w:u w:color="FF0000"/>
          <w:lang w:val="en-US"/>
        </w:rPr>
        <w:t xml:space="preserve">of the </w:t>
      </w:r>
      <w:r w:rsidR="00F82001" w:rsidRPr="005A41E0">
        <w:rPr>
          <w:rFonts w:asciiTheme="majorHAnsi" w:hAnsiTheme="majorHAnsi"/>
          <w:sz w:val="20"/>
          <w:szCs w:val="20"/>
          <w:u w:color="FF0000"/>
          <w:lang w:val="en-US"/>
        </w:rPr>
        <w:t xml:space="preserve">Kichwa </w:t>
      </w:r>
      <w:r w:rsidRPr="005A41E0">
        <w:rPr>
          <w:rFonts w:asciiTheme="majorHAnsi" w:hAnsiTheme="majorHAnsi"/>
          <w:sz w:val="20"/>
          <w:szCs w:val="20"/>
          <w:u w:color="FF0000"/>
          <w:lang w:val="en-US"/>
        </w:rPr>
        <w:t xml:space="preserve">Indigenous People </w:t>
      </w:r>
      <w:r w:rsidR="00507454">
        <w:rPr>
          <w:rFonts w:asciiTheme="majorHAnsi" w:hAnsiTheme="majorHAnsi"/>
          <w:sz w:val="20"/>
          <w:szCs w:val="20"/>
          <w:u w:color="FF0000"/>
          <w:lang w:val="en-US"/>
        </w:rPr>
        <w:t xml:space="preserve">of </w:t>
      </w:r>
      <w:r w:rsidR="00507454" w:rsidRPr="005A41E0">
        <w:rPr>
          <w:rFonts w:asciiTheme="majorHAnsi" w:hAnsiTheme="majorHAnsi"/>
          <w:sz w:val="20"/>
          <w:szCs w:val="20"/>
          <w:u w:color="FF0000"/>
          <w:lang w:val="en-US"/>
        </w:rPr>
        <w:t xml:space="preserve">Sarayaku </w:t>
      </w:r>
      <w:r w:rsidR="00F82001" w:rsidRPr="005A41E0">
        <w:rPr>
          <w:rFonts w:asciiTheme="majorHAnsi" w:hAnsiTheme="majorHAnsi"/>
          <w:sz w:val="20"/>
          <w:szCs w:val="20"/>
          <w:u w:color="FF0000"/>
          <w:lang w:val="en-US"/>
        </w:rPr>
        <w:t xml:space="preserve">v. Ecuador </w:t>
      </w:r>
      <w:r w:rsidRPr="005A41E0">
        <w:rPr>
          <w:rFonts w:asciiTheme="majorHAnsi" w:hAnsiTheme="majorHAnsi"/>
          <w:sz w:val="20"/>
          <w:szCs w:val="20"/>
          <w:u w:color="FF0000"/>
          <w:lang w:val="en-US"/>
        </w:rPr>
        <w:t xml:space="preserve">during the </w:t>
      </w:r>
      <w:r w:rsidR="00F82001" w:rsidRPr="005A41E0">
        <w:rPr>
          <w:rFonts w:asciiTheme="majorHAnsi" w:hAnsiTheme="majorHAnsi"/>
          <w:sz w:val="20"/>
          <w:szCs w:val="20"/>
          <w:u w:color="FF0000"/>
          <w:lang w:val="en-US"/>
        </w:rPr>
        <w:t>116</w:t>
      </w:r>
      <w:r w:rsidRPr="005A41E0">
        <w:rPr>
          <w:rFonts w:asciiTheme="majorHAnsi" w:hAnsiTheme="majorHAnsi"/>
          <w:sz w:val="20"/>
          <w:szCs w:val="20"/>
          <w:u w:color="FF0000"/>
          <w:vertAlign w:val="superscript"/>
          <w:lang w:val="en-US"/>
        </w:rPr>
        <w:t>th</w:t>
      </w:r>
      <w:r w:rsidRPr="005A41E0">
        <w:rPr>
          <w:rFonts w:asciiTheme="majorHAnsi" w:hAnsiTheme="majorHAnsi"/>
          <w:sz w:val="20"/>
          <w:szCs w:val="20"/>
          <w:u w:color="FF0000"/>
          <w:lang w:val="en-US"/>
        </w:rPr>
        <w:t xml:space="preserve"> period of sessions of the Court, held in </w:t>
      </w:r>
      <w:r w:rsidR="00F82001" w:rsidRPr="005A41E0">
        <w:rPr>
          <w:rFonts w:asciiTheme="majorHAnsi" w:hAnsiTheme="majorHAnsi"/>
          <w:sz w:val="20"/>
          <w:szCs w:val="20"/>
          <w:u w:color="FF0000"/>
          <w:lang w:val="en-US"/>
        </w:rPr>
        <w:t xml:space="preserve">San José, Costa Rica. </w:t>
      </w:r>
    </w:p>
    <w:p w:rsidR="00F82001" w:rsidRPr="005A41E0" w:rsidRDefault="00F82001" w:rsidP="005A41E0">
      <w:pPr>
        <w:pStyle w:val="FootnoteText"/>
        <w:spacing w:before="0" w:beforeAutospacing="0" w:after="0" w:afterAutospacing="0"/>
        <w:jc w:val="both"/>
        <w:rPr>
          <w:rFonts w:asciiTheme="majorHAnsi" w:hAnsiTheme="majorHAnsi"/>
          <w:b/>
          <w:sz w:val="20"/>
          <w:lang w:val="en-US"/>
        </w:rPr>
      </w:pPr>
    </w:p>
    <w:p w:rsidR="00F82001" w:rsidRPr="005A41E0" w:rsidRDefault="00F82001" w:rsidP="005A41E0">
      <w:pPr>
        <w:pStyle w:val="Heading2"/>
        <w:ind w:left="1440" w:hanging="720"/>
        <w:rPr>
          <w:lang w:val="en-US"/>
        </w:rPr>
      </w:pPr>
      <w:r w:rsidRPr="005A41E0">
        <w:rPr>
          <w:lang w:val="en-US"/>
        </w:rPr>
        <w:t>3.</w:t>
      </w:r>
      <w:r w:rsidRPr="005A41E0">
        <w:rPr>
          <w:lang w:val="en-US"/>
        </w:rPr>
        <w:tab/>
      </w:r>
      <w:r w:rsidR="00E85212" w:rsidRPr="005A41E0">
        <w:rPr>
          <w:lang w:val="en-US"/>
        </w:rPr>
        <w:t xml:space="preserve">Submission of written observations on the states’ reports in cases under supervision of compliance with judgments </w:t>
      </w:r>
    </w:p>
    <w:p w:rsidR="00F82001" w:rsidRPr="005A41E0" w:rsidRDefault="00F82001" w:rsidP="005A41E0">
      <w:pPr>
        <w:pStyle w:val="FootnoteText"/>
        <w:spacing w:before="0" w:beforeAutospacing="0" w:after="0" w:afterAutospacing="0"/>
        <w:ind w:left="360"/>
        <w:jc w:val="both"/>
        <w:rPr>
          <w:rFonts w:asciiTheme="majorHAnsi" w:hAnsiTheme="majorHAnsi"/>
          <w:b/>
          <w:sz w:val="20"/>
          <w:lang w:val="en-US"/>
        </w:rPr>
      </w:pPr>
    </w:p>
    <w:p w:rsidR="00F82001" w:rsidRPr="005A41E0" w:rsidRDefault="00E85212"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Pursuant to the mandate established in Article 57 of the American Convention, as well as the provision at Article 69 of the Court’s Rules of Procedure, on its role defending the inter-American public order, in 2016 the IACHR continued to submit information and preparing briefs with observations on the states’ reports on compliance. In the performance of this function the Inter-American Commission submitted 136 briefs with observations to the Inter-American Court. </w:t>
      </w:r>
    </w:p>
    <w:p w:rsidR="00F82001" w:rsidRPr="005A41E0" w:rsidRDefault="00F82001" w:rsidP="005A41E0">
      <w:pPr>
        <w:pStyle w:val="FootnoteText"/>
        <w:spacing w:before="0" w:beforeAutospacing="0" w:after="0" w:afterAutospacing="0"/>
        <w:jc w:val="both"/>
        <w:rPr>
          <w:rFonts w:asciiTheme="majorHAnsi" w:hAnsiTheme="majorHAnsi"/>
          <w:sz w:val="20"/>
          <w:lang w:val="en-US"/>
        </w:rPr>
      </w:pPr>
    </w:p>
    <w:p w:rsidR="00F82001" w:rsidRPr="005A41E0" w:rsidRDefault="00F82001" w:rsidP="005A41E0">
      <w:pPr>
        <w:pStyle w:val="Heading2"/>
        <w:ind w:left="1440" w:hanging="720"/>
        <w:rPr>
          <w:lang w:val="en-US"/>
        </w:rPr>
      </w:pPr>
      <w:r w:rsidRPr="005A41E0">
        <w:rPr>
          <w:lang w:val="en-US"/>
        </w:rPr>
        <w:t>4.</w:t>
      </w:r>
      <w:r w:rsidRPr="005A41E0">
        <w:rPr>
          <w:lang w:val="en-US"/>
        </w:rPr>
        <w:tab/>
      </w:r>
      <w:r w:rsidR="00E85212" w:rsidRPr="005A41E0">
        <w:rPr>
          <w:lang w:val="en-US"/>
        </w:rPr>
        <w:t xml:space="preserve">Submission of written observations on the states’ reports on the implementation of provisional measures </w:t>
      </w:r>
    </w:p>
    <w:p w:rsidR="00F82001" w:rsidRPr="005A41E0" w:rsidRDefault="00F82001" w:rsidP="005A41E0">
      <w:pPr>
        <w:pStyle w:val="FootnoteText"/>
        <w:spacing w:before="0" w:beforeAutospacing="0" w:after="0" w:afterAutospacing="0"/>
        <w:jc w:val="both"/>
        <w:rPr>
          <w:rFonts w:asciiTheme="majorHAnsi" w:hAnsiTheme="majorHAnsi"/>
          <w:sz w:val="20"/>
          <w:lang w:val="en-US"/>
        </w:rPr>
      </w:pPr>
    </w:p>
    <w:p w:rsidR="00F82001" w:rsidRPr="005A41E0" w:rsidRDefault="00E85212" w:rsidP="00ED7E69">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Pursuant to the mandate established at Article </w:t>
      </w:r>
      <w:r w:rsidR="00F82001" w:rsidRPr="005A41E0">
        <w:rPr>
          <w:rFonts w:asciiTheme="majorHAnsi" w:hAnsiTheme="majorHAnsi"/>
          <w:sz w:val="20"/>
          <w:szCs w:val="20"/>
          <w:lang w:val="en-US"/>
        </w:rPr>
        <w:t>63</w:t>
      </w:r>
      <w:r w:rsidRPr="005A41E0">
        <w:rPr>
          <w:rFonts w:asciiTheme="majorHAnsi" w:hAnsiTheme="majorHAnsi"/>
          <w:sz w:val="20"/>
          <w:szCs w:val="20"/>
          <w:lang w:val="en-US"/>
        </w:rPr>
        <w:t>(2) of the American Convention</w:t>
      </w:r>
      <w:r w:rsidR="00F8200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as well as the provision at Article </w:t>
      </w:r>
      <w:r w:rsidR="00F82001" w:rsidRPr="005A41E0">
        <w:rPr>
          <w:rFonts w:asciiTheme="majorHAnsi" w:hAnsiTheme="majorHAnsi"/>
          <w:sz w:val="20"/>
          <w:szCs w:val="20"/>
          <w:lang w:val="en-US"/>
        </w:rPr>
        <w:t>27</w:t>
      </w:r>
      <w:r w:rsidRPr="005A41E0">
        <w:rPr>
          <w:rFonts w:asciiTheme="majorHAnsi" w:hAnsiTheme="majorHAnsi"/>
          <w:sz w:val="20"/>
          <w:szCs w:val="20"/>
          <w:lang w:val="en-US"/>
        </w:rPr>
        <w:t>(</w:t>
      </w:r>
      <w:r w:rsidR="00F82001" w:rsidRPr="005A41E0">
        <w:rPr>
          <w:rFonts w:asciiTheme="majorHAnsi" w:hAnsiTheme="majorHAnsi"/>
          <w:sz w:val="20"/>
          <w:szCs w:val="20"/>
          <w:lang w:val="en-US"/>
        </w:rPr>
        <w:t>7</w:t>
      </w:r>
      <w:r w:rsidRPr="005A41E0">
        <w:rPr>
          <w:rFonts w:asciiTheme="majorHAnsi" w:hAnsiTheme="majorHAnsi"/>
          <w:sz w:val="20"/>
          <w:szCs w:val="20"/>
          <w:lang w:val="en-US"/>
        </w:rPr>
        <w:t xml:space="preserve">) of the Court’s Rules of Procedure, in carrying out its role in defense of inter-American public order, in </w:t>
      </w:r>
      <w:r w:rsidR="00F82001"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the IACHR continued to submit information and write briefs of observations </w:t>
      </w:r>
      <w:r w:rsidR="00ED7E69">
        <w:rPr>
          <w:rFonts w:asciiTheme="majorHAnsi" w:hAnsiTheme="majorHAnsi"/>
          <w:sz w:val="20"/>
          <w:szCs w:val="20"/>
          <w:lang w:val="en-US"/>
        </w:rPr>
        <w:t xml:space="preserve">on </w:t>
      </w:r>
      <w:r w:rsidRPr="005A41E0">
        <w:rPr>
          <w:rFonts w:asciiTheme="majorHAnsi" w:hAnsiTheme="majorHAnsi"/>
          <w:sz w:val="20"/>
          <w:szCs w:val="20"/>
          <w:lang w:val="en-US"/>
        </w:rPr>
        <w:t xml:space="preserve">the state reports on implementation of the provisional measures in force. The IACHR submitted </w:t>
      </w:r>
      <w:r w:rsidR="00F82001" w:rsidRPr="005A41E0">
        <w:rPr>
          <w:rFonts w:asciiTheme="majorHAnsi" w:hAnsiTheme="majorHAnsi"/>
          <w:sz w:val="20"/>
          <w:szCs w:val="20"/>
          <w:lang w:val="en-US"/>
        </w:rPr>
        <w:t xml:space="preserve">69 </w:t>
      </w:r>
      <w:r w:rsidRPr="005A41E0">
        <w:rPr>
          <w:rFonts w:asciiTheme="majorHAnsi" w:hAnsiTheme="majorHAnsi"/>
          <w:sz w:val="20"/>
          <w:szCs w:val="20"/>
          <w:lang w:val="en-US"/>
        </w:rPr>
        <w:t xml:space="preserve">briefs of observations to the Inter-American Court in such matters. </w:t>
      </w:r>
    </w:p>
    <w:p w:rsidR="00F82001" w:rsidRPr="005A41E0" w:rsidRDefault="00F82001" w:rsidP="005A41E0">
      <w:pPr>
        <w:rPr>
          <w:rFonts w:asciiTheme="majorHAnsi" w:hAnsiTheme="majorHAnsi"/>
          <w:sz w:val="20"/>
          <w:szCs w:val="20"/>
          <w:lang w:val="en-US"/>
        </w:rPr>
      </w:pPr>
    </w:p>
    <w:p w:rsidR="005D7CC2" w:rsidRPr="005A41E0" w:rsidRDefault="00A628FD" w:rsidP="00A628FD">
      <w:pPr>
        <w:pStyle w:val="Heading1"/>
        <w:rPr>
          <w:lang w:val="en-US"/>
        </w:rPr>
      </w:pPr>
      <w:r>
        <w:rPr>
          <w:lang w:val="en-US"/>
        </w:rPr>
        <w:t xml:space="preserve">Section of </w:t>
      </w:r>
      <w:r w:rsidR="00E85212" w:rsidRPr="005A41E0">
        <w:rPr>
          <w:lang w:val="en-US"/>
        </w:rPr>
        <w:t>Fri</w:t>
      </w:r>
      <w:r>
        <w:rPr>
          <w:lang w:val="en-US"/>
        </w:rPr>
        <w:t>endly Settlements and Follow-up</w:t>
      </w:r>
    </w:p>
    <w:p w:rsidR="005D7CC2" w:rsidRPr="005A41E0" w:rsidRDefault="005D7CC2" w:rsidP="005A41E0">
      <w:pPr>
        <w:rPr>
          <w:rFonts w:asciiTheme="majorHAnsi" w:hAnsiTheme="majorHAnsi"/>
          <w:sz w:val="20"/>
          <w:szCs w:val="20"/>
          <w:highlight w:val="yellow"/>
          <w:lang w:val="en-US"/>
        </w:rPr>
      </w:pPr>
    </w:p>
    <w:p w:rsidR="00B725E5" w:rsidRPr="005A41E0" w:rsidRDefault="00E85212" w:rsidP="001C5C16">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In the context of the system of petitioners and individual cases the friendly settlement procedure of the IACHR is a mechanism used for the non-disputatious and consensus-based settlement of disputes</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It is a process facilitated by the IACHR whose aim is for the state concerned and the alleged victims and/or petitioners to reach an agreement outside of the adversarial process that makes it possible to resolve the alleged violation of human rights. The friendly settlement procedure depends on the will of the parties, and therefore both parties must </w:t>
      </w:r>
      <w:r w:rsidR="001C5C16">
        <w:rPr>
          <w:rFonts w:asciiTheme="majorHAnsi" w:hAnsiTheme="majorHAnsi"/>
          <w:sz w:val="20"/>
          <w:szCs w:val="20"/>
          <w:lang w:val="en-US"/>
        </w:rPr>
        <w:t xml:space="preserve">agree in order </w:t>
      </w:r>
      <w:r w:rsidRPr="005A41E0">
        <w:rPr>
          <w:rFonts w:asciiTheme="majorHAnsi" w:hAnsiTheme="majorHAnsi"/>
          <w:sz w:val="20"/>
          <w:szCs w:val="20"/>
          <w:lang w:val="en-US"/>
        </w:rPr>
        <w:t xml:space="preserve">to </w:t>
      </w:r>
      <w:r w:rsidR="00911A08" w:rsidRPr="005A41E0">
        <w:rPr>
          <w:rFonts w:asciiTheme="majorHAnsi" w:hAnsiTheme="majorHAnsi"/>
          <w:sz w:val="20"/>
          <w:szCs w:val="20"/>
          <w:lang w:val="en-US"/>
        </w:rPr>
        <w:t xml:space="preserve">begin and continue to pursue a </w:t>
      </w:r>
      <w:r w:rsidR="001C5C16">
        <w:rPr>
          <w:rFonts w:asciiTheme="majorHAnsi" w:hAnsiTheme="majorHAnsi"/>
          <w:sz w:val="20"/>
          <w:szCs w:val="20"/>
          <w:lang w:val="en-US"/>
        </w:rPr>
        <w:t xml:space="preserve">settlement </w:t>
      </w:r>
      <w:r w:rsidR="00911A08" w:rsidRPr="005A41E0">
        <w:rPr>
          <w:rFonts w:asciiTheme="majorHAnsi" w:hAnsiTheme="majorHAnsi"/>
          <w:sz w:val="20"/>
          <w:szCs w:val="20"/>
          <w:lang w:val="en-US"/>
        </w:rPr>
        <w:t xml:space="preserve">via this procedure. To that end the parties must state their interest and willingness to the IACHR. </w:t>
      </w:r>
    </w:p>
    <w:p w:rsidR="00B725E5" w:rsidRPr="005A41E0" w:rsidRDefault="00B725E5" w:rsidP="005A41E0">
      <w:pPr>
        <w:pStyle w:val="ListParagraph"/>
        <w:shd w:val="clear" w:color="auto" w:fill="FFFFFF"/>
        <w:ind w:left="720"/>
        <w:jc w:val="both"/>
        <w:rPr>
          <w:rFonts w:asciiTheme="majorHAnsi" w:hAnsiTheme="majorHAnsi"/>
          <w:sz w:val="20"/>
          <w:szCs w:val="20"/>
          <w:lang w:val="en-US"/>
        </w:rPr>
      </w:pPr>
    </w:p>
    <w:p w:rsidR="00B725E5" w:rsidRPr="005A41E0" w:rsidRDefault="00911A08" w:rsidP="00076A4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This section of the annual report is divided into four </w:t>
      </w:r>
      <w:r w:rsidR="00FA15AA">
        <w:rPr>
          <w:rFonts w:asciiTheme="majorHAnsi" w:hAnsiTheme="majorHAnsi"/>
          <w:sz w:val="20"/>
          <w:szCs w:val="20"/>
          <w:lang w:val="en-US"/>
        </w:rPr>
        <w:t xml:space="preserve">parts. </w:t>
      </w:r>
      <w:r w:rsidRPr="005A41E0">
        <w:rPr>
          <w:rFonts w:asciiTheme="majorHAnsi" w:hAnsiTheme="majorHAnsi"/>
          <w:sz w:val="20"/>
          <w:szCs w:val="20"/>
          <w:lang w:val="en-US"/>
        </w:rPr>
        <w:t>The first includes reports on the three working visits ma</w:t>
      </w:r>
      <w:r w:rsidR="00076A40">
        <w:rPr>
          <w:rFonts w:asciiTheme="majorHAnsi" w:hAnsiTheme="majorHAnsi"/>
          <w:sz w:val="20"/>
          <w:szCs w:val="20"/>
          <w:lang w:val="en-US"/>
        </w:rPr>
        <w:t>d</w:t>
      </w:r>
      <w:r w:rsidRPr="005A41E0">
        <w:rPr>
          <w:rFonts w:asciiTheme="majorHAnsi" w:hAnsiTheme="majorHAnsi"/>
          <w:sz w:val="20"/>
          <w:szCs w:val="20"/>
          <w:lang w:val="en-US"/>
        </w:rPr>
        <w:t xml:space="preserve">e this year to promote the use of the friendly settlement mechanism and to follow up on recommendations. The second </w:t>
      </w:r>
      <w:r w:rsidR="00FA15AA">
        <w:rPr>
          <w:rFonts w:asciiTheme="majorHAnsi" w:hAnsiTheme="majorHAnsi"/>
          <w:sz w:val="20"/>
          <w:szCs w:val="20"/>
          <w:lang w:val="en-US"/>
        </w:rPr>
        <w:t xml:space="preserve">part </w:t>
      </w:r>
      <w:r w:rsidRPr="005A41E0">
        <w:rPr>
          <w:rFonts w:asciiTheme="majorHAnsi" w:hAnsiTheme="majorHAnsi"/>
          <w:sz w:val="20"/>
          <w:szCs w:val="20"/>
          <w:lang w:val="en-US"/>
        </w:rPr>
        <w:t xml:space="preserve">explains the seven friendly settlement agreements and the two agreements on implementation of recommendations made by the IACHR in reports on the merits. The third </w:t>
      </w:r>
      <w:r w:rsidR="00FA15AA">
        <w:rPr>
          <w:rFonts w:asciiTheme="majorHAnsi" w:hAnsiTheme="majorHAnsi"/>
          <w:sz w:val="20"/>
          <w:szCs w:val="20"/>
          <w:lang w:val="en-US"/>
        </w:rPr>
        <w:t xml:space="preserve">part </w:t>
      </w:r>
      <w:r w:rsidRPr="005A41E0">
        <w:rPr>
          <w:rFonts w:asciiTheme="majorHAnsi" w:hAnsiTheme="majorHAnsi"/>
          <w:sz w:val="20"/>
          <w:szCs w:val="20"/>
          <w:lang w:val="en-US"/>
        </w:rPr>
        <w:t xml:space="preserve">explains the context of the 52 working meetings held by the friendly settlement and follow-up section. Finally, the fourth </w:t>
      </w:r>
      <w:r w:rsidR="00FA15AA">
        <w:rPr>
          <w:rFonts w:asciiTheme="majorHAnsi" w:hAnsiTheme="majorHAnsi"/>
          <w:sz w:val="20"/>
          <w:szCs w:val="20"/>
          <w:lang w:val="en-US"/>
        </w:rPr>
        <w:t xml:space="preserve">part </w:t>
      </w:r>
      <w:r w:rsidRPr="005A41E0">
        <w:rPr>
          <w:rFonts w:asciiTheme="majorHAnsi" w:hAnsiTheme="majorHAnsi"/>
          <w:sz w:val="20"/>
          <w:szCs w:val="20"/>
          <w:lang w:val="en-US"/>
        </w:rPr>
        <w:t xml:space="preserve">refers to the reports approving the friendly settlement agreements reached in </w:t>
      </w:r>
      <w:r w:rsidR="00B725E5" w:rsidRPr="005A41E0">
        <w:rPr>
          <w:rFonts w:asciiTheme="majorHAnsi" w:hAnsiTheme="majorHAnsi"/>
          <w:sz w:val="20"/>
          <w:szCs w:val="20"/>
          <w:lang w:val="en-US"/>
        </w:rPr>
        <w:t>2015.</w:t>
      </w:r>
    </w:p>
    <w:p w:rsidR="00B725E5" w:rsidRPr="005A41E0" w:rsidRDefault="00B725E5" w:rsidP="005A41E0">
      <w:pPr>
        <w:rPr>
          <w:rFonts w:asciiTheme="majorHAnsi" w:hAnsiTheme="majorHAnsi"/>
          <w:sz w:val="20"/>
          <w:szCs w:val="20"/>
          <w:lang w:val="en-US"/>
        </w:rPr>
      </w:pPr>
    </w:p>
    <w:p w:rsidR="000643A5" w:rsidRDefault="000643A5">
      <w:pPr>
        <w:rPr>
          <w:rFonts w:asciiTheme="majorHAnsi" w:hAnsiTheme="majorHAnsi"/>
          <w:b/>
          <w:sz w:val="20"/>
          <w:szCs w:val="20"/>
          <w:lang w:val="en-US"/>
        </w:rPr>
      </w:pPr>
      <w:r>
        <w:rPr>
          <w:rFonts w:asciiTheme="majorHAnsi" w:hAnsiTheme="majorHAnsi"/>
          <w:b/>
          <w:sz w:val="20"/>
          <w:szCs w:val="20"/>
          <w:lang w:val="en-US"/>
        </w:rPr>
        <w:br w:type="page"/>
      </w:r>
    </w:p>
    <w:p w:rsidR="00B725E5" w:rsidRPr="005A41E0" w:rsidRDefault="00911A08" w:rsidP="005A41E0">
      <w:pPr>
        <w:numPr>
          <w:ilvl w:val="0"/>
          <w:numId w:val="44"/>
        </w:numPr>
        <w:ind w:left="1440" w:hanging="732"/>
        <w:rPr>
          <w:rFonts w:asciiTheme="majorHAnsi" w:hAnsiTheme="majorHAnsi"/>
          <w:b/>
          <w:sz w:val="20"/>
          <w:szCs w:val="20"/>
          <w:lang w:val="en-US"/>
        </w:rPr>
      </w:pPr>
      <w:r w:rsidRPr="005A41E0">
        <w:rPr>
          <w:rFonts w:asciiTheme="majorHAnsi" w:hAnsiTheme="majorHAnsi"/>
          <w:b/>
          <w:sz w:val="20"/>
          <w:szCs w:val="20"/>
          <w:lang w:val="en-US"/>
        </w:rPr>
        <w:lastRenderedPageBreak/>
        <w:t xml:space="preserve">Reports approving friendly settlement agreements </w:t>
      </w:r>
    </w:p>
    <w:p w:rsidR="00B725E5" w:rsidRPr="005A41E0" w:rsidRDefault="00B725E5" w:rsidP="005A41E0">
      <w:pPr>
        <w:rPr>
          <w:rFonts w:asciiTheme="majorHAnsi" w:hAnsiTheme="majorHAnsi"/>
          <w:b/>
          <w:sz w:val="20"/>
          <w:szCs w:val="20"/>
          <w:lang w:val="en-US"/>
        </w:rPr>
      </w:pPr>
    </w:p>
    <w:p w:rsidR="00B725E5" w:rsidRPr="005A41E0" w:rsidRDefault="00911A08" w:rsidP="00076A4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w:t>
      </w:r>
      <w:r w:rsidR="00B725E5"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the IACHR approved eight friendly settlement agreements signed by petitioners and the states of </w:t>
      </w:r>
      <w:r w:rsidR="00B725E5" w:rsidRPr="005A41E0">
        <w:rPr>
          <w:rFonts w:asciiTheme="majorHAnsi" w:hAnsiTheme="majorHAnsi"/>
          <w:sz w:val="20"/>
          <w:szCs w:val="20"/>
          <w:lang w:val="en-US"/>
        </w:rPr>
        <w:t>Colombia, M</w:t>
      </w:r>
      <w:r w:rsidRPr="005A41E0">
        <w:rPr>
          <w:rFonts w:asciiTheme="majorHAnsi" w:hAnsiTheme="majorHAnsi"/>
          <w:sz w:val="20"/>
          <w:szCs w:val="20"/>
          <w:lang w:val="en-US"/>
        </w:rPr>
        <w:t>exico, Panama, and Peru</w:t>
      </w:r>
      <w:r w:rsidR="00B725E5" w:rsidRPr="005A41E0">
        <w:rPr>
          <w:rFonts w:asciiTheme="majorHAnsi" w:hAnsiTheme="majorHAnsi"/>
          <w:sz w:val="20"/>
          <w:szCs w:val="20"/>
          <w:lang w:val="en-US"/>
        </w:rPr>
        <w:t>.</w:t>
      </w:r>
    </w:p>
    <w:p w:rsidR="00B725E5" w:rsidRPr="005A41E0" w:rsidRDefault="00B725E5" w:rsidP="005A41E0">
      <w:pPr>
        <w:pStyle w:val="ListParagraph"/>
        <w:shd w:val="clear" w:color="auto" w:fill="FFFFFF"/>
        <w:ind w:left="720"/>
        <w:jc w:val="both"/>
        <w:rPr>
          <w:rFonts w:asciiTheme="majorHAnsi" w:hAnsiTheme="majorHAnsi"/>
          <w:sz w:val="20"/>
          <w:szCs w:val="20"/>
          <w:lang w:val="en-US"/>
        </w:rPr>
      </w:pPr>
    </w:p>
    <w:p w:rsidR="00B725E5" w:rsidRPr="005A41E0" w:rsidRDefault="00911A08" w:rsidP="00076A4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April </w:t>
      </w:r>
      <w:r w:rsidR="00B725E5" w:rsidRPr="005A41E0">
        <w:rPr>
          <w:rFonts w:asciiTheme="majorHAnsi" w:hAnsiTheme="majorHAnsi"/>
          <w:sz w:val="20"/>
          <w:szCs w:val="20"/>
          <w:lang w:val="en-US"/>
        </w:rPr>
        <w:t>14</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w:t>
      </w:r>
      <w:r w:rsidR="002D0827"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the IACHR issued two reports in which it approved friendly settlement agreements on Mexico. The first, in </w:t>
      </w:r>
      <w:r w:rsidR="00076A40">
        <w:rPr>
          <w:rFonts w:asciiTheme="majorHAnsi" w:hAnsiTheme="majorHAnsi"/>
          <w:sz w:val="20"/>
          <w:szCs w:val="20"/>
          <w:lang w:val="en-US"/>
        </w:rPr>
        <w:t xml:space="preserve">petition </w:t>
      </w:r>
      <w:r w:rsidRPr="005A41E0">
        <w:rPr>
          <w:rFonts w:asciiTheme="majorHAnsi" w:hAnsiTheme="majorHAnsi"/>
          <w:sz w:val="20"/>
          <w:szCs w:val="20"/>
          <w:lang w:val="en-US"/>
        </w:rPr>
        <w:t xml:space="preserve">P-1171-09, </w:t>
      </w:r>
      <w:r w:rsidR="00B725E5" w:rsidRPr="005A41E0">
        <w:rPr>
          <w:rFonts w:asciiTheme="majorHAnsi" w:hAnsiTheme="majorHAnsi"/>
          <w:sz w:val="20"/>
          <w:szCs w:val="20"/>
          <w:lang w:val="en-US"/>
        </w:rPr>
        <w:t xml:space="preserve">Ananías Laparra Martinez, </w:t>
      </w:r>
      <w:r w:rsidR="00076A40">
        <w:rPr>
          <w:rFonts w:asciiTheme="majorHAnsi" w:hAnsiTheme="majorHAnsi"/>
          <w:sz w:val="20"/>
          <w:szCs w:val="20"/>
          <w:lang w:val="en-US"/>
        </w:rPr>
        <w:t xml:space="preserve">is </w:t>
      </w:r>
      <w:r w:rsidRPr="005A41E0">
        <w:rPr>
          <w:rFonts w:asciiTheme="majorHAnsi" w:hAnsiTheme="majorHAnsi"/>
          <w:sz w:val="20"/>
          <w:szCs w:val="20"/>
          <w:lang w:val="en-US"/>
        </w:rPr>
        <w:t>related to due process violations in the criminal justice context and conviction and sentencing of the victim to 28 years in prison based on a confession obtained under torture</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second friendly settlement agreement was approved in Case </w:t>
      </w:r>
      <w:r w:rsidR="00B725E5" w:rsidRPr="005A41E0">
        <w:rPr>
          <w:rFonts w:asciiTheme="majorHAnsi" w:hAnsiTheme="majorHAnsi"/>
          <w:sz w:val="20"/>
          <w:szCs w:val="20"/>
          <w:lang w:val="en-US"/>
        </w:rPr>
        <w:t>12</w:t>
      </w:r>
      <w:r w:rsidRPr="005A41E0">
        <w:rPr>
          <w:rFonts w:asciiTheme="majorHAnsi" w:hAnsiTheme="majorHAnsi"/>
          <w:sz w:val="20"/>
          <w:szCs w:val="20"/>
          <w:lang w:val="en-US"/>
        </w:rPr>
        <w:t>,</w:t>
      </w:r>
      <w:r w:rsidR="00B725E5" w:rsidRPr="005A41E0">
        <w:rPr>
          <w:rFonts w:asciiTheme="majorHAnsi" w:hAnsiTheme="majorHAnsi"/>
          <w:sz w:val="20"/>
          <w:szCs w:val="20"/>
          <w:lang w:val="en-US"/>
        </w:rPr>
        <w:t>847</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Vicenta Sánchez Valdivieso, </w:t>
      </w:r>
      <w:r w:rsidRPr="005A41E0">
        <w:rPr>
          <w:rFonts w:asciiTheme="majorHAnsi" w:hAnsiTheme="majorHAnsi"/>
          <w:sz w:val="20"/>
          <w:szCs w:val="20"/>
          <w:lang w:val="en-US"/>
        </w:rPr>
        <w:t xml:space="preserve">in which the petitioner alleged violations of due process in a civil matter due to the failure to enforce a court decision in a labor-related matter. </w:t>
      </w:r>
    </w:p>
    <w:p w:rsidR="00B725E5" w:rsidRPr="005A41E0" w:rsidRDefault="00B725E5" w:rsidP="005A41E0">
      <w:pPr>
        <w:pStyle w:val="ListParagraph"/>
        <w:shd w:val="clear" w:color="auto" w:fill="FFFFFF"/>
        <w:ind w:left="720"/>
        <w:jc w:val="both"/>
        <w:rPr>
          <w:rFonts w:asciiTheme="majorHAnsi" w:hAnsiTheme="majorHAnsi"/>
          <w:sz w:val="20"/>
          <w:szCs w:val="20"/>
          <w:lang w:val="en-US"/>
        </w:rPr>
      </w:pPr>
    </w:p>
    <w:p w:rsidR="00B725E5" w:rsidRPr="005A41E0" w:rsidRDefault="00911A08" w:rsidP="00076A4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October </w:t>
      </w:r>
      <w:r w:rsidR="00B725E5" w:rsidRPr="005A41E0">
        <w:rPr>
          <w:rFonts w:asciiTheme="majorHAnsi" w:hAnsiTheme="majorHAnsi"/>
          <w:sz w:val="20"/>
          <w:szCs w:val="20"/>
          <w:lang w:val="en-US"/>
        </w:rPr>
        <w:t>7</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2016, </w:t>
      </w:r>
      <w:r w:rsidRPr="005A41E0">
        <w:rPr>
          <w:rFonts w:asciiTheme="majorHAnsi" w:hAnsiTheme="majorHAnsi"/>
          <w:sz w:val="20"/>
          <w:szCs w:val="20"/>
          <w:lang w:val="en-US"/>
        </w:rPr>
        <w:t xml:space="preserve">the IACHR approved a friendly settlement agreement in Case </w:t>
      </w:r>
      <w:r w:rsidR="00B725E5" w:rsidRPr="005A41E0">
        <w:rPr>
          <w:rFonts w:asciiTheme="majorHAnsi" w:hAnsiTheme="majorHAnsi"/>
          <w:sz w:val="20"/>
          <w:szCs w:val="20"/>
          <w:lang w:val="en-US"/>
        </w:rPr>
        <w:t>11</w:t>
      </w:r>
      <w:r w:rsidRPr="005A41E0">
        <w:rPr>
          <w:rFonts w:asciiTheme="majorHAnsi" w:hAnsiTheme="majorHAnsi"/>
          <w:sz w:val="20"/>
          <w:szCs w:val="20"/>
          <w:lang w:val="en-US"/>
        </w:rPr>
        <w:t xml:space="preserve">,538, </w:t>
      </w:r>
      <w:r w:rsidR="00B725E5" w:rsidRPr="005A41E0">
        <w:rPr>
          <w:rFonts w:asciiTheme="majorHAnsi" w:hAnsiTheme="majorHAnsi"/>
          <w:sz w:val="20"/>
          <w:szCs w:val="20"/>
          <w:lang w:val="en-US"/>
        </w:rPr>
        <w:t xml:space="preserve">Herson Javier Caro, Colombia, </w:t>
      </w:r>
      <w:r w:rsidRPr="005A41E0">
        <w:rPr>
          <w:rFonts w:asciiTheme="majorHAnsi" w:hAnsiTheme="majorHAnsi"/>
          <w:sz w:val="20"/>
          <w:szCs w:val="20"/>
          <w:lang w:val="en-US"/>
        </w:rPr>
        <w:t xml:space="preserve">a 15-year-old adolescent who was the victim of an </w:t>
      </w:r>
      <w:r w:rsidR="00B725E5" w:rsidRPr="005A41E0">
        <w:rPr>
          <w:rFonts w:asciiTheme="majorHAnsi" w:hAnsiTheme="majorHAnsi"/>
          <w:sz w:val="20"/>
          <w:szCs w:val="20"/>
          <w:lang w:val="en-US"/>
        </w:rPr>
        <w:t xml:space="preserve">extrajudicial </w:t>
      </w:r>
      <w:r w:rsidRPr="005A41E0">
        <w:rPr>
          <w:rFonts w:asciiTheme="majorHAnsi" w:hAnsiTheme="majorHAnsi"/>
          <w:sz w:val="20"/>
          <w:szCs w:val="20"/>
          <w:lang w:val="en-US"/>
        </w:rPr>
        <w:t xml:space="preserve">execution by state agents. </w:t>
      </w:r>
    </w:p>
    <w:p w:rsidR="00B725E5" w:rsidRPr="005A41E0" w:rsidRDefault="00B725E5" w:rsidP="005A41E0">
      <w:pPr>
        <w:pStyle w:val="ListParagraph"/>
        <w:shd w:val="clear" w:color="auto" w:fill="FFFFFF"/>
        <w:ind w:left="720"/>
        <w:jc w:val="both"/>
        <w:rPr>
          <w:rFonts w:asciiTheme="majorHAnsi" w:hAnsiTheme="majorHAnsi"/>
          <w:sz w:val="20"/>
          <w:szCs w:val="20"/>
          <w:lang w:val="en-US"/>
        </w:rPr>
      </w:pPr>
    </w:p>
    <w:p w:rsidR="00B725E5" w:rsidRPr="005A41E0" w:rsidRDefault="00911A0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October </w:t>
      </w:r>
      <w:r w:rsidR="00B725E5" w:rsidRPr="005A41E0">
        <w:rPr>
          <w:rFonts w:asciiTheme="majorHAnsi" w:hAnsiTheme="majorHAnsi"/>
          <w:sz w:val="20"/>
          <w:szCs w:val="20"/>
          <w:lang w:val="en-US"/>
        </w:rPr>
        <w:t>25</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2016, </w:t>
      </w:r>
      <w:r w:rsidRPr="005A41E0">
        <w:rPr>
          <w:rFonts w:asciiTheme="majorHAnsi" w:hAnsiTheme="majorHAnsi"/>
          <w:sz w:val="20"/>
          <w:szCs w:val="20"/>
          <w:lang w:val="en-US"/>
        </w:rPr>
        <w:t xml:space="preserve">the Inter-American Commission approved a friendly settlement report in Case </w:t>
      </w:r>
      <w:r w:rsidR="00B725E5" w:rsidRPr="005A41E0">
        <w:rPr>
          <w:rFonts w:asciiTheme="majorHAnsi" w:hAnsiTheme="majorHAnsi"/>
          <w:sz w:val="20"/>
          <w:szCs w:val="20"/>
          <w:lang w:val="en-US"/>
        </w:rPr>
        <w:t>12</w:t>
      </w:r>
      <w:r w:rsidRPr="005A41E0">
        <w:rPr>
          <w:rFonts w:asciiTheme="majorHAnsi" w:hAnsiTheme="majorHAnsi"/>
          <w:sz w:val="20"/>
          <w:szCs w:val="20"/>
          <w:lang w:val="en-US"/>
        </w:rPr>
        <w:t>,</w:t>
      </w:r>
      <w:r w:rsidR="00B725E5" w:rsidRPr="005A41E0">
        <w:rPr>
          <w:rFonts w:asciiTheme="majorHAnsi" w:hAnsiTheme="majorHAnsi"/>
          <w:sz w:val="20"/>
          <w:szCs w:val="20"/>
          <w:lang w:val="en-US"/>
        </w:rPr>
        <w:t>848</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Ms. N (Panama)</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in which the State compensated a victim of human rights violations with serious consequences for her health and quality of life, and provided her resources to be able to access adequate medical treatment and drugs. </w:t>
      </w:r>
    </w:p>
    <w:p w:rsidR="00B725E5" w:rsidRPr="005A41E0" w:rsidRDefault="00B725E5" w:rsidP="005A41E0">
      <w:pPr>
        <w:pStyle w:val="ListParagraph"/>
        <w:shd w:val="clear" w:color="auto" w:fill="FFFFFF"/>
        <w:ind w:left="720"/>
        <w:jc w:val="both"/>
        <w:rPr>
          <w:rFonts w:asciiTheme="majorHAnsi" w:hAnsiTheme="majorHAnsi"/>
          <w:sz w:val="20"/>
          <w:szCs w:val="20"/>
          <w:lang w:val="en-US"/>
        </w:rPr>
      </w:pPr>
    </w:p>
    <w:p w:rsidR="00B725E5" w:rsidRPr="005A41E0" w:rsidRDefault="00911A0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November </w:t>
      </w:r>
      <w:r w:rsidR="00B725E5" w:rsidRPr="005A41E0">
        <w:rPr>
          <w:rFonts w:asciiTheme="majorHAnsi" w:hAnsiTheme="majorHAnsi"/>
          <w:sz w:val="20"/>
          <w:szCs w:val="20"/>
          <w:lang w:val="en-US"/>
        </w:rPr>
        <w:t>30</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2016, </w:t>
      </w:r>
      <w:r w:rsidRPr="005A41E0">
        <w:rPr>
          <w:rFonts w:asciiTheme="majorHAnsi" w:hAnsiTheme="majorHAnsi"/>
          <w:sz w:val="20"/>
          <w:szCs w:val="20"/>
          <w:lang w:val="en-US"/>
        </w:rPr>
        <w:t xml:space="preserve">the IACHR approved two friendly settlement reports on matters from Colombia. The first, in Case </w:t>
      </w:r>
      <w:r w:rsidR="00B725E5" w:rsidRPr="005A41E0">
        <w:rPr>
          <w:rFonts w:asciiTheme="majorHAnsi" w:hAnsiTheme="majorHAnsi"/>
          <w:sz w:val="20"/>
          <w:szCs w:val="20"/>
          <w:lang w:val="en-US"/>
        </w:rPr>
        <w:t>12</w:t>
      </w:r>
      <w:r w:rsidRPr="005A41E0">
        <w:rPr>
          <w:rFonts w:asciiTheme="majorHAnsi" w:hAnsiTheme="majorHAnsi"/>
          <w:sz w:val="20"/>
          <w:szCs w:val="20"/>
          <w:lang w:val="en-US"/>
        </w:rPr>
        <w:t>,</w:t>
      </w:r>
      <w:r w:rsidR="00B725E5" w:rsidRPr="005A41E0">
        <w:rPr>
          <w:rFonts w:asciiTheme="majorHAnsi" w:hAnsiTheme="majorHAnsi"/>
          <w:sz w:val="20"/>
          <w:szCs w:val="20"/>
          <w:lang w:val="en-US"/>
        </w:rPr>
        <w:t>541</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Omar Zúñiga Vásquez, </w:t>
      </w:r>
      <w:r w:rsidRPr="005A41E0">
        <w:rPr>
          <w:rFonts w:asciiTheme="majorHAnsi" w:hAnsiTheme="majorHAnsi"/>
          <w:sz w:val="20"/>
          <w:szCs w:val="20"/>
          <w:lang w:val="en-US"/>
        </w:rPr>
        <w:t xml:space="preserve">referred to the torture, forced disappearance, and execution of Mr. </w:t>
      </w:r>
      <w:r w:rsidR="00B725E5" w:rsidRPr="005A41E0">
        <w:rPr>
          <w:rFonts w:asciiTheme="majorHAnsi" w:hAnsiTheme="majorHAnsi"/>
          <w:sz w:val="20"/>
          <w:szCs w:val="20"/>
          <w:lang w:val="en-US"/>
        </w:rPr>
        <w:t xml:space="preserve">Zúñiga Vásquez </w:t>
      </w:r>
      <w:r w:rsidRPr="005A41E0">
        <w:rPr>
          <w:rFonts w:asciiTheme="majorHAnsi" w:hAnsiTheme="majorHAnsi"/>
          <w:sz w:val="20"/>
          <w:szCs w:val="20"/>
          <w:lang w:val="en-US"/>
        </w:rPr>
        <w:t xml:space="preserve">and the torture suffered by his mother, </w:t>
      </w:r>
      <w:r w:rsidR="00B725E5" w:rsidRPr="005A41E0">
        <w:rPr>
          <w:rFonts w:asciiTheme="majorHAnsi" w:hAnsiTheme="majorHAnsi"/>
          <w:sz w:val="20"/>
          <w:szCs w:val="20"/>
          <w:lang w:val="en-US"/>
        </w:rPr>
        <w:t xml:space="preserve">Amira Vásquez de Zúñiga, </w:t>
      </w:r>
      <w:r w:rsidRPr="005A41E0">
        <w:rPr>
          <w:rFonts w:asciiTheme="majorHAnsi" w:hAnsiTheme="majorHAnsi"/>
          <w:sz w:val="20"/>
          <w:szCs w:val="20"/>
          <w:lang w:val="en-US"/>
        </w:rPr>
        <w:t xml:space="preserve">at the hands of state agents. The second report was Case </w:t>
      </w:r>
      <w:r w:rsidR="00B725E5" w:rsidRPr="005A41E0">
        <w:rPr>
          <w:rFonts w:asciiTheme="majorHAnsi" w:hAnsiTheme="majorHAnsi"/>
          <w:sz w:val="20"/>
          <w:szCs w:val="20"/>
          <w:lang w:val="en-US"/>
        </w:rPr>
        <w:t>11</w:t>
      </w:r>
      <w:r w:rsidRPr="005A41E0">
        <w:rPr>
          <w:rFonts w:asciiTheme="majorHAnsi" w:hAnsiTheme="majorHAnsi"/>
          <w:sz w:val="20"/>
          <w:szCs w:val="20"/>
          <w:lang w:val="en-US"/>
        </w:rPr>
        <w:t>,</w:t>
      </w:r>
      <w:r w:rsidR="00B725E5" w:rsidRPr="005A41E0">
        <w:rPr>
          <w:rFonts w:asciiTheme="majorHAnsi" w:hAnsiTheme="majorHAnsi"/>
          <w:sz w:val="20"/>
          <w:szCs w:val="20"/>
          <w:lang w:val="en-US"/>
        </w:rPr>
        <w:t>007 Trujillo</w:t>
      </w:r>
      <w:r w:rsidRPr="005A41E0">
        <w:rPr>
          <w:rFonts w:asciiTheme="majorHAnsi" w:hAnsiTheme="majorHAnsi"/>
          <w:sz w:val="20"/>
          <w:szCs w:val="20"/>
          <w:lang w:val="en-US"/>
        </w:rPr>
        <w:t xml:space="preserve"> Massacre</w:t>
      </w:r>
      <w:r w:rsidR="00B725E5" w:rsidRPr="005A41E0">
        <w:rPr>
          <w:rFonts w:asciiTheme="majorHAnsi" w:hAnsiTheme="majorHAnsi"/>
          <w:sz w:val="20"/>
          <w:szCs w:val="20"/>
          <w:lang w:val="en-US"/>
        </w:rPr>
        <w:t>, rela</w:t>
      </w:r>
      <w:r w:rsidRPr="005A41E0">
        <w:rPr>
          <w:rFonts w:asciiTheme="majorHAnsi" w:hAnsiTheme="majorHAnsi"/>
          <w:sz w:val="20"/>
          <w:szCs w:val="20"/>
          <w:lang w:val="en-US"/>
        </w:rPr>
        <w:t xml:space="preserve">ted to a series of violent events that occurred in the municipality of Trujillo, department of </w:t>
      </w:r>
      <w:r w:rsidR="00B725E5" w:rsidRPr="005A41E0">
        <w:rPr>
          <w:rFonts w:asciiTheme="majorHAnsi" w:hAnsiTheme="majorHAnsi"/>
          <w:sz w:val="20"/>
          <w:szCs w:val="20"/>
          <w:lang w:val="en-US"/>
        </w:rPr>
        <w:t xml:space="preserve">Valle del Cauca, Colombia, </w:t>
      </w:r>
      <w:r w:rsidRPr="005A41E0">
        <w:rPr>
          <w:rFonts w:asciiTheme="majorHAnsi" w:hAnsiTheme="majorHAnsi"/>
          <w:sz w:val="20"/>
          <w:szCs w:val="20"/>
          <w:lang w:val="en-US"/>
        </w:rPr>
        <w:t xml:space="preserve">from </w:t>
      </w:r>
      <w:r w:rsidR="00B725E5" w:rsidRPr="005A41E0">
        <w:rPr>
          <w:rFonts w:asciiTheme="majorHAnsi" w:hAnsiTheme="majorHAnsi"/>
          <w:sz w:val="20"/>
          <w:szCs w:val="20"/>
          <w:lang w:val="en-US"/>
        </w:rPr>
        <w:t xml:space="preserve">1988 </w:t>
      </w:r>
      <w:r w:rsidRPr="005A41E0">
        <w:rPr>
          <w:rFonts w:asciiTheme="majorHAnsi" w:hAnsiTheme="majorHAnsi"/>
          <w:sz w:val="20"/>
          <w:szCs w:val="20"/>
          <w:lang w:val="en-US"/>
        </w:rPr>
        <w:t xml:space="preserve">to </w:t>
      </w:r>
      <w:r w:rsidR="00B725E5" w:rsidRPr="005A41E0">
        <w:rPr>
          <w:rFonts w:asciiTheme="majorHAnsi" w:hAnsiTheme="majorHAnsi"/>
          <w:sz w:val="20"/>
          <w:szCs w:val="20"/>
          <w:lang w:val="en-US"/>
        </w:rPr>
        <w:t>1991,</w:t>
      </w:r>
      <w:r w:rsidRPr="005A41E0">
        <w:rPr>
          <w:rFonts w:asciiTheme="majorHAnsi" w:hAnsiTheme="majorHAnsi"/>
          <w:sz w:val="20"/>
          <w:szCs w:val="20"/>
          <w:lang w:val="en-US"/>
        </w:rPr>
        <w:t xml:space="preserve"> which include torture, executions, forced disappearances, and threats. In the friendly settlement agreement the State recognized its responsibility for the events, both in 1993 and in 2016, in relation to nine victims.</w:t>
      </w:r>
      <w:r w:rsidR="00B725E5" w:rsidRPr="005A41E0">
        <w:rPr>
          <w:rFonts w:asciiTheme="majorHAnsi" w:hAnsiTheme="majorHAnsi"/>
          <w:sz w:val="20"/>
          <w:szCs w:val="20"/>
          <w:lang w:val="en-US"/>
        </w:rPr>
        <w:t xml:space="preserve"> </w:t>
      </w:r>
    </w:p>
    <w:p w:rsidR="00B725E5" w:rsidRPr="005A41E0" w:rsidRDefault="00B725E5" w:rsidP="005A41E0">
      <w:pPr>
        <w:pStyle w:val="ListParagraph"/>
        <w:shd w:val="clear" w:color="auto" w:fill="FFFFFF"/>
        <w:ind w:left="720"/>
        <w:jc w:val="both"/>
        <w:rPr>
          <w:rFonts w:asciiTheme="majorHAnsi" w:hAnsiTheme="majorHAnsi"/>
          <w:sz w:val="20"/>
          <w:szCs w:val="20"/>
          <w:lang w:val="en-US"/>
        </w:rPr>
      </w:pPr>
    </w:p>
    <w:p w:rsidR="00B725E5" w:rsidRPr="005A41E0" w:rsidRDefault="00911A08" w:rsidP="006346D2">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Finally</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on November </w:t>
      </w:r>
      <w:r w:rsidR="00B725E5" w:rsidRPr="005A41E0">
        <w:rPr>
          <w:rFonts w:asciiTheme="majorHAnsi" w:hAnsiTheme="majorHAnsi"/>
          <w:sz w:val="20"/>
          <w:szCs w:val="20"/>
          <w:lang w:val="en-US"/>
        </w:rPr>
        <w:t>30</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w:t>
      </w:r>
      <w:r w:rsidR="002D0827" w:rsidRPr="005A41E0">
        <w:rPr>
          <w:rFonts w:asciiTheme="majorHAnsi" w:hAnsiTheme="majorHAnsi"/>
          <w:sz w:val="20"/>
          <w:szCs w:val="20"/>
          <w:lang w:val="en-US"/>
        </w:rPr>
        <w:t xml:space="preserve">2016, </w:t>
      </w:r>
      <w:r w:rsidRPr="005A41E0">
        <w:rPr>
          <w:rFonts w:asciiTheme="majorHAnsi" w:hAnsiTheme="majorHAnsi"/>
          <w:sz w:val="20"/>
          <w:szCs w:val="20"/>
          <w:lang w:val="en-US"/>
        </w:rPr>
        <w:t>the IACHR adopted two friendly settlement reports in relation to Peru</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in </w:t>
      </w:r>
      <w:r w:rsidR="006346D2">
        <w:rPr>
          <w:rFonts w:asciiTheme="majorHAnsi" w:hAnsiTheme="majorHAnsi"/>
          <w:sz w:val="20"/>
          <w:szCs w:val="20"/>
          <w:lang w:val="en-US"/>
        </w:rPr>
        <w:t xml:space="preserve">petition </w:t>
      </w:r>
      <w:r w:rsidR="00B725E5" w:rsidRPr="005A41E0">
        <w:rPr>
          <w:rFonts w:asciiTheme="majorHAnsi" w:hAnsiTheme="majorHAnsi"/>
          <w:sz w:val="20"/>
          <w:szCs w:val="20"/>
          <w:lang w:val="en-US"/>
        </w:rPr>
        <w:t>P-288-08</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Jesús Salvador Ferreyra </w:t>
      </w:r>
      <w:r w:rsidR="004401BE" w:rsidRPr="005A41E0">
        <w:rPr>
          <w:rFonts w:asciiTheme="majorHAnsi" w:hAnsiTheme="majorHAnsi"/>
          <w:sz w:val="20"/>
          <w:szCs w:val="20"/>
          <w:lang w:val="en-US"/>
        </w:rPr>
        <w:t>González</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w:t>
      </w:r>
      <w:r w:rsidR="006346D2">
        <w:rPr>
          <w:rFonts w:asciiTheme="majorHAnsi" w:hAnsiTheme="majorHAnsi"/>
          <w:sz w:val="20"/>
          <w:szCs w:val="20"/>
          <w:lang w:val="en-US"/>
        </w:rPr>
        <w:t xml:space="preserve">petition </w:t>
      </w:r>
      <w:r w:rsidR="00B725E5" w:rsidRPr="005A41E0">
        <w:rPr>
          <w:rFonts w:asciiTheme="majorHAnsi" w:hAnsiTheme="majorHAnsi"/>
          <w:sz w:val="20"/>
          <w:szCs w:val="20"/>
          <w:lang w:val="en-US"/>
        </w:rPr>
        <w:t>P-13339-07</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Tito Guido</w:t>
      </w:r>
      <w:r w:rsidRPr="005A41E0">
        <w:rPr>
          <w:rFonts w:asciiTheme="majorHAnsi" w:hAnsiTheme="majorHAnsi"/>
          <w:sz w:val="20"/>
          <w:szCs w:val="20"/>
          <w:lang w:val="en-US"/>
        </w:rPr>
        <w:t xml:space="preserve"> Gallegos Gallegos, related to the violation of due process to the detriment of two </w:t>
      </w:r>
      <w:r w:rsidR="005C7D7B" w:rsidRPr="005A41E0">
        <w:rPr>
          <w:rFonts w:asciiTheme="majorHAnsi" w:hAnsiTheme="majorHAnsi"/>
          <w:sz w:val="20"/>
          <w:szCs w:val="20"/>
          <w:lang w:val="en-US"/>
        </w:rPr>
        <w:t xml:space="preserve">judges who were subjected to arbitrary reviews, and who were not ratified in their respective positions. </w:t>
      </w:r>
    </w:p>
    <w:p w:rsidR="007C3F7C" w:rsidRPr="005A41E0" w:rsidRDefault="007C3F7C" w:rsidP="005A41E0">
      <w:pPr>
        <w:rPr>
          <w:rFonts w:asciiTheme="majorHAnsi" w:hAnsiTheme="majorHAnsi"/>
          <w:b/>
          <w:sz w:val="20"/>
          <w:szCs w:val="20"/>
          <w:lang w:val="en-US"/>
        </w:rPr>
      </w:pPr>
    </w:p>
    <w:p w:rsidR="00B725E5" w:rsidRPr="005A41E0" w:rsidRDefault="005C7D7B" w:rsidP="005A41E0">
      <w:pPr>
        <w:numPr>
          <w:ilvl w:val="0"/>
          <w:numId w:val="44"/>
        </w:numPr>
        <w:ind w:left="1440" w:hanging="732"/>
        <w:rPr>
          <w:rFonts w:asciiTheme="majorHAnsi" w:hAnsiTheme="majorHAnsi"/>
          <w:b/>
          <w:sz w:val="20"/>
          <w:szCs w:val="20"/>
          <w:lang w:val="en-US"/>
        </w:rPr>
      </w:pPr>
      <w:r w:rsidRPr="005A41E0">
        <w:rPr>
          <w:rFonts w:asciiTheme="majorHAnsi" w:hAnsiTheme="majorHAnsi"/>
          <w:b/>
          <w:sz w:val="20"/>
          <w:szCs w:val="20"/>
          <w:lang w:val="en-US"/>
        </w:rPr>
        <w:t xml:space="preserve">Friendly settlement agreements and compliance with recommendations </w:t>
      </w:r>
    </w:p>
    <w:p w:rsidR="00B725E5" w:rsidRPr="005A41E0" w:rsidRDefault="00B725E5" w:rsidP="005A41E0">
      <w:pPr>
        <w:rPr>
          <w:rFonts w:asciiTheme="majorHAnsi" w:hAnsiTheme="majorHAnsi"/>
          <w:sz w:val="20"/>
          <w:szCs w:val="20"/>
          <w:lang w:val="en-US"/>
        </w:rPr>
      </w:pPr>
    </w:p>
    <w:p w:rsidR="00B725E5" w:rsidRPr="005A41E0" w:rsidRDefault="0031464D"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Friendly settlements seek to bring the parties together, to find common ground and reach an agreement by consensus that is satisfactory for each of them. In the period covered by this report, the IACHR has facilitated negotiations towards the signing of friendly settlement agreements and agreements on the implementation of recommendations. In effect, during </w:t>
      </w:r>
      <w:r w:rsidR="002D0827"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nine friendly settlement agreements were signed in petitions and cases referring to four countries: </w:t>
      </w:r>
    </w:p>
    <w:p w:rsidR="00B725E5" w:rsidRPr="005A41E0" w:rsidRDefault="00B725E5" w:rsidP="005A41E0">
      <w:pPr>
        <w:rPr>
          <w:rFonts w:asciiTheme="majorHAnsi" w:hAnsiTheme="majorHAnsi"/>
          <w:sz w:val="20"/>
          <w:szCs w:val="20"/>
          <w:lang w:val="en-US"/>
        </w:rPr>
      </w:pPr>
    </w:p>
    <w:p w:rsidR="00B725E5" w:rsidRPr="005A41E0" w:rsidRDefault="0031464D" w:rsidP="005A41E0">
      <w:pPr>
        <w:pStyle w:val="ListParagraph"/>
        <w:numPr>
          <w:ilvl w:val="0"/>
          <w:numId w:val="45"/>
        </w:numPr>
        <w:shd w:val="clear" w:color="auto" w:fill="FFFFFF"/>
        <w:ind w:left="1440" w:hanging="720"/>
        <w:jc w:val="both"/>
        <w:rPr>
          <w:rFonts w:asciiTheme="majorHAnsi" w:hAnsiTheme="majorHAnsi"/>
          <w:sz w:val="20"/>
          <w:szCs w:val="20"/>
          <w:lang w:val="en-US"/>
        </w:rPr>
      </w:pPr>
      <w:r w:rsidRPr="005A41E0">
        <w:rPr>
          <w:rFonts w:asciiTheme="majorHAnsi" w:hAnsiTheme="majorHAnsi"/>
          <w:b/>
          <w:sz w:val="20"/>
          <w:szCs w:val="20"/>
          <w:lang w:val="en-US"/>
        </w:rPr>
        <w:t>Me</w:t>
      </w:r>
      <w:r w:rsidR="00B725E5" w:rsidRPr="005A41E0">
        <w:rPr>
          <w:rFonts w:asciiTheme="majorHAnsi" w:hAnsiTheme="majorHAnsi"/>
          <w:b/>
          <w:sz w:val="20"/>
          <w:szCs w:val="20"/>
          <w:lang w:val="en-US"/>
        </w:rPr>
        <w:t>xico</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On January </w:t>
      </w:r>
      <w:r w:rsidR="00B725E5" w:rsidRPr="005A41E0">
        <w:rPr>
          <w:rFonts w:asciiTheme="majorHAnsi" w:hAnsiTheme="majorHAnsi"/>
          <w:sz w:val="20"/>
          <w:szCs w:val="20"/>
          <w:lang w:val="en-US"/>
        </w:rPr>
        <w:t>28</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2016 </w:t>
      </w:r>
      <w:r w:rsidRPr="005A41E0">
        <w:rPr>
          <w:rFonts w:asciiTheme="majorHAnsi" w:hAnsiTheme="majorHAnsi"/>
          <w:sz w:val="20"/>
          <w:szCs w:val="20"/>
          <w:lang w:val="en-US"/>
        </w:rPr>
        <w:t>the parties signed a friendly settlement agreement in Case 12,</w:t>
      </w:r>
      <w:r w:rsidR="00B725E5" w:rsidRPr="005A41E0">
        <w:rPr>
          <w:rFonts w:asciiTheme="majorHAnsi" w:hAnsiTheme="majorHAnsi"/>
          <w:sz w:val="20"/>
          <w:szCs w:val="20"/>
          <w:lang w:val="en-US"/>
        </w:rPr>
        <w:t xml:space="preserve">915 Ángel Díaz Cruz. </w:t>
      </w:r>
    </w:p>
    <w:p w:rsidR="00B725E5" w:rsidRPr="005A41E0" w:rsidRDefault="00B725E5" w:rsidP="005A41E0">
      <w:pPr>
        <w:pStyle w:val="ListParagraph"/>
        <w:shd w:val="clear" w:color="auto" w:fill="FFFFFF"/>
        <w:ind w:left="1440" w:hanging="720"/>
        <w:jc w:val="both"/>
        <w:rPr>
          <w:rFonts w:asciiTheme="majorHAnsi" w:hAnsiTheme="majorHAnsi"/>
          <w:sz w:val="20"/>
          <w:szCs w:val="20"/>
          <w:lang w:val="en-US"/>
        </w:rPr>
      </w:pPr>
    </w:p>
    <w:p w:rsidR="00B725E5" w:rsidRPr="005A41E0" w:rsidRDefault="00B725E5" w:rsidP="005A41E0">
      <w:pPr>
        <w:pStyle w:val="ListParagraph"/>
        <w:numPr>
          <w:ilvl w:val="0"/>
          <w:numId w:val="45"/>
        </w:numPr>
        <w:shd w:val="clear" w:color="auto" w:fill="FFFFFF"/>
        <w:ind w:left="1440" w:hanging="720"/>
        <w:jc w:val="both"/>
        <w:rPr>
          <w:rFonts w:asciiTheme="majorHAnsi" w:hAnsiTheme="majorHAnsi"/>
          <w:sz w:val="20"/>
          <w:szCs w:val="20"/>
          <w:lang w:val="en-US"/>
        </w:rPr>
      </w:pPr>
      <w:r w:rsidRPr="005A41E0">
        <w:rPr>
          <w:rFonts w:asciiTheme="majorHAnsi" w:hAnsiTheme="majorHAnsi"/>
          <w:b/>
          <w:sz w:val="20"/>
          <w:szCs w:val="20"/>
          <w:lang w:val="en-US"/>
        </w:rPr>
        <w:t>Colombia</w:t>
      </w:r>
      <w:r w:rsidRPr="005A41E0">
        <w:rPr>
          <w:rFonts w:asciiTheme="majorHAnsi" w:hAnsiTheme="majorHAnsi"/>
          <w:sz w:val="20"/>
          <w:szCs w:val="20"/>
          <w:lang w:val="en-US"/>
        </w:rPr>
        <w:t xml:space="preserve">: </w:t>
      </w:r>
      <w:r w:rsidR="0031464D" w:rsidRPr="005A41E0">
        <w:rPr>
          <w:rFonts w:asciiTheme="majorHAnsi" w:hAnsiTheme="majorHAnsi"/>
          <w:sz w:val="20"/>
          <w:szCs w:val="20"/>
          <w:lang w:val="en-US"/>
        </w:rPr>
        <w:t>The parties signed a friendly settlement agreements on March 2, 2016 in Case 11,</w:t>
      </w:r>
      <w:r w:rsidRPr="005A41E0">
        <w:rPr>
          <w:rFonts w:asciiTheme="majorHAnsi" w:hAnsiTheme="majorHAnsi"/>
          <w:sz w:val="20"/>
          <w:szCs w:val="20"/>
          <w:lang w:val="en-US"/>
        </w:rPr>
        <w:t xml:space="preserve">538, Herson Javier Caro; </w:t>
      </w:r>
      <w:r w:rsidR="0031464D" w:rsidRPr="005A41E0">
        <w:rPr>
          <w:rFonts w:asciiTheme="majorHAnsi" w:hAnsiTheme="majorHAnsi"/>
          <w:sz w:val="20"/>
          <w:szCs w:val="20"/>
          <w:lang w:val="en-US"/>
        </w:rPr>
        <w:t xml:space="preserve">on April </w:t>
      </w:r>
      <w:r w:rsidRPr="005A41E0">
        <w:rPr>
          <w:rFonts w:asciiTheme="majorHAnsi" w:hAnsiTheme="majorHAnsi"/>
          <w:sz w:val="20"/>
          <w:szCs w:val="20"/>
          <w:lang w:val="en-US"/>
        </w:rPr>
        <w:t>6</w:t>
      </w:r>
      <w:r w:rsidR="0031464D" w:rsidRPr="005A41E0">
        <w:rPr>
          <w:rFonts w:asciiTheme="majorHAnsi" w:hAnsiTheme="majorHAnsi"/>
          <w:sz w:val="20"/>
          <w:szCs w:val="20"/>
          <w:lang w:val="en-US"/>
        </w:rPr>
        <w:t>,</w:t>
      </w:r>
      <w:r w:rsidRPr="005A41E0">
        <w:rPr>
          <w:rFonts w:asciiTheme="majorHAnsi" w:hAnsiTheme="majorHAnsi"/>
          <w:sz w:val="20"/>
          <w:szCs w:val="20"/>
          <w:lang w:val="en-US"/>
        </w:rPr>
        <w:t xml:space="preserve"> </w:t>
      </w:r>
      <w:r w:rsidR="0031464D" w:rsidRPr="005A41E0">
        <w:rPr>
          <w:rFonts w:asciiTheme="majorHAnsi" w:hAnsiTheme="majorHAnsi"/>
          <w:sz w:val="20"/>
          <w:szCs w:val="20"/>
          <w:lang w:val="en-US"/>
        </w:rPr>
        <w:t xml:space="preserve">2016 in Case </w:t>
      </w:r>
      <w:r w:rsidRPr="005A41E0">
        <w:rPr>
          <w:rFonts w:asciiTheme="majorHAnsi" w:hAnsiTheme="majorHAnsi"/>
          <w:sz w:val="20"/>
          <w:szCs w:val="20"/>
          <w:lang w:val="en-US"/>
        </w:rPr>
        <w:t>11</w:t>
      </w:r>
      <w:r w:rsidR="0031464D" w:rsidRPr="005A41E0">
        <w:rPr>
          <w:rFonts w:asciiTheme="majorHAnsi" w:hAnsiTheme="majorHAnsi"/>
          <w:sz w:val="20"/>
          <w:szCs w:val="20"/>
          <w:lang w:val="en-US"/>
        </w:rPr>
        <w:t>,</w:t>
      </w:r>
      <w:r w:rsidRPr="005A41E0">
        <w:rPr>
          <w:rFonts w:asciiTheme="majorHAnsi" w:hAnsiTheme="majorHAnsi"/>
          <w:sz w:val="20"/>
          <w:szCs w:val="20"/>
          <w:lang w:val="en-US"/>
        </w:rPr>
        <w:t>007, Trujillo</w:t>
      </w:r>
      <w:r w:rsidR="0031464D" w:rsidRPr="005A41E0">
        <w:rPr>
          <w:rFonts w:asciiTheme="majorHAnsi" w:hAnsiTheme="majorHAnsi"/>
          <w:sz w:val="20"/>
          <w:szCs w:val="20"/>
          <w:lang w:val="en-US"/>
        </w:rPr>
        <w:t xml:space="preserve"> Massacre, and in Case </w:t>
      </w:r>
      <w:r w:rsidRPr="005A41E0">
        <w:rPr>
          <w:rFonts w:asciiTheme="majorHAnsi" w:hAnsiTheme="majorHAnsi"/>
          <w:sz w:val="20"/>
          <w:szCs w:val="20"/>
          <w:lang w:val="en-US"/>
        </w:rPr>
        <w:t>12</w:t>
      </w:r>
      <w:r w:rsidR="0031464D" w:rsidRPr="005A41E0">
        <w:rPr>
          <w:rFonts w:asciiTheme="majorHAnsi" w:hAnsiTheme="majorHAnsi"/>
          <w:sz w:val="20"/>
          <w:szCs w:val="20"/>
          <w:lang w:val="en-US"/>
        </w:rPr>
        <w:t>,541, Omar Zúñiga Vásquez and</w:t>
      </w:r>
      <w:r w:rsidRPr="005A41E0">
        <w:rPr>
          <w:rFonts w:asciiTheme="majorHAnsi" w:hAnsiTheme="majorHAnsi"/>
          <w:sz w:val="20"/>
          <w:szCs w:val="20"/>
          <w:lang w:val="en-US"/>
        </w:rPr>
        <w:t xml:space="preserve"> Amira Isabel Zúñiga; </w:t>
      </w:r>
      <w:r w:rsidR="0031464D" w:rsidRPr="005A41E0">
        <w:rPr>
          <w:rFonts w:asciiTheme="majorHAnsi" w:hAnsiTheme="majorHAnsi"/>
          <w:sz w:val="20"/>
          <w:szCs w:val="20"/>
          <w:lang w:val="en-US"/>
        </w:rPr>
        <w:t xml:space="preserve">and December </w:t>
      </w:r>
      <w:r w:rsidRPr="005A41E0">
        <w:rPr>
          <w:rFonts w:asciiTheme="majorHAnsi" w:hAnsiTheme="majorHAnsi"/>
          <w:sz w:val="20"/>
          <w:szCs w:val="20"/>
          <w:lang w:val="en-US"/>
        </w:rPr>
        <w:t>5</w:t>
      </w:r>
      <w:r w:rsidR="0031464D" w:rsidRPr="005A41E0">
        <w:rPr>
          <w:rFonts w:asciiTheme="majorHAnsi" w:hAnsiTheme="majorHAnsi"/>
          <w:sz w:val="20"/>
          <w:szCs w:val="20"/>
          <w:lang w:val="en-US"/>
        </w:rPr>
        <w:t xml:space="preserve">, 2016, in Case </w:t>
      </w:r>
      <w:r w:rsidRPr="005A41E0">
        <w:rPr>
          <w:rFonts w:asciiTheme="majorHAnsi" w:hAnsiTheme="majorHAnsi"/>
          <w:sz w:val="20"/>
          <w:szCs w:val="20"/>
          <w:lang w:val="en-US"/>
        </w:rPr>
        <w:t>11</w:t>
      </w:r>
      <w:r w:rsidR="0031464D" w:rsidRPr="005A41E0">
        <w:rPr>
          <w:rFonts w:asciiTheme="majorHAnsi" w:hAnsiTheme="majorHAnsi"/>
          <w:sz w:val="20"/>
          <w:szCs w:val="20"/>
          <w:lang w:val="en-US"/>
        </w:rPr>
        <w:t>,</w:t>
      </w:r>
      <w:r w:rsidRPr="005A41E0">
        <w:rPr>
          <w:rFonts w:asciiTheme="majorHAnsi" w:hAnsiTheme="majorHAnsi"/>
          <w:sz w:val="20"/>
          <w:szCs w:val="20"/>
          <w:lang w:val="en-US"/>
        </w:rPr>
        <w:t>144, Gerson Jairzinho González.</w:t>
      </w:r>
    </w:p>
    <w:p w:rsidR="00B725E5" w:rsidRPr="005A41E0" w:rsidRDefault="00B725E5" w:rsidP="005A41E0">
      <w:pPr>
        <w:shd w:val="clear" w:color="auto" w:fill="FFFFFF"/>
        <w:ind w:left="1440" w:hanging="720"/>
        <w:jc w:val="both"/>
        <w:rPr>
          <w:rFonts w:asciiTheme="majorHAnsi" w:hAnsiTheme="majorHAnsi"/>
          <w:sz w:val="20"/>
          <w:szCs w:val="20"/>
          <w:lang w:val="en-US"/>
        </w:rPr>
      </w:pPr>
    </w:p>
    <w:p w:rsidR="00B725E5" w:rsidRPr="005A41E0" w:rsidRDefault="00B725E5" w:rsidP="005A41E0">
      <w:pPr>
        <w:pStyle w:val="ListParagraph"/>
        <w:numPr>
          <w:ilvl w:val="0"/>
          <w:numId w:val="45"/>
        </w:numPr>
        <w:shd w:val="clear" w:color="auto" w:fill="FFFFFF"/>
        <w:ind w:left="1440" w:hanging="720"/>
        <w:jc w:val="both"/>
        <w:rPr>
          <w:rFonts w:asciiTheme="majorHAnsi" w:hAnsiTheme="majorHAnsi"/>
          <w:sz w:val="20"/>
          <w:szCs w:val="20"/>
          <w:lang w:val="en-US"/>
        </w:rPr>
      </w:pPr>
      <w:r w:rsidRPr="005A41E0">
        <w:rPr>
          <w:rFonts w:asciiTheme="majorHAnsi" w:hAnsiTheme="majorHAnsi"/>
          <w:b/>
          <w:sz w:val="20"/>
          <w:szCs w:val="20"/>
          <w:lang w:val="en-US"/>
        </w:rPr>
        <w:t>Chile</w:t>
      </w:r>
      <w:r w:rsidR="0031464D" w:rsidRPr="005A41E0">
        <w:rPr>
          <w:rFonts w:asciiTheme="majorHAnsi" w:hAnsiTheme="majorHAnsi"/>
          <w:sz w:val="20"/>
          <w:szCs w:val="20"/>
          <w:lang w:val="en-US"/>
        </w:rPr>
        <w:t xml:space="preserve">: On June </w:t>
      </w:r>
      <w:r w:rsidRPr="005A41E0">
        <w:rPr>
          <w:rFonts w:asciiTheme="majorHAnsi" w:hAnsiTheme="majorHAnsi"/>
          <w:sz w:val="20"/>
          <w:szCs w:val="20"/>
          <w:lang w:val="en-US"/>
        </w:rPr>
        <w:t>11</w:t>
      </w:r>
      <w:r w:rsidR="0031464D" w:rsidRPr="005A41E0">
        <w:rPr>
          <w:rFonts w:asciiTheme="majorHAnsi" w:hAnsiTheme="majorHAnsi"/>
          <w:sz w:val="20"/>
          <w:szCs w:val="20"/>
          <w:lang w:val="en-US"/>
        </w:rPr>
        <w:t>,</w:t>
      </w:r>
      <w:r w:rsidRPr="005A41E0">
        <w:rPr>
          <w:rFonts w:asciiTheme="majorHAnsi" w:hAnsiTheme="majorHAnsi"/>
          <w:sz w:val="20"/>
          <w:szCs w:val="20"/>
          <w:lang w:val="en-US"/>
        </w:rPr>
        <w:t xml:space="preserve"> </w:t>
      </w:r>
      <w:r w:rsidR="0031464D" w:rsidRPr="005A41E0">
        <w:rPr>
          <w:rFonts w:asciiTheme="majorHAnsi" w:hAnsiTheme="majorHAnsi"/>
          <w:sz w:val="20"/>
          <w:szCs w:val="20"/>
          <w:lang w:val="en-US"/>
        </w:rPr>
        <w:t>2016 the parties signed two friendly settlement agreements</w:t>
      </w:r>
      <w:r w:rsidR="00036F88">
        <w:rPr>
          <w:rFonts w:asciiTheme="majorHAnsi" w:hAnsiTheme="majorHAnsi"/>
          <w:sz w:val="20"/>
          <w:szCs w:val="20"/>
          <w:lang w:val="en-US"/>
        </w:rPr>
        <w:t>,</w:t>
      </w:r>
      <w:r w:rsidR="0031464D" w:rsidRPr="005A41E0">
        <w:rPr>
          <w:rFonts w:asciiTheme="majorHAnsi" w:hAnsiTheme="majorHAnsi"/>
          <w:sz w:val="20"/>
          <w:szCs w:val="20"/>
          <w:lang w:val="en-US"/>
        </w:rPr>
        <w:t xml:space="preserve"> in petition P-946-12 César Peralta Wetzel and in petition </w:t>
      </w:r>
      <w:r w:rsidRPr="005A41E0">
        <w:rPr>
          <w:rFonts w:asciiTheme="majorHAnsi" w:hAnsiTheme="majorHAnsi"/>
          <w:sz w:val="20"/>
          <w:szCs w:val="20"/>
          <w:lang w:val="en-US"/>
        </w:rPr>
        <w:t xml:space="preserve">P-687-12 Gabriela Blas </w:t>
      </w:r>
      <w:r w:rsidR="0031464D" w:rsidRPr="005A41E0">
        <w:rPr>
          <w:rFonts w:asciiTheme="majorHAnsi" w:hAnsiTheme="majorHAnsi"/>
          <w:sz w:val="20"/>
          <w:szCs w:val="20"/>
          <w:lang w:val="en-US"/>
        </w:rPr>
        <w:t xml:space="preserve">and </w:t>
      </w:r>
      <w:r w:rsidRPr="005A41E0">
        <w:rPr>
          <w:rFonts w:asciiTheme="majorHAnsi" w:hAnsiTheme="majorHAnsi"/>
          <w:sz w:val="20"/>
          <w:szCs w:val="20"/>
          <w:lang w:val="en-US"/>
        </w:rPr>
        <w:t>C</w:t>
      </w:r>
      <w:r w:rsidR="00036F88">
        <w:rPr>
          <w:rFonts w:asciiTheme="majorHAnsi" w:hAnsiTheme="majorHAnsi"/>
          <w:sz w:val="20"/>
          <w:szCs w:val="20"/>
          <w:lang w:val="en-US"/>
        </w:rPr>
        <w:t>.</w:t>
      </w:r>
      <w:r w:rsidRPr="005A41E0">
        <w:rPr>
          <w:rFonts w:asciiTheme="majorHAnsi" w:hAnsiTheme="majorHAnsi"/>
          <w:sz w:val="20"/>
          <w:szCs w:val="20"/>
          <w:lang w:val="en-US"/>
        </w:rPr>
        <w:t>B</w:t>
      </w:r>
      <w:r w:rsidR="00036F88">
        <w:rPr>
          <w:rFonts w:asciiTheme="majorHAnsi" w:hAnsiTheme="majorHAnsi"/>
          <w:sz w:val="20"/>
          <w:szCs w:val="20"/>
          <w:lang w:val="en-US"/>
        </w:rPr>
        <w:t>.</w:t>
      </w:r>
      <w:r w:rsidRPr="005A41E0">
        <w:rPr>
          <w:rFonts w:asciiTheme="majorHAnsi" w:hAnsiTheme="majorHAnsi"/>
          <w:sz w:val="20"/>
          <w:szCs w:val="20"/>
          <w:lang w:val="en-US"/>
        </w:rPr>
        <w:t>B</w:t>
      </w:r>
      <w:r w:rsidR="00036F88">
        <w:rPr>
          <w:rFonts w:asciiTheme="majorHAnsi" w:hAnsiTheme="majorHAnsi"/>
          <w:sz w:val="20"/>
          <w:szCs w:val="20"/>
          <w:lang w:val="en-US"/>
        </w:rPr>
        <w:t>.</w:t>
      </w:r>
      <w:r w:rsidRPr="005A41E0">
        <w:rPr>
          <w:rFonts w:asciiTheme="majorHAnsi" w:hAnsiTheme="majorHAnsi"/>
          <w:sz w:val="20"/>
          <w:szCs w:val="20"/>
          <w:lang w:val="en-US"/>
        </w:rPr>
        <w:t>, r</w:t>
      </w:r>
      <w:r w:rsidR="0031464D" w:rsidRPr="005A41E0">
        <w:rPr>
          <w:rFonts w:asciiTheme="majorHAnsi" w:hAnsiTheme="majorHAnsi"/>
          <w:sz w:val="20"/>
          <w:szCs w:val="20"/>
          <w:lang w:val="en-US"/>
        </w:rPr>
        <w:t>espectively</w:t>
      </w:r>
      <w:r w:rsidRPr="005A41E0">
        <w:rPr>
          <w:rFonts w:asciiTheme="majorHAnsi" w:hAnsiTheme="majorHAnsi"/>
          <w:sz w:val="20"/>
          <w:szCs w:val="20"/>
          <w:lang w:val="en-US"/>
        </w:rPr>
        <w:t>.</w:t>
      </w:r>
    </w:p>
    <w:p w:rsidR="00B725E5" w:rsidRPr="005A41E0" w:rsidRDefault="00B725E5" w:rsidP="005A41E0">
      <w:pPr>
        <w:pStyle w:val="ListParagraph"/>
        <w:shd w:val="clear" w:color="auto" w:fill="FFFFFF"/>
        <w:ind w:left="1440" w:hanging="720"/>
        <w:jc w:val="both"/>
        <w:rPr>
          <w:rFonts w:asciiTheme="majorHAnsi" w:hAnsiTheme="majorHAnsi"/>
          <w:sz w:val="20"/>
          <w:szCs w:val="20"/>
          <w:lang w:val="en-US"/>
        </w:rPr>
      </w:pPr>
    </w:p>
    <w:p w:rsidR="00B725E5" w:rsidRPr="005A41E0" w:rsidRDefault="00B725E5" w:rsidP="005A41E0">
      <w:pPr>
        <w:pStyle w:val="ListParagraph"/>
        <w:numPr>
          <w:ilvl w:val="0"/>
          <w:numId w:val="45"/>
        </w:numPr>
        <w:shd w:val="clear" w:color="auto" w:fill="FFFFFF"/>
        <w:ind w:left="1440" w:hanging="720"/>
        <w:jc w:val="both"/>
        <w:rPr>
          <w:rFonts w:asciiTheme="majorHAnsi" w:hAnsiTheme="majorHAnsi"/>
          <w:sz w:val="20"/>
          <w:szCs w:val="20"/>
          <w:lang w:val="en-US"/>
        </w:rPr>
      </w:pPr>
      <w:r w:rsidRPr="005A41E0">
        <w:rPr>
          <w:rFonts w:asciiTheme="majorHAnsi" w:hAnsiTheme="majorHAnsi"/>
          <w:b/>
          <w:sz w:val="20"/>
          <w:szCs w:val="20"/>
          <w:lang w:val="en-US"/>
        </w:rPr>
        <w:lastRenderedPageBreak/>
        <w:t>Per</w:t>
      </w:r>
      <w:r w:rsidR="0031464D" w:rsidRPr="005A41E0">
        <w:rPr>
          <w:rFonts w:asciiTheme="majorHAnsi" w:hAnsiTheme="majorHAnsi"/>
          <w:b/>
          <w:sz w:val="20"/>
          <w:szCs w:val="20"/>
          <w:lang w:val="en-US"/>
        </w:rPr>
        <w:t>u</w:t>
      </w:r>
      <w:r w:rsidR="0031464D" w:rsidRPr="005A41E0">
        <w:rPr>
          <w:rFonts w:asciiTheme="majorHAnsi" w:hAnsiTheme="majorHAnsi"/>
          <w:sz w:val="20"/>
          <w:szCs w:val="20"/>
          <w:lang w:val="en-US"/>
        </w:rPr>
        <w:t xml:space="preserve">: The parties signed a friendly settlement agreement </w:t>
      </w:r>
      <w:r w:rsidR="00743E18" w:rsidRPr="005A41E0">
        <w:rPr>
          <w:rFonts w:asciiTheme="majorHAnsi" w:hAnsiTheme="majorHAnsi"/>
          <w:sz w:val="20"/>
          <w:szCs w:val="20"/>
          <w:lang w:val="en-US"/>
        </w:rPr>
        <w:t xml:space="preserve">on October 27, 2016, in petition </w:t>
      </w:r>
      <w:r w:rsidRPr="005A41E0">
        <w:rPr>
          <w:rFonts w:asciiTheme="majorHAnsi" w:hAnsiTheme="majorHAnsi"/>
          <w:sz w:val="20"/>
          <w:szCs w:val="20"/>
          <w:lang w:val="en-US"/>
        </w:rPr>
        <w:t>P-1339-07 Ti</w:t>
      </w:r>
      <w:r w:rsidR="00743E18" w:rsidRPr="005A41E0">
        <w:rPr>
          <w:rFonts w:asciiTheme="majorHAnsi" w:hAnsiTheme="majorHAnsi"/>
          <w:sz w:val="20"/>
          <w:szCs w:val="20"/>
          <w:lang w:val="en-US"/>
        </w:rPr>
        <w:t xml:space="preserve">to Guido Gallegos Gallegos (Peru); and on October </w:t>
      </w:r>
      <w:r w:rsidRPr="005A41E0">
        <w:rPr>
          <w:rFonts w:asciiTheme="majorHAnsi" w:hAnsiTheme="majorHAnsi"/>
          <w:sz w:val="20"/>
          <w:szCs w:val="20"/>
          <w:lang w:val="en-US"/>
        </w:rPr>
        <w:t>31</w:t>
      </w:r>
      <w:r w:rsidR="00743E18" w:rsidRPr="005A41E0">
        <w:rPr>
          <w:rFonts w:asciiTheme="majorHAnsi" w:hAnsiTheme="majorHAnsi"/>
          <w:sz w:val="20"/>
          <w:szCs w:val="20"/>
          <w:lang w:val="en-US"/>
        </w:rPr>
        <w:t>,</w:t>
      </w:r>
      <w:r w:rsidRPr="005A41E0">
        <w:rPr>
          <w:rFonts w:asciiTheme="majorHAnsi" w:hAnsiTheme="majorHAnsi"/>
          <w:sz w:val="20"/>
          <w:szCs w:val="20"/>
          <w:lang w:val="en-US"/>
        </w:rPr>
        <w:t xml:space="preserve"> 2016, </w:t>
      </w:r>
      <w:r w:rsidR="00743E18" w:rsidRPr="005A41E0">
        <w:rPr>
          <w:rFonts w:asciiTheme="majorHAnsi" w:hAnsiTheme="majorHAnsi"/>
          <w:sz w:val="20"/>
          <w:szCs w:val="20"/>
          <w:lang w:val="en-US"/>
        </w:rPr>
        <w:t xml:space="preserve">in petition </w:t>
      </w:r>
      <w:r w:rsidRPr="005A41E0">
        <w:rPr>
          <w:rFonts w:asciiTheme="majorHAnsi" w:hAnsiTheme="majorHAnsi"/>
          <w:sz w:val="20"/>
          <w:szCs w:val="20"/>
          <w:lang w:val="en-US"/>
        </w:rPr>
        <w:t xml:space="preserve">P-288-08 Jesús Salvador Ferreyra </w:t>
      </w:r>
      <w:r w:rsidR="004401BE" w:rsidRPr="005A41E0">
        <w:rPr>
          <w:rFonts w:asciiTheme="majorHAnsi" w:hAnsiTheme="majorHAnsi"/>
          <w:sz w:val="20"/>
          <w:szCs w:val="20"/>
          <w:lang w:val="en-US"/>
        </w:rPr>
        <w:t>González</w:t>
      </w:r>
      <w:r w:rsidRPr="005A41E0">
        <w:rPr>
          <w:rFonts w:asciiTheme="majorHAnsi" w:hAnsiTheme="majorHAnsi"/>
          <w:sz w:val="20"/>
          <w:szCs w:val="20"/>
          <w:lang w:val="en-US"/>
        </w:rPr>
        <w:t>.</w:t>
      </w:r>
    </w:p>
    <w:p w:rsidR="00B725E5" w:rsidRPr="005A41E0" w:rsidRDefault="00B725E5" w:rsidP="005A41E0">
      <w:pPr>
        <w:rPr>
          <w:rFonts w:asciiTheme="majorHAnsi" w:hAnsiTheme="majorHAnsi"/>
          <w:sz w:val="20"/>
          <w:szCs w:val="20"/>
          <w:lang w:val="en-US"/>
        </w:rPr>
      </w:pPr>
    </w:p>
    <w:p w:rsidR="00B725E5" w:rsidRPr="005A41E0" w:rsidRDefault="00743E18" w:rsidP="005A41E0">
      <w:pPr>
        <w:numPr>
          <w:ilvl w:val="1"/>
          <w:numId w:val="44"/>
        </w:numPr>
        <w:ind w:left="1440" w:hanging="720"/>
        <w:rPr>
          <w:rFonts w:asciiTheme="majorHAnsi" w:hAnsiTheme="majorHAnsi"/>
          <w:b/>
          <w:sz w:val="20"/>
          <w:szCs w:val="20"/>
          <w:lang w:val="en-US"/>
        </w:rPr>
      </w:pPr>
      <w:r w:rsidRPr="005A41E0">
        <w:rPr>
          <w:rFonts w:asciiTheme="majorHAnsi" w:hAnsiTheme="majorHAnsi"/>
          <w:b/>
          <w:sz w:val="20"/>
          <w:szCs w:val="20"/>
          <w:lang w:val="en-US"/>
        </w:rPr>
        <w:t xml:space="preserve">Working visits on friendly settlements </w:t>
      </w:r>
    </w:p>
    <w:p w:rsidR="00B725E5" w:rsidRPr="005A41E0" w:rsidRDefault="00B725E5" w:rsidP="005A41E0">
      <w:pPr>
        <w:rPr>
          <w:rFonts w:asciiTheme="majorHAnsi" w:hAnsiTheme="majorHAnsi"/>
          <w:sz w:val="20"/>
          <w:szCs w:val="20"/>
          <w:lang w:val="en-US"/>
        </w:rPr>
      </w:pPr>
    </w:p>
    <w:p w:rsidR="00B725E5" w:rsidRPr="005A41E0" w:rsidRDefault="00743E18" w:rsidP="005A41E0">
      <w:pPr>
        <w:ind w:firstLine="720"/>
        <w:rPr>
          <w:rFonts w:asciiTheme="majorHAnsi" w:hAnsiTheme="majorHAnsi"/>
          <w:b/>
          <w:sz w:val="20"/>
          <w:szCs w:val="20"/>
          <w:lang w:val="en-US"/>
        </w:rPr>
      </w:pPr>
      <w:r w:rsidRPr="005A41E0">
        <w:rPr>
          <w:rFonts w:asciiTheme="majorHAnsi" w:hAnsiTheme="majorHAnsi"/>
          <w:b/>
          <w:sz w:val="20"/>
          <w:szCs w:val="20"/>
          <w:lang w:val="en-US"/>
        </w:rPr>
        <w:t xml:space="preserve">Visit to </w:t>
      </w:r>
      <w:r w:rsidR="00B725E5" w:rsidRPr="005A41E0">
        <w:rPr>
          <w:rFonts w:asciiTheme="majorHAnsi" w:hAnsiTheme="majorHAnsi"/>
          <w:b/>
          <w:sz w:val="20"/>
          <w:szCs w:val="20"/>
          <w:lang w:val="en-US"/>
        </w:rPr>
        <w:t xml:space="preserve">Chile </w:t>
      </w:r>
    </w:p>
    <w:p w:rsidR="00B725E5" w:rsidRPr="005A41E0" w:rsidRDefault="00B725E5" w:rsidP="005A41E0">
      <w:pPr>
        <w:rPr>
          <w:rFonts w:asciiTheme="majorHAnsi" w:hAnsiTheme="majorHAnsi"/>
          <w:sz w:val="20"/>
          <w:szCs w:val="20"/>
          <w:lang w:val="en-US"/>
        </w:rPr>
      </w:pPr>
    </w:p>
    <w:p w:rsidR="00B725E5" w:rsidRPr="005A41E0" w:rsidRDefault="00743E1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IACHR made a working visit to Chile on June </w:t>
      </w:r>
      <w:r w:rsidR="004401BE" w:rsidRPr="005A41E0">
        <w:rPr>
          <w:rFonts w:asciiTheme="majorHAnsi" w:hAnsiTheme="majorHAnsi"/>
          <w:sz w:val="20"/>
          <w:szCs w:val="20"/>
          <w:lang w:val="en-US"/>
        </w:rPr>
        <w:t>11</w:t>
      </w:r>
      <w:r w:rsidRPr="005A41E0">
        <w:rPr>
          <w:rFonts w:asciiTheme="majorHAnsi" w:hAnsiTheme="majorHAnsi"/>
          <w:sz w:val="20"/>
          <w:szCs w:val="20"/>
          <w:lang w:val="en-US"/>
        </w:rPr>
        <w:t>,</w:t>
      </w:r>
      <w:r w:rsidR="004401BE"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2016, with the objective of giving impetus to negotiations of friendly settlement agreements and compliance with recommendations made by the IACHR and precautionary measures. The delegation was led by Commissioner </w:t>
      </w:r>
      <w:r w:rsidR="00B725E5" w:rsidRPr="005A41E0">
        <w:rPr>
          <w:rFonts w:asciiTheme="majorHAnsi" w:hAnsiTheme="majorHAnsi"/>
          <w:sz w:val="20"/>
          <w:szCs w:val="20"/>
          <w:lang w:val="en-US"/>
        </w:rPr>
        <w:t xml:space="preserve">Enrique Gil Botero, </w:t>
      </w:r>
      <w:r w:rsidRPr="005A41E0">
        <w:rPr>
          <w:rFonts w:asciiTheme="majorHAnsi" w:hAnsiTheme="majorHAnsi"/>
          <w:sz w:val="20"/>
          <w:szCs w:val="20"/>
          <w:lang w:val="en-US"/>
        </w:rPr>
        <w:t xml:space="preserve">as country rapporteur.  On that day Commissioner </w:t>
      </w:r>
      <w:r w:rsidR="002D0827" w:rsidRPr="005A41E0">
        <w:rPr>
          <w:rFonts w:asciiTheme="majorHAnsi" w:hAnsiTheme="majorHAnsi"/>
          <w:sz w:val="20"/>
          <w:szCs w:val="20"/>
          <w:lang w:val="en-US"/>
        </w:rPr>
        <w:t xml:space="preserve">Gil Botero </w:t>
      </w:r>
      <w:r w:rsidRPr="005A41E0">
        <w:rPr>
          <w:rFonts w:asciiTheme="majorHAnsi" w:hAnsiTheme="majorHAnsi"/>
          <w:sz w:val="20"/>
          <w:szCs w:val="20"/>
          <w:lang w:val="en-US"/>
        </w:rPr>
        <w:t xml:space="preserve">chaired four working meetings to facilitate the pursuit of common ground by the parties to petitions and cases for opening up a space for dialogue with the Chilean State that would make it possible to advance in the search for points of consensus so as to then sign friendly settlement agreements and agreements on compliance with the decisions of the Inter-American Commission. </w:t>
      </w:r>
    </w:p>
    <w:p w:rsidR="00B725E5" w:rsidRPr="005A41E0" w:rsidRDefault="00B725E5" w:rsidP="005A41E0">
      <w:pPr>
        <w:rPr>
          <w:rFonts w:asciiTheme="majorHAnsi" w:hAnsiTheme="majorHAnsi"/>
          <w:sz w:val="20"/>
          <w:szCs w:val="20"/>
          <w:lang w:val="en-US"/>
        </w:rPr>
      </w:pPr>
    </w:p>
    <w:p w:rsidR="00B725E5" w:rsidRPr="005A41E0" w:rsidRDefault="00743E18" w:rsidP="005A41E0">
      <w:pPr>
        <w:ind w:firstLine="720"/>
        <w:rPr>
          <w:rFonts w:asciiTheme="majorHAnsi" w:hAnsiTheme="majorHAnsi"/>
          <w:b/>
          <w:sz w:val="20"/>
          <w:szCs w:val="20"/>
          <w:lang w:val="en-US"/>
        </w:rPr>
      </w:pPr>
      <w:r w:rsidRPr="005A41E0">
        <w:rPr>
          <w:rFonts w:asciiTheme="majorHAnsi" w:hAnsiTheme="majorHAnsi"/>
          <w:b/>
          <w:sz w:val="20"/>
          <w:szCs w:val="20"/>
          <w:lang w:val="en-US"/>
        </w:rPr>
        <w:t xml:space="preserve">Visit to </w:t>
      </w:r>
      <w:r w:rsidR="00B725E5" w:rsidRPr="005A41E0">
        <w:rPr>
          <w:rFonts w:asciiTheme="majorHAnsi" w:hAnsiTheme="majorHAnsi"/>
          <w:b/>
          <w:sz w:val="20"/>
          <w:szCs w:val="20"/>
          <w:lang w:val="en-US"/>
        </w:rPr>
        <w:t>Paraguay</w:t>
      </w:r>
    </w:p>
    <w:p w:rsidR="00B725E5" w:rsidRPr="005A41E0" w:rsidRDefault="00B725E5" w:rsidP="005A41E0">
      <w:pPr>
        <w:rPr>
          <w:rFonts w:asciiTheme="majorHAnsi" w:hAnsiTheme="majorHAnsi"/>
          <w:sz w:val="20"/>
          <w:szCs w:val="20"/>
          <w:lang w:val="en-US"/>
        </w:rPr>
      </w:pPr>
    </w:p>
    <w:p w:rsidR="00B725E5" w:rsidRPr="005A41E0" w:rsidRDefault="00743E18" w:rsidP="00741C5E">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August </w:t>
      </w:r>
      <w:r w:rsidR="004401BE" w:rsidRPr="005A41E0">
        <w:rPr>
          <w:rFonts w:asciiTheme="majorHAnsi" w:hAnsiTheme="majorHAnsi"/>
          <w:sz w:val="20"/>
          <w:szCs w:val="20"/>
          <w:lang w:val="en-US"/>
        </w:rPr>
        <w:t xml:space="preserve">17 </w:t>
      </w:r>
      <w:r w:rsidRPr="005A41E0">
        <w:rPr>
          <w:rFonts w:asciiTheme="majorHAnsi" w:hAnsiTheme="majorHAnsi"/>
          <w:sz w:val="20"/>
          <w:szCs w:val="20"/>
          <w:lang w:val="en-US"/>
        </w:rPr>
        <w:t xml:space="preserve">and </w:t>
      </w:r>
      <w:r w:rsidR="004401BE" w:rsidRPr="005A41E0">
        <w:rPr>
          <w:rFonts w:asciiTheme="majorHAnsi" w:hAnsiTheme="majorHAnsi"/>
          <w:sz w:val="20"/>
          <w:szCs w:val="20"/>
          <w:lang w:val="en-US"/>
        </w:rPr>
        <w:t xml:space="preserve">18 </w:t>
      </w:r>
      <w:r w:rsidRPr="005A41E0">
        <w:rPr>
          <w:rFonts w:asciiTheme="majorHAnsi" w:hAnsiTheme="majorHAnsi"/>
          <w:sz w:val="20"/>
          <w:szCs w:val="20"/>
          <w:lang w:val="en-US"/>
        </w:rPr>
        <w:t xml:space="preserve">the IACHR made a working visit to Paraguay for the purpose of giving impetus to the implementation of friendly settlement agreements signed by different petitioners and the State. The delegation was led by Commissioner </w:t>
      </w:r>
      <w:r w:rsidR="00B725E5" w:rsidRPr="005A41E0">
        <w:rPr>
          <w:rFonts w:asciiTheme="majorHAnsi" w:hAnsiTheme="majorHAnsi"/>
          <w:sz w:val="20"/>
          <w:szCs w:val="20"/>
          <w:lang w:val="en-US"/>
        </w:rPr>
        <w:t xml:space="preserve">Paulo Vannuchi, </w:t>
      </w:r>
      <w:r w:rsidRPr="005A41E0">
        <w:rPr>
          <w:rFonts w:asciiTheme="majorHAnsi" w:hAnsiTheme="majorHAnsi"/>
          <w:sz w:val="20"/>
          <w:szCs w:val="20"/>
          <w:lang w:val="en-US"/>
        </w:rPr>
        <w:t xml:space="preserve">as country rapporteur. Commissioner </w:t>
      </w:r>
      <w:r w:rsidR="002D0827" w:rsidRPr="005A41E0">
        <w:rPr>
          <w:rFonts w:asciiTheme="majorHAnsi" w:hAnsiTheme="majorHAnsi"/>
          <w:sz w:val="20"/>
          <w:szCs w:val="20"/>
          <w:lang w:val="en-US"/>
        </w:rPr>
        <w:t xml:space="preserve">Vannuchi </w:t>
      </w:r>
      <w:r w:rsidRPr="005A41E0">
        <w:rPr>
          <w:rFonts w:asciiTheme="majorHAnsi" w:hAnsiTheme="majorHAnsi"/>
          <w:sz w:val="20"/>
          <w:szCs w:val="20"/>
          <w:lang w:val="en-US"/>
        </w:rPr>
        <w:t xml:space="preserve">held four working meetings to </w:t>
      </w:r>
      <w:r w:rsidR="00741C5E">
        <w:rPr>
          <w:rFonts w:asciiTheme="majorHAnsi" w:hAnsiTheme="majorHAnsi"/>
          <w:sz w:val="20"/>
          <w:szCs w:val="20"/>
          <w:lang w:val="en-US"/>
        </w:rPr>
        <w:t xml:space="preserve">advance </w:t>
      </w:r>
      <w:r w:rsidRPr="005A41E0">
        <w:rPr>
          <w:rFonts w:asciiTheme="majorHAnsi" w:hAnsiTheme="majorHAnsi"/>
          <w:sz w:val="20"/>
          <w:szCs w:val="20"/>
          <w:lang w:val="en-US"/>
        </w:rPr>
        <w:t xml:space="preserve">in efforts </w:t>
      </w:r>
      <w:r w:rsidR="00741C5E">
        <w:rPr>
          <w:rFonts w:asciiTheme="majorHAnsi" w:hAnsiTheme="majorHAnsi"/>
          <w:sz w:val="20"/>
          <w:szCs w:val="20"/>
          <w:lang w:val="en-US"/>
        </w:rPr>
        <w:t xml:space="preserve">to pursue </w:t>
      </w:r>
      <w:r w:rsidRPr="005A41E0">
        <w:rPr>
          <w:rFonts w:asciiTheme="majorHAnsi" w:hAnsiTheme="majorHAnsi"/>
          <w:sz w:val="20"/>
          <w:szCs w:val="20"/>
          <w:lang w:val="en-US"/>
        </w:rPr>
        <w:t>friendly settlement and to follow up on the implementation of friendly settlement agreements.</w:t>
      </w:r>
    </w:p>
    <w:p w:rsidR="00B725E5" w:rsidRPr="005A41E0" w:rsidRDefault="00B725E5" w:rsidP="005A41E0">
      <w:pPr>
        <w:rPr>
          <w:rFonts w:asciiTheme="majorHAnsi" w:hAnsiTheme="majorHAnsi"/>
          <w:sz w:val="20"/>
          <w:szCs w:val="20"/>
          <w:lang w:val="en-US"/>
        </w:rPr>
      </w:pPr>
    </w:p>
    <w:p w:rsidR="00B725E5" w:rsidRPr="005A41E0" w:rsidRDefault="00743E18" w:rsidP="005A41E0">
      <w:pPr>
        <w:numPr>
          <w:ilvl w:val="1"/>
          <w:numId w:val="44"/>
        </w:numPr>
        <w:ind w:left="1440" w:hanging="720"/>
        <w:rPr>
          <w:rFonts w:asciiTheme="majorHAnsi" w:hAnsiTheme="majorHAnsi"/>
          <w:b/>
          <w:sz w:val="20"/>
          <w:szCs w:val="20"/>
          <w:lang w:val="en-US"/>
        </w:rPr>
      </w:pPr>
      <w:r w:rsidRPr="005A41E0">
        <w:rPr>
          <w:rFonts w:asciiTheme="majorHAnsi" w:hAnsiTheme="majorHAnsi"/>
          <w:b/>
          <w:sz w:val="20"/>
          <w:szCs w:val="20"/>
          <w:lang w:val="en-US"/>
        </w:rPr>
        <w:t xml:space="preserve">Working meetings on friendly settlements and follow-up </w:t>
      </w:r>
    </w:p>
    <w:p w:rsidR="00B725E5" w:rsidRPr="005A41E0" w:rsidRDefault="00B725E5" w:rsidP="005A41E0">
      <w:pPr>
        <w:rPr>
          <w:rFonts w:asciiTheme="majorHAnsi" w:hAnsiTheme="majorHAnsi"/>
          <w:sz w:val="20"/>
          <w:szCs w:val="20"/>
          <w:lang w:val="en-US"/>
        </w:rPr>
      </w:pPr>
    </w:p>
    <w:p w:rsidR="00B725E5" w:rsidRPr="005A41E0" w:rsidRDefault="00743E1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w:t>
      </w:r>
      <w:r w:rsidR="00B725E5" w:rsidRPr="005A41E0">
        <w:rPr>
          <w:rFonts w:asciiTheme="majorHAnsi" w:hAnsiTheme="majorHAnsi"/>
          <w:sz w:val="20"/>
          <w:szCs w:val="20"/>
          <w:lang w:val="en-US"/>
        </w:rPr>
        <w:t>2016</w:t>
      </w:r>
      <w:r w:rsidRPr="005A41E0">
        <w:rPr>
          <w:rFonts w:asciiTheme="majorHAnsi" w:hAnsiTheme="majorHAnsi"/>
          <w:sz w:val="20"/>
          <w:szCs w:val="20"/>
          <w:lang w:val="en-US"/>
        </w:rPr>
        <w:t xml:space="preserve">, </w:t>
      </w:r>
      <w:r w:rsidR="00B725E5" w:rsidRPr="005A41E0">
        <w:rPr>
          <w:rFonts w:asciiTheme="majorHAnsi" w:hAnsiTheme="majorHAnsi"/>
          <w:sz w:val="20"/>
          <w:szCs w:val="20"/>
          <w:lang w:val="en-US"/>
        </w:rPr>
        <w:t xml:space="preserve">46 </w:t>
      </w:r>
      <w:r w:rsidRPr="005A41E0">
        <w:rPr>
          <w:rFonts w:asciiTheme="majorHAnsi" w:hAnsiTheme="majorHAnsi"/>
          <w:sz w:val="20"/>
          <w:szCs w:val="20"/>
          <w:lang w:val="en-US"/>
        </w:rPr>
        <w:t xml:space="preserve">working meetings were held on matters in the phase of negotiation and supervision of implementation of agreements and recommendations, and a public hearing on follow-up of the implementation of recommendations made by the IACHR. </w:t>
      </w:r>
    </w:p>
    <w:p w:rsidR="00B725E5" w:rsidRPr="005A41E0" w:rsidRDefault="00B725E5" w:rsidP="005A41E0">
      <w:pPr>
        <w:shd w:val="clear" w:color="auto" w:fill="FFFFFF"/>
        <w:jc w:val="both"/>
        <w:rPr>
          <w:rFonts w:asciiTheme="majorHAnsi" w:hAnsiTheme="majorHAnsi"/>
          <w:sz w:val="20"/>
          <w:szCs w:val="20"/>
          <w:lang w:val="en-US"/>
        </w:rPr>
      </w:pPr>
    </w:p>
    <w:p w:rsidR="00B725E5" w:rsidRPr="005A41E0" w:rsidRDefault="00743E1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the context of the </w:t>
      </w:r>
      <w:r w:rsidR="00B725E5" w:rsidRPr="005A41E0">
        <w:rPr>
          <w:rFonts w:asciiTheme="majorHAnsi" w:hAnsiTheme="majorHAnsi"/>
          <w:sz w:val="20"/>
          <w:szCs w:val="20"/>
          <w:lang w:val="en-US"/>
        </w:rPr>
        <w:t>157</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regular period of session meetings were held in </w:t>
      </w:r>
      <w:r w:rsidR="00B725E5" w:rsidRPr="005A41E0">
        <w:rPr>
          <w:rFonts w:asciiTheme="majorHAnsi" w:hAnsiTheme="majorHAnsi"/>
          <w:sz w:val="20"/>
          <w:szCs w:val="20"/>
          <w:lang w:val="en-US"/>
        </w:rPr>
        <w:t xml:space="preserve">17 </w:t>
      </w:r>
      <w:r w:rsidRPr="005A41E0">
        <w:rPr>
          <w:rFonts w:asciiTheme="majorHAnsi" w:hAnsiTheme="majorHAnsi"/>
          <w:sz w:val="20"/>
          <w:szCs w:val="20"/>
          <w:lang w:val="en-US"/>
        </w:rPr>
        <w:t>matters</w:t>
      </w:r>
      <w:r w:rsidR="00B725E5" w:rsidRPr="005A41E0">
        <w:rPr>
          <w:rFonts w:asciiTheme="majorHAnsi" w:hAnsiTheme="majorHAnsi"/>
          <w:sz w:val="20"/>
          <w:szCs w:val="20"/>
          <w:lang w:val="en-US"/>
        </w:rPr>
        <w:t>: Cas</w:t>
      </w:r>
      <w:r w:rsidRPr="005A41E0">
        <w:rPr>
          <w:rFonts w:asciiTheme="majorHAnsi" w:hAnsiTheme="majorHAnsi"/>
          <w:sz w:val="20"/>
          <w:szCs w:val="20"/>
          <w:lang w:val="en-US"/>
        </w:rPr>
        <w:t>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932, Agapito Perez Lucas </w:t>
      </w:r>
      <w:r w:rsidRPr="005A41E0">
        <w:rPr>
          <w:rFonts w:asciiTheme="majorHAnsi" w:hAnsiTheme="majorHAnsi"/>
          <w:sz w:val="20"/>
          <w:szCs w:val="20"/>
          <w:lang w:val="en-US"/>
        </w:rPr>
        <w:t xml:space="preserve">et al., Guatemala; Case </w:t>
      </w:r>
      <w:r w:rsidR="00B725E5" w:rsidRPr="005A41E0">
        <w:rPr>
          <w:rFonts w:asciiTheme="majorHAnsi" w:hAnsiTheme="majorHAnsi"/>
          <w:sz w:val="20"/>
          <w:szCs w:val="20"/>
          <w:lang w:val="en-US"/>
        </w:rPr>
        <w:t>12</w:t>
      </w:r>
      <w:r w:rsidRPr="005A41E0">
        <w:rPr>
          <w:rFonts w:asciiTheme="majorHAnsi" w:hAnsiTheme="majorHAnsi"/>
          <w:sz w:val="20"/>
          <w:szCs w:val="20"/>
          <w:lang w:val="en-US"/>
        </w:rPr>
        <w:t>,</w:t>
      </w:r>
      <w:r w:rsidR="00B725E5" w:rsidRPr="005A41E0">
        <w:rPr>
          <w:rFonts w:asciiTheme="majorHAnsi" w:hAnsiTheme="majorHAnsi"/>
          <w:sz w:val="20"/>
          <w:szCs w:val="20"/>
          <w:lang w:val="en-US"/>
        </w:rPr>
        <w:t>09</w:t>
      </w:r>
      <w:r w:rsidRPr="005A41E0">
        <w:rPr>
          <w:rFonts w:asciiTheme="majorHAnsi" w:hAnsiTheme="majorHAnsi"/>
          <w:sz w:val="20"/>
          <w:szCs w:val="20"/>
          <w:lang w:val="en-US"/>
        </w:rPr>
        <w:t>4, Lhaka Honhat, Argentina;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191, M</w:t>
      </w:r>
      <w:r w:rsidRPr="005A41E0">
        <w:rPr>
          <w:rFonts w:asciiTheme="majorHAnsi" w:hAnsiTheme="majorHAnsi"/>
          <w:sz w:val="20"/>
          <w:szCs w:val="20"/>
          <w:lang w:val="en-US"/>
        </w:rPr>
        <w:t>amérita Mestanza and family members, Peru;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130, </w:t>
      </w:r>
      <w:r w:rsidRPr="005A41E0">
        <w:rPr>
          <w:rFonts w:asciiTheme="majorHAnsi" w:hAnsiTheme="majorHAnsi"/>
          <w:sz w:val="20"/>
          <w:szCs w:val="20"/>
          <w:lang w:val="en-US"/>
        </w:rPr>
        <w:t>Miguel Orlando Muñoz Guzmán, Mexico; Case</w:t>
      </w:r>
      <w:r w:rsidR="00B725E5" w:rsidRPr="005A41E0">
        <w:rPr>
          <w:rFonts w:asciiTheme="majorHAnsi" w:hAnsiTheme="majorHAnsi"/>
          <w:sz w:val="20"/>
          <w:szCs w:val="20"/>
          <w:lang w:val="en-US"/>
        </w:rPr>
        <w:t xml:space="preserve"> 11</w:t>
      </w:r>
      <w:r w:rsidRPr="005A41E0">
        <w:rPr>
          <w:rFonts w:asciiTheme="majorHAnsi" w:hAnsiTheme="majorHAnsi"/>
          <w:sz w:val="20"/>
          <w:szCs w:val="20"/>
          <w:lang w:val="en-US"/>
        </w:rPr>
        <w:t>,545, Marta Saire, Honduras;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528, R</w:t>
      </w:r>
      <w:r w:rsidRPr="005A41E0">
        <w:rPr>
          <w:rFonts w:asciiTheme="majorHAnsi" w:hAnsiTheme="majorHAnsi"/>
          <w:sz w:val="20"/>
          <w:szCs w:val="20"/>
          <w:lang w:val="en-US"/>
        </w:rPr>
        <w:t>aúl García Linera, Bolivia; Case</w:t>
      </w:r>
      <w:r w:rsidR="00B725E5" w:rsidRPr="005A41E0">
        <w:rPr>
          <w:rFonts w:asciiTheme="majorHAnsi" w:hAnsiTheme="majorHAnsi"/>
          <w:sz w:val="20"/>
          <w:szCs w:val="20"/>
          <w:lang w:val="en-US"/>
        </w:rPr>
        <w:t xml:space="preserve"> 11</w:t>
      </w:r>
      <w:r w:rsidRPr="005A41E0">
        <w:rPr>
          <w:rFonts w:asciiTheme="majorHAnsi" w:hAnsiTheme="majorHAnsi"/>
          <w:sz w:val="20"/>
          <w:szCs w:val="20"/>
          <w:lang w:val="en-US"/>
        </w:rPr>
        <w:t>,</w:t>
      </w:r>
      <w:r w:rsidR="00B725E5" w:rsidRPr="005A41E0">
        <w:rPr>
          <w:rFonts w:asciiTheme="majorHAnsi" w:hAnsiTheme="majorHAnsi"/>
          <w:sz w:val="20"/>
          <w:szCs w:val="20"/>
          <w:lang w:val="en-US"/>
        </w:rPr>
        <w:t>426, Marcela A</w:t>
      </w:r>
      <w:r w:rsidRPr="005A41E0">
        <w:rPr>
          <w:rFonts w:asciiTheme="majorHAnsi" w:hAnsiTheme="majorHAnsi"/>
          <w:sz w:val="20"/>
          <w:szCs w:val="20"/>
          <w:lang w:val="en-US"/>
        </w:rPr>
        <w:t>lejandra Porco, Bolivia; Petitio</w:t>
      </w:r>
      <w:r w:rsidR="00B725E5" w:rsidRPr="005A41E0">
        <w:rPr>
          <w:rFonts w:asciiTheme="majorHAnsi" w:hAnsiTheme="majorHAnsi"/>
          <w:sz w:val="20"/>
          <w:szCs w:val="20"/>
          <w:lang w:val="en-US"/>
        </w:rPr>
        <w:t>n 1186/09, Adela Villamil Vda. de Flo</w:t>
      </w:r>
      <w:r w:rsidRPr="005A41E0">
        <w:rPr>
          <w:rFonts w:asciiTheme="majorHAnsi" w:hAnsiTheme="majorHAnsi"/>
          <w:sz w:val="20"/>
          <w:szCs w:val="20"/>
          <w:lang w:val="en-US"/>
        </w:rPr>
        <w:t>res Bedregal, Bolivia; Case</w:t>
      </w:r>
      <w:r w:rsidR="00B725E5" w:rsidRPr="005A41E0">
        <w:rPr>
          <w:rFonts w:asciiTheme="majorHAnsi" w:hAnsiTheme="majorHAnsi"/>
          <w:sz w:val="20"/>
          <w:szCs w:val="20"/>
          <w:lang w:val="en-US"/>
        </w:rPr>
        <w:t xml:space="preserve"> 11</w:t>
      </w:r>
      <w:r w:rsidRPr="005A41E0">
        <w:rPr>
          <w:rFonts w:asciiTheme="majorHAnsi" w:hAnsiTheme="majorHAnsi"/>
          <w:sz w:val="20"/>
          <w:szCs w:val="20"/>
          <w:lang w:val="en-US"/>
        </w:rPr>
        <w:t>,</w:t>
      </w:r>
      <w:r w:rsidR="00B725E5" w:rsidRPr="005A41E0">
        <w:rPr>
          <w:rFonts w:asciiTheme="majorHAnsi" w:hAnsiTheme="majorHAnsi"/>
          <w:sz w:val="20"/>
          <w:szCs w:val="20"/>
          <w:lang w:val="en-US"/>
        </w:rPr>
        <w:t>007, Trujillo</w:t>
      </w:r>
      <w:r w:rsidRPr="005A41E0">
        <w:rPr>
          <w:rFonts w:asciiTheme="majorHAnsi" w:hAnsiTheme="majorHAnsi"/>
          <w:sz w:val="20"/>
          <w:szCs w:val="20"/>
          <w:lang w:val="en-US"/>
        </w:rPr>
        <w:t xml:space="preserve"> Massacre, Colombia;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,713, José Rusbel Lara, Colombia; Case 11,</w:t>
      </w:r>
      <w:r w:rsidR="00B725E5" w:rsidRPr="005A41E0">
        <w:rPr>
          <w:rFonts w:asciiTheme="majorHAnsi" w:hAnsiTheme="majorHAnsi"/>
          <w:sz w:val="20"/>
          <w:szCs w:val="20"/>
          <w:lang w:val="en-US"/>
        </w:rPr>
        <w:t>607, Ví</w:t>
      </w:r>
      <w:r w:rsidRPr="005A41E0">
        <w:rPr>
          <w:rFonts w:asciiTheme="majorHAnsi" w:hAnsiTheme="majorHAnsi"/>
          <w:sz w:val="20"/>
          <w:szCs w:val="20"/>
          <w:lang w:val="en-US"/>
        </w:rPr>
        <w:t>ctor Hugo Maciel, Paraguay;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249, Jorge Odir M</w:t>
      </w:r>
      <w:r w:rsidRPr="005A41E0">
        <w:rPr>
          <w:rFonts w:asciiTheme="majorHAnsi" w:hAnsiTheme="majorHAnsi"/>
          <w:sz w:val="20"/>
          <w:szCs w:val="20"/>
          <w:lang w:val="en-US"/>
        </w:rPr>
        <w:t>iranda Cortez, El Salvador; Case</w:t>
      </w:r>
      <w:r w:rsidR="00B725E5" w:rsidRPr="005A41E0">
        <w:rPr>
          <w:rFonts w:asciiTheme="majorHAnsi" w:hAnsiTheme="majorHAnsi"/>
          <w:sz w:val="20"/>
          <w:szCs w:val="20"/>
          <w:lang w:val="en-US"/>
        </w:rPr>
        <w:t xml:space="preserve"> 10</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488, Ignacio Ellacuría </w:t>
      </w:r>
      <w:r w:rsidRPr="005A41E0">
        <w:rPr>
          <w:rFonts w:asciiTheme="majorHAnsi" w:hAnsiTheme="majorHAnsi"/>
          <w:sz w:val="20"/>
          <w:szCs w:val="20"/>
          <w:lang w:val="en-US"/>
        </w:rPr>
        <w:t>et al.</w:t>
      </w:r>
      <w:r w:rsidR="00B725E5" w:rsidRPr="005A41E0">
        <w:rPr>
          <w:rFonts w:asciiTheme="majorHAnsi" w:hAnsiTheme="majorHAnsi"/>
          <w:sz w:val="20"/>
          <w:szCs w:val="20"/>
          <w:lang w:val="en-US"/>
        </w:rPr>
        <w:t>, El Salvador;</w:t>
      </w:r>
      <w:r w:rsidRPr="005A41E0">
        <w:rPr>
          <w:rFonts w:asciiTheme="majorHAnsi" w:hAnsiTheme="majorHAnsi"/>
          <w:sz w:val="20"/>
          <w:szCs w:val="20"/>
          <w:lang w:val="en-US"/>
        </w:rPr>
        <w:t xml:space="preserve">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330, Marcelino G</w:t>
      </w:r>
      <w:r w:rsidRPr="005A41E0">
        <w:rPr>
          <w:rFonts w:asciiTheme="majorHAnsi" w:hAnsiTheme="majorHAnsi"/>
          <w:sz w:val="20"/>
          <w:szCs w:val="20"/>
          <w:lang w:val="en-US"/>
        </w:rPr>
        <w:t>ómez Paredes, Paraguay; Case 12,</w:t>
      </w:r>
      <w:r w:rsidR="00B725E5" w:rsidRPr="005A41E0">
        <w:rPr>
          <w:rFonts w:asciiTheme="majorHAnsi" w:hAnsiTheme="majorHAnsi"/>
          <w:sz w:val="20"/>
          <w:szCs w:val="20"/>
          <w:lang w:val="en-US"/>
        </w:rPr>
        <w:t>541, Omar Zúñiga Vas</w:t>
      </w:r>
      <w:r w:rsidRPr="005A41E0">
        <w:rPr>
          <w:rFonts w:asciiTheme="majorHAnsi" w:hAnsiTheme="majorHAnsi"/>
          <w:sz w:val="20"/>
          <w:szCs w:val="20"/>
          <w:lang w:val="en-US"/>
        </w:rPr>
        <w:t>quez and one other, Colombia; Case 10,</w:t>
      </w:r>
      <w:r w:rsidR="00B725E5" w:rsidRPr="005A41E0">
        <w:rPr>
          <w:rFonts w:asciiTheme="majorHAnsi" w:hAnsiTheme="majorHAnsi"/>
          <w:sz w:val="20"/>
          <w:szCs w:val="20"/>
          <w:lang w:val="en-US"/>
        </w:rPr>
        <w:t xml:space="preserve">455, Valentín Bastos Calderón, Colombia; </w:t>
      </w:r>
      <w:r w:rsidRPr="005A41E0">
        <w:rPr>
          <w:rFonts w:asciiTheme="majorHAnsi" w:hAnsiTheme="majorHAnsi"/>
          <w:sz w:val="20"/>
          <w:szCs w:val="20"/>
          <w:lang w:val="en-US"/>
        </w:rPr>
        <w:t>and, Petition</w:t>
      </w:r>
      <w:r w:rsidR="00B725E5" w:rsidRPr="005A41E0">
        <w:rPr>
          <w:rFonts w:asciiTheme="majorHAnsi" w:hAnsiTheme="majorHAnsi"/>
          <w:sz w:val="20"/>
          <w:szCs w:val="20"/>
          <w:lang w:val="en-US"/>
        </w:rPr>
        <w:t xml:space="preserve">s 1159-08 A.N. </w:t>
      </w:r>
      <w:r w:rsidRPr="005A41E0">
        <w:rPr>
          <w:rFonts w:asciiTheme="majorHAnsi" w:hAnsiTheme="majorHAnsi"/>
          <w:sz w:val="20"/>
          <w:szCs w:val="20"/>
          <w:lang w:val="en-US"/>
        </w:rPr>
        <w:t>and</w:t>
      </w:r>
      <w:r w:rsidR="00B725E5" w:rsidRPr="005A41E0">
        <w:rPr>
          <w:rFonts w:asciiTheme="majorHAnsi" w:hAnsiTheme="majorHAnsi"/>
          <w:sz w:val="20"/>
          <w:szCs w:val="20"/>
          <w:lang w:val="en-US"/>
        </w:rPr>
        <w:t xml:space="preserve"> 1377-13 Aurora, Costa Rica. </w:t>
      </w:r>
    </w:p>
    <w:p w:rsidR="00B725E5" w:rsidRPr="005A41E0" w:rsidRDefault="00B725E5" w:rsidP="005A41E0">
      <w:pPr>
        <w:pStyle w:val="ListParagraph"/>
        <w:shd w:val="clear" w:color="auto" w:fill="FFFFFF"/>
        <w:ind w:left="720"/>
        <w:jc w:val="both"/>
        <w:rPr>
          <w:rFonts w:asciiTheme="majorHAnsi" w:hAnsiTheme="majorHAnsi"/>
          <w:sz w:val="20"/>
          <w:szCs w:val="20"/>
          <w:lang w:val="en-US"/>
        </w:rPr>
      </w:pPr>
    </w:p>
    <w:p w:rsidR="00B725E5" w:rsidRPr="005A41E0" w:rsidRDefault="00B4576D" w:rsidP="007954EC">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addition, in the context of the </w:t>
      </w:r>
      <w:r w:rsidR="00B725E5" w:rsidRPr="005A41E0">
        <w:rPr>
          <w:rFonts w:asciiTheme="majorHAnsi" w:hAnsiTheme="majorHAnsi"/>
          <w:sz w:val="20"/>
          <w:szCs w:val="20"/>
          <w:lang w:val="en-US"/>
        </w:rPr>
        <w:t>158</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regular period of sessions </w:t>
      </w:r>
      <w:r w:rsidR="00B725E5" w:rsidRPr="005A41E0">
        <w:rPr>
          <w:rFonts w:asciiTheme="majorHAnsi" w:hAnsiTheme="majorHAnsi"/>
          <w:sz w:val="20"/>
          <w:szCs w:val="20"/>
          <w:lang w:val="en-US"/>
        </w:rPr>
        <w:t xml:space="preserve">Chile, </w:t>
      </w:r>
      <w:r w:rsidRPr="005A41E0">
        <w:rPr>
          <w:rFonts w:asciiTheme="majorHAnsi" w:hAnsiTheme="majorHAnsi"/>
          <w:sz w:val="20"/>
          <w:szCs w:val="20"/>
          <w:lang w:val="en-US"/>
        </w:rPr>
        <w:t>working meetings were held in four matters regarding Chile: Petition 946-12 César Antonio Peralta Wetzel;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904 </w:t>
      </w:r>
      <w:r w:rsidRPr="005A41E0">
        <w:rPr>
          <w:rFonts w:asciiTheme="majorHAnsi" w:hAnsiTheme="majorHAnsi"/>
          <w:sz w:val="20"/>
          <w:szCs w:val="20"/>
          <w:lang w:val="en-US"/>
        </w:rPr>
        <w:t xml:space="preserve">Indigenous Community of </w:t>
      </w:r>
      <w:r w:rsidR="00B725E5" w:rsidRPr="005A41E0">
        <w:rPr>
          <w:rFonts w:asciiTheme="majorHAnsi" w:hAnsiTheme="majorHAnsi"/>
          <w:sz w:val="20"/>
          <w:szCs w:val="20"/>
          <w:lang w:val="en-US"/>
        </w:rPr>
        <w:t>Chusmiza Us</w:t>
      </w:r>
      <w:r w:rsidR="004401BE" w:rsidRPr="005A41E0">
        <w:rPr>
          <w:rFonts w:asciiTheme="majorHAnsi" w:hAnsiTheme="majorHAnsi"/>
          <w:sz w:val="20"/>
          <w:szCs w:val="20"/>
          <w:lang w:val="en-US"/>
        </w:rPr>
        <w:t>m</w:t>
      </w:r>
      <w:r w:rsidRPr="005A41E0">
        <w:rPr>
          <w:rFonts w:asciiTheme="majorHAnsi" w:hAnsiTheme="majorHAnsi"/>
          <w:sz w:val="20"/>
          <w:szCs w:val="20"/>
          <w:lang w:val="en-US"/>
        </w:rPr>
        <w:t>agama; Petition</w:t>
      </w:r>
      <w:r w:rsidR="00B725E5" w:rsidRPr="005A41E0">
        <w:rPr>
          <w:rFonts w:asciiTheme="majorHAnsi" w:hAnsiTheme="majorHAnsi"/>
          <w:sz w:val="20"/>
          <w:szCs w:val="20"/>
          <w:lang w:val="en-US"/>
        </w:rPr>
        <w:t xml:space="preserve"> 687-11 Gabriela Blas </w:t>
      </w:r>
      <w:r w:rsidRPr="005A41E0">
        <w:rPr>
          <w:rFonts w:asciiTheme="majorHAnsi" w:hAnsiTheme="majorHAnsi"/>
          <w:sz w:val="20"/>
          <w:szCs w:val="20"/>
          <w:lang w:val="en-US"/>
        </w:rPr>
        <w:t xml:space="preserve">and </w:t>
      </w:r>
      <w:r w:rsidR="00B725E5" w:rsidRPr="005A41E0">
        <w:rPr>
          <w:rFonts w:asciiTheme="majorHAnsi" w:hAnsiTheme="majorHAnsi"/>
          <w:sz w:val="20"/>
          <w:szCs w:val="20"/>
          <w:lang w:val="en-US"/>
        </w:rPr>
        <w:t xml:space="preserve">C.B.B.; </w:t>
      </w:r>
      <w:r w:rsidRPr="005A41E0">
        <w:rPr>
          <w:rFonts w:asciiTheme="majorHAnsi" w:hAnsiTheme="majorHAnsi"/>
          <w:sz w:val="20"/>
          <w:szCs w:val="20"/>
          <w:lang w:val="en-US"/>
        </w:rPr>
        <w:t>and,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799 Miguel Ángel Millar. </w:t>
      </w:r>
    </w:p>
    <w:p w:rsidR="00B725E5" w:rsidRPr="005A41E0" w:rsidRDefault="00B725E5" w:rsidP="005A41E0">
      <w:pPr>
        <w:pStyle w:val="ListParagraph"/>
        <w:shd w:val="clear" w:color="auto" w:fill="FFFFFF"/>
        <w:ind w:left="720"/>
        <w:jc w:val="both"/>
        <w:rPr>
          <w:rFonts w:asciiTheme="majorHAnsi" w:hAnsiTheme="majorHAnsi"/>
          <w:sz w:val="20"/>
          <w:szCs w:val="20"/>
          <w:lang w:val="en-US"/>
        </w:rPr>
      </w:pPr>
    </w:p>
    <w:p w:rsidR="00B725E5" w:rsidRPr="005A41E0" w:rsidRDefault="00B4576D"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August </w:t>
      </w:r>
      <w:r w:rsidR="00B725E5"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in the context of the visit by Commissioner </w:t>
      </w:r>
      <w:r w:rsidR="00B725E5" w:rsidRPr="005A41E0">
        <w:rPr>
          <w:rFonts w:asciiTheme="majorHAnsi" w:hAnsiTheme="majorHAnsi"/>
          <w:sz w:val="20"/>
          <w:szCs w:val="20"/>
          <w:lang w:val="en-US"/>
        </w:rPr>
        <w:t xml:space="preserve">Paulo Vannuchi </w:t>
      </w:r>
      <w:r w:rsidRPr="005A41E0">
        <w:rPr>
          <w:rFonts w:asciiTheme="majorHAnsi" w:hAnsiTheme="majorHAnsi"/>
          <w:sz w:val="20"/>
          <w:szCs w:val="20"/>
          <w:lang w:val="en-US"/>
        </w:rPr>
        <w:t xml:space="preserve">to </w:t>
      </w:r>
      <w:r w:rsidR="00B725E5" w:rsidRPr="005A41E0">
        <w:rPr>
          <w:rFonts w:asciiTheme="majorHAnsi" w:hAnsiTheme="majorHAnsi"/>
          <w:sz w:val="20"/>
          <w:szCs w:val="20"/>
          <w:lang w:val="en-US"/>
        </w:rPr>
        <w:t xml:space="preserve">Paraguay </w:t>
      </w:r>
      <w:r w:rsidRPr="005A41E0">
        <w:rPr>
          <w:rFonts w:asciiTheme="majorHAnsi" w:hAnsiTheme="majorHAnsi"/>
          <w:sz w:val="20"/>
          <w:szCs w:val="20"/>
          <w:lang w:val="en-US"/>
        </w:rPr>
        <w:t>working meetings were held in the following four matters: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358 Oct</w:t>
      </w:r>
      <w:r w:rsidRPr="005A41E0">
        <w:rPr>
          <w:rFonts w:asciiTheme="majorHAnsi" w:hAnsiTheme="majorHAnsi"/>
          <w:sz w:val="20"/>
          <w:szCs w:val="20"/>
          <w:lang w:val="en-US"/>
        </w:rPr>
        <w:t>avio Rubén Gonzalez Acosta;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374 Jorge Enrique Patiño Pal</w:t>
      </w:r>
      <w:r w:rsidRPr="005A41E0">
        <w:rPr>
          <w:rFonts w:asciiTheme="majorHAnsi" w:hAnsiTheme="majorHAnsi"/>
          <w:sz w:val="20"/>
          <w:szCs w:val="20"/>
          <w:lang w:val="en-US"/>
        </w:rPr>
        <w:t xml:space="preserve">acios; Case </w:t>
      </w:r>
      <w:r w:rsidR="00B725E5" w:rsidRPr="005A41E0">
        <w:rPr>
          <w:rFonts w:asciiTheme="majorHAnsi" w:hAnsiTheme="majorHAnsi"/>
          <w:sz w:val="20"/>
          <w:szCs w:val="20"/>
          <w:lang w:val="en-US"/>
        </w:rPr>
        <w:t xml:space="preserve">12.359 Cristina Aguayo </w:t>
      </w:r>
      <w:r w:rsidRPr="005A41E0">
        <w:rPr>
          <w:rFonts w:asciiTheme="majorHAnsi" w:hAnsiTheme="majorHAnsi"/>
          <w:sz w:val="20"/>
          <w:szCs w:val="20"/>
          <w:lang w:val="en-US"/>
        </w:rPr>
        <w:t xml:space="preserve">et al.; and Case </w:t>
      </w:r>
      <w:r w:rsidR="00B725E5" w:rsidRPr="005A41E0">
        <w:rPr>
          <w:rFonts w:asciiTheme="majorHAnsi" w:hAnsiTheme="majorHAnsi"/>
          <w:sz w:val="20"/>
          <w:szCs w:val="20"/>
          <w:lang w:val="en-US"/>
        </w:rPr>
        <w:t>12</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330 Marcelino Gomez Paredes. </w:t>
      </w:r>
    </w:p>
    <w:p w:rsidR="00B725E5" w:rsidRPr="005A41E0" w:rsidRDefault="00B725E5" w:rsidP="005A41E0">
      <w:pPr>
        <w:pStyle w:val="ListParagraph"/>
        <w:shd w:val="clear" w:color="auto" w:fill="FFFFFF"/>
        <w:ind w:left="720"/>
        <w:jc w:val="both"/>
        <w:rPr>
          <w:rFonts w:asciiTheme="majorHAnsi" w:hAnsiTheme="majorHAnsi"/>
          <w:sz w:val="20"/>
          <w:szCs w:val="20"/>
          <w:lang w:val="en-US"/>
        </w:rPr>
      </w:pPr>
    </w:p>
    <w:p w:rsidR="00B725E5" w:rsidRPr="005A41E0" w:rsidRDefault="00B4576D" w:rsidP="007954EC">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During the 159</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regular period of sessions in Panama</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working meetings were held in 21 matters, and one public hearing for follow-up on recommendations. On December </w:t>
      </w:r>
      <w:r w:rsidR="00B725E5" w:rsidRPr="005A41E0">
        <w:rPr>
          <w:rFonts w:asciiTheme="majorHAnsi" w:hAnsiTheme="majorHAnsi"/>
          <w:sz w:val="20"/>
          <w:szCs w:val="20"/>
          <w:lang w:val="en-US"/>
        </w:rPr>
        <w:t>2</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2016, </w:t>
      </w:r>
      <w:r w:rsidRPr="005A41E0">
        <w:rPr>
          <w:rFonts w:asciiTheme="majorHAnsi" w:hAnsiTheme="majorHAnsi"/>
          <w:sz w:val="20"/>
          <w:szCs w:val="20"/>
          <w:lang w:val="en-US"/>
        </w:rPr>
        <w:t xml:space="preserve">the IACHR held eight working meetings in the following matters: </w:t>
      </w:r>
      <w:r w:rsidR="00B725E5" w:rsidRPr="005A41E0">
        <w:rPr>
          <w:rFonts w:asciiTheme="majorHAnsi" w:hAnsiTheme="majorHAnsi"/>
          <w:sz w:val="20"/>
          <w:szCs w:val="20"/>
          <w:lang w:val="en-US"/>
        </w:rPr>
        <w:t>P-850-15, Ayoreo</w:t>
      </w:r>
      <w:r w:rsidRPr="005A41E0">
        <w:rPr>
          <w:rFonts w:asciiTheme="majorHAnsi" w:hAnsiTheme="majorHAnsi"/>
          <w:sz w:val="20"/>
          <w:szCs w:val="20"/>
          <w:lang w:val="en-US"/>
        </w:rPr>
        <w:t xml:space="preserve"> People, Paraguay;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191, Marí</w:t>
      </w:r>
      <w:r w:rsidRPr="005A41E0">
        <w:rPr>
          <w:rFonts w:asciiTheme="majorHAnsi" w:hAnsiTheme="majorHAnsi"/>
          <w:sz w:val="20"/>
          <w:szCs w:val="20"/>
          <w:lang w:val="en-US"/>
        </w:rPr>
        <w:t>a Mamérita Mestanza Chávez, Peru;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 xml:space="preserve">,905, Pablo Rafael Galván and one other, P-118-12 Isabel Guzmán, </w:t>
      </w:r>
      <w:r w:rsidRPr="005A41E0">
        <w:rPr>
          <w:rFonts w:asciiTheme="majorHAnsi" w:hAnsiTheme="majorHAnsi"/>
          <w:sz w:val="20"/>
          <w:szCs w:val="20"/>
          <w:lang w:val="en-US"/>
        </w:rPr>
        <w:lastRenderedPageBreak/>
        <w:t>and Case</w:t>
      </w:r>
      <w:r w:rsidR="00B725E5" w:rsidRPr="005A41E0">
        <w:rPr>
          <w:rFonts w:asciiTheme="majorHAnsi" w:hAnsiTheme="majorHAnsi"/>
          <w:sz w:val="20"/>
          <w:szCs w:val="20"/>
          <w:lang w:val="en-US"/>
        </w:rPr>
        <w:t xml:space="preserve"> 13</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011, Graciela Ramos Rocha, </w:t>
      </w:r>
      <w:r w:rsidRPr="005A41E0">
        <w:rPr>
          <w:rFonts w:asciiTheme="majorHAnsi" w:hAnsiTheme="majorHAnsi"/>
          <w:sz w:val="20"/>
          <w:szCs w:val="20"/>
          <w:lang w:val="en-US"/>
        </w:rPr>
        <w:t xml:space="preserve">all from </w:t>
      </w:r>
      <w:r w:rsidR="00B725E5" w:rsidRPr="005A41E0">
        <w:rPr>
          <w:rFonts w:asciiTheme="majorHAnsi" w:hAnsiTheme="majorHAnsi"/>
          <w:sz w:val="20"/>
          <w:szCs w:val="20"/>
          <w:lang w:val="en-US"/>
        </w:rPr>
        <w:t xml:space="preserve">Argentina; P-1159-08 </w:t>
      </w:r>
      <w:r w:rsidRPr="005A41E0">
        <w:rPr>
          <w:rFonts w:asciiTheme="majorHAnsi" w:hAnsiTheme="majorHAnsi"/>
          <w:sz w:val="20"/>
          <w:szCs w:val="20"/>
          <w:lang w:val="en-US"/>
        </w:rPr>
        <w:t>and P-</w:t>
      </w:r>
      <w:r w:rsidR="00B725E5" w:rsidRPr="005A41E0">
        <w:rPr>
          <w:rFonts w:asciiTheme="majorHAnsi" w:hAnsiTheme="majorHAnsi"/>
          <w:sz w:val="20"/>
          <w:szCs w:val="20"/>
          <w:lang w:val="en-US"/>
        </w:rPr>
        <w:t>1377-13 A</w:t>
      </w:r>
      <w:r w:rsidR="007954EC">
        <w:rPr>
          <w:rFonts w:asciiTheme="majorHAnsi" w:hAnsiTheme="majorHAnsi"/>
          <w:sz w:val="20"/>
          <w:szCs w:val="20"/>
          <w:lang w:val="en-US"/>
        </w:rPr>
        <w:t>.</w:t>
      </w:r>
      <w:r w:rsidR="00B725E5" w:rsidRPr="005A41E0">
        <w:rPr>
          <w:rFonts w:asciiTheme="majorHAnsi" w:hAnsiTheme="majorHAnsi"/>
          <w:sz w:val="20"/>
          <w:szCs w:val="20"/>
          <w:lang w:val="en-US"/>
        </w:rPr>
        <w:t>N</w:t>
      </w:r>
      <w:r w:rsidR="007954EC">
        <w:rPr>
          <w:rFonts w:asciiTheme="majorHAnsi" w:hAnsiTheme="majorHAnsi"/>
          <w:sz w:val="20"/>
          <w:szCs w:val="20"/>
          <w:lang w:val="en-US"/>
        </w:rPr>
        <w:t>.</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w:t>
      </w:r>
      <w:r w:rsidR="00B725E5" w:rsidRPr="005A41E0">
        <w:rPr>
          <w:rFonts w:asciiTheme="majorHAnsi" w:hAnsiTheme="majorHAnsi"/>
          <w:sz w:val="20"/>
          <w:szCs w:val="20"/>
          <w:lang w:val="en-US"/>
        </w:rPr>
        <w:t xml:space="preserve">Aurora </w:t>
      </w:r>
      <w:r w:rsidRPr="005A41E0">
        <w:rPr>
          <w:rFonts w:asciiTheme="majorHAnsi" w:hAnsiTheme="majorHAnsi"/>
          <w:sz w:val="20"/>
          <w:szCs w:val="20"/>
          <w:lang w:val="en-US"/>
        </w:rPr>
        <w:t>and Case 12,</w:t>
      </w:r>
      <w:r w:rsidR="00B725E5" w:rsidRPr="005A41E0">
        <w:rPr>
          <w:rFonts w:asciiTheme="majorHAnsi" w:hAnsiTheme="majorHAnsi"/>
          <w:sz w:val="20"/>
          <w:szCs w:val="20"/>
          <w:lang w:val="en-US"/>
        </w:rPr>
        <w:t>942 Emilia Morales Campos</w:t>
      </w:r>
      <w:r w:rsidRPr="005A41E0">
        <w:rPr>
          <w:rFonts w:asciiTheme="majorHAnsi" w:hAnsiTheme="majorHAnsi"/>
          <w:sz w:val="20"/>
          <w:szCs w:val="20"/>
          <w:lang w:val="en-US"/>
        </w:rPr>
        <w:t xml:space="preserve">, both matters from </w:t>
      </w:r>
      <w:r w:rsidR="00B725E5" w:rsidRPr="005A41E0">
        <w:rPr>
          <w:rFonts w:asciiTheme="majorHAnsi" w:hAnsiTheme="majorHAnsi"/>
          <w:sz w:val="20"/>
          <w:szCs w:val="20"/>
          <w:lang w:val="en-US"/>
        </w:rPr>
        <w:t xml:space="preserve">Costa Rica; </w:t>
      </w:r>
      <w:r w:rsidRPr="005A41E0">
        <w:rPr>
          <w:rFonts w:asciiTheme="majorHAnsi" w:hAnsiTheme="majorHAnsi"/>
          <w:sz w:val="20"/>
          <w:szCs w:val="20"/>
          <w:lang w:val="en-US"/>
        </w:rPr>
        <w:t xml:space="preserve">and Case </w:t>
      </w:r>
      <w:r w:rsidR="00B725E5" w:rsidRPr="005A41E0">
        <w:rPr>
          <w:rFonts w:asciiTheme="majorHAnsi" w:hAnsiTheme="majorHAnsi"/>
          <w:sz w:val="20"/>
          <w:szCs w:val="20"/>
          <w:lang w:val="en-US"/>
        </w:rPr>
        <w:t>12</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789, Heriberto Chica </w:t>
      </w:r>
      <w:r w:rsidRPr="005A41E0">
        <w:rPr>
          <w:rFonts w:asciiTheme="majorHAnsi" w:hAnsiTheme="majorHAnsi"/>
          <w:sz w:val="20"/>
          <w:szCs w:val="20"/>
          <w:lang w:val="en-US"/>
        </w:rPr>
        <w:t xml:space="preserve">and one other, from </w:t>
      </w:r>
      <w:r w:rsidR="00B725E5" w:rsidRPr="005A41E0">
        <w:rPr>
          <w:rFonts w:asciiTheme="majorHAnsi" w:hAnsiTheme="majorHAnsi"/>
          <w:sz w:val="20"/>
          <w:szCs w:val="20"/>
          <w:lang w:val="en-US"/>
        </w:rPr>
        <w:t xml:space="preserve">Honduras. </w:t>
      </w:r>
      <w:r w:rsidRPr="005A41E0">
        <w:rPr>
          <w:rFonts w:asciiTheme="majorHAnsi" w:hAnsiTheme="majorHAnsi"/>
          <w:sz w:val="20"/>
          <w:szCs w:val="20"/>
          <w:lang w:val="en-US"/>
        </w:rPr>
        <w:t>In addition, on Monday, December 5,</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IACHR facilitated </w:t>
      </w:r>
      <w:r w:rsidR="00B725E5" w:rsidRPr="005A41E0">
        <w:rPr>
          <w:rFonts w:asciiTheme="majorHAnsi" w:hAnsiTheme="majorHAnsi"/>
          <w:sz w:val="20"/>
          <w:szCs w:val="20"/>
          <w:lang w:val="en-US"/>
        </w:rPr>
        <w:t xml:space="preserve">11 </w:t>
      </w:r>
      <w:r w:rsidRPr="005A41E0">
        <w:rPr>
          <w:rFonts w:asciiTheme="majorHAnsi" w:hAnsiTheme="majorHAnsi"/>
          <w:sz w:val="20"/>
          <w:szCs w:val="20"/>
          <w:lang w:val="en-US"/>
        </w:rPr>
        <w:t>working meetings in the following</w:t>
      </w:r>
      <w:r w:rsidR="007954EC">
        <w:rPr>
          <w:rFonts w:asciiTheme="majorHAnsi" w:hAnsiTheme="majorHAnsi"/>
          <w:sz w:val="20"/>
          <w:szCs w:val="20"/>
          <w:lang w:val="en-US"/>
        </w:rPr>
        <w:t xml:space="preserve"> matters: Case 12,376, Alba Luc</w:t>
      </w:r>
      <w:r w:rsidR="007954EC" w:rsidRPr="000643A5">
        <w:rPr>
          <w:rFonts w:asciiTheme="majorHAnsi" w:hAnsiTheme="majorHAnsi"/>
          <w:sz w:val="20"/>
          <w:szCs w:val="20"/>
          <w:lang w:val="en-US"/>
        </w:rPr>
        <w:t>í</w:t>
      </w:r>
      <w:r w:rsidRPr="005A41E0">
        <w:rPr>
          <w:rFonts w:asciiTheme="majorHAnsi" w:hAnsiTheme="majorHAnsi"/>
          <w:sz w:val="20"/>
          <w:szCs w:val="20"/>
          <w:lang w:val="en-US"/>
        </w:rPr>
        <w:t>a Rodríguez, Case</w:t>
      </w:r>
      <w:r w:rsidR="00B725E5" w:rsidRPr="005A41E0">
        <w:rPr>
          <w:rFonts w:asciiTheme="majorHAnsi" w:hAnsiTheme="majorHAnsi"/>
          <w:sz w:val="20"/>
          <w:szCs w:val="20"/>
          <w:lang w:val="en-US"/>
        </w:rPr>
        <w:t xml:space="preserve"> 10</w:t>
      </w:r>
      <w:r w:rsidRPr="005A41E0">
        <w:rPr>
          <w:rFonts w:asciiTheme="majorHAnsi" w:hAnsiTheme="majorHAnsi"/>
          <w:sz w:val="20"/>
          <w:szCs w:val="20"/>
          <w:lang w:val="en-US"/>
        </w:rPr>
        <w:t>,916, James Zapata, Case</w:t>
      </w:r>
      <w:r w:rsidR="00B725E5" w:rsidRPr="005A41E0">
        <w:rPr>
          <w:rFonts w:asciiTheme="majorHAnsi" w:hAnsiTheme="majorHAnsi"/>
          <w:sz w:val="20"/>
          <w:szCs w:val="20"/>
          <w:lang w:val="en-US"/>
        </w:rPr>
        <w:t xml:space="preserve"> 11</w:t>
      </w:r>
      <w:r w:rsidRPr="005A41E0">
        <w:rPr>
          <w:rFonts w:asciiTheme="majorHAnsi" w:hAnsiTheme="majorHAnsi"/>
          <w:sz w:val="20"/>
          <w:szCs w:val="20"/>
          <w:lang w:val="en-US"/>
        </w:rPr>
        <w:t>,</w:t>
      </w:r>
      <w:r w:rsidR="00B725E5" w:rsidRPr="005A41E0">
        <w:rPr>
          <w:rFonts w:asciiTheme="majorHAnsi" w:hAnsiTheme="majorHAnsi"/>
          <w:sz w:val="20"/>
          <w:szCs w:val="20"/>
          <w:lang w:val="en-US"/>
        </w:rPr>
        <w:t>990</w:t>
      </w:r>
      <w:r w:rsidRPr="005A41E0">
        <w:rPr>
          <w:rFonts w:asciiTheme="majorHAnsi" w:hAnsiTheme="majorHAnsi"/>
          <w:sz w:val="20"/>
          <w:szCs w:val="20"/>
          <w:lang w:val="en-US"/>
        </w:rPr>
        <w:t xml:space="preserve">, Oscar Orlando Bueno Bonnet, and Case </w:t>
      </w:r>
      <w:r w:rsidR="00B725E5" w:rsidRPr="005A41E0">
        <w:rPr>
          <w:rFonts w:asciiTheme="majorHAnsi" w:hAnsiTheme="majorHAnsi"/>
          <w:sz w:val="20"/>
          <w:szCs w:val="20"/>
          <w:lang w:val="en-US"/>
        </w:rPr>
        <w:t>11</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144, Gerson Jairzinho González Arroyo, </w:t>
      </w:r>
      <w:r w:rsidRPr="005A41E0">
        <w:rPr>
          <w:rFonts w:asciiTheme="majorHAnsi" w:hAnsiTheme="majorHAnsi"/>
          <w:sz w:val="20"/>
          <w:szCs w:val="20"/>
          <w:lang w:val="en-US"/>
        </w:rPr>
        <w:t xml:space="preserve">all from Colombia; </w:t>
      </w:r>
      <w:r w:rsidR="00B725E5" w:rsidRPr="005A41E0">
        <w:rPr>
          <w:rFonts w:asciiTheme="majorHAnsi" w:hAnsiTheme="majorHAnsi"/>
          <w:sz w:val="20"/>
          <w:szCs w:val="20"/>
          <w:lang w:val="en-US"/>
        </w:rPr>
        <w:t xml:space="preserve">P946/12, César Antonio Peralta Wetzel </w:t>
      </w:r>
      <w:r w:rsidRPr="005A41E0">
        <w:rPr>
          <w:rFonts w:asciiTheme="majorHAnsi" w:hAnsiTheme="majorHAnsi"/>
          <w:sz w:val="20"/>
          <w:szCs w:val="20"/>
          <w:lang w:val="en-US"/>
        </w:rPr>
        <w:t>et al., P687/12, G</w:t>
      </w:r>
      <w:r w:rsidR="007954EC">
        <w:rPr>
          <w:rFonts w:asciiTheme="majorHAnsi" w:hAnsiTheme="majorHAnsi"/>
          <w:sz w:val="20"/>
          <w:szCs w:val="20"/>
          <w:lang w:val="en-US"/>
        </w:rPr>
        <w:t>.</w:t>
      </w:r>
      <w:r w:rsidRPr="005A41E0">
        <w:rPr>
          <w:rFonts w:asciiTheme="majorHAnsi" w:hAnsiTheme="majorHAnsi"/>
          <w:sz w:val="20"/>
          <w:szCs w:val="20"/>
          <w:lang w:val="en-US"/>
        </w:rPr>
        <w:t>B</w:t>
      </w:r>
      <w:r w:rsidR="007954EC">
        <w:rPr>
          <w:rFonts w:asciiTheme="majorHAnsi" w:hAnsiTheme="majorHAnsi"/>
          <w:sz w:val="20"/>
          <w:szCs w:val="20"/>
          <w:lang w:val="en-US"/>
        </w:rPr>
        <w:t>.</w:t>
      </w:r>
      <w:r w:rsidRPr="005A41E0">
        <w:rPr>
          <w:rFonts w:asciiTheme="majorHAnsi" w:hAnsiTheme="majorHAnsi"/>
          <w:sz w:val="20"/>
          <w:szCs w:val="20"/>
          <w:lang w:val="en-US"/>
        </w:rPr>
        <w:t xml:space="preserve"> and her daughter </w:t>
      </w:r>
      <w:r w:rsidR="00B725E5" w:rsidRPr="005A41E0">
        <w:rPr>
          <w:rFonts w:asciiTheme="majorHAnsi" w:hAnsiTheme="majorHAnsi"/>
          <w:sz w:val="20"/>
          <w:szCs w:val="20"/>
          <w:lang w:val="en-US"/>
        </w:rPr>
        <w:t>G</w:t>
      </w:r>
      <w:r w:rsidR="007954EC">
        <w:rPr>
          <w:rFonts w:asciiTheme="majorHAnsi" w:hAnsiTheme="majorHAnsi"/>
          <w:sz w:val="20"/>
          <w:szCs w:val="20"/>
          <w:lang w:val="en-US"/>
        </w:rPr>
        <w:t>.</w:t>
      </w:r>
      <w:r w:rsidR="00B725E5" w:rsidRPr="005A41E0">
        <w:rPr>
          <w:rFonts w:asciiTheme="majorHAnsi" w:hAnsiTheme="majorHAnsi"/>
          <w:sz w:val="20"/>
          <w:szCs w:val="20"/>
          <w:lang w:val="en-US"/>
        </w:rPr>
        <w:t>B</w:t>
      </w:r>
      <w:r w:rsidR="007954EC">
        <w:rPr>
          <w:rFonts w:asciiTheme="majorHAnsi" w:hAnsiTheme="majorHAnsi"/>
          <w:sz w:val="20"/>
          <w:szCs w:val="20"/>
          <w:lang w:val="en-US"/>
        </w:rPr>
        <w:t>.</w:t>
      </w:r>
      <w:r w:rsidR="00B725E5" w:rsidRPr="005A41E0">
        <w:rPr>
          <w:rFonts w:asciiTheme="majorHAnsi" w:hAnsiTheme="majorHAnsi"/>
          <w:sz w:val="20"/>
          <w:szCs w:val="20"/>
          <w:lang w:val="en-US"/>
        </w:rPr>
        <w:t>B</w:t>
      </w:r>
      <w:r w:rsidR="007954EC">
        <w:rPr>
          <w:rFonts w:asciiTheme="majorHAnsi" w:hAnsiTheme="majorHAnsi"/>
          <w:sz w:val="20"/>
          <w:szCs w:val="20"/>
          <w:lang w:val="en-US"/>
        </w:rPr>
        <w:t>.</w:t>
      </w:r>
      <w:r w:rsidRPr="005A41E0">
        <w:rPr>
          <w:rFonts w:asciiTheme="majorHAnsi" w:hAnsiTheme="majorHAnsi"/>
          <w:sz w:val="20"/>
          <w:szCs w:val="20"/>
          <w:lang w:val="en-US"/>
        </w:rPr>
        <w:t>, and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904, </w:t>
      </w:r>
      <w:r w:rsidRPr="005A41E0">
        <w:rPr>
          <w:rFonts w:asciiTheme="majorHAnsi" w:hAnsiTheme="majorHAnsi"/>
          <w:sz w:val="20"/>
          <w:szCs w:val="20"/>
          <w:lang w:val="en-US"/>
        </w:rPr>
        <w:t xml:space="preserve">Aymara Community of </w:t>
      </w:r>
      <w:r w:rsidR="00B725E5" w:rsidRPr="005A41E0">
        <w:rPr>
          <w:rFonts w:asciiTheme="majorHAnsi" w:hAnsiTheme="majorHAnsi"/>
          <w:sz w:val="20"/>
          <w:szCs w:val="20"/>
          <w:lang w:val="en-US"/>
        </w:rPr>
        <w:t xml:space="preserve">Chusmiza </w:t>
      </w:r>
      <w:r w:rsidR="007D56C3" w:rsidRPr="005A41E0">
        <w:rPr>
          <w:rFonts w:asciiTheme="majorHAnsi" w:hAnsiTheme="majorHAnsi"/>
          <w:sz w:val="20"/>
          <w:szCs w:val="20"/>
          <w:lang w:val="en-US"/>
        </w:rPr>
        <w:t>Usmagama</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all from </w:t>
      </w:r>
      <w:r w:rsidR="00B725E5" w:rsidRPr="005A41E0">
        <w:rPr>
          <w:rFonts w:asciiTheme="majorHAnsi" w:hAnsiTheme="majorHAnsi"/>
          <w:sz w:val="20"/>
          <w:szCs w:val="20"/>
          <w:lang w:val="en-US"/>
        </w:rPr>
        <w:t>Chile; P-735</w:t>
      </w:r>
      <w:r w:rsidRPr="005A41E0">
        <w:rPr>
          <w:rFonts w:asciiTheme="majorHAnsi" w:hAnsiTheme="majorHAnsi"/>
          <w:sz w:val="20"/>
          <w:szCs w:val="20"/>
          <w:lang w:val="en-US"/>
        </w:rPr>
        <w:t>-07, Ismael Mondragón Molina, Me</w:t>
      </w:r>
      <w:r w:rsidR="00B725E5" w:rsidRPr="005A41E0">
        <w:rPr>
          <w:rFonts w:asciiTheme="majorHAnsi" w:hAnsiTheme="majorHAnsi"/>
          <w:sz w:val="20"/>
          <w:szCs w:val="20"/>
          <w:lang w:val="en-US"/>
        </w:rPr>
        <w:t>xico; P1224/07,</w:t>
      </w:r>
      <w:r w:rsidRPr="005A41E0">
        <w:rPr>
          <w:rFonts w:asciiTheme="majorHAnsi" w:hAnsiTheme="majorHAnsi"/>
          <w:sz w:val="20"/>
          <w:szCs w:val="20"/>
          <w:lang w:val="en-US"/>
        </w:rPr>
        <w:t xml:space="preserve"> </w:t>
      </w:r>
      <w:r w:rsidR="00B725E5" w:rsidRPr="005A41E0">
        <w:rPr>
          <w:rFonts w:asciiTheme="majorHAnsi" w:hAnsiTheme="majorHAnsi"/>
          <w:sz w:val="20"/>
          <w:szCs w:val="20"/>
          <w:lang w:val="en-US"/>
        </w:rPr>
        <w:t xml:space="preserve">David Rabinovich, Uruguay; </w:t>
      </w:r>
      <w:r w:rsidRPr="005A41E0">
        <w:rPr>
          <w:rFonts w:asciiTheme="majorHAnsi" w:hAnsiTheme="majorHAnsi"/>
          <w:sz w:val="20"/>
          <w:szCs w:val="20"/>
          <w:lang w:val="en-US"/>
        </w:rPr>
        <w:t xml:space="preserve">and Case </w:t>
      </w:r>
      <w:r w:rsidR="00B725E5" w:rsidRPr="005A41E0">
        <w:rPr>
          <w:rFonts w:asciiTheme="majorHAnsi" w:hAnsiTheme="majorHAnsi"/>
          <w:sz w:val="20"/>
          <w:szCs w:val="20"/>
          <w:lang w:val="en-US"/>
        </w:rPr>
        <w:t>12</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487, Rafael Cuesta Caputi </w:t>
      </w:r>
      <w:r w:rsidRPr="005A41E0">
        <w:rPr>
          <w:rFonts w:asciiTheme="majorHAnsi" w:hAnsiTheme="majorHAnsi"/>
          <w:sz w:val="20"/>
          <w:szCs w:val="20"/>
          <w:lang w:val="en-US"/>
        </w:rPr>
        <w:t xml:space="preserve">and Case </w:t>
      </w:r>
      <w:r w:rsidR="00B725E5" w:rsidRPr="005A41E0">
        <w:rPr>
          <w:rFonts w:asciiTheme="majorHAnsi" w:hAnsiTheme="majorHAnsi"/>
          <w:sz w:val="20"/>
          <w:szCs w:val="20"/>
          <w:lang w:val="en-US"/>
        </w:rPr>
        <w:t>12</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625, Marco Javier Zambrano </w:t>
      </w:r>
      <w:r w:rsidRPr="005A41E0">
        <w:rPr>
          <w:rFonts w:asciiTheme="majorHAnsi" w:hAnsiTheme="majorHAnsi"/>
          <w:sz w:val="20"/>
          <w:szCs w:val="20"/>
          <w:lang w:val="en-US"/>
        </w:rPr>
        <w:t xml:space="preserve">and </w:t>
      </w:r>
      <w:r w:rsidR="00B725E5" w:rsidRPr="005A41E0">
        <w:rPr>
          <w:rFonts w:asciiTheme="majorHAnsi" w:hAnsiTheme="majorHAnsi"/>
          <w:sz w:val="20"/>
          <w:szCs w:val="20"/>
          <w:lang w:val="en-US"/>
        </w:rPr>
        <w:t xml:space="preserve">José Rada, </w:t>
      </w:r>
      <w:r w:rsidRPr="005A41E0">
        <w:rPr>
          <w:rFonts w:asciiTheme="majorHAnsi" w:hAnsiTheme="majorHAnsi"/>
          <w:sz w:val="20"/>
          <w:szCs w:val="20"/>
          <w:lang w:val="en-US"/>
        </w:rPr>
        <w:t xml:space="preserve">both from </w:t>
      </w:r>
      <w:r w:rsidR="00B725E5" w:rsidRPr="005A41E0">
        <w:rPr>
          <w:rFonts w:asciiTheme="majorHAnsi" w:hAnsiTheme="majorHAnsi"/>
          <w:sz w:val="20"/>
          <w:szCs w:val="20"/>
          <w:lang w:val="en-US"/>
        </w:rPr>
        <w:t xml:space="preserve">Ecuador. </w:t>
      </w:r>
      <w:r w:rsidRPr="005A41E0">
        <w:rPr>
          <w:rFonts w:asciiTheme="majorHAnsi" w:hAnsiTheme="majorHAnsi"/>
          <w:sz w:val="20"/>
          <w:szCs w:val="20"/>
          <w:lang w:val="en-US"/>
        </w:rPr>
        <w:t xml:space="preserve">On December </w:t>
      </w:r>
      <w:r w:rsidR="00B725E5" w:rsidRPr="005A41E0">
        <w:rPr>
          <w:rFonts w:asciiTheme="majorHAnsi" w:hAnsiTheme="majorHAnsi"/>
          <w:sz w:val="20"/>
          <w:szCs w:val="20"/>
          <w:lang w:val="en-US"/>
        </w:rPr>
        <w:t>6</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2016, </w:t>
      </w:r>
      <w:r w:rsidRPr="005A41E0">
        <w:rPr>
          <w:rFonts w:asciiTheme="majorHAnsi" w:hAnsiTheme="majorHAnsi"/>
          <w:sz w:val="20"/>
          <w:szCs w:val="20"/>
          <w:lang w:val="en-US"/>
        </w:rPr>
        <w:t xml:space="preserve">the IACHR held one public hearing for follow-up on the recommendations made by the IACHR in Case </w:t>
      </w:r>
      <w:r w:rsidR="00B725E5" w:rsidRPr="005A41E0">
        <w:rPr>
          <w:rFonts w:asciiTheme="majorHAnsi" w:hAnsiTheme="majorHAnsi"/>
          <w:sz w:val="20"/>
          <w:szCs w:val="20"/>
          <w:lang w:val="en-US"/>
        </w:rPr>
        <w:t>11</w:t>
      </w:r>
      <w:r w:rsidRPr="005A41E0">
        <w:rPr>
          <w:rFonts w:asciiTheme="majorHAnsi" w:hAnsiTheme="majorHAnsi"/>
          <w:sz w:val="20"/>
          <w:szCs w:val="20"/>
          <w:lang w:val="en-US"/>
        </w:rPr>
        <w:t>,</w:t>
      </w:r>
      <w:r w:rsidR="00B725E5" w:rsidRPr="005A41E0">
        <w:rPr>
          <w:rFonts w:asciiTheme="majorHAnsi" w:hAnsiTheme="majorHAnsi"/>
          <w:sz w:val="20"/>
          <w:szCs w:val="20"/>
          <w:lang w:val="en-US"/>
        </w:rPr>
        <w:t>291, Carandirú</w:t>
      </w:r>
      <w:r w:rsidRPr="005A41E0">
        <w:rPr>
          <w:rFonts w:asciiTheme="majorHAnsi" w:hAnsiTheme="majorHAnsi"/>
          <w:sz w:val="20"/>
          <w:szCs w:val="20"/>
          <w:lang w:val="en-US"/>
        </w:rPr>
        <w:t xml:space="preserve"> Massacre</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from Brazil. Finally</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on December </w:t>
      </w:r>
      <w:r w:rsidR="00B725E5" w:rsidRPr="005A41E0">
        <w:rPr>
          <w:rFonts w:asciiTheme="majorHAnsi" w:hAnsiTheme="majorHAnsi"/>
          <w:sz w:val="20"/>
          <w:szCs w:val="20"/>
          <w:lang w:val="en-US"/>
        </w:rPr>
        <w:t xml:space="preserve">7 </w:t>
      </w:r>
      <w:r w:rsidRPr="005A41E0">
        <w:rPr>
          <w:rFonts w:asciiTheme="majorHAnsi" w:hAnsiTheme="majorHAnsi"/>
          <w:sz w:val="20"/>
          <w:szCs w:val="20"/>
          <w:lang w:val="en-US"/>
        </w:rPr>
        <w:t>the IACHR facilitated two working meetings in the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934, Frank Guelfi</w:t>
      </w:r>
      <w:r w:rsidRPr="005A41E0">
        <w:rPr>
          <w:rFonts w:asciiTheme="majorHAnsi" w:hAnsiTheme="majorHAnsi"/>
          <w:sz w:val="20"/>
          <w:szCs w:val="20"/>
          <w:lang w:val="en-US"/>
        </w:rPr>
        <w:t>, and Case</w:t>
      </w:r>
      <w:r w:rsidR="00B725E5" w:rsidRPr="005A41E0">
        <w:rPr>
          <w:rFonts w:asciiTheme="majorHAnsi" w:hAnsiTheme="majorHAnsi"/>
          <w:sz w:val="20"/>
          <w:szCs w:val="20"/>
          <w:lang w:val="en-US"/>
        </w:rPr>
        <w:t xml:space="preserve"> 12</w:t>
      </w:r>
      <w:r w:rsidRPr="005A41E0">
        <w:rPr>
          <w:rFonts w:asciiTheme="majorHAnsi" w:hAnsiTheme="majorHAnsi"/>
          <w:sz w:val="20"/>
          <w:szCs w:val="20"/>
          <w:lang w:val="en-US"/>
        </w:rPr>
        <w:t>,</w:t>
      </w:r>
      <w:r w:rsidR="00B725E5" w:rsidRPr="005A41E0">
        <w:rPr>
          <w:rFonts w:asciiTheme="majorHAnsi" w:hAnsiTheme="majorHAnsi"/>
          <w:sz w:val="20"/>
          <w:szCs w:val="20"/>
          <w:lang w:val="en-US"/>
        </w:rPr>
        <w:t>552, Rita Wald</w:t>
      </w:r>
      <w:r w:rsidRPr="005A41E0">
        <w:rPr>
          <w:rFonts w:asciiTheme="majorHAnsi" w:hAnsiTheme="majorHAnsi"/>
          <w:sz w:val="20"/>
          <w:szCs w:val="20"/>
          <w:lang w:val="en-US"/>
        </w:rPr>
        <w:t>,</w:t>
      </w:r>
      <w:r w:rsidR="00B725E5" w:rsidRPr="005A41E0">
        <w:rPr>
          <w:rFonts w:asciiTheme="majorHAnsi" w:hAnsiTheme="majorHAnsi"/>
          <w:sz w:val="20"/>
          <w:szCs w:val="20"/>
          <w:lang w:val="en-US"/>
        </w:rPr>
        <w:t xml:space="preserve"> </w:t>
      </w:r>
      <w:r w:rsidRPr="005A41E0">
        <w:rPr>
          <w:rFonts w:asciiTheme="majorHAnsi" w:hAnsiTheme="majorHAnsi"/>
          <w:sz w:val="20"/>
          <w:szCs w:val="20"/>
          <w:lang w:val="en-US"/>
        </w:rPr>
        <w:t>both from Panama</w:t>
      </w:r>
      <w:r w:rsidR="00B725E5" w:rsidRPr="005A41E0">
        <w:rPr>
          <w:rFonts w:asciiTheme="majorHAnsi" w:hAnsiTheme="majorHAnsi"/>
          <w:sz w:val="20"/>
          <w:szCs w:val="20"/>
          <w:lang w:val="en-US"/>
        </w:rPr>
        <w:t>.</w:t>
      </w:r>
    </w:p>
    <w:p w:rsidR="00A257F3" w:rsidRPr="005A41E0" w:rsidRDefault="00A257F3" w:rsidP="005A41E0">
      <w:pPr>
        <w:rPr>
          <w:rFonts w:asciiTheme="majorHAnsi" w:hAnsiTheme="majorHAnsi"/>
          <w:sz w:val="20"/>
          <w:szCs w:val="20"/>
          <w:lang w:val="en-US"/>
        </w:rPr>
      </w:pPr>
    </w:p>
    <w:p w:rsidR="005D7CC2" w:rsidRPr="005A41E0" w:rsidRDefault="00B4576D" w:rsidP="005A41E0">
      <w:pPr>
        <w:pStyle w:val="Heading1"/>
        <w:rPr>
          <w:rFonts w:eastAsia="Arial Unicode MS"/>
          <w:lang w:val="en-US"/>
        </w:rPr>
      </w:pPr>
      <w:r w:rsidRPr="005A41E0">
        <w:rPr>
          <w:rFonts w:eastAsia="Arial Unicode MS"/>
          <w:lang w:val="en-US"/>
        </w:rPr>
        <w:t xml:space="preserve">Activities of the IACHR in relation to the political organs of the OAS </w:t>
      </w:r>
    </w:p>
    <w:p w:rsidR="00342D51" w:rsidRPr="005A41E0" w:rsidRDefault="00342D51" w:rsidP="005A41E0">
      <w:pPr>
        <w:rPr>
          <w:rFonts w:asciiTheme="majorHAnsi" w:eastAsia="Arial Unicode MS" w:hAnsiTheme="majorHAnsi"/>
          <w:b/>
          <w:bCs/>
          <w:sz w:val="20"/>
          <w:szCs w:val="20"/>
          <w:lang w:val="en-US"/>
        </w:rPr>
      </w:pPr>
    </w:p>
    <w:p w:rsidR="00342D51" w:rsidRPr="005A41E0" w:rsidRDefault="00B4576D" w:rsidP="00A628FD">
      <w:pPr>
        <w:pStyle w:val="ListParagraph"/>
        <w:numPr>
          <w:ilvl w:val="0"/>
          <w:numId w:val="15"/>
        </w:numPr>
        <w:shd w:val="clear" w:color="auto" w:fill="FFFFFF"/>
        <w:tabs>
          <w:tab w:val="clear" w:pos="1080"/>
        </w:tabs>
        <w:ind w:left="0"/>
        <w:jc w:val="both"/>
        <w:rPr>
          <w:rFonts w:asciiTheme="majorHAnsi" w:hAnsiTheme="majorHAnsi"/>
          <w:sz w:val="20"/>
          <w:szCs w:val="20"/>
          <w:lang w:val="en-US"/>
        </w:rPr>
      </w:pPr>
      <w:bookmarkStart w:id="1" w:name="_Toc424224748"/>
      <w:bookmarkStart w:id="2" w:name="_Toc424637197"/>
      <w:bookmarkStart w:id="3" w:name="_Toc424885575"/>
      <w:r w:rsidRPr="005A41E0">
        <w:rPr>
          <w:rFonts w:asciiTheme="majorHAnsi" w:hAnsiTheme="majorHAnsi"/>
          <w:sz w:val="20"/>
          <w:szCs w:val="20"/>
          <w:lang w:val="en-US"/>
        </w:rPr>
        <w:t xml:space="preserve">One of the functions of the IACHR is to advise the states on human rights matters, as well as </w:t>
      </w:r>
      <w:r w:rsidR="00D70561">
        <w:rPr>
          <w:rFonts w:asciiTheme="majorHAnsi" w:hAnsiTheme="majorHAnsi"/>
          <w:sz w:val="20"/>
          <w:szCs w:val="20"/>
          <w:lang w:val="en-US"/>
        </w:rPr>
        <w:t xml:space="preserve">to </w:t>
      </w:r>
      <w:r w:rsidRPr="005A41E0">
        <w:rPr>
          <w:rFonts w:asciiTheme="majorHAnsi" w:hAnsiTheme="majorHAnsi"/>
          <w:sz w:val="20"/>
          <w:szCs w:val="20"/>
          <w:lang w:val="en-US"/>
        </w:rPr>
        <w:t xml:space="preserve">promote public policies aimed at strengthening respect for human rights as a central element of the processes of strengthening </w:t>
      </w:r>
      <w:r w:rsidR="003860B4" w:rsidRPr="005A41E0">
        <w:rPr>
          <w:rFonts w:asciiTheme="majorHAnsi" w:hAnsiTheme="majorHAnsi"/>
          <w:sz w:val="20"/>
          <w:szCs w:val="20"/>
          <w:lang w:val="en-US"/>
        </w:rPr>
        <w:t xml:space="preserve">national capacities for implementing human rights. To carry </w:t>
      </w:r>
      <w:r w:rsidR="00D70561">
        <w:rPr>
          <w:rFonts w:asciiTheme="majorHAnsi" w:hAnsiTheme="majorHAnsi"/>
          <w:sz w:val="20"/>
          <w:szCs w:val="20"/>
          <w:lang w:val="en-US"/>
        </w:rPr>
        <w:t>out this purpose the IACHR, with</w:t>
      </w:r>
      <w:r w:rsidR="003860B4" w:rsidRPr="005A41E0">
        <w:rPr>
          <w:rFonts w:asciiTheme="majorHAnsi" w:hAnsiTheme="majorHAnsi"/>
          <w:sz w:val="20"/>
          <w:szCs w:val="20"/>
          <w:lang w:val="en-US"/>
        </w:rPr>
        <w:t xml:space="preserve"> </w:t>
      </w:r>
      <w:r w:rsidR="00A628FD">
        <w:rPr>
          <w:rFonts w:asciiTheme="majorHAnsi" w:hAnsiTheme="majorHAnsi"/>
          <w:sz w:val="20"/>
          <w:szCs w:val="20"/>
          <w:lang w:val="en-US"/>
        </w:rPr>
        <w:t>the assistance of the Section of</w:t>
      </w:r>
      <w:r w:rsidR="003860B4" w:rsidRPr="005A41E0">
        <w:rPr>
          <w:rFonts w:asciiTheme="majorHAnsi" w:hAnsiTheme="majorHAnsi"/>
          <w:sz w:val="20"/>
          <w:szCs w:val="20"/>
          <w:lang w:val="en-US"/>
        </w:rPr>
        <w:t xml:space="preserve"> Advisory Services for States </w:t>
      </w:r>
      <w:bookmarkEnd w:id="1"/>
      <w:bookmarkEnd w:id="2"/>
      <w:bookmarkEnd w:id="3"/>
      <w:r w:rsidR="00342D51" w:rsidRPr="005A41E0">
        <w:rPr>
          <w:rFonts w:asciiTheme="majorHAnsi" w:hAnsiTheme="majorHAnsi"/>
          <w:sz w:val="20"/>
          <w:szCs w:val="20"/>
          <w:lang w:val="en-US"/>
        </w:rPr>
        <w:t xml:space="preserve">(SAE) </w:t>
      </w:r>
      <w:r w:rsidR="003860B4" w:rsidRPr="005A41E0">
        <w:rPr>
          <w:rFonts w:asciiTheme="majorHAnsi" w:hAnsiTheme="majorHAnsi"/>
          <w:sz w:val="20"/>
          <w:szCs w:val="20"/>
          <w:lang w:val="en-US"/>
        </w:rPr>
        <w:t xml:space="preserve">of the Executive Secretariat, maintains relations with the political organs of the OAS, in particular with the General Assembly (GA), the Committee on Juridical and Political Affairs </w:t>
      </w:r>
      <w:r w:rsidR="00342D51" w:rsidRPr="005A41E0">
        <w:rPr>
          <w:rFonts w:asciiTheme="majorHAnsi" w:hAnsiTheme="majorHAnsi"/>
          <w:sz w:val="20"/>
          <w:szCs w:val="20"/>
          <w:lang w:val="en-US"/>
        </w:rPr>
        <w:t>(CAJP)</w:t>
      </w:r>
      <w:r w:rsidR="003860B4" w:rsidRPr="005A41E0">
        <w:rPr>
          <w:rFonts w:asciiTheme="majorHAnsi" w:hAnsiTheme="majorHAnsi"/>
          <w:sz w:val="20"/>
          <w:szCs w:val="20"/>
          <w:lang w:val="en-US"/>
        </w:rPr>
        <w:t xml:space="preserve">, and the Committee on Administrative and Budgetary Affairs </w:t>
      </w:r>
      <w:r w:rsidR="00342D51" w:rsidRPr="005A41E0">
        <w:rPr>
          <w:rFonts w:asciiTheme="majorHAnsi" w:hAnsiTheme="majorHAnsi"/>
          <w:sz w:val="20"/>
          <w:szCs w:val="20"/>
          <w:lang w:val="en-US"/>
        </w:rPr>
        <w:t xml:space="preserve">(CAAP), </w:t>
      </w:r>
      <w:r w:rsidR="003860B4" w:rsidRPr="005A41E0">
        <w:rPr>
          <w:rFonts w:asciiTheme="majorHAnsi" w:hAnsiTheme="majorHAnsi"/>
          <w:sz w:val="20"/>
          <w:szCs w:val="20"/>
          <w:lang w:val="en-US"/>
        </w:rPr>
        <w:t xml:space="preserve">and it </w:t>
      </w:r>
      <w:r w:rsidR="00D70561">
        <w:rPr>
          <w:rFonts w:asciiTheme="majorHAnsi" w:hAnsiTheme="majorHAnsi"/>
          <w:sz w:val="20"/>
          <w:szCs w:val="20"/>
          <w:lang w:val="en-US"/>
        </w:rPr>
        <w:t xml:space="preserve">follows the work of </w:t>
      </w:r>
      <w:r w:rsidR="003860B4" w:rsidRPr="005A41E0">
        <w:rPr>
          <w:rFonts w:asciiTheme="majorHAnsi" w:hAnsiTheme="majorHAnsi"/>
          <w:sz w:val="20"/>
          <w:szCs w:val="20"/>
          <w:lang w:val="en-US"/>
        </w:rPr>
        <w:t xml:space="preserve">the political organs of the OAS to promote minimum human rights standards in resolution, declarations, treaties, conventions, and other inter-American instruments. It also maintains relations with other areas of the OAS.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3860B4" w:rsidP="00A628FD">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w:t>
      </w:r>
      <w:r w:rsidR="007D56C3"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the </w:t>
      </w:r>
      <w:r w:rsidR="007D56C3" w:rsidRPr="005A41E0">
        <w:rPr>
          <w:rFonts w:asciiTheme="majorHAnsi" w:hAnsiTheme="majorHAnsi"/>
          <w:sz w:val="20"/>
          <w:szCs w:val="20"/>
          <w:lang w:val="en-US"/>
        </w:rPr>
        <w:t xml:space="preserve">SAE </w:t>
      </w:r>
      <w:r w:rsidRPr="005A41E0">
        <w:rPr>
          <w:rFonts w:asciiTheme="majorHAnsi" w:hAnsiTheme="majorHAnsi"/>
          <w:sz w:val="20"/>
          <w:szCs w:val="20"/>
          <w:lang w:val="en-US"/>
        </w:rPr>
        <w:t xml:space="preserve">continuously accompanied the meetings of the Permanent Council, the Committee on Juridical and Political Affairs, and the Committee on Administrative and Budgetary Affairs. </w:t>
      </w:r>
      <w:r w:rsidR="00B915E9" w:rsidRPr="005A41E0">
        <w:rPr>
          <w:rFonts w:asciiTheme="majorHAnsi" w:hAnsiTheme="majorHAnsi"/>
          <w:sz w:val="20"/>
          <w:szCs w:val="20"/>
          <w:lang w:val="en-US"/>
        </w:rPr>
        <w:t xml:space="preserve">The IACHR also answered the calls to submit information on the implementation of resolutions with the participation of Commissioners, the </w:t>
      </w:r>
      <w:r w:rsidR="00D70561">
        <w:rPr>
          <w:rFonts w:asciiTheme="majorHAnsi" w:hAnsiTheme="majorHAnsi"/>
          <w:sz w:val="20"/>
          <w:szCs w:val="20"/>
          <w:lang w:val="en-US"/>
        </w:rPr>
        <w:t>Executive Secret</w:t>
      </w:r>
      <w:r w:rsidR="00B915E9" w:rsidRPr="005A41E0">
        <w:rPr>
          <w:rFonts w:asciiTheme="majorHAnsi" w:hAnsiTheme="majorHAnsi"/>
          <w:sz w:val="20"/>
          <w:szCs w:val="20"/>
          <w:lang w:val="en-US"/>
        </w:rPr>
        <w:t xml:space="preserve">ary, and professional staff of the Executive Secretariat. </w:t>
      </w:r>
      <w:bookmarkStart w:id="4" w:name="_Toc424224751"/>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B915E9" w:rsidP="00D70561">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February </w:t>
      </w:r>
      <w:r w:rsidR="00342D51" w:rsidRPr="005A41E0">
        <w:rPr>
          <w:rFonts w:asciiTheme="majorHAnsi" w:hAnsiTheme="majorHAnsi"/>
          <w:sz w:val="20"/>
          <w:szCs w:val="20"/>
          <w:lang w:val="en-US"/>
        </w:rPr>
        <w:t xml:space="preserve">11 </w:t>
      </w:r>
      <w:r w:rsidRPr="005A41E0">
        <w:rPr>
          <w:rFonts w:asciiTheme="majorHAnsi" w:hAnsiTheme="majorHAnsi"/>
          <w:sz w:val="20"/>
          <w:szCs w:val="20"/>
          <w:lang w:val="en-US"/>
        </w:rPr>
        <w:t xml:space="preserve">the Executive Secretariat made a presentation to the </w:t>
      </w:r>
      <w:r w:rsidR="00342D51" w:rsidRPr="005A41E0">
        <w:rPr>
          <w:rFonts w:asciiTheme="majorHAnsi" w:hAnsiTheme="majorHAnsi"/>
          <w:sz w:val="20"/>
          <w:szCs w:val="20"/>
          <w:lang w:val="en-US"/>
        </w:rPr>
        <w:t xml:space="preserve">CAJP </w:t>
      </w:r>
      <w:r w:rsidRPr="005A41E0">
        <w:rPr>
          <w:rFonts w:asciiTheme="majorHAnsi" w:hAnsiTheme="majorHAnsi"/>
          <w:sz w:val="20"/>
          <w:szCs w:val="20"/>
          <w:lang w:val="en-US"/>
        </w:rPr>
        <w:t>on the activities carried out by the IACHR in furtherance of the following eight resolutions adopted at the General Assembly</w:t>
      </w:r>
      <w:r w:rsidR="00342D51" w:rsidRPr="005A41E0">
        <w:rPr>
          <w:rFonts w:asciiTheme="majorHAnsi" w:hAnsiTheme="majorHAnsi"/>
          <w:sz w:val="20"/>
          <w:szCs w:val="20"/>
          <w:lang w:val="en-US"/>
        </w:rPr>
        <w:t>: AG/RES. 2829 (XLIV-O/14)</w:t>
      </w:r>
      <w:r w:rsidR="007D56C3"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00A8131D" w:rsidRPr="005A41E0">
        <w:rPr>
          <w:rFonts w:asciiTheme="majorHAnsi" w:hAnsiTheme="majorHAnsi"/>
          <w:sz w:val="20"/>
          <w:szCs w:val="20"/>
          <w:lang w:val="en-US"/>
        </w:rPr>
        <w:t>Against Torture and Other Cruel, Inhuman, or Degrading Treatment or Punishment</w:t>
      </w:r>
      <w:r w:rsidR="00342D51" w:rsidRPr="005A41E0">
        <w:rPr>
          <w:rFonts w:asciiTheme="majorHAnsi" w:hAnsiTheme="majorHAnsi"/>
          <w:sz w:val="20"/>
          <w:szCs w:val="20"/>
          <w:lang w:val="en-US"/>
        </w:rPr>
        <w:t>; AG/RES. 2845 (XLIV-O/14)</w:t>
      </w:r>
      <w:r w:rsidR="007D56C3"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00A8131D" w:rsidRPr="005A41E0">
        <w:rPr>
          <w:rFonts w:asciiTheme="majorHAnsi" w:hAnsiTheme="majorHAnsi"/>
          <w:sz w:val="20"/>
          <w:szCs w:val="20"/>
          <w:lang w:val="en-US"/>
        </w:rPr>
        <w:t>Rights of Persons Deprived of Liberty</w:t>
      </w:r>
      <w:r w:rsidR="00342D51" w:rsidRPr="005A41E0">
        <w:rPr>
          <w:rFonts w:asciiTheme="majorHAnsi" w:hAnsiTheme="majorHAnsi"/>
          <w:sz w:val="20"/>
          <w:szCs w:val="20"/>
          <w:lang w:val="en-US"/>
        </w:rPr>
        <w:t>; AG/RES. 2850 (XLIV-O/14)</w:t>
      </w:r>
      <w:r w:rsidR="007D56C3"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00A8131D" w:rsidRPr="005A41E0">
        <w:rPr>
          <w:rFonts w:asciiTheme="majorHAnsi" w:hAnsiTheme="majorHAnsi"/>
          <w:sz w:val="20"/>
          <w:szCs w:val="20"/>
          <w:lang w:val="en-US"/>
        </w:rPr>
        <w:t>Internally Displaced Persons</w:t>
      </w:r>
      <w:r w:rsidR="00342D51" w:rsidRPr="005A41E0">
        <w:rPr>
          <w:rFonts w:asciiTheme="majorHAnsi" w:hAnsiTheme="majorHAnsi"/>
          <w:sz w:val="20"/>
          <w:szCs w:val="20"/>
          <w:lang w:val="en-US"/>
        </w:rPr>
        <w:t>; AG/RES 2851 (XLIV-O/14)</w:t>
      </w:r>
      <w:r w:rsidR="007D56C3"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00A8131D" w:rsidRPr="005A41E0">
        <w:rPr>
          <w:rFonts w:asciiTheme="majorHAnsi" w:hAnsiTheme="majorHAnsi"/>
          <w:sz w:val="20"/>
          <w:szCs w:val="20"/>
          <w:lang w:val="en-US"/>
        </w:rPr>
        <w:t>Human Rights Defenders</w:t>
      </w:r>
      <w:r w:rsidR="00342D51" w:rsidRPr="005A41E0">
        <w:rPr>
          <w:rFonts w:asciiTheme="majorHAnsi" w:hAnsiTheme="majorHAnsi"/>
          <w:sz w:val="20"/>
          <w:szCs w:val="20"/>
          <w:lang w:val="en-US"/>
        </w:rPr>
        <w:t>; AG/RES. 2863 (XLIV-O/14)</w:t>
      </w:r>
      <w:r w:rsidR="007D56C3"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00CA3BFB" w:rsidRPr="005A41E0">
        <w:rPr>
          <w:rFonts w:asciiTheme="majorHAnsi" w:hAnsiTheme="majorHAnsi"/>
          <w:sz w:val="20"/>
          <w:szCs w:val="20"/>
          <w:lang w:val="en-US"/>
        </w:rPr>
        <w:t xml:space="preserve">Human Rights, Sexual Orientation, and Gender Identity </w:t>
      </w:r>
      <w:r w:rsidR="00D70561">
        <w:rPr>
          <w:rFonts w:asciiTheme="majorHAnsi" w:hAnsiTheme="majorHAnsi"/>
          <w:sz w:val="20"/>
          <w:szCs w:val="20"/>
          <w:lang w:val="en-US"/>
        </w:rPr>
        <w:t>a</w:t>
      </w:r>
      <w:r w:rsidR="00CA3BFB" w:rsidRPr="005A41E0">
        <w:rPr>
          <w:rFonts w:asciiTheme="majorHAnsi" w:hAnsiTheme="majorHAnsi"/>
          <w:sz w:val="20"/>
          <w:szCs w:val="20"/>
          <w:lang w:val="en-US"/>
        </w:rPr>
        <w:t>nd Expression</w:t>
      </w:r>
      <w:r w:rsidR="007D56C3" w:rsidRPr="005A41E0">
        <w:rPr>
          <w:rFonts w:asciiTheme="majorHAnsi" w:hAnsiTheme="majorHAnsi"/>
          <w:sz w:val="20"/>
          <w:szCs w:val="20"/>
          <w:lang w:val="en-US"/>
        </w:rPr>
        <w:t>; AG/RES. 2790 (XLIII-O/13),</w:t>
      </w:r>
      <w:r w:rsidR="00342D51" w:rsidRPr="005A41E0">
        <w:rPr>
          <w:rFonts w:asciiTheme="majorHAnsi" w:hAnsiTheme="majorHAnsi"/>
          <w:sz w:val="20"/>
          <w:szCs w:val="20"/>
          <w:lang w:val="en-US"/>
        </w:rPr>
        <w:t xml:space="preserve"> </w:t>
      </w:r>
      <w:r w:rsidR="00CA3BFB" w:rsidRPr="005A41E0">
        <w:rPr>
          <w:rFonts w:asciiTheme="majorHAnsi" w:hAnsiTheme="majorHAnsi"/>
          <w:sz w:val="20"/>
          <w:szCs w:val="20"/>
          <w:lang w:val="en-US"/>
        </w:rPr>
        <w:t>The Human Rights of Migrants, including Migrant Workers and their Families</w:t>
      </w:r>
      <w:r w:rsidR="00342D51" w:rsidRPr="005A41E0">
        <w:rPr>
          <w:rFonts w:asciiTheme="majorHAnsi" w:hAnsiTheme="majorHAnsi"/>
          <w:sz w:val="20"/>
          <w:szCs w:val="20"/>
          <w:lang w:val="en-US"/>
        </w:rPr>
        <w:t>; AG/RES. 2864 (XLIV-O/14)</w:t>
      </w:r>
      <w:r w:rsidR="007D56C3"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00CA3BFB" w:rsidRPr="005A41E0">
        <w:rPr>
          <w:rFonts w:asciiTheme="majorHAnsi" w:hAnsiTheme="majorHAnsi"/>
          <w:sz w:val="20"/>
          <w:szCs w:val="20"/>
          <w:lang w:val="en-US"/>
        </w:rPr>
        <w:t>Persons Who Have Disappeared and Assistance to Members of their Families</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and</w:t>
      </w:r>
      <w:r w:rsidR="007D56C3" w:rsidRPr="005A41E0">
        <w:rPr>
          <w:rFonts w:asciiTheme="majorHAnsi" w:hAnsiTheme="majorHAnsi"/>
          <w:sz w:val="20"/>
          <w:szCs w:val="20"/>
          <w:lang w:val="en-US"/>
        </w:rPr>
        <w:t xml:space="preserve"> AG/RES. 2799 (XLIII-O/13),</w:t>
      </w:r>
      <w:r w:rsidR="00342D51" w:rsidRPr="005A41E0">
        <w:rPr>
          <w:rFonts w:asciiTheme="majorHAnsi" w:hAnsiTheme="majorHAnsi"/>
          <w:sz w:val="20"/>
          <w:szCs w:val="20"/>
          <w:lang w:val="en-US"/>
        </w:rPr>
        <w:t xml:space="preserve"> </w:t>
      </w:r>
      <w:r w:rsidR="00CA3BFB" w:rsidRPr="005A41E0">
        <w:rPr>
          <w:rFonts w:asciiTheme="majorHAnsi" w:hAnsiTheme="majorHAnsi"/>
          <w:sz w:val="20"/>
          <w:szCs w:val="20"/>
          <w:lang w:val="en-US"/>
        </w:rPr>
        <w:t>Protecting Human Rights and Fundamental Freedoms While Countering Terrorism</w:t>
      </w:r>
      <w:r w:rsidR="00342D51" w:rsidRPr="005A41E0">
        <w:rPr>
          <w:rFonts w:asciiTheme="majorHAnsi" w:hAnsiTheme="majorHAnsi"/>
          <w:sz w:val="20"/>
          <w:szCs w:val="20"/>
          <w:lang w:val="en-US"/>
        </w:rPr>
        <w:t>.</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CA3BFB" w:rsidP="00A628FD">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addition, in keeping with its function of strengthening the relations of the IACHR with the member and observer states of the OAS, from March 5 to 12 the </w:t>
      </w:r>
      <w:r w:rsidR="007D56C3" w:rsidRPr="005A41E0">
        <w:rPr>
          <w:rFonts w:asciiTheme="majorHAnsi" w:hAnsiTheme="majorHAnsi"/>
          <w:sz w:val="20"/>
          <w:szCs w:val="20"/>
          <w:lang w:val="en-US"/>
        </w:rPr>
        <w:t>SAE</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participated in a visit to </w:t>
      </w:r>
      <w:r w:rsidR="00342D51" w:rsidRPr="005A41E0">
        <w:rPr>
          <w:rFonts w:asciiTheme="majorHAnsi" w:hAnsiTheme="majorHAnsi"/>
          <w:sz w:val="20"/>
          <w:szCs w:val="20"/>
          <w:lang w:val="en-US"/>
        </w:rPr>
        <w:t>Ir</w:t>
      </w:r>
      <w:r w:rsidRPr="005A41E0">
        <w:rPr>
          <w:rFonts w:asciiTheme="majorHAnsi" w:hAnsiTheme="majorHAnsi"/>
          <w:sz w:val="20"/>
          <w:szCs w:val="20"/>
          <w:lang w:val="en-US"/>
        </w:rPr>
        <w:t>eland</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Netherlands, and Switzerland, during which information was exchanged on the human rights situation in the Americas. Both Ireland and the Netherlands made offers of voluntary contributions to support the work of the IACHR. Switzerland also expressed interest in providing financial support to the IACHR.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CA3BFB" w:rsidP="00D70561">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March </w:t>
      </w:r>
      <w:r w:rsidR="00342D51" w:rsidRPr="005A41E0">
        <w:rPr>
          <w:rFonts w:asciiTheme="majorHAnsi" w:hAnsiTheme="majorHAnsi"/>
          <w:sz w:val="20"/>
          <w:szCs w:val="20"/>
          <w:lang w:val="en-US"/>
        </w:rPr>
        <w:t>17</w:t>
      </w:r>
      <w:r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201</w:t>
      </w:r>
      <w:r w:rsidR="00977B2A" w:rsidRPr="005A41E0">
        <w:rPr>
          <w:rFonts w:asciiTheme="majorHAnsi" w:hAnsiTheme="majorHAnsi"/>
          <w:sz w:val="20"/>
          <w:szCs w:val="20"/>
          <w:lang w:val="en-US"/>
        </w:rPr>
        <w:t>6</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President </w:t>
      </w:r>
      <w:r w:rsidR="007D56C3" w:rsidRPr="005A41E0">
        <w:rPr>
          <w:rFonts w:asciiTheme="majorHAnsi" w:hAnsiTheme="majorHAnsi"/>
          <w:sz w:val="20"/>
          <w:szCs w:val="20"/>
          <w:lang w:val="en-US"/>
        </w:rPr>
        <w:t xml:space="preserve">James Cavallaro </w:t>
      </w:r>
      <w:r w:rsidRPr="005A41E0">
        <w:rPr>
          <w:rFonts w:asciiTheme="majorHAnsi" w:hAnsiTheme="majorHAnsi"/>
          <w:sz w:val="20"/>
          <w:szCs w:val="20"/>
          <w:lang w:val="en-US"/>
        </w:rPr>
        <w:t xml:space="preserve">presented the 2015 Annual Report of the IACHR to the </w:t>
      </w:r>
      <w:r w:rsidR="00342D51" w:rsidRPr="005A41E0">
        <w:rPr>
          <w:rFonts w:asciiTheme="majorHAnsi" w:hAnsiTheme="majorHAnsi"/>
          <w:sz w:val="20"/>
          <w:szCs w:val="20"/>
          <w:lang w:val="en-US"/>
        </w:rPr>
        <w:t xml:space="preserve">CAJP. </w:t>
      </w:r>
      <w:r w:rsidRPr="005A41E0">
        <w:rPr>
          <w:rFonts w:asciiTheme="majorHAnsi" w:hAnsiTheme="majorHAnsi"/>
          <w:sz w:val="20"/>
          <w:szCs w:val="20"/>
          <w:lang w:val="en-US"/>
        </w:rPr>
        <w:t>The meeting was attended by 23 delegates from member states and the President of the Inter-American Court</w:t>
      </w:r>
      <w:r w:rsidR="007D56C3"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Judge </w:t>
      </w:r>
      <w:r w:rsidR="00342D51" w:rsidRPr="005A41E0">
        <w:rPr>
          <w:rFonts w:asciiTheme="majorHAnsi" w:hAnsiTheme="majorHAnsi"/>
          <w:sz w:val="20"/>
          <w:szCs w:val="20"/>
          <w:lang w:val="en-US"/>
        </w:rPr>
        <w:t xml:space="preserve">Roberto F. Caldas; </w:t>
      </w:r>
      <w:r w:rsidRPr="005A41E0">
        <w:rPr>
          <w:rFonts w:asciiTheme="majorHAnsi" w:hAnsiTheme="majorHAnsi"/>
          <w:sz w:val="20"/>
          <w:szCs w:val="20"/>
          <w:lang w:val="en-US"/>
        </w:rPr>
        <w:t xml:space="preserve">the Vice President of the Court, Judge </w:t>
      </w:r>
      <w:r w:rsidR="00342D51" w:rsidRPr="005A41E0">
        <w:rPr>
          <w:rFonts w:asciiTheme="majorHAnsi" w:hAnsiTheme="majorHAnsi"/>
          <w:sz w:val="20"/>
          <w:szCs w:val="20"/>
          <w:lang w:val="en-US"/>
        </w:rPr>
        <w:t>Eduardo Ferrer Mac-Gregor Poisot</w:t>
      </w:r>
      <w:r w:rsidR="007D56C3"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the Secretary of the Court, </w:t>
      </w:r>
      <w:r w:rsidR="00342D51" w:rsidRPr="005A41E0">
        <w:rPr>
          <w:rFonts w:asciiTheme="majorHAnsi" w:hAnsiTheme="majorHAnsi"/>
          <w:sz w:val="20"/>
          <w:szCs w:val="20"/>
          <w:lang w:val="en-US"/>
        </w:rPr>
        <w:t xml:space="preserve">Pablo Saavedra. </w:t>
      </w:r>
      <w:r w:rsidRPr="005A41E0">
        <w:rPr>
          <w:rFonts w:asciiTheme="majorHAnsi" w:hAnsiTheme="majorHAnsi"/>
          <w:sz w:val="20"/>
          <w:szCs w:val="20"/>
          <w:lang w:val="en-US"/>
        </w:rPr>
        <w:t xml:space="preserve">After the presentation of the Annual Report concluded, the following delegations made remarks: </w:t>
      </w:r>
      <w:r w:rsidR="00342D51" w:rsidRPr="005A41E0">
        <w:rPr>
          <w:rFonts w:asciiTheme="majorHAnsi" w:hAnsiTheme="majorHAnsi"/>
          <w:sz w:val="20"/>
          <w:szCs w:val="20"/>
          <w:lang w:val="en-US"/>
        </w:rPr>
        <w:t>Argentina, Bra</w:t>
      </w:r>
      <w:r w:rsidRPr="005A41E0">
        <w:rPr>
          <w:rFonts w:asciiTheme="majorHAnsi" w:hAnsiTheme="majorHAnsi"/>
          <w:sz w:val="20"/>
          <w:szCs w:val="20"/>
          <w:lang w:val="en-US"/>
        </w:rPr>
        <w:t>z</w:t>
      </w:r>
      <w:r w:rsidR="00342D51" w:rsidRPr="005A41E0">
        <w:rPr>
          <w:rFonts w:asciiTheme="majorHAnsi" w:hAnsiTheme="majorHAnsi"/>
          <w:sz w:val="20"/>
          <w:szCs w:val="20"/>
          <w:lang w:val="en-US"/>
        </w:rPr>
        <w:t xml:space="preserve">il, </w:t>
      </w:r>
      <w:r w:rsidRPr="005A41E0">
        <w:rPr>
          <w:rFonts w:asciiTheme="majorHAnsi" w:hAnsiTheme="majorHAnsi"/>
          <w:sz w:val="20"/>
          <w:szCs w:val="20"/>
          <w:lang w:val="en-US"/>
        </w:rPr>
        <w:t>Canada</w:t>
      </w:r>
      <w:r w:rsidR="00977B2A" w:rsidRPr="005A41E0">
        <w:rPr>
          <w:rFonts w:asciiTheme="majorHAnsi" w:hAnsiTheme="majorHAnsi"/>
          <w:sz w:val="20"/>
          <w:szCs w:val="20"/>
          <w:lang w:val="en-US"/>
        </w:rPr>
        <w:t xml:space="preserve">, </w:t>
      </w:r>
      <w:r w:rsidR="00D70561" w:rsidRPr="005A41E0">
        <w:rPr>
          <w:rFonts w:asciiTheme="majorHAnsi" w:hAnsiTheme="majorHAnsi"/>
          <w:sz w:val="20"/>
          <w:szCs w:val="20"/>
          <w:lang w:val="en-US"/>
        </w:rPr>
        <w:t xml:space="preserve">Colombia, </w:t>
      </w:r>
      <w:r w:rsidR="00977B2A" w:rsidRPr="005A41E0">
        <w:rPr>
          <w:rFonts w:asciiTheme="majorHAnsi" w:hAnsiTheme="majorHAnsi"/>
          <w:sz w:val="20"/>
          <w:szCs w:val="20"/>
          <w:lang w:val="en-US"/>
        </w:rPr>
        <w:t>Costa Rica, El Salvador, Jamaica, M</w:t>
      </w:r>
      <w:r w:rsidRPr="005A41E0">
        <w:rPr>
          <w:rFonts w:asciiTheme="majorHAnsi" w:hAnsiTheme="majorHAnsi"/>
          <w:sz w:val="20"/>
          <w:szCs w:val="20"/>
          <w:lang w:val="en-US"/>
        </w:rPr>
        <w:t>exico, Panama</w:t>
      </w:r>
      <w:r w:rsidR="00977B2A" w:rsidRPr="005A41E0">
        <w:rPr>
          <w:rFonts w:asciiTheme="majorHAnsi" w:hAnsiTheme="majorHAnsi"/>
          <w:sz w:val="20"/>
          <w:szCs w:val="20"/>
          <w:lang w:val="en-US"/>
        </w:rPr>
        <w:t xml:space="preserve">, </w:t>
      </w:r>
      <w:r w:rsidR="00342D51" w:rsidRPr="005A41E0">
        <w:rPr>
          <w:rFonts w:asciiTheme="majorHAnsi" w:hAnsiTheme="majorHAnsi"/>
          <w:sz w:val="20"/>
          <w:szCs w:val="20"/>
          <w:lang w:val="en-US"/>
        </w:rPr>
        <w:t xml:space="preserve">Paraguay, </w:t>
      </w:r>
      <w:r w:rsidRPr="005A41E0">
        <w:rPr>
          <w:rFonts w:asciiTheme="majorHAnsi" w:hAnsiTheme="majorHAnsi"/>
          <w:sz w:val="20"/>
          <w:szCs w:val="20"/>
          <w:lang w:val="en-US"/>
        </w:rPr>
        <w:t>Peru</w:t>
      </w:r>
      <w:r w:rsidR="00977B2A" w:rsidRPr="005A41E0">
        <w:rPr>
          <w:rFonts w:asciiTheme="majorHAnsi" w:hAnsiTheme="majorHAnsi"/>
          <w:sz w:val="20"/>
          <w:szCs w:val="20"/>
          <w:lang w:val="en-US"/>
        </w:rPr>
        <w:t xml:space="preserve">, </w:t>
      </w:r>
      <w:r w:rsidRPr="005A41E0">
        <w:rPr>
          <w:rFonts w:asciiTheme="majorHAnsi" w:hAnsiTheme="majorHAnsi"/>
          <w:sz w:val="20"/>
          <w:szCs w:val="20"/>
          <w:lang w:val="en-US"/>
        </w:rPr>
        <w:t>Uruguay, and</w:t>
      </w:r>
      <w:r w:rsidR="00342D51" w:rsidRPr="005A41E0">
        <w:rPr>
          <w:rFonts w:asciiTheme="majorHAnsi" w:hAnsiTheme="majorHAnsi"/>
          <w:sz w:val="20"/>
          <w:szCs w:val="20"/>
          <w:lang w:val="en-US"/>
        </w:rPr>
        <w:t xml:space="preserve"> </w:t>
      </w:r>
      <w:r w:rsidR="00977B2A" w:rsidRPr="005A41E0">
        <w:rPr>
          <w:rFonts w:asciiTheme="majorHAnsi" w:hAnsiTheme="majorHAnsi"/>
          <w:sz w:val="20"/>
          <w:szCs w:val="20"/>
          <w:lang w:val="en-US"/>
        </w:rPr>
        <w:t>Venezuela</w:t>
      </w:r>
      <w:r w:rsidR="00342D51" w:rsidRPr="005A41E0">
        <w:rPr>
          <w:rFonts w:asciiTheme="majorHAnsi" w:hAnsiTheme="majorHAnsi"/>
          <w:sz w:val="20"/>
          <w:szCs w:val="20"/>
          <w:lang w:val="en-US"/>
        </w:rPr>
        <w:t>.</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CA3BFB"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lastRenderedPageBreak/>
        <w:t>During the year meetings were held with the following permanent representatives to the OAS</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the Ambassador of Canada</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the Alternate Representative of Netherlands</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w:t>
      </w:r>
      <w:r w:rsidR="00977B2A" w:rsidRPr="005A41E0">
        <w:rPr>
          <w:rFonts w:asciiTheme="majorHAnsi" w:hAnsiTheme="majorHAnsi"/>
          <w:sz w:val="20"/>
          <w:szCs w:val="20"/>
          <w:lang w:val="en-US"/>
        </w:rPr>
        <w:t>A</w:t>
      </w:r>
      <w:r w:rsidRPr="005A41E0">
        <w:rPr>
          <w:rFonts w:asciiTheme="majorHAnsi" w:hAnsiTheme="majorHAnsi"/>
          <w:sz w:val="20"/>
          <w:szCs w:val="20"/>
          <w:lang w:val="en-US"/>
        </w:rPr>
        <w:t>lternate Representative of Ireland, and the Alternative Representative of Switzerland.</w:t>
      </w:r>
    </w:p>
    <w:p w:rsidR="00342D51" w:rsidRPr="005A41E0" w:rsidRDefault="00342D51" w:rsidP="005A41E0">
      <w:pPr>
        <w:shd w:val="clear" w:color="auto" w:fill="FFFFFF"/>
        <w:jc w:val="both"/>
        <w:rPr>
          <w:rFonts w:asciiTheme="majorHAnsi" w:hAnsiTheme="majorHAnsi"/>
          <w:sz w:val="20"/>
          <w:szCs w:val="20"/>
          <w:lang w:val="en-US"/>
        </w:rPr>
      </w:pPr>
    </w:p>
    <w:p w:rsidR="00342D51" w:rsidRPr="005A41E0" w:rsidRDefault="00CA3BFB"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March </w:t>
      </w:r>
      <w:r w:rsidR="00977B2A" w:rsidRPr="005A41E0">
        <w:rPr>
          <w:rFonts w:asciiTheme="majorHAnsi" w:hAnsiTheme="majorHAnsi"/>
          <w:sz w:val="20"/>
          <w:szCs w:val="20"/>
          <w:lang w:val="en-US"/>
        </w:rPr>
        <w:t xml:space="preserve">31 </w:t>
      </w:r>
      <w:r w:rsidRPr="005A41E0">
        <w:rPr>
          <w:rFonts w:asciiTheme="majorHAnsi" w:hAnsiTheme="majorHAnsi"/>
          <w:sz w:val="20"/>
          <w:szCs w:val="20"/>
          <w:lang w:val="en-US"/>
        </w:rPr>
        <w:t xml:space="preserve">and April </w:t>
      </w:r>
      <w:r w:rsidR="00977B2A" w:rsidRPr="005A41E0">
        <w:rPr>
          <w:rFonts w:asciiTheme="majorHAnsi" w:hAnsiTheme="majorHAnsi"/>
          <w:sz w:val="20"/>
          <w:szCs w:val="20"/>
          <w:lang w:val="en-US"/>
        </w:rPr>
        <w:t xml:space="preserve">28, </w:t>
      </w:r>
      <w:r w:rsidRPr="005A41E0">
        <w:rPr>
          <w:rFonts w:asciiTheme="majorHAnsi" w:hAnsiTheme="majorHAnsi"/>
          <w:sz w:val="20"/>
          <w:szCs w:val="20"/>
          <w:lang w:val="en-US"/>
        </w:rPr>
        <w:t>staff of the Executive Secretariat made presentations on the activities</w:t>
      </w:r>
      <w:r w:rsidR="00B24536" w:rsidRPr="005A41E0">
        <w:rPr>
          <w:rFonts w:asciiTheme="majorHAnsi" w:hAnsiTheme="majorHAnsi"/>
          <w:sz w:val="20"/>
          <w:szCs w:val="20"/>
          <w:lang w:val="en-US"/>
        </w:rPr>
        <w:t xml:space="preserve"> to implement General Assembly resolution </w:t>
      </w:r>
      <w:r w:rsidR="00342D51" w:rsidRPr="005A41E0">
        <w:rPr>
          <w:rFonts w:asciiTheme="majorHAnsi" w:hAnsiTheme="majorHAnsi"/>
          <w:sz w:val="20"/>
          <w:szCs w:val="20"/>
          <w:lang w:val="en-US"/>
        </w:rPr>
        <w:t>AG/</w:t>
      </w:r>
      <w:r w:rsidR="00977B2A" w:rsidRPr="005A41E0">
        <w:rPr>
          <w:rFonts w:asciiTheme="majorHAnsi" w:hAnsiTheme="majorHAnsi"/>
          <w:sz w:val="20"/>
          <w:szCs w:val="20"/>
          <w:lang w:val="en-US"/>
        </w:rPr>
        <w:t>RES</w:t>
      </w:r>
      <w:r w:rsidR="00342D51" w:rsidRPr="005A41E0">
        <w:rPr>
          <w:rFonts w:asciiTheme="majorHAnsi" w:hAnsiTheme="majorHAnsi"/>
          <w:sz w:val="20"/>
          <w:szCs w:val="20"/>
          <w:lang w:val="en-US"/>
        </w:rPr>
        <w:t xml:space="preserve">.2851 (XLIV-O/14), </w:t>
      </w:r>
      <w:r w:rsidR="007527B2" w:rsidRPr="005A41E0">
        <w:rPr>
          <w:rFonts w:asciiTheme="majorHAnsi" w:hAnsiTheme="majorHAnsi"/>
          <w:sz w:val="20"/>
          <w:szCs w:val="20"/>
          <w:lang w:val="en-US"/>
        </w:rPr>
        <w:t>Human Rights Defenders:  Support for the Individuals, Groups, and Organizations of Civil Society Working to Promote and Protect Human Rights in the America</w:t>
      </w:r>
      <w:r w:rsidR="00342D51" w:rsidRPr="005A41E0">
        <w:rPr>
          <w:rFonts w:asciiTheme="majorHAnsi" w:hAnsiTheme="majorHAnsi"/>
          <w:sz w:val="20"/>
          <w:szCs w:val="20"/>
          <w:lang w:val="en-US"/>
        </w:rPr>
        <w:t>s.</w:t>
      </w:r>
    </w:p>
    <w:p w:rsidR="00342D51" w:rsidRPr="005A41E0" w:rsidRDefault="00342D51" w:rsidP="005A41E0">
      <w:pPr>
        <w:shd w:val="clear" w:color="auto" w:fill="FFFFFF"/>
        <w:jc w:val="both"/>
        <w:rPr>
          <w:rFonts w:asciiTheme="majorHAnsi" w:hAnsiTheme="majorHAnsi"/>
          <w:sz w:val="20"/>
          <w:szCs w:val="20"/>
          <w:lang w:val="en-US"/>
        </w:rPr>
      </w:pPr>
    </w:p>
    <w:p w:rsidR="00342D51" w:rsidRPr="005A41E0" w:rsidRDefault="007527B2"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April </w:t>
      </w:r>
      <w:r w:rsidR="00977B2A" w:rsidRPr="005A41E0">
        <w:rPr>
          <w:rFonts w:asciiTheme="majorHAnsi" w:hAnsiTheme="majorHAnsi"/>
          <w:sz w:val="20"/>
          <w:szCs w:val="20"/>
          <w:lang w:val="en-US"/>
        </w:rPr>
        <w:t>5</w:t>
      </w:r>
      <w:r w:rsidRPr="005A41E0">
        <w:rPr>
          <w:rFonts w:asciiTheme="majorHAnsi" w:hAnsiTheme="majorHAnsi"/>
          <w:sz w:val="20"/>
          <w:szCs w:val="20"/>
          <w:lang w:val="en-US"/>
        </w:rPr>
        <w:t>,</w:t>
      </w:r>
      <w:r w:rsidR="00977B2A" w:rsidRPr="005A41E0">
        <w:rPr>
          <w:rFonts w:asciiTheme="majorHAnsi" w:hAnsiTheme="majorHAnsi"/>
          <w:sz w:val="20"/>
          <w:szCs w:val="20"/>
          <w:lang w:val="en-US"/>
        </w:rPr>
        <w:t xml:space="preserve"> 2016, </w:t>
      </w:r>
      <w:r w:rsidRPr="005A41E0">
        <w:rPr>
          <w:rFonts w:asciiTheme="majorHAnsi" w:hAnsiTheme="majorHAnsi"/>
          <w:sz w:val="20"/>
          <w:szCs w:val="20"/>
          <w:lang w:val="en-US"/>
        </w:rPr>
        <w:t>in the context of its sessions, the IACHR made a joint presentation of the following four thematic reports: Indigenous peoples, Afro-descendent communities, and natural resources: Human rights protection in the context of extraction, exploitation, and development activities</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Legal Standards: Gender Equality and Women's Rights</w:t>
      </w:r>
      <w:r w:rsidR="00044667" w:rsidRPr="005A41E0">
        <w:rPr>
          <w:rFonts w:asciiTheme="majorHAnsi" w:hAnsiTheme="majorHAnsi"/>
          <w:sz w:val="20"/>
          <w:szCs w:val="20"/>
          <w:lang w:val="en-US"/>
        </w:rPr>
        <w:t>;</w:t>
      </w:r>
      <w:r w:rsidRPr="005A41E0">
        <w:rPr>
          <w:rFonts w:asciiTheme="majorHAnsi" w:hAnsiTheme="majorHAnsi"/>
          <w:sz w:val="20"/>
          <w:szCs w:val="20"/>
          <w:lang w:val="en-US"/>
        </w:rPr>
        <w:t xml:space="preserve"> Violence</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Children and Organized Crime</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and Violence against</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Lesbian, Gay, Bisexual, Trans and </w:t>
      </w:r>
      <w:r w:rsidR="00342D51" w:rsidRPr="005A41E0">
        <w:rPr>
          <w:rFonts w:asciiTheme="majorHAnsi" w:hAnsiTheme="majorHAnsi"/>
          <w:sz w:val="20"/>
          <w:szCs w:val="20"/>
          <w:lang w:val="en-US"/>
        </w:rPr>
        <w:t>Intersex</w:t>
      </w:r>
      <w:r w:rsidRPr="005A41E0">
        <w:rPr>
          <w:rFonts w:asciiTheme="majorHAnsi" w:hAnsiTheme="majorHAnsi"/>
          <w:sz w:val="20"/>
          <w:szCs w:val="20"/>
          <w:lang w:val="en-US"/>
        </w:rPr>
        <w:t xml:space="preserve"> Persons</w:t>
      </w:r>
      <w:r w:rsidR="00342D51" w:rsidRPr="005A41E0">
        <w:rPr>
          <w:rFonts w:asciiTheme="majorHAnsi" w:hAnsiTheme="majorHAnsi"/>
          <w:sz w:val="20"/>
          <w:szCs w:val="20"/>
          <w:lang w:val="en-US"/>
        </w:rPr>
        <w:t xml:space="preserve">.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044667"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April </w:t>
      </w:r>
      <w:r w:rsidR="00342D51" w:rsidRPr="005A41E0">
        <w:rPr>
          <w:rFonts w:asciiTheme="majorHAnsi" w:hAnsiTheme="majorHAnsi"/>
          <w:sz w:val="20"/>
          <w:szCs w:val="20"/>
          <w:lang w:val="en-US"/>
        </w:rPr>
        <w:t>12</w:t>
      </w:r>
      <w:r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2016, the closing session of the 157</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regular period of sessions of the IACHR was held, with the member states of the OAS in attendance.</w:t>
      </w:r>
      <w:r w:rsidR="00342D51" w:rsidRPr="005A41E0">
        <w:rPr>
          <w:rFonts w:asciiTheme="majorHAnsi" w:hAnsiTheme="majorHAnsi"/>
          <w:sz w:val="20"/>
          <w:szCs w:val="20"/>
          <w:lang w:val="en-US"/>
        </w:rPr>
        <w:t xml:space="preserve">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044667"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April </w:t>
      </w:r>
      <w:r w:rsidR="00977B2A" w:rsidRPr="005A41E0">
        <w:rPr>
          <w:rFonts w:asciiTheme="majorHAnsi" w:hAnsiTheme="majorHAnsi"/>
          <w:sz w:val="20"/>
          <w:szCs w:val="20"/>
          <w:lang w:val="en-US"/>
        </w:rPr>
        <w:t>13</w:t>
      </w:r>
      <w:r w:rsidRPr="005A41E0">
        <w:rPr>
          <w:rFonts w:asciiTheme="majorHAnsi" w:hAnsiTheme="majorHAnsi"/>
          <w:sz w:val="20"/>
          <w:szCs w:val="20"/>
          <w:lang w:val="en-US"/>
        </w:rPr>
        <w:t>,</w:t>
      </w:r>
      <w:r w:rsidR="00977B2A" w:rsidRPr="005A41E0">
        <w:rPr>
          <w:rFonts w:asciiTheme="majorHAnsi" w:hAnsiTheme="majorHAnsi"/>
          <w:sz w:val="20"/>
          <w:szCs w:val="20"/>
          <w:lang w:val="en-US"/>
        </w:rPr>
        <w:t xml:space="preserve"> </w:t>
      </w:r>
      <w:r w:rsidR="00342D51" w:rsidRPr="005A41E0">
        <w:rPr>
          <w:rFonts w:asciiTheme="majorHAnsi" w:hAnsiTheme="majorHAnsi"/>
          <w:sz w:val="20"/>
          <w:szCs w:val="20"/>
          <w:lang w:val="en-US"/>
        </w:rPr>
        <w:t>Com</w:t>
      </w:r>
      <w:r w:rsidRPr="005A41E0">
        <w:rPr>
          <w:rFonts w:asciiTheme="majorHAnsi" w:hAnsiTheme="majorHAnsi"/>
          <w:sz w:val="20"/>
          <w:szCs w:val="20"/>
          <w:lang w:val="en-US"/>
        </w:rPr>
        <w:t>m</w:t>
      </w:r>
      <w:r w:rsidR="00342D51" w:rsidRPr="005A41E0">
        <w:rPr>
          <w:rFonts w:asciiTheme="majorHAnsi" w:hAnsiTheme="majorHAnsi"/>
          <w:sz w:val="20"/>
          <w:szCs w:val="20"/>
          <w:lang w:val="en-US"/>
        </w:rPr>
        <w:t>is</w:t>
      </w:r>
      <w:r w:rsidRPr="005A41E0">
        <w:rPr>
          <w:rFonts w:asciiTheme="majorHAnsi" w:hAnsiTheme="majorHAnsi"/>
          <w:sz w:val="20"/>
          <w:szCs w:val="20"/>
          <w:lang w:val="en-US"/>
        </w:rPr>
        <w:t xml:space="preserve">sioner </w:t>
      </w:r>
      <w:r w:rsidR="00977B2A" w:rsidRPr="005A41E0">
        <w:rPr>
          <w:rFonts w:asciiTheme="majorHAnsi" w:hAnsiTheme="majorHAnsi"/>
          <w:sz w:val="20"/>
          <w:szCs w:val="20"/>
          <w:lang w:val="en-US"/>
        </w:rPr>
        <w:t xml:space="preserve">Francisco </w:t>
      </w:r>
      <w:r w:rsidR="00342D51" w:rsidRPr="005A41E0">
        <w:rPr>
          <w:rFonts w:asciiTheme="majorHAnsi" w:hAnsiTheme="majorHAnsi"/>
          <w:sz w:val="20"/>
          <w:szCs w:val="20"/>
          <w:lang w:val="en-US"/>
        </w:rPr>
        <w:t>Eguiguren</w:t>
      </w:r>
      <w:r w:rsidR="00977B2A"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Rapporteur on the rights of </w:t>
      </w:r>
      <w:r w:rsidR="00977B2A" w:rsidRPr="005A41E0">
        <w:rPr>
          <w:rFonts w:asciiTheme="majorHAnsi" w:hAnsiTheme="majorHAnsi"/>
          <w:sz w:val="20"/>
          <w:szCs w:val="20"/>
          <w:lang w:val="en-US"/>
        </w:rPr>
        <w:t>LGBTI</w:t>
      </w:r>
      <w:r w:rsidRPr="005A41E0">
        <w:rPr>
          <w:rFonts w:asciiTheme="majorHAnsi" w:hAnsiTheme="majorHAnsi"/>
          <w:sz w:val="20"/>
          <w:szCs w:val="20"/>
          <w:lang w:val="en-US"/>
        </w:rPr>
        <w:t xml:space="preserve"> persons</w:t>
      </w:r>
      <w:r w:rsidR="00977B2A" w:rsidRPr="005A41E0">
        <w:rPr>
          <w:rFonts w:asciiTheme="majorHAnsi" w:hAnsiTheme="majorHAnsi"/>
          <w:sz w:val="20"/>
          <w:szCs w:val="20"/>
          <w:lang w:val="en-US"/>
        </w:rPr>
        <w:t>,</w:t>
      </w:r>
      <w:r w:rsidRPr="005A41E0">
        <w:rPr>
          <w:rFonts w:asciiTheme="majorHAnsi" w:hAnsiTheme="majorHAnsi"/>
          <w:sz w:val="20"/>
          <w:szCs w:val="20"/>
          <w:lang w:val="en-US"/>
        </w:rPr>
        <w:t xml:space="preserve"> participated in the </w:t>
      </w:r>
      <w:r w:rsidR="00342D51" w:rsidRPr="005A41E0">
        <w:rPr>
          <w:rFonts w:asciiTheme="majorHAnsi" w:hAnsiTheme="majorHAnsi"/>
          <w:sz w:val="20"/>
          <w:szCs w:val="20"/>
          <w:lang w:val="en-US"/>
        </w:rPr>
        <w:t>“Di</w:t>
      </w:r>
      <w:r w:rsidRPr="005A41E0">
        <w:rPr>
          <w:rFonts w:asciiTheme="majorHAnsi" w:hAnsiTheme="majorHAnsi"/>
          <w:sz w:val="20"/>
          <w:szCs w:val="20"/>
          <w:lang w:val="en-US"/>
        </w:rPr>
        <w:t xml:space="preserve">alogue of the IACHR with the Member States of the OAS on Good Practices in respect of the Rights of </w:t>
      </w:r>
      <w:r w:rsidR="00342D51" w:rsidRPr="005A41E0">
        <w:rPr>
          <w:rFonts w:asciiTheme="majorHAnsi" w:hAnsiTheme="majorHAnsi"/>
          <w:sz w:val="20"/>
          <w:szCs w:val="20"/>
          <w:lang w:val="en-US"/>
        </w:rPr>
        <w:t xml:space="preserve">LGBTI </w:t>
      </w:r>
      <w:r w:rsidRPr="005A41E0">
        <w:rPr>
          <w:rFonts w:asciiTheme="majorHAnsi" w:hAnsiTheme="majorHAnsi"/>
          <w:sz w:val="20"/>
          <w:szCs w:val="20"/>
          <w:lang w:val="en-US"/>
        </w:rPr>
        <w:t>Persons in the Americas.</w:t>
      </w:r>
      <w:r w:rsidR="00342D51" w:rsidRPr="005A41E0">
        <w:rPr>
          <w:rFonts w:asciiTheme="majorHAnsi" w:hAnsiTheme="majorHAnsi"/>
          <w:sz w:val="20"/>
          <w:szCs w:val="20"/>
          <w:lang w:val="en-US"/>
        </w:rPr>
        <w:t>”</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A628FD" w:rsidP="00A628FD">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In addition, the Section of </w:t>
      </w:r>
      <w:r w:rsidR="00044667" w:rsidRPr="005A41E0">
        <w:rPr>
          <w:rFonts w:asciiTheme="majorHAnsi" w:hAnsiTheme="majorHAnsi"/>
          <w:sz w:val="20"/>
          <w:szCs w:val="20"/>
          <w:lang w:val="en-US"/>
        </w:rPr>
        <w:t>Promotion and Public Policy coordinated the organization of the 158</w:t>
      </w:r>
      <w:r w:rsidR="00044667" w:rsidRPr="005A41E0">
        <w:rPr>
          <w:rFonts w:asciiTheme="majorHAnsi" w:hAnsiTheme="majorHAnsi"/>
          <w:sz w:val="20"/>
          <w:szCs w:val="20"/>
          <w:vertAlign w:val="superscript"/>
          <w:lang w:val="en-US"/>
        </w:rPr>
        <w:t>th</w:t>
      </w:r>
      <w:r w:rsidR="00044667" w:rsidRPr="005A41E0">
        <w:rPr>
          <w:rFonts w:asciiTheme="majorHAnsi" w:hAnsiTheme="majorHAnsi"/>
          <w:sz w:val="20"/>
          <w:szCs w:val="20"/>
          <w:lang w:val="en-US"/>
        </w:rPr>
        <w:t xml:space="preserve"> special period of sessions, which took place in </w:t>
      </w:r>
      <w:r w:rsidR="00342D51" w:rsidRPr="005A41E0">
        <w:rPr>
          <w:rFonts w:asciiTheme="majorHAnsi" w:hAnsiTheme="majorHAnsi"/>
          <w:sz w:val="20"/>
          <w:szCs w:val="20"/>
          <w:lang w:val="en-US"/>
        </w:rPr>
        <w:t>Santiago</w:t>
      </w:r>
      <w:r w:rsidR="00044667"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Chile</w:t>
      </w:r>
      <w:r w:rsidR="00044667" w:rsidRPr="005A41E0">
        <w:rPr>
          <w:rFonts w:asciiTheme="majorHAnsi" w:hAnsiTheme="majorHAnsi"/>
          <w:sz w:val="20"/>
          <w:szCs w:val="20"/>
          <w:lang w:val="en-US"/>
        </w:rPr>
        <w:t xml:space="preserve">, June </w:t>
      </w:r>
      <w:r w:rsidR="00342D51" w:rsidRPr="005A41E0">
        <w:rPr>
          <w:rFonts w:asciiTheme="majorHAnsi" w:hAnsiTheme="majorHAnsi"/>
          <w:sz w:val="20"/>
          <w:szCs w:val="20"/>
          <w:lang w:val="en-US"/>
        </w:rPr>
        <w:t xml:space="preserve">6 </w:t>
      </w:r>
      <w:r w:rsidR="00044667" w:rsidRPr="005A41E0">
        <w:rPr>
          <w:rFonts w:asciiTheme="majorHAnsi" w:hAnsiTheme="majorHAnsi"/>
          <w:sz w:val="20"/>
          <w:szCs w:val="20"/>
          <w:lang w:val="en-US"/>
        </w:rPr>
        <w:t xml:space="preserve">to </w:t>
      </w:r>
      <w:r w:rsidR="00342D51" w:rsidRPr="005A41E0">
        <w:rPr>
          <w:rFonts w:asciiTheme="majorHAnsi" w:hAnsiTheme="majorHAnsi"/>
          <w:sz w:val="20"/>
          <w:szCs w:val="20"/>
          <w:lang w:val="en-US"/>
        </w:rPr>
        <w:t>10</w:t>
      </w:r>
      <w:r w:rsidR="00044667"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2016. </w:t>
      </w:r>
      <w:r w:rsidR="00044667" w:rsidRPr="005A41E0">
        <w:rPr>
          <w:rFonts w:asciiTheme="majorHAnsi" w:hAnsiTheme="majorHAnsi"/>
          <w:sz w:val="20"/>
          <w:szCs w:val="20"/>
          <w:lang w:val="en-US"/>
        </w:rPr>
        <w:t>I</w:t>
      </w:r>
      <w:r w:rsidR="00342D51" w:rsidRPr="005A41E0">
        <w:rPr>
          <w:rFonts w:asciiTheme="majorHAnsi" w:hAnsiTheme="majorHAnsi"/>
          <w:sz w:val="20"/>
          <w:szCs w:val="20"/>
          <w:lang w:val="en-US"/>
        </w:rPr>
        <w:t xml:space="preserve">n particular, </w:t>
      </w:r>
      <w:r w:rsidR="00044667" w:rsidRPr="005A41E0">
        <w:rPr>
          <w:rFonts w:asciiTheme="majorHAnsi" w:hAnsiTheme="majorHAnsi"/>
          <w:sz w:val="20"/>
          <w:szCs w:val="20"/>
          <w:lang w:val="en-US"/>
        </w:rPr>
        <w:t xml:space="preserve">the opening session was coordinated with the Human Rights Bureau of the Ministry of Foreign Affairs of Chile, with the participation of President </w:t>
      </w:r>
      <w:r w:rsidR="00342D51" w:rsidRPr="005A41E0">
        <w:rPr>
          <w:rFonts w:asciiTheme="majorHAnsi" w:hAnsiTheme="majorHAnsi"/>
          <w:sz w:val="20"/>
          <w:szCs w:val="20"/>
          <w:lang w:val="en-US"/>
        </w:rPr>
        <w:t xml:space="preserve">Michelle Bachelet, </w:t>
      </w:r>
      <w:r w:rsidR="00044667" w:rsidRPr="005A41E0">
        <w:rPr>
          <w:rFonts w:asciiTheme="majorHAnsi" w:hAnsiTheme="majorHAnsi"/>
          <w:sz w:val="20"/>
          <w:szCs w:val="20"/>
          <w:lang w:val="en-US"/>
        </w:rPr>
        <w:t xml:space="preserve">protocolary meetings with high-level officials, the requirements for the working sessions of the IACHR and public hearings; as well as the promotional seminar.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832975" w:rsidP="00430EB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As for the preparatory work on the resolutions that were approved at the General Assembly in </w:t>
      </w:r>
      <w:r w:rsidR="00342D51" w:rsidRPr="005A41E0">
        <w:rPr>
          <w:rFonts w:asciiTheme="majorHAnsi" w:hAnsiTheme="majorHAnsi"/>
          <w:sz w:val="20"/>
          <w:szCs w:val="20"/>
          <w:lang w:val="en-US"/>
        </w:rPr>
        <w:t>Santo Domingo</w:t>
      </w:r>
      <w:r w:rsidRPr="005A41E0">
        <w:rPr>
          <w:rFonts w:asciiTheme="majorHAnsi" w:hAnsiTheme="majorHAnsi"/>
          <w:sz w:val="20"/>
          <w:szCs w:val="20"/>
          <w:lang w:val="en-US"/>
        </w:rPr>
        <w:t>, t</w:t>
      </w:r>
      <w:r w:rsidR="00430EBB">
        <w:rPr>
          <w:rFonts w:asciiTheme="majorHAnsi" w:hAnsiTheme="majorHAnsi"/>
          <w:sz w:val="20"/>
          <w:szCs w:val="20"/>
          <w:lang w:val="en-US"/>
        </w:rPr>
        <w:t>he IACHR, through the Section of</w:t>
      </w:r>
      <w:r w:rsidRPr="005A41E0">
        <w:rPr>
          <w:rFonts w:asciiTheme="majorHAnsi" w:hAnsiTheme="majorHAnsi"/>
          <w:sz w:val="20"/>
          <w:szCs w:val="20"/>
          <w:lang w:val="en-US"/>
        </w:rPr>
        <w:t xml:space="preserve"> Advisory Services for States, attended the meetings where they were negotiated in the </w:t>
      </w:r>
      <w:r w:rsidR="00342D51" w:rsidRPr="005A41E0">
        <w:rPr>
          <w:rFonts w:asciiTheme="majorHAnsi" w:hAnsiTheme="majorHAnsi"/>
          <w:sz w:val="20"/>
          <w:szCs w:val="20"/>
          <w:lang w:val="en-US"/>
        </w:rPr>
        <w:t xml:space="preserve">CAJP </w:t>
      </w:r>
      <w:r w:rsidRPr="005A41E0">
        <w:rPr>
          <w:rFonts w:asciiTheme="majorHAnsi" w:hAnsiTheme="majorHAnsi"/>
          <w:sz w:val="20"/>
          <w:szCs w:val="20"/>
          <w:lang w:val="en-US"/>
        </w:rPr>
        <w:t>and the Permanent Council</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for the following resolutions related to human rights</w:t>
      </w:r>
      <w:r w:rsidR="002D0827" w:rsidRPr="005A41E0">
        <w:rPr>
          <w:rFonts w:asciiTheme="majorHAnsi" w:hAnsiTheme="majorHAnsi"/>
          <w:sz w:val="20"/>
          <w:szCs w:val="20"/>
          <w:lang w:val="en-US"/>
        </w:rPr>
        <w:t>: AG/RES. 2883 (XLVI-O/16)</w:t>
      </w:r>
      <w:r w:rsidR="00342D51" w:rsidRPr="005A41E0">
        <w:rPr>
          <w:rFonts w:asciiTheme="majorHAnsi" w:hAnsiTheme="majorHAnsi"/>
          <w:sz w:val="20"/>
          <w:szCs w:val="20"/>
          <w:lang w:val="en-US"/>
        </w:rPr>
        <w:t xml:space="preserve"> </w:t>
      </w:r>
      <w:r w:rsidR="00975372" w:rsidRPr="005A41E0">
        <w:rPr>
          <w:rFonts w:asciiTheme="majorHAnsi" w:hAnsiTheme="majorHAnsi"/>
          <w:sz w:val="20"/>
          <w:szCs w:val="20"/>
          <w:lang w:val="en-US"/>
        </w:rPr>
        <w:t>Inter-American Program for the Promotion and Protection of the Human Rights of Migrants, including Migrant Workers and their Families</w:t>
      </w:r>
      <w:r w:rsidR="00342D51" w:rsidRPr="005A41E0">
        <w:rPr>
          <w:rFonts w:asciiTheme="majorHAnsi" w:hAnsiTheme="majorHAnsi"/>
          <w:sz w:val="20"/>
          <w:szCs w:val="20"/>
          <w:lang w:val="en-US"/>
        </w:rPr>
        <w:t>; AG/RES. 2885 (XLVI-O/16</w:t>
      </w:r>
      <w:r w:rsidR="00634DC8" w:rsidRPr="005A41E0">
        <w:rPr>
          <w:rFonts w:asciiTheme="majorHAnsi" w:hAnsiTheme="majorHAnsi"/>
          <w:sz w:val="20"/>
          <w:szCs w:val="20"/>
          <w:lang w:val="en-US"/>
        </w:rPr>
        <w:t xml:space="preserve">) </w:t>
      </w:r>
      <w:r w:rsidR="00975372" w:rsidRPr="005A41E0">
        <w:rPr>
          <w:rFonts w:asciiTheme="majorHAnsi" w:hAnsiTheme="majorHAnsi"/>
          <w:sz w:val="20"/>
          <w:szCs w:val="20"/>
          <w:lang w:val="en-US"/>
        </w:rPr>
        <w:t>Inter-American Program on Access to Public Information</w:t>
      </w:r>
      <w:r w:rsidR="00342D51" w:rsidRPr="005A41E0">
        <w:rPr>
          <w:rFonts w:asciiTheme="majorHAnsi" w:hAnsiTheme="majorHAnsi"/>
          <w:sz w:val="20"/>
          <w:szCs w:val="20"/>
          <w:lang w:val="en-US"/>
        </w:rPr>
        <w:t>; AG</w:t>
      </w:r>
      <w:r w:rsidR="00975372" w:rsidRPr="005A41E0">
        <w:rPr>
          <w:rFonts w:asciiTheme="majorHAnsi" w:hAnsiTheme="majorHAnsi"/>
          <w:sz w:val="20"/>
          <w:szCs w:val="20"/>
          <w:lang w:val="en-US"/>
        </w:rPr>
        <w:t>/RES. 2887 (XLVI-O/16) Promotion and Protection of Human Rights</w:t>
      </w:r>
      <w:r w:rsidR="00342D51" w:rsidRPr="005A41E0">
        <w:rPr>
          <w:rFonts w:asciiTheme="majorHAnsi" w:hAnsiTheme="majorHAnsi"/>
          <w:sz w:val="20"/>
          <w:szCs w:val="20"/>
          <w:lang w:val="en-US"/>
        </w:rPr>
        <w:t>; AG/RES</w:t>
      </w:r>
      <w:r w:rsidR="00634DC8" w:rsidRPr="005A41E0">
        <w:rPr>
          <w:rFonts w:asciiTheme="majorHAnsi" w:hAnsiTheme="majorHAnsi"/>
          <w:sz w:val="20"/>
          <w:szCs w:val="20"/>
          <w:lang w:val="en-US"/>
        </w:rPr>
        <w:t xml:space="preserve">. 2888 (XLVI-O/16) </w:t>
      </w:r>
      <w:r w:rsidR="00975372" w:rsidRPr="005A41E0">
        <w:rPr>
          <w:rFonts w:asciiTheme="majorHAnsi" w:hAnsiTheme="majorHAnsi"/>
          <w:sz w:val="20"/>
          <w:szCs w:val="20"/>
          <w:lang w:val="en-US"/>
        </w:rPr>
        <w:t xml:space="preserve">American Declaration on the </w:t>
      </w:r>
      <w:r w:rsidR="00634DC8" w:rsidRPr="005A41E0">
        <w:rPr>
          <w:rFonts w:asciiTheme="majorHAnsi" w:hAnsiTheme="majorHAnsi"/>
          <w:sz w:val="20"/>
          <w:szCs w:val="20"/>
          <w:lang w:val="en-US"/>
        </w:rPr>
        <w:t xml:space="preserve"> </w:t>
      </w:r>
      <w:r w:rsidR="00975372" w:rsidRPr="005A41E0">
        <w:rPr>
          <w:rFonts w:asciiTheme="majorHAnsi" w:hAnsiTheme="majorHAnsi"/>
          <w:sz w:val="20"/>
          <w:szCs w:val="20"/>
          <w:lang w:val="en-US"/>
        </w:rPr>
        <w:t>Rights of Indigenous Peoples</w:t>
      </w:r>
      <w:r w:rsidR="00342D51" w:rsidRPr="005A41E0">
        <w:rPr>
          <w:rFonts w:asciiTheme="majorHAnsi" w:hAnsiTheme="majorHAnsi"/>
          <w:sz w:val="20"/>
          <w:szCs w:val="20"/>
          <w:lang w:val="en-US"/>
        </w:rPr>
        <w:t xml:space="preserve">; </w:t>
      </w:r>
      <w:r w:rsidR="00975372" w:rsidRPr="005A41E0">
        <w:rPr>
          <w:rFonts w:asciiTheme="majorHAnsi" w:hAnsiTheme="majorHAnsi"/>
          <w:sz w:val="20"/>
          <w:szCs w:val="20"/>
          <w:lang w:val="en-US"/>
        </w:rPr>
        <w:t xml:space="preserve">and </w:t>
      </w:r>
      <w:r w:rsidR="00342D51" w:rsidRPr="005A41E0">
        <w:rPr>
          <w:rFonts w:asciiTheme="majorHAnsi" w:hAnsiTheme="majorHAnsi"/>
          <w:sz w:val="20"/>
          <w:szCs w:val="20"/>
          <w:lang w:val="en-US"/>
        </w:rPr>
        <w:t xml:space="preserve">AG/RES. 2891 (XLVI-O/16) </w:t>
      </w:r>
      <w:r w:rsidR="00975372" w:rsidRPr="005A41E0">
        <w:rPr>
          <w:rFonts w:asciiTheme="majorHAnsi" w:hAnsiTheme="majorHAnsi"/>
          <w:sz w:val="20"/>
          <w:szCs w:val="20"/>
          <w:lang w:val="en-US"/>
        </w:rPr>
        <w:t xml:space="preserve">Plan of Action for the Decade for People of African Descent in the Americas </w:t>
      </w:r>
      <w:r w:rsidR="00342D51" w:rsidRPr="005A41E0">
        <w:rPr>
          <w:rFonts w:asciiTheme="majorHAnsi" w:hAnsiTheme="majorHAnsi"/>
          <w:sz w:val="20"/>
          <w:szCs w:val="20"/>
          <w:lang w:val="en-US"/>
        </w:rPr>
        <w:t xml:space="preserve">(2016-2025).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975372" w:rsidP="00D70561">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w:t>
      </w:r>
      <w:r w:rsidR="00D70561">
        <w:rPr>
          <w:rFonts w:asciiTheme="majorHAnsi" w:hAnsiTheme="majorHAnsi"/>
          <w:sz w:val="20"/>
          <w:szCs w:val="20"/>
          <w:lang w:val="en-US"/>
        </w:rPr>
        <w:t xml:space="preserve">Commission also followed – in </w:t>
      </w:r>
      <w:r w:rsidRPr="005A41E0">
        <w:rPr>
          <w:rFonts w:asciiTheme="majorHAnsi" w:hAnsiTheme="majorHAnsi"/>
          <w:sz w:val="20"/>
          <w:szCs w:val="20"/>
          <w:lang w:val="en-US"/>
        </w:rPr>
        <w:t xml:space="preserve">the </w:t>
      </w:r>
      <w:r w:rsidR="00342D51" w:rsidRPr="005A41E0">
        <w:rPr>
          <w:rFonts w:asciiTheme="majorHAnsi" w:hAnsiTheme="majorHAnsi"/>
          <w:sz w:val="20"/>
          <w:szCs w:val="20"/>
          <w:lang w:val="en-US"/>
        </w:rPr>
        <w:t xml:space="preserve">CAJP, </w:t>
      </w:r>
      <w:r w:rsidRPr="005A41E0">
        <w:rPr>
          <w:rFonts w:asciiTheme="majorHAnsi" w:hAnsiTheme="majorHAnsi"/>
          <w:sz w:val="20"/>
          <w:szCs w:val="20"/>
          <w:lang w:val="en-US"/>
        </w:rPr>
        <w:t xml:space="preserve">the Permanent Council, the </w:t>
      </w:r>
      <w:r w:rsidR="00342D51" w:rsidRPr="005A41E0">
        <w:rPr>
          <w:rFonts w:asciiTheme="majorHAnsi" w:hAnsiTheme="majorHAnsi"/>
          <w:sz w:val="20"/>
          <w:szCs w:val="20"/>
          <w:lang w:val="en-US"/>
        </w:rPr>
        <w:t xml:space="preserve">CAAP, </w:t>
      </w:r>
      <w:r w:rsidRPr="005A41E0">
        <w:rPr>
          <w:rFonts w:asciiTheme="majorHAnsi" w:hAnsiTheme="majorHAnsi"/>
          <w:sz w:val="20"/>
          <w:szCs w:val="20"/>
          <w:lang w:val="en-US"/>
        </w:rPr>
        <w:t xml:space="preserve">and the meetings on Strategic Vision and </w:t>
      </w:r>
      <w:r w:rsidR="00D70561">
        <w:rPr>
          <w:rFonts w:asciiTheme="majorHAnsi" w:hAnsiTheme="majorHAnsi"/>
          <w:sz w:val="20"/>
          <w:szCs w:val="20"/>
          <w:lang w:val="en-US"/>
        </w:rPr>
        <w:t xml:space="preserve">financial and budgetary issues,– the </w:t>
      </w:r>
      <w:r w:rsidRPr="005A41E0">
        <w:rPr>
          <w:rFonts w:asciiTheme="majorHAnsi" w:hAnsiTheme="majorHAnsi"/>
          <w:sz w:val="20"/>
          <w:szCs w:val="20"/>
          <w:lang w:val="en-US"/>
        </w:rPr>
        <w:t>negotiation of the following resolutions</w:t>
      </w:r>
      <w:r w:rsidR="00342D51" w:rsidRPr="005A41E0">
        <w:rPr>
          <w:rFonts w:asciiTheme="majorHAnsi" w:hAnsiTheme="majorHAnsi"/>
          <w:sz w:val="20"/>
          <w:szCs w:val="20"/>
          <w:lang w:val="en-US"/>
        </w:rPr>
        <w:t>: AG/RES. 2895 (XLVI-O/16) Financi</w:t>
      </w:r>
      <w:r w:rsidRPr="005A41E0">
        <w:rPr>
          <w:rFonts w:asciiTheme="majorHAnsi" w:hAnsiTheme="majorHAnsi"/>
          <w:sz w:val="20"/>
          <w:szCs w:val="20"/>
          <w:lang w:val="en-US"/>
        </w:rPr>
        <w:t xml:space="preserve">ng of the </w:t>
      </w:r>
      <w:r w:rsidR="00342D51" w:rsidRPr="005A41E0">
        <w:rPr>
          <w:rFonts w:asciiTheme="majorHAnsi" w:hAnsiTheme="majorHAnsi"/>
          <w:sz w:val="20"/>
          <w:szCs w:val="20"/>
          <w:lang w:val="en-US"/>
        </w:rPr>
        <w:t>2017</w:t>
      </w:r>
      <w:r w:rsidRPr="005A41E0">
        <w:rPr>
          <w:rFonts w:asciiTheme="majorHAnsi" w:hAnsiTheme="majorHAnsi"/>
          <w:sz w:val="20"/>
          <w:szCs w:val="20"/>
          <w:lang w:val="en-US"/>
        </w:rPr>
        <w:t xml:space="preserve"> Program-Budget of the Organization</w:t>
      </w:r>
      <w:r w:rsidR="00342D51" w:rsidRPr="005A41E0">
        <w:rPr>
          <w:rFonts w:asciiTheme="majorHAnsi" w:hAnsiTheme="majorHAnsi"/>
          <w:sz w:val="20"/>
          <w:szCs w:val="20"/>
          <w:lang w:val="en-US"/>
        </w:rPr>
        <w:t xml:space="preserve">; AG/RES. 2890 (XLVI-O/16) </w:t>
      </w:r>
      <w:r w:rsidRPr="005A41E0">
        <w:rPr>
          <w:rFonts w:asciiTheme="majorHAnsi" w:hAnsiTheme="majorHAnsi"/>
          <w:sz w:val="20"/>
          <w:szCs w:val="20"/>
          <w:lang w:val="en-US"/>
        </w:rPr>
        <w:t xml:space="preserve">Four-Year Strategic </w:t>
      </w:r>
      <w:r w:rsidR="00342D51" w:rsidRPr="005A41E0">
        <w:rPr>
          <w:rFonts w:asciiTheme="majorHAnsi" w:hAnsiTheme="majorHAnsi"/>
          <w:sz w:val="20"/>
          <w:szCs w:val="20"/>
          <w:lang w:val="en-US"/>
        </w:rPr>
        <w:t xml:space="preserve">Plan </w:t>
      </w:r>
      <w:r w:rsidRPr="005A41E0">
        <w:rPr>
          <w:rFonts w:asciiTheme="majorHAnsi" w:hAnsiTheme="majorHAnsi"/>
          <w:sz w:val="20"/>
          <w:szCs w:val="20"/>
          <w:lang w:val="en-US"/>
        </w:rPr>
        <w:t>of the Organization</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w:t>
      </w:r>
      <w:r w:rsidR="00342D51" w:rsidRPr="005A41E0">
        <w:rPr>
          <w:rFonts w:asciiTheme="majorHAnsi" w:hAnsiTheme="majorHAnsi"/>
          <w:sz w:val="20"/>
          <w:szCs w:val="20"/>
          <w:lang w:val="en-US"/>
        </w:rPr>
        <w:t xml:space="preserve">AG/RES. 2892 (XLVI-O/16) </w:t>
      </w:r>
      <w:r w:rsidRPr="005A41E0">
        <w:rPr>
          <w:rFonts w:asciiTheme="majorHAnsi" w:hAnsiTheme="majorHAnsi"/>
          <w:sz w:val="20"/>
          <w:szCs w:val="20"/>
          <w:lang w:val="en-US"/>
        </w:rPr>
        <w:t>Management Modernization</w:t>
      </w:r>
      <w:r w:rsidR="00342D51" w:rsidRPr="005A41E0">
        <w:rPr>
          <w:rFonts w:asciiTheme="majorHAnsi" w:hAnsiTheme="majorHAnsi"/>
          <w:sz w:val="20"/>
          <w:szCs w:val="20"/>
          <w:lang w:val="en-US"/>
        </w:rPr>
        <w:t>.</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7E5801"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addition, a delegation of the IACHR headed by its President James Cavallaro participated in the </w:t>
      </w:r>
      <w:r w:rsidR="00342D51" w:rsidRPr="005A41E0">
        <w:rPr>
          <w:rFonts w:asciiTheme="majorHAnsi" w:hAnsiTheme="majorHAnsi"/>
          <w:sz w:val="20"/>
          <w:szCs w:val="20"/>
          <w:lang w:val="en-US"/>
        </w:rPr>
        <w:t xml:space="preserve">General </w:t>
      </w:r>
      <w:r w:rsidRPr="005A41E0">
        <w:rPr>
          <w:rFonts w:asciiTheme="majorHAnsi" w:hAnsiTheme="majorHAnsi"/>
          <w:sz w:val="20"/>
          <w:szCs w:val="20"/>
          <w:lang w:val="en-US"/>
        </w:rPr>
        <w:t xml:space="preserve">Assembly in </w:t>
      </w:r>
      <w:r w:rsidR="00342D51" w:rsidRPr="005A41E0">
        <w:rPr>
          <w:rFonts w:asciiTheme="majorHAnsi" w:hAnsiTheme="majorHAnsi"/>
          <w:sz w:val="20"/>
          <w:szCs w:val="20"/>
          <w:lang w:val="en-US"/>
        </w:rPr>
        <w:t xml:space="preserve">Santo Domingo, </w:t>
      </w:r>
      <w:r w:rsidRPr="005A41E0">
        <w:rPr>
          <w:rFonts w:asciiTheme="majorHAnsi" w:hAnsiTheme="majorHAnsi"/>
          <w:sz w:val="20"/>
          <w:szCs w:val="20"/>
          <w:lang w:val="en-US"/>
        </w:rPr>
        <w:t xml:space="preserve">Dominican Republic, June </w:t>
      </w:r>
      <w:r w:rsidR="00342D51" w:rsidRPr="005A41E0">
        <w:rPr>
          <w:rFonts w:asciiTheme="majorHAnsi" w:hAnsiTheme="majorHAnsi"/>
          <w:sz w:val="20"/>
          <w:szCs w:val="20"/>
          <w:lang w:val="en-US"/>
        </w:rPr>
        <w:t xml:space="preserve">13 </w:t>
      </w:r>
      <w:r w:rsidRPr="005A41E0">
        <w:rPr>
          <w:rFonts w:asciiTheme="majorHAnsi" w:hAnsiTheme="majorHAnsi"/>
          <w:sz w:val="20"/>
          <w:szCs w:val="20"/>
          <w:lang w:val="en-US"/>
        </w:rPr>
        <w:t xml:space="preserve">to </w:t>
      </w:r>
      <w:r w:rsidR="00342D51" w:rsidRPr="005A41E0">
        <w:rPr>
          <w:rFonts w:asciiTheme="majorHAnsi" w:hAnsiTheme="majorHAnsi"/>
          <w:sz w:val="20"/>
          <w:szCs w:val="20"/>
          <w:lang w:val="en-US"/>
        </w:rPr>
        <w:t>15</w:t>
      </w:r>
      <w:r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2017. </w:t>
      </w:r>
      <w:r w:rsidRPr="005A41E0">
        <w:rPr>
          <w:rFonts w:asciiTheme="majorHAnsi" w:hAnsiTheme="majorHAnsi"/>
          <w:sz w:val="20"/>
          <w:szCs w:val="20"/>
          <w:lang w:val="en-US"/>
        </w:rPr>
        <w:t>President</w:t>
      </w:r>
      <w:r w:rsidR="00342D51" w:rsidRPr="005A41E0">
        <w:rPr>
          <w:rFonts w:asciiTheme="majorHAnsi" w:hAnsiTheme="majorHAnsi"/>
          <w:sz w:val="20"/>
          <w:szCs w:val="20"/>
          <w:lang w:val="en-US"/>
        </w:rPr>
        <w:t xml:space="preserve"> Cavallaro </w:t>
      </w:r>
      <w:r w:rsidRPr="005A41E0">
        <w:rPr>
          <w:rFonts w:asciiTheme="majorHAnsi" w:hAnsiTheme="majorHAnsi"/>
          <w:sz w:val="20"/>
          <w:szCs w:val="20"/>
          <w:lang w:val="en-US"/>
        </w:rPr>
        <w:t xml:space="preserve">presented the 2015 Annual Report of the IACHR in the fourth plenary session of the General Assembly, with remarks by the following states: </w:t>
      </w:r>
      <w:r w:rsidR="00342D51" w:rsidRPr="005A41E0">
        <w:rPr>
          <w:rFonts w:asciiTheme="majorHAnsi" w:hAnsiTheme="majorHAnsi"/>
          <w:sz w:val="20"/>
          <w:szCs w:val="20"/>
          <w:lang w:val="en-US"/>
        </w:rPr>
        <w:t xml:space="preserve">Colombia, Chile, </w:t>
      </w:r>
      <w:r w:rsidR="00977B2A" w:rsidRPr="005A41E0">
        <w:rPr>
          <w:rFonts w:asciiTheme="majorHAnsi" w:hAnsiTheme="majorHAnsi"/>
          <w:sz w:val="20"/>
          <w:szCs w:val="20"/>
          <w:lang w:val="en-US"/>
        </w:rPr>
        <w:t xml:space="preserve">Ecuador, </w:t>
      </w:r>
      <w:r w:rsidR="00342D51" w:rsidRPr="005A41E0">
        <w:rPr>
          <w:rFonts w:asciiTheme="majorHAnsi" w:hAnsiTheme="majorHAnsi"/>
          <w:sz w:val="20"/>
          <w:szCs w:val="20"/>
          <w:lang w:val="en-US"/>
        </w:rPr>
        <w:t xml:space="preserve">Nicaragua, </w:t>
      </w:r>
      <w:r w:rsidRPr="005A41E0">
        <w:rPr>
          <w:rFonts w:asciiTheme="majorHAnsi" w:hAnsiTheme="majorHAnsi"/>
          <w:sz w:val="20"/>
          <w:szCs w:val="20"/>
          <w:lang w:val="en-US"/>
        </w:rPr>
        <w:t>Peru, Panama, the United States,</w:t>
      </w:r>
      <w:r w:rsidR="00342D51" w:rsidRPr="005A41E0">
        <w:rPr>
          <w:rFonts w:asciiTheme="majorHAnsi" w:hAnsiTheme="majorHAnsi"/>
          <w:sz w:val="20"/>
          <w:szCs w:val="20"/>
          <w:lang w:val="en-US"/>
        </w:rPr>
        <w:t xml:space="preserve"> Uruguay. </w:t>
      </w:r>
      <w:r w:rsidRPr="005A41E0">
        <w:rPr>
          <w:rFonts w:asciiTheme="majorHAnsi" w:hAnsiTheme="majorHAnsi"/>
          <w:sz w:val="20"/>
          <w:szCs w:val="20"/>
          <w:lang w:val="en-US"/>
        </w:rPr>
        <w:t xml:space="preserve">It also held </w:t>
      </w:r>
      <w:r w:rsidR="00342D51" w:rsidRPr="005A41E0">
        <w:rPr>
          <w:rFonts w:asciiTheme="majorHAnsi" w:hAnsiTheme="majorHAnsi"/>
          <w:sz w:val="20"/>
          <w:szCs w:val="20"/>
          <w:lang w:val="en-US"/>
        </w:rPr>
        <w:t xml:space="preserve">17 </w:t>
      </w:r>
      <w:r w:rsidRPr="005A41E0">
        <w:rPr>
          <w:rFonts w:asciiTheme="majorHAnsi" w:hAnsiTheme="majorHAnsi"/>
          <w:sz w:val="20"/>
          <w:szCs w:val="20"/>
          <w:lang w:val="en-US"/>
        </w:rPr>
        <w:t xml:space="preserve">bilateral meetings with delegations of member states </w:t>
      </w:r>
      <w:r w:rsidR="00AC1530" w:rsidRPr="005A41E0">
        <w:rPr>
          <w:rFonts w:asciiTheme="majorHAnsi" w:hAnsiTheme="majorHAnsi"/>
          <w:sz w:val="20"/>
          <w:szCs w:val="20"/>
          <w:lang w:val="en-US"/>
        </w:rPr>
        <w:t>(Argentina, Bra</w:t>
      </w:r>
      <w:r w:rsidRPr="005A41E0">
        <w:rPr>
          <w:rFonts w:asciiTheme="majorHAnsi" w:hAnsiTheme="majorHAnsi"/>
          <w:sz w:val="20"/>
          <w:szCs w:val="20"/>
          <w:lang w:val="en-US"/>
        </w:rPr>
        <w:t>zil, Canada</w:t>
      </w:r>
      <w:r w:rsidR="00AC1530" w:rsidRPr="005A41E0">
        <w:rPr>
          <w:rFonts w:asciiTheme="majorHAnsi" w:hAnsiTheme="majorHAnsi"/>
          <w:sz w:val="20"/>
          <w:szCs w:val="20"/>
          <w:lang w:val="en-US"/>
        </w:rPr>
        <w:t xml:space="preserve">, Colombia, </w:t>
      </w:r>
      <w:r w:rsidRPr="005A41E0">
        <w:rPr>
          <w:rFonts w:asciiTheme="majorHAnsi" w:hAnsiTheme="majorHAnsi"/>
          <w:sz w:val="20"/>
          <w:szCs w:val="20"/>
          <w:lang w:val="en-US"/>
        </w:rPr>
        <w:t>Dominican Republic</w:t>
      </w:r>
      <w:r w:rsidR="00AC1530" w:rsidRPr="005A41E0">
        <w:rPr>
          <w:rFonts w:asciiTheme="majorHAnsi" w:hAnsiTheme="majorHAnsi"/>
          <w:sz w:val="20"/>
          <w:szCs w:val="20"/>
          <w:lang w:val="en-US"/>
        </w:rPr>
        <w:t>,</w:t>
      </w:r>
      <w:r w:rsidRPr="005A41E0">
        <w:rPr>
          <w:rFonts w:asciiTheme="majorHAnsi" w:hAnsiTheme="majorHAnsi"/>
          <w:sz w:val="20"/>
          <w:szCs w:val="20"/>
          <w:lang w:val="en-US"/>
        </w:rPr>
        <w:t xml:space="preserve"> Guatemala, Mexico, Panama, Peru</w:t>
      </w:r>
      <w:r w:rsidR="00AC1530"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United States, and </w:t>
      </w:r>
      <w:r w:rsidR="00AC1530" w:rsidRPr="005A41E0">
        <w:rPr>
          <w:rFonts w:asciiTheme="majorHAnsi" w:hAnsiTheme="majorHAnsi"/>
          <w:sz w:val="20"/>
          <w:szCs w:val="20"/>
          <w:lang w:val="en-US"/>
        </w:rPr>
        <w:t xml:space="preserve">Uruguay) </w:t>
      </w:r>
      <w:r w:rsidRPr="005A41E0">
        <w:rPr>
          <w:rFonts w:asciiTheme="majorHAnsi" w:hAnsiTheme="majorHAnsi"/>
          <w:sz w:val="20"/>
          <w:szCs w:val="20"/>
          <w:lang w:val="en-US"/>
        </w:rPr>
        <w:t xml:space="preserve">and observer states </w:t>
      </w:r>
      <w:r w:rsidR="00AC1530" w:rsidRPr="005A41E0">
        <w:rPr>
          <w:rFonts w:asciiTheme="majorHAnsi" w:hAnsiTheme="majorHAnsi"/>
          <w:sz w:val="20"/>
          <w:szCs w:val="20"/>
          <w:lang w:val="en-US"/>
        </w:rPr>
        <w:t>(</w:t>
      </w:r>
      <w:r w:rsidRPr="005A41E0">
        <w:rPr>
          <w:rFonts w:asciiTheme="majorHAnsi" w:hAnsiTheme="majorHAnsi"/>
          <w:sz w:val="20"/>
          <w:szCs w:val="20"/>
          <w:lang w:val="en-US"/>
        </w:rPr>
        <w:t>Spain, Netherlands, Sweden, Switzerland, and the European Union</w:t>
      </w:r>
      <w:r w:rsidR="00AC1530"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The delegation also met with civil society organizations.</w:t>
      </w:r>
    </w:p>
    <w:p w:rsidR="00342D51" w:rsidRPr="005A41E0" w:rsidRDefault="00342D51" w:rsidP="005A41E0">
      <w:pPr>
        <w:shd w:val="clear" w:color="auto" w:fill="FFFFFF"/>
        <w:jc w:val="both"/>
        <w:rPr>
          <w:rFonts w:asciiTheme="majorHAnsi" w:hAnsiTheme="majorHAnsi"/>
          <w:sz w:val="20"/>
          <w:szCs w:val="20"/>
          <w:lang w:val="en-US"/>
        </w:rPr>
      </w:pPr>
    </w:p>
    <w:p w:rsidR="00342D51" w:rsidRPr="005A41E0" w:rsidRDefault="007E5801"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lastRenderedPageBreak/>
        <w:t>In the context of its 159</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 on July </w:t>
      </w:r>
      <w:r w:rsidR="00AC1530" w:rsidRPr="005A41E0">
        <w:rPr>
          <w:rFonts w:asciiTheme="majorHAnsi" w:hAnsiTheme="majorHAnsi"/>
          <w:sz w:val="20"/>
          <w:szCs w:val="20"/>
          <w:lang w:val="en-US"/>
        </w:rPr>
        <w:t>27</w:t>
      </w:r>
      <w:r w:rsidRPr="005A41E0">
        <w:rPr>
          <w:rFonts w:asciiTheme="majorHAnsi" w:hAnsiTheme="majorHAnsi"/>
          <w:sz w:val="20"/>
          <w:szCs w:val="20"/>
          <w:lang w:val="en-US"/>
        </w:rPr>
        <w:t>,</w:t>
      </w:r>
      <w:r w:rsidR="00AC1530" w:rsidRPr="005A41E0">
        <w:rPr>
          <w:rFonts w:asciiTheme="majorHAnsi" w:hAnsiTheme="majorHAnsi"/>
          <w:sz w:val="20"/>
          <w:szCs w:val="20"/>
          <w:lang w:val="en-US"/>
        </w:rPr>
        <w:t xml:space="preserve"> 2016 </w:t>
      </w:r>
      <w:r w:rsidRPr="005A41E0">
        <w:rPr>
          <w:rFonts w:asciiTheme="majorHAnsi" w:hAnsiTheme="majorHAnsi"/>
          <w:sz w:val="20"/>
          <w:szCs w:val="20"/>
          <w:lang w:val="en-US"/>
        </w:rPr>
        <w:t xml:space="preserve">the IACHR coordinated the meeting of the </w:t>
      </w:r>
      <w:r w:rsidR="00342D51" w:rsidRPr="005A41E0">
        <w:rPr>
          <w:rFonts w:asciiTheme="majorHAnsi" w:hAnsiTheme="majorHAnsi"/>
          <w:sz w:val="20"/>
          <w:szCs w:val="20"/>
          <w:lang w:val="en-US"/>
        </w:rPr>
        <w:t xml:space="preserve">LGBTI </w:t>
      </w:r>
      <w:r w:rsidRPr="005A41E0">
        <w:rPr>
          <w:rFonts w:asciiTheme="majorHAnsi" w:hAnsiTheme="majorHAnsi"/>
          <w:sz w:val="20"/>
          <w:szCs w:val="20"/>
          <w:lang w:val="en-US"/>
        </w:rPr>
        <w:t xml:space="preserve">Group of the OAS </w:t>
      </w:r>
      <w:r w:rsidR="00342D51" w:rsidRPr="005A41E0">
        <w:rPr>
          <w:rFonts w:asciiTheme="majorHAnsi" w:hAnsiTheme="majorHAnsi"/>
          <w:sz w:val="20"/>
          <w:szCs w:val="20"/>
          <w:lang w:val="en-US"/>
        </w:rPr>
        <w:t>(Argentina, Bra</w:t>
      </w:r>
      <w:r w:rsidRPr="005A41E0">
        <w:rPr>
          <w:rFonts w:asciiTheme="majorHAnsi" w:hAnsiTheme="majorHAnsi"/>
          <w:sz w:val="20"/>
          <w:szCs w:val="20"/>
          <w:lang w:val="en-US"/>
        </w:rPr>
        <w:t>zil, Canada</w:t>
      </w:r>
      <w:r w:rsidR="00342D51" w:rsidRPr="005A41E0">
        <w:rPr>
          <w:rFonts w:asciiTheme="majorHAnsi" w:hAnsiTheme="majorHAnsi"/>
          <w:sz w:val="20"/>
          <w:szCs w:val="20"/>
          <w:lang w:val="en-US"/>
        </w:rPr>
        <w:t xml:space="preserve">, </w:t>
      </w:r>
      <w:r w:rsidR="00AC1530" w:rsidRPr="005A41E0">
        <w:rPr>
          <w:rFonts w:asciiTheme="majorHAnsi" w:hAnsiTheme="majorHAnsi"/>
          <w:sz w:val="20"/>
          <w:szCs w:val="20"/>
          <w:lang w:val="en-US"/>
        </w:rPr>
        <w:t xml:space="preserve">Chile, </w:t>
      </w:r>
      <w:r w:rsidR="00342D51" w:rsidRPr="005A41E0">
        <w:rPr>
          <w:rFonts w:asciiTheme="majorHAnsi" w:hAnsiTheme="majorHAnsi"/>
          <w:sz w:val="20"/>
          <w:szCs w:val="20"/>
          <w:lang w:val="en-US"/>
        </w:rPr>
        <w:t>Colombia, México</w:t>
      </w:r>
      <w:r w:rsidRPr="005A41E0">
        <w:rPr>
          <w:rFonts w:asciiTheme="majorHAnsi" w:hAnsiTheme="majorHAnsi"/>
          <w:sz w:val="20"/>
          <w:szCs w:val="20"/>
          <w:lang w:val="en-US"/>
        </w:rPr>
        <w:t xml:space="preserve">, the United States, and </w:t>
      </w:r>
      <w:r w:rsidR="00342D51" w:rsidRPr="005A41E0">
        <w:rPr>
          <w:rFonts w:asciiTheme="majorHAnsi" w:hAnsiTheme="majorHAnsi"/>
          <w:sz w:val="20"/>
          <w:szCs w:val="20"/>
          <w:lang w:val="en-US"/>
        </w:rPr>
        <w:t xml:space="preserve">Uruguay) </w:t>
      </w:r>
      <w:r w:rsidRPr="005A41E0">
        <w:rPr>
          <w:rFonts w:asciiTheme="majorHAnsi" w:hAnsiTheme="majorHAnsi"/>
          <w:sz w:val="20"/>
          <w:szCs w:val="20"/>
          <w:lang w:val="en-US"/>
        </w:rPr>
        <w:t xml:space="preserve">with Commissioner </w:t>
      </w:r>
      <w:r w:rsidR="00AC1530" w:rsidRPr="005A41E0">
        <w:rPr>
          <w:rFonts w:asciiTheme="majorHAnsi" w:hAnsiTheme="majorHAnsi"/>
          <w:sz w:val="20"/>
          <w:szCs w:val="20"/>
          <w:lang w:val="en-US"/>
        </w:rPr>
        <w:t xml:space="preserve">Francisco </w:t>
      </w:r>
      <w:r w:rsidR="00342D51" w:rsidRPr="005A41E0">
        <w:rPr>
          <w:rFonts w:asciiTheme="majorHAnsi" w:hAnsiTheme="majorHAnsi"/>
          <w:sz w:val="20"/>
          <w:szCs w:val="20"/>
          <w:lang w:val="en-US"/>
        </w:rPr>
        <w:t xml:space="preserve">Eguiguren.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7E5801"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Executive </w:t>
      </w:r>
      <w:r w:rsidR="00342D51" w:rsidRPr="005A41E0">
        <w:rPr>
          <w:rFonts w:asciiTheme="majorHAnsi" w:hAnsiTheme="majorHAnsi"/>
          <w:sz w:val="20"/>
          <w:szCs w:val="20"/>
          <w:lang w:val="en-US"/>
        </w:rPr>
        <w:t>Secr</w:t>
      </w:r>
      <w:r w:rsidRPr="005A41E0">
        <w:rPr>
          <w:rFonts w:asciiTheme="majorHAnsi" w:hAnsiTheme="majorHAnsi"/>
          <w:sz w:val="20"/>
          <w:szCs w:val="20"/>
          <w:lang w:val="en-US"/>
        </w:rPr>
        <w:t xml:space="preserve">etary of the IACHR, </w:t>
      </w:r>
      <w:r w:rsidR="00B645A8" w:rsidRPr="005A41E0">
        <w:rPr>
          <w:rFonts w:asciiTheme="majorHAnsi" w:hAnsiTheme="majorHAnsi"/>
          <w:sz w:val="20"/>
          <w:szCs w:val="20"/>
          <w:lang w:val="en-US"/>
        </w:rPr>
        <w:t>Pau</w:t>
      </w:r>
      <w:r w:rsidR="00342D51" w:rsidRPr="005A41E0">
        <w:rPr>
          <w:rFonts w:asciiTheme="majorHAnsi" w:hAnsiTheme="majorHAnsi"/>
          <w:sz w:val="20"/>
          <w:szCs w:val="20"/>
          <w:lang w:val="en-US"/>
        </w:rPr>
        <w:t xml:space="preserve">lo Abrão, </w:t>
      </w:r>
      <w:r w:rsidRPr="005A41E0">
        <w:rPr>
          <w:rFonts w:asciiTheme="majorHAnsi" w:hAnsiTheme="majorHAnsi"/>
          <w:sz w:val="20"/>
          <w:szCs w:val="20"/>
          <w:lang w:val="en-US"/>
        </w:rPr>
        <w:t xml:space="preserve">held protocolary meetings with the ambassadors of </w:t>
      </w:r>
      <w:r w:rsidR="00342D51" w:rsidRPr="005A41E0">
        <w:rPr>
          <w:rFonts w:asciiTheme="majorHAnsi" w:hAnsiTheme="majorHAnsi"/>
          <w:sz w:val="20"/>
          <w:szCs w:val="20"/>
          <w:lang w:val="en-US"/>
        </w:rPr>
        <w:t>Argentina, Bra</w:t>
      </w:r>
      <w:r w:rsidRPr="005A41E0">
        <w:rPr>
          <w:rFonts w:asciiTheme="majorHAnsi" w:hAnsiTheme="majorHAnsi"/>
          <w:sz w:val="20"/>
          <w:szCs w:val="20"/>
          <w:lang w:val="en-US"/>
        </w:rPr>
        <w:t>zil, Canada</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Chile, </w:t>
      </w:r>
      <w:r w:rsidR="00342D51" w:rsidRPr="005A41E0">
        <w:rPr>
          <w:rFonts w:asciiTheme="majorHAnsi" w:hAnsiTheme="majorHAnsi"/>
          <w:sz w:val="20"/>
          <w:szCs w:val="20"/>
          <w:lang w:val="en-US"/>
        </w:rPr>
        <w:t xml:space="preserve">Colombia, Costa Rica, </w:t>
      </w:r>
      <w:r w:rsidRPr="005A41E0">
        <w:rPr>
          <w:rFonts w:asciiTheme="majorHAnsi" w:hAnsiTheme="majorHAnsi"/>
          <w:sz w:val="20"/>
          <w:szCs w:val="20"/>
          <w:lang w:val="en-US"/>
        </w:rPr>
        <w:t xml:space="preserve">the United States, </w:t>
      </w:r>
      <w:r w:rsidR="00342D51" w:rsidRPr="005A41E0">
        <w:rPr>
          <w:rFonts w:asciiTheme="majorHAnsi" w:hAnsiTheme="majorHAnsi"/>
          <w:sz w:val="20"/>
          <w:szCs w:val="20"/>
          <w:lang w:val="en-US"/>
        </w:rPr>
        <w:t xml:space="preserve">Guatemala, </w:t>
      </w:r>
      <w:r w:rsidR="00634DC8" w:rsidRPr="005A41E0">
        <w:rPr>
          <w:rFonts w:asciiTheme="majorHAnsi" w:hAnsiTheme="majorHAnsi"/>
          <w:sz w:val="20"/>
          <w:szCs w:val="20"/>
          <w:lang w:val="en-US"/>
        </w:rPr>
        <w:t>M</w:t>
      </w:r>
      <w:r w:rsidRPr="005A41E0">
        <w:rPr>
          <w:rFonts w:asciiTheme="majorHAnsi" w:hAnsiTheme="majorHAnsi"/>
          <w:sz w:val="20"/>
          <w:szCs w:val="20"/>
          <w:lang w:val="en-US"/>
        </w:rPr>
        <w:t>e</w:t>
      </w:r>
      <w:r w:rsidR="00634DC8" w:rsidRPr="005A41E0">
        <w:rPr>
          <w:rFonts w:asciiTheme="majorHAnsi" w:hAnsiTheme="majorHAnsi"/>
          <w:sz w:val="20"/>
          <w:szCs w:val="20"/>
          <w:lang w:val="en-US"/>
        </w:rPr>
        <w:t xml:space="preserve">xico, </w:t>
      </w:r>
      <w:r w:rsidRPr="005A41E0">
        <w:rPr>
          <w:rFonts w:asciiTheme="majorHAnsi" w:hAnsiTheme="majorHAnsi"/>
          <w:sz w:val="20"/>
          <w:szCs w:val="20"/>
          <w:lang w:val="en-US"/>
        </w:rPr>
        <w:t>Panama</w:t>
      </w:r>
      <w:r w:rsidR="00342D51" w:rsidRPr="005A41E0">
        <w:rPr>
          <w:rFonts w:asciiTheme="majorHAnsi" w:hAnsiTheme="majorHAnsi"/>
          <w:sz w:val="20"/>
          <w:szCs w:val="20"/>
          <w:lang w:val="en-US"/>
        </w:rPr>
        <w:t xml:space="preserve">, Paraguay, Uruguay, Ecuador, Honduras, </w:t>
      </w:r>
      <w:r w:rsidRPr="005A41E0">
        <w:rPr>
          <w:rFonts w:asciiTheme="majorHAnsi" w:hAnsiTheme="majorHAnsi"/>
          <w:sz w:val="20"/>
          <w:szCs w:val="20"/>
          <w:lang w:val="en-US"/>
        </w:rPr>
        <w:t>Dominican</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Republic, and </w:t>
      </w:r>
      <w:r w:rsidR="00342D51" w:rsidRPr="005A41E0">
        <w:rPr>
          <w:rFonts w:asciiTheme="majorHAnsi" w:hAnsiTheme="majorHAnsi"/>
          <w:sz w:val="20"/>
          <w:szCs w:val="20"/>
          <w:lang w:val="en-US"/>
        </w:rPr>
        <w:t xml:space="preserve">Venezuela. </w:t>
      </w:r>
      <w:r w:rsidRPr="005A41E0">
        <w:rPr>
          <w:rFonts w:asciiTheme="majorHAnsi" w:hAnsiTheme="majorHAnsi"/>
          <w:sz w:val="20"/>
          <w:szCs w:val="20"/>
          <w:lang w:val="en-US"/>
        </w:rPr>
        <w:t xml:space="preserve">He also met with representatives of the observers to the OAS from Spain, France, the Netherlands, Switzerland, and the European Union.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7E5801" w:rsidP="00636BE2">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July </w:t>
      </w:r>
      <w:r w:rsidR="00342D51" w:rsidRPr="005A41E0">
        <w:rPr>
          <w:rFonts w:asciiTheme="majorHAnsi" w:hAnsiTheme="majorHAnsi"/>
          <w:sz w:val="20"/>
          <w:szCs w:val="20"/>
          <w:lang w:val="en-US"/>
        </w:rPr>
        <w:t xml:space="preserve">25 </w:t>
      </w:r>
      <w:r w:rsidRPr="005A41E0">
        <w:rPr>
          <w:rFonts w:asciiTheme="majorHAnsi" w:hAnsiTheme="majorHAnsi"/>
          <w:sz w:val="20"/>
          <w:szCs w:val="20"/>
          <w:lang w:val="en-US"/>
        </w:rPr>
        <w:t xml:space="preserve">the Inter-American Commission met with the regional groups of OAS member states for a dialogue on the inter-American human rights system and, in </w:t>
      </w:r>
      <w:r w:rsidR="00342D51" w:rsidRPr="005A41E0">
        <w:rPr>
          <w:rFonts w:asciiTheme="majorHAnsi" w:hAnsiTheme="majorHAnsi"/>
          <w:sz w:val="20"/>
          <w:szCs w:val="20"/>
          <w:lang w:val="en-US"/>
        </w:rPr>
        <w:t xml:space="preserve">particular, </w:t>
      </w:r>
      <w:r w:rsidRPr="005A41E0">
        <w:rPr>
          <w:rFonts w:asciiTheme="majorHAnsi" w:hAnsiTheme="majorHAnsi"/>
          <w:sz w:val="20"/>
          <w:szCs w:val="20"/>
          <w:lang w:val="en-US"/>
        </w:rPr>
        <w:t xml:space="preserve">on the IACHR. On that occasion the conceptual note was presented on the Strategic Plan of the IACHR </w:t>
      </w:r>
      <w:r w:rsidR="00342D51" w:rsidRPr="005A41E0">
        <w:rPr>
          <w:rFonts w:asciiTheme="majorHAnsi" w:hAnsiTheme="majorHAnsi"/>
          <w:sz w:val="20"/>
          <w:szCs w:val="20"/>
          <w:lang w:val="en-US"/>
        </w:rPr>
        <w:t xml:space="preserve">2016-2020, </w:t>
      </w:r>
      <w:r w:rsidRPr="005A41E0">
        <w:rPr>
          <w:rFonts w:asciiTheme="majorHAnsi" w:hAnsiTheme="majorHAnsi"/>
          <w:sz w:val="20"/>
          <w:szCs w:val="20"/>
          <w:lang w:val="en-US"/>
        </w:rPr>
        <w:t xml:space="preserve">which was adopted at the </w:t>
      </w:r>
      <w:r w:rsidR="00342D51" w:rsidRPr="005A41E0">
        <w:rPr>
          <w:rFonts w:asciiTheme="majorHAnsi" w:hAnsiTheme="majorHAnsi"/>
          <w:sz w:val="20"/>
          <w:szCs w:val="20"/>
          <w:lang w:val="en-US"/>
        </w:rPr>
        <w:t>158</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 to continue the process of consultations begun with the publication of a questionnaire on November </w:t>
      </w:r>
      <w:r w:rsidR="00342D51" w:rsidRPr="005A41E0">
        <w:rPr>
          <w:rFonts w:asciiTheme="majorHAnsi" w:hAnsiTheme="majorHAnsi"/>
          <w:sz w:val="20"/>
          <w:szCs w:val="20"/>
          <w:lang w:val="en-US"/>
        </w:rPr>
        <w:t>4</w:t>
      </w:r>
      <w:r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2015. </w:t>
      </w:r>
      <w:r w:rsidRPr="005A41E0">
        <w:rPr>
          <w:rFonts w:asciiTheme="majorHAnsi" w:hAnsiTheme="majorHAnsi"/>
          <w:sz w:val="20"/>
          <w:szCs w:val="20"/>
          <w:lang w:val="en-US"/>
        </w:rPr>
        <w:t xml:space="preserve">Following up on what was announced at the General </w:t>
      </w:r>
      <w:r w:rsidR="00636BE2">
        <w:rPr>
          <w:rFonts w:asciiTheme="majorHAnsi" w:hAnsiTheme="majorHAnsi"/>
          <w:sz w:val="20"/>
          <w:szCs w:val="20"/>
          <w:lang w:val="en-US"/>
        </w:rPr>
        <w:t>Assembly, on this occasio</w:t>
      </w:r>
      <w:r w:rsidRPr="005A41E0">
        <w:rPr>
          <w:rFonts w:asciiTheme="majorHAnsi" w:hAnsiTheme="majorHAnsi"/>
          <w:sz w:val="20"/>
          <w:szCs w:val="20"/>
          <w:lang w:val="en-US"/>
        </w:rPr>
        <w:t xml:space="preserve">n an effort was made to expand the dialogue with the states </w:t>
      </w:r>
      <w:r w:rsidR="00636BE2">
        <w:rPr>
          <w:rFonts w:asciiTheme="majorHAnsi" w:hAnsiTheme="majorHAnsi"/>
          <w:sz w:val="20"/>
          <w:szCs w:val="20"/>
          <w:lang w:val="en-US"/>
        </w:rPr>
        <w:t xml:space="preserve">regarding </w:t>
      </w:r>
      <w:r w:rsidRPr="005A41E0">
        <w:rPr>
          <w:rFonts w:asciiTheme="majorHAnsi" w:hAnsiTheme="majorHAnsi"/>
          <w:sz w:val="20"/>
          <w:szCs w:val="20"/>
          <w:lang w:val="en-US"/>
        </w:rPr>
        <w:t>the bases of the new Strategic Plan of the IACHR.</w:t>
      </w:r>
      <w:r w:rsidR="00342D51" w:rsidRPr="005A41E0">
        <w:rPr>
          <w:rFonts w:asciiTheme="majorHAnsi" w:hAnsiTheme="majorHAnsi"/>
          <w:sz w:val="20"/>
          <w:szCs w:val="20"/>
          <w:lang w:val="en-US"/>
        </w:rPr>
        <w:t xml:space="preserve">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7E5801" w:rsidP="00636BE2">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President of the IACHR travelled to Brussels on October </w:t>
      </w:r>
      <w:r w:rsidR="00342D51" w:rsidRPr="005A41E0">
        <w:rPr>
          <w:rFonts w:asciiTheme="majorHAnsi" w:hAnsiTheme="majorHAnsi"/>
          <w:sz w:val="20"/>
          <w:szCs w:val="20"/>
          <w:lang w:val="en-US"/>
        </w:rPr>
        <w:t xml:space="preserve">6 </w:t>
      </w:r>
      <w:r w:rsidRPr="005A41E0">
        <w:rPr>
          <w:rFonts w:asciiTheme="majorHAnsi" w:hAnsiTheme="majorHAnsi"/>
          <w:sz w:val="20"/>
          <w:szCs w:val="20"/>
          <w:lang w:val="en-US"/>
        </w:rPr>
        <w:t xml:space="preserve">to meet </w:t>
      </w:r>
      <w:r w:rsidR="00B27DCA" w:rsidRPr="005A41E0">
        <w:rPr>
          <w:rFonts w:asciiTheme="majorHAnsi" w:hAnsiTheme="majorHAnsi"/>
          <w:sz w:val="20"/>
          <w:szCs w:val="20"/>
          <w:lang w:val="en-US"/>
        </w:rPr>
        <w:t xml:space="preserve">with </w:t>
      </w:r>
      <w:r w:rsidR="00342D51" w:rsidRPr="005A41E0">
        <w:rPr>
          <w:rFonts w:asciiTheme="majorHAnsi" w:hAnsiTheme="majorHAnsi"/>
          <w:sz w:val="20"/>
          <w:szCs w:val="20"/>
          <w:lang w:val="en-US"/>
        </w:rPr>
        <w:t xml:space="preserve">Roland Schaefer, </w:t>
      </w:r>
      <w:r w:rsidR="00B27DCA" w:rsidRPr="005A41E0">
        <w:rPr>
          <w:rFonts w:asciiTheme="majorHAnsi" w:hAnsiTheme="majorHAnsi"/>
          <w:sz w:val="20"/>
          <w:szCs w:val="20"/>
          <w:lang w:val="en-US"/>
        </w:rPr>
        <w:t xml:space="preserve">Deputy Director of the Americas Division of the European Union (EU) and with other staff members of that organization. As a result of these meetings a commitment was established to finance a project on procedural backlog for three years starting in </w:t>
      </w:r>
      <w:r w:rsidR="00C67358" w:rsidRPr="005A41E0">
        <w:rPr>
          <w:rFonts w:asciiTheme="majorHAnsi" w:hAnsiTheme="majorHAnsi"/>
          <w:sz w:val="20"/>
          <w:szCs w:val="20"/>
          <w:lang w:val="en-US"/>
        </w:rPr>
        <w:t>2018, </w:t>
      </w:r>
      <w:r w:rsidR="00B27DCA" w:rsidRPr="005A41E0">
        <w:rPr>
          <w:rFonts w:asciiTheme="majorHAnsi" w:hAnsiTheme="majorHAnsi"/>
          <w:sz w:val="20"/>
          <w:szCs w:val="20"/>
          <w:lang w:val="en-US"/>
        </w:rPr>
        <w:t xml:space="preserve">in the amount of approximately </w:t>
      </w:r>
      <w:r w:rsidR="00342D51" w:rsidRPr="005A41E0">
        <w:rPr>
          <w:rFonts w:asciiTheme="majorHAnsi" w:hAnsiTheme="majorHAnsi"/>
          <w:sz w:val="20"/>
          <w:szCs w:val="20"/>
          <w:lang w:val="en-US"/>
        </w:rPr>
        <w:t>$1</w:t>
      </w:r>
      <w:r w:rsidR="00B27DCA" w:rsidRPr="005A41E0">
        <w:rPr>
          <w:rFonts w:asciiTheme="majorHAnsi" w:hAnsiTheme="majorHAnsi"/>
          <w:sz w:val="20"/>
          <w:szCs w:val="20"/>
          <w:lang w:val="en-US"/>
        </w:rPr>
        <w:t>,</w:t>
      </w:r>
      <w:r w:rsidR="00342D51" w:rsidRPr="005A41E0">
        <w:rPr>
          <w:rFonts w:asciiTheme="majorHAnsi" w:hAnsiTheme="majorHAnsi"/>
          <w:sz w:val="20"/>
          <w:szCs w:val="20"/>
          <w:lang w:val="en-US"/>
        </w:rPr>
        <w:t>000</w:t>
      </w:r>
      <w:r w:rsidR="00B27DCA" w:rsidRPr="005A41E0">
        <w:rPr>
          <w:rFonts w:asciiTheme="majorHAnsi" w:hAnsiTheme="majorHAnsi"/>
          <w:sz w:val="20"/>
          <w:szCs w:val="20"/>
          <w:lang w:val="en-US"/>
        </w:rPr>
        <w:t>,</w:t>
      </w:r>
      <w:r w:rsidR="00342D51" w:rsidRPr="005A41E0">
        <w:rPr>
          <w:rFonts w:asciiTheme="majorHAnsi" w:hAnsiTheme="majorHAnsi"/>
          <w:sz w:val="20"/>
          <w:szCs w:val="20"/>
          <w:lang w:val="en-US"/>
        </w:rPr>
        <w:t>000 euros.</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B27DCA" w:rsidP="00430EB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October </w:t>
      </w:r>
      <w:r w:rsidR="00342D51" w:rsidRPr="005A41E0">
        <w:rPr>
          <w:rFonts w:asciiTheme="majorHAnsi" w:hAnsiTheme="majorHAnsi"/>
          <w:sz w:val="20"/>
          <w:szCs w:val="20"/>
          <w:lang w:val="en-US"/>
        </w:rPr>
        <w:t>19</w:t>
      </w:r>
      <w:r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2016</w:t>
      </w:r>
      <w:r w:rsidRPr="005A41E0">
        <w:rPr>
          <w:rFonts w:asciiTheme="majorHAnsi" w:hAnsiTheme="majorHAnsi"/>
          <w:sz w:val="20"/>
          <w:szCs w:val="20"/>
          <w:lang w:val="en-US"/>
        </w:rPr>
        <w:t>,</w:t>
      </w:r>
      <w:r w:rsidR="00342D51" w:rsidRPr="005A41E0">
        <w:rPr>
          <w:rFonts w:asciiTheme="majorHAnsi" w:hAnsiTheme="majorHAnsi"/>
          <w:sz w:val="20"/>
          <w:szCs w:val="20"/>
          <w:lang w:val="en-US"/>
        </w:rPr>
        <w:t xml:space="preserve"> </w:t>
      </w:r>
      <w:r w:rsidR="007C4F57">
        <w:rPr>
          <w:rFonts w:asciiTheme="majorHAnsi" w:hAnsiTheme="majorHAnsi"/>
          <w:sz w:val="20"/>
          <w:szCs w:val="20"/>
          <w:lang w:val="en-US"/>
        </w:rPr>
        <w:t xml:space="preserve">the </w:t>
      </w:r>
      <w:r w:rsidRPr="005A41E0">
        <w:rPr>
          <w:rFonts w:asciiTheme="majorHAnsi" w:hAnsiTheme="majorHAnsi"/>
          <w:sz w:val="20"/>
          <w:szCs w:val="20"/>
          <w:lang w:val="en-US"/>
        </w:rPr>
        <w:t>Permanent Council met to consider the financing of the IACHR and the Inter-American Court</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Section of Advisory Services to States coordinated President </w:t>
      </w:r>
      <w:r w:rsidR="00342D51" w:rsidRPr="005A41E0">
        <w:rPr>
          <w:rFonts w:asciiTheme="majorHAnsi" w:hAnsiTheme="majorHAnsi"/>
          <w:sz w:val="20"/>
          <w:szCs w:val="20"/>
          <w:lang w:val="en-US"/>
        </w:rPr>
        <w:t>Cavallaro</w:t>
      </w:r>
      <w:r w:rsidRPr="005A41E0">
        <w:rPr>
          <w:rFonts w:asciiTheme="majorHAnsi" w:hAnsiTheme="majorHAnsi"/>
          <w:sz w:val="20"/>
          <w:szCs w:val="20"/>
          <w:lang w:val="en-US"/>
        </w:rPr>
        <w:t>’s presentation</w:t>
      </w:r>
      <w:r w:rsidR="00342D51" w:rsidRPr="005A41E0">
        <w:rPr>
          <w:rFonts w:asciiTheme="majorHAnsi" w:hAnsiTheme="majorHAnsi"/>
          <w:sz w:val="20"/>
          <w:szCs w:val="20"/>
          <w:lang w:val="en-US"/>
        </w:rPr>
        <w:t>.</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B27DCA" w:rsidP="007C4F57">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IACHR followed the preparatory meetings of the </w:t>
      </w:r>
      <w:r w:rsidR="007C4F57">
        <w:rPr>
          <w:rFonts w:asciiTheme="majorHAnsi" w:hAnsiTheme="majorHAnsi"/>
          <w:sz w:val="20"/>
          <w:szCs w:val="20"/>
          <w:lang w:val="en-US"/>
        </w:rPr>
        <w:t xml:space="preserve">OAS </w:t>
      </w:r>
      <w:r w:rsidRPr="005A41E0">
        <w:rPr>
          <w:rFonts w:asciiTheme="majorHAnsi" w:hAnsiTheme="majorHAnsi"/>
          <w:sz w:val="20"/>
          <w:szCs w:val="20"/>
          <w:lang w:val="en-US"/>
        </w:rPr>
        <w:t xml:space="preserve">Special General Assembly on the </w:t>
      </w:r>
      <w:r w:rsidR="007C4F57">
        <w:rPr>
          <w:rFonts w:asciiTheme="majorHAnsi" w:hAnsiTheme="majorHAnsi"/>
          <w:sz w:val="20"/>
          <w:szCs w:val="20"/>
          <w:lang w:val="en-US"/>
        </w:rPr>
        <w:t>b</w:t>
      </w:r>
      <w:r w:rsidRPr="005A41E0">
        <w:rPr>
          <w:rFonts w:asciiTheme="majorHAnsi" w:hAnsiTheme="majorHAnsi"/>
          <w:sz w:val="20"/>
          <w:szCs w:val="20"/>
          <w:lang w:val="en-US"/>
        </w:rPr>
        <w:t xml:space="preserve">udget of the OAS in the </w:t>
      </w:r>
      <w:r w:rsidR="00342D51" w:rsidRPr="005A41E0">
        <w:rPr>
          <w:rFonts w:asciiTheme="majorHAnsi" w:hAnsiTheme="majorHAnsi"/>
          <w:sz w:val="20"/>
          <w:szCs w:val="20"/>
          <w:lang w:val="en-US"/>
        </w:rPr>
        <w:t xml:space="preserve">CAJP, </w:t>
      </w:r>
      <w:r w:rsidRPr="005A41E0">
        <w:rPr>
          <w:rFonts w:asciiTheme="majorHAnsi" w:hAnsiTheme="majorHAnsi"/>
          <w:sz w:val="20"/>
          <w:szCs w:val="20"/>
          <w:lang w:val="en-US"/>
        </w:rPr>
        <w:t xml:space="preserve">the Working Group on Strategic Vision, and the Permanent Council.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B27DCA"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Special General Assembly on the Budget of the OAS was held October </w:t>
      </w:r>
      <w:r w:rsidR="00342D51" w:rsidRPr="005A41E0">
        <w:rPr>
          <w:rFonts w:asciiTheme="majorHAnsi" w:hAnsiTheme="majorHAnsi"/>
          <w:sz w:val="20"/>
          <w:szCs w:val="20"/>
          <w:lang w:val="en-US"/>
        </w:rPr>
        <w:t xml:space="preserve">31. </w:t>
      </w:r>
      <w:r w:rsidRPr="005A41E0">
        <w:rPr>
          <w:rFonts w:asciiTheme="majorHAnsi" w:hAnsiTheme="majorHAnsi"/>
          <w:sz w:val="20"/>
          <w:szCs w:val="20"/>
          <w:lang w:val="en-US"/>
        </w:rPr>
        <w:t xml:space="preserve">The </w:t>
      </w:r>
      <w:r w:rsidR="00342D51" w:rsidRPr="005A41E0">
        <w:rPr>
          <w:rFonts w:asciiTheme="majorHAnsi" w:hAnsiTheme="majorHAnsi"/>
          <w:sz w:val="20"/>
          <w:szCs w:val="20"/>
          <w:lang w:val="en-US"/>
        </w:rPr>
        <w:t>S</w:t>
      </w:r>
      <w:r w:rsidR="00634DC8" w:rsidRPr="005A41E0">
        <w:rPr>
          <w:rFonts w:asciiTheme="majorHAnsi" w:hAnsiTheme="majorHAnsi"/>
          <w:sz w:val="20"/>
          <w:szCs w:val="20"/>
          <w:lang w:val="en-US"/>
        </w:rPr>
        <w:t>AE</w:t>
      </w:r>
      <w:r w:rsidR="00342D5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of the IACHR monitored all the negotiations and prepared a report on the results. </w:t>
      </w:r>
    </w:p>
    <w:p w:rsidR="00342D51" w:rsidRPr="005A41E0" w:rsidRDefault="00342D51" w:rsidP="005A41E0">
      <w:pPr>
        <w:pStyle w:val="ListParagraph"/>
        <w:shd w:val="clear" w:color="auto" w:fill="FFFFFF"/>
        <w:ind w:left="720"/>
        <w:jc w:val="both"/>
        <w:rPr>
          <w:rFonts w:asciiTheme="majorHAnsi" w:hAnsiTheme="majorHAnsi"/>
          <w:sz w:val="20"/>
          <w:szCs w:val="20"/>
          <w:lang w:val="en-US"/>
        </w:rPr>
      </w:pPr>
    </w:p>
    <w:p w:rsidR="00342D51" w:rsidRPr="005A41E0" w:rsidRDefault="00B27DCA" w:rsidP="00430EB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December </w:t>
      </w:r>
      <w:r w:rsidR="00342D51" w:rsidRPr="005A41E0">
        <w:rPr>
          <w:rFonts w:asciiTheme="majorHAnsi" w:hAnsiTheme="majorHAnsi"/>
          <w:sz w:val="20"/>
          <w:szCs w:val="20"/>
          <w:lang w:val="en-US"/>
        </w:rPr>
        <w:t xml:space="preserve">14 </w:t>
      </w:r>
      <w:r w:rsidRPr="005A41E0">
        <w:rPr>
          <w:rFonts w:asciiTheme="majorHAnsi" w:hAnsiTheme="majorHAnsi"/>
          <w:sz w:val="20"/>
          <w:szCs w:val="20"/>
          <w:lang w:val="en-US"/>
        </w:rPr>
        <w:t>President</w:t>
      </w:r>
      <w:r w:rsidR="00342D51" w:rsidRPr="005A41E0">
        <w:rPr>
          <w:rFonts w:asciiTheme="majorHAnsi" w:hAnsiTheme="majorHAnsi"/>
          <w:sz w:val="20"/>
          <w:szCs w:val="20"/>
          <w:lang w:val="en-US"/>
        </w:rPr>
        <w:t xml:space="preserve"> Cavallaro </w:t>
      </w:r>
      <w:r w:rsidRPr="005A41E0">
        <w:rPr>
          <w:rFonts w:asciiTheme="majorHAnsi" w:hAnsiTheme="majorHAnsi"/>
          <w:sz w:val="20"/>
          <w:szCs w:val="20"/>
          <w:lang w:val="en-US"/>
        </w:rPr>
        <w:t xml:space="preserve">sent a communication to the Permanent Council and the Secretary </w:t>
      </w:r>
      <w:r w:rsidR="00342D51" w:rsidRPr="005A41E0">
        <w:rPr>
          <w:rFonts w:asciiTheme="majorHAnsi" w:hAnsiTheme="majorHAnsi"/>
          <w:sz w:val="20"/>
          <w:szCs w:val="20"/>
          <w:lang w:val="en-US"/>
        </w:rPr>
        <w:t xml:space="preserve">General </w:t>
      </w:r>
      <w:r w:rsidRPr="005A41E0">
        <w:rPr>
          <w:rFonts w:asciiTheme="majorHAnsi" w:hAnsiTheme="majorHAnsi"/>
          <w:sz w:val="20"/>
          <w:szCs w:val="20"/>
          <w:lang w:val="en-US"/>
        </w:rPr>
        <w:t xml:space="preserve">in which he requested additional resources so as to have reinforcement for completing the Commission’s activities in </w:t>
      </w:r>
      <w:r w:rsidR="00342D51" w:rsidRPr="005A41E0">
        <w:rPr>
          <w:rFonts w:asciiTheme="majorHAnsi" w:hAnsiTheme="majorHAnsi"/>
          <w:sz w:val="20"/>
          <w:szCs w:val="20"/>
          <w:lang w:val="en-US"/>
        </w:rPr>
        <w:t xml:space="preserve">2017. </w:t>
      </w:r>
      <w:r w:rsidR="00582B14" w:rsidRPr="005A41E0">
        <w:rPr>
          <w:rFonts w:asciiTheme="majorHAnsi" w:hAnsiTheme="majorHAnsi"/>
          <w:sz w:val="20"/>
          <w:szCs w:val="20"/>
          <w:lang w:val="en-US"/>
        </w:rPr>
        <w:t>In response to this letter, in the session of the Permanent Council held December 15 the delegations of Beliz</w:t>
      </w:r>
      <w:r w:rsidR="00342D51" w:rsidRPr="005A41E0">
        <w:rPr>
          <w:rFonts w:asciiTheme="majorHAnsi" w:hAnsiTheme="majorHAnsi"/>
          <w:sz w:val="20"/>
          <w:szCs w:val="20"/>
          <w:lang w:val="en-US"/>
        </w:rPr>
        <w:t xml:space="preserve">e, Chile, Colombia, Costa Rica, El Salvador, </w:t>
      </w:r>
      <w:r w:rsidR="00582B14" w:rsidRPr="005A41E0">
        <w:rPr>
          <w:rFonts w:asciiTheme="majorHAnsi" w:hAnsiTheme="majorHAnsi"/>
          <w:sz w:val="20"/>
          <w:szCs w:val="20"/>
          <w:lang w:val="en-US"/>
        </w:rPr>
        <w:t xml:space="preserve">Grenada, </w:t>
      </w:r>
      <w:r w:rsidR="00342D51" w:rsidRPr="005A41E0">
        <w:rPr>
          <w:rFonts w:asciiTheme="majorHAnsi" w:hAnsiTheme="majorHAnsi"/>
          <w:sz w:val="20"/>
          <w:szCs w:val="20"/>
          <w:lang w:val="en-US"/>
        </w:rPr>
        <w:t xml:space="preserve">Guatemala, Guyana, </w:t>
      </w:r>
      <w:r w:rsidR="00443CF5" w:rsidRPr="005A41E0">
        <w:rPr>
          <w:rFonts w:asciiTheme="majorHAnsi" w:hAnsiTheme="majorHAnsi"/>
          <w:sz w:val="20"/>
          <w:szCs w:val="20"/>
          <w:lang w:val="en-US"/>
        </w:rPr>
        <w:t>Honduras, Jamaica, Mexico, Panama</w:t>
      </w:r>
      <w:r w:rsidR="00342D51" w:rsidRPr="005A41E0">
        <w:rPr>
          <w:rFonts w:asciiTheme="majorHAnsi" w:hAnsiTheme="majorHAnsi"/>
          <w:sz w:val="20"/>
          <w:szCs w:val="20"/>
          <w:lang w:val="en-US"/>
        </w:rPr>
        <w:t>, Paraguay, S</w:t>
      </w:r>
      <w:r w:rsidR="00443CF5" w:rsidRPr="005A41E0">
        <w:rPr>
          <w:rFonts w:asciiTheme="majorHAnsi" w:hAnsiTheme="majorHAnsi"/>
          <w:sz w:val="20"/>
          <w:szCs w:val="20"/>
          <w:lang w:val="en-US"/>
        </w:rPr>
        <w:t>t.</w:t>
      </w:r>
      <w:r w:rsidR="00342D51" w:rsidRPr="005A41E0">
        <w:rPr>
          <w:rFonts w:asciiTheme="majorHAnsi" w:hAnsiTheme="majorHAnsi"/>
          <w:sz w:val="20"/>
          <w:szCs w:val="20"/>
          <w:lang w:val="en-US"/>
        </w:rPr>
        <w:t xml:space="preserve"> Kitts </w:t>
      </w:r>
      <w:r w:rsidR="00443CF5" w:rsidRPr="005A41E0">
        <w:rPr>
          <w:rFonts w:asciiTheme="majorHAnsi" w:hAnsiTheme="majorHAnsi"/>
          <w:sz w:val="20"/>
          <w:szCs w:val="20"/>
          <w:lang w:val="en-US"/>
        </w:rPr>
        <w:t xml:space="preserve">and </w:t>
      </w:r>
      <w:r w:rsidR="00342D51" w:rsidRPr="005A41E0">
        <w:rPr>
          <w:rFonts w:asciiTheme="majorHAnsi" w:hAnsiTheme="majorHAnsi"/>
          <w:sz w:val="20"/>
          <w:szCs w:val="20"/>
          <w:lang w:val="en-US"/>
        </w:rPr>
        <w:t>Nevis, S</w:t>
      </w:r>
      <w:r w:rsidR="00443CF5" w:rsidRPr="005A41E0">
        <w:rPr>
          <w:rFonts w:asciiTheme="majorHAnsi" w:hAnsiTheme="majorHAnsi"/>
          <w:sz w:val="20"/>
          <w:szCs w:val="20"/>
          <w:lang w:val="en-US"/>
        </w:rPr>
        <w:t>t. Vincent</w:t>
      </w:r>
      <w:r w:rsidR="00342D51" w:rsidRPr="005A41E0">
        <w:rPr>
          <w:rFonts w:asciiTheme="majorHAnsi" w:hAnsiTheme="majorHAnsi"/>
          <w:sz w:val="20"/>
          <w:szCs w:val="20"/>
          <w:lang w:val="en-US"/>
        </w:rPr>
        <w:t xml:space="preserve"> </w:t>
      </w:r>
      <w:r w:rsidR="00443CF5" w:rsidRPr="005A41E0">
        <w:rPr>
          <w:rFonts w:asciiTheme="majorHAnsi" w:hAnsiTheme="majorHAnsi"/>
          <w:sz w:val="20"/>
          <w:szCs w:val="20"/>
          <w:lang w:val="en-US"/>
        </w:rPr>
        <w:t xml:space="preserve">and the Grenadines, </w:t>
      </w:r>
      <w:r w:rsidR="00BB5B9E" w:rsidRPr="005A41E0">
        <w:rPr>
          <w:rFonts w:asciiTheme="majorHAnsi" w:hAnsiTheme="majorHAnsi"/>
          <w:sz w:val="20"/>
          <w:szCs w:val="20"/>
          <w:lang w:val="en-US"/>
        </w:rPr>
        <w:t>Surinam</w:t>
      </w:r>
      <w:r w:rsidR="00430EBB">
        <w:rPr>
          <w:rFonts w:asciiTheme="majorHAnsi" w:hAnsiTheme="majorHAnsi"/>
          <w:sz w:val="20"/>
          <w:szCs w:val="20"/>
          <w:lang w:val="en-US"/>
        </w:rPr>
        <w:t>e</w:t>
      </w:r>
      <w:r w:rsidR="00342D51" w:rsidRPr="005A41E0">
        <w:rPr>
          <w:rFonts w:asciiTheme="majorHAnsi" w:hAnsiTheme="majorHAnsi"/>
          <w:sz w:val="20"/>
          <w:szCs w:val="20"/>
          <w:lang w:val="en-US"/>
        </w:rPr>
        <w:t xml:space="preserve">, Trinidad </w:t>
      </w:r>
      <w:r w:rsidR="00443CF5" w:rsidRPr="005A41E0">
        <w:rPr>
          <w:rFonts w:asciiTheme="majorHAnsi" w:hAnsiTheme="majorHAnsi"/>
          <w:sz w:val="20"/>
          <w:szCs w:val="20"/>
          <w:lang w:val="en-US"/>
        </w:rPr>
        <w:t xml:space="preserve">and </w:t>
      </w:r>
      <w:r w:rsidR="00342D51" w:rsidRPr="005A41E0">
        <w:rPr>
          <w:rFonts w:asciiTheme="majorHAnsi" w:hAnsiTheme="majorHAnsi"/>
          <w:sz w:val="20"/>
          <w:szCs w:val="20"/>
          <w:lang w:val="en-US"/>
        </w:rPr>
        <w:t>Tobago</w:t>
      </w:r>
      <w:r w:rsidR="00582B14" w:rsidRPr="005A41E0">
        <w:rPr>
          <w:rFonts w:asciiTheme="majorHAnsi" w:hAnsiTheme="majorHAnsi"/>
          <w:sz w:val="20"/>
          <w:szCs w:val="20"/>
          <w:lang w:val="en-US"/>
        </w:rPr>
        <w:t xml:space="preserve">, the United States, and </w:t>
      </w:r>
      <w:r w:rsidR="00342D51" w:rsidRPr="005A41E0">
        <w:rPr>
          <w:rFonts w:asciiTheme="majorHAnsi" w:hAnsiTheme="majorHAnsi"/>
          <w:sz w:val="20"/>
          <w:szCs w:val="20"/>
          <w:lang w:val="en-US"/>
        </w:rPr>
        <w:t xml:space="preserve">Uruguay </w:t>
      </w:r>
      <w:r w:rsidR="00443CF5" w:rsidRPr="005A41E0">
        <w:rPr>
          <w:rFonts w:asciiTheme="majorHAnsi" w:hAnsiTheme="majorHAnsi"/>
          <w:sz w:val="20"/>
          <w:szCs w:val="20"/>
          <w:lang w:val="en-US"/>
        </w:rPr>
        <w:t>signed a declaration in which they reiterated their intention to generate a</w:t>
      </w:r>
      <w:r w:rsidR="00430EBB">
        <w:rPr>
          <w:rFonts w:asciiTheme="majorHAnsi" w:hAnsiTheme="majorHAnsi"/>
          <w:sz w:val="20"/>
          <w:szCs w:val="20"/>
          <w:lang w:val="en-US"/>
        </w:rPr>
        <w:t xml:space="preserve"> broad and inclusive framework for</w:t>
      </w:r>
      <w:r w:rsidR="00443CF5" w:rsidRPr="005A41E0">
        <w:rPr>
          <w:rFonts w:asciiTheme="majorHAnsi" w:hAnsiTheme="majorHAnsi"/>
          <w:sz w:val="20"/>
          <w:szCs w:val="20"/>
          <w:lang w:val="en-US"/>
        </w:rPr>
        <w:t xml:space="preserve"> consultations to attain solutions </w:t>
      </w:r>
      <w:r w:rsidR="007C4F57">
        <w:rPr>
          <w:rFonts w:asciiTheme="majorHAnsi" w:hAnsiTheme="majorHAnsi"/>
          <w:sz w:val="20"/>
          <w:szCs w:val="20"/>
          <w:lang w:val="en-US"/>
        </w:rPr>
        <w:t xml:space="preserve">that </w:t>
      </w:r>
      <w:r w:rsidR="00443CF5" w:rsidRPr="005A41E0">
        <w:rPr>
          <w:rFonts w:asciiTheme="majorHAnsi" w:hAnsiTheme="majorHAnsi"/>
          <w:sz w:val="20"/>
          <w:szCs w:val="20"/>
          <w:lang w:val="en-US"/>
        </w:rPr>
        <w:t>ensure</w:t>
      </w:r>
      <w:r w:rsidR="00430EBB">
        <w:rPr>
          <w:rFonts w:asciiTheme="majorHAnsi" w:hAnsiTheme="majorHAnsi"/>
          <w:sz w:val="20"/>
          <w:szCs w:val="20"/>
          <w:lang w:val="en-US"/>
        </w:rPr>
        <w:t xml:space="preserve"> the</w:t>
      </w:r>
      <w:r w:rsidR="00443CF5" w:rsidRPr="005A41E0">
        <w:rPr>
          <w:rFonts w:asciiTheme="majorHAnsi" w:hAnsiTheme="majorHAnsi"/>
          <w:sz w:val="20"/>
          <w:szCs w:val="20"/>
          <w:lang w:val="en-US"/>
        </w:rPr>
        <w:t xml:space="preserve"> full funding of the system so as to avoid </w:t>
      </w:r>
      <w:r w:rsidR="00430EBB">
        <w:rPr>
          <w:rFonts w:asciiTheme="majorHAnsi" w:hAnsiTheme="majorHAnsi"/>
          <w:sz w:val="20"/>
          <w:szCs w:val="20"/>
          <w:lang w:val="en-US"/>
        </w:rPr>
        <w:t xml:space="preserve">any future crisis, </w:t>
      </w:r>
      <w:r w:rsidR="00443CF5" w:rsidRPr="005A41E0">
        <w:rPr>
          <w:rFonts w:asciiTheme="majorHAnsi" w:hAnsiTheme="majorHAnsi"/>
          <w:sz w:val="20"/>
          <w:szCs w:val="20"/>
          <w:lang w:val="en-US"/>
        </w:rPr>
        <w:t xml:space="preserve">which could endanger its </w:t>
      </w:r>
      <w:r w:rsidR="00430EBB">
        <w:rPr>
          <w:rFonts w:asciiTheme="majorHAnsi" w:hAnsiTheme="majorHAnsi"/>
          <w:sz w:val="20"/>
          <w:szCs w:val="20"/>
          <w:lang w:val="en-US"/>
        </w:rPr>
        <w:t xml:space="preserve">ability to operate. </w:t>
      </w:r>
    </w:p>
    <w:bookmarkEnd w:id="4"/>
    <w:p w:rsidR="00E52353" w:rsidRPr="005A41E0" w:rsidRDefault="00E52353" w:rsidP="005A41E0">
      <w:pPr>
        <w:rPr>
          <w:rFonts w:asciiTheme="majorHAnsi" w:eastAsia="Arial Unicode MS" w:hAnsiTheme="majorHAnsi"/>
          <w:sz w:val="20"/>
          <w:szCs w:val="20"/>
          <w:lang w:val="en-US"/>
        </w:rPr>
      </w:pPr>
    </w:p>
    <w:p w:rsidR="00E52353" w:rsidRPr="005A41E0" w:rsidRDefault="00443CF5" w:rsidP="005A41E0">
      <w:pPr>
        <w:pStyle w:val="Heading1"/>
        <w:rPr>
          <w:rFonts w:eastAsia="Arial Unicode MS"/>
          <w:lang w:val="en-US"/>
        </w:rPr>
      </w:pPr>
      <w:r w:rsidRPr="005A41E0">
        <w:rPr>
          <w:rFonts w:eastAsia="Arial Unicode MS"/>
          <w:lang w:val="en-US"/>
        </w:rPr>
        <w:t xml:space="preserve">Activities of the IACHR with the regional and universal human rights organs </w:t>
      </w:r>
    </w:p>
    <w:p w:rsidR="001444C1" w:rsidRPr="005A41E0" w:rsidRDefault="001444C1" w:rsidP="005A41E0">
      <w:pPr>
        <w:rPr>
          <w:rFonts w:asciiTheme="majorHAnsi" w:hAnsiTheme="majorHAnsi"/>
          <w:sz w:val="20"/>
          <w:szCs w:val="20"/>
          <w:lang w:val="en-US"/>
        </w:rPr>
      </w:pPr>
    </w:p>
    <w:p w:rsidR="00A257F3" w:rsidRPr="005A41E0" w:rsidRDefault="000F38E6" w:rsidP="005A41E0">
      <w:pPr>
        <w:pStyle w:val="Heading2"/>
        <w:rPr>
          <w:sz w:val="20"/>
          <w:lang w:val="en-US"/>
        </w:rPr>
      </w:pPr>
      <w:r w:rsidRPr="005A41E0">
        <w:rPr>
          <w:lang w:val="en-US"/>
        </w:rPr>
        <w:t>1.</w:t>
      </w:r>
      <w:r w:rsidRPr="005A41E0">
        <w:rPr>
          <w:lang w:val="en-US"/>
        </w:rPr>
        <w:tab/>
      </w:r>
      <w:r w:rsidR="00443CF5" w:rsidRPr="005A41E0">
        <w:rPr>
          <w:lang w:val="en-US"/>
        </w:rPr>
        <w:t xml:space="preserve">Inter-institutional relations </w:t>
      </w:r>
    </w:p>
    <w:p w:rsidR="00A257F3" w:rsidRPr="005A41E0" w:rsidRDefault="00A257F3" w:rsidP="005A41E0">
      <w:pPr>
        <w:pStyle w:val="ListParagraph"/>
        <w:contextualSpacing/>
        <w:jc w:val="both"/>
        <w:rPr>
          <w:rFonts w:asciiTheme="majorHAnsi" w:hAnsiTheme="majorHAnsi"/>
          <w:sz w:val="20"/>
          <w:szCs w:val="20"/>
          <w:lang w:val="en-US"/>
        </w:rPr>
      </w:pPr>
    </w:p>
    <w:p w:rsidR="00A257F3" w:rsidRPr="005A41E0" w:rsidRDefault="00430EBB" w:rsidP="00430EB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The Section on Inter-Institutional </w:t>
      </w:r>
      <w:r w:rsidR="00195DCF" w:rsidRPr="005A41E0">
        <w:rPr>
          <w:rFonts w:asciiTheme="majorHAnsi" w:hAnsiTheme="majorHAnsi"/>
          <w:sz w:val="20"/>
          <w:szCs w:val="20"/>
          <w:lang w:val="en-US"/>
        </w:rPr>
        <w:t>Relations of the IACHR was established for the purpose of coordinating and strengthening relations with other institutions, such as univers</w:t>
      </w:r>
      <w:r w:rsidR="007C4F57">
        <w:rPr>
          <w:rFonts w:asciiTheme="majorHAnsi" w:hAnsiTheme="majorHAnsi"/>
          <w:sz w:val="20"/>
          <w:szCs w:val="20"/>
          <w:lang w:val="en-US"/>
        </w:rPr>
        <w:t>a</w:t>
      </w:r>
      <w:r w:rsidR="00195DCF" w:rsidRPr="005A41E0">
        <w:rPr>
          <w:rFonts w:asciiTheme="majorHAnsi" w:hAnsiTheme="majorHAnsi"/>
          <w:sz w:val="20"/>
          <w:szCs w:val="20"/>
          <w:lang w:val="en-US"/>
        </w:rPr>
        <w:t xml:space="preserve">l and regional intergovernmental organizations, with </w:t>
      </w:r>
      <w:r w:rsidR="009A3A62" w:rsidRPr="005A41E0">
        <w:rPr>
          <w:rFonts w:asciiTheme="majorHAnsi" w:hAnsiTheme="majorHAnsi"/>
          <w:sz w:val="20"/>
          <w:szCs w:val="20"/>
          <w:lang w:val="en-US"/>
        </w:rPr>
        <w:t>civil society organizations</w:t>
      </w:r>
      <w:r w:rsidR="00A257F3" w:rsidRPr="005A41E0">
        <w:rPr>
          <w:rFonts w:asciiTheme="majorHAnsi" w:hAnsiTheme="majorHAnsi"/>
          <w:sz w:val="20"/>
          <w:szCs w:val="20"/>
          <w:vertAlign w:val="superscript"/>
          <w:lang w:val="en-US"/>
        </w:rPr>
        <w:footnoteReference w:id="1"/>
      </w:r>
      <w:r w:rsidR="00A257F3" w:rsidRPr="005A41E0">
        <w:rPr>
          <w:rFonts w:asciiTheme="majorHAnsi" w:hAnsiTheme="majorHAnsi"/>
          <w:sz w:val="20"/>
          <w:szCs w:val="20"/>
          <w:lang w:val="en-US"/>
        </w:rPr>
        <w:t xml:space="preserve"> </w:t>
      </w:r>
      <w:r w:rsidR="009A3A62" w:rsidRPr="005A41E0">
        <w:rPr>
          <w:rFonts w:asciiTheme="majorHAnsi" w:hAnsiTheme="majorHAnsi"/>
          <w:sz w:val="20"/>
          <w:szCs w:val="20"/>
          <w:lang w:val="en-US"/>
        </w:rPr>
        <w:t>and national human rights inst</w:t>
      </w:r>
      <w:r>
        <w:rPr>
          <w:rFonts w:asciiTheme="majorHAnsi" w:hAnsiTheme="majorHAnsi"/>
          <w:sz w:val="20"/>
          <w:szCs w:val="20"/>
          <w:lang w:val="en-US"/>
        </w:rPr>
        <w:t>itutions. The second purpose is to coordinate</w:t>
      </w:r>
      <w:r w:rsidR="009A3A62" w:rsidRPr="005A41E0">
        <w:rPr>
          <w:rFonts w:asciiTheme="majorHAnsi" w:hAnsiTheme="majorHAnsi"/>
          <w:sz w:val="20"/>
          <w:szCs w:val="20"/>
          <w:lang w:val="en-US"/>
        </w:rPr>
        <w:t xml:space="preserve"> the institutional cooperation agreements signed by the Inter-American Commission. </w:t>
      </w:r>
    </w:p>
    <w:p w:rsidR="000F38E6" w:rsidRPr="005A41E0" w:rsidRDefault="000F38E6" w:rsidP="005A41E0">
      <w:pPr>
        <w:shd w:val="clear" w:color="auto" w:fill="FFFFFF"/>
        <w:jc w:val="both"/>
        <w:rPr>
          <w:rFonts w:asciiTheme="majorHAnsi" w:hAnsiTheme="majorHAnsi"/>
          <w:sz w:val="20"/>
          <w:szCs w:val="20"/>
          <w:lang w:val="en-US"/>
        </w:rPr>
      </w:pPr>
    </w:p>
    <w:p w:rsidR="00A257F3" w:rsidRPr="005A41E0" w:rsidRDefault="009A3A62" w:rsidP="007C4F57">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This section </w:t>
      </w:r>
      <w:r w:rsidR="00A257F3" w:rsidRPr="005A41E0">
        <w:rPr>
          <w:rFonts w:asciiTheme="majorHAnsi" w:hAnsiTheme="majorHAnsi"/>
          <w:sz w:val="20"/>
          <w:szCs w:val="20"/>
          <w:lang w:val="en-US"/>
        </w:rPr>
        <w:t>describe</w:t>
      </w:r>
      <w:r w:rsidRPr="005A41E0">
        <w:rPr>
          <w:rFonts w:asciiTheme="majorHAnsi" w:hAnsiTheme="majorHAnsi"/>
          <w:sz w:val="20"/>
          <w:szCs w:val="20"/>
          <w:lang w:val="en-US"/>
        </w:rPr>
        <w:t xml:space="preserve">s the attainment of the objectives set out. The first part presents the ties with intergovernmental organizations, first with the United Nations, followed by an account of the relations with other international organizations, and finally is a description of the relationships with regional human rights organizations. The second part of the section includes a list of the cooperation agreements signed by the IACHR in the course of </w:t>
      </w:r>
      <w:r w:rsidR="00A257F3" w:rsidRPr="005A41E0">
        <w:rPr>
          <w:rFonts w:asciiTheme="majorHAnsi" w:hAnsiTheme="majorHAnsi"/>
          <w:sz w:val="20"/>
          <w:szCs w:val="20"/>
          <w:lang w:val="en-US"/>
        </w:rPr>
        <w:t>2016.</w:t>
      </w:r>
    </w:p>
    <w:p w:rsidR="000F38E6" w:rsidRPr="005A41E0" w:rsidRDefault="000F38E6" w:rsidP="005A41E0">
      <w:pPr>
        <w:shd w:val="clear" w:color="auto" w:fill="FFFFFF"/>
        <w:jc w:val="both"/>
        <w:rPr>
          <w:rFonts w:asciiTheme="majorHAnsi" w:hAnsiTheme="majorHAnsi"/>
          <w:sz w:val="20"/>
          <w:szCs w:val="20"/>
          <w:lang w:val="en-US"/>
        </w:rPr>
      </w:pPr>
    </w:p>
    <w:p w:rsidR="00A257F3" w:rsidRPr="005A41E0" w:rsidRDefault="009A3A62" w:rsidP="005A41E0">
      <w:pPr>
        <w:pStyle w:val="Heading3"/>
        <w:keepNext w:val="0"/>
        <w:keepLines w:val="0"/>
        <w:numPr>
          <w:ilvl w:val="0"/>
          <w:numId w:val="43"/>
        </w:numPr>
        <w:spacing w:before="0"/>
        <w:ind w:left="1440" w:hanging="720"/>
        <w:rPr>
          <w:sz w:val="20"/>
          <w:szCs w:val="20"/>
          <w:lang w:val="en-US"/>
        </w:rPr>
      </w:pPr>
      <w:r w:rsidRPr="005A41E0">
        <w:rPr>
          <w:sz w:val="20"/>
          <w:szCs w:val="20"/>
          <w:lang w:val="en-US"/>
        </w:rPr>
        <w:t xml:space="preserve">Intergovernmental Organizations </w:t>
      </w:r>
    </w:p>
    <w:p w:rsidR="00A257F3" w:rsidRPr="005A41E0" w:rsidRDefault="00A257F3" w:rsidP="005A41E0">
      <w:pPr>
        <w:ind w:left="1080"/>
        <w:jc w:val="both"/>
        <w:rPr>
          <w:rFonts w:asciiTheme="majorHAnsi" w:hAnsiTheme="majorHAnsi"/>
          <w:sz w:val="20"/>
          <w:szCs w:val="20"/>
          <w:lang w:val="en-US"/>
        </w:rPr>
      </w:pPr>
    </w:p>
    <w:p w:rsidR="00A257F3" w:rsidRPr="005A41E0" w:rsidRDefault="009A3A62" w:rsidP="005A41E0">
      <w:pPr>
        <w:numPr>
          <w:ilvl w:val="0"/>
          <w:numId w:val="39"/>
        </w:numPr>
        <w:ind w:left="1440" w:hanging="720"/>
        <w:jc w:val="both"/>
        <w:rPr>
          <w:rFonts w:asciiTheme="majorHAnsi" w:hAnsiTheme="majorHAnsi"/>
          <w:b/>
          <w:sz w:val="20"/>
          <w:szCs w:val="20"/>
          <w:lang w:val="en-US"/>
        </w:rPr>
      </w:pPr>
      <w:r w:rsidRPr="005A41E0">
        <w:rPr>
          <w:rFonts w:asciiTheme="majorHAnsi" w:hAnsiTheme="majorHAnsi"/>
          <w:b/>
          <w:sz w:val="20"/>
          <w:szCs w:val="20"/>
          <w:lang w:val="en-US"/>
        </w:rPr>
        <w:t xml:space="preserve">United Nations </w:t>
      </w:r>
    </w:p>
    <w:p w:rsidR="00A257F3" w:rsidRPr="005A41E0" w:rsidRDefault="00A257F3" w:rsidP="005A41E0">
      <w:pPr>
        <w:ind w:firstLine="720"/>
        <w:jc w:val="both"/>
        <w:rPr>
          <w:rFonts w:asciiTheme="majorHAnsi" w:hAnsiTheme="majorHAnsi"/>
          <w:sz w:val="20"/>
          <w:szCs w:val="20"/>
          <w:lang w:val="en-US"/>
        </w:rPr>
      </w:pPr>
    </w:p>
    <w:p w:rsidR="00A257F3" w:rsidRPr="005A41E0" w:rsidRDefault="009A3A62" w:rsidP="005A41E0">
      <w:pPr>
        <w:numPr>
          <w:ilvl w:val="0"/>
          <w:numId w:val="37"/>
        </w:numPr>
        <w:ind w:left="0" w:firstLine="720"/>
        <w:jc w:val="both"/>
        <w:rPr>
          <w:rFonts w:asciiTheme="majorHAnsi" w:hAnsiTheme="majorHAnsi"/>
          <w:b/>
          <w:sz w:val="20"/>
          <w:szCs w:val="20"/>
          <w:lang w:val="en-US"/>
        </w:rPr>
      </w:pPr>
      <w:r w:rsidRPr="005A41E0">
        <w:rPr>
          <w:rFonts w:asciiTheme="majorHAnsi" w:hAnsiTheme="majorHAnsi"/>
          <w:b/>
          <w:sz w:val="20"/>
          <w:szCs w:val="20"/>
          <w:lang w:val="en-US"/>
        </w:rPr>
        <w:t xml:space="preserve">Office of the High Commissioner for Human Rights </w:t>
      </w:r>
      <w:r w:rsidR="00A257F3" w:rsidRPr="005A41E0">
        <w:rPr>
          <w:rFonts w:asciiTheme="majorHAnsi" w:hAnsiTheme="majorHAnsi"/>
          <w:b/>
          <w:sz w:val="20"/>
          <w:szCs w:val="20"/>
          <w:lang w:val="en-US"/>
        </w:rPr>
        <w:t xml:space="preserve"> </w:t>
      </w:r>
    </w:p>
    <w:p w:rsidR="00A257F3" w:rsidRPr="005A41E0" w:rsidRDefault="00A257F3" w:rsidP="005A41E0">
      <w:pPr>
        <w:jc w:val="both"/>
        <w:rPr>
          <w:rFonts w:asciiTheme="majorHAnsi" w:hAnsiTheme="majorHAnsi"/>
          <w:sz w:val="20"/>
          <w:szCs w:val="20"/>
          <w:lang w:val="en-US"/>
        </w:rPr>
      </w:pPr>
    </w:p>
    <w:p w:rsidR="00A257F3" w:rsidRPr="005A41E0" w:rsidRDefault="009A3A62" w:rsidP="00ED25D8">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cooperation between the IACHR and the various agencies of the United Nations includes close coordination to plan joint activities and for exchange of experiences and standards. In order to make the relationship between the two organizations more efficient they designated a focal point, which has helped make </w:t>
      </w:r>
      <w:r w:rsidR="00ED25D8">
        <w:rPr>
          <w:rFonts w:asciiTheme="majorHAnsi" w:hAnsiTheme="majorHAnsi"/>
          <w:sz w:val="20"/>
          <w:szCs w:val="20"/>
          <w:lang w:val="en-US"/>
        </w:rPr>
        <w:t>relations</w:t>
      </w:r>
      <w:r w:rsidRPr="005A41E0">
        <w:rPr>
          <w:rFonts w:asciiTheme="majorHAnsi" w:hAnsiTheme="majorHAnsi"/>
          <w:sz w:val="20"/>
          <w:szCs w:val="20"/>
          <w:lang w:val="en-US"/>
        </w:rPr>
        <w:t xml:space="preserve"> more efficient. </w:t>
      </w:r>
    </w:p>
    <w:p w:rsidR="000F38E6" w:rsidRPr="005A41E0" w:rsidRDefault="000F38E6" w:rsidP="005A41E0">
      <w:pPr>
        <w:shd w:val="clear" w:color="auto" w:fill="FFFFFF"/>
        <w:jc w:val="both"/>
        <w:rPr>
          <w:rFonts w:asciiTheme="majorHAnsi" w:hAnsiTheme="majorHAnsi"/>
          <w:sz w:val="20"/>
          <w:szCs w:val="20"/>
          <w:lang w:val="en-US"/>
        </w:rPr>
      </w:pPr>
    </w:p>
    <w:p w:rsidR="00A257F3" w:rsidRPr="005A41E0" w:rsidRDefault="009A3A62"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Inter-American Commission has worked closely with various United Nations agencies, one expression of which was the signing of the Joint Declaration on Cooperation with the United Nations High Commissioner for Human Rights on November </w:t>
      </w:r>
      <w:r w:rsidR="00A257F3" w:rsidRPr="005A41E0">
        <w:rPr>
          <w:rFonts w:asciiTheme="majorHAnsi" w:hAnsiTheme="majorHAnsi"/>
          <w:sz w:val="20"/>
          <w:szCs w:val="20"/>
          <w:lang w:val="en-US"/>
        </w:rPr>
        <w:t>19</w:t>
      </w:r>
      <w:r w:rsidRPr="005A41E0">
        <w:rPr>
          <w:rFonts w:asciiTheme="majorHAnsi" w:hAnsiTheme="majorHAnsi"/>
          <w:sz w:val="20"/>
          <w:szCs w:val="20"/>
          <w:lang w:val="en-US"/>
        </w:rPr>
        <w:t>,</w:t>
      </w:r>
      <w:r w:rsidR="00A257F3" w:rsidRPr="005A41E0">
        <w:rPr>
          <w:rFonts w:asciiTheme="majorHAnsi" w:hAnsiTheme="majorHAnsi"/>
          <w:sz w:val="20"/>
          <w:szCs w:val="20"/>
          <w:lang w:val="en-US"/>
        </w:rPr>
        <w:t xml:space="preserve"> 2014. </w:t>
      </w:r>
      <w:r w:rsidRPr="005A41E0">
        <w:rPr>
          <w:rFonts w:asciiTheme="majorHAnsi" w:hAnsiTheme="majorHAnsi"/>
          <w:sz w:val="20"/>
          <w:szCs w:val="20"/>
          <w:lang w:val="en-US"/>
        </w:rPr>
        <w:t xml:space="preserve">Pursuant to that declaration, both organs cooperated closely in </w:t>
      </w:r>
      <w:r w:rsidR="00A257F3" w:rsidRPr="005A41E0">
        <w:rPr>
          <w:rFonts w:asciiTheme="majorHAnsi" w:hAnsiTheme="majorHAnsi"/>
          <w:sz w:val="20"/>
          <w:szCs w:val="20"/>
          <w:lang w:val="en-US"/>
        </w:rPr>
        <w:t>2016</w:t>
      </w:r>
      <w:r w:rsidR="005757C2" w:rsidRPr="005A41E0">
        <w:rPr>
          <w:rFonts w:asciiTheme="majorHAnsi" w:hAnsiTheme="majorHAnsi"/>
          <w:sz w:val="20"/>
          <w:szCs w:val="20"/>
          <w:lang w:val="en-US"/>
        </w:rPr>
        <w:t xml:space="preserve">, </w:t>
      </w:r>
      <w:r w:rsidR="00D023A4" w:rsidRPr="005A41E0">
        <w:rPr>
          <w:rFonts w:asciiTheme="majorHAnsi" w:hAnsiTheme="majorHAnsi"/>
          <w:sz w:val="20"/>
          <w:szCs w:val="20"/>
          <w:lang w:val="en-US"/>
        </w:rPr>
        <w:t xml:space="preserve">based on joint lines of work for joint declarations and communiqués, periodic meetings, sharing of information, and cooperation in producing thematic reports. </w:t>
      </w:r>
    </w:p>
    <w:p w:rsidR="000F38E6" w:rsidRPr="005A41E0" w:rsidRDefault="000F38E6" w:rsidP="005A41E0">
      <w:pPr>
        <w:shd w:val="clear" w:color="auto" w:fill="FFFFFF"/>
        <w:jc w:val="both"/>
        <w:rPr>
          <w:rFonts w:asciiTheme="majorHAnsi" w:hAnsiTheme="majorHAnsi"/>
          <w:sz w:val="20"/>
          <w:szCs w:val="20"/>
          <w:lang w:val="en-US"/>
        </w:rPr>
      </w:pPr>
    </w:p>
    <w:p w:rsidR="00A257F3" w:rsidRPr="005A41E0" w:rsidRDefault="00D023A4" w:rsidP="00ED25D8">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Executive Secretary travelled to Geneva on March </w:t>
      </w:r>
      <w:r w:rsidR="005757C2" w:rsidRPr="005A41E0">
        <w:rPr>
          <w:rFonts w:asciiTheme="majorHAnsi" w:hAnsiTheme="majorHAnsi"/>
          <w:sz w:val="20"/>
          <w:szCs w:val="20"/>
          <w:lang w:val="en-US"/>
        </w:rPr>
        <w:t xml:space="preserve">10 </w:t>
      </w:r>
      <w:r w:rsidRPr="005A41E0">
        <w:rPr>
          <w:rFonts w:asciiTheme="majorHAnsi" w:hAnsiTheme="majorHAnsi"/>
          <w:sz w:val="20"/>
          <w:szCs w:val="20"/>
          <w:lang w:val="en-US"/>
        </w:rPr>
        <w:t xml:space="preserve">and </w:t>
      </w:r>
      <w:r w:rsidR="005757C2" w:rsidRPr="005A41E0">
        <w:rPr>
          <w:rFonts w:asciiTheme="majorHAnsi" w:hAnsiTheme="majorHAnsi"/>
          <w:sz w:val="20"/>
          <w:szCs w:val="20"/>
          <w:lang w:val="en-US"/>
        </w:rPr>
        <w:t>11</w:t>
      </w:r>
      <w:r w:rsidRPr="005A41E0">
        <w:rPr>
          <w:rFonts w:asciiTheme="majorHAnsi" w:hAnsiTheme="majorHAnsi"/>
          <w:sz w:val="20"/>
          <w:szCs w:val="20"/>
          <w:lang w:val="en-US"/>
        </w:rPr>
        <w:t>, and met with the High Commissioner for Human Rights</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At that meeting it was agreed to continue the lines of joint work</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that the High Commissioner would visit the IACHR soon. During the same trip the Secretary met with </w:t>
      </w:r>
      <w:r w:rsidR="00A257F3" w:rsidRPr="005A41E0">
        <w:rPr>
          <w:rFonts w:asciiTheme="majorHAnsi" w:hAnsiTheme="majorHAnsi"/>
          <w:sz w:val="20"/>
          <w:szCs w:val="20"/>
          <w:lang w:val="en-US"/>
        </w:rPr>
        <w:t xml:space="preserve">Karim Ghezraoui, </w:t>
      </w:r>
      <w:r w:rsidRPr="005A41E0">
        <w:rPr>
          <w:rFonts w:asciiTheme="majorHAnsi" w:hAnsiTheme="majorHAnsi"/>
          <w:sz w:val="20"/>
          <w:szCs w:val="20"/>
          <w:lang w:val="en-US"/>
        </w:rPr>
        <w:t xml:space="preserve">Chief </w:t>
      </w:r>
      <w:r w:rsidR="00ED25D8">
        <w:rPr>
          <w:rFonts w:asciiTheme="majorHAnsi" w:hAnsiTheme="majorHAnsi"/>
          <w:sz w:val="20"/>
          <w:szCs w:val="20"/>
          <w:lang w:val="en-US"/>
        </w:rPr>
        <w:t xml:space="preserve">Officer for </w:t>
      </w:r>
      <w:r w:rsidRPr="005A41E0">
        <w:rPr>
          <w:rFonts w:asciiTheme="majorHAnsi" w:hAnsiTheme="majorHAnsi"/>
          <w:sz w:val="20"/>
          <w:szCs w:val="20"/>
          <w:lang w:val="en-US"/>
        </w:rPr>
        <w:t xml:space="preserve">Special Procedures; </w:t>
      </w:r>
      <w:r w:rsidR="00A257F3" w:rsidRPr="005A41E0">
        <w:rPr>
          <w:rFonts w:asciiTheme="majorHAnsi" w:hAnsiTheme="majorHAnsi"/>
          <w:sz w:val="20"/>
          <w:szCs w:val="20"/>
          <w:lang w:val="en-US"/>
        </w:rPr>
        <w:t xml:space="preserve">Vladlen Stefanov, </w:t>
      </w:r>
      <w:r w:rsidRPr="005A41E0">
        <w:rPr>
          <w:rFonts w:asciiTheme="majorHAnsi" w:hAnsiTheme="majorHAnsi"/>
          <w:sz w:val="20"/>
          <w:szCs w:val="20"/>
          <w:lang w:val="en-US"/>
        </w:rPr>
        <w:t xml:space="preserve">Chief of the National Institutions Section; and </w:t>
      </w:r>
      <w:r w:rsidR="00A257F3" w:rsidRPr="005A41E0">
        <w:rPr>
          <w:rFonts w:asciiTheme="majorHAnsi" w:hAnsiTheme="majorHAnsi"/>
          <w:sz w:val="20"/>
          <w:szCs w:val="20"/>
          <w:lang w:val="en-US"/>
        </w:rPr>
        <w:t xml:space="preserve">Gianni Magazzeni, </w:t>
      </w:r>
      <w:r w:rsidRPr="005A41E0">
        <w:rPr>
          <w:rFonts w:asciiTheme="majorHAnsi" w:hAnsiTheme="majorHAnsi"/>
          <w:sz w:val="20"/>
          <w:szCs w:val="20"/>
          <w:lang w:val="en-US"/>
        </w:rPr>
        <w:t xml:space="preserve">Chief for Americas, Europe, and </w:t>
      </w:r>
      <w:r w:rsidR="00A257F3" w:rsidRPr="005A41E0">
        <w:rPr>
          <w:rFonts w:asciiTheme="majorHAnsi" w:hAnsiTheme="majorHAnsi"/>
          <w:sz w:val="20"/>
          <w:szCs w:val="20"/>
          <w:lang w:val="en-US"/>
        </w:rPr>
        <w:t>Central</w:t>
      </w:r>
      <w:r w:rsidRPr="005A41E0">
        <w:rPr>
          <w:rFonts w:asciiTheme="majorHAnsi" w:hAnsiTheme="majorHAnsi"/>
          <w:sz w:val="20"/>
          <w:szCs w:val="20"/>
          <w:lang w:val="en-US"/>
        </w:rPr>
        <w:t xml:space="preserve"> Asia</w:t>
      </w:r>
      <w:r w:rsidR="00A257F3" w:rsidRPr="005A41E0">
        <w:rPr>
          <w:rFonts w:asciiTheme="majorHAnsi" w:hAnsiTheme="majorHAnsi"/>
          <w:sz w:val="20"/>
          <w:szCs w:val="20"/>
          <w:lang w:val="en-US"/>
        </w:rPr>
        <w:t xml:space="preserve">. </w:t>
      </w:r>
    </w:p>
    <w:p w:rsidR="000F38E6" w:rsidRPr="005A41E0" w:rsidRDefault="000F38E6" w:rsidP="005A41E0">
      <w:pPr>
        <w:shd w:val="clear" w:color="auto" w:fill="FFFFFF"/>
        <w:jc w:val="both"/>
        <w:rPr>
          <w:rFonts w:asciiTheme="majorHAnsi" w:hAnsiTheme="majorHAnsi"/>
          <w:sz w:val="20"/>
          <w:szCs w:val="20"/>
          <w:lang w:val="en-US"/>
        </w:rPr>
      </w:pPr>
    </w:p>
    <w:p w:rsidR="00BA512B" w:rsidRPr="005A41E0" w:rsidRDefault="00D023A4" w:rsidP="005D29F2">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April </w:t>
      </w:r>
      <w:r w:rsidR="00A257F3" w:rsidRPr="005A41E0">
        <w:rPr>
          <w:rFonts w:asciiTheme="majorHAnsi" w:hAnsiTheme="majorHAnsi"/>
          <w:sz w:val="20"/>
          <w:szCs w:val="20"/>
          <w:lang w:val="en-US"/>
        </w:rPr>
        <w:t xml:space="preserve">9 </w:t>
      </w:r>
      <w:r w:rsidRPr="005A41E0">
        <w:rPr>
          <w:rFonts w:asciiTheme="majorHAnsi" w:hAnsiTheme="majorHAnsi"/>
          <w:sz w:val="20"/>
          <w:szCs w:val="20"/>
          <w:lang w:val="en-US"/>
        </w:rPr>
        <w:t xml:space="preserve">the </w:t>
      </w:r>
      <w:r w:rsidR="005D29F2">
        <w:rPr>
          <w:rFonts w:asciiTheme="majorHAnsi" w:hAnsiTheme="majorHAnsi"/>
          <w:sz w:val="20"/>
          <w:szCs w:val="20"/>
          <w:lang w:val="en-US"/>
        </w:rPr>
        <w:t>IACHR, the Inter-American Court</w:t>
      </w:r>
      <w:r w:rsidRPr="005A41E0">
        <w:rPr>
          <w:rFonts w:asciiTheme="majorHAnsi" w:hAnsiTheme="majorHAnsi"/>
          <w:sz w:val="20"/>
          <w:szCs w:val="20"/>
          <w:lang w:val="en-US"/>
        </w:rPr>
        <w:t xml:space="preserve"> and the Office of the High Commissioner held a regional consultation in Washington, </w:t>
      </w:r>
      <w:r w:rsidR="00A257F3" w:rsidRPr="005A41E0">
        <w:rPr>
          <w:rFonts w:asciiTheme="majorHAnsi" w:hAnsiTheme="majorHAnsi"/>
          <w:sz w:val="20"/>
          <w:szCs w:val="20"/>
          <w:lang w:val="en-US"/>
        </w:rPr>
        <w:t>D</w:t>
      </w:r>
      <w:r w:rsidR="005757C2" w:rsidRPr="005A41E0">
        <w:rPr>
          <w:rFonts w:asciiTheme="majorHAnsi" w:hAnsiTheme="majorHAnsi"/>
          <w:sz w:val="20"/>
          <w:szCs w:val="20"/>
          <w:lang w:val="en-US"/>
        </w:rPr>
        <w:t>.</w:t>
      </w:r>
      <w:r w:rsidR="00A257F3" w:rsidRPr="005A41E0">
        <w:rPr>
          <w:rFonts w:asciiTheme="majorHAnsi" w:hAnsiTheme="majorHAnsi"/>
          <w:sz w:val="20"/>
          <w:szCs w:val="20"/>
          <w:lang w:val="en-US"/>
        </w:rPr>
        <w:t>C</w:t>
      </w:r>
      <w:r w:rsidR="005757C2" w:rsidRPr="005A41E0">
        <w:rPr>
          <w:rFonts w:asciiTheme="majorHAnsi" w:hAnsiTheme="majorHAnsi"/>
          <w:sz w:val="20"/>
          <w:szCs w:val="20"/>
          <w:lang w:val="en-US"/>
        </w:rPr>
        <w:t>.</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in the context of the 157</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 to strengthen cooperation between the United Nations and the IACHR and Inter-Amer</w:t>
      </w:r>
      <w:r w:rsidR="005D29F2">
        <w:rPr>
          <w:rFonts w:asciiTheme="majorHAnsi" w:hAnsiTheme="majorHAnsi"/>
          <w:sz w:val="20"/>
          <w:szCs w:val="20"/>
          <w:lang w:val="en-US"/>
        </w:rPr>
        <w:t>i</w:t>
      </w:r>
      <w:r w:rsidRPr="005A41E0">
        <w:rPr>
          <w:rFonts w:asciiTheme="majorHAnsi" w:hAnsiTheme="majorHAnsi"/>
          <w:sz w:val="20"/>
          <w:szCs w:val="20"/>
          <w:lang w:val="en-US"/>
        </w:rPr>
        <w:t>can Court, with interactions between these organs and civil society and human rights defenders. Several rapporteurs, as well as members of the United Nations Working Groups and representatives of the IACHR and the Inter-American Court presented their work, exchanged experiences, good practic</w:t>
      </w:r>
      <w:r w:rsidR="005D29F2">
        <w:rPr>
          <w:rFonts w:asciiTheme="majorHAnsi" w:hAnsiTheme="majorHAnsi"/>
          <w:sz w:val="20"/>
          <w:szCs w:val="20"/>
          <w:lang w:val="en-US"/>
        </w:rPr>
        <w:t>es, and challenges, and explore</w:t>
      </w:r>
      <w:r w:rsidRPr="005A41E0">
        <w:rPr>
          <w:rFonts w:asciiTheme="majorHAnsi" w:hAnsiTheme="majorHAnsi"/>
          <w:sz w:val="20"/>
          <w:szCs w:val="20"/>
          <w:lang w:val="en-US"/>
        </w:rPr>
        <w:t xml:space="preserve">d new forms of cooperation. In the discussion input was also received from members of civil society and human rights defenders, which reflected the main challenges in the region, the context of the activities of human rights defenders, </w:t>
      </w:r>
      <w:r w:rsidR="00EA65FD" w:rsidRPr="005A41E0">
        <w:rPr>
          <w:rFonts w:asciiTheme="majorHAnsi" w:hAnsiTheme="majorHAnsi"/>
          <w:sz w:val="20"/>
          <w:szCs w:val="20"/>
          <w:lang w:val="en-US"/>
        </w:rPr>
        <w:t>and their interaction with the regional human rights mechanisms and the United Nations</w:t>
      </w:r>
      <w:r w:rsidR="005D29F2">
        <w:rPr>
          <w:rFonts w:asciiTheme="majorHAnsi" w:hAnsiTheme="majorHAnsi"/>
          <w:sz w:val="20"/>
          <w:szCs w:val="20"/>
          <w:lang w:val="en-US"/>
        </w:rPr>
        <w:t>.</w:t>
      </w:r>
      <w:r w:rsidR="00EA65FD" w:rsidRPr="005A41E0">
        <w:rPr>
          <w:rFonts w:asciiTheme="majorHAnsi" w:hAnsiTheme="majorHAnsi"/>
          <w:sz w:val="20"/>
          <w:szCs w:val="20"/>
          <w:lang w:val="en-US"/>
        </w:rPr>
        <w:t xml:space="preserve"> Finally</w:t>
      </w:r>
      <w:r w:rsidR="00A257F3" w:rsidRPr="005A41E0">
        <w:rPr>
          <w:rFonts w:asciiTheme="majorHAnsi" w:hAnsiTheme="majorHAnsi"/>
          <w:sz w:val="20"/>
          <w:szCs w:val="20"/>
          <w:lang w:val="en-US"/>
        </w:rPr>
        <w:t xml:space="preserve">, </w:t>
      </w:r>
      <w:r w:rsidR="00EA65FD" w:rsidRPr="005A41E0">
        <w:rPr>
          <w:rFonts w:asciiTheme="majorHAnsi" w:hAnsiTheme="majorHAnsi"/>
          <w:sz w:val="20"/>
          <w:szCs w:val="20"/>
          <w:lang w:val="en-US"/>
        </w:rPr>
        <w:t>the consultation identified priority thematic areas to be included in the fourth world consul</w:t>
      </w:r>
      <w:r w:rsidR="005D29F2">
        <w:rPr>
          <w:rFonts w:asciiTheme="majorHAnsi" w:hAnsiTheme="majorHAnsi"/>
          <w:sz w:val="20"/>
          <w:szCs w:val="20"/>
          <w:lang w:val="en-US"/>
        </w:rPr>
        <w:t>tation on regional organs</w:t>
      </w:r>
      <w:r w:rsidR="00EA65FD" w:rsidRPr="005A41E0">
        <w:rPr>
          <w:rFonts w:asciiTheme="majorHAnsi" w:hAnsiTheme="majorHAnsi"/>
          <w:sz w:val="20"/>
          <w:szCs w:val="20"/>
          <w:lang w:val="en-US"/>
        </w:rPr>
        <w:t xml:space="preserve"> held in October </w:t>
      </w:r>
      <w:r w:rsidR="00A257F3" w:rsidRPr="005A41E0">
        <w:rPr>
          <w:rFonts w:asciiTheme="majorHAnsi" w:hAnsiTheme="majorHAnsi"/>
          <w:sz w:val="20"/>
          <w:szCs w:val="20"/>
          <w:lang w:val="en-US"/>
        </w:rPr>
        <w:t xml:space="preserve">2016. </w:t>
      </w:r>
      <w:r w:rsidR="00EA65FD" w:rsidRPr="005A41E0">
        <w:rPr>
          <w:rFonts w:asciiTheme="majorHAnsi" w:hAnsiTheme="majorHAnsi"/>
          <w:sz w:val="20"/>
          <w:szCs w:val="20"/>
          <w:lang w:val="en-US"/>
        </w:rPr>
        <w:t xml:space="preserve">As a result, a joint project was prepared for the purpose of creating a rapid response mechanism to respond to threats to human rights defenders; it was announced on December </w:t>
      </w:r>
      <w:r w:rsidR="00A257F3" w:rsidRPr="005A41E0">
        <w:rPr>
          <w:rFonts w:asciiTheme="majorHAnsi" w:hAnsiTheme="majorHAnsi"/>
          <w:sz w:val="20"/>
          <w:szCs w:val="20"/>
          <w:lang w:val="en-US"/>
        </w:rPr>
        <w:t xml:space="preserve">13.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EA65FD"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In the context of the serious financial crisis that the IACHR experienced in </w:t>
      </w:r>
      <w:r w:rsidR="00A257F3" w:rsidRPr="005A41E0">
        <w:rPr>
          <w:rFonts w:asciiTheme="majorHAnsi" w:hAnsiTheme="majorHAnsi"/>
          <w:sz w:val="20"/>
          <w:szCs w:val="20"/>
          <w:lang w:val="en-US"/>
        </w:rPr>
        <w:t xml:space="preserve">2016, </w:t>
      </w:r>
      <w:r w:rsidRPr="005A41E0">
        <w:rPr>
          <w:rFonts w:asciiTheme="majorHAnsi" w:hAnsiTheme="majorHAnsi"/>
          <w:sz w:val="20"/>
          <w:szCs w:val="20"/>
          <w:lang w:val="en-US"/>
        </w:rPr>
        <w:t>the public support of the High Commissioner for Human Rights was essential</w:t>
      </w:r>
      <w:r w:rsidR="00A257F3" w:rsidRPr="005A41E0">
        <w:rPr>
          <w:rFonts w:asciiTheme="majorHAnsi" w:hAnsiTheme="majorHAnsi"/>
          <w:sz w:val="20"/>
          <w:szCs w:val="20"/>
          <w:lang w:val="en-US"/>
        </w:rPr>
        <w:t xml:space="preserve">: </w:t>
      </w:r>
    </w:p>
    <w:p w:rsidR="000F38E6" w:rsidRPr="005A41E0" w:rsidRDefault="000F38E6" w:rsidP="005A41E0">
      <w:pPr>
        <w:shd w:val="clear" w:color="auto" w:fill="FFFFFF"/>
        <w:jc w:val="both"/>
        <w:rPr>
          <w:rFonts w:asciiTheme="majorHAnsi" w:hAnsiTheme="majorHAnsi"/>
          <w:sz w:val="20"/>
          <w:szCs w:val="20"/>
          <w:lang w:val="en-US"/>
        </w:rPr>
      </w:pPr>
    </w:p>
    <w:p w:rsidR="00A257F3" w:rsidRPr="005A41E0" w:rsidRDefault="007D6497" w:rsidP="005A41E0">
      <w:pPr>
        <w:pStyle w:val="ListParagraph"/>
        <w:ind w:left="720" w:right="720"/>
        <w:jc w:val="both"/>
        <w:rPr>
          <w:rFonts w:asciiTheme="majorHAnsi" w:hAnsiTheme="majorHAnsi"/>
          <w:sz w:val="20"/>
          <w:lang w:val="en-US"/>
        </w:rPr>
      </w:pPr>
      <w:r w:rsidRPr="005A41E0">
        <w:rPr>
          <w:rFonts w:asciiTheme="majorHAnsi" w:hAnsiTheme="majorHAnsi"/>
          <w:sz w:val="20"/>
          <w:lang w:val="en-US"/>
        </w:rPr>
        <w:t xml:space="preserve">We are disturbed by the severe financial crisis that the Inter-American Commission on Human Rights is facing. Should the Commission not receive the necessary funds in the coming weeks, the capacity of the regional human rights system to respond to victims of rights violations across the Americas may be seriously diminished. </w:t>
      </w:r>
    </w:p>
    <w:p w:rsidR="007D6497" w:rsidRPr="005A41E0" w:rsidRDefault="007D6497" w:rsidP="005A41E0">
      <w:pPr>
        <w:pStyle w:val="ListParagraph"/>
        <w:ind w:left="720" w:right="720"/>
        <w:jc w:val="both"/>
        <w:rPr>
          <w:rFonts w:asciiTheme="majorHAnsi" w:hAnsiTheme="majorHAnsi"/>
          <w:sz w:val="20"/>
          <w:lang w:val="en-US"/>
        </w:rPr>
      </w:pPr>
    </w:p>
    <w:p w:rsidR="00A257F3" w:rsidRPr="005A41E0" w:rsidRDefault="007D6497" w:rsidP="005A41E0">
      <w:pPr>
        <w:pStyle w:val="ListParagraph"/>
        <w:ind w:left="720" w:right="720"/>
        <w:jc w:val="both"/>
        <w:rPr>
          <w:rFonts w:asciiTheme="majorHAnsi" w:hAnsiTheme="majorHAnsi"/>
          <w:sz w:val="20"/>
          <w:lang w:val="en-US"/>
        </w:rPr>
      </w:pPr>
      <w:r w:rsidRPr="005A41E0">
        <w:rPr>
          <w:rFonts w:asciiTheme="majorHAnsi" w:hAnsiTheme="majorHAnsi"/>
          <w:sz w:val="20"/>
          <w:lang w:val="en-US"/>
        </w:rPr>
        <w:t xml:space="preserve">The pioneering work of the Inter-American Commission, as an agent of constitutional, legislative and policy reform, has had a strong impact on human rights in the region and beyond. It has provided a vital recourse for victims of human rights violations in the region and has played an important role in advocating for the rights of vulnerable groups. The </w:t>
      </w:r>
      <w:r w:rsidRPr="005A41E0">
        <w:rPr>
          <w:rFonts w:asciiTheme="majorHAnsi" w:hAnsiTheme="majorHAnsi"/>
          <w:sz w:val="20"/>
          <w:lang w:val="en-US"/>
        </w:rPr>
        <w:lastRenderedPageBreak/>
        <w:t>Commission is also a strategic partner for the UN Human Rights Offices in the region and a point of reference for the development of human rights standards worldwide. Unfortunately, in recent years, the Commission has faced undue pressure from a number of States.</w:t>
      </w:r>
    </w:p>
    <w:p w:rsidR="00A257F3" w:rsidRPr="005A41E0" w:rsidRDefault="00A257F3" w:rsidP="005A41E0">
      <w:pPr>
        <w:pStyle w:val="ListParagraph"/>
        <w:ind w:left="720" w:right="720"/>
        <w:jc w:val="both"/>
        <w:rPr>
          <w:rFonts w:asciiTheme="majorHAnsi" w:hAnsiTheme="majorHAnsi"/>
          <w:sz w:val="20"/>
          <w:lang w:val="en-US"/>
        </w:rPr>
      </w:pPr>
    </w:p>
    <w:p w:rsidR="00A257F3" w:rsidRPr="005A41E0" w:rsidRDefault="007D6497" w:rsidP="005A41E0">
      <w:pPr>
        <w:pStyle w:val="ListParagraph"/>
        <w:ind w:left="720" w:right="720"/>
        <w:jc w:val="both"/>
        <w:rPr>
          <w:rFonts w:asciiTheme="majorHAnsi" w:hAnsiTheme="majorHAnsi"/>
          <w:sz w:val="20"/>
          <w:lang w:val="en-US"/>
        </w:rPr>
      </w:pPr>
      <w:r w:rsidRPr="005A41E0">
        <w:rPr>
          <w:rFonts w:asciiTheme="majorHAnsi" w:hAnsiTheme="majorHAnsi"/>
          <w:sz w:val="20"/>
          <w:lang w:val="en-US"/>
        </w:rPr>
        <w:t>We urge States to reaffirm their commitment to human rights by providing the Commission with the required resources to fulfi</w:t>
      </w:r>
      <w:r w:rsidR="005D29F2">
        <w:rPr>
          <w:rFonts w:asciiTheme="majorHAnsi" w:hAnsiTheme="majorHAnsi"/>
          <w:sz w:val="20"/>
          <w:lang w:val="en-US"/>
        </w:rPr>
        <w:t>l</w:t>
      </w:r>
      <w:r w:rsidRPr="005A41E0">
        <w:rPr>
          <w:rFonts w:asciiTheme="majorHAnsi" w:hAnsiTheme="majorHAnsi"/>
          <w:sz w:val="20"/>
          <w:lang w:val="en-US"/>
        </w:rPr>
        <w:t>l its crucial mandate and indeed to strengthen this key institution</w:t>
      </w:r>
      <w:r w:rsidR="005D29F2">
        <w:rPr>
          <w:rFonts w:asciiTheme="majorHAnsi" w:hAnsiTheme="majorHAnsi"/>
          <w:sz w:val="20"/>
          <w:lang w:val="en-US"/>
        </w:rPr>
        <w:t>. The Commission’s robust defens</w:t>
      </w:r>
      <w:r w:rsidRPr="005A41E0">
        <w:rPr>
          <w:rFonts w:asciiTheme="majorHAnsi" w:hAnsiTheme="majorHAnsi"/>
          <w:sz w:val="20"/>
          <w:lang w:val="en-US"/>
        </w:rPr>
        <w:t>e of human rights in the region should be encouraged – not punished</w:t>
      </w:r>
      <w:r w:rsidR="00A257F3" w:rsidRPr="005A41E0">
        <w:rPr>
          <w:rFonts w:asciiTheme="majorHAnsi" w:hAnsiTheme="majorHAnsi"/>
          <w:sz w:val="20"/>
          <w:lang w:val="en-US"/>
        </w:rPr>
        <w:t>.</w:t>
      </w:r>
      <w:r w:rsidR="00EA65FD" w:rsidRPr="005A41E0">
        <w:rPr>
          <w:rFonts w:asciiTheme="majorHAnsi" w:hAnsiTheme="majorHAnsi"/>
          <w:sz w:val="20"/>
          <w:lang w:val="en-US"/>
        </w:rPr>
        <w:t xml:space="preserve"> </w:t>
      </w:r>
    </w:p>
    <w:p w:rsidR="00A257F3" w:rsidRPr="005A41E0" w:rsidRDefault="00A257F3" w:rsidP="005A41E0">
      <w:pPr>
        <w:pStyle w:val="ListParagraph"/>
        <w:ind w:left="1080" w:right="720"/>
        <w:jc w:val="both"/>
        <w:rPr>
          <w:rFonts w:asciiTheme="majorHAnsi" w:hAnsiTheme="majorHAnsi"/>
          <w:sz w:val="20"/>
          <w:lang w:val="en-US"/>
        </w:rPr>
      </w:pPr>
    </w:p>
    <w:p w:rsidR="00A257F3" w:rsidRPr="005A41E0" w:rsidRDefault="00BA06A6" w:rsidP="005A41E0">
      <w:pPr>
        <w:pStyle w:val="ListParagraph"/>
        <w:numPr>
          <w:ilvl w:val="0"/>
          <w:numId w:val="15"/>
        </w:numPr>
        <w:shd w:val="clear" w:color="auto" w:fill="FFFFFF"/>
        <w:tabs>
          <w:tab w:val="clear" w:pos="1080"/>
        </w:tabs>
        <w:ind w:left="0"/>
        <w:jc w:val="both"/>
        <w:rPr>
          <w:rFonts w:asciiTheme="majorHAnsi" w:hAnsiTheme="majorHAnsi" w:cs="Calibri"/>
          <w:sz w:val="20"/>
          <w:szCs w:val="20"/>
          <w:lang w:val="en-US"/>
        </w:rPr>
      </w:pPr>
      <w:r w:rsidRPr="005A41E0">
        <w:rPr>
          <w:rFonts w:asciiTheme="majorHAnsi" w:hAnsiTheme="majorHAnsi" w:cs="Calibri"/>
          <w:sz w:val="20"/>
          <w:szCs w:val="20"/>
          <w:lang w:val="en-US"/>
        </w:rPr>
        <w:t xml:space="preserve">During its special session in </w:t>
      </w:r>
      <w:r w:rsidR="00BE1C34" w:rsidRPr="005A41E0">
        <w:rPr>
          <w:rFonts w:asciiTheme="majorHAnsi" w:hAnsiTheme="majorHAnsi" w:cs="Calibri"/>
          <w:sz w:val="20"/>
          <w:szCs w:val="20"/>
          <w:lang w:val="en-US"/>
        </w:rPr>
        <w:t xml:space="preserve">Chile </w:t>
      </w:r>
      <w:r w:rsidRPr="005A41E0">
        <w:rPr>
          <w:rFonts w:asciiTheme="majorHAnsi" w:hAnsiTheme="majorHAnsi" w:cs="Calibri"/>
          <w:sz w:val="20"/>
          <w:szCs w:val="20"/>
          <w:lang w:val="en-US"/>
        </w:rPr>
        <w:t xml:space="preserve">the IACHR convened all the United Nations agencies to a working luncheon to share experiences and plan work together. </w:t>
      </w:r>
    </w:p>
    <w:p w:rsidR="000F38E6" w:rsidRPr="005A41E0" w:rsidRDefault="000F38E6" w:rsidP="005A41E0">
      <w:pPr>
        <w:pStyle w:val="paragraphs"/>
        <w:numPr>
          <w:ilvl w:val="0"/>
          <w:numId w:val="0"/>
        </w:numPr>
        <w:spacing w:after="0"/>
        <w:ind w:left="1440" w:hanging="360"/>
        <w:rPr>
          <w:rFonts w:asciiTheme="majorHAnsi" w:hAnsiTheme="majorHAnsi" w:cs="Calibri"/>
          <w:lang w:val="en-US"/>
        </w:rPr>
      </w:pPr>
    </w:p>
    <w:p w:rsidR="00BA512B" w:rsidRPr="005A41E0" w:rsidRDefault="00BA06A6" w:rsidP="00457E0E">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October </w:t>
      </w:r>
      <w:r w:rsidR="00A257F3" w:rsidRPr="005A41E0">
        <w:rPr>
          <w:rFonts w:asciiTheme="majorHAnsi" w:hAnsiTheme="majorHAnsi"/>
          <w:sz w:val="20"/>
          <w:szCs w:val="20"/>
          <w:lang w:val="en-US"/>
        </w:rPr>
        <w:t xml:space="preserve">4 </w:t>
      </w:r>
      <w:r w:rsidRPr="005A41E0">
        <w:rPr>
          <w:rFonts w:asciiTheme="majorHAnsi" w:hAnsiTheme="majorHAnsi"/>
          <w:sz w:val="20"/>
          <w:szCs w:val="20"/>
          <w:lang w:val="en-US"/>
        </w:rPr>
        <w:t xml:space="preserve">and </w:t>
      </w:r>
      <w:r w:rsidR="00A257F3" w:rsidRPr="005A41E0">
        <w:rPr>
          <w:rFonts w:asciiTheme="majorHAnsi" w:hAnsiTheme="majorHAnsi"/>
          <w:sz w:val="20"/>
          <w:szCs w:val="20"/>
          <w:lang w:val="en-US"/>
        </w:rPr>
        <w:t xml:space="preserve">5 </w:t>
      </w:r>
      <w:r w:rsidRPr="005A41E0">
        <w:rPr>
          <w:rFonts w:asciiTheme="majorHAnsi" w:hAnsiTheme="majorHAnsi"/>
          <w:sz w:val="20"/>
          <w:szCs w:val="20"/>
          <w:lang w:val="en-US"/>
        </w:rPr>
        <w:t>the President of the IACHR and a professional staff member of the Executive Secretariat participated in the workshop of regional human rights mechanisms in Geneva</w:t>
      </w:r>
      <w:r w:rsidR="00BB5B9E" w:rsidRPr="005A41E0">
        <w:rPr>
          <w:rFonts w:asciiTheme="majorHAnsi" w:hAnsiTheme="majorHAnsi"/>
          <w:sz w:val="20"/>
          <w:szCs w:val="20"/>
          <w:lang w:val="en-US"/>
        </w:rPr>
        <w:t>, S</w:t>
      </w:r>
      <w:r w:rsidRPr="005A41E0">
        <w:rPr>
          <w:rFonts w:asciiTheme="majorHAnsi" w:hAnsiTheme="majorHAnsi"/>
          <w:sz w:val="20"/>
          <w:szCs w:val="20"/>
          <w:lang w:val="en-US"/>
        </w:rPr>
        <w:t>witzerland</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This workshop brought together all the regional human rights mechanisms, among them the African Commission on Human and Peoples’ Rights, the African Court, the Association of Southeast Asian Nations </w:t>
      </w:r>
      <w:r w:rsidR="00C0653A" w:rsidRPr="005A41E0">
        <w:rPr>
          <w:rFonts w:asciiTheme="majorHAnsi" w:hAnsiTheme="majorHAnsi"/>
          <w:sz w:val="20"/>
          <w:szCs w:val="20"/>
          <w:lang w:val="en-US"/>
        </w:rPr>
        <w:t>(</w:t>
      </w:r>
      <w:r w:rsidR="00A257F3" w:rsidRPr="005A41E0">
        <w:rPr>
          <w:rFonts w:asciiTheme="majorHAnsi" w:hAnsiTheme="majorHAnsi"/>
          <w:sz w:val="20"/>
          <w:szCs w:val="20"/>
          <w:lang w:val="en-US"/>
        </w:rPr>
        <w:t>ASEAN</w:t>
      </w:r>
      <w:r w:rsidR="00C0653A" w:rsidRPr="005A41E0">
        <w:rPr>
          <w:rFonts w:asciiTheme="majorHAnsi" w:hAnsiTheme="majorHAnsi"/>
          <w:sz w:val="20"/>
          <w:szCs w:val="20"/>
          <w:lang w:val="en-US"/>
        </w:rPr>
        <w:t>)</w:t>
      </w:r>
      <w:r w:rsidR="00A257F3" w:rsidRPr="005A41E0">
        <w:rPr>
          <w:rFonts w:asciiTheme="majorHAnsi" w:hAnsiTheme="majorHAnsi"/>
          <w:sz w:val="20"/>
          <w:szCs w:val="20"/>
          <w:lang w:val="en-US"/>
        </w:rPr>
        <w:t xml:space="preserve">, </w:t>
      </w:r>
      <w:r w:rsidR="00457E0E">
        <w:rPr>
          <w:rFonts w:asciiTheme="majorHAnsi" w:hAnsiTheme="majorHAnsi"/>
          <w:sz w:val="20"/>
          <w:szCs w:val="20"/>
          <w:lang w:val="en-US"/>
        </w:rPr>
        <w:t>t</w:t>
      </w:r>
      <w:r w:rsidRPr="005A41E0">
        <w:rPr>
          <w:rFonts w:asciiTheme="majorHAnsi" w:hAnsiTheme="majorHAnsi"/>
          <w:sz w:val="20"/>
          <w:szCs w:val="20"/>
          <w:lang w:val="en-US"/>
        </w:rPr>
        <w:t xml:space="preserve">he Court </w:t>
      </w:r>
      <w:r w:rsidR="00457E0E">
        <w:rPr>
          <w:rFonts w:asciiTheme="majorHAnsi" w:hAnsiTheme="majorHAnsi"/>
          <w:sz w:val="20"/>
          <w:szCs w:val="20"/>
          <w:lang w:val="en-US"/>
        </w:rPr>
        <w:t xml:space="preserve">of Justice </w:t>
      </w:r>
      <w:r w:rsidRPr="005A41E0">
        <w:rPr>
          <w:rFonts w:asciiTheme="majorHAnsi" w:hAnsiTheme="majorHAnsi"/>
          <w:sz w:val="20"/>
          <w:szCs w:val="20"/>
          <w:lang w:val="en-US"/>
        </w:rPr>
        <w:t xml:space="preserve">of the Economic Community of West African States </w:t>
      </w:r>
      <w:r w:rsidR="00C0653A" w:rsidRPr="005A41E0">
        <w:rPr>
          <w:rFonts w:asciiTheme="majorHAnsi" w:hAnsiTheme="majorHAnsi"/>
          <w:sz w:val="20"/>
          <w:szCs w:val="20"/>
          <w:lang w:val="en-US"/>
        </w:rPr>
        <w:t>(</w:t>
      </w:r>
      <w:r w:rsidR="00A257F3" w:rsidRPr="005A41E0">
        <w:rPr>
          <w:rFonts w:asciiTheme="majorHAnsi" w:hAnsiTheme="majorHAnsi"/>
          <w:sz w:val="20"/>
          <w:szCs w:val="20"/>
          <w:lang w:val="en-US"/>
        </w:rPr>
        <w:t>ECOWAS</w:t>
      </w:r>
      <w:r w:rsidR="00C0653A" w:rsidRPr="005A41E0">
        <w:rPr>
          <w:rFonts w:asciiTheme="majorHAnsi" w:hAnsiTheme="majorHAnsi"/>
          <w:sz w:val="20"/>
          <w:szCs w:val="20"/>
          <w:lang w:val="en-US"/>
        </w:rPr>
        <w:t>)</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East African Court of Justice, the European Union Agency for Fundamental Rights, the United Nations Working Group on Human Rights and Business, and </w:t>
      </w:r>
      <w:r w:rsidR="00DE1BA8" w:rsidRPr="005A41E0">
        <w:rPr>
          <w:rFonts w:asciiTheme="majorHAnsi" w:hAnsiTheme="majorHAnsi"/>
          <w:sz w:val="20"/>
          <w:szCs w:val="20"/>
          <w:lang w:val="en-US"/>
        </w:rPr>
        <w:t xml:space="preserve">the Arab Commission for </w:t>
      </w:r>
      <w:r w:rsidRPr="005A41E0">
        <w:rPr>
          <w:rFonts w:asciiTheme="majorHAnsi" w:hAnsiTheme="majorHAnsi"/>
          <w:sz w:val="20"/>
          <w:szCs w:val="20"/>
          <w:lang w:val="en-US"/>
        </w:rPr>
        <w:t xml:space="preserve">Human Rights.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DE1BA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During their stay in Geneva the President of the IACHR and the President of the Inter-American Court met with the High Commissioner for Human Rights and with the President of the Human Rights Council.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593F1F"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October </w:t>
      </w:r>
      <w:r w:rsidR="00BB5B9E" w:rsidRPr="005A41E0">
        <w:rPr>
          <w:rFonts w:asciiTheme="majorHAnsi" w:hAnsiTheme="majorHAnsi"/>
          <w:sz w:val="20"/>
          <w:szCs w:val="20"/>
          <w:lang w:val="en-US"/>
        </w:rPr>
        <w:t xml:space="preserve">6 </w:t>
      </w:r>
      <w:r w:rsidRPr="005A41E0">
        <w:rPr>
          <w:rFonts w:asciiTheme="majorHAnsi" w:hAnsiTheme="majorHAnsi"/>
          <w:sz w:val="20"/>
          <w:szCs w:val="20"/>
          <w:lang w:val="en-US"/>
        </w:rPr>
        <w:t xml:space="preserve">the annual meeting of focal points of regional human rights mechanisms was held; there was follow-up on the conclusions of the April 9 meeting. Among these, there was analysis of the creation of a joint mechanism for the protection of human rights defenders. On October </w:t>
      </w:r>
      <w:r w:rsidR="00A257F3" w:rsidRPr="005A41E0">
        <w:rPr>
          <w:rFonts w:asciiTheme="majorHAnsi" w:hAnsiTheme="majorHAnsi"/>
          <w:sz w:val="20"/>
          <w:szCs w:val="20"/>
          <w:lang w:val="en-US"/>
        </w:rPr>
        <w:t xml:space="preserve">26 </w:t>
      </w:r>
      <w:r w:rsidRPr="005A41E0">
        <w:rPr>
          <w:rFonts w:asciiTheme="majorHAnsi" w:hAnsiTheme="majorHAnsi"/>
          <w:sz w:val="20"/>
          <w:szCs w:val="20"/>
          <w:lang w:val="en-US"/>
        </w:rPr>
        <w:t xml:space="preserve">the Executive Secretary of the IACHR met with </w:t>
      </w:r>
      <w:r w:rsidR="00A257F3" w:rsidRPr="005A41E0">
        <w:rPr>
          <w:rFonts w:asciiTheme="majorHAnsi" w:hAnsiTheme="majorHAnsi"/>
          <w:sz w:val="20"/>
          <w:szCs w:val="20"/>
          <w:lang w:val="en-US"/>
        </w:rPr>
        <w:t>Mac Darrow</w:t>
      </w:r>
      <w:r w:rsidRPr="005A41E0">
        <w:rPr>
          <w:rFonts w:asciiTheme="majorHAnsi" w:hAnsiTheme="majorHAnsi"/>
          <w:sz w:val="20"/>
          <w:szCs w:val="20"/>
          <w:lang w:val="en-US"/>
        </w:rPr>
        <w:t xml:space="preserve">, representative of the High Commissioner for financial matters, in Washington.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593F1F" w:rsidP="00457E0E">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October </w:t>
      </w:r>
      <w:r w:rsidR="00A257F3" w:rsidRPr="005A41E0">
        <w:rPr>
          <w:rFonts w:asciiTheme="majorHAnsi" w:hAnsiTheme="majorHAnsi"/>
          <w:sz w:val="20"/>
          <w:szCs w:val="20"/>
          <w:lang w:val="en-US"/>
        </w:rPr>
        <w:t xml:space="preserve">31, Kate Gilmore, </w:t>
      </w:r>
      <w:r w:rsidRPr="005A41E0">
        <w:rPr>
          <w:rFonts w:asciiTheme="majorHAnsi" w:hAnsiTheme="majorHAnsi"/>
          <w:sz w:val="20"/>
          <w:szCs w:val="20"/>
          <w:lang w:val="en-US"/>
        </w:rPr>
        <w:t xml:space="preserve">Deputy High Commissioner for Human Rights, sent a letter of support for the IACHR in which she called on the states to support the budget increase for the IACHR.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593F1F" w:rsidP="00457E0E">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During the </w:t>
      </w:r>
      <w:r w:rsidR="00D16D33" w:rsidRPr="005A41E0">
        <w:rPr>
          <w:rFonts w:asciiTheme="majorHAnsi" w:hAnsiTheme="majorHAnsi"/>
          <w:sz w:val="20"/>
          <w:szCs w:val="20"/>
          <w:lang w:val="en-US"/>
        </w:rPr>
        <w:t>159</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regular period of session in Panama</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Inter-American Commission carried out various joint activities with the Regional Office for </w:t>
      </w:r>
      <w:r w:rsidR="00A257F3" w:rsidRPr="005A41E0">
        <w:rPr>
          <w:rFonts w:asciiTheme="majorHAnsi" w:hAnsiTheme="majorHAnsi"/>
          <w:sz w:val="20"/>
          <w:szCs w:val="20"/>
          <w:lang w:val="en-US"/>
        </w:rPr>
        <w:t>Central</w:t>
      </w:r>
      <w:r w:rsidRPr="005A41E0">
        <w:rPr>
          <w:rFonts w:asciiTheme="majorHAnsi" w:hAnsiTheme="majorHAnsi"/>
          <w:sz w:val="20"/>
          <w:szCs w:val="20"/>
          <w:lang w:val="en-US"/>
        </w:rPr>
        <w:t xml:space="preserve"> America</w:t>
      </w:r>
      <w:r w:rsidR="00A257F3" w:rsidRPr="005A41E0">
        <w:rPr>
          <w:rFonts w:asciiTheme="majorHAnsi" w:hAnsiTheme="majorHAnsi"/>
          <w:sz w:val="20"/>
          <w:szCs w:val="20"/>
          <w:lang w:val="en-US"/>
        </w:rPr>
        <w:t xml:space="preserve">. </w:t>
      </w:r>
      <w:r w:rsidR="00F27C8F" w:rsidRPr="005A41E0">
        <w:rPr>
          <w:rFonts w:asciiTheme="majorHAnsi" w:hAnsiTheme="majorHAnsi"/>
          <w:sz w:val="20"/>
          <w:szCs w:val="20"/>
          <w:lang w:val="en-US"/>
        </w:rPr>
        <w:t xml:space="preserve">On November </w:t>
      </w:r>
      <w:r w:rsidR="00A257F3" w:rsidRPr="005A41E0">
        <w:rPr>
          <w:rFonts w:asciiTheme="majorHAnsi" w:hAnsiTheme="majorHAnsi"/>
          <w:sz w:val="20"/>
          <w:szCs w:val="20"/>
          <w:lang w:val="en-US"/>
        </w:rPr>
        <w:t xml:space="preserve">30 </w:t>
      </w:r>
      <w:r w:rsidR="00F27C8F" w:rsidRPr="005A41E0">
        <w:rPr>
          <w:rFonts w:asciiTheme="majorHAnsi" w:hAnsiTheme="majorHAnsi"/>
          <w:sz w:val="20"/>
          <w:szCs w:val="20"/>
          <w:lang w:val="en-US"/>
        </w:rPr>
        <w:t>the IACHR had a working luncheon with several United Nations agencies</w:t>
      </w:r>
      <w:r w:rsidR="00A257F3" w:rsidRPr="005A41E0">
        <w:rPr>
          <w:rFonts w:asciiTheme="majorHAnsi" w:hAnsiTheme="majorHAnsi"/>
          <w:sz w:val="20"/>
          <w:szCs w:val="20"/>
          <w:lang w:val="en-US"/>
        </w:rPr>
        <w:t xml:space="preserve">, </w:t>
      </w:r>
      <w:r w:rsidR="00F27C8F" w:rsidRPr="005A41E0">
        <w:rPr>
          <w:rFonts w:asciiTheme="majorHAnsi" w:hAnsiTheme="majorHAnsi"/>
          <w:sz w:val="20"/>
          <w:szCs w:val="20"/>
          <w:lang w:val="en-US"/>
        </w:rPr>
        <w:t xml:space="preserve">among them </w:t>
      </w:r>
      <w:r w:rsidR="00A257F3" w:rsidRPr="005A41E0">
        <w:rPr>
          <w:rFonts w:asciiTheme="majorHAnsi" w:hAnsiTheme="majorHAnsi"/>
          <w:sz w:val="20"/>
          <w:szCs w:val="20"/>
          <w:lang w:val="en-US"/>
        </w:rPr>
        <w:t xml:space="preserve">UNICEF, </w:t>
      </w:r>
      <w:r w:rsidR="00F27C8F" w:rsidRPr="005A41E0">
        <w:rPr>
          <w:rFonts w:asciiTheme="majorHAnsi" w:hAnsiTheme="majorHAnsi"/>
          <w:sz w:val="20"/>
          <w:szCs w:val="20"/>
          <w:lang w:val="en-US"/>
        </w:rPr>
        <w:t xml:space="preserve">the Office of the UN High Commissioner for Refugees (UNHCR), the International Organization for Migration </w:t>
      </w:r>
      <w:r w:rsidR="00EC09B5" w:rsidRPr="005A41E0">
        <w:rPr>
          <w:rFonts w:asciiTheme="majorHAnsi" w:hAnsiTheme="majorHAnsi"/>
          <w:sz w:val="20"/>
          <w:szCs w:val="20"/>
          <w:lang w:val="en-US"/>
        </w:rPr>
        <w:t>(I</w:t>
      </w:r>
      <w:r w:rsidR="00F27C8F" w:rsidRPr="005A41E0">
        <w:rPr>
          <w:rFonts w:asciiTheme="majorHAnsi" w:hAnsiTheme="majorHAnsi"/>
          <w:sz w:val="20"/>
          <w:szCs w:val="20"/>
          <w:lang w:val="en-US"/>
        </w:rPr>
        <w:t>O</w:t>
      </w:r>
      <w:r w:rsidR="00EC09B5" w:rsidRPr="005A41E0">
        <w:rPr>
          <w:rFonts w:asciiTheme="majorHAnsi" w:hAnsiTheme="majorHAnsi"/>
          <w:sz w:val="20"/>
          <w:szCs w:val="20"/>
          <w:lang w:val="en-US"/>
        </w:rPr>
        <w:t>M)</w:t>
      </w:r>
      <w:r w:rsidR="00A257F3" w:rsidRPr="005A41E0">
        <w:rPr>
          <w:rFonts w:asciiTheme="majorHAnsi" w:hAnsiTheme="majorHAnsi"/>
          <w:sz w:val="20"/>
          <w:szCs w:val="20"/>
          <w:lang w:val="en-US"/>
        </w:rPr>
        <w:t xml:space="preserve">, </w:t>
      </w:r>
      <w:r w:rsidR="00F27C8F" w:rsidRPr="005A41E0">
        <w:rPr>
          <w:rFonts w:asciiTheme="majorHAnsi" w:hAnsiTheme="majorHAnsi"/>
          <w:sz w:val="20"/>
          <w:szCs w:val="20"/>
          <w:lang w:val="en-US"/>
        </w:rPr>
        <w:t xml:space="preserve">the Food and Agriculture Organization </w:t>
      </w:r>
      <w:r w:rsidR="00EC09B5" w:rsidRPr="005A41E0">
        <w:rPr>
          <w:rFonts w:asciiTheme="majorHAnsi" w:hAnsiTheme="majorHAnsi"/>
          <w:sz w:val="20"/>
          <w:szCs w:val="20"/>
          <w:lang w:val="en-US"/>
        </w:rPr>
        <w:t>(FAO)</w:t>
      </w:r>
      <w:r w:rsidR="00A257F3" w:rsidRPr="005A41E0">
        <w:rPr>
          <w:rFonts w:asciiTheme="majorHAnsi" w:hAnsiTheme="majorHAnsi"/>
          <w:sz w:val="20"/>
          <w:szCs w:val="20"/>
          <w:lang w:val="en-US"/>
        </w:rPr>
        <w:t xml:space="preserve">, </w:t>
      </w:r>
      <w:r w:rsidR="00F27C8F" w:rsidRPr="005A41E0">
        <w:rPr>
          <w:rFonts w:asciiTheme="majorHAnsi" w:hAnsiTheme="majorHAnsi"/>
          <w:sz w:val="20"/>
          <w:szCs w:val="20"/>
          <w:lang w:val="en-US"/>
        </w:rPr>
        <w:t>UN Women, Pan American Health Organization (PAHO), the United Nations Development Program (</w:t>
      </w:r>
      <w:r w:rsidR="006B7F28" w:rsidRPr="005A41E0">
        <w:rPr>
          <w:rFonts w:asciiTheme="majorHAnsi" w:hAnsiTheme="majorHAnsi"/>
          <w:sz w:val="20"/>
          <w:szCs w:val="20"/>
          <w:lang w:val="en-US"/>
        </w:rPr>
        <w:t>UNDP</w:t>
      </w:r>
      <w:r w:rsidR="00F27C8F" w:rsidRPr="005A41E0">
        <w:rPr>
          <w:rFonts w:asciiTheme="majorHAnsi" w:hAnsiTheme="majorHAnsi"/>
          <w:sz w:val="20"/>
          <w:szCs w:val="20"/>
          <w:lang w:val="en-US"/>
        </w:rPr>
        <w:t xml:space="preserve">), </w:t>
      </w:r>
      <w:r w:rsidR="006B7F28" w:rsidRPr="005A41E0">
        <w:rPr>
          <w:rFonts w:asciiTheme="majorHAnsi" w:hAnsiTheme="majorHAnsi"/>
          <w:sz w:val="20"/>
          <w:szCs w:val="20"/>
          <w:lang w:val="en-US"/>
        </w:rPr>
        <w:t xml:space="preserve">the Office for the Coordination of Humanitarian Affairs </w:t>
      </w:r>
      <w:r w:rsidR="00B54147" w:rsidRPr="005A41E0">
        <w:rPr>
          <w:rFonts w:asciiTheme="majorHAnsi" w:hAnsiTheme="majorHAnsi"/>
          <w:sz w:val="20"/>
          <w:szCs w:val="20"/>
          <w:lang w:val="en-US"/>
        </w:rPr>
        <w:t>(</w:t>
      </w:r>
      <w:r w:rsidR="00A257F3" w:rsidRPr="005A41E0">
        <w:rPr>
          <w:rFonts w:asciiTheme="majorHAnsi" w:hAnsiTheme="majorHAnsi"/>
          <w:sz w:val="20"/>
          <w:szCs w:val="20"/>
          <w:lang w:val="en-US"/>
        </w:rPr>
        <w:t>OCHA</w:t>
      </w:r>
      <w:r w:rsidR="00B54147" w:rsidRPr="005A41E0">
        <w:rPr>
          <w:rFonts w:asciiTheme="majorHAnsi" w:hAnsiTheme="majorHAnsi"/>
          <w:sz w:val="20"/>
          <w:szCs w:val="20"/>
          <w:lang w:val="en-US"/>
        </w:rPr>
        <w:t>)</w:t>
      </w:r>
      <w:r w:rsidR="00A257F3" w:rsidRPr="005A41E0">
        <w:rPr>
          <w:rFonts w:asciiTheme="majorHAnsi" w:hAnsiTheme="majorHAnsi"/>
          <w:sz w:val="20"/>
          <w:szCs w:val="20"/>
          <w:lang w:val="en-US"/>
        </w:rPr>
        <w:t xml:space="preserve">, </w:t>
      </w:r>
      <w:r w:rsidR="006B7F28" w:rsidRPr="005A41E0">
        <w:rPr>
          <w:rFonts w:asciiTheme="majorHAnsi" w:hAnsiTheme="majorHAnsi"/>
          <w:sz w:val="20"/>
          <w:szCs w:val="20"/>
          <w:lang w:val="en-US"/>
        </w:rPr>
        <w:t>Joint United Nations Program on HIV/AIDS (UNAIDS)</w:t>
      </w:r>
      <w:r w:rsidR="00A257F3" w:rsidRPr="005A41E0">
        <w:rPr>
          <w:rFonts w:asciiTheme="majorHAnsi" w:hAnsiTheme="majorHAnsi"/>
          <w:sz w:val="20"/>
          <w:szCs w:val="20"/>
          <w:lang w:val="en-US"/>
        </w:rPr>
        <w:t xml:space="preserve">, </w:t>
      </w:r>
      <w:r w:rsidR="006B7F28" w:rsidRPr="005A41E0">
        <w:rPr>
          <w:rFonts w:asciiTheme="majorHAnsi" w:hAnsiTheme="majorHAnsi"/>
          <w:sz w:val="20"/>
          <w:szCs w:val="20"/>
          <w:lang w:val="en-US"/>
        </w:rPr>
        <w:t xml:space="preserve">United Nations Environmental Program (UNEP), the United Nations Population Fund </w:t>
      </w:r>
      <w:r w:rsidR="00B54147" w:rsidRPr="005A41E0">
        <w:rPr>
          <w:rFonts w:asciiTheme="majorHAnsi" w:hAnsiTheme="majorHAnsi"/>
          <w:sz w:val="20"/>
          <w:szCs w:val="20"/>
          <w:lang w:val="en-US"/>
        </w:rPr>
        <w:t>(</w:t>
      </w:r>
      <w:r w:rsidR="00A257F3" w:rsidRPr="005A41E0">
        <w:rPr>
          <w:rFonts w:asciiTheme="majorHAnsi" w:hAnsiTheme="majorHAnsi"/>
          <w:sz w:val="20"/>
          <w:szCs w:val="20"/>
          <w:lang w:val="en-US"/>
        </w:rPr>
        <w:t>UNFPA</w:t>
      </w:r>
      <w:r w:rsidR="00B54147" w:rsidRPr="005A41E0">
        <w:rPr>
          <w:rFonts w:asciiTheme="majorHAnsi" w:hAnsiTheme="majorHAnsi"/>
          <w:sz w:val="20"/>
          <w:szCs w:val="20"/>
          <w:lang w:val="en-US"/>
        </w:rPr>
        <w:t>)</w:t>
      </w:r>
      <w:r w:rsidR="006B7F28" w:rsidRPr="005A41E0">
        <w:rPr>
          <w:rFonts w:asciiTheme="majorHAnsi" w:hAnsiTheme="majorHAnsi"/>
          <w:sz w:val="20"/>
          <w:szCs w:val="20"/>
          <w:lang w:val="en-US"/>
        </w:rPr>
        <w:t xml:space="preserve">, and the United Nations Office for Disaster Risk Reduction </w:t>
      </w:r>
      <w:r w:rsidR="00B54147" w:rsidRPr="005A41E0">
        <w:rPr>
          <w:rFonts w:asciiTheme="majorHAnsi" w:hAnsiTheme="majorHAnsi"/>
          <w:sz w:val="20"/>
          <w:szCs w:val="20"/>
          <w:lang w:val="en-US"/>
        </w:rPr>
        <w:t>(</w:t>
      </w:r>
      <w:r w:rsidR="00A257F3" w:rsidRPr="005A41E0">
        <w:rPr>
          <w:rFonts w:asciiTheme="majorHAnsi" w:hAnsiTheme="majorHAnsi"/>
          <w:sz w:val="20"/>
          <w:szCs w:val="20"/>
          <w:lang w:val="en-US"/>
        </w:rPr>
        <w:t>UNISDR</w:t>
      </w:r>
      <w:r w:rsidR="00B54147" w:rsidRPr="005A41E0">
        <w:rPr>
          <w:rFonts w:asciiTheme="majorHAnsi" w:hAnsiTheme="majorHAnsi"/>
          <w:sz w:val="20"/>
          <w:szCs w:val="20"/>
          <w:lang w:val="en-US"/>
        </w:rPr>
        <w:t>)</w:t>
      </w:r>
      <w:r w:rsidR="00A257F3" w:rsidRPr="005A41E0">
        <w:rPr>
          <w:rFonts w:asciiTheme="majorHAnsi" w:hAnsiTheme="majorHAnsi"/>
          <w:sz w:val="20"/>
          <w:szCs w:val="20"/>
          <w:lang w:val="en-US"/>
        </w:rPr>
        <w:t xml:space="preserve">. </w:t>
      </w:r>
      <w:r w:rsidR="006B7F28" w:rsidRPr="005A41E0">
        <w:rPr>
          <w:rFonts w:asciiTheme="majorHAnsi" w:hAnsiTheme="majorHAnsi"/>
          <w:sz w:val="20"/>
          <w:szCs w:val="20"/>
          <w:lang w:val="en-US"/>
        </w:rPr>
        <w:t xml:space="preserve">During that meeting the IACHR made a brief presentation on its process of preparing the Strategic Plan and requested the cooperation of the agencies in identifying priorities, as well as in its subsequent implementation. In addition, common lines of work were identified </w:t>
      </w:r>
      <w:r w:rsidR="00457E0E">
        <w:rPr>
          <w:rFonts w:asciiTheme="majorHAnsi" w:hAnsiTheme="majorHAnsi"/>
          <w:sz w:val="20"/>
          <w:szCs w:val="20"/>
          <w:lang w:val="en-US"/>
        </w:rPr>
        <w:t xml:space="preserve">along with </w:t>
      </w:r>
      <w:r w:rsidR="006B7F28" w:rsidRPr="005A41E0">
        <w:rPr>
          <w:rFonts w:asciiTheme="majorHAnsi" w:hAnsiTheme="majorHAnsi"/>
          <w:sz w:val="20"/>
          <w:szCs w:val="20"/>
          <w:lang w:val="en-US"/>
        </w:rPr>
        <w:t xml:space="preserve">possibilities </w:t>
      </w:r>
      <w:r w:rsidR="00457E0E">
        <w:rPr>
          <w:rFonts w:asciiTheme="majorHAnsi" w:hAnsiTheme="majorHAnsi"/>
          <w:sz w:val="20"/>
          <w:szCs w:val="20"/>
          <w:lang w:val="en-US"/>
        </w:rPr>
        <w:t xml:space="preserve">for </w:t>
      </w:r>
      <w:r w:rsidR="006B7F28" w:rsidRPr="005A41E0">
        <w:rPr>
          <w:rFonts w:asciiTheme="majorHAnsi" w:hAnsiTheme="majorHAnsi"/>
          <w:sz w:val="20"/>
          <w:szCs w:val="20"/>
          <w:lang w:val="en-US"/>
        </w:rPr>
        <w:t xml:space="preserve">strengthening cooperation.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6B7F28" w:rsidP="002C224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December </w:t>
      </w:r>
      <w:r w:rsidR="00A257F3" w:rsidRPr="005A41E0">
        <w:rPr>
          <w:rFonts w:asciiTheme="majorHAnsi" w:hAnsiTheme="majorHAnsi"/>
          <w:sz w:val="20"/>
          <w:szCs w:val="20"/>
          <w:lang w:val="en-US"/>
        </w:rPr>
        <w:t xml:space="preserve">3 </w:t>
      </w:r>
      <w:r w:rsidRPr="005A41E0">
        <w:rPr>
          <w:rFonts w:asciiTheme="majorHAnsi" w:hAnsiTheme="majorHAnsi"/>
          <w:sz w:val="20"/>
          <w:szCs w:val="20"/>
          <w:lang w:val="en-US"/>
        </w:rPr>
        <w:t xml:space="preserve">a working meeting was held between the IACHR and representatives of the Office of the High Commissioner.  Representatives were present from the Americas Section in Geneva, the Regional Offices for Central America </w:t>
      </w:r>
      <w:r w:rsidR="00A257F3" w:rsidRPr="005A41E0">
        <w:rPr>
          <w:rFonts w:asciiTheme="majorHAnsi" w:hAnsiTheme="majorHAnsi"/>
          <w:sz w:val="20"/>
          <w:szCs w:val="20"/>
          <w:lang w:val="en-US"/>
        </w:rPr>
        <w:t>(</w:t>
      </w:r>
      <w:r w:rsidRPr="005A41E0">
        <w:rPr>
          <w:rFonts w:asciiTheme="majorHAnsi" w:hAnsiTheme="majorHAnsi"/>
          <w:sz w:val="20"/>
          <w:szCs w:val="20"/>
          <w:lang w:val="en-US"/>
        </w:rPr>
        <w:t>in Panama</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South America </w:t>
      </w:r>
      <w:r w:rsidR="00A257F3" w:rsidRPr="005A41E0">
        <w:rPr>
          <w:rFonts w:asciiTheme="majorHAnsi" w:hAnsiTheme="majorHAnsi"/>
          <w:sz w:val="20"/>
          <w:szCs w:val="20"/>
          <w:lang w:val="en-US"/>
        </w:rPr>
        <w:t>(Chile)</w:t>
      </w:r>
      <w:r w:rsidRPr="005A41E0">
        <w:rPr>
          <w:rFonts w:asciiTheme="majorHAnsi" w:hAnsiTheme="majorHAnsi"/>
          <w:sz w:val="20"/>
          <w:szCs w:val="20"/>
          <w:lang w:val="en-US"/>
        </w:rPr>
        <w:t xml:space="preserve">, and the Offices in </w:t>
      </w:r>
      <w:r w:rsidR="00A257F3" w:rsidRPr="005A41E0">
        <w:rPr>
          <w:rFonts w:asciiTheme="majorHAnsi" w:hAnsiTheme="majorHAnsi"/>
          <w:sz w:val="20"/>
          <w:szCs w:val="20"/>
          <w:lang w:val="en-US"/>
        </w:rPr>
        <w:t>Guatemala, Honduras, M</w:t>
      </w:r>
      <w:r w:rsidRPr="005A41E0">
        <w:rPr>
          <w:rFonts w:asciiTheme="majorHAnsi" w:hAnsiTheme="majorHAnsi"/>
          <w:sz w:val="20"/>
          <w:szCs w:val="20"/>
          <w:lang w:val="en-US"/>
        </w:rPr>
        <w:t>e</w:t>
      </w:r>
      <w:r w:rsidR="00A257F3" w:rsidRPr="005A41E0">
        <w:rPr>
          <w:rFonts w:asciiTheme="majorHAnsi" w:hAnsiTheme="majorHAnsi"/>
          <w:sz w:val="20"/>
          <w:szCs w:val="20"/>
          <w:lang w:val="en-US"/>
        </w:rPr>
        <w:t>xico</w:t>
      </w:r>
      <w:r w:rsidRPr="005A41E0">
        <w:rPr>
          <w:rFonts w:asciiTheme="majorHAnsi" w:hAnsiTheme="majorHAnsi"/>
          <w:sz w:val="20"/>
          <w:szCs w:val="20"/>
          <w:lang w:val="en-US"/>
        </w:rPr>
        <w:t xml:space="preserve">, and </w:t>
      </w:r>
      <w:r w:rsidR="00A257F3" w:rsidRPr="005A41E0">
        <w:rPr>
          <w:rFonts w:asciiTheme="majorHAnsi" w:hAnsiTheme="majorHAnsi"/>
          <w:sz w:val="20"/>
          <w:szCs w:val="20"/>
          <w:lang w:val="en-US"/>
        </w:rPr>
        <w:t>Colombia (</w:t>
      </w:r>
      <w:r w:rsidRPr="005A41E0">
        <w:rPr>
          <w:rFonts w:asciiTheme="majorHAnsi" w:hAnsiTheme="majorHAnsi"/>
          <w:sz w:val="20"/>
          <w:szCs w:val="20"/>
          <w:lang w:val="en-US"/>
        </w:rPr>
        <w:t>the latter participated by electronic means</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This is the first time a meeting of this sort has taken place with most of the offices of the OHCHR in the region. During the meeting the IACHR described its process of developing the Strategic Plan and held a dialogue for coordination and cooperation between the regional and universal systems. </w:t>
      </w:r>
      <w:r w:rsidR="00BC1BD2" w:rsidRPr="005A41E0">
        <w:rPr>
          <w:rFonts w:asciiTheme="majorHAnsi" w:hAnsiTheme="majorHAnsi"/>
          <w:sz w:val="20"/>
          <w:szCs w:val="20"/>
          <w:lang w:val="en-US"/>
        </w:rPr>
        <w:t xml:space="preserve">Upon the conclusion of the period of sessions, the IACHR announced that the two organs would adopt a joint Work Plan, and on December 13 it was announced that the two institutions committed to developing a joint mechanism for human rights defenders and journalists that will be made public in the first months of </w:t>
      </w:r>
      <w:r w:rsidR="00A257F3" w:rsidRPr="005A41E0">
        <w:rPr>
          <w:rFonts w:asciiTheme="majorHAnsi" w:hAnsiTheme="majorHAnsi"/>
          <w:sz w:val="20"/>
          <w:szCs w:val="20"/>
          <w:lang w:val="en-US"/>
        </w:rPr>
        <w:t xml:space="preserve">2017. </w:t>
      </w:r>
    </w:p>
    <w:p w:rsidR="00BA512B" w:rsidRPr="005A41E0" w:rsidRDefault="00BA512B" w:rsidP="005A41E0">
      <w:pPr>
        <w:pStyle w:val="ListParagraph"/>
        <w:shd w:val="clear" w:color="auto" w:fill="FFFFFF"/>
        <w:ind w:left="720"/>
        <w:jc w:val="both"/>
        <w:rPr>
          <w:rFonts w:asciiTheme="majorHAnsi" w:hAnsiTheme="majorHAnsi"/>
          <w:sz w:val="20"/>
          <w:szCs w:val="20"/>
          <w:lang w:val="en-US"/>
        </w:rPr>
      </w:pPr>
    </w:p>
    <w:p w:rsidR="00A257F3" w:rsidRPr="005A41E0" w:rsidRDefault="00BC1BD2" w:rsidP="005A41E0">
      <w:pPr>
        <w:numPr>
          <w:ilvl w:val="0"/>
          <w:numId w:val="37"/>
        </w:numPr>
        <w:ind w:left="0" w:firstLine="720"/>
        <w:jc w:val="both"/>
        <w:rPr>
          <w:rFonts w:asciiTheme="majorHAnsi" w:hAnsiTheme="majorHAnsi"/>
          <w:b/>
          <w:sz w:val="20"/>
          <w:szCs w:val="20"/>
          <w:lang w:val="en-US"/>
        </w:rPr>
      </w:pPr>
      <w:r w:rsidRPr="005A41E0">
        <w:rPr>
          <w:rFonts w:asciiTheme="majorHAnsi" w:hAnsiTheme="majorHAnsi"/>
          <w:b/>
          <w:sz w:val="20"/>
          <w:szCs w:val="20"/>
          <w:lang w:val="en-US"/>
        </w:rPr>
        <w:t xml:space="preserve">Special Procedures of the Human Rights Council </w:t>
      </w:r>
    </w:p>
    <w:p w:rsidR="00A257F3" w:rsidRPr="005A41E0" w:rsidRDefault="00A257F3" w:rsidP="005A41E0">
      <w:pPr>
        <w:jc w:val="both"/>
        <w:rPr>
          <w:rFonts w:asciiTheme="majorHAnsi" w:hAnsiTheme="majorHAnsi"/>
          <w:sz w:val="20"/>
          <w:szCs w:val="20"/>
          <w:lang w:val="en-US"/>
        </w:rPr>
      </w:pPr>
    </w:p>
    <w:p w:rsidR="00A257F3" w:rsidRPr="005A41E0" w:rsidRDefault="00BC1BD2" w:rsidP="002C224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UN Human Rights Council is authorized to establish special procedures with the objective of advising it on various thematic areas. The special procedures </w:t>
      </w:r>
      <w:r w:rsidR="002C2244">
        <w:rPr>
          <w:rFonts w:asciiTheme="majorHAnsi" w:hAnsiTheme="majorHAnsi"/>
          <w:sz w:val="20"/>
          <w:szCs w:val="20"/>
          <w:lang w:val="en-US"/>
        </w:rPr>
        <w:t xml:space="preserve">depend on </w:t>
      </w:r>
      <w:r w:rsidRPr="005A41E0">
        <w:rPr>
          <w:rFonts w:asciiTheme="majorHAnsi" w:hAnsiTheme="majorHAnsi"/>
          <w:sz w:val="20"/>
          <w:szCs w:val="20"/>
          <w:lang w:val="en-US"/>
        </w:rPr>
        <w:t>the work of independent experts on specific subjects or countries. The system of special procedures is a basic element of the human rights mechanism of the United Nations, for it encompasses civil, cultural, economic, political, and social rights. The secretariat of these procedures is within the organizational structure of the High Commissioner for Human Rights.</w:t>
      </w:r>
      <w:r w:rsidR="00A257F3" w:rsidRPr="005A41E0">
        <w:rPr>
          <w:rFonts w:asciiTheme="majorHAnsi" w:hAnsiTheme="majorHAnsi"/>
          <w:sz w:val="20"/>
          <w:szCs w:val="20"/>
          <w:lang w:val="en-US"/>
        </w:rPr>
        <w:t xml:space="preserve">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BC1BD2" w:rsidP="002C224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The close collaboration of the IACHR with the United Nations special procedures has been strengthened thanks to the ongoing contact among the focal points. This has been reflected in joint visits, joint communiqués, the participation of United Nations rapporteurs in consultations of experts</w:t>
      </w:r>
      <w:r w:rsidR="008C6760"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participation of the IACHR or the Executive Secretariat in the consultations; and meetings to plan </w:t>
      </w:r>
      <w:r w:rsidR="002C2244">
        <w:rPr>
          <w:rFonts w:asciiTheme="majorHAnsi" w:hAnsiTheme="majorHAnsi"/>
          <w:sz w:val="20"/>
          <w:szCs w:val="20"/>
          <w:lang w:val="en-US"/>
        </w:rPr>
        <w:t xml:space="preserve">the </w:t>
      </w:r>
      <w:r w:rsidRPr="005A41E0">
        <w:rPr>
          <w:rFonts w:asciiTheme="majorHAnsi" w:hAnsiTheme="majorHAnsi"/>
          <w:sz w:val="20"/>
          <w:szCs w:val="20"/>
          <w:lang w:val="en-US"/>
        </w:rPr>
        <w:t xml:space="preserve">activities of different mandates.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5E5DAA"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During the </w:t>
      </w:r>
      <w:r w:rsidR="00D16D33" w:rsidRPr="005A41E0">
        <w:rPr>
          <w:rFonts w:asciiTheme="majorHAnsi" w:hAnsiTheme="majorHAnsi"/>
          <w:sz w:val="20"/>
          <w:szCs w:val="20"/>
          <w:lang w:val="en-US"/>
        </w:rPr>
        <w:t>157</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 of the IACHR it received several United Nations rapporteurs, who participated in the various activities that took place from April 2 to 15.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905276" w:rsidP="00905276">
      <w:pPr>
        <w:pStyle w:val="ListParagraph"/>
        <w:numPr>
          <w:ilvl w:val="0"/>
          <w:numId w:val="38"/>
        </w:numPr>
        <w:ind w:left="1440" w:hanging="720"/>
        <w:contextualSpacing/>
        <w:jc w:val="both"/>
        <w:rPr>
          <w:rFonts w:asciiTheme="majorHAnsi" w:hAnsiTheme="majorHAnsi"/>
          <w:sz w:val="20"/>
          <w:lang w:val="en-US"/>
        </w:rPr>
      </w:pPr>
      <w:r>
        <w:rPr>
          <w:rFonts w:asciiTheme="majorHAnsi" w:hAnsiTheme="majorHAnsi"/>
          <w:sz w:val="20"/>
          <w:lang w:val="en-US"/>
        </w:rPr>
        <w:t xml:space="preserve">Special </w:t>
      </w:r>
      <w:r w:rsidR="005E5DAA" w:rsidRPr="005A41E0">
        <w:rPr>
          <w:rFonts w:asciiTheme="majorHAnsi" w:hAnsiTheme="majorHAnsi"/>
          <w:sz w:val="20"/>
          <w:lang w:val="en-US"/>
        </w:rPr>
        <w:t xml:space="preserve">Rapporteur on </w:t>
      </w:r>
      <w:r>
        <w:rPr>
          <w:rFonts w:asciiTheme="majorHAnsi" w:hAnsiTheme="majorHAnsi"/>
          <w:sz w:val="20"/>
          <w:lang w:val="en-US"/>
        </w:rPr>
        <w:t xml:space="preserve">human rights and hazardous </w:t>
      </w:r>
      <w:r w:rsidR="005E5DAA" w:rsidRPr="005A41E0">
        <w:rPr>
          <w:rFonts w:asciiTheme="majorHAnsi" w:hAnsiTheme="majorHAnsi"/>
          <w:sz w:val="20"/>
          <w:lang w:val="en-US"/>
        </w:rPr>
        <w:t xml:space="preserve">substances </w:t>
      </w:r>
      <w:r w:rsidR="00A257F3" w:rsidRPr="005A41E0">
        <w:rPr>
          <w:rFonts w:asciiTheme="majorHAnsi" w:hAnsiTheme="majorHAnsi"/>
          <w:sz w:val="20"/>
          <w:lang w:val="en-US"/>
        </w:rPr>
        <w:t xml:space="preserve">Baskut Tunkak </w:t>
      </w:r>
      <w:r w:rsidR="005E5DAA" w:rsidRPr="005A41E0">
        <w:rPr>
          <w:rFonts w:asciiTheme="majorHAnsi" w:hAnsiTheme="majorHAnsi"/>
          <w:sz w:val="20"/>
          <w:lang w:val="en-US"/>
        </w:rPr>
        <w:t xml:space="preserve">visited the IACHR on April 4 to share experiences and explore possibilities of collaborating. </w:t>
      </w:r>
    </w:p>
    <w:p w:rsidR="009D6543" w:rsidRPr="005A41E0" w:rsidRDefault="009D6543" w:rsidP="005A41E0">
      <w:pPr>
        <w:pStyle w:val="ListParagraph"/>
        <w:ind w:left="1440"/>
        <w:contextualSpacing/>
        <w:jc w:val="both"/>
        <w:rPr>
          <w:rFonts w:asciiTheme="majorHAnsi" w:hAnsiTheme="majorHAnsi"/>
          <w:sz w:val="20"/>
          <w:lang w:val="en-US"/>
        </w:rPr>
      </w:pPr>
    </w:p>
    <w:p w:rsidR="00A257F3" w:rsidRPr="005A41E0" w:rsidRDefault="005E5DAA" w:rsidP="00905276">
      <w:pPr>
        <w:pStyle w:val="ListParagraph"/>
        <w:numPr>
          <w:ilvl w:val="0"/>
          <w:numId w:val="38"/>
        </w:numPr>
        <w:ind w:left="1440" w:hanging="720"/>
        <w:contextualSpacing/>
        <w:jc w:val="both"/>
        <w:rPr>
          <w:rFonts w:asciiTheme="majorHAnsi" w:hAnsiTheme="majorHAnsi"/>
          <w:sz w:val="20"/>
          <w:lang w:val="en-US"/>
        </w:rPr>
      </w:pPr>
      <w:r w:rsidRPr="005A41E0">
        <w:rPr>
          <w:rFonts w:asciiTheme="majorHAnsi" w:hAnsiTheme="majorHAnsi"/>
          <w:sz w:val="20"/>
          <w:lang w:val="en-US"/>
        </w:rPr>
        <w:t xml:space="preserve">Special Rapporteur on human rights and the environment John Knox visited the IACHR on April 6 and met with Commissioner </w:t>
      </w:r>
      <w:r w:rsidR="00A257F3" w:rsidRPr="005A41E0">
        <w:rPr>
          <w:rFonts w:asciiTheme="majorHAnsi" w:hAnsiTheme="majorHAnsi"/>
          <w:sz w:val="20"/>
          <w:lang w:val="en-US"/>
        </w:rPr>
        <w:t xml:space="preserve">José de Jesús Orozco </w:t>
      </w:r>
      <w:r w:rsidRPr="005A41E0">
        <w:rPr>
          <w:rFonts w:asciiTheme="majorHAnsi" w:hAnsiTheme="majorHAnsi"/>
          <w:sz w:val="20"/>
          <w:lang w:val="en-US"/>
        </w:rPr>
        <w:t xml:space="preserve">to discuss the issue of defenders of the environment in the region and the possibilities of collaboration between both mandates. </w:t>
      </w:r>
      <w:r w:rsidR="00A257F3" w:rsidRPr="005A41E0">
        <w:rPr>
          <w:rFonts w:asciiTheme="majorHAnsi" w:hAnsiTheme="majorHAnsi"/>
          <w:sz w:val="20"/>
          <w:lang w:val="en-US"/>
        </w:rPr>
        <w:t xml:space="preserve"> </w:t>
      </w:r>
    </w:p>
    <w:p w:rsidR="009D6543" w:rsidRPr="005A41E0" w:rsidRDefault="009D6543" w:rsidP="005A41E0">
      <w:pPr>
        <w:contextualSpacing/>
        <w:jc w:val="both"/>
        <w:rPr>
          <w:rFonts w:asciiTheme="majorHAnsi" w:hAnsiTheme="majorHAnsi"/>
          <w:sz w:val="20"/>
          <w:lang w:val="en-US"/>
        </w:rPr>
      </w:pPr>
    </w:p>
    <w:p w:rsidR="00A257F3" w:rsidRPr="005A41E0" w:rsidRDefault="005E5DAA" w:rsidP="005A41E0">
      <w:pPr>
        <w:pStyle w:val="ListParagraph"/>
        <w:numPr>
          <w:ilvl w:val="0"/>
          <w:numId w:val="38"/>
        </w:numPr>
        <w:ind w:left="1440" w:hanging="720"/>
        <w:contextualSpacing/>
        <w:jc w:val="both"/>
        <w:rPr>
          <w:rFonts w:asciiTheme="majorHAnsi" w:hAnsiTheme="majorHAnsi"/>
          <w:sz w:val="20"/>
          <w:lang w:val="en-US"/>
        </w:rPr>
      </w:pPr>
      <w:r w:rsidRPr="005A41E0">
        <w:rPr>
          <w:rFonts w:asciiTheme="majorHAnsi" w:hAnsiTheme="majorHAnsi"/>
          <w:sz w:val="20"/>
          <w:lang w:val="en-US"/>
        </w:rPr>
        <w:t xml:space="preserve">Special Rapporteur on violence against women, its causes and consequences Dubravka Šimonović participated on April 7 as an expert in a hearing on indigenous women in Canada, following up on the IACHR’s report on the topic. The next day she met with civil society representatives and with Commissioner </w:t>
      </w:r>
      <w:r w:rsidR="00A257F3" w:rsidRPr="005A41E0">
        <w:rPr>
          <w:rFonts w:asciiTheme="majorHAnsi" w:hAnsiTheme="majorHAnsi"/>
          <w:sz w:val="20"/>
          <w:lang w:val="en-US"/>
        </w:rPr>
        <w:t>Margaret Macaulay.</w:t>
      </w:r>
    </w:p>
    <w:p w:rsidR="009D6543" w:rsidRPr="005A41E0" w:rsidRDefault="009D6543" w:rsidP="005A41E0">
      <w:pPr>
        <w:pStyle w:val="ListParagraph"/>
        <w:ind w:left="1440"/>
        <w:contextualSpacing/>
        <w:jc w:val="both"/>
        <w:rPr>
          <w:rFonts w:asciiTheme="majorHAnsi" w:hAnsiTheme="majorHAnsi"/>
          <w:sz w:val="20"/>
          <w:lang w:val="en-US"/>
        </w:rPr>
      </w:pPr>
    </w:p>
    <w:p w:rsidR="00A257F3" w:rsidRPr="005A41E0" w:rsidRDefault="005E5DAA" w:rsidP="005A41E0">
      <w:pPr>
        <w:pStyle w:val="ListParagraph"/>
        <w:numPr>
          <w:ilvl w:val="0"/>
          <w:numId w:val="38"/>
        </w:numPr>
        <w:ind w:left="1440" w:hanging="720"/>
        <w:contextualSpacing/>
        <w:jc w:val="both"/>
        <w:rPr>
          <w:rFonts w:asciiTheme="majorHAnsi" w:hAnsiTheme="majorHAnsi"/>
          <w:sz w:val="20"/>
          <w:lang w:val="en-US"/>
        </w:rPr>
      </w:pPr>
      <w:r w:rsidRPr="005A41E0">
        <w:rPr>
          <w:rFonts w:asciiTheme="majorHAnsi" w:hAnsiTheme="majorHAnsi"/>
          <w:sz w:val="20"/>
          <w:lang w:val="en-US"/>
        </w:rPr>
        <w:t xml:space="preserve">The IACHR sponsored a seminar on </w:t>
      </w:r>
      <w:r w:rsidR="00A257F3" w:rsidRPr="005A41E0">
        <w:rPr>
          <w:rFonts w:asciiTheme="majorHAnsi" w:hAnsiTheme="majorHAnsi"/>
          <w:sz w:val="20"/>
          <w:lang w:val="en-US"/>
        </w:rPr>
        <w:t xml:space="preserve">“Fiscal </w:t>
      </w:r>
      <w:r w:rsidRPr="005A41E0">
        <w:rPr>
          <w:rFonts w:asciiTheme="majorHAnsi" w:hAnsiTheme="majorHAnsi"/>
          <w:sz w:val="20"/>
          <w:lang w:val="en-US"/>
        </w:rPr>
        <w:t xml:space="preserve">Policy and Human Rights in Times of Economic Crisis,” on April 11, attended by </w:t>
      </w:r>
      <w:r w:rsidR="009D6543" w:rsidRPr="005A41E0">
        <w:rPr>
          <w:rFonts w:asciiTheme="majorHAnsi" w:hAnsiTheme="majorHAnsi"/>
          <w:sz w:val="20"/>
          <w:lang w:val="en-US"/>
        </w:rPr>
        <w:t>Philip</w:t>
      </w:r>
      <w:r w:rsidR="00A257F3" w:rsidRPr="005A41E0">
        <w:rPr>
          <w:rFonts w:asciiTheme="majorHAnsi" w:hAnsiTheme="majorHAnsi"/>
          <w:sz w:val="20"/>
          <w:lang w:val="en-US"/>
        </w:rPr>
        <w:t xml:space="preserve"> Alston, </w:t>
      </w:r>
      <w:r w:rsidRPr="005A41E0">
        <w:rPr>
          <w:rFonts w:asciiTheme="majorHAnsi" w:hAnsiTheme="majorHAnsi"/>
          <w:sz w:val="20"/>
          <w:lang w:val="en-US"/>
        </w:rPr>
        <w:t xml:space="preserve">UN Special Rapporteur on extreme poverty and human rights, former Rapporteur on the same topic </w:t>
      </w:r>
      <w:r w:rsidR="00A257F3" w:rsidRPr="005A41E0">
        <w:rPr>
          <w:rFonts w:asciiTheme="majorHAnsi" w:hAnsiTheme="majorHAnsi"/>
          <w:sz w:val="20"/>
          <w:lang w:val="en-US"/>
        </w:rPr>
        <w:t>Magdalena Sepúlveda</w:t>
      </w:r>
      <w:r w:rsidRPr="005A41E0">
        <w:rPr>
          <w:rFonts w:asciiTheme="majorHAnsi" w:hAnsiTheme="majorHAnsi"/>
          <w:sz w:val="20"/>
          <w:lang w:val="en-US"/>
        </w:rPr>
        <w:t xml:space="preserve">, and </w:t>
      </w:r>
      <w:r w:rsidR="00A257F3" w:rsidRPr="005A41E0">
        <w:rPr>
          <w:rFonts w:asciiTheme="majorHAnsi" w:hAnsiTheme="majorHAnsi"/>
          <w:sz w:val="20"/>
          <w:lang w:val="en-US"/>
        </w:rPr>
        <w:t xml:space="preserve">Rodrigo Uprimny, </w:t>
      </w:r>
      <w:r w:rsidRPr="005A41E0">
        <w:rPr>
          <w:rFonts w:asciiTheme="majorHAnsi" w:hAnsiTheme="majorHAnsi"/>
          <w:sz w:val="20"/>
          <w:lang w:val="en-US"/>
        </w:rPr>
        <w:t xml:space="preserve">member of the Committee on Economic, Social and Cultural Rights of the United Nations. </w:t>
      </w:r>
    </w:p>
    <w:p w:rsidR="00A257F3" w:rsidRPr="005A41E0" w:rsidRDefault="00A257F3" w:rsidP="005A41E0">
      <w:pPr>
        <w:pStyle w:val="ListParagraph"/>
        <w:ind w:left="1440"/>
        <w:jc w:val="both"/>
        <w:rPr>
          <w:rFonts w:asciiTheme="majorHAnsi" w:hAnsiTheme="majorHAnsi"/>
          <w:sz w:val="20"/>
          <w:lang w:val="en-US"/>
        </w:rPr>
      </w:pPr>
    </w:p>
    <w:p w:rsidR="00A257F3" w:rsidRPr="005A41E0" w:rsidRDefault="005E5DAA" w:rsidP="00EA140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IACHR was represented by staff of its Executive Secretariat at a seminar of experts on the right to life on May 11, 12 and </w:t>
      </w:r>
      <w:r w:rsidR="00A257F3" w:rsidRPr="005A41E0">
        <w:rPr>
          <w:rFonts w:asciiTheme="majorHAnsi" w:hAnsiTheme="majorHAnsi"/>
          <w:sz w:val="20"/>
          <w:szCs w:val="20"/>
          <w:lang w:val="en-US"/>
        </w:rPr>
        <w:t xml:space="preserve">13 </w:t>
      </w:r>
      <w:r w:rsidRPr="005A41E0">
        <w:rPr>
          <w:rFonts w:asciiTheme="majorHAnsi" w:hAnsiTheme="majorHAnsi"/>
          <w:sz w:val="20"/>
          <w:szCs w:val="20"/>
          <w:lang w:val="en-US"/>
        </w:rPr>
        <w:t xml:space="preserve">in Geneva, organized by </w:t>
      </w:r>
      <w:r w:rsidR="00EA1404">
        <w:rPr>
          <w:rFonts w:asciiTheme="majorHAnsi" w:hAnsiTheme="majorHAnsi"/>
          <w:sz w:val="20"/>
          <w:szCs w:val="20"/>
          <w:lang w:val="en-US"/>
        </w:rPr>
        <w:t xml:space="preserve">Special </w:t>
      </w:r>
      <w:r w:rsidRPr="005A41E0">
        <w:rPr>
          <w:rFonts w:asciiTheme="majorHAnsi" w:hAnsiTheme="majorHAnsi"/>
          <w:sz w:val="20"/>
          <w:szCs w:val="20"/>
          <w:lang w:val="en-US"/>
        </w:rPr>
        <w:t xml:space="preserve">Rapporteur on extrajudicial executions </w:t>
      </w:r>
      <w:r w:rsidR="00A257F3" w:rsidRPr="005A41E0">
        <w:rPr>
          <w:rFonts w:asciiTheme="majorHAnsi" w:hAnsiTheme="majorHAnsi"/>
          <w:sz w:val="20"/>
          <w:szCs w:val="20"/>
          <w:lang w:val="en-US"/>
        </w:rPr>
        <w:t xml:space="preserve">Christof Heyns. </w:t>
      </w:r>
      <w:r w:rsidRPr="005A41E0">
        <w:rPr>
          <w:rFonts w:asciiTheme="majorHAnsi" w:hAnsiTheme="majorHAnsi"/>
          <w:sz w:val="20"/>
          <w:szCs w:val="20"/>
          <w:lang w:val="en-US"/>
        </w:rPr>
        <w:t xml:space="preserve">The consultation was </w:t>
      </w:r>
      <w:r w:rsidR="00EA1404">
        <w:rPr>
          <w:rFonts w:asciiTheme="majorHAnsi" w:hAnsiTheme="majorHAnsi"/>
          <w:sz w:val="20"/>
          <w:szCs w:val="20"/>
          <w:lang w:val="en-US"/>
        </w:rPr>
        <w:t xml:space="preserve">conducted </w:t>
      </w:r>
      <w:r w:rsidRPr="005A41E0">
        <w:rPr>
          <w:rFonts w:asciiTheme="majorHAnsi" w:hAnsiTheme="majorHAnsi"/>
          <w:sz w:val="20"/>
          <w:szCs w:val="20"/>
          <w:lang w:val="en-US"/>
        </w:rPr>
        <w:t>within the process of drafting General Comment number 3 of the African Commission</w:t>
      </w:r>
      <w:r w:rsidR="00A257F3" w:rsidRPr="005A41E0">
        <w:rPr>
          <w:rFonts w:asciiTheme="majorHAnsi" w:hAnsiTheme="majorHAnsi"/>
          <w:sz w:val="20"/>
          <w:szCs w:val="20"/>
          <w:lang w:val="en-US"/>
        </w:rPr>
        <w:t>.</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5E5DAA" w:rsidP="00EA140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Working Group of Experts on People of African Descent visited the IACHR on June </w:t>
      </w:r>
      <w:r w:rsidR="00A257F3" w:rsidRPr="005A41E0">
        <w:rPr>
          <w:rFonts w:asciiTheme="majorHAnsi" w:hAnsiTheme="majorHAnsi"/>
          <w:sz w:val="20"/>
          <w:szCs w:val="20"/>
          <w:lang w:val="en-US"/>
        </w:rPr>
        <w:t xml:space="preserve">6 </w:t>
      </w:r>
      <w:r w:rsidRPr="005A41E0">
        <w:rPr>
          <w:rFonts w:asciiTheme="majorHAnsi" w:hAnsiTheme="majorHAnsi"/>
          <w:sz w:val="20"/>
          <w:szCs w:val="20"/>
          <w:lang w:val="en-US"/>
        </w:rPr>
        <w:t>to learn about the work of the Rapporteurship covering the same subject area</w:t>
      </w:r>
      <w:r w:rsidR="008C6760"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to explore possible joint activities in the context of the </w:t>
      </w:r>
      <w:r w:rsidR="00EA1404">
        <w:rPr>
          <w:rFonts w:asciiTheme="majorHAnsi" w:hAnsiTheme="majorHAnsi"/>
          <w:sz w:val="20"/>
          <w:szCs w:val="20"/>
          <w:lang w:val="en-US"/>
        </w:rPr>
        <w:t xml:space="preserve">International </w:t>
      </w:r>
      <w:r w:rsidRPr="005A41E0">
        <w:rPr>
          <w:rFonts w:asciiTheme="majorHAnsi" w:hAnsiTheme="majorHAnsi"/>
          <w:sz w:val="20"/>
          <w:szCs w:val="20"/>
          <w:lang w:val="en-US"/>
        </w:rPr>
        <w:t xml:space="preserve">Decade </w:t>
      </w:r>
      <w:r w:rsidR="00EA1404">
        <w:rPr>
          <w:rFonts w:asciiTheme="majorHAnsi" w:hAnsiTheme="majorHAnsi"/>
          <w:sz w:val="20"/>
          <w:szCs w:val="20"/>
          <w:lang w:val="en-US"/>
        </w:rPr>
        <w:t xml:space="preserve">for </w:t>
      </w:r>
      <w:r w:rsidRPr="005A41E0">
        <w:rPr>
          <w:rFonts w:asciiTheme="majorHAnsi" w:hAnsiTheme="majorHAnsi"/>
          <w:sz w:val="20"/>
          <w:szCs w:val="20"/>
          <w:lang w:val="en-US"/>
        </w:rPr>
        <w:t>People of African Descent</w:t>
      </w:r>
      <w:r w:rsidR="00A257F3" w:rsidRPr="005A41E0">
        <w:rPr>
          <w:rFonts w:asciiTheme="majorHAnsi" w:hAnsiTheme="majorHAnsi"/>
          <w:sz w:val="20"/>
          <w:szCs w:val="20"/>
          <w:lang w:val="en-US"/>
        </w:rPr>
        <w:t xml:space="preserve">. </w:t>
      </w:r>
    </w:p>
    <w:p w:rsidR="00BA512B" w:rsidRPr="005A41E0" w:rsidRDefault="00BA512B" w:rsidP="005A41E0">
      <w:pPr>
        <w:shd w:val="clear" w:color="auto" w:fill="FFFFFF"/>
        <w:jc w:val="both"/>
        <w:rPr>
          <w:rFonts w:asciiTheme="majorHAnsi" w:hAnsiTheme="majorHAnsi"/>
          <w:sz w:val="20"/>
          <w:szCs w:val="20"/>
          <w:lang w:val="en-US"/>
        </w:rPr>
      </w:pPr>
    </w:p>
    <w:p w:rsidR="00086369" w:rsidRPr="005A41E0" w:rsidRDefault="005E5DAA"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focal points of special procedures and the IACHR met in Geneva on October 6 in order to plan joint work. </w:t>
      </w:r>
    </w:p>
    <w:p w:rsidR="00086369" w:rsidRPr="005A41E0" w:rsidRDefault="00086369" w:rsidP="005A41E0">
      <w:pPr>
        <w:pStyle w:val="ListParagraph"/>
        <w:rPr>
          <w:rFonts w:asciiTheme="majorHAnsi" w:hAnsiTheme="majorHAnsi"/>
          <w:sz w:val="20"/>
          <w:szCs w:val="20"/>
          <w:lang w:val="en-US"/>
        </w:rPr>
      </w:pPr>
    </w:p>
    <w:p w:rsidR="00A257F3" w:rsidRPr="005A41E0" w:rsidRDefault="005E5DAA"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UN Special Rapporteur on the situation of human rights defenders, </w:t>
      </w:r>
      <w:r w:rsidR="00A257F3" w:rsidRPr="005A41E0">
        <w:rPr>
          <w:rFonts w:asciiTheme="majorHAnsi" w:hAnsiTheme="majorHAnsi"/>
          <w:sz w:val="20"/>
          <w:szCs w:val="20"/>
          <w:lang w:val="en-US"/>
        </w:rPr>
        <w:t>Michel Forst</w:t>
      </w:r>
      <w:r w:rsidR="00086369" w:rsidRPr="005A41E0">
        <w:rPr>
          <w:rFonts w:asciiTheme="majorHAnsi" w:hAnsiTheme="majorHAnsi"/>
          <w:sz w:val="20"/>
          <w:szCs w:val="20"/>
          <w:lang w:val="en-US"/>
        </w:rPr>
        <w:t>,</w:t>
      </w:r>
      <w:r w:rsidRPr="005A41E0">
        <w:rPr>
          <w:rFonts w:asciiTheme="majorHAnsi" w:hAnsiTheme="majorHAnsi"/>
          <w:sz w:val="20"/>
          <w:szCs w:val="20"/>
          <w:lang w:val="en-US"/>
        </w:rPr>
        <w:t xml:space="preserve"> visited IACHR headquarters on October </w:t>
      </w:r>
      <w:r w:rsidR="005665A1" w:rsidRPr="005A41E0">
        <w:rPr>
          <w:rFonts w:asciiTheme="majorHAnsi" w:hAnsiTheme="majorHAnsi"/>
          <w:sz w:val="20"/>
          <w:szCs w:val="20"/>
          <w:lang w:val="en-US"/>
        </w:rPr>
        <w:t xml:space="preserve">26 </w:t>
      </w:r>
      <w:r w:rsidRPr="005A41E0">
        <w:rPr>
          <w:rFonts w:asciiTheme="majorHAnsi" w:hAnsiTheme="majorHAnsi"/>
          <w:sz w:val="20"/>
          <w:szCs w:val="20"/>
          <w:lang w:val="en-US"/>
        </w:rPr>
        <w:t xml:space="preserve">and met with the Executive Secretary and staff of the </w:t>
      </w:r>
      <w:r w:rsidR="00B42666" w:rsidRPr="005A41E0">
        <w:rPr>
          <w:rFonts w:asciiTheme="majorHAnsi" w:hAnsiTheme="majorHAnsi"/>
          <w:sz w:val="20"/>
          <w:szCs w:val="20"/>
          <w:lang w:val="en-US"/>
        </w:rPr>
        <w:t xml:space="preserve">IACHR’s Rapporteurship on human rights defenders.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B42666"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December 2, the Regional Office for Central America of the High Commissioner for Human Rights and the IACHR organized a panel discussion on the situation of human rights defenders in the </w:t>
      </w:r>
      <w:r w:rsidRPr="005A41E0">
        <w:rPr>
          <w:rFonts w:asciiTheme="majorHAnsi" w:hAnsiTheme="majorHAnsi"/>
          <w:sz w:val="20"/>
          <w:szCs w:val="20"/>
          <w:lang w:val="en-US"/>
        </w:rPr>
        <w:lastRenderedPageBreak/>
        <w:t xml:space="preserve">region that included the participation of </w:t>
      </w:r>
      <w:r w:rsidR="00A257F3" w:rsidRPr="005A41E0">
        <w:rPr>
          <w:rFonts w:asciiTheme="majorHAnsi" w:hAnsiTheme="majorHAnsi"/>
          <w:sz w:val="20"/>
          <w:szCs w:val="20"/>
          <w:lang w:val="en-US"/>
        </w:rPr>
        <w:t xml:space="preserve">Michel Forst, </w:t>
      </w:r>
      <w:r w:rsidRPr="005A41E0">
        <w:rPr>
          <w:rFonts w:asciiTheme="majorHAnsi" w:hAnsiTheme="majorHAnsi"/>
          <w:sz w:val="20"/>
          <w:szCs w:val="20"/>
          <w:lang w:val="en-US"/>
        </w:rPr>
        <w:t xml:space="preserve">UN Special Rapporteur on human rights defenders, and </w:t>
      </w:r>
      <w:r w:rsidR="00A257F3" w:rsidRPr="005A41E0">
        <w:rPr>
          <w:rFonts w:asciiTheme="majorHAnsi" w:hAnsiTheme="majorHAnsi"/>
          <w:sz w:val="20"/>
          <w:szCs w:val="20"/>
          <w:lang w:val="en-US"/>
        </w:rPr>
        <w:t xml:space="preserve">José de Jesús Orozco, </w:t>
      </w:r>
      <w:r w:rsidRPr="005A41E0">
        <w:rPr>
          <w:rFonts w:asciiTheme="majorHAnsi" w:hAnsiTheme="majorHAnsi"/>
          <w:sz w:val="20"/>
          <w:szCs w:val="20"/>
          <w:lang w:val="en-US"/>
        </w:rPr>
        <w:t>Rapporteur of the IACHR on human rights defenders, in Panama City, in the context of the 159</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 of the IACHR. </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B42666" w:rsidP="005A41E0">
      <w:pPr>
        <w:pStyle w:val="ListParagraph"/>
        <w:numPr>
          <w:ilvl w:val="0"/>
          <w:numId w:val="37"/>
        </w:numPr>
        <w:ind w:left="720" w:firstLine="0"/>
        <w:contextualSpacing/>
        <w:jc w:val="both"/>
        <w:rPr>
          <w:rFonts w:asciiTheme="majorHAnsi" w:hAnsiTheme="majorHAnsi"/>
          <w:b/>
          <w:sz w:val="20"/>
          <w:lang w:val="en-US"/>
        </w:rPr>
      </w:pPr>
      <w:r w:rsidRPr="005A41E0">
        <w:rPr>
          <w:rFonts w:asciiTheme="majorHAnsi" w:hAnsiTheme="majorHAnsi"/>
          <w:b/>
          <w:sz w:val="20"/>
          <w:lang w:val="en-US"/>
        </w:rPr>
        <w:t xml:space="preserve">Treaty Bodies </w:t>
      </w:r>
    </w:p>
    <w:p w:rsidR="00A257F3" w:rsidRPr="005A41E0" w:rsidRDefault="00A257F3" w:rsidP="005A41E0">
      <w:pPr>
        <w:pStyle w:val="ListParagraph"/>
        <w:ind w:left="1080"/>
        <w:jc w:val="both"/>
        <w:rPr>
          <w:rFonts w:asciiTheme="majorHAnsi" w:hAnsiTheme="majorHAnsi"/>
          <w:sz w:val="20"/>
          <w:lang w:val="en-US"/>
        </w:rPr>
      </w:pPr>
    </w:p>
    <w:p w:rsidR="00A257F3" w:rsidRPr="005A41E0" w:rsidRDefault="00B42666"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The United Nations includes nine bodies created pursuant to human rights treaties that supervise the application of these treaties</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IACHR has developed closer cooperation with those bodies through exchange of information on certain situations, calendars of activities, and the proposal to pursue joint activities and joint follow-up on resolutions. </w:t>
      </w:r>
    </w:p>
    <w:p w:rsidR="00BA512B" w:rsidRPr="005A41E0" w:rsidRDefault="00BA512B" w:rsidP="005A41E0">
      <w:pPr>
        <w:pStyle w:val="ListParagraph"/>
        <w:shd w:val="clear" w:color="auto" w:fill="FFFFFF"/>
        <w:ind w:left="720"/>
        <w:jc w:val="both"/>
        <w:rPr>
          <w:rFonts w:asciiTheme="majorHAnsi" w:hAnsiTheme="majorHAnsi"/>
          <w:sz w:val="20"/>
          <w:szCs w:val="20"/>
          <w:lang w:val="en-US"/>
        </w:rPr>
      </w:pPr>
    </w:p>
    <w:p w:rsidR="00A257F3" w:rsidRPr="005A41E0" w:rsidRDefault="00816BA5" w:rsidP="00EA140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June </w:t>
      </w:r>
      <w:r w:rsidR="00A257F3" w:rsidRPr="005A41E0">
        <w:rPr>
          <w:rFonts w:asciiTheme="majorHAnsi" w:hAnsiTheme="majorHAnsi"/>
          <w:sz w:val="20"/>
          <w:szCs w:val="20"/>
          <w:lang w:val="en-US"/>
        </w:rPr>
        <w:t>2</w:t>
      </w:r>
      <w:r w:rsidRPr="005A41E0">
        <w:rPr>
          <w:rFonts w:asciiTheme="majorHAnsi" w:hAnsiTheme="majorHAnsi"/>
          <w:sz w:val="20"/>
          <w:szCs w:val="20"/>
          <w:lang w:val="en-US"/>
        </w:rPr>
        <w:t xml:space="preserve">, President </w:t>
      </w:r>
      <w:r w:rsidR="00A257F3" w:rsidRPr="005A41E0">
        <w:rPr>
          <w:rFonts w:asciiTheme="majorHAnsi" w:hAnsiTheme="majorHAnsi"/>
          <w:sz w:val="20"/>
          <w:szCs w:val="20"/>
          <w:lang w:val="en-US"/>
        </w:rPr>
        <w:t xml:space="preserve">James Cavallaro </w:t>
      </w:r>
      <w:r w:rsidRPr="005A41E0">
        <w:rPr>
          <w:rFonts w:asciiTheme="majorHAnsi" w:hAnsiTheme="majorHAnsi"/>
          <w:sz w:val="20"/>
          <w:szCs w:val="20"/>
          <w:lang w:val="en-US"/>
        </w:rPr>
        <w:t xml:space="preserve">attended the </w:t>
      </w:r>
      <w:r w:rsidR="00EA1404">
        <w:rPr>
          <w:rFonts w:asciiTheme="majorHAnsi" w:hAnsiTheme="majorHAnsi"/>
          <w:sz w:val="20"/>
          <w:szCs w:val="20"/>
          <w:lang w:val="en-US"/>
        </w:rPr>
        <w:t>a</w:t>
      </w:r>
      <w:r w:rsidRPr="005A41E0">
        <w:rPr>
          <w:rFonts w:asciiTheme="majorHAnsi" w:hAnsiTheme="majorHAnsi"/>
          <w:sz w:val="20"/>
          <w:szCs w:val="20"/>
          <w:lang w:val="en-US"/>
        </w:rPr>
        <w:t xml:space="preserve">nnual </w:t>
      </w:r>
      <w:r w:rsidR="00EA1404">
        <w:rPr>
          <w:rFonts w:asciiTheme="majorHAnsi" w:hAnsiTheme="majorHAnsi"/>
          <w:sz w:val="20"/>
          <w:szCs w:val="20"/>
          <w:lang w:val="en-US"/>
        </w:rPr>
        <w:t>m</w:t>
      </w:r>
      <w:r w:rsidRPr="005A41E0">
        <w:rPr>
          <w:rFonts w:asciiTheme="majorHAnsi" w:hAnsiTheme="majorHAnsi"/>
          <w:sz w:val="20"/>
          <w:szCs w:val="20"/>
          <w:lang w:val="en-US"/>
        </w:rPr>
        <w:t>eeting of Chairpersons of Human Rights Treaty Bodies in New York. During that meeting there was follow-up on the points of agreement from the previous year, particularly the possible holding of joint activities such as the participation of Committees in public hearings of the IACHR</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issuing joint communiqués</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holding possible joint visits, exchange of personnel, particularly in the petitions </w:t>
      </w:r>
      <w:r w:rsidR="00EA1404">
        <w:rPr>
          <w:rFonts w:asciiTheme="majorHAnsi" w:hAnsiTheme="majorHAnsi"/>
          <w:sz w:val="20"/>
          <w:szCs w:val="20"/>
          <w:lang w:val="en-US"/>
        </w:rPr>
        <w:t>division, and mutual collaboration</w:t>
      </w:r>
      <w:r w:rsidRPr="005A41E0">
        <w:rPr>
          <w:rFonts w:asciiTheme="majorHAnsi" w:hAnsiTheme="majorHAnsi"/>
          <w:sz w:val="20"/>
          <w:szCs w:val="20"/>
          <w:lang w:val="en-US"/>
        </w:rPr>
        <w:t xml:space="preserve"> and exchange of standards in preparing reports or general comments</w:t>
      </w:r>
      <w:r w:rsidR="00A257F3" w:rsidRPr="005A41E0">
        <w:rPr>
          <w:rFonts w:asciiTheme="majorHAnsi" w:hAnsiTheme="majorHAnsi"/>
          <w:sz w:val="20"/>
          <w:szCs w:val="20"/>
          <w:lang w:val="en-US"/>
        </w:rPr>
        <w:t>.</w:t>
      </w:r>
    </w:p>
    <w:p w:rsidR="00BA512B" w:rsidRPr="005A41E0" w:rsidRDefault="00BA512B" w:rsidP="005A41E0">
      <w:pPr>
        <w:shd w:val="clear" w:color="auto" w:fill="FFFFFF"/>
        <w:jc w:val="both"/>
        <w:rPr>
          <w:rFonts w:asciiTheme="majorHAnsi" w:hAnsiTheme="majorHAnsi"/>
          <w:sz w:val="20"/>
          <w:szCs w:val="20"/>
          <w:lang w:val="en-US"/>
        </w:rPr>
      </w:pPr>
    </w:p>
    <w:p w:rsidR="00A257F3" w:rsidRPr="005A41E0" w:rsidRDefault="00816BA5"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At the outset of the meeting the chairpersons informed President </w:t>
      </w:r>
      <w:r w:rsidR="00A257F3" w:rsidRPr="005A41E0">
        <w:rPr>
          <w:rFonts w:asciiTheme="majorHAnsi" w:hAnsiTheme="majorHAnsi"/>
          <w:sz w:val="20"/>
          <w:szCs w:val="20"/>
          <w:lang w:val="en-US"/>
        </w:rPr>
        <w:t xml:space="preserve">Cavallaro </w:t>
      </w:r>
      <w:r w:rsidRPr="005A41E0">
        <w:rPr>
          <w:rFonts w:asciiTheme="majorHAnsi" w:hAnsiTheme="majorHAnsi"/>
          <w:sz w:val="20"/>
          <w:szCs w:val="20"/>
          <w:lang w:val="en-US"/>
        </w:rPr>
        <w:t>that they had approved a press release in support of the IACHR</w:t>
      </w:r>
      <w:r w:rsidR="00A257F3" w:rsidRPr="005A41E0">
        <w:rPr>
          <w:rFonts w:asciiTheme="majorHAnsi" w:hAnsiTheme="majorHAnsi"/>
          <w:sz w:val="20"/>
          <w:szCs w:val="20"/>
          <w:lang w:val="en-US"/>
        </w:rPr>
        <w:t>.</w:t>
      </w:r>
    </w:p>
    <w:p w:rsidR="008C6760" w:rsidRPr="005A41E0" w:rsidRDefault="008C6760" w:rsidP="005A41E0">
      <w:pPr>
        <w:shd w:val="clear" w:color="auto" w:fill="FFFFFF"/>
        <w:jc w:val="both"/>
        <w:rPr>
          <w:rFonts w:asciiTheme="majorHAnsi" w:hAnsiTheme="majorHAnsi"/>
          <w:sz w:val="20"/>
          <w:szCs w:val="20"/>
          <w:lang w:val="en-US"/>
        </w:rPr>
      </w:pPr>
    </w:p>
    <w:p w:rsidR="00A257F3" w:rsidRPr="005A41E0" w:rsidRDefault="00816BA5" w:rsidP="00535BE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June </w:t>
      </w:r>
      <w:r w:rsidR="00A257F3" w:rsidRPr="005A41E0">
        <w:rPr>
          <w:rFonts w:asciiTheme="majorHAnsi" w:hAnsiTheme="majorHAnsi"/>
          <w:sz w:val="20"/>
          <w:szCs w:val="20"/>
          <w:lang w:val="en-US"/>
        </w:rPr>
        <w:t xml:space="preserve">22 </w:t>
      </w:r>
      <w:r w:rsidRPr="005A41E0">
        <w:rPr>
          <w:rFonts w:asciiTheme="majorHAnsi" w:hAnsiTheme="majorHAnsi"/>
          <w:sz w:val="20"/>
          <w:szCs w:val="20"/>
          <w:lang w:val="en-US"/>
        </w:rPr>
        <w:t xml:space="preserve">and </w:t>
      </w:r>
      <w:r w:rsidR="00A257F3" w:rsidRPr="005A41E0">
        <w:rPr>
          <w:rFonts w:asciiTheme="majorHAnsi" w:hAnsiTheme="majorHAnsi"/>
          <w:sz w:val="20"/>
          <w:szCs w:val="20"/>
          <w:lang w:val="en-US"/>
        </w:rPr>
        <w:t xml:space="preserve">23 </w:t>
      </w:r>
      <w:r w:rsidRPr="005A41E0">
        <w:rPr>
          <w:rFonts w:asciiTheme="majorHAnsi" w:hAnsiTheme="majorHAnsi"/>
          <w:sz w:val="20"/>
          <w:szCs w:val="20"/>
          <w:lang w:val="en-US"/>
        </w:rPr>
        <w:t xml:space="preserve">the Secretariat received the visit of </w:t>
      </w:r>
      <w:r w:rsidR="00A257F3" w:rsidRPr="005A41E0">
        <w:rPr>
          <w:rFonts w:asciiTheme="majorHAnsi" w:hAnsiTheme="majorHAnsi"/>
          <w:sz w:val="20"/>
          <w:szCs w:val="20"/>
          <w:lang w:val="en-US"/>
        </w:rPr>
        <w:t xml:space="preserve">María Clara Galvis, </w:t>
      </w:r>
      <w:r w:rsidRPr="005A41E0">
        <w:rPr>
          <w:rFonts w:asciiTheme="majorHAnsi" w:hAnsiTheme="majorHAnsi"/>
          <w:sz w:val="20"/>
          <w:szCs w:val="20"/>
          <w:lang w:val="en-US"/>
        </w:rPr>
        <w:t>a member of the Committee on Enforced Disappearance</w:t>
      </w:r>
      <w:r w:rsidR="00535BE4">
        <w:rPr>
          <w:rFonts w:asciiTheme="majorHAnsi" w:hAnsiTheme="majorHAnsi"/>
          <w:sz w:val="20"/>
          <w:szCs w:val="20"/>
          <w:lang w:val="en-US"/>
        </w:rPr>
        <w:t>s</w:t>
      </w:r>
      <w:r w:rsidRPr="005A41E0">
        <w:rPr>
          <w:rFonts w:asciiTheme="majorHAnsi" w:hAnsiTheme="majorHAnsi"/>
          <w:sz w:val="20"/>
          <w:szCs w:val="20"/>
          <w:lang w:val="en-US"/>
        </w:rPr>
        <w:t xml:space="preserve">, to share experiences and plan possible joint activities.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816BA5" w:rsidP="005A41E0">
      <w:pPr>
        <w:pStyle w:val="ListParagraph"/>
        <w:numPr>
          <w:ilvl w:val="0"/>
          <w:numId w:val="37"/>
        </w:numPr>
        <w:ind w:left="1440"/>
        <w:contextualSpacing/>
        <w:jc w:val="both"/>
        <w:rPr>
          <w:rFonts w:asciiTheme="majorHAnsi" w:hAnsiTheme="majorHAnsi"/>
          <w:b/>
          <w:sz w:val="20"/>
          <w:szCs w:val="20"/>
          <w:lang w:val="en-US"/>
        </w:rPr>
      </w:pPr>
      <w:r w:rsidRPr="005A41E0">
        <w:rPr>
          <w:rFonts w:asciiTheme="majorHAnsi" w:hAnsiTheme="majorHAnsi"/>
          <w:b/>
          <w:sz w:val="20"/>
          <w:lang w:val="en-US"/>
        </w:rPr>
        <w:t xml:space="preserve">Press releases, letters, and joint declarations of the IACHR and United Nation Special Rapporteurs, Working Groups, and Independent Experts </w:t>
      </w:r>
    </w:p>
    <w:p w:rsidR="00A257F3" w:rsidRPr="005A41E0" w:rsidRDefault="00A257F3" w:rsidP="005A41E0">
      <w:pPr>
        <w:rPr>
          <w:rFonts w:asciiTheme="majorHAnsi" w:hAnsiTheme="majorHAnsi"/>
          <w:sz w:val="20"/>
          <w:szCs w:val="20"/>
          <w:lang w:val="en-US"/>
        </w:rPr>
      </w:pPr>
    </w:p>
    <w:p w:rsidR="00A257F3" w:rsidRPr="005A41E0" w:rsidRDefault="00507FF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On occasion the IACHR issues joint communications with the special procedures of the United Nations Human Rights Council. This year seven jo</w:t>
      </w:r>
      <w:r w:rsidR="00535BE4">
        <w:rPr>
          <w:rFonts w:asciiTheme="majorHAnsi" w:hAnsiTheme="majorHAnsi"/>
          <w:sz w:val="20"/>
          <w:szCs w:val="20"/>
          <w:lang w:val="en-US"/>
        </w:rPr>
        <w:t>int statements were issued</w:t>
      </w:r>
      <w:r w:rsidRPr="005A41E0">
        <w:rPr>
          <w:rFonts w:asciiTheme="majorHAnsi" w:hAnsiTheme="majorHAnsi"/>
          <w:sz w:val="20"/>
          <w:szCs w:val="20"/>
          <w:lang w:val="en-US"/>
        </w:rPr>
        <w:t>, as follows</w:t>
      </w:r>
      <w:r w:rsidR="00086369" w:rsidRPr="005A41E0">
        <w:rPr>
          <w:rFonts w:asciiTheme="majorHAnsi" w:hAnsiTheme="majorHAnsi"/>
          <w:sz w:val="20"/>
          <w:szCs w:val="20"/>
          <w:lang w:val="en-US"/>
        </w:rPr>
        <w:t>.</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507FF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May </w:t>
      </w:r>
      <w:r w:rsidR="00A257F3" w:rsidRPr="005A41E0">
        <w:rPr>
          <w:rFonts w:asciiTheme="majorHAnsi" w:hAnsiTheme="majorHAnsi"/>
          <w:sz w:val="20"/>
          <w:szCs w:val="20"/>
          <w:lang w:val="en-US"/>
        </w:rPr>
        <w:t xml:space="preserve">12, </w:t>
      </w:r>
      <w:r w:rsidRPr="005A41E0">
        <w:rPr>
          <w:rFonts w:asciiTheme="majorHAnsi" w:hAnsiTheme="majorHAnsi"/>
          <w:sz w:val="20"/>
          <w:szCs w:val="20"/>
          <w:lang w:val="en-US"/>
        </w:rPr>
        <w:t xml:space="preserve">International Day against Homophobia, Transphobia, and Biphobia, the IACHR, the Committee on the Rights of the Child, a group of human rights experts from the United Nations, the African Commission on Human and Peoples’ Rights, and the Commissioner for Human Rights of the Council of Europe urged the governments to end the pathologization </w:t>
      </w:r>
      <w:r w:rsidR="00535BE4">
        <w:rPr>
          <w:rFonts w:asciiTheme="majorHAnsi" w:hAnsiTheme="majorHAnsi"/>
          <w:sz w:val="20"/>
          <w:szCs w:val="20"/>
          <w:lang w:val="en-US"/>
        </w:rPr>
        <w:t xml:space="preserve">of </w:t>
      </w:r>
      <w:r w:rsidRPr="005A41E0">
        <w:rPr>
          <w:rFonts w:asciiTheme="majorHAnsi" w:hAnsiTheme="majorHAnsi"/>
          <w:sz w:val="20"/>
          <w:szCs w:val="20"/>
          <w:lang w:val="en-US"/>
        </w:rPr>
        <w:t>lesbian, gay, bisexual, and trans adults and children.</w:t>
      </w:r>
    </w:p>
    <w:p w:rsidR="00F01381" w:rsidRPr="005A41E0" w:rsidRDefault="00F01381" w:rsidP="005A41E0">
      <w:pPr>
        <w:pStyle w:val="ListParagraph"/>
        <w:rPr>
          <w:rFonts w:asciiTheme="majorHAnsi" w:hAnsiTheme="majorHAnsi"/>
          <w:sz w:val="20"/>
          <w:szCs w:val="20"/>
          <w:lang w:val="en-US"/>
        </w:rPr>
      </w:pPr>
    </w:p>
    <w:p w:rsidR="00A257F3" w:rsidRPr="005A41E0" w:rsidRDefault="00507FF8" w:rsidP="000672BA">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June </w:t>
      </w:r>
      <w:r w:rsidR="00A257F3" w:rsidRPr="005A41E0">
        <w:rPr>
          <w:rFonts w:asciiTheme="majorHAnsi" w:hAnsiTheme="majorHAnsi"/>
          <w:sz w:val="20"/>
          <w:szCs w:val="20"/>
          <w:lang w:val="en-US"/>
        </w:rPr>
        <w:t xml:space="preserve">24 </w:t>
      </w:r>
      <w:r w:rsidRPr="005A41E0">
        <w:rPr>
          <w:rFonts w:asciiTheme="majorHAnsi" w:hAnsiTheme="majorHAnsi"/>
          <w:sz w:val="20"/>
          <w:szCs w:val="20"/>
          <w:lang w:val="en-US"/>
        </w:rPr>
        <w:t xml:space="preserve">the United Nations Special Rapporteur on the freedom of opinion and expression, </w:t>
      </w:r>
      <w:r w:rsidR="00A257F3" w:rsidRPr="005A41E0">
        <w:rPr>
          <w:rFonts w:asciiTheme="majorHAnsi" w:hAnsiTheme="majorHAnsi"/>
          <w:sz w:val="20"/>
          <w:szCs w:val="20"/>
          <w:lang w:val="en-US"/>
        </w:rPr>
        <w:t>David Kaye</w:t>
      </w:r>
      <w:r w:rsidR="00535BE4">
        <w:rPr>
          <w:rFonts w:asciiTheme="majorHAnsi" w:hAnsiTheme="majorHAnsi"/>
          <w:sz w:val="20"/>
          <w:szCs w:val="20"/>
          <w:lang w:val="en-US"/>
        </w:rPr>
        <w:t>,</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the Special Rapporteur for Freedom of Expression of the IACHR, </w:t>
      </w:r>
      <w:r w:rsidR="00A257F3" w:rsidRPr="005A41E0">
        <w:rPr>
          <w:rFonts w:asciiTheme="majorHAnsi" w:hAnsiTheme="majorHAnsi"/>
          <w:sz w:val="20"/>
          <w:szCs w:val="20"/>
          <w:lang w:val="en-US"/>
        </w:rPr>
        <w:t xml:space="preserve">Edison Lanza, </w:t>
      </w:r>
      <w:r w:rsidRPr="005A41E0">
        <w:rPr>
          <w:rFonts w:asciiTheme="majorHAnsi" w:hAnsiTheme="majorHAnsi"/>
          <w:sz w:val="20"/>
          <w:szCs w:val="20"/>
          <w:lang w:val="en-US"/>
        </w:rPr>
        <w:t xml:space="preserve">issued a joint communiqué warning of the interference </w:t>
      </w:r>
      <w:r w:rsidR="00AD1E51" w:rsidRPr="005A41E0">
        <w:rPr>
          <w:rFonts w:asciiTheme="majorHAnsi" w:hAnsiTheme="majorHAnsi"/>
          <w:sz w:val="20"/>
          <w:szCs w:val="20"/>
          <w:lang w:val="en-US"/>
        </w:rPr>
        <w:t xml:space="preserve">of the </w:t>
      </w:r>
      <w:r w:rsidR="000672BA">
        <w:rPr>
          <w:rFonts w:asciiTheme="majorHAnsi" w:hAnsiTheme="majorHAnsi"/>
          <w:sz w:val="20"/>
          <w:szCs w:val="20"/>
          <w:lang w:val="en-US"/>
        </w:rPr>
        <w:t>E</w:t>
      </w:r>
      <w:r w:rsidR="000672BA" w:rsidRPr="000672BA">
        <w:rPr>
          <w:rFonts w:asciiTheme="majorHAnsi" w:hAnsiTheme="majorHAnsi"/>
          <w:sz w:val="20"/>
          <w:szCs w:val="20"/>
          <w:lang w:val="en-US"/>
        </w:rPr>
        <w:t xml:space="preserve">mpresa Brasil de Comunicação (Brazil Communication Company) </w:t>
      </w:r>
      <w:r w:rsidR="00AD1E51" w:rsidRPr="005A41E0">
        <w:rPr>
          <w:rFonts w:asciiTheme="majorHAnsi" w:hAnsiTheme="majorHAnsi"/>
          <w:sz w:val="20"/>
          <w:szCs w:val="20"/>
          <w:lang w:val="en-US"/>
        </w:rPr>
        <w:t xml:space="preserve">and the </w:t>
      </w:r>
      <w:r w:rsidR="000672BA">
        <w:rPr>
          <w:rFonts w:asciiTheme="majorHAnsi" w:hAnsiTheme="majorHAnsi"/>
          <w:sz w:val="20"/>
          <w:szCs w:val="20"/>
          <w:lang w:val="en-US"/>
        </w:rPr>
        <w:t xml:space="preserve">Office of the Comptroller General </w:t>
      </w:r>
      <w:r w:rsidR="00AD1E51" w:rsidRPr="005A41E0">
        <w:rPr>
          <w:rFonts w:asciiTheme="majorHAnsi" w:hAnsiTheme="majorHAnsi"/>
          <w:sz w:val="20"/>
          <w:szCs w:val="20"/>
          <w:lang w:val="en-US"/>
        </w:rPr>
        <w:t xml:space="preserve">of Brazil.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AD1E51"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July </w:t>
      </w:r>
      <w:r w:rsidR="00A257F3" w:rsidRPr="005A41E0">
        <w:rPr>
          <w:rFonts w:asciiTheme="majorHAnsi" w:hAnsiTheme="majorHAnsi"/>
          <w:sz w:val="20"/>
          <w:szCs w:val="20"/>
          <w:lang w:val="en-US"/>
        </w:rPr>
        <w:t xml:space="preserve">15 Juan Méndez, </w:t>
      </w:r>
      <w:r w:rsidRPr="005A41E0">
        <w:rPr>
          <w:rFonts w:asciiTheme="majorHAnsi" w:hAnsiTheme="majorHAnsi"/>
          <w:sz w:val="20"/>
          <w:szCs w:val="20"/>
          <w:lang w:val="en-US"/>
        </w:rPr>
        <w:t xml:space="preserve">UN Special Rapporteur on Torture; </w:t>
      </w:r>
      <w:r w:rsidR="00A257F3" w:rsidRPr="005A41E0">
        <w:rPr>
          <w:rFonts w:asciiTheme="majorHAnsi" w:hAnsiTheme="majorHAnsi"/>
          <w:sz w:val="20"/>
          <w:szCs w:val="20"/>
          <w:lang w:val="en-US"/>
        </w:rPr>
        <w:t xml:space="preserve">Med Kaggwa, </w:t>
      </w:r>
      <w:r w:rsidRPr="005A41E0">
        <w:rPr>
          <w:rFonts w:asciiTheme="majorHAnsi" w:hAnsiTheme="majorHAnsi"/>
          <w:sz w:val="20"/>
          <w:szCs w:val="20"/>
          <w:lang w:val="en-US"/>
        </w:rPr>
        <w:t>Special Rapporteur on Prisons, Conditions of Detention and Policing in Africa; James Cavallaro, President</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of the IACHR and Rapporteur on the Rights of Persons Deprived of Liberty, and </w:t>
      </w:r>
      <w:r w:rsidR="00A257F3" w:rsidRPr="005A41E0">
        <w:rPr>
          <w:rFonts w:asciiTheme="majorHAnsi" w:hAnsiTheme="majorHAnsi"/>
          <w:sz w:val="20"/>
          <w:szCs w:val="20"/>
          <w:lang w:val="en-US"/>
        </w:rPr>
        <w:t xml:space="preserve">Nils Muižnieks, </w:t>
      </w:r>
      <w:r w:rsidRPr="005A41E0">
        <w:rPr>
          <w:rFonts w:asciiTheme="majorHAnsi" w:hAnsiTheme="majorHAnsi"/>
          <w:sz w:val="20"/>
          <w:szCs w:val="20"/>
          <w:lang w:val="en-US"/>
        </w:rPr>
        <w:t xml:space="preserve">Commissioner for Human Rights of the Council of Europe, saluted the approval of the </w:t>
      </w:r>
      <w:r w:rsidR="00A257F3" w:rsidRPr="005A41E0">
        <w:rPr>
          <w:rFonts w:asciiTheme="majorHAnsi" w:hAnsiTheme="majorHAnsi"/>
          <w:sz w:val="20"/>
          <w:szCs w:val="20"/>
          <w:lang w:val="en-US"/>
        </w:rPr>
        <w:t>Mandela</w:t>
      </w:r>
      <w:r w:rsidRPr="005A41E0">
        <w:rPr>
          <w:rFonts w:asciiTheme="majorHAnsi" w:hAnsiTheme="majorHAnsi"/>
          <w:sz w:val="20"/>
          <w:szCs w:val="20"/>
          <w:lang w:val="en-US"/>
        </w:rPr>
        <w:t xml:space="preserve"> Rules</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 revised version of the Standard Minimum Rules for the Treatment of Prisoners, adopted December </w:t>
      </w:r>
      <w:r w:rsidR="00A257F3" w:rsidRPr="005A41E0">
        <w:rPr>
          <w:rFonts w:asciiTheme="majorHAnsi" w:hAnsiTheme="majorHAnsi"/>
          <w:sz w:val="20"/>
          <w:szCs w:val="20"/>
          <w:lang w:val="en-US"/>
        </w:rPr>
        <w:t>17</w:t>
      </w:r>
      <w:r w:rsidRPr="005A41E0">
        <w:rPr>
          <w:rFonts w:asciiTheme="majorHAnsi" w:hAnsiTheme="majorHAnsi"/>
          <w:sz w:val="20"/>
          <w:szCs w:val="20"/>
          <w:lang w:val="en-US"/>
        </w:rPr>
        <w:t>,</w:t>
      </w:r>
      <w:r w:rsidR="00A257F3" w:rsidRPr="005A41E0">
        <w:rPr>
          <w:rFonts w:asciiTheme="majorHAnsi" w:hAnsiTheme="majorHAnsi"/>
          <w:sz w:val="20"/>
          <w:szCs w:val="20"/>
          <w:lang w:val="en-US"/>
        </w:rPr>
        <w:t xml:space="preserve"> 2015.</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AD1E51"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August </w:t>
      </w:r>
      <w:r w:rsidR="00A257F3" w:rsidRPr="005A41E0">
        <w:rPr>
          <w:rFonts w:asciiTheme="majorHAnsi" w:hAnsiTheme="majorHAnsi"/>
          <w:sz w:val="20"/>
          <w:szCs w:val="20"/>
          <w:lang w:val="en-US"/>
        </w:rPr>
        <w:t xml:space="preserve">4 </w:t>
      </w:r>
      <w:r w:rsidRPr="005A41E0">
        <w:rPr>
          <w:rFonts w:asciiTheme="majorHAnsi" w:hAnsiTheme="majorHAnsi"/>
          <w:sz w:val="20"/>
          <w:szCs w:val="20"/>
          <w:lang w:val="en-US"/>
        </w:rPr>
        <w:t xml:space="preserve">UN Special Rapporteur on the right to freedom of opinion and expression, </w:t>
      </w:r>
      <w:r w:rsidR="00A257F3" w:rsidRPr="005A41E0">
        <w:rPr>
          <w:rFonts w:asciiTheme="majorHAnsi" w:hAnsiTheme="majorHAnsi"/>
          <w:sz w:val="20"/>
          <w:szCs w:val="20"/>
          <w:lang w:val="en-US"/>
        </w:rPr>
        <w:t xml:space="preserve">David Kaye, </w:t>
      </w:r>
      <w:r w:rsidRPr="005A41E0">
        <w:rPr>
          <w:rFonts w:asciiTheme="majorHAnsi" w:hAnsiTheme="majorHAnsi"/>
          <w:sz w:val="20"/>
          <w:szCs w:val="20"/>
          <w:lang w:val="en-US"/>
        </w:rPr>
        <w:t xml:space="preserve">and IACHR Special Rapporteur for the Freedom of Expression, </w:t>
      </w:r>
      <w:r w:rsidR="005665A1" w:rsidRPr="005A41E0">
        <w:rPr>
          <w:rFonts w:asciiTheme="majorHAnsi" w:hAnsiTheme="majorHAnsi"/>
          <w:sz w:val="20"/>
          <w:szCs w:val="20"/>
          <w:lang w:val="en-US"/>
        </w:rPr>
        <w:t xml:space="preserve">Edison Lanza, </w:t>
      </w:r>
      <w:r w:rsidRPr="005A41E0">
        <w:rPr>
          <w:rFonts w:asciiTheme="majorHAnsi" w:hAnsiTheme="majorHAnsi"/>
          <w:sz w:val="20"/>
          <w:szCs w:val="20"/>
          <w:lang w:val="en-US"/>
        </w:rPr>
        <w:t xml:space="preserve">issued an alert on the continuing deterioration of the freedom of press in </w:t>
      </w:r>
      <w:r w:rsidR="00A257F3" w:rsidRPr="005A41E0">
        <w:rPr>
          <w:rFonts w:asciiTheme="majorHAnsi" w:hAnsiTheme="majorHAnsi"/>
          <w:sz w:val="20"/>
          <w:szCs w:val="20"/>
          <w:lang w:val="en-US"/>
        </w:rPr>
        <w:t>Venezuela.</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AD1E51" w:rsidP="000672BA">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August </w:t>
      </w:r>
      <w:r w:rsidR="00A257F3" w:rsidRPr="005A41E0">
        <w:rPr>
          <w:rFonts w:asciiTheme="majorHAnsi" w:hAnsiTheme="majorHAnsi"/>
          <w:sz w:val="20"/>
          <w:szCs w:val="20"/>
          <w:lang w:val="en-US"/>
        </w:rPr>
        <w:t xml:space="preserve">10, </w:t>
      </w:r>
      <w:r w:rsidRPr="005A41E0">
        <w:rPr>
          <w:rFonts w:asciiTheme="majorHAnsi" w:hAnsiTheme="majorHAnsi"/>
          <w:sz w:val="20"/>
          <w:szCs w:val="20"/>
          <w:lang w:val="en-US"/>
        </w:rPr>
        <w:t xml:space="preserve">International Day of Indigenous Peoples, the United Nations Special Rapporteur on the Rights of Indigenous Peoples, </w:t>
      </w:r>
      <w:r w:rsidR="00A257F3" w:rsidRPr="005A41E0">
        <w:rPr>
          <w:rFonts w:asciiTheme="majorHAnsi" w:hAnsiTheme="majorHAnsi"/>
          <w:sz w:val="20"/>
          <w:szCs w:val="20"/>
          <w:lang w:val="en-US"/>
        </w:rPr>
        <w:t xml:space="preserve">Victoria Tauli-Corpuz, </w:t>
      </w:r>
      <w:r w:rsidRPr="005A41E0">
        <w:rPr>
          <w:rFonts w:asciiTheme="majorHAnsi" w:hAnsiTheme="majorHAnsi"/>
          <w:sz w:val="20"/>
          <w:szCs w:val="20"/>
          <w:lang w:val="en-US"/>
        </w:rPr>
        <w:t xml:space="preserve">and the IACHR Rapporteur on the Rights of Indigenous Peoples, </w:t>
      </w:r>
      <w:r w:rsidR="00A257F3" w:rsidRPr="005A41E0">
        <w:rPr>
          <w:rFonts w:asciiTheme="majorHAnsi" w:hAnsiTheme="majorHAnsi"/>
          <w:sz w:val="20"/>
          <w:szCs w:val="20"/>
          <w:lang w:val="en-US"/>
        </w:rPr>
        <w:t>Francisco Eguiguren, urg</w:t>
      </w:r>
      <w:r w:rsidRPr="005A41E0">
        <w:rPr>
          <w:rFonts w:asciiTheme="majorHAnsi" w:hAnsiTheme="majorHAnsi"/>
          <w:sz w:val="20"/>
          <w:szCs w:val="20"/>
          <w:lang w:val="en-US"/>
        </w:rPr>
        <w:t>ed the states of the Amer</w:t>
      </w:r>
      <w:r w:rsidR="00A257F3" w:rsidRPr="005A41E0">
        <w:rPr>
          <w:rFonts w:asciiTheme="majorHAnsi" w:hAnsiTheme="majorHAnsi"/>
          <w:sz w:val="20"/>
          <w:szCs w:val="20"/>
          <w:lang w:val="en-US"/>
        </w:rPr>
        <w:t>ica</w:t>
      </w:r>
      <w:r w:rsidR="008C6760" w:rsidRPr="005A41E0">
        <w:rPr>
          <w:rFonts w:asciiTheme="majorHAnsi" w:hAnsiTheme="majorHAnsi"/>
          <w:sz w:val="20"/>
          <w:szCs w:val="20"/>
          <w:lang w:val="en-US"/>
        </w:rPr>
        <w:t>s</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to ensure the right of indigenous peoples to significant and effective participation in decision-making processes related to </w:t>
      </w:r>
      <w:r w:rsidRPr="005A41E0">
        <w:rPr>
          <w:rFonts w:asciiTheme="majorHAnsi" w:hAnsiTheme="majorHAnsi"/>
          <w:sz w:val="20"/>
          <w:szCs w:val="20"/>
          <w:lang w:val="en-US"/>
        </w:rPr>
        <w:lastRenderedPageBreak/>
        <w:t>investment or development projects that may affect their rights and their cultural survival, and to reaffirm their right to develop</w:t>
      </w:r>
      <w:r w:rsidR="000672BA">
        <w:rPr>
          <w:rFonts w:asciiTheme="majorHAnsi" w:hAnsiTheme="majorHAnsi"/>
          <w:sz w:val="20"/>
          <w:szCs w:val="20"/>
          <w:lang w:val="en-US"/>
        </w:rPr>
        <w:t xml:space="preserve">ment, which </w:t>
      </w:r>
      <w:r w:rsidRPr="005A41E0">
        <w:rPr>
          <w:rFonts w:asciiTheme="majorHAnsi" w:hAnsiTheme="majorHAnsi"/>
          <w:sz w:val="20"/>
          <w:szCs w:val="20"/>
          <w:lang w:val="en-US"/>
        </w:rPr>
        <w:t xml:space="preserve">results from their self-determination.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AD1E51" w:rsidP="000672BA">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August </w:t>
      </w:r>
      <w:r w:rsidR="00A257F3" w:rsidRPr="005A41E0">
        <w:rPr>
          <w:rFonts w:asciiTheme="majorHAnsi" w:hAnsiTheme="majorHAnsi"/>
          <w:sz w:val="20"/>
          <w:szCs w:val="20"/>
          <w:lang w:val="en-US"/>
        </w:rPr>
        <w:t>19</w:t>
      </w:r>
      <w:r w:rsidR="000672BA">
        <w:rPr>
          <w:rFonts w:asciiTheme="majorHAnsi" w:hAnsiTheme="majorHAnsi"/>
          <w:sz w:val="20"/>
          <w:szCs w:val="20"/>
          <w:lang w:val="en-US"/>
        </w:rPr>
        <w:t>,</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United Nations Special Rapporteur on the situation of human rights defenders </w:t>
      </w:r>
      <w:r w:rsidR="001875EC" w:rsidRPr="005A41E0">
        <w:rPr>
          <w:rFonts w:asciiTheme="majorHAnsi" w:hAnsiTheme="majorHAnsi"/>
          <w:sz w:val="20"/>
          <w:szCs w:val="20"/>
          <w:lang w:val="en-US"/>
        </w:rPr>
        <w:t>Michel Forst</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the IACHR Rapporteur on human rights defenders warned that </w:t>
      </w:r>
      <w:r w:rsidR="00A257F3" w:rsidRPr="005A41E0">
        <w:rPr>
          <w:rFonts w:asciiTheme="majorHAnsi" w:hAnsiTheme="majorHAnsi"/>
          <w:sz w:val="20"/>
          <w:szCs w:val="20"/>
          <w:lang w:val="en-US"/>
        </w:rPr>
        <w:t xml:space="preserve">Honduras </w:t>
      </w:r>
      <w:r w:rsidRPr="005A41E0">
        <w:rPr>
          <w:rFonts w:asciiTheme="majorHAnsi" w:hAnsiTheme="majorHAnsi"/>
          <w:sz w:val="20"/>
          <w:szCs w:val="20"/>
          <w:lang w:val="en-US"/>
        </w:rPr>
        <w:t>has become one of the most dangerous countries for human rights defenders</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I</w:t>
      </w:r>
      <w:r w:rsidR="00A257F3" w:rsidRPr="005A41E0">
        <w:rPr>
          <w:rFonts w:asciiTheme="majorHAnsi" w:hAnsiTheme="majorHAnsi"/>
          <w:sz w:val="20"/>
          <w:szCs w:val="20"/>
          <w:lang w:val="en-US"/>
        </w:rPr>
        <w:t>n</w:t>
      </w:r>
      <w:r w:rsidR="001875EC" w:rsidRPr="005A41E0">
        <w:rPr>
          <w:rFonts w:asciiTheme="majorHAnsi" w:hAnsiTheme="majorHAnsi"/>
          <w:sz w:val="20"/>
          <w:szCs w:val="20"/>
          <w:lang w:val="en-US"/>
        </w:rPr>
        <w:t xml:space="preserve"> </w:t>
      </w:r>
      <w:r w:rsidR="00085E81" w:rsidRPr="005A41E0">
        <w:rPr>
          <w:rFonts w:asciiTheme="majorHAnsi" w:hAnsiTheme="majorHAnsi"/>
          <w:sz w:val="20"/>
          <w:szCs w:val="20"/>
          <w:lang w:val="en-US"/>
        </w:rPr>
        <w:t>2016</w:t>
      </w:r>
      <w:r w:rsidR="001875EC" w:rsidRPr="005A41E0">
        <w:rPr>
          <w:rFonts w:asciiTheme="majorHAnsi" w:hAnsiTheme="majorHAnsi"/>
          <w:sz w:val="20"/>
          <w:szCs w:val="20"/>
          <w:lang w:val="en-US"/>
        </w:rPr>
        <w:t xml:space="preserve"> </w:t>
      </w:r>
      <w:r w:rsidRPr="005A41E0">
        <w:rPr>
          <w:rFonts w:asciiTheme="majorHAnsi" w:hAnsiTheme="majorHAnsi"/>
          <w:sz w:val="20"/>
          <w:szCs w:val="20"/>
          <w:lang w:val="en-US"/>
        </w:rPr>
        <w:t>the IACHR received information on the assassination of at least eight human rights defenders in Honduras</w:t>
      </w:r>
      <w:r w:rsidR="00A257F3" w:rsidRPr="005A41E0">
        <w:rPr>
          <w:rFonts w:asciiTheme="majorHAnsi" w:hAnsiTheme="majorHAnsi"/>
          <w:sz w:val="20"/>
          <w:szCs w:val="20"/>
          <w:lang w:val="en-US"/>
        </w:rPr>
        <w:t>.</w:t>
      </w:r>
    </w:p>
    <w:p w:rsidR="00A257F3" w:rsidRPr="005A41E0" w:rsidRDefault="00A257F3" w:rsidP="005A41E0">
      <w:pPr>
        <w:pStyle w:val="ListParagraph"/>
        <w:ind w:firstLine="360"/>
        <w:jc w:val="both"/>
        <w:rPr>
          <w:rFonts w:asciiTheme="majorHAnsi" w:hAnsiTheme="majorHAnsi"/>
          <w:sz w:val="20"/>
          <w:szCs w:val="20"/>
          <w:lang w:val="en-US"/>
        </w:rPr>
      </w:pPr>
    </w:p>
    <w:p w:rsidR="00A257F3" w:rsidRPr="005A41E0" w:rsidRDefault="00AD1E51" w:rsidP="000672BA">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October </w:t>
      </w:r>
      <w:r w:rsidR="00A257F3" w:rsidRPr="005A41E0">
        <w:rPr>
          <w:rFonts w:asciiTheme="majorHAnsi" w:hAnsiTheme="majorHAnsi"/>
          <w:sz w:val="20"/>
          <w:szCs w:val="20"/>
          <w:lang w:val="en-US"/>
        </w:rPr>
        <w:t>24</w:t>
      </w:r>
      <w:r w:rsidRPr="005A41E0">
        <w:rPr>
          <w:rFonts w:asciiTheme="majorHAnsi" w:hAnsiTheme="majorHAnsi"/>
          <w:sz w:val="20"/>
          <w:szCs w:val="20"/>
          <w:lang w:val="en-US"/>
        </w:rPr>
        <w:t xml:space="preserve">, anticipating Intersex </w:t>
      </w:r>
      <w:r w:rsidR="000672BA">
        <w:rPr>
          <w:rFonts w:asciiTheme="majorHAnsi" w:hAnsiTheme="majorHAnsi"/>
          <w:sz w:val="20"/>
          <w:szCs w:val="20"/>
          <w:lang w:val="en-US"/>
        </w:rPr>
        <w:t xml:space="preserve">Awareness Day, </w:t>
      </w:r>
      <w:r w:rsidRPr="005A41E0">
        <w:rPr>
          <w:rFonts w:asciiTheme="majorHAnsi" w:hAnsiTheme="majorHAnsi"/>
          <w:sz w:val="20"/>
          <w:szCs w:val="20"/>
          <w:lang w:val="en-US"/>
        </w:rPr>
        <w:t>United Nations and regional experts on human rights</w:t>
      </w:r>
      <w:r w:rsidR="001875EC"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among them the IACHR, made an urgent appeal to put an end to the violations of human rights </w:t>
      </w:r>
      <w:r w:rsidR="000672BA">
        <w:rPr>
          <w:rFonts w:asciiTheme="majorHAnsi" w:hAnsiTheme="majorHAnsi"/>
          <w:sz w:val="20"/>
          <w:szCs w:val="20"/>
          <w:lang w:val="en-US"/>
        </w:rPr>
        <w:t>of intersex children and adults</w:t>
      </w:r>
      <w:r w:rsidRPr="005A41E0">
        <w:rPr>
          <w:rFonts w:asciiTheme="majorHAnsi" w:hAnsiTheme="majorHAnsi"/>
          <w:sz w:val="20"/>
          <w:szCs w:val="20"/>
          <w:lang w:val="en-US"/>
        </w:rPr>
        <w:t xml:space="preserve">. They urged the governments to prohibit harmful medical practices on </w:t>
      </w:r>
      <w:r w:rsidR="00A257F3" w:rsidRPr="005A41E0">
        <w:rPr>
          <w:rFonts w:asciiTheme="majorHAnsi" w:hAnsiTheme="majorHAnsi"/>
          <w:sz w:val="20"/>
          <w:szCs w:val="20"/>
          <w:lang w:val="en-US"/>
        </w:rPr>
        <w:t>intersex</w:t>
      </w:r>
      <w:r w:rsidRPr="005A41E0">
        <w:rPr>
          <w:rFonts w:asciiTheme="majorHAnsi" w:hAnsiTheme="majorHAnsi"/>
          <w:sz w:val="20"/>
          <w:szCs w:val="20"/>
          <w:lang w:val="en-US"/>
        </w:rPr>
        <w:t xml:space="preserve"> children, including surgery and treatments that are unnecessary, without their informed consent, as well as sterilization.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AD1E51" w:rsidP="000672BA">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November </w:t>
      </w:r>
      <w:r w:rsidR="00A257F3" w:rsidRPr="005A41E0">
        <w:rPr>
          <w:rFonts w:asciiTheme="majorHAnsi" w:hAnsiTheme="majorHAnsi"/>
          <w:sz w:val="20"/>
          <w:szCs w:val="20"/>
          <w:lang w:val="en-US"/>
        </w:rPr>
        <w:t xml:space="preserve">22, </w:t>
      </w:r>
      <w:r w:rsidRPr="005A41E0">
        <w:rPr>
          <w:rFonts w:asciiTheme="majorHAnsi" w:hAnsiTheme="majorHAnsi"/>
          <w:sz w:val="20"/>
          <w:szCs w:val="20"/>
          <w:lang w:val="en-US"/>
        </w:rPr>
        <w:t xml:space="preserve">on occasion of the International Day for the Elimination of Violence against Women, </w:t>
      </w:r>
      <w:r w:rsidR="00C44E9F" w:rsidRPr="005A41E0">
        <w:rPr>
          <w:rFonts w:asciiTheme="majorHAnsi" w:hAnsiTheme="majorHAnsi"/>
          <w:sz w:val="20"/>
          <w:szCs w:val="20"/>
          <w:lang w:val="en-US"/>
        </w:rPr>
        <w:t xml:space="preserve">the following </w:t>
      </w:r>
      <w:r w:rsidRPr="005A41E0">
        <w:rPr>
          <w:rFonts w:asciiTheme="majorHAnsi" w:hAnsiTheme="majorHAnsi"/>
          <w:sz w:val="20"/>
          <w:szCs w:val="20"/>
          <w:lang w:val="en-US"/>
        </w:rPr>
        <w:t xml:space="preserve">made a joint appeal to step up efforts </w:t>
      </w:r>
      <w:r w:rsidR="00C44E9F" w:rsidRPr="005A41E0">
        <w:rPr>
          <w:rFonts w:asciiTheme="majorHAnsi" w:hAnsiTheme="majorHAnsi"/>
          <w:sz w:val="20"/>
          <w:szCs w:val="20"/>
          <w:lang w:val="en-US"/>
        </w:rPr>
        <w:t xml:space="preserve">to prevent feminicides and gender violence: the IACHR Rapporteur on women’s rights; the Special Rapporteur on violence against women, its causes and consequences; the Committee for the Elimination of Discrimination against Women </w:t>
      </w:r>
      <w:r w:rsidR="00085E81" w:rsidRPr="005A41E0">
        <w:rPr>
          <w:rFonts w:asciiTheme="majorHAnsi" w:hAnsiTheme="majorHAnsi"/>
          <w:sz w:val="20"/>
          <w:szCs w:val="20"/>
          <w:lang w:val="en-US"/>
        </w:rPr>
        <w:t>(CEDAW)</w:t>
      </w:r>
      <w:r w:rsidR="008C6760" w:rsidRPr="005A41E0">
        <w:rPr>
          <w:rFonts w:asciiTheme="majorHAnsi" w:hAnsiTheme="majorHAnsi"/>
          <w:sz w:val="20"/>
          <w:szCs w:val="20"/>
          <w:lang w:val="en-US"/>
        </w:rPr>
        <w:t>;</w:t>
      </w:r>
      <w:r w:rsidR="00085E81" w:rsidRPr="005A41E0">
        <w:rPr>
          <w:rFonts w:asciiTheme="majorHAnsi" w:hAnsiTheme="majorHAnsi"/>
          <w:sz w:val="20"/>
          <w:szCs w:val="20"/>
          <w:lang w:val="en-US"/>
        </w:rPr>
        <w:t xml:space="preserve"> </w:t>
      </w:r>
      <w:r w:rsidR="00C44E9F" w:rsidRPr="005A41E0">
        <w:rPr>
          <w:rFonts w:asciiTheme="majorHAnsi" w:hAnsiTheme="majorHAnsi"/>
          <w:sz w:val="20"/>
          <w:szCs w:val="20"/>
          <w:lang w:val="en-US"/>
        </w:rPr>
        <w:t xml:space="preserve">the Special Rapporteur on the rights of women in Africa; the United Nations Working Group </w:t>
      </w:r>
      <w:r w:rsidR="000672BA" w:rsidRPr="000672BA">
        <w:rPr>
          <w:rFonts w:asciiTheme="majorHAnsi" w:hAnsiTheme="majorHAnsi"/>
          <w:sz w:val="20"/>
          <w:szCs w:val="20"/>
          <w:lang w:val="en-US"/>
        </w:rPr>
        <w:t>on the issue of discrimination against women in law and in practice</w:t>
      </w:r>
      <w:r w:rsidR="008C6760" w:rsidRPr="005A41E0">
        <w:rPr>
          <w:rFonts w:asciiTheme="majorHAnsi" w:hAnsiTheme="majorHAnsi"/>
          <w:sz w:val="20"/>
          <w:szCs w:val="20"/>
          <w:lang w:val="en-US"/>
        </w:rPr>
        <w:t>;</w:t>
      </w:r>
      <w:r w:rsidR="00085E81" w:rsidRPr="005A41E0">
        <w:rPr>
          <w:rFonts w:asciiTheme="majorHAnsi" w:hAnsiTheme="majorHAnsi"/>
          <w:sz w:val="20"/>
          <w:szCs w:val="20"/>
          <w:lang w:val="en-US"/>
        </w:rPr>
        <w:t xml:space="preserve"> </w:t>
      </w:r>
      <w:r w:rsidR="00C44E9F" w:rsidRPr="005A41E0">
        <w:rPr>
          <w:rFonts w:asciiTheme="majorHAnsi" w:hAnsiTheme="majorHAnsi"/>
          <w:sz w:val="20"/>
          <w:szCs w:val="20"/>
          <w:lang w:val="en-US"/>
        </w:rPr>
        <w:t xml:space="preserve">the Committee of Experts of the Follow-up </w:t>
      </w:r>
      <w:r w:rsidR="000672BA">
        <w:rPr>
          <w:rFonts w:asciiTheme="majorHAnsi" w:hAnsiTheme="majorHAnsi"/>
          <w:sz w:val="20"/>
          <w:szCs w:val="20"/>
          <w:lang w:val="en-US"/>
        </w:rPr>
        <w:t xml:space="preserve">Mechanism of </w:t>
      </w:r>
      <w:r w:rsidR="00C44E9F" w:rsidRPr="005A41E0">
        <w:rPr>
          <w:rFonts w:asciiTheme="majorHAnsi" w:hAnsiTheme="majorHAnsi"/>
          <w:sz w:val="20"/>
          <w:szCs w:val="20"/>
          <w:lang w:val="en-US"/>
        </w:rPr>
        <w:t xml:space="preserve">the Convention of </w:t>
      </w:r>
      <w:r w:rsidR="00A257F3" w:rsidRPr="005A41E0">
        <w:rPr>
          <w:rFonts w:asciiTheme="majorHAnsi" w:hAnsiTheme="majorHAnsi"/>
          <w:sz w:val="20"/>
          <w:szCs w:val="20"/>
          <w:lang w:val="en-US"/>
        </w:rPr>
        <w:t>Belém do Pará (MESECVI)</w:t>
      </w:r>
      <w:r w:rsidR="008C6760" w:rsidRPr="005A41E0">
        <w:rPr>
          <w:rFonts w:asciiTheme="majorHAnsi" w:hAnsiTheme="majorHAnsi"/>
          <w:sz w:val="20"/>
          <w:szCs w:val="20"/>
          <w:lang w:val="en-US"/>
        </w:rPr>
        <w:t>;</w:t>
      </w:r>
      <w:r w:rsidR="00A257F3" w:rsidRPr="005A41E0">
        <w:rPr>
          <w:rFonts w:asciiTheme="majorHAnsi" w:hAnsiTheme="majorHAnsi"/>
          <w:sz w:val="20"/>
          <w:szCs w:val="20"/>
          <w:lang w:val="en-US"/>
        </w:rPr>
        <w:t xml:space="preserve"> </w:t>
      </w:r>
      <w:r w:rsidR="00C44E9F" w:rsidRPr="005A41E0">
        <w:rPr>
          <w:rFonts w:asciiTheme="majorHAnsi" w:hAnsiTheme="majorHAnsi"/>
          <w:sz w:val="20"/>
          <w:szCs w:val="20"/>
          <w:lang w:val="en-US"/>
        </w:rPr>
        <w:t xml:space="preserve">and the </w:t>
      </w:r>
      <w:r w:rsidR="000672BA" w:rsidRPr="000672BA">
        <w:rPr>
          <w:rFonts w:asciiTheme="majorHAnsi" w:hAnsiTheme="majorHAnsi"/>
          <w:sz w:val="20"/>
          <w:szCs w:val="20"/>
          <w:lang w:val="en-US"/>
        </w:rPr>
        <w:t>Group of Experts on Action against Violence against Women and Domestic Violence</w:t>
      </w:r>
      <w:r w:rsidR="00C44E9F" w:rsidRPr="005A41E0">
        <w:rPr>
          <w:rFonts w:asciiTheme="majorHAnsi" w:hAnsiTheme="majorHAnsi"/>
          <w:sz w:val="20"/>
          <w:szCs w:val="20"/>
          <w:lang w:val="en-US"/>
        </w:rPr>
        <w:t xml:space="preserve"> </w:t>
      </w:r>
      <w:r w:rsidR="00A257F3" w:rsidRPr="005A41E0">
        <w:rPr>
          <w:rFonts w:asciiTheme="majorHAnsi" w:hAnsiTheme="majorHAnsi"/>
          <w:sz w:val="20"/>
          <w:szCs w:val="20"/>
          <w:lang w:val="en-US"/>
        </w:rPr>
        <w:t>(GREVIO).</w:t>
      </w:r>
      <w:r w:rsidR="00C44E9F" w:rsidRPr="005A41E0">
        <w:rPr>
          <w:rFonts w:asciiTheme="majorHAnsi" w:hAnsiTheme="majorHAnsi"/>
          <w:sz w:val="20"/>
          <w:szCs w:val="20"/>
          <w:lang w:val="en-US"/>
        </w:rPr>
        <w:t xml:space="preserve">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C37E3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December 2, </w:t>
      </w:r>
      <w:r w:rsidR="00A257F3" w:rsidRPr="005A41E0">
        <w:rPr>
          <w:rFonts w:asciiTheme="majorHAnsi" w:hAnsiTheme="majorHAnsi"/>
          <w:sz w:val="20"/>
          <w:szCs w:val="20"/>
          <w:lang w:val="en-US"/>
        </w:rPr>
        <w:t xml:space="preserve">Dubravka Šimonović, </w:t>
      </w:r>
      <w:r w:rsidRPr="005A41E0">
        <w:rPr>
          <w:rFonts w:asciiTheme="majorHAnsi" w:hAnsiTheme="majorHAnsi"/>
          <w:sz w:val="20"/>
          <w:szCs w:val="20"/>
          <w:lang w:val="en-US"/>
        </w:rPr>
        <w:t xml:space="preserve">United Nations Special Rapporteur on violence against women, and </w:t>
      </w:r>
      <w:r w:rsidR="00A257F3" w:rsidRPr="005A41E0">
        <w:rPr>
          <w:rFonts w:asciiTheme="majorHAnsi" w:hAnsiTheme="majorHAnsi"/>
          <w:sz w:val="20"/>
          <w:szCs w:val="20"/>
          <w:lang w:val="en-US"/>
        </w:rPr>
        <w:t xml:space="preserve">Margarette May Macaulay, </w:t>
      </w:r>
      <w:r w:rsidRPr="005A41E0">
        <w:rPr>
          <w:rFonts w:asciiTheme="majorHAnsi" w:hAnsiTheme="majorHAnsi"/>
          <w:sz w:val="20"/>
          <w:szCs w:val="20"/>
          <w:lang w:val="en-US"/>
        </w:rPr>
        <w:t xml:space="preserve">Rapporteur of the IACHR on women’s rights, joined efforts to express their great alarm and concern with respect to continuing acts of extreme violence against women and girls in the Americas, and called for an increase in actions to end and prevent such violence.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C37E38"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December </w:t>
      </w:r>
      <w:r w:rsidR="00085E81" w:rsidRPr="005A41E0">
        <w:rPr>
          <w:rFonts w:asciiTheme="majorHAnsi" w:hAnsiTheme="majorHAnsi"/>
          <w:sz w:val="20"/>
          <w:szCs w:val="20"/>
          <w:lang w:val="en-US"/>
        </w:rPr>
        <w:t>13</w:t>
      </w:r>
      <w:r w:rsidRPr="005A41E0">
        <w:rPr>
          <w:rFonts w:asciiTheme="majorHAnsi" w:hAnsiTheme="majorHAnsi"/>
          <w:sz w:val="20"/>
          <w:szCs w:val="20"/>
          <w:lang w:val="en-US"/>
        </w:rPr>
        <w:t xml:space="preserve">, the IACHR and the Representatives of the UN High Commissioner for Human Rights in Central America, South America, Colombia, Guatemala, Honduras, and Mexico announced the creation of a joint mechanism for human rights defenders and journalists.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C37E38" w:rsidP="005A41E0">
      <w:pPr>
        <w:pStyle w:val="ListParagraph"/>
        <w:numPr>
          <w:ilvl w:val="0"/>
          <w:numId w:val="37"/>
        </w:numPr>
        <w:ind w:left="720" w:firstLine="0"/>
        <w:contextualSpacing/>
        <w:jc w:val="both"/>
        <w:rPr>
          <w:rFonts w:asciiTheme="majorHAnsi" w:hAnsiTheme="majorHAnsi"/>
          <w:b/>
          <w:sz w:val="20"/>
          <w:szCs w:val="20"/>
          <w:lang w:val="en-US"/>
        </w:rPr>
      </w:pPr>
      <w:r w:rsidRPr="005A41E0">
        <w:rPr>
          <w:rFonts w:asciiTheme="majorHAnsi" w:hAnsiTheme="majorHAnsi"/>
          <w:b/>
          <w:sz w:val="20"/>
          <w:szCs w:val="20"/>
          <w:lang w:val="en-US"/>
        </w:rPr>
        <w:t xml:space="preserve">United Nations High Commissioner for Refugees </w:t>
      </w:r>
      <w:r w:rsidR="00A257F3" w:rsidRPr="005A41E0">
        <w:rPr>
          <w:rFonts w:asciiTheme="majorHAnsi" w:hAnsiTheme="majorHAnsi"/>
          <w:b/>
          <w:sz w:val="20"/>
          <w:szCs w:val="20"/>
          <w:lang w:val="en-US"/>
        </w:rPr>
        <w:t>(</w:t>
      </w:r>
      <w:r w:rsidRPr="005A41E0">
        <w:rPr>
          <w:rFonts w:asciiTheme="majorHAnsi" w:hAnsiTheme="majorHAnsi"/>
          <w:b/>
          <w:sz w:val="20"/>
          <w:szCs w:val="20"/>
          <w:lang w:val="en-US"/>
        </w:rPr>
        <w:t>UNHCR</w:t>
      </w:r>
      <w:r w:rsidR="00A257F3" w:rsidRPr="005A41E0">
        <w:rPr>
          <w:rFonts w:asciiTheme="majorHAnsi" w:hAnsiTheme="majorHAnsi"/>
          <w:b/>
          <w:sz w:val="20"/>
          <w:szCs w:val="20"/>
          <w:lang w:val="en-US"/>
        </w:rPr>
        <w:t>)</w:t>
      </w:r>
    </w:p>
    <w:p w:rsidR="00A257F3" w:rsidRPr="005A41E0" w:rsidRDefault="00A257F3" w:rsidP="005A41E0">
      <w:pPr>
        <w:jc w:val="both"/>
        <w:rPr>
          <w:rFonts w:asciiTheme="majorHAnsi" w:hAnsiTheme="majorHAnsi"/>
          <w:sz w:val="20"/>
          <w:szCs w:val="20"/>
          <w:lang w:val="en-US"/>
        </w:rPr>
      </w:pPr>
    </w:p>
    <w:p w:rsidR="00A257F3" w:rsidRPr="005A41E0" w:rsidRDefault="00C86B9C"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August </w:t>
      </w:r>
      <w:r w:rsidR="00A257F3" w:rsidRPr="005A41E0">
        <w:rPr>
          <w:rFonts w:asciiTheme="majorHAnsi" w:hAnsiTheme="majorHAnsi"/>
          <w:sz w:val="20"/>
          <w:szCs w:val="20"/>
          <w:lang w:val="en-US"/>
        </w:rPr>
        <w:t xml:space="preserve">23 </w:t>
      </w:r>
      <w:r w:rsidRPr="005A41E0">
        <w:rPr>
          <w:rFonts w:asciiTheme="majorHAnsi" w:hAnsiTheme="majorHAnsi"/>
          <w:sz w:val="20"/>
          <w:szCs w:val="20"/>
          <w:lang w:val="en-US"/>
        </w:rPr>
        <w:t xml:space="preserve">the Office of the UNHCR in Costa Rica organized a meeting of the IACHR and the United Nations agencies in the country with some diplomatic missions, to engage in a dialogue on the financial situation of the IACHR and the possibilities for supporting and financing its work. </w:t>
      </w:r>
    </w:p>
    <w:p w:rsidR="0005725D" w:rsidRPr="005A41E0" w:rsidRDefault="0005725D" w:rsidP="005A41E0">
      <w:pPr>
        <w:rPr>
          <w:rFonts w:asciiTheme="majorHAnsi" w:hAnsiTheme="majorHAnsi"/>
          <w:b/>
          <w:sz w:val="20"/>
          <w:szCs w:val="20"/>
          <w:lang w:val="en-US"/>
        </w:rPr>
      </w:pPr>
    </w:p>
    <w:p w:rsidR="00A257F3" w:rsidRPr="005A41E0" w:rsidRDefault="00C86B9C" w:rsidP="005A41E0">
      <w:pPr>
        <w:pStyle w:val="ListParagraph"/>
        <w:numPr>
          <w:ilvl w:val="0"/>
          <w:numId w:val="37"/>
        </w:numPr>
        <w:ind w:left="720" w:firstLine="0"/>
        <w:contextualSpacing/>
        <w:jc w:val="both"/>
        <w:rPr>
          <w:rFonts w:asciiTheme="majorHAnsi" w:hAnsiTheme="majorHAnsi"/>
          <w:b/>
          <w:sz w:val="20"/>
          <w:szCs w:val="20"/>
          <w:lang w:val="en-US"/>
        </w:rPr>
      </w:pPr>
      <w:r w:rsidRPr="005A41E0">
        <w:rPr>
          <w:rFonts w:asciiTheme="majorHAnsi" w:hAnsiTheme="majorHAnsi"/>
          <w:b/>
          <w:sz w:val="20"/>
          <w:szCs w:val="20"/>
          <w:lang w:val="en-US"/>
        </w:rPr>
        <w:t xml:space="preserve">United Nations International Children's Emergency Fund </w:t>
      </w:r>
      <w:r w:rsidR="00A257F3" w:rsidRPr="005A41E0">
        <w:rPr>
          <w:rFonts w:asciiTheme="majorHAnsi" w:hAnsiTheme="majorHAnsi"/>
          <w:b/>
          <w:sz w:val="20"/>
          <w:szCs w:val="20"/>
          <w:lang w:val="en-US"/>
        </w:rPr>
        <w:t>(UNICEF)</w:t>
      </w:r>
    </w:p>
    <w:p w:rsidR="00A257F3" w:rsidRPr="005A41E0" w:rsidRDefault="00A257F3" w:rsidP="005A41E0">
      <w:pPr>
        <w:ind w:left="1080"/>
        <w:jc w:val="both"/>
        <w:rPr>
          <w:rFonts w:asciiTheme="majorHAnsi" w:hAnsiTheme="majorHAnsi"/>
          <w:sz w:val="20"/>
          <w:szCs w:val="20"/>
          <w:lang w:val="en-US"/>
        </w:rPr>
      </w:pPr>
    </w:p>
    <w:p w:rsidR="00A257F3" w:rsidRPr="005A41E0" w:rsidRDefault="00C86B9C"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December </w:t>
      </w:r>
      <w:r w:rsidR="00A257F3" w:rsidRPr="005A41E0">
        <w:rPr>
          <w:rFonts w:asciiTheme="majorHAnsi" w:hAnsiTheme="majorHAnsi"/>
          <w:sz w:val="20"/>
          <w:szCs w:val="20"/>
          <w:lang w:val="en-US"/>
        </w:rPr>
        <w:t>1</w:t>
      </w:r>
      <w:r w:rsidRPr="005A41E0">
        <w:rPr>
          <w:rFonts w:asciiTheme="majorHAnsi" w:hAnsiTheme="majorHAnsi"/>
          <w:sz w:val="20"/>
          <w:szCs w:val="20"/>
          <w:lang w:val="en-US"/>
        </w:rPr>
        <w:t>, in the context of the 159</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 in Panama</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IACHR met with the UNICEF Office of the Americas to exchange work plans and strengthen the mechanisms of cooperation between the two organizations. </w:t>
      </w:r>
    </w:p>
    <w:p w:rsidR="00A257F3" w:rsidRPr="005A41E0" w:rsidRDefault="00A257F3" w:rsidP="005A41E0">
      <w:pPr>
        <w:ind w:left="1080"/>
        <w:rPr>
          <w:rFonts w:asciiTheme="majorHAnsi" w:hAnsiTheme="majorHAnsi"/>
          <w:b/>
          <w:sz w:val="20"/>
          <w:szCs w:val="20"/>
          <w:lang w:val="en-US"/>
        </w:rPr>
      </w:pPr>
    </w:p>
    <w:p w:rsidR="00A257F3" w:rsidRPr="005A41E0" w:rsidRDefault="00C86B9C" w:rsidP="005A41E0">
      <w:pPr>
        <w:numPr>
          <w:ilvl w:val="0"/>
          <w:numId w:val="36"/>
        </w:numPr>
        <w:ind w:left="1440" w:hanging="720"/>
        <w:rPr>
          <w:rFonts w:asciiTheme="majorHAnsi" w:hAnsiTheme="majorHAnsi"/>
          <w:b/>
          <w:sz w:val="20"/>
          <w:szCs w:val="20"/>
          <w:lang w:val="en-US"/>
        </w:rPr>
      </w:pPr>
      <w:r w:rsidRPr="005A41E0">
        <w:rPr>
          <w:rFonts w:asciiTheme="majorHAnsi" w:hAnsiTheme="majorHAnsi"/>
          <w:b/>
          <w:sz w:val="20"/>
          <w:szCs w:val="20"/>
          <w:lang w:val="en-US"/>
        </w:rPr>
        <w:t xml:space="preserve">Other agencies </w:t>
      </w:r>
    </w:p>
    <w:p w:rsidR="00A257F3" w:rsidRPr="005A41E0" w:rsidRDefault="00A257F3" w:rsidP="005A41E0">
      <w:pPr>
        <w:ind w:left="1080"/>
        <w:rPr>
          <w:rFonts w:asciiTheme="majorHAnsi" w:hAnsiTheme="majorHAnsi"/>
          <w:b/>
          <w:sz w:val="20"/>
          <w:szCs w:val="20"/>
          <w:lang w:val="en-US"/>
        </w:rPr>
      </w:pPr>
    </w:p>
    <w:p w:rsidR="00A257F3" w:rsidRPr="005A41E0" w:rsidRDefault="00C86B9C" w:rsidP="005A41E0">
      <w:pPr>
        <w:pStyle w:val="ListParagraph"/>
        <w:numPr>
          <w:ilvl w:val="0"/>
          <w:numId w:val="40"/>
        </w:numPr>
        <w:ind w:left="720" w:firstLine="0"/>
        <w:contextualSpacing/>
        <w:jc w:val="both"/>
        <w:rPr>
          <w:rFonts w:asciiTheme="majorHAnsi" w:hAnsiTheme="majorHAnsi"/>
          <w:b/>
          <w:sz w:val="20"/>
          <w:szCs w:val="20"/>
          <w:lang w:val="en-US"/>
        </w:rPr>
      </w:pPr>
      <w:r w:rsidRPr="005A41E0">
        <w:rPr>
          <w:rFonts w:asciiTheme="majorHAnsi" w:hAnsiTheme="majorHAnsi"/>
          <w:b/>
          <w:sz w:val="20"/>
          <w:szCs w:val="20"/>
          <w:lang w:val="en-US"/>
        </w:rPr>
        <w:t xml:space="preserve">International Committee of the Red Cross </w:t>
      </w:r>
    </w:p>
    <w:p w:rsidR="00A257F3" w:rsidRPr="005A41E0" w:rsidRDefault="00A257F3" w:rsidP="005A41E0">
      <w:pPr>
        <w:jc w:val="both"/>
        <w:rPr>
          <w:rFonts w:asciiTheme="majorHAnsi" w:hAnsiTheme="majorHAnsi"/>
          <w:sz w:val="20"/>
          <w:szCs w:val="20"/>
          <w:lang w:val="en-US"/>
        </w:rPr>
      </w:pPr>
    </w:p>
    <w:p w:rsidR="00A257F3" w:rsidRPr="005A41E0" w:rsidRDefault="00F85DF9"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February </w:t>
      </w:r>
      <w:r w:rsidR="00A257F3" w:rsidRPr="005A41E0">
        <w:rPr>
          <w:rFonts w:asciiTheme="majorHAnsi" w:hAnsiTheme="majorHAnsi"/>
          <w:sz w:val="20"/>
          <w:szCs w:val="20"/>
          <w:lang w:val="en-US"/>
        </w:rPr>
        <w:t xml:space="preserve">19 </w:t>
      </w:r>
      <w:r w:rsidRPr="005A41E0">
        <w:rPr>
          <w:rFonts w:asciiTheme="majorHAnsi" w:hAnsiTheme="majorHAnsi"/>
          <w:sz w:val="20"/>
          <w:szCs w:val="20"/>
          <w:lang w:val="en-US"/>
        </w:rPr>
        <w:t xml:space="preserve">the Executive Secretary received </w:t>
      </w:r>
      <w:r w:rsidR="00A257F3" w:rsidRPr="005A41E0">
        <w:rPr>
          <w:rFonts w:asciiTheme="majorHAnsi" w:hAnsiTheme="majorHAnsi"/>
          <w:sz w:val="20"/>
          <w:szCs w:val="20"/>
          <w:lang w:val="en-US"/>
        </w:rPr>
        <w:t xml:space="preserve">Angela Gussing, </w:t>
      </w:r>
      <w:r w:rsidRPr="005A41E0">
        <w:rPr>
          <w:rFonts w:asciiTheme="majorHAnsi" w:hAnsiTheme="majorHAnsi"/>
          <w:sz w:val="20"/>
          <w:szCs w:val="20"/>
          <w:lang w:val="en-US"/>
        </w:rPr>
        <w:t xml:space="preserve">Chief of Operations of the ICRC for the Americas, and </w:t>
      </w:r>
      <w:r w:rsidR="00085E81" w:rsidRPr="005A41E0">
        <w:rPr>
          <w:rFonts w:asciiTheme="majorHAnsi" w:hAnsiTheme="majorHAnsi"/>
          <w:sz w:val="20"/>
          <w:szCs w:val="20"/>
          <w:lang w:val="en-US"/>
        </w:rPr>
        <w:t>François</w:t>
      </w:r>
      <w:r w:rsidR="00A257F3" w:rsidRPr="005A41E0">
        <w:rPr>
          <w:rFonts w:asciiTheme="majorHAnsi" w:hAnsiTheme="majorHAnsi"/>
          <w:sz w:val="20"/>
          <w:szCs w:val="20"/>
          <w:lang w:val="en-US"/>
        </w:rPr>
        <w:t xml:space="preserve"> Stamm, </w:t>
      </w:r>
      <w:r w:rsidRPr="005A41E0">
        <w:rPr>
          <w:rFonts w:asciiTheme="majorHAnsi" w:hAnsiTheme="majorHAnsi"/>
          <w:sz w:val="20"/>
          <w:szCs w:val="20"/>
          <w:lang w:val="en-US"/>
        </w:rPr>
        <w:t xml:space="preserve">Chief of the Regional Delegation of the ICRC in the United States.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F85DF9"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February 24 Mr. </w:t>
      </w:r>
      <w:r w:rsidR="00A257F3" w:rsidRPr="005A41E0">
        <w:rPr>
          <w:rFonts w:asciiTheme="majorHAnsi" w:hAnsiTheme="majorHAnsi"/>
          <w:sz w:val="20"/>
          <w:szCs w:val="20"/>
          <w:lang w:val="en-US"/>
        </w:rPr>
        <w:t xml:space="preserve">Christoph Harnisch, </w:t>
      </w:r>
      <w:r w:rsidRPr="005A41E0">
        <w:rPr>
          <w:rFonts w:asciiTheme="majorHAnsi" w:hAnsiTheme="majorHAnsi"/>
          <w:sz w:val="20"/>
          <w:szCs w:val="20"/>
          <w:lang w:val="en-US"/>
        </w:rPr>
        <w:t xml:space="preserve">Chief of Delegation of the ICRC for </w:t>
      </w:r>
      <w:r w:rsidR="00A257F3" w:rsidRPr="005A41E0">
        <w:rPr>
          <w:rFonts w:asciiTheme="majorHAnsi" w:hAnsiTheme="majorHAnsi"/>
          <w:sz w:val="20"/>
          <w:szCs w:val="20"/>
          <w:lang w:val="en-US"/>
        </w:rPr>
        <w:t>Colombia</w:t>
      </w:r>
      <w:r w:rsidRPr="005A41E0">
        <w:rPr>
          <w:rFonts w:asciiTheme="majorHAnsi" w:hAnsiTheme="majorHAnsi"/>
          <w:sz w:val="20"/>
          <w:szCs w:val="20"/>
          <w:lang w:val="en-US"/>
        </w:rPr>
        <w:t>, was received at the Executive Secretariat of the IACHR</w:t>
      </w:r>
      <w:r w:rsidR="00A257F3" w:rsidRPr="005A41E0">
        <w:rPr>
          <w:rFonts w:asciiTheme="majorHAnsi" w:hAnsiTheme="majorHAnsi"/>
          <w:sz w:val="20"/>
          <w:szCs w:val="20"/>
          <w:lang w:val="en-US"/>
        </w:rPr>
        <w:t>.</w:t>
      </w:r>
    </w:p>
    <w:p w:rsidR="00F01381" w:rsidRPr="005A41E0" w:rsidRDefault="00F01381" w:rsidP="005A41E0">
      <w:pPr>
        <w:shd w:val="clear" w:color="auto" w:fill="FFFFFF"/>
        <w:jc w:val="both"/>
        <w:rPr>
          <w:rFonts w:asciiTheme="majorHAnsi" w:hAnsiTheme="majorHAnsi"/>
          <w:sz w:val="20"/>
          <w:szCs w:val="20"/>
          <w:lang w:val="en-US"/>
        </w:rPr>
      </w:pPr>
    </w:p>
    <w:p w:rsidR="000643A5" w:rsidRDefault="000643A5">
      <w:pPr>
        <w:rPr>
          <w:rFonts w:asciiTheme="majorHAnsi" w:hAnsiTheme="majorHAnsi"/>
          <w:b/>
          <w:sz w:val="20"/>
          <w:szCs w:val="20"/>
          <w:lang w:val="en-US"/>
        </w:rPr>
      </w:pPr>
      <w:r>
        <w:rPr>
          <w:rFonts w:asciiTheme="majorHAnsi" w:hAnsiTheme="majorHAnsi"/>
          <w:b/>
          <w:sz w:val="20"/>
          <w:szCs w:val="20"/>
          <w:lang w:val="en-US"/>
        </w:rPr>
        <w:br w:type="page"/>
      </w:r>
    </w:p>
    <w:p w:rsidR="00A257F3" w:rsidRPr="005A41E0" w:rsidRDefault="00F85DF9" w:rsidP="005A41E0">
      <w:pPr>
        <w:pStyle w:val="ListParagraph"/>
        <w:numPr>
          <w:ilvl w:val="0"/>
          <w:numId w:val="40"/>
        </w:numPr>
        <w:ind w:left="720" w:firstLine="0"/>
        <w:contextualSpacing/>
        <w:jc w:val="both"/>
        <w:rPr>
          <w:rFonts w:asciiTheme="majorHAnsi" w:hAnsiTheme="majorHAnsi"/>
          <w:b/>
          <w:sz w:val="20"/>
          <w:szCs w:val="20"/>
          <w:lang w:val="en-US"/>
        </w:rPr>
      </w:pPr>
      <w:r w:rsidRPr="005A41E0">
        <w:rPr>
          <w:rFonts w:asciiTheme="majorHAnsi" w:hAnsiTheme="majorHAnsi"/>
          <w:b/>
          <w:sz w:val="20"/>
          <w:szCs w:val="20"/>
          <w:lang w:val="en-US"/>
        </w:rPr>
        <w:lastRenderedPageBreak/>
        <w:t>World Bank</w:t>
      </w:r>
    </w:p>
    <w:p w:rsidR="00A257F3" w:rsidRPr="005A41E0" w:rsidRDefault="00A257F3" w:rsidP="005A41E0">
      <w:pPr>
        <w:ind w:left="1440"/>
        <w:jc w:val="both"/>
        <w:rPr>
          <w:rFonts w:asciiTheme="majorHAnsi" w:hAnsiTheme="majorHAnsi"/>
          <w:sz w:val="20"/>
          <w:szCs w:val="20"/>
          <w:lang w:val="en-US"/>
        </w:rPr>
      </w:pPr>
    </w:p>
    <w:p w:rsidR="00A257F3" w:rsidRPr="005A41E0" w:rsidRDefault="00F85DF9"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February </w:t>
      </w:r>
      <w:r w:rsidR="00A257F3" w:rsidRPr="005A41E0">
        <w:rPr>
          <w:rFonts w:asciiTheme="majorHAnsi" w:hAnsiTheme="majorHAnsi"/>
          <w:sz w:val="20"/>
          <w:szCs w:val="20"/>
          <w:lang w:val="en-US"/>
        </w:rPr>
        <w:t xml:space="preserve">24 </w:t>
      </w:r>
      <w:r w:rsidRPr="005A41E0">
        <w:rPr>
          <w:rFonts w:asciiTheme="majorHAnsi" w:hAnsiTheme="majorHAnsi"/>
          <w:sz w:val="20"/>
          <w:szCs w:val="20"/>
          <w:lang w:val="en-US"/>
        </w:rPr>
        <w:t>the Executive Secretary participated in a meeting organized by the Nordic Trust Fund, created by the World Bank for the purpose of enlightening the various departments about human rights</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During that meeting different </w:t>
      </w:r>
      <w:r w:rsidR="00770935" w:rsidRPr="005A41E0">
        <w:rPr>
          <w:rFonts w:asciiTheme="majorHAnsi" w:hAnsiTheme="majorHAnsi"/>
          <w:sz w:val="20"/>
          <w:szCs w:val="20"/>
          <w:lang w:val="en-US"/>
        </w:rPr>
        <w:t xml:space="preserve">approaches of programs and visions of the region were discussed along with other regional agencies and nongovernmental organizations.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1D0BEC" w:rsidP="00791417">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During April and May, staff of the Executive Secretariat held several meetings with staff of the </w:t>
      </w:r>
      <w:r w:rsidR="00A257F3" w:rsidRPr="005A41E0">
        <w:rPr>
          <w:rFonts w:asciiTheme="majorHAnsi" w:hAnsiTheme="majorHAnsi"/>
          <w:sz w:val="20"/>
          <w:szCs w:val="20"/>
          <w:lang w:val="en-US"/>
        </w:rPr>
        <w:t xml:space="preserve">Nordic Trust Fund </w:t>
      </w:r>
      <w:r w:rsidRPr="005A41E0">
        <w:rPr>
          <w:rFonts w:asciiTheme="majorHAnsi" w:hAnsiTheme="majorHAnsi"/>
          <w:sz w:val="20"/>
          <w:szCs w:val="20"/>
          <w:lang w:val="en-US"/>
        </w:rPr>
        <w:t>to collaborate in a process for incorporating human rights standards to the proce</w:t>
      </w:r>
      <w:r w:rsidR="00791417">
        <w:rPr>
          <w:rFonts w:asciiTheme="majorHAnsi" w:hAnsiTheme="majorHAnsi"/>
          <w:sz w:val="20"/>
          <w:szCs w:val="20"/>
          <w:lang w:val="en-US"/>
        </w:rPr>
        <w:t xml:space="preserve">edings </w:t>
      </w:r>
      <w:r w:rsidRPr="005A41E0">
        <w:rPr>
          <w:rFonts w:asciiTheme="majorHAnsi" w:hAnsiTheme="majorHAnsi"/>
          <w:sz w:val="20"/>
          <w:szCs w:val="20"/>
          <w:lang w:val="en-US"/>
        </w:rPr>
        <w:t>that affect the rights of indigenous peoples. A series of regional consultations will be held on the right</w:t>
      </w:r>
      <w:r w:rsidR="00791417">
        <w:rPr>
          <w:rFonts w:asciiTheme="majorHAnsi" w:hAnsiTheme="majorHAnsi"/>
          <w:sz w:val="20"/>
          <w:szCs w:val="20"/>
          <w:lang w:val="en-US"/>
        </w:rPr>
        <w:t>s</w:t>
      </w:r>
      <w:r w:rsidRPr="005A41E0">
        <w:rPr>
          <w:rFonts w:asciiTheme="majorHAnsi" w:hAnsiTheme="majorHAnsi"/>
          <w:sz w:val="20"/>
          <w:szCs w:val="20"/>
          <w:lang w:val="en-US"/>
        </w:rPr>
        <w:t xml:space="preserve"> to health, education, rural development, social protection, environment, and basic infrastructure.</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1D0BEC" w:rsidP="005A41E0">
      <w:pPr>
        <w:numPr>
          <w:ilvl w:val="0"/>
          <w:numId w:val="36"/>
        </w:numPr>
        <w:ind w:left="1440" w:hanging="720"/>
        <w:rPr>
          <w:rFonts w:asciiTheme="majorHAnsi" w:hAnsiTheme="majorHAnsi"/>
          <w:b/>
          <w:sz w:val="20"/>
          <w:szCs w:val="20"/>
          <w:lang w:val="en-US"/>
        </w:rPr>
      </w:pPr>
      <w:r w:rsidRPr="005A41E0">
        <w:rPr>
          <w:rFonts w:asciiTheme="majorHAnsi" w:hAnsiTheme="majorHAnsi"/>
          <w:b/>
          <w:sz w:val="20"/>
          <w:szCs w:val="20"/>
          <w:lang w:val="en-US"/>
        </w:rPr>
        <w:t>Regional human rights organs</w:t>
      </w:r>
    </w:p>
    <w:p w:rsidR="00A257F3" w:rsidRPr="005A41E0" w:rsidRDefault="00A257F3" w:rsidP="005A41E0">
      <w:pPr>
        <w:ind w:left="1080"/>
        <w:rPr>
          <w:rFonts w:asciiTheme="majorHAnsi" w:hAnsiTheme="majorHAnsi"/>
          <w:b/>
          <w:sz w:val="20"/>
          <w:szCs w:val="20"/>
          <w:lang w:val="en-US"/>
        </w:rPr>
      </w:pPr>
    </w:p>
    <w:p w:rsidR="00A257F3" w:rsidRPr="005A41E0" w:rsidRDefault="001D0BEC" w:rsidP="005A41E0">
      <w:pPr>
        <w:numPr>
          <w:ilvl w:val="0"/>
          <w:numId w:val="41"/>
        </w:numPr>
        <w:ind w:left="1440"/>
        <w:jc w:val="both"/>
        <w:rPr>
          <w:rFonts w:asciiTheme="majorHAnsi" w:hAnsiTheme="majorHAnsi"/>
          <w:b/>
          <w:sz w:val="20"/>
          <w:szCs w:val="20"/>
          <w:lang w:val="en-US"/>
        </w:rPr>
      </w:pPr>
      <w:r w:rsidRPr="005A41E0">
        <w:rPr>
          <w:rFonts w:asciiTheme="majorHAnsi" w:hAnsiTheme="majorHAnsi"/>
          <w:b/>
          <w:sz w:val="20"/>
          <w:szCs w:val="20"/>
          <w:lang w:val="en-US"/>
        </w:rPr>
        <w:t xml:space="preserve">African Commission on Human and Peoples’ Rights </w:t>
      </w:r>
    </w:p>
    <w:p w:rsidR="00A257F3" w:rsidRPr="005A41E0" w:rsidRDefault="00A257F3" w:rsidP="005A41E0">
      <w:pPr>
        <w:pStyle w:val="ListParagraph"/>
        <w:ind w:firstLine="360"/>
        <w:jc w:val="both"/>
        <w:rPr>
          <w:rFonts w:asciiTheme="majorHAnsi" w:hAnsiTheme="majorHAnsi"/>
          <w:sz w:val="20"/>
          <w:szCs w:val="20"/>
          <w:lang w:val="en-US"/>
        </w:rPr>
      </w:pPr>
    </w:p>
    <w:p w:rsidR="00F01381" w:rsidRPr="005A41E0" w:rsidRDefault="00451C0C" w:rsidP="00430EB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One importan</w:t>
      </w:r>
      <w:r w:rsidR="00430EBB">
        <w:rPr>
          <w:rFonts w:asciiTheme="majorHAnsi" w:hAnsiTheme="majorHAnsi"/>
          <w:sz w:val="20"/>
          <w:szCs w:val="20"/>
          <w:lang w:val="en-US"/>
        </w:rPr>
        <w:t>t mandate of the Section of</w:t>
      </w:r>
      <w:r w:rsidRPr="005A41E0">
        <w:rPr>
          <w:rFonts w:asciiTheme="majorHAnsi" w:hAnsiTheme="majorHAnsi"/>
          <w:sz w:val="20"/>
          <w:szCs w:val="20"/>
          <w:lang w:val="en-US"/>
        </w:rPr>
        <w:t xml:space="preserve"> Inter-institutional Relations has been to strengthen ties with the African Commission on Human and Peoples’ Rights and other regional organs. Following up on a visit from the Secretariat of that Commission to the IACHR last year, in early </w:t>
      </w:r>
      <w:r w:rsidR="00785DE6"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a proposal for financing was presented for the purpose of cooperating with the African Commission in various areas. </w:t>
      </w:r>
      <w:r w:rsidR="00E92E17" w:rsidRPr="005A41E0">
        <w:rPr>
          <w:rFonts w:asciiTheme="majorHAnsi" w:hAnsiTheme="majorHAnsi"/>
          <w:sz w:val="20"/>
          <w:szCs w:val="20"/>
          <w:lang w:val="en-US"/>
        </w:rPr>
        <w:t xml:space="preserve"> Among these, it was proposed to strengthen the search engine for cases and petitions of the IACHR and advise the African Commission on the use of technology and on press and communication. </w:t>
      </w:r>
    </w:p>
    <w:p w:rsidR="00785DE6" w:rsidRPr="005A41E0" w:rsidRDefault="00785DE6" w:rsidP="005A41E0">
      <w:pPr>
        <w:pStyle w:val="ListParagraph"/>
        <w:shd w:val="clear" w:color="auto" w:fill="FFFFFF"/>
        <w:ind w:left="720"/>
        <w:jc w:val="both"/>
        <w:rPr>
          <w:rFonts w:asciiTheme="majorHAnsi" w:hAnsiTheme="majorHAnsi"/>
          <w:sz w:val="20"/>
          <w:szCs w:val="20"/>
          <w:lang w:val="en-US"/>
        </w:rPr>
      </w:pPr>
    </w:p>
    <w:p w:rsidR="00A257F3" w:rsidRPr="005A41E0" w:rsidRDefault="00E92E17" w:rsidP="005A41E0">
      <w:pPr>
        <w:numPr>
          <w:ilvl w:val="0"/>
          <w:numId w:val="41"/>
        </w:numPr>
        <w:ind w:left="1440"/>
        <w:jc w:val="both"/>
        <w:rPr>
          <w:rFonts w:asciiTheme="majorHAnsi" w:hAnsiTheme="majorHAnsi"/>
          <w:b/>
          <w:sz w:val="20"/>
          <w:szCs w:val="20"/>
          <w:lang w:val="en-US"/>
        </w:rPr>
      </w:pPr>
      <w:r w:rsidRPr="005A41E0">
        <w:rPr>
          <w:rFonts w:asciiTheme="majorHAnsi" w:hAnsiTheme="majorHAnsi"/>
          <w:b/>
          <w:sz w:val="20"/>
          <w:szCs w:val="20"/>
          <w:lang w:val="en-US"/>
        </w:rPr>
        <w:t xml:space="preserve">Arab Commission for Human Rights </w:t>
      </w:r>
    </w:p>
    <w:p w:rsidR="00A257F3" w:rsidRPr="005A41E0" w:rsidRDefault="00A257F3" w:rsidP="005A41E0">
      <w:pPr>
        <w:pStyle w:val="ListParagraph"/>
        <w:ind w:firstLine="360"/>
        <w:jc w:val="both"/>
        <w:rPr>
          <w:rFonts w:asciiTheme="majorHAnsi" w:hAnsiTheme="majorHAnsi"/>
          <w:sz w:val="20"/>
          <w:szCs w:val="20"/>
          <w:lang w:val="en-US"/>
        </w:rPr>
      </w:pPr>
    </w:p>
    <w:p w:rsidR="00A257F3" w:rsidRPr="005A41E0" w:rsidRDefault="00E92E17"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IACHR received an invitation to inaugurate the ninth session of the Arab Commission for Human Rights in </w:t>
      </w:r>
      <w:r w:rsidR="00785DE6" w:rsidRPr="005A41E0">
        <w:rPr>
          <w:rFonts w:asciiTheme="majorHAnsi" w:hAnsiTheme="majorHAnsi"/>
          <w:sz w:val="20"/>
          <w:szCs w:val="20"/>
          <w:lang w:val="en-US"/>
        </w:rPr>
        <w:t xml:space="preserve">Cairo, </w:t>
      </w:r>
      <w:r w:rsidRPr="005A41E0">
        <w:rPr>
          <w:rFonts w:asciiTheme="majorHAnsi" w:hAnsiTheme="majorHAnsi"/>
          <w:sz w:val="20"/>
          <w:szCs w:val="20"/>
          <w:lang w:val="en-US"/>
        </w:rPr>
        <w:t>which was declined due to lack of funds. The relationship with that Commission is considered important</w:t>
      </w:r>
      <w:r w:rsidR="00785DE6"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it is expected that there will be participation in the near future.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E92E17" w:rsidP="005A41E0">
      <w:pPr>
        <w:numPr>
          <w:ilvl w:val="0"/>
          <w:numId w:val="36"/>
        </w:numPr>
        <w:ind w:left="1440" w:hanging="720"/>
        <w:rPr>
          <w:rFonts w:asciiTheme="majorHAnsi" w:hAnsiTheme="majorHAnsi"/>
          <w:b/>
          <w:sz w:val="20"/>
          <w:szCs w:val="20"/>
          <w:lang w:val="en-US"/>
        </w:rPr>
      </w:pPr>
      <w:r w:rsidRPr="005A41E0">
        <w:rPr>
          <w:rFonts w:asciiTheme="majorHAnsi" w:hAnsiTheme="majorHAnsi"/>
          <w:b/>
          <w:sz w:val="20"/>
          <w:szCs w:val="20"/>
          <w:lang w:val="en-US"/>
        </w:rPr>
        <w:t>Ci</w:t>
      </w:r>
      <w:r w:rsidR="00EF2D6D" w:rsidRPr="005A41E0">
        <w:rPr>
          <w:rFonts w:asciiTheme="majorHAnsi" w:hAnsiTheme="majorHAnsi"/>
          <w:b/>
          <w:sz w:val="20"/>
          <w:szCs w:val="20"/>
          <w:lang w:val="en-US"/>
        </w:rPr>
        <w:t>vil</w:t>
      </w:r>
      <w:r w:rsidRPr="005A41E0">
        <w:rPr>
          <w:rFonts w:asciiTheme="majorHAnsi" w:hAnsiTheme="majorHAnsi"/>
          <w:b/>
          <w:sz w:val="20"/>
          <w:szCs w:val="20"/>
          <w:lang w:val="en-US"/>
        </w:rPr>
        <w:t xml:space="preserve"> society </w:t>
      </w:r>
    </w:p>
    <w:p w:rsidR="00A257F3" w:rsidRPr="005A41E0" w:rsidRDefault="00A257F3" w:rsidP="005A41E0">
      <w:pPr>
        <w:ind w:left="1080"/>
        <w:rPr>
          <w:rFonts w:asciiTheme="majorHAnsi" w:hAnsiTheme="majorHAnsi"/>
          <w:b/>
          <w:sz w:val="20"/>
          <w:szCs w:val="20"/>
          <w:lang w:val="en-US"/>
        </w:rPr>
      </w:pPr>
    </w:p>
    <w:p w:rsidR="00A257F3" w:rsidRPr="005A41E0" w:rsidRDefault="00E92E17" w:rsidP="00266B8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January </w:t>
      </w:r>
      <w:r w:rsidR="00A257F3" w:rsidRPr="005A41E0">
        <w:rPr>
          <w:rFonts w:asciiTheme="majorHAnsi" w:hAnsiTheme="majorHAnsi"/>
          <w:sz w:val="20"/>
          <w:szCs w:val="20"/>
          <w:lang w:val="en-US"/>
        </w:rPr>
        <w:t xml:space="preserve">30 </w:t>
      </w:r>
      <w:r w:rsidRPr="005A41E0">
        <w:rPr>
          <w:rFonts w:asciiTheme="majorHAnsi" w:hAnsiTheme="majorHAnsi"/>
          <w:sz w:val="20"/>
          <w:szCs w:val="20"/>
          <w:lang w:val="en-US"/>
        </w:rPr>
        <w:t xml:space="preserve">and </w:t>
      </w:r>
      <w:r w:rsidR="00A257F3" w:rsidRPr="005A41E0">
        <w:rPr>
          <w:rFonts w:asciiTheme="majorHAnsi" w:hAnsiTheme="majorHAnsi"/>
          <w:sz w:val="20"/>
          <w:szCs w:val="20"/>
          <w:lang w:val="en-US"/>
        </w:rPr>
        <w:t xml:space="preserve">31 </w:t>
      </w:r>
      <w:r w:rsidRPr="005A41E0">
        <w:rPr>
          <w:rFonts w:asciiTheme="majorHAnsi" w:hAnsiTheme="majorHAnsi"/>
          <w:sz w:val="20"/>
          <w:szCs w:val="20"/>
          <w:lang w:val="en-US"/>
        </w:rPr>
        <w:t>President Cavallaro participated with indigenous leaders in a symposium at the University of Ottawa, Canada</w:t>
      </w:r>
      <w:r w:rsidR="00785DE6" w:rsidRPr="005A41E0">
        <w:rPr>
          <w:rFonts w:asciiTheme="majorHAnsi" w:hAnsiTheme="majorHAnsi"/>
          <w:sz w:val="20"/>
          <w:szCs w:val="20"/>
          <w:lang w:val="en-US"/>
        </w:rPr>
        <w:t xml:space="preserve">. </w:t>
      </w:r>
      <w:r w:rsidR="00EF2D6D" w:rsidRPr="005A41E0">
        <w:rPr>
          <w:rFonts w:asciiTheme="majorHAnsi" w:hAnsiTheme="majorHAnsi"/>
          <w:sz w:val="20"/>
          <w:szCs w:val="20"/>
          <w:lang w:val="en-US"/>
        </w:rPr>
        <w:t>The event had to do with disappearances and homicides of indigenous women</w:t>
      </w:r>
      <w:r w:rsidR="00A257F3" w:rsidRPr="005A41E0">
        <w:rPr>
          <w:rFonts w:asciiTheme="majorHAnsi" w:hAnsiTheme="majorHAnsi"/>
          <w:sz w:val="20"/>
          <w:szCs w:val="20"/>
          <w:lang w:val="en-US"/>
        </w:rPr>
        <w:t xml:space="preserve"> </w:t>
      </w:r>
      <w:r w:rsidR="00EF2D6D" w:rsidRPr="005A41E0">
        <w:rPr>
          <w:rFonts w:asciiTheme="majorHAnsi" w:hAnsiTheme="majorHAnsi"/>
          <w:sz w:val="20"/>
          <w:szCs w:val="20"/>
          <w:lang w:val="en-US"/>
        </w:rPr>
        <w:t>and girls, and the possible framework and structure of the Commission of Inquiry announced by the Government of Canada</w:t>
      </w:r>
      <w:r w:rsidR="00A257F3" w:rsidRPr="005A41E0">
        <w:rPr>
          <w:rFonts w:asciiTheme="majorHAnsi" w:hAnsiTheme="majorHAnsi"/>
          <w:sz w:val="20"/>
          <w:szCs w:val="20"/>
          <w:lang w:val="en-US"/>
        </w:rPr>
        <w:t xml:space="preserve">.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EF2D6D"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February </w:t>
      </w:r>
      <w:r w:rsidR="00785DE6" w:rsidRPr="005A41E0">
        <w:rPr>
          <w:rFonts w:asciiTheme="majorHAnsi" w:hAnsiTheme="majorHAnsi"/>
          <w:sz w:val="20"/>
          <w:szCs w:val="20"/>
          <w:lang w:val="en-US"/>
        </w:rPr>
        <w:t xml:space="preserve">17 </w:t>
      </w:r>
      <w:r w:rsidRPr="005A41E0">
        <w:rPr>
          <w:rFonts w:asciiTheme="majorHAnsi" w:hAnsiTheme="majorHAnsi"/>
          <w:sz w:val="20"/>
          <w:szCs w:val="20"/>
          <w:lang w:val="en-US"/>
        </w:rPr>
        <w:t xml:space="preserve">and </w:t>
      </w:r>
      <w:r w:rsidR="00785DE6" w:rsidRPr="005A41E0">
        <w:rPr>
          <w:rFonts w:asciiTheme="majorHAnsi" w:hAnsiTheme="majorHAnsi"/>
          <w:sz w:val="20"/>
          <w:szCs w:val="20"/>
          <w:lang w:val="en-US"/>
        </w:rPr>
        <w:t xml:space="preserve">18 </w:t>
      </w:r>
      <w:r w:rsidRPr="005A41E0">
        <w:rPr>
          <w:rFonts w:asciiTheme="majorHAnsi" w:hAnsiTheme="majorHAnsi"/>
          <w:sz w:val="20"/>
          <w:szCs w:val="20"/>
          <w:lang w:val="en-US"/>
        </w:rPr>
        <w:t xml:space="preserve">the IACHR participated in the Third International Meeting of the Euro-Latin American Network for the Prevention of Torture and Institutional Violence, in </w:t>
      </w:r>
      <w:r w:rsidR="00A257F3" w:rsidRPr="005A41E0">
        <w:rPr>
          <w:rFonts w:asciiTheme="majorHAnsi" w:hAnsiTheme="majorHAnsi"/>
          <w:sz w:val="20"/>
          <w:szCs w:val="20"/>
          <w:lang w:val="en-US"/>
        </w:rPr>
        <w:t>San José</w:t>
      </w:r>
      <w:r w:rsidR="00C3640F" w:rsidRPr="005A41E0">
        <w:rPr>
          <w:rFonts w:asciiTheme="majorHAnsi" w:hAnsiTheme="majorHAnsi"/>
          <w:sz w:val="20"/>
          <w:szCs w:val="20"/>
          <w:lang w:val="en-US"/>
        </w:rPr>
        <w:t>,</w:t>
      </w:r>
      <w:r w:rsidR="00A257F3" w:rsidRPr="005A41E0">
        <w:rPr>
          <w:rFonts w:asciiTheme="majorHAnsi" w:hAnsiTheme="majorHAnsi"/>
          <w:sz w:val="20"/>
          <w:szCs w:val="20"/>
          <w:lang w:val="en-US"/>
        </w:rPr>
        <w:t xml:space="preserve"> Costa Rica. </w:t>
      </w:r>
    </w:p>
    <w:p w:rsidR="00F01381" w:rsidRPr="005A41E0" w:rsidRDefault="00F01381" w:rsidP="005A41E0">
      <w:pPr>
        <w:shd w:val="clear" w:color="auto" w:fill="FFFFFF"/>
        <w:jc w:val="both"/>
        <w:rPr>
          <w:rFonts w:asciiTheme="majorHAnsi" w:hAnsiTheme="majorHAnsi"/>
          <w:sz w:val="20"/>
          <w:szCs w:val="20"/>
          <w:lang w:val="en-US"/>
        </w:rPr>
      </w:pPr>
    </w:p>
    <w:p w:rsidR="00F01381" w:rsidRPr="005A41E0" w:rsidRDefault="00EF2D6D"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February </w:t>
      </w:r>
      <w:r w:rsidR="00A257F3" w:rsidRPr="005A41E0">
        <w:rPr>
          <w:rFonts w:asciiTheme="majorHAnsi" w:hAnsiTheme="majorHAnsi"/>
          <w:sz w:val="20"/>
          <w:szCs w:val="20"/>
          <w:lang w:val="en-US"/>
        </w:rPr>
        <w:t xml:space="preserve">18 </w:t>
      </w:r>
      <w:r w:rsidRPr="005A41E0">
        <w:rPr>
          <w:rFonts w:asciiTheme="majorHAnsi" w:hAnsiTheme="majorHAnsi"/>
          <w:sz w:val="20"/>
          <w:szCs w:val="20"/>
          <w:lang w:val="en-US"/>
        </w:rPr>
        <w:t xml:space="preserve">and </w:t>
      </w:r>
      <w:r w:rsidR="00A257F3" w:rsidRPr="005A41E0">
        <w:rPr>
          <w:rFonts w:asciiTheme="majorHAnsi" w:hAnsiTheme="majorHAnsi"/>
          <w:sz w:val="20"/>
          <w:szCs w:val="20"/>
          <w:lang w:val="en-US"/>
        </w:rPr>
        <w:t xml:space="preserve">19 </w:t>
      </w:r>
      <w:r w:rsidRPr="005A41E0">
        <w:rPr>
          <w:rFonts w:asciiTheme="majorHAnsi" w:hAnsiTheme="majorHAnsi"/>
          <w:sz w:val="20"/>
          <w:szCs w:val="20"/>
          <w:lang w:val="en-US"/>
        </w:rPr>
        <w:t xml:space="preserve">Commissioner </w:t>
      </w:r>
      <w:r w:rsidR="00A257F3" w:rsidRPr="005A41E0">
        <w:rPr>
          <w:rFonts w:asciiTheme="majorHAnsi" w:hAnsiTheme="majorHAnsi"/>
          <w:sz w:val="20"/>
          <w:szCs w:val="20"/>
          <w:lang w:val="en-US"/>
        </w:rPr>
        <w:t xml:space="preserve">Paulo Vannuchi </w:t>
      </w:r>
      <w:r w:rsidRPr="005A41E0">
        <w:rPr>
          <w:rFonts w:asciiTheme="majorHAnsi" w:hAnsiTheme="majorHAnsi"/>
          <w:sz w:val="20"/>
          <w:szCs w:val="20"/>
          <w:lang w:val="en-US"/>
        </w:rPr>
        <w:t xml:space="preserve">and staff of the Executive Secretariat participated in a seminar on human rights and business in Panama City, at the initiative of the </w:t>
      </w:r>
      <w:r w:rsidR="00C3640F" w:rsidRPr="005A41E0">
        <w:rPr>
          <w:rFonts w:asciiTheme="majorHAnsi" w:hAnsiTheme="majorHAnsi"/>
          <w:sz w:val="20"/>
          <w:szCs w:val="20"/>
          <w:lang w:val="en-US"/>
        </w:rPr>
        <w:t>Rocky Mountain Mineral Law Foundation</w:t>
      </w:r>
      <w:r w:rsidR="00A257F3" w:rsidRPr="005A41E0">
        <w:rPr>
          <w:rFonts w:asciiTheme="majorHAnsi" w:hAnsiTheme="majorHAnsi"/>
          <w:sz w:val="20"/>
          <w:szCs w:val="20"/>
          <w:lang w:val="en-US"/>
        </w:rPr>
        <w:t>.</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EF2D6D" w:rsidP="00266B8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As part of its practice in the periods of sessions, the IACHR met on April 7 with civil society organizations that attended its 157</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 in Washington, DC. During the meeting the President</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of the IACHR announced the measures adopted to address the procedural backlog, among them the creation of a Group of Analysis of Petitions, which in </w:t>
      </w:r>
      <w:r w:rsidR="00A257F3"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was to analyze all petitions pending review. He also referred to the decision of the IACHR to strengthen the precautionary measures mechanism. He also announced the beginning of the process </w:t>
      </w:r>
      <w:r w:rsidR="00266B8F">
        <w:rPr>
          <w:rFonts w:asciiTheme="majorHAnsi" w:hAnsiTheme="majorHAnsi"/>
          <w:sz w:val="20"/>
          <w:szCs w:val="20"/>
          <w:lang w:val="en-US"/>
        </w:rPr>
        <w:t xml:space="preserve">of selecting </w:t>
      </w:r>
      <w:r w:rsidRPr="005A41E0">
        <w:rPr>
          <w:rFonts w:asciiTheme="majorHAnsi" w:hAnsiTheme="majorHAnsi"/>
          <w:sz w:val="20"/>
          <w:szCs w:val="20"/>
          <w:lang w:val="en-US"/>
        </w:rPr>
        <w:t xml:space="preserve">a new person to head up the Executive Secretariat of the Inter-American Commission. </w:t>
      </w:r>
    </w:p>
    <w:p w:rsidR="00A257F3" w:rsidRPr="005A41E0" w:rsidRDefault="00A257F3" w:rsidP="005A41E0">
      <w:pPr>
        <w:pStyle w:val="ListParagraph"/>
        <w:ind w:firstLine="360"/>
        <w:jc w:val="both"/>
        <w:rPr>
          <w:rFonts w:asciiTheme="majorHAnsi" w:hAnsiTheme="majorHAnsi" w:cs="Calibri"/>
          <w:sz w:val="20"/>
          <w:szCs w:val="20"/>
          <w:lang w:val="en-US"/>
        </w:rPr>
      </w:pPr>
    </w:p>
    <w:p w:rsidR="00A257F3" w:rsidRPr="005A41E0" w:rsidRDefault="00EF2D6D"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June </w:t>
      </w:r>
      <w:r w:rsidR="00A257F3" w:rsidRPr="005A41E0">
        <w:rPr>
          <w:rFonts w:asciiTheme="majorHAnsi" w:hAnsiTheme="majorHAnsi"/>
          <w:sz w:val="20"/>
          <w:szCs w:val="20"/>
          <w:lang w:val="en-US"/>
        </w:rPr>
        <w:t xml:space="preserve">6, </w:t>
      </w:r>
      <w:r w:rsidRPr="005A41E0">
        <w:rPr>
          <w:rFonts w:asciiTheme="majorHAnsi" w:hAnsiTheme="majorHAnsi"/>
          <w:sz w:val="20"/>
          <w:szCs w:val="20"/>
          <w:lang w:val="en-US"/>
        </w:rPr>
        <w:t>in the context of the 158</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 of the IACHR in </w:t>
      </w:r>
      <w:r w:rsidR="00A257F3" w:rsidRPr="005A41E0">
        <w:rPr>
          <w:rFonts w:asciiTheme="majorHAnsi" w:hAnsiTheme="majorHAnsi"/>
          <w:sz w:val="20"/>
          <w:szCs w:val="20"/>
          <w:lang w:val="en-US"/>
        </w:rPr>
        <w:t xml:space="preserve">Chile, </w:t>
      </w:r>
      <w:r w:rsidRPr="005A41E0">
        <w:rPr>
          <w:rFonts w:asciiTheme="majorHAnsi" w:hAnsiTheme="majorHAnsi"/>
          <w:sz w:val="20"/>
          <w:szCs w:val="20"/>
          <w:lang w:val="en-US"/>
        </w:rPr>
        <w:t>the IACHR met with Chilean civil society organizations for the purpose of receiving information on human rights in the country.</w:t>
      </w:r>
      <w:r w:rsidR="00A257F3" w:rsidRPr="005A41E0">
        <w:rPr>
          <w:rFonts w:asciiTheme="majorHAnsi" w:hAnsiTheme="majorHAnsi"/>
          <w:sz w:val="20"/>
          <w:szCs w:val="20"/>
          <w:lang w:val="en-US"/>
        </w:rPr>
        <w:t xml:space="preserve">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EF2D6D" w:rsidP="00266B8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lastRenderedPageBreak/>
        <w:t xml:space="preserve">From June </w:t>
      </w:r>
      <w:r w:rsidR="00A257F3" w:rsidRPr="005A41E0">
        <w:rPr>
          <w:rFonts w:asciiTheme="majorHAnsi" w:hAnsiTheme="majorHAnsi"/>
          <w:sz w:val="20"/>
          <w:szCs w:val="20"/>
          <w:lang w:val="en-US"/>
        </w:rPr>
        <w:t xml:space="preserve">14 </w:t>
      </w:r>
      <w:r w:rsidRPr="005A41E0">
        <w:rPr>
          <w:rFonts w:asciiTheme="majorHAnsi" w:hAnsiTheme="majorHAnsi"/>
          <w:sz w:val="20"/>
          <w:szCs w:val="20"/>
          <w:lang w:val="en-US"/>
        </w:rPr>
        <w:t xml:space="preserve">to </w:t>
      </w:r>
      <w:r w:rsidR="00C3640F" w:rsidRPr="005A41E0">
        <w:rPr>
          <w:rFonts w:asciiTheme="majorHAnsi" w:hAnsiTheme="majorHAnsi"/>
          <w:sz w:val="20"/>
          <w:szCs w:val="20"/>
          <w:lang w:val="en-US"/>
        </w:rPr>
        <w:t xml:space="preserve">17 </w:t>
      </w:r>
      <w:r w:rsidRPr="005A41E0">
        <w:rPr>
          <w:rFonts w:asciiTheme="majorHAnsi" w:hAnsiTheme="majorHAnsi"/>
          <w:sz w:val="20"/>
          <w:szCs w:val="20"/>
          <w:lang w:val="en-US"/>
        </w:rPr>
        <w:t xml:space="preserve">the Assistant Executive Secretary traveled to Brussels </w:t>
      </w:r>
      <w:r w:rsidR="00266B8F">
        <w:rPr>
          <w:rFonts w:asciiTheme="majorHAnsi" w:hAnsiTheme="majorHAnsi"/>
          <w:sz w:val="20"/>
          <w:szCs w:val="20"/>
          <w:lang w:val="en-US"/>
        </w:rPr>
        <w:t xml:space="preserve">with support from </w:t>
      </w:r>
      <w:r w:rsidR="00A257F3" w:rsidRPr="005A41E0">
        <w:rPr>
          <w:rFonts w:asciiTheme="majorHAnsi" w:hAnsiTheme="majorHAnsi"/>
          <w:sz w:val="20"/>
          <w:szCs w:val="20"/>
          <w:lang w:val="en-US"/>
        </w:rPr>
        <w:t xml:space="preserve">OXFAM </w:t>
      </w:r>
      <w:r w:rsidRPr="005A41E0">
        <w:rPr>
          <w:rFonts w:asciiTheme="majorHAnsi" w:hAnsiTheme="majorHAnsi"/>
          <w:sz w:val="20"/>
          <w:szCs w:val="20"/>
          <w:lang w:val="en-US"/>
        </w:rPr>
        <w:t>to meet with staff of the European Commission and legislators from the European Parliament</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in the context of the serious financial crisis of the IACHR.</w:t>
      </w:r>
      <w:r w:rsidR="00A257F3" w:rsidRPr="005A41E0">
        <w:rPr>
          <w:rFonts w:asciiTheme="majorHAnsi" w:hAnsiTheme="majorHAnsi"/>
          <w:sz w:val="20"/>
          <w:szCs w:val="20"/>
          <w:lang w:val="en-US"/>
        </w:rPr>
        <w:t xml:space="preserve"> Dur</w:t>
      </w:r>
      <w:r w:rsidRPr="005A41E0">
        <w:rPr>
          <w:rFonts w:asciiTheme="majorHAnsi" w:hAnsiTheme="majorHAnsi"/>
          <w:sz w:val="20"/>
          <w:szCs w:val="20"/>
          <w:lang w:val="en-US"/>
        </w:rPr>
        <w:t>ing that visit the delegation of the IACHR met with the Copenhagen Initiative for Central American and Mexico (</w:t>
      </w:r>
      <w:r w:rsidR="00A257F3" w:rsidRPr="005A41E0">
        <w:rPr>
          <w:rFonts w:asciiTheme="majorHAnsi" w:hAnsiTheme="majorHAnsi"/>
          <w:sz w:val="20"/>
          <w:szCs w:val="20"/>
          <w:lang w:val="en-US"/>
        </w:rPr>
        <w:t>CIFCA</w:t>
      </w:r>
      <w:r w:rsidRPr="005A41E0">
        <w:rPr>
          <w:rFonts w:asciiTheme="majorHAnsi" w:hAnsiTheme="majorHAnsi"/>
          <w:sz w:val="20"/>
          <w:szCs w:val="20"/>
          <w:lang w:val="en-US"/>
        </w:rPr>
        <w:t>)</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a coalition of 33 organizations</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which includes </w:t>
      </w:r>
      <w:r w:rsidR="00A257F3" w:rsidRPr="005A41E0">
        <w:rPr>
          <w:rFonts w:asciiTheme="majorHAnsi" w:hAnsiTheme="majorHAnsi"/>
          <w:sz w:val="20"/>
          <w:szCs w:val="20"/>
          <w:lang w:val="en-US"/>
        </w:rPr>
        <w:t xml:space="preserve">FIAN </w:t>
      </w:r>
      <w:r w:rsidRPr="005A41E0">
        <w:rPr>
          <w:rFonts w:asciiTheme="majorHAnsi" w:hAnsiTheme="majorHAnsi"/>
          <w:sz w:val="20"/>
          <w:szCs w:val="20"/>
          <w:lang w:val="en-US"/>
        </w:rPr>
        <w:t xml:space="preserve">and </w:t>
      </w:r>
      <w:r w:rsidR="00A257F3" w:rsidRPr="005A41E0">
        <w:rPr>
          <w:rFonts w:asciiTheme="majorHAnsi" w:hAnsiTheme="majorHAnsi"/>
          <w:sz w:val="20"/>
          <w:szCs w:val="20"/>
          <w:lang w:val="en-US"/>
        </w:rPr>
        <w:t xml:space="preserve">OXFAM, </w:t>
      </w:r>
      <w:r w:rsidR="0069694C" w:rsidRPr="005A41E0">
        <w:rPr>
          <w:rFonts w:asciiTheme="majorHAnsi" w:hAnsiTheme="majorHAnsi"/>
          <w:sz w:val="20"/>
          <w:szCs w:val="20"/>
          <w:lang w:val="en-US"/>
        </w:rPr>
        <w:t xml:space="preserve">with the aim of discussing the situation of the IACHR and strengthening strategic partnerships.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69694C" w:rsidP="00266B8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June </w:t>
      </w:r>
      <w:r w:rsidR="00A257F3" w:rsidRPr="005A41E0">
        <w:rPr>
          <w:rFonts w:asciiTheme="majorHAnsi" w:hAnsiTheme="majorHAnsi"/>
          <w:sz w:val="20"/>
          <w:szCs w:val="20"/>
          <w:lang w:val="en-US"/>
        </w:rPr>
        <w:t xml:space="preserve">22, </w:t>
      </w:r>
      <w:r w:rsidRPr="005A41E0">
        <w:rPr>
          <w:rFonts w:asciiTheme="majorHAnsi" w:hAnsiTheme="majorHAnsi"/>
          <w:sz w:val="20"/>
          <w:szCs w:val="20"/>
          <w:lang w:val="en-US"/>
        </w:rPr>
        <w:t xml:space="preserve">the European </w:t>
      </w:r>
      <w:r w:rsidR="00266B8F">
        <w:rPr>
          <w:rFonts w:asciiTheme="majorHAnsi" w:hAnsiTheme="majorHAnsi"/>
          <w:sz w:val="20"/>
          <w:szCs w:val="20"/>
          <w:lang w:val="en-US"/>
        </w:rPr>
        <w:t xml:space="preserve">Union </w:t>
      </w:r>
      <w:r w:rsidRPr="005A41E0">
        <w:rPr>
          <w:rFonts w:asciiTheme="majorHAnsi" w:hAnsiTheme="majorHAnsi"/>
          <w:sz w:val="20"/>
          <w:szCs w:val="20"/>
          <w:lang w:val="en-US"/>
        </w:rPr>
        <w:t xml:space="preserve">Agency for Fundamental Rights invited the IACHR to participate in the Forum on Fundamental Rights sponsored by the President of </w:t>
      </w:r>
      <w:r w:rsidR="00A257F3" w:rsidRPr="005A41E0">
        <w:rPr>
          <w:rFonts w:asciiTheme="majorHAnsi" w:hAnsiTheme="majorHAnsi"/>
          <w:sz w:val="20"/>
          <w:szCs w:val="20"/>
          <w:lang w:val="en-US"/>
        </w:rPr>
        <w:t xml:space="preserve">Austria, </w:t>
      </w:r>
      <w:r w:rsidRPr="005A41E0">
        <w:rPr>
          <w:rFonts w:asciiTheme="majorHAnsi" w:hAnsiTheme="majorHAnsi"/>
          <w:sz w:val="20"/>
          <w:szCs w:val="20"/>
          <w:lang w:val="en-US"/>
        </w:rPr>
        <w:t xml:space="preserve">with the aim of engaging in dialogue on three fundamental topics: inclusion, protection for refugees, and the </w:t>
      </w:r>
      <w:r w:rsidR="00A257F3" w:rsidRPr="005A41E0">
        <w:rPr>
          <w:rFonts w:asciiTheme="majorHAnsi" w:hAnsiTheme="majorHAnsi"/>
          <w:sz w:val="20"/>
          <w:szCs w:val="20"/>
          <w:lang w:val="en-US"/>
        </w:rPr>
        <w:t>digital</w:t>
      </w:r>
      <w:r w:rsidRPr="005A41E0">
        <w:rPr>
          <w:rFonts w:asciiTheme="majorHAnsi" w:hAnsiTheme="majorHAnsi"/>
          <w:sz w:val="20"/>
          <w:szCs w:val="20"/>
          <w:lang w:val="en-US"/>
        </w:rPr>
        <w:t xml:space="preserve"> era</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President of the Inter-American Commission participated in this dialogue and met, among others, with </w:t>
      </w:r>
      <w:r w:rsidR="00A257F3" w:rsidRPr="005A41E0">
        <w:rPr>
          <w:rFonts w:asciiTheme="majorHAnsi" w:hAnsiTheme="majorHAnsi"/>
          <w:sz w:val="20"/>
          <w:szCs w:val="20"/>
          <w:lang w:val="en-US"/>
        </w:rPr>
        <w:t xml:space="preserve">Michael O'Flaherty, Director </w:t>
      </w:r>
      <w:r w:rsidRPr="005A41E0">
        <w:rPr>
          <w:rFonts w:asciiTheme="majorHAnsi" w:hAnsiTheme="majorHAnsi"/>
          <w:sz w:val="20"/>
          <w:szCs w:val="20"/>
          <w:lang w:val="en-US"/>
        </w:rPr>
        <w:t xml:space="preserve">of the Agency for Fundamental Rights, with whom he discussed the possibility of a visit to the IACHR in March 2017, and </w:t>
      </w:r>
      <w:r w:rsidR="00A257F3" w:rsidRPr="005A41E0">
        <w:rPr>
          <w:rFonts w:asciiTheme="majorHAnsi" w:hAnsiTheme="majorHAnsi"/>
          <w:sz w:val="20"/>
          <w:szCs w:val="20"/>
          <w:lang w:val="en-US"/>
        </w:rPr>
        <w:t xml:space="preserve">Paul d'Auchamp, </w:t>
      </w:r>
      <w:r w:rsidRPr="005A41E0">
        <w:rPr>
          <w:rFonts w:asciiTheme="majorHAnsi" w:hAnsiTheme="majorHAnsi"/>
          <w:sz w:val="20"/>
          <w:szCs w:val="20"/>
          <w:lang w:val="en-US"/>
        </w:rPr>
        <w:t xml:space="preserve">Deputy Regional Representative for Europe of the OHCHR.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69694C" w:rsidP="00266B8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July </w:t>
      </w:r>
      <w:r w:rsidR="00A257F3" w:rsidRPr="005A41E0">
        <w:rPr>
          <w:rFonts w:asciiTheme="majorHAnsi" w:hAnsiTheme="majorHAnsi"/>
          <w:sz w:val="20"/>
          <w:szCs w:val="20"/>
          <w:lang w:val="en-US"/>
        </w:rPr>
        <w:t>25, Open Society Justice Initiative, Due Process of Law Foundation (DPLF)</w:t>
      </w:r>
      <w:r w:rsidRPr="005A41E0">
        <w:rPr>
          <w:rFonts w:asciiTheme="majorHAnsi" w:hAnsiTheme="majorHAnsi"/>
          <w:sz w:val="20"/>
          <w:szCs w:val="20"/>
          <w:lang w:val="en-US"/>
        </w:rPr>
        <w:t xml:space="preserve">, and the Center for Justice and International Law (CEJIL) organized a civil society dialogue with the finalists in the process of hiring the new Executive Secretary. </w:t>
      </w:r>
    </w:p>
    <w:p w:rsidR="00F01381" w:rsidRPr="005A41E0" w:rsidRDefault="00F01381" w:rsidP="005A41E0">
      <w:pPr>
        <w:pStyle w:val="ListParagraph"/>
        <w:shd w:val="clear" w:color="auto" w:fill="FFFFFF"/>
        <w:ind w:left="720"/>
        <w:jc w:val="both"/>
        <w:rPr>
          <w:rFonts w:asciiTheme="majorHAnsi" w:hAnsiTheme="majorHAnsi"/>
          <w:sz w:val="20"/>
          <w:szCs w:val="20"/>
          <w:lang w:val="en-US"/>
        </w:rPr>
      </w:pPr>
    </w:p>
    <w:p w:rsidR="00A257F3" w:rsidRPr="005A41E0" w:rsidRDefault="0069694C"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September </w:t>
      </w:r>
      <w:r w:rsidR="00A257F3" w:rsidRPr="005A41E0">
        <w:rPr>
          <w:rFonts w:asciiTheme="majorHAnsi" w:hAnsiTheme="majorHAnsi"/>
          <w:sz w:val="20"/>
          <w:szCs w:val="20"/>
          <w:lang w:val="en-US"/>
        </w:rPr>
        <w:t xml:space="preserve">27, </w:t>
      </w:r>
      <w:r w:rsidRPr="005A41E0">
        <w:rPr>
          <w:rFonts w:asciiTheme="majorHAnsi" w:hAnsiTheme="majorHAnsi"/>
          <w:sz w:val="20"/>
          <w:szCs w:val="20"/>
          <w:lang w:val="en-US"/>
        </w:rPr>
        <w:t>the Executive Secretary held a conference with a coalition of human rights organizations from the hemisphere on regional issues and on the agenda of the IACHR</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announced the preparation of the Strategic Plan for </w:t>
      </w:r>
      <w:r w:rsidR="00A257F3" w:rsidRPr="005A41E0">
        <w:rPr>
          <w:rFonts w:asciiTheme="majorHAnsi" w:hAnsiTheme="majorHAnsi"/>
          <w:sz w:val="20"/>
          <w:szCs w:val="20"/>
          <w:lang w:val="en-US"/>
        </w:rPr>
        <w:t xml:space="preserve">2017-2020. </w:t>
      </w:r>
    </w:p>
    <w:p w:rsidR="00F01381" w:rsidRPr="005A41E0" w:rsidRDefault="00F01381" w:rsidP="005A41E0">
      <w:pPr>
        <w:shd w:val="clear" w:color="auto" w:fill="FFFFFF"/>
        <w:jc w:val="both"/>
        <w:rPr>
          <w:rFonts w:asciiTheme="majorHAnsi" w:hAnsiTheme="majorHAnsi"/>
          <w:sz w:val="20"/>
          <w:szCs w:val="20"/>
          <w:lang w:val="en-US"/>
        </w:rPr>
      </w:pPr>
    </w:p>
    <w:p w:rsidR="00A257F3" w:rsidRPr="005A41E0" w:rsidRDefault="0069694C"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December </w:t>
      </w:r>
      <w:r w:rsidR="00A257F3" w:rsidRPr="005A41E0">
        <w:rPr>
          <w:rFonts w:asciiTheme="majorHAnsi" w:hAnsiTheme="majorHAnsi"/>
          <w:sz w:val="20"/>
          <w:szCs w:val="20"/>
          <w:lang w:val="en-US"/>
        </w:rPr>
        <w:t>1</w:t>
      </w:r>
      <w:r w:rsidRPr="005A41E0">
        <w:rPr>
          <w:rFonts w:asciiTheme="majorHAnsi" w:hAnsiTheme="majorHAnsi"/>
          <w:sz w:val="20"/>
          <w:szCs w:val="20"/>
          <w:lang w:val="en-US"/>
        </w:rPr>
        <w:t xml:space="preserve">, in the context of the </w:t>
      </w:r>
      <w:r w:rsidR="00A257F3" w:rsidRPr="005A41E0">
        <w:rPr>
          <w:rFonts w:asciiTheme="majorHAnsi" w:hAnsiTheme="majorHAnsi"/>
          <w:sz w:val="20"/>
          <w:szCs w:val="20"/>
          <w:lang w:val="en-US"/>
        </w:rPr>
        <w:t>159</w:t>
      </w:r>
      <w:r w:rsidRPr="005A41E0">
        <w:rPr>
          <w:rFonts w:asciiTheme="majorHAnsi" w:hAnsiTheme="majorHAnsi"/>
          <w:sz w:val="20"/>
          <w:szCs w:val="20"/>
          <w:vertAlign w:val="superscript"/>
          <w:lang w:val="en-US"/>
        </w:rPr>
        <w:t>th</w:t>
      </w:r>
      <w:r w:rsidRPr="005A41E0">
        <w:rPr>
          <w:rFonts w:asciiTheme="majorHAnsi" w:hAnsiTheme="majorHAnsi"/>
          <w:sz w:val="20"/>
          <w:szCs w:val="20"/>
          <w:lang w:val="en-US"/>
        </w:rPr>
        <w:t xml:space="preserve"> period of sessions in Panama</w:t>
      </w:r>
      <w:r w:rsidR="00A257F3" w:rsidRPr="005A41E0">
        <w:rPr>
          <w:rFonts w:asciiTheme="majorHAnsi" w:hAnsiTheme="majorHAnsi"/>
          <w:sz w:val="20"/>
          <w:szCs w:val="20"/>
          <w:lang w:val="en-US"/>
        </w:rPr>
        <w:t xml:space="preserve">, </w:t>
      </w:r>
      <w:r w:rsidRPr="005A41E0">
        <w:rPr>
          <w:rFonts w:asciiTheme="majorHAnsi" w:hAnsiTheme="majorHAnsi"/>
          <w:sz w:val="20"/>
          <w:szCs w:val="20"/>
          <w:lang w:val="en-US"/>
        </w:rPr>
        <w:t>the IACHR held a meeting with Panamanian organizations for the purpose of receiving information on the situation of human rights in the country</w:t>
      </w:r>
      <w:r w:rsidR="00763893" w:rsidRPr="005A41E0">
        <w:rPr>
          <w:rFonts w:asciiTheme="majorHAnsi" w:hAnsiTheme="majorHAnsi"/>
          <w:sz w:val="20"/>
          <w:szCs w:val="20"/>
          <w:lang w:val="en-US"/>
        </w:rPr>
        <w:t xml:space="preserve">. </w:t>
      </w:r>
      <w:r w:rsidR="00456DDA" w:rsidRPr="005A41E0">
        <w:rPr>
          <w:rFonts w:asciiTheme="majorHAnsi" w:hAnsiTheme="majorHAnsi"/>
          <w:sz w:val="20"/>
          <w:szCs w:val="20"/>
          <w:lang w:val="en-US"/>
        </w:rPr>
        <w:t xml:space="preserve">It also met with civil society organizations from the entire region with the objective of sharing information about its plans to draw up its Strategic Plan. On December 4, the IACHR met with organizations of the coalition of human rights organizations, with the same objective of sharing the plan for producing the Strategic Plan and beginning the respective consultations. </w:t>
      </w:r>
    </w:p>
    <w:p w:rsidR="0005725D" w:rsidRPr="005A41E0" w:rsidRDefault="0005725D" w:rsidP="005A41E0">
      <w:pPr>
        <w:rPr>
          <w:rFonts w:asciiTheme="majorHAnsi" w:hAnsiTheme="majorHAnsi"/>
          <w:b/>
          <w:sz w:val="20"/>
          <w:szCs w:val="20"/>
          <w:lang w:val="en-US"/>
        </w:rPr>
      </w:pPr>
    </w:p>
    <w:p w:rsidR="00A257F3" w:rsidRPr="005A41E0" w:rsidRDefault="00456DDA" w:rsidP="005A41E0">
      <w:pPr>
        <w:numPr>
          <w:ilvl w:val="0"/>
          <w:numId w:val="36"/>
        </w:numPr>
        <w:ind w:left="1440" w:hanging="720"/>
        <w:rPr>
          <w:rFonts w:asciiTheme="majorHAnsi" w:hAnsiTheme="majorHAnsi"/>
          <w:b/>
          <w:sz w:val="20"/>
          <w:szCs w:val="20"/>
          <w:lang w:val="en-US"/>
        </w:rPr>
      </w:pPr>
      <w:r w:rsidRPr="005A41E0">
        <w:rPr>
          <w:rFonts w:asciiTheme="majorHAnsi" w:hAnsiTheme="majorHAnsi"/>
          <w:b/>
          <w:sz w:val="20"/>
          <w:szCs w:val="20"/>
          <w:lang w:val="en-US"/>
        </w:rPr>
        <w:t>Agreement</w:t>
      </w:r>
      <w:r w:rsidR="00772BF8">
        <w:rPr>
          <w:rFonts w:asciiTheme="majorHAnsi" w:hAnsiTheme="majorHAnsi"/>
          <w:b/>
          <w:sz w:val="20"/>
          <w:szCs w:val="20"/>
          <w:lang w:val="en-US"/>
        </w:rPr>
        <w:t>s</w:t>
      </w:r>
      <w:r w:rsidRPr="005A41E0">
        <w:rPr>
          <w:rFonts w:asciiTheme="majorHAnsi" w:hAnsiTheme="majorHAnsi"/>
          <w:b/>
          <w:sz w:val="20"/>
          <w:szCs w:val="20"/>
          <w:lang w:val="en-US"/>
        </w:rPr>
        <w:t xml:space="preserve"> and memoranda of understanding signed during the year </w:t>
      </w:r>
    </w:p>
    <w:p w:rsidR="00A257F3" w:rsidRPr="005A41E0" w:rsidRDefault="00A257F3" w:rsidP="005A41E0">
      <w:pPr>
        <w:jc w:val="both"/>
        <w:rPr>
          <w:rFonts w:asciiTheme="majorHAnsi" w:hAnsiTheme="majorHAnsi"/>
          <w:sz w:val="20"/>
          <w:szCs w:val="20"/>
          <w:lang w:val="en-US"/>
        </w:rPr>
      </w:pPr>
    </w:p>
    <w:p w:rsidR="00A257F3" w:rsidRPr="005A41E0" w:rsidRDefault="00456DDA"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During </w:t>
      </w:r>
      <w:r w:rsidR="00A257F3" w:rsidRPr="005A41E0">
        <w:rPr>
          <w:rFonts w:asciiTheme="majorHAnsi" w:hAnsiTheme="majorHAnsi"/>
          <w:sz w:val="20"/>
          <w:szCs w:val="20"/>
          <w:lang w:val="en-US"/>
        </w:rPr>
        <w:t xml:space="preserve">2016 </w:t>
      </w:r>
      <w:r w:rsidRPr="005A41E0">
        <w:rPr>
          <w:rFonts w:asciiTheme="majorHAnsi" w:hAnsiTheme="majorHAnsi"/>
          <w:sz w:val="20"/>
          <w:szCs w:val="20"/>
          <w:lang w:val="en-US"/>
        </w:rPr>
        <w:t>the following agreements and memoranda of understanding were signed</w:t>
      </w:r>
      <w:r w:rsidR="00A257F3" w:rsidRPr="005A41E0">
        <w:rPr>
          <w:rFonts w:asciiTheme="majorHAnsi" w:hAnsiTheme="majorHAnsi"/>
          <w:sz w:val="20"/>
          <w:szCs w:val="20"/>
          <w:lang w:val="en-US"/>
        </w:rPr>
        <w:t>:</w:t>
      </w:r>
    </w:p>
    <w:p w:rsidR="00A257F3" w:rsidRPr="005A41E0" w:rsidRDefault="00A257F3" w:rsidP="005A41E0">
      <w:pPr>
        <w:jc w:val="center"/>
        <w:rPr>
          <w:rFonts w:asciiTheme="majorHAnsi" w:hAnsiTheme="majorHAnsi"/>
          <w:sz w:val="20"/>
          <w:szCs w:val="20"/>
          <w:lang w:val="en-US"/>
        </w:rPr>
      </w:pPr>
    </w:p>
    <w:tbl>
      <w:tblPr>
        <w:tblStyle w:val="LightShading-Accent3"/>
        <w:tblW w:w="0" w:type="auto"/>
        <w:jc w:val="center"/>
        <w:tblLook w:val="0420" w:firstRow="1" w:lastRow="0" w:firstColumn="0" w:lastColumn="0" w:noHBand="0" w:noVBand="1"/>
      </w:tblPr>
      <w:tblGrid>
        <w:gridCol w:w="4068"/>
        <w:gridCol w:w="1170"/>
        <w:gridCol w:w="4338"/>
      </w:tblGrid>
      <w:tr w:rsidR="00A257F3" w:rsidRPr="005A41E0" w:rsidTr="007C3F7C">
        <w:trPr>
          <w:cnfStyle w:val="100000000000" w:firstRow="1" w:lastRow="0" w:firstColumn="0" w:lastColumn="0" w:oddVBand="0" w:evenVBand="0" w:oddHBand="0" w:evenHBand="0" w:firstRowFirstColumn="0" w:firstRowLastColumn="0" w:lastRowFirstColumn="0" w:lastRowLastColumn="0"/>
          <w:trHeight w:val="315"/>
          <w:jc w:val="center"/>
        </w:trPr>
        <w:tc>
          <w:tcPr>
            <w:tcW w:w="4068" w:type="dxa"/>
            <w:vAlign w:val="center"/>
          </w:tcPr>
          <w:p w:rsidR="00A257F3" w:rsidRPr="005A41E0" w:rsidRDefault="00456DDA" w:rsidP="005A41E0">
            <w:pPr>
              <w:spacing w:before="60" w:after="60"/>
              <w:jc w:val="center"/>
              <w:rPr>
                <w:rFonts w:asciiTheme="majorHAnsi" w:hAnsiTheme="majorHAnsi"/>
                <w:color w:val="000000"/>
                <w:sz w:val="20"/>
                <w:szCs w:val="20"/>
                <w:lang w:val="en-US"/>
              </w:rPr>
            </w:pPr>
            <w:r w:rsidRPr="005A41E0">
              <w:rPr>
                <w:rFonts w:asciiTheme="majorHAnsi" w:hAnsiTheme="majorHAnsi"/>
                <w:color w:val="000000"/>
                <w:sz w:val="20"/>
                <w:szCs w:val="20"/>
                <w:lang w:val="en-US"/>
              </w:rPr>
              <w:t>Institution</w:t>
            </w:r>
          </w:p>
        </w:tc>
        <w:tc>
          <w:tcPr>
            <w:tcW w:w="1170" w:type="dxa"/>
            <w:vAlign w:val="center"/>
          </w:tcPr>
          <w:p w:rsidR="00A257F3" w:rsidRPr="005A41E0" w:rsidRDefault="00456DDA" w:rsidP="005A41E0">
            <w:pPr>
              <w:spacing w:before="60" w:after="60"/>
              <w:jc w:val="center"/>
              <w:rPr>
                <w:rFonts w:asciiTheme="majorHAnsi" w:hAnsiTheme="majorHAnsi"/>
                <w:color w:val="000000"/>
                <w:sz w:val="20"/>
                <w:szCs w:val="20"/>
                <w:lang w:val="en-US"/>
              </w:rPr>
            </w:pPr>
            <w:r w:rsidRPr="005A41E0">
              <w:rPr>
                <w:rFonts w:asciiTheme="majorHAnsi" w:hAnsiTheme="majorHAnsi"/>
                <w:color w:val="000000"/>
                <w:sz w:val="20"/>
                <w:szCs w:val="20"/>
                <w:lang w:val="en-US"/>
              </w:rPr>
              <w:t>Date</w:t>
            </w:r>
          </w:p>
        </w:tc>
        <w:tc>
          <w:tcPr>
            <w:tcW w:w="4338" w:type="dxa"/>
            <w:vAlign w:val="center"/>
          </w:tcPr>
          <w:p w:rsidR="00A257F3" w:rsidRPr="005A41E0" w:rsidRDefault="00456DDA" w:rsidP="005A41E0">
            <w:pPr>
              <w:spacing w:before="60" w:after="60"/>
              <w:jc w:val="center"/>
              <w:rPr>
                <w:rFonts w:asciiTheme="majorHAnsi" w:hAnsiTheme="majorHAnsi"/>
                <w:color w:val="000000"/>
                <w:sz w:val="20"/>
                <w:szCs w:val="20"/>
                <w:lang w:val="en-US"/>
              </w:rPr>
            </w:pPr>
            <w:r w:rsidRPr="005A41E0">
              <w:rPr>
                <w:rFonts w:asciiTheme="majorHAnsi" w:hAnsiTheme="majorHAnsi"/>
                <w:color w:val="000000"/>
                <w:sz w:val="20"/>
                <w:szCs w:val="20"/>
                <w:lang w:val="en-US"/>
              </w:rPr>
              <w:t>G</w:t>
            </w:r>
            <w:r w:rsidR="00A257F3" w:rsidRPr="005A41E0">
              <w:rPr>
                <w:rFonts w:asciiTheme="majorHAnsi" w:hAnsiTheme="majorHAnsi"/>
                <w:color w:val="000000"/>
                <w:sz w:val="20"/>
                <w:szCs w:val="20"/>
                <w:lang w:val="en-US"/>
              </w:rPr>
              <w:t>eneral</w:t>
            </w:r>
            <w:r w:rsidRPr="005A41E0">
              <w:rPr>
                <w:rFonts w:asciiTheme="majorHAnsi" w:hAnsiTheme="majorHAnsi"/>
                <w:color w:val="000000"/>
                <w:sz w:val="20"/>
                <w:szCs w:val="20"/>
                <w:lang w:val="en-US"/>
              </w:rPr>
              <w:t xml:space="preserve"> objective</w:t>
            </w:r>
          </w:p>
        </w:tc>
      </w:tr>
      <w:tr w:rsidR="00A257F3" w:rsidRPr="005A41E0" w:rsidTr="007C3F7C">
        <w:trPr>
          <w:cnfStyle w:val="000000100000" w:firstRow="0" w:lastRow="0" w:firstColumn="0" w:lastColumn="0" w:oddVBand="0" w:evenVBand="0" w:oddHBand="1" w:evenHBand="0" w:firstRowFirstColumn="0" w:firstRowLastColumn="0" w:lastRowFirstColumn="0" w:lastRowLastColumn="0"/>
          <w:jc w:val="center"/>
        </w:trPr>
        <w:tc>
          <w:tcPr>
            <w:tcW w:w="4068" w:type="dxa"/>
          </w:tcPr>
          <w:p w:rsidR="00A257F3" w:rsidRPr="005A41E0" w:rsidRDefault="00456DDA" w:rsidP="005A41E0">
            <w:pPr>
              <w:spacing w:after="60"/>
              <w:rPr>
                <w:rFonts w:asciiTheme="majorHAnsi" w:hAnsiTheme="majorHAnsi"/>
                <w:color w:val="000000"/>
                <w:sz w:val="20"/>
                <w:szCs w:val="20"/>
                <w:lang w:val="en-US"/>
              </w:rPr>
            </w:pPr>
            <w:r w:rsidRPr="005A41E0">
              <w:rPr>
                <w:rFonts w:asciiTheme="majorHAnsi" w:hAnsiTheme="majorHAnsi"/>
                <w:color w:val="000000"/>
                <w:sz w:val="20"/>
                <w:szCs w:val="20"/>
                <w:lang w:val="en-US"/>
              </w:rPr>
              <w:t xml:space="preserve">Pan Amazon </w:t>
            </w:r>
            <w:r w:rsidR="00A257F3" w:rsidRPr="005A41E0">
              <w:rPr>
                <w:rFonts w:asciiTheme="majorHAnsi" w:hAnsiTheme="majorHAnsi"/>
                <w:color w:val="000000"/>
                <w:sz w:val="20"/>
                <w:szCs w:val="20"/>
                <w:lang w:val="en-US"/>
              </w:rPr>
              <w:t>Ec</w:t>
            </w:r>
            <w:r w:rsidRPr="005A41E0">
              <w:rPr>
                <w:rFonts w:asciiTheme="majorHAnsi" w:hAnsiTheme="majorHAnsi"/>
                <w:color w:val="000000"/>
                <w:sz w:val="20"/>
                <w:szCs w:val="20"/>
                <w:lang w:val="en-US"/>
              </w:rPr>
              <w:t>c</w:t>
            </w:r>
            <w:r w:rsidR="00A257F3" w:rsidRPr="005A41E0">
              <w:rPr>
                <w:rFonts w:asciiTheme="majorHAnsi" w:hAnsiTheme="majorHAnsi"/>
                <w:color w:val="000000"/>
                <w:sz w:val="20"/>
                <w:szCs w:val="20"/>
                <w:lang w:val="en-US"/>
              </w:rPr>
              <w:t xml:space="preserve">lesial </w:t>
            </w:r>
            <w:r w:rsidRPr="005A41E0">
              <w:rPr>
                <w:rFonts w:asciiTheme="majorHAnsi" w:hAnsiTheme="majorHAnsi"/>
                <w:color w:val="000000"/>
                <w:sz w:val="20"/>
                <w:szCs w:val="20"/>
                <w:lang w:val="en-US"/>
              </w:rPr>
              <w:t xml:space="preserve">Network </w:t>
            </w:r>
          </w:p>
        </w:tc>
        <w:tc>
          <w:tcPr>
            <w:tcW w:w="1170" w:type="dxa"/>
          </w:tcPr>
          <w:p w:rsidR="00A257F3" w:rsidRPr="005A41E0" w:rsidRDefault="00A257F3" w:rsidP="005A41E0">
            <w:pPr>
              <w:spacing w:after="60"/>
              <w:jc w:val="center"/>
              <w:rPr>
                <w:rFonts w:asciiTheme="majorHAnsi" w:hAnsiTheme="majorHAnsi"/>
                <w:color w:val="000000"/>
                <w:sz w:val="20"/>
                <w:szCs w:val="20"/>
                <w:lang w:val="en-US"/>
              </w:rPr>
            </w:pPr>
            <w:r w:rsidRPr="005A41E0">
              <w:rPr>
                <w:rFonts w:asciiTheme="majorHAnsi" w:hAnsiTheme="majorHAnsi"/>
                <w:color w:val="000000"/>
                <w:sz w:val="20"/>
                <w:szCs w:val="20"/>
                <w:lang w:val="en-US"/>
              </w:rPr>
              <w:t>A</w:t>
            </w:r>
            <w:r w:rsidR="00456DDA" w:rsidRPr="005A41E0">
              <w:rPr>
                <w:rFonts w:asciiTheme="majorHAnsi" w:hAnsiTheme="majorHAnsi"/>
                <w:color w:val="000000"/>
                <w:sz w:val="20"/>
                <w:szCs w:val="20"/>
                <w:lang w:val="en-US"/>
              </w:rPr>
              <w:t xml:space="preserve">ugust </w:t>
            </w:r>
          </w:p>
        </w:tc>
        <w:tc>
          <w:tcPr>
            <w:tcW w:w="4338" w:type="dxa"/>
          </w:tcPr>
          <w:p w:rsidR="00A257F3" w:rsidRPr="005A41E0" w:rsidRDefault="00456DDA" w:rsidP="005A41E0">
            <w:pPr>
              <w:spacing w:after="60"/>
              <w:jc w:val="both"/>
              <w:rPr>
                <w:rFonts w:asciiTheme="majorHAnsi" w:hAnsiTheme="majorHAnsi"/>
                <w:color w:val="000000"/>
                <w:sz w:val="20"/>
                <w:szCs w:val="20"/>
                <w:lang w:val="en-US"/>
              </w:rPr>
            </w:pPr>
            <w:r w:rsidRPr="005A41E0">
              <w:rPr>
                <w:rFonts w:asciiTheme="majorHAnsi" w:hAnsiTheme="majorHAnsi"/>
                <w:color w:val="000000"/>
                <w:sz w:val="20"/>
                <w:szCs w:val="20"/>
                <w:lang w:val="en-US"/>
              </w:rPr>
              <w:t>Institut</w:t>
            </w:r>
            <w:r w:rsidR="00A257F3" w:rsidRPr="005A41E0">
              <w:rPr>
                <w:rFonts w:asciiTheme="majorHAnsi" w:hAnsiTheme="majorHAnsi"/>
                <w:color w:val="000000"/>
                <w:sz w:val="20"/>
                <w:szCs w:val="20"/>
                <w:lang w:val="en-US"/>
              </w:rPr>
              <w:t>ional</w:t>
            </w:r>
            <w:r w:rsidRPr="005A41E0">
              <w:rPr>
                <w:rFonts w:asciiTheme="majorHAnsi" w:hAnsiTheme="majorHAnsi"/>
                <w:color w:val="000000"/>
                <w:sz w:val="20"/>
                <w:szCs w:val="20"/>
                <w:lang w:val="en-US"/>
              </w:rPr>
              <w:t xml:space="preserve"> cooperation</w:t>
            </w:r>
          </w:p>
        </w:tc>
      </w:tr>
      <w:tr w:rsidR="00A257F3" w:rsidRPr="005A41E0" w:rsidTr="007C3F7C">
        <w:trPr>
          <w:jc w:val="center"/>
        </w:trPr>
        <w:tc>
          <w:tcPr>
            <w:tcW w:w="4068" w:type="dxa"/>
          </w:tcPr>
          <w:p w:rsidR="00A257F3" w:rsidRPr="005A41E0" w:rsidRDefault="00456DDA" w:rsidP="005A41E0">
            <w:pPr>
              <w:spacing w:after="60"/>
              <w:rPr>
                <w:rFonts w:asciiTheme="majorHAnsi" w:hAnsiTheme="majorHAnsi"/>
                <w:color w:val="000000"/>
                <w:sz w:val="20"/>
                <w:szCs w:val="20"/>
                <w:lang w:val="en-US"/>
              </w:rPr>
            </w:pPr>
            <w:r w:rsidRPr="005A41E0">
              <w:rPr>
                <w:rFonts w:asciiTheme="majorHAnsi" w:hAnsiTheme="majorHAnsi"/>
                <w:color w:val="000000"/>
                <w:sz w:val="20"/>
                <w:szCs w:val="20"/>
                <w:lang w:val="en-US"/>
              </w:rPr>
              <w:t>Universidad Federal do  Pará</w:t>
            </w:r>
            <w:r w:rsidR="00A257F3" w:rsidRPr="005A41E0">
              <w:rPr>
                <w:rFonts w:asciiTheme="majorHAnsi" w:hAnsiTheme="majorHAnsi"/>
                <w:color w:val="000000"/>
                <w:sz w:val="20"/>
                <w:szCs w:val="20"/>
                <w:lang w:val="en-US"/>
              </w:rPr>
              <w:t xml:space="preserve"> </w:t>
            </w:r>
          </w:p>
        </w:tc>
        <w:tc>
          <w:tcPr>
            <w:tcW w:w="1170" w:type="dxa"/>
          </w:tcPr>
          <w:p w:rsidR="00A257F3" w:rsidRPr="005A41E0" w:rsidRDefault="00456DDA" w:rsidP="005A41E0">
            <w:pPr>
              <w:spacing w:after="60"/>
              <w:jc w:val="center"/>
              <w:rPr>
                <w:rFonts w:asciiTheme="majorHAnsi" w:hAnsiTheme="majorHAnsi"/>
                <w:color w:val="000000"/>
                <w:sz w:val="20"/>
                <w:szCs w:val="20"/>
                <w:lang w:val="en-US"/>
              </w:rPr>
            </w:pPr>
            <w:r w:rsidRPr="005A41E0">
              <w:rPr>
                <w:rFonts w:asciiTheme="majorHAnsi" w:hAnsiTheme="majorHAnsi"/>
                <w:color w:val="000000"/>
                <w:sz w:val="20"/>
                <w:szCs w:val="20"/>
                <w:lang w:val="en-US"/>
              </w:rPr>
              <w:t>August</w:t>
            </w:r>
          </w:p>
        </w:tc>
        <w:tc>
          <w:tcPr>
            <w:tcW w:w="4338" w:type="dxa"/>
          </w:tcPr>
          <w:p w:rsidR="00A257F3" w:rsidRPr="005A41E0" w:rsidRDefault="00456DDA" w:rsidP="005A41E0">
            <w:pPr>
              <w:spacing w:after="60"/>
              <w:jc w:val="both"/>
              <w:rPr>
                <w:rFonts w:asciiTheme="majorHAnsi" w:hAnsiTheme="majorHAnsi"/>
                <w:color w:val="000000"/>
                <w:sz w:val="20"/>
                <w:szCs w:val="20"/>
                <w:lang w:val="en-US"/>
              </w:rPr>
            </w:pPr>
            <w:r w:rsidRPr="005A41E0">
              <w:rPr>
                <w:rFonts w:asciiTheme="majorHAnsi" w:hAnsiTheme="majorHAnsi"/>
                <w:color w:val="000000"/>
                <w:sz w:val="20"/>
                <w:szCs w:val="20"/>
                <w:lang w:val="en-US"/>
              </w:rPr>
              <w:t>Institut</w:t>
            </w:r>
            <w:r w:rsidR="00A257F3" w:rsidRPr="005A41E0">
              <w:rPr>
                <w:rFonts w:asciiTheme="majorHAnsi" w:hAnsiTheme="majorHAnsi"/>
                <w:color w:val="000000"/>
                <w:sz w:val="20"/>
                <w:szCs w:val="20"/>
                <w:lang w:val="en-US"/>
              </w:rPr>
              <w:t xml:space="preserve">ional </w:t>
            </w:r>
            <w:r w:rsidRPr="005A41E0">
              <w:rPr>
                <w:rFonts w:asciiTheme="majorHAnsi" w:hAnsiTheme="majorHAnsi"/>
                <w:color w:val="000000"/>
                <w:sz w:val="20"/>
                <w:szCs w:val="20"/>
                <w:lang w:val="en-US"/>
              </w:rPr>
              <w:t>cooperation</w:t>
            </w:r>
          </w:p>
        </w:tc>
      </w:tr>
      <w:tr w:rsidR="00A257F3" w:rsidRPr="00CB7F52" w:rsidTr="007C3F7C">
        <w:trPr>
          <w:cnfStyle w:val="000000100000" w:firstRow="0" w:lastRow="0" w:firstColumn="0" w:lastColumn="0" w:oddVBand="0" w:evenVBand="0" w:oddHBand="1" w:evenHBand="0" w:firstRowFirstColumn="0" w:firstRowLastColumn="0" w:lastRowFirstColumn="0" w:lastRowLastColumn="0"/>
          <w:jc w:val="center"/>
        </w:trPr>
        <w:tc>
          <w:tcPr>
            <w:tcW w:w="4068" w:type="dxa"/>
          </w:tcPr>
          <w:p w:rsidR="00A257F3" w:rsidRPr="000643A5" w:rsidRDefault="00A257F3" w:rsidP="005A41E0">
            <w:pPr>
              <w:spacing w:after="60"/>
              <w:rPr>
                <w:rFonts w:asciiTheme="majorHAnsi" w:hAnsiTheme="majorHAnsi"/>
                <w:color w:val="000000"/>
                <w:sz w:val="20"/>
                <w:szCs w:val="20"/>
              </w:rPr>
            </w:pPr>
            <w:r w:rsidRPr="000643A5">
              <w:rPr>
                <w:rFonts w:asciiTheme="majorHAnsi" w:hAnsiTheme="majorHAnsi"/>
                <w:color w:val="000000"/>
                <w:sz w:val="20"/>
                <w:szCs w:val="20"/>
              </w:rPr>
              <w:t>Universidad Nacional Autónoma de México (UNAM)</w:t>
            </w:r>
          </w:p>
        </w:tc>
        <w:tc>
          <w:tcPr>
            <w:tcW w:w="1170" w:type="dxa"/>
          </w:tcPr>
          <w:p w:rsidR="00A257F3" w:rsidRPr="005A41E0" w:rsidRDefault="00456DDA" w:rsidP="005A41E0">
            <w:pPr>
              <w:spacing w:after="60"/>
              <w:jc w:val="center"/>
              <w:rPr>
                <w:rFonts w:asciiTheme="majorHAnsi" w:hAnsiTheme="majorHAnsi"/>
                <w:color w:val="000000"/>
                <w:sz w:val="20"/>
                <w:szCs w:val="20"/>
                <w:lang w:val="en-US"/>
              </w:rPr>
            </w:pPr>
            <w:r w:rsidRPr="005A41E0">
              <w:rPr>
                <w:rFonts w:asciiTheme="majorHAnsi" w:hAnsiTheme="majorHAnsi"/>
                <w:color w:val="000000"/>
                <w:sz w:val="20"/>
                <w:szCs w:val="20"/>
                <w:lang w:val="en-US"/>
              </w:rPr>
              <w:t>Dec</w:t>
            </w:r>
            <w:r w:rsidR="00A257F3" w:rsidRPr="005A41E0">
              <w:rPr>
                <w:rFonts w:asciiTheme="majorHAnsi" w:hAnsiTheme="majorHAnsi"/>
                <w:color w:val="000000"/>
                <w:sz w:val="20"/>
                <w:szCs w:val="20"/>
                <w:lang w:val="en-US"/>
              </w:rPr>
              <w:t>emb</w:t>
            </w:r>
            <w:r w:rsidRPr="005A41E0">
              <w:rPr>
                <w:rFonts w:asciiTheme="majorHAnsi" w:hAnsiTheme="majorHAnsi"/>
                <w:color w:val="000000"/>
                <w:sz w:val="20"/>
                <w:szCs w:val="20"/>
                <w:lang w:val="en-US"/>
              </w:rPr>
              <w:t>er</w:t>
            </w:r>
          </w:p>
        </w:tc>
        <w:tc>
          <w:tcPr>
            <w:tcW w:w="4338" w:type="dxa"/>
          </w:tcPr>
          <w:p w:rsidR="00A257F3" w:rsidRPr="005A41E0" w:rsidRDefault="00A257F3" w:rsidP="005A41E0">
            <w:pPr>
              <w:spacing w:after="60"/>
              <w:jc w:val="both"/>
              <w:rPr>
                <w:rFonts w:asciiTheme="majorHAnsi" w:hAnsiTheme="majorHAnsi"/>
                <w:color w:val="000000"/>
                <w:sz w:val="20"/>
                <w:szCs w:val="20"/>
                <w:lang w:val="en-US"/>
              </w:rPr>
            </w:pPr>
            <w:r w:rsidRPr="005A41E0">
              <w:rPr>
                <w:rFonts w:asciiTheme="majorHAnsi" w:hAnsiTheme="majorHAnsi"/>
                <w:color w:val="000000"/>
                <w:sz w:val="20"/>
                <w:szCs w:val="20"/>
                <w:lang w:val="en-US"/>
              </w:rPr>
              <w:t>Ad</w:t>
            </w:r>
            <w:r w:rsidR="00456DDA" w:rsidRPr="005A41E0">
              <w:rPr>
                <w:rFonts w:asciiTheme="majorHAnsi" w:hAnsiTheme="majorHAnsi"/>
                <w:color w:val="000000"/>
                <w:sz w:val="20"/>
                <w:szCs w:val="20"/>
                <w:lang w:val="en-US"/>
              </w:rPr>
              <w:t xml:space="preserve">dendum to General cooperation agreement establishing the participation of a fellow at the IACHR </w:t>
            </w:r>
          </w:p>
        </w:tc>
      </w:tr>
      <w:tr w:rsidR="00A257F3" w:rsidRPr="00CB7F52" w:rsidTr="007C3F7C">
        <w:trPr>
          <w:jc w:val="center"/>
        </w:trPr>
        <w:tc>
          <w:tcPr>
            <w:tcW w:w="4068" w:type="dxa"/>
          </w:tcPr>
          <w:p w:rsidR="00A257F3" w:rsidRPr="005A41E0" w:rsidRDefault="00456DDA" w:rsidP="005A41E0">
            <w:pPr>
              <w:spacing w:after="60"/>
              <w:rPr>
                <w:rFonts w:asciiTheme="majorHAnsi" w:hAnsiTheme="majorHAnsi"/>
                <w:color w:val="000000"/>
                <w:sz w:val="20"/>
                <w:szCs w:val="20"/>
                <w:lang w:val="en-US"/>
              </w:rPr>
            </w:pPr>
            <w:r w:rsidRPr="005A41E0">
              <w:rPr>
                <w:rFonts w:asciiTheme="majorHAnsi" w:hAnsiTheme="majorHAnsi"/>
                <w:color w:val="000000"/>
                <w:sz w:val="20"/>
                <w:szCs w:val="20"/>
                <w:lang w:val="en-US"/>
              </w:rPr>
              <w:t xml:space="preserve">Observatory of the Right to Food in Latin America and the Caribbean </w:t>
            </w:r>
          </w:p>
        </w:tc>
        <w:tc>
          <w:tcPr>
            <w:tcW w:w="1170" w:type="dxa"/>
          </w:tcPr>
          <w:p w:rsidR="00A257F3" w:rsidRPr="005A41E0" w:rsidRDefault="00456DDA" w:rsidP="005A41E0">
            <w:pPr>
              <w:spacing w:after="60"/>
              <w:jc w:val="center"/>
              <w:rPr>
                <w:rFonts w:asciiTheme="majorHAnsi" w:hAnsiTheme="majorHAnsi"/>
                <w:color w:val="000000"/>
                <w:sz w:val="20"/>
                <w:szCs w:val="20"/>
                <w:lang w:val="en-US"/>
              </w:rPr>
            </w:pPr>
            <w:r w:rsidRPr="005A41E0">
              <w:rPr>
                <w:rFonts w:asciiTheme="majorHAnsi" w:hAnsiTheme="majorHAnsi"/>
                <w:color w:val="000000"/>
                <w:sz w:val="20"/>
                <w:szCs w:val="20"/>
                <w:lang w:val="en-US"/>
              </w:rPr>
              <w:t>December</w:t>
            </w:r>
          </w:p>
        </w:tc>
        <w:tc>
          <w:tcPr>
            <w:tcW w:w="4338" w:type="dxa"/>
          </w:tcPr>
          <w:p w:rsidR="00A257F3" w:rsidRPr="005A41E0" w:rsidRDefault="00456DDA" w:rsidP="00772BF8">
            <w:pPr>
              <w:spacing w:after="60"/>
              <w:jc w:val="both"/>
              <w:rPr>
                <w:rFonts w:asciiTheme="majorHAnsi" w:hAnsiTheme="majorHAnsi"/>
                <w:color w:val="000000"/>
                <w:sz w:val="20"/>
                <w:szCs w:val="20"/>
                <w:lang w:val="en-US"/>
              </w:rPr>
            </w:pPr>
            <w:r w:rsidRPr="005A41E0">
              <w:rPr>
                <w:rFonts w:asciiTheme="majorHAnsi" w:hAnsiTheme="majorHAnsi"/>
                <w:color w:val="000000"/>
                <w:sz w:val="20"/>
                <w:szCs w:val="20"/>
                <w:lang w:val="en-US"/>
              </w:rPr>
              <w:t>Institutional cooperation,</w:t>
            </w:r>
            <w:r w:rsidR="00A257F3" w:rsidRPr="005A41E0">
              <w:rPr>
                <w:rFonts w:asciiTheme="majorHAnsi" w:hAnsiTheme="majorHAnsi"/>
                <w:color w:val="000000"/>
                <w:sz w:val="20"/>
                <w:szCs w:val="20"/>
                <w:lang w:val="en-US"/>
              </w:rPr>
              <w:t xml:space="preserve"> </w:t>
            </w:r>
            <w:r w:rsidRPr="005A41E0">
              <w:rPr>
                <w:rFonts w:asciiTheme="majorHAnsi" w:hAnsiTheme="majorHAnsi"/>
                <w:color w:val="000000"/>
                <w:sz w:val="20"/>
                <w:szCs w:val="20"/>
                <w:lang w:val="en-US"/>
              </w:rPr>
              <w:t xml:space="preserve">exchange of information on </w:t>
            </w:r>
            <w:r w:rsidR="00772BF8">
              <w:rPr>
                <w:rFonts w:asciiTheme="majorHAnsi" w:hAnsiTheme="majorHAnsi"/>
                <w:color w:val="000000"/>
                <w:sz w:val="20"/>
                <w:szCs w:val="20"/>
                <w:lang w:val="en-US"/>
              </w:rPr>
              <w:t>f</w:t>
            </w:r>
            <w:r w:rsidRPr="005A41E0">
              <w:rPr>
                <w:rFonts w:asciiTheme="majorHAnsi" w:hAnsiTheme="majorHAnsi"/>
                <w:color w:val="000000"/>
                <w:sz w:val="20"/>
                <w:szCs w:val="20"/>
                <w:lang w:val="en-US"/>
              </w:rPr>
              <w:t xml:space="preserve">ood and promotion activities </w:t>
            </w:r>
          </w:p>
        </w:tc>
      </w:tr>
      <w:tr w:rsidR="00A257F3" w:rsidRPr="00CB7F52" w:rsidTr="007C3F7C">
        <w:trPr>
          <w:cnfStyle w:val="000000100000" w:firstRow="0" w:lastRow="0" w:firstColumn="0" w:lastColumn="0" w:oddVBand="0" w:evenVBand="0" w:oddHBand="1" w:evenHBand="0" w:firstRowFirstColumn="0" w:firstRowLastColumn="0" w:lastRowFirstColumn="0" w:lastRowLastColumn="0"/>
          <w:trHeight w:val="413"/>
          <w:jc w:val="center"/>
        </w:trPr>
        <w:tc>
          <w:tcPr>
            <w:tcW w:w="4068" w:type="dxa"/>
          </w:tcPr>
          <w:p w:rsidR="00A257F3" w:rsidRPr="005A41E0" w:rsidRDefault="00456DDA" w:rsidP="005A41E0">
            <w:pPr>
              <w:spacing w:after="60"/>
              <w:rPr>
                <w:rFonts w:asciiTheme="majorHAnsi" w:hAnsiTheme="majorHAnsi"/>
                <w:color w:val="000000"/>
                <w:sz w:val="20"/>
                <w:szCs w:val="20"/>
                <w:lang w:val="en-US"/>
              </w:rPr>
            </w:pPr>
            <w:r w:rsidRPr="005A41E0">
              <w:rPr>
                <w:rFonts w:asciiTheme="majorHAnsi" w:hAnsiTheme="majorHAnsi"/>
                <w:color w:val="000000"/>
                <w:sz w:val="20"/>
                <w:szCs w:val="20"/>
                <w:lang w:val="en-US"/>
              </w:rPr>
              <w:t xml:space="preserve">Office of the Human Rights Ombudsperson of the Republic of </w:t>
            </w:r>
            <w:r w:rsidR="00A257F3" w:rsidRPr="005A41E0">
              <w:rPr>
                <w:rFonts w:asciiTheme="majorHAnsi" w:hAnsiTheme="majorHAnsi"/>
                <w:color w:val="000000"/>
                <w:sz w:val="20"/>
                <w:szCs w:val="20"/>
                <w:lang w:val="en-US"/>
              </w:rPr>
              <w:t>Panam</w:t>
            </w:r>
            <w:r w:rsidRPr="005A41E0">
              <w:rPr>
                <w:rFonts w:asciiTheme="majorHAnsi" w:hAnsiTheme="majorHAnsi"/>
                <w:color w:val="000000"/>
                <w:sz w:val="20"/>
                <w:szCs w:val="20"/>
                <w:lang w:val="en-US"/>
              </w:rPr>
              <w:t>a</w:t>
            </w:r>
          </w:p>
        </w:tc>
        <w:tc>
          <w:tcPr>
            <w:tcW w:w="1170" w:type="dxa"/>
          </w:tcPr>
          <w:p w:rsidR="00A257F3" w:rsidRPr="005A41E0" w:rsidRDefault="00456DDA" w:rsidP="005A41E0">
            <w:pPr>
              <w:spacing w:after="60"/>
              <w:jc w:val="center"/>
              <w:rPr>
                <w:rFonts w:asciiTheme="majorHAnsi" w:hAnsiTheme="majorHAnsi"/>
                <w:color w:val="000000"/>
                <w:sz w:val="20"/>
                <w:szCs w:val="20"/>
                <w:lang w:val="en-US"/>
              </w:rPr>
            </w:pPr>
            <w:r w:rsidRPr="005A41E0">
              <w:rPr>
                <w:rFonts w:asciiTheme="majorHAnsi" w:hAnsiTheme="majorHAnsi"/>
                <w:color w:val="000000"/>
                <w:sz w:val="20"/>
                <w:szCs w:val="20"/>
                <w:lang w:val="en-US"/>
              </w:rPr>
              <w:t>December</w:t>
            </w:r>
          </w:p>
        </w:tc>
        <w:tc>
          <w:tcPr>
            <w:tcW w:w="4338" w:type="dxa"/>
          </w:tcPr>
          <w:p w:rsidR="00A257F3" w:rsidRPr="005A41E0" w:rsidRDefault="00456DDA" w:rsidP="005A41E0">
            <w:pPr>
              <w:spacing w:after="60"/>
              <w:jc w:val="both"/>
              <w:rPr>
                <w:rFonts w:asciiTheme="majorHAnsi" w:hAnsiTheme="majorHAnsi"/>
                <w:color w:val="000000"/>
                <w:sz w:val="20"/>
                <w:szCs w:val="20"/>
                <w:lang w:val="en-US"/>
              </w:rPr>
            </w:pPr>
            <w:r w:rsidRPr="005A41E0">
              <w:rPr>
                <w:rFonts w:asciiTheme="majorHAnsi" w:hAnsiTheme="majorHAnsi"/>
                <w:color w:val="000000"/>
                <w:sz w:val="20"/>
                <w:szCs w:val="20"/>
                <w:lang w:val="en-US"/>
              </w:rPr>
              <w:t xml:space="preserve">Institutional cooperation and participation of one person as “associate staff” at the IACHR </w:t>
            </w:r>
          </w:p>
        </w:tc>
      </w:tr>
      <w:tr w:rsidR="00A257F3" w:rsidRPr="00CB7F52" w:rsidTr="007C3F7C">
        <w:trPr>
          <w:jc w:val="center"/>
        </w:trPr>
        <w:tc>
          <w:tcPr>
            <w:tcW w:w="4068" w:type="dxa"/>
          </w:tcPr>
          <w:p w:rsidR="00A257F3" w:rsidRPr="005A41E0" w:rsidRDefault="00456DDA" w:rsidP="005A41E0">
            <w:pPr>
              <w:spacing w:after="60"/>
              <w:rPr>
                <w:rFonts w:asciiTheme="majorHAnsi" w:hAnsiTheme="majorHAnsi"/>
                <w:color w:val="000000"/>
                <w:sz w:val="20"/>
                <w:szCs w:val="20"/>
                <w:lang w:val="en-US"/>
              </w:rPr>
            </w:pPr>
            <w:r w:rsidRPr="005A41E0">
              <w:rPr>
                <w:rFonts w:asciiTheme="majorHAnsi" w:hAnsiTheme="majorHAnsi"/>
                <w:color w:val="000000"/>
                <w:sz w:val="20"/>
                <w:szCs w:val="20"/>
                <w:lang w:val="en-US"/>
              </w:rPr>
              <w:t xml:space="preserve">The provincial Public Defense Service of the Province of </w:t>
            </w:r>
            <w:r w:rsidR="00A257F3" w:rsidRPr="005A41E0">
              <w:rPr>
                <w:rFonts w:asciiTheme="majorHAnsi" w:hAnsiTheme="majorHAnsi"/>
                <w:color w:val="000000"/>
                <w:sz w:val="20"/>
                <w:szCs w:val="20"/>
                <w:lang w:val="en-US"/>
              </w:rPr>
              <w:t>Santa Fé</w:t>
            </w:r>
          </w:p>
        </w:tc>
        <w:tc>
          <w:tcPr>
            <w:tcW w:w="1170" w:type="dxa"/>
          </w:tcPr>
          <w:p w:rsidR="00A257F3" w:rsidRPr="005A41E0" w:rsidRDefault="00A257F3" w:rsidP="005A41E0">
            <w:pPr>
              <w:spacing w:after="60"/>
              <w:jc w:val="center"/>
              <w:rPr>
                <w:rFonts w:asciiTheme="majorHAnsi" w:hAnsiTheme="majorHAnsi"/>
                <w:color w:val="000000"/>
                <w:sz w:val="20"/>
                <w:szCs w:val="20"/>
                <w:lang w:val="en-US"/>
              </w:rPr>
            </w:pPr>
            <w:r w:rsidRPr="005A41E0">
              <w:rPr>
                <w:rFonts w:asciiTheme="majorHAnsi" w:hAnsiTheme="majorHAnsi"/>
                <w:color w:val="000000"/>
                <w:sz w:val="20"/>
                <w:szCs w:val="20"/>
                <w:lang w:val="en-US"/>
              </w:rPr>
              <w:t>D</w:t>
            </w:r>
            <w:r w:rsidR="00456DDA" w:rsidRPr="005A41E0">
              <w:rPr>
                <w:rFonts w:asciiTheme="majorHAnsi" w:hAnsiTheme="majorHAnsi"/>
                <w:color w:val="000000"/>
                <w:sz w:val="20"/>
                <w:szCs w:val="20"/>
                <w:lang w:val="en-US"/>
              </w:rPr>
              <w:t xml:space="preserve">ecember </w:t>
            </w:r>
          </w:p>
        </w:tc>
        <w:tc>
          <w:tcPr>
            <w:tcW w:w="4338" w:type="dxa"/>
          </w:tcPr>
          <w:p w:rsidR="00A257F3" w:rsidRPr="005A41E0" w:rsidRDefault="00456DDA" w:rsidP="005A41E0">
            <w:pPr>
              <w:spacing w:after="60"/>
              <w:jc w:val="both"/>
              <w:rPr>
                <w:rFonts w:asciiTheme="majorHAnsi" w:hAnsiTheme="majorHAnsi"/>
                <w:color w:val="000000"/>
                <w:sz w:val="20"/>
                <w:szCs w:val="20"/>
                <w:lang w:val="en-US"/>
              </w:rPr>
            </w:pPr>
            <w:r w:rsidRPr="005A41E0">
              <w:rPr>
                <w:rFonts w:asciiTheme="majorHAnsi" w:hAnsiTheme="majorHAnsi"/>
                <w:color w:val="000000"/>
                <w:sz w:val="20"/>
                <w:szCs w:val="20"/>
                <w:lang w:val="en-US"/>
              </w:rPr>
              <w:t xml:space="preserve">Institutional cooperation and participation of one person as “associate staff” at the IACHR </w:t>
            </w:r>
          </w:p>
        </w:tc>
      </w:tr>
    </w:tbl>
    <w:p w:rsidR="00A257F3" w:rsidRPr="005A41E0" w:rsidRDefault="00A257F3" w:rsidP="005A41E0">
      <w:pPr>
        <w:rPr>
          <w:rFonts w:asciiTheme="majorHAnsi" w:hAnsiTheme="majorHAnsi"/>
          <w:sz w:val="20"/>
          <w:szCs w:val="20"/>
          <w:lang w:val="en-US"/>
        </w:rPr>
      </w:pPr>
    </w:p>
    <w:p w:rsidR="000643A5" w:rsidRDefault="000643A5">
      <w:pPr>
        <w:rPr>
          <w:rFonts w:asciiTheme="majorHAnsi" w:hAnsiTheme="majorHAnsi"/>
          <w:b/>
          <w:sz w:val="22"/>
          <w:szCs w:val="20"/>
          <w:shd w:val="clear" w:color="auto" w:fill="FFFFFF"/>
          <w:lang w:val="en-US"/>
        </w:rPr>
      </w:pPr>
      <w:r>
        <w:rPr>
          <w:lang w:val="en-US"/>
        </w:rPr>
        <w:br w:type="page"/>
      </w:r>
    </w:p>
    <w:p w:rsidR="005D7CC2" w:rsidRPr="005A41E0" w:rsidRDefault="00456DDA" w:rsidP="005A41E0">
      <w:pPr>
        <w:pStyle w:val="Heading1"/>
        <w:rPr>
          <w:lang w:val="en-US"/>
        </w:rPr>
      </w:pPr>
      <w:r w:rsidRPr="005A41E0">
        <w:rPr>
          <w:lang w:val="en-US"/>
        </w:rPr>
        <w:lastRenderedPageBreak/>
        <w:t xml:space="preserve">Human </w:t>
      </w:r>
      <w:r w:rsidR="00901565" w:rsidRPr="005A41E0">
        <w:rPr>
          <w:lang w:val="en-US"/>
        </w:rPr>
        <w:t xml:space="preserve">Rights Promotion Activities </w:t>
      </w:r>
    </w:p>
    <w:p w:rsidR="00A257F3" w:rsidRPr="005A41E0" w:rsidRDefault="00A257F3" w:rsidP="005A41E0">
      <w:pPr>
        <w:rPr>
          <w:rFonts w:asciiTheme="majorHAnsi" w:hAnsiTheme="majorHAnsi"/>
          <w:sz w:val="20"/>
          <w:szCs w:val="20"/>
          <w:lang w:val="en-US"/>
        </w:rPr>
      </w:pPr>
    </w:p>
    <w:p w:rsidR="005D7CC2" w:rsidRPr="005A41E0" w:rsidRDefault="00456DDA" w:rsidP="005A41E0">
      <w:pPr>
        <w:pStyle w:val="Heading3"/>
        <w:keepNext w:val="0"/>
        <w:keepLines w:val="0"/>
        <w:numPr>
          <w:ilvl w:val="0"/>
          <w:numId w:val="27"/>
        </w:numPr>
        <w:spacing w:before="0"/>
        <w:ind w:hanging="720"/>
        <w:jc w:val="both"/>
        <w:rPr>
          <w:sz w:val="20"/>
          <w:szCs w:val="20"/>
          <w:lang w:val="en-US"/>
        </w:rPr>
      </w:pPr>
      <w:r w:rsidRPr="005A41E0">
        <w:rPr>
          <w:sz w:val="20"/>
          <w:szCs w:val="20"/>
          <w:lang w:val="en-US"/>
        </w:rPr>
        <w:t xml:space="preserve">Activities of the Office of the Executive Secretary </w:t>
      </w:r>
    </w:p>
    <w:p w:rsidR="005D7CC2" w:rsidRPr="005A41E0" w:rsidRDefault="005D7CC2" w:rsidP="005A41E0">
      <w:pPr>
        <w:rPr>
          <w:rFonts w:asciiTheme="majorHAnsi" w:hAnsiTheme="majorHAnsi"/>
          <w:sz w:val="20"/>
          <w:szCs w:val="20"/>
          <w:lang w:val="en-US"/>
        </w:rPr>
      </w:pPr>
    </w:p>
    <w:p w:rsidR="001A2A98" w:rsidRPr="005A41E0" w:rsidRDefault="00456DDA"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January </w:t>
      </w:r>
      <w:r w:rsidR="006E2BF4" w:rsidRPr="005A41E0">
        <w:rPr>
          <w:rFonts w:asciiTheme="majorHAnsi" w:hAnsiTheme="majorHAnsi"/>
          <w:sz w:val="20"/>
          <w:szCs w:val="20"/>
          <w:lang w:val="en-US"/>
        </w:rPr>
        <w:t xml:space="preserve">27 </w:t>
      </w:r>
      <w:r w:rsidRPr="005A41E0">
        <w:rPr>
          <w:rFonts w:asciiTheme="majorHAnsi" w:hAnsiTheme="majorHAnsi"/>
          <w:sz w:val="20"/>
          <w:szCs w:val="20"/>
          <w:lang w:val="en-US"/>
        </w:rPr>
        <w:t xml:space="preserve">the Executive Secretary participated as a speaker in the opening and closing sessions of the </w:t>
      </w:r>
      <w:r w:rsidR="001A2A98" w:rsidRPr="005A41E0">
        <w:rPr>
          <w:rFonts w:asciiTheme="majorHAnsi" w:hAnsiTheme="majorHAnsi"/>
          <w:sz w:val="20"/>
          <w:szCs w:val="20"/>
          <w:lang w:val="en-US"/>
        </w:rPr>
        <w:t>“</w:t>
      </w:r>
      <w:r w:rsidRPr="005A41E0">
        <w:rPr>
          <w:rFonts w:asciiTheme="majorHAnsi" w:hAnsiTheme="majorHAnsi"/>
          <w:sz w:val="20"/>
          <w:szCs w:val="20"/>
          <w:lang w:val="en-US"/>
        </w:rPr>
        <w:t>Sixth consultation on the situation of economic, social and cultural rights in the United States and Canada,</w:t>
      </w:r>
      <w:r w:rsidR="001A2A98" w:rsidRPr="005A41E0">
        <w:rPr>
          <w:rFonts w:asciiTheme="majorHAnsi" w:hAnsiTheme="majorHAnsi"/>
          <w:sz w:val="20"/>
          <w:szCs w:val="20"/>
          <w:lang w:val="en-US"/>
        </w:rPr>
        <w:t>”</w:t>
      </w:r>
      <w:r w:rsidR="006E2BF4"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which took place at the headquarters of the IACHR. </w:t>
      </w:r>
    </w:p>
    <w:p w:rsidR="001A2A98" w:rsidRPr="005A41E0" w:rsidRDefault="001A2A98" w:rsidP="005A41E0">
      <w:pPr>
        <w:rPr>
          <w:rFonts w:asciiTheme="majorHAnsi" w:hAnsiTheme="majorHAnsi"/>
          <w:sz w:val="20"/>
          <w:szCs w:val="20"/>
          <w:lang w:val="en-US"/>
        </w:rPr>
      </w:pPr>
    </w:p>
    <w:p w:rsidR="001A2A98" w:rsidRPr="005A41E0" w:rsidRDefault="00456DDA" w:rsidP="005045B2">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February </w:t>
      </w:r>
      <w:r w:rsidR="001A2A98" w:rsidRPr="005A41E0">
        <w:rPr>
          <w:rFonts w:asciiTheme="majorHAnsi" w:hAnsiTheme="majorHAnsi"/>
          <w:sz w:val="20"/>
          <w:szCs w:val="20"/>
          <w:lang w:val="en-US"/>
        </w:rPr>
        <w:t xml:space="preserve">3 </w:t>
      </w:r>
      <w:r w:rsidRPr="005A41E0">
        <w:rPr>
          <w:rFonts w:asciiTheme="majorHAnsi" w:hAnsiTheme="majorHAnsi"/>
          <w:sz w:val="20"/>
          <w:szCs w:val="20"/>
          <w:lang w:val="en-US"/>
        </w:rPr>
        <w:t xml:space="preserve">and </w:t>
      </w:r>
      <w:r w:rsidR="001A2A98" w:rsidRPr="005A41E0">
        <w:rPr>
          <w:rFonts w:asciiTheme="majorHAnsi" w:hAnsiTheme="majorHAnsi"/>
          <w:sz w:val="20"/>
          <w:szCs w:val="20"/>
          <w:lang w:val="en-US"/>
        </w:rPr>
        <w:t xml:space="preserve">4 </w:t>
      </w:r>
      <w:r w:rsidRPr="005A41E0">
        <w:rPr>
          <w:rFonts w:asciiTheme="majorHAnsi" w:hAnsiTheme="majorHAnsi"/>
          <w:sz w:val="20"/>
          <w:szCs w:val="20"/>
          <w:lang w:val="en-US"/>
        </w:rPr>
        <w:t xml:space="preserve">in </w:t>
      </w:r>
      <w:r w:rsidR="001A2A98" w:rsidRPr="005A41E0">
        <w:rPr>
          <w:rFonts w:asciiTheme="majorHAnsi" w:hAnsiTheme="majorHAnsi"/>
          <w:sz w:val="20"/>
          <w:szCs w:val="20"/>
          <w:lang w:val="en-US"/>
        </w:rPr>
        <w:t xml:space="preserve">Antigua, Guatemala, </w:t>
      </w:r>
      <w:r w:rsidRPr="005A41E0">
        <w:rPr>
          <w:rFonts w:asciiTheme="majorHAnsi" w:hAnsiTheme="majorHAnsi"/>
          <w:sz w:val="20"/>
          <w:szCs w:val="20"/>
          <w:lang w:val="en-US"/>
        </w:rPr>
        <w:t xml:space="preserve">the Executive Secretary participated as a speaker at a closed high-level workshop organized by the Office of the High Commissioner for Human Rights in </w:t>
      </w:r>
      <w:r w:rsidR="001A2A98" w:rsidRPr="005A41E0">
        <w:rPr>
          <w:rFonts w:asciiTheme="majorHAnsi" w:hAnsiTheme="majorHAnsi"/>
          <w:sz w:val="20"/>
          <w:szCs w:val="20"/>
          <w:lang w:val="en-US"/>
        </w:rPr>
        <w:t xml:space="preserve">Guatemala, </w:t>
      </w:r>
      <w:r w:rsidRPr="005A41E0">
        <w:rPr>
          <w:rFonts w:asciiTheme="majorHAnsi" w:hAnsiTheme="majorHAnsi"/>
          <w:sz w:val="20"/>
          <w:szCs w:val="20"/>
          <w:lang w:val="en-US"/>
        </w:rPr>
        <w:t xml:space="preserve">in conjunction with </w:t>
      </w:r>
      <w:r w:rsidR="005045B2">
        <w:rPr>
          <w:rFonts w:asciiTheme="majorHAnsi" w:hAnsiTheme="majorHAnsi"/>
          <w:sz w:val="20"/>
          <w:szCs w:val="20"/>
          <w:lang w:val="en-US"/>
        </w:rPr>
        <w:t xml:space="preserve">the </w:t>
      </w:r>
      <w:r w:rsidRPr="005A41E0">
        <w:rPr>
          <w:rFonts w:asciiTheme="majorHAnsi" w:hAnsiTheme="majorHAnsi"/>
          <w:sz w:val="20"/>
          <w:szCs w:val="20"/>
          <w:lang w:val="en-US"/>
        </w:rPr>
        <w:t xml:space="preserve">International Commission against Impunity in </w:t>
      </w:r>
      <w:r w:rsidR="001A2A98" w:rsidRPr="005A41E0">
        <w:rPr>
          <w:rFonts w:asciiTheme="majorHAnsi" w:hAnsiTheme="majorHAnsi"/>
          <w:sz w:val="20"/>
          <w:szCs w:val="20"/>
          <w:lang w:val="en-US"/>
        </w:rPr>
        <w:t xml:space="preserve">Guatemala (CICIG), </w:t>
      </w:r>
      <w:r w:rsidRPr="005A41E0">
        <w:rPr>
          <w:rFonts w:asciiTheme="majorHAnsi" w:hAnsiTheme="majorHAnsi"/>
          <w:sz w:val="20"/>
          <w:szCs w:val="20"/>
          <w:lang w:val="en-US"/>
        </w:rPr>
        <w:t>and with the financial support of Germany</w:t>
      </w:r>
      <w:r w:rsidR="001A2A98"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called </w:t>
      </w:r>
      <w:r w:rsidR="001A2A98" w:rsidRPr="005A41E0">
        <w:rPr>
          <w:rFonts w:asciiTheme="majorHAnsi" w:hAnsiTheme="majorHAnsi"/>
          <w:sz w:val="20"/>
          <w:szCs w:val="20"/>
          <w:lang w:val="en-US"/>
        </w:rPr>
        <w:t>“</w:t>
      </w:r>
      <w:r w:rsidR="00F631C0" w:rsidRPr="005A41E0">
        <w:rPr>
          <w:rFonts w:asciiTheme="majorHAnsi" w:hAnsiTheme="majorHAnsi"/>
          <w:sz w:val="20"/>
          <w:szCs w:val="20"/>
          <w:lang w:val="en-US"/>
        </w:rPr>
        <w:t xml:space="preserve">Where are we </w:t>
      </w:r>
      <w:r w:rsidR="005045B2">
        <w:rPr>
          <w:rFonts w:asciiTheme="majorHAnsi" w:hAnsiTheme="majorHAnsi"/>
          <w:sz w:val="20"/>
          <w:szCs w:val="20"/>
          <w:lang w:val="en-US"/>
        </w:rPr>
        <w:t>headed</w:t>
      </w:r>
      <w:r w:rsidR="00F631C0" w:rsidRPr="005A41E0">
        <w:rPr>
          <w:rFonts w:asciiTheme="majorHAnsi" w:hAnsiTheme="majorHAnsi"/>
          <w:sz w:val="20"/>
          <w:szCs w:val="20"/>
          <w:lang w:val="en-US"/>
        </w:rPr>
        <w:t>? New perspectives on cooperation between the international community and the states for implementing human rights and combating impunity.” He was also a speaker at a public colloquium entitled “The experience of the Interdisciplinary Group of In</w:t>
      </w:r>
      <w:r w:rsidR="00CA4D37">
        <w:rPr>
          <w:rFonts w:asciiTheme="majorHAnsi" w:hAnsiTheme="majorHAnsi"/>
          <w:sz w:val="20"/>
          <w:szCs w:val="20"/>
          <w:lang w:val="en-US"/>
        </w:rPr>
        <w:t xml:space="preserve">dependent </w:t>
      </w:r>
      <w:r w:rsidR="00F631C0" w:rsidRPr="005A41E0">
        <w:rPr>
          <w:rFonts w:asciiTheme="majorHAnsi" w:hAnsiTheme="majorHAnsi"/>
          <w:sz w:val="20"/>
          <w:szCs w:val="20"/>
          <w:lang w:val="en-US"/>
        </w:rPr>
        <w:t xml:space="preserve">Experts in Mexico and the experience of the Office of the United Nations High Commissioner for Human Rights in </w:t>
      </w:r>
      <w:r w:rsidR="001A2A98" w:rsidRPr="005A41E0">
        <w:rPr>
          <w:rFonts w:asciiTheme="majorHAnsi" w:hAnsiTheme="majorHAnsi"/>
          <w:sz w:val="20"/>
          <w:szCs w:val="20"/>
          <w:lang w:val="en-US"/>
        </w:rPr>
        <w:t>Colombia</w:t>
      </w:r>
      <w:r w:rsidR="00F631C0" w:rsidRPr="005A41E0">
        <w:rPr>
          <w:rFonts w:asciiTheme="majorHAnsi" w:hAnsiTheme="majorHAnsi"/>
          <w:sz w:val="20"/>
          <w:szCs w:val="20"/>
          <w:lang w:val="en-US"/>
        </w:rPr>
        <w:t>.</w:t>
      </w:r>
      <w:r w:rsidR="001A2A98" w:rsidRPr="005A41E0">
        <w:rPr>
          <w:rFonts w:asciiTheme="majorHAnsi" w:hAnsiTheme="majorHAnsi"/>
          <w:sz w:val="20"/>
          <w:szCs w:val="20"/>
          <w:lang w:val="en-US"/>
        </w:rPr>
        <w:t xml:space="preserve">” </w:t>
      </w:r>
    </w:p>
    <w:p w:rsidR="001A2A98" w:rsidRPr="005A41E0" w:rsidRDefault="001A2A98" w:rsidP="005A41E0">
      <w:pPr>
        <w:rPr>
          <w:rFonts w:asciiTheme="majorHAnsi" w:hAnsiTheme="majorHAnsi"/>
          <w:sz w:val="20"/>
          <w:szCs w:val="20"/>
          <w:lang w:val="en-US"/>
        </w:rPr>
      </w:pPr>
    </w:p>
    <w:p w:rsidR="001A2A98" w:rsidRPr="005A41E0" w:rsidRDefault="00F631C0"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Executive Secretary participated in the Regional Consultation on Human Rights and Business, which took place March 2 and 3, </w:t>
      </w:r>
      <w:r w:rsidR="001A2A98"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in </w:t>
      </w:r>
      <w:r w:rsidR="001A2A98" w:rsidRPr="005A41E0">
        <w:rPr>
          <w:rFonts w:asciiTheme="majorHAnsi" w:hAnsiTheme="majorHAnsi"/>
          <w:sz w:val="20"/>
          <w:szCs w:val="20"/>
          <w:lang w:val="en-US"/>
        </w:rPr>
        <w:t>Santiago</w:t>
      </w:r>
      <w:r w:rsidRPr="005A41E0">
        <w:rPr>
          <w:rFonts w:asciiTheme="majorHAnsi" w:hAnsiTheme="majorHAnsi"/>
          <w:sz w:val="20"/>
          <w:szCs w:val="20"/>
          <w:lang w:val="en-US"/>
        </w:rPr>
        <w:t>,</w:t>
      </w:r>
      <w:r w:rsidR="001A2A98"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Chile, organized by the United Nations Working Group on the topic. The purpose of the consultation was to debate and take stock of the progress in the Americas in terms of implementing the Guiding Principles on Human Rights and Business. Representatives of states, civil society, and regional agencies were in attendance. </w:t>
      </w:r>
    </w:p>
    <w:p w:rsidR="001A2A98" w:rsidRPr="005A41E0" w:rsidRDefault="001A2A98" w:rsidP="005A41E0">
      <w:pPr>
        <w:rPr>
          <w:rFonts w:asciiTheme="majorHAnsi" w:hAnsiTheme="majorHAnsi"/>
          <w:sz w:val="20"/>
          <w:szCs w:val="20"/>
          <w:lang w:val="en-US"/>
        </w:rPr>
      </w:pPr>
    </w:p>
    <w:p w:rsidR="001A2A98" w:rsidRPr="005A41E0" w:rsidRDefault="00F631C0"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Executive Secretary opened the consultation held in the context of the “Meeting of experts on national mechanisms for the protection of human rights defenders and judicial officers,” held April 1 at IACHR headquarters. </w:t>
      </w:r>
      <w:r w:rsidR="00D20BF0" w:rsidRPr="005A41E0">
        <w:rPr>
          <w:rFonts w:asciiTheme="majorHAnsi" w:hAnsiTheme="majorHAnsi"/>
          <w:sz w:val="20"/>
          <w:szCs w:val="20"/>
          <w:lang w:val="en-US"/>
        </w:rPr>
        <w:t xml:space="preserve">In addition, on April 5 he moderated a joint presentation of the thematic reports of the Commission on extractive industries; legal standards and women’s rights; violence, children, and organized crime; and violence against </w:t>
      </w:r>
      <w:r w:rsidR="001A2A98" w:rsidRPr="005A41E0">
        <w:rPr>
          <w:rFonts w:asciiTheme="majorHAnsi" w:hAnsiTheme="majorHAnsi"/>
          <w:sz w:val="20"/>
          <w:szCs w:val="20"/>
          <w:lang w:val="en-US"/>
        </w:rPr>
        <w:t xml:space="preserve">LGBTI </w:t>
      </w:r>
      <w:r w:rsidR="00D20BF0" w:rsidRPr="005A41E0">
        <w:rPr>
          <w:rFonts w:asciiTheme="majorHAnsi" w:hAnsiTheme="majorHAnsi"/>
          <w:sz w:val="20"/>
          <w:szCs w:val="20"/>
          <w:lang w:val="en-US"/>
        </w:rPr>
        <w:t xml:space="preserve">persons in the Americas. </w:t>
      </w:r>
    </w:p>
    <w:p w:rsidR="001A2A98" w:rsidRPr="005A41E0" w:rsidRDefault="001A2A98" w:rsidP="005A41E0">
      <w:pPr>
        <w:rPr>
          <w:rFonts w:asciiTheme="majorHAnsi" w:hAnsiTheme="majorHAnsi"/>
          <w:sz w:val="20"/>
          <w:szCs w:val="20"/>
          <w:lang w:val="en-US"/>
        </w:rPr>
      </w:pPr>
    </w:p>
    <w:p w:rsidR="001A2A98" w:rsidRPr="005A41E0" w:rsidRDefault="00D20BF0" w:rsidP="00503056">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April </w:t>
      </w:r>
      <w:r w:rsidR="001A2A98" w:rsidRPr="005A41E0">
        <w:rPr>
          <w:rFonts w:asciiTheme="majorHAnsi" w:hAnsiTheme="majorHAnsi"/>
          <w:sz w:val="20"/>
          <w:szCs w:val="20"/>
          <w:lang w:val="en-US"/>
        </w:rPr>
        <w:t xml:space="preserve">7 </w:t>
      </w:r>
      <w:r w:rsidRPr="005A41E0">
        <w:rPr>
          <w:rFonts w:asciiTheme="majorHAnsi" w:hAnsiTheme="majorHAnsi"/>
          <w:sz w:val="20"/>
          <w:szCs w:val="20"/>
          <w:lang w:val="en-US"/>
        </w:rPr>
        <w:t xml:space="preserve">the Executive Secretary moderated the meeting held at the IACHR with members of civil society as well as the events “Seminar on fiscal policy and human rights in times of austerity,” organized by </w:t>
      </w:r>
      <w:r w:rsidR="001A2A98" w:rsidRPr="005A41E0">
        <w:rPr>
          <w:rFonts w:asciiTheme="majorHAnsi" w:hAnsiTheme="majorHAnsi"/>
          <w:sz w:val="20"/>
          <w:szCs w:val="20"/>
          <w:lang w:val="en-US"/>
        </w:rPr>
        <w:t>CESR, ACIJ, De</w:t>
      </w:r>
      <w:r w:rsidR="006E2BF4" w:rsidRPr="005A41E0">
        <w:rPr>
          <w:rFonts w:asciiTheme="majorHAnsi" w:hAnsiTheme="majorHAnsi"/>
          <w:sz w:val="20"/>
          <w:szCs w:val="20"/>
          <w:lang w:val="en-US"/>
        </w:rPr>
        <w:t>j</w:t>
      </w:r>
      <w:r w:rsidR="001A2A98" w:rsidRPr="005A41E0">
        <w:rPr>
          <w:rFonts w:asciiTheme="majorHAnsi" w:hAnsiTheme="majorHAnsi"/>
          <w:sz w:val="20"/>
          <w:szCs w:val="20"/>
          <w:lang w:val="en-US"/>
        </w:rPr>
        <w:t>usticia, CELS, Fundar, IBP, INEXC, Latinidad, Oxfam</w:t>
      </w:r>
      <w:r w:rsidRPr="005A41E0">
        <w:rPr>
          <w:rFonts w:asciiTheme="majorHAnsi" w:hAnsiTheme="majorHAnsi"/>
          <w:sz w:val="20"/>
          <w:szCs w:val="20"/>
          <w:lang w:val="en-US"/>
        </w:rPr>
        <w:t xml:space="preserve">, and the Network for Fiscal Justice in Latin America and the Caribbean; and </w:t>
      </w:r>
      <w:r w:rsidR="001A2A98" w:rsidRPr="005A41E0">
        <w:rPr>
          <w:rFonts w:asciiTheme="majorHAnsi" w:hAnsiTheme="majorHAnsi"/>
          <w:sz w:val="20"/>
          <w:szCs w:val="20"/>
          <w:lang w:val="en-US"/>
        </w:rPr>
        <w:t>“Di</w:t>
      </w:r>
      <w:r w:rsidRPr="005A41E0">
        <w:rPr>
          <w:rFonts w:asciiTheme="majorHAnsi" w:hAnsiTheme="majorHAnsi"/>
          <w:sz w:val="20"/>
          <w:szCs w:val="20"/>
          <w:lang w:val="en-US"/>
        </w:rPr>
        <w:t xml:space="preserve">alogue with Member States of the OAS on Good Practices in respect of the Rights of </w:t>
      </w:r>
      <w:r w:rsidR="001A2A98" w:rsidRPr="005A41E0">
        <w:rPr>
          <w:rFonts w:asciiTheme="majorHAnsi" w:hAnsiTheme="majorHAnsi"/>
          <w:sz w:val="20"/>
          <w:szCs w:val="20"/>
          <w:lang w:val="en-US"/>
        </w:rPr>
        <w:t xml:space="preserve">LGBTI </w:t>
      </w:r>
      <w:r w:rsidRPr="005A41E0">
        <w:rPr>
          <w:rFonts w:asciiTheme="majorHAnsi" w:hAnsiTheme="majorHAnsi"/>
          <w:sz w:val="20"/>
          <w:szCs w:val="20"/>
          <w:lang w:val="en-US"/>
        </w:rPr>
        <w:t xml:space="preserve">Persons in the Americas,” held April </w:t>
      </w:r>
      <w:r w:rsidR="001A2A98" w:rsidRPr="005A41E0">
        <w:rPr>
          <w:rFonts w:asciiTheme="majorHAnsi" w:hAnsiTheme="majorHAnsi"/>
          <w:sz w:val="20"/>
          <w:szCs w:val="20"/>
          <w:lang w:val="en-US"/>
        </w:rPr>
        <w:t xml:space="preserve">11 </w:t>
      </w:r>
      <w:r w:rsidRPr="005A41E0">
        <w:rPr>
          <w:rFonts w:asciiTheme="majorHAnsi" w:hAnsiTheme="majorHAnsi"/>
          <w:sz w:val="20"/>
          <w:szCs w:val="20"/>
          <w:lang w:val="en-US"/>
        </w:rPr>
        <w:t xml:space="preserve">and </w:t>
      </w:r>
      <w:r w:rsidR="001A2A98" w:rsidRPr="005A41E0">
        <w:rPr>
          <w:rFonts w:asciiTheme="majorHAnsi" w:hAnsiTheme="majorHAnsi"/>
          <w:sz w:val="20"/>
          <w:szCs w:val="20"/>
          <w:lang w:val="en-US"/>
        </w:rPr>
        <w:t>13</w:t>
      </w:r>
      <w:r w:rsidRPr="005A41E0">
        <w:rPr>
          <w:rFonts w:asciiTheme="majorHAnsi" w:hAnsiTheme="majorHAnsi"/>
          <w:sz w:val="20"/>
          <w:szCs w:val="20"/>
          <w:lang w:val="en-US"/>
        </w:rPr>
        <w:t>, respectively</w:t>
      </w:r>
      <w:r w:rsidR="001A2A98" w:rsidRPr="005A41E0">
        <w:rPr>
          <w:rFonts w:asciiTheme="majorHAnsi" w:hAnsiTheme="majorHAnsi"/>
          <w:sz w:val="20"/>
          <w:szCs w:val="20"/>
          <w:lang w:val="en-US"/>
        </w:rPr>
        <w:t>.</w:t>
      </w:r>
    </w:p>
    <w:p w:rsidR="001A2A98" w:rsidRPr="005A41E0" w:rsidRDefault="001A2A98" w:rsidP="005A41E0">
      <w:pPr>
        <w:rPr>
          <w:rFonts w:asciiTheme="majorHAnsi" w:hAnsiTheme="majorHAnsi"/>
          <w:sz w:val="20"/>
          <w:szCs w:val="20"/>
          <w:lang w:val="en-US"/>
        </w:rPr>
      </w:pPr>
    </w:p>
    <w:p w:rsidR="001A2A98" w:rsidRPr="005A41E0" w:rsidRDefault="00D20BF0"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April </w:t>
      </w:r>
      <w:r w:rsidR="001A2A98" w:rsidRPr="005A41E0">
        <w:rPr>
          <w:rFonts w:asciiTheme="majorHAnsi" w:hAnsiTheme="majorHAnsi"/>
          <w:sz w:val="20"/>
          <w:szCs w:val="20"/>
          <w:lang w:val="en-US"/>
        </w:rPr>
        <w:t xml:space="preserve">25 </w:t>
      </w:r>
      <w:r w:rsidRPr="005A41E0">
        <w:rPr>
          <w:rFonts w:asciiTheme="majorHAnsi" w:hAnsiTheme="majorHAnsi"/>
          <w:sz w:val="20"/>
          <w:szCs w:val="20"/>
          <w:lang w:val="en-US"/>
        </w:rPr>
        <w:t xml:space="preserve">the Executive Secretary moderated the event called </w:t>
      </w:r>
      <w:r w:rsidR="001A2A98" w:rsidRPr="005A41E0">
        <w:rPr>
          <w:rFonts w:asciiTheme="majorHAnsi" w:hAnsiTheme="majorHAnsi"/>
          <w:sz w:val="20"/>
          <w:szCs w:val="20"/>
          <w:lang w:val="en-US"/>
        </w:rPr>
        <w:t>“Panel Discussion on Monitoring, Reporting, and Fact-finding</w:t>
      </w:r>
      <w:r w:rsidRPr="005A41E0">
        <w:rPr>
          <w:rFonts w:asciiTheme="majorHAnsi" w:hAnsiTheme="majorHAnsi"/>
          <w:sz w:val="20"/>
          <w:szCs w:val="20"/>
          <w:lang w:val="en-US"/>
        </w:rPr>
        <w:t>,</w:t>
      </w:r>
      <w:r w:rsidR="001A2A98" w:rsidRPr="005A41E0">
        <w:rPr>
          <w:rFonts w:asciiTheme="majorHAnsi" w:hAnsiTheme="majorHAnsi"/>
          <w:sz w:val="20"/>
          <w:szCs w:val="20"/>
          <w:lang w:val="en-US"/>
        </w:rPr>
        <w:t>”</w:t>
      </w:r>
      <w:r w:rsidRPr="005A41E0">
        <w:rPr>
          <w:rFonts w:asciiTheme="majorHAnsi" w:hAnsiTheme="majorHAnsi"/>
          <w:sz w:val="20"/>
          <w:szCs w:val="20"/>
          <w:lang w:val="en-US"/>
        </w:rPr>
        <w:t xml:space="preserve"> co-organized by the Embassy of Switzerland in </w:t>
      </w:r>
      <w:r w:rsidR="001A2A98" w:rsidRPr="005A41E0">
        <w:rPr>
          <w:rFonts w:asciiTheme="majorHAnsi" w:hAnsiTheme="majorHAnsi"/>
          <w:sz w:val="20"/>
          <w:szCs w:val="20"/>
          <w:lang w:val="en-US"/>
        </w:rPr>
        <w:t xml:space="preserve">Washington, DC, </w:t>
      </w:r>
      <w:r w:rsidRPr="005A41E0">
        <w:rPr>
          <w:rFonts w:asciiTheme="majorHAnsi" w:hAnsiTheme="majorHAnsi"/>
          <w:sz w:val="20"/>
          <w:szCs w:val="20"/>
          <w:lang w:val="en-US"/>
        </w:rPr>
        <w:t xml:space="preserve">the </w:t>
      </w:r>
      <w:r w:rsidR="001A2A98" w:rsidRPr="005A41E0">
        <w:rPr>
          <w:rFonts w:asciiTheme="majorHAnsi" w:hAnsiTheme="majorHAnsi"/>
          <w:sz w:val="20"/>
          <w:szCs w:val="20"/>
          <w:lang w:val="en-US"/>
        </w:rPr>
        <w:t>Harvard Program on Humanitarian Policy and Conflict Research (HPCR)</w:t>
      </w:r>
      <w:r w:rsidR="006E2BF4" w:rsidRPr="005A41E0">
        <w:rPr>
          <w:rFonts w:asciiTheme="majorHAnsi" w:hAnsiTheme="majorHAnsi"/>
          <w:sz w:val="20"/>
          <w:szCs w:val="20"/>
          <w:lang w:val="en-US"/>
        </w:rPr>
        <w:t>,</w:t>
      </w:r>
      <w:r w:rsidR="001A2A98"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and the IACHR. </w:t>
      </w:r>
    </w:p>
    <w:p w:rsidR="001A2A98" w:rsidRPr="005A41E0" w:rsidRDefault="001A2A98" w:rsidP="005A41E0">
      <w:pPr>
        <w:rPr>
          <w:rFonts w:asciiTheme="majorHAnsi" w:hAnsiTheme="majorHAnsi"/>
          <w:sz w:val="20"/>
          <w:szCs w:val="20"/>
          <w:lang w:val="en-US"/>
        </w:rPr>
      </w:pPr>
    </w:p>
    <w:p w:rsidR="001A2A98" w:rsidRPr="005A41E0" w:rsidRDefault="002E6E14"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April </w:t>
      </w:r>
      <w:r w:rsidR="001A2A98" w:rsidRPr="005A41E0">
        <w:rPr>
          <w:rFonts w:asciiTheme="majorHAnsi" w:hAnsiTheme="majorHAnsi"/>
          <w:sz w:val="20"/>
          <w:szCs w:val="20"/>
          <w:lang w:val="en-US"/>
        </w:rPr>
        <w:t xml:space="preserve">28 </w:t>
      </w:r>
      <w:r w:rsidRPr="005A41E0">
        <w:rPr>
          <w:rFonts w:asciiTheme="majorHAnsi" w:hAnsiTheme="majorHAnsi"/>
          <w:sz w:val="20"/>
          <w:szCs w:val="20"/>
          <w:lang w:val="en-US"/>
        </w:rPr>
        <w:t xml:space="preserve">the event </w:t>
      </w:r>
      <w:r w:rsidR="001A2A98" w:rsidRPr="005A41E0">
        <w:rPr>
          <w:rFonts w:asciiTheme="majorHAnsi" w:hAnsiTheme="majorHAnsi"/>
          <w:sz w:val="20"/>
          <w:szCs w:val="20"/>
          <w:lang w:val="en-US"/>
        </w:rPr>
        <w:t>“</w:t>
      </w:r>
      <w:r w:rsidRPr="005A41E0">
        <w:rPr>
          <w:rFonts w:asciiTheme="majorHAnsi" w:hAnsiTheme="majorHAnsi"/>
          <w:sz w:val="20"/>
          <w:szCs w:val="20"/>
          <w:lang w:val="en-US"/>
        </w:rPr>
        <w:t xml:space="preserve">International civil society week </w:t>
      </w:r>
      <w:r w:rsidR="001A2A98" w:rsidRPr="005A41E0">
        <w:rPr>
          <w:rFonts w:asciiTheme="majorHAnsi" w:hAnsiTheme="majorHAnsi"/>
          <w:sz w:val="20"/>
          <w:szCs w:val="20"/>
          <w:lang w:val="en-US"/>
        </w:rPr>
        <w:t xml:space="preserve">2016” </w:t>
      </w:r>
      <w:r w:rsidRPr="005A41E0">
        <w:rPr>
          <w:rFonts w:asciiTheme="majorHAnsi" w:hAnsiTheme="majorHAnsi"/>
          <w:sz w:val="20"/>
          <w:szCs w:val="20"/>
          <w:lang w:val="en-US"/>
        </w:rPr>
        <w:t xml:space="preserve">was held in </w:t>
      </w:r>
      <w:r w:rsidR="006E2BF4" w:rsidRPr="005A41E0">
        <w:rPr>
          <w:rFonts w:asciiTheme="majorHAnsi" w:hAnsiTheme="majorHAnsi"/>
          <w:sz w:val="20"/>
          <w:szCs w:val="20"/>
          <w:lang w:val="en-US"/>
        </w:rPr>
        <w:t xml:space="preserve">Bogotá, Colombia, </w:t>
      </w:r>
      <w:r w:rsidRPr="005A41E0">
        <w:rPr>
          <w:rFonts w:asciiTheme="majorHAnsi" w:hAnsiTheme="majorHAnsi"/>
          <w:sz w:val="20"/>
          <w:szCs w:val="20"/>
          <w:lang w:val="en-US"/>
        </w:rPr>
        <w:t xml:space="preserve">convened by the organization </w:t>
      </w:r>
      <w:r w:rsidR="001A2A98" w:rsidRPr="005A41E0">
        <w:rPr>
          <w:rFonts w:asciiTheme="majorHAnsi" w:hAnsiTheme="majorHAnsi"/>
          <w:sz w:val="20"/>
          <w:szCs w:val="20"/>
          <w:lang w:val="en-US"/>
        </w:rPr>
        <w:t>CIVICUS</w:t>
      </w:r>
      <w:r w:rsidR="006E2BF4"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The Executive Secretary participated as a speaker in a panel discussion entitled </w:t>
      </w:r>
      <w:r w:rsidR="001A2A98" w:rsidRPr="005A41E0">
        <w:rPr>
          <w:rFonts w:asciiTheme="majorHAnsi" w:hAnsiTheme="majorHAnsi"/>
          <w:sz w:val="20"/>
          <w:szCs w:val="20"/>
          <w:lang w:val="en-US"/>
        </w:rPr>
        <w:t>“</w:t>
      </w:r>
      <w:r w:rsidRPr="005A41E0">
        <w:rPr>
          <w:rFonts w:asciiTheme="majorHAnsi" w:hAnsiTheme="majorHAnsi"/>
          <w:sz w:val="20"/>
          <w:szCs w:val="20"/>
          <w:lang w:val="en-US"/>
        </w:rPr>
        <w:t>What is needed to create inclusive societies and organizations</w:t>
      </w:r>
      <w:r w:rsidR="001A2A98" w:rsidRPr="005A41E0">
        <w:rPr>
          <w:rFonts w:asciiTheme="majorHAnsi" w:hAnsiTheme="majorHAnsi"/>
          <w:sz w:val="20"/>
          <w:szCs w:val="20"/>
          <w:lang w:val="en-US"/>
        </w:rPr>
        <w:t>?”</w:t>
      </w:r>
    </w:p>
    <w:p w:rsidR="001A2A98" w:rsidRPr="005A41E0" w:rsidRDefault="001A2A98" w:rsidP="005A41E0">
      <w:pPr>
        <w:rPr>
          <w:rFonts w:asciiTheme="majorHAnsi" w:hAnsiTheme="majorHAnsi"/>
          <w:sz w:val="20"/>
          <w:szCs w:val="20"/>
          <w:lang w:val="en-US"/>
        </w:rPr>
      </w:pPr>
    </w:p>
    <w:p w:rsidR="001A2A98" w:rsidRPr="005A41E0" w:rsidRDefault="002E6E14"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The Executive Secretary traveled to </w:t>
      </w:r>
      <w:r w:rsidR="001A2A98" w:rsidRPr="005A41E0">
        <w:rPr>
          <w:rFonts w:asciiTheme="majorHAnsi" w:hAnsiTheme="majorHAnsi"/>
          <w:sz w:val="20"/>
          <w:szCs w:val="20"/>
          <w:lang w:val="en-US"/>
        </w:rPr>
        <w:t xml:space="preserve">Venezuela </w:t>
      </w:r>
      <w:r w:rsidRPr="005A41E0">
        <w:rPr>
          <w:rFonts w:asciiTheme="majorHAnsi" w:hAnsiTheme="majorHAnsi"/>
          <w:sz w:val="20"/>
          <w:szCs w:val="20"/>
          <w:lang w:val="en-US"/>
        </w:rPr>
        <w:t xml:space="preserve">to participate on May </w:t>
      </w:r>
      <w:r w:rsidR="001A2A98" w:rsidRPr="005A41E0">
        <w:rPr>
          <w:rFonts w:asciiTheme="majorHAnsi" w:hAnsiTheme="majorHAnsi"/>
          <w:sz w:val="20"/>
          <w:szCs w:val="20"/>
          <w:lang w:val="en-US"/>
        </w:rPr>
        <w:t xml:space="preserve">4 </w:t>
      </w:r>
      <w:r w:rsidRPr="005A41E0">
        <w:rPr>
          <w:rFonts w:asciiTheme="majorHAnsi" w:hAnsiTheme="majorHAnsi"/>
          <w:sz w:val="20"/>
          <w:szCs w:val="20"/>
          <w:lang w:val="en-US"/>
        </w:rPr>
        <w:t xml:space="preserve">and </w:t>
      </w:r>
      <w:r w:rsidR="001A2A98" w:rsidRPr="005A41E0">
        <w:rPr>
          <w:rFonts w:asciiTheme="majorHAnsi" w:hAnsiTheme="majorHAnsi"/>
          <w:sz w:val="20"/>
          <w:szCs w:val="20"/>
          <w:lang w:val="en-US"/>
        </w:rPr>
        <w:t xml:space="preserve">5 </w:t>
      </w:r>
      <w:r w:rsidRPr="005A41E0">
        <w:rPr>
          <w:rFonts w:asciiTheme="majorHAnsi" w:hAnsiTheme="majorHAnsi"/>
          <w:sz w:val="20"/>
          <w:szCs w:val="20"/>
          <w:lang w:val="en-US"/>
        </w:rPr>
        <w:t xml:space="preserve">as a speaker in the forum </w:t>
      </w:r>
      <w:r w:rsidR="001A2A98" w:rsidRPr="005A41E0">
        <w:rPr>
          <w:rFonts w:asciiTheme="majorHAnsi" w:hAnsiTheme="majorHAnsi"/>
          <w:sz w:val="20"/>
          <w:szCs w:val="20"/>
          <w:lang w:val="en-US"/>
        </w:rPr>
        <w:t>“</w:t>
      </w:r>
      <w:r w:rsidRPr="005A41E0">
        <w:rPr>
          <w:rFonts w:asciiTheme="majorHAnsi" w:hAnsiTheme="majorHAnsi"/>
          <w:sz w:val="20"/>
          <w:szCs w:val="20"/>
          <w:lang w:val="en-US"/>
        </w:rPr>
        <w:t xml:space="preserve">Human rights in the contemporary word: An inter-American perspective,” organized by the School of Law of the </w:t>
      </w:r>
      <w:r w:rsidR="001A2A98" w:rsidRPr="005A41E0">
        <w:rPr>
          <w:rFonts w:asciiTheme="majorHAnsi" w:hAnsiTheme="majorHAnsi"/>
          <w:sz w:val="20"/>
          <w:szCs w:val="20"/>
          <w:lang w:val="en-US"/>
        </w:rPr>
        <w:t>Universidad Católica Andrés Bello</w:t>
      </w:r>
      <w:r w:rsidR="00AE53A1" w:rsidRPr="005A41E0">
        <w:rPr>
          <w:rFonts w:asciiTheme="majorHAnsi" w:hAnsiTheme="majorHAnsi"/>
          <w:sz w:val="20"/>
          <w:szCs w:val="20"/>
          <w:lang w:val="en-US"/>
        </w:rPr>
        <w:t xml:space="preserve">. </w:t>
      </w:r>
      <w:r w:rsidR="008B0E11" w:rsidRPr="005A41E0">
        <w:rPr>
          <w:rFonts w:asciiTheme="majorHAnsi" w:hAnsiTheme="majorHAnsi"/>
          <w:sz w:val="20"/>
          <w:szCs w:val="20"/>
          <w:lang w:val="en-US"/>
        </w:rPr>
        <w:t xml:space="preserve">He also participated in the first annual university meeting on human rights entitled “Days of reflection on human rights in Latin America:  Evolution and prospects of constitutional guarantees in the region,” organized by the </w:t>
      </w:r>
      <w:r w:rsidR="001A2A98" w:rsidRPr="005A41E0">
        <w:rPr>
          <w:rFonts w:asciiTheme="majorHAnsi" w:hAnsiTheme="majorHAnsi"/>
          <w:sz w:val="20"/>
          <w:szCs w:val="20"/>
          <w:lang w:val="en-US"/>
        </w:rPr>
        <w:t>Universidad Central de Venezuela.</w:t>
      </w:r>
    </w:p>
    <w:p w:rsidR="001A2A98" w:rsidRPr="005A41E0" w:rsidRDefault="001A2A98" w:rsidP="005A41E0">
      <w:pPr>
        <w:rPr>
          <w:rFonts w:asciiTheme="majorHAnsi" w:hAnsiTheme="majorHAnsi"/>
          <w:sz w:val="20"/>
          <w:szCs w:val="20"/>
          <w:lang w:val="en-US"/>
        </w:rPr>
      </w:pPr>
    </w:p>
    <w:p w:rsidR="001A2A98" w:rsidRPr="005A41E0" w:rsidRDefault="008B0E11"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May </w:t>
      </w:r>
      <w:r w:rsidR="001A2A98" w:rsidRPr="005A41E0">
        <w:rPr>
          <w:rFonts w:asciiTheme="majorHAnsi" w:hAnsiTheme="majorHAnsi"/>
          <w:sz w:val="20"/>
          <w:szCs w:val="20"/>
          <w:lang w:val="en-US"/>
        </w:rPr>
        <w:t xml:space="preserve">11 </w:t>
      </w:r>
      <w:r w:rsidRPr="005A41E0">
        <w:rPr>
          <w:rFonts w:asciiTheme="majorHAnsi" w:hAnsiTheme="majorHAnsi"/>
          <w:sz w:val="20"/>
          <w:szCs w:val="20"/>
          <w:lang w:val="en-US"/>
        </w:rPr>
        <w:t xml:space="preserve">the Executive Secretary was guest speaker at the event </w:t>
      </w:r>
      <w:r w:rsidR="00AE53A1" w:rsidRPr="005A41E0">
        <w:rPr>
          <w:rFonts w:asciiTheme="majorHAnsi" w:hAnsiTheme="majorHAnsi"/>
          <w:sz w:val="20"/>
          <w:szCs w:val="20"/>
          <w:lang w:val="en-US"/>
        </w:rPr>
        <w:t>“</w:t>
      </w:r>
      <w:r w:rsidRPr="005A41E0">
        <w:rPr>
          <w:rFonts w:asciiTheme="majorHAnsi" w:hAnsiTheme="majorHAnsi"/>
          <w:sz w:val="20"/>
          <w:szCs w:val="20"/>
          <w:lang w:val="en-US"/>
        </w:rPr>
        <w:t>A Transnational Vision Rooted in Community</w:t>
      </w:r>
      <w:r w:rsidR="00AE53A1" w:rsidRPr="005A41E0">
        <w:rPr>
          <w:rFonts w:asciiTheme="majorHAnsi" w:hAnsiTheme="majorHAnsi"/>
          <w:sz w:val="20"/>
          <w:szCs w:val="20"/>
          <w:lang w:val="en-US"/>
        </w:rPr>
        <w:t xml:space="preserve">” </w:t>
      </w:r>
      <w:r w:rsidRPr="005A41E0">
        <w:rPr>
          <w:rFonts w:asciiTheme="majorHAnsi" w:hAnsiTheme="majorHAnsi"/>
          <w:sz w:val="20"/>
          <w:szCs w:val="20"/>
          <w:lang w:val="en-US"/>
        </w:rPr>
        <w:t>in Washington, DC</w:t>
      </w:r>
      <w:r w:rsidR="00AE53A1"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convened by </w:t>
      </w:r>
      <w:r w:rsidR="00AE53A1" w:rsidRPr="005A41E0">
        <w:rPr>
          <w:rFonts w:asciiTheme="majorHAnsi" w:hAnsiTheme="majorHAnsi"/>
          <w:sz w:val="20"/>
          <w:szCs w:val="20"/>
          <w:lang w:val="en-US"/>
        </w:rPr>
        <w:t xml:space="preserve">Alianza Américas, </w:t>
      </w:r>
      <w:r w:rsidRPr="005A41E0">
        <w:rPr>
          <w:rFonts w:asciiTheme="majorHAnsi" w:hAnsiTheme="majorHAnsi"/>
          <w:sz w:val="20"/>
          <w:szCs w:val="20"/>
          <w:lang w:val="en-US"/>
        </w:rPr>
        <w:t xml:space="preserve">a network of organizations, where he spoke of the future of democracy in the region. </w:t>
      </w:r>
    </w:p>
    <w:p w:rsidR="005A41E0" w:rsidRPr="005A41E0" w:rsidRDefault="005A41E0" w:rsidP="005A41E0">
      <w:pPr>
        <w:shd w:val="clear" w:color="auto" w:fill="FFFFFF"/>
        <w:jc w:val="both"/>
        <w:rPr>
          <w:rFonts w:asciiTheme="majorHAnsi" w:hAnsiTheme="majorHAnsi"/>
          <w:sz w:val="20"/>
          <w:szCs w:val="20"/>
          <w:lang w:val="en-US"/>
        </w:rPr>
      </w:pPr>
    </w:p>
    <w:p w:rsidR="001A2A98" w:rsidRPr="005A41E0" w:rsidRDefault="005A41E0"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sidRPr="005A41E0">
        <w:rPr>
          <w:rFonts w:asciiTheme="majorHAnsi" w:hAnsiTheme="majorHAnsi"/>
          <w:sz w:val="20"/>
          <w:szCs w:val="20"/>
          <w:lang w:val="en-US"/>
        </w:rPr>
        <w:t xml:space="preserve">On May </w:t>
      </w:r>
      <w:r w:rsidR="001A2A98" w:rsidRPr="005A41E0">
        <w:rPr>
          <w:rFonts w:asciiTheme="majorHAnsi" w:hAnsiTheme="majorHAnsi"/>
          <w:sz w:val="20"/>
          <w:szCs w:val="20"/>
          <w:lang w:val="en-US"/>
        </w:rPr>
        <w:t xml:space="preserve">14 </w:t>
      </w:r>
      <w:r w:rsidRPr="005A41E0">
        <w:rPr>
          <w:rFonts w:asciiTheme="majorHAnsi" w:hAnsiTheme="majorHAnsi"/>
          <w:sz w:val="20"/>
          <w:szCs w:val="20"/>
          <w:lang w:val="en-US"/>
        </w:rPr>
        <w:t xml:space="preserve">and </w:t>
      </w:r>
      <w:r w:rsidR="001A2A98" w:rsidRPr="005A41E0">
        <w:rPr>
          <w:rFonts w:asciiTheme="majorHAnsi" w:hAnsiTheme="majorHAnsi"/>
          <w:sz w:val="20"/>
          <w:szCs w:val="20"/>
          <w:lang w:val="en-US"/>
        </w:rPr>
        <w:t xml:space="preserve">15 </w:t>
      </w:r>
      <w:r w:rsidRPr="005A41E0">
        <w:rPr>
          <w:rFonts w:asciiTheme="majorHAnsi" w:hAnsiTheme="majorHAnsi"/>
          <w:sz w:val="20"/>
          <w:szCs w:val="20"/>
          <w:lang w:val="en-US"/>
        </w:rPr>
        <w:t>the Executive Secretary was a speaker on a panel entitled “United Nations and intergovernmental actions applicable to conflicts that affect indigenous peoples and their resolution</w:t>
      </w:r>
      <w:r w:rsidR="001A2A98" w:rsidRPr="005A41E0">
        <w:rPr>
          <w:rFonts w:asciiTheme="majorHAnsi" w:hAnsiTheme="majorHAnsi"/>
          <w:sz w:val="20"/>
          <w:szCs w:val="20"/>
          <w:lang w:val="en-US"/>
        </w:rPr>
        <w:t xml:space="preserve">: </w:t>
      </w:r>
      <w:r w:rsidRPr="005A41E0">
        <w:rPr>
          <w:rFonts w:asciiTheme="majorHAnsi" w:hAnsiTheme="majorHAnsi"/>
          <w:sz w:val="20"/>
          <w:szCs w:val="20"/>
          <w:lang w:val="en-US"/>
        </w:rPr>
        <w:lastRenderedPageBreak/>
        <w:t>Challenges and opportunities,”</w:t>
      </w:r>
      <w:r w:rsidR="001A2A98" w:rsidRPr="005A41E0">
        <w:rPr>
          <w:rFonts w:asciiTheme="majorHAnsi" w:hAnsiTheme="majorHAnsi"/>
          <w:sz w:val="20"/>
          <w:szCs w:val="20"/>
          <w:lang w:val="en-US"/>
        </w:rPr>
        <w:t xml:space="preserve"> </w:t>
      </w:r>
      <w:r w:rsidRPr="005A41E0">
        <w:rPr>
          <w:rFonts w:asciiTheme="majorHAnsi" w:hAnsiTheme="majorHAnsi"/>
          <w:sz w:val="20"/>
          <w:szCs w:val="20"/>
          <w:lang w:val="en-US"/>
        </w:rPr>
        <w:t xml:space="preserve">in the context of the international seminar on </w:t>
      </w:r>
      <w:r w:rsidR="001A2A98" w:rsidRPr="005A41E0">
        <w:rPr>
          <w:rFonts w:asciiTheme="majorHAnsi" w:hAnsiTheme="majorHAnsi"/>
          <w:sz w:val="20"/>
          <w:szCs w:val="20"/>
          <w:lang w:val="en-US"/>
        </w:rPr>
        <w:t>“</w:t>
      </w:r>
      <w:r w:rsidRPr="005A41E0">
        <w:rPr>
          <w:rFonts w:asciiTheme="majorHAnsi" w:hAnsiTheme="majorHAnsi"/>
          <w:sz w:val="20"/>
          <w:szCs w:val="20"/>
          <w:lang w:val="en-US"/>
        </w:rPr>
        <w:t>Rights of indigenous peoples and undocumented struggles</w:t>
      </w:r>
      <w:r>
        <w:rPr>
          <w:rFonts w:asciiTheme="majorHAnsi" w:hAnsiTheme="majorHAnsi"/>
          <w:sz w:val="20"/>
          <w:szCs w:val="20"/>
          <w:lang w:val="en-US"/>
        </w:rPr>
        <w:t xml:space="preserve">: Conflict and Peace.” The event was held at </w:t>
      </w:r>
      <w:r w:rsidR="001A2A98" w:rsidRPr="005A41E0">
        <w:rPr>
          <w:rFonts w:asciiTheme="majorHAnsi" w:hAnsiTheme="majorHAnsi"/>
          <w:sz w:val="20"/>
          <w:szCs w:val="20"/>
          <w:lang w:val="en-US"/>
        </w:rPr>
        <w:t xml:space="preserve">Columbia </w:t>
      </w:r>
      <w:r>
        <w:rPr>
          <w:rFonts w:asciiTheme="majorHAnsi" w:hAnsiTheme="majorHAnsi"/>
          <w:sz w:val="20"/>
          <w:szCs w:val="20"/>
          <w:lang w:val="en-US"/>
        </w:rPr>
        <w:t xml:space="preserve">University in New York, organized by that university’s </w:t>
      </w:r>
      <w:r w:rsidR="001A2A98" w:rsidRPr="005A41E0">
        <w:rPr>
          <w:rFonts w:asciiTheme="majorHAnsi" w:hAnsiTheme="majorHAnsi"/>
          <w:sz w:val="20"/>
          <w:szCs w:val="20"/>
          <w:lang w:val="en-US"/>
        </w:rPr>
        <w:t>Institut</w:t>
      </w:r>
      <w:r>
        <w:rPr>
          <w:rFonts w:asciiTheme="majorHAnsi" w:hAnsiTheme="majorHAnsi"/>
          <w:sz w:val="20"/>
          <w:szCs w:val="20"/>
          <w:lang w:val="en-US"/>
        </w:rPr>
        <w:t>e for the Study of Human Rights.</w:t>
      </w:r>
    </w:p>
    <w:p w:rsidR="001A2A98" w:rsidRPr="005A41E0" w:rsidRDefault="001A2A98" w:rsidP="005A41E0">
      <w:pPr>
        <w:rPr>
          <w:rFonts w:asciiTheme="majorHAnsi" w:hAnsiTheme="majorHAnsi"/>
          <w:sz w:val="20"/>
          <w:szCs w:val="20"/>
          <w:lang w:val="en-US"/>
        </w:rPr>
      </w:pPr>
    </w:p>
    <w:p w:rsidR="001A2A98" w:rsidRPr="005A41E0" w:rsidRDefault="005A41E0" w:rsidP="005A41E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May </w:t>
      </w:r>
      <w:r w:rsidR="001A2A98" w:rsidRPr="005A41E0">
        <w:rPr>
          <w:rFonts w:asciiTheme="majorHAnsi" w:hAnsiTheme="majorHAnsi"/>
          <w:sz w:val="20"/>
          <w:szCs w:val="20"/>
          <w:lang w:val="en-US"/>
        </w:rPr>
        <w:t xml:space="preserve">16 </w:t>
      </w:r>
      <w:r>
        <w:rPr>
          <w:rFonts w:asciiTheme="majorHAnsi" w:hAnsiTheme="majorHAnsi"/>
          <w:sz w:val="20"/>
          <w:szCs w:val="20"/>
          <w:lang w:val="en-US"/>
        </w:rPr>
        <w:t xml:space="preserve">the Executive Secretary gave the keynote address “The situation of human rights in Mexico and the response of organized society” at an event at the Center for Inter-Disciplinary Research in Sciences and Humanities (CEIICH: </w:t>
      </w:r>
      <w:r w:rsidR="001A2A98" w:rsidRPr="005A41E0">
        <w:rPr>
          <w:rFonts w:asciiTheme="majorHAnsi" w:hAnsiTheme="majorHAnsi"/>
          <w:sz w:val="20"/>
          <w:szCs w:val="20"/>
          <w:lang w:val="en-US"/>
        </w:rPr>
        <w:t xml:space="preserve">Centro de Investigaciones Interdisciplinarias en Ciencias y Humanidades) </w:t>
      </w:r>
      <w:r>
        <w:rPr>
          <w:rFonts w:asciiTheme="majorHAnsi" w:hAnsiTheme="majorHAnsi"/>
          <w:sz w:val="20"/>
          <w:szCs w:val="20"/>
          <w:lang w:val="en-US"/>
        </w:rPr>
        <w:t xml:space="preserve">of the </w:t>
      </w:r>
      <w:r w:rsidR="001A2A98" w:rsidRPr="005A41E0">
        <w:rPr>
          <w:rFonts w:asciiTheme="majorHAnsi" w:hAnsiTheme="majorHAnsi"/>
          <w:sz w:val="20"/>
          <w:szCs w:val="20"/>
          <w:lang w:val="en-US"/>
        </w:rPr>
        <w:t>Universidad Nacional Autónoma de México (UNAM).</w:t>
      </w:r>
    </w:p>
    <w:p w:rsidR="001A2A98" w:rsidRPr="005A41E0" w:rsidRDefault="001A2A98" w:rsidP="005A41E0">
      <w:pPr>
        <w:rPr>
          <w:rFonts w:asciiTheme="majorHAnsi" w:hAnsiTheme="majorHAnsi"/>
          <w:sz w:val="20"/>
          <w:szCs w:val="20"/>
          <w:lang w:val="en-US"/>
        </w:rPr>
      </w:pPr>
    </w:p>
    <w:p w:rsidR="001A2A98" w:rsidRPr="005A41E0" w:rsidRDefault="00807181" w:rsidP="00503056">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In the context of the Program </w:t>
      </w:r>
      <w:r w:rsidR="00503056">
        <w:rPr>
          <w:rFonts w:asciiTheme="majorHAnsi" w:hAnsiTheme="majorHAnsi"/>
          <w:sz w:val="20"/>
          <w:szCs w:val="20"/>
          <w:lang w:val="en-US"/>
        </w:rPr>
        <w:t xml:space="preserve">of </w:t>
      </w:r>
      <w:r>
        <w:rPr>
          <w:rFonts w:asciiTheme="majorHAnsi" w:hAnsiTheme="majorHAnsi"/>
          <w:sz w:val="20"/>
          <w:szCs w:val="20"/>
          <w:lang w:val="en-US"/>
        </w:rPr>
        <w:t xml:space="preserve">Advanced Studies </w:t>
      </w:r>
      <w:r w:rsidR="00503056">
        <w:rPr>
          <w:rFonts w:asciiTheme="majorHAnsi" w:hAnsiTheme="majorHAnsi"/>
          <w:sz w:val="20"/>
          <w:szCs w:val="20"/>
          <w:lang w:val="en-US"/>
        </w:rPr>
        <w:t xml:space="preserve">on </w:t>
      </w:r>
      <w:r>
        <w:rPr>
          <w:rFonts w:asciiTheme="majorHAnsi" w:hAnsiTheme="majorHAnsi"/>
          <w:sz w:val="20"/>
          <w:szCs w:val="20"/>
          <w:lang w:val="en-US"/>
        </w:rPr>
        <w:t xml:space="preserve">Human Rights and Humanitarian Law of the Academy of Human Rights and Humanitarian Law of </w:t>
      </w:r>
      <w:r w:rsidR="001A2A98" w:rsidRPr="005A41E0">
        <w:rPr>
          <w:rFonts w:asciiTheme="majorHAnsi" w:hAnsiTheme="majorHAnsi"/>
          <w:sz w:val="20"/>
          <w:szCs w:val="20"/>
          <w:lang w:val="en-US"/>
        </w:rPr>
        <w:t>American University</w:t>
      </w:r>
      <w:r>
        <w:rPr>
          <w:rFonts w:asciiTheme="majorHAnsi" w:hAnsiTheme="majorHAnsi"/>
          <w:sz w:val="20"/>
          <w:szCs w:val="20"/>
          <w:lang w:val="en-US"/>
        </w:rPr>
        <w:t>’s</w:t>
      </w:r>
      <w:r w:rsidR="001A2A98" w:rsidRPr="005A41E0">
        <w:rPr>
          <w:rFonts w:asciiTheme="majorHAnsi" w:hAnsiTheme="majorHAnsi"/>
          <w:sz w:val="20"/>
          <w:szCs w:val="20"/>
          <w:lang w:val="en-US"/>
        </w:rPr>
        <w:t xml:space="preserve"> Washington College of Law, </w:t>
      </w:r>
      <w:r>
        <w:rPr>
          <w:rFonts w:asciiTheme="majorHAnsi" w:hAnsiTheme="majorHAnsi"/>
          <w:sz w:val="20"/>
          <w:szCs w:val="20"/>
          <w:lang w:val="en-US"/>
        </w:rPr>
        <w:t xml:space="preserve">on June </w:t>
      </w:r>
      <w:r w:rsidR="001A2A98" w:rsidRPr="005A41E0">
        <w:rPr>
          <w:rFonts w:asciiTheme="majorHAnsi" w:hAnsiTheme="majorHAnsi"/>
          <w:sz w:val="20"/>
          <w:szCs w:val="20"/>
          <w:lang w:val="en-US"/>
        </w:rPr>
        <w:t xml:space="preserve">2 </w:t>
      </w:r>
      <w:r>
        <w:rPr>
          <w:rFonts w:asciiTheme="majorHAnsi" w:hAnsiTheme="majorHAnsi"/>
          <w:sz w:val="20"/>
          <w:szCs w:val="20"/>
          <w:lang w:val="en-US"/>
        </w:rPr>
        <w:t xml:space="preserve">the Executive Secretary gave the lecture </w:t>
      </w:r>
      <w:r w:rsidR="001A2A98" w:rsidRPr="005A41E0">
        <w:rPr>
          <w:rFonts w:asciiTheme="majorHAnsi" w:hAnsiTheme="majorHAnsi"/>
          <w:sz w:val="20"/>
          <w:szCs w:val="20"/>
          <w:lang w:val="en-US"/>
        </w:rPr>
        <w:t>“</w:t>
      </w:r>
      <w:r>
        <w:rPr>
          <w:rFonts w:asciiTheme="majorHAnsi" w:hAnsiTheme="majorHAnsi"/>
          <w:sz w:val="20"/>
          <w:szCs w:val="20"/>
          <w:lang w:val="en-US"/>
        </w:rPr>
        <w:t>The current practice of the supervision by the IACHR in general annual reports on countries and situation of human rights in the hemisphere, as well as the special country and thematic reports</w:t>
      </w:r>
      <w:r w:rsidR="001A2A98" w:rsidRPr="005A41E0">
        <w:rPr>
          <w:rFonts w:asciiTheme="majorHAnsi" w:hAnsiTheme="majorHAnsi"/>
          <w:sz w:val="20"/>
          <w:szCs w:val="20"/>
          <w:lang w:val="en-US"/>
        </w:rPr>
        <w:t xml:space="preserve">, </w:t>
      </w:r>
      <w:r>
        <w:rPr>
          <w:rFonts w:asciiTheme="majorHAnsi" w:hAnsiTheme="majorHAnsi"/>
          <w:sz w:val="20"/>
          <w:szCs w:val="20"/>
          <w:lang w:val="en-US"/>
        </w:rPr>
        <w:t xml:space="preserve">on-site visits, and the rapporteurships.” </w:t>
      </w:r>
    </w:p>
    <w:p w:rsidR="001A2A98" w:rsidRPr="005A41E0" w:rsidRDefault="001A2A98" w:rsidP="005A41E0">
      <w:pPr>
        <w:rPr>
          <w:rFonts w:asciiTheme="majorHAnsi" w:hAnsiTheme="majorHAnsi"/>
          <w:sz w:val="20"/>
          <w:szCs w:val="20"/>
          <w:lang w:val="en-US"/>
        </w:rPr>
      </w:pPr>
    </w:p>
    <w:p w:rsidR="001A2A98" w:rsidRPr="005A41E0" w:rsidRDefault="00807181" w:rsidP="00807181">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June </w:t>
      </w:r>
      <w:r w:rsidR="00AA492B" w:rsidRPr="005A41E0">
        <w:rPr>
          <w:rFonts w:asciiTheme="majorHAnsi" w:hAnsiTheme="majorHAnsi"/>
          <w:sz w:val="20"/>
          <w:szCs w:val="20"/>
          <w:lang w:val="en-US"/>
        </w:rPr>
        <w:t xml:space="preserve">6, </w:t>
      </w:r>
      <w:r>
        <w:rPr>
          <w:rFonts w:asciiTheme="majorHAnsi" w:hAnsiTheme="majorHAnsi"/>
          <w:sz w:val="20"/>
          <w:szCs w:val="20"/>
          <w:lang w:val="en-US"/>
        </w:rPr>
        <w:t>during the special period of sessions of the IACHR in Chile</w:t>
      </w:r>
      <w:r w:rsidR="00777CF1">
        <w:rPr>
          <w:rFonts w:asciiTheme="majorHAnsi" w:hAnsiTheme="majorHAnsi"/>
          <w:sz w:val="20"/>
          <w:szCs w:val="20"/>
          <w:lang w:val="en-US"/>
        </w:rPr>
        <w:t>,</w:t>
      </w:r>
      <w:r>
        <w:rPr>
          <w:rFonts w:asciiTheme="majorHAnsi" w:hAnsiTheme="majorHAnsi"/>
          <w:sz w:val="20"/>
          <w:szCs w:val="20"/>
          <w:lang w:val="en-US"/>
        </w:rPr>
        <w:t xml:space="preserve"> the Executive Secretary was a discussant in the seminar </w:t>
      </w:r>
      <w:r w:rsidR="001A2A98" w:rsidRPr="005A41E0">
        <w:rPr>
          <w:rFonts w:asciiTheme="majorHAnsi" w:hAnsiTheme="majorHAnsi"/>
          <w:sz w:val="20"/>
          <w:szCs w:val="20"/>
          <w:lang w:val="en-US"/>
        </w:rPr>
        <w:t>“</w:t>
      </w:r>
      <w:r>
        <w:rPr>
          <w:rFonts w:asciiTheme="majorHAnsi" w:hAnsiTheme="majorHAnsi"/>
          <w:sz w:val="20"/>
          <w:szCs w:val="20"/>
          <w:lang w:val="en-US"/>
        </w:rPr>
        <w:t xml:space="preserve">Business and Human Rights: Inter-American standards and conclusions of the baseline study for </w:t>
      </w:r>
      <w:r w:rsidR="001A2A98" w:rsidRPr="005A41E0">
        <w:rPr>
          <w:rFonts w:asciiTheme="majorHAnsi" w:hAnsiTheme="majorHAnsi"/>
          <w:sz w:val="20"/>
          <w:szCs w:val="20"/>
          <w:lang w:val="en-US"/>
        </w:rPr>
        <w:t>Chile</w:t>
      </w:r>
      <w:r>
        <w:rPr>
          <w:rFonts w:asciiTheme="majorHAnsi" w:hAnsiTheme="majorHAnsi"/>
          <w:sz w:val="20"/>
          <w:szCs w:val="20"/>
          <w:lang w:val="en-US"/>
        </w:rPr>
        <w:t>,</w:t>
      </w:r>
      <w:r w:rsidR="001A2A98" w:rsidRPr="005A41E0">
        <w:rPr>
          <w:rFonts w:asciiTheme="majorHAnsi" w:hAnsiTheme="majorHAnsi"/>
          <w:sz w:val="20"/>
          <w:szCs w:val="20"/>
          <w:lang w:val="en-US"/>
        </w:rPr>
        <w:t>”</w:t>
      </w:r>
      <w:r>
        <w:rPr>
          <w:rFonts w:asciiTheme="majorHAnsi" w:hAnsiTheme="majorHAnsi"/>
          <w:sz w:val="20"/>
          <w:szCs w:val="20"/>
          <w:lang w:val="en-US"/>
        </w:rPr>
        <w:t xml:space="preserve"> organized by the Human Rights Center at the </w:t>
      </w:r>
      <w:r w:rsidR="001A2A98" w:rsidRPr="005A41E0">
        <w:rPr>
          <w:rFonts w:asciiTheme="majorHAnsi" w:hAnsiTheme="majorHAnsi"/>
          <w:sz w:val="20"/>
          <w:szCs w:val="20"/>
          <w:lang w:val="en-US"/>
        </w:rPr>
        <w:t xml:space="preserve">Universidad Diego Portales, </w:t>
      </w:r>
      <w:r>
        <w:rPr>
          <w:rFonts w:asciiTheme="majorHAnsi" w:hAnsiTheme="majorHAnsi"/>
          <w:sz w:val="20"/>
          <w:szCs w:val="20"/>
          <w:lang w:val="en-US"/>
        </w:rPr>
        <w:t xml:space="preserve">with the sponsorship of the Inter-American Commission. </w:t>
      </w:r>
    </w:p>
    <w:p w:rsidR="001A2A98" w:rsidRPr="005A41E0" w:rsidRDefault="001A2A98" w:rsidP="005A41E0">
      <w:pPr>
        <w:rPr>
          <w:rFonts w:asciiTheme="majorHAnsi" w:hAnsiTheme="majorHAnsi"/>
          <w:sz w:val="20"/>
          <w:szCs w:val="20"/>
          <w:lang w:val="en-US"/>
        </w:rPr>
      </w:pPr>
    </w:p>
    <w:p w:rsidR="001A2A98" w:rsidRPr="005A41E0" w:rsidRDefault="00807181" w:rsidP="00777CF1">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On August the Executive Secretary participated as a speaker at the International Human Rights Symposium, addressing the topic “The state of danger of human rights in the Americas: The need to strengthen the regional system for the protection of human rights.</w:t>
      </w:r>
      <w:r w:rsidR="001A2A98" w:rsidRPr="005A41E0">
        <w:rPr>
          <w:rFonts w:asciiTheme="majorHAnsi" w:hAnsiTheme="majorHAnsi"/>
          <w:sz w:val="20"/>
          <w:szCs w:val="20"/>
          <w:lang w:val="en-US"/>
        </w:rPr>
        <w:t xml:space="preserve">” </w:t>
      </w:r>
      <w:r>
        <w:rPr>
          <w:rFonts w:asciiTheme="majorHAnsi" w:hAnsiTheme="majorHAnsi"/>
          <w:sz w:val="20"/>
          <w:szCs w:val="20"/>
          <w:lang w:val="en-US"/>
        </w:rPr>
        <w:t xml:space="preserve">The seminar was held in </w:t>
      </w:r>
      <w:r w:rsidR="001A2A98" w:rsidRPr="005A41E0">
        <w:rPr>
          <w:rFonts w:asciiTheme="majorHAnsi" w:hAnsiTheme="majorHAnsi"/>
          <w:sz w:val="20"/>
          <w:szCs w:val="20"/>
          <w:lang w:val="en-US"/>
        </w:rPr>
        <w:t>Curitiba, Bra</w:t>
      </w:r>
      <w:r>
        <w:rPr>
          <w:rFonts w:asciiTheme="majorHAnsi" w:hAnsiTheme="majorHAnsi"/>
          <w:sz w:val="20"/>
          <w:szCs w:val="20"/>
          <w:lang w:val="en-US"/>
        </w:rPr>
        <w:t xml:space="preserve">zil, organized by the National Justice Council of Brazil. </w:t>
      </w:r>
    </w:p>
    <w:p w:rsidR="001A2A98" w:rsidRPr="005A41E0" w:rsidRDefault="001A2A98" w:rsidP="005A41E0">
      <w:pPr>
        <w:rPr>
          <w:rFonts w:asciiTheme="majorHAnsi" w:hAnsiTheme="majorHAnsi"/>
          <w:sz w:val="20"/>
          <w:szCs w:val="20"/>
          <w:lang w:val="en-US"/>
        </w:rPr>
      </w:pPr>
    </w:p>
    <w:p w:rsidR="001A2A98" w:rsidRPr="005A41E0" w:rsidRDefault="00807181" w:rsidP="009E2CA3">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During the visit of the IACHR to Mexico from August 28 to 31, under the leadership of President James Cavallaro, Executive Secretary </w:t>
      </w:r>
      <w:r w:rsidR="001A2A98" w:rsidRPr="005A41E0">
        <w:rPr>
          <w:rFonts w:asciiTheme="majorHAnsi" w:hAnsiTheme="majorHAnsi"/>
          <w:sz w:val="20"/>
          <w:szCs w:val="20"/>
          <w:lang w:val="en-US"/>
        </w:rPr>
        <w:t>Paulo Abr</w:t>
      </w:r>
      <w:r w:rsidR="00524D77" w:rsidRPr="005A41E0">
        <w:rPr>
          <w:rFonts w:asciiTheme="majorHAnsi" w:hAnsiTheme="majorHAnsi" w:cs="Arial"/>
          <w:sz w:val="20"/>
          <w:szCs w:val="20"/>
          <w:lang w:val="en-US"/>
        </w:rPr>
        <w:t>ã</w:t>
      </w:r>
      <w:r>
        <w:rPr>
          <w:rFonts w:asciiTheme="majorHAnsi" w:hAnsiTheme="majorHAnsi"/>
          <w:sz w:val="20"/>
          <w:szCs w:val="20"/>
          <w:lang w:val="en-US"/>
        </w:rPr>
        <w:t xml:space="preserve">o participated in a working meeting with the Secretary </w:t>
      </w:r>
      <w:r w:rsidR="001A2A98" w:rsidRPr="005A41E0">
        <w:rPr>
          <w:rFonts w:asciiTheme="majorHAnsi" w:hAnsiTheme="majorHAnsi"/>
          <w:sz w:val="20"/>
          <w:szCs w:val="20"/>
          <w:lang w:val="en-US"/>
        </w:rPr>
        <w:t xml:space="preserve">General </w:t>
      </w:r>
      <w:r>
        <w:rPr>
          <w:rFonts w:asciiTheme="majorHAnsi" w:hAnsiTheme="majorHAnsi"/>
          <w:sz w:val="20"/>
          <w:szCs w:val="20"/>
          <w:lang w:val="en-US"/>
        </w:rPr>
        <w:t>of the OAS and members of the Inter-American Court</w:t>
      </w:r>
      <w:r w:rsidR="00AA492B" w:rsidRPr="005A41E0">
        <w:rPr>
          <w:rFonts w:asciiTheme="majorHAnsi" w:hAnsiTheme="majorHAnsi"/>
          <w:sz w:val="20"/>
          <w:szCs w:val="20"/>
          <w:lang w:val="en-US"/>
        </w:rPr>
        <w:t xml:space="preserve">. </w:t>
      </w:r>
      <w:r w:rsidR="009E2CA3">
        <w:rPr>
          <w:rFonts w:asciiTheme="majorHAnsi" w:hAnsiTheme="majorHAnsi"/>
          <w:sz w:val="20"/>
          <w:szCs w:val="20"/>
          <w:lang w:val="en-US"/>
        </w:rPr>
        <w:t>That meeting included discussion of issues of mutual interest, such as the financial crisis of the inter-American human righ</w:t>
      </w:r>
      <w:r w:rsidR="00FB650E">
        <w:rPr>
          <w:rFonts w:asciiTheme="majorHAnsi" w:hAnsiTheme="majorHAnsi"/>
          <w:sz w:val="20"/>
          <w:szCs w:val="20"/>
          <w:lang w:val="en-US"/>
        </w:rPr>
        <w:t xml:space="preserve">ts system and its consequences; </w:t>
      </w:r>
      <w:r w:rsidR="009E2CA3">
        <w:rPr>
          <w:rFonts w:asciiTheme="majorHAnsi" w:hAnsiTheme="majorHAnsi"/>
          <w:sz w:val="20"/>
          <w:szCs w:val="20"/>
          <w:lang w:val="en-US"/>
        </w:rPr>
        <w:t xml:space="preserve">and some joint strategies were delineated to address the situation. </w:t>
      </w:r>
    </w:p>
    <w:p w:rsidR="001A2A98" w:rsidRPr="005A41E0" w:rsidRDefault="001A2A98" w:rsidP="005A41E0">
      <w:pPr>
        <w:shd w:val="clear" w:color="auto" w:fill="FFFFFF"/>
        <w:jc w:val="both"/>
        <w:rPr>
          <w:rFonts w:asciiTheme="majorHAnsi" w:hAnsiTheme="majorHAnsi"/>
          <w:sz w:val="20"/>
          <w:szCs w:val="20"/>
          <w:lang w:val="en-US"/>
        </w:rPr>
      </w:pPr>
    </w:p>
    <w:p w:rsidR="001A2A98" w:rsidRPr="005A41E0" w:rsidRDefault="009E2CA3" w:rsidP="004F7300">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At the invitation of the Government of </w:t>
      </w:r>
      <w:r w:rsidR="001A2A98" w:rsidRPr="005A41E0">
        <w:rPr>
          <w:rFonts w:asciiTheme="majorHAnsi" w:hAnsiTheme="majorHAnsi"/>
          <w:sz w:val="20"/>
          <w:szCs w:val="20"/>
          <w:lang w:val="en-US"/>
        </w:rPr>
        <w:t xml:space="preserve">Colombia, </w:t>
      </w:r>
      <w:r w:rsidR="004F7300">
        <w:rPr>
          <w:rFonts w:asciiTheme="majorHAnsi" w:hAnsiTheme="majorHAnsi"/>
          <w:sz w:val="20"/>
          <w:szCs w:val="20"/>
          <w:lang w:val="en-US"/>
        </w:rPr>
        <w:t xml:space="preserve">the Executive Secretary travelled to the city of </w:t>
      </w:r>
      <w:r w:rsidR="001A2A98" w:rsidRPr="005A41E0">
        <w:rPr>
          <w:rFonts w:asciiTheme="majorHAnsi" w:hAnsiTheme="majorHAnsi"/>
          <w:sz w:val="20"/>
          <w:szCs w:val="20"/>
          <w:lang w:val="en-US"/>
        </w:rPr>
        <w:t xml:space="preserve">Cartagena, Colombia, </w:t>
      </w:r>
      <w:r w:rsidR="004F7300">
        <w:rPr>
          <w:rFonts w:asciiTheme="majorHAnsi" w:hAnsiTheme="majorHAnsi"/>
          <w:sz w:val="20"/>
          <w:szCs w:val="20"/>
          <w:lang w:val="en-US"/>
        </w:rPr>
        <w:t xml:space="preserve">to participate in the ceremony of the signing of the Final Peace Agreement, held September </w:t>
      </w:r>
      <w:r w:rsidR="00AA492B" w:rsidRPr="005A41E0">
        <w:rPr>
          <w:rFonts w:asciiTheme="majorHAnsi" w:hAnsiTheme="majorHAnsi"/>
          <w:sz w:val="20"/>
          <w:szCs w:val="20"/>
          <w:lang w:val="en-US"/>
        </w:rPr>
        <w:t>26</w:t>
      </w:r>
      <w:r w:rsidR="001A2A98" w:rsidRPr="005A41E0">
        <w:rPr>
          <w:rFonts w:asciiTheme="majorHAnsi" w:hAnsiTheme="majorHAnsi"/>
          <w:sz w:val="20"/>
          <w:szCs w:val="20"/>
          <w:lang w:val="en-US"/>
        </w:rPr>
        <w:t>.</w:t>
      </w:r>
    </w:p>
    <w:p w:rsidR="001A2A98" w:rsidRPr="005A41E0" w:rsidRDefault="001A2A98" w:rsidP="005A41E0">
      <w:pPr>
        <w:rPr>
          <w:rFonts w:asciiTheme="majorHAnsi" w:hAnsiTheme="majorHAnsi"/>
          <w:sz w:val="20"/>
          <w:szCs w:val="20"/>
          <w:lang w:val="en-US"/>
        </w:rPr>
      </w:pPr>
    </w:p>
    <w:p w:rsidR="001A2A98" w:rsidRPr="005A41E0" w:rsidRDefault="004F7300" w:rsidP="007478A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The Executive Secretary provided technical support to President Cavallaro during the regular session of the Permanent Council of the OAS held October </w:t>
      </w:r>
      <w:r w:rsidR="001A2A98" w:rsidRPr="005A41E0">
        <w:rPr>
          <w:rFonts w:asciiTheme="majorHAnsi" w:hAnsiTheme="majorHAnsi"/>
          <w:sz w:val="20"/>
          <w:szCs w:val="20"/>
          <w:lang w:val="en-US"/>
        </w:rPr>
        <w:t>19</w:t>
      </w:r>
      <w:r w:rsidR="00AA492B" w:rsidRPr="005A41E0">
        <w:rPr>
          <w:rFonts w:asciiTheme="majorHAnsi" w:hAnsiTheme="majorHAnsi"/>
          <w:sz w:val="20"/>
          <w:szCs w:val="20"/>
          <w:lang w:val="en-US"/>
        </w:rPr>
        <w:t>.</w:t>
      </w:r>
      <w:r w:rsidR="001A2A98" w:rsidRPr="005A41E0">
        <w:rPr>
          <w:rFonts w:asciiTheme="majorHAnsi" w:hAnsiTheme="majorHAnsi"/>
          <w:sz w:val="20"/>
          <w:szCs w:val="20"/>
          <w:lang w:val="en-US"/>
        </w:rPr>
        <w:t xml:space="preserve"> </w:t>
      </w:r>
      <w:r>
        <w:rPr>
          <w:rFonts w:asciiTheme="majorHAnsi" w:hAnsiTheme="majorHAnsi"/>
          <w:sz w:val="20"/>
          <w:szCs w:val="20"/>
          <w:lang w:val="en-US"/>
        </w:rPr>
        <w:t xml:space="preserve">In that session, along with the President of the Inter-American Court, Judge </w:t>
      </w:r>
      <w:r w:rsidR="001A2A98" w:rsidRPr="005A41E0">
        <w:rPr>
          <w:rFonts w:asciiTheme="majorHAnsi" w:hAnsiTheme="majorHAnsi"/>
          <w:sz w:val="20"/>
          <w:szCs w:val="20"/>
          <w:lang w:val="en-US"/>
        </w:rPr>
        <w:t xml:space="preserve">Roberto Caldas, </w:t>
      </w:r>
      <w:r w:rsidR="007478AB">
        <w:rPr>
          <w:rFonts w:asciiTheme="majorHAnsi" w:hAnsiTheme="majorHAnsi"/>
          <w:sz w:val="20"/>
          <w:szCs w:val="20"/>
          <w:lang w:val="en-US"/>
        </w:rPr>
        <w:t xml:space="preserve">the proposal was presented for strengthening the inter-American human rights system, which both organs forwarded to the Secretary General of the OAS on September </w:t>
      </w:r>
      <w:r w:rsidR="001A2A98" w:rsidRPr="005A41E0">
        <w:rPr>
          <w:rFonts w:asciiTheme="majorHAnsi" w:hAnsiTheme="majorHAnsi"/>
          <w:sz w:val="20"/>
          <w:szCs w:val="20"/>
          <w:lang w:val="en-US"/>
        </w:rPr>
        <w:t>30</w:t>
      </w:r>
      <w:r w:rsidR="007478AB">
        <w:rPr>
          <w:rFonts w:asciiTheme="majorHAnsi" w:hAnsiTheme="majorHAnsi"/>
          <w:sz w:val="20"/>
          <w:szCs w:val="20"/>
          <w:lang w:val="en-US"/>
        </w:rPr>
        <w:t>,</w:t>
      </w:r>
      <w:r w:rsidR="001A2A98" w:rsidRPr="005A41E0">
        <w:rPr>
          <w:rFonts w:asciiTheme="majorHAnsi" w:hAnsiTheme="majorHAnsi"/>
          <w:sz w:val="20"/>
          <w:szCs w:val="20"/>
          <w:lang w:val="en-US"/>
        </w:rPr>
        <w:t xml:space="preserve"> 2016.</w:t>
      </w:r>
    </w:p>
    <w:p w:rsidR="001A2A98" w:rsidRPr="005A41E0" w:rsidRDefault="001A2A98" w:rsidP="005A41E0">
      <w:pPr>
        <w:rPr>
          <w:rFonts w:asciiTheme="majorHAnsi" w:hAnsiTheme="majorHAnsi"/>
          <w:sz w:val="20"/>
          <w:szCs w:val="20"/>
          <w:lang w:val="en-US"/>
        </w:rPr>
      </w:pPr>
    </w:p>
    <w:p w:rsidR="001A2A98" w:rsidRPr="005A41E0" w:rsidRDefault="007478AB" w:rsidP="007478AB">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November </w:t>
      </w:r>
      <w:r w:rsidR="001A2A98" w:rsidRPr="005A41E0">
        <w:rPr>
          <w:rFonts w:asciiTheme="majorHAnsi" w:hAnsiTheme="majorHAnsi"/>
          <w:sz w:val="20"/>
          <w:szCs w:val="20"/>
          <w:lang w:val="en-US"/>
        </w:rPr>
        <w:t>10</w:t>
      </w:r>
      <w:r>
        <w:rPr>
          <w:rFonts w:asciiTheme="majorHAnsi" w:hAnsiTheme="majorHAnsi"/>
          <w:sz w:val="20"/>
          <w:szCs w:val="20"/>
          <w:lang w:val="en-US"/>
        </w:rPr>
        <w:t>,</w:t>
      </w:r>
      <w:r w:rsidR="001A2A98" w:rsidRPr="005A41E0">
        <w:rPr>
          <w:rFonts w:asciiTheme="majorHAnsi" w:hAnsiTheme="majorHAnsi"/>
          <w:sz w:val="20"/>
          <w:szCs w:val="20"/>
          <w:lang w:val="en-US"/>
        </w:rPr>
        <w:t xml:space="preserve"> 2016, </w:t>
      </w:r>
      <w:r>
        <w:rPr>
          <w:rFonts w:asciiTheme="majorHAnsi" w:hAnsiTheme="majorHAnsi"/>
          <w:sz w:val="20"/>
          <w:szCs w:val="20"/>
          <w:lang w:val="en-US"/>
        </w:rPr>
        <w:t xml:space="preserve">in Mexico City, the Executive Secretary participated in the presentation of the Work Plan of the Mechanism for Follow-up of the precautionary measure granted on behalf of the students from the </w:t>
      </w:r>
      <w:r w:rsidR="001A2A98" w:rsidRPr="005A41E0">
        <w:rPr>
          <w:rFonts w:asciiTheme="majorHAnsi" w:hAnsiTheme="majorHAnsi"/>
          <w:sz w:val="20"/>
          <w:szCs w:val="20"/>
          <w:lang w:val="en-US"/>
        </w:rPr>
        <w:t xml:space="preserve">“Raúl Isidro Burgos” </w:t>
      </w:r>
      <w:r>
        <w:rPr>
          <w:rFonts w:asciiTheme="majorHAnsi" w:hAnsiTheme="majorHAnsi"/>
          <w:sz w:val="20"/>
          <w:szCs w:val="20"/>
          <w:lang w:val="en-US"/>
        </w:rPr>
        <w:t xml:space="preserve">rural school of Ayotzinapa and the recommendations of the Interdisciplinary Group of Independent Experts </w:t>
      </w:r>
      <w:r w:rsidR="001A2A98" w:rsidRPr="005A41E0">
        <w:rPr>
          <w:rFonts w:asciiTheme="majorHAnsi" w:hAnsiTheme="majorHAnsi"/>
          <w:sz w:val="20"/>
          <w:szCs w:val="20"/>
          <w:lang w:val="en-US"/>
        </w:rPr>
        <w:t>(GIEI).</w:t>
      </w:r>
    </w:p>
    <w:p w:rsidR="001A2A98" w:rsidRPr="005A41E0" w:rsidRDefault="00BA3064" w:rsidP="005A41E0">
      <w:pPr>
        <w:rPr>
          <w:rFonts w:asciiTheme="majorHAnsi" w:hAnsiTheme="majorHAnsi"/>
          <w:sz w:val="20"/>
          <w:szCs w:val="20"/>
          <w:lang w:val="en-US"/>
        </w:rPr>
      </w:pPr>
      <w:r>
        <w:rPr>
          <w:rFonts w:asciiTheme="majorHAnsi" w:hAnsiTheme="majorHAnsi"/>
          <w:sz w:val="20"/>
          <w:szCs w:val="20"/>
          <w:lang w:val="en-US"/>
        </w:rPr>
        <w:t xml:space="preserve"> </w:t>
      </w:r>
    </w:p>
    <w:p w:rsidR="001A2A98" w:rsidRPr="005A41E0" w:rsidRDefault="00502378" w:rsidP="00502378">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December </w:t>
      </w:r>
      <w:r w:rsidR="001A2A98" w:rsidRPr="005A41E0">
        <w:rPr>
          <w:rFonts w:asciiTheme="majorHAnsi" w:hAnsiTheme="majorHAnsi"/>
          <w:sz w:val="20"/>
          <w:szCs w:val="20"/>
          <w:lang w:val="en-US"/>
        </w:rPr>
        <w:t xml:space="preserve">15 </w:t>
      </w:r>
      <w:r>
        <w:rPr>
          <w:rFonts w:asciiTheme="majorHAnsi" w:hAnsiTheme="majorHAnsi"/>
          <w:sz w:val="20"/>
          <w:szCs w:val="20"/>
          <w:lang w:val="en-US"/>
        </w:rPr>
        <w:t>a day of work and training on Public Policy with a Human Rights Approach was held in Washington, DC</w:t>
      </w:r>
      <w:r w:rsidR="001A2A98" w:rsidRPr="005A41E0">
        <w:rPr>
          <w:rFonts w:asciiTheme="majorHAnsi" w:hAnsiTheme="majorHAnsi"/>
          <w:sz w:val="20"/>
          <w:szCs w:val="20"/>
          <w:lang w:val="en-US"/>
        </w:rPr>
        <w:t xml:space="preserve">, </w:t>
      </w:r>
      <w:r>
        <w:rPr>
          <w:rFonts w:asciiTheme="majorHAnsi" w:hAnsiTheme="majorHAnsi"/>
          <w:sz w:val="20"/>
          <w:szCs w:val="20"/>
          <w:lang w:val="en-US"/>
        </w:rPr>
        <w:t xml:space="preserve">sponsored by the </w:t>
      </w:r>
      <w:r w:rsidRPr="00502378">
        <w:rPr>
          <w:rFonts w:asciiTheme="majorHAnsi" w:hAnsiTheme="majorHAnsi"/>
          <w:sz w:val="20"/>
          <w:szCs w:val="20"/>
          <w:lang w:val="en-US"/>
        </w:rPr>
        <w:t xml:space="preserve">Inter-American Social Responsibility and Human Rights Institute </w:t>
      </w:r>
      <w:r w:rsidR="001A2A98" w:rsidRPr="005A41E0">
        <w:rPr>
          <w:rFonts w:asciiTheme="majorHAnsi" w:hAnsiTheme="majorHAnsi"/>
          <w:sz w:val="20"/>
          <w:szCs w:val="20"/>
          <w:lang w:val="en-US"/>
        </w:rPr>
        <w:t>(IIRSODH).</w:t>
      </w:r>
    </w:p>
    <w:p w:rsidR="001A2A98" w:rsidRPr="005A41E0" w:rsidRDefault="001A2A98" w:rsidP="005A41E0">
      <w:pPr>
        <w:rPr>
          <w:rFonts w:asciiTheme="majorHAnsi" w:hAnsiTheme="majorHAnsi"/>
          <w:sz w:val="20"/>
          <w:szCs w:val="20"/>
          <w:lang w:val="en-US"/>
        </w:rPr>
      </w:pPr>
    </w:p>
    <w:p w:rsidR="00A257F3" w:rsidRPr="005A41E0" w:rsidRDefault="00502378" w:rsidP="00502378">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December </w:t>
      </w:r>
      <w:r w:rsidR="00AA492B" w:rsidRPr="005A41E0">
        <w:rPr>
          <w:rFonts w:asciiTheme="majorHAnsi" w:hAnsiTheme="majorHAnsi"/>
          <w:sz w:val="20"/>
          <w:szCs w:val="20"/>
          <w:lang w:val="en-US"/>
        </w:rPr>
        <w:t xml:space="preserve">22 </w:t>
      </w:r>
      <w:r>
        <w:rPr>
          <w:rFonts w:asciiTheme="majorHAnsi" w:hAnsiTheme="majorHAnsi"/>
          <w:sz w:val="20"/>
          <w:szCs w:val="20"/>
          <w:lang w:val="en-US"/>
        </w:rPr>
        <w:t xml:space="preserve">the Executive Secretary participated in the presentation of the preliminary report of the IACHR on </w:t>
      </w:r>
      <w:r w:rsidR="00AA492B" w:rsidRPr="005A41E0">
        <w:rPr>
          <w:rFonts w:asciiTheme="majorHAnsi" w:hAnsiTheme="majorHAnsi"/>
          <w:sz w:val="20"/>
          <w:szCs w:val="20"/>
          <w:lang w:val="en-US"/>
        </w:rPr>
        <w:t>“</w:t>
      </w:r>
      <w:r>
        <w:rPr>
          <w:rFonts w:asciiTheme="majorHAnsi" w:hAnsiTheme="majorHAnsi"/>
          <w:sz w:val="20"/>
          <w:szCs w:val="20"/>
          <w:lang w:val="en-US"/>
        </w:rPr>
        <w:t>Poverty, Extreme Poverty and Human Rights in the Americas.” The presentation was made at the Institute of Public Policies on Human Rights of Mercosur in Buenos A</w:t>
      </w:r>
      <w:r w:rsidR="00AA492B" w:rsidRPr="005A41E0">
        <w:rPr>
          <w:rFonts w:asciiTheme="majorHAnsi" w:hAnsiTheme="majorHAnsi"/>
          <w:sz w:val="20"/>
          <w:szCs w:val="20"/>
          <w:lang w:val="en-US"/>
        </w:rPr>
        <w:t>i</w:t>
      </w:r>
      <w:r>
        <w:rPr>
          <w:rFonts w:asciiTheme="majorHAnsi" w:hAnsiTheme="majorHAnsi"/>
          <w:sz w:val="20"/>
          <w:szCs w:val="20"/>
          <w:lang w:val="en-US"/>
        </w:rPr>
        <w:t>r</w:t>
      </w:r>
      <w:r w:rsidR="00AA492B" w:rsidRPr="005A41E0">
        <w:rPr>
          <w:rFonts w:asciiTheme="majorHAnsi" w:hAnsiTheme="majorHAnsi"/>
          <w:sz w:val="20"/>
          <w:szCs w:val="20"/>
          <w:lang w:val="en-US"/>
        </w:rPr>
        <w:t xml:space="preserve">es, </w:t>
      </w:r>
      <w:r w:rsidR="001A2A98" w:rsidRPr="005A41E0">
        <w:rPr>
          <w:rFonts w:asciiTheme="majorHAnsi" w:hAnsiTheme="majorHAnsi"/>
          <w:sz w:val="20"/>
          <w:szCs w:val="20"/>
          <w:lang w:val="en-US"/>
        </w:rPr>
        <w:t xml:space="preserve">Argentina, </w:t>
      </w:r>
      <w:r>
        <w:rPr>
          <w:rFonts w:asciiTheme="majorHAnsi" w:hAnsiTheme="majorHAnsi"/>
          <w:sz w:val="20"/>
          <w:szCs w:val="20"/>
          <w:lang w:val="en-US"/>
        </w:rPr>
        <w:t xml:space="preserve">where it was announced that a period was beginning for taking in comments and additional information. </w:t>
      </w:r>
    </w:p>
    <w:p w:rsidR="00A257F3" w:rsidRPr="005A41E0" w:rsidRDefault="00A257F3" w:rsidP="005A41E0">
      <w:pPr>
        <w:rPr>
          <w:rFonts w:asciiTheme="majorHAnsi" w:hAnsiTheme="majorHAnsi"/>
          <w:sz w:val="20"/>
          <w:szCs w:val="20"/>
          <w:lang w:val="en-US"/>
        </w:rPr>
      </w:pPr>
    </w:p>
    <w:p w:rsidR="005D7CC2" w:rsidRPr="005A41E0" w:rsidRDefault="00502378" w:rsidP="00502378">
      <w:pPr>
        <w:pStyle w:val="Heading3"/>
        <w:keepNext w:val="0"/>
        <w:keepLines w:val="0"/>
        <w:spacing w:before="0"/>
        <w:jc w:val="both"/>
        <w:rPr>
          <w:sz w:val="20"/>
          <w:szCs w:val="20"/>
          <w:lang w:val="en-US"/>
        </w:rPr>
      </w:pPr>
      <w:r>
        <w:rPr>
          <w:sz w:val="20"/>
          <w:szCs w:val="20"/>
          <w:lang w:val="en-US"/>
        </w:rPr>
        <w:lastRenderedPageBreak/>
        <w:t>Activities of the Office of the Assistant Executive Secretary</w:t>
      </w:r>
      <w:r w:rsidR="005D7CC2" w:rsidRPr="005A41E0">
        <w:rPr>
          <w:sz w:val="20"/>
          <w:szCs w:val="20"/>
          <w:lang w:val="en-US"/>
        </w:rPr>
        <w:t xml:space="preserve"> </w:t>
      </w:r>
    </w:p>
    <w:p w:rsidR="00A257F3" w:rsidRPr="005A41E0" w:rsidRDefault="00A257F3" w:rsidP="005A41E0">
      <w:pPr>
        <w:rPr>
          <w:rFonts w:asciiTheme="majorHAnsi" w:hAnsiTheme="majorHAnsi"/>
          <w:sz w:val="20"/>
          <w:szCs w:val="20"/>
          <w:lang w:val="en-US"/>
        </w:rPr>
      </w:pPr>
    </w:p>
    <w:p w:rsidR="005D7CC2" w:rsidRPr="005A41E0" w:rsidRDefault="005D7CC2" w:rsidP="00502378">
      <w:pPr>
        <w:pStyle w:val="Heading4"/>
        <w:numPr>
          <w:ilvl w:val="0"/>
          <w:numId w:val="34"/>
        </w:numPr>
        <w:ind w:left="1440" w:hanging="720"/>
        <w:rPr>
          <w:sz w:val="20"/>
          <w:szCs w:val="20"/>
          <w:lang w:val="en-US"/>
        </w:rPr>
      </w:pPr>
      <w:r w:rsidRPr="005A41E0">
        <w:rPr>
          <w:sz w:val="20"/>
          <w:szCs w:val="20"/>
          <w:lang w:val="en-US"/>
        </w:rPr>
        <w:t>Activi</w:t>
      </w:r>
      <w:r w:rsidR="00502378">
        <w:rPr>
          <w:sz w:val="20"/>
          <w:szCs w:val="20"/>
          <w:lang w:val="en-US"/>
        </w:rPr>
        <w:t>ti</w:t>
      </w:r>
      <w:r w:rsidRPr="005A41E0">
        <w:rPr>
          <w:sz w:val="20"/>
          <w:szCs w:val="20"/>
          <w:lang w:val="en-US"/>
        </w:rPr>
        <w:t xml:space="preserve">es </w:t>
      </w:r>
      <w:r w:rsidR="00502378">
        <w:rPr>
          <w:sz w:val="20"/>
          <w:szCs w:val="20"/>
          <w:lang w:val="en-US"/>
        </w:rPr>
        <w:t xml:space="preserve">of the Court Group and the Merits Group </w:t>
      </w:r>
    </w:p>
    <w:p w:rsidR="005D7CC2" w:rsidRPr="005A41E0" w:rsidRDefault="005D7CC2" w:rsidP="005A41E0">
      <w:pPr>
        <w:ind w:firstLine="720"/>
        <w:rPr>
          <w:rFonts w:asciiTheme="majorHAnsi" w:hAnsiTheme="majorHAnsi"/>
          <w:sz w:val="20"/>
          <w:szCs w:val="20"/>
          <w:lang w:val="en-US"/>
        </w:rPr>
      </w:pPr>
    </w:p>
    <w:p w:rsidR="004B75F3" w:rsidRPr="005A41E0" w:rsidRDefault="00502378" w:rsidP="00086475">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September </w:t>
      </w:r>
      <w:r w:rsidR="004B75F3" w:rsidRPr="005A41E0">
        <w:rPr>
          <w:rFonts w:asciiTheme="majorHAnsi" w:hAnsiTheme="majorHAnsi"/>
          <w:sz w:val="20"/>
          <w:szCs w:val="20"/>
          <w:lang w:val="en-US"/>
        </w:rPr>
        <w:t>1</w:t>
      </w:r>
      <w:r>
        <w:rPr>
          <w:rFonts w:asciiTheme="majorHAnsi" w:hAnsiTheme="majorHAnsi"/>
          <w:sz w:val="20"/>
          <w:szCs w:val="20"/>
          <w:lang w:val="en-US"/>
        </w:rPr>
        <w:t xml:space="preserve">, </w:t>
      </w:r>
      <w:r w:rsidR="004B75F3" w:rsidRPr="005A41E0">
        <w:rPr>
          <w:rFonts w:asciiTheme="majorHAnsi" w:hAnsiTheme="majorHAnsi"/>
          <w:sz w:val="20"/>
          <w:szCs w:val="20"/>
          <w:lang w:val="en-US"/>
        </w:rPr>
        <w:t xml:space="preserve">2016, </w:t>
      </w:r>
      <w:r>
        <w:rPr>
          <w:rFonts w:asciiTheme="majorHAnsi" w:hAnsiTheme="majorHAnsi"/>
          <w:sz w:val="20"/>
          <w:szCs w:val="20"/>
          <w:lang w:val="en-US"/>
        </w:rPr>
        <w:t xml:space="preserve">staff from the Secretariat attended the </w:t>
      </w:r>
      <w:r w:rsidR="004B75F3" w:rsidRPr="005A41E0">
        <w:rPr>
          <w:rFonts w:asciiTheme="majorHAnsi" w:hAnsiTheme="majorHAnsi"/>
          <w:sz w:val="20"/>
          <w:szCs w:val="20"/>
          <w:lang w:val="en-US"/>
        </w:rPr>
        <w:t xml:space="preserve">"Sergio García Ramírez" </w:t>
      </w:r>
      <w:r>
        <w:rPr>
          <w:rFonts w:asciiTheme="majorHAnsi" w:hAnsiTheme="majorHAnsi"/>
          <w:sz w:val="20"/>
          <w:szCs w:val="20"/>
          <w:lang w:val="en-US"/>
        </w:rPr>
        <w:t xml:space="preserve">University Competition at the School of Law of the </w:t>
      </w:r>
      <w:r w:rsidR="004B75F3" w:rsidRPr="005A41E0">
        <w:rPr>
          <w:rFonts w:asciiTheme="majorHAnsi" w:hAnsiTheme="majorHAnsi"/>
          <w:sz w:val="20"/>
          <w:szCs w:val="20"/>
          <w:lang w:val="en-US"/>
        </w:rPr>
        <w:t>Universidad Nacional Autónoma de México</w:t>
      </w:r>
      <w:r>
        <w:rPr>
          <w:rFonts w:asciiTheme="majorHAnsi" w:hAnsiTheme="majorHAnsi"/>
          <w:sz w:val="20"/>
          <w:szCs w:val="20"/>
          <w:lang w:val="en-US"/>
        </w:rPr>
        <w:t>, where the Assistant Executive Secretary participated as a judge in the simulation of a proceeding before the IACHR and the Inter-American Court (semifinal round</w:t>
      </w:r>
      <w:r w:rsidR="004B75F3" w:rsidRPr="005A41E0">
        <w:rPr>
          <w:rFonts w:asciiTheme="majorHAnsi" w:hAnsiTheme="majorHAnsi"/>
          <w:sz w:val="20"/>
          <w:szCs w:val="20"/>
          <w:lang w:val="en-US"/>
        </w:rPr>
        <w:t>).</w:t>
      </w:r>
    </w:p>
    <w:p w:rsidR="004B75F3" w:rsidRPr="005A41E0" w:rsidRDefault="004B75F3" w:rsidP="005A41E0">
      <w:pPr>
        <w:pStyle w:val="ListParagraph"/>
        <w:shd w:val="clear" w:color="auto" w:fill="FFFFFF"/>
        <w:ind w:left="720"/>
        <w:jc w:val="both"/>
        <w:rPr>
          <w:rFonts w:asciiTheme="majorHAnsi" w:hAnsiTheme="majorHAnsi"/>
          <w:sz w:val="20"/>
          <w:szCs w:val="20"/>
          <w:lang w:val="en-US"/>
        </w:rPr>
      </w:pPr>
    </w:p>
    <w:p w:rsidR="004B75F3" w:rsidRPr="005A41E0" w:rsidRDefault="00502378" w:rsidP="00086475">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December </w:t>
      </w:r>
      <w:r w:rsidR="004B75F3" w:rsidRPr="005A41E0">
        <w:rPr>
          <w:rFonts w:asciiTheme="majorHAnsi" w:hAnsiTheme="majorHAnsi"/>
          <w:sz w:val="20"/>
          <w:szCs w:val="20"/>
          <w:lang w:val="en-US"/>
        </w:rPr>
        <w:t>1</w:t>
      </w:r>
      <w:r>
        <w:rPr>
          <w:rFonts w:asciiTheme="majorHAnsi" w:hAnsiTheme="majorHAnsi"/>
          <w:sz w:val="20"/>
          <w:szCs w:val="20"/>
          <w:lang w:val="en-US"/>
        </w:rPr>
        <w:t xml:space="preserve">, </w:t>
      </w:r>
      <w:r w:rsidR="004B75F3" w:rsidRPr="005A41E0">
        <w:rPr>
          <w:rFonts w:asciiTheme="majorHAnsi" w:hAnsiTheme="majorHAnsi"/>
          <w:sz w:val="20"/>
          <w:szCs w:val="20"/>
          <w:lang w:val="en-US"/>
        </w:rPr>
        <w:t>2016</w:t>
      </w:r>
      <w:r>
        <w:rPr>
          <w:rFonts w:asciiTheme="majorHAnsi" w:hAnsiTheme="majorHAnsi"/>
          <w:sz w:val="20"/>
          <w:szCs w:val="20"/>
          <w:lang w:val="en-US"/>
        </w:rPr>
        <w:t xml:space="preserve">, staff of the Executive Secretariat attended a seminar on the Protection of Human Rights Defenders in Guatemala, organized by the Office of the High Commissioner for Human Rights in </w:t>
      </w:r>
      <w:r w:rsidR="00086475">
        <w:rPr>
          <w:rFonts w:asciiTheme="majorHAnsi" w:hAnsiTheme="majorHAnsi"/>
          <w:sz w:val="20"/>
          <w:szCs w:val="20"/>
          <w:lang w:val="en-US"/>
        </w:rPr>
        <w:t>Guatemala</w:t>
      </w:r>
      <w:r w:rsidR="004B75F3" w:rsidRPr="005A41E0">
        <w:rPr>
          <w:rFonts w:asciiTheme="majorHAnsi" w:hAnsiTheme="majorHAnsi"/>
          <w:sz w:val="20"/>
          <w:szCs w:val="20"/>
          <w:lang w:val="en-US"/>
        </w:rPr>
        <w:t xml:space="preserve"> </w:t>
      </w:r>
      <w:r>
        <w:rPr>
          <w:rFonts w:asciiTheme="majorHAnsi" w:hAnsiTheme="majorHAnsi"/>
          <w:sz w:val="20"/>
          <w:szCs w:val="20"/>
          <w:lang w:val="en-US"/>
        </w:rPr>
        <w:t xml:space="preserve">and the Presidential Commission Coordinating Executive-branch Policy on Human Rights. A presentation was given on standards on the protection of human rights defenders as per the judgment in the case </w:t>
      </w:r>
      <w:r w:rsidR="004252F1">
        <w:rPr>
          <w:rFonts w:asciiTheme="majorHAnsi" w:hAnsiTheme="majorHAnsi"/>
          <w:sz w:val="20"/>
          <w:szCs w:val="20"/>
          <w:lang w:val="en-US"/>
        </w:rPr>
        <w:t xml:space="preserve">Human Rights Defender v. </w:t>
      </w:r>
      <w:r w:rsidR="004B75F3" w:rsidRPr="005A41E0">
        <w:rPr>
          <w:rFonts w:asciiTheme="majorHAnsi" w:hAnsiTheme="majorHAnsi"/>
          <w:sz w:val="20"/>
          <w:szCs w:val="20"/>
          <w:lang w:val="en-US"/>
        </w:rPr>
        <w:t xml:space="preserve">Guatemala </w:t>
      </w:r>
      <w:r w:rsidR="004252F1">
        <w:rPr>
          <w:rFonts w:asciiTheme="majorHAnsi" w:hAnsiTheme="majorHAnsi"/>
          <w:sz w:val="20"/>
          <w:szCs w:val="20"/>
          <w:lang w:val="en-US"/>
        </w:rPr>
        <w:t xml:space="preserve">of the Inter-American Court of Human Rights. More than 180 human rights defenders from different regions of the country participated, along with authorities of the State. </w:t>
      </w:r>
    </w:p>
    <w:p w:rsidR="00763893" w:rsidRPr="005A41E0" w:rsidRDefault="00763893" w:rsidP="005A41E0">
      <w:pPr>
        <w:shd w:val="clear" w:color="auto" w:fill="FFFFFF"/>
        <w:jc w:val="both"/>
        <w:rPr>
          <w:rFonts w:asciiTheme="majorHAnsi" w:hAnsiTheme="majorHAnsi"/>
          <w:sz w:val="20"/>
          <w:szCs w:val="20"/>
          <w:lang w:val="en-US"/>
        </w:rPr>
      </w:pPr>
    </w:p>
    <w:p w:rsidR="0024138B" w:rsidRPr="005A41E0" w:rsidRDefault="004252F1" w:rsidP="004252F1">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From December 5 to 9, staff of the Executive Secretariat participated in the Course and International Competition on Human Rights in </w:t>
      </w:r>
      <w:r w:rsidR="004B75F3" w:rsidRPr="005A41E0">
        <w:rPr>
          <w:rFonts w:asciiTheme="majorHAnsi" w:hAnsiTheme="majorHAnsi"/>
          <w:sz w:val="20"/>
          <w:szCs w:val="20"/>
          <w:lang w:val="en-US"/>
        </w:rPr>
        <w:t>Bogotá, Colombia</w:t>
      </w:r>
      <w:r>
        <w:rPr>
          <w:rFonts w:asciiTheme="majorHAnsi" w:hAnsiTheme="majorHAnsi"/>
          <w:sz w:val="20"/>
          <w:szCs w:val="20"/>
          <w:lang w:val="en-US"/>
        </w:rPr>
        <w:t xml:space="preserve">, organized by the </w:t>
      </w:r>
      <w:r w:rsidR="004B75F3" w:rsidRPr="005A41E0">
        <w:rPr>
          <w:rFonts w:asciiTheme="majorHAnsi" w:hAnsiTheme="majorHAnsi"/>
          <w:sz w:val="20"/>
          <w:szCs w:val="20"/>
          <w:lang w:val="en-US"/>
        </w:rPr>
        <w:t xml:space="preserve">Instituto Colombiano de Derechos Humanos. </w:t>
      </w:r>
      <w:r>
        <w:rPr>
          <w:rFonts w:asciiTheme="majorHAnsi" w:hAnsiTheme="majorHAnsi"/>
          <w:sz w:val="20"/>
          <w:szCs w:val="20"/>
          <w:lang w:val="en-US"/>
        </w:rPr>
        <w:t>The staff of the Secretariat made a presentation on the issue of enforcement of treaty obligations by domestic judges (“control of conventionality”), particularly from the perspective of the standards of the IACHR</w:t>
      </w:r>
      <w:r w:rsidR="0082087D" w:rsidRPr="005A41E0">
        <w:rPr>
          <w:rFonts w:asciiTheme="majorHAnsi" w:hAnsiTheme="majorHAnsi"/>
          <w:sz w:val="20"/>
          <w:szCs w:val="20"/>
          <w:lang w:val="en-US"/>
        </w:rPr>
        <w:t xml:space="preserve">, </w:t>
      </w:r>
      <w:r>
        <w:rPr>
          <w:rFonts w:asciiTheme="majorHAnsi" w:hAnsiTheme="majorHAnsi"/>
          <w:sz w:val="20"/>
          <w:szCs w:val="20"/>
          <w:lang w:val="en-US"/>
        </w:rPr>
        <w:t xml:space="preserve">and participated as judge in the semi-final and final rounds. </w:t>
      </w:r>
    </w:p>
    <w:p w:rsidR="0024138B" w:rsidRPr="005A41E0" w:rsidRDefault="0024138B" w:rsidP="005A41E0">
      <w:pPr>
        <w:ind w:firstLine="720"/>
        <w:rPr>
          <w:rFonts w:asciiTheme="majorHAnsi" w:hAnsiTheme="majorHAnsi"/>
          <w:sz w:val="20"/>
          <w:szCs w:val="20"/>
          <w:lang w:val="en-US"/>
        </w:rPr>
      </w:pPr>
    </w:p>
    <w:p w:rsidR="005D7CC2" w:rsidRPr="005A41E0" w:rsidRDefault="004252F1" w:rsidP="00EE0F18">
      <w:pPr>
        <w:pStyle w:val="Heading4"/>
        <w:rPr>
          <w:sz w:val="20"/>
          <w:szCs w:val="20"/>
          <w:lang w:val="en-US"/>
        </w:rPr>
      </w:pPr>
      <w:r>
        <w:rPr>
          <w:sz w:val="20"/>
          <w:szCs w:val="20"/>
          <w:lang w:val="en-US"/>
        </w:rPr>
        <w:t>Activiti</w:t>
      </w:r>
      <w:r w:rsidR="005D7CC2" w:rsidRPr="005A41E0">
        <w:rPr>
          <w:sz w:val="20"/>
          <w:szCs w:val="20"/>
          <w:lang w:val="en-US"/>
        </w:rPr>
        <w:t xml:space="preserve">es </w:t>
      </w:r>
      <w:r>
        <w:rPr>
          <w:sz w:val="20"/>
          <w:szCs w:val="20"/>
          <w:lang w:val="en-US"/>
        </w:rPr>
        <w:t xml:space="preserve">of the </w:t>
      </w:r>
      <w:r w:rsidR="00EE0F18">
        <w:rPr>
          <w:sz w:val="20"/>
          <w:szCs w:val="20"/>
          <w:lang w:val="en-US"/>
        </w:rPr>
        <w:t xml:space="preserve">Section of </w:t>
      </w:r>
      <w:r>
        <w:rPr>
          <w:sz w:val="20"/>
          <w:szCs w:val="20"/>
          <w:lang w:val="en-US"/>
        </w:rPr>
        <w:t xml:space="preserve">Friendly Settlements and Follow-up </w:t>
      </w:r>
    </w:p>
    <w:p w:rsidR="004B75F3" w:rsidRPr="005A41E0" w:rsidRDefault="004B75F3" w:rsidP="005A41E0">
      <w:pPr>
        <w:rPr>
          <w:rFonts w:asciiTheme="majorHAnsi" w:hAnsiTheme="majorHAnsi"/>
          <w:sz w:val="20"/>
          <w:szCs w:val="20"/>
          <w:lang w:val="en-US"/>
        </w:rPr>
      </w:pPr>
    </w:p>
    <w:p w:rsidR="004B75F3" w:rsidRPr="005A41E0" w:rsidRDefault="004252F1" w:rsidP="00EE0F18">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August </w:t>
      </w:r>
      <w:r w:rsidR="004B75F3" w:rsidRPr="005A41E0">
        <w:rPr>
          <w:rFonts w:asciiTheme="majorHAnsi" w:hAnsiTheme="majorHAnsi"/>
          <w:sz w:val="20"/>
          <w:szCs w:val="20"/>
          <w:lang w:val="en-US"/>
        </w:rPr>
        <w:t>17</w:t>
      </w:r>
      <w:r>
        <w:rPr>
          <w:rFonts w:asciiTheme="majorHAnsi" w:hAnsiTheme="majorHAnsi"/>
          <w:sz w:val="20"/>
          <w:szCs w:val="20"/>
          <w:lang w:val="en-US"/>
        </w:rPr>
        <w:t>,</w:t>
      </w:r>
      <w:r w:rsidR="004B75F3" w:rsidRPr="005A41E0">
        <w:rPr>
          <w:rFonts w:asciiTheme="majorHAnsi" w:hAnsiTheme="majorHAnsi"/>
          <w:sz w:val="20"/>
          <w:szCs w:val="20"/>
          <w:lang w:val="en-US"/>
        </w:rPr>
        <w:t xml:space="preserve"> 2016, </w:t>
      </w:r>
      <w:r>
        <w:rPr>
          <w:rFonts w:asciiTheme="majorHAnsi" w:hAnsiTheme="majorHAnsi"/>
          <w:sz w:val="20"/>
          <w:szCs w:val="20"/>
          <w:lang w:val="en-US"/>
        </w:rPr>
        <w:t xml:space="preserve">the </w:t>
      </w:r>
      <w:r w:rsidR="004B75F3" w:rsidRPr="005A41E0">
        <w:rPr>
          <w:rFonts w:asciiTheme="majorHAnsi" w:hAnsiTheme="majorHAnsi"/>
          <w:sz w:val="20"/>
          <w:szCs w:val="20"/>
          <w:lang w:val="en-US"/>
        </w:rPr>
        <w:t>S</w:t>
      </w:r>
      <w:r w:rsidR="00EE0F18">
        <w:rPr>
          <w:rFonts w:asciiTheme="majorHAnsi" w:hAnsiTheme="majorHAnsi"/>
          <w:sz w:val="20"/>
          <w:szCs w:val="20"/>
          <w:lang w:val="en-US"/>
        </w:rPr>
        <w:t xml:space="preserve">ection of Friendly Settlements and Follow-up </w:t>
      </w:r>
      <w:r>
        <w:rPr>
          <w:rFonts w:asciiTheme="majorHAnsi" w:hAnsiTheme="majorHAnsi"/>
          <w:sz w:val="20"/>
          <w:szCs w:val="20"/>
          <w:lang w:val="en-US"/>
        </w:rPr>
        <w:t xml:space="preserve">held a training workshop in </w:t>
      </w:r>
      <w:r w:rsidR="004B75F3" w:rsidRPr="005A41E0">
        <w:rPr>
          <w:rFonts w:asciiTheme="majorHAnsi" w:hAnsiTheme="majorHAnsi"/>
          <w:sz w:val="20"/>
          <w:szCs w:val="20"/>
          <w:lang w:val="en-US"/>
        </w:rPr>
        <w:t xml:space="preserve">Asunción, </w:t>
      </w:r>
      <w:r w:rsidR="0082087D" w:rsidRPr="005A41E0">
        <w:rPr>
          <w:rFonts w:asciiTheme="majorHAnsi" w:hAnsiTheme="majorHAnsi"/>
          <w:sz w:val="20"/>
          <w:szCs w:val="20"/>
          <w:lang w:val="en-US"/>
        </w:rPr>
        <w:t xml:space="preserve">Paraguay, </w:t>
      </w:r>
      <w:r>
        <w:rPr>
          <w:rFonts w:asciiTheme="majorHAnsi" w:hAnsiTheme="majorHAnsi"/>
          <w:sz w:val="20"/>
          <w:szCs w:val="20"/>
          <w:lang w:val="en-US"/>
        </w:rPr>
        <w:t xml:space="preserve">for public servants on the practical procedural aspects </w:t>
      </w:r>
      <w:r w:rsidR="000A5AA4">
        <w:rPr>
          <w:rFonts w:asciiTheme="majorHAnsi" w:hAnsiTheme="majorHAnsi"/>
          <w:sz w:val="20"/>
          <w:szCs w:val="20"/>
          <w:lang w:val="en-US"/>
        </w:rPr>
        <w:t xml:space="preserve">of </w:t>
      </w:r>
      <w:r>
        <w:rPr>
          <w:rFonts w:asciiTheme="majorHAnsi" w:hAnsiTheme="majorHAnsi"/>
          <w:sz w:val="20"/>
          <w:szCs w:val="20"/>
          <w:lang w:val="en-US"/>
        </w:rPr>
        <w:t>using the friendly settlements mechanism for the various institutions in charge of negotiating and carrying out friendly settlement agreements. Among the officials attending the event were staff of the Vice Presidency of the Republic, the Ministry of Interior</w:t>
      </w:r>
      <w:r w:rsidR="004B75F3" w:rsidRPr="005A41E0">
        <w:rPr>
          <w:rFonts w:asciiTheme="majorHAnsi" w:hAnsiTheme="majorHAnsi"/>
          <w:sz w:val="20"/>
          <w:szCs w:val="20"/>
          <w:lang w:val="en-US"/>
        </w:rPr>
        <w:t xml:space="preserve">, </w:t>
      </w:r>
      <w:r>
        <w:rPr>
          <w:rFonts w:asciiTheme="majorHAnsi" w:hAnsiTheme="majorHAnsi"/>
          <w:sz w:val="20"/>
          <w:szCs w:val="20"/>
          <w:lang w:val="en-US"/>
        </w:rPr>
        <w:t>the Ministry of Education</w:t>
      </w:r>
      <w:r w:rsidR="004B75F3" w:rsidRPr="005A41E0">
        <w:rPr>
          <w:rFonts w:asciiTheme="majorHAnsi" w:hAnsiTheme="majorHAnsi"/>
          <w:sz w:val="20"/>
          <w:szCs w:val="20"/>
          <w:lang w:val="en-US"/>
        </w:rPr>
        <w:t xml:space="preserve">, </w:t>
      </w:r>
      <w:r>
        <w:rPr>
          <w:rFonts w:asciiTheme="majorHAnsi" w:hAnsiTheme="majorHAnsi"/>
          <w:sz w:val="20"/>
          <w:szCs w:val="20"/>
          <w:lang w:val="en-US"/>
        </w:rPr>
        <w:t xml:space="preserve">the Ministry of Foreign Affairs, the Ministry of Justice, the Paraguayan Institute of Indigenous Peoples, the Public Ministry, the Ministry of Public Health, and the Supreme Court of Justice. The workshop incorporated theoretical and practical procedural aspects of the friendly settlement mechanism in light of the normative framework that regulates it, including technical tools for negotiation and practical application of the information provided, and a practical exercise of the activities that one must carry out to reach a friendly settlement. </w:t>
      </w:r>
    </w:p>
    <w:p w:rsidR="004B75F3" w:rsidRPr="005A41E0" w:rsidRDefault="004B75F3" w:rsidP="005A41E0">
      <w:pPr>
        <w:rPr>
          <w:rFonts w:asciiTheme="majorHAnsi" w:hAnsiTheme="majorHAnsi"/>
          <w:sz w:val="20"/>
          <w:szCs w:val="20"/>
          <w:lang w:val="en-US"/>
        </w:rPr>
      </w:pPr>
    </w:p>
    <w:p w:rsidR="004B75F3" w:rsidRPr="005A41E0" w:rsidRDefault="0060368F" w:rsidP="0060368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August </w:t>
      </w:r>
      <w:r w:rsidR="004B75F3" w:rsidRPr="005A41E0">
        <w:rPr>
          <w:rFonts w:asciiTheme="majorHAnsi" w:hAnsiTheme="majorHAnsi"/>
          <w:sz w:val="20"/>
          <w:szCs w:val="20"/>
          <w:lang w:val="en-US"/>
        </w:rPr>
        <w:t>26</w:t>
      </w:r>
      <w:r>
        <w:rPr>
          <w:rFonts w:asciiTheme="majorHAnsi" w:hAnsiTheme="majorHAnsi"/>
          <w:sz w:val="20"/>
          <w:szCs w:val="20"/>
          <w:lang w:val="en-US"/>
        </w:rPr>
        <w:t>,</w:t>
      </w:r>
      <w:r w:rsidR="004B75F3" w:rsidRPr="005A41E0">
        <w:rPr>
          <w:rFonts w:asciiTheme="majorHAnsi" w:hAnsiTheme="majorHAnsi"/>
          <w:sz w:val="20"/>
          <w:szCs w:val="20"/>
          <w:lang w:val="en-US"/>
        </w:rPr>
        <w:t xml:space="preserve"> </w:t>
      </w:r>
      <w:r>
        <w:rPr>
          <w:rFonts w:asciiTheme="majorHAnsi" w:hAnsiTheme="majorHAnsi"/>
          <w:sz w:val="20"/>
          <w:szCs w:val="20"/>
          <w:lang w:val="en-US"/>
        </w:rPr>
        <w:t xml:space="preserve">2016 a class was given on the friendly settlement mechanism at the “Héctor Fix Zamudio” Diplomate program on the Inter-American Human Rights System, organized by the Legal Research Institute of the </w:t>
      </w:r>
      <w:r w:rsidR="004B75F3" w:rsidRPr="005A41E0">
        <w:rPr>
          <w:rFonts w:asciiTheme="majorHAnsi" w:hAnsiTheme="majorHAnsi"/>
          <w:sz w:val="20"/>
          <w:szCs w:val="20"/>
          <w:lang w:val="en-US"/>
        </w:rPr>
        <w:t xml:space="preserve">Universidad </w:t>
      </w:r>
      <w:r w:rsidR="0082087D" w:rsidRPr="005A41E0">
        <w:rPr>
          <w:rFonts w:asciiTheme="majorHAnsi" w:hAnsiTheme="majorHAnsi"/>
          <w:sz w:val="20"/>
          <w:szCs w:val="20"/>
          <w:lang w:val="en-US"/>
        </w:rPr>
        <w:t xml:space="preserve">Nacional </w:t>
      </w:r>
      <w:r w:rsidR="004B75F3" w:rsidRPr="005A41E0">
        <w:rPr>
          <w:rFonts w:asciiTheme="majorHAnsi" w:hAnsiTheme="majorHAnsi"/>
          <w:sz w:val="20"/>
          <w:szCs w:val="20"/>
          <w:lang w:val="en-US"/>
        </w:rPr>
        <w:t xml:space="preserve">Autónoma de México. </w:t>
      </w:r>
      <w:r>
        <w:rPr>
          <w:rFonts w:asciiTheme="majorHAnsi" w:hAnsiTheme="majorHAnsi"/>
          <w:sz w:val="20"/>
          <w:szCs w:val="20"/>
          <w:lang w:val="en-US"/>
        </w:rPr>
        <w:t xml:space="preserve">In addition, a class was given on that mechanism in the Course on the Inter-American System for the Protection of Human Rights for state agents, which took place July 18 to 22, </w:t>
      </w:r>
      <w:r w:rsidR="004B75F3" w:rsidRPr="005A41E0">
        <w:rPr>
          <w:rFonts w:asciiTheme="majorHAnsi" w:hAnsiTheme="majorHAnsi"/>
          <w:sz w:val="20"/>
          <w:szCs w:val="20"/>
          <w:lang w:val="en-US"/>
        </w:rPr>
        <w:t xml:space="preserve">2016. </w:t>
      </w:r>
    </w:p>
    <w:p w:rsidR="004B75F3" w:rsidRPr="005A41E0" w:rsidRDefault="004B75F3" w:rsidP="005A41E0">
      <w:pPr>
        <w:rPr>
          <w:rFonts w:asciiTheme="majorHAnsi" w:hAnsiTheme="majorHAnsi"/>
          <w:sz w:val="20"/>
          <w:szCs w:val="20"/>
          <w:lang w:val="en-US"/>
        </w:rPr>
      </w:pPr>
    </w:p>
    <w:p w:rsidR="004B75F3" w:rsidRPr="005A41E0" w:rsidRDefault="0060368F" w:rsidP="000A5AA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December </w:t>
      </w:r>
      <w:r w:rsidR="004B75F3" w:rsidRPr="005A41E0">
        <w:rPr>
          <w:rFonts w:asciiTheme="majorHAnsi" w:hAnsiTheme="majorHAnsi"/>
          <w:sz w:val="20"/>
          <w:szCs w:val="20"/>
          <w:lang w:val="en-US"/>
        </w:rPr>
        <w:t>1</w:t>
      </w:r>
      <w:r>
        <w:rPr>
          <w:rFonts w:asciiTheme="majorHAnsi" w:hAnsiTheme="majorHAnsi"/>
          <w:sz w:val="20"/>
          <w:szCs w:val="20"/>
          <w:lang w:val="en-US"/>
        </w:rPr>
        <w:t xml:space="preserve">, </w:t>
      </w:r>
      <w:r w:rsidR="004B75F3" w:rsidRPr="005A41E0">
        <w:rPr>
          <w:rFonts w:asciiTheme="majorHAnsi" w:hAnsiTheme="majorHAnsi"/>
          <w:sz w:val="20"/>
          <w:szCs w:val="20"/>
          <w:lang w:val="en-US"/>
        </w:rPr>
        <w:t>2016</w:t>
      </w:r>
      <w:r>
        <w:rPr>
          <w:rFonts w:asciiTheme="majorHAnsi" w:hAnsiTheme="majorHAnsi"/>
          <w:sz w:val="20"/>
          <w:szCs w:val="20"/>
          <w:lang w:val="en-US"/>
        </w:rPr>
        <w:t>, a training workshop was held in Panama City for public servants on the practical and procedural aspects for using the</w:t>
      </w:r>
      <w:r w:rsidR="000A5AA4">
        <w:rPr>
          <w:rFonts w:asciiTheme="majorHAnsi" w:hAnsiTheme="majorHAnsi"/>
          <w:sz w:val="20"/>
          <w:szCs w:val="20"/>
          <w:lang w:val="en-US"/>
        </w:rPr>
        <w:t xml:space="preserve"> friendly settlement mechanism; </w:t>
      </w:r>
      <w:r>
        <w:rPr>
          <w:rFonts w:asciiTheme="majorHAnsi" w:hAnsiTheme="majorHAnsi"/>
          <w:sz w:val="20"/>
          <w:szCs w:val="20"/>
          <w:lang w:val="en-US"/>
        </w:rPr>
        <w:t xml:space="preserve">the various institutions </w:t>
      </w:r>
      <w:r w:rsidR="008E3DAC">
        <w:rPr>
          <w:rFonts w:asciiTheme="majorHAnsi" w:hAnsiTheme="majorHAnsi"/>
          <w:sz w:val="20"/>
          <w:szCs w:val="20"/>
          <w:lang w:val="en-US"/>
        </w:rPr>
        <w:t>in charge of the negotiation and implementation friendly settlement agreements in Panama</w:t>
      </w:r>
      <w:r w:rsidR="000A5AA4">
        <w:rPr>
          <w:rFonts w:asciiTheme="majorHAnsi" w:hAnsiTheme="majorHAnsi"/>
          <w:sz w:val="20"/>
          <w:szCs w:val="20"/>
          <w:lang w:val="en-US"/>
        </w:rPr>
        <w:t xml:space="preserve"> were convened to participate in the workshop</w:t>
      </w:r>
      <w:r w:rsidR="004B75F3" w:rsidRPr="005A41E0">
        <w:rPr>
          <w:rFonts w:asciiTheme="majorHAnsi" w:hAnsiTheme="majorHAnsi"/>
          <w:sz w:val="20"/>
          <w:szCs w:val="20"/>
          <w:lang w:val="en-US"/>
        </w:rPr>
        <w:t xml:space="preserve">. </w:t>
      </w:r>
      <w:r w:rsidR="008E3DAC">
        <w:rPr>
          <w:rFonts w:asciiTheme="majorHAnsi" w:hAnsiTheme="majorHAnsi"/>
          <w:sz w:val="20"/>
          <w:szCs w:val="20"/>
          <w:lang w:val="en-US"/>
        </w:rPr>
        <w:t xml:space="preserve">Among the Panamanian institutions participating where the Office of the Attorney General, the Ministry of Foreign Affairs, the Ministry of the Environment, the Ministry of Health, the National </w:t>
      </w:r>
      <w:r w:rsidR="000A5AA4">
        <w:rPr>
          <w:rFonts w:asciiTheme="majorHAnsi" w:hAnsiTheme="majorHAnsi"/>
          <w:sz w:val="20"/>
          <w:szCs w:val="20"/>
          <w:lang w:val="en-US"/>
        </w:rPr>
        <w:t xml:space="preserve">Land Management </w:t>
      </w:r>
      <w:r w:rsidR="008E3DAC">
        <w:rPr>
          <w:rFonts w:asciiTheme="majorHAnsi" w:hAnsiTheme="majorHAnsi"/>
          <w:sz w:val="20"/>
          <w:szCs w:val="20"/>
          <w:lang w:val="en-US"/>
        </w:rPr>
        <w:t>Authority, the Ministry of Forei</w:t>
      </w:r>
      <w:r w:rsidR="00804C84">
        <w:rPr>
          <w:rFonts w:asciiTheme="majorHAnsi" w:hAnsiTheme="majorHAnsi"/>
          <w:sz w:val="20"/>
          <w:szCs w:val="20"/>
          <w:lang w:val="en-US"/>
        </w:rPr>
        <w:t xml:space="preserve">gn Affairs, the National Police, and the </w:t>
      </w:r>
      <w:r w:rsidR="000A5AA4">
        <w:rPr>
          <w:rFonts w:asciiTheme="majorHAnsi" w:hAnsiTheme="majorHAnsi"/>
          <w:sz w:val="20"/>
          <w:szCs w:val="20"/>
          <w:lang w:val="en-US"/>
        </w:rPr>
        <w:t xml:space="preserve">Office of the Attorney General for the Administration </w:t>
      </w:r>
      <w:r w:rsidR="00804C84">
        <w:rPr>
          <w:rFonts w:asciiTheme="majorHAnsi" w:hAnsiTheme="majorHAnsi"/>
          <w:sz w:val="20"/>
          <w:szCs w:val="20"/>
          <w:lang w:val="en-US"/>
        </w:rPr>
        <w:t>(</w:t>
      </w:r>
      <w:r w:rsidR="004B75F3" w:rsidRPr="005A41E0">
        <w:rPr>
          <w:rFonts w:asciiTheme="majorHAnsi" w:hAnsiTheme="majorHAnsi"/>
          <w:sz w:val="20"/>
          <w:szCs w:val="20"/>
          <w:lang w:val="en-US"/>
        </w:rPr>
        <w:t>Procuraduría Gene</w:t>
      </w:r>
      <w:r w:rsidR="0082087D" w:rsidRPr="005A41E0">
        <w:rPr>
          <w:rFonts w:asciiTheme="majorHAnsi" w:hAnsiTheme="majorHAnsi"/>
          <w:sz w:val="20"/>
          <w:szCs w:val="20"/>
          <w:lang w:val="en-US"/>
        </w:rPr>
        <w:t xml:space="preserve">ral de </w:t>
      </w:r>
      <w:r w:rsidR="000A5AA4">
        <w:rPr>
          <w:rFonts w:asciiTheme="majorHAnsi" w:hAnsiTheme="majorHAnsi"/>
          <w:sz w:val="20"/>
          <w:szCs w:val="20"/>
          <w:lang w:val="en-US"/>
        </w:rPr>
        <w:t xml:space="preserve">la </w:t>
      </w:r>
      <w:r w:rsidR="0082087D" w:rsidRPr="005A41E0">
        <w:rPr>
          <w:rFonts w:asciiTheme="majorHAnsi" w:hAnsiTheme="majorHAnsi"/>
          <w:sz w:val="20"/>
          <w:szCs w:val="20"/>
          <w:lang w:val="en-US"/>
        </w:rPr>
        <w:t>Administración</w:t>
      </w:r>
      <w:r w:rsidR="00804C84">
        <w:rPr>
          <w:rFonts w:asciiTheme="majorHAnsi" w:hAnsiTheme="majorHAnsi"/>
          <w:sz w:val="20"/>
          <w:szCs w:val="20"/>
          <w:lang w:val="en-US"/>
        </w:rPr>
        <w:t>)</w:t>
      </w:r>
      <w:r w:rsidR="0082087D" w:rsidRPr="005A41E0">
        <w:rPr>
          <w:rFonts w:asciiTheme="majorHAnsi" w:hAnsiTheme="majorHAnsi"/>
          <w:sz w:val="20"/>
          <w:szCs w:val="20"/>
          <w:lang w:val="en-US"/>
        </w:rPr>
        <w:t xml:space="preserve">. </w:t>
      </w:r>
      <w:r w:rsidR="00804C84">
        <w:rPr>
          <w:rFonts w:asciiTheme="majorHAnsi" w:hAnsiTheme="majorHAnsi"/>
          <w:sz w:val="20"/>
          <w:szCs w:val="20"/>
          <w:lang w:val="en-US"/>
        </w:rPr>
        <w:t>This workshop, organized with the support of the Panamanian Ministry of Foreign Affairs, included theoretical and practical elements of the friendly settlement mechanism in light of the normative framework that regulates it, including technical too</w:t>
      </w:r>
      <w:r w:rsidR="000A5AA4">
        <w:rPr>
          <w:rFonts w:asciiTheme="majorHAnsi" w:hAnsiTheme="majorHAnsi"/>
          <w:sz w:val="20"/>
          <w:szCs w:val="20"/>
          <w:lang w:val="en-US"/>
        </w:rPr>
        <w:t xml:space="preserve">ls for integrative negotiation that </w:t>
      </w:r>
      <w:r w:rsidR="00804C84">
        <w:rPr>
          <w:rFonts w:asciiTheme="majorHAnsi" w:hAnsiTheme="majorHAnsi"/>
          <w:sz w:val="20"/>
          <w:szCs w:val="20"/>
          <w:lang w:val="en-US"/>
        </w:rPr>
        <w:t xml:space="preserve">should be used to reach a friendly settlement. </w:t>
      </w:r>
    </w:p>
    <w:p w:rsidR="004B75F3" w:rsidRPr="005A41E0" w:rsidRDefault="004B75F3" w:rsidP="005A41E0">
      <w:pPr>
        <w:rPr>
          <w:rFonts w:asciiTheme="majorHAnsi" w:hAnsiTheme="majorHAnsi"/>
          <w:sz w:val="20"/>
          <w:szCs w:val="20"/>
          <w:lang w:val="en-US"/>
        </w:rPr>
      </w:pPr>
    </w:p>
    <w:p w:rsidR="00A257F3" w:rsidRPr="005A41E0" w:rsidRDefault="00804C84" w:rsidP="000A5AA4">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December </w:t>
      </w:r>
      <w:r w:rsidR="004B75F3" w:rsidRPr="005A41E0">
        <w:rPr>
          <w:rFonts w:asciiTheme="majorHAnsi" w:hAnsiTheme="majorHAnsi"/>
          <w:sz w:val="20"/>
          <w:szCs w:val="20"/>
          <w:lang w:val="en-US"/>
        </w:rPr>
        <w:t>6</w:t>
      </w:r>
      <w:r>
        <w:rPr>
          <w:rFonts w:asciiTheme="majorHAnsi" w:hAnsiTheme="majorHAnsi"/>
          <w:sz w:val="20"/>
          <w:szCs w:val="20"/>
          <w:lang w:val="en-US"/>
        </w:rPr>
        <w:t>,</w:t>
      </w:r>
      <w:r w:rsidR="004B75F3" w:rsidRPr="005A41E0">
        <w:rPr>
          <w:rFonts w:asciiTheme="majorHAnsi" w:hAnsiTheme="majorHAnsi"/>
          <w:sz w:val="20"/>
          <w:szCs w:val="20"/>
          <w:lang w:val="en-US"/>
        </w:rPr>
        <w:t xml:space="preserve"> 2016, </w:t>
      </w:r>
      <w:r>
        <w:rPr>
          <w:rFonts w:asciiTheme="majorHAnsi" w:hAnsiTheme="majorHAnsi"/>
          <w:sz w:val="20"/>
          <w:szCs w:val="20"/>
          <w:lang w:val="en-US"/>
        </w:rPr>
        <w:t xml:space="preserve">a class was given on the friendly settlement mechanism in the “Fourth International Specialized Course on Human Rights and Access to the International Systems of Protection,” organized in </w:t>
      </w:r>
      <w:r w:rsidR="0082087D" w:rsidRPr="005A41E0">
        <w:rPr>
          <w:rFonts w:asciiTheme="majorHAnsi" w:hAnsiTheme="majorHAnsi"/>
          <w:sz w:val="20"/>
          <w:szCs w:val="20"/>
          <w:lang w:val="en-US"/>
        </w:rPr>
        <w:t xml:space="preserve">Bogotá </w:t>
      </w:r>
      <w:r>
        <w:rPr>
          <w:rFonts w:asciiTheme="majorHAnsi" w:hAnsiTheme="majorHAnsi"/>
          <w:sz w:val="20"/>
          <w:szCs w:val="20"/>
          <w:lang w:val="en-US"/>
        </w:rPr>
        <w:t xml:space="preserve">by the </w:t>
      </w:r>
      <w:r w:rsidR="004B75F3" w:rsidRPr="005A41E0">
        <w:rPr>
          <w:rFonts w:asciiTheme="majorHAnsi" w:hAnsiTheme="majorHAnsi"/>
          <w:sz w:val="20"/>
          <w:szCs w:val="20"/>
          <w:lang w:val="en-US"/>
        </w:rPr>
        <w:t>Instituto Colombiano de Derechos Humanos.</w:t>
      </w:r>
    </w:p>
    <w:p w:rsidR="00A257F3" w:rsidRPr="005A41E0" w:rsidRDefault="00A257F3" w:rsidP="005A41E0">
      <w:pPr>
        <w:rPr>
          <w:rFonts w:asciiTheme="majorHAnsi" w:hAnsiTheme="majorHAnsi"/>
          <w:lang w:val="en-US"/>
        </w:rPr>
      </w:pPr>
    </w:p>
    <w:p w:rsidR="005D7CC2" w:rsidRPr="005A41E0" w:rsidRDefault="005D7CC2" w:rsidP="00804C84">
      <w:pPr>
        <w:pStyle w:val="Heading3"/>
        <w:keepNext w:val="0"/>
        <w:keepLines w:val="0"/>
        <w:spacing w:before="0"/>
        <w:jc w:val="both"/>
        <w:rPr>
          <w:lang w:val="en-US"/>
        </w:rPr>
      </w:pPr>
      <w:r w:rsidRPr="005A41E0">
        <w:rPr>
          <w:lang w:val="en-US"/>
        </w:rPr>
        <w:t>Ot</w:t>
      </w:r>
      <w:r w:rsidR="00804C84">
        <w:rPr>
          <w:lang w:val="en-US"/>
        </w:rPr>
        <w:t xml:space="preserve">her promotion activities of the Executive Secretariat </w:t>
      </w:r>
    </w:p>
    <w:p w:rsidR="005D7CC2" w:rsidRPr="005A41E0" w:rsidRDefault="005D7CC2" w:rsidP="005A41E0">
      <w:pPr>
        <w:jc w:val="both"/>
        <w:rPr>
          <w:rFonts w:asciiTheme="majorHAnsi" w:hAnsiTheme="majorHAnsi" w:cs="Tahoma"/>
          <w:sz w:val="20"/>
          <w:szCs w:val="20"/>
          <w:shd w:val="clear" w:color="auto" w:fill="FFFFFF"/>
          <w:lang w:val="en-US"/>
        </w:rPr>
      </w:pPr>
    </w:p>
    <w:p w:rsidR="00031538" w:rsidRPr="005A41E0" w:rsidRDefault="00804C84" w:rsidP="00055C6F">
      <w:pPr>
        <w:pStyle w:val="ListParagraph"/>
        <w:numPr>
          <w:ilvl w:val="0"/>
          <w:numId w:val="15"/>
        </w:numPr>
        <w:shd w:val="clear" w:color="auto" w:fill="FFFFFF"/>
        <w:tabs>
          <w:tab w:val="clear" w:pos="1080"/>
        </w:tabs>
        <w:ind w:left="0"/>
        <w:jc w:val="both"/>
        <w:rPr>
          <w:rFonts w:asciiTheme="majorHAnsi" w:hAnsiTheme="majorHAnsi"/>
          <w:sz w:val="20"/>
          <w:szCs w:val="20"/>
          <w:lang w:val="en-US"/>
        </w:rPr>
      </w:pPr>
      <w:r>
        <w:rPr>
          <w:rFonts w:asciiTheme="majorHAnsi" w:hAnsiTheme="majorHAnsi"/>
          <w:sz w:val="20"/>
          <w:szCs w:val="20"/>
          <w:lang w:val="en-US"/>
        </w:rPr>
        <w:t xml:space="preserve">On January 27, the Latin American and Caribbean Network of Trans Persons </w:t>
      </w:r>
      <w:r w:rsidR="00031538" w:rsidRPr="005A41E0">
        <w:rPr>
          <w:rFonts w:asciiTheme="majorHAnsi" w:hAnsiTheme="majorHAnsi"/>
          <w:sz w:val="20"/>
          <w:szCs w:val="20"/>
          <w:lang w:val="en-US"/>
        </w:rPr>
        <w:t xml:space="preserve">(REDLACTRANS), </w:t>
      </w:r>
      <w:r>
        <w:rPr>
          <w:rFonts w:asciiTheme="majorHAnsi" w:hAnsiTheme="majorHAnsi"/>
          <w:sz w:val="20"/>
          <w:szCs w:val="20"/>
          <w:lang w:val="en-US"/>
        </w:rPr>
        <w:t xml:space="preserve">with the support of the IACHR and several civil society organizations, launched a new report on violations of the human rights of trans women </w:t>
      </w:r>
      <w:r w:rsidR="000A5AA4">
        <w:rPr>
          <w:rFonts w:asciiTheme="majorHAnsi" w:hAnsiTheme="majorHAnsi"/>
          <w:sz w:val="20"/>
          <w:szCs w:val="20"/>
          <w:lang w:val="en-US"/>
        </w:rPr>
        <w:t xml:space="preserve">in </w:t>
      </w:r>
      <w:r w:rsidR="00031538" w:rsidRPr="005A41E0">
        <w:rPr>
          <w:rFonts w:asciiTheme="majorHAnsi" w:hAnsiTheme="majorHAnsi"/>
          <w:sz w:val="20"/>
          <w:szCs w:val="20"/>
          <w:lang w:val="en-US"/>
        </w:rPr>
        <w:t>Costa Rica, El Salvador, Guatemala, Honduras</w:t>
      </w:r>
      <w:r>
        <w:rPr>
          <w:rFonts w:asciiTheme="majorHAnsi" w:hAnsiTheme="majorHAnsi"/>
          <w:sz w:val="20"/>
          <w:szCs w:val="20"/>
          <w:lang w:val="en-US"/>
        </w:rPr>
        <w:t>, and Panama</w:t>
      </w:r>
      <w:r w:rsidR="00031538" w:rsidRPr="005A41E0">
        <w:rPr>
          <w:rFonts w:asciiTheme="majorHAnsi" w:hAnsiTheme="majorHAnsi"/>
          <w:sz w:val="20"/>
          <w:szCs w:val="20"/>
          <w:lang w:val="en-US"/>
        </w:rPr>
        <w:t xml:space="preserve">. </w:t>
      </w:r>
      <w:r w:rsidR="00055C6F">
        <w:rPr>
          <w:rFonts w:asciiTheme="majorHAnsi" w:hAnsiTheme="majorHAnsi"/>
          <w:sz w:val="20"/>
          <w:szCs w:val="20"/>
          <w:lang w:val="en-US"/>
        </w:rPr>
        <w:t xml:space="preserve">The event took place at the headquarters of the IACHR with more than 100 representatives of civil society in attendance, in particular from various </w:t>
      </w:r>
      <w:r w:rsidR="00031538" w:rsidRPr="005A41E0">
        <w:rPr>
          <w:rFonts w:asciiTheme="majorHAnsi" w:hAnsiTheme="majorHAnsi"/>
          <w:sz w:val="20"/>
          <w:szCs w:val="20"/>
          <w:lang w:val="en-US"/>
        </w:rPr>
        <w:t>LGBTI</w:t>
      </w:r>
      <w:r w:rsidR="00055C6F">
        <w:rPr>
          <w:rFonts w:asciiTheme="majorHAnsi" w:hAnsiTheme="majorHAnsi"/>
          <w:sz w:val="20"/>
          <w:szCs w:val="20"/>
          <w:lang w:val="en-US"/>
        </w:rPr>
        <w:t xml:space="preserve"> communities</w:t>
      </w:r>
      <w:r w:rsidR="00031538" w:rsidRPr="005A41E0">
        <w:rPr>
          <w:rFonts w:asciiTheme="majorHAnsi" w:hAnsiTheme="majorHAnsi"/>
          <w:sz w:val="20"/>
          <w:szCs w:val="20"/>
          <w:lang w:val="en-US"/>
        </w:rPr>
        <w:t xml:space="preserve">. </w:t>
      </w:r>
      <w:r w:rsidR="00055C6F">
        <w:rPr>
          <w:rFonts w:asciiTheme="majorHAnsi" w:hAnsiTheme="majorHAnsi"/>
          <w:sz w:val="20"/>
          <w:szCs w:val="20"/>
          <w:lang w:val="en-US"/>
        </w:rPr>
        <w:t xml:space="preserve">The speakers at the event included Commissioner </w:t>
      </w:r>
      <w:r w:rsidR="0082087D" w:rsidRPr="005A41E0">
        <w:rPr>
          <w:rFonts w:asciiTheme="majorHAnsi" w:hAnsiTheme="majorHAnsi"/>
          <w:sz w:val="20"/>
          <w:szCs w:val="20"/>
          <w:lang w:val="en-US"/>
        </w:rPr>
        <w:t>James Cavallaro;</w:t>
      </w:r>
      <w:r w:rsidR="00031538" w:rsidRPr="005A41E0">
        <w:rPr>
          <w:rFonts w:asciiTheme="majorHAnsi" w:hAnsiTheme="majorHAnsi"/>
          <w:sz w:val="20"/>
          <w:szCs w:val="20"/>
          <w:lang w:val="en-US"/>
        </w:rPr>
        <w:t xml:space="preserve"> </w:t>
      </w:r>
      <w:r w:rsidR="00055C6F">
        <w:rPr>
          <w:rFonts w:asciiTheme="majorHAnsi" w:hAnsiTheme="majorHAnsi"/>
          <w:sz w:val="20"/>
          <w:szCs w:val="20"/>
          <w:lang w:val="en-US"/>
        </w:rPr>
        <w:t>the Executive Secretary; Marcela Romero, Director of REDLACTRANS; and</w:t>
      </w:r>
      <w:r w:rsidR="00031538" w:rsidRPr="005A41E0">
        <w:rPr>
          <w:rFonts w:asciiTheme="majorHAnsi" w:hAnsiTheme="majorHAnsi"/>
          <w:sz w:val="20"/>
          <w:szCs w:val="20"/>
          <w:lang w:val="en-US"/>
        </w:rPr>
        <w:t xml:space="preserve"> Idel</w:t>
      </w:r>
      <w:r w:rsidR="0082087D" w:rsidRPr="005A41E0">
        <w:rPr>
          <w:rFonts w:asciiTheme="majorHAnsi" w:hAnsiTheme="majorHAnsi"/>
          <w:sz w:val="20"/>
          <w:szCs w:val="20"/>
          <w:lang w:val="en-US"/>
        </w:rPr>
        <w:t>i</w:t>
      </w:r>
      <w:r w:rsidR="00055C6F">
        <w:rPr>
          <w:rFonts w:asciiTheme="majorHAnsi" w:hAnsiTheme="majorHAnsi"/>
          <w:sz w:val="20"/>
          <w:szCs w:val="20"/>
          <w:lang w:val="en-US"/>
        </w:rPr>
        <w:t xml:space="preserve"> Salvatti, Secretary for Access to Rights and Equity of the OAS.</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42747E" w:rsidP="0042747E">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On February </w:t>
      </w:r>
      <w:r w:rsidR="00031538" w:rsidRPr="005A41E0">
        <w:rPr>
          <w:rFonts w:asciiTheme="majorHAnsi" w:hAnsiTheme="majorHAnsi" w:cs="Tahoma"/>
          <w:sz w:val="20"/>
          <w:szCs w:val="20"/>
          <w:shd w:val="clear" w:color="auto" w:fill="FFFFFF"/>
          <w:lang w:val="en-US"/>
        </w:rPr>
        <w:t>8</w:t>
      </w:r>
      <w:r>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2016, </w:t>
      </w:r>
      <w:r>
        <w:rPr>
          <w:rFonts w:asciiTheme="majorHAnsi" w:hAnsiTheme="majorHAnsi" w:cs="Tahoma"/>
          <w:sz w:val="20"/>
          <w:szCs w:val="20"/>
          <w:shd w:val="clear" w:color="auto" w:fill="FFFFFF"/>
          <w:lang w:val="en-US"/>
        </w:rPr>
        <w:t xml:space="preserve">Secretariat staff attended a videoconference organized by </w:t>
      </w:r>
      <w:r w:rsidR="00031538" w:rsidRPr="005A41E0">
        <w:rPr>
          <w:rFonts w:asciiTheme="majorHAnsi" w:hAnsiTheme="majorHAnsi" w:cs="Tahoma"/>
          <w:sz w:val="20"/>
          <w:szCs w:val="20"/>
          <w:shd w:val="clear" w:color="auto" w:fill="FFFFFF"/>
          <w:lang w:val="en-US"/>
        </w:rPr>
        <w:t xml:space="preserve">Handicap International </w:t>
      </w:r>
      <w:r>
        <w:rPr>
          <w:rFonts w:asciiTheme="majorHAnsi" w:hAnsiTheme="majorHAnsi" w:cs="Tahoma"/>
          <w:sz w:val="20"/>
          <w:szCs w:val="20"/>
          <w:shd w:val="clear" w:color="auto" w:fill="FFFFFF"/>
          <w:lang w:val="en-US"/>
        </w:rPr>
        <w:t xml:space="preserve">to present a new report with the title </w:t>
      </w:r>
      <w:r w:rsidR="00763893" w:rsidRPr="005A41E0">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Making it Work Initiative on Gender and Disability Inclusion: Advancing equity for women and girls with disabilities</w:t>
      </w:r>
      <w:r>
        <w:rPr>
          <w:rFonts w:asciiTheme="majorHAnsi" w:hAnsiTheme="majorHAnsi" w:cs="Tahoma"/>
          <w:sz w:val="20"/>
          <w:szCs w:val="20"/>
          <w:shd w:val="clear" w:color="auto" w:fill="FFFFFF"/>
          <w:lang w:val="en-US"/>
        </w:rPr>
        <w:t>.</w:t>
      </w:r>
      <w:r w:rsidR="00763893" w:rsidRPr="005A41E0">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The report identifies and describes 11 good practices in 10 countries, developed by women to eliminate violence against women and girls with disabilities.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42747E" w:rsidP="00FD7B67">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From February 9 to 18, Commissioner </w:t>
      </w:r>
      <w:r w:rsidR="00031538" w:rsidRPr="005A41E0">
        <w:rPr>
          <w:rFonts w:asciiTheme="majorHAnsi" w:hAnsiTheme="majorHAnsi" w:cs="Tahoma"/>
          <w:sz w:val="20"/>
          <w:szCs w:val="20"/>
          <w:shd w:val="clear" w:color="auto" w:fill="FFFFFF"/>
          <w:lang w:val="en-US"/>
        </w:rPr>
        <w:t xml:space="preserve">José de Jesús Orozco Henríquez </w:t>
      </w:r>
      <w:r>
        <w:rPr>
          <w:rFonts w:asciiTheme="majorHAnsi" w:hAnsiTheme="majorHAnsi" w:cs="Tahoma"/>
          <w:sz w:val="20"/>
          <w:szCs w:val="20"/>
          <w:shd w:val="clear" w:color="auto" w:fill="FFFFFF"/>
          <w:lang w:val="en-US"/>
        </w:rPr>
        <w:t xml:space="preserve">and staff from the Executive Secretariat participated in the Fourth </w:t>
      </w:r>
      <w:r w:rsidR="00FD7B67">
        <w:rPr>
          <w:rFonts w:asciiTheme="majorHAnsi" w:hAnsiTheme="majorHAnsi" w:cs="Tahoma"/>
          <w:sz w:val="20"/>
          <w:szCs w:val="20"/>
          <w:shd w:val="clear" w:color="auto" w:fill="FFFFFF"/>
          <w:lang w:val="en-US"/>
        </w:rPr>
        <w:t xml:space="preserve">Course for Specialization on the Inter-American Human Rights System in </w:t>
      </w:r>
      <w:r w:rsidR="00031538" w:rsidRPr="005A41E0">
        <w:rPr>
          <w:rFonts w:asciiTheme="majorHAnsi" w:hAnsiTheme="majorHAnsi" w:cs="Tahoma"/>
          <w:sz w:val="20"/>
          <w:szCs w:val="20"/>
          <w:shd w:val="clear" w:color="auto" w:fill="FFFFFF"/>
          <w:lang w:val="en-US"/>
        </w:rPr>
        <w:t xml:space="preserve">Lima, </w:t>
      </w:r>
      <w:r w:rsidR="00FD7B67">
        <w:rPr>
          <w:rFonts w:asciiTheme="majorHAnsi" w:hAnsiTheme="majorHAnsi" w:cs="Tahoma"/>
          <w:sz w:val="20"/>
          <w:szCs w:val="20"/>
          <w:shd w:val="clear" w:color="auto" w:fill="FFFFFF"/>
          <w:lang w:val="en-US"/>
        </w:rPr>
        <w:t xml:space="preserve">Peru, organized by the </w:t>
      </w:r>
      <w:r w:rsidR="00031538" w:rsidRPr="005A41E0">
        <w:rPr>
          <w:rFonts w:asciiTheme="majorHAnsi" w:hAnsiTheme="majorHAnsi" w:cs="Tahoma"/>
          <w:sz w:val="20"/>
          <w:szCs w:val="20"/>
          <w:shd w:val="clear" w:color="auto" w:fill="FFFFFF"/>
          <w:lang w:val="en-US"/>
        </w:rPr>
        <w:t>Pontificia</w:t>
      </w:r>
      <w:r w:rsidR="00763893" w:rsidRPr="005A41E0">
        <w:rPr>
          <w:rFonts w:asciiTheme="majorHAnsi" w:hAnsiTheme="majorHAnsi" w:cs="Tahoma"/>
          <w:sz w:val="20"/>
          <w:szCs w:val="20"/>
          <w:shd w:val="clear" w:color="auto" w:fill="FFFFFF"/>
          <w:lang w:val="en-US"/>
        </w:rPr>
        <w:t xml:space="preserve"> Universidad Católica del Perú.</w:t>
      </w:r>
      <w:r w:rsidR="00031538" w:rsidRPr="005A41E0">
        <w:rPr>
          <w:rFonts w:asciiTheme="majorHAnsi" w:hAnsiTheme="majorHAnsi" w:cs="Tahoma"/>
          <w:sz w:val="20"/>
          <w:szCs w:val="20"/>
          <w:shd w:val="clear" w:color="auto" w:fill="FFFFFF"/>
          <w:lang w:val="en-US"/>
        </w:rPr>
        <w:t xml:space="preserve"> </w:t>
      </w:r>
      <w:r w:rsidR="00FD7B67">
        <w:rPr>
          <w:rFonts w:asciiTheme="majorHAnsi" w:hAnsiTheme="majorHAnsi" w:cs="Tahoma"/>
          <w:sz w:val="20"/>
          <w:szCs w:val="20"/>
          <w:shd w:val="clear" w:color="auto" w:fill="FFFFFF"/>
          <w:lang w:val="en-US"/>
        </w:rPr>
        <w:t xml:space="preserve">This course was focused on the theory, practice, and standards of the inter-American human rights system.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DC1200" w:rsidP="004A5737">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From February to April </w:t>
      </w:r>
      <w:r w:rsidR="00031538" w:rsidRPr="005A41E0">
        <w:rPr>
          <w:rFonts w:asciiTheme="majorHAnsi" w:hAnsiTheme="majorHAnsi" w:cs="Tahoma"/>
          <w:sz w:val="20"/>
          <w:szCs w:val="20"/>
          <w:shd w:val="clear" w:color="auto" w:fill="FFFFFF"/>
          <w:lang w:val="en-US"/>
        </w:rPr>
        <w:t xml:space="preserve">2016, </w:t>
      </w:r>
      <w:r>
        <w:rPr>
          <w:rFonts w:asciiTheme="majorHAnsi" w:hAnsiTheme="majorHAnsi" w:cs="Tahoma"/>
          <w:sz w:val="20"/>
          <w:szCs w:val="20"/>
          <w:shd w:val="clear" w:color="auto" w:fill="FFFFFF"/>
          <w:lang w:val="en-US"/>
        </w:rPr>
        <w:t xml:space="preserve">the Executive Secretariat organized a training and orientation program for the </w:t>
      </w:r>
      <w:r w:rsidR="00031538" w:rsidRPr="005A41E0">
        <w:rPr>
          <w:rFonts w:asciiTheme="majorHAnsi" w:hAnsiTheme="majorHAnsi" w:cs="Tahoma"/>
          <w:sz w:val="20"/>
          <w:szCs w:val="20"/>
          <w:shd w:val="clear" w:color="auto" w:fill="FFFFFF"/>
          <w:lang w:val="en-US"/>
        </w:rPr>
        <w:t xml:space="preserve">32 </w:t>
      </w:r>
      <w:r>
        <w:rPr>
          <w:rFonts w:asciiTheme="majorHAnsi" w:hAnsiTheme="majorHAnsi" w:cs="Tahoma"/>
          <w:sz w:val="20"/>
          <w:szCs w:val="20"/>
          <w:shd w:val="clear" w:color="auto" w:fill="FFFFFF"/>
          <w:lang w:val="en-US"/>
        </w:rPr>
        <w:t>interns for the winter and spring seasons. This program took the form of interactive presentations by several departments</w:t>
      </w:r>
      <w:r w:rsidR="00301FCC">
        <w:rPr>
          <w:rFonts w:asciiTheme="majorHAnsi" w:hAnsiTheme="majorHAnsi" w:cs="Tahoma"/>
          <w:sz w:val="20"/>
          <w:szCs w:val="20"/>
          <w:shd w:val="clear" w:color="auto" w:fill="FFFFFF"/>
          <w:lang w:val="en-US"/>
        </w:rPr>
        <w:t xml:space="preserve">, sections, and groups of the IACHR Secretariat, </w:t>
      </w:r>
      <w:r w:rsidR="004A5737">
        <w:rPr>
          <w:rFonts w:asciiTheme="majorHAnsi" w:hAnsiTheme="majorHAnsi" w:cs="Tahoma"/>
          <w:sz w:val="20"/>
          <w:szCs w:val="20"/>
          <w:shd w:val="clear" w:color="auto" w:fill="FFFFFF"/>
          <w:lang w:val="en-US"/>
        </w:rPr>
        <w:t xml:space="preserve">including </w:t>
      </w:r>
      <w:r w:rsidR="00301FCC">
        <w:rPr>
          <w:rFonts w:asciiTheme="majorHAnsi" w:hAnsiTheme="majorHAnsi" w:cs="Tahoma"/>
          <w:sz w:val="20"/>
          <w:szCs w:val="20"/>
          <w:shd w:val="clear" w:color="auto" w:fill="FFFFFF"/>
          <w:lang w:val="en-US"/>
        </w:rPr>
        <w:t>a roundtable discussion with the Executive Secretary.</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19475C" w:rsidP="00013157">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On February </w:t>
      </w:r>
      <w:r w:rsidR="00031538" w:rsidRPr="005A41E0">
        <w:rPr>
          <w:rFonts w:asciiTheme="majorHAnsi" w:hAnsiTheme="majorHAnsi" w:cs="Tahoma"/>
          <w:sz w:val="20"/>
          <w:szCs w:val="20"/>
          <w:shd w:val="clear" w:color="auto" w:fill="FFFFFF"/>
          <w:lang w:val="en-US"/>
        </w:rPr>
        <w:t xml:space="preserve">25 </w:t>
      </w:r>
      <w:r>
        <w:rPr>
          <w:rFonts w:asciiTheme="majorHAnsi" w:hAnsiTheme="majorHAnsi" w:cs="Tahoma"/>
          <w:sz w:val="20"/>
          <w:szCs w:val="20"/>
          <w:shd w:val="clear" w:color="auto" w:fill="FFFFFF"/>
          <w:lang w:val="en-US"/>
        </w:rPr>
        <w:t xml:space="preserve">and </w:t>
      </w:r>
      <w:r w:rsidR="00031538" w:rsidRPr="005A41E0">
        <w:rPr>
          <w:rFonts w:asciiTheme="majorHAnsi" w:hAnsiTheme="majorHAnsi" w:cs="Tahoma"/>
          <w:sz w:val="20"/>
          <w:szCs w:val="20"/>
          <w:shd w:val="clear" w:color="auto" w:fill="FFFFFF"/>
          <w:lang w:val="en-US"/>
        </w:rPr>
        <w:t>26</w:t>
      </w:r>
      <w:r>
        <w:rPr>
          <w:rFonts w:asciiTheme="majorHAnsi" w:hAnsiTheme="majorHAnsi" w:cs="Tahoma"/>
          <w:sz w:val="20"/>
          <w:szCs w:val="20"/>
          <w:shd w:val="clear" w:color="auto" w:fill="FFFFFF"/>
          <w:lang w:val="en-US"/>
        </w:rPr>
        <w:t xml:space="preserve">, </w:t>
      </w:r>
      <w:r w:rsidR="00031538" w:rsidRPr="005A41E0">
        <w:rPr>
          <w:rFonts w:asciiTheme="majorHAnsi" w:hAnsiTheme="majorHAnsi" w:cs="Tahoma"/>
          <w:sz w:val="20"/>
          <w:szCs w:val="20"/>
          <w:shd w:val="clear" w:color="auto" w:fill="FFFFFF"/>
          <w:lang w:val="en-US"/>
        </w:rPr>
        <w:t xml:space="preserve">2016, </w:t>
      </w:r>
      <w:r>
        <w:rPr>
          <w:rFonts w:asciiTheme="majorHAnsi" w:hAnsiTheme="majorHAnsi" w:cs="Tahoma"/>
          <w:sz w:val="20"/>
          <w:szCs w:val="20"/>
          <w:shd w:val="clear" w:color="auto" w:fill="FFFFFF"/>
          <w:lang w:val="en-US"/>
        </w:rPr>
        <w:t xml:space="preserve">Commissioner </w:t>
      </w:r>
      <w:r w:rsidR="00031538" w:rsidRPr="005A41E0">
        <w:rPr>
          <w:rFonts w:asciiTheme="majorHAnsi" w:hAnsiTheme="majorHAnsi" w:cs="Tahoma"/>
          <w:sz w:val="20"/>
          <w:szCs w:val="20"/>
          <w:shd w:val="clear" w:color="auto" w:fill="FFFFFF"/>
          <w:lang w:val="en-US"/>
        </w:rPr>
        <w:t xml:space="preserve">José de Jesús Orozco Henríquez </w:t>
      </w:r>
      <w:r>
        <w:rPr>
          <w:rFonts w:asciiTheme="majorHAnsi" w:hAnsiTheme="majorHAnsi" w:cs="Tahoma"/>
          <w:sz w:val="20"/>
          <w:szCs w:val="20"/>
          <w:shd w:val="clear" w:color="auto" w:fill="FFFFFF"/>
          <w:lang w:val="en-US"/>
        </w:rPr>
        <w:t xml:space="preserve">attended the Sixth Strategic Meeting of </w:t>
      </w:r>
      <w:r w:rsidR="00013157">
        <w:rPr>
          <w:rFonts w:asciiTheme="majorHAnsi" w:hAnsiTheme="majorHAnsi" w:cs="Tahoma"/>
          <w:sz w:val="20"/>
          <w:szCs w:val="20"/>
          <w:shd w:val="clear" w:color="auto" w:fill="FFFFFF"/>
          <w:lang w:val="en-US"/>
        </w:rPr>
        <w:t xml:space="preserve">Protection </w:t>
      </w:r>
      <w:r>
        <w:rPr>
          <w:rFonts w:asciiTheme="majorHAnsi" w:hAnsiTheme="majorHAnsi" w:cs="Tahoma"/>
          <w:sz w:val="20"/>
          <w:szCs w:val="20"/>
          <w:shd w:val="clear" w:color="auto" w:fill="FFFFFF"/>
          <w:lang w:val="en-US"/>
        </w:rPr>
        <w:t xml:space="preserve">Mechanisms </w:t>
      </w:r>
      <w:r w:rsidR="00013157">
        <w:rPr>
          <w:rFonts w:asciiTheme="majorHAnsi" w:hAnsiTheme="majorHAnsi" w:cs="Tahoma"/>
          <w:sz w:val="20"/>
          <w:szCs w:val="20"/>
          <w:shd w:val="clear" w:color="auto" w:fill="FFFFFF"/>
          <w:lang w:val="en-US"/>
        </w:rPr>
        <w:t xml:space="preserve">for </w:t>
      </w:r>
      <w:r>
        <w:rPr>
          <w:rFonts w:asciiTheme="majorHAnsi" w:hAnsiTheme="majorHAnsi" w:cs="Tahoma"/>
          <w:sz w:val="20"/>
          <w:szCs w:val="20"/>
          <w:shd w:val="clear" w:color="auto" w:fill="FFFFFF"/>
          <w:lang w:val="en-US"/>
        </w:rPr>
        <w:t xml:space="preserve">Human Rights Defenders at the </w:t>
      </w:r>
      <w:r w:rsidR="00031538" w:rsidRPr="005A41E0">
        <w:rPr>
          <w:rFonts w:asciiTheme="majorHAnsi" w:hAnsiTheme="majorHAnsi" w:cs="Tahoma"/>
          <w:sz w:val="20"/>
          <w:szCs w:val="20"/>
          <w:shd w:val="clear" w:color="auto" w:fill="FFFFFF"/>
          <w:lang w:val="en-US"/>
        </w:rPr>
        <w:t xml:space="preserve">Palais de L'Europe </w:t>
      </w:r>
      <w:r>
        <w:rPr>
          <w:rFonts w:asciiTheme="majorHAnsi" w:hAnsiTheme="majorHAnsi" w:cs="Tahoma"/>
          <w:sz w:val="20"/>
          <w:szCs w:val="20"/>
          <w:shd w:val="clear" w:color="auto" w:fill="FFFFFF"/>
          <w:lang w:val="en-US"/>
        </w:rPr>
        <w:t>in Strasbourg, France</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The meeting was organized by the Observatory for the Protection of Human Rights Defenders, and included representatives of various international human rights institutions related to human rights defenders, among them United Nations Special Rapporteur on the situation of human rights defenders, the Special Rapporteur of the African Commission on Human and Peoples’ Rights on human rights defenders, staff of the Council of Europe</w:t>
      </w:r>
      <w:r w:rsidR="00013157">
        <w:rPr>
          <w:rFonts w:asciiTheme="majorHAnsi" w:hAnsiTheme="majorHAnsi" w:cs="Tahoma"/>
          <w:sz w:val="20"/>
          <w:szCs w:val="20"/>
          <w:shd w:val="clear" w:color="auto" w:fill="FFFFFF"/>
          <w:lang w:val="en-US"/>
        </w:rPr>
        <w:t xml:space="preserve"> and </w:t>
      </w:r>
      <w:r>
        <w:rPr>
          <w:rFonts w:asciiTheme="majorHAnsi" w:hAnsiTheme="majorHAnsi" w:cs="Tahoma"/>
          <w:sz w:val="20"/>
          <w:szCs w:val="20"/>
          <w:shd w:val="clear" w:color="auto" w:fill="FFFFFF"/>
          <w:lang w:val="en-US"/>
        </w:rPr>
        <w:t xml:space="preserve">the European Court of Human Rights, as well </w:t>
      </w:r>
      <w:r w:rsidR="00013157">
        <w:rPr>
          <w:rFonts w:asciiTheme="majorHAnsi" w:hAnsiTheme="majorHAnsi" w:cs="Tahoma"/>
          <w:sz w:val="20"/>
          <w:szCs w:val="20"/>
          <w:shd w:val="clear" w:color="auto" w:fill="FFFFFF"/>
          <w:lang w:val="en-US"/>
        </w:rPr>
        <w:t>a</w:t>
      </w:r>
      <w:r>
        <w:rPr>
          <w:rFonts w:asciiTheme="majorHAnsi" w:hAnsiTheme="majorHAnsi" w:cs="Tahoma"/>
          <w:sz w:val="20"/>
          <w:szCs w:val="20"/>
          <w:shd w:val="clear" w:color="auto" w:fill="FFFFFF"/>
          <w:lang w:val="en-US"/>
        </w:rPr>
        <w:t>s the Secretary General of the World Organization Against Torture.</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19475C" w:rsidP="0019475C">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On March </w:t>
      </w:r>
      <w:r w:rsidR="00031538" w:rsidRPr="005A41E0">
        <w:rPr>
          <w:rFonts w:asciiTheme="majorHAnsi" w:hAnsiTheme="majorHAnsi" w:cs="Tahoma"/>
          <w:sz w:val="20"/>
          <w:szCs w:val="20"/>
          <w:shd w:val="clear" w:color="auto" w:fill="FFFFFF"/>
          <w:lang w:val="en-US"/>
        </w:rPr>
        <w:t>10</w:t>
      </w:r>
      <w:r>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2016</w:t>
      </w:r>
      <w:r w:rsidR="00013157">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Colonel </w:t>
      </w:r>
      <w:r w:rsidR="00031538" w:rsidRPr="005A41E0">
        <w:rPr>
          <w:rFonts w:asciiTheme="majorHAnsi" w:hAnsiTheme="majorHAnsi" w:cs="Tahoma"/>
          <w:sz w:val="20"/>
          <w:szCs w:val="20"/>
          <w:shd w:val="clear" w:color="auto" w:fill="FFFFFF"/>
          <w:lang w:val="en-US"/>
        </w:rPr>
        <w:t xml:space="preserve">Julio Gordon </w:t>
      </w:r>
      <w:r>
        <w:rPr>
          <w:rFonts w:asciiTheme="majorHAnsi" w:hAnsiTheme="majorHAnsi" w:cs="Tahoma"/>
          <w:sz w:val="20"/>
          <w:szCs w:val="20"/>
          <w:shd w:val="clear" w:color="auto" w:fill="FFFFFF"/>
          <w:lang w:val="en-US"/>
        </w:rPr>
        <w:t xml:space="preserve">of the </w:t>
      </w:r>
      <w:r w:rsidR="00031538" w:rsidRPr="005A41E0">
        <w:rPr>
          <w:rFonts w:asciiTheme="majorHAnsi" w:hAnsiTheme="majorHAnsi" w:cs="Tahoma"/>
          <w:sz w:val="20"/>
          <w:szCs w:val="20"/>
          <w:shd w:val="clear" w:color="auto" w:fill="FFFFFF"/>
          <w:lang w:val="en-US"/>
        </w:rPr>
        <w:t xml:space="preserve">Carabineros de Chile </w:t>
      </w:r>
      <w:r>
        <w:rPr>
          <w:rFonts w:asciiTheme="majorHAnsi" w:hAnsiTheme="majorHAnsi" w:cs="Tahoma"/>
          <w:sz w:val="20"/>
          <w:szCs w:val="20"/>
          <w:shd w:val="clear" w:color="auto" w:fill="FFFFFF"/>
          <w:lang w:val="en-US"/>
        </w:rPr>
        <w:t xml:space="preserve">and the </w:t>
      </w:r>
      <w:r w:rsidR="00031538" w:rsidRPr="005A41E0">
        <w:rPr>
          <w:rFonts w:asciiTheme="majorHAnsi" w:hAnsiTheme="majorHAnsi" w:cs="Tahoma"/>
          <w:sz w:val="20"/>
          <w:szCs w:val="20"/>
          <w:shd w:val="clear" w:color="auto" w:fill="FFFFFF"/>
          <w:lang w:val="en-US"/>
        </w:rPr>
        <w:t xml:space="preserve">American Police Community (Ameripol) </w:t>
      </w:r>
      <w:r>
        <w:rPr>
          <w:rFonts w:asciiTheme="majorHAnsi" w:hAnsiTheme="majorHAnsi" w:cs="Tahoma"/>
          <w:sz w:val="20"/>
          <w:szCs w:val="20"/>
          <w:shd w:val="clear" w:color="auto" w:fill="FFFFFF"/>
          <w:lang w:val="en-US"/>
        </w:rPr>
        <w:t>gave a talk on community policing and drug trafficking to staff of the Executive Secretariat at the headquarters of the IACHR.</w:t>
      </w:r>
      <w:r w:rsidR="00031538" w:rsidRPr="005A41E0">
        <w:rPr>
          <w:rFonts w:asciiTheme="majorHAnsi" w:hAnsiTheme="majorHAnsi" w:cs="Tahoma"/>
          <w:sz w:val="20"/>
          <w:szCs w:val="20"/>
          <w:shd w:val="clear" w:color="auto" w:fill="FFFFFF"/>
          <w:lang w:val="en-US"/>
        </w:rPr>
        <w:t xml:space="preserve">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501920" w:rsidP="00501920">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On April</w:t>
      </w:r>
      <w:r w:rsidR="00031538" w:rsidRPr="005A41E0">
        <w:rPr>
          <w:rFonts w:asciiTheme="majorHAnsi" w:hAnsiTheme="majorHAnsi" w:cs="Tahoma"/>
          <w:sz w:val="20"/>
          <w:szCs w:val="20"/>
          <w:shd w:val="clear" w:color="auto" w:fill="FFFFFF"/>
          <w:lang w:val="en-US"/>
        </w:rPr>
        <w:t xml:space="preserve"> 12</w:t>
      </w:r>
      <w:r>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w:t>
      </w:r>
      <w:r w:rsidR="00FD6CAB" w:rsidRPr="005A41E0">
        <w:rPr>
          <w:rFonts w:asciiTheme="majorHAnsi" w:hAnsiTheme="majorHAnsi" w:cs="Tahoma"/>
          <w:sz w:val="20"/>
          <w:szCs w:val="20"/>
          <w:shd w:val="clear" w:color="auto" w:fill="FFFFFF"/>
          <w:lang w:val="en-US"/>
        </w:rPr>
        <w:t xml:space="preserve">2016, </w:t>
      </w:r>
      <w:r>
        <w:rPr>
          <w:rFonts w:asciiTheme="majorHAnsi" w:hAnsiTheme="majorHAnsi" w:cs="Tahoma"/>
          <w:sz w:val="20"/>
          <w:szCs w:val="20"/>
          <w:shd w:val="clear" w:color="auto" w:fill="FFFFFF"/>
          <w:lang w:val="en-US"/>
        </w:rPr>
        <w:t>in the context of the 157</w:t>
      </w:r>
      <w:r w:rsidRPr="00501920">
        <w:rPr>
          <w:rFonts w:asciiTheme="majorHAnsi" w:hAnsiTheme="majorHAnsi" w:cs="Tahoma"/>
          <w:sz w:val="20"/>
          <w:szCs w:val="20"/>
          <w:shd w:val="clear" w:color="auto" w:fill="FFFFFF"/>
          <w:vertAlign w:val="superscript"/>
          <w:lang w:val="en-US"/>
        </w:rPr>
        <w:t>th</w:t>
      </w:r>
      <w:r>
        <w:rPr>
          <w:rFonts w:asciiTheme="majorHAnsi" w:hAnsiTheme="majorHAnsi" w:cs="Tahoma"/>
          <w:sz w:val="20"/>
          <w:szCs w:val="20"/>
          <w:shd w:val="clear" w:color="auto" w:fill="FFFFFF"/>
          <w:lang w:val="en-US"/>
        </w:rPr>
        <w:t xml:space="preserve"> period of sessions, the IACHR received the visit of a group of judges from the Judicial Council (</w:t>
      </w:r>
      <w:r w:rsidR="00031538" w:rsidRPr="005A41E0">
        <w:rPr>
          <w:rFonts w:asciiTheme="majorHAnsi" w:hAnsiTheme="majorHAnsi" w:cs="Tahoma"/>
          <w:sz w:val="20"/>
          <w:szCs w:val="20"/>
          <w:shd w:val="clear" w:color="auto" w:fill="FFFFFF"/>
          <w:lang w:val="en-US"/>
        </w:rPr>
        <w:t>Consejo de la Magistratura</w:t>
      </w:r>
      <w:r>
        <w:rPr>
          <w:rFonts w:asciiTheme="majorHAnsi" w:hAnsiTheme="majorHAnsi" w:cs="Tahoma"/>
          <w:sz w:val="20"/>
          <w:szCs w:val="20"/>
          <w:shd w:val="clear" w:color="auto" w:fill="FFFFFF"/>
          <w:lang w:val="en-US"/>
        </w:rPr>
        <w:t xml:space="preserve">) of the city of </w:t>
      </w:r>
      <w:r w:rsidR="00031538" w:rsidRPr="005A41E0">
        <w:rPr>
          <w:rFonts w:asciiTheme="majorHAnsi" w:hAnsiTheme="majorHAnsi" w:cs="Tahoma"/>
          <w:sz w:val="20"/>
          <w:szCs w:val="20"/>
          <w:shd w:val="clear" w:color="auto" w:fill="FFFFFF"/>
          <w:lang w:val="en-US"/>
        </w:rPr>
        <w:t xml:space="preserve">Buenos Aires. </w:t>
      </w:r>
      <w:r>
        <w:rPr>
          <w:rFonts w:asciiTheme="majorHAnsi" w:hAnsiTheme="majorHAnsi" w:cs="Tahoma"/>
          <w:sz w:val="20"/>
          <w:szCs w:val="20"/>
          <w:shd w:val="clear" w:color="auto" w:fill="FFFFFF"/>
          <w:lang w:val="en-US"/>
        </w:rPr>
        <w:t xml:space="preserve">During the visit a brief seminar was held on the inter-American human rights system geared to the visiting judges in which issues were addressed such as the system of petitions and cases, the mechanisms for protection and oversight, and </w:t>
      </w:r>
      <w:r w:rsidR="00013157">
        <w:rPr>
          <w:rFonts w:asciiTheme="majorHAnsi" w:hAnsiTheme="majorHAnsi" w:cs="Tahoma"/>
          <w:sz w:val="20"/>
          <w:szCs w:val="20"/>
          <w:shd w:val="clear" w:color="auto" w:fill="FFFFFF"/>
          <w:lang w:val="en-US"/>
        </w:rPr>
        <w:t xml:space="preserve">the </w:t>
      </w:r>
      <w:r>
        <w:rPr>
          <w:rFonts w:asciiTheme="majorHAnsi" w:hAnsiTheme="majorHAnsi" w:cs="Tahoma"/>
          <w:sz w:val="20"/>
          <w:szCs w:val="20"/>
          <w:shd w:val="clear" w:color="auto" w:fill="FFFFFF"/>
          <w:lang w:val="en-US"/>
        </w:rPr>
        <w:t xml:space="preserve">promotion of human rights, among others.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501920" w:rsidP="0020563C">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In collaboration with the Faculty of Law of the </w:t>
      </w:r>
      <w:r w:rsidR="00031538" w:rsidRPr="005A41E0">
        <w:rPr>
          <w:rFonts w:asciiTheme="majorHAnsi" w:hAnsiTheme="majorHAnsi" w:cs="Tahoma"/>
          <w:sz w:val="20"/>
          <w:szCs w:val="20"/>
          <w:shd w:val="clear" w:color="auto" w:fill="FFFFFF"/>
          <w:lang w:val="en-US"/>
        </w:rPr>
        <w:t xml:space="preserve">University of the West Indies (UWI) </w:t>
      </w:r>
      <w:r>
        <w:rPr>
          <w:rFonts w:asciiTheme="majorHAnsi" w:hAnsiTheme="majorHAnsi" w:cs="Tahoma"/>
          <w:sz w:val="20"/>
          <w:szCs w:val="20"/>
          <w:shd w:val="clear" w:color="auto" w:fill="FFFFFF"/>
          <w:lang w:val="en-US"/>
        </w:rPr>
        <w:t xml:space="preserve">and the European Union, the Executive Secretariat of the IACHR organized a seminar for ombudspersons of the </w:t>
      </w:r>
      <w:r w:rsidR="00031538" w:rsidRPr="005A41E0">
        <w:rPr>
          <w:rFonts w:asciiTheme="majorHAnsi" w:hAnsiTheme="majorHAnsi" w:cs="Tahoma"/>
          <w:sz w:val="20"/>
          <w:szCs w:val="20"/>
          <w:shd w:val="clear" w:color="auto" w:fill="FFFFFF"/>
          <w:lang w:val="en-US"/>
        </w:rPr>
        <w:t>CARICOM</w:t>
      </w:r>
      <w:r>
        <w:rPr>
          <w:rFonts w:asciiTheme="majorHAnsi" w:hAnsiTheme="majorHAnsi" w:cs="Tahoma"/>
          <w:sz w:val="20"/>
          <w:szCs w:val="20"/>
          <w:shd w:val="clear" w:color="auto" w:fill="FFFFFF"/>
          <w:lang w:val="en-US"/>
        </w:rPr>
        <w:t xml:space="preserve"> region</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with the participation of President </w:t>
      </w:r>
      <w:r w:rsidR="00031538" w:rsidRPr="005A41E0">
        <w:rPr>
          <w:rFonts w:asciiTheme="majorHAnsi" w:hAnsiTheme="majorHAnsi" w:cs="Tahoma"/>
          <w:sz w:val="20"/>
          <w:szCs w:val="20"/>
          <w:shd w:val="clear" w:color="auto" w:fill="FFFFFF"/>
          <w:lang w:val="en-US"/>
        </w:rPr>
        <w:t xml:space="preserve">James Cavallaro </w:t>
      </w:r>
      <w:r>
        <w:rPr>
          <w:rFonts w:asciiTheme="majorHAnsi" w:hAnsiTheme="majorHAnsi" w:cs="Tahoma"/>
          <w:sz w:val="20"/>
          <w:szCs w:val="20"/>
          <w:shd w:val="clear" w:color="auto" w:fill="FFFFFF"/>
          <w:lang w:val="en-US"/>
        </w:rPr>
        <w:t xml:space="preserve">and Commissioner </w:t>
      </w:r>
      <w:r w:rsidR="00031538" w:rsidRPr="005A41E0">
        <w:rPr>
          <w:rFonts w:asciiTheme="majorHAnsi" w:hAnsiTheme="majorHAnsi" w:cs="Tahoma"/>
          <w:sz w:val="20"/>
          <w:szCs w:val="20"/>
          <w:shd w:val="clear" w:color="auto" w:fill="FFFFFF"/>
          <w:lang w:val="en-US"/>
        </w:rPr>
        <w:t xml:space="preserve">Margarette May Macaulay. </w:t>
      </w:r>
      <w:r>
        <w:rPr>
          <w:rFonts w:asciiTheme="majorHAnsi" w:hAnsiTheme="majorHAnsi" w:cs="Tahoma"/>
          <w:sz w:val="20"/>
          <w:szCs w:val="20"/>
          <w:shd w:val="clear" w:color="auto" w:fill="FFFFFF"/>
          <w:lang w:val="en-US"/>
        </w:rPr>
        <w:t xml:space="preserve">The seminar was held May 19 and 20 at the Faculty of Law of </w:t>
      </w:r>
      <w:r w:rsidR="00031538" w:rsidRPr="005A41E0">
        <w:rPr>
          <w:rFonts w:asciiTheme="majorHAnsi" w:hAnsiTheme="majorHAnsi" w:cs="Tahoma"/>
          <w:sz w:val="20"/>
          <w:szCs w:val="20"/>
          <w:shd w:val="clear" w:color="auto" w:fill="FFFFFF"/>
          <w:lang w:val="en-US"/>
        </w:rPr>
        <w:t>UWI</w:t>
      </w:r>
      <w:r w:rsidR="000A0BA2" w:rsidRPr="005A41E0">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M</w:t>
      </w:r>
      <w:r w:rsidR="000A0BA2" w:rsidRPr="005A41E0">
        <w:rPr>
          <w:rFonts w:asciiTheme="majorHAnsi" w:hAnsiTheme="majorHAnsi" w:cs="Tahoma"/>
          <w:sz w:val="20"/>
          <w:szCs w:val="20"/>
          <w:shd w:val="clear" w:color="auto" w:fill="FFFFFF"/>
          <w:lang w:val="en-US"/>
        </w:rPr>
        <w:t>ONA</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in </w:t>
      </w:r>
      <w:r w:rsidR="00031538" w:rsidRPr="005A41E0">
        <w:rPr>
          <w:rFonts w:asciiTheme="majorHAnsi" w:hAnsiTheme="majorHAnsi" w:cs="Tahoma"/>
          <w:sz w:val="20"/>
          <w:szCs w:val="20"/>
          <w:shd w:val="clear" w:color="auto" w:fill="FFFFFF"/>
          <w:lang w:val="en-US"/>
        </w:rPr>
        <w:t xml:space="preserve">Kingston, Jamaica. </w:t>
      </w:r>
      <w:r>
        <w:rPr>
          <w:rFonts w:asciiTheme="majorHAnsi" w:hAnsiTheme="majorHAnsi" w:cs="Tahoma"/>
          <w:sz w:val="20"/>
          <w:szCs w:val="20"/>
          <w:shd w:val="clear" w:color="auto" w:fill="FFFFFF"/>
          <w:lang w:val="en-US"/>
        </w:rPr>
        <w:t xml:space="preserve">The title of the seminar was </w:t>
      </w:r>
      <w:r w:rsidR="00013157">
        <w:rPr>
          <w:rFonts w:asciiTheme="majorHAnsi" w:hAnsiTheme="majorHAnsi" w:cs="Tahoma"/>
          <w:sz w:val="20"/>
          <w:szCs w:val="20"/>
          <w:shd w:val="clear" w:color="auto" w:fill="FFFFFF"/>
          <w:lang w:val="en-US"/>
        </w:rPr>
        <w:t>Ombudspersons</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of </w:t>
      </w:r>
      <w:r w:rsidR="00031538" w:rsidRPr="005A41E0">
        <w:rPr>
          <w:rFonts w:asciiTheme="majorHAnsi" w:hAnsiTheme="majorHAnsi" w:cs="Tahoma"/>
          <w:sz w:val="20"/>
          <w:szCs w:val="20"/>
          <w:shd w:val="clear" w:color="auto" w:fill="FFFFFF"/>
          <w:lang w:val="en-US"/>
        </w:rPr>
        <w:t xml:space="preserve">CARICOM, </w:t>
      </w:r>
      <w:r>
        <w:rPr>
          <w:rFonts w:asciiTheme="majorHAnsi" w:hAnsiTheme="majorHAnsi" w:cs="Tahoma"/>
          <w:sz w:val="20"/>
          <w:szCs w:val="20"/>
          <w:shd w:val="clear" w:color="auto" w:fill="FFFFFF"/>
          <w:lang w:val="en-US"/>
        </w:rPr>
        <w:t xml:space="preserve">Citizen Security, and the Inter-American Human Rights System. The seminar included the presence of officials from five </w:t>
      </w:r>
      <w:r w:rsidR="00031538" w:rsidRPr="005A41E0">
        <w:rPr>
          <w:rFonts w:asciiTheme="majorHAnsi" w:hAnsiTheme="majorHAnsi" w:cs="Tahoma"/>
          <w:sz w:val="20"/>
          <w:szCs w:val="20"/>
          <w:shd w:val="clear" w:color="auto" w:fill="FFFFFF"/>
          <w:lang w:val="en-US"/>
        </w:rPr>
        <w:t>CARICOM</w:t>
      </w:r>
      <w:r w:rsidR="008F5E12">
        <w:rPr>
          <w:rFonts w:asciiTheme="majorHAnsi" w:hAnsiTheme="majorHAnsi" w:cs="Tahoma"/>
          <w:sz w:val="20"/>
          <w:szCs w:val="20"/>
          <w:shd w:val="clear" w:color="auto" w:fill="FFFFFF"/>
          <w:lang w:val="en-US"/>
        </w:rPr>
        <w:t xml:space="preserve"> states,</w:t>
      </w:r>
      <w:r>
        <w:rPr>
          <w:rFonts w:asciiTheme="majorHAnsi" w:hAnsiTheme="majorHAnsi" w:cs="Tahoma"/>
          <w:sz w:val="20"/>
          <w:szCs w:val="20"/>
          <w:shd w:val="clear" w:color="auto" w:fill="FFFFFF"/>
          <w:lang w:val="en-US"/>
        </w:rPr>
        <w:t xml:space="preserve"> Barbados, Beliz</w:t>
      </w:r>
      <w:r w:rsidR="00031538" w:rsidRPr="005A41E0">
        <w:rPr>
          <w:rFonts w:asciiTheme="majorHAnsi" w:hAnsiTheme="majorHAnsi" w:cs="Tahoma"/>
          <w:sz w:val="20"/>
          <w:szCs w:val="20"/>
          <w:shd w:val="clear" w:color="auto" w:fill="FFFFFF"/>
          <w:lang w:val="en-US"/>
        </w:rPr>
        <w:t xml:space="preserve">e, </w:t>
      </w:r>
      <w:r w:rsidR="000A0BA2" w:rsidRPr="005A41E0">
        <w:rPr>
          <w:rFonts w:asciiTheme="majorHAnsi" w:hAnsiTheme="majorHAnsi" w:cs="Tahoma"/>
          <w:sz w:val="20"/>
          <w:szCs w:val="20"/>
          <w:shd w:val="clear" w:color="auto" w:fill="FFFFFF"/>
          <w:lang w:val="en-US"/>
        </w:rPr>
        <w:t xml:space="preserve">Jamaica, </w:t>
      </w:r>
      <w:r>
        <w:rPr>
          <w:rFonts w:asciiTheme="majorHAnsi" w:hAnsiTheme="majorHAnsi" w:cs="Tahoma"/>
          <w:sz w:val="20"/>
          <w:szCs w:val="20"/>
          <w:shd w:val="clear" w:color="auto" w:fill="FFFFFF"/>
          <w:lang w:val="en-US"/>
        </w:rPr>
        <w:t xml:space="preserve">St. Lucia, and </w:t>
      </w:r>
      <w:r w:rsidR="00031538" w:rsidRPr="005A41E0">
        <w:rPr>
          <w:rFonts w:asciiTheme="majorHAnsi" w:hAnsiTheme="majorHAnsi" w:cs="Tahoma"/>
          <w:sz w:val="20"/>
          <w:szCs w:val="20"/>
          <w:shd w:val="clear" w:color="auto" w:fill="FFFFFF"/>
          <w:lang w:val="en-US"/>
        </w:rPr>
        <w:t xml:space="preserve">Trinidad </w:t>
      </w:r>
      <w:r>
        <w:rPr>
          <w:rFonts w:asciiTheme="majorHAnsi" w:hAnsiTheme="majorHAnsi" w:cs="Tahoma"/>
          <w:sz w:val="20"/>
          <w:szCs w:val="20"/>
          <w:shd w:val="clear" w:color="auto" w:fill="FFFFFF"/>
          <w:lang w:val="en-US"/>
        </w:rPr>
        <w:t xml:space="preserve">and </w:t>
      </w:r>
      <w:r w:rsidR="00031538" w:rsidRPr="005A41E0">
        <w:rPr>
          <w:rFonts w:asciiTheme="majorHAnsi" w:hAnsiTheme="majorHAnsi" w:cs="Tahoma"/>
          <w:sz w:val="20"/>
          <w:szCs w:val="20"/>
          <w:shd w:val="clear" w:color="auto" w:fill="FFFFFF"/>
          <w:lang w:val="en-US"/>
        </w:rPr>
        <w:t xml:space="preserve">Tobago. </w:t>
      </w:r>
      <w:r>
        <w:rPr>
          <w:rFonts w:asciiTheme="majorHAnsi" w:hAnsiTheme="majorHAnsi" w:cs="Tahoma"/>
          <w:sz w:val="20"/>
          <w:szCs w:val="20"/>
          <w:shd w:val="clear" w:color="auto" w:fill="FFFFFF"/>
          <w:lang w:val="en-US"/>
        </w:rPr>
        <w:t xml:space="preserve">Also in attendance with officials from </w:t>
      </w:r>
      <w:r w:rsidR="00031538" w:rsidRPr="005A41E0">
        <w:rPr>
          <w:rFonts w:asciiTheme="majorHAnsi" w:hAnsiTheme="majorHAnsi" w:cs="Tahoma"/>
          <w:sz w:val="20"/>
          <w:szCs w:val="20"/>
          <w:shd w:val="clear" w:color="auto" w:fill="FFFFFF"/>
          <w:lang w:val="en-US"/>
        </w:rPr>
        <w:t xml:space="preserve">Costa Rica </w:t>
      </w:r>
      <w:r>
        <w:rPr>
          <w:rFonts w:asciiTheme="majorHAnsi" w:hAnsiTheme="majorHAnsi" w:cs="Tahoma"/>
          <w:sz w:val="20"/>
          <w:szCs w:val="20"/>
          <w:shd w:val="clear" w:color="auto" w:fill="FFFFFF"/>
          <w:lang w:val="en-US"/>
        </w:rPr>
        <w:t xml:space="preserve">and </w:t>
      </w:r>
      <w:r w:rsidR="00031538" w:rsidRPr="005A41E0">
        <w:rPr>
          <w:rFonts w:asciiTheme="majorHAnsi" w:hAnsiTheme="majorHAnsi" w:cs="Tahoma"/>
          <w:sz w:val="20"/>
          <w:szCs w:val="20"/>
          <w:shd w:val="clear" w:color="auto" w:fill="FFFFFF"/>
          <w:lang w:val="en-US"/>
        </w:rPr>
        <w:t xml:space="preserve">Puerto Rico. </w:t>
      </w:r>
      <w:r>
        <w:rPr>
          <w:rFonts w:asciiTheme="majorHAnsi" w:hAnsiTheme="majorHAnsi" w:cs="Tahoma"/>
          <w:sz w:val="20"/>
          <w:szCs w:val="20"/>
          <w:shd w:val="clear" w:color="auto" w:fill="FFFFFF"/>
          <w:lang w:val="en-US"/>
        </w:rPr>
        <w:t xml:space="preserve">During the seminar several panel discussions were held that gave a general overview of the inter-American human </w:t>
      </w:r>
      <w:r>
        <w:rPr>
          <w:rFonts w:asciiTheme="majorHAnsi" w:hAnsiTheme="majorHAnsi" w:cs="Tahoma"/>
          <w:sz w:val="20"/>
          <w:szCs w:val="20"/>
          <w:shd w:val="clear" w:color="auto" w:fill="FFFFFF"/>
          <w:lang w:val="en-US"/>
        </w:rPr>
        <w:lastRenderedPageBreak/>
        <w:t>rights system and its role in promoting the protection of citizen security from a human rights perspective</w:t>
      </w:r>
      <w:r w:rsidR="000A0BA2" w:rsidRPr="005A41E0">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CARICOM</w:t>
      </w:r>
      <w:r>
        <w:rPr>
          <w:rFonts w:asciiTheme="majorHAnsi" w:hAnsiTheme="majorHAnsi" w:cs="Tahoma"/>
          <w:sz w:val="20"/>
          <w:szCs w:val="20"/>
          <w:shd w:val="clear" w:color="auto" w:fill="FFFFFF"/>
          <w:lang w:val="en-US"/>
        </w:rPr>
        <w:t>’s experience in terms of institutional challenges and existing national and international mechanisms for addressing these challenges; the experience of Latin America in terms of challenges and best practices in the use of international human rights mechanisms to improve citizen security.</w:t>
      </w:r>
      <w:r w:rsidR="00F33B98">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As a result of the seminar, supported by staff of the Executive Secretariat, a brochure of good practices is being prepared that is expected to be published and distributed by the </w:t>
      </w:r>
      <w:r w:rsidR="00031538" w:rsidRPr="005A41E0">
        <w:rPr>
          <w:rFonts w:asciiTheme="majorHAnsi" w:hAnsiTheme="majorHAnsi" w:cs="Tahoma"/>
          <w:sz w:val="20"/>
          <w:szCs w:val="20"/>
          <w:shd w:val="clear" w:color="auto" w:fill="FFFFFF"/>
          <w:lang w:val="en-US"/>
        </w:rPr>
        <w:t xml:space="preserve">UWI </w:t>
      </w:r>
      <w:r>
        <w:rPr>
          <w:rFonts w:asciiTheme="majorHAnsi" w:hAnsiTheme="majorHAnsi" w:cs="Tahoma"/>
          <w:sz w:val="20"/>
          <w:szCs w:val="20"/>
          <w:shd w:val="clear" w:color="auto" w:fill="FFFFFF"/>
          <w:lang w:val="en-US"/>
        </w:rPr>
        <w:t xml:space="preserve">in </w:t>
      </w:r>
      <w:r w:rsidR="00031538" w:rsidRPr="005A41E0">
        <w:rPr>
          <w:rFonts w:asciiTheme="majorHAnsi" w:hAnsiTheme="majorHAnsi" w:cs="Tahoma"/>
          <w:sz w:val="20"/>
          <w:szCs w:val="20"/>
          <w:shd w:val="clear" w:color="auto" w:fill="FFFFFF"/>
          <w:lang w:val="en-US"/>
        </w:rPr>
        <w:t>2017.</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501920" w:rsidP="009E4185">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In the week of June </w:t>
      </w:r>
      <w:r w:rsidR="00031538" w:rsidRPr="005A41E0">
        <w:rPr>
          <w:rFonts w:asciiTheme="majorHAnsi" w:hAnsiTheme="majorHAnsi" w:cs="Tahoma"/>
          <w:sz w:val="20"/>
          <w:szCs w:val="20"/>
          <w:shd w:val="clear" w:color="auto" w:fill="FFFFFF"/>
          <w:lang w:val="en-US"/>
        </w:rPr>
        <w:t xml:space="preserve">6 </w:t>
      </w:r>
      <w:r>
        <w:rPr>
          <w:rFonts w:asciiTheme="majorHAnsi" w:hAnsiTheme="majorHAnsi" w:cs="Tahoma"/>
          <w:sz w:val="20"/>
          <w:szCs w:val="20"/>
          <w:shd w:val="clear" w:color="auto" w:fill="FFFFFF"/>
          <w:lang w:val="en-US"/>
        </w:rPr>
        <w:t xml:space="preserve">to </w:t>
      </w:r>
      <w:r w:rsidR="00031538" w:rsidRPr="005A41E0">
        <w:rPr>
          <w:rFonts w:asciiTheme="majorHAnsi" w:hAnsiTheme="majorHAnsi" w:cs="Tahoma"/>
          <w:sz w:val="20"/>
          <w:szCs w:val="20"/>
          <w:shd w:val="clear" w:color="auto" w:fill="FFFFFF"/>
          <w:lang w:val="en-US"/>
        </w:rPr>
        <w:t>10</w:t>
      </w:r>
      <w:r>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2016, </w:t>
      </w:r>
      <w:r>
        <w:rPr>
          <w:rFonts w:asciiTheme="majorHAnsi" w:hAnsiTheme="majorHAnsi" w:cs="Tahoma"/>
          <w:sz w:val="20"/>
          <w:szCs w:val="20"/>
          <w:shd w:val="clear" w:color="auto" w:fill="FFFFFF"/>
          <w:lang w:val="en-US"/>
        </w:rPr>
        <w:t>in the context of the 158</w:t>
      </w:r>
      <w:r w:rsidRPr="00501920">
        <w:rPr>
          <w:rFonts w:asciiTheme="majorHAnsi" w:hAnsiTheme="majorHAnsi" w:cs="Tahoma"/>
          <w:sz w:val="20"/>
          <w:szCs w:val="20"/>
          <w:shd w:val="clear" w:color="auto" w:fill="FFFFFF"/>
          <w:vertAlign w:val="superscript"/>
          <w:lang w:val="en-US"/>
        </w:rPr>
        <w:t>th</w:t>
      </w:r>
      <w:r>
        <w:rPr>
          <w:rFonts w:asciiTheme="majorHAnsi" w:hAnsiTheme="majorHAnsi" w:cs="Tahoma"/>
          <w:sz w:val="20"/>
          <w:szCs w:val="20"/>
          <w:shd w:val="clear" w:color="auto" w:fill="FFFFFF"/>
          <w:lang w:val="en-US"/>
        </w:rPr>
        <w:t xml:space="preserve"> special period of sessions held in </w:t>
      </w:r>
      <w:r w:rsidR="00031538" w:rsidRPr="005A41E0">
        <w:rPr>
          <w:rFonts w:asciiTheme="majorHAnsi" w:hAnsiTheme="majorHAnsi" w:cs="Tahoma"/>
          <w:sz w:val="20"/>
          <w:szCs w:val="20"/>
          <w:shd w:val="clear" w:color="auto" w:fill="FFFFFF"/>
          <w:lang w:val="en-US"/>
        </w:rPr>
        <w:t xml:space="preserve">Chile, </w:t>
      </w:r>
      <w:r>
        <w:rPr>
          <w:rFonts w:asciiTheme="majorHAnsi" w:hAnsiTheme="majorHAnsi" w:cs="Tahoma"/>
          <w:sz w:val="20"/>
          <w:szCs w:val="20"/>
          <w:shd w:val="clear" w:color="auto" w:fill="FFFFFF"/>
          <w:lang w:val="en-US"/>
        </w:rPr>
        <w:t xml:space="preserve">the IACHR held an academic seminar at the Museum of Memory and Human Rights with three panels on progress and challenges of the IACHR, the right to truth, justice, and reparation, and inter-American standards on equity and non-discrimination. The IACHR also sponsored a colloquium on the issue of States, Businesses and Human Rights, organized by the Human Rights Center of the </w:t>
      </w:r>
      <w:r w:rsidR="00031538" w:rsidRPr="005A41E0">
        <w:rPr>
          <w:rFonts w:asciiTheme="majorHAnsi" w:hAnsiTheme="majorHAnsi" w:cs="Tahoma"/>
          <w:sz w:val="20"/>
          <w:szCs w:val="20"/>
          <w:shd w:val="clear" w:color="auto" w:fill="FFFFFF"/>
          <w:lang w:val="en-US"/>
        </w:rPr>
        <w:t xml:space="preserve">Universidad Diego Portales </w:t>
      </w:r>
      <w:r>
        <w:rPr>
          <w:rFonts w:asciiTheme="majorHAnsi" w:hAnsiTheme="majorHAnsi" w:cs="Tahoma"/>
          <w:sz w:val="20"/>
          <w:szCs w:val="20"/>
          <w:shd w:val="clear" w:color="auto" w:fill="FFFFFF"/>
          <w:lang w:val="en-US"/>
        </w:rPr>
        <w:t xml:space="preserve">and held at the National Human Rights Institute. </w:t>
      </w:r>
      <w:r w:rsidR="00055801">
        <w:rPr>
          <w:rFonts w:asciiTheme="majorHAnsi" w:hAnsiTheme="majorHAnsi" w:cs="Tahoma"/>
          <w:sz w:val="20"/>
          <w:szCs w:val="20"/>
          <w:shd w:val="clear" w:color="auto" w:fill="FFFFFF"/>
          <w:lang w:val="en-US"/>
        </w:rPr>
        <w:t xml:space="preserve">A colloquium was also held with the members of the Human Rights Committee of the Judicial Branch on the question of issue of enforcement of treaty obligations </w:t>
      </w:r>
      <w:r w:rsidR="009E4185">
        <w:rPr>
          <w:rFonts w:asciiTheme="majorHAnsi" w:hAnsiTheme="majorHAnsi" w:cs="Tahoma"/>
          <w:sz w:val="20"/>
          <w:szCs w:val="20"/>
          <w:shd w:val="clear" w:color="auto" w:fill="FFFFFF"/>
          <w:lang w:val="en-US"/>
        </w:rPr>
        <w:t xml:space="preserve">by domestic judges </w:t>
      </w:r>
      <w:r w:rsidR="00055801">
        <w:rPr>
          <w:rFonts w:asciiTheme="majorHAnsi" w:hAnsiTheme="majorHAnsi" w:cs="Tahoma"/>
          <w:sz w:val="20"/>
          <w:szCs w:val="20"/>
          <w:shd w:val="clear" w:color="auto" w:fill="FFFFFF"/>
          <w:lang w:val="en-US"/>
        </w:rPr>
        <w:t>(“contr</w:t>
      </w:r>
      <w:r w:rsidR="00FB2833">
        <w:rPr>
          <w:rFonts w:asciiTheme="majorHAnsi" w:hAnsiTheme="majorHAnsi" w:cs="Tahoma"/>
          <w:sz w:val="20"/>
          <w:szCs w:val="20"/>
          <w:shd w:val="clear" w:color="auto" w:fill="FFFFFF"/>
          <w:lang w:val="en-US"/>
        </w:rPr>
        <w:t>o</w:t>
      </w:r>
      <w:r w:rsidR="00055801">
        <w:rPr>
          <w:rFonts w:asciiTheme="majorHAnsi" w:hAnsiTheme="majorHAnsi" w:cs="Tahoma"/>
          <w:sz w:val="20"/>
          <w:szCs w:val="20"/>
          <w:shd w:val="clear" w:color="auto" w:fill="FFFFFF"/>
          <w:lang w:val="en-US"/>
        </w:rPr>
        <w:t xml:space="preserve">l of conventionality”) at the headquarters of the Judicial Studies Institute.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055801" w:rsidP="009E4185">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On June </w:t>
      </w:r>
      <w:r w:rsidR="00031538" w:rsidRPr="005A41E0">
        <w:rPr>
          <w:rFonts w:asciiTheme="majorHAnsi" w:hAnsiTheme="majorHAnsi" w:cs="Tahoma"/>
          <w:sz w:val="20"/>
          <w:szCs w:val="20"/>
          <w:shd w:val="clear" w:color="auto" w:fill="FFFFFF"/>
          <w:lang w:val="en-US"/>
        </w:rPr>
        <w:t xml:space="preserve">14, </w:t>
      </w:r>
      <w:r>
        <w:rPr>
          <w:rFonts w:asciiTheme="majorHAnsi" w:hAnsiTheme="majorHAnsi" w:cs="Tahoma"/>
          <w:sz w:val="20"/>
          <w:szCs w:val="20"/>
          <w:shd w:val="clear" w:color="auto" w:fill="FFFFFF"/>
          <w:lang w:val="en-US"/>
        </w:rPr>
        <w:t xml:space="preserve">staff of the Executive Secretariat made a presentation at </w:t>
      </w:r>
      <w:r w:rsidR="00031538" w:rsidRPr="005A41E0">
        <w:rPr>
          <w:rFonts w:asciiTheme="majorHAnsi" w:hAnsiTheme="majorHAnsi" w:cs="Tahoma"/>
          <w:sz w:val="20"/>
          <w:szCs w:val="20"/>
          <w:shd w:val="clear" w:color="auto" w:fill="FFFFFF"/>
          <w:lang w:val="en-US"/>
        </w:rPr>
        <w:t xml:space="preserve">Washington College of Law, American University, </w:t>
      </w:r>
      <w:r>
        <w:rPr>
          <w:rFonts w:asciiTheme="majorHAnsi" w:hAnsiTheme="majorHAnsi" w:cs="Tahoma"/>
          <w:sz w:val="20"/>
          <w:szCs w:val="20"/>
          <w:shd w:val="clear" w:color="auto" w:fill="FFFFFF"/>
          <w:lang w:val="en-US"/>
        </w:rPr>
        <w:t>in the context of a diplomate course on the Inter-American Human Rights System. The course included the participation of students from several countries of the Americas, including Argentina, Ecuador, Dominica</w:t>
      </w:r>
      <w:r w:rsidR="009E4185">
        <w:rPr>
          <w:rFonts w:asciiTheme="majorHAnsi" w:hAnsiTheme="majorHAnsi" w:cs="Tahoma"/>
          <w:sz w:val="20"/>
          <w:szCs w:val="20"/>
          <w:shd w:val="clear" w:color="auto" w:fill="FFFFFF"/>
          <w:lang w:val="en-US"/>
        </w:rPr>
        <w:t>n</w:t>
      </w:r>
      <w:r>
        <w:rPr>
          <w:rFonts w:asciiTheme="majorHAnsi" w:hAnsiTheme="majorHAnsi" w:cs="Tahoma"/>
          <w:sz w:val="20"/>
          <w:szCs w:val="20"/>
          <w:shd w:val="clear" w:color="auto" w:fill="FFFFFF"/>
          <w:lang w:val="en-US"/>
        </w:rPr>
        <w:t xml:space="preserve"> Republic, Mexico, and Peru</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The next day, the students visited the headquarters of the IACHR.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055801" w:rsidP="00055801">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On June 15, a brief seminar was held at the headquarters of the IACHR for students from the </w:t>
      </w:r>
      <w:r w:rsidR="00031538" w:rsidRPr="005A41E0">
        <w:rPr>
          <w:rFonts w:asciiTheme="majorHAnsi" w:hAnsiTheme="majorHAnsi" w:cs="Tahoma"/>
          <w:sz w:val="20"/>
          <w:szCs w:val="20"/>
          <w:shd w:val="clear" w:color="auto" w:fill="FFFFFF"/>
          <w:lang w:val="en-US"/>
        </w:rPr>
        <w:t>National Defense University</w:t>
      </w:r>
      <w:r w:rsidR="009E4185">
        <w:rPr>
          <w:rFonts w:asciiTheme="majorHAnsi" w:hAnsiTheme="majorHAnsi" w:cs="Tahoma"/>
          <w:sz w:val="20"/>
          <w:szCs w:val="20"/>
          <w:shd w:val="clear" w:color="auto" w:fill="FFFFFF"/>
          <w:lang w:val="en-US"/>
        </w:rPr>
        <w:t xml:space="preserve"> (United States)</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Staff from the Executive Secretariat made presentations to the students on various aspects of the IACHR, including its structure and functions, as well as the mechanisms of observation and protection.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055801" w:rsidP="009E4185">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From July </w:t>
      </w:r>
      <w:r w:rsidR="00031538" w:rsidRPr="005A41E0">
        <w:rPr>
          <w:rFonts w:asciiTheme="majorHAnsi" w:hAnsiTheme="majorHAnsi" w:cs="Tahoma"/>
          <w:sz w:val="20"/>
          <w:szCs w:val="20"/>
          <w:shd w:val="clear" w:color="auto" w:fill="FFFFFF"/>
          <w:lang w:val="en-US"/>
        </w:rPr>
        <w:t xml:space="preserve">18 </w:t>
      </w:r>
      <w:r>
        <w:rPr>
          <w:rFonts w:asciiTheme="majorHAnsi" w:hAnsiTheme="majorHAnsi" w:cs="Tahoma"/>
          <w:sz w:val="20"/>
          <w:szCs w:val="20"/>
          <w:shd w:val="clear" w:color="auto" w:fill="FFFFFF"/>
          <w:lang w:val="en-US"/>
        </w:rPr>
        <w:t xml:space="preserve">to </w:t>
      </w:r>
      <w:r w:rsidR="00031538" w:rsidRPr="005A41E0">
        <w:rPr>
          <w:rFonts w:asciiTheme="majorHAnsi" w:hAnsiTheme="majorHAnsi" w:cs="Tahoma"/>
          <w:sz w:val="20"/>
          <w:szCs w:val="20"/>
          <w:shd w:val="clear" w:color="auto" w:fill="FFFFFF"/>
          <w:lang w:val="en-US"/>
        </w:rPr>
        <w:t>22</w:t>
      </w:r>
      <w:r>
        <w:rPr>
          <w:rFonts w:asciiTheme="majorHAnsi" w:hAnsiTheme="majorHAnsi" w:cs="Tahoma"/>
          <w:sz w:val="20"/>
          <w:szCs w:val="20"/>
          <w:shd w:val="clear" w:color="auto" w:fill="FFFFFF"/>
          <w:lang w:val="en-US"/>
        </w:rPr>
        <w:t>,</w:t>
      </w:r>
      <w:r w:rsidR="009E4185">
        <w:rPr>
          <w:rFonts w:asciiTheme="majorHAnsi" w:hAnsiTheme="majorHAnsi" w:cs="Tahoma"/>
          <w:sz w:val="20"/>
          <w:szCs w:val="20"/>
          <w:shd w:val="clear" w:color="auto" w:fill="FFFFFF"/>
          <w:lang w:val="en-US"/>
        </w:rPr>
        <w:t xml:space="preserve"> 2016</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the IACHR, together with the </w:t>
      </w:r>
      <w:r w:rsidR="00031538" w:rsidRPr="005A41E0">
        <w:rPr>
          <w:rFonts w:asciiTheme="majorHAnsi" w:hAnsiTheme="majorHAnsi" w:cs="Tahoma"/>
          <w:sz w:val="20"/>
          <w:szCs w:val="20"/>
          <w:shd w:val="clear" w:color="auto" w:fill="FFFFFF"/>
          <w:lang w:val="en-US"/>
        </w:rPr>
        <w:t xml:space="preserve">Washington College of Law, American University, </w:t>
      </w:r>
      <w:r w:rsidR="00031538" w:rsidRPr="005A41E0">
        <w:rPr>
          <w:rFonts w:asciiTheme="majorHAnsi" w:hAnsiTheme="majorHAnsi"/>
          <w:sz w:val="20"/>
          <w:szCs w:val="20"/>
          <w:lang w:val="en-US"/>
        </w:rPr>
        <w:t>Robert</w:t>
      </w:r>
      <w:r w:rsidR="00031538" w:rsidRPr="005A41E0">
        <w:rPr>
          <w:rFonts w:asciiTheme="majorHAnsi" w:hAnsiTheme="majorHAnsi" w:cs="Tahoma"/>
          <w:sz w:val="20"/>
          <w:szCs w:val="20"/>
          <w:shd w:val="clear" w:color="auto" w:fill="FFFFFF"/>
          <w:lang w:val="en-US"/>
        </w:rPr>
        <w:t xml:space="preserve"> F. </w:t>
      </w:r>
      <w:r w:rsidR="000A0BA2" w:rsidRPr="005A41E0">
        <w:rPr>
          <w:rFonts w:asciiTheme="majorHAnsi" w:hAnsiTheme="majorHAnsi" w:cs="Tahoma"/>
          <w:sz w:val="20"/>
          <w:szCs w:val="20"/>
          <w:shd w:val="clear" w:color="auto" w:fill="FFFFFF"/>
          <w:lang w:val="en-US"/>
        </w:rPr>
        <w:t>Kennedy Human</w:t>
      </w:r>
      <w:r w:rsidR="00031538" w:rsidRPr="005A41E0">
        <w:rPr>
          <w:rFonts w:asciiTheme="majorHAnsi" w:hAnsiTheme="majorHAnsi" w:cs="Tahoma"/>
          <w:sz w:val="20"/>
          <w:szCs w:val="20"/>
          <w:shd w:val="clear" w:color="auto" w:fill="FFFFFF"/>
          <w:lang w:val="en-US"/>
        </w:rPr>
        <w:t xml:space="preserve"> Rights</w:t>
      </w:r>
      <w:r>
        <w:rPr>
          <w:rFonts w:asciiTheme="majorHAnsi" w:hAnsiTheme="majorHAnsi" w:cs="Tahoma"/>
          <w:sz w:val="20"/>
          <w:szCs w:val="20"/>
          <w:shd w:val="clear" w:color="auto" w:fill="FFFFFF"/>
          <w:lang w:val="en-US"/>
        </w:rPr>
        <w:t xml:space="preserve">, and the Inter-American Institute of Human Rights, organized a training course on the </w:t>
      </w:r>
      <w:r w:rsidR="009E4185">
        <w:rPr>
          <w:rFonts w:asciiTheme="majorHAnsi" w:hAnsiTheme="majorHAnsi" w:cs="Tahoma"/>
          <w:sz w:val="20"/>
          <w:szCs w:val="20"/>
          <w:shd w:val="clear" w:color="auto" w:fill="FFFFFF"/>
          <w:lang w:val="en-US"/>
        </w:rPr>
        <w:t xml:space="preserve">American Convention </w:t>
      </w:r>
      <w:r>
        <w:rPr>
          <w:rFonts w:asciiTheme="majorHAnsi" w:hAnsiTheme="majorHAnsi" w:cs="Tahoma"/>
          <w:sz w:val="20"/>
          <w:szCs w:val="20"/>
          <w:shd w:val="clear" w:color="auto" w:fill="FFFFFF"/>
          <w:lang w:val="en-US"/>
        </w:rPr>
        <w:t>and the system for the protection of human rights, for state agents from the Americas.</w:t>
      </w:r>
      <w:r w:rsidR="00031538" w:rsidRPr="005A41E0">
        <w:rPr>
          <w:rFonts w:asciiTheme="majorHAnsi" w:hAnsiTheme="majorHAnsi" w:cs="Tahoma"/>
          <w:sz w:val="20"/>
          <w:szCs w:val="20"/>
          <w:shd w:val="clear" w:color="auto" w:fill="FFFFFF"/>
          <w:lang w:val="en-US"/>
        </w:rPr>
        <w:t xml:space="preserve">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055801" w:rsidP="009E4185">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On July </w:t>
      </w:r>
      <w:r w:rsidR="00031538" w:rsidRPr="005A41E0">
        <w:rPr>
          <w:rFonts w:asciiTheme="majorHAnsi" w:hAnsiTheme="majorHAnsi" w:cs="Tahoma"/>
          <w:sz w:val="20"/>
          <w:szCs w:val="20"/>
          <w:shd w:val="clear" w:color="auto" w:fill="FFFFFF"/>
          <w:lang w:val="en-US"/>
        </w:rPr>
        <w:t xml:space="preserve">27 </w:t>
      </w:r>
      <w:r>
        <w:rPr>
          <w:rFonts w:asciiTheme="majorHAnsi" w:hAnsiTheme="majorHAnsi" w:cs="Tahoma"/>
          <w:sz w:val="20"/>
          <w:szCs w:val="20"/>
          <w:shd w:val="clear" w:color="auto" w:fill="FFFFFF"/>
          <w:lang w:val="en-US"/>
        </w:rPr>
        <w:t xml:space="preserve">the Secretariat organized a presentation by </w:t>
      </w:r>
      <w:r w:rsidR="00031538" w:rsidRPr="005A41E0">
        <w:rPr>
          <w:rFonts w:asciiTheme="majorHAnsi" w:hAnsiTheme="majorHAnsi" w:cs="Tahoma"/>
          <w:sz w:val="20"/>
          <w:szCs w:val="20"/>
          <w:shd w:val="clear" w:color="auto" w:fill="FFFFFF"/>
          <w:lang w:val="en-US"/>
        </w:rPr>
        <w:t>Zakiya Carr</w:t>
      </w:r>
      <w:r w:rsidR="000A0BA2" w:rsidRPr="005A41E0">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Johnson </w:t>
      </w:r>
      <w:r>
        <w:rPr>
          <w:rFonts w:asciiTheme="majorHAnsi" w:hAnsiTheme="majorHAnsi" w:cs="Tahoma"/>
          <w:sz w:val="20"/>
          <w:szCs w:val="20"/>
          <w:shd w:val="clear" w:color="auto" w:fill="FFFFFF"/>
          <w:lang w:val="en-US"/>
        </w:rPr>
        <w:t xml:space="preserve">for the members of the IACHR on cultural diversity and social inclusion in the workplace. Ms. </w:t>
      </w:r>
      <w:r w:rsidR="000A0BA2" w:rsidRPr="005A41E0">
        <w:rPr>
          <w:rFonts w:asciiTheme="majorHAnsi" w:hAnsiTheme="majorHAnsi" w:cs="Tahoma"/>
          <w:sz w:val="20"/>
          <w:szCs w:val="20"/>
          <w:shd w:val="clear" w:color="auto" w:fill="FFFFFF"/>
          <w:lang w:val="en-US"/>
        </w:rPr>
        <w:t>Carr-</w:t>
      </w:r>
      <w:r>
        <w:rPr>
          <w:rFonts w:asciiTheme="majorHAnsi" w:hAnsiTheme="majorHAnsi" w:cs="Tahoma"/>
          <w:sz w:val="20"/>
          <w:szCs w:val="20"/>
          <w:shd w:val="clear" w:color="auto" w:fill="FFFFFF"/>
          <w:lang w:val="en-US"/>
        </w:rPr>
        <w:t>Johnson is the Director of the Race</w:t>
      </w:r>
      <w:r w:rsidR="00031538" w:rsidRPr="005A41E0">
        <w:rPr>
          <w:rFonts w:asciiTheme="majorHAnsi" w:hAnsiTheme="majorHAnsi" w:cs="Tahoma"/>
          <w:sz w:val="20"/>
          <w:szCs w:val="20"/>
          <w:shd w:val="clear" w:color="auto" w:fill="FFFFFF"/>
          <w:lang w:val="en-US"/>
        </w:rPr>
        <w:t>, Et</w:t>
      </w:r>
      <w:r>
        <w:rPr>
          <w:rFonts w:asciiTheme="majorHAnsi" w:hAnsiTheme="majorHAnsi" w:cs="Tahoma"/>
          <w:sz w:val="20"/>
          <w:szCs w:val="20"/>
          <w:shd w:val="clear" w:color="auto" w:fill="FFFFFF"/>
          <w:lang w:val="en-US"/>
        </w:rPr>
        <w:t xml:space="preserve">hnicity and </w:t>
      </w:r>
      <w:r w:rsidR="00031538" w:rsidRPr="005A41E0">
        <w:rPr>
          <w:rFonts w:asciiTheme="majorHAnsi" w:hAnsiTheme="majorHAnsi" w:cs="Tahoma"/>
          <w:sz w:val="20"/>
          <w:szCs w:val="20"/>
          <w:shd w:val="clear" w:color="auto" w:fill="FFFFFF"/>
          <w:lang w:val="en-US"/>
        </w:rPr>
        <w:t xml:space="preserve">Social </w:t>
      </w:r>
      <w:r>
        <w:rPr>
          <w:rFonts w:asciiTheme="majorHAnsi" w:hAnsiTheme="majorHAnsi" w:cs="Tahoma"/>
          <w:sz w:val="20"/>
          <w:szCs w:val="20"/>
          <w:shd w:val="clear" w:color="auto" w:fill="FFFFFF"/>
          <w:lang w:val="en-US"/>
        </w:rPr>
        <w:t xml:space="preserve">Inclusion Unit in the </w:t>
      </w:r>
      <w:r w:rsidR="009E4185">
        <w:rPr>
          <w:rFonts w:asciiTheme="majorHAnsi" w:hAnsiTheme="majorHAnsi" w:cs="Tahoma"/>
          <w:sz w:val="20"/>
          <w:szCs w:val="20"/>
          <w:shd w:val="clear" w:color="auto" w:fill="FFFFFF"/>
          <w:lang w:val="en-US"/>
        </w:rPr>
        <w:t xml:space="preserve">Bureau </w:t>
      </w:r>
      <w:r>
        <w:rPr>
          <w:rFonts w:asciiTheme="majorHAnsi" w:hAnsiTheme="majorHAnsi" w:cs="Tahoma"/>
          <w:sz w:val="20"/>
          <w:szCs w:val="20"/>
          <w:shd w:val="clear" w:color="auto" w:fill="FFFFFF"/>
          <w:lang w:val="en-US"/>
        </w:rPr>
        <w:t xml:space="preserve">of Western Hemisphere Affairs at the Department of State of the United States. </w:t>
      </w:r>
      <w:r w:rsidR="00A077AE">
        <w:rPr>
          <w:rFonts w:asciiTheme="majorHAnsi" w:hAnsiTheme="majorHAnsi" w:cs="Tahoma"/>
          <w:sz w:val="20"/>
          <w:szCs w:val="20"/>
          <w:shd w:val="clear" w:color="auto" w:fill="FFFFFF"/>
          <w:lang w:val="en-US"/>
        </w:rPr>
        <w:t xml:space="preserve">The presentation to the commissioners followed up on an earlier presentation for the staff of the IACHR in September </w:t>
      </w:r>
      <w:r w:rsidR="00031538" w:rsidRPr="005A41E0">
        <w:rPr>
          <w:rFonts w:asciiTheme="majorHAnsi" w:hAnsiTheme="majorHAnsi" w:cs="Tahoma"/>
          <w:sz w:val="20"/>
          <w:szCs w:val="20"/>
          <w:shd w:val="clear" w:color="auto" w:fill="FFFFFF"/>
          <w:lang w:val="en-US"/>
        </w:rPr>
        <w:t>2015.</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A077AE" w:rsidP="00A077AE">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In the months of July and August the traditional training and orientation program for summer interns continued</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These event</w:t>
      </w:r>
      <w:r w:rsidR="00031538" w:rsidRPr="005A41E0">
        <w:rPr>
          <w:rFonts w:asciiTheme="majorHAnsi" w:hAnsiTheme="majorHAnsi" w:cs="Tahoma"/>
          <w:sz w:val="20"/>
          <w:szCs w:val="20"/>
          <w:shd w:val="clear" w:color="auto" w:fill="FFFFFF"/>
          <w:lang w:val="en-US"/>
        </w:rPr>
        <w:t xml:space="preserve">s </w:t>
      </w:r>
      <w:r>
        <w:rPr>
          <w:rFonts w:asciiTheme="majorHAnsi" w:hAnsiTheme="majorHAnsi" w:cs="Tahoma"/>
          <w:sz w:val="20"/>
          <w:szCs w:val="20"/>
          <w:shd w:val="clear" w:color="auto" w:fill="FFFFFF"/>
          <w:lang w:val="en-US"/>
        </w:rPr>
        <w:t>mainly took the form of interactive presentation</w:t>
      </w:r>
      <w:r w:rsidR="009E4185">
        <w:rPr>
          <w:rFonts w:asciiTheme="majorHAnsi" w:hAnsiTheme="majorHAnsi" w:cs="Tahoma"/>
          <w:sz w:val="20"/>
          <w:szCs w:val="20"/>
          <w:shd w:val="clear" w:color="auto" w:fill="FFFFFF"/>
          <w:lang w:val="en-US"/>
        </w:rPr>
        <w:t>s</w:t>
      </w:r>
      <w:r>
        <w:rPr>
          <w:rFonts w:asciiTheme="majorHAnsi" w:hAnsiTheme="majorHAnsi" w:cs="Tahoma"/>
          <w:sz w:val="20"/>
          <w:szCs w:val="20"/>
          <w:shd w:val="clear" w:color="auto" w:fill="FFFFFF"/>
          <w:lang w:val="en-US"/>
        </w:rPr>
        <w:t xml:space="preserve"> by various departments, sections, and groups of the Executive Secretariat</w:t>
      </w:r>
      <w:r w:rsidR="00763893"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and included a roundtable with the Executive Secretary on August 11.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A077AE" w:rsidP="00A077AE">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On August </w:t>
      </w:r>
      <w:r w:rsidR="00031538" w:rsidRPr="005A41E0">
        <w:rPr>
          <w:rFonts w:asciiTheme="majorHAnsi" w:hAnsiTheme="majorHAnsi" w:cs="Tahoma"/>
          <w:sz w:val="20"/>
          <w:szCs w:val="20"/>
          <w:shd w:val="clear" w:color="auto" w:fill="FFFFFF"/>
          <w:lang w:val="en-US"/>
        </w:rPr>
        <w:t>18</w:t>
      </w:r>
      <w:r>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2016, </w:t>
      </w:r>
      <w:r>
        <w:rPr>
          <w:rFonts w:asciiTheme="majorHAnsi" w:hAnsiTheme="majorHAnsi" w:cs="Tahoma"/>
          <w:sz w:val="20"/>
          <w:szCs w:val="20"/>
          <w:shd w:val="clear" w:color="auto" w:fill="FFFFFF"/>
          <w:lang w:val="en-US"/>
        </w:rPr>
        <w:t>staff of the Executive Secretariat attended the First International Meeting of Specialists and Networks of the Inter-American Human Rights System in Mexico City</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The event</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was organized by the Legal Research Institute of the UNAM to discuss the lag in the system of petitions and cases, and to promote the dialogue on mechanisms and measures for resolving that problem.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A077AE" w:rsidP="009E4185">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From August </w:t>
      </w:r>
      <w:r w:rsidR="00031538" w:rsidRPr="005A41E0">
        <w:rPr>
          <w:rFonts w:asciiTheme="majorHAnsi" w:hAnsiTheme="majorHAnsi" w:cs="Tahoma"/>
          <w:sz w:val="20"/>
          <w:szCs w:val="20"/>
          <w:shd w:val="clear" w:color="auto" w:fill="FFFFFF"/>
          <w:lang w:val="en-US"/>
        </w:rPr>
        <w:t xml:space="preserve">22 </w:t>
      </w:r>
      <w:r>
        <w:rPr>
          <w:rFonts w:asciiTheme="majorHAnsi" w:hAnsiTheme="majorHAnsi" w:cs="Tahoma"/>
          <w:sz w:val="20"/>
          <w:szCs w:val="20"/>
          <w:shd w:val="clear" w:color="auto" w:fill="FFFFFF"/>
          <w:lang w:val="en-US"/>
        </w:rPr>
        <w:t xml:space="preserve">to September </w:t>
      </w:r>
      <w:r w:rsidR="00031538" w:rsidRPr="005A41E0">
        <w:rPr>
          <w:rFonts w:asciiTheme="majorHAnsi" w:hAnsiTheme="majorHAnsi" w:cs="Tahoma"/>
          <w:sz w:val="20"/>
          <w:szCs w:val="20"/>
          <w:shd w:val="clear" w:color="auto" w:fill="FFFFFF"/>
          <w:lang w:val="en-US"/>
        </w:rPr>
        <w:t>2</w:t>
      </w:r>
      <w:r>
        <w:rPr>
          <w:rFonts w:asciiTheme="majorHAnsi" w:hAnsiTheme="majorHAnsi" w:cs="Tahoma"/>
          <w:sz w:val="20"/>
          <w:szCs w:val="20"/>
          <w:shd w:val="clear" w:color="auto" w:fill="FFFFFF"/>
          <w:lang w:val="en-US"/>
        </w:rPr>
        <w:t xml:space="preserve">, the </w:t>
      </w:r>
      <w:r w:rsidR="00031538" w:rsidRPr="005A41E0">
        <w:rPr>
          <w:rFonts w:asciiTheme="majorHAnsi" w:hAnsiTheme="majorHAnsi" w:cs="Tahoma"/>
          <w:sz w:val="20"/>
          <w:szCs w:val="20"/>
          <w:shd w:val="clear" w:color="auto" w:fill="FFFFFF"/>
          <w:lang w:val="en-US"/>
        </w:rPr>
        <w:t>“Héctor Fix-Zamudio”</w:t>
      </w:r>
      <w:r>
        <w:rPr>
          <w:rFonts w:asciiTheme="majorHAnsi" w:hAnsiTheme="majorHAnsi" w:cs="Tahoma"/>
          <w:sz w:val="20"/>
          <w:szCs w:val="20"/>
          <w:shd w:val="clear" w:color="auto" w:fill="FFFFFF"/>
          <w:lang w:val="en-US"/>
        </w:rPr>
        <w:t xml:space="preserve"> Diplomate program in the Inter-American Human Rights System, 2016 edition, was held in Mexico City, organized by the Legal Research Institute of the </w:t>
      </w:r>
      <w:r w:rsidR="00031538" w:rsidRPr="005A41E0">
        <w:rPr>
          <w:rFonts w:asciiTheme="majorHAnsi" w:hAnsiTheme="majorHAnsi" w:cs="Tahoma"/>
          <w:sz w:val="20"/>
          <w:szCs w:val="20"/>
          <w:shd w:val="clear" w:color="auto" w:fill="FFFFFF"/>
          <w:lang w:val="en-US"/>
        </w:rPr>
        <w:t xml:space="preserve">Universidad Nacional Autónoma de México, </w:t>
      </w:r>
      <w:r>
        <w:rPr>
          <w:rFonts w:asciiTheme="majorHAnsi" w:hAnsiTheme="majorHAnsi" w:cs="Tahoma"/>
          <w:sz w:val="20"/>
          <w:szCs w:val="20"/>
          <w:shd w:val="clear" w:color="auto" w:fill="FFFFFF"/>
          <w:lang w:val="en-US"/>
        </w:rPr>
        <w:t xml:space="preserve">with the collaboration of the IACHR and the Inter-American Court. The annual Diplomate program, geared to students, academics, members of civil society organizations, and public officials, is aimed at offering the students specialized high-level academic training in the inter-American human rights system through classes and lectures by the most outstanding experts in the </w:t>
      </w:r>
      <w:r>
        <w:rPr>
          <w:rFonts w:asciiTheme="majorHAnsi" w:hAnsiTheme="majorHAnsi" w:cs="Tahoma"/>
          <w:sz w:val="20"/>
          <w:szCs w:val="20"/>
          <w:shd w:val="clear" w:color="auto" w:fill="FFFFFF"/>
          <w:lang w:val="en-US"/>
        </w:rPr>
        <w:lastRenderedPageBreak/>
        <w:t>hemisphere</w:t>
      </w:r>
      <w:r w:rsidR="00031538" w:rsidRPr="005A41E0">
        <w:rPr>
          <w:rFonts w:asciiTheme="majorHAnsi" w:hAnsiTheme="majorHAnsi" w:cs="Tahoma"/>
          <w:sz w:val="20"/>
          <w:szCs w:val="20"/>
          <w:shd w:val="clear" w:color="auto" w:fill="FFFFFF"/>
          <w:lang w:val="en-US"/>
        </w:rPr>
        <w:t>. Com</w:t>
      </w:r>
      <w:r>
        <w:rPr>
          <w:rFonts w:asciiTheme="majorHAnsi" w:hAnsiTheme="majorHAnsi" w:cs="Tahoma"/>
          <w:sz w:val="20"/>
          <w:szCs w:val="20"/>
          <w:shd w:val="clear" w:color="auto" w:fill="FFFFFF"/>
          <w:lang w:val="en-US"/>
        </w:rPr>
        <w:t>m</w:t>
      </w:r>
      <w:r w:rsidR="00031538" w:rsidRPr="005A41E0">
        <w:rPr>
          <w:rFonts w:asciiTheme="majorHAnsi" w:hAnsiTheme="majorHAnsi" w:cs="Tahoma"/>
          <w:sz w:val="20"/>
          <w:szCs w:val="20"/>
          <w:shd w:val="clear" w:color="auto" w:fill="FFFFFF"/>
          <w:lang w:val="en-US"/>
        </w:rPr>
        <w:t>is</w:t>
      </w:r>
      <w:r>
        <w:rPr>
          <w:rFonts w:asciiTheme="majorHAnsi" w:hAnsiTheme="majorHAnsi" w:cs="Tahoma"/>
          <w:sz w:val="20"/>
          <w:szCs w:val="20"/>
          <w:shd w:val="clear" w:color="auto" w:fill="FFFFFF"/>
          <w:lang w:val="en-US"/>
        </w:rPr>
        <w:t>s</w:t>
      </w:r>
      <w:r w:rsidR="00031538" w:rsidRPr="005A41E0">
        <w:rPr>
          <w:rFonts w:asciiTheme="majorHAnsi" w:hAnsiTheme="majorHAnsi" w:cs="Tahoma"/>
          <w:sz w:val="20"/>
          <w:szCs w:val="20"/>
          <w:shd w:val="clear" w:color="auto" w:fill="FFFFFF"/>
          <w:lang w:val="en-US"/>
        </w:rPr>
        <w:t>ion</w:t>
      </w:r>
      <w:r>
        <w:rPr>
          <w:rFonts w:asciiTheme="majorHAnsi" w:hAnsiTheme="majorHAnsi" w:cs="Tahoma"/>
          <w:sz w:val="20"/>
          <w:szCs w:val="20"/>
          <w:shd w:val="clear" w:color="auto" w:fill="FFFFFF"/>
          <w:lang w:val="en-US"/>
        </w:rPr>
        <w:t xml:space="preserve">er </w:t>
      </w:r>
      <w:r w:rsidR="00031538" w:rsidRPr="005A41E0">
        <w:rPr>
          <w:rFonts w:asciiTheme="majorHAnsi" w:hAnsiTheme="majorHAnsi" w:cs="Tahoma"/>
          <w:sz w:val="20"/>
          <w:szCs w:val="20"/>
          <w:shd w:val="clear" w:color="auto" w:fill="FFFFFF"/>
          <w:lang w:val="en-US"/>
        </w:rPr>
        <w:t xml:space="preserve">José de Jesús Orozco Henríquez </w:t>
      </w:r>
      <w:r>
        <w:rPr>
          <w:rFonts w:asciiTheme="majorHAnsi" w:hAnsiTheme="majorHAnsi" w:cs="Tahoma"/>
          <w:sz w:val="20"/>
          <w:szCs w:val="20"/>
          <w:shd w:val="clear" w:color="auto" w:fill="FFFFFF"/>
          <w:lang w:val="en-US"/>
        </w:rPr>
        <w:t>served as academic coordinator of the program, in which the instructors included members of the IACHR and staff of its Executive Secretariat.</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D2509D" w:rsidP="00D2509D">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From October </w:t>
      </w:r>
      <w:r w:rsidR="00031538" w:rsidRPr="005A41E0">
        <w:rPr>
          <w:rFonts w:asciiTheme="majorHAnsi" w:hAnsiTheme="majorHAnsi" w:cs="Tahoma"/>
          <w:sz w:val="20"/>
          <w:szCs w:val="20"/>
          <w:shd w:val="clear" w:color="auto" w:fill="FFFFFF"/>
          <w:lang w:val="en-US"/>
        </w:rPr>
        <w:t xml:space="preserve">3 </w:t>
      </w:r>
      <w:r>
        <w:rPr>
          <w:rFonts w:asciiTheme="majorHAnsi" w:hAnsiTheme="majorHAnsi" w:cs="Tahoma"/>
          <w:sz w:val="20"/>
          <w:szCs w:val="20"/>
          <w:shd w:val="clear" w:color="auto" w:fill="FFFFFF"/>
          <w:lang w:val="en-US"/>
        </w:rPr>
        <w:t>to</w:t>
      </w:r>
      <w:r w:rsidR="00031538" w:rsidRPr="005A41E0">
        <w:rPr>
          <w:rFonts w:asciiTheme="majorHAnsi" w:hAnsiTheme="majorHAnsi" w:cs="Tahoma"/>
          <w:sz w:val="20"/>
          <w:szCs w:val="20"/>
          <w:shd w:val="clear" w:color="auto" w:fill="FFFFFF"/>
          <w:lang w:val="en-US"/>
        </w:rPr>
        <w:t xml:space="preserve"> 7</w:t>
      </w:r>
      <w:r>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2016, </w:t>
      </w:r>
      <w:r>
        <w:rPr>
          <w:rFonts w:asciiTheme="majorHAnsi" w:hAnsiTheme="majorHAnsi" w:cs="Tahoma"/>
          <w:sz w:val="20"/>
          <w:szCs w:val="20"/>
          <w:shd w:val="clear" w:color="auto" w:fill="FFFFFF"/>
          <w:lang w:val="en-US"/>
        </w:rPr>
        <w:t>staff of the Executive Secretariat attended the Fourth Training Program on Human Rights Protection Mechanisms in Florence, Italy</w:t>
      </w:r>
      <w:r w:rsidR="000A0BA2"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organized by </w:t>
      </w:r>
      <w:r w:rsidR="00031538" w:rsidRPr="005A41E0">
        <w:rPr>
          <w:rFonts w:asciiTheme="majorHAnsi" w:hAnsiTheme="majorHAnsi" w:cs="Tahoma"/>
          <w:sz w:val="20"/>
          <w:szCs w:val="20"/>
          <w:shd w:val="clear" w:color="auto" w:fill="FFFFFF"/>
          <w:lang w:val="en-US"/>
        </w:rPr>
        <w:t>Robert F. Kennedy Human Rights.</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12798B" w:rsidP="0012798B">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From October </w:t>
      </w:r>
      <w:r w:rsidR="00031538" w:rsidRPr="005A41E0">
        <w:rPr>
          <w:rFonts w:asciiTheme="majorHAnsi" w:hAnsiTheme="majorHAnsi" w:cs="Tahoma"/>
          <w:sz w:val="20"/>
          <w:szCs w:val="20"/>
          <w:shd w:val="clear" w:color="auto" w:fill="FFFFFF"/>
          <w:lang w:val="en-US"/>
        </w:rPr>
        <w:t xml:space="preserve">10 </w:t>
      </w:r>
      <w:r>
        <w:rPr>
          <w:rFonts w:asciiTheme="majorHAnsi" w:hAnsiTheme="majorHAnsi" w:cs="Tahoma"/>
          <w:sz w:val="20"/>
          <w:szCs w:val="20"/>
          <w:shd w:val="clear" w:color="auto" w:fill="FFFFFF"/>
          <w:lang w:val="en-US"/>
        </w:rPr>
        <w:t xml:space="preserve">to </w:t>
      </w:r>
      <w:r w:rsidR="00031538" w:rsidRPr="005A41E0">
        <w:rPr>
          <w:rFonts w:asciiTheme="majorHAnsi" w:hAnsiTheme="majorHAnsi" w:cs="Tahoma"/>
          <w:sz w:val="20"/>
          <w:szCs w:val="20"/>
          <w:shd w:val="clear" w:color="auto" w:fill="FFFFFF"/>
          <w:lang w:val="en-US"/>
        </w:rPr>
        <w:t>15</w:t>
      </w:r>
      <w:r>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2</w:t>
      </w:r>
      <w:r w:rsidR="000A0BA2" w:rsidRPr="005A41E0">
        <w:rPr>
          <w:rFonts w:asciiTheme="majorHAnsi" w:hAnsiTheme="majorHAnsi" w:cs="Tahoma"/>
          <w:sz w:val="20"/>
          <w:szCs w:val="20"/>
          <w:shd w:val="clear" w:color="auto" w:fill="FFFFFF"/>
          <w:lang w:val="en-US"/>
        </w:rPr>
        <w:t xml:space="preserve">015, </w:t>
      </w:r>
      <w:r>
        <w:rPr>
          <w:rFonts w:asciiTheme="majorHAnsi" w:hAnsiTheme="majorHAnsi" w:cs="Tahoma"/>
          <w:sz w:val="20"/>
          <w:szCs w:val="20"/>
          <w:shd w:val="clear" w:color="auto" w:fill="FFFFFF"/>
          <w:lang w:val="en-US"/>
        </w:rPr>
        <w:t>staff of the Executive Secretariat attended the 8</w:t>
      </w:r>
      <w:r w:rsidRPr="0012798B">
        <w:rPr>
          <w:rFonts w:asciiTheme="majorHAnsi" w:hAnsiTheme="majorHAnsi" w:cs="Tahoma"/>
          <w:sz w:val="20"/>
          <w:szCs w:val="20"/>
          <w:shd w:val="clear" w:color="auto" w:fill="FFFFFF"/>
          <w:vertAlign w:val="superscript"/>
          <w:lang w:val="en-US"/>
        </w:rPr>
        <w:t>th</w:t>
      </w:r>
      <w:r>
        <w:rPr>
          <w:rFonts w:asciiTheme="majorHAnsi" w:hAnsiTheme="majorHAnsi" w:cs="Tahoma"/>
          <w:sz w:val="20"/>
          <w:szCs w:val="20"/>
          <w:shd w:val="clear" w:color="auto" w:fill="FFFFFF"/>
          <w:lang w:val="en-US"/>
        </w:rPr>
        <w:t xml:space="preserve"> edition of the “Specialized Course on the Inter-American System for State Officials”</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to make a presentation on the topic Organs of Protection of the Inter-American Human Rights System: the IACHR. This course was organized by the Inter-American Institute of Human Rights, and was held at its headquarters in </w:t>
      </w:r>
      <w:r w:rsidR="00031538" w:rsidRPr="005A41E0">
        <w:rPr>
          <w:rFonts w:asciiTheme="majorHAnsi" w:hAnsiTheme="majorHAnsi" w:cs="Tahoma"/>
          <w:sz w:val="20"/>
          <w:szCs w:val="20"/>
          <w:shd w:val="clear" w:color="auto" w:fill="FFFFFF"/>
          <w:lang w:val="en-US"/>
        </w:rPr>
        <w:t xml:space="preserve">San José, Costa Rica.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CA306B" w:rsidP="009E4185">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In a collaborative effort with the </w:t>
      </w:r>
      <w:r w:rsidR="00031538" w:rsidRPr="005A41E0">
        <w:rPr>
          <w:rFonts w:asciiTheme="majorHAnsi" w:hAnsiTheme="majorHAnsi" w:cs="Tahoma"/>
          <w:sz w:val="20"/>
          <w:szCs w:val="20"/>
          <w:shd w:val="clear" w:color="auto" w:fill="FFFFFF"/>
          <w:lang w:val="en-US"/>
        </w:rPr>
        <w:t xml:space="preserve">George Washington University Law School (GWULS), </w:t>
      </w:r>
      <w:r>
        <w:rPr>
          <w:rFonts w:asciiTheme="majorHAnsi" w:hAnsiTheme="majorHAnsi" w:cs="Tahoma"/>
          <w:sz w:val="20"/>
          <w:szCs w:val="20"/>
          <w:shd w:val="clear" w:color="auto" w:fill="FFFFFF"/>
          <w:lang w:val="en-US"/>
        </w:rPr>
        <w:t xml:space="preserve">the IACHR held the Fifth Annual Course on Human Rights for state agents of the CARICOM states, </w:t>
      </w:r>
      <w:r w:rsidR="009E4185">
        <w:rPr>
          <w:rFonts w:asciiTheme="majorHAnsi" w:hAnsiTheme="majorHAnsi" w:cs="Tahoma"/>
          <w:sz w:val="20"/>
          <w:szCs w:val="20"/>
          <w:shd w:val="clear" w:color="auto" w:fill="FFFFFF"/>
          <w:lang w:val="en-US"/>
        </w:rPr>
        <w:t xml:space="preserve">on </w:t>
      </w:r>
      <w:r>
        <w:rPr>
          <w:rFonts w:asciiTheme="majorHAnsi" w:hAnsiTheme="majorHAnsi" w:cs="Tahoma"/>
          <w:sz w:val="20"/>
          <w:szCs w:val="20"/>
          <w:shd w:val="clear" w:color="auto" w:fill="FFFFFF"/>
          <w:lang w:val="en-US"/>
        </w:rPr>
        <w:t xml:space="preserve">October 11 and 12, </w:t>
      </w:r>
      <w:r w:rsidR="00031538" w:rsidRPr="005A41E0">
        <w:rPr>
          <w:rFonts w:asciiTheme="majorHAnsi" w:hAnsiTheme="majorHAnsi" w:cs="Tahoma"/>
          <w:sz w:val="20"/>
          <w:szCs w:val="20"/>
          <w:shd w:val="clear" w:color="auto" w:fill="FFFFFF"/>
          <w:lang w:val="en-US"/>
        </w:rPr>
        <w:t xml:space="preserve">2016. </w:t>
      </w:r>
      <w:r>
        <w:rPr>
          <w:rFonts w:asciiTheme="majorHAnsi" w:hAnsiTheme="majorHAnsi" w:cs="Tahoma"/>
          <w:sz w:val="20"/>
          <w:szCs w:val="20"/>
          <w:shd w:val="clear" w:color="auto" w:fill="FFFFFF"/>
          <w:lang w:val="en-US"/>
        </w:rPr>
        <w:t xml:space="preserve">The participating states were </w:t>
      </w:r>
      <w:r w:rsidR="00031538" w:rsidRPr="005A41E0">
        <w:rPr>
          <w:rFonts w:asciiTheme="majorHAnsi" w:hAnsiTheme="majorHAnsi" w:cs="Tahoma"/>
          <w:sz w:val="20"/>
          <w:szCs w:val="20"/>
          <w:shd w:val="clear" w:color="auto" w:fill="FFFFFF"/>
          <w:lang w:val="en-US"/>
        </w:rPr>
        <w:t xml:space="preserve">Antigua </w:t>
      </w:r>
      <w:r>
        <w:rPr>
          <w:rFonts w:asciiTheme="majorHAnsi" w:hAnsiTheme="majorHAnsi" w:cs="Tahoma"/>
          <w:sz w:val="20"/>
          <w:szCs w:val="20"/>
          <w:shd w:val="clear" w:color="auto" w:fill="FFFFFF"/>
          <w:lang w:val="en-US"/>
        </w:rPr>
        <w:t>and Barbuda, Barbados, Belize, Guyana, Haiti</w:t>
      </w:r>
      <w:r w:rsidR="00031538" w:rsidRPr="005A41E0">
        <w:rPr>
          <w:rFonts w:asciiTheme="majorHAnsi" w:hAnsiTheme="majorHAnsi" w:cs="Tahoma"/>
          <w:sz w:val="20"/>
          <w:szCs w:val="20"/>
          <w:shd w:val="clear" w:color="auto" w:fill="FFFFFF"/>
          <w:lang w:val="en-US"/>
        </w:rPr>
        <w:t>, S</w:t>
      </w:r>
      <w:r>
        <w:rPr>
          <w:rFonts w:asciiTheme="majorHAnsi" w:hAnsiTheme="majorHAnsi" w:cs="Tahoma"/>
          <w:sz w:val="20"/>
          <w:szCs w:val="20"/>
          <w:shd w:val="clear" w:color="auto" w:fill="FFFFFF"/>
          <w:lang w:val="en-US"/>
        </w:rPr>
        <w:t xml:space="preserve">t. </w:t>
      </w:r>
      <w:r w:rsidR="00031538" w:rsidRPr="005A41E0">
        <w:rPr>
          <w:rFonts w:asciiTheme="majorHAnsi" w:hAnsiTheme="majorHAnsi" w:cs="Tahoma"/>
          <w:sz w:val="20"/>
          <w:szCs w:val="20"/>
          <w:shd w:val="clear" w:color="auto" w:fill="FFFFFF"/>
          <w:lang w:val="en-US"/>
        </w:rPr>
        <w:t>Vi</w:t>
      </w:r>
      <w:r w:rsidR="009E4185">
        <w:rPr>
          <w:rFonts w:asciiTheme="majorHAnsi" w:hAnsiTheme="majorHAnsi" w:cs="Tahoma"/>
          <w:sz w:val="20"/>
          <w:szCs w:val="20"/>
          <w:shd w:val="clear" w:color="auto" w:fill="FFFFFF"/>
          <w:lang w:val="en-US"/>
        </w:rPr>
        <w:t xml:space="preserve">ncent </w:t>
      </w:r>
      <w:r>
        <w:rPr>
          <w:rFonts w:asciiTheme="majorHAnsi" w:hAnsiTheme="majorHAnsi" w:cs="Tahoma"/>
          <w:sz w:val="20"/>
          <w:szCs w:val="20"/>
          <w:shd w:val="clear" w:color="auto" w:fill="FFFFFF"/>
          <w:lang w:val="en-US"/>
        </w:rPr>
        <w:t xml:space="preserve">and the Grenadines, and Trinidad and </w:t>
      </w:r>
      <w:r w:rsidR="00031538" w:rsidRPr="005A41E0">
        <w:rPr>
          <w:rFonts w:asciiTheme="majorHAnsi" w:hAnsiTheme="majorHAnsi" w:cs="Tahoma"/>
          <w:sz w:val="20"/>
          <w:szCs w:val="20"/>
          <w:shd w:val="clear" w:color="auto" w:fill="FFFFFF"/>
          <w:lang w:val="en-US"/>
        </w:rPr>
        <w:t xml:space="preserve">Tobago. </w:t>
      </w:r>
      <w:r>
        <w:rPr>
          <w:rFonts w:asciiTheme="majorHAnsi" w:hAnsiTheme="majorHAnsi" w:cs="Tahoma"/>
          <w:sz w:val="20"/>
          <w:szCs w:val="20"/>
          <w:shd w:val="clear" w:color="auto" w:fill="FFFFFF"/>
          <w:lang w:val="en-US"/>
        </w:rPr>
        <w:t xml:space="preserve">The agenda included specific areas such as the petition system, precautionary measures, country monitoring, rapporteurships, and activity before the Inter-American Court of Human Rights. The program also included a working luncheon to facilitate an open dialogue on matters of mutual interest.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0F33B0" w:rsidP="009E4185">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From December 5 to 9, </w:t>
      </w:r>
      <w:r w:rsidR="00031538" w:rsidRPr="005A41E0">
        <w:rPr>
          <w:rFonts w:asciiTheme="majorHAnsi" w:hAnsiTheme="majorHAnsi" w:cs="Tahoma"/>
          <w:sz w:val="20"/>
          <w:szCs w:val="20"/>
          <w:shd w:val="clear" w:color="auto" w:fill="FFFFFF"/>
          <w:lang w:val="en-US"/>
        </w:rPr>
        <w:t>2016</w:t>
      </w:r>
      <w:r>
        <w:rPr>
          <w:rFonts w:asciiTheme="majorHAnsi" w:hAnsiTheme="majorHAnsi" w:cs="Tahoma"/>
          <w:sz w:val="20"/>
          <w:szCs w:val="20"/>
          <w:shd w:val="clear" w:color="auto" w:fill="FFFFFF"/>
          <w:lang w:val="en-US"/>
        </w:rPr>
        <w:t xml:space="preserve">, the third edition of the International Human Rights Competition was held in </w:t>
      </w:r>
      <w:r w:rsidR="00031538" w:rsidRPr="005A41E0">
        <w:rPr>
          <w:rFonts w:asciiTheme="majorHAnsi" w:hAnsiTheme="majorHAnsi" w:cs="Tahoma"/>
          <w:sz w:val="20"/>
          <w:szCs w:val="20"/>
          <w:shd w:val="clear" w:color="auto" w:fill="FFFFFF"/>
          <w:lang w:val="en-US"/>
        </w:rPr>
        <w:t xml:space="preserve">Bogotá, Colombia, </w:t>
      </w:r>
      <w:r>
        <w:rPr>
          <w:rFonts w:asciiTheme="majorHAnsi" w:hAnsiTheme="majorHAnsi" w:cs="Tahoma"/>
          <w:sz w:val="20"/>
          <w:szCs w:val="20"/>
          <w:shd w:val="clear" w:color="auto" w:fill="FFFFFF"/>
          <w:lang w:val="en-US"/>
        </w:rPr>
        <w:t xml:space="preserve">organized by the </w:t>
      </w:r>
      <w:r w:rsidR="00031538" w:rsidRPr="005A41E0">
        <w:rPr>
          <w:rFonts w:asciiTheme="majorHAnsi" w:hAnsiTheme="majorHAnsi" w:cs="Tahoma"/>
          <w:sz w:val="20"/>
          <w:szCs w:val="20"/>
          <w:shd w:val="clear" w:color="auto" w:fill="FFFFFF"/>
          <w:lang w:val="en-US"/>
        </w:rPr>
        <w:t xml:space="preserve">Instituto Colombiano de Derechos Humanos (ICDH), </w:t>
      </w:r>
      <w:r>
        <w:rPr>
          <w:rFonts w:asciiTheme="majorHAnsi" w:hAnsiTheme="majorHAnsi" w:cs="Tahoma"/>
          <w:sz w:val="20"/>
          <w:szCs w:val="20"/>
          <w:shd w:val="clear" w:color="auto" w:fill="FFFFFF"/>
          <w:lang w:val="en-US"/>
        </w:rPr>
        <w:t xml:space="preserve">with the support of the IACHR. The competition was organized for the purpose of fostering study, dissemination, promotion, and training in the field of human rights, with special emphasis on the procedure before the organs of the inter-American human rights system, and included the participation of more than 40 universities from the region. In addition, in that same framework, from November </w:t>
      </w:r>
      <w:r w:rsidR="00031538" w:rsidRPr="005A41E0">
        <w:rPr>
          <w:rFonts w:asciiTheme="majorHAnsi" w:hAnsiTheme="majorHAnsi" w:cs="Tahoma"/>
          <w:sz w:val="20"/>
          <w:szCs w:val="20"/>
          <w:shd w:val="clear" w:color="auto" w:fill="FFFFFF"/>
          <w:lang w:val="en-US"/>
        </w:rPr>
        <w:t xml:space="preserve">28 </w:t>
      </w:r>
      <w:r>
        <w:rPr>
          <w:rFonts w:asciiTheme="majorHAnsi" w:hAnsiTheme="majorHAnsi" w:cs="Tahoma"/>
          <w:sz w:val="20"/>
          <w:szCs w:val="20"/>
          <w:shd w:val="clear" w:color="auto" w:fill="FFFFFF"/>
          <w:lang w:val="en-US"/>
        </w:rPr>
        <w:t xml:space="preserve">to December </w:t>
      </w:r>
      <w:r w:rsidR="00031538" w:rsidRPr="005A41E0">
        <w:rPr>
          <w:rFonts w:asciiTheme="majorHAnsi" w:hAnsiTheme="majorHAnsi" w:cs="Tahoma"/>
          <w:sz w:val="20"/>
          <w:szCs w:val="20"/>
          <w:shd w:val="clear" w:color="auto" w:fill="FFFFFF"/>
          <w:lang w:val="en-US"/>
        </w:rPr>
        <w:t>5</w:t>
      </w:r>
      <w:r>
        <w:rPr>
          <w:rFonts w:asciiTheme="majorHAnsi" w:hAnsiTheme="majorHAnsi" w:cs="Tahoma"/>
          <w:sz w:val="20"/>
          <w:szCs w:val="20"/>
          <w:shd w:val="clear" w:color="auto" w:fill="FFFFFF"/>
          <w:lang w:val="en-US"/>
        </w:rPr>
        <w:t xml:space="preserve"> the Fourth Specialized International Course on Human Rights: “Access to the international systems of protection,” was held, geared to community human rights activists from the city of </w:t>
      </w:r>
      <w:r w:rsidR="00031538" w:rsidRPr="005A41E0">
        <w:rPr>
          <w:rFonts w:asciiTheme="majorHAnsi" w:hAnsiTheme="majorHAnsi" w:cs="Tahoma"/>
          <w:sz w:val="20"/>
          <w:szCs w:val="20"/>
          <w:shd w:val="clear" w:color="auto" w:fill="FFFFFF"/>
          <w:lang w:val="en-US"/>
        </w:rPr>
        <w:t>Bogotá</w:t>
      </w:r>
      <w:r>
        <w:rPr>
          <w:rFonts w:asciiTheme="majorHAnsi" w:hAnsiTheme="majorHAnsi" w:cs="Tahoma"/>
          <w:sz w:val="20"/>
          <w:szCs w:val="20"/>
          <w:shd w:val="clear" w:color="auto" w:fill="FFFFFF"/>
          <w:lang w:val="en-US"/>
        </w:rPr>
        <w:t xml:space="preserve">; members of the Executive Secretariat participated making presentations.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4E57CC" w:rsidP="009E4185">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With the support of the Permanent Observer Mission of France, the IACHR organized an event to commemorate International Human Rights Day 2016, which was held December </w:t>
      </w:r>
      <w:r w:rsidR="00031538" w:rsidRPr="005A41E0">
        <w:rPr>
          <w:rFonts w:asciiTheme="majorHAnsi" w:hAnsiTheme="majorHAnsi" w:cs="Tahoma"/>
          <w:sz w:val="20"/>
          <w:szCs w:val="20"/>
          <w:shd w:val="clear" w:color="auto" w:fill="FFFFFF"/>
          <w:lang w:val="en-US"/>
        </w:rPr>
        <w:t>9</w:t>
      </w:r>
      <w:r>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2016 </w:t>
      </w:r>
      <w:r>
        <w:rPr>
          <w:rFonts w:asciiTheme="majorHAnsi" w:hAnsiTheme="majorHAnsi" w:cs="Tahoma"/>
          <w:sz w:val="20"/>
          <w:szCs w:val="20"/>
          <w:shd w:val="clear" w:color="auto" w:fill="FFFFFF"/>
          <w:lang w:val="en-US"/>
        </w:rPr>
        <w:t xml:space="preserve">at the Main Building of the OAS. The main theme of the event was the launch of the IACHR’s report </w:t>
      </w:r>
      <w:r w:rsidR="000F33B0" w:rsidRPr="000F33B0">
        <w:rPr>
          <w:rFonts w:asciiTheme="majorHAnsi" w:hAnsiTheme="majorHAnsi" w:cs="Tahoma"/>
          <w:sz w:val="20"/>
          <w:szCs w:val="20"/>
          <w:shd w:val="clear" w:color="auto" w:fill="FFFFFF"/>
          <w:lang w:val="en-US"/>
        </w:rPr>
        <w:t xml:space="preserve">Human rights of migrants, refugees, stateless persons, victims of human trafficking and internally displaced persons: Norms and standards of the </w:t>
      </w:r>
      <w:r w:rsidR="009E4185">
        <w:rPr>
          <w:rFonts w:asciiTheme="majorHAnsi" w:hAnsiTheme="majorHAnsi" w:cs="Tahoma"/>
          <w:sz w:val="20"/>
          <w:szCs w:val="20"/>
          <w:shd w:val="clear" w:color="auto" w:fill="FFFFFF"/>
          <w:lang w:val="en-US"/>
        </w:rPr>
        <w:t>i</w:t>
      </w:r>
      <w:r w:rsidR="000F33B0" w:rsidRPr="000F33B0">
        <w:rPr>
          <w:rFonts w:asciiTheme="majorHAnsi" w:hAnsiTheme="majorHAnsi" w:cs="Tahoma"/>
          <w:sz w:val="20"/>
          <w:szCs w:val="20"/>
          <w:shd w:val="clear" w:color="auto" w:fill="FFFFFF"/>
          <w:lang w:val="en-US"/>
        </w:rPr>
        <w:t xml:space="preserve">nter-American </w:t>
      </w:r>
      <w:r w:rsidR="009E4185">
        <w:rPr>
          <w:rFonts w:asciiTheme="majorHAnsi" w:hAnsiTheme="majorHAnsi" w:cs="Tahoma"/>
          <w:sz w:val="20"/>
          <w:szCs w:val="20"/>
          <w:shd w:val="clear" w:color="auto" w:fill="FFFFFF"/>
          <w:lang w:val="en-US"/>
        </w:rPr>
        <w:t>h</w:t>
      </w:r>
      <w:r w:rsidR="000F33B0" w:rsidRPr="000F33B0">
        <w:rPr>
          <w:rFonts w:asciiTheme="majorHAnsi" w:hAnsiTheme="majorHAnsi" w:cs="Tahoma"/>
          <w:sz w:val="20"/>
          <w:szCs w:val="20"/>
          <w:shd w:val="clear" w:color="auto" w:fill="FFFFFF"/>
          <w:lang w:val="en-US"/>
        </w:rPr>
        <w:t xml:space="preserve">uman </w:t>
      </w:r>
      <w:r w:rsidR="009E4185">
        <w:rPr>
          <w:rFonts w:asciiTheme="majorHAnsi" w:hAnsiTheme="majorHAnsi" w:cs="Tahoma"/>
          <w:sz w:val="20"/>
          <w:szCs w:val="20"/>
          <w:shd w:val="clear" w:color="auto" w:fill="FFFFFF"/>
          <w:lang w:val="en-US"/>
        </w:rPr>
        <w:t>r</w:t>
      </w:r>
      <w:r w:rsidR="000F33B0" w:rsidRPr="000F33B0">
        <w:rPr>
          <w:rFonts w:asciiTheme="majorHAnsi" w:hAnsiTheme="majorHAnsi" w:cs="Tahoma"/>
          <w:sz w:val="20"/>
          <w:szCs w:val="20"/>
          <w:shd w:val="clear" w:color="auto" w:fill="FFFFFF"/>
          <w:lang w:val="en-US"/>
        </w:rPr>
        <w:t xml:space="preserve">ights </w:t>
      </w:r>
      <w:r w:rsidR="009E4185">
        <w:rPr>
          <w:rFonts w:asciiTheme="majorHAnsi" w:hAnsiTheme="majorHAnsi" w:cs="Tahoma"/>
          <w:sz w:val="20"/>
          <w:szCs w:val="20"/>
          <w:shd w:val="clear" w:color="auto" w:fill="FFFFFF"/>
          <w:lang w:val="en-US"/>
        </w:rPr>
        <w:t>s</w:t>
      </w:r>
      <w:r w:rsidR="000F33B0" w:rsidRPr="000F33B0">
        <w:rPr>
          <w:rFonts w:asciiTheme="majorHAnsi" w:hAnsiTheme="majorHAnsi" w:cs="Tahoma"/>
          <w:sz w:val="20"/>
          <w:szCs w:val="20"/>
          <w:shd w:val="clear" w:color="auto" w:fill="FFFFFF"/>
          <w:lang w:val="en-US"/>
        </w:rPr>
        <w:t>ystem</w:t>
      </w:r>
      <w:r w:rsidR="00031538" w:rsidRPr="005A41E0">
        <w:rPr>
          <w:rFonts w:asciiTheme="majorHAnsi" w:hAnsiTheme="majorHAnsi" w:cs="Tahoma"/>
          <w:sz w:val="20"/>
          <w:szCs w:val="20"/>
          <w:shd w:val="clear" w:color="auto" w:fill="FFFFFF"/>
          <w:lang w:val="en-US"/>
        </w:rPr>
        <w:t xml:space="preserve">. </w:t>
      </w:r>
      <w:r w:rsidR="000F33B0">
        <w:rPr>
          <w:rFonts w:asciiTheme="majorHAnsi" w:hAnsiTheme="majorHAnsi" w:cs="Tahoma"/>
          <w:sz w:val="20"/>
          <w:szCs w:val="20"/>
          <w:shd w:val="clear" w:color="auto" w:fill="FFFFFF"/>
          <w:lang w:val="en-US"/>
        </w:rPr>
        <w:t xml:space="preserve">The speakers at the event included the Secretary General of the OAS, the President of the IACHR, Commissioner </w:t>
      </w:r>
      <w:r w:rsidR="00031538" w:rsidRPr="005A41E0">
        <w:rPr>
          <w:rFonts w:asciiTheme="majorHAnsi" w:hAnsiTheme="majorHAnsi" w:cs="Tahoma"/>
          <w:sz w:val="20"/>
          <w:szCs w:val="20"/>
          <w:shd w:val="clear" w:color="auto" w:fill="FFFFFF"/>
          <w:lang w:val="en-US"/>
        </w:rPr>
        <w:t xml:space="preserve">Enrique Gil Botero </w:t>
      </w:r>
      <w:r w:rsidR="000F33B0">
        <w:rPr>
          <w:rFonts w:asciiTheme="majorHAnsi" w:hAnsiTheme="majorHAnsi" w:cs="Tahoma"/>
          <w:sz w:val="20"/>
          <w:szCs w:val="20"/>
          <w:shd w:val="clear" w:color="auto" w:fill="FFFFFF"/>
          <w:lang w:val="en-US"/>
        </w:rPr>
        <w:t>and the Permanent Observer of France</w:t>
      </w:r>
      <w:r w:rsidR="00031538" w:rsidRPr="005A41E0">
        <w:rPr>
          <w:rFonts w:asciiTheme="majorHAnsi" w:hAnsiTheme="majorHAnsi" w:cs="Tahoma"/>
          <w:sz w:val="20"/>
          <w:szCs w:val="20"/>
          <w:shd w:val="clear" w:color="auto" w:fill="FFFFFF"/>
          <w:lang w:val="en-US"/>
        </w:rPr>
        <w:t xml:space="preserve">. </w:t>
      </w:r>
    </w:p>
    <w:p w:rsidR="00031538" w:rsidRPr="005A41E0" w:rsidRDefault="00031538" w:rsidP="005A41E0">
      <w:pPr>
        <w:jc w:val="both"/>
        <w:rPr>
          <w:rFonts w:asciiTheme="majorHAnsi" w:hAnsiTheme="majorHAnsi" w:cs="Tahoma"/>
          <w:sz w:val="20"/>
          <w:szCs w:val="20"/>
          <w:shd w:val="clear" w:color="auto" w:fill="FFFFFF"/>
          <w:lang w:val="en-US"/>
        </w:rPr>
      </w:pPr>
    </w:p>
    <w:p w:rsidR="00031538" w:rsidRPr="005A41E0" w:rsidRDefault="0019475C" w:rsidP="008D2844">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 xml:space="preserve">For the second consecutive year, the IACHR cooperated with the </w:t>
      </w:r>
      <w:r w:rsidR="00031538" w:rsidRPr="005A41E0">
        <w:rPr>
          <w:rFonts w:asciiTheme="majorHAnsi" w:hAnsiTheme="majorHAnsi" w:cs="Tahoma"/>
          <w:sz w:val="20"/>
          <w:szCs w:val="20"/>
          <w:shd w:val="clear" w:color="auto" w:fill="FFFFFF"/>
          <w:lang w:val="en-US"/>
        </w:rPr>
        <w:t>Inter</w:t>
      </w:r>
      <w:r w:rsidR="008D2844">
        <w:rPr>
          <w:rFonts w:asciiTheme="majorHAnsi" w:hAnsiTheme="majorHAnsi" w:cs="Tahoma"/>
          <w:sz w:val="20"/>
          <w:szCs w:val="20"/>
          <w:shd w:val="clear" w:color="auto" w:fill="FFFFFF"/>
          <w:lang w:val="en-US"/>
        </w:rPr>
        <w:t xml:space="preserve">-American Social Responsibility and Human Rights Institute </w:t>
      </w:r>
      <w:r w:rsidR="00031538" w:rsidRPr="005A41E0">
        <w:rPr>
          <w:rFonts w:asciiTheme="majorHAnsi" w:hAnsiTheme="majorHAnsi" w:cs="Tahoma"/>
          <w:sz w:val="20"/>
          <w:szCs w:val="20"/>
          <w:shd w:val="clear" w:color="auto" w:fill="FFFFFF"/>
          <w:lang w:val="en-US"/>
        </w:rPr>
        <w:t xml:space="preserve">(IIRESODH) </w:t>
      </w:r>
      <w:r w:rsidR="008D2844">
        <w:rPr>
          <w:rFonts w:asciiTheme="majorHAnsi" w:hAnsiTheme="majorHAnsi" w:cs="Tahoma"/>
          <w:sz w:val="20"/>
          <w:szCs w:val="20"/>
          <w:shd w:val="clear" w:color="auto" w:fill="FFFFFF"/>
          <w:lang w:val="en-US"/>
        </w:rPr>
        <w:t xml:space="preserve">to organize </w:t>
      </w:r>
      <w:r>
        <w:rPr>
          <w:rFonts w:asciiTheme="majorHAnsi" w:hAnsiTheme="majorHAnsi" w:cs="Tahoma"/>
          <w:sz w:val="20"/>
          <w:szCs w:val="20"/>
          <w:shd w:val="clear" w:color="auto" w:fill="FFFFFF"/>
          <w:lang w:val="en-US"/>
        </w:rPr>
        <w:t xml:space="preserve">a clinic on strategic international litigation </w:t>
      </w:r>
      <w:r w:rsidR="008D2844">
        <w:rPr>
          <w:rFonts w:asciiTheme="majorHAnsi" w:hAnsiTheme="majorHAnsi" w:cs="Tahoma"/>
          <w:sz w:val="20"/>
          <w:szCs w:val="20"/>
          <w:shd w:val="clear" w:color="auto" w:fill="FFFFFF"/>
          <w:lang w:val="en-US"/>
        </w:rPr>
        <w:t xml:space="preserve">and </w:t>
      </w:r>
      <w:r>
        <w:rPr>
          <w:rFonts w:asciiTheme="majorHAnsi" w:hAnsiTheme="majorHAnsi" w:cs="Tahoma"/>
          <w:sz w:val="20"/>
          <w:szCs w:val="20"/>
          <w:shd w:val="clear" w:color="auto" w:fill="FFFFFF"/>
          <w:lang w:val="en-US"/>
        </w:rPr>
        <w:t>evidence and oral procedure in the inter-American human rights system. This clinic was held December 12 to 16, 2016, and included presentations by staff of the Executive Secretariat</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The event was attended by some 25 </w:t>
      </w:r>
      <w:r w:rsidR="004E57CC">
        <w:rPr>
          <w:rFonts w:asciiTheme="majorHAnsi" w:hAnsiTheme="majorHAnsi" w:cs="Tahoma"/>
          <w:sz w:val="20"/>
          <w:szCs w:val="20"/>
          <w:shd w:val="clear" w:color="auto" w:fill="FFFFFF"/>
          <w:lang w:val="en-US"/>
        </w:rPr>
        <w:t xml:space="preserve">actors from civil society in the Americas. </w:t>
      </w:r>
    </w:p>
    <w:p w:rsidR="00031538" w:rsidRPr="005A41E0" w:rsidRDefault="00031538" w:rsidP="005A41E0">
      <w:pPr>
        <w:jc w:val="both"/>
        <w:rPr>
          <w:rFonts w:asciiTheme="majorHAnsi" w:hAnsiTheme="majorHAnsi" w:cs="Tahoma"/>
          <w:sz w:val="20"/>
          <w:szCs w:val="20"/>
          <w:shd w:val="clear" w:color="auto" w:fill="FFFFFF"/>
          <w:lang w:val="en-US"/>
        </w:rPr>
      </w:pPr>
    </w:p>
    <w:p w:rsidR="00A257F3" w:rsidRPr="005A41E0" w:rsidRDefault="0019475C" w:rsidP="0019475C">
      <w:pPr>
        <w:pStyle w:val="ListParagraph"/>
        <w:numPr>
          <w:ilvl w:val="0"/>
          <w:numId w:val="15"/>
        </w:numPr>
        <w:shd w:val="clear" w:color="auto" w:fill="FFFFFF"/>
        <w:tabs>
          <w:tab w:val="clear" w:pos="1080"/>
        </w:tabs>
        <w:ind w:left="0"/>
        <w:jc w:val="both"/>
        <w:rPr>
          <w:rFonts w:asciiTheme="majorHAnsi" w:hAnsiTheme="majorHAnsi" w:cs="Tahoma"/>
          <w:sz w:val="20"/>
          <w:szCs w:val="20"/>
          <w:shd w:val="clear" w:color="auto" w:fill="FFFFFF"/>
          <w:lang w:val="en-US"/>
        </w:rPr>
      </w:pPr>
      <w:r>
        <w:rPr>
          <w:rFonts w:asciiTheme="majorHAnsi" w:hAnsiTheme="majorHAnsi" w:cs="Tahoma"/>
          <w:sz w:val="20"/>
          <w:szCs w:val="20"/>
          <w:shd w:val="clear" w:color="auto" w:fill="FFFFFF"/>
          <w:lang w:val="en-US"/>
        </w:rPr>
        <w:t>Finally</w:t>
      </w:r>
      <w:r w:rsidR="00031538" w:rsidRPr="005A41E0">
        <w:rPr>
          <w:rFonts w:asciiTheme="majorHAnsi" w:hAnsiTheme="majorHAnsi" w:cs="Tahoma"/>
          <w:sz w:val="20"/>
          <w:szCs w:val="20"/>
          <w:shd w:val="clear" w:color="auto" w:fill="FFFFFF"/>
          <w:lang w:val="en-US"/>
        </w:rPr>
        <w:t xml:space="preserve">, </w:t>
      </w:r>
      <w:r>
        <w:rPr>
          <w:rFonts w:asciiTheme="majorHAnsi" w:hAnsiTheme="majorHAnsi" w:cs="Tahoma"/>
          <w:sz w:val="20"/>
          <w:szCs w:val="20"/>
          <w:shd w:val="clear" w:color="auto" w:fill="FFFFFF"/>
          <w:lang w:val="en-US"/>
        </w:rPr>
        <w:t xml:space="preserve">on December </w:t>
      </w:r>
      <w:r w:rsidR="00031538" w:rsidRPr="005A41E0">
        <w:rPr>
          <w:rFonts w:asciiTheme="majorHAnsi" w:hAnsiTheme="majorHAnsi" w:cs="Tahoma"/>
          <w:sz w:val="20"/>
          <w:szCs w:val="20"/>
          <w:shd w:val="clear" w:color="auto" w:fill="FFFFFF"/>
          <w:lang w:val="en-US"/>
        </w:rPr>
        <w:t>16</w:t>
      </w:r>
      <w:r>
        <w:rPr>
          <w:rFonts w:asciiTheme="majorHAnsi" w:hAnsiTheme="majorHAnsi" w:cs="Tahoma"/>
          <w:sz w:val="20"/>
          <w:szCs w:val="20"/>
          <w:shd w:val="clear" w:color="auto" w:fill="FFFFFF"/>
          <w:lang w:val="en-US"/>
        </w:rPr>
        <w:t>,</w:t>
      </w:r>
      <w:r w:rsidR="00031538" w:rsidRPr="005A41E0">
        <w:rPr>
          <w:rFonts w:asciiTheme="majorHAnsi" w:hAnsiTheme="majorHAnsi" w:cs="Tahoma"/>
          <w:sz w:val="20"/>
          <w:szCs w:val="20"/>
          <w:shd w:val="clear" w:color="auto" w:fill="FFFFFF"/>
          <w:lang w:val="en-US"/>
        </w:rPr>
        <w:t xml:space="preserve"> 2016</w:t>
      </w:r>
      <w:r>
        <w:rPr>
          <w:rFonts w:asciiTheme="majorHAnsi" w:hAnsiTheme="majorHAnsi" w:cs="Tahoma"/>
          <w:sz w:val="20"/>
          <w:szCs w:val="20"/>
          <w:shd w:val="clear" w:color="auto" w:fill="FFFFFF"/>
          <w:lang w:val="en-US"/>
        </w:rPr>
        <w:t xml:space="preserve">, the </w:t>
      </w:r>
      <w:r w:rsidR="00031538" w:rsidRPr="005A41E0">
        <w:rPr>
          <w:rFonts w:asciiTheme="majorHAnsi" w:hAnsiTheme="majorHAnsi" w:cs="Tahoma"/>
          <w:sz w:val="20"/>
          <w:szCs w:val="20"/>
          <w:shd w:val="clear" w:color="auto" w:fill="FFFFFF"/>
          <w:lang w:val="en-US"/>
        </w:rPr>
        <w:t xml:space="preserve">IIRESODH </w:t>
      </w:r>
      <w:r>
        <w:rPr>
          <w:rFonts w:asciiTheme="majorHAnsi" w:hAnsiTheme="majorHAnsi" w:cs="Tahoma"/>
          <w:sz w:val="20"/>
          <w:szCs w:val="20"/>
          <w:shd w:val="clear" w:color="auto" w:fill="FFFFFF"/>
          <w:lang w:val="en-US"/>
        </w:rPr>
        <w:t>gave a special seminar for the staff of the IACHR on the issue of public policy with a human rights approach.</w:t>
      </w:r>
    </w:p>
    <w:p w:rsidR="00A257F3" w:rsidRPr="005A41E0" w:rsidRDefault="00A257F3" w:rsidP="005A41E0">
      <w:pPr>
        <w:jc w:val="both"/>
        <w:rPr>
          <w:rFonts w:asciiTheme="majorHAnsi" w:hAnsiTheme="majorHAnsi" w:cs="Tahoma"/>
          <w:sz w:val="20"/>
          <w:szCs w:val="20"/>
          <w:shd w:val="clear" w:color="auto" w:fill="FFFFFF"/>
          <w:lang w:val="en-US"/>
        </w:rPr>
      </w:pPr>
    </w:p>
    <w:p w:rsidR="005D7CC2" w:rsidRPr="005A41E0" w:rsidRDefault="005D7CC2" w:rsidP="005A41E0">
      <w:pPr>
        <w:jc w:val="both"/>
        <w:rPr>
          <w:rFonts w:asciiTheme="majorHAnsi" w:hAnsiTheme="majorHAnsi" w:cs="Tahoma"/>
          <w:sz w:val="20"/>
          <w:szCs w:val="20"/>
          <w:shd w:val="clear" w:color="auto" w:fill="FFFFFF"/>
          <w:lang w:val="en-US"/>
        </w:rPr>
      </w:pPr>
    </w:p>
    <w:sectPr w:rsidR="005D7CC2" w:rsidRPr="005A41E0" w:rsidSect="007237FB">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gNumType w:start="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34D" w:rsidRDefault="00C6134D">
      <w:r>
        <w:separator/>
      </w:r>
    </w:p>
  </w:endnote>
  <w:endnote w:type="continuationSeparator" w:id="0">
    <w:p w:rsidR="00C6134D" w:rsidRDefault="00C6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FB" w:rsidRPr="00D659C2" w:rsidRDefault="007237FB">
    <w:pPr>
      <w:pStyle w:val="Footer"/>
      <w:jc w:val="center"/>
      <w:rPr>
        <w:rFonts w:ascii="Cambria" w:hAnsi="Cambria"/>
        <w:color w:val="808080"/>
        <w:sz w:val="16"/>
        <w:szCs w:val="16"/>
      </w:rPr>
    </w:pPr>
    <w:r w:rsidRPr="00D659C2">
      <w:rPr>
        <w:rFonts w:ascii="Cambria" w:hAnsi="Cambria"/>
        <w:color w:val="808080"/>
        <w:sz w:val="16"/>
        <w:szCs w:val="16"/>
      </w:rPr>
      <w:fldChar w:fldCharType="begin"/>
    </w:r>
    <w:r w:rsidRPr="00D659C2">
      <w:rPr>
        <w:rFonts w:ascii="Cambria" w:hAnsi="Cambria"/>
        <w:color w:val="808080"/>
        <w:sz w:val="16"/>
        <w:szCs w:val="16"/>
      </w:rPr>
      <w:instrText xml:space="preserve"> PAGE   \* MERGEFORMAT </w:instrText>
    </w:r>
    <w:r w:rsidRPr="00D659C2">
      <w:rPr>
        <w:rFonts w:ascii="Cambria" w:hAnsi="Cambria"/>
        <w:color w:val="808080"/>
        <w:sz w:val="16"/>
        <w:szCs w:val="16"/>
      </w:rPr>
      <w:fldChar w:fldCharType="separate"/>
    </w:r>
    <w:r w:rsidR="00861BAE">
      <w:rPr>
        <w:rFonts w:ascii="Cambria" w:hAnsi="Cambria"/>
        <w:noProof/>
        <w:color w:val="808080"/>
        <w:sz w:val="16"/>
        <w:szCs w:val="16"/>
      </w:rPr>
      <w:t>48</w:t>
    </w:r>
    <w:r w:rsidRPr="00D659C2">
      <w:rPr>
        <w:rFonts w:ascii="Cambria" w:hAnsi="Cambria"/>
        <w:color w:val="808080"/>
        <w:sz w:val="16"/>
        <w:szCs w:val="16"/>
      </w:rPr>
      <w:fldChar w:fldCharType="end"/>
    </w:r>
  </w:p>
  <w:p w:rsidR="007237FB" w:rsidRDefault="00723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FB" w:rsidRPr="00FD3F9A" w:rsidRDefault="007237FB">
    <w:pPr>
      <w:pStyle w:val="Footer"/>
      <w:jc w:val="center"/>
      <w:rPr>
        <w:rFonts w:ascii="Cambria" w:hAnsi="Cambria"/>
        <w:sz w:val="16"/>
        <w:szCs w:val="16"/>
      </w:rPr>
    </w:pPr>
    <w:r w:rsidRPr="00FD3F9A">
      <w:rPr>
        <w:rFonts w:ascii="Cambria" w:hAnsi="Cambria"/>
        <w:sz w:val="16"/>
        <w:szCs w:val="16"/>
      </w:rPr>
      <w:fldChar w:fldCharType="begin"/>
    </w:r>
    <w:r w:rsidRPr="00FD3F9A">
      <w:rPr>
        <w:rFonts w:ascii="Cambria" w:hAnsi="Cambria"/>
        <w:sz w:val="16"/>
        <w:szCs w:val="16"/>
      </w:rPr>
      <w:instrText xml:space="preserve"> PAGE   \* MERGEFORMAT </w:instrText>
    </w:r>
    <w:r w:rsidRPr="00FD3F9A">
      <w:rPr>
        <w:rFonts w:ascii="Cambria" w:hAnsi="Cambria"/>
        <w:sz w:val="16"/>
        <w:szCs w:val="16"/>
      </w:rPr>
      <w:fldChar w:fldCharType="separate"/>
    </w:r>
    <w:r w:rsidR="00861BAE">
      <w:rPr>
        <w:rFonts w:ascii="Cambria" w:hAnsi="Cambria"/>
        <w:noProof/>
        <w:sz w:val="16"/>
        <w:szCs w:val="16"/>
      </w:rPr>
      <w:t>47</w:t>
    </w:r>
    <w:r w:rsidRPr="00FD3F9A">
      <w:rPr>
        <w:rFonts w:ascii="Cambria" w:hAnsi="Cambria"/>
        <w:sz w:val="16"/>
        <w:szCs w:val="16"/>
      </w:rPr>
      <w:fldChar w:fldCharType="end"/>
    </w:r>
  </w:p>
  <w:p w:rsidR="007237FB" w:rsidRPr="00FD3F9A" w:rsidRDefault="007237FB" w:rsidP="00FD3F9A">
    <w:pPr>
      <w:pStyle w:val="Footer"/>
      <w:jc w:val="center"/>
      <w:rPr>
        <w:rFonts w:ascii="Cambria" w:hAnsi="Cambr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34D" w:rsidRDefault="00C6134D">
      <w:r>
        <w:separator/>
      </w:r>
    </w:p>
  </w:footnote>
  <w:footnote w:type="continuationSeparator" w:id="0">
    <w:p w:rsidR="00C6134D" w:rsidRDefault="00C6134D">
      <w:r>
        <w:continuationSeparator/>
      </w:r>
    </w:p>
  </w:footnote>
  <w:footnote w:id="1">
    <w:p w:rsidR="007237FB" w:rsidRPr="00ED25D8" w:rsidRDefault="007237FB" w:rsidP="00ED25D8">
      <w:pPr>
        <w:pStyle w:val="FootnoteText"/>
        <w:spacing w:before="0" w:beforeAutospacing="0" w:after="120" w:afterAutospacing="0"/>
        <w:jc w:val="both"/>
        <w:rPr>
          <w:rFonts w:asciiTheme="majorHAnsi" w:hAnsiTheme="majorHAnsi"/>
          <w:sz w:val="16"/>
          <w:szCs w:val="16"/>
          <w:lang w:val="en-US"/>
        </w:rPr>
      </w:pPr>
      <w:r w:rsidRPr="00ED25D8">
        <w:rPr>
          <w:rStyle w:val="FootnoteReference"/>
          <w:rFonts w:asciiTheme="majorHAnsi" w:hAnsiTheme="majorHAnsi"/>
          <w:sz w:val="16"/>
          <w:szCs w:val="16"/>
          <w:lang w:val="en-US"/>
        </w:rPr>
        <w:footnoteRef/>
      </w:r>
      <w:r w:rsidRPr="00ED25D8">
        <w:rPr>
          <w:rFonts w:asciiTheme="majorHAnsi" w:hAnsiTheme="majorHAnsi"/>
          <w:sz w:val="16"/>
          <w:szCs w:val="16"/>
          <w:lang w:val="en-US"/>
        </w:rPr>
        <w:t xml:space="preserve"> Often the </w:t>
      </w:r>
      <w:r>
        <w:rPr>
          <w:rFonts w:asciiTheme="majorHAnsi" w:hAnsiTheme="majorHAnsi"/>
          <w:sz w:val="16"/>
          <w:szCs w:val="16"/>
          <w:lang w:val="en-US"/>
        </w:rPr>
        <w:t>ties with civil society organizations have resulted from joint events and promotion activities that are reported in section H of this Chapter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FB" w:rsidRPr="0058688A" w:rsidRDefault="007237FB" w:rsidP="00B67FC9">
    <w:pPr>
      <w:pStyle w:val="Header"/>
      <w:jc w:val="center"/>
      <w:rPr>
        <w:lang w:val="es-ES_tradnl"/>
      </w:rPr>
    </w:pPr>
    <w:r>
      <w:rPr>
        <w:noProof/>
        <w:lang w:val="en-US"/>
      </w:rPr>
      <w:drawing>
        <wp:inline distT="0" distB="0" distL="0" distR="0" wp14:anchorId="3D6A3EF0" wp14:editId="2FFD6484">
          <wp:extent cx="2275205" cy="114935"/>
          <wp:effectExtent l="0" t="0" r="0" b="0"/>
          <wp:docPr id="4" name="Picture 4"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205" cy="114935"/>
                  </a:xfrm>
                  <a:prstGeom prst="rect">
                    <a:avLst/>
                  </a:prstGeom>
                  <a:noFill/>
                  <a:ln>
                    <a:noFill/>
                  </a:ln>
                </pic:spPr>
              </pic:pic>
            </a:graphicData>
          </a:graphic>
        </wp:inline>
      </w:drawing>
    </w:r>
  </w:p>
  <w:p w:rsidR="007237FB" w:rsidRDefault="00C6134D" w:rsidP="00B67FC9">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FB" w:rsidRPr="00A65836" w:rsidRDefault="001E7618" w:rsidP="00395AB4">
    <w:pPr>
      <w:pStyle w:val="Header"/>
      <w:jc w:val="center"/>
      <w:rPr>
        <w:rFonts w:ascii="Cambria" w:hAnsi="Cambria"/>
      </w:rPr>
    </w:pPr>
    <w:r>
      <w:rPr>
        <w:noProof/>
        <w:lang w:val="en-US"/>
      </w:rPr>
      <w:drawing>
        <wp:inline distT="0" distB="0" distL="0" distR="0" wp14:anchorId="532CCDEC" wp14:editId="78E4BEBB">
          <wp:extent cx="2275205" cy="114935"/>
          <wp:effectExtent l="0" t="0" r="0" b="0"/>
          <wp:docPr id="1" name="Picture 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205" cy="114935"/>
                  </a:xfrm>
                  <a:prstGeom prst="rect">
                    <a:avLst/>
                  </a:prstGeom>
                  <a:noFill/>
                  <a:ln>
                    <a:noFill/>
                  </a:ln>
                </pic:spPr>
              </pic:pic>
            </a:graphicData>
          </a:graphic>
        </wp:inline>
      </w:drawing>
    </w:r>
  </w:p>
  <w:p w:rsidR="007237FB" w:rsidRPr="00A65836" w:rsidRDefault="00C6134D" w:rsidP="00395AB4">
    <w:pPr>
      <w:pStyle w:val="Header"/>
      <w:rPr>
        <w:rFonts w:ascii="Cambria" w:hAnsi="Cambria"/>
      </w:rPr>
    </w:pPr>
    <w:r>
      <w:rPr>
        <w:rFonts w:ascii="Cambria" w:hAnsi="Cambria"/>
      </w:rPr>
      <w:pict>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FB" w:rsidRDefault="007237FB" w:rsidP="000643A5">
    <w:pPr>
      <w:pStyle w:val="Header"/>
    </w:pPr>
    <w:r>
      <w:rPr>
        <w:noProof/>
        <w:lang w:val="en-US"/>
      </w:rPr>
      <w:drawing>
        <wp:anchor distT="0" distB="0" distL="114300" distR="114300" simplePos="0" relativeHeight="251659264" behindDoc="1" locked="0" layoutInCell="1" allowOverlap="1" wp14:anchorId="128ACB3D" wp14:editId="71A39AD4">
          <wp:simplePos x="0" y="0"/>
          <wp:positionH relativeFrom="column">
            <wp:posOffset>4093845</wp:posOffset>
          </wp:positionH>
          <wp:positionV relativeFrom="paragraph">
            <wp:posOffset>-50800</wp:posOffset>
          </wp:positionV>
          <wp:extent cx="1860550" cy="410845"/>
          <wp:effectExtent l="0" t="0" r="0" b="0"/>
          <wp:wrapThrough wrapText="bothSides">
            <wp:wrapPolygon edited="0">
              <wp:start x="0" y="0"/>
              <wp:lineTo x="0" y="21032"/>
              <wp:lineTo x="21453" y="21032"/>
              <wp:lineTo x="21453" y="0"/>
              <wp:lineTo x="0" y="0"/>
            </wp:wrapPolygon>
          </wp:wrapThrough>
          <wp:docPr id="3" name="Picture 3"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2C77B5A5" wp14:editId="078053E3">
          <wp:simplePos x="0" y="0"/>
          <wp:positionH relativeFrom="column">
            <wp:posOffset>-28575</wp:posOffset>
          </wp:positionH>
          <wp:positionV relativeFrom="paragraph">
            <wp:posOffset>-19050</wp:posOffset>
          </wp:positionV>
          <wp:extent cx="1725295" cy="381000"/>
          <wp:effectExtent l="0" t="0" r="0" b="0"/>
          <wp:wrapThrough wrapText="bothSides">
            <wp:wrapPolygon edited="0">
              <wp:start x="0" y="0"/>
              <wp:lineTo x="0" y="20520"/>
              <wp:lineTo x="21465" y="20520"/>
              <wp:lineTo x="21465" y="0"/>
              <wp:lineTo x="0" y="0"/>
            </wp:wrapPolygon>
          </wp:wrapThrough>
          <wp:docPr id="2" name="Picture 2" descr="IA2016-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2016-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381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7237FB" w:rsidRDefault="007237FB" w:rsidP="00B67FC9">
    <w:pPr>
      <w:pStyle w:val="Header"/>
    </w:pPr>
  </w:p>
  <w:p w:rsidR="007237FB" w:rsidRPr="00B67FC9" w:rsidRDefault="00C6134D" w:rsidP="00B67FC9">
    <w:pPr>
      <w:pStyle w:val="Header"/>
    </w:pPr>
    <w: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8C9"/>
    <w:multiLevelType w:val="hybridMultilevel"/>
    <w:tmpl w:val="DC3209C0"/>
    <w:lvl w:ilvl="0" w:tplc="8B7CA3EA">
      <w:start w:val="1"/>
      <w:numFmt w:val="decimal"/>
      <w:lvlText w:val="%1."/>
      <w:lvlJc w:val="left"/>
      <w:pPr>
        <w:ind w:left="108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DD178C"/>
    <w:multiLevelType w:val="hybridMultilevel"/>
    <w:tmpl w:val="F71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1E27"/>
    <w:multiLevelType w:val="hybridMultilevel"/>
    <w:tmpl w:val="E5D23EA0"/>
    <w:lvl w:ilvl="0" w:tplc="C9927C32">
      <w:start w:val="1"/>
      <w:numFmt w:val="decimal"/>
      <w:lvlText w:val="%1."/>
      <w:lvlJc w:val="left"/>
      <w:pPr>
        <w:tabs>
          <w:tab w:val="num" w:pos="1080"/>
        </w:tabs>
        <w:ind w:firstLine="720"/>
      </w:pPr>
      <w:rPr>
        <w:rFonts w:ascii="Cambria" w:hAnsi="Cambria" w:cs="Times New Roman" w:hint="default"/>
        <w:b w:val="0"/>
        <w:i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C1126D"/>
    <w:multiLevelType w:val="hybridMultilevel"/>
    <w:tmpl w:val="2700A9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B270162"/>
    <w:multiLevelType w:val="hybridMultilevel"/>
    <w:tmpl w:val="3C16A686"/>
    <w:lvl w:ilvl="0" w:tplc="C36A2B76">
      <w:numFmt w:val="bullet"/>
      <w:lvlText w:val="-"/>
      <w:lvlJc w:val="left"/>
      <w:pPr>
        <w:tabs>
          <w:tab w:val="num" w:pos="1080"/>
        </w:tabs>
        <w:ind w:left="1080"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CC22E86"/>
    <w:multiLevelType w:val="hybridMultilevel"/>
    <w:tmpl w:val="22D4A182"/>
    <w:lvl w:ilvl="0" w:tplc="4CA00320">
      <w:start w:val="51"/>
      <w:numFmt w:val="bullet"/>
      <w:lvlText w:val="-"/>
      <w:lvlJc w:val="left"/>
      <w:pPr>
        <w:ind w:left="720" w:hanging="360"/>
      </w:pPr>
      <w:rPr>
        <w:rFonts w:ascii="Univers" w:eastAsia="Times New Roman" w:hAnsi="Univer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D5B18"/>
    <w:multiLevelType w:val="hybridMultilevel"/>
    <w:tmpl w:val="72F83270"/>
    <w:lvl w:ilvl="0" w:tplc="9384C584">
      <w:start w:val="1"/>
      <w:numFmt w:val="upperLetter"/>
      <w:lvlText w:val="%1."/>
      <w:lvlJc w:val="left"/>
      <w:pPr>
        <w:tabs>
          <w:tab w:val="num" w:pos="1080"/>
        </w:tabs>
        <w:ind w:left="1080" w:hanging="360"/>
      </w:pPr>
      <w:rPr>
        <w:rFonts w:ascii="Cambria" w:hAnsi="Cambria" w:cs="Times New Roman" w:hint="default"/>
      </w:rPr>
    </w:lvl>
    <w:lvl w:ilvl="1" w:tplc="52669D40">
      <w:start w:val="1"/>
      <w:numFmt w:val="decimal"/>
      <w:lvlText w:val="%2."/>
      <w:lvlJc w:val="left"/>
      <w:pPr>
        <w:tabs>
          <w:tab w:val="num" w:pos="1800"/>
        </w:tabs>
        <w:ind w:left="1800" w:hanging="360"/>
      </w:pPr>
      <w:rPr>
        <w:rFonts w:ascii="Cambria" w:eastAsia="Times New Roman" w:hAnsi="Cambria"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2950BDB"/>
    <w:multiLevelType w:val="hybridMultilevel"/>
    <w:tmpl w:val="FD0C3C50"/>
    <w:lvl w:ilvl="0" w:tplc="0409001B">
      <w:start w:val="1"/>
      <w:numFmt w:val="lowerRoman"/>
      <w:lvlText w:val="%1."/>
      <w:lvlJc w:val="right"/>
      <w:pPr>
        <w:ind w:left="1068" w:hanging="360"/>
      </w:pPr>
      <w:rPr>
        <w:b/>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
    <w:nsid w:val="130560EB"/>
    <w:multiLevelType w:val="hybridMultilevel"/>
    <w:tmpl w:val="84CC01D0"/>
    <w:lvl w:ilvl="0" w:tplc="7E4C9D3C">
      <w:start w:val="1"/>
      <w:numFmt w:val="bullet"/>
      <w:lvlText w:val=""/>
      <w:lvlJc w:val="left"/>
      <w:pPr>
        <w:tabs>
          <w:tab w:val="num" w:pos="720"/>
        </w:tabs>
        <w:ind w:left="72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AE2F0D"/>
    <w:multiLevelType w:val="hybridMultilevel"/>
    <w:tmpl w:val="287C7FBC"/>
    <w:lvl w:ilvl="0" w:tplc="C3729C3E">
      <w:start w:val="1"/>
      <w:numFmt w:val="decimal"/>
      <w:lvlText w:val="%1."/>
      <w:lvlJc w:val="left"/>
      <w:pPr>
        <w:tabs>
          <w:tab w:val="num" w:pos="2160"/>
        </w:tabs>
        <w:ind w:left="2160" w:hanging="144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18216E93"/>
    <w:multiLevelType w:val="hybridMultilevel"/>
    <w:tmpl w:val="B61E1E68"/>
    <w:lvl w:ilvl="0" w:tplc="4CA00320">
      <w:start w:val="51"/>
      <w:numFmt w:val="bullet"/>
      <w:lvlText w:val="-"/>
      <w:lvlJc w:val="left"/>
      <w:pPr>
        <w:ind w:left="720" w:hanging="360"/>
      </w:pPr>
      <w:rPr>
        <w:rFonts w:ascii="Univers" w:eastAsia="Times New Roman" w:hAnsi="Univer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342DF"/>
    <w:multiLevelType w:val="hybridMultilevel"/>
    <w:tmpl w:val="6054DFC4"/>
    <w:lvl w:ilvl="0" w:tplc="09E86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B737AD"/>
    <w:multiLevelType w:val="hybridMultilevel"/>
    <w:tmpl w:val="BE403A44"/>
    <w:lvl w:ilvl="0" w:tplc="B164F69A">
      <w:start w:val="1"/>
      <w:numFmt w:val="decimal"/>
      <w:pStyle w:val="paragraphs"/>
      <w:lvlText w:val="%1."/>
      <w:lvlJc w:val="left"/>
      <w:pPr>
        <w:ind w:left="1440" w:hanging="360"/>
      </w:pPr>
      <w:rPr>
        <w:rFonts w:ascii="Cambria" w:hAnsi="Cambria" w:hint="default"/>
        <w:b w:val="0"/>
        <w:i w:val="0"/>
        <w:strike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EB2C4D"/>
    <w:multiLevelType w:val="hybridMultilevel"/>
    <w:tmpl w:val="69D0E960"/>
    <w:lvl w:ilvl="0" w:tplc="2B34B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7138EB"/>
    <w:multiLevelType w:val="hybridMultilevel"/>
    <w:tmpl w:val="2AB8577C"/>
    <w:lvl w:ilvl="0" w:tplc="DC9622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306DE2"/>
    <w:multiLevelType w:val="hybridMultilevel"/>
    <w:tmpl w:val="EDB28F0A"/>
    <w:lvl w:ilvl="0" w:tplc="635E7C9C">
      <w:start w:val="3"/>
      <w:numFmt w:val="upperLetter"/>
      <w:lvlText w:val="%1."/>
      <w:lvlJc w:val="left"/>
      <w:pPr>
        <w:tabs>
          <w:tab w:val="num" w:pos="1440"/>
        </w:tabs>
        <w:ind w:left="1440" w:hanging="60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16">
    <w:nsid w:val="22E90457"/>
    <w:multiLevelType w:val="hybridMultilevel"/>
    <w:tmpl w:val="3FC4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3605E3"/>
    <w:multiLevelType w:val="hybridMultilevel"/>
    <w:tmpl w:val="2B4E9FD8"/>
    <w:lvl w:ilvl="0" w:tplc="04090001">
      <w:start w:val="1"/>
      <w:numFmt w:val="bullet"/>
      <w:lvlText w:val=""/>
      <w:lvlJc w:val="left"/>
      <w:pPr>
        <w:tabs>
          <w:tab w:val="num" w:pos="1800"/>
        </w:tabs>
        <w:ind w:firstLine="720"/>
      </w:pPr>
      <w:rPr>
        <w:rFonts w:ascii="Symbol" w:hAnsi="Symbol" w:hint="default"/>
        <w:b w:val="0"/>
        <w:i w:val="0"/>
        <w:color w:val="auto"/>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20366CB"/>
    <w:multiLevelType w:val="hybridMultilevel"/>
    <w:tmpl w:val="4C1C6466"/>
    <w:lvl w:ilvl="0" w:tplc="C9927C32">
      <w:start w:val="1"/>
      <w:numFmt w:val="decimal"/>
      <w:lvlText w:val="%1."/>
      <w:lvlJc w:val="left"/>
      <w:pPr>
        <w:tabs>
          <w:tab w:val="num" w:pos="720"/>
        </w:tabs>
        <w:ind w:firstLine="720"/>
      </w:pPr>
      <w:rPr>
        <w:rFonts w:ascii="Cambria" w:hAnsi="Cambria"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33BB4BD8"/>
    <w:multiLevelType w:val="hybridMultilevel"/>
    <w:tmpl w:val="847E7F5C"/>
    <w:lvl w:ilvl="0" w:tplc="E806C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403E15"/>
    <w:multiLevelType w:val="hybridMultilevel"/>
    <w:tmpl w:val="4C1C6466"/>
    <w:lvl w:ilvl="0" w:tplc="C9927C32">
      <w:start w:val="1"/>
      <w:numFmt w:val="decimal"/>
      <w:lvlText w:val="%1."/>
      <w:lvlJc w:val="left"/>
      <w:pPr>
        <w:tabs>
          <w:tab w:val="num" w:pos="720"/>
        </w:tabs>
        <w:ind w:firstLine="720"/>
      </w:pPr>
      <w:rPr>
        <w:rFonts w:ascii="Cambria" w:hAnsi="Cambria"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nsid w:val="42EE725A"/>
    <w:multiLevelType w:val="hybridMultilevel"/>
    <w:tmpl w:val="134CD2C4"/>
    <w:lvl w:ilvl="0" w:tplc="3AD6A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C76245"/>
    <w:multiLevelType w:val="hybridMultilevel"/>
    <w:tmpl w:val="1BDAFF42"/>
    <w:lvl w:ilvl="0" w:tplc="484ABCC2">
      <w:start w:val="1"/>
      <w:numFmt w:val="decimal"/>
      <w:lvlText w:val="%1."/>
      <w:lvlJc w:val="left"/>
      <w:pPr>
        <w:tabs>
          <w:tab w:val="num" w:pos="1260"/>
        </w:tabs>
        <w:ind w:left="126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4068FB"/>
    <w:multiLevelType w:val="hybridMultilevel"/>
    <w:tmpl w:val="47FC1F8A"/>
    <w:lvl w:ilvl="0" w:tplc="3D7E54A2">
      <w:start w:val="1"/>
      <w:numFmt w:val="upperLetter"/>
      <w:lvlText w:val="%1."/>
      <w:lvlJc w:val="left"/>
      <w:pPr>
        <w:tabs>
          <w:tab w:val="num" w:pos="1440"/>
        </w:tabs>
        <w:ind w:left="1440" w:hanging="720"/>
      </w:pPr>
      <w:rPr>
        <w:rFonts w:cs="Times New Roman" w:hint="default"/>
      </w:rPr>
    </w:lvl>
    <w:lvl w:ilvl="1" w:tplc="4A8A026C">
      <w:start w:val="1"/>
      <w:numFmt w:val="bullet"/>
      <w:lvlText w:val="-"/>
      <w:lvlJc w:val="left"/>
      <w:pPr>
        <w:tabs>
          <w:tab w:val="num" w:pos="1800"/>
        </w:tabs>
        <w:ind w:left="1800" w:hanging="360"/>
      </w:pPr>
      <w:rPr>
        <w:rFonts w:ascii="Cambria" w:eastAsia="Times New Roman" w:hAnsi="Cambria"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F8F57AD"/>
    <w:multiLevelType w:val="hybridMultilevel"/>
    <w:tmpl w:val="95160EAC"/>
    <w:lvl w:ilvl="0" w:tplc="4CA00320">
      <w:start w:val="51"/>
      <w:numFmt w:val="bullet"/>
      <w:lvlText w:val="-"/>
      <w:lvlJc w:val="left"/>
      <w:pPr>
        <w:ind w:left="720" w:hanging="360"/>
      </w:pPr>
      <w:rPr>
        <w:rFonts w:ascii="Univers" w:eastAsia="Times New Roman" w:hAnsi="Univer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3334B"/>
    <w:multiLevelType w:val="hybridMultilevel"/>
    <w:tmpl w:val="0B54F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1F69FE"/>
    <w:multiLevelType w:val="hybridMultilevel"/>
    <w:tmpl w:val="FEB06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DC75CAA"/>
    <w:multiLevelType w:val="hybridMultilevel"/>
    <w:tmpl w:val="4330E26E"/>
    <w:lvl w:ilvl="0" w:tplc="220EEB92">
      <w:start w:val="1"/>
      <w:numFmt w:val="decimal"/>
      <w:lvlText w:val="%1."/>
      <w:lvlJc w:val="left"/>
      <w:pPr>
        <w:tabs>
          <w:tab w:val="num" w:pos="720"/>
        </w:tabs>
        <w:ind w:firstLine="720"/>
      </w:pPr>
      <w:rPr>
        <w:rFonts w:cs="Times New Roman" w:hint="default"/>
        <w:b w:val="0"/>
        <w:i w:val="0"/>
        <w:color w:val="auto"/>
        <w:sz w:val="20"/>
        <w:szCs w:val="20"/>
      </w:rPr>
    </w:lvl>
    <w:lvl w:ilvl="1" w:tplc="04090019">
      <w:start w:val="1"/>
      <w:numFmt w:val="lowerLetter"/>
      <w:lvlText w:val="%2."/>
      <w:lvlJc w:val="left"/>
      <w:pPr>
        <w:tabs>
          <w:tab w:val="num" w:pos="2160"/>
        </w:tabs>
        <w:ind w:left="2160" w:hanging="360"/>
      </w:pPr>
      <w:rPr>
        <w:rFonts w:cs="Times New Roman"/>
      </w:rPr>
    </w:lvl>
    <w:lvl w:ilvl="2" w:tplc="6B02C2CC">
      <w:start w:val="6"/>
      <w:numFmt w:val="upperLetter"/>
      <w:lvlText w:val="%3."/>
      <w:lvlJc w:val="left"/>
      <w:pPr>
        <w:tabs>
          <w:tab w:val="num" w:pos="3060"/>
        </w:tabs>
        <w:ind w:left="3060" w:hanging="360"/>
      </w:pPr>
      <w:rPr>
        <w:rFonts w:cs="Times New Roman" w:hint="default"/>
        <w:sz w:val="20"/>
      </w:rPr>
    </w:lvl>
    <w:lvl w:ilvl="3" w:tplc="4CA00320">
      <w:start w:val="51"/>
      <w:numFmt w:val="bullet"/>
      <w:lvlText w:val="-"/>
      <w:lvlJc w:val="left"/>
      <w:pPr>
        <w:tabs>
          <w:tab w:val="num" w:pos="4680"/>
        </w:tabs>
        <w:ind w:left="4680" w:hanging="1440"/>
      </w:pPr>
      <w:rPr>
        <w:rFonts w:ascii="Univers" w:eastAsia="Times New Roman" w:hAnsi="Univers"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nsid w:val="5E0E03AF"/>
    <w:multiLevelType w:val="hybridMultilevel"/>
    <w:tmpl w:val="0CDEEF38"/>
    <w:lvl w:ilvl="0" w:tplc="4EFC738A">
      <w:start w:val="1"/>
      <w:numFmt w:val="decimal"/>
      <w:lvlText w:val="%1."/>
      <w:lvlJc w:val="left"/>
      <w:pPr>
        <w:tabs>
          <w:tab w:val="num" w:pos="1080"/>
        </w:tabs>
        <w:ind w:left="1080" w:hanging="360"/>
      </w:pPr>
      <w:rPr>
        <w:rFonts w:cs="Times New Roman" w:hint="default"/>
        <w:b/>
        <w:color w:val="006699"/>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0112C17"/>
    <w:multiLevelType w:val="hybridMultilevel"/>
    <w:tmpl w:val="C71E7C60"/>
    <w:lvl w:ilvl="0" w:tplc="120011CA">
      <w:start w:val="1"/>
      <w:numFmt w:val="decimal"/>
      <w:pStyle w:val="Heading3"/>
      <w:lvlText w:val="%1."/>
      <w:lvlJc w:val="left"/>
      <w:pPr>
        <w:ind w:left="1440" w:hanging="360"/>
      </w:pPr>
      <w:rPr>
        <w:rFonts w:asciiTheme="majorHAnsi" w:hAnsiTheme="maj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12B681A"/>
    <w:multiLevelType w:val="hybridMultilevel"/>
    <w:tmpl w:val="163072C4"/>
    <w:lvl w:ilvl="0" w:tplc="2A1CD3AE">
      <w:start w:val="1"/>
      <w:numFmt w:val="upperLetter"/>
      <w:pStyle w:val="Heading1"/>
      <w:lvlText w:val="%1."/>
      <w:lvlJc w:val="left"/>
      <w:pPr>
        <w:ind w:left="1440" w:hanging="360"/>
      </w:pPr>
      <w:rPr>
        <w:rFonts w:asciiTheme="majorHAnsi" w:hAnsiTheme="majorHAnsi"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4682E78"/>
    <w:multiLevelType w:val="hybridMultilevel"/>
    <w:tmpl w:val="CEA0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B40D82"/>
    <w:multiLevelType w:val="hybridMultilevel"/>
    <w:tmpl w:val="34BEDB58"/>
    <w:lvl w:ilvl="0" w:tplc="9ABE0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D49A6"/>
    <w:multiLevelType w:val="hybridMultilevel"/>
    <w:tmpl w:val="316A2698"/>
    <w:lvl w:ilvl="0" w:tplc="293060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5231AD"/>
    <w:multiLevelType w:val="hybridMultilevel"/>
    <w:tmpl w:val="E9727EAA"/>
    <w:lvl w:ilvl="0" w:tplc="A4C6B52A">
      <w:start w:val="1"/>
      <w:numFmt w:val="low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B2C577D"/>
    <w:multiLevelType w:val="hybridMultilevel"/>
    <w:tmpl w:val="30164C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B93348C"/>
    <w:multiLevelType w:val="hybridMultilevel"/>
    <w:tmpl w:val="4E80E5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70AA6939"/>
    <w:multiLevelType w:val="hybridMultilevel"/>
    <w:tmpl w:val="E53C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D92329"/>
    <w:multiLevelType w:val="hybridMultilevel"/>
    <w:tmpl w:val="338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D10B93"/>
    <w:multiLevelType w:val="hybridMultilevel"/>
    <w:tmpl w:val="23C0EE88"/>
    <w:lvl w:ilvl="0" w:tplc="D2F47A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AC7643"/>
    <w:multiLevelType w:val="hybridMultilevel"/>
    <w:tmpl w:val="89282686"/>
    <w:lvl w:ilvl="0" w:tplc="544083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F621D3B"/>
    <w:multiLevelType w:val="hybridMultilevel"/>
    <w:tmpl w:val="C7A0E716"/>
    <w:lvl w:ilvl="0" w:tplc="A15CB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3"/>
  </w:num>
  <w:num w:numId="3">
    <w:abstractNumId w:val="3"/>
  </w:num>
  <w:num w:numId="4">
    <w:abstractNumId w:val="27"/>
  </w:num>
  <w:num w:numId="5">
    <w:abstractNumId w:val="15"/>
  </w:num>
  <w:num w:numId="6">
    <w:abstractNumId w:val="9"/>
  </w:num>
  <w:num w:numId="7">
    <w:abstractNumId w:val="22"/>
  </w:num>
  <w:num w:numId="8">
    <w:abstractNumId w:val="8"/>
  </w:num>
  <w:num w:numId="9">
    <w:abstractNumId w:val="4"/>
  </w:num>
  <w:num w:numId="10">
    <w:abstractNumId w:val="28"/>
  </w:num>
  <w:num w:numId="11">
    <w:abstractNumId w:val="26"/>
  </w:num>
  <w:num w:numId="12">
    <w:abstractNumId w:val="6"/>
  </w:num>
  <w:num w:numId="13">
    <w:abstractNumId w:val="36"/>
  </w:num>
  <w:num w:numId="14">
    <w:abstractNumId w:val="18"/>
  </w:num>
  <w:num w:numId="15">
    <w:abstractNumId w:val="2"/>
  </w:num>
  <w:num w:numId="16">
    <w:abstractNumId w:val="5"/>
  </w:num>
  <w:num w:numId="17">
    <w:abstractNumId w:val="10"/>
  </w:num>
  <w:num w:numId="18">
    <w:abstractNumId w:val="24"/>
  </w:num>
  <w:num w:numId="19">
    <w:abstractNumId w:val="16"/>
  </w:num>
  <w:num w:numId="20">
    <w:abstractNumId w:val="25"/>
  </w:num>
  <w:num w:numId="21">
    <w:abstractNumId w:val="38"/>
  </w:num>
  <w:num w:numId="22">
    <w:abstractNumId w:val="37"/>
  </w:num>
  <w:num w:numId="23">
    <w:abstractNumId w:val="31"/>
  </w:num>
  <w:num w:numId="24">
    <w:abstractNumId w:val="14"/>
  </w:num>
  <w:num w:numId="25">
    <w:abstractNumId w:val="0"/>
  </w:num>
  <w:num w:numId="26">
    <w:abstractNumId w:val="29"/>
  </w:num>
  <w:num w:numId="27">
    <w:abstractNumId w:val="29"/>
    <w:lvlOverride w:ilvl="0">
      <w:startOverride w:val="1"/>
    </w:lvlOverride>
  </w:num>
  <w:num w:numId="28">
    <w:abstractNumId w:val="30"/>
  </w:num>
  <w:num w:numId="29">
    <w:abstractNumId w:val="40"/>
  </w:num>
  <w:num w:numId="30">
    <w:abstractNumId w:val="13"/>
  </w:num>
  <w:num w:numId="31">
    <w:abstractNumId w:val="41"/>
  </w:num>
  <w:num w:numId="32">
    <w:abstractNumId w:val="1"/>
  </w:num>
  <w:num w:numId="33">
    <w:abstractNumId w:val="34"/>
  </w:num>
  <w:num w:numId="34">
    <w:abstractNumId w:val="34"/>
    <w:lvlOverride w:ilvl="0">
      <w:startOverride w:val="1"/>
    </w:lvlOverride>
  </w:num>
  <w:num w:numId="35">
    <w:abstractNumId w:val="21"/>
  </w:num>
  <w:num w:numId="36">
    <w:abstractNumId w:val="11"/>
  </w:num>
  <w:num w:numId="37">
    <w:abstractNumId w:val="32"/>
  </w:num>
  <w:num w:numId="38">
    <w:abstractNumId w:val="35"/>
  </w:num>
  <w:num w:numId="39">
    <w:abstractNumId w:val="19"/>
  </w:num>
  <w:num w:numId="40">
    <w:abstractNumId w:val="33"/>
  </w:num>
  <w:num w:numId="41">
    <w:abstractNumId w:val="39"/>
  </w:num>
  <w:num w:numId="42">
    <w:abstractNumId w:val="12"/>
  </w:num>
  <w:num w:numId="43">
    <w:abstractNumId w:val="21"/>
    <w:lvlOverride w:ilvl="0">
      <w:startOverride w:val="1"/>
    </w:lvlOverride>
  </w:num>
  <w:num w:numId="44">
    <w:abstractNumId w:val="7"/>
  </w:num>
  <w:num w:numId="45">
    <w:abstractNumId w:val="17"/>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02E6"/>
    <w:rsid w:val="0000081F"/>
    <w:rsid w:val="00006016"/>
    <w:rsid w:val="00010648"/>
    <w:rsid w:val="0001072E"/>
    <w:rsid w:val="000115A3"/>
    <w:rsid w:val="00013047"/>
    <w:rsid w:val="00013157"/>
    <w:rsid w:val="00015690"/>
    <w:rsid w:val="00015A10"/>
    <w:rsid w:val="0002066C"/>
    <w:rsid w:val="00023A9E"/>
    <w:rsid w:val="00024F68"/>
    <w:rsid w:val="00026B88"/>
    <w:rsid w:val="00031538"/>
    <w:rsid w:val="000353F1"/>
    <w:rsid w:val="00036F88"/>
    <w:rsid w:val="00042DC6"/>
    <w:rsid w:val="00044667"/>
    <w:rsid w:val="0004659F"/>
    <w:rsid w:val="000514FC"/>
    <w:rsid w:val="00055801"/>
    <w:rsid w:val="0005589D"/>
    <w:rsid w:val="00055C6F"/>
    <w:rsid w:val="000563EE"/>
    <w:rsid w:val="0005725D"/>
    <w:rsid w:val="00057338"/>
    <w:rsid w:val="000619CF"/>
    <w:rsid w:val="00061B35"/>
    <w:rsid w:val="00061DA2"/>
    <w:rsid w:val="000627EF"/>
    <w:rsid w:val="00062FA6"/>
    <w:rsid w:val="00063A39"/>
    <w:rsid w:val="000643A5"/>
    <w:rsid w:val="000672BA"/>
    <w:rsid w:val="00067A3F"/>
    <w:rsid w:val="000739A5"/>
    <w:rsid w:val="000759D9"/>
    <w:rsid w:val="00076A40"/>
    <w:rsid w:val="0008307D"/>
    <w:rsid w:val="00083602"/>
    <w:rsid w:val="00083A1A"/>
    <w:rsid w:val="00084B21"/>
    <w:rsid w:val="00085E81"/>
    <w:rsid w:val="0008603A"/>
    <w:rsid w:val="000860C6"/>
    <w:rsid w:val="00086369"/>
    <w:rsid w:val="00086475"/>
    <w:rsid w:val="00094F0A"/>
    <w:rsid w:val="000A0BA2"/>
    <w:rsid w:val="000A0F9B"/>
    <w:rsid w:val="000A11E9"/>
    <w:rsid w:val="000A2B39"/>
    <w:rsid w:val="000A5500"/>
    <w:rsid w:val="000A5AA4"/>
    <w:rsid w:val="000B30B7"/>
    <w:rsid w:val="000B3B36"/>
    <w:rsid w:val="000B7305"/>
    <w:rsid w:val="000C4E44"/>
    <w:rsid w:val="000C5221"/>
    <w:rsid w:val="000D0522"/>
    <w:rsid w:val="000D070D"/>
    <w:rsid w:val="000D1F3C"/>
    <w:rsid w:val="000D41EB"/>
    <w:rsid w:val="000D7795"/>
    <w:rsid w:val="000D7C9B"/>
    <w:rsid w:val="000E3A46"/>
    <w:rsid w:val="000E4A13"/>
    <w:rsid w:val="000E5767"/>
    <w:rsid w:val="000E5CB1"/>
    <w:rsid w:val="000E6141"/>
    <w:rsid w:val="000E6E39"/>
    <w:rsid w:val="000F21B1"/>
    <w:rsid w:val="000F33B0"/>
    <w:rsid w:val="000F38E6"/>
    <w:rsid w:val="000F45D3"/>
    <w:rsid w:val="000F50A6"/>
    <w:rsid w:val="000F522C"/>
    <w:rsid w:val="000F6D4F"/>
    <w:rsid w:val="0010469F"/>
    <w:rsid w:val="001048A1"/>
    <w:rsid w:val="00105947"/>
    <w:rsid w:val="00105CF4"/>
    <w:rsid w:val="00107348"/>
    <w:rsid w:val="001107C1"/>
    <w:rsid w:val="0011214E"/>
    <w:rsid w:val="00112150"/>
    <w:rsid w:val="00113CBC"/>
    <w:rsid w:val="00114029"/>
    <w:rsid w:val="0011501C"/>
    <w:rsid w:val="00116C4E"/>
    <w:rsid w:val="00120EBC"/>
    <w:rsid w:val="0012149B"/>
    <w:rsid w:val="00121C3F"/>
    <w:rsid w:val="0012798B"/>
    <w:rsid w:val="00132238"/>
    <w:rsid w:val="001356BF"/>
    <w:rsid w:val="00137CD6"/>
    <w:rsid w:val="00141598"/>
    <w:rsid w:val="0014185A"/>
    <w:rsid w:val="001419AE"/>
    <w:rsid w:val="001444C1"/>
    <w:rsid w:val="00146009"/>
    <w:rsid w:val="00146453"/>
    <w:rsid w:val="0014721D"/>
    <w:rsid w:val="00147D55"/>
    <w:rsid w:val="001511B1"/>
    <w:rsid w:val="00151A97"/>
    <w:rsid w:val="001636B0"/>
    <w:rsid w:val="00164DB2"/>
    <w:rsid w:val="001710F8"/>
    <w:rsid w:val="00171196"/>
    <w:rsid w:val="00173A05"/>
    <w:rsid w:val="001750F6"/>
    <w:rsid w:val="001756FC"/>
    <w:rsid w:val="001825EE"/>
    <w:rsid w:val="00182C26"/>
    <w:rsid w:val="00187422"/>
    <w:rsid w:val="001875EC"/>
    <w:rsid w:val="00187E96"/>
    <w:rsid w:val="00192D20"/>
    <w:rsid w:val="0019475C"/>
    <w:rsid w:val="00195DCF"/>
    <w:rsid w:val="0019630B"/>
    <w:rsid w:val="001977C1"/>
    <w:rsid w:val="00197F3E"/>
    <w:rsid w:val="001A2A98"/>
    <w:rsid w:val="001A31E1"/>
    <w:rsid w:val="001A3239"/>
    <w:rsid w:val="001A55A7"/>
    <w:rsid w:val="001B0C6D"/>
    <w:rsid w:val="001B5F85"/>
    <w:rsid w:val="001C180A"/>
    <w:rsid w:val="001C298C"/>
    <w:rsid w:val="001C3557"/>
    <w:rsid w:val="001C5C16"/>
    <w:rsid w:val="001C6B5E"/>
    <w:rsid w:val="001D09C1"/>
    <w:rsid w:val="001D0BEC"/>
    <w:rsid w:val="001D0D26"/>
    <w:rsid w:val="001D36A7"/>
    <w:rsid w:val="001D3A8C"/>
    <w:rsid w:val="001E14DE"/>
    <w:rsid w:val="001E46A8"/>
    <w:rsid w:val="001E55AF"/>
    <w:rsid w:val="001E5FFA"/>
    <w:rsid w:val="001E7618"/>
    <w:rsid w:val="001F14DC"/>
    <w:rsid w:val="001F1FF2"/>
    <w:rsid w:val="001F214E"/>
    <w:rsid w:val="001F216E"/>
    <w:rsid w:val="001F2C28"/>
    <w:rsid w:val="001F59DC"/>
    <w:rsid w:val="002030EE"/>
    <w:rsid w:val="0020563C"/>
    <w:rsid w:val="00210155"/>
    <w:rsid w:val="002115F5"/>
    <w:rsid w:val="00214163"/>
    <w:rsid w:val="00214C26"/>
    <w:rsid w:val="002228E6"/>
    <w:rsid w:val="00222FAE"/>
    <w:rsid w:val="00223280"/>
    <w:rsid w:val="0022427A"/>
    <w:rsid w:val="0022693E"/>
    <w:rsid w:val="00231BAE"/>
    <w:rsid w:val="00231FF4"/>
    <w:rsid w:val="00232472"/>
    <w:rsid w:val="00234B5C"/>
    <w:rsid w:val="00236F60"/>
    <w:rsid w:val="0023745C"/>
    <w:rsid w:val="00237D2F"/>
    <w:rsid w:val="0024138B"/>
    <w:rsid w:val="0024156B"/>
    <w:rsid w:val="00241E65"/>
    <w:rsid w:val="002435E0"/>
    <w:rsid w:val="0025165A"/>
    <w:rsid w:val="00254859"/>
    <w:rsid w:val="00257B08"/>
    <w:rsid w:val="00261848"/>
    <w:rsid w:val="002634C2"/>
    <w:rsid w:val="00266B8F"/>
    <w:rsid w:val="00266DB8"/>
    <w:rsid w:val="00266E58"/>
    <w:rsid w:val="00271493"/>
    <w:rsid w:val="00271EC3"/>
    <w:rsid w:val="00272D27"/>
    <w:rsid w:val="002732FB"/>
    <w:rsid w:val="00273EA8"/>
    <w:rsid w:val="0028285D"/>
    <w:rsid w:val="0028351C"/>
    <w:rsid w:val="00284D7B"/>
    <w:rsid w:val="00286251"/>
    <w:rsid w:val="00291314"/>
    <w:rsid w:val="00291E40"/>
    <w:rsid w:val="00292155"/>
    <w:rsid w:val="002951D0"/>
    <w:rsid w:val="0029739E"/>
    <w:rsid w:val="002A0723"/>
    <w:rsid w:val="002A3DC2"/>
    <w:rsid w:val="002A654D"/>
    <w:rsid w:val="002A6A4A"/>
    <w:rsid w:val="002B255F"/>
    <w:rsid w:val="002B6090"/>
    <w:rsid w:val="002B6129"/>
    <w:rsid w:val="002B6863"/>
    <w:rsid w:val="002C1990"/>
    <w:rsid w:val="002C2244"/>
    <w:rsid w:val="002C2A39"/>
    <w:rsid w:val="002C5874"/>
    <w:rsid w:val="002D0118"/>
    <w:rsid w:val="002D0827"/>
    <w:rsid w:val="002D0C82"/>
    <w:rsid w:val="002D28F1"/>
    <w:rsid w:val="002D3A45"/>
    <w:rsid w:val="002D4C92"/>
    <w:rsid w:val="002D649F"/>
    <w:rsid w:val="002E573F"/>
    <w:rsid w:val="002E642C"/>
    <w:rsid w:val="002E6E14"/>
    <w:rsid w:val="002F05BC"/>
    <w:rsid w:val="002F1E33"/>
    <w:rsid w:val="002F1E7E"/>
    <w:rsid w:val="002F3341"/>
    <w:rsid w:val="002F3715"/>
    <w:rsid w:val="002F3DFE"/>
    <w:rsid w:val="002F799D"/>
    <w:rsid w:val="0030177E"/>
    <w:rsid w:val="00301FCC"/>
    <w:rsid w:val="00305D02"/>
    <w:rsid w:val="00310852"/>
    <w:rsid w:val="00312853"/>
    <w:rsid w:val="0031464D"/>
    <w:rsid w:val="003155B1"/>
    <w:rsid w:val="00316096"/>
    <w:rsid w:val="00326D6A"/>
    <w:rsid w:val="00327477"/>
    <w:rsid w:val="003302A3"/>
    <w:rsid w:val="003331BB"/>
    <w:rsid w:val="00333643"/>
    <w:rsid w:val="00333E4C"/>
    <w:rsid w:val="00337200"/>
    <w:rsid w:val="00337787"/>
    <w:rsid w:val="00342554"/>
    <w:rsid w:val="00342D51"/>
    <w:rsid w:val="00344205"/>
    <w:rsid w:val="0034547F"/>
    <w:rsid w:val="00351598"/>
    <w:rsid w:val="00354362"/>
    <w:rsid w:val="00355A7F"/>
    <w:rsid w:val="003563E3"/>
    <w:rsid w:val="003573E4"/>
    <w:rsid w:val="00362E20"/>
    <w:rsid w:val="00364DB6"/>
    <w:rsid w:val="00366643"/>
    <w:rsid w:val="00370678"/>
    <w:rsid w:val="003707EF"/>
    <w:rsid w:val="0037228E"/>
    <w:rsid w:val="00373BEE"/>
    <w:rsid w:val="00374BF7"/>
    <w:rsid w:val="00375BBE"/>
    <w:rsid w:val="003860B4"/>
    <w:rsid w:val="00386528"/>
    <w:rsid w:val="00390165"/>
    <w:rsid w:val="0039300F"/>
    <w:rsid w:val="00395410"/>
    <w:rsid w:val="00395AB4"/>
    <w:rsid w:val="003A0229"/>
    <w:rsid w:val="003A3922"/>
    <w:rsid w:val="003A4932"/>
    <w:rsid w:val="003A68C7"/>
    <w:rsid w:val="003B09D9"/>
    <w:rsid w:val="003B177E"/>
    <w:rsid w:val="003B4201"/>
    <w:rsid w:val="003B510D"/>
    <w:rsid w:val="003B53F1"/>
    <w:rsid w:val="003B5F83"/>
    <w:rsid w:val="003B7865"/>
    <w:rsid w:val="003C0487"/>
    <w:rsid w:val="003C087C"/>
    <w:rsid w:val="003C3EAC"/>
    <w:rsid w:val="003C4098"/>
    <w:rsid w:val="003C679D"/>
    <w:rsid w:val="003D0E11"/>
    <w:rsid w:val="003D15CC"/>
    <w:rsid w:val="003D1767"/>
    <w:rsid w:val="003D1E7E"/>
    <w:rsid w:val="003D2F16"/>
    <w:rsid w:val="003D4136"/>
    <w:rsid w:val="003D5EA2"/>
    <w:rsid w:val="003D6DFE"/>
    <w:rsid w:val="003D7DE5"/>
    <w:rsid w:val="003E06CC"/>
    <w:rsid w:val="003E0967"/>
    <w:rsid w:val="003E1F1E"/>
    <w:rsid w:val="003E3C81"/>
    <w:rsid w:val="003E5C5F"/>
    <w:rsid w:val="003E6DF3"/>
    <w:rsid w:val="003F1D9E"/>
    <w:rsid w:val="003F2787"/>
    <w:rsid w:val="003F2C2D"/>
    <w:rsid w:val="003F3001"/>
    <w:rsid w:val="003F5556"/>
    <w:rsid w:val="003F6E55"/>
    <w:rsid w:val="00402A2B"/>
    <w:rsid w:val="00403742"/>
    <w:rsid w:val="00404CA4"/>
    <w:rsid w:val="00405FB2"/>
    <w:rsid w:val="00410A5B"/>
    <w:rsid w:val="0041195C"/>
    <w:rsid w:val="00413892"/>
    <w:rsid w:val="00415CED"/>
    <w:rsid w:val="00421E3A"/>
    <w:rsid w:val="00421E4D"/>
    <w:rsid w:val="0042235A"/>
    <w:rsid w:val="004237E8"/>
    <w:rsid w:val="00424CA2"/>
    <w:rsid w:val="004252F1"/>
    <w:rsid w:val="0042747E"/>
    <w:rsid w:val="00430EBB"/>
    <w:rsid w:val="0043310F"/>
    <w:rsid w:val="00433856"/>
    <w:rsid w:val="00434FA2"/>
    <w:rsid w:val="0043658B"/>
    <w:rsid w:val="00436FB3"/>
    <w:rsid w:val="004401BE"/>
    <w:rsid w:val="00442B01"/>
    <w:rsid w:val="00442FD4"/>
    <w:rsid w:val="0044340A"/>
    <w:rsid w:val="00443CF5"/>
    <w:rsid w:val="00444741"/>
    <w:rsid w:val="00446704"/>
    <w:rsid w:val="00447513"/>
    <w:rsid w:val="004507F0"/>
    <w:rsid w:val="00451C0C"/>
    <w:rsid w:val="004523A4"/>
    <w:rsid w:val="0045401A"/>
    <w:rsid w:val="0045413F"/>
    <w:rsid w:val="00454E96"/>
    <w:rsid w:val="00455282"/>
    <w:rsid w:val="00456DDA"/>
    <w:rsid w:val="00457E0E"/>
    <w:rsid w:val="004629F2"/>
    <w:rsid w:val="00462B60"/>
    <w:rsid w:val="004639CF"/>
    <w:rsid w:val="00465540"/>
    <w:rsid w:val="004659CC"/>
    <w:rsid w:val="004718D7"/>
    <w:rsid w:val="00472AB6"/>
    <w:rsid w:val="00474030"/>
    <w:rsid w:val="00475F03"/>
    <w:rsid w:val="00476354"/>
    <w:rsid w:val="00476426"/>
    <w:rsid w:val="00480C20"/>
    <w:rsid w:val="00481B54"/>
    <w:rsid w:val="00482E93"/>
    <w:rsid w:val="00484618"/>
    <w:rsid w:val="0048631A"/>
    <w:rsid w:val="00492F28"/>
    <w:rsid w:val="00494CB7"/>
    <w:rsid w:val="004961BC"/>
    <w:rsid w:val="004A01D1"/>
    <w:rsid w:val="004A5737"/>
    <w:rsid w:val="004A6876"/>
    <w:rsid w:val="004A6D0F"/>
    <w:rsid w:val="004A6EDB"/>
    <w:rsid w:val="004B10D7"/>
    <w:rsid w:val="004B1BBE"/>
    <w:rsid w:val="004B2A97"/>
    <w:rsid w:val="004B421F"/>
    <w:rsid w:val="004B4E31"/>
    <w:rsid w:val="004B5E8C"/>
    <w:rsid w:val="004B64A2"/>
    <w:rsid w:val="004B64DF"/>
    <w:rsid w:val="004B75F3"/>
    <w:rsid w:val="004C0F72"/>
    <w:rsid w:val="004C2AD0"/>
    <w:rsid w:val="004C34BA"/>
    <w:rsid w:val="004C4A28"/>
    <w:rsid w:val="004C60B6"/>
    <w:rsid w:val="004C7C8B"/>
    <w:rsid w:val="004D13D8"/>
    <w:rsid w:val="004D3DDA"/>
    <w:rsid w:val="004D473C"/>
    <w:rsid w:val="004D643F"/>
    <w:rsid w:val="004E23D1"/>
    <w:rsid w:val="004E25A7"/>
    <w:rsid w:val="004E2F91"/>
    <w:rsid w:val="004E5195"/>
    <w:rsid w:val="004E57CC"/>
    <w:rsid w:val="004E66C3"/>
    <w:rsid w:val="004F3136"/>
    <w:rsid w:val="004F3FB3"/>
    <w:rsid w:val="004F7300"/>
    <w:rsid w:val="004F7434"/>
    <w:rsid w:val="004F778D"/>
    <w:rsid w:val="00501920"/>
    <w:rsid w:val="00501F92"/>
    <w:rsid w:val="00502378"/>
    <w:rsid w:val="00503056"/>
    <w:rsid w:val="005045B2"/>
    <w:rsid w:val="005058B1"/>
    <w:rsid w:val="0050590F"/>
    <w:rsid w:val="0050598A"/>
    <w:rsid w:val="00507216"/>
    <w:rsid w:val="0050722D"/>
    <w:rsid w:val="00507454"/>
    <w:rsid w:val="00507E21"/>
    <w:rsid w:val="00507FF8"/>
    <w:rsid w:val="005132AD"/>
    <w:rsid w:val="00520840"/>
    <w:rsid w:val="00522765"/>
    <w:rsid w:val="0052297F"/>
    <w:rsid w:val="005236DB"/>
    <w:rsid w:val="00523D0B"/>
    <w:rsid w:val="00524D77"/>
    <w:rsid w:val="00525CFA"/>
    <w:rsid w:val="00525D31"/>
    <w:rsid w:val="005265E4"/>
    <w:rsid w:val="005278BE"/>
    <w:rsid w:val="00527CCD"/>
    <w:rsid w:val="005319DA"/>
    <w:rsid w:val="00531A32"/>
    <w:rsid w:val="00534AED"/>
    <w:rsid w:val="00535BE4"/>
    <w:rsid w:val="00535DC5"/>
    <w:rsid w:val="005375EF"/>
    <w:rsid w:val="00540CA7"/>
    <w:rsid w:val="005432A7"/>
    <w:rsid w:val="00543315"/>
    <w:rsid w:val="005459AE"/>
    <w:rsid w:val="0054628D"/>
    <w:rsid w:val="00547035"/>
    <w:rsid w:val="0054776D"/>
    <w:rsid w:val="005514F2"/>
    <w:rsid w:val="00552A51"/>
    <w:rsid w:val="00555356"/>
    <w:rsid w:val="00555382"/>
    <w:rsid w:val="005605CF"/>
    <w:rsid w:val="00560DB6"/>
    <w:rsid w:val="005645E2"/>
    <w:rsid w:val="00564D1E"/>
    <w:rsid w:val="00565885"/>
    <w:rsid w:val="00566488"/>
    <w:rsid w:val="005665A1"/>
    <w:rsid w:val="00567E8F"/>
    <w:rsid w:val="0057075E"/>
    <w:rsid w:val="0057182B"/>
    <w:rsid w:val="00573F46"/>
    <w:rsid w:val="005757C2"/>
    <w:rsid w:val="00580526"/>
    <w:rsid w:val="00582B14"/>
    <w:rsid w:val="005871BC"/>
    <w:rsid w:val="00590777"/>
    <w:rsid w:val="00590F95"/>
    <w:rsid w:val="005914CB"/>
    <w:rsid w:val="00592E8F"/>
    <w:rsid w:val="00593F1F"/>
    <w:rsid w:val="005A0D65"/>
    <w:rsid w:val="005A120A"/>
    <w:rsid w:val="005A1CB7"/>
    <w:rsid w:val="005A25D1"/>
    <w:rsid w:val="005A41E0"/>
    <w:rsid w:val="005A5DC6"/>
    <w:rsid w:val="005A79EF"/>
    <w:rsid w:val="005B3C97"/>
    <w:rsid w:val="005B5C10"/>
    <w:rsid w:val="005B72E1"/>
    <w:rsid w:val="005C3903"/>
    <w:rsid w:val="005C3CCC"/>
    <w:rsid w:val="005C427B"/>
    <w:rsid w:val="005C4C0C"/>
    <w:rsid w:val="005C7D7B"/>
    <w:rsid w:val="005D127F"/>
    <w:rsid w:val="005D1DE7"/>
    <w:rsid w:val="005D29F2"/>
    <w:rsid w:val="005D6592"/>
    <w:rsid w:val="005D6660"/>
    <w:rsid w:val="005D6729"/>
    <w:rsid w:val="005D6816"/>
    <w:rsid w:val="005D7CC2"/>
    <w:rsid w:val="005E0F12"/>
    <w:rsid w:val="005E1C9A"/>
    <w:rsid w:val="005E3908"/>
    <w:rsid w:val="005E4244"/>
    <w:rsid w:val="005E56D0"/>
    <w:rsid w:val="005E5DAA"/>
    <w:rsid w:val="005F0543"/>
    <w:rsid w:val="005F0961"/>
    <w:rsid w:val="005F1415"/>
    <w:rsid w:val="005F14A2"/>
    <w:rsid w:val="005F1573"/>
    <w:rsid w:val="005F2F3E"/>
    <w:rsid w:val="005F5124"/>
    <w:rsid w:val="005F588B"/>
    <w:rsid w:val="005F6A60"/>
    <w:rsid w:val="005F7242"/>
    <w:rsid w:val="0060368F"/>
    <w:rsid w:val="0061498E"/>
    <w:rsid w:val="006225C7"/>
    <w:rsid w:val="00624065"/>
    <w:rsid w:val="00624119"/>
    <w:rsid w:val="00632A00"/>
    <w:rsid w:val="00633B8F"/>
    <w:rsid w:val="006346D2"/>
    <w:rsid w:val="00634DC8"/>
    <w:rsid w:val="00636BE2"/>
    <w:rsid w:val="00637504"/>
    <w:rsid w:val="00637568"/>
    <w:rsid w:val="00637A09"/>
    <w:rsid w:val="00641709"/>
    <w:rsid w:val="00641E81"/>
    <w:rsid w:val="00642B30"/>
    <w:rsid w:val="006504D8"/>
    <w:rsid w:val="00652823"/>
    <w:rsid w:val="00652B50"/>
    <w:rsid w:val="00652CDE"/>
    <w:rsid w:val="00652F07"/>
    <w:rsid w:val="00655D5D"/>
    <w:rsid w:val="00655DC0"/>
    <w:rsid w:val="00656A16"/>
    <w:rsid w:val="0065718B"/>
    <w:rsid w:val="0065731C"/>
    <w:rsid w:val="00662469"/>
    <w:rsid w:val="00667E4E"/>
    <w:rsid w:val="00670CD4"/>
    <w:rsid w:val="006740FC"/>
    <w:rsid w:val="006805E6"/>
    <w:rsid w:val="00683E5E"/>
    <w:rsid w:val="00685055"/>
    <w:rsid w:val="006856EA"/>
    <w:rsid w:val="00692696"/>
    <w:rsid w:val="00693AEF"/>
    <w:rsid w:val="006950E5"/>
    <w:rsid w:val="00696638"/>
    <w:rsid w:val="0069694C"/>
    <w:rsid w:val="006A0752"/>
    <w:rsid w:val="006A1A94"/>
    <w:rsid w:val="006A4E46"/>
    <w:rsid w:val="006A51E4"/>
    <w:rsid w:val="006A782B"/>
    <w:rsid w:val="006B33D9"/>
    <w:rsid w:val="006B6063"/>
    <w:rsid w:val="006B7F28"/>
    <w:rsid w:val="006D1515"/>
    <w:rsid w:val="006D1D56"/>
    <w:rsid w:val="006D1EDF"/>
    <w:rsid w:val="006D40D7"/>
    <w:rsid w:val="006D5F66"/>
    <w:rsid w:val="006D6690"/>
    <w:rsid w:val="006D6A4E"/>
    <w:rsid w:val="006E0157"/>
    <w:rsid w:val="006E142F"/>
    <w:rsid w:val="006E1C1A"/>
    <w:rsid w:val="006E2BF4"/>
    <w:rsid w:val="006F2BFC"/>
    <w:rsid w:val="006F3750"/>
    <w:rsid w:val="00702019"/>
    <w:rsid w:val="0070357A"/>
    <w:rsid w:val="0071012A"/>
    <w:rsid w:val="00712C12"/>
    <w:rsid w:val="007165E5"/>
    <w:rsid w:val="007170A3"/>
    <w:rsid w:val="00717D45"/>
    <w:rsid w:val="0072032B"/>
    <w:rsid w:val="00720E06"/>
    <w:rsid w:val="00722044"/>
    <w:rsid w:val="00722E46"/>
    <w:rsid w:val="007237FB"/>
    <w:rsid w:val="00724AF1"/>
    <w:rsid w:val="007254A1"/>
    <w:rsid w:val="0072622C"/>
    <w:rsid w:val="0072691E"/>
    <w:rsid w:val="007271F5"/>
    <w:rsid w:val="0073010F"/>
    <w:rsid w:val="00731E0A"/>
    <w:rsid w:val="007355F2"/>
    <w:rsid w:val="00735E49"/>
    <w:rsid w:val="00736DE9"/>
    <w:rsid w:val="00741C5E"/>
    <w:rsid w:val="00743009"/>
    <w:rsid w:val="00743E08"/>
    <w:rsid w:val="00743E18"/>
    <w:rsid w:val="00744192"/>
    <w:rsid w:val="00746063"/>
    <w:rsid w:val="00746226"/>
    <w:rsid w:val="00746329"/>
    <w:rsid w:val="00746D53"/>
    <w:rsid w:val="007478AB"/>
    <w:rsid w:val="007527B2"/>
    <w:rsid w:val="00752AC3"/>
    <w:rsid w:val="007537ED"/>
    <w:rsid w:val="00755CB6"/>
    <w:rsid w:val="00756700"/>
    <w:rsid w:val="0076180A"/>
    <w:rsid w:val="00761CE5"/>
    <w:rsid w:val="00763893"/>
    <w:rsid w:val="00766B7D"/>
    <w:rsid w:val="0077023D"/>
    <w:rsid w:val="00770259"/>
    <w:rsid w:val="00770935"/>
    <w:rsid w:val="00772BF8"/>
    <w:rsid w:val="0077731A"/>
    <w:rsid w:val="00777CF1"/>
    <w:rsid w:val="0078049F"/>
    <w:rsid w:val="007808A2"/>
    <w:rsid w:val="00781952"/>
    <w:rsid w:val="00782D80"/>
    <w:rsid w:val="007831C8"/>
    <w:rsid w:val="00784179"/>
    <w:rsid w:val="00785DE6"/>
    <w:rsid w:val="00791417"/>
    <w:rsid w:val="00792933"/>
    <w:rsid w:val="0079351F"/>
    <w:rsid w:val="00793781"/>
    <w:rsid w:val="00794747"/>
    <w:rsid w:val="00795191"/>
    <w:rsid w:val="007954EC"/>
    <w:rsid w:val="0079612C"/>
    <w:rsid w:val="00796EDD"/>
    <w:rsid w:val="007A0A2B"/>
    <w:rsid w:val="007A67E9"/>
    <w:rsid w:val="007B0F9F"/>
    <w:rsid w:val="007B2C27"/>
    <w:rsid w:val="007B32A7"/>
    <w:rsid w:val="007B33E8"/>
    <w:rsid w:val="007B48C0"/>
    <w:rsid w:val="007B4EC2"/>
    <w:rsid w:val="007B5495"/>
    <w:rsid w:val="007B7713"/>
    <w:rsid w:val="007C061C"/>
    <w:rsid w:val="007C3F7C"/>
    <w:rsid w:val="007C4F57"/>
    <w:rsid w:val="007C66DD"/>
    <w:rsid w:val="007D00DA"/>
    <w:rsid w:val="007D3030"/>
    <w:rsid w:val="007D4232"/>
    <w:rsid w:val="007D4802"/>
    <w:rsid w:val="007D52CC"/>
    <w:rsid w:val="007D56C3"/>
    <w:rsid w:val="007D6497"/>
    <w:rsid w:val="007D78BE"/>
    <w:rsid w:val="007E06CF"/>
    <w:rsid w:val="007E277B"/>
    <w:rsid w:val="007E27CF"/>
    <w:rsid w:val="007E3552"/>
    <w:rsid w:val="007E5801"/>
    <w:rsid w:val="007E6749"/>
    <w:rsid w:val="007F027F"/>
    <w:rsid w:val="007F02BA"/>
    <w:rsid w:val="00802548"/>
    <w:rsid w:val="00803B73"/>
    <w:rsid w:val="00804C84"/>
    <w:rsid w:val="00806373"/>
    <w:rsid w:val="00807181"/>
    <w:rsid w:val="00811F0F"/>
    <w:rsid w:val="00813391"/>
    <w:rsid w:val="0081355F"/>
    <w:rsid w:val="00813997"/>
    <w:rsid w:val="0081591B"/>
    <w:rsid w:val="00815AC6"/>
    <w:rsid w:val="00816BA5"/>
    <w:rsid w:val="00817512"/>
    <w:rsid w:val="00820332"/>
    <w:rsid w:val="0082087D"/>
    <w:rsid w:val="00822A0B"/>
    <w:rsid w:val="00822F57"/>
    <w:rsid w:val="00824B6A"/>
    <w:rsid w:val="0082702B"/>
    <w:rsid w:val="00832975"/>
    <w:rsid w:val="00833149"/>
    <w:rsid w:val="008347E9"/>
    <w:rsid w:val="00835C5D"/>
    <w:rsid w:val="00836762"/>
    <w:rsid w:val="0084080F"/>
    <w:rsid w:val="008417AE"/>
    <w:rsid w:val="00843D43"/>
    <w:rsid w:val="00844D94"/>
    <w:rsid w:val="008450A1"/>
    <w:rsid w:val="00845C26"/>
    <w:rsid w:val="00847366"/>
    <w:rsid w:val="00850883"/>
    <w:rsid w:val="00851322"/>
    <w:rsid w:val="00854D6E"/>
    <w:rsid w:val="008572D3"/>
    <w:rsid w:val="00857DD6"/>
    <w:rsid w:val="00861BAE"/>
    <w:rsid w:val="008633F6"/>
    <w:rsid w:val="008640C7"/>
    <w:rsid w:val="00864349"/>
    <w:rsid w:val="0086501B"/>
    <w:rsid w:val="00867213"/>
    <w:rsid w:val="008674B7"/>
    <w:rsid w:val="00872C29"/>
    <w:rsid w:val="008732B4"/>
    <w:rsid w:val="008748D8"/>
    <w:rsid w:val="00875CCE"/>
    <w:rsid w:val="008817A6"/>
    <w:rsid w:val="00882727"/>
    <w:rsid w:val="00883554"/>
    <w:rsid w:val="0088381A"/>
    <w:rsid w:val="00884B58"/>
    <w:rsid w:val="00884C90"/>
    <w:rsid w:val="00887272"/>
    <w:rsid w:val="008921AA"/>
    <w:rsid w:val="00893A1B"/>
    <w:rsid w:val="00895078"/>
    <w:rsid w:val="00895BB8"/>
    <w:rsid w:val="00895C70"/>
    <w:rsid w:val="008A02C9"/>
    <w:rsid w:val="008A21AA"/>
    <w:rsid w:val="008A2267"/>
    <w:rsid w:val="008A5D1B"/>
    <w:rsid w:val="008A7A73"/>
    <w:rsid w:val="008B0338"/>
    <w:rsid w:val="008B0E11"/>
    <w:rsid w:val="008B2270"/>
    <w:rsid w:val="008B58F8"/>
    <w:rsid w:val="008C3784"/>
    <w:rsid w:val="008C446D"/>
    <w:rsid w:val="008C6760"/>
    <w:rsid w:val="008C7F79"/>
    <w:rsid w:val="008D0E1A"/>
    <w:rsid w:val="008D2844"/>
    <w:rsid w:val="008D3D90"/>
    <w:rsid w:val="008D6D3B"/>
    <w:rsid w:val="008D78DB"/>
    <w:rsid w:val="008D7E8B"/>
    <w:rsid w:val="008E3DAC"/>
    <w:rsid w:val="008E6180"/>
    <w:rsid w:val="008E68EE"/>
    <w:rsid w:val="008F4332"/>
    <w:rsid w:val="008F4401"/>
    <w:rsid w:val="008F52BB"/>
    <w:rsid w:val="008F5E12"/>
    <w:rsid w:val="008F60F5"/>
    <w:rsid w:val="00900D04"/>
    <w:rsid w:val="00901565"/>
    <w:rsid w:val="009040B3"/>
    <w:rsid w:val="0090489A"/>
    <w:rsid w:val="00905276"/>
    <w:rsid w:val="00905487"/>
    <w:rsid w:val="00907369"/>
    <w:rsid w:val="00907CE1"/>
    <w:rsid w:val="00910395"/>
    <w:rsid w:val="00911A08"/>
    <w:rsid w:val="0091545F"/>
    <w:rsid w:val="00915F50"/>
    <w:rsid w:val="009165C0"/>
    <w:rsid w:val="00920F05"/>
    <w:rsid w:val="00921B6F"/>
    <w:rsid w:val="009302E6"/>
    <w:rsid w:val="00932BEE"/>
    <w:rsid w:val="00933405"/>
    <w:rsid w:val="0093417B"/>
    <w:rsid w:val="0094027B"/>
    <w:rsid w:val="009416FF"/>
    <w:rsid w:val="00941B1C"/>
    <w:rsid w:val="00942AE2"/>
    <w:rsid w:val="00946935"/>
    <w:rsid w:val="00951A91"/>
    <w:rsid w:val="009528B5"/>
    <w:rsid w:val="00953110"/>
    <w:rsid w:val="009538E8"/>
    <w:rsid w:val="009571E1"/>
    <w:rsid w:val="00957651"/>
    <w:rsid w:val="009613BB"/>
    <w:rsid w:val="009620E7"/>
    <w:rsid w:val="00962118"/>
    <w:rsid w:val="009624BB"/>
    <w:rsid w:val="009637A9"/>
    <w:rsid w:val="00965BA8"/>
    <w:rsid w:val="009666F9"/>
    <w:rsid w:val="00967034"/>
    <w:rsid w:val="009717E8"/>
    <w:rsid w:val="00975372"/>
    <w:rsid w:val="0097695C"/>
    <w:rsid w:val="00977B2A"/>
    <w:rsid w:val="00980849"/>
    <w:rsid w:val="00983C88"/>
    <w:rsid w:val="00987184"/>
    <w:rsid w:val="00991C85"/>
    <w:rsid w:val="00996DD5"/>
    <w:rsid w:val="009A04DF"/>
    <w:rsid w:val="009A33C8"/>
    <w:rsid w:val="009A33DE"/>
    <w:rsid w:val="009A3A62"/>
    <w:rsid w:val="009A4105"/>
    <w:rsid w:val="009A796D"/>
    <w:rsid w:val="009B0F78"/>
    <w:rsid w:val="009B421E"/>
    <w:rsid w:val="009B465F"/>
    <w:rsid w:val="009B4AB6"/>
    <w:rsid w:val="009B4D9F"/>
    <w:rsid w:val="009B4FFE"/>
    <w:rsid w:val="009C13B9"/>
    <w:rsid w:val="009C46E5"/>
    <w:rsid w:val="009C56C6"/>
    <w:rsid w:val="009D2BAB"/>
    <w:rsid w:val="009D4154"/>
    <w:rsid w:val="009D6543"/>
    <w:rsid w:val="009D6A95"/>
    <w:rsid w:val="009D74CE"/>
    <w:rsid w:val="009E0541"/>
    <w:rsid w:val="009E1319"/>
    <w:rsid w:val="009E2113"/>
    <w:rsid w:val="009E2CA3"/>
    <w:rsid w:val="009E4185"/>
    <w:rsid w:val="009E4DC5"/>
    <w:rsid w:val="009E5D07"/>
    <w:rsid w:val="009E6883"/>
    <w:rsid w:val="009E6E7D"/>
    <w:rsid w:val="009F3469"/>
    <w:rsid w:val="009F5174"/>
    <w:rsid w:val="009F7A09"/>
    <w:rsid w:val="009F7BF8"/>
    <w:rsid w:val="00A00C10"/>
    <w:rsid w:val="00A01C5B"/>
    <w:rsid w:val="00A01FC1"/>
    <w:rsid w:val="00A028D0"/>
    <w:rsid w:val="00A0360B"/>
    <w:rsid w:val="00A06B4B"/>
    <w:rsid w:val="00A077AE"/>
    <w:rsid w:val="00A114A5"/>
    <w:rsid w:val="00A138AD"/>
    <w:rsid w:val="00A1639D"/>
    <w:rsid w:val="00A17061"/>
    <w:rsid w:val="00A201BE"/>
    <w:rsid w:val="00A222CA"/>
    <w:rsid w:val="00A22569"/>
    <w:rsid w:val="00A257F3"/>
    <w:rsid w:val="00A25ADB"/>
    <w:rsid w:val="00A32F8B"/>
    <w:rsid w:val="00A36754"/>
    <w:rsid w:val="00A36CC1"/>
    <w:rsid w:val="00A4017B"/>
    <w:rsid w:val="00A463BA"/>
    <w:rsid w:val="00A476F8"/>
    <w:rsid w:val="00A50951"/>
    <w:rsid w:val="00A5118F"/>
    <w:rsid w:val="00A51198"/>
    <w:rsid w:val="00A52A48"/>
    <w:rsid w:val="00A55AAF"/>
    <w:rsid w:val="00A57028"/>
    <w:rsid w:val="00A57A35"/>
    <w:rsid w:val="00A628FD"/>
    <w:rsid w:val="00A64E6B"/>
    <w:rsid w:val="00A65836"/>
    <w:rsid w:val="00A73580"/>
    <w:rsid w:val="00A74832"/>
    <w:rsid w:val="00A7563A"/>
    <w:rsid w:val="00A77C07"/>
    <w:rsid w:val="00A802AF"/>
    <w:rsid w:val="00A80A1D"/>
    <w:rsid w:val="00A80BBA"/>
    <w:rsid w:val="00A80F5E"/>
    <w:rsid w:val="00A8131D"/>
    <w:rsid w:val="00A814A3"/>
    <w:rsid w:val="00A843F2"/>
    <w:rsid w:val="00A87312"/>
    <w:rsid w:val="00A90E68"/>
    <w:rsid w:val="00AA0FC0"/>
    <w:rsid w:val="00AA24EF"/>
    <w:rsid w:val="00AA492B"/>
    <w:rsid w:val="00AA5ECD"/>
    <w:rsid w:val="00AB1436"/>
    <w:rsid w:val="00AB6962"/>
    <w:rsid w:val="00AB7CF1"/>
    <w:rsid w:val="00AC1530"/>
    <w:rsid w:val="00AC3166"/>
    <w:rsid w:val="00AC329E"/>
    <w:rsid w:val="00AC6933"/>
    <w:rsid w:val="00AC758E"/>
    <w:rsid w:val="00AD1E51"/>
    <w:rsid w:val="00AD5454"/>
    <w:rsid w:val="00AD7668"/>
    <w:rsid w:val="00AD7E26"/>
    <w:rsid w:val="00AE4686"/>
    <w:rsid w:val="00AE5384"/>
    <w:rsid w:val="00AE53A1"/>
    <w:rsid w:val="00AF1959"/>
    <w:rsid w:val="00AF33FA"/>
    <w:rsid w:val="00AF5B0F"/>
    <w:rsid w:val="00AF5CFF"/>
    <w:rsid w:val="00AF5E98"/>
    <w:rsid w:val="00AF6FCC"/>
    <w:rsid w:val="00B014BD"/>
    <w:rsid w:val="00B02516"/>
    <w:rsid w:val="00B03C90"/>
    <w:rsid w:val="00B053C5"/>
    <w:rsid w:val="00B07A8D"/>
    <w:rsid w:val="00B10AC0"/>
    <w:rsid w:val="00B12DAF"/>
    <w:rsid w:val="00B1422E"/>
    <w:rsid w:val="00B14589"/>
    <w:rsid w:val="00B156E0"/>
    <w:rsid w:val="00B174E6"/>
    <w:rsid w:val="00B20F1A"/>
    <w:rsid w:val="00B2128D"/>
    <w:rsid w:val="00B2322A"/>
    <w:rsid w:val="00B24536"/>
    <w:rsid w:val="00B2673D"/>
    <w:rsid w:val="00B27DCA"/>
    <w:rsid w:val="00B3070F"/>
    <w:rsid w:val="00B31182"/>
    <w:rsid w:val="00B32D92"/>
    <w:rsid w:val="00B3396A"/>
    <w:rsid w:val="00B33B9E"/>
    <w:rsid w:val="00B3422C"/>
    <w:rsid w:val="00B3514E"/>
    <w:rsid w:val="00B35F1A"/>
    <w:rsid w:val="00B36647"/>
    <w:rsid w:val="00B42666"/>
    <w:rsid w:val="00B42871"/>
    <w:rsid w:val="00B43F0E"/>
    <w:rsid w:val="00B43FB7"/>
    <w:rsid w:val="00B4536E"/>
    <w:rsid w:val="00B4576D"/>
    <w:rsid w:val="00B46B0F"/>
    <w:rsid w:val="00B53D6C"/>
    <w:rsid w:val="00B54147"/>
    <w:rsid w:val="00B5567E"/>
    <w:rsid w:val="00B60489"/>
    <w:rsid w:val="00B62CA6"/>
    <w:rsid w:val="00B630F5"/>
    <w:rsid w:val="00B6318D"/>
    <w:rsid w:val="00B636FD"/>
    <w:rsid w:val="00B645A8"/>
    <w:rsid w:val="00B67741"/>
    <w:rsid w:val="00B67FC9"/>
    <w:rsid w:val="00B725E5"/>
    <w:rsid w:val="00B72DA1"/>
    <w:rsid w:val="00B73749"/>
    <w:rsid w:val="00B748A8"/>
    <w:rsid w:val="00B77749"/>
    <w:rsid w:val="00B84089"/>
    <w:rsid w:val="00B846B1"/>
    <w:rsid w:val="00B85A80"/>
    <w:rsid w:val="00B868CA"/>
    <w:rsid w:val="00B86AE2"/>
    <w:rsid w:val="00B86D57"/>
    <w:rsid w:val="00B87110"/>
    <w:rsid w:val="00B87FD4"/>
    <w:rsid w:val="00B90637"/>
    <w:rsid w:val="00B90A5B"/>
    <w:rsid w:val="00B911B0"/>
    <w:rsid w:val="00B915E9"/>
    <w:rsid w:val="00B91FD6"/>
    <w:rsid w:val="00B942E0"/>
    <w:rsid w:val="00B95147"/>
    <w:rsid w:val="00B959B8"/>
    <w:rsid w:val="00B96C21"/>
    <w:rsid w:val="00BA06A6"/>
    <w:rsid w:val="00BA1A4E"/>
    <w:rsid w:val="00BA3064"/>
    <w:rsid w:val="00BA348E"/>
    <w:rsid w:val="00BA36EF"/>
    <w:rsid w:val="00BA3E43"/>
    <w:rsid w:val="00BA480F"/>
    <w:rsid w:val="00BA512B"/>
    <w:rsid w:val="00BA5574"/>
    <w:rsid w:val="00BA5F15"/>
    <w:rsid w:val="00BB2B39"/>
    <w:rsid w:val="00BB5B9E"/>
    <w:rsid w:val="00BC1BD2"/>
    <w:rsid w:val="00BC29BC"/>
    <w:rsid w:val="00BC3EE8"/>
    <w:rsid w:val="00BD3172"/>
    <w:rsid w:val="00BD4888"/>
    <w:rsid w:val="00BD4B7A"/>
    <w:rsid w:val="00BD5078"/>
    <w:rsid w:val="00BE1324"/>
    <w:rsid w:val="00BE1C34"/>
    <w:rsid w:val="00BE3EA2"/>
    <w:rsid w:val="00BE49B0"/>
    <w:rsid w:val="00BE60EE"/>
    <w:rsid w:val="00BE6A87"/>
    <w:rsid w:val="00BE77F5"/>
    <w:rsid w:val="00BF140D"/>
    <w:rsid w:val="00BF371F"/>
    <w:rsid w:val="00BF7270"/>
    <w:rsid w:val="00C02996"/>
    <w:rsid w:val="00C02AA3"/>
    <w:rsid w:val="00C02CCC"/>
    <w:rsid w:val="00C0653A"/>
    <w:rsid w:val="00C06D55"/>
    <w:rsid w:val="00C0799F"/>
    <w:rsid w:val="00C12FCB"/>
    <w:rsid w:val="00C20E80"/>
    <w:rsid w:val="00C25CCD"/>
    <w:rsid w:val="00C269D2"/>
    <w:rsid w:val="00C30550"/>
    <w:rsid w:val="00C32182"/>
    <w:rsid w:val="00C326D1"/>
    <w:rsid w:val="00C34A89"/>
    <w:rsid w:val="00C3640F"/>
    <w:rsid w:val="00C367E5"/>
    <w:rsid w:val="00C37E38"/>
    <w:rsid w:val="00C42082"/>
    <w:rsid w:val="00C44E9F"/>
    <w:rsid w:val="00C44EB6"/>
    <w:rsid w:val="00C47AB2"/>
    <w:rsid w:val="00C5226C"/>
    <w:rsid w:val="00C53E8F"/>
    <w:rsid w:val="00C54331"/>
    <w:rsid w:val="00C55E67"/>
    <w:rsid w:val="00C57B5B"/>
    <w:rsid w:val="00C6134D"/>
    <w:rsid w:val="00C63529"/>
    <w:rsid w:val="00C67358"/>
    <w:rsid w:val="00C736DB"/>
    <w:rsid w:val="00C745E3"/>
    <w:rsid w:val="00C74F16"/>
    <w:rsid w:val="00C776F8"/>
    <w:rsid w:val="00C858EA"/>
    <w:rsid w:val="00C86B9C"/>
    <w:rsid w:val="00C94ABE"/>
    <w:rsid w:val="00C94D12"/>
    <w:rsid w:val="00C958B2"/>
    <w:rsid w:val="00C96834"/>
    <w:rsid w:val="00C96BBA"/>
    <w:rsid w:val="00CA306B"/>
    <w:rsid w:val="00CA3BFB"/>
    <w:rsid w:val="00CA3C80"/>
    <w:rsid w:val="00CA442A"/>
    <w:rsid w:val="00CA4D37"/>
    <w:rsid w:val="00CA7ED7"/>
    <w:rsid w:val="00CB0FBA"/>
    <w:rsid w:val="00CB14B0"/>
    <w:rsid w:val="00CB3C11"/>
    <w:rsid w:val="00CB60BE"/>
    <w:rsid w:val="00CB7F52"/>
    <w:rsid w:val="00CC0633"/>
    <w:rsid w:val="00CC2BE1"/>
    <w:rsid w:val="00CC4BF9"/>
    <w:rsid w:val="00CC75DC"/>
    <w:rsid w:val="00CD1381"/>
    <w:rsid w:val="00CD267A"/>
    <w:rsid w:val="00CD2F86"/>
    <w:rsid w:val="00CD496F"/>
    <w:rsid w:val="00CD5C7E"/>
    <w:rsid w:val="00CE20C9"/>
    <w:rsid w:val="00CE225C"/>
    <w:rsid w:val="00CE2F31"/>
    <w:rsid w:val="00CF0F8A"/>
    <w:rsid w:val="00CF404C"/>
    <w:rsid w:val="00CF42E7"/>
    <w:rsid w:val="00CF4DB6"/>
    <w:rsid w:val="00CF5424"/>
    <w:rsid w:val="00CF6E18"/>
    <w:rsid w:val="00CF711B"/>
    <w:rsid w:val="00CF7F89"/>
    <w:rsid w:val="00D01018"/>
    <w:rsid w:val="00D023A4"/>
    <w:rsid w:val="00D030A3"/>
    <w:rsid w:val="00D035EC"/>
    <w:rsid w:val="00D04D11"/>
    <w:rsid w:val="00D0521C"/>
    <w:rsid w:val="00D056DA"/>
    <w:rsid w:val="00D1015F"/>
    <w:rsid w:val="00D11E42"/>
    <w:rsid w:val="00D11E5F"/>
    <w:rsid w:val="00D133F1"/>
    <w:rsid w:val="00D140AD"/>
    <w:rsid w:val="00D16D33"/>
    <w:rsid w:val="00D16F35"/>
    <w:rsid w:val="00D17F1F"/>
    <w:rsid w:val="00D205E6"/>
    <w:rsid w:val="00D20BF0"/>
    <w:rsid w:val="00D2509D"/>
    <w:rsid w:val="00D26DC6"/>
    <w:rsid w:val="00D30034"/>
    <w:rsid w:val="00D356A0"/>
    <w:rsid w:val="00D35861"/>
    <w:rsid w:val="00D35CDA"/>
    <w:rsid w:val="00D43B69"/>
    <w:rsid w:val="00D441BD"/>
    <w:rsid w:val="00D45335"/>
    <w:rsid w:val="00D46670"/>
    <w:rsid w:val="00D47C42"/>
    <w:rsid w:val="00D500F3"/>
    <w:rsid w:val="00D50E14"/>
    <w:rsid w:val="00D55170"/>
    <w:rsid w:val="00D60308"/>
    <w:rsid w:val="00D60C15"/>
    <w:rsid w:val="00D635ED"/>
    <w:rsid w:val="00D63747"/>
    <w:rsid w:val="00D6571E"/>
    <w:rsid w:val="00D659C2"/>
    <w:rsid w:val="00D66A29"/>
    <w:rsid w:val="00D70561"/>
    <w:rsid w:val="00D715B5"/>
    <w:rsid w:val="00D71D09"/>
    <w:rsid w:val="00D72553"/>
    <w:rsid w:val="00D739B8"/>
    <w:rsid w:val="00D775DC"/>
    <w:rsid w:val="00D77FEC"/>
    <w:rsid w:val="00D82260"/>
    <w:rsid w:val="00D83F73"/>
    <w:rsid w:val="00D849F0"/>
    <w:rsid w:val="00D852C8"/>
    <w:rsid w:val="00D909F1"/>
    <w:rsid w:val="00D97F27"/>
    <w:rsid w:val="00DA32FB"/>
    <w:rsid w:val="00DA4324"/>
    <w:rsid w:val="00DA5628"/>
    <w:rsid w:val="00DA67BB"/>
    <w:rsid w:val="00DB10BC"/>
    <w:rsid w:val="00DB1D6A"/>
    <w:rsid w:val="00DB3C09"/>
    <w:rsid w:val="00DB4420"/>
    <w:rsid w:val="00DB6D61"/>
    <w:rsid w:val="00DC1200"/>
    <w:rsid w:val="00DC1B05"/>
    <w:rsid w:val="00DC5566"/>
    <w:rsid w:val="00DD160F"/>
    <w:rsid w:val="00DD2115"/>
    <w:rsid w:val="00DD5A64"/>
    <w:rsid w:val="00DD6850"/>
    <w:rsid w:val="00DD746F"/>
    <w:rsid w:val="00DE0CA4"/>
    <w:rsid w:val="00DE1BA8"/>
    <w:rsid w:val="00DE2FF5"/>
    <w:rsid w:val="00DE4593"/>
    <w:rsid w:val="00DE468F"/>
    <w:rsid w:val="00DE49CF"/>
    <w:rsid w:val="00DE5639"/>
    <w:rsid w:val="00DE749F"/>
    <w:rsid w:val="00DF0B57"/>
    <w:rsid w:val="00DF1039"/>
    <w:rsid w:val="00DF1F66"/>
    <w:rsid w:val="00DF4295"/>
    <w:rsid w:val="00DF458C"/>
    <w:rsid w:val="00DF5AA3"/>
    <w:rsid w:val="00DF6B10"/>
    <w:rsid w:val="00DF6D22"/>
    <w:rsid w:val="00E0071A"/>
    <w:rsid w:val="00E010F3"/>
    <w:rsid w:val="00E01ED2"/>
    <w:rsid w:val="00E0257E"/>
    <w:rsid w:val="00E16D5C"/>
    <w:rsid w:val="00E213F5"/>
    <w:rsid w:val="00E21585"/>
    <w:rsid w:val="00E24A14"/>
    <w:rsid w:val="00E27BEE"/>
    <w:rsid w:val="00E27DA8"/>
    <w:rsid w:val="00E315A6"/>
    <w:rsid w:val="00E3280C"/>
    <w:rsid w:val="00E32BB0"/>
    <w:rsid w:val="00E33F5E"/>
    <w:rsid w:val="00E37946"/>
    <w:rsid w:val="00E4000E"/>
    <w:rsid w:val="00E40045"/>
    <w:rsid w:val="00E409D8"/>
    <w:rsid w:val="00E40CB6"/>
    <w:rsid w:val="00E4339B"/>
    <w:rsid w:val="00E52353"/>
    <w:rsid w:val="00E52654"/>
    <w:rsid w:val="00E54E57"/>
    <w:rsid w:val="00E641AC"/>
    <w:rsid w:val="00E656B0"/>
    <w:rsid w:val="00E74BBB"/>
    <w:rsid w:val="00E7691F"/>
    <w:rsid w:val="00E77B2F"/>
    <w:rsid w:val="00E8183C"/>
    <w:rsid w:val="00E81CF3"/>
    <w:rsid w:val="00E85212"/>
    <w:rsid w:val="00E92E17"/>
    <w:rsid w:val="00E94A28"/>
    <w:rsid w:val="00EA0EBD"/>
    <w:rsid w:val="00EA1404"/>
    <w:rsid w:val="00EA2291"/>
    <w:rsid w:val="00EA4450"/>
    <w:rsid w:val="00EA65FD"/>
    <w:rsid w:val="00EA7C26"/>
    <w:rsid w:val="00EA7CD9"/>
    <w:rsid w:val="00EB130A"/>
    <w:rsid w:val="00EB38B4"/>
    <w:rsid w:val="00EC09B5"/>
    <w:rsid w:val="00EC27F1"/>
    <w:rsid w:val="00EC53C4"/>
    <w:rsid w:val="00EC6542"/>
    <w:rsid w:val="00EC70E7"/>
    <w:rsid w:val="00EC7970"/>
    <w:rsid w:val="00ED00B2"/>
    <w:rsid w:val="00ED1341"/>
    <w:rsid w:val="00ED25D8"/>
    <w:rsid w:val="00ED2765"/>
    <w:rsid w:val="00ED49BE"/>
    <w:rsid w:val="00ED7E69"/>
    <w:rsid w:val="00ED7EE9"/>
    <w:rsid w:val="00EE0F18"/>
    <w:rsid w:val="00EE3EFC"/>
    <w:rsid w:val="00EE44CB"/>
    <w:rsid w:val="00EE46BC"/>
    <w:rsid w:val="00EE4822"/>
    <w:rsid w:val="00EE5369"/>
    <w:rsid w:val="00EE61F1"/>
    <w:rsid w:val="00EE6FD7"/>
    <w:rsid w:val="00EF2D6D"/>
    <w:rsid w:val="00F01381"/>
    <w:rsid w:val="00F01E38"/>
    <w:rsid w:val="00F03016"/>
    <w:rsid w:val="00F11092"/>
    <w:rsid w:val="00F1111E"/>
    <w:rsid w:val="00F1234F"/>
    <w:rsid w:val="00F13D52"/>
    <w:rsid w:val="00F140C9"/>
    <w:rsid w:val="00F145AF"/>
    <w:rsid w:val="00F20ADD"/>
    <w:rsid w:val="00F24569"/>
    <w:rsid w:val="00F27C8F"/>
    <w:rsid w:val="00F306F8"/>
    <w:rsid w:val="00F3269B"/>
    <w:rsid w:val="00F330E5"/>
    <w:rsid w:val="00F33B98"/>
    <w:rsid w:val="00F36D7B"/>
    <w:rsid w:val="00F402A6"/>
    <w:rsid w:val="00F41005"/>
    <w:rsid w:val="00F41A04"/>
    <w:rsid w:val="00F42E55"/>
    <w:rsid w:val="00F43D30"/>
    <w:rsid w:val="00F44A25"/>
    <w:rsid w:val="00F44FC9"/>
    <w:rsid w:val="00F4573D"/>
    <w:rsid w:val="00F53754"/>
    <w:rsid w:val="00F53976"/>
    <w:rsid w:val="00F53A9D"/>
    <w:rsid w:val="00F554F3"/>
    <w:rsid w:val="00F55627"/>
    <w:rsid w:val="00F5594B"/>
    <w:rsid w:val="00F56D90"/>
    <w:rsid w:val="00F600C5"/>
    <w:rsid w:val="00F6032D"/>
    <w:rsid w:val="00F61562"/>
    <w:rsid w:val="00F631C0"/>
    <w:rsid w:val="00F6514E"/>
    <w:rsid w:val="00F70951"/>
    <w:rsid w:val="00F71C32"/>
    <w:rsid w:val="00F75042"/>
    <w:rsid w:val="00F770F7"/>
    <w:rsid w:val="00F82001"/>
    <w:rsid w:val="00F83DDB"/>
    <w:rsid w:val="00F85DF9"/>
    <w:rsid w:val="00F94DAD"/>
    <w:rsid w:val="00F9723C"/>
    <w:rsid w:val="00FA15AA"/>
    <w:rsid w:val="00FA1BDB"/>
    <w:rsid w:val="00FA38B7"/>
    <w:rsid w:val="00FA45C7"/>
    <w:rsid w:val="00FA79FF"/>
    <w:rsid w:val="00FB0D0D"/>
    <w:rsid w:val="00FB2833"/>
    <w:rsid w:val="00FB650E"/>
    <w:rsid w:val="00FC029A"/>
    <w:rsid w:val="00FC07F0"/>
    <w:rsid w:val="00FC0A9B"/>
    <w:rsid w:val="00FC1AB2"/>
    <w:rsid w:val="00FC31C4"/>
    <w:rsid w:val="00FC50DA"/>
    <w:rsid w:val="00FC582C"/>
    <w:rsid w:val="00FC7883"/>
    <w:rsid w:val="00FD0A4D"/>
    <w:rsid w:val="00FD3F9A"/>
    <w:rsid w:val="00FD584C"/>
    <w:rsid w:val="00FD6CAB"/>
    <w:rsid w:val="00FD7B67"/>
    <w:rsid w:val="00FE0922"/>
    <w:rsid w:val="00FE1CD0"/>
    <w:rsid w:val="00FE3BE5"/>
    <w:rsid w:val="00FE3C9C"/>
    <w:rsid w:val="00FE5112"/>
    <w:rsid w:val="00FE7675"/>
    <w:rsid w:val="00FF1824"/>
    <w:rsid w:val="00FF6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lang w:val="es-ES"/>
    </w:rPr>
  </w:style>
  <w:style w:type="paragraph" w:styleId="Heading1">
    <w:name w:val="heading 1"/>
    <w:basedOn w:val="Normal"/>
    <w:next w:val="Normal"/>
    <w:link w:val="Heading1Char"/>
    <w:uiPriority w:val="99"/>
    <w:qFormat/>
    <w:rsid w:val="0005725D"/>
    <w:pPr>
      <w:numPr>
        <w:numId w:val="28"/>
      </w:numPr>
      <w:ind w:hanging="720"/>
      <w:jc w:val="both"/>
      <w:outlineLvl w:val="0"/>
    </w:pPr>
    <w:rPr>
      <w:rFonts w:asciiTheme="majorHAnsi" w:hAnsiTheme="majorHAnsi"/>
      <w:b/>
      <w:sz w:val="22"/>
      <w:szCs w:val="20"/>
      <w:shd w:val="clear" w:color="auto" w:fill="FFFFFF"/>
      <w:lang w:val="es-ES_tradnl"/>
    </w:rPr>
  </w:style>
  <w:style w:type="paragraph" w:styleId="Heading2">
    <w:name w:val="heading 2"/>
    <w:basedOn w:val="Normal"/>
    <w:next w:val="Normal"/>
    <w:link w:val="Heading2Char"/>
    <w:uiPriority w:val="99"/>
    <w:qFormat/>
    <w:rsid w:val="00A52A48"/>
    <w:pPr>
      <w:ind w:firstLine="720"/>
      <w:jc w:val="both"/>
      <w:outlineLvl w:val="1"/>
    </w:pPr>
    <w:rPr>
      <w:rFonts w:asciiTheme="majorHAnsi" w:hAnsiTheme="majorHAnsi"/>
      <w:b/>
      <w:sz w:val="22"/>
      <w:szCs w:val="20"/>
      <w:shd w:val="clear" w:color="auto" w:fill="FFFFFF"/>
      <w:lang w:val="es-ES_tradnl"/>
    </w:rPr>
  </w:style>
  <w:style w:type="paragraph" w:styleId="Heading3">
    <w:name w:val="heading 3"/>
    <w:basedOn w:val="Normal"/>
    <w:next w:val="Normal"/>
    <w:link w:val="Heading3Char"/>
    <w:uiPriority w:val="9"/>
    <w:unhideWhenUsed/>
    <w:qFormat/>
    <w:locked/>
    <w:rsid w:val="00147D55"/>
    <w:pPr>
      <w:keepNext/>
      <w:keepLines/>
      <w:numPr>
        <w:numId w:val="26"/>
      </w:numPr>
      <w:spacing w:before="200"/>
      <w:ind w:hanging="720"/>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unhideWhenUsed/>
    <w:qFormat/>
    <w:locked/>
    <w:rsid w:val="0005725D"/>
    <w:pPr>
      <w:numPr>
        <w:numId w:val="33"/>
      </w:numPr>
      <w:ind w:left="0" w:firstLine="720"/>
      <w:contextualSpacing/>
      <w:jc w:val="both"/>
      <w:outlineLvl w:val="3"/>
    </w:pPr>
    <w:rPr>
      <w:rFonts w:asciiTheme="majorHAnsi" w:eastAsiaTheme="majorEastAsia" w:hAnsiTheme="majorHAnsi" w:cstheme="majorBidi"/>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725D"/>
    <w:rPr>
      <w:rFonts w:asciiTheme="majorHAnsi" w:hAnsiTheme="majorHAnsi"/>
      <w:b/>
      <w:szCs w:val="20"/>
      <w:lang w:val="es-ES_tradnl"/>
    </w:rPr>
  </w:style>
  <w:style w:type="character" w:customStyle="1" w:styleId="Heading2Char">
    <w:name w:val="Heading 2 Char"/>
    <w:basedOn w:val="DefaultParagraphFont"/>
    <w:link w:val="Heading2"/>
    <w:uiPriority w:val="99"/>
    <w:locked/>
    <w:rsid w:val="00A52A48"/>
    <w:rPr>
      <w:rFonts w:asciiTheme="majorHAnsi" w:hAnsiTheme="majorHAnsi"/>
      <w:b/>
      <w:szCs w:val="20"/>
      <w:lang w:val="es-ES_tradnl"/>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basedOn w:val="DefaultParagraphFont"/>
    <w:uiPriority w:val="99"/>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99"/>
    <w:qFormat/>
    <w:rsid w:val="00146009"/>
    <w:rPr>
      <w:rFonts w:cs="Times New Roman"/>
      <w:b/>
    </w:rPr>
  </w:style>
  <w:style w:type="paragraph" w:styleId="ListParagraph">
    <w:name w:val="List Paragraph"/>
    <w:basedOn w:val="Normal"/>
    <w:link w:val="ListParagraphChar"/>
    <w:uiPriority w:val="99"/>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rsid w:val="00395AB4"/>
  </w:style>
  <w:style w:type="character" w:styleId="Emphasis">
    <w:name w:val="Emphasis"/>
    <w:basedOn w:val="DefaultParagraphFont"/>
    <w:uiPriority w:val="20"/>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2A0B"/>
    <w:rPr>
      <w:rFonts w:cs="Times New Roman"/>
      <w:sz w:val="2"/>
    </w:rPr>
  </w:style>
  <w:style w:type="character" w:styleId="FollowedHyperlink">
    <w:name w:val="FollowedHyperlink"/>
    <w:basedOn w:val="DefaultParagraphFont"/>
    <w:uiPriority w:val="99"/>
    <w:rsid w:val="00E8183C"/>
    <w:rPr>
      <w:rFonts w:cs="Times New Roman"/>
      <w:color w:val="800080"/>
      <w:u w:val="single"/>
    </w:rPr>
  </w:style>
  <w:style w:type="paragraph" w:customStyle="1" w:styleId="mce">
    <w:name w:val="mce"/>
    <w:basedOn w:val="Normal"/>
    <w:uiPriority w:val="99"/>
    <w:rsid w:val="00403742"/>
    <w:pPr>
      <w:spacing w:before="100" w:beforeAutospacing="1" w:after="100" w:afterAutospacing="1"/>
    </w:pPr>
    <w:rPr>
      <w:rFonts w:ascii="Times New Roman" w:hAnsi="Times New Roman"/>
    </w:rPr>
  </w:style>
  <w:style w:type="table" w:styleId="TableGrid">
    <w:name w:val="Table Grid"/>
    <w:basedOn w:val="TableNormal"/>
    <w:uiPriority w:val="99"/>
    <w:locked/>
    <w:rsid w:val="00D657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B67FC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B67FC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0E6E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147D55"/>
    <w:rPr>
      <w:rFonts w:asciiTheme="majorHAnsi" w:eastAsiaTheme="majorEastAsia" w:hAnsiTheme="majorHAnsi" w:cstheme="majorBidi"/>
      <w:b/>
      <w:bCs/>
      <w:szCs w:val="24"/>
      <w:lang w:val="es-ES"/>
    </w:rPr>
  </w:style>
  <w:style w:type="character" w:customStyle="1" w:styleId="Heading4Char">
    <w:name w:val="Heading 4 Char"/>
    <w:basedOn w:val="DefaultParagraphFont"/>
    <w:link w:val="Heading4"/>
    <w:uiPriority w:val="9"/>
    <w:rsid w:val="0005725D"/>
    <w:rPr>
      <w:rFonts w:asciiTheme="majorHAnsi" w:eastAsiaTheme="majorEastAsia" w:hAnsiTheme="majorHAnsi" w:cstheme="majorBidi"/>
      <w:b/>
      <w:bCs/>
      <w:iCs/>
      <w:lang w:val="es-ES"/>
    </w:rPr>
  </w:style>
  <w:style w:type="paragraph" w:customStyle="1" w:styleId="paragraphs">
    <w:name w:val="paragraphs"/>
    <w:basedOn w:val="Normal"/>
    <w:link w:val="paragraphsChar"/>
    <w:qFormat/>
    <w:rsid w:val="00A257F3"/>
    <w:pPr>
      <w:numPr>
        <w:numId w:val="42"/>
      </w:numPr>
      <w:spacing w:after="240"/>
      <w:jc w:val="both"/>
    </w:pPr>
    <w:rPr>
      <w:rFonts w:ascii="Cambria" w:eastAsia="Calibri" w:hAnsi="Cambria"/>
      <w:sz w:val="20"/>
      <w:szCs w:val="20"/>
      <w:lang w:val="es-ES_tradnl"/>
    </w:rPr>
  </w:style>
  <w:style w:type="character" w:customStyle="1" w:styleId="paragraphsChar">
    <w:name w:val="paragraphs Char"/>
    <w:link w:val="paragraphs"/>
    <w:rsid w:val="00A257F3"/>
    <w:rPr>
      <w:rFonts w:ascii="Cambria" w:eastAsia="Calibri" w:hAnsi="Cambria"/>
      <w:sz w:val="20"/>
      <w:szCs w:val="20"/>
      <w:lang w:val="es-ES_tradnl"/>
    </w:rPr>
  </w:style>
  <w:style w:type="table" w:styleId="LightShading-Accent3">
    <w:name w:val="Light Shading Accent 3"/>
    <w:basedOn w:val="TableNormal"/>
    <w:uiPriority w:val="60"/>
    <w:rsid w:val="00F0138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ody1">
    <w:name w:val="Body 1"/>
    <w:rsid w:val="00F82001"/>
    <w:pPr>
      <w:outlineLvl w:val="0"/>
    </w:pPr>
    <w:rPr>
      <w:rFonts w:eastAsia="Arial Unicode MS"/>
      <w:color w:val="000000"/>
      <w:sz w:val="24"/>
      <w:szCs w:val="20"/>
      <w:u w:color="000000"/>
    </w:rPr>
  </w:style>
  <w:style w:type="character" w:customStyle="1" w:styleId="ListParagraphChar">
    <w:name w:val="List Paragraph Char"/>
    <w:link w:val="ListParagraph"/>
    <w:uiPriority w:val="99"/>
    <w:locked/>
    <w:rsid w:val="00F82001"/>
    <w:rPr>
      <w:sz w:val="24"/>
      <w:szCs w:val="24"/>
      <w:lang w:val="es-ES"/>
    </w:rPr>
  </w:style>
  <w:style w:type="character" w:customStyle="1" w:styleId="hps">
    <w:name w:val="hps"/>
    <w:rsid w:val="00F82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E6"/>
    <w:rPr>
      <w:rFonts w:ascii="Univers" w:hAnsi="Univers"/>
      <w:sz w:val="24"/>
      <w:szCs w:val="24"/>
      <w:lang w:val="es-ES"/>
    </w:rPr>
  </w:style>
  <w:style w:type="paragraph" w:styleId="Heading1">
    <w:name w:val="heading 1"/>
    <w:basedOn w:val="Normal"/>
    <w:next w:val="Normal"/>
    <w:link w:val="Heading1Char"/>
    <w:uiPriority w:val="99"/>
    <w:qFormat/>
    <w:rsid w:val="0005725D"/>
    <w:pPr>
      <w:numPr>
        <w:numId w:val="28"/>
      </w:numPr>
      <w:ind w:hanging="720"/>
      <w:jc w:val="both"/>
      <w:outlineLvl w:val="0"/>
    </w:pPr>
    <w:rPr>
      <w:rFonts w:asciiTheme="majorHAnsi" w:hAnsiTheme="majorHAnsi"/>
      <w:b/>
      <w:sz w:val="22"/>
      <w:szCs w:val="20"/>
      <w:shd w:val="clear" w:color="auto" w:fill="FFFFFF"/>
      <w:lang w:val="es-ES_tradnl"/>
    </w:rPr>
  </w:style>
  <w:style w:type="paragraph" w:styleId="Heading2">
    <w:name w:val="heading 2"/>
    <w:basedOn w:val="Normal"/>
    <w:next w:val="Normal"/>
    <w:link w:val="Heading2Char"/>
    <w:uiPriority w:val="99"/>
    <w:qFormat/>
    <w:rsid w:val="00A52A48"/>
    <w:pPr>
      <w:ind w:firstLine="720"/>
      <w:jc w:val="both"/>
      <w:outlineLvl w:val="1"/>
    </w:pPr>
    <w:rPr>
      <w:rFonts w:asciiTheme="majorHAnsi" w:hAnsiTheme="majorHAnsi"/>
      <w:b/>
      <w:sz w:val="22"/>
      <w:szCs w:val="20"/>
      <w:shd w:val="clear" w:color="auto" w:fill="FFFFFF"/>
      <w:lang w:val="es-ES_tradnl"/>
    </w:rPr>
  </w:style>
  <w:style w:type="paragraph" w:styleId="Heading3">
    <w:name w:val="heading 3"/>
    <w:basedOn w:val="Normal"/>
    <w:next w:val="Normal"/>
    <w:link w:val="Heading3Char"/>
    <w:uiPriority w:val="9"/>
    <w:unhideWhenUsed/>
    <w:qFormat/>
    <w:locked/>
    <w:rsid w:val="00147D55"/>
    <w:pPr>
      <w:keepNext/>
      <w:keepLines/>
      <w:numPr>
        <w:numId w:val="26"/>
      </w:numPr>
      <w:spacing w:before="200"/>
      <w:ind w:hanging="720"/>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unhideWhenUsed/>
    <w:qFormat/>
    <w:locked/>
    <w:rsid w:val="0005725D"/>
    <w:pPr>
      <w:numPr>
        <w:numId w:val="33"/>
      </w:numPr>
      <w:ind w:left="0" w:firstLine="720"/>
      <w:contextualSpacing/>
      <w:jc w:val="both"/>
      <w:outlineLvl w:val="3"/>
    </w:pPr>
    <w:rPr>
      <w:rFonts w:asciiTheme="majorHAnsi" w:eastAsiaTheme="majorEastAsia" w:hAnsiTheme="majorHAnsi" w:cstheme="majorBidi"/>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725D"/>
    <w:rPr>
      <w:rFonts w:asciiTheme="majorHAnsi" w:hAnsiTheme="majorHAnsi"/>
      <w:b/>
      <w:szCs w:val="20"/>
      <w:lang w:val="es-ES_tradnl"/>
    </w:rPr>
  </w:style>
  <w:style w:type="character" w:customStyle="1" w:styleId="Heading2Char">
    <w:name w:val="Heading 2 Char"/>
    <w:basedOn w:val="DefaultParagraphFont"/>
    <w:link w:val="Heading2"/>
    <w:uiPriority w:val="99"/>
    <w:locked/>
    <w:rsid w:val="00A52A48"/>
    <w:rPr>
      <w:rFonts w:asciiTheme="majorHAnsi" w:hAnsiTheme="majorHAnsi"/>
      <w:b/>
      <w:szCs w:val="20"/>
      <w:lang w:val="es-ES_tradnl"/>
    </w:rPr>
  </w:style>
  <w:style w:type="paragraph" w:styleId="NormalWeb">
    <w:name w:val="Normal (Web)"/>
    <w:basedOn w:val="Normal"/>
    <w:uiPriority w:val="99"/>
    <w:rsid w:val="009302E6"/>
    <w:pPr>
      <w:spacing w:before="100" w:beforeAutospacing="1" w:after="100" w:afterAutospacing="1"/>
    </w:pPr>
  </w:style>
  <w:style w:type="paragraph" w:styleId="BodyTextIndent">
    <w:name w:val="Body Text Indent"/>
    <w:basedOn w:val="Normal"/>
    <w:link w:val="BodyTextIndentChar"/>
    <w:uiPriority w:val="99"/>
    <w:rsid w:val="009302E6"/>
    <w:pPr>
      <w:spacing w:after="120"/>
      <w:ind w:left="360"/>
    </w:pPr>
  </w:style>
  <w:style w:type="character" w:customStyle="1" w:styleId="BodyTextIndentChar">
    <w:name w:val="Body Text Indent Char"/>
    <w:basedOn w:val="DefaultParagraphFont"/>
    <w:link w:val="BodyTextIndent"/>
    <w:uiPriority w:val="99"/>
    <w:locked/>
    <w:rsid w:val="009302E6"/>
    <w:rPr>
      <w:rFonts w:ascii="Univers" w:hAnsi="Univers" w:cs="Times New Roman"/>
      <w:sz w:val="24"/>
      <w:lang w:val="en-US" w:eastAsia="en-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rsid w:val="009302E6"/>
    <w:pPr>
      <w:spacing w:before="100" w:beforeAutospacing="1" w:after="100" w:afterAutospacing="1"/>
    </w:pPr>
    <w:rPr>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locked/>
    <w:rsid w:val="009302E6"/>
    <w:rPr>
      <w:rFonts w:ascii="Univers" w:hAnsi="Univers" w:cs="Times New Roman"/>
      <w:sz w:val="24"/>
      <w:lang w:val="en-US" w:eastAsia="en-US"/>
    </w:rPr>
  </w:style>
  <w:style w:type="paragraph" w:customStyle="1" w:styleId="style1">
    <w:name w:val="style1"/>
    <w:basedOn w:val="Normal"/>
    <w:uiPriority w:val="99"/>
    <w:rsid w:val="009302E6"/>
    <w:pPr>
      <w:spacing w:before="100" w:beforeAutospacing="1" w:after="100" w:afterAutospacing="1"/>
    </w:pPr>
  </w:style>
  <w:style w:type="character" w:styleId="Hyperlink">
    <w:name w:val="Hyperlink"/>
    <w:basedOn w:val="DefaultParagraphFont"/>
    <w:uiPriority w:val="99"/>
    <w:rsid w:val="009302E6"/>
    <w:rPr>
      <w:rFonts w:cs="Times New Roman"/>
      <w:color w:val="0000FF"/>
      <w:u w:val="single"/>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basedOn w:val="DefaultParagraphFont"/>
    <w:uiPriority w:val="99"/>
    <w:rsid w:val="009302E6"/>
    <w:rPr>
      <w:rFonts w:cs="Times New Roman"/>
      <w:vertAlign w:val="superscript"/>
    </w:rPr>
  </w:style>
  <w:style w:type="paragraph" w:customStyle="1" w:styleId="Default">
    <w:name w:val="Default"/>
    <w:uiPriority w:val="99"/>
    <w:rsid w:val="00146009"/>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rsid w:val="0014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395AB4"/>
    <w:rPr>
      <w:rFonts w:ascii="Courier New" w:hAnsi="Courier New" w:cs="Times New Roman"/>
    </w:rPr>
  </w:style>
  <w:style w:type="character" w:styleId="Strong">
    <w:name w:val="Strong"/>
    <w:basedOn w:val="DefaultParagraphFont"/>
    <w:uiPriority w:val="99"/>
    <w:qFormat/>
    <w:rsid w:val="00146009"/>
    <w:rPr>
      <w:rFonts w:cs="Times New Roman"/>
      <w:b/>
    </w:rPr>
  </w:style>
  <w:style w:type="paragraph" w:styleId="ListParagraph">
    <w:name w:val="List Paragraph"/>
    <w:basedOn w:val="Normal"/>
    <w:link w:val="ListParagraphChar"/>
    <w:uiPriority w:val="99"/>
    <w:qFormat/>
    <w:rsid w:val="00F306F8"/>
    <w:pPr>
      <w:ind w:left="708"/>
    </w:pPr>
    <w:rPr>
      <w:rFonts w:ascii="Times New Roman" w:hAnsi="Times New Roman"/>
    </w:rPr>
  </w:style>
  <w:style w:type="paragraph" w:styleId="Header">
    <w:name w:val="header"/>
    <w:aliases w:val="encabezado"/>
    <w:basedOn w:val="Normal"/>
    <w:link w:val="HeaderChar"/>
    <w:uiPriority w:val="99"/>
    <w:rsid w:val="00395AB4"/>
    <w:pPr>
      <w:tabs>
        <w:tab w:val="center" w:pos="4680"/>
        <w:tab w:val="right" w:pos="9360"/>
      </w:tabs>
    </w:pPr>
  </w:style>
  <w:style w:type="character" w:customStyle="1" w:styleId="HeaderChar">
    <w:name w:val="Header Char"/>
    <w:aliases w:val="encabezado Char"/>
    <w:basedOn w:val="DefaultParagraphFont"/>
    <w:link w:val="Header"/>
    <w:uiPriority w:val="99"/>
    <w:locked/>
    <w:rsid w:val="00395AB4"/>
    <w:rPr>
      <w:rFonts w:ascii="Univers" w:hAnsi="Univers" w:cs="Times New Roman"/>
      <w:sz w:val="24"/>
    </w:rPr>
  </w:style>
  <w:style w:type="paragraph" w:styleId="Footer">
    <w:name w:val="footer"/>
    <w:basedOn w:val="Normal"/>
    <w:link w:val="FooterChar"/>
    <w:uiPriority w:val="99"/>
    <w:rsid w:val="00395AB4"/>
    <w:pPr>
      <w:tabs>
        <w:tab w:val="center" w:pos="4680"/>
        <w:tab w:val="right" w:pos="9360"/>
      </w:tabs>
    </w:pPr>
  </w:style>
  <w:style w:type="character" w:customStyle="1" w:styleId="FooterChar">
    <w:name w:val="Footer Char"/>
    <w:basedOn w:val="DefaultParagraphFont"/>
    <w:link w:val="Footer"/>
    <w:uiPriority w:val="99"/>
    <w:locked/>
    <w:rsid w:val="00395AB4"/>
    <w:rPr>
      <w:rFonts w:ascii="Univers" w:hAnsi="Univers" w:cs="Times New Roman"/>
      <w:sz w:val="24"/>
    </w:rPr>
  </w:style>
  <w:style w:type="character" w:customStyle="1" w:styleId="apple-converted-space">
    <w:name w:val="apple-converted-space"/>
    <w:rsid w:val="00395AB4"/>
  </w:style>
  <w:style w:type="character" w:styleId="Emphasis">
    <w:name w:val="Emphasis"/>
    <w:basedOn w:val="DefaultParagraphFont"/>
    <w:uiPriority w:val="20"/>
    <w:qFormat/>
    <w:rsid w:val="00F402A6"/>
    <w:rPr>
      <w:rFonts w:cs="Times New Roman"/>
      <w:i/>
    </w:rPr>
  </w:style>
  <w:style w:type="paragraph" w:styleId="BalloonText">
    <w:name w:val="Balloon Text"/>
    <w:basedOn w:val="Normal"/>
    <w:link w:val="BalloonTextChar"/>
    <w:uiPriority w:val="99"/>
    <w:rsid w:val="00F75042"/>
    <w:rPr>
      <w:rFonts w:ascii="Tahoma" w:hAnsi="Tahoma"/>
      <w:sz w:val="16"/>
      <w:szCs w:val="16"/>
    </w:rPr>
  </w:style>
  <w:style w:type="character" w:customStyle="1" w:styleId="BalloonTextChar">
    <w:name w:val="Balloon Text Char"/>
    <w:basedOn w:val="DefaultParagraphFont"/>
    <w:link w:val="BalloonText"/>
    <w:uiPriority w:val="99"/>
    <w:locked/>
    <w:rsid w:val="00F75042"/>
    <w:rPr>
      <w:rFonts w:ascii="Tahoma" w:hAnsi="Tahoma" w:cs="Times New Roman"/>
      <w:sz w:val="16"/>
    </w:rPr>
  </w:style>
  <w:style w:type="table" w:styleId="TableContemporary">
    <w:name w:val="Table Contemporary"/>
    <w:basedOn w:val="TableNormal"/>
    <w:uiPriority w:val="99"/>
    <w:rsid w:val="00F70951"/>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uiPriority w:val="99"/>
    <w:semiHidden/>
    <w:rsid w:val="00A814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22A0B"/>
    <w:rPr>
      <w:rFonts w:cs="Times New Roman"/>
      <w:sz w:val="2"/>
    </w:rPr>
  </w:style>
  <w:style w:type="character" w:styleId="FollowedHyperlink">
    <w:name w:val="FollowedHyperlink"/>
    <w:basedOn w:val="DefaultParagraphFont"/>
    <w:uiPriority w:val="99"/>
    <w:rsid w:val="00E8183C"/>
    <w:rPr>
      <w:rFonts w:cs="Times New Roman"/>
      <w:color w:val="800080"/>
      <w:u w:val="single"/>
    </w:rPr>
  </w:style>
  <w:style w:type="paragraph" w:customStyle="1" w:styleId="mce">
    <w:name w:val="mce"/>
    <w:basedOn w:val="Normal"/>
    <w:uiPriority w:val="99"/>
    <w:rsid w:val="00403742"/>
    <w:pPr>
      <w:spacing w:before="100" w:beforeAutospacing="1" w:after="100" w:afterAutospacing="1"/>
    </w:pPr>
    <w:rPr>
      <w:rFonts w:ascii="Times New Roman" w:hAnsi="Times New Roman"/>
    </w:rPr>
  </w:style>
  <w:style w:type="table" w:styleId="TableGrid">
    <w:name w:val="Table Grid"/>
    <w:basedOn w:val="TableNormal"/>
    <w:uiPriority w:val="99"/>
    <w:locked/>
    <w:rsid w:val="00D657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B67FC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B67FC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0E6E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147D55"/>
    <w:rPr>
      <w:rFonts w:asciiTheme="majorHAnsi" w:eastAsiaTheme="majorEastAsia" w:hAnsiTheme="majorHAnsi" w:cstheme="majorBidi"/>
      <w:b/>
      <w:bCs/>
      <w:szCs w:val="24"/>
      <w:lang w:val="es-ES"/>
    </w:rPr>
  </w:style>
  <w:style w:type="character" w:customStyle="1" w:styleId="Heading4Char">
    <w:name w:val="Heading 4 Char"/>
    <w:basedOn w:val="DefaultParagraphFont"/>
    <w:link w:val="Heading4"/>
    <w:uiPriority w:val="9"/>
    <w:rsid w:val="0005725D"/>
    <w:rPr>
      <w:rFonts w:asciiTheme="majorHAnsi" w:eastAsiaTheme="majorEastAsia" w:hAnsiTheme="majorHAnsi" w:cstheme="majorBidi"/>
      <w:b/>
      <w:bCs/>
      <w:iCs/>
      <w:lang w:val="es-ES"/>
    </w:rPr>
  </w:style>
  <w:style w:type="paragraph" w:customStyle="1" w:styleId="paragraphs">
    <w:name w:val="paragraphs"/>
    <w:basedOn w:val="Normal"/>
    <w:link w:val="paragraphsChar"/>
    <w:qFormat/>
    <w:rsid w:val="00A257F3"/>
    <w:pPr>
      <w:numPr>
        <w:numId w:val="42"/>
      </w:numPr>
      <w:spacing w:after="240"/>
      <w:jc w:val="both"/>
    </w:pPr>
    <w:rPr>
      <w:rFonts w:ascii="Cambria" w:eastAsia="Calibri" w:hAnsi="Cambria"/>
      <w:sz w:val="20"/>
      <w:szCs w:val="20"/>
      <w:lang w:val="es-ES_tradnl"/>
    </w:rPr>
  </w:style>
  <w:style w:type="character" w:customStyle="1" w:styleId="paragraphsChar">
    <w:name w:val="paragraphs Char"/>
    <w:link w:val="paragraphs"/>
    <w:rsid w:val="00A257F3"/>
    <w:rPr>
      <w:rFonts w:ascii="Cambria" w:eastAsia="Calibri" w:hAnsi="Cambria"/>
      <w:sz w:val="20"/>
      <w:szCs w:val="20"/>
      <w:lang w:val="es-ES_tradnl"/>
    </w:rPr>
  </w:style>
  <w:style w:type="table" w:styleId="LightShading-Accent3">
    <w:name w:val="Light Shading Accent 3"/>
    <w:basedOn w:val="TableNormal"/>
    <w:uiPriority w:val="60"/>
    <w:rsid w:val="00F0138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ody1">
    <w:name w:val="Body 1"/>
    <w:rsid w:val="00F82001"/>
    <w:pPr>
      <w:outlineLvl w:val="0"/>
    </w:pPr>
    <w:rPr>
      <w:rFonts w:eastAsia="Arial Unicode MS"/>
      <w:color w:val="000000"/>
      <w:sz w:val="24"/>
      <w:szCs w:val="20"/>
      <w:u w:color="000000"/>
    </w:rPr>
  </w:style>
  <w:style w:type="character" w:customStyle="1" w:styleId="ListParagraphChar">
    <w:name w:val="List Paragraph Char"/>
    <w:link w:val="ListParagraph"/>
    <w:uiPriority w:val="99"/>
    <w:locked/>
    <w:rsid w:val="00F82001"/>
    <w:rPr>
      <w:sz w:val="24"/>
      <w:szCs w:val="24"/>
      <w:lang w:val="es-ES"/>
    </w:rPr>
  </w:style>
  <w:style w:type="character" w:customStyle="1" w:styleId="hps">
    <w:name w:val="hps"/>
    <w:rsid w:val="00F82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6652">
      <w:bodyDiv w:val="1"/>
      <w:marLeft w:val="0"/>
      <w:marRight w:val="0"/>
      <w:marTop w:val="0"/>
      <w:marBottom w:val="0"/>
      <w:divBdr>
        <w:top w:val="none" w:sz="0" w:space="0" w:color="auto"/>
        <w:left w:val="none" w:sz="0" w:space="0" w:color="auto"/>
        <w:bottom w:val="none" w:sz="0" w:space="0" w:color="auto"/>
        <w:right w:val="none" w:sz="0" w:space="0" w:color="auto"/>
      </w:divBdr>
    </w:div>
    <w:div w:id="648483063">
      <w:bodyDiv w:val="1"/>
      <w:marLeft w:val="0"/>
      <w:marRight w:val="0"/>
      <w:marTop w:val="0"/>
      <w:marBottom w:val="0"/>
      <w:divBdr>
        <w:top w:val="none" w:sz="0" w:space="0" w:color="auto"/>
        <w:left w:val="none" w:sz="0" w:space="0" w:color="auto"/>
        <w:bottom w:val="none" w:sz="0" w:space="0" w:color="auto"/>
        <w:right w:val="none" w:sz="0" w:space="0" w:color="auto"/>
      </w:divBdr>
    </w:div>
    <w:div w:id="916282468">
      <w:bodyDiv w:val="1"/>
      <w:marLeft w:val="0"/>
      <w:marRight w:val="0"/>
      <w:marTop w:val="0"/>
      <w:marBottom w:val="0"/>
      <w:divBdr>
        <w:top w:val="none" w:sz="0" w:space="0" w:color="auto"/>
        <w:left w:val="none" w:sz="0" w:space="0" w:color="auto"/>
        <w:bottom w:val="none" w:sz="0" w:space="0" w:color="auto"/>
        <w:right w:val="none" w:sz="0" w:space="0" w:color="auto"/>
      </w:divBdr>
    </w:div>
    <w:div w:id="929045288">
      <w:marLeft w:val="0"/>
      <w:marRight w:val="0"/>
      <w:marTop w:val="0"/>
      <w:marBottom w:val="0"/>
      <w:divBdr>
        <w:top w:val="none" w:sz="0" w:space="0" w:color="auto"/>
        <w:left w:val="none" w:sz="0" w:space="0" w:color="auto"/>
        <w:bottom w:val="none" w:sz="0" w:space="0" w:color="auto"/>
        <w:right w:val="none" w:sz="0" w:space="0" w:color="auto"/>
      </w:divBdr>
      <w:divsChild>
        <w:div w:id="929045291">
          <w:marLeft w:val="0"/>
          <w:marRight w:val="0"/>
          <w:marTop w:val="0"/>
          <w:marBottom w:val="0"/>
          <w:divBdr>
            <w:top w:val="none" w:sz="0" w:space="0" w:color="auto"/>
            <w:left w:val="none" w:sz="0" w:space="0" w:color="auto"/>
            <w:bottom w:val="none" w:sz="0" w:space="0" w:color="auto"/>
            <w:right w:val="none" w:sz="0" w:space="0" w:color="auto"/>
          </w:divBdr>
          <w:divsChild>
            <w:div w:id="929045286">
              <w:marLeft w:val="0"/>
              <w:marRight w:val="0"/>
              <w:marTop w:val="0"/>
              <w:marBottom w:val="0"/>
              <w:divBdr>
                <w:top w:val="none" w:sz="0" w:space="0" w:color="auto"/>
                <w:left w:val="none" w:sz="0" w:space="0" w:color="auto"/>
                <w:bottom w:val="none" w:sz="0" w:space="0" w:color="auto"/>
                <w:right w:val="none" w:sz="0" w:space="0" w:color="auto"/>
              </w:divBdr>
              <w:divsChild>
                <w:div w:id="9290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5">
      <w:marLeft w:val="0"/>
      <w:marRight w:val="0"/>
      <w:marTop w:val="0"/>
      <w:marBottom w:val="0"/>
      <w:divBdr>
        <w:top w:val="none" w:sz="0" w:space="0" w:color="auto"/>
        <w:left w:val="none" w:sz="0" w:space="0" w:color="auto"/>
        <w:bottom w:val="none" w:sz="0" w:space="0" w:color="auto"/>
        <w:right w:val="none" w:sz="0" w:space="0" w:color="auto"/>
      </w:divBdr>
      <w:divsChild>
        <w:div w:id="929045285">
          <w:marLeft w:val="0"/>
          <w:marRight w:val="0"/>
          <w:marTop w:val="0"/>
          <w:marBottom w:val="0"/>
          <w:divBdr>
            <w:top w:val="none" w:sz="0" w:space="0" w:color="auto"/>
            <w:left w:val="none" w:sz="0" w:space="0" w:color="auto"/>
            <w:bottom w:val="none" w:sz="0" w:space="0" w:color="auto"/>
            <w:right w:val="none" w:sz="0" w:space="0" w:color="auto"/>
          </w:divBdr>
          <w:divsChild>
            <w:div w:id="929045294">
              <w:marLeft w:val="0"/>
              <w:marRight w:val="0"/>
              <w:marTop w:val="0"/>
              <w:marBottom w:val="0"/>
              <w:divBdr>
                <w:top w:val="none" w:sz="0" w:space="0" w:color="auto"/>
                <w:left w:val="none" w:sz="0" w:space="0" w:color="auto"/>
                <w:bottom w:val="none" w:sz="0" w:space="0" w:color="auto"/>
                <w:right w:val="none" w:sz="0" w:space="0" w:color="auto"/>
              </w:divBdr>
              <w:divsChild>
                <w:div w:id="929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6">
      <w:marLeft w:val="0"/>
      <w:marRight w:val="0"/>
      <w:marTop w:val="0"/>
      <w:marBottom w:val="0"/>
      <w:divBdr>
        <w:top w:val="none" w:sz="0" w:space="0" w:color="auto"/>
        <w:left w:val="none" w:sz="0" w:space="0" w:color="auto"/>
        <w:bottom w:val="none" w:sz="0" w:space="0" w:color="auto"/>
        <w:right w:val="none" w:sz="0" w:space="0" w:color="auto"/>
      </w:divBdr>
      <w:divsChild>
        <w:div w:id="929045289">
          <w:marLeft w:val="0"/>
          <w:marRight w:val="0"/>
          <w:marTop w:val="0"/>
          <w:marBottom w:val="0"/>
          <w:divBdr>
            <w:top w:val="none" w:sz="0" w:space="0" w:color="auto"/>
            <w:left w:val="none" w:sz="0" w:space="0" w:color="auto"/>
            <w:bottom w:val="none" w:sz="0" w:space="0" w:color="auto"/>
            <w:right w:val="none" w:sz="0" w:space="0" w:color="auto"/>
          </w:divBdr>
          <w:divsChild>
            <w:div w:id="929045287">
              <w:marLeft w:val="0"/>
              <w:marRight w:val="0"/>
              <w:marTop w:val="0"/>
              <w:marBottom w:val="0"/>
              <w:divBdr>
                <w:top w:val="none" w:sz="0" w:space="0" w:color="auto"/>
                <w:left w:val="none" w:sz="0" w:space="0" w:color="auto"/>
                <w:bottom w:val="none" w:sz="0" w:space="0" w:color="auto"/>
                <w:right w:val="none" w:sz="0" w:space="0" w:color="auto"/>
              </w:divBdr>
              <w:divsChild>
                <w:div w:id="9290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297">
      <w:marLeft w:val="0"/>
      <w:marRight w:val="0"/>
      <w:marTop w:val="0"/>
      <w:marBottom w:val="0"/>
      <w:divBdr>
        <w:top w:val="none" w:sz="0" w:space="0" w:color="auto"/>
        <w:left w:val="none" w:sz="0" w:space="0" w:color="auto"/>
        <w:bottom w:val="none" w:sz="0" w:space="0" w:color="auto"/>
        <w:right w:val="none" w:sz="0" w:space="0" w:color="auto"/>
      </w:divBdr>
    </w:div>
    <w:div w:id="929045298">
      <w:marLeft w:val="0"/>
      <w:marRight w:val="0"/>
      <w:marTop w:val="0"/>
      <w:marBottom w:val="0"/>
      <w:divBdr>
        <w:top w:val="none" w:sz="0" w:space="0" w:color="auto"/>
        <w:left w:val="none" w:sz="0" w:space="0" w:color="auto"/>
        <w:bottom w:val="none" w:sz="0" w:space="0" w:color="auto"/>
        <w:right w:val="none" w:sz="0" w:space="0" w:color="auto"/>
      </w:divBdr>
    </w:div>
    <w:div w:id="929045299">
      <w:marLeft w:val="0"/>
      <w:marRight w:val="0"/>
      <w:marTop w:val="0"/>
      <w:marBottom w:val="0"/>
      <w:divBdr>
        <w:top w:val="none" w:sz="0" w:space="0" w:color="auto"/>
        <w:left w:val="none" w:sz="0" w:space="0" w:color="auto"/>
        <w:bottom w:val="none" w:sz="0" w:space="0" w:color="auto"/>
        <w:right w:val="none" w:sz="0" w:space="0" w:color="auto"/>
      </w:divBdr>
    </w:div>
    <w:div w:id="929045300">
      <w:marLeft w:val="0"/>
      <w:marRight w:val="0"/>
      <w:marTop w:val="0"/>
      <w:marBottom w:val="0"/>
      <w:divBdr>
        <w:top w:val="none" w:sz="0" w:space="0" w:color="auto"/>
        <w:left w:val="none" w:sz="0" w:space="0" w:color="auto"/>
        <w:bottom w:val="none" w:sz="0" w:space="0" w:color="auto"/>
        <w:right w:val="none" w:sz="0" w:space="0" w:color="auto"/>
      </w:divBdr>
    </w:div>
    <w:div w:id="929045304">
      <w:marLeft w:val="0"/>
      <w:marRight w:val="0"/>
      <w:marTop w:val="0"/>
      <w:marBottom w:val="0"/>
      <w:divBdr>
        <w:top w:val="none" w:sz="0" w:space="0" w:color="auto"/>
        <w:left w:val="none" w:sz="0" w:space="0" w:color="auto"/>
        <w:bottom w:val="none" w:sz="0" w:space="0" w:color="auto"/>
        <w:right w:val="none" w:sz="0" w:space="0" w:color="auto"/>
      </w:divBdr>
      <w:divsChild>
        <w:div w:id="929045301">
          <w:marLeft w:val="0"/>
          <w:marRight w:val="0"/>
          <w:marTop w:val="0"/>
          <w:marBottom w:val="0"/>
          <w:divBdr>
            <w:top w:val="none" w:sz="0" w:space="0" w:color="auto"/>
            <w:left w:val="none" w:sz="0" w:space="0" w:color="auto"/>
            <w:bottom w:val="none" w:sz="0" w:space="0" w:color="auto"/>
            <w:right w:val="none" w:sz="0" w:space="0" w:color="auto"/>
          </w:divBdr>
          <w:divsChild>
            <w:div w:id="929045302">
              <w:marLeft w:val="0"/>
              <w:marRight w:val="0"/>
              <w:marTop w:val="0"/>
              <w:marBottom w:val="0"/>
              <w:divBdr>
                <w:top w:val="none" w:sz="0" w:space="0" w:color="auto"/>
                <w:left w:val="none" w:sz="0" w:space="0" w:color="auto"/>
                <w:bottom w:val="none" w:sz="0" w:space="0" w:color="auto"/>
                <w:right w:val="none" w:sz="0" w:space="0" w:color="auto"/>
              </w:divBdr>
              <w:divsChild>
                <w:div w:id="929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305">
      <w:marLeft w:val="0"/>
      <w:marRight w:val="0"/>
      <w:marTop w:val="0"/>
      <w:marBottom w:val="0"/>
      <w:divBdr>
        <w:top w:val="none" w:sz="0" w:space="0" w:color="auto"/>
        <w:left w:val="none" w:sz="0" w:space="0" w:color="auto"/>
        <w:bottom w:val="none" w:sz="0" w:space="0" w:color="auto"/>
        <w:right w:val="none" w:sz="0" w:space="0" w:color="auto"/>
      </w:divBdr>
    </w:div>
    <w:div w:id="2042585609">
      <w:bodyDiv w:val="1"/>
      <w:marLeft w:val="0"/>
      <w:marRight w:val="0"/>
      <w:marTop w:val="0"/>
      <w:marBottom w:val="0"/>
      <w:divBdr>
        <w:top w:val="none" w:sz="0" w:space="0" w:color="auto"/>
        <w:left w:val="none" w:sz="0" w:space="0" w:color="auto"/>
        <w:bottom w:val="none" w:sz="0" w:space="0" w:color="auto"/>
        <w:right w:val="none" w:sz="0" w:space="0" w:color="auto"/>
      </w:divBdr>
    </w:div>
    <w:div w:id="21381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20858</Words>
  <Characters>118895</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Annual Report 2016 - Chapter I Activities of the IACHR</vt:lpstr>
    </vt:vector>
  </TitlesOfParts>
  <LinksUpToDate>false</LinksUpToDate>
  <CharactersWithSpaces>139475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2016 - Chapter I Activities of the IACHR</dc:title>
  <dc:creator/>
  <cp:lastModifiedBy/>
  <cp:revision>1</cp:revision>
  <cp:lastPrinted>2016-11-21T19:01:00Z</cp:lastPrinted>
  <dcterms:created xsi:type="dcterms:W3CDTF">2017-03-13T00:35:00Z</dcterms:created>
  <dcterms:modified xsi:type="dcterms:W3CDTF">2017-03-27T14:46:00Z</dcterms:modified>
</cp:coreProperties>
</file>