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4BF" w:rsidRDefault="00E004BF" w:rsidP="00B928C1">
      <w:pPr>
        <w:jc w:val="center"/>
        <w:rPr>
          <w:rFonts w:asciiTheme="majorHAnsi" w:hAnsiTheme="majorHAnsi" w:cstheme="minorHAnsi"/>
          <w:b/>
          <w:sz w:val="20"/>
          <w:szCs w:val="20"/>
        </w:rPr>
      </w:pPr>
      <w:bookmarkStart w:id="0" w:name="_GoBack"/>
      <w:bookmarkEnd w:id="0"/>
    </w:p>
    <w:p w:rsidR="00500C8E" w:rsidRDefault="00500C8E" w:rsidP="00B928C1">
      <w:pPr>
        <w:jc w:val="center"/>
        <w:rPr>
          <w:rFonts w:asciiTheme="majorHAnsi" w:hAnsiTheme="majorHAnsi" w:cstheme="minorHAnsi"/>
          <w:b/>
          <w:sz w:val="20"/>
          <w:szCs w:val="20"/>
        </w:rPr>
      </w:pPr>
    </w:p>
    <w:p w:rsidR="00E5419A" w:rsidRPr="00E004BF" w:rsidRDefault="001B166E" w:rsidP="00B928C1">
      <w:pPr>
        <w:jc w:val="center"/>
        <w:rPr>
          <w:rFonts w:asciiTheme="majorHAnsi" w:hAnsiTheme="majorHAnsi" w:cstheme="minorHAnsi"/>
          <w:b/>
          <w:sz w:val="32"/>
          <w:szCs w:val="32"/>
        </w:rPr>
      </w:pPr>
      <w:r>
        <w:rPr>
          <w:rFonts w:asciiTheme="majorHAnsi" w:hAnsiTheme="majorHAnsi" w:cstheme="minorHAnsi"/>
          <w:b/>
          <w:sz w:val="32"/>
          <w:szCs w:val="32"/>
        </w:rPr>
        <w:t>CHAPTER VI</w:t>
      </w:r>
      <w:r w:rsidR="00636992" w:rsidRPr="00E004BF">
        <w:rPr>
          <w:rFonts w:asciiTheme="majorHAnsi" w:hAnsiTheme="majorHAnsi" w:cstheme="minorHAnsi"/>
          <w:b/>
          <w:sz w:val="32"/>
          <w:szCs w:val="32"/>
        </w:rPr>
        <w:br/>
        <w:t>INSTITUTIONAL DEVELOPMENT AND ADMINISTRATIVE AFFAIRS</w:t>
      </w:r>
    </w:p>
    <w:p w:rsidR="003B72D2" w:rsidRPr="009C186B" w:rsidRDefault="003B72D2" w:rsidP="00B928C1">
      <w:pPr>
        <w:jc w:val="both"/>
        <w:rPr>
          <w:rFonts w:asciiTheme="majorHAnsi" w:hAnsiTheme="majorHAnsi" w:cstheme="minorHAnsi"/>
          <w:sz w:val="20"/>
          <w:szCs w:val="20"/>
        </w:rPr>
      </w:pPr>
    </w:p>
    <w:p w:rsidR="003233A2" w:rsidRPr="009C186B" w:rsidRDefault="003233A2" w:rsidP="00B928C1">
      <w:pPr>
        <w:jc w:val="both"/>
        <w:rPr>
          <w:rFonts w:asciiTheme="majorHAnsi" w:hAnsiTheme="majorHAnsi" w:cstheme="minorHAnsi"/>
          <w:sz w:val="20"/>
          <w:szCs w:val="20"/>
        </w:rPr>
      </w:pPr>
    </w:p>
    <w:p w:rsidR="006303E9" w:rsidRPr="009C186B" w:rsidRDefault="006303E9" w:rsidP="00B928C1">
      <w:pPr>
        <w:pStyle w:val="ListParagraph"/>
        <w:numPr>
          <w:ilvl w:val="0"/>
          <w:numId w:val="2"/>
        </w:numPr>
        <w:ind w:left="1440" w:hanging="720"/>
        <w:jc w:val="both"/>
        <w:rPr>
          <w:rFonts w:asciiTheme="majorHAnsi" w:hAnsiTheme="majorHAnsi" w:cstheme="minorHAnsi"/>
          <w:b/>
          <w:sz w:val="20"/>
          <w:szCs w:val="20"/>
        </w:rPr>
      </w:pPr>
      <w:r w:rsidRPr="009C186B">
        <w:rPr>
          <w:rFonts w:asciiTheme="majorHAnsi" w:hAnsiTheme="majorHAnsi" w:cstheme="minorHAnsi"/>
          <w:b/>
          <w:sz w:val="20"/>
          <w:szCs w:val="20"/>
        </w:rPr>
        <w:t>Structure</w:t>
      </w:r>
      <w:r w:rsidR="0056586B" w:rsidRPr="009C186B">
        <w:rPr>
          <w:rFonts w:asciiTheme="majorHAnsi" w:hAnsiTheme="majorHAnsi" w:cstheme="minorHAnsi"/>
          <w:b/>
          <w:sz w:val="20"/>
          <w:szCs w:val="20"/>
        </w:rPr>
        <w:t xml:space="preserve"> and Personnel of the IACHR</w:t>
      </w:r>
    </w:p>
    <w:p w:rsidR="006303E9" w:rsidRPr="009C186B" w:rsidRDefault="006303E9" w:rsidP="00B928C1">
      <w:pPr>
        <w:pStyle w:val="ListParagraph"/>
        <w:ind w:left="1080"/>
        <w:jc w:val="both"/>
        <w:rPr>
          <w:rFonts w:asciiTheme="majorHAnsi" w:hAnsiTheme="majorHAnsi" w:cstheme="minorHAnsi"/>
          <w:sz w:val="20"/>
          <w:szCs w:val="20"/>
          <w:u w:val="single"/>
        </w:rPr>
      </w:pPr>
    </w:p>
    <w:p w:rsidR="00E82218" w:rsidRDefault="00994340" w:rsidP="00873C8D">
      <w:pPr>
        <w:pStyle w:val="ListParagraph"/>
        <w:numPr>
          <w:ilvl w:val="0"/>
          <w:numId w:val="9"/>
        </w:numPr>
        <w:ind w:left="0" w:firstLine="720"/>
        <w:jc w:val="both"/>
        <w:rPr>
          <w:rFonts w:asciiTheme="majorHAnsi" w:hAnsiTheme="majorHAnsi" w:cstheme="minorHAnsi"/>
          <w:sz w:val="20"/>
          <w:szCs w:val="20"/>
        </w:rPr>
      </w:pPr>
      <w:r w:rsidRPr="009C186B">
        <w:rPr>
          <w:rFonts w:asciiTheme="majorHAnsi" w:hAnsiTheme="majorHAnsi" w:cstheme="minorHAnsi"/>
          <w:sz w:val="20"/>
          <w:szCs w:val="20"/>
        </w:rPr>
        <w:t xml:space="preserve">The current structure of the IACHR had its onset in 2008, at which point the </w:t>
      </w:r>
      <w:r w:rsidR="006303E9" w:rsidRPr="009C186B">
        <w:rPr>
          <w:rFonts w:asciiTheme="majorHAnsi" w:hAnsiTheme="majorHAnsi" w:cstheme="minorHAnsi"/>
          <w:sz w:val="20"/>
          <w:szCs w:val="20"/>
        </w:rPr>
        <w:t>Executive Secretariat created the Regional Sections, and the Registry, Court, Protection, and Friendly Settlement Groups, in addition to the Rapporteurships</w:t>
      </w:r>
      <w:r w:rsidR="0082585B" w:rsidRPr="009C186B">
        <w:rPr>
          <w:rFonts w:asciiTheme="majorHAnsi" w:hAnsiTheme="majorHAnsi" w:cstheme="minorHAnsi"/>
          <w:sz w:val="20"/>
          <w:szCs w:val="20"/>
        </w:rPr>
        <w:t>.  Then</w:t>
      </w:r>
      <w:r w:rsidR="006303E9" w:rsidRPr="009C186B">
        <w:rPr>
          <w:rFonts w:asciiTheme="majorHAnsi" w:hAnsiTheme="majorHAnsi" w:cstheme="minorHAnsi"/>
          <w:sz w:val="20"/>
          <w:szCs w:val="20"/>
        </w:rPr>
        <w:t>, in accordance with the guidelines set forth in the 2011-2015 Strategic Plan, the Administrative and Financial Section evolved into the Department of Institutional Development and Administrative Affairs</w:t>
      </w:r>
      <w:r w:rsidR="00E82218">
        <w:rPr>
          <w:rFonts w:asciiTheme="majorHAnsi" w:hAnsiTheme="majorHAnsi" w:cstheme="minorHAnsi"/>
          <w:sz w:val="20"/>
          <w:szCs w:val="20"/>
        </w:rPr>
        <w:t xml:space="preserve"> (“DIAA”)</w:t>
      </w:r>
      <w:r w:rsidR="006303E9" w:rsidRPr="009C186B">
        <w:rPr>
          <w:rFonts w:asciiTheme="majorHAnsi" w:hAnsiTheme="majorHAnsi" w:cstheme="minorHAnsi"/>
          <w:sz w:val="20"/>
          <w:szCs w:val="20"/>
        </w:rPr>
        <w:t>.</w:t>
      </w:r>
      <w:r w:rsidR="00195DC6" w:rsidRPr="009C186B">
        <w:rPr>
          <w:rFonts w:asciiTheme="majorHAnsi" w:hAnsiTheme="majorHAnsi" w:cstheme="minorHAnsi"/>
          <w:sz w:val="20"/>
          <w:szCs w:val="20"/>
        </w:rPr>
        <w:t xml:space="preserve"> </w:t>
      </w:r>
      <w:r w:rsidR="0082585B" w:rsidRPr="009C186B">
        <w:rPr>
          <w:rFonts w:asciiTheme="majorHAnsi" w:hAnsiTheme="majorHAnsi" w:cstheme="minorHAnsi"/>
          <w:sz w:val="20"/>
          <w:szCs w:val="20"/>
        </w:rPr>
        <w:t xml:space="preserve"> </w:t>
      </w:r>
    </w:p>
    <w:p w:rsidR="00E82218" w:rsidRDefault="00E82218" w:rsidP="00E82218">
      <w:pPr>
        <w:pStyle w:val="ListParagraph"/>
        <w:jc w:val="both"/>
        <w:rPr>
          <w:rFonts w:asciiTheme="majorHAnsi" w:hAnsiTheme="majorHAnsi" w:cstheme="minorHAnsi"/>
          <w:sz w:val="20"/>
          <w:szCs w:val="20"/>
        </w:rPr>
      </w:pPr>
    </w:p>
    <w:p w:rsidR="00D467FF" w:rsidRPr="00E82218" w:rsidRDefault="00E82218" w:rsidP="00873C8D">
      <w:pPr>
        <w:pStyle w:val="ListParagraph"/>
        <w:numPr>
          <w:ilvl w:val="0"/>
          <w:numId w:val="9"/>
        </w:numPr>
        <w:ind w:left="0" w:firstLine="720"/>
        <w:jc w:val="both"/>
        <w:rPr>
          <w:rFonts w:asciiTheme="majorHAnsi" w:hAnsiTheme="majorHAnsi" w:cstheme="minorHAnsi"/>
          <w:sz w:val="20"/>
          <w:szCs w:val="20"/>
        </w:rPr>
      </w:pPr>
      <w:r>
        <w:rPr>
          <w:rFonts w:asciiTheme="majorHAnsi" w:hAnsiTheme="majorHAnsi" w:cstheme="minorHAnsi"/>
          <w:sz w:val="20"/>
          <w:szCs w:val="20"/>
        </w:rPr>
        <w:t>D</w:t>
      </w:r>
      <w:r w:rsidR="0082585B" w:rsidRPr="00E82218">
        <w:rPr>
          <w:rFonts w:asciiTheme="majorHAnsi" w:hAnsiTheme="majorHAnsi" w:cstheme="minorHAnsi"/>
          <w:sz w:val="20"/>
          <w:szCs w:val="20"/>
        </w:rPr>
        <w:t xml:space="preserve">uring most of 2014, the management of the IACHR worked in consultation with the Commission to design a new structure that will better address the challenges being faced, in particular that of procedural backlog.  The result was an approval by the Commission during its 153rd Period of Sessions of the proposed new structure of the Executive Secretariat.  The Executive Secretariat is now in the process of fulfilling the required administrative processes to implement this structural change, which includes issuance by the Secretary General of an amendment to Executive Order 08-01 on the structure of the OAS. </w:t>
      </w:r>
    </w:p>
    <w:p w:rsidR="0082585B" w:rsidRPr="009C186B" w:rsidRDefault="0082585B" w:rsidP="00B928C1">
      <w:pPr>
        <w:jc w:val="both"/>
        <w:rPr>
          <w:rFonts w:asciiTheme="majorHAnsi" w:hAnsiTheme="majorHAnsi" w:cstheme="minorHAnsi"/>
          <w:sz w:val="20"/>
          <w:szCs w:val="20"/>
        </w:rPr>
      </w:pPr>
    </w:p>
    <w:p w:rsidR="004F74CC" w:rsidRPr="009C186B" w:rsidRDefault="004F74CC" w:rsidP="00873C8D">
      <w:pPr>
        <w:pStyle w:val="ListParagraph"/>
        <w:numPr>
          <w:ilvl w:val="0"/>
          <w:numId w:val="9"/>
        </w:numPr>
        <w:ind w:left="0" w:firstLine="720"/>
        <w:jc w:val="both"/>
        <w:rPr>
          <w:rFonts w:asciiTheme="majorHAnsi" w:hAnsiTheme="majorHAnsi" w:cstheme="minorHAnsi"/>
          <w:sz w:val="20"/>
          <w:szCs w:val="20"/>
        </w:rPr>
      </w:pPr>
      <w:r w:rsidRPr="009C186B">
        <w:rPr>
          <w:rFonts w:asciiTheme="majorHAnsi" w:hAnsiTheme="majorHAnsi" w:cstheme="minorHAnsi"/>
          <w:sz w:val="20"/>
          <w:szCs w:val="20"/>
        </w:rPr>
        <w:t xml:space="preserve">There were eight competitions opened in 2014.  </w:t>
      </w:r>
      <w:r w:rsidR="00E82218">
        <w:rPr>
          <w:rFonts w:asciiTheme="majorHAnsi" w:hAnsiTheme="majorHAnsi" w:cstheme="minorHAnsi"/>
          <w:sz w:val="20"/>
          <w:szCs w:val="20"/>
        </w:rPr>
        <w:t>As a result of</w:t>
      </w:r>
      <w:r w:rsidRPr="009C186B">
        <w:rPr>
          <w:rFonts w:asciiTheme="majorHAnsi" w:hAnsiTheme="majorHAnsi" w:cstheme="minorHAnsi"/>
          <w:sz w:val="20"/>
          <w:szCs w:val="20"/>
        </w:rPr>
        <w:t xml:space="preserve"> the new policy suggested by DIAA to the Department of Human Resources </w:t>
      </w:r>
      <w:r w:rsidR="00E82218">
        <w:rPr>
          <w:rFonts w:asciiTheme="majorHAnsi" w:hAnsiTheme="majorHAnsi" w:cstheme="minorHAnsi"/>
          <w:sz w:val="20"/>
          <w:szCs w:val="20"/>
        </w:rPr>
        <w:t>that makes the selection process more efficient</w:t>
      </w:r>
      <w:r w:rsidRPr="009C186B">
        <w:rPr>
          <w:rFonts w:asciiTheme="majorHAnsi" w:hAnsiTheme="majorHAnsi" w:cstheme="minorHAnsi"/>
          <w:sz w:val="20"/>
          <w:szCs w:val="20"/>
        </w:rPr>
        <w:t>, we were able to welcome three new staff members from outside the IACHR, and regularize or promote 9 existing staff members with these eight competitions.</w:t>
      </w:r>
    </w:p>
    <w:p w:rsidR="00C227F5" w:rsidRPr="009C186B" w:rsidRDefault="00C227F5" w:rsidP="00B928C1">
      <w:pPr>
        <w:pStyle w:val="ListParagraph"/>
        <w:ind w:left="0"/>
        <w:jc w:val="both"/>
        <w:rPr>
          <w:rFonts w:asciiTheme="majorHAnsi" w:hAnsiTheme="majorHAnsi" w:cstheme="minorHAnsi"/>
          <w:sz w:val="20"/>
          <w:szCs w:val="20"/>
        </w:rPr>
      </w:pPr>
    </w:p>
    <w:p w:rsidR="00C227F5" w:rsidRPr="009C186B" w:rsidRDefault="00C227F5" w:rsidP="00873C8D">
      <w:pPr>
        <w:pStyle w:val="ListParagraph"/>
        <w:numPr>
          <w:ilvl w:val="0"/>
          <w:numId w:val="9"/>
        </w:numPr>
        <w:ind w:left="0" w:firstLine="720"/>
        <w:jc w:val="both"/>
        <w:rPr>
          <w:rFonts w:asciiTheme="majorHAnsi" w:hAnsiTheme="majorHAnsi" w:cstheme="minorHAnsi"/>
          <w:sz w:val="20"/>
          <w:szCs w:val="20"/>
        </w:rPr>
      </w:pPr>
      <w:r w:rsidRPr="009C186B">
        <w:rPr>
          <w:rFonts w:asciiTheme="majorHAnsi" w:hAnsiTheme="majorHAnsi" w:cstheme="minorHAnsi"/>
          <w:sz w:val="20"/>
          <w:szCs w:val="20"/>
        </w:rPr>
        <w:t xml:space="preserve">The following chart shows the total number of staff and consultants by source of financing as of December </w:t>
      </w:r>
      <w:r w:rsidR="004A3BE3" w:rsidRPr="009C186B">
        <w:rPr>
          <w:rFonts w:asciiTheme="majorHAnsi" w:hAnsiTheme="majorHAnsi" w:cstheme="minorHAnsi"/>
          <w:sz w:val="20"/>
          <w:szCs w:val="20"/>
        </w:rPr>
        <w:t>9</w:t>
      </w:r>
      <w:r w:rsidRPr="009C186B">
        <w:rPr>
          <w:rFonts w:asciiTheme="majorHAnsi" w:hAnsiTheme="majorHAnsi" w:cstheme="minorHAnsi"/>
          <w:sz w:val="20"/>
          <w:szCs w:val="20"/>
        </w:rPr>
        <w:t>, 201</w:t>
      </w:r>
      <w:r w:rsidR="004A3BE3" w:rsidRPr="009C186B">
        <w:rPr>
          <w:rFonts w:asciiTheme="majorHAnsi" w:hAnsiTheme="majorHAnsi" w:cstheme="minorHAnsi"/>
          <w:sz w:val="20"/>
          <w:szCs w:val="20"/>
        </w:rPr>
        <w:t>4</w:t>
      </w:r>
      <w:r w:rsidRPr="009C186B">
        <w:rPr>
          <w:rFonts w:asciiTheme="majorHAnsi" w:hAnsiTheme="majorHAnsi" w:cstheme="minorHAnsi"/>
          <w:sz w:val="20"/>
          <w:szCs w:val="20"/>
        </w:rPr>
        <w:t>:</w:t>
      </w:r>
    </w:p>
    <w:p w:rsidR="004A3BE3" w:rsidRPr="009C186B" w:rsidRDefault="004A3BE3" w:rsidP="00B928C1">
      <w:pPr>
        <w:pStyle w:val="ListParagraph"/>
        <w:ind w:left="0"/>
        <w:jc w:val="both"/>
        <w:rPr>
          <w:rFonts w:asciiTheme="majorHAnsi" w:hAnsiTheme="majorHAnsi" w:cstheme="minorHAnsi"/>
          <w:sz w:val="20"/>
          <w:szCs w:val="20"/>
        </w:rPr>
      </w:pPr>
    </w:p>
    <w:p w:rsidR="00C227F5" w:rsidRPr="009C186B" w:rsidRDefault="00936768" w:rsidP="00B928C1">
      <w:pPr>
        <w:pStyle w:val="ListParagraph"/>
        <w:ind w:left="0"/>
        <w:jc w:val="center"/>
        <w:rPr>
          <w:rFonts w:asciiTheme="majorHAnsi" w:hAnsiTheme="majorHAnsi" w:cstheme="minorHAnsi"/>
          <w:sz w:val="20"/>
          <w:szCs w:val="20"/>
        </w:rPr>
      </w:pPr>
      <w:r w:rsidRPr="00936768">
        <w:rPr>
          <w:noProof/>
        </w:rPr>
        <w:drawing>
          <wp:inline distT="0" distB="0" distL="0" distR="0">
            <wp:extent cx="5857875" cy="1628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1628775"/>
                    </a:xfrm>
                    <a:prstGeom prst="rect">
                      <a:avLst/>
                    </a:prstGeom>
                    <a:noFill/>
                    <a:ln>
                      <a:noFill/>
                    </a:ln>
                  </pic:spPr>
                </pic:pic>
              </a:graphicData>
            </a:graphic>
          </wp:inline>
        </w:drawing>
      </w:r>
    </w:p>
    <w:p w:rsidR="004A3BE3" w:rsidRPr="009C186B" w:rsidRDefault="004A3BE3" w:rsidP="00B928C1">
      <w:pPr>
        <w:pStyle w:val="ListParagraph"/>
        <w:ind w:left="0"/>
        <w:jc w:val="both"/>
        <w:rPr>
          <w:rFonts w:asciiTheme="majorHAnsi" w:hAnsiTheme="majorHAnsi" w:cstheme="minorHAnsi"/>
          <w:sz w:val="20"/>
          <w:szCs w:val="20"/>
        </w:rPr>
      </w:pPr>
    </w:p>
    <w:p w:rsidR="00195DC6" w:rsidRPr="009C186B" w:rsidRDefault="00195DC6" w:rsidP="00873C8D">
      <w:pPr>
        <w:pStyle w:val="ListParagraph"/>
        <w:numPr>
          <w:ilvl w:val="0"/>
          <w:numId w:val="9"/>
        </w:numPr>
        <w:ind w:left="0" w:firstLine="720"/>
        <w:jc w:val="both"/>
        <w:rPr>
          <w:rFonts w:asciiTheme="majorHAnsi" w:hAnsiTheme="majorHAnsi" w:cstheme="minorHAnsi"/>
          <w:sz w:val="20"/>
          <w:szCs w:val="20"/>
        </w:rPr>
      </w:pPr>
      <w:r w:rsidRPr="009C186B">
        <w:rPr>
          <w:rFonts w:asciiTheme="majorHAnsi" w:hAnsiTheme="majorHAnsi" w:cstheme="minorHAnsi"/>
          <w:sz w:val="20"/>
          <w:szCs w:val="20"/>
        </w:rPr>
        <w:t>Specifically,</w:t>
      </w:r>
      <w:r w:rsidR="004F74CC" w:rsidRPr="009C186B">
        <w:rPr>
          <w:rFonts w:asciiTheme="majorHAnsi" w:hAnsiTheme="majorHAnsi" w:cstheme="minorHAnsi"/>
          <w:sz w:val="20"/>
          <w:szCs w:val="20"/>
        </w:rPr>
        <w:t xml:space="preserve"> in 2014</w:t>
      </w:r>
      <w:r w:rsidRPr="009C186B">
        <w:rPr>
          <w:rFonts w:asciiTheme="majorHAnsi" w:hAnsiTheme="majorHAnsi" w:cstheme="minorHAnsi"/>
          <w:sz w:val="20"/>
          <w:szCs w:val="20"/>
        </w:rPr>
        <w:t xml:space="preserve"> the IACHR </w:t>
      </w:r>
      <w:r w:rsidR="004F74CC" w:rsidRPr="009C186B">
        <w:rPr>
          <w:rFonts w:asciiTheme="majorHAnsi" w:hAnsiTheme="majorHAnsi" w:cstheme="minorHAnsi"/>
          <w:sz w:val="20"/>
          <w:szCs w:val="20"/>
        </w:rPr>
        <w:t xml:space="preserve">was </w:t>
      </w:r>
      <w:r w:rsidRPr="009C186B">
        <w:rPr>
          <w:rFonts w:asciiTheme="majorHAnsi" w:hAnsiTheme="majorHAnsi" w:cstheme="minorHAnsi"/>
          <w:sz w:val="20"/>
          <w:szCs w:val="20"/>
        </w:rPr>
        <w:t>divided as follows</w:t>
      </w:r>
      <w:r w:rsidR="004F74CC" w:rsidRPr="009C186B">
        <w:rPr>
          <w:rStyle w:val="FootnoteReference"/>
          <w:rFonts w:asciiTheme="majorHAnsi" w:hAnsiTheme="majorHAnsi" w:cstheme="minorHAnsi"/>
          <w:sz w:val="20"/>
          <w:szCs w:val="20"/>
        </w:rPr>
        <w:footnoteReference w:id="1"/>
      </w:r>
      <w:r w:rsidRPr="009C186B">
        <w:rPr>
          <w:rFonts w:asciiTheme="majorHAnsi" w:hAnsiTheme="majorHAnsi" w:cstheme="minorHAnsi"/>
          <w:sz w:val="20"/>
          <w:szCs w:val="20"/>
        </w:rPr>
        <w:t>:</w:t>
      </w:r>
    </w:p>
    <w:p w:rsidR="004A3BE3" w:rsidRPr="009C186B" w:rsidRDefault="004A3BE3" w:rsidP="00B928C1">
      <w:pPr>
        <w:pStyle w:val="ListParagraph"/>
        <w:ind w:left="0"/>
        <w:jc w:val="both"/>
        <w:rPr>
          <w:rFonts w:asciiTheme="majorHAnsi" w:hAnsiTheme="majorHAnsi" w:cstheme="minorHAnsi"/>
          <w:sz w:val="20"/>
          <w:szCs w:val="20"/>
        </w:rPr>
      </w:pPr>
    </w:p>
    <w:p w:rsidR="006824A8" w:rsidRPr="009C186B" w:rsidRDefault="00195DC6" w:rsidP="00873C8D">
      <w:pPr>
        <w:pStyle w:val="ListParagraph"/>
        <w:numPr>
          <w:ilvl w:val="0"/>
          <w:numId w:val="3"/>
        </w:numPr>
        <w:ind w:left="1440" w:hanging="720"/>
        <w:jc w:val="both"/>
        <w:rPr>
          <w:rFonts w:asciiTheme="majorHAnsi" w:hAnsiTheme="majorHAnsi" w:cstheme="minorHAnsi"/>
          <w:sz w:val="20"/>
          <w:szCs w:val="20"/>
        </w:rPr>
      </w:pPr>
      <w:r w:rsidRPr="009C186B">
        <w:rPr>
          <w:rFonts w:asciiTheme="majorHAnsi" w:hAnsiTheme="majorHAnsi" w:cstheme="minorHAnsi"/>
          <w:sz w:val="20"/>
          <w:szCs w:val="20"/>
        </w:rPr>
        <w:t>Office of the Executive Secretary</w:t>
      </w:r>
      <w:r w:rsidR="006824A8" w:rsidRPr="009C186B">
        <w:rPr>
          <w:rFonts w:asciiTheme="majorHAnsi" w:hAnsiTheme="majorHAnsi" w:cstheme="minorHAnsi"/>
          <w:sz w:val="20"/>
          <w:szCs w:val="20"/>
        </w:rPr>
        <w:t xml:space="preserve"> and Assistant Executive Secretary</w:t>
      </w:r>
      <w:r w:rsidRPr="009C186B">
        <w:rPr>
          <w:rFonts w:asciiTheme="majorHAnsi" w:hAnsiTheme="majorHAnsi" w:cstheme="minorHAnsi"/>
          <w:sz w:val="20"/>
          <w:szCs w:val="20"/>
        </w:rPr>
        <w:t xml:space="preserve">, through which service is provided to the Commissioners, and all strategic management of the Commission is administered.  </w:t>
      </w:r>
      <w:r w:rsidR="005F6198" w:rsidRPr="009C186B">
        <w:rPr>
          <w:rFonts w:asciiTheme="majorHAnsi" w:hAnsiTheme="majorHAnsi" w:cstheme="minorHAnsi"/>
          <w:sz w:val="20"/>
          <w:szCs w:val="20"/>
        </w:rPr>
        <w:t xml:space="preserve">It also includes </w:t>
      </w:r>
      <w:r w:rsidR="006824A8" w:rsidRPr="009C186B">
        <w:rPr>
          <w:rFonts w:asciiTheme="majorHAnsi" w:hAnsiTheme="majorHAnsi" w:cstheme="minorHAnsi"/>
          <w:sz w:val="20"/>
          <w:szCs w:val="20"/>
        </w:rPr>
        <w:t>the Press Office, the Technology and Systems Unit, and the Documents Office</w:t>
      </w:r>
      <w:r w:rsidRPr="009C186B">
        <w:rPr>
          <w:rFonts w:asciiTheme="majorHAnsi" w:hAnsiTheme="majorHAnsi" w:cstheme="minorHAnsi"/>
          <w:sz w:val="20"/>
          <w:szCs w:val="20"/>
        </w:rPr>
        <w:t xml:space="preserve">.  </w:t>
      </w:r>
    </w:p>
    <w:p w:rsidR="006824A8" w:rsidRPr="009C186B" w:rsidRDefault="006824A8" w:rsidP="00873C8D">
      <w:pPr>
        <w:pStyle w:val="ListParagraph"/>
        <w:ind w:left="1440" w:hanging="720"/>
        <w:jc w:val="both"/>
        <w:rPr>
          <w:rFonts w:asciiTheme="majorHAnsi" w:hAnsiTheme="majorHAnsi" w:cstheme="minorHAnsi"/>
          <w:sz w:val="20"/>
          <w:szCs w:val="20"/>
        </w:rPr>
      </w:pPr>
    </w:p>
    <w:p w:rsidR="00526F38" w:rsidRPr="009C186B" w:rsidRDefault="006824A8" w:rsidP="00873C8D">
      <w:pPr>
        <w:pStyle w:val="ListParagraph"/>
        <w:numPr>
          <w:ilvl w:val="0"/>
          <w:numId w:val="3"/>
        </w:numPr>
        <w:ind w:left="1440" w:hanging="720"/>
        <w:jc w:val="both"/>
        <w:rPr>
          <w:rFonts w:asciiTheme="majorHAnsi" w:hAnsiTheme="majorHAnsi" w:cstheme="minorHAnsi"/>
          <w:sz w:val="20"/>
          <w:szCs w:val="20"/>
        </w:rPr>
      </w:pPr>
      <w:r w:rsidRPr="009C186B">
        <w:rPr>
          <w:rFonts w:asciiTheme="majorHAnsi" w:hAnsiTheme="majorHAnsi" w:cstheme="minorHAnsi"/>
          <w:sz w:val="20"/>
          <w:szCs w:val="20"/>
        </w:rPr>
        <w:t>The Department of Institutional Development and Administrative Affairs which is in charge of all financial</w:t>
      </w:r>
      <w:r w:rsidR="00526F38" w:rsidRPr="009C186B">
        <w:rPr>
          <w:rFonts w:asciiTheme="majorHAnsi" w:hAnsiTheme="majorHAnsi" w:cstheme="minorHAnsi"/>
          <w:sz w:val="20"/>
          <w:szCs w:val="20"/>
        </w:rPr>
        <w:t xml:space="preserve"> and</w:t>
      </w:r>
      <w:r w:rsidRPr="009C186B">
        <w:rPr>
          <w:rFonts w:asciiTheme="majorHAnsi" w:hAnsiTheme="majorHAnsi" w:cstheme="minorHAnsi"/>
          <w:sz w:val="20"/>
          <w:szCs w:val="20"/>
        </w:rPr>
        <w:t xml:space="preserve"> operative</w:t>
      </w:r>
      <w:r w:rsidR="00526F38" w:rsidRPr="009C186B">
        <w:rPr>
          <w:rFonts w:asciiTheme="majorHAnsi" w:hAnsiTheme="majorHAnsi" w:cstheme="minorHAnsi"/>
          <w:sz w:val="20"/>
          <w:szCs w:val="20"/>
        </w:rPr>
        <w:t xml:space="preserve"> planning and reporting,</w:t>
      </w:r>
      <w:r w:rsidRPr="009C186B">
        <w:rPr>
          <w:rFonts w:asciiTheme="majorHAnsi" w:hAnsiTheme="majorHAnsi" w:cstheme="minorHAnsi"/>
          <w:sz w:val="20"/>
          <w:szCs w:val="20"/>
        </w:rPr>
        <w:t xml:space="preserve"> </w:t>
      </w:r>
      <w:r w:rsidR="00526F38" w:rsidRPr="009C186B">
        <w:rPr>
          <w:rFonts w:asciiTheme="majorHAnsi" w:hAnsiTheme="majorHAnsi" w:cstheme="minorHAnsi"/>
          <w:sz w:val="20"/>
          <w:szCs w:val="20"/>
        </w:rPr>
        <w:t xml:space="preserve">human resource management, and </w:t>
      </w:r>
      <w:r w:rsidRPr="009C186B">
        <w:rPr>
          <w:rFonts w:asciiTheme="majorHAnsi" w:hAnsiTheme="majorHAnsi" w:cstheme="minorHAnsi"/>
          <w:sz w:val="20"/>
          <w:szCs w:val="20"/>
        </w:rPr>
        <w:t>administrative logistics for the Commission</w:t>
      </w:r>
      <w:r w:rsidR="00526F38" w:rsidRPr="009C186B">
        <w:rPr>
          <w:rFonts w:asciiTheme="majorHAnsi" w:hAnsiTheme="majorHAnsi" w:cstheme="minorHAnsi"/>
          <w:sz w:val="20"/>
          <w:szCs w:val="20"/>
        </w:rPr>
        <w:t xml:space="preserve">, as well as oversight of the coordination of </w:t>
      </w:r>
      <w:r w:rsidR="005F6198" w:rsidRPr="009C186B">
        <w:rPr>
          <w:rFonts w:asciiTheme="majorHAnsi" w:hAnsiTheme="majorHAnsi" w:cstheme="minorHAnsi"/>
          <w:sz w:val="20"/>
          <w:szCs w:val="20"/>
        </w:rPr>
        <w:t>all</w:t>
      </w:r>
      <w:r w:rsidR="00526F38" w:rsidRPr="009C186B">
        <w:rPr>
          <w:rFonts w:asciiTheme="majorHAnsi" w:hAnsiTheme="majorHAnsi" w:cstheme="minorHAnsi"/>
          <w:sz w:val="20"/>
          <w:szCs w:val="20"/>
        </w:rPr>
        <w:t xml:space="preserve"> administrative personnel assigned to the regional sections and Rapporteurships</w:t>
      </w:r>
      <w:r w:rsidRPr="009C186B">
        <w:rPr>
          <w:rFonts w:asciiTheme="majorHAnsi" w:hAnsiTheme="majorHAnsi" w:cstheme="minorHAnsi"/>
          <w:sz w:val="20"/>
          <w:szCs w:val="20"/>
        </w:rPr>
        <w:t xml:space="preserve">.  </w:t>
      </w:r>
    </w:p>
    <w:p w:rsidR="005F6198" w:rsidRPr="009C186B" w:rsidRDefault="005F6198" w:rsidP="00873C8D">
      <w:pPr>
        <w:ind w:left="1440" w:hanging="720"/>
        <w:jc w:val="both"/>
        <w:rPr>
          <w:rFonts w:asciiTheme="majorHAnsi" w:hAnsiTheme="majorHAnsi" w:cstheme="minorHAnsi"/>
          <w:sz w:val="20"/>
          <w:szCs w:val="20"/>
        </w:rPr>
      </w:pPr>
    </w:p>
    <w:p w:rsidR="00526F38" w:rsidRPr="009C186B" w:rsidRDefault="00526F38" w:rsidP="00873C8D">
      <w:pPr>
        <w:pStyle w:val="ListParagraph"/>
        <w:numPr>
          <w:ilvl w:val="0"/>
          <w:numId w:val="3"/>
        </w:numPr>
        <w:ind w:left="1440" w:hanging="720"/>
        <w:jc w:val="both"/>
        <w:rPr>
          <w:rFonts w:asciiTheme="majorHAnsi" w:hAnsiTheme="majorHAnsi" w:cstheme="minorHAnsi"/>
          <w:sz w:val="20"/>
          <w:szCs w:val="20"/>
        </w:rPr>
      </w:pPr>
      <w:r w:rsidRPr="009C186B">
        <w:rPr>
          <w:rFonts w:asciiTheme="majorHAnsi" w:hAnsiTheme="majorHAnsi" w:cstheme="minorHAnsi"/>
          <w:sz w:val="20"/>
          <w:szCs w:val="20"/>
        </w:rPr>
        <w:t>Special Groups Section</w:t>
      </w:r>
    </w:p>
    <w:p w:rsidR="00526F38" w:rsidRPr="009C186B" w:rsidRDefault="00526F38" w:rsidP="00B928C1">
      <w:pPr>
        <w:pStyle w:val="ListParagraph"/>
        <w:jc w:val="both"/>
        <w:rPr>
          <w:rFonts w:asciiTheme="majorHAnsi" w:hAnsiTheme="majorHAnsi" w:cstheme="minorHAnsi"/>
          <w:sz w:val="20"/>
          <w:szCs w:val="20"/>
        </w:rPr>
      </w:pPr>
    </w:p>
    <w:p w:rsidR="00526F38" w:rsidRPr="009C186B" w:rsidRDefault="00526F38" w:rsidP="00873C8D">
      <w:pPr>
        <w:pStyle w:val="ListParagraph"/>
        <w:numPr>
          <w:ilvl w:val="1"/>
          <w:numId w:val="3"/>
        </w:numPr>
        <w:ind w:left="2160" w:hanging="630"/>
        <w:jc w:val="both"/>
        <w:rPr>
          <w:rFonts w:asciiTheme="majorHAnsi" w:hAnsiTheme="majorHAnsi" w:cstheme="minorHAnsi"/>
          <w:sz w:val="20"/>
          <w:szCs w:val="20"/>
        </w:rPr>
      </w:pPr>
      <w:r w:rsidRPr="009C186B">
        <w:rPr>
          <w:rFonts w:asciiTheme="majorHAnsi" w:hAnsiTheme="majorHAnsi" w:cstheme="minorHAnsi"/>
          <w:sz w:val="20"/>
          <w:szCs w:val="20"/>
          <w:u w:val="single"/>
        </w:rPr>
        <w:t>Registry</w:t>
      </w:r>
      <w:r w:rsidR="00A11A1F" w:rsidRPr="009C186B">
        <w:rPr>
          <w:rFonts w:asciiTheme="majorHAnsi" w:hAnsiTheme="majorHAnsi" w:cstheme="minorHAnsi"/>
          <w:sz w:val="20"/>
          <w:szCs w:val="20"/>
        </w:rPr>
        <w:t xml:space="preserve">: This Section is tasked with receiving, evaluating, and processing all incoming petitions, </w:t>
      </w:r>
      <w:r w:rsidR="0024516A" w:rsidRPr="009C186B">
        <w:rPr>
          <w:rFonts w:asciiTheme="majorHAnsi" w:hAnsiTheme="majorHAnsi" w:cstheme="minorHAnsi"/>
          <w:sz w:val="20"/>
          <w:szCs w:val="20"/>
        </w:rPr>
        <w:t xml:space="preserve">determining whether based on </w:t>
      </w:r>
      <w:r w:rsidR="0024516A" w:rsidRPr="009C186B">
        <w:rPr>
          <w:rFonts w:asciiTheme="majorHAnsi" w:hAnsiTheme="majorHAnsi" w:cstheme="minorHAnsi"/>
          <w:i/>
          <w:sz w:val="20"/>
          <w:szCs w:val="20"/>
        </w:rPr>
        <w:t xml:space="preserve">prima facie </w:t>
      </w:r>
      <w:r w:rsidR="0024516A" w:rsidRPr="009C186B">
        <w:rPr>
          <w:rFonts w:asciiTheme="majorHAnsi" w:hAnsiTheme="majorHAnsi" w:cstheme="minorHAnsi"/>
          <w:sz w:val="20"/>
          <w:szCs w:val="20"/>
        </w:rPr>
        <w:t xml:space="preserve">analysis, the petitions state facts that could tend to establish a violation of the rights protected by the inter-American human rights instruments, whether domestic remedies have been exhausted, and whether the requirements necessary to file the petition have been satisfied.  </w:t>
      </w:r>
      <w:r w:rsidR="005F6198" w:rsidRPr="009C186B">
        <w:rPr>
          <w:rFonts w:asciiTheme="majorHAnsi" w:hAnsiTheme="majorHAnsi" w:cstheme="minorHAnsi"/>
          <w:sz w:val="20"/>
          <w:szCs w:val="20"/>
        </w:rPr>
        <w:t>T</w:t>
      </w:r>
      <w:r w:rsidR="00A11A1F" w:rsidRPr="009C186B">
        <w:rPr>
          <w:rFonts w:asciiTheme="majorHAnsi" w:hAnsiTheme="majorHAnsi" w:cstheme="minorHAnsi"/>
          <w:sz w:val="20"/>
          <w:szCs w:val="20"/>
        </w:rPr>
        <w:t xml:space="preserve">he Registry Section has oversight of a group of approximately </w:t>
      </w:r>
      <w:r w:rsidR="006D44D0">
        <w:rPr>
          <w:rFonts w:asciiTheme="majorHAnsi" w:hAnsiTheme="majorHAnsi" w:cstheme="minorHAnsi"/>
          <w:sz w:val="20"/>
          <w:szCs w:val="20"/>
        </w:rPr>
        <w:t>20-25</w:t>
      </w:r>
      <w:r w:rsidR="00A11A1F" w:rsidRPr="009C186B">
        <w:rPr>
          <w:rFonts w:asciiTheme="majorHAnsi" w:hAnsiTheme="majorHAnsi" w:cstheme="minorHAnsi"/>
          <w:sz w:val="20"/>
          <w:szCs w:val="20"/>
        </w:rPr>
        <w:t xml:space="preserve"> interns per session.</w:t>
      </w:r>
    </w:p>
    <w:p w:rsidR="0024516A" w:rsidRPr="009C186B" w:rsidRDefault="0024516A" w:rsidP="00873C8D">
      <w:pPr>
        <w:pStyle w:val="ListParagraph"/>
        <w:ind w:left="2160" w:hanging="630"/>
        <w:jc w:val="both"/>
        <w:rPr>
          <w:rFonts w:asciiTheme="majorHAnsi" w:hAnsiTheme="majorHAnsi" w:cstheme="minorHAnsi"/>
          <w:sz w:val="20"/>
          <w:szCs w:val="20"/>
        </w:rPr>
      </w:pPr>
    </w:p>
    <w:p w:rsidR="00A11A1F" w:rsidRPr="009C186B" w:rsidRDefault="00A11A1F" w:rsidP="00873C8D">
      <w:pPr>
        <w:pStyle w:val="ListParagraph"/>
        <w:numPr>
          <w:ilvl w:val="1"/>
          <w:numId w:val="3"/>
        </w:numPr>
        <w:ind w:left="2160" w:hanging="630"/>
        <w:jc w:val="both"/>
        <w:rPr>
          <w:rFonts w:asciiTheme="majorHAnsi" w:hAnsiTheme="majorHAnsi" w:cstheme="minorHAnsi"/>
          <w:sz w:val="20"/>
          <w:szCs w:val="20"/>
        </w:rPr>
      </w:pPr>
      <w:r w:rsidRPr="009C186B">
        <w:rPr>
          <w:rFonts w:asciiTheme="majorHAnsi" w:hAnsiTheme="majorHAnsi" w:cstheme="minorHAnsi"/>
          <w:sz w:val="20"/>
          <w:szCs w:val="20"/>
          <w:u w:val="single"/>
        </w:rPr>
        <w:t>Court Group</w:t>
      </w:r>
      <w:r w:rsidRPr="009C186B">
        <w:rPr>
          <w:rFonts w:asciiTheme="majorHAnsi" w:hAnsiTheme="majorHAnsi" w:cstheme="minorHAnsi"/>
          <w:sz w:val="20"/>
          <w:szCs w:val="20"/>
        </w:rPr>
        <w:t xml:space="preserve">: In charge of the </w:t>
      </w:r>
      <w:r w:rsidR="0024516A" w:rsidRPr="009C186B">
        <w:rPr>
          <w:rFonts w:asciiTheme="majorHAnsi" w:hAnsiTheme="majorHAnsi" w:cstheme="minorHAnsi"/>
          <w:sz w:val="20"/>
          <w:szCs w:val="20"/>
        </w:rPr>
        <w:t>providing management of the cases presented before the Inter-American Court of Human Rights</w:t>
      </w:r>
      <w:r w:rsidR="005F6198" w:rsidRPr="009C186B">
        <w:rPr>
          <w:rFonts w:asciiTheme="majorHAnsi" w:hAnsiTheme="majorHAnsi" w:cstheme="minorHAnsi"/>
          <w:sz w:val="20"/>
          <w:szCs w:val="20"/>
        </w:rPr>
        <w:t>.</w:t>
      </w:r>
    </w:p>
    <w:p w:rsidR="0024516A" w:rsidRPr="009C186B" w:rsidRDefault="0024516A" w:rsidP="00873C8D">
      <w:pPr>
        <w:pStyle w:val="ListParagraph"/>
        <w:ind w:left="2160" w:hanging="630"/>
        <w:jc w:val="both"/>
        <w:rPr>
          <w:rFonts w:asciiTheme="majorHAnsi" w:hAnsiTheme="majorHAnsi" w:cstheme="minorHAnsi"/>
          <w:sz w:val="20"/>
          <w:szCs w:val="20"/>
        </w:rPr>
      </w:pPr>
    </w:p>
    <w:p w:rsidR="0024516A" w:rsidRPr="009C186B" w:rsidRDefault="0024516A" w:rsidP="00873C8D">
      <w:pPr>
        <w:pStyle w:val="ListParagraph"/>
        <w:numPr>
          <w:ilvl w:val="1"/>
          <w:numId w:val="3"/>
        </w:numPr>
        <w:ind w:left="2160" w:hanging="630"/>
        <w:jc w:val="both"/>
        <w:rPr>
          <w:rFonts w:asciiTheme="majorHAnsi" w:hAnsiTheme="majorHAnsi" w:cstheme="minorHAnsi"/>
          <w:sz w:val="20"/>
          <w:szCs w:val="20"/>
        </w:rPr>
      </w:pPr>
      <w:r w:rsidRPr="009C186B">
        <w:rPr>
          <w:rFonts w:asciiTheme="majorHAnsi" w:hAnsiTheme="majorHAnsi" w:cstheme="minorHAnsi"/>
          <w:sz w:val="20"/>
          <w:szCs w:val="20"/>
          <w:u w:val="single"/>
        </w:rPr>
        <w:t>Protection Group</w:t>
      </w:r>
      <w:r w:rsidRPr="009C186B">
        <w:rPr>
          <w:rFonts w:asciiTheme="majorHAnsi" w:hAnsiTheme="majorHAnsi" w:cstheme="minorHAnsi"/>
          <w:sz w:val="20"/>
          <w:szCs w:val="20"/>
        </w:rPr>
        <w:t>:</w:t>
      </w:r>
      <w:r w:rsidR="00771AD7" w:rsidRPr="009C186B">
        <w:rPr>
          <w:rFonts w:asciiTheme="majorHAnsi" w:hAnsiTheme="majorHAnsi" w:cstheme="minorHAnsi"/>
          <w:sz w:val="20"/>
          <w:szCs w:val="20"/>
        </w:rPr>
        <w:t xml:space="preserve"> Is responsible for the evaluation of all new requests for precautionary measures and their follow up. Additionally, the Protection Group prepares evaluations, under the emergency mechanism of Article XIV of the Inter-American Convention on Forced Disappearance of Persons, and evaluates those matters that can be raised to the Inter-American Court of Human Rights through of a request for provisional measures. The Protection Group deals with an annual correspondence flow of more than 2000 communications and receives an increasing number of approximately 400 new requests for precautionary measures per year. </w:t>
      </w:r>
    </w:p>
    <w:p w:rsidR="0024516A" w:rsidRPr="009C186B" w:rsidRDefault="0024516A" w:rsidP="00873C8D">
      <w:pPr>
        <w:pStyle w:val="ListParagraph"/>
        <w:ind w:left="2160" w:hanging="630"/>
        <w:jc w:val="both"/>
        <w:rPr>
          <w:rFonts w:asciiTheme="majorHAnsi" w:hAnsiTheme="majorHAnsi" w:cstheme="minorHAnsi"/>
          <w:sz w:val="20"/>
          <w:szCs w:val="20"/>
        </w:rPr>
      </w:pPr>
    </w:p>
    <w:p w:rsidR="009019D5" w:rsidRPr="009C186B" w:rsidRDefault="0024516A" w:rsidP="00873C8D">
      <w:pPr>
        <w:pStyle w:val="ListParagraph"/>
        <w:numPr>
          <w:ilvl w:val="1"/>
          <w:numId w:val="3"/>
        </w:numPr>
        <w:ind w:left="2160" w:hanging="630"/>
        <w:jc w:val="both"/>
        <w:rPr>
          <w:rFonts w:asciiTheme="majorHAnsi" w:hAnsiTheme="majorHAnsi" w:cstheme="minorHAnsi"/>
          <w:sz w:val="20"/>
          <w:szCs w:val="20"/>
        </w:rPr>
      </w:pPr>
      <w:r w:rsidRPr="009C186B">
        <w:rPr>
          <w:rFonts w:asciiTheme="majorHAnsi" w:hAnsiTheme="majorHAnsi" w:cstheme="minorHAnsi"/>
          <w:sz w:val="20"/>
          <w:szCs w:val="20"/>
          <w:u w:val="single"/>
        </w:rPr>
        <w:t>Friendly Settlement Group</w:t>
      </w:r>
      <w:r w:rsidRPr="009C186B">
        <w:rPr>
          <w:rFonts w:asciiTheme="majorHAnsi" w:hAnsiTheme="majorHAnsi" w:cstheme="minorHAnsi"/>
          <w:sz w:val="20"/>
          <w:szCs w:val="20"/>
        </w:rPr>
        <w:t>:</w:t>
      </w:r>
      <w:r w:rsidR="00771AD7" w:rsidRPr="009C186B">
        <w:rPr>
          <w:rFonts w:asciiTheme="majorHAnsi" w:hAnsiTheme="majorHAnsi" w:cstheme="minorHAnsi"/>
          <w:sz w:val="20"/>
          <w:szCs w:val="20"/>
        </w:rPr>
        <w:t xml:space="preserve"> Provides technical support to the IACHR related to the application of alternative dispute resolution mechanisms, and initially the gathering of best practices.  </w:t>
      </w:r>
    </w:p>
    <w:p w:rsidR="005F6198" w:rsidRPr="009C186B" w:rsidRDefault="005F6198" w:rsidP="00B928C1">
      <w:pPr>
        <w:pStyle w:val="ListParagraph"/>
        <w:ind w:left="1440"/>
        <w:jc w:val="both"/>
        <w:rPr>
          <w:rFonts w:asciiTheme="majorHAnsi" w:hAnsiTheme="majorHAnsi" w:cstheme="minorHAnsi"/>
          <w:sz w:val="20"/>
          <w:szCs w:val="20"/>
        </w:rPr>
      </w:pPr>
    </w:p>
    <w:p w:rsidR="009A7CCE" w:rsidRPr="009C186B" w:rsidRDefault="009A7CCE" w:rsidP="00873C8D">
      <w:pPr>
        <w:pStyle w:val="ListParagraph"/>
        <w:numPr>
          <w:ilvl w:val="0"/>
          <w:numId w:val="3"/>
        </w:numPr>
        <w:ind w:left="1440" w:hanging="720"/>
        <w:jc w:val="both"/>
        <w:rPr>
          <w:rFonts w:asciiTheme="majorHAnsi" w:hAnsiTheme="majorHAnsi" w:cstheme="minorHAnsi"/>
          <w:sz w:val="20"/>
          <w:szCs w:val="20"/>
        </w:rPr>
      </w:pPr>
      <w:r w:rsidRPr="009C186B">
        <w:rPr>
          <w:rFonts w:asciiTheme="majorHAnsi" w:hAnsiTheme="majorHAnsi" w:cstheme="minorHAnsi"/>
          <w:sz w:val="20"/>
          <w:szCs w:val="20"/>
        </w:rPr>
        <w:t>Rapporteurships and Thematic Units</w:t>
      </w:r>
    </w:p>
    <w:p w:rsidR="00873C8D" w:rsidRPr="009C186B" w:rsidRDefault="00873C8D" w:rsidP="00B928C1">
      <w:pPr>
        <w:pStyle w:val="ListParagraph"/>
        <w:jc w:val="both"/>
        <w:rPr>
          <w:rFonts w:asciiTheme="majorHAnsi" w:hAnsiTheme="majorHAnsi" w:cstheme="minorHAnsi"/>
          <w:sz w:val="20"/>
          <w:szCs w:val="20"/>
        </w:rPr>
      </w:pPr>
    </w:p>
    <w:p w:rsidR="009A7CCE" w:rsidRPr="009C186B" w:rsidRDefault="009A7CCE" w:rsidP="00B928C1">
      <w:pPr>
        <w:pStyle w:val="ListParagraph"/>
        <w:jc w:val="both"/>
        <w:rPr>
          <w:rFonts w:asciiTheme="majorHAnsi" w:hAnsiTheme="majorHAnsi" w:cstheme="minorHAnsi"/>
          <w:sz w:val="20"/>
          <w:szCs w:val="20"/>
        </w:rPr>
      </w:pPr>
      <w:r w:rsidRPr="009C186B">
        <w:rPr>
          <w:rFonts w:asciiTheme="majorHAnsi" w:hAnsiTheme="majorHAnsi" w:cstheme="minorHAnsi"/>
          <w:sz w:val="20"/>
          <w:szCs w:val="20"/>
        </w:rPr>
        <w:t xml:space="preserve">The IACHR Rapporteurships are governed by strict guidelines established in its Rules of Procedure and in practices established by the plenary of the Commission, which approves those offices' reports and work plans and evaluates execution of their mandates. Because they are offices specializing in specific subject matters, the IACHR Rules of Procedure detail the procedure by which they are established and how the thematic, country, or special Rapporteurs are elected.  </w:t>
      </w:r>
    </w:p>
    <w:p w:rsidR="00873C8D" w:rsidRPr="009C186B" w:rsidRDefault="00873C8D" w:rsidP="00B928C1">
      <w:pPr>
        <w:pStyle w:val="ListParagraph"/>
        <w:jc w:val="both"/>
        <w:rPr>
          <w:rFonts w:asciiTheme="majorHAnsi" w:hAnsiTheme="majorHAnsi" w:cstheme="minorHAnsi"/>
          <w:sz w:val="20"/>
          <w:szCs w:val="20"/>
        </w:rPr>
      </w:pPr>
    </w:p>
    <w:p w:rsidR="009A7CCE" w:rsidRPr="009C186B" w:rsidRDefault="009A7CCE" w:rsidP="00873C8D">
      <w:pPr>
        <w:pStyle w:val="ListParagraph"/>
        <w:numPr>
          <w:ilvl w:val="0"/>
          <w:numId w:val="9"/>
        </w:numPr>
        <w:ind w:left="0" w:firstLine="720"/>
        <w:jc w:val="both"/>
        <w:rPr>
          <w:rFonts w:asciiTheme="majorHAnsi" w:hAnsiTheme="majorHAnsi" w:cstheme="minorHAnsi"/>
          <w:sz w:val="20"/>
          <w:szCs w:val="20"/>
        </w:rPr>
      </w:pPr>
      <w:r w:rsidRPr="009C186B">
        <w:rPr>
          <w:rFonts w:asciiTheme="majorHAnsi" w:hAnsiTheme="majorHAnsi" w:cstheme="minorHAnsi"/>
          <w:sz w:val="20"/>
          <w:szCs w:val="20"/>
        </w:rPr>
        <w:t>There are currently nine Rapporteurships and one thematic unit.  These are:</w:t>
      </w:r>
    </w:p>
    <w:p w:rsidR="0056586B" w:rsidRPr="009C186B" w:rsidRDefault="0056586B" w:rsidP="00B928C1">
      <w:pPr>
        <w:pStyle w:val="ListParagraph"/>
        <w:jc w:val="both"/>
        <w:rPr>
          <w:rFonts w:asciiTheme="majorHAnsi" w:hAnsiTheme="majorHAnsi" w:cstheme="minorHAnsi"/>
          <w:sz w:val="20"/>
          <w:szCs w:val="20"/>
        </w:rPr>
      </w:pPr>
    </w:p>
    <w:p w:rsidR="009A7CCE" w:rsidRPr="009C186B" w:rsidRDefault="009A7CCE" w:rsidP="00873C8D">
      <w:pPr>
        <w:pStyle w:val="ListParagraph"/>
        <w:numPr>
          <w:ilvl w:val="1"/>
          <w:numId w:val="3"/>
        </w:numPr>
        <w:tabs>
          <w:tab w:val="left" w:pos="2160"/>
        </w:tabs>
        <w:ind w:left="2160" w:hanging="720"/>
        <w:jc w:val="both"/>
        <w:rPr>
          <w:rFonts w:asciiTheme="majorHAnsi" w:hAnsiTheme="majorHAnsi" w:cstheme="minorHAnsi"/>
          <w:sz w:val="20"/>
          <w:szCs w:val="20"/>
        </w:rPr>
      </w:pPr>
      <w:r w:rsidRPr="009C186B">
        <w:rPr>
          <w:rFonts w:asciiTheme="majorHAnsi" w:hAnsiTheme="majorHAnsi" w:cstheme="minorHAnsi"/>
          <w:sz w:val="20"/>
          <w:szCs w:val="20"/>
          <w:u w:val="single"/>
        </w:rPr>
        <w:t>Rapporteurship on the Rights of Indigenous Peoples</w:t>
      </w:r>
      <w:r w:rsidR="0056586B" w:rsidRPr="009C186B">
        <w:rPr>
          <w:rFonts w:asciiTheme="majorHAnsi" w:hAnsiTheme="majorHAnsi" w:cstheme="minorHAnsi"/>
          <w:sz w:val="20"/>
          <w:szCs w:val="20"/>
        </w:rPr>
        <w:t>: created to devote attention to the indigenous peoples of the Americas, who are particularly vulnerable to human rights violations, and to strengthen, promote, and systematize the Commission's own work in this area.</w:t>
      </w:r>
      <w:r w:rsidR="00EE6AF2" w:rsidRPr="009C186B">
        <w:rPr>
          <w:rFonts w:asciiTheme="majorHAnsi" w:hAnsiTheme="majorHAnsi" w:cstheme="minorHAnsi"/>
          <w:sz w:val="20"/>
          <w:szCs w:val="20"/>
        </w:rPr>
        <w:t xml:space="preserve">  </w:t>
      </w:r>
    </w:p>
    <w:p w:rsidR="0056586B" w:rsidRPr="009C186B" w:rsidRDefault="0056586B" w:rsidP="00873C8D">
      <w:pPr>
        <w:pStyle w:val="ListParagraph"/>
        <w:tabs>
          <w:tab w:val="left" w:pos="2160"/>
        </w:tabs>
        <w:ind w:left="2160" w:hanging="720"/>
        <w:jc w:val="both"/>
        <w:rPr>
          <w:rFonts w:asciiTheme="majorHAnsi" w:hAnsiTheme="majorHAnsi" w:cstheme="minorHAnsi"/>
          <w:sz w:val="20"/>
          <w:szCs w:val="20"/>
        </w:rPr>
      </w:pPr>
    </w:p>
    <w:p w:rsidR="009A7CCE" w:rsidRPr="009C186B" w:rsidRDefault="009A7CCE" w:rsidP="00873C8D">
      <w:pPr>
        <w:pStyle w:val="ListParagraph"/>
        <w:numPr>
          <w:ilvl w:val="1"/>
          <w:numId w:val="3"/>
        </w:numPr>
        <w:tabs>
          <w:tab w:val="left" w:pos="2160"/>
        </w:tabs>
        <w:ind w:left="2160" w:hanging="720"/>
        <w:jc w:val="both"/>
        <w:rPr>
          <w:rFonts w:asciiTheme="majorHAnsi" w:hAnsiTheme="majorHAnsi" w:cstheme="minorHAnsi"/>
          <w:sz w:val="20"/>
          <w:szCs w:val="20"/>
        </w:rPr>
      </w:pPr>
      <w:r w:rsidRPr="009C186B">
        <w:rPr>
          <w:rFonts w:asciiTheme="majorHAnsi" w:hAnsiTheme="majorHAnsi" w:cstheme="minorHAnsi"/>
          <w:sz w:val="20"/>
          <w:szCs w:val="20"/>
          <w:u w:val="single"/>
        </w:rPr>
        <w:t>Rapporteurship on the Rights of Women</w:t>
      </w:r>
      <w:r w:rsidR="0056586B" w:rsidRPr="009C186B">
        <w:rPr>
          <w:rFonts w:asciiTheme="majorHAnsi" w:hAnsiTheme="majorHAnsi" w:cstheme="minorHAnsi"/>
          <w:sz w:val="20"/>
          <w:szCs w:val="20"/>
        </w:rPr>
        <w:t xml:space="preserve">: created in 1994 with an initial mandate to review to which degree the legislation and practice from OAS Member States related to the guarantee of the rights of women, and complied with the general obligations of equality and non-discrimination established in the American Convention on Human Rights (hereinafter “American Convention”), and the American Declaration of the Rights and Duties of Man (hereinafter “American Declaration”).  By creating the Rapporteurship, the Commission renewed its commitment to guarantee the full respect of women’s rights in each of the OAS Member States.  The Rapporteurship </w:t>
      </w:r>
      <w:r w:rsidR="0056586B" w:rsidRPr="009C186B">
        <w:rPr>
          <w:rFonts w:asciiTheme="majorHAnsi" w:hAnsiTheme="majorHAnsi" w:cstheme="minorHAnsi"/>
          <w:sz w:val="20"/>
          <w:szCs w:val="20"/>
        </w:rPr>
        <w:lastRenderedPageBreak/>
        <w:t>contributes to a thorough understanding of the need for additional measures to guarantee women’s full exercise of their basic rights, and issues recommendations to promote that States improve their compliance with their priority obligations related to equality, and non-discrimination.  Additionally, the Rapporteurship promotes the application of the mechanisms of the inter-American system of human rights to protect the rights of women; undertakes specialized studies and prepares related reports; and supports the inter-American Commission in offering a response to petitions, and other reports of human rights violations in the region.</w:t>
      </w:r>
      <w:r w:rsidR="00EE6AF2" w:rsidRPr="009C186B">
        <w:rPr>
          <w:rFonts w:asciiTheme="majorHAnsi" w:hAnsiTheme="majorHAnsi" w:cstheme="minorHAnsi"/>
          <w:sz w:val="20"/>
          <w:szCs w:val="20"/>
        </w:rPr>
        <w:t xml:space="preserve">  </w:t>
      </w:r>
    </w:p>
    <w:p w:rsidR="0056586B" w:rsidRPr="009C186B" w:rsidRDefault="0056586B" w:rsidP="00873C8D">
      <w:pPr>
        <w:pStyle w:val="ListParagraph"/>
        <w:tabs>
          <w:tab w:val="left" w:pos="2160"/>
        </w:tabs>
        <w:ind w:left="2160" w:hanging="720"/>
        <w:jc w:val="both"/>
        <w:rPr>
          <w:rFonts w:asciiTheme="majorHAnsi" w:hAnsiTheme="majorHAnsi" w:cstheme="minorHAnsi"/>
          <w:sz w:val="20"/>
          <w:szCs w:val="20"/>
        </w:rPr>
      </w:pPr>
    </w:p>
    <w:p w:rsidR="009A7CCE" w:rsidRPr="009C186B" w:rsidRDefault="009A7CCE" w:rsidP="00873C8D">
      <w:pPr>
        <w:pStyle w:val="ListParagraph"/>
        <w:numPr>
          <w:ilvl w:val="1"/>
          <w:numId w:val="3"/>
        </w:numPr>
        <w:tabs>
          <w:tab w:val="left" w:pos="2160"/>
        </w:tabs>
        <w:ind w:left="2160" w:hanging="720"/>
        <w:jc w:val="both"/>
        <w:rPr>
          <w:rFonts w:asciiTheme="majorHAnsi" w:hAnsiTheme="majorHAnsi" w:cstheme="minorHAnsi"/>
          <w:sz w:val="20"/>
          <w:szCs w:val="20"/>
          <w:u w:val="single"/>
        </w:rPr>
      </w:pPr>
      <w:r w:rsidRPr="009C186B">
        <w:rPr>
          <w:rFonts w:asciiTheme="majorHAnsi" w:hAnsiTheme="majorHAnsi" w:cstheme="minorHAnsi"/>
          <w:sz w:val="20"/>
          <w:szCs w:val="20"/>
          <w:u w:val="single"/>
        </w:rPr>
        <w:t>Rapporteurship on the Rights of Migrants</w:t>
      </w:r>
      <w:r w:rsidR="0056586B" w:rsidRPr="009C186B">
        <w:rPr>
          <w:rFonts w:asciiTheme="majorHAnsi" w:hAnsiTheme="majorHAnsi" w:cstheme="minorHAnsi"/>
          <w:sz w:val="20"/>
          <w:szCs w:val="20"/>
        </w:rPr>
        <w:t>: seeks to promote the respect and guarantee of the rights of migrants and their families, asylum seekers, refugees, complementary protection seekers and beneficiaries, stateless persons, victims of human trafficking, internally displaced persons and other vulnerable groups in the context of human mobility.</w:t>
      </w:r>
      <w:r w:rsidR="00D2255D" w:rsidRPr="009C186B">
        <w:rPr>
          <w:rFonts w:asciiTheme="majorHAnsi" w:hAnsiTheme="majorHAnsi" w:cstheme="minorHAnsi"/>
          <w:sz w:val="20"/>
          <w:szCs w:val="20"/>
        </w:rPr>
        <w:t xml:space="preserve">  </w:t>
      </w:r>
    </w:p>
    <w:p w:rsidR="0056586B" w:rsidRPr="009C186B" w:rsidRDefault="0056586B" w:rsidP="00873C8D">
      <w:pPr>
        <w:tabs>
          <w:tab w:val="left" w:pos="2160"/>
        </w:tabs>
        <w:ind w:left="2160" w:hanging="720"/>
        <w:jc w:val="both"/>
        <w:rPr>
          <w:rFonts w:asciiTheme="majorHAnsi" w:hAnsiTheme="majorHAnsi" w:cstheme="minorHAnsi"/>
          <w:sz w:val="20"/>
          <w:szCs w:val="20"/>
          <w:u w:val="single"/>
        </w:rPr>
      </w:pPr>
    </w:p>
    <w:p w:rsidR="00EE6AF2" w:rsidRPr="009C186B" w:rsidRDefault="009A7CCE" w:rsidP="00873C8D">
      <w:pPr>
        <w:pStyle w:val="ListParagraph"/>
        <w:numPr>
          <w:ilvl w:val="1"/>
          <w:numId w:val="3"/>
        </w:numPr>
        <w:tabs>
          <w:tab w:val="left" w:pos="2160"/>
        </w:tabs>
        <w:ind w:left="2160" w:hanging="720"/>
        <w:jc w:val="both"/>
        <w:rPr>
          <w:rFonts w:asciiTheme="majorHAnsi" w:hAnsiTheme="majorHAnsi" w:cstheme="minorHAnsi"/>
          <w:sz w:val="20"/>
          <w:szCs w:val="20"/>
        </w:rPr>
      </w:pPr>
      <w:r w:rsidRPr="009C186B">
        <w:rPr>
          <w:rFonts w:asciiTheme="majorHAnsi" w:hAnsiTheme="majorHAnsi" w:cstheme="minorHAnsi"/>
          <w:sz w:val="20"/>
          <w:szCs w:val="20"/>
          <w:u w:val="single"/>
        </w:rPr>
        <w:t>Special Rapporteurship for Freedom of Expression</w:t>
      </w:r>
      <w:r w:rsidR="00EE6AF2" w:rsidRPr="009C186B">
        <w:rPr>
          <w:rFonts w:asciiTheme="majorHAnsi" w:hAnsiTheme="majorHAnsi" w:cstheme="minorHAnsi"/>
          <w:sz w:val="20"/>
          <w:szCs w:val="20"/>
        </w:rPr>
        <w:t xml:space="preserve">: The mandate of the Rapporteurship is to promote freedom of expression by preparing annual reports, conducting dissemination activities, issuing alerts, studying norms and practices contrary to international standards in this field, support for the preparation of reports in contentious matters, as well as on precautionary measures related to this subject.  </w:t>
      </w:r>
    </w:p>
    <w:p w:rsidR="005F6198" w:rsidRPr="009C186B" w:rsidRDefault="005F6198" w:rsidP="00873C8D">
      <w:pPr>
        <w:tabs>
          <w:tab w:val="left" w:pos="2160"/>
        </w:tabs>
        <w:ind w:left="2160" w:hanging="720"/>
        <w:jc w:val="both"/>
        <w:rPr>
          <w:rFonts w:asciiTheme="majorHAnsi" w:hAnsiTheme="majorHAnsi" w:cstheme="minorHAnsi"/>
          <w:sz w:val="20"/>
          <w:szCs w:val="20"/>
        </w:rPr>
      </w:pPr>
    </w:p>
    <w:p w:rsidR="00AE07ED" w:rsidRPr="009C186B" w:rsidRDefault="009A7CCE" w:rsidP="00873C8D">
      <w:pPr>
        <w:pStyle w:val="ListParagraph"/>
        <w:numPr>
          <w:ilvl w:val="1"/>
          <w:numId w:val="3"/>
        </w:numPr>
        <w:tabs>
          <w:tab w:val="left" w:pos="2160"/>
        </w:tabs>
        <w:ind w:left="2160" w:hanging="720"/>
        <w:jc w:val="both"/>
        <w:rPr>
          <w:rFonts w:asciiTheme="majorHAnsi" w:hAnsiTheme="majorHAnsi" w:cstheme="minorHAnsi"/>
          <w:sz w:val="20"/>
          <w:szCs w:val="20"/>
          <w:u w:val="single"/>
        </w:rPr>
      </w:pPr>
      <w:r w:rsidRPr="009C186B">
        <w:rPr>
          <w:rFonts w:asciiTheme="majorHAnsi" w:hAnsiTheme="majorHAnsi" w:cstheme="minorHAnsi"/>
          <w:sz w:val="20"/>
          <w:szCs w:val="20"/>
          <w:u w:val="single"/>
        </w:rPr>
        <w:t>Rapporteurship on the Rights of the Child</w:t>
      </w:r>
      <w:r w:rsidR="00AE07ED" w:rsidRPr="009C186B">
        <w:rPr>
          <w:rFonts w:asciiTheme="majorHAnsi" w:hAnsiTheme="majorHAnsi" w:cstheme="minorHAnsi"/>
          <w:sz w:val="20"/>
          <w:szCs w:val="20"/>
        </w:rPr>
        <w:t xml:space="preserve">: cooperates with the analysis and evaluation of the situation of the human rights of children in the Americas. The Rapporteurship provides advice to the IACHR in the proceedings of individual petitions, cases and requests of precautionary and provisional measures which address the rights of the child. Likewise, the Rapporteurship undertakes on site visits in the OAS Member States and prepares studies and publications related to the rights of children. The Rapporteurship shares its expert knowledge and brings international jurisprudence and studies to the Commission’s discussions. The Rapporteurship is also the contact for civil society organizations that work with children’s rights and with children’s organizations.  </w:t>
      </w:r>
    </w:p>
    <w:p w:rsidR="005F6198" w:rsidRPr="009C186B" w:rsidRDefault="005F6198" w:rsidP="00873C8D">
      <w:pPr>
        <w:tabs>
          <w:tab w:val="left" w:pos="2160"/>
        </w:tabs>
        <w:ind w:left="2160" w:hanging="720"/>
        <w:jc w:val="both"/>
        <w:rPr>
          <w:rFonts w:asciiTheme="majorHAnsi" w:hAnsiTheme="majorHAnsi" w:cstheme="minorHAnsi"/>
          <w:sz w:val="20"/>
          <w:szCs w:val="20"/>
          <w:u w:val="single"/>
        </w:rPr>
      </w:pPr>
    </w:p>
    <w:p w:rsidR="009A7CCE" w:rsidRPr="009C186B" w:rsidRDefault="009A7CCE" w:rsidP="00873C8D">
      <w:pPr>
        <w:pStyle w:val="ListParagraph"/>
        <w:numPr>
          <w:ilvl w:val="1"/>
          <w:numId w:val="3"/>
        </w:numPr>
        <w:tabs>
          <w:tab w:val="left" w:pos="2160"/>
        </w:tabs>
        <w:ind w:left="2160" w:hanging="720"/>
        <w:jc w:val="both"/>
        <w:rPr>
          <w:rFonts w:asciiTheme="majorHAnsi" w:hAnsiTheme="majorHAnsi" w:cstheme="minorHAnsi"/>
          <w:sz w:val="20"/>
          <w:szCs w:val="20"/>
          <w:u w:val="single"/>
        </w:rPr>
      </w:pPr>
      <w:r w:rsidRPr="009C186B">
        <w:rPr>
          <w:rFonts w:asciiTheme="majorHAnsi" w:hAnsiTheme="majorHAnsi" w:cstheme="minorHAnsi"/>
          <w:sz w:val="20"/>
          <w:szCs w:val="20"/>
          <w:u w:val="single"/>
        </w:rPr>
        <w:t>Rapporteurship on the Rights of Persons Deprived of Liberty</w:t>
      </w:r>
      <w:r w:rsidR="00BA7642" w:rsidRPr="009C186B">
        <w:rPr>
          <w:rFonts w:asciiTheme="majorHAnsi" w:hAnsiTheme="majorHAnsi" w:cstheme="minorHAnsi"/>
          <w:sz w:val="20"/>
          <w:szCs w:val="20"/>
        </w:rPr>
        <w:t xml:space="preserve">: Its mission is to remain informed, via any reliable information source, about the situation of persons subject to any form of detention or prison in the Member States; conduct visits to OAS Member States for the purpose of compiling information and make recommendations to the States; prepare reports for the Commission on the correctional situation in a particular detention center or country, or at the regional or sub-regional level, along with any recommendations deemed necessary for the Commission; conduct promotional and educational human rights activities; coordinate promotional activity with nongovernmental organizations or other international institutions for the protection of human rights; and take any other action or step deemed necessary to protect persons deprived of liberty, within the mandate of the Inter-American Commission on Human Rights.  </w:t>
      </w:r>
    </w:p>
    <w:p w:rsidR="00BA7642" w:rsidRPr="009C186B" w:rsidRDefault="00BA7642" w:rsidP="00873C8D">
      <w:pPr>
        <w:tabs>
          <w:tab w:val="left" w:pos="2160"/>
        </w:tabs>
        <w:ind w:left="2160" w:hanging="720"/>
        <w:jc w:val="both"/>
        <w:rPr>
          <w:rFonts w:asciiTheme="majorHAnsi" w:hAnsiTheme="majorHAnsi" w:cstheme="minorHAnsi"/>
          <w:sz w:val="20"/>
          <w:szCs w:val="20"/>
          <w:u w:val="single"/>
        </w:rPr>
      </w:pPr>
    </w:p>
    <w:p w:rsidR="00BD586E" w:rsidRPr="009C186B" w:rsidRDefault="00BD586E" w:rsidP="00873C8D">
      <w:pPr>
        <w:pStyle w:val="ListParagraph"/>
        <w:numPr>
          <w:ilvl w:val="1"/>
          <w:numId w:val="3"/>
        </w:numPr>
        <w:tabs>
          <w:tab w:val="left" w:pos="2160"/>
        </w:tabs>
        <w:ind w:left="2160" w:hanging="720"/>
        <w:jc w:val="both"/>
        <w:rPr>
          <w:rFonts w:asciiTheme="majorHAnsi" w:hAnsiTheme="majorHAnsi" w:cstheme="minorHAnsi"/>
          <w:sz w:val="20"/>
          <w:szCs w:val="20"/>
        </w:rPr>
      </w:pPr>
      <w:r w:rsidRPr="009C186B">
        <w:rPr>
          <w:rFonts w:asciiTheme="majorHAnsi" w:hAnsiTheme="majorHAnsi" w:cstheme="minorHAnsi"/>
          <w:sz w:val="20"/>
          <w:szCs w:val="20"/>
          <w:u w:val="single"/>
        </w:rPr>
        <w:t>Rapporteurship on the Rights of Afro-Descendants and against Racial Discrimination</w:t>
      </w:r>
      <w:r w:rsidR="00BA7642" w:rsidRPr="009C186B">
        <w:rPr>
          <w:rFonts w:asciiTheme="majorHAnsi" w:hAnsiTheme="majorHAnsi" w:cstheme="minorHAnsi"/>
          <w:sz w:val="20"/>
          <w:szCs w:val="20"/>
        </w:rPr>
        <w:t xml:space="preserve">:  Its objective is that of stimulating, systematizing, reinforcing and consolidating the action of the Inter-American Commission on the rights of people of African-descendent and racial discrimination.  </w:t>
      </w:r>
    </w:p>
    <w:p w:rsidR="00AE07ED" w:rsidRPr="009C186B" w:rsidRDefault="00AE07ED" w:rsidP="00873C8D">
      <w:pPr>
        <w:pStyle w:val="ListParagraph"/>
        <w:tabs>
          <w:tab w:val="left" w:pos="2160"/>
        </w:tabs>
        <w:ind w:left="2160" w:hanging="720"/>
        <w:jc w:val="both"/>
        <w:rPr>
          <w:rFonts w:asciiTheme="majorHAnsi" w:hAnsiTheme="majorHAnsi" w:cstheme="minorHAnsi"/>
          <w:sz w:val="20"/>
          <w:szCs w:val="20"/>
          <w:u w:val="single"/>
        </w:rPr>
      </w:pPr>
    </w:p>
    <w:p w:rsidR="00BD586E" w:rsidRPr="009C186B" w:rsidRDefault="00BD586E" w:rsidP="00873C8D">
      <w:pPr>
        <w:pStyle w:val="ListParagraph"/>
        <w:numPr>
          <w:ilvl w:val="1"/>
          <w:numId w:val="3"/>
        </w:numPr>
        <w:tabs>
          <w:tab w:val="left" w:pos="2160"/>
        </w:tabs>
        <w:ind w:left="2160" w:hanging="720"/>
        <w:jc w:val="both"/>
        <w:rPr>
          <w:rFonts w:asciiTheme="majorHAnsi" w:hAnsiTheme="majorHAnsi" w:cstheme="minorHAnsi"/>
          <w:sz w:val="20"/>
          <w:szCs w:val="20"/>
        </w:rPr>
      </w:pPr>
      <w:r w:rsidRPr="009C186B">
        <w:rPr>
          <w:rFonts w:asciiTheme="majorHAnsi" w:hAnsiTheme="majorHAnsi" w:cstheme="minorHAnsi"/>
          <w:sz w:val="20"/>
          <w:szCs w:val="20"/>
          <w:u w:val="single"/>
        </w:rPr>
        <w:t>Rapporteurship on Human Rights Defenders</w:t>
      </w:r>
      <w:r w:rsidR="00BA7642" w:rsidRPr="009C186B">
        <w:rPr>
          <w:rFonts w:asciiTheme="majorHAnsi" w:hAnsiTheme="majorHAnsi" w:cstheme="minorHAnsi"/>
          <w:sz w:val="20"/>
          <w:szCs w:val="20"/>
        </w:rPr>
        <w:t>: Through its various tasks, the Office of the Rapporteur closely follows the situation of all persons who work to defend rights in the region, including the situation of justice operators</w:t>
      </w:r>
      <w:r w:rsidR="00450D50" w:rsidRPr="009C186B">
        <w:rPr>
          <w:rFonts w:asciiTheme="majorHAnsi" w:hAnsiTheme="majorHAnsi" w:cstheme="minorHAnsi"/>
          <w:sz w:val="20"/>
          <w:szCs w:val="20"/>
        </w:rPr>
        <w:t>.  In 2014, it incorporate</w:t>
      </w:r>
      <w:r w:rsidR="006D44D0">
        <w:rPr>
          <w:rFonts w:asciiTheme="majorHAnsi" w:hAnsiTheme="majorHAnsi" w:cstheme="minorHAnsi"/>
          <w:sz w:val="20"/>
          <w:szCs w:val="20"/>
        </w:rPr>
        <w:t>d</w:t>
      </w:r>
      <w:r w:rsidR="00450D50" w:rsidRPr="009C186B">
        <w:rPr>
          <w:rFonts w:asciiTheme="majorHAnsi" w:hAnsiTheme="majorHAnsi" w:cstheme="minorHAnsi"/>
          <w:sz w:val="20"/>
          <w:szCs w:val="20"/>
        </w:rPr>
        <w:t xml:space="preserve"> two fellowships of six and nine months</w:t>
      </w:r>
      <w:r w:rsidR="006D44D0">
        <w:rPr>
          <w:rFonts w:asciiTheme="majorHAnsi" w:hAnsiTheme="majorHAnsi" w:cstheme="minorHAnsi"/>
          <w:sz w:val="20"/>
          <w:szCs w:val="20"/>
        </w:rPr>
        <w:t xml:space="preserve"> respectively</w:t>
      </w:r>
      <w:r w:rsidR="00450D50" w:rsidRPr="009C186B">
        <w:rPr>
          <w:rFonts w:asciiTheme="majorHAnsi" w:hAnsiTheme="majorHAnsi" w:cstheme="minorHAnsi"/>
          <w:sz w:val="20"/>
          <w:szCs w:val="20"/>
        </w:rPr>
        <w:t>.</w:t>
      </w:r>
    </w:p>
    <w:p w:rsidR="00AE07ED" w:rsidRPr="009C186B" w:rsidRDefault="00AE07ED" w:rsidP="00873C8D">
      <w:pPr>
        <w:tabs>
          <w:tab w:val="left" w:pos="2160"/>
        </w:tabs>
        <w:ind w:left="2160" w:hanging="720"/>
        <w:jc w:val="both"/>
        <w:rPr>
          <w:rFonts w:asciiTheme="majorHAnsi" w:hAnsiTheme="majorHAnsi" w:cstheme="minorHAnsi"/>
          <w:sz w:val="20"/>
          <w:szCs w:val="20"/>
          <w:u w:val="single"/>
        </w:rPr>
      </w:pPr>
    </w:p>
    <w:p w:rsidR="00AE07ED" w:rsidRPr="009C186B" w:rsidRDefault="00BD586E" w:rsidP="00873C8D">
      <w:pPr>
        <w:pStyle w:val="ListParagraph"/>
        <w:numPr>
          <w:ilvl w:val="1"/>
          <w:numId w:val="3"/>
        </w:numPr>
        <w:tabs>
          <w:tab w:val="left" w:pos="2160"/>
        </w:tabs>
        <w:ind w:left="2160" w:hanging="720"/>
        <w:jc w:val="both"/>
        <w:rPr>
          <w:rFonts w:asciiTheme="majorHAnsi" w:hAnsiTheme="majorHAnsi" w:cstheme="minorHAnsi"/>
          <w:sz w:val="20"/>
          <w:szCs w:val="20"/>
          <w:u w:val="single"/>
        </w:rPr>
      </w:pPr>
      <w:r w:rsidRPr="009C186B">
        <w:rPr>
          <w:rFonts w:asciiTheme="majorHAnsi" w:hAnsiTheme="majorHAnsi" w:cstheme="minorHAnsi"/>
          <w:sz w:val="20"/>
          <w:szCs w:val="20"/>
          <w:u w:val="single"/>
        </w:rPr>
        <w:t>Rapporteurship on the Rights of Lesbian, Gay, Trans, Bisexual and Intersex Persons</w:t>
      </w:r>
      <w:r w:rsidR="00450D50" w:rsidRPr="009C186B">
        <w:rPr>
          <w:rFonts w:asciiTheme="majorHAnsi" w:hAnsiTheme="majorHAnsi" w:cstheme="minorHAnsi"/>
          <w:sz w:val="20"/>
          <w:szCs w:val="20"/>
        </w:rPr>
        <w:t xml:space="preserve">: To monitor the situation of human rights of lesbian, gays, transsexual, bisexual and intersex persons in the region, and to promote respect for their rights.  </w:t>
      </w:r>
    </w:p>
    <w:p w:rsidR="005F6198" w:rsidRPr="009C186B" w:rsidRDefault="005F6198" w:rsidP="00873C8D">
      <w:pPr>
        <w:tabs>
          <w:tab w:val="left" w:pos="2160"/>
        </w:tabs>
        <w:ind w:left="2160" w:hanging="720"/>
        <w:jc w:val="both"/>
        <w:rPr>
          <w:rFonts w:asciiTheme="majorHAnsi" w:hAnsiTheme="majorHAnsi" w:cstheme="minorHAnsi"/>
          <w:sz w:val="20"/>
          <w:szCs w:val="20"/>
          <w:u w:val="single"/>
        </w:rPr>
      </w:pPr>
    </w:p>
    <w:p w:rsidR="0056586B" w:rsidRPr="009C186B" w:rsidRDefault="00BD586E" w:rsidP="00873C8D">
      <w:pPr>
        <w:pStyle w:val="ListParagraph"/>
        <w:numPr>
          <w:ilvl w:val="1"/>
          <w:numId w:val="3"/>
        </w:numPr>
        <w:tabs>
          <w:tab w:val="left" w:pos="2160"/>
        </w:tabs>
        <w:ind w:left="2160" w:hanging="720"/>
        <w:jc w:val="both"/>
        <w:rPr>
          <w:rFonts w:asciiTheme="majorHAnsi" w:hAnsiTheme="majorHAnsi" w:cstheme="minorHAnsi"/>
          <w:sz w:val="20"/>
          <w:szCs w:val="20"/>
        </w:rPr>
      </w:pPr>
      <w:r w:rsidRPr="009C186B">
        <w:rPr>
          <w:rFonts w:asciiTheme="majorHAnsi" w:hAnsiTheme="majorHAnsi" w:cstheme="minorHAnsi"/>
          <w:sz w:val="20"/>
          <w:szCs w:val="20"/>
          <w:u w:val="single"/>
        </w:rPr>
        <w:t>Unit on Economic, Social and Cultural Rights</w:t>
      </w:r>
      <w:r w:rsidR="00A629C6">
        <w:rPr>
          <w:rStyle w:val="FootnoteReference"/>
          <w:rFonts w:asciiTheme="majorHAnsi" w:hAnsiTheme="majorHAnsi" w:cstheme="minorHAnsi"/>
          <w:sz w:val="20"/>
          <w:szCs w:val="20"/>
          <w:u w:val="single"/>
        </w:rPr>
        <w:footnoteReference w:id="2"/>
      </w:r>
      <w:r w:rsidR="00450D50" w:rsidRPr="009C186B">
        <w:rPr>
          <w:rFonts w:asciiTheme="majorHAnsi" w:hAnsiTheme="majorHAnsi" w:cstheme="minorHAnsi"/>
          <w:sz w:val="20"/>
          <w:szCs w:val="20"/>
        </w:rPr>
        <w:t xml:space="preserve">: Cooperate with the analysis and evaluation of the situation of these rights in the Americas, provide advice to the IACHR in the proceedings of individual petitions, cases and requests of precautionary and provisional measures which address these rights, undertake working visits to the OAS Member States and prepare studies and publications, in particular international standards.  </w:t>
      </w:r>
    </w:p>
    <w:p w:rsidR="005F6198" w:rsidRPr="009C186B" w:rsidRDefault="005F6198" w:rsidP="00B928C1">
      <w:pPr>
        <w:pStyle w:val="ListParagraph"/>
        <w:jc w:val="both"/>
        <w:rPr>
          <w:rFonts w:asciiTheme="majorHAnsi" w:hAnsiTheme="majorHAnsi" w:cstheme="minorHAnsi"/>
          <w:sz w:val="20"/>
          <w:szCs w:val="20"/>
        </w:rPr>
      </w:pPr>
    </w:p>
    <w:p w:rsidR="009A7CCE" w:rsidRPr="009C186B" w:rsidRDefault="009A7CCE" w:rsidP="00873C8D">
      <w:pPr>
        <w:pStyle w:val="ListParagraph"/>
        <w:numPr>
          <w:ilvl w:val="0"/>
          <w:numId w:val="3"/>
        </w:numPr>
        <w:ind w:left="1440" w:hanging="720"/>
        <w:jc w:val="both"/>
        <w:rPr>
          <w:rFonts w:asciiTheme="majorHAnsi" w:hAnsiTheme="majorHAnsi" w:cstheme="minorHAnsi"/>
          <w:sz w:val="20"/>
          <w:szCs w:val="20"/>
        </w:rPr>
      </w:pPr>
      <w:r w:rsidRPr="009C186B">
        <w:rPr>
          <w:rFonts w:asciiTheme="majorHAnsi" w:hAnsiTheme="majorHAnsi" w:cstheme="minorHAnsi"/>
          <w:sz w:val="20"/>
          <w:szCs w:val="20"/>
        </w:rPr>
        <w:t>Regional Sections</w:t>
      </w:r>
      <w:r w:rsidR="005576CF" w:rsidRPr="009C186B">
        <w:rPr>
          <w:rFonts w:asciiTheme="majorHAnsi" w:hAnsiTheme="majorHAnsi" w:cstheme="minorHAnsi"/>
          <w:sz w:val="20"/>
          <w:szCs w:val="20"/>
        </w:rPr>
        <w:t xml:space="preserve">:  The IACHR has five regional sections which are responsible for petitions in the admissibility phase and merits cases, follow up of recommendations and of </w:t>
      </w:r>
      <w:r w:rsidR="00C227F5" w:rsidRPr="009C186B">
        <w:rPr>
          <w:rFonts w:asciiTheme="majorHAnsi" w:hAnsiTheme="majorHAnsi" w:cstheme="minorHAnsi"/>
          <w:sz w:val="20"/>
          <w:szCs w:val="20"/>
        </w:rPr>
        <w:t xml:space="preserve">monitoring </w:t>
      </w:r>
      <w:r w:rsidR="005576CF" w:rsidRPr="009C186B">
        <w:rPr>
          <w:rFonts w:asciiTheme="majorHAnsi" w:hAnsiTheme="majorHAnsi" w:cstheme="minorHAnsi"/>
          <w:sz w:val="20"/>
          <w:szCs w:val="20"/>
        </w:rPr>
        <w:t>the human rights situations in the respective geographic areas, which are divided in the following manner:</w:t>
      </w:r>
    </w:p>
    <w:p w:rsidR="00636992" w:rsidRPr="009C186B" w:rsidRDefault="00636992" w:rsidP="00B928C1">
      <w:pPr>
        <w:jc w:val="both"/>
        <w:rPr>
          <w:rFonts w:asciiTheme="majorHAnsi" w:hAnsiTheme="majorHAnsi" w:cstheme="minorHAnsi"/>
          <w:sz w:val="20"/>
          <w:szCs w:val="20"/>
        </w:rPr>
      </w:pPr>
    </w:p>
    <w:p w:rsidR="005576CF" w:rsidRPr="009C186B" w:rsidRDefault="005576CF" w:rsidP="00873C8D">
      <w:pPr>
        <w:pStyle w:val="ListParagraph"/>
        <w:numPr>
          <w:ilvl w:val="1"/>
          <w:numId w:val="3"/>
        </w:numPr>
        <w:ind w:left="2160" w:hanging="720"/>
        <w:jc w:val="both"/>
        <w:rPr>
          <w:rFonts w:asciiTheme="majorHAnsi" w:hAnsiTheme="majorHAnsi" w:cstheme="minorHAnsi"/>
          <w:sz w:val="20"/>
          <w:szCs w:val="20"/>
        </w:rPr>
      </w:pPr>
      <w:r w:rsidRPr="009C186B">
        <w:rPr>
          <w:rFonts w:asciiTheme="majorHAnsi" w:hAnsiTheme="majorHAnsi" w:cstheme="minorHAnsi"/>
          <w:sz w:val="20"/>
          <w:szCs w:val="20"/>
        </w:rPr>
        <w:t>Andina I</w:t>
      </w:r>
    </w:p>
    <w:p w:rsidR="005576CF" w:rsidRPr="009C186B" w:rsidRDefault="005576CF" w:rsidP="00873C8D">
      <w:pPr>
        <w:pStyle w:val="ListParagraph"/>
        <w:numPr>
          <w:ilvl w:val="1"/>
          <w:numId w:val="3"/>
        </w:numPr>
        <w:ind w:left="2160" w:hanging="720"/>
        <w:jc w:val="both"/>
        <w:rPr>
          <w:rFonts w:asciiTheme="majorHAnsi" w:hAnsiTheme="majorHAnsi" w:cstheme="minorHAnsi"/>
          <w:sz w:val="20"/>
          <w:szCs w:val="20"/>
        </w:rPr>
      </w:pPr>
      <w:r w:rsidRPr="009C186B">
        <w:rPr>
          <w:rFonts w:asciiTheme="majorHAnsi" w:hAnsiTheme="majorHAnsi" w:cstheme="minorHAnsi"/>
          <w:sz w:val="20"/>
          <w:szCs w:val="20"/>
        </w:rPr>
        <w:t>Andina II</w:t>
      </w:r>
    </w:p>
    <w:p w:rsidR="005576CF" w:rsidRPr="009C186B" w:rsidRDefault="005576CF" w:rsidP="00873C8D">
      <w:pPr>
        <w:pStyle w:val="ListParagraph"/>
        <w:numPr>
          <w:ilvl w:val="1"/>
          <w:numId w:val="3"/>
        </w:numPr>
        <w:ind w:left="2160" w:hanging="720"/>
        <w:jc w:val="both"/>
        <w:rPr>
          <w:rFonts w:asciiTheme="majorHAnsi" w:hAnsiTheme="majorHAnsi" w:cstheme="minorHAnsi"/>
          <w:sz w:val="20"/>
          <w:szCs w:val="20"/>
        </w:rPr>
      </w:pPr>
      <w:r w:rsidRPr="009C186B">
        <w:rPr>
          <w:rFonts w:asciiTheme="majorHAnsi" w:hAnsiTheme="majorHAnsi" w:cstheme="minorHAnsi"/>
          <w:sz w:val="20"/>
          <w:szCs w:val="20"/>
        </w:rPr>
        <w:t>Cono Sur</w:t>
      </w:r>
    </w:p>
    <w:p w:rsidR="005576CF" w:rsidRPr="009C186B" w:rsidRDefault="005576CF" w:rsidP="00873C8D">
      <w:pPr>
        <w:pStyle w:val="ListParagraph"/>
        <w:numPr>
          <w:ilvl w:val="1"/>
          <w:numId w:val="3"/>
        </w:numPr>
        <w:ind w:left="2160" w:hanging="720"/>
        <w:jc w:val="both"/>
        <w:rPr>
          <w:rFonts w:asciiTheme="majorHAnsi" w:hAnsiTheme="majorHAnsi" w:cstheme="minorHAnsi"/>
          <w:sz w:val="20"/>
          <w:szCs w:val="20"/>
        </w:rPr>
      </w:pPr>
      <w:r w:rsidRPr="009C186B">
        <w:rPr>
          <w:rFonts w:asciiTheme="majorHAnsi" w:hAnsiTheme="majorHAnsi" w:cstheme="minorHAnsi"/>
          <w:sz w:val="20"/>
          <w:szCs w:val="20"/>
        </w:rPr>
        <w:t>Mesoamerica</w:t>
      </w:r>
      <w:r w:rsidR="00DE6EF5" w:rsidRPr="009C186B">
        <w:rPr>
          <w:rFonts w:asciiTheme="majorHAnsi" w:hAnsiTheme="majorHAnsi" w:cstheme="minorHAnsi"/>
          <w:sz w:val="20"/>
          <w:szCs w:val="20"/>
        </w:rPr>
        <w:t xml:space="preserve"> (Mexico, Central America, and Spanish-speaking Caribbean)</w:t>
      </w:r>
    </w:p>
    <w:p w:rsidR="005576CF" w:rsidRPr="009C186B" w:rsidRDefault="005576CF" w:rsidP="00873C8D">
      <w:pPr>
        <w:pStyle w:val="ListParagraph"/>
        <w:numPr>
          <w:ilvl w:val="1"/>
          <w:numId w:val="3"/>
        </w:numPr>
        <w:ind w:left="2160" w:hanging="720"/>
        <w:jc w:val="both"/>
        <w:rPr>
          <w:rFonts w:asciiTheme="majorHAnsi" w:hAnsiTheme="majorHAnsi" w:cstheme="minorHAnsi"/>
          <w:sz w:val="20"/>
          <w:szCs w:val="20"/>
        </w:rPr>
      </w:pPr>
      <w:r w:rsidRPr="009C186B">
        <w:rPr>
          <w:rFonts w:asciiTheme="majorHAnsi" w:hAnsiTheme="majorHAnsi" w:cstheme="minorHAnsi"/>
          <w:sz w:val="20"/>
          <w:szCs w:val="20"/>
        </w:rPr>
        <w:t>EFP</w:t>
      </w:r>
      <w:r w:rsidR="00DE6EF5" w:rsidRPr="009C186B">
        <w:rPr>
          <w:rFonts w:asciiTheme="majorHAnsi" w:hAnsiTheme="majorHAnsi" w:cstheme="minorHAnsi"/>
          <w:sz w:val="20"/>
          <w:szCs w:val="20"/>
        </w:rPr>
        <w:t xml:space="preserve"> (USA, Canada, Brazil, and English- and French-speaking Caribbean)</w:t>
      </w:r>
    </w:p>
    <w:p w:rsidR="0056586B" w:rsidRPr="009C186B" w:rsidRDefault="0056586B" w:rsidP="00B928C1">
      <w:pPr>
        <w:pStyle w:val="ListParagraph"/>
        <w:jc w:val="both"/>
        <w:rPr>
          <w:rFonts w:asciiTheme="majorHAnsi" w:hAnsiTheme="majorHAnsi" w:cstheme="minorHAnsi"/>
          <w:sz w:val="20"/>
          <w:szCs w:val="20"/>
        </w:rPr>
      </w:pPr>
    </w:p>
    <w:p w:rsidR="009019D5" w:rsidRPr="009C186B" w:rsidRDefault="009019D5" w:rsidP="00B928C1">
      <w:pPr>
        <w:pStyle w:val="ListParagraph"/>
        <w:numPr>
          <w:ilvl w:val="0"/>
          <w:numId w:val="2"/>
        </w:numPr>
        <w:ind w:left="1440" w:hanging="720"/>
        <w:jc w:val="both"/>
        <w:rPr>
          <w:rFonts w:asciiTheme="majorHAnsi" w:hAnsiTheme="majorHAnsi" w:cstheme="minorHAnsi"/>
          <w:b/>
          <w:sz w:val="20"/>
          <w:szCs w:val="20"/>
        </w:rPr>
      </w:pPr>
      <w:r w:rsidRPr="009C186B">
        <w:rPr>
          <w:rFonts w:asciiTheme="majorHAnsi" w:hAnsiTheme="majorHAnsi" w:cstheme="minorHAnsi"/>
          <w:b/>
          <w:sz w:val="20"/>
          <w:szCs w:val="20"/>
        </w:rPr>
        <w:t>Financial resources and budget execution</w:t>
      </w:r>
    </w:p>
    <w:p w:rsidR="00A649D4" w:rsidRPr="009C186B" w:rsidRDefault="00A649D4" w:rsidP="00B928C1">
      <w:pPr>
        <w:pStyle w:val="ListParagraph"/>
        <w:ind w:left="1080"/>
        <w:jc w:val="both"/>
        <w:rPr>
          <w:rFonts w:asciiTheme="majorHAnsi" w:hAnsiTheme="majorHAnsi" w:cstheme="minorHAnsi"/>
          <w:sz w:val="20"/>
          <w:szCs w:val="20"/>
          <w:u w:val="single"/>
        </w:rPr>
      </w:pPr>
    </w:p>
    <w:p w:rsidR="00A666D6" w:rsidRPr="009C186B" w:rsidRDefault="00A666D6" w:rsidP="00B928C1">
      <w:pPr>
        <w:pStyle w:val="ListParagraph"/>
        <w:numPr>
          <w:ilvl w:val="0"/>
          <w:numId w:val="5"/>
        </w:numPr>
        <w:ind w:left="1440" w:hanging="720"/>
        <w:jc w:val="both"/>
        <w:rPr>
          <w:rFonts w:asciiTheme="majorHAnsi" w:hAnsiTheme="majorHAnsi" w:cstheme="minorHAnsi"/>
          <w:b/>
          <w:sz w:val="20"/>
          <w:szCs w:val="20"/>
        </w:rPr>
      </w:pPr>
      <w:r w:rsidRPr="009C186B">
        <w:rPr>
          <w:rFonts w:asciiTheme="majorHAnsi" w:hAnsiTheme="majorHAnsi" w:cstheme="minorHAnsi"/>
          <w:b/>
          <w:sz w:val="20"/>
          <w:szCs w:val="20"/>
        </w:rPr>
        <w:t>Regular Fund</w:t>
      </w:r>
    </w:p>
    <w:p w:rsidR="00A666D6" w:rsidRPr="009C186B" w:rsidRDefault="00A666D6" w:rsidP="00B928C1">
      <w:pPr>
        <w:jc w:val="both"/>
        <w:rPr>
          <w:rFonts w:asciiTheme="majorHAnsi" w:hAnsiTheme="majorHAnsi" w:cstheme="minorHAnsi"/>
          <w:sz w:val="20"/>
          <w:szCs w:val="20"/>
        </w:rPr>
      </w:pPr>
    </w:p>
    <w:p w:rsidR="00204E60" w:rsidRDefault="00135AB6" w:rsidP="00204E60">
      <w:pPr>
        <w:pStyle w:val="ListParagraph"/>
        <w:numPr>
          <w:ilvl w:val="0"/>
          <w:numId w:val="9"/>
        </w:numPr>
        <w:ind w:left="0" w:firstLine="720"/>
        <w:jc w:val="both"/>
        <w:rPr>
          <w:rFonts w:asciiTheme="majorHAnsi" w:hAnsiTheme="majorHAnsi" w:cstheme="minorHAnsi"/>
          <w:sz w:val="20"/>
          <w:szCs w:val="20"/>
        </w:rPr>
      </w:pPr>
      <w:r>
        <w:rPr>
          <w:rFonts w:asciiTheme="majorHAnsi" w:hAnsiTheme="majorHAnsi" w:cstheme="minorHAnsi"/>
          <w:sz w:val="20"/>
          <w:szCs w:val="20"/>
        </w:rPr>
        <w:t xml:space="preserve">For fiscal year 2014, the General Assembly approved a budget of </w:t>
      </w:r>
      <w:r w:rsidR="00CC1A20">
        <w:rPr>
          <w:rFonts w:asciiTheme="majorHAnsi" w:hAnsiTheme="majorHAnsi" w:cstheme="minorHAnsi"/>
          <w:sz w:val="20"/>
          <w:szCs w:val="20"/>
        </w:rPr>
        <w:t>$5,354,3</w:t>
      </w:r>
      <w:r w:rsidR="00204E60">
        <w:rPr>
          <w:rFonts w:asciiTheme="majorHAnsi" w:hAnsiTheme="majorHAnsi" w:cstheme="minorHAnsi"/>
          <w:sz w:val="20"/>
          <w:szCs w:val="20"/>
        </w:rPr>
        <w:t>00</w:t>
      </w:r>
      <w:r w:rsidR="00F25BC3">
        <w:rPr>
          <w:rFonts w:asciiTheme="majorHAnsi" w:hAnsiTheme="majorHAnsi" w:cstheme="minorHAnsi"/>
          <w:sz w:val="20"/>
          <w:szCs w:val="20"/>
        </w:rPr>
        <w:t xml:space="preserve"> for the IACHR</w:t>
      </w:r>
      <w:r w:rsidR="00204E60">
        <w:rPr>
          <w:rFonts w:asciiTheme="majorHAnsi" w:hAnsiTheme="majorHAnsi" w:cstheme="minorHAnsi"/>
          <w:sz w:val="20"/>
          <w:szCs w:val="20"/>
        </w:rPr>
        <w:t xml:space="preserve">, of which $4,372,500 </w:t>
      </w:r>
      <w:r w:rsidR="00F25BC3">
        <w:rPr>
          <w:rFonts w:asciiTheme="majorHAnsi" w:hAnsiTheme="majorHAnsi" w:cstheme="minorHAnsi"/>
          <w:sz w:val="20"/>
          <w:szCs w:val="20"/>
        </w:rPr>
        <w:t>is</w:t>
      </w:r>
      <w:r w:rsidR="00CC1A20">
        <w:rPr>
          <w:rFonts w:asciiTheme="majorHAnsi" w:hAnsiTheme="majorHAnsi" w:cstheme="minorHAnsi"/>
          <w:sz w:val="20"/>
          <w:szCs w:val="20"/>
        </w:rPr>
        <w:t xml:space="preserve"> personnel expenses, and $972,800 is set aside for operational expenses.  Although this</w:t>
      </w:r>
      <w:r w:rsidR="00CB43FD" w:rsidRPr="009C186B">
        <w:rPr>
          <w:rFonts w:asciiTheme="majorHAnsi" w:hAnsiTheme="majorHAnsi" w:cstheme="minorHAnsi"/>
          <w:sz w:val="20"/>
          <w:szCs w:val="20"/>
        </w:rPr>
        <w:t xml:space="preserve"> approved budget for 2014 indicated a </w:t>
      </w:r>
      <w:r w:rsidR="00A649D4" w:rsidRPr="009C186B">
        <w:rPr>
          <w:rFonts w:asciiTheme="majorHAnsi" w:hAnsiTheme="majorHAnsi" w:cstheme="minorHAnsi"/>
          <w:sz w:val="20"/>
          <w:szCs w:val="20"/>
        </w:rPr>
        <w:t>modest increase of $</w:t>
      </w:r>
      <w:r w:rsidR="00B97F40">
        <w:rPr>
          <w:rFonts w:asciiTheme="majorHAnsi" w:hAnsiTheme="majorHAnsi" w:cstheme="minorHAnsi"/>
          <w:sz w:val="20"/>
          <w:szCs w:val="20"/>
        </w:rPr>
        <w:t>63,300</w:t>
      </w:r>
      <w:r w:rsidR="00F25BC3">
        <w:rPr>
          <w:rFonts w:asciiTheme="majorHAnsi" w:hAnsiTheme="majorHAnsi" w:cstheme="minorHAnsi"/>
          <w:sz w:val="20"/>
          <w:szCs w:val="20"/>
        </w:rPr>
        <w:t xml:space="preserve"> over 2013</w:t>
      </w:r>
      <w:r w:rsidR="00CB43FD" w:rsidRPr="009C186B">
        <w:rPr>
          <w:rFonts w:asciiTheme="majorHAnsi" w:hAnsiTheme="majorHAnsi" w:cstheme="minorHAnsi"/>
          <w:sz w:val="20"/>
          <w:szCs w:val="20"/>
        </w:rPr>
        <w:t>, the reality is that we began the year with 7 frozen positions amounting to a freezing of approximately $67,200/month in personnel expenses</w:t>
      </w:r>
      <w:r w:rsidR="00A649D4" w:rsidRPr="009C186B">
        <w:rPr>
          <w:rFonts w:asciiTheme="majorHAnsi" w:hAnsiTheme="majorHAnsi" w:cstheme="minorHAnsi"/>
          <w:sz w:val="20"/>
          <w:szCs w:val="20"/>
        </w:rPr>
        <w:t>.</w:t>
      </w:r>
      <w:r w:rsidR="00CB43FD" w:rsidRPr="009C186B">
        <w:rPr>
          <w:rFonts w:asciiTheme="majorHAnsi" w:hAnsiTheme="majorHAnsi" w:cstheme="minorHAnsi"/>
          <w:sz w:val="20"/>
          <w:szCs w:val="20"/>
        </w:rPr>
        <w:t xml:space="preserve">  </w:t>
      </w:r>
      <w:r w:rsidR="005B6841">
        <w:rPr>
          <w:rFonts w:asciiTheme="majorHAnsi" w:hAnsiTheme="majorHAnsi" w:cstheme="minorHAnsi"/>
          <w:sz w:val="20"/>
          <w:szCs w:val="20"/>
        </w:rPr>
        <w:t xml:space="preserve">As the chart below demonstrates, when </w:t>
      </w:r>
      <w:r w:rsidR="00204E60">
        <w:rPr>
          <w:rFonts w:asciiTheme="majorHAnsi" w:hAnsiTheme="majorHAnsi" w:cstheme="minorHAnsi"/>
          <w:sz w:val="20"/>
          <w:szCs w:val="20"/>
        </w:rPr>
        <w:t>one</w:t>
      </w:r>
      <w:r w:rsidR="005B6841">
        <w:rPr>
          <w:rFonts w:asciiTheme="majorHAnsi" w:hAnsiTheme="majorHAnsi" w:cstheme="minorHAnsi"/>
          <w:sz w:val="20"/>
          <w:szCs w:val="20"/>
        </w:rPr>
        <w:t xml:space="preserve"> account</w:t>
      </w:r>
      <w:r w:rsidR="00204E60">
        <w:rPr>
          <w:rFonts w:asciiTheme="majorHAnsi" w:hAnsiTheme="majorHAnsi" w:cstheme="minorHAnsi"/>
          <w:sz w:val="20"/>
          <w:szCs w:val="20"/>
        </w:rPr>
        <w:t>s</w:t>
      </w:r>
      <w:r w:rsidR="005B6841">
        <w:rPr>
          <w:rFonts w:asciiTheme="majorHAnsi" w:hAnsiTheme="majorHAnsi" w:cstheme="minorHAnsi"/>
          <w:sz w:val="20"/>
          <w:szCs w:val="20"/>
        </w:rPr>
        <w:t xml:space="preserve"> for the frozen positions, the net amount provided to the IACHR is considerably lower than the approved </w:t>
      </w:r>
      <w:r w:rsidR="00204E60">
        <w:rPr>
          <w:rFonts w:asciiTheme="majorHAnsi" w:hAnsiTheme="majorHAnsi" w:cstheme="minorHAnsi"/>
          <w:sz w:val="20"/>
          <w:szCs w:val="20"/>
        </w:rPr>
        <w:t>amount, with a difference of over $500,000.</w:t>
      </w:r>
    </w:p>
    <w:p w:rsidR="00D27148" w:rsidRDefault="00D27148" w:rsidP="00D27148">
      <w:pPr>
        <w:pStyle w:val="ListParagraph"/>
        <w:jc w:val="both"/>
        <w:rPr>
          <w:rFonts w:asciiTheme="majorHAnsi" w:hAnsiTheme="majorHAnsi" w:cstheme="minorHAnsi"/>
          <w:sz w:val="20"/>
          <w:szCs w:val="20"/>
        </w:rPr>
      </w:pPr>
    </w:p>
    <w:p w:rsidR="00245260" w:rsidRPr="00204E60" w:rsidRDefault="00D27148" w:rsidP="00A60AB1">
      <w:pPr>
        <w:pStyle w:val="ListParagraph"/>
        <w:jc w:val="center"/>
        <w:rPr>
          <w:rFonts w:asciiTheme="majorHAnsi" w:hAnsiTheme="majorHAnsi" w:cstheme="minorHAnsi"/>
          <w:sz w:val="20"/>
          <w:szCs w:val="20"/>
        </w:rPr>
      </w:pPr>
      <w:r>
        <w:rPr>
          <w:rFonts w:asciiTheme="majorHAnsi" w:hAnsiTheme="majorHAnsi" w:cstheme="minorHAnsi"/>
          <w:noProof/>
          <w:sz w:val="20"/>
          <w:szCs w:val="20"/>
        </w:rPr>
        <w:lastRenderedPageBreak/>
        <w:drawing>
          <wp:inline distT="0" distB="0" distL="0" distR="0" wp14:anchorId="224938FC" wp14:editId="6E1BDEFB">
            <wp:extent cx="4362450" cy="30574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0458" cy="3056043"/>
                    </a:xfrm>
                    <a:prstGeom prst="rect">
                      <a:avLst/>
                    </a:prstGeom>
                    <a:noFill/>
                  </pic:spPr>
                </pic:pic>
              </a:graphicData>
            </a:graphic>
          </wp:inline>
        </w:drawing>
      </w:r>
    </w:p>
    <w:p w:rsidR="00245260" w:rsidRPr="009C186B" w:rsidRDefault="00245260" w:rsidP="00B928C1">
      <w:pPr>
        <w:ind w:firstLine="720"/>
        <w:jc w:val="both"/>
        <w:rPr>
          <w:rFonts w:asciiTheme="majorHAnsi" w:hAnsiTheme="majorHAnsi" w:cstheme="minorHAnsi"/>
          <w:sz w:val="20"/>
          <w:szCs w:val="20"/>
        </w:rPr>
      </w:pPr>
    </w:p>
    <w:p w:rsidR="003F1A71" w:rsidRDefault="005B6841" w:rsidP="00873C8D">
      <w:pPr>
        <w:pStyle w:val="ListParagraph"/>
        <w:numPr>
          <w:ilvl w:val="0"/>
          <w:numId w:val="9"/>
        </w:numPr>
        <w:ind w:left="0" w:firstLine="720"/>
        <w:jc w:val="both"/>
        <w:rPr>
          <w:rFonts w:asciiTheme="majorHAnsi" w:hAnsiTheme="majorHAnsi" w:cstheme="minorHAnsi"/>
          <w:sz w:val="20"/>
          <w:szCs w:val="20"/>
        </w:rPr>
      </w:pPr>
      <w:r w:rsidRPr="009C186B">
        <w:rPr>
          <w:rFonts w:asciiTheme="majorHAnsi" w:hAnsiTheme="majorHAnsi" w:cstheme="minorHAnsi"/>
          <w:sz w:val="20"/>
          <w:szCs w:val="20"/>
        </w:rPr>
        <w:t xml:space="preserve">In May of 2014, the General Secretariat released budgetary authority to allow us to fill only </w:t>
      </w:r>
      <w:r w:rsidR="003F1A71">
        <w:rPr>
          <w:rFonts w:asciiTheme="majorHAnsi" w:hAnsiTheme="majorHAnsi" w:cstheme="minorHAnsi"/>
          <w:sz w:val="20"/>
          <w:szCs w:val="20"/>
        </w:rPr>
        <w:t>four</w:t>
      </w:r>
      <w:r w:rsidRPr="009C186B">
        <w:rPr>
          <w:rFonts w:asciiTheme="majorHAnsi" w:hAnsiTheme="majorHAnsi" w:cstheme="minorHAnsi"/>
          <w:sz w:val="20"/>
          <w:szCs w:val="20"/>
        </w:rPr>
        <w:t xml:space="preserve"> of those seven positions:  two P01-level positions</w:t>
      </w:r>
      <w:r w:rsidR="003F1A71">
        <w:rPr>
          <w:rFonts w:asciiTheme="majorHAnsi" w:hAnsiTheme="majorHAnsi" w:cstheme="minorHAnsi"/>
          <w:sz w:val="20"/>
          <w:szCs w:val="20"/>
        </w:rPr>
        <w:t>, one G06 level position,</w:t>
      </w:r>
      <w:r w:rsidRPr="009C186B">
        <w:rPr>
          <w:rFonts w:asciiTheme="majorHAnsi" w:hAnsiTheme="majorHAnsi" w:cstheme="minorHAnsi"/>
          <w:sz w:val="20"/>
          <w:szCs w:val="20"/>
        </w:rPr>
        <w:t xml:space="preserve"> and one G05-level position.  But as of the close of the year, only the two P01’s </w:t>
      </w:r>
      <w:r w:rsidR="003F1A71">
        <w:rPr>
          <w:rFonts w:asciiTheme="majorHAnsi" w:hAnsiTheme="majorHAnsi" w:cstheme="minorHAnsi"/>
          <w:sz w:val="20"/>
          <w:szCs w:val="20"/>
        </w:rPr>
        <w:t xml:space="preserve">and the G06 </w:t>
      </w:r>
      <w:r w:rsidRPr="009C186B">
        <w:rPr>
          <w:rFonts w:asciiTheme="majorHAnsi" w:hAnsiTheme="majorHAnsi" w:cstheme="minorHAnsi"/>
          <w:sz w:val="20"/>
          <w:szCs w:val="20"/>
        </w:rPr>
        <w:t xml:space="preserve">had been successfully filled.  We are still awaiting conclusion of the G05 competition by the General Secretariat.  </w:t>
      </w:r>
    </w:p>
    <w:p w:rsidR="003F1A71" w:rsidRDefault="003F1A71" w:rsidP="003F1A71">
      <w:pPr>
        <w:pStyle w:val="ListParagraph"/>
        <w:jc w:val="both"/>
        <w:rPr>
          <w:rFonts w:asciiTheme="majorHAnsi" w:hAnsiTheme="majorHAnsi" w:cstheme="minorHAnsi"/>
          <w:sz w:val="20"/>
          <w:szCs w:val="20"/>
        </w:rPr>
      </w:pPr>
    </w:p>
    <w:p w:rsidR="00A666D6" w:rsidRPr="009C186B" w:rsidRDefault="00245260" w:rsidP="00873C8D">
      <w:pPr>
        <w:pStyle w:val="ListParagraph"/>
        <w:numPr>
          <w:ilvl w:val="0"/>
          <w:numId w:val="9"/>
        </w:numPr>
        <w:ind w:left="0" w:firstLine="720"/>
        <w:jc w:val="both"/>
        <w:rPr>
          <w:rFonts w:asciiTheme="majorHAnsi" w:hAnsiTheme="majorHAnsi" w:cstheme="minorHAnsi"/>
          <w:sz w:val="20"/>
          <w:szCs w:val="20"/>
        </w:rPr>
      </w:pPr>
      <w:r w:rsidRPr="009C186B">
        <w:rPr>
          <w:rFonts w:asciiTheme="majorHAnsi" w:hAnsiTheme="majorHAnsi" w:cstheme="minorHAnsi"/>
          <w:sz w:val="20"/>
          <w:szCs w:val="20"/>
        </w:rPr>
        <w:t>Meanwhile, the Executive Secretariat continued to lobby for the reinstatement of the remaining positions, and in October 2014, the</w:t>
      </w:r>
      <w:r w:rsidR="00A666D6" w:rsidRPr="009C186B">
        <w:rPr>
          <w:rFonts w:asciiTheme="majorHAnsi" w:hAnsiTheme="majorHAnsi" w:cstheme="minorHAnsi"/>
          <w:sz w:val="20"/>
          <w:szCs w:val="20"/>
        </w:rPr>
        <w:t xml:space="preserve"> member states </w:t>
      </w:r>
      <w:r w:rsidRPr="009C186B">
        <w:rPr>
          <w:rFonts w:asciiTheme="majorHAnsi" w:hAnsiTheme="majorHAnsi" w:cstheme="minorHAnsi"/>
          <w:sz w:val="20"/>
          <w:szCs w:val="20"/>
        </w:rPr>
        <w:t xml:space="preserve">approved the 2015 budget in which they reinstated </w:t>
      </w:r>
      <w:r w:rsidR="003F1A71">
        <w:rPr>
          <w:rFonts w:asciiTheme="majorHAnsi" w:hAnsiTheme="majorHAnsi" w:cstheme="minorHAnsi"/>
          <w:sz w:val="20"/>
          <w:szCs w:val="20"/>
        </w:rPr>
        <w:t>the three positions that remained frozen</w:t>
      </w:r>
      <w:r w:rsidRPr="009C186B">
        <w:rPr>
          <w:rFonts w:asciiTheme="majorHAnsi" w:hAnsiTheme="majorHAnsi" w:cstheme="minorHAnsi"/>
          <w:sz w:val="20"/>
          <w:szCs w:val="20"/>
        </w:rPr>
        <w:t xml:space="preserve"> (two P04s and one P02)</w:t>
      </w:r>
      <w:r w:rsidR="00A666D6" w:rsidRPr="009C186B">
        <w:rPr>
          <w:rFonts w:asciiTheme="majorHAnsi" w:hAnsiTheme="majorHAnsi" w:cstheme="minorHAnsi"/>
          <w:sz w:val="20"/>
          <w:szCs w:val="20"/>
        </w:rPr>
        <w:t>.</w:t>
      </w:r>
      <w:r w:rsidRPr="009C186B">
        <w:rPr>
          <w:rFonts w:asciiTheme="majorHAnsi" w:hAnsiTheme="majorHAnsi" w:cstheme="minorHAnsi"/>
          <w:sz w:val="20"/>
          <w:szCs w:val="20"/>
        </w:rPr>
        <w:t xml:space="preserve">  Nonetheless, </w:t>
      </w:r>
      <w:r w:rsidR="003F1A71">
        <w:rPr>
          <w:rFonts w:asciiTheme="majorHAnsi" w:hAnsiTheme="majorHAnsi" w:cstheme="minorHAnsi"/>
          <w:sz w:val="20"/>
          <w:szCs w:val="20"/>
        </w:rPr>
        <w:t>a separate</w:t>
      </w:r>
      <w:r w:rsidRPr="009C186B">
        <w:rPr>
          <w:rFonts w:asciiTheme="majorHAnsi" w:hAnsiTheme="majorHAnsi" w:cstheme="minorHAnsi"/>
          <w:sz w:val="20"/>
          <w:szCs w:val="20"/>
        </w:rPr>
        <w:t xml:space="preserve"> P03 position</w:t>
      </w:r>
      <w:r w:rsidR="00545248">
        <w:rPr>
          <w:rFonts w:asciiTheme="majorHAnsi" w:hAnsiTheme="majorHAnsi" w:cstheme="minorHAnsi"/>
          <w:sz w:val="20"/>
          <w:szCs w:val="20"/>
        </w:rPr>
        <w:t>, that</w:t>
      </w:r>
      <w:r w:rsidRPr="009C186B">
        <w:rPr>
          <w:rFonts w:asciiTheme="majorHAnsi" w:hAnsiTheme="majorHAnsi" w:cstheme="minorHAnsi"/>
          <w:sz w:val="20"/>
          <w:szCs w:val="20"/>
        </w:rPr>
        <w:t xml:space="preserve"> of Chief of the Administrative Management Section formerly occupied by</w:t>
      </w:r>
      <w:r w:rsidR="008840EB" w:rsidRPr="009C186B">
        <w:rPr>
          <w:rFonts w:asciiTheme="majorHAnsi" w:hAnsiTheme="majorHAnsi" w:cstheme="minorHAnsi"/>
          <w:sz w:val="20"/>
          <w:szCs w:val="20"/>
        </w:rPr>
        <w:t xml:space="preserve"> recently</w:t>
      </w:r>
      <w:r w:rsidRPr="009C186B">
        <w:rPr>
          <w:rFonts w:asciiTheme="majorHAnsi" w:hAnsiTheme="majorHAnsi" w:cstheme="minorHAnsi"/>
          <w:sz w:val="20"/>
          <w:szCs w:val="20"/>
        </w:rPr>
        <w:t xml:space="preserve"> retired staff member Dania Giraldo</w:t>
      </w:r>
      <w:r w:rsidR="00545248">
        <w:rPr>
          <w:rFonts w:asciiTheme="majorHAnsi" w:hAnsiTheme="majorHAnsi" w:cstheme="minorHAnsi"/>
          <w:sz w:val="20"/>
          <w:szCs w:val="20"/>
        </w:rPr>
        <w:t>,</w:t>
      </w:r>
      <w:r w:rsidRPr="009C186B">
        <w:rPr>
          <w:rFonts w:asciiTheme="majorHAnsi" w:hAnsiTheme="majorHAnsi" w:cstheme="minorHAnsi"/>
          <w:sz w:val="20"/>
          <w:szCs w:val="20"/>
        </w:rPr>
        <w:t xml:space="preserve"> was eliminated.</w:t>
      </w:r>
      <w:r w:rsidR="00A666D6" w:rsidRPr="009C186B">
        <w:rPr>
          <w:rFonts w:asciiTheme="majorHAnsi" w:hAnsiTheme="majorHAnsi" w:cstheme="minorHAnsi"/>
          <w:sz w:val="20"/>
          <w:szCs w:val="20"/>
        </w:rPr>
        <w:t xml:space="preserve"> </w:t>
      </w:r>
      <w:r w:rsidR="0092557A" w:rsidRPr="009C186B">
        <w:rPr>
          <w:rFonts w:asciiTheme="majorHAnsi" w:hAnsiTheme="majorHAnsi" w:cstheme="minorHAnsi"/>
          <w:sz w:val="20"/>
          <w:szCs w:val="20"/>
        </w:rPr>
        <w:t xml:space="preserve"> The net change between the approved 2014 and 2015 budgets, taking into account Regular Fund and ICR appropriations, is of a mere 2%</w:t>
      </w:r>
      <w:r w:rsidR="00545248">
        <w:rPr>
          <w:rFonts w:asciiTheme="majorHAnsi" w:hAnsiTheme="majorHAnsi" w:cstheme="minorHAnsi"/>
          <w:sz w:val="20"/>
          <w:szCs w:val="20"/>
        </w:rPr>
        <w:t xml:space="preserve"> increase</w:t>
      </w:r>
      <w:r w:rsidR="0092557A" w:rsidRPr="009C186B">
        <w:rPr>
          <w:rFonts w:asciiTheme="majorHAnsi" w:hAnsiTheme="majorHAnsi" w:cstheme="minorHAnsi"/>
          <w:sz w:val="20"/>
          <w:szCs w:val="20"/>
        </w:rPr>
        <w:t>.  Considering</w:t>
      </w:r>
      <w:r w:rsidR="00C86FC0" w:rsidRPr="009C186B">
        <w:rPr>
          <w:rFonts w:asciiTheme="majorHAnsi" w:hAnsiTheme="majorHAnsi" w:cstheme="minorHAnsi"/>
          <w:sz w:val="20"/>
          <w:szCs w:val="20"/>
        </w:rPr>
        <w:t xml:space="preserve"> however</w:t>
      </w:r>
      <w:r w:rsidR="0092557A" w:rsidRPr="009C186B">
        <w:rPr>
          <w:rFonts w:asciiTheme="majorHAnsi" w:hAnsiTheme="majorHAnsi" w:cstheme="minorHAnsi"/>
          <w:sz w:val="20"/>
          <w:szCs w:val="20"/>
        </w:rPr>
        <w:t xml:space="preserve"> that the net increase to the Regular Fund budget between 2014 and 2015 was </w:t>
      </w:r>
      <w:r w:rsidR="008840EB" w:rsidRPr="009C186B">
        <w:rPr>
          <w:rFonts w:asciiTheme="majorHAnsi" w:hAnsiTheme="majorHAnsi" w:cstheme="minorHAnsi"/>
          <w:sz w:val="20"/>
          <w:szCs w:val="20"/>
        </w:rPr>
        <w:t>only</w:t>
      </w:r>
      <w:r w:rsidR="0092557A" w:rsidRPr="009C186B">
        <w:rPr>
          <w:rFonts w:asciiTheme="majorHAnsi" w:hAnsiTheme="majorHAnsi" w:cstheme="minorHAnsi"/>
          <w:sz w:val="20"/>
          <w:szCs w:val="20"/>
        </w:rPr>
        <w:t xml:space="preserve"> </w:t>
      </w:r>
      <w:r w:rsidR="00C86FC0" w:rsidRPr="009C186B">
        <w:rPr>
          <w:rFonts w:asciiTheme="majorHAnsi" w:hAnsiTheme="majorHAnsi" w:cstheme="minorHAnsi"/>
          <w:sz w:val="20"/>
          <w:szCs w:val="20"/>
        </w:rPr>
        <w:t>1.5%, this represents an equitable increase to the Executive Secretariat</w:t>
      </w:r>
      <w:r w:rsidR="003F1A71">
        <w:rPr>
          <w:rFonts w:asciiTheme="majorHAnsi" w:hAnsiTheme="majorHAnsi" w:cstheme="minorHAnsi"/>
          <w:sz w:val="20"/>
          <w:szCs w:val="20"/>
        </w:rPr>
        <w:t xml:space="preserve"> of the IACHR</w:t>
      </w:r>
      <w:r w:rsidR="00C86FC0" w:rsidRPr="009C186B">
        <w:rPr>
          <w:rFonts w:asciiTheme="majorHAnsi" w:hAnsiTheme="majorHAnsi" w:cstheme="minorHAnsi"/>
          <w:sz w:val="20"/>
          <w:szCs w:val="20"/>
        </w:rPr>
        <w:t>.</w:t>
      </w:r>
      <w:r w:rsidR="00545248">
        <w:rPr>
          <w:rStyle w:val="FootnoteReference"/>
          <w:rFonts w:asciiTheme="majorHAnsi" w:hAnsiTheme="majorHAnsi" w:cstheme="minorHAnsi"/>
          <w:sz w:val="20"/>
          <w:szCs w:val="20"/>
        </w:rPr>
        <w:footnoteReference w:id="3"/>
      </w:r>
    </w:p>
    <w:p w:rsidR="00D70915" w:rsidRPr="009C186B" w:rsidRDefault="00D70915" w:rsidP="00B928C1">
      <w:pPr>
        <w:ind w:firstLine="720"/>
        <w:jc w:val="both"/>
        <w:rPr>
          <w:rFonts w:asciiTheme="majorHAnsi" w:hAnsiTheme="majorHAnsi" w:cstheme="minorHAnsi"/>
          <w:sz w:val="20"/>
          <w:szCs w:val="20"/>
        </w:rPr>
      </w:pPr>
    </w:p>
    <w:p w:rsidR="00A666D6" w:rsidRPr="009C186B" w:rsidRDefault="00A666D6" w:rsidP="00B928C1">
      <w:pPr>
        <w:pStyle w:val="ListParagraph"/>
        <w:ind w:left="0"/>
        <w:jc w:val="both"/>
        <w:rPr>
          <w:rFonts w:asciiTheme="majorHAnsi" w:hAnsiTheme="majorHAnsi" w:cstheme="minorHAnsi"/>
          <w:sz w:val="20"/>
          <w:szCs w:val="20"/>
        </w:rPr>
      </w:pPr>
    </w:p>
    <w:p w:rsidR="003C6602" w:rsidRPr="009C186B" w:rsidRDefault="00A666D6" w:rsidP="00873C8D">
      <w:pPr>
        <w:pStyle w:val="ListParagraph"/>
        <w:numPr>
          <w:ilvl w:val="0"/>
          <w:numId w:val="9"/>
        </w:numPr>
        <w:ind w:left="0" w:firstLine="720"/>
        <w:jc w:val="both"/>
        <w:rPr>
          <w:rFonts w:asciiTheme="majorHAnsi" w:hAnsiTheme="majorHAnsi" w:cstheme="minorHAnsi"/>
          <w:sz w:val="20"/>
          <w:szCs w:val="20"/>
        </w:rPr>
      </w:pPr>
      <w:r w:rsidRPr="009C186B">
        <w:rPr>
          <w:rFonts w:asciiTheme="majorHAnsi" w:hAnsiTheme="majorHAnsi" w:cstheme="minorHAnsi"/>
          <w:sz w:val="20"/>
          <w:szCs w:val="20"/>
        </w:rPr>
        <w:t>Regarding execution of its 201</w:t>
      </w:r>
      <w:r w:rsidR="008840EB" w:rsidRPr="009C186B">
        <w:rPr>
          <w:rFonts w:asciiTheme="majorHAnsi" w:hAnsiTheme="majorHAnsi" w:cstheme="minorHAnsi"/>
          <w:sz w:val="20"/>
          <w:szCs w:val="20"/>
        </w:rPr>
        <w:t>4</w:t>
      </w:r>
      <w:r w:rsidRPr="009C186B">
        <w:rPr>
          <w:rFonts w:asciiTheme="majorHAnsi" w:hAnsiTheme="majorHAnsi" w:cstheme="minorHAnsi"/>
          <w:sz w:val="20"/>
          <w:szCs w:val="20"/>
        </w:rPr>
        <w:t xml:space="preserve"> allotment, as of </w:t>
      </w:r>
      <w:r w:rsidR="008840EB" w:rsidRPr="009C186B">
        <w:rPr>
          <w:rFonts w:asciiTheme="majorHAnsi" w:hAnsiTheme="majorHAnsi" w:cstheme="minorHAnsi"/>
          <w:sz w:val="20"/>
          <w:szCs w:val="20"/>
        </w:rPr>
        <w:t>November 30, 2014</w:t>
      </w:r>
      <w:r w:rsidRPr="009C186B">
        <w:rPr>
          <w:rStyle w:val="FootnoteReference"/>
          <w:rFonts w:asciiTheme="majorHAnsi" w:hAnsiTheme="majorHAnsi" w:cstheme="minorHAnsi"/>
          <w:sz w:val="20"/>
          <w:szCs w:val="20"/>
        </w:rPr>
        <w:footnoteReference w:id="4"/>
      </w:r>
      <w:r w:rsidRPr="009C186B">
        <w:rPr>
          <w:rFonts w:asciiTheme="majorHAnsi" w:hAnsiTheme="majorHAnsi" w:cstheme="minorHAnsi"/>
          <w:sz w:val="20"/>
          <w:szCs w:val="20"/>
        </w:rPr>
        <w:t xml:space="preserve">, the IACHR had executed </w:t>
      </w:r>
      <w:r w:rsidR="008840EB" w:rsidRPr="009C186B">
        <w:rPr>
          <w:rFonts w:asciiTheme="majorHAnsi" w:hAnsiTheme="majorHAnsi" w:cstheme="minorHAnsi"/>
          <w:sz w:val="20"/>
          <w:szCs w:val="20"/>
        </w:rPr>
        <w:t>91</w:t>
      </w:r>
      <w:r w:rsidRPr="009C186B">
        <w:rPr>
          <w:rFonts w:asciiTheme="majorHAnsi" w:hAnsiTheme="majorHAnsi" w:cstheme="minorHAnsi"/>
          <w:sz w:val="20"/>
          <w:szCs w:val="20"/>
        </w:rPr>
        <w:t xml:space="preserve">% of its allotment, with </w:t>
      </w:r>
      <w:r w:rsidR="003B1AFE" w:rsidRPr="009C186B">
        <w:rPr>
          <w:rFonts w:asciiTheme="majorHAnsi" w:hAnsiTheme="majorHAnsi" w:cstheme="minorHAnsi"/>
          <w:sz w:val="20"/>
          <w:szCs w:val="20"/>
        </w:rPr>
        <w:t>a</w:t>
      </w:r>
      <w:r w:rsidRPr="009C186B">
        <w:rPr>
          <w:rFonts w:asciiTheme="majorHAnsi" w:hAnsiTheme="majorHAnsi" w:cstheme="minorHAnsi"/>
          <w:sz w:val="20"/>
          <w:szCs w:val="20"/>
        </w:rPr>
        <w:t xml:space="preserve"> balance in the Regular Fund </w:t>
      </w:r>
      <w:r w:rsidR="008840EB" w:rsidRPr="009C186B">
        <w:rPr>
          <w:rFonts w:asciiTheme="majorHAnsi" w:hAnsiTheme="majorHAnsi" w:cstheme="minorHAnsi"/>
          <w:sz w:val="20"/>
          <w:szCs w:val="20"/>
        </w:rPr>
        <w:t>of $428.3</w:t>
      </w:r>
      <w:r w:rsidR="003B1AFE" w:rsidRPr="009C186B">
        <w:rPr>
          <w:rFonts w:asciiTheme="majorHAnsi" w:hAnsiTheme="majorHAnsi" w:cstheme="minorHAnsi"/>
          <w:sz w:val="20"/>
          <w:szCs w:val="20"/>
        </w:rPr>
        <w:t>, against which were already registered obligations totaling $409.6.</w:t>
      </w:r>
    </w:p>
    <w:p w:rsidR="00126D4C" w:rsidRPr="009C186B" w:rsidRDefault="00170BCD" w:rsidP="00B928C1">
      <w:pPr>
        <w:jc w:val="both"/>
        <w:rPr>
          <w:rFonts w:asciiTheme="majorHAnsi" w:hAnsiTheme="majorHAnsi" w:cstheme="minorHAnsi"/>
          <w:sz w:val="20"/>
          <w:szCs w:val="20"/>
        </w:rPr>
      </w:pPr>
      <w:r w:rsidRPr="009C186B">
        <w:rPr>
          <w:rFonts w:asciiTheme="majorHAnsi" w:hAnsiTheme="majorHAnsi" w:cstheme="minorHAnsi"/>
          <w:noProof/>
          <w:sz w:val="20"/>
          <w:szCs w:val="20"/>
        </w:rPr>
        <w:lastRenderedPageBreak/>
        <w:drawing>
          <wp:anchor distT="0" distB="0" distL="114300" distR="114300" simplePos="0" relativeHeight="251659264" behindDoc="1" locked="0" layoutInCell="1" allowOverlap="1" wp14:anchorId="1F282C80" wp14:editId="633FEDEF">
            <wp:simplePos x="0" y="0"/>
            <wp:positionH relativeFrom="column">
              <wp:posOffset>428625</wp:posOffset>
            </wp:positionH>
            <wp:positionV relativeFrom="paragraph">
              <wp:posOffset>186690</wp:posOffset>
            </wp:positionV>
            <wp:extent cx="5400675" cy="3597275"/>
            <wp:effectExtent l="76200" t="19050" r="142875" b="2698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3597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A7392" w:rsidRPr="009C186B" w:rsidRDefault="00BA7392" w:rsidP="00B928C1">
      <w:pPr>
        <w:pStyle w:val="ListParagraph"/>
        <w:ind w:left="1080"/>
        <w:jc w:val="both"/>
        <w:rPr>
          <w:rFonts w:asciiTheme="majorHAnsi" w:hAnsiTheme="majorHAnsi" w:cstheme="minorHAnsi"/>
          <w:sz w:val="20"/>
          <w:szCs w:val="20"/>
        </w:rPr>
      </w:pPr>
    </w:p>
    <w:p w:rsidR="00A24DCA" w:rsidRDefault="00A24DCA">
      <w:pPr>
        <w:rPr>
          <w:rFonts w:asciiTheme="majorHAnsi" w:hAnsiTheme="majorHAnsi" w:cstheme="minorHAnsi"/>
          <w:b/>
          <w:sz w:val="20"/>
          <w:szCs w:val="20"/>
        </w:rPr>
      </w:pPr>
      <w:r>
        <w:rPr>
          <w:rFonts w:asciiTheme="majorHAnsi" w:hAnsiTheme="majorHAnsi" w:cstheme="minorHAnsi"/>
          <w:b/>
          <w:sz w:val="20"/>
          <w:szCs w:val="20"/>
        </w:rPr>
        <w:br w:type="page"/>
      </w:r>
    </w:p>
    <w:p w:rsidR="003C6602" w:rsidRPr="009C186B" w:rsidRDefault="003C6602" w:rsidP="00B928C1">
      <w:pPr>
        <w:pStyle w:val="ListParagraph"/>
        <w:numPr>
          <w:ilvl w:val="0"/>
          <w:numId w:val="5"/>
        </w:numPr>
        <w:ind w:left="1440" w:hanging="720"/>
        <w:jc w:val="both"/>
        <w:rPr>
          <w:rFonts w:asciiTheme="majorHAnsi" w:hAnsiTheme="majorHAnsi" w:cstheme="minorHAnsi"/>
          <w:b/>
          <w:sz w:val="20"/>
          <w:szCs w:val="20"/>
        </w:rPr>
      </w:pPr>
      <w:r w:rsidRPr="009C186B">
        <w:rPr>
          <w:rFonts w:asciiTheme="majorHAnsi" w:hAnsiTheme="majorHAnsi" w:cstheme="minorHAnsi"/>
          <w:b/>
          <w:sz w:val="20"/>
          <w:szCs w:val="20"/>
        </w:rPr>
        <w:lastRenderedPageBreak/>
        <w:t>Specific Funds</w:t>
      </w:r>
    </w:p>
    <w:p w:rsidR="00995AB3" w:rsidRPr="009C186B" w:rsidRDefault="00995AB3" w:rsidP="00B928C1">
      <w:pPr>
        <w:pStyle w:val="ListParagraph"/>
        <w:ind w:left="1080"/>
        <w:jc w:val="both"/>
        <w:rPr>
          <w:rFonts w:asciiTheme="majorHAnsi" w:hAnsiTheme="majorHAnsi" w:cstheme="minorHAnsi"/>
          <w:sz w:val="20"/>
          <w:szCs w:val="20"/>
        </w:rPr>
      </w:pPr>
    </w:p>
    <w:p w:rsidR="003B1AFE" w:rsidRPr="00A24DCA" w:rsidRDefault="00EB771D" w:rsidP="00873C8D">
      <w:pPr>
        <w:pStyle w:val="ListParagraph"/>
        <w:numPr>
          <w:ilvl w:val="0"/>
          <w:numId w:val="9"/>
        </w:numPr>
        <w:ind w:left="0" w:firstLine="720"/>
        <w:jc w:val="both"/>
        <w:rPr>
          <w:rFonts w:asciiTheme="majorHAnsi" w:hAnsiTheme="majorHAnsi" w:cstheme="minorHAnsi"/>
          <w:sz w:val="20"/>
          <w:szCs w:val="20"/>
        </w:rPr>
      </w:pPr>
      <w:r w:rsidRPr="00A24DCA">
        <w:rPr>
          <w:rFonts w:asciiTheme="majorHAnsi" w:hAnsiTheme="majorHAnsi" w:cstheme="minorHAnsi"/>
          <w:sz w:val="20"/>
          <w:szCs w:val="20"/>
        </w:rPr>
        <w:t xml:space="preserve">The Inter-American Commission on Human Rights is diversifying its search for financing due to the decrease in international cooperation and </w:t>
      </w:r>
      <w:r w:rsidR="008F4099" w:rsidRPr="00A24DCA">
        <w:rPr>
          <w:rFonts w:asciiTheme="majorHAnsi" w:hAnsiTheme="majorHAnsi" w:cstheme="minorHAnsi"/>
          <w:sz w:val="20"/>
          <w:szCs w:val="20"/>
        </w:rPr>
        <w:t>the</w:t>
      </w:r>
      <w:r w:rsidRPr="00A24DCA">
        <w:rPr>
          <w:rFonts w:asciiTheme="majorHAnsi" w:hAnsiTheme="majorHAnsi" w:cstheme="minorHAnsi"/>
          <w:sz w:val="20"/>
          <w:szCs w:val="20"/>
        </w:rPr>
        <w:t xml:space="preserve"> reorientation </w:t>
      </w:r>
      <w:r w:rsidR="008F4099" w:rsidRPr="00A24DCA">
        <w:rPr>
          <w:rFonts w:asciiTheme="majorHAnsi" w:hAnsiTheme="majorHAnsi" w:cstheme="minorHAnsi"/>
          <w:sz w:val="20"/>
          <w:szCs w:val="20"/>
        </w:rPr>
        <w:t xml:space="preserve">thereof </w:t>
      </w:r>
      <w:r w:rsidRPr="00A24DCA">
        <w:rPr>
          <w:rFonts w:asciiTheme="majorHAnsi" w:hAnsiTheme="majorHAnsi" w:cstheme="minorHAnsi"/>
          <w:sz w:val="20"/>
          <w:szCs w:val="20"/>
        </w:rPr>
        <w:t xml:space="preserve">towards other regions. Firstly, it seeks </w:t>
      </w:r>
      <w:r w:rsidR="00336728" w:rsidRPr="00A24DCA">
        <w:rPr>
          <w:rFonts w:asciiTheme="majorHAnsi" w:hAnsiTheme="majorHAnsi" w:cstheme="minorHAnsi"/>
          <w:sz w:val="20"/>
          <w:szCs w:val="20"/>
        </w:rPr>
        <w:t xml:space="preserve">to receive </w:t>
      </w:r>
      <w:r w:rsidR="008C578F" w:rsidRPr="00A24DCA">
        <w:rPr>
          <w:rFonts w:asciiTheme="majorHAnsi" w:hAnsiTheme="majorHAnsi" w:cstheme="minorHAnsi"/>
          <w:sz w:val="20"/>
          <w:szCs w:val="20"/>
        </w:rPr>
        <w:t>greater</w:t>
      </w:r>
      <w:r w:rsidRPr="00A24DCA">
        <w:rPr>
          <w:rFonts w:asciiTheme="majorHAnsi" w:hAnsiTheme="majorHAnsi" w:cstheme="minorHAnsi"/>
          <w:sz w:val="20"/>
          <w:szCs w:val="20"/>
        </w:rPr>
        <w:t xml:space="preserve"> contributions from the OAS member states.  Secondly, to turn to new financing from found</w:t>
      </w:r>
      <w:r w:rsidR="00012BD0" w:rsidRPr="00A24DCA">
        <w:rPr>
          <w:rFonts w:asciiTheme="majorHAnsi" w:hAnsiTheme="majorHAnsi" w:cstheme="minorHAnsi"/>
          <w:sz w:val="20"/>
          <w:szCs w:val="20"/>
        </w:rPr>
        <w:t xml:space="preserve">ations and/or institutions that </w:t>
      </w:r>
      <w:r w:rsidR="008776E4" w:rsidRPr="00A24DCA">
        <w:rPr>
          <w:rFonts w:asciiTheme="majorHAnsi" w:hAnsiTheme="majorHAnsi" w:cstheme="minorHAnsi"/>
          <w:sz w:val="20"/>
          <w:szCs w:val="20"/>
        </w:rPr>
        <w:t>will</w:t>
      </w:r>
      <w:r w:rsidR="00012BD0" w:rsidRPr="00A24DCA">
        <w:rPr>
          <w:rFonts w:asciiTheme="majorHAnsi" w:hAnsiTheme="majorHAnsi" w:cstheme="minorHAnsi"/>
          <w:sz w:val="20"/>
          <w:szCs w:val="20"/>
        </w:rPr>
        <w:t xml:space="preserve"> not compromise the independence of the IACHR. And finally, to participate in </w:t>
      </w:r>
      <w:r w:rsidR="0005017C" w:rsidRPr="00A24DCA">
        <w:rPr>
          <w:rFonts w:asciiTheme="majorHAnsi" w:hAnsiTheme="majorHAnsi" w:cstheme="minorHAnsi"/>
          <w:sz w:val="20"/>
          <w:szCs w:val="20"/>
        </w:rPr>
        <w:t>open calls</w:t>
      </w:r>
      <w:r w:rsidR="00012BD0" w:rsidRPr="00A24DCA">
        <w:rPr>
          <w:rFonts w:asciiTheme="majorHAnsi" w:hAnsiTheme="majorHAnsi" w:cstheme="minorHAnsi"/>
          <w:sz w:val="20"/>
          <w:szCs w:val="20"/>
        </w:rPr>
        <w:t xml:space="preserve">, while keeping in mind that most are targeted at civil society and not at intergovernmental organizations like the OAS. </w:t>
      </w:r>
    </w:p>
    <w:p w:rsidR="003B1AFE" w:rsidRPr="00A24DCA" w:rsidRDefault="003B1AFE" w:rsidP="00B928C1">
      <w:pPr>
        <w:ind w:firstLine="720"/>
        <w:jc w:val="both"/>
        <w:rPr>
          <w:rFonts w:asciiTheme="majorHAnsi" w:hAnsiTheme="majorHAnsi" w:cstheme="minorHAnsi"/>
          <w:sz w:val="20"/>
          <w:szCs w:val="20"/>
        </w:rPr>
      </w:pPr>
    </w:p>
    <w:p w:rsidR="003B1AFE" w:rsidRPr="00A24DCA" w:rsidRDefault="00012BD0" w:rsidP="00873C8D">
      <w:pPr>
        <w:pStyle w:val="ListParagraph"/>
        <w:numPr>
          <w:ilvl w:val="0"/>
          <w:numId w:val="9"/>
        </w:numPr>
        <w:ind w:left="0" w:firstLine="720"/>
        <w:jc w:val="both"/>
        <w:rPr>
          <w:rFonts w:asciiTheme="majorHAnsi" w:hAnsiTheme="majorHAnsi" w:cstheme="minorHAnsi"/>
          <w:sz w:val="20"/>
          <w:szCs w:val="20"/>
        </w:rPr>
      </w:pPr>
      <w:r w:rsidRPr="00A24DCA">
        <w:rPr>
          <w:rFonts w:asciiTheme="majorHAnsi" w:hAnsiTheme="majorHAnsi" w:cstheme="minorHAnsi"/>
          <w:sz w:val="20"/>
          <w:szCs w:val="20"/>
        </w:rPr>
        <w:t xml:space="preserve">As of November 30, </w:t>
      </w:r>
      <w:r w:rsidR="003B1AFE" w:rsidRPr="00A24DCA">
        <w:rPr>
          <w:rFonts w:asciiTheme="majorHAnsi" w:hAnsiTheme="majorHAnsi" w:cstheme="minorHAnsi"/>
          <w:sz w:val="20"/>
          <w:szCs w:val="20"/>
        </w:rPr>
        <w:t xml:space="preserve">2014, </w:t>
      </w:r>
      <w:r w:rsidRPr="00A24DCA">
        <w:rPr>
          <w:rFonts w:asciiTheme="majorHAnsi" w:hAnsiTheme="majorHAnsi" w:cstheme="minorHAnsi"/>
          <w:sz w:val="20"/>
          <w:szCs w:val="20"/>
        </w:rPr>
        <w:t>US$</w:t>
      </w:r>
      <w:r w:rsidR="003B1AFE" w:rsidRPr="00A24DCA">
        <w:rPr>
          <w:rFonts w:asciiTheme="majorHAnsi" w:hAnsiTheme="majorHAnsi" w:cstheme="minorHAnsi"/>
          <w:sz w:val="20"/>
          <w:szCs w:val="20"/>
        </w:rPr>
        <w:t xml:space="preserve">4,479,500.00 </w:t>
      </w:r>
      <w:r w:rsidR="00254E15" w:rsidRPr="00A24DCA">
        <w:rPr>
          <w:rFonts w:asciiTheme="majorHAnsi" w:hAnsiTheme="majorHAnsi" w:cstheme="minorHAnsi"/>
          <w:sz w:val="20"/>
          <w:szCs w:val="20"/>
        </w:rPr>
        <w:t>had been</w:t>
      </w:r>
      <w:r w:rsidRPr="00A24DCA">
        <w:rPr>
          <w:rFonts w:asciiTheme="majorHAnsi" w:hAnsiTheme="majorHAnsi" w:cstheme="minorHAnsi"/>
          <w:sz w:val="20"/>
          <w:szCs w:val="20"/>
        </w:rPr>
        <w:t xml:space="preserve"> received from Argentina, Canada</w:t>
      </w:r>
      <w:r w:rsidR="003B1AFE" w:rsidRPr="00A24DCA">
        <w:rPr>
          <w:rFonts w:asciiTheme="majorHAnsi" w:hAnsiTheme="majorHAnsi" w:cstheme="minorHAnsi"/>
          <w:sz w:val="20"/>
          <w:szCs w:val="20"/>
        </w:rPr>
        <w:t xml:space="preserve">, Chile, Costa Rica, </w:t>
      </w:r>
      <w:r w:rsidRPr="00A24DCA">
        <w:rPr>
          <w:rFonts w:asciiTheme="majorHAnsi" w:hAnsiTheme="majorHAnsi" w:cstheme="minorHAnsi"/>
          <w:sz w:val="20"/>
          <w:szCs w:val="20"/>
        </w:rPr>
        <w:t>the United States, Me</w:t>
      </w:r>
      <w:r w:rsidR="003B1AFE" w:rsidRPr="00A24DCA">
        <w:rPr>
          <w:rFonts w:asciiTheme="majorHAnsi" w:hAnsiTheme="majorHAnsi" w:cstheme="minorHAnsi"/>
          <w:sz w:val="20"/>
          <w:szCs w:val="20"/>
        </w:rPr>
        <w:t xml:space="preserve">xico, </w:t>
      </w:r>
      <w:r w:rsidRPr="00A24DCA">
        <w:rPr>
          <w:rFonts w:asciiTheme="majorHAnsi" w:hAnsiTheme="majorHAnsi" w:cstheme="minorHAnsi"/>
          <w:sz w:val="20"/>
          <w:szCs w:val="20"/>
        </w:rPr>
        <w:t>Denmark,</w:t>
      </w:r>
      <w:r w:rsidR="003B1AFE" w:rsidRPr="00A24DCA">
        <w:rPr>
          <w:rFonts w:asciiTheme="majorHAnsi" w:hAnsiTheme="majorHAnsi" w:cstheme="minorHAnsi"/>
          <w:sz w:val="20"/>
          <w:szCs w:val="20"/>
        </w:rPr>
        <w:t xml:space="preserve"> </w:t>
      </w:r>
      <w:r w:rsidRPr="00A24DCA">
        <w:rPr>
          <w:rFonts w:asciiTheme="majorHAnsi" w:hAnsiTheme="majorHAnsi" w:cstheme="minorHAnsi"/>
          <w:sz w:val="20"/>
          <w:szCs w:val="20"/>
        </w:rPr>
        <w:t>the European Union</w:t>
      </w:r>
      <w:r w:rsidR="003B1AFE" w:rsidRPr="00A24DCA">
        <w:rPr>
          <w:rFonts w:asciiTheme="majorHAnsi" w:hAnsiTheme="majorHAnsi" w:cstheme="minorHAnsi"/>
          <w:sz w:val="20"/>
          <w:szCs w:val="20"/>
        </w:rPr>
        <w:t>, Finland, Franc</w:t>
      </w:r>
      <w:r w:rsidRPr="00A24DCA">
        <w:rPr>
          <w:rFonts w:asciiTheme="majorHAnsi" w:hAnsiTheme="majorHAnsi" w:cstheme="minorHAnsi"/>
          <w:sz w:val="20"/>
          <w:szCs w:val="20"/>
        </w:rPr>
        <w:t>e</w:t>
      </w:r>
      <w:r w:rsidR="003B1AFE" w:rsidRPr="00A24DCA">
        <w:rPr>
          <w:rFonts w:asciiTheme="majorHAnsi" w:hAnsiTheme="majorHAnsi" w:cstheme="minorHAnsi"/>
          <w:sz w:val="20"/>
          <w:szCs w:val="20"/>
        </w:rPr>
        <w:t>, Hol</w:t>
      </w:r>
      <w:r w:rsidRPr="00A24DCA">
        <w:rPr>
          <w:rFonts w:asciiTheme="majorHAnsi" w:hAnsiTheme="majorHAnsi" w:cstheme="minorHAnsi"/>
          <w:sz w:val="20"/>
          <w:szCs w:val="20"/>
        </w:rPr>
        <w:t>land</w:t>
      </w:r>
      <w:r w:rsidR="003B1AFE" w:rsidRPr="00A24DCA">
        <w:rPr>
          <w:rFonts w:asciiTheme="majorHAnsi" w:hAnsiTheme="majorHAnsi" w:cstheme="minorHAnsi"/>
          <w:sz w:val="20"/>
          <w:szCs w:val="20"/>
        </w:rPr>
        <w:t xml:space="preserve">, </w:t>
      </w:r>
      <w:r w:rsidRPr="00A24DCA">
        <w:rPr>
          <w:rFonts w:asciiTheme="majorHAnsi" w:hAnsiTheme="majorHAnsi" w:cstheme="minorHAnsi"/>
          <w:sz w:val="20"/>
          <w:szCs w:val="20"/>
        </w:rPr>
        <w:t>Spain</w:t>
      </w:r>
      <w:r w:rsidR="003B1AFE" w:rsidRPr="00A24DCA">
        <w:rPr>
          <w:rFonts w:asciiTheme="majorHAnsi" w:hAnsiTheme="majorHAnsi" w:cstheme="minorHAnsi"/>
          <w:sz w:val="20"/>
          <w:szCs w:val="20"/>
        </w:rPr>
        <w:t xml:space="preserve">, </w:t>
      </w:r>
      <w:r w:rsidRPr="00A24DCA">
        <w:rPr>
          <w:rFonts w:asciiTheme="majorHAnsi" w:hAnsiTheme="majorHAnsi" w:cstheme="minorHAnsi"/>
          <w:sz w:val="20"/>
          <w:szCs w:val="20"/>
        </w:rPr>
        <w:t>Switzerland</w:t>
      </w:r>
      <w:r w:rsidR="003B1AFE" w:rsidRPr="00A24DCA">
        <w:rPr>
          <w:rFonts w:asciiTheme="majorHAnsi" w:hAnsiTheme="majorHAnsi" w:cstheme="minorHAnsi"/>
          <w:sz w:val="20"/>
          <w:szCs w:val="20"/>
        </w:rPr>
        <w:t xml:space="preserve">, </w:t>
      </w:r>
      <w:r w:rsidRPr="00A24DCA">
        <w:rPr>
          <w:rFonts w:asciiTheme="majorHAnsi" w:hAnsiTheme="majorHAnsi" w:cstheme="minorHAnsi"/>
          <w:sz w:val="20"/>
          <w:szCs w:val="20"/>
        </w:rPr>
        <w:t>Children’</w:t>
      </w:r>
      <w:r w:rsidR="004003A2" w:rsidRPr="00A24DCA">
        <w:rPr>
          <w:rFonts w:asciiTheme="majorHAnsi" w:hAnsiTheme="majorHAnsi" w:cstheme="minorHAnsi"/>
          <w:sz w:val="20"/>
          <w:szCs w:val="20"/>
        </w:rPr>
        <w:t>s Villages</w:t>
      </w:r>
      <w:r w:rsidR="003B1AFE" w:rsidRPr="00A24DCA">
        <w:rPr>
          <w:rFonts w:asciiTheme="majorHAnsi" w:hAnsiTheme="majorHAnsi" w:cstheme="minorHAnsi"/>
          <w:sz w:val="20"/>
          <w:szCs w:val="20"/>
        </w:rPr>
        <w:t xml:space="preserve">, </w:t>
      </w:r>
      <w:r w:rsidR="004003A2" w:rsidRPr="00A24DCA">
        <w:rPr>
          <w:rFonts w:asciiTheme="majorHAnsi" w:hAnsiTheme="majorHAnsi" w:cstheme="minorHAnsi"/>
          <w:sz w:val="20"/>
          <w:szCs w:val="20"/>
        </w:rPr>
        <w:t>the Arcus Foundation,</w:t>
      </w:r>
      <w:r w:rsidR="003B1AFE" w:rsidRPr="00A24DCA">
        <w:rPr>
          <w:rFonts w:asciiTheme="majorHAnsi" w:hAnsiTheme="majorHAnsi" w:cstheme="minorHAnsi"/>
          <w:sz w:val="20"/>
          <w:szCs w:val="20"/>
        </w:rPr>
        <w:t xml:space="preserve"> </w:t>
      </w:r>
      <w:r w:rsidR="004003A2" w:rsidRPr="00A24DCA">
        <w:rPr>
          <w:rFonts w:asciiTheme="majorHAnsi" w:hAnsiTheme="majorHAnsi" w:cstheme="minorHAnsi"/>
          <w:sz w:val="20"/>
          <w:szCs w:val="20"/>
        </w:rPr>
        <w:t xml:space="preserve">the International Work Group for Indigenous Affairs </w:t>
      </w:r>
      <w:r w:rsidR="003B1AFE" w:rsidRPr="00A24DCA">
        <w:rPr>
          <w:rFonts w:asciiTheme="majorHAnsi" w:hAnsiTheme="majorHAnsi" w:cstheme="minorHAnsi"/>
          <w:sz w:val="20"/>
          <w:szCs w:val="20"/>
        </w:rPr>
        <w:t xml:space="preserve">(IWGIA), </w:t>
      </w:r>
      <w:r w:rsidR="004003A2" w:rsidRPr="00A24DCA">
        <w:rPr>
          <w:rFonts w:asciiTheme="majorHAnsi" w:hAnsiTheme="majorHAnsi" w:cstheme="minorHAnsi"/>
          <w:sz w:val="20"/>
          <w:szCs w:val="20"/>
        </w:rPr>
        <w:t>the United Nations High Commissioner for Refugees (UNHCR)</w:t>
      </w:r>
      <w:r w:rsidR="003B1AFE" w:rsidRPr="00A24DCA">
        <w:rPr>
          <w:rFonts w:asciiTheme="majorHAnsi" w:hAnsiTheme="majorHAnsi" w:cstheme="minorHAnsi"/>
          <w:sz w:val="20"/>
          <w:szCs w:val="20"/>
        </w:rPr>
        <w:t xml:space="preserve">, Plan International, </w:t>
      </w:r>
      <w:r w:rsidR="004003A2" w:rsidRPr="00A24DCA">
        <w:rPr>
          <w:rFonts w:asciiTheme="majorHAnsi" w:hAnsiTheme="majorHAnsi" w:cstheme="minorHAnsi"/>
          <w:sz w:val="20"/>
          <w:szCs w:val="20"/>
        </w:rPr>
        <w:t xml:space="preserve">the University of Notre Dame, </w:t>
      </w:r>
      <w:r w:rsidR="003B1AFE" w:rsidRPr="00A24DCA">
        <w:rPr>
          <w:rFonts w:asciiTheme="majorHAnsi" w:hAnsiTheme="majorHAnsi" w:cstheme="minorHAnsi"/>
          <w:sz w:val="20"/>
          <w:szCs w:val="20"/>
        </w:rPr>
        <w:t>Save the Children – S</w:t>
      </w:r>
      <w:r w:rsidR="004003A2" w:rsidRPr="00A24DCA">
        <w:rPr>
          <w:rFonts w:asciiTheme="majorHAnsi" w:hAnsiTheme="majorHAnsi" w:cstheme="minorHAnsi"/>
          <w:sz w:val="20"/>
          <w:szCs w:val="20"/>
        </w:rPr>
        <w:t xml:space="preserve">weden, and World Vision. Table </w:t>
      </w:r>
      <w:r w:rsidR="003B1AFE" w:rsidRPr="00A24DCA">
        <w:rPr>
          <w:rFonts w:asciiTheme="majorHAnsi" w:hAnsiTheme="majorHAnsi" w:cstheme="minorHAnsi"/>
          <w:sz w:val="20"/>
          <w:szCs w:val="20"/>
        </w:rPr>
        <w:t xml:space="preserve">No. 2 </w:t>
      </w:r>
      <w:r w:rsidR="004003A2" w:rsidRPr="00A24DCA">
        <w:rPr>
          <w:rFonts w:asciiTheme="majorHAnsi" w:hAnsiTheme="majorHAnsi" w:cstheme="minorHAnsi"/>
          <w:sz w:val="20"/>
          <w:szCs w:val="20"/>
        </w:rPr>
        <w:t>shows the contributions made to the IACHR’s specific funds between January 1, 2014 and November 30, 2014.</w:t>
      </w:r>
      <w:r w:rsidR="003B1AFE" w:rsidRPr="00A24DCA">
        <w:rPr>
          <w:rFonts w:asciiTheme="majorHAnsi" w:hAnsiTheme="majorHAnsi" w:cstheme="minorHAnsi"/>
          <w:sz w:val="20"/>
          <w:szCs w:val="20"/>
        </w:rPr>
        <w:t xml:space="preserve"> </w:t>
      </w:r>
    </w:p>
    <w:p w:rsidR="00357678" w:rsidRPr="009C186B" w:rsidRDefault="00357678" w:rsidP="00B928C1">
      <w:pPr>
        <w:ind w:firstLine="720"/>
        <w:jc w:val="both"/>
        <w:rPr>
          <w:rFonts w:asciiTheme="majorHAnsi" w:hAnsiTheme="majorHAnsi" w:cstheme="minorHAnsi"/>
          <w:sz w:val="20"/>
          <w:szCs w:val="20"/>
        </w:rPr>
      </w:pPr>
    </w:p>
    <w:p w:rsidR="00357678" w:rsidRPr="009C186B" w:rsidRDefault="001509B2" w:rsidP="00B928C1">
      <w:pPr>
        <w:jc w:val="center"/>
        <w:rPr>
          <w:rFonts w:asciiTheme="majorHAnsi" w:hAnsiTheme="majorHAnsi" w:cstheme="minorHAnsi"/>
          <w:sz w:val="20"/>
          <w:szCs w:val="20"/>
        </w:rPr>
      </w:pPr>
      <w:r w:rsidRPr="001509B2">
        <w:rPr>
          <w:noProof/>
        </w:rPr>
        <w:lastRenderedPageBreak/>
        <w:drawing>
          <wp:inline distT="0" distB="0" distL="0" distR="0" wp14:anchorId="7184401E" wp14:editId="799CB55B">
            <wp:extent cx="5317584" cy="7972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7909" cy="7972913"/>
                    </a:xfrm>
                    <a:prstGeom prst="rect">
                      <a:avLst/>
                    </a:prstGeom>
                    <a:noFill/>
                    <a:ln>
                      <a:noFill/>
                    </a:ln>
                  </pic:spPr>
                </pic:pic>
              </a:graphicData>
            </a:graphic>
          </wp:inline>
        </w:drawing>
      </w:r>
    </w:p>
    <w:p w:rsidR="00D70915" w:rsidRPr="009C186B" w:rsidRDefault="00D70915" w:rsidP="00B928C1">
      <w:pPr>
        <w:jc w:val="both"/>
        <w:rPr>
          <w:rFonts w:asciiTheme="majorHAnsi" w:hAnsiTheme="majorHAnsi" w:cstheme="minorHAnsi"/>
          <w:sz w:val="20"/>
          <w:szCs w:val="20"/>
        </w:rPr>
      </w:pPr>
    </w:p>
    <w:p w:rsidR="003B1AFE" w:rsidRPr="00A24DCA" w:rsidRDefault="00636992" w:rsidP="00B928C1">
      <w:pPr>
        <w:pStyle w:val="Style1"/>
        <w:adjustRightInd/>
        <w:ind w:left="1440" w:hanging="720"/>
        <w:jc w:val="both"/>
        <w:rPr>
          <w:rFonts w:asciiTheme="majorHAnsi" w:hAnsiTheme="majorHAnsi"/>
          <w:b/>
          <w:sz w:val="20"/>
          <w:szCs w:val="20"/>
        </w:rPr>
      </w:pPr>
      <w:r w:rsidRPr="00A24DCA">
        <w:rPr>
          <w:rFonts w:asciiTheme="majorHAnsi" w:hAnsiTheme="majorHAnsi"/>
          <w:b/>
          <w:sz w:val="20"/>
          <w:szCs w:val="20"/>
        </w:rPr>
        <w:lastRenderedPageBreak/>
        <w:t>3</w:t>
      </w:r>
      <w:r w:rsidR="003B1AFE" w:rsidRPr="00A24DCA">
        <w:rPr>
          <w:rFonts w:asciiTheme="majorHAnsi" w:hAnsiTheme="majorHAnsi"/>
          <w:b/>
          <w:sz w:val="20"/>
          <w:szCs w:val="20"/>
        </w:rPr>
        <w:t>.</w:t>
      </w:r>
      <w:r w:rsidR="003B1AFE" w:rsidRPr="00A24DCA">
        <w:rPr>
          <w:rFonts w:asciiTheme="majorHAnsi" w:hAnsiTheme="majorHAnsi"/>
          <w:b/>
          <w:sz w:val="20"/>
          <w:szCs w:val="20"/>
        </w:rPr>
        <w:tab/>
      </w:r>
      <w:r w:rsidR="00B4369C" w:rsidRPr="00A24DCA">
        <w:rPr>
          <w:rFonts w:asciiTheme="majorHAnsi" w:hAnsiTheme="majorHAnsi"/>
          <w:b/>
          <w:sz w:val="20"/>
          <w:szCs w:val="20"/>
        </w:rPr>
        <w:t>IACHR Strategic Plan</w:t>
      </w:r>
    </w:p>
    <w:p w:rsidR="003B1AFE" w:rsidRPr="00A24DCA" w:rsidRDefault="003B1AFE" w:rsidP="00B928C1">
      <w:pPr>
        <w:ind w:left="360"/>
        <w:jc w:val="both"/>
        <w:rPr>
          <w:rFonts w:asciiTheme="majorHAnsi" w:hAnsiTheme="majorHAnsi"/>
          <w:sz w:val="20"/>
          <w:szCs w:val="20"/>
        </w:rPr>
      </w:pPr>
    </w:p>
    <w:p w:rsidR="003B1AFE" w:rsidRPr="00A24DCA" w:rsidRDefault="00B4369C" w:rsidP="00873C8D">
      <w:pPr>
        <w:pStyle w:val="ListParagraph"/>
        <w:numPr>
          <w:ilvl w:val="0"/>
          <w:numId w:val="9"/>
        </w:numPr>
        <w:ind w:left="0" w:firstLine="720"/>
        <w:jc w:val="both"/>
        <w:rPr>
          <w:rFonts w:asciiTheme="majorHAnsi" w:hAnsiTheme="majorHAnsi"/>
          <w:sz w:val="20"/>
          <w:szCs w:val="20"/>
        </w:rPr>
      </w:pPr>
      <w:r w:rsidRPr="00A24DCA">
        <w:rPr>
          <w:rFonts w:asciiTheme="majorHAnsi" w:hAnsiTheme="majorHAnsi"/>
          <w:sz w:val="20"/>
          <w:szCs w:val="20"/>
        </w:rPr>
        <w:t xml:space="preserve">At the end of 2010, the IACHR adopted the Strategic Plan </w:t>
      </w:r>
      <w:r w:rsidR="003B1AFE" w:rsidRPr="00A24DCA">
        <w:rPr>
          <w:rFonts w:asciiTheme="majorHAnsi" w:hAnsiTheme="majorHAnsi"/>
          <w:sz w:val="20"/>
          <w:szCs w:val="20"/>
        </w:rPr>
        <w:t xml:space="preserve">2011-2015, </w:t>
      </w:r>
      <w:r w:rsidRPr="00A24DCA">
        <w:rPr>
          <w:rFonts w:asciiTheme="majorHAnsi" w:hAnsiTheme="majorHAnsi"/>
          <w:sz w:val="20"/>
          <w:szCs w:val="20"/>
        </w:rPr>
        <w:t>with the aim</w:t>
      </w:r>
      <w:r w:rsidR="001F170E" w:rsidRPr="00A24DCA">
        <w:rPr>
          <w:rFonts w:asciiTheme="majorHAnsi" w:hAnsiTheme="majorHAnsi"/>
          <w:sz w:val="20"/>
          <w:szCs w:val="20"/>
        </w:rPr>
        <w:t xml:space="preserve">s </w:t>
      </w:r>
      <w:r w:rsidR="00B66A22" w:rsidRPr="00A24DCA">
        <w:rPr>
          <w:rFonts w:asciiTheme="majorHAnsi" w:hAnsiTheme="majorHAnsi"/>
          <w:sz w:val="20"/>
          <w:szCs w:val="20"/>
        </w:rPr>
        <w:t>of maximizing</w:t>
      </w:r>
      <w:r w:rsidR="001F170E" w:rsidRPr="00A24DCA">
        <w:rPr>
          <w:rFonts w:asciiTheme="majorHAnsi" w:hAnsiTheme="majorHAnsi"/>
          <w:sz w:val="20"/>
          <w:szCs w:val="20"/>
        </w:rPr>
        <w:t xml:space="preserve"> efficiency, show</w:t>
      </w:r>
      <w:r w:rsidR="002C4A08" w:rsidRPr="00A24DCA">
        <w:rPr>
          <w:rFonts w:asciiTheme="majorHAnsi" w:hAnsiTheme="majorHAnsi"/>
          <w:sz w:val="20"/>
          <w:szCs w:val="20"/>
        </w:rPr>
        <w:t>ing</w:t>
      </w:r>
      <w:r w:rsidR="001F170E" w:rsidRPr="00A24DCA">
        <w:rPr>
          <w:rFonts w:asciiTheme="majorHAnsi" w:hAnsiTheme="majorHAnsi"/>
          <w:sz w:val="20"/>
          <w:szCs w:val="20"/>
        </w:rPr>
        <w:t xml:space="preserve"> the results obtained</w:t>
      </w:r>
      <w:r w:rsidR="005C1D0F" w:rsidRPr="00A24DCA">
        <w:rPr>
          <w:rFonts w:asciiTheme="majorHAnsi" w:hAnsiTheme="majorHAnsi"/>
          <w:sz w:val="20"/>
          <w:szCs w:val="20"/>
        </w:rPr>
        <w:t xml:space="preserve"> in a transparent way</w:t>
      </w:r>
      <w:r w:rsidR="001F170E" w:rsidRPr="00A24DCA">
        <w:rPr>
          <w:rFonts w:asciiTheme="majorHAnsi" w:hAnsiTheme="majorHAnsi"/>
          <w:sz w:val="20"/>
          <w:szCs w:val="20"/>
        </w:rPr>
        <w:t xml:space="preserve"> </w:t>
      </w:r>
      <w:r w:rsidR="002C4A08" w:rsidRPr="00A24DCA">
        <w:rPr>
          <w:rFonts w:asciiTheme="majorHAnsi" w:hAnsiTheme="majorHAnsi"/>
          <w:sz w:val="20"/>
          <w:szCs w:val="20"/>
        </w:rPr>
        <w:t xml:space="preserve">through the use of measurable and realistic indicators, </w:t>
      </w:r>
      <w:r w:rsidR="001F170E" w:rsidRPr="00A24DCA">
        <w:rPr>
          <w:rFonts w:asciiTheme="majorHAnsi" w:hAnsiTheme="majorHAnsi"/>
          <w:sz w:val="20"/>
          <w:szCs w:val="20"/>
        </w:rPr>
        <w:t>and encouraging better coordination among donors.</w:t>
      </w:r>
      <w:r w:rsidR="00CE6FD7" w:rsidRPr="00A24DCA">
        <w:rPr>
          <w:rFonts w:asciiTheme="majorHAnsi" w:hAnsiTheme="majorHAnsi"/>
          <w:sz w:val="20"/>
          <w:szCs w:val="20"/>
        </w:rPr>
        <w:t xml:space="preserve"> Likewise, with the adoption of the Strategic Plan, the Commission consolidates a </w:t>
      </w:r>
      <w:r w:rsidR="00D83680" w:rsidRPr="00A24DCA">
        <w:rPr>
          <w:rFonts w:asciiTheme="majorHAnsi" w:hAnsiTheme="majorHAnsi"/>
          <w:sz w:val="20"/>
          <w:szCs w:val="20"/>
        </w:rPr>
        <w:t xml:space="preserve">strategy to mobilize resources </w:t>
      </w:r>
      <w:r w:rsidR="00084014" w:rsidRPr="00A24DCA">
        <w:rPr>
          <w:rFonts w:asciiTheme="majorHAnsi" w:hAnsiTheme="majorHAnsi"/>
          <w:sz w:val="20"/>
          <w:szCs w:val="20"/>
        </w:rPr>
        <w:t>with</w:t>
      </w:r>
      <w:r w:rsidR="00D83680" w:rsidRPr="00A24DCA">
        <w:rPr>
          <w:rFonts w:asciiTheme="majorHAnsi" w:hAnsiTheme="majorHAnsi"/>
          <w:sz w:val="20"/>
          <w:szCs w:val="20"/>
        </w:rPr>
        <w:t xml:space="preserve"> a program</w:t>
      </w:r>
      <w:r w:rsidR="00084014" w:rsidRPr="00A24DCA">
        <w:rPr>
          <w:rFonts w:asciiTheme="majorHAnsi" w:hAnsiTheme="majorHAnsi"/>
          <w:sz w:val="20"/>
          <w:szCs w:val="20"/>
        </w:rPr>
        <w:t>-based</w:t>
      </w:r>
      <w:r w:rsidR="00D83680" w:rsidRPr="00A24DCA">
        <w:rPr>
          <w:rFonts w:asciiTheme="majorHAnsi" w:hAnsiTheme="majorHAnsi"/>
          <w:sz w:val="20"/>
          <w:szCs w:val="20"/>
        </w:rPr>
        <w:t xml:space="preserve"> </w:t>
      </w:r>
      <w:r w:rsidR="00084014" w:rsidRPr="00A24DCA">
        <w:rPr>
          <w:rFonts w:asciiTheme="majorHAnsi" w:hAnsiTheme="majorHAnsi"/>
          <w:sz w:val="20"/>
          <w:szCs w:val="20"/>
        </w:rPr>
        <w:t>approach</w:t>
      </w:r>
      <w:r w:rsidR="00D83680" w:rsidRPr="00A24DCA">
        <w:rPr>
          <w:rFonts w:asciiTheme="majorHAnsi" w:hAnsiTheme="majorHAnsi"/>
          <w:sz w:val="20"/>
          <w:szCs w:val="20"/>
        </w:rPr>
        <w:t>.</w:t>
      </w:r>
      <w:r w:rsidR="003B1AFE" w:rsidRPr="00A24DCA">
        <w:rPr>
          <w:rFonts w:asciiTheme="majorHAnsi" w:hAnsiTheme="majorHAnsi"/>
          <w:sz w:val="20"/>
          <w:szCs w:val="20"/>
        </w:rPr>
        <w:t xml:space="preserve"> </w:t>
      </w:r>
      <w:r w:rsidR="003C148A" w:rsidRPr="00A24DCA">
        <w:rPr>
          <w:rFonts w:asciiTheme="majorHAnsi" w:hAnsiTheme="majorHAnsi"/>
          <w:sz w:val="20"/>
          <w:szCs w:val="20"/>
        </w:rPr>
        <w:t xml:space="preserve"> </w:t>
      </w:r>
    </w:p>
    <w:p w:rsidR="003B1AFE" w:rsidRPr="00A24DCA" w:rsidRDefault="003B1AFE" w:rsidP="00B928C1">
      <w:pPr>
        <w:ind w:left="360" w:right="72" w:firstLine="720"/>
        <w:jc w:val="both"/>
        <w:rPr>
          <w:rFonts w:asciiTheme="majorHAnsi" w:hAnsiTheme="majorHAnsi"/>
          <w:sz w:val="20"/>
          <w:szCs w:val="20"/>
        </w:rPr>
      </w:pPr>
    </w:p>
    <w:p w:rsidR="003B1AFE" w:rsidRPr="00A24DCA" w:rsidRDefault="00D83680" w:rsidP="00873C8D">
      <w:pPr>
        <w:pStyle w:val="ListParagraph"/>
        <w:numPr>
          <w:ilvl w:val="0"/>
          <w:numId w:val="9"/>
        </w:numPr>
        <w:ind w:left="0" w:firstLine="720"/>
        <w:jc w:val="both"/>
        <w:rPr>
          <w:rFonts w:asciiTheme="majorHAnsi" w:hAnsiTheme="majorHAnsi"/>
          <w:sz w:val="20"/>
          <w:szCs w:val="20"/>
        </w:rPr>
      </w:pPr>
      <w:r w:rsidRPr="00A24DCA">
        <w:rPr>
          <w:rFonts w:asciiTheme="majorHAnsi" w:hAnsiTheme="majorHAnsi"/>
          <w:sz w:val="20"/>
          <w:szCs w:val="20"/>
        </w:rPr>
        <w:t xml:space="preserve">The Strategic Plan includes all of the </w:t>
      </w:r>
      <w:r w:rsidR="008D3D68" w:rsidRPr="00A24DCA">
        <w:rPr>
          <w:rFonts w:asciiTheme="majorHAnsi" w:hAnsiTheme="majorHAnsi"/>
          <w:sz w:val="20"/>
          <w:szCs w:val="20"/>
        </w:rPr>
        <w:t>Commission’s</w:t>
      </w:r>
      <w:r w:rsidRPr="00A24DCA">
        <w:rPr>
          <w:rFonts w:asciiTheme="majorHAnsi" w:hAnsiTheme="majorHAnsi"/>
          <w:sz w:val="20"/>
          <w:szCs w:val="20"/>
        </w:rPr>
        <w:t xml:space="preserve"> activities in eight programs and their corresponding action plans, layi</w:t>
      </w:r>
      <w:r w:rsidR="0030707D" w:rsidRPr="00A24DCA">
        <w:rPr>
          <w:rFonts w:asciiTheme="majorHAnsi" w:hAnsiTheme="majorHAnsi"/>
          <w:sz w:val="20"/>
          <w:szCs w:val="20"/>
        </w:rPr>
        <w:t xml:space="preserve">ng the foundation for a new </w:t>
      </w:r>
      <w:r w:rsidR="00293567" w:rsidRPr="00A24DCA">
        <w:rPr>
          <w:rFonts w:asciiTheme="majorHAnsi" w:hAnsiTheme="majorHAnsi"/>
          <w:sz w:val="20"/>
          <w:szCs w:val="20"/>
        </w:rPr>
        <w:t>type</w:t>
      </w:r>
      <w:r w:rsidR="0030707D" w:rsidRPr="00A24DCA">
        <w:rPr>
          <w:rFonts w:asciiTheme="majorHAnsi" w:hAnsiTheme="majorHAnsi"/>
          <w:sz w:val="20"/>
          <w:szCs w:val="20"/>
        </w:rPr>
        <w:t xml:space="preserve"> of medium- and long-term cooperation on</w:t>
      </w:r>
      <w:r w:rsidRPr="00A24DCA">
        <w:rPr>
          <w:rFonts w:asciiTheme="majorHAnsi" w:hAnsiTheme="majorHAnsi"/>
          <w:sz w:val="20"/>
          <w:szCs w:val="20"/>
        </w:rPr>
        <w:t xml:space="preserve"> programs, </w:t>
      </w:r>
      <w:r w:rsidR="008D3D68" w:rsidRPr="00A24DCA">
        <w:rPr>
          <w:rFonts w:asciiTheme="majorHAnsi" w:hAnsiTheme="majorHAnsi"/>
          <w:sz w:val="20"/>
          <w:szCs w:val="20"/>
        </w:rPr>
        <w:t>through</w:t>
      </w:r>
      <w:r w:rsidRPr="00A24DCA">
        <w:rPr>
          <w:rFonts w:asciiTheme="majorHAnsi" w:hAnsiTheme="majorHAnsi"/>
          <w:sz w:val="20"/>
          <w:szCs w:val="20"/>
        </w:rPr>
        <w:t xml:space="preserve"> which potential donors can make contributions to </w:t>
      </w:r>
      <w:r w:rsidR="008D3D68" w:rsidRPr="00A24DCA">
        <w:rPr>
          <w:rFonts w:asciiTheme="majorHAnsi" w:hAnsiTheme="majorHAnsi"/>
          <w:sz w:val="20"/>
          <w:szCs w:val="20"/>
        </w:rPr>
        <w:t xml:space="preserve">a joint fund with a single annual report, which in turn provides them with a clear and transparent picture of the financial management of the IACHR. </w:t>
      </w:r>
    </w:p>
    <w:p w:rsidR="003B1AFE" w:rsidRPr="00A24DCA" w:rsidRDefault="003B1AFE" w:rsidP="00B928C1">
      <w:pPr>
        <w:ind w:left="360" w:firstLine="720"/>
        <w:jc w:val="both"/>
        <w:rPr>
          <w:rFonts w:asciiTheme="majorHAnsi" w:hAnsiTheme="majorHAnsi"/>
          <w:sz w:val="20"/>
          <w:szCs w:val="20"/>
        </w:rPr>
      </w:pPr>
    </w:p>
    <w:p w:rsidR="003B1AFE" w:rsidRPr="00A24DCA" w:rsidRDefault="00D51E81" w:rsidP="00873C8D">
      <w:pPr>
        <w:pStyle w:val="ListParagraph"/>
        <w:numPr>
          <w:ilvl w:val="0"/>
          <w:numId w:val="9"/>
        </w:numPr>
        <w:ind w:left="0" w:firstLine="720"/>
        <w:jc w:val="both"/>
        <w:rPr>
          <w:rFonts w:asciiTheme="majorHAnsi" w:hAnsiTheme="majorHAnsi"/>
          <w:sz w:val="20"/>
          <w:szCs w:val="20"/>
        </w:rPr>
      </w:pPr>
      <w:r w:rsidRPr="00A24DCA">
        <w:rPr>
          <w:rFonts w:asciiTheme="majorHAnsi" w:hAnsiTheme="majorHAnsi"/>
          <w:sz w:val="20"/>
          <w:szCs w:val="20"/>
        </w:rPr>
        <w:t xml:space="preserve">Mid-2014, a task force was organized within the Office of the Executive Secretary in order to consider the criteria to be used </w:t>
      </w:r>
      <w:r w:rsidR="00105B07" w:rsidRPr="00A24DCA">
        <w:rPr>
          <w:rFonts w:asciiTheme="majorHAnsi" w:hAnsiTheme="majorHAnsi"/>
          <w:sz w:val="20"/>
          <w:szCs w:val="20"/>
        </w:rPr>
        <w:t>in</w:t>
      </w:r>
      <w:r w:rsidR="00F353FB" w:rsidRPr="00A24DCA">
        <w:rPr>
          <w:rFonts w:asciiTheme="majorHAnsi" w:hAnsiTheme="majorHAnsi"/>
          <w:sz w:val="20"/>
          <w:szCs w:val="20"/>
        </w:rPr>
        <w:t xml:space="preserve"> an</w:t>
      </w:r>
      <w:r w:rsidRPr="00A24DCA">
        <w:rPr>
          <w:rFonts w:asciiTheme="majorHAnsi" w:hAnsiTheme="majorHAnsi"/>
          <w:sz w:val="20"/>
          <w:szCs w:val="20"/>
        </w:rPr>
        <w:t xml:space="preserve"> evaluation of the Strategic Plan</w:t>
      </w:r>
      <w:r w:rsidR="003B1AFE" w:rsidRPr="00A24DCA">
        <w:rPr>
          <w:rFonts w:asciiTheme="majorHAnsi" w:hAnsiTheme="majorHAnsi"/>
          <w:sz w:val="20"/>
          <w:szCs w:val="20"/>
        </w:rPr>
        <w:t xml:space="preserve"> 2011-2015</w:t>
      </w:r>
      <w:r w:rsidR="00105B07" w:rsidRPr="00A24DCA">
        <w:rPr>
          <w:rFonts w:asciiTheme="majorHAnsi" w:hAnsiTheme="majorHAnsi"/>
          <w:sz w:val="20"/>
          <w:szCs w:val="20"/>
        </w:rPr>
        <w:t>. This evaluation</w:t>
      </w:r>
      <w:r w:rsidRPr="00A24DCA">
        <w:rPr>
          <w:rFonts w:asciiTheme="majorHAnsi" w:hAnsiTheme="majorHAnsi"/>
          <w:sz w:val="20"/>
          <w:szCs w:val="20"/>
        </w:rPr>
        <w:t xml:space="preserve"> will not only assess the results obtained, but will also serve as a foundation for the new IACHR Strategic Plan for 2016-2020.</w:t>
      </w:r>
      <w:r w:rsidR="003B1AFE" w:rsidRPr="00A24DCA">
        <w:rPr>
          <w:rFonts w:asciiTheme="majorHAnsi" w:hAnsiTheme="majorHAnsi"/>
          <w:sz w:val="20"/>
          <w:szCs w:val="20"/>
        </w:rPr>
        <w:t xml:space="preserve"> </w:t>
      </w:r>
    </w:p>
    <w:p w:rsidR="003B1AFE" w:rsidRPr="00A24DCA" w:rsidRDefault="003B1AFE" w:rsidP="00B928C1">
      <w:pPr>
        <w:ind w:left="360" w:hanging="360"/>
        <w:jc w:val="both"/>
        <w:rPr>
          <w:rFonts w:asciiTheme="majorHAnsi" w:hAnsiTheme="majorHAnsi"/>
          <w:sz w:val="20"/>
          <w:szCs w:val="20"/>
        </w:rPr>
      </w:pPr>
    </w:p>
    <w:p w:rsidR="003B1AFE" w:rsidRPr="00A24DCA" w:rsidRDefault="00636992" w:rsidP="00B928C1">
      <w:pPr>
        <w:ind w:left="1440" w:hanging="720"/>
        <w:jc w:val="both"/>
        <w:rPr>
          <w:rFonts w:asciiTheme="majorHAnsi" w:eastAsia="MS Mincho" w:hAnsiTheme="majorHAnsi"/>
          <w:b/>
          <w:sz w:val="20"/>
          <w:szCs w:val="20"/>
        </w:rPr>
      </w:pPr>
      <w:bookmarkStart w:id="1" w:name="_Toc401678055"/>
      <w:r w:rsidRPr="00A24DCA">
        <w:rPr>
          <w:rFonts w:asciiTheme="majorHAnsi" w:hAnsiTheme="majorHAnsi"/>
          <w:b/>
          <w:sz w:val="20"/>
          <w:szCs w:val="20"/>
        </w:rPr>
        <w:t>4</w:t>
      </w:r>
      <w:r w:rsidR="003B1AFE" w:rsidRPr="00A24DCA">
        <w:rPr>
          <w:rFonts w:asciiTheme="majorHAnsi" w:hAnsiTheme="majorHAnsi"/>
          <w:b/>
          <w:sz w:val="20"/>
          <w:szCs w:val="20"/>
        </w:rPr>
        <w:t xml:space="preserve">.  </w:t>
      </w:r>
      <w:r w:rsidRPr="00A24DCA">
        <w:rPr>
          <w:rFonts w:asciiTheme="majorHAnsi" w:hAnsiTheme="majorHAnsi"/>
          <w:b/>
          <w:sz w:val="20"/>
          <w:szCs w:val="20"/>
        </w:rPr>
        <w:tab/>
      </w:r>
      <w:r w:rsidR="003B1AFE" w:rsidRPr="00A24DCA">
        <w:rPr>
          <w:rFonts w:asciiTheme="majorHAnsi" w:eastAsia="MS Mincho" w:hAnsiTheme="majorHAnsi"/>
          <w:b/>
          <w:sz w:val="20"/>
          <w:szCs w:val="20"/>
        </w:rPr>
        <w:t>Contribu</w:t>
      </w:r>
      <w:r w:rsidR="003E5AE3" w:rsidRPr="00A24DCA">
        <w:rPr>
          <w:rFonts w:asciiTheme="majorHAnsi" w:eastAsia="MS Mincho" w:hAnsiTheme="majorHAnsi"/>
          <w:b/>
          <w:sz w:val="20"/>
          <w:szCs w:val="20"/>
        </w:rPr>
        <w:t>tion</w:t>
      </w:r>
      <w:r w:rsidR="003B1AFE" w:rsidRPr="00A24DCA">
        <w:rPr>
          <w:rFonts w:asciiTheme="majorHAnsi" w:eastAsia="MS Mincho" w:hAnsiTheme="majorHAnsi"/>
          <w:b/>
          <w:sz w:val="20"/>
          <w:szCs w:val="20"/>
        </w:rPr>
        <w:t xml:space="preserve">s </w:t>
      </w:r>
      <w:r w:rsidR="003E5AE3" w:rsidRPr="00A24DCA">
        <w:rPr>
          <w:rFonts w:asciiTheme="majorHAnsi" w:eastAsia="MS Mincho" w:hAnsiTheme="majorHAnsi"/>
          <w:b/>
          <w:sz w:val="20"/>
          <w:szCs w:val="20"/>
        </w:rPr>
        <w:t>made from January 1, 2014 until November 30, 2014</w:t>
      </w:r>
      <w:bookmarkEnd w:id="1"/>
      <w:r w:rsidR="00762804" w:rsidRPr="00A24DCA">
        <w:rPr>
          <w:rStyle w:val="FootnoteReference"/>
          <w:rFonts w:asciiTheme="majorHAnsi" w:eastAsia="MS Mincho" w:hAnsiTheme="majorHAnsi"/>
          <w:b/>
          <w:sz w:val="20"/>
          <w:szCs w:val="20"/>
        </w:rPr>
        <w:footnoteReference w:id="5"/>
      </w:r>
    </w:p>
    <w:p w:rsidR="003B1AFE" w:rsidRPr="00A24DCA" w:rsidRDefault="003B1AFE" w:rsidP="00B928C1">
      <w:pPr>
        <w:ind w:left="1800"/>
        <w:contextualSpacing/>
        <w:jc w:val="both"/>
        <w:rPr>
          <w:rFonts w:asciiTheme="majorHAnsi" w:hAnsiTheme="majorHAnsi"/>
          <w:b/>
          <w:sz w:val="20"/>
          <w:szCs w:val="20"/>
        </w:rPr>
      </w:pPr>
    </w:p>
    <w:p w:rsidR="003B1AFE" w:rsidRPr="00A24DCA" w:rsidRDefault="00D93EDA"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The Government of Argentina </w:t>
      </w:r>
      <w:r w:rsidR="00815591" w:rsidRPr="00A24DCA">
        <w:rPr>
          <w:rFonts w:asciiTheme="majorHAnsi" w:hAnsiTheme="majorHAnsi"/>
          <w:sz w:val="20"/>
          <w:szCs w:val="20"/>
        </w:rPr>
        <w:t>contributed</w:t>
      </w:r>
      <w:r w:rsidRPr="00A24DCA">
        <w:rPr>
          <w:rFonts w:asciiTheme="majorHAnsi" w:hAnsiTheme="majorHAnsi"/>
          <w:sz w:val="20"/>
          <w:szCs w:val="20"/>
        </w:rPr>
        <w:t xml:space="preserve"> US$60,000 to the Strategic Plan. </w:t>
      </w:r>
      <w:r w:rsidR="003B1AFE" w:rsidRPr="00A24DCA">
        <w:rPr>
          <w:rFonts w:asciiTheme="majorHAnsi" w:hAnsiTheme="majorHAnsi"/>
          <w:sz w:val="20"/>
          <w:szCs w:val="20"/>
        </w:rPr>
        <w:t xml:space="preserve"> </w:t>
      </w:r>
      <w:r w:rsidRPr="00A24DCA">
        <w:rPr>
          <w:rFonts w:asciiTheme="majorHAnsi" w:hAnsiTheme="majorHAnsi"/>
          <w:sz w:val="20"/>
          <w:szCs w:val="20"/>
        </w:rPr>
        <w:t xml:space="preserve">The </w:t>
      </w:r>
      <w:r w:rsidR="00201163" w:rsidRPr="00A24DCA">
        <w:rPr>
          <w:rFonts w:asciiTheme="majorHAnsi" w:hAnsiTheme="majorHAnsi"/>
          <w:sz w:val="20"/>
          <w:szCs w:val="20"/>
        </w:rPr>
        <w:t xml:space="preserve">Office of the Public Prosecutor of the Autonomous City of Buenos Aires contributed </w:t>
      </w:r>
      <w:r w:rsidR="00543882" w:rsidRPr="00A24DCA">
        <w:rPr>
          <w:rFonts w:asciiTheme="majorHAnsi" w:hAnsiTheme="majorHAnsi"/>
          <w:sz w:val="20"/>
          <w:szCs w:val="20"/>
        </w:rPr>
        <w:t xml:space="preserve">US$15,688 </w:t>
      </w:r>
      <w:r w:rsidR="00623BB2" w:rsidRPr="00A24DCA">
        <w:rPr>
          <w:rFonts w:asciiTheme="majorHAnsi" w:hAnsiTheme="majorHAnsi"/>
          <w:sz w:val="20"/>
          <w:szCs w:val="20"/>
        </w:rPr>
        <w:t xml:space="preserve">to the IACHR </w:t>
      </w:r>
      <w:r w:rsidR="002764AA" w:rsidRPr="00A24DCA">
        <w:rPr>
          <w:rFonts w:asciiTheme="majorHAnsi" w:hAnsiTheme="majorHAnsi"/>
          <w:sz w:val="20"/>
          <w:szCs w:val="20"/>
        </w:rPr>
        <w:t xml:space="preserve">to </w:t>
      </w:r>
      <w:r w:rsidR="00815591" w:rsidRPr="00A24DCA">
        <w:rPr>
          <w:rFonts w:asciiTheme="majorHAnsi" w:hAnsiTheme="majorHAnsi"/>
          <w:sz w:val="20"/>
          <w:szCs w:val="20"/>
        </w:rPr>
        <w:t>defray</w:t>
      </w:r>
      <w:r w:rsidR="002764AA" w:rsidRPr="00A24DCA">
        <w:rPr>
          <w:rFonts w:asciiTheme="majorHAnsi" w:hAnsiTheme="majorHAnsi"/>
          <w:sz w:val="20"/>
          <w:szCs w:val="20"/>
        </w:rPr>
        <w:t xml:space="preserve"> the costs </w:t>
      </w:r>
      <w:r w:rsidR="008B1CCF" w:rsidRPr="00A24DCA">
        <w:rPr>
          <w:rFonts w:asciiTheme="majorHAnsi" w:hAnsiTheme="majorHAnsi"/>
          <w:sz w:val="20"/>
          <w:szCs w:val="20"/>
        </w:rPr>
        <w:t>associated with carrying out</w:t>
      </w:r>
      <w:r w:rsidR="002764AA" w:rsidRPr="00A24DCA">
        <w:rPr>
          <w:rFonts w:asciiTheme="majorHAnsi" w:hAnsiTheme="majorHAnsi"/>
          <w:sz w:val="20"/>
          <w:szCs w:val="20"/>
        </w:rPr>
        <w:t xml:space="preserve"> the human rights course offered during the 149th </w:t>
      </w:r>
      <w:r w:rsidR="00623BB2" w:rsidRPr="00A24DCA">
        <w:rPr>
          <w:rFonts w:asciiTheme="majorHAnsi" w:hAnsiTheme="majorHAnsi"/>
          <w:sz w:val="20"/>
          <w:szCs w:val="20"/>
        </w:rPr>
        <w:t>period of sessions.</w:t>
      </w:r>
      <w:r w:rsidR="00543882" w:rsidRPr="00A24DCA">
        <w:rPr>
          <w:rFonts w:asciiTheme="majorHAnsi" w:hAnsiTheme="majorHAnsi"/>
          <w:sz w:val="20"/>
          <w:szCs w:val="20"/>
        </w:rPr>
        <w:t xml:space="preserve">  </w:t>
      </w:r>
    </w:p>
    <w:p w:rsidR="00B928C1" w:rsidRPr="00A24DCA" w:rsidRDefault="00B928C1" w:rsidP="00B928C1">
      <w:pPr>
        <w:jc w:val="both"/>
        <w:rPr>
          <w:rFonts w:asciiTheme="majorHAnsi" w:hAnsiTheme="majorHAnsi"/>
          <w:sz w:val="20"/>
          <w:szCs w:val="20"/>
        </w:rPr>
      </w:pPr>
    </w:p>
    <w:p w:rsidR="003B1AFE" w:rsidRPr="00A24DCA" w:rsidRDefault="003B1AFE"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Canad</w:t>
      </w:r>
      <w:r w:rsidR="00003F89" w:rsidRPr="00A24DCA">
        <w:rPr>
          <w:rFonts w:asciiTheme="majorHAnsi" w:hAnsiTheme="majorHAnsi"/>
          <w:sz w:val="20"/>
          <w:szCs w:val="20"/>
        </w:rPr>
        <w:t xml:space="preserve">a made the penultimate contribution to the project </w:t>
      </w:r>
      <w:r w:rsidR="00BE112A" w:rsidRPr="00A24DCA">
        <w:rPr>
          <w:rFonts w:asciiTheme="majorHAnsi" w:hAnsiTheme="majorHAnsi"/>
          <w:sz w:val="20"/>
          <w:szCs w:val="20"/>
        </w:rPr>
        <w:t xml:space="preserve">in existence </w:t>
      </w:r>
      <w:r w:rsidR="00003F89" w:rsidRPr="00A24DCA">
        <w:rPr>
          <w:rFonts w:asciiTheme="majorHAnsi" w:hAnsiTheme="majorHAnsi"/>
          <w:sz w:val="20"/>
          <w:szCs w:val="20"/>
        </w:rPr>
        <w:t xml:space="preserve">since 2008, in the amount of </w:t>
      </w:r>
      <w:r w:rsidRPr="00A24DCA">
        <w:rPr>
          <w:rFonts w:asciiTheme="majorHAnsi" w:hAnsiTheme="majorHAnsi"/>
          <w:sz w:val="20"/>
          <w:szCs w:val="20"/>
        </w:rPr>
        <w:t xml:space="preserve">US$304,247. </w:t>
      </w:r>
    </w:p>
    <w:p w:rsidR="00B928C1" w:rsidRPr="00A24DCA" w:rsidRDefault="00B928C1" w:rsidP="00B928C1">
      <w:pPr>
        <w:jc w:val="both"/>
        <w:rPr>
          <w:rFonts w:asciiTheme="majorHAnsi" w:hAnsiTheme="majorHAnsi"/>
          <w:sz w:val="20"/>
          <w:szCs w:val="20"/>
        </w:rPr>
      </w:pPr>
    </w:p>
    <w:p w:rsidR="003B1AFE" w:rsidRPr="00A24DCA" w:rsidRDefault="003B1AFE"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Chile </w:t>
      </w:r>
      <w:r w:rsidR="00216A47" w:rsidRPr="00A24DCA">
        <w:rPr>
          <w:rFonts w:asciiTheme="majorHAnsi" w:hAnsiTheme="majorHAnsi"/>
          <w:sz w:val="20"/>
          <w:szCs w:val="20"/>
        </w:rPr>
        <w:t>made a contribution of</w:t>
      </w:r>
      <w:r w:rsidRPr="00A24DCA">
        <w:rPr>
          <w:rFonts w:asciiTheme="majorHAnsi" w:hAnsiTheme="majorHAnsi"/>
          <w:sz w:val="20"/>
          <w:szCs w:val="20"/>
        </w:rPr>
        <w:t xml:space="preserve"> US$</w:t>
      </w:r>
      <w:r w:rsidR="00543882" w:rsidRPr="00A24DCA">
        <w:rPr>
          <w:rFonts w:asciiTheme="majorHAnsi" w:hAnsiTheme="majorHAnsi"/>
          <w:sz w:val="20"/>
          <w:szCs w:val="20"/>
        </w:rPr>
        <w:t>8</w:t>
      </w:r>
      <w:r w:rsidRPr="00A24DCA">
        <w:rPr>
          <w:rFonts w:asciiTheme="majorHAnsi" w:hAnsiTheme="majorHAnsi"/>
          <w:sz w:val="20"/>
          <w:szCs w:val="20"/>
        </w:rPr>
        <w:t xml:space="preserve">5,000 </w:t>
      </w:r>
      <w:r w:rsidR="00216A47" w:rsidRPr="00A24DCA">
        <w:rPr>
          <w:rFonts w:asciiTheme="majorHAnsi" w:hAnsiTheme="majorHAnsi"/>
          <w:sz w:val="20"/>
          <w:szCs w:val="20"/>
        </w:rPr>
        <w:t xml:space="preserve">to the IACHR Strategic Plan. </w:t>
      </w:r>
    </w:p>
    <w:p w:rsidR="00B928C1" w:rsidRPr="00A24DCA" w:rsidRDefault="00B928C1" w:rsidP="00B928C1">
      <w:pPr>
        <w:jc w:val="both"/>
        <w:rPr>
          <w:rFonts w:asciiTheme="majorHAnsi" w:hAnsiTheme="majorHAnsi"/>
          <w:sz w:val="20"/>
          <w:szCs w:val="20"/>
        </w:rPr>
      </w:pPr>
    </w:p>
    <w:p w:rsidR="003B1AFE" w:rsidRPr="00A24DCA" w:rsidRDefault="003B1AFE"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Costa Rica </w:t>
      </w:r>
      <w:r w:rsidR="00216A47" w:rsidRPr="00A24DCA">
        <w:rPr>
          <w:rFonts w:asciiTheme="majorHAnsi" w:hAnsiTheme="majorHAnsi"/>
          <w:sz w:val="20"/>
          <w:szCs w:val="20"/>
        </w:rPr>
        <w:t>contributed</w:t>
      </w:r>
      <w:r w:rsidRPr="00A24DCA">
        <w:rPr>
          <w:rFonts w:asciiTheme="majorHAnsi" w:hAnsiTheme="majorHAnsi"/>
          <w:sz w:val="20"/>
          <w:szCs w:val="20"/>
        </w:rPr>
        <w:t xml:space="preserve"> US$</w:t>
      </w:r>
      <w:r w:rsidR="00543882" w:rsidRPr="00A24DCA">
        <w:rPr>
          <w:rFonts w:asciiTheme="majorHAnsi" w:hAnsiTheme="majorHAnsi"/>
          <w:sz w:val="20"/>
          <w:szCs w:val="20"/>
        </w:rPr>
        <w:t>5,800</w:t>
      </w:r>
      <w:r w:rsidR="00A24DCA">
        <w:rPr>
          <w:rFonts w:asciiTheme="majorHAnsi" w:hAnsiTheme="majorHAnsi"/>
          <w:sz w:val="20"/>
          <w:szCs w:val="20"/>
        </w:rPr>
        <w:t xml:space="preserve"> to the IACHR Strategic Plan</w:t>
      </w:r>
      <w:r w:rsidRPr="00A24DCA">
        <w:rPr>
          <w:rFonts w:asciiTheme="majorHAnsi" w:hAnsiTheme="majorHAnsi"/>
          <w:sz w:val="20"/>
          <w:szCs w:val="20"/>
        </w:rPr>
        <w:t>.</w:t>
      </w:r>
    </w:p>
    <w:p w:rsidR="00B928C1" w:rsidRPr="00A24DCA" w:rsidRDefault="00B928C1" w:rsidP="00B928C1">
      <w:pPr>
        <w:jc w:val="both"/>
        <w:rPr>
          <w:rFonts w:asciiTheme="majorHAnsi" w:hAnsiTheme="majorHAnsi"/>
          <w:sz w:val="20"/>
          <w:szCs w:val="20"/>
        </w:rPr>
      </w:pPr>
    </w:p>
    <w:p w:rsidR="003B1AFE" w:rsidRPr="00A24DCA" w:rsidRDefault="003B1AFE"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M</w:t>
      </w:r>
      <w:r w:rsidR="00216A47" w:rsidRPr="00A24DCA">
        <w:rPr>
          <w:rFonts w:asciiTheme="majorHAnsi" w:hAnsiTheme="majorHAnsi"/>
          <w:sz w:val="20"/>
          <w:szCs w:val="20"/>
        </w:rPr>
        <w:t>e</w:t>
      </w:r>
      <w:r w:rsidRPr="00A24DCA">
        <w:rPr>
          <w:rFonts w:asciiTheme="majorHAnsi" w:hAnsiTheme="majorHAnsi"/>
          <w:sz w:val="20"/>
          <w:szCs w:val="20"/>
        </w:rPr>
        <w:t xml:space="preserve">xico </w:t>
      </w:r>
      <w:r w:rsidR="00216A47" w:rsidRPr="00A24DCA">
        <w:rPr>
          <w:rFonts w:asciiTheme="majorHAnsi" w:hAnsiTheme="majorHAnsi"/>
          <w:sz w:val="20"/>
          <w:szCs w:val="20"/>
        </w:rPr>
        <w:t xml:space="preserve">made a contribution of </w:t>
      </w:r>
      <w:r w:rsidRPr="00A24DCA">
        <w:rPr>
          <w:rFonts w:asciiTheme="majorHAnsi" w:hAnsiTheme="majorHAnsi"/>
          <w:sz w:val="20"/>
          <w:szCs w:val="20"/>
        </w:rPr>
        <w:t xml:space="preserve">US$500,000 </w:t>
      </w:r>
      <w:r w:rsidR="00216A47" w:rsidRPr="00A24DCA">
        <w:rPr>
          <w:rFonts w:asciiTheme="majorHAnsi" w:hAnsiTheme="majorHAnsi"/>
          <w:sz w:val="20"/>
          <w:szCs w:val="20"/>
        </w:rPr>
        <w:t xml:space="preserve">to the IACHR Strategic Plan. </w:t>
      </w:r>
    </w:p>
    <w:p w:rsidR="00B928C1" w:rsidRPr="00A24DCA" w:rsidRDefault="00B928C1" w:rsidP="00B928C1">
      <w:pPr>
        <w:jc w:val="both"/>
        <w:rPr>
          <w:rFonts w:asciiTheme="majorHAnsi" w:hAnsiTheme="majorHAnsi"/>
          <w:sz w:val="20"/>
          <w:szCs w:val="20"/>
        </w:rPr>
      </w:pPr>
    </w:p>
    <w:p w:rsidR="003B1AFE" w:rsidRPr="00A24DCA" w:rsidRDefault="00216A47"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The United States contributed U</w:t>
      </w:r>
      <w:r w:rsidR="003B1AFE" w:rsidRPr="00A24DCA">
        <w:rPr>
          <w:rFonts w:asciiTheme="majorHAnsi" w:hAnsiTheme="majorHAnsi"/>
          <w:sz w:val="20"/>
          <w:szCs w:val="20"/>
        </w:rPr>
        <w:t xml:space="preserve">S$123,725 </w:t>
      </w:r>
      <w:r w:rsidRPr="00A24DCA">
        <w:rPr>
          <w:rFonts w:asciiTheme="majorHAnsi" w:hAnsiTheme="majorHAnsi"/>
          <w:sz w:val="20"/>
          <w:szCs w:val="20"/>
        </w:rPr>
        <w:t xml:space="preserve">to the </w:t>
      </w:r>
      <w:r w:rsidR="00363ABB" w:rsidRPr="00A24DCA">
        <w:rPr>
          <w:rFonts w:asciiTheme="majorHAnsi" w:hAnsiTheme="majorHAnsi"/>
          <w:sz w:val="20"/>
          <w:szCs w:val="20"/>
        </w:rPr>
        <w:t>Rapporteurship for Freedom of Expression and US</w:t>
      </w:r>
      <w:r w:rsidR="003B1AFE" w:rsidRPr="00A24DCA">
        <w:rPr>
          <w:rFonts w:asciiTheme="majorHAnsi" w:hAnsiTheme="majorHAnsi"/>
          <w:sz w:val="20"/>
          <w:szCs w:val="20"/>
        </w:rPr>
        <w:t xml:space="preserve">$750,000 </w:t>
      </w:r>
      <w:r w:rsidR="00363ABB" w:rsidRPr="00A24DCA">
        <w:rPr>
          <w:rFonts w:asciiTheme="majorHAnsi" w:hAnsiTheme="majorHAnsi"/>
          <w:sz w:val="20"/>
          <w:szCs w:val="20"/>
        </w:rPr>
        <w:t xml:space="preserve">to the IACHR </w:t>
      </w:r>
      <w:r w:rsidR="003B1AFE" w:rsidRPr="00A24DCA">
        <w:rPr>
          <w:rFonts w:asciiTheme="majorHAnsi" w:hAnsiTheme="majorHAnsi"/>
          <w:sz w:val="20"/>
          <w:szCs w:val="20"/>
        </w:rPr>
        <w:t>(</w:t>
      </w:r>
      <w:r w:rsidR="00363ABB" w:rsidRPr="00A24DCA">
        <w:rPr>
          <w:rFonts w:asciiTheme="majorHAnsi" w:hAnsiTheme="majorHAnsi"/>
          <w:sz w:val="20"/>
          <w:szCs w:val="20"/>
        </w:rPr>
        <w:t>2013-2014 contribution)</w:t>
      </w:r>
      <w:r w:rsidR="003B1AFE" w:rsidRPr="00A24DCA">
        <w:rPr>
          <w:rFonts w:asciiTheme="majorHAnsi" w:hAnsiTheme="majorHAnsi"/>
          <w:sz w:val="20"/>
          <w:szCs w:val="20"/>
        </w:rPr>
        <w:t xml:space="preserve">.  </w:t>
      </w:r>
      <w:r w:rsidR="00363ABB" w:rsidRPr="00A24DCA">
        <w:rPr>
          <w:rFonts w:asciiTheme="majorHAnsi" w:hAnsiTheme="majorHAnsi"/>
          <w:sz w:val="20"/>
          <w:szCs w:val="20"/>
        </w:rPr>
        <w:t xml:space="preserve">The IACHR has still not received the </w:t>
      </w:r>
      <w:r w:rsidR="00CF75EE" w:rsidRPr="00A24DCA">
        <w:rPr>
          <w:rFonts w:asciiTheme="majorHAnsi" w:hAnsiTheme="majorHAnsi"/>
          <w:sz w:val="20"/>
          <w:szCs w:val="20"/>
        </w:rPr>
        <w:t xml:space="preserve">United States’ </w:t>
      </w:r>
      <w:r w:rsidR="00363ABB" w:rsidRPr="00A24DCA">
        <w:rPr>
          <w:rFonts w:asciiTheme="majorHAnsi" w:hAnsiTheme="majorHAnsi"/>
          <w:sz w:val="20"/>
          <w:szCs w:val="20"/>
        </w:rPr>
        <w:t xml:space="preserve">2014-2015 contribution. </w:t>
      </w:r>
    </w:p>
    <w:p w:rsidR="00B928C1" w:rsidRPr="00A24DCA" w:rsidRDefault="00B928C1" w:rsidP="00B928C1">
      <w:pPr>
        <w:jc w:val="both"/>
        <w:rPr>
          <w:rFonts w:asciiTheme="majorHAnsi" w:hAnsiTheme="majorHAnsi"/>
          <w:sz w:val="20"/>
          <w:szCs w:val="20"/>
        </w:rPr>
      </w:pPr>
    </w:p>
    <w:p w:rsidR="003B1AFE" w:rsidRPr="00A24DCA" w:rsidRDefault="003B1AFE" w:rsidP="00B928C1">
      <w:pPr>
        <w:numPr>
          <w:ilvl w:val="0"/>
          <w:numId w:val="8"/>
        </w:numPr>
        <w:tabs>
          <w:tab w:val="clear" w:pos="360"/>
        </w:tabs>
        <w:ind w:left="1440" w:hanging="720"/>
        <w:contextualSpacing/>
        <w:jc w:val="both"/>
        <w:rPr>
          <w:rFonts w:asciiTheme="majorHAnsi" w:hAnsiTheme="majorHAnsi"/>
          <w:sz w:val="20"/>
          <w:szCs w:val="20"/>
        </w:rPr>
      </w:pPr>
      <w:r w:rsidRPr="00A24DCA">
        <w:rPr>
          <w:rFonts w:asciiTheme="majorHAnsi" w:hAnsiTheme="majorHAnsi"/>
          <w:sz w:val="20"/>
          <w:szCs w:val="20"/>
        </w:rPr>
        <w:t>D</w:t>
      </w:r>
      <w:r w:rsidR="008E3C69" w:rsidRPr="00A24DCA">
        <w:rPr>
          <w:rFonts w:asciiTheme="majorHAnsi" w:hAnsiTheme="majorHAnsi"/>
          <w:sz w:val="20"/>
          <w:szCs w:val="20"/>
        </w:rPr>
        <w:t xml:space="preserve">enmark has </w:t>
      </w:r>
      <w:r w:rsidR="0054085B" w:rsidRPr="00A24DCA">
        <w:rPr>
          <w:rFonts w:asciiTheme="majorHAnsi" w:hAnsiTheme="majorHAnsi"/>
          <w:sz w:val="20"/>
          <w:szCs w:val="20"/>
        </w:rPr>
        <w:t xml:space="preserve">made </w:t>
      </w:r>
      <w:r w:rsidR="008E3C69" w:rsidRPr="00A24DCA">
        <w:rPr>
          <w:rFonts w:asciiTheme="majorHAnsi" w:hAnsiTheme="majorHAnsi"/>
          <w:sz w:val="20"/>
          <w:szCs w:val="20"/>
        </w:rPr>
        <w:t xml:space="preserve">disbursements worth US$684,213 for its </w:t>
      </w:r>
      <w:r w:rsidR="0054085B" w:rsidRPr="00A24DCA">
        <w:rPr>
          <w:rFonts w:asciiTheme="majorHAnsi" w:hAnsiTheme="majorHAnsi"/>
          <w:sz w:val="20"/>
          <w:szCs w:val="20"/>
        </w:rPr>
        <w:t xml:space="preserve">program for human rights in Central America </w:t>
      </w:r>
      <w:r w:rsidRPr="00A24DCA">
        <w:rPr>
          <w:rFonts w:asciiTheme="majorHAnsi" w:hAnsiTheme="majorHAnsi"/>
          <w:sz w:val="20"/>
          <w:szCs w:val="20"/>
        </w:rPr>
        <w:t xml:space="preserve">(PRODECA). </w:t>
      </w:r>
      <w:r w:rsidR="00A24DCA">
        <w:rPr>
          <w:rFonts w:asciiTheme="majorHAnsi" w:hAnsiTheme="majorHAnsi"/>
          <w:sz w:val="20"/>
          <w:szCs w:val="20"/>
        </w:rPr>
        <w:t xml:space="preserve">This program supports </w:t>
      </w:r>
      <w:r w:rsidR="00174298" w:rsidRPr="00A24DCA">
        <w:rPr>
          <w:rFonts w:asciiTheme="majorHAnsi" w:hAnsiTheme="majorHAnsi"/>
          <w:sz w:val="20"/>
          <w:szCs w:val="20"/>
        </w:rPr>
        <w:t>the IACHR Strategic Plan</w:t>
      </w:r>
      <w:r w:rsidRPr="00A24DCA">
        <w:rPr>
          <w:rFonts w:asciiTheme="majorHAnsi" w:hAnsiTheme="majorHAnsi"/>
          <w:sz w:val="20"/>
          <w:szCs w:val="20"/>
        </w:rPr>
        <w:t>.</w:t>
      </w:r>
    </w:p>
    <w:p w:rsidR="003B1AFE" w:rsidRPr="00A24DCA" w:rsidRDefault="003B1AFE" w:rsidP="00B928C1">
      <w:pPr>
        <w:ind w:left="1440"/>
        <w:contextualSpacing/>
        <w:jc w:val="both"/>
        <w:rPr>
          <w:rFonts w:asciiTheme="majorHAnsi" w:hAnsiTheme="majorHAnsi"/>
          <w:sz w:val="20"/>
          <w:szCs w:val="20"/>
        </w:rPr>
      </w:pPr>
    </w:p>
    <w:p w:rsidR="003B1AFE" w:rsidRPr="00A24DCA" w:rsidRDefault="00640BBC"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The first disbursement of the European Union’s contribution, worth US$547,263, was received. </w:t>
      </w:r>
      <w:r w:rsidR="00B01752">
        <w:rPr>
          <w:rFonts w:asciiTheme="majorHAnsi" w:hAnsiTheme="majorHAnsi"/>
          <w:sz w:val="20"/>
          <w:szCs w:val="20"/>
        </w:rPr>
        <w:t>The</w:t>
      </w:r>
      <w:r w:rsidRPr="00A24DCA">
        <w:rPr>
          <w:rFonts w:asciiTheme="majorHAnsi" w:hAnsiTheme="majorHAnsi"/>
          <w:sz w:val="20"/>
          <w:szCs w:val="20"/>
        </w:rPr>
        <w:t xml:space="preserve"> European Union is contributing €1,000,000</w:t>
      </w:r>
      <w:r w:rsidR="00351C92" w:rsidRPr="00A24DCA">
        <w:rPr>
          <w:rFonts w:asciiTheme="majorHAnsi" w:hAnsiTheme="majorHAnsi"/>
          <w:sz w:val="20"/>
          <w:szCs w:val="20"/>
        </w:rPr>
        <w:t xml:space="preserve"> for the years 2014-2015</w:t>
      </w:r>
      <w:r w:rsidRPr="00A24DCA">
        <w:rPr>
          <w:rFonts w:asciiTheme="majorHAnsi" w:hAnsiTheme="majorHAnsi"/>
          <w:sz w:val="20"/>
          <w:szCs w:val="20"/>
        </w:rPr>
        <w:t xml:space="preserve">, distributed as follows: </w:t>
      </w:r>
      <w:r w:rsidR="003B1AFE" w:rsidRPr="00A24DCA">
        <w:rPr>
          <w:rFonts w:asciiTheme="majorHAnsi" w:hAnsiTheme="majorHAnsi"/>
          <w:sz w:val="20"/>
          <w:szCs w:val="20"/>
        </w:rPr>
        <w:t>€700</w:t>
      </w:r>
      <w:r w:rsidRPr="00A24DCA">
        <w:rPr>
          <w:rFonts w:asciiTheme="majorHAnsi" w:hAnsiTheme="majorHAnsi"/>
          <w:sz w:val="20"/>
          <w:szCs w:val="20"/>
        </w:rPr>
        <w:t>,</w:t>
      </w:r>
      <w:r w:rsidR="003B1AFE" w:rsidRPr="00A24DCA">
        <w:rPr>
          <w:rFonts w:asciiTheme="majorHAnsi" w:hAnsiTheme="majorHAnsi"/>
          <w:sz w:val="20"/>
          <w:szCs w:val="20"/>
        </w:rPr>
        <w:t xml:space="preserve">000 </w:t>
      </w:r>
      <w:r w:rsidRPr="00A24DCA">
        <w:rPr>
          <w:rFonts w:asciiTheme="majorHAnsi" w:hAnsiTheme="majorHAnsi"/>
          <w:sz w:val="20"/>
          <w:szCs w:val="20"/>
        </w:rPr>
        <w:t>to the IACHR and €300,</w:t>
      </w:r>
      <w:r w:rsidR="003B1AFE" w:rsidRPr="00A24DCA">
        <w:rPr>
          <w:rFonts w:asciiTheme="majorHAnsi" w:hAnsiTheme="majorHAnsi"/>
          <w:sz w:val="20"/>
          <w:szCs w:val="20"/>
        </w:rPr>
        <w:t xml:space="preserve">000 </w:t>
      </w:r>
      <w:r w:rsidRPr="00A24DCA">
        <w:rPr>
          <w:rFonts w:asciiTheme="majorHAnsi" w:hAnsiTheme="majorHAnsi"/>
          <w:sz w:val="20"/>
          <w:szCs w:val="20"/>
        </w:rPr>
        <w:t>to the Inter-American Court of Human Rights. The contribution to the IACHR is focused on two Strategic Plan programs: Program IV, Rapporteurships, with resources for drawing up</w:t>
      </w:r>
      <w:r w:rsidR="00351C92" w:rsidRPr="00A24DCA">
        <w:rPr>
          <w:rFonts w:asciiTheme="majorHAnsi" w:hAnsiTheme="majorHAnsi"/>
          <w:sz w:val="20"/>
          <w:szCs w:val="20"/>
        </w:rPr>
        <w:t xml:space="preserve"> a provisional report on poverty and human rights, a topic </w:t>
      </w:r>
      <w:r w:rsidR="007A45DF" w:rsidRPr="00A24DCA">
        <w:rPr>
          <w:rFonts w:asciiTheme="majorHAnsi" w:hAnsiTheme="majorHAnsi"/>
          <w:sz w:val="20"/>
          <w:szCs w:val="20"/>
        </w:rPr>
        <w:t xml:space="preserve">that </w:t>
      </w:r>
      <w:r w:rsidR="009869A5" w:rsidRPr="00A24DCA">
        <w:rPr>
          <w:rFonts w:asciiTheme="majorHAnsi" w:hAnsiTheme="majorHAnsi"/>
          <w:sz w:val="20"/>
          <w:szCs w:val="20"/>
        </w:rPr>
        <w:t>is relevant</w:t>
      </w:r>
      <w:r w:rsidR="007A45DF" w:rsidRPr="00A24DCA">
        <w:rPr>
          <w:rFonts w:asciiTheme="majorHAnsi" w:hAnsiTheme="majorHAnsi"/>
          <w:sz w:val="20"/>
          <w:szCs w:val="20"/>
        </w:rPr>
        <w:t xml:space="preserve"> to all of</w:t>
      </w:r>
      <w:r w:rsidR="00351C92" w:rsidRPr="00A24DCA">
        <w:rPr>
          <w:rFonts w:asciiTheme="majorHAnsi" w:hAnsiTheme="majorHAnsi"/>
          <w:sz w:val="20"/>
          <w:szCs w:val="20"/>
        </w:rPr>
        <w:t xml:space="preserve"> the Rapporteurships and Thematic Units</w:t>
      </w:r>
      <w:r w:rsidR="003E1ED8" w:rsidRPr="00A24DCA">
        <w:rPr>
          <w:rFonts w:asciiTheme="majorHAnsi" w:hAnsiTheme="majorHAnsi"/>
          <w:sz w:val="20"/>
          <w:szCs w:val="20"/>
        </w:rPr>
        <w:t>, and Program</w:t>
      </w:r>
      <w:r w:rsidR="00B01752">
        <w:rPr>
          <w:rFonts w:asciiTheme="majorHAnsi" w:hAnsiTheme="majorHAnsi"/>
          <w:sz w:val="20"/>
          <w:szCs w:val="20"/>
        </w:rPr>
        <w:t xml:space="preserve"> II, Individual Petition System</w:t>
      </w:r>
      <w:r w:rsidR="003E1ED8" w:rsidRPr="00A24DCA">
        <w:rPr>
          <w:rFonts w:asciiTheme="majorHAnsi" w:hAnsiTheme="majorHAnsi"/>
          <w:sz w:val="20"/>
          <w:szCs w:val="20"/>
        </w:rPr>
        <w:t xml:space="preserve">. Likewise, </w:t>
      </w:r>
      <w:r w:rsidR="00EA14B6" w:rsidRPr="00A24DCA">
        <w:rPr>
          <w:rFonts w:asciiTheme="majorHAnsi" w:hAnsiTheme="majorHAnsi"/>
          <w:sz w:val="20"/>
          <w:szCs w:val="20"/>
        </w:rPr>
        <w:t xml:space="preserve">it is expected that </w:t>
      </w:r>
      <w:r w:rsidR="003E1ED8" w:rsidRPr="00A24DCA">
        <w:rPr>
          <w:rFonts w:asciiTheme="majorHAnsi" w:hAnsiTheme="majorHAnsi"/>
          <w:sz w:val="20"/>
          <w:szCs w:val="20"/>
        </w:rPr>
        <w:t>the final disbursement for the 2010 project financed by the European Union</w:t>
      </w:r>
      <w:r w:rsidR="00EA14B6" w:rsidRPr="00A24DCA">
        <w:rPr>
          <w:rFonts w:asciiTheme="majorHAnsi" w:hAnsiTheme="majorHAnsi"/>
          <w:sz w:val="20"/>
          <w:szCs w:val="20"/>
        </w:rPr>
        <w:t xml:space="preserve"> will be received</w:t>
      </w:r>
      <w:r w:rsidR="003E1ED8" w:rsidRPr="00A24DCA">
        <w:rPr>
          <w:rFonts w:asciiTheme="majorHAnsi" w:hAnsiTheme="majorHAnsi"/>
          <w:sz w:val="20"/>
          <w:szCs w:val="20"/>
        </w:rPr>
        <w:t>, in the amount of US$65,103</w:t>
      </w:r>
      <w:r w:rsidR="003B1AFE" w:rsidRPr="00A24DCA">
        <w:rPr>
          <w:rFonts w:asciiTheme="majorHAnsi" w:hAnsiTheme="majorHAnsi"/>
          <w:sz w:val="20"/>
          <w:szCs w:val="20"/>
        </w:rPr>
        <w:t>.</w:t>
      </w:r>
    </w:p>
    <w:p w:rsidR="00B928C1" w:rsidRPr="00A24DCA" w:rsidRDefault="00B928C1" w:rsidP="00B928C1">
      <w:pPr>
        <w:jc w:val="both"/>
        <w:rPr>
          <w:rFonts w:asciiTheme="majorHAnsi" w:hAnsiTheme="majorHAnsi"/>
          <w:sz w:val="20"/>
          <w:szCs w:val="20"/>
        </w:rPr>
      </w:pPr>
    </w:p>
    <w:p w:rsidR="00B928C1" w:rsidRPr="00A24DCA" w:rsidRDefault="00234DE0"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lastRenderedPageBreak/>
        <w:t xml:space="preserve">Finland made the third contribution in the amount </w:t>
      </w:r>
      <w:r w:rsidR="00145B83" w:rsidRPr="00A24DCA">
        <w:rPr>
          <w:rFonts w:asciiTheme="majorHAnsi" w:hAnsiTheme="majorHAnsi"/>
          <w:sz w:val="20"/>
          <w:szCs w:val="20"/>
        </w:rPr>
        <w:t xml:space="preserve">of </w:t>
      </w:r>
      <w:r w:rsidR="003B1AFE" w:rsidRPr="00A24DCA">
        <w:rPr>
          <w:rFonts w:asciiTheme="majorHAnsi" w:hAnsiTheme="majorHAnsi"/>
          <w:sz w:val="20"/>
          <w:szCs w:val="20"/>
        </w:rPr>
        <w:t>US$38</w:t>
      </w:r>
      <w:r w:rsidR="00543882" w:rsidRPr="00A24DCA">
        <w:rPr>
          <w:rFonts w:asciiTheme="majorHAnsi" w:hAnsiTheme="majorHAnsi"/>
          <w:sz w:val="20"/>
          <w:szCs w:val="20"/>
        </w:rPr>
        <w:t>8</w:t>
      </w:r>
      <w:r w:rsidR="003B1AFE" w:rsidRPr="00A24DCA">
        <w:rPr>
          <w:rFonts w:asciiTheme="majorHAnsi" w:hAnsiTheme="majorHAnsi"/>
          <w:sz w:val="20"/>
          <w:szCs w:val="20"/>
        </w:rPr>
        <w:t xml:space="preserve">,800 </w:t>
      </w:r>
      <w:r w:rsidRPr="00A24DCA">
        <w:rPr>
          <w:rFonts w:asciiTheme="majorHAnsi" w:hAnsiTheme="majorHAnsi"/>
          <w:sz w:val="20"/>
          <w:szCs w:val="20"/>
        </w:rPr>
        <w:t>to the Rapporteurship for Freedom of Expression.</w:t>
      </w:r>
    </w:p>
    <w:p w:rsidR="00B928C1" w:rsidRPr="00A24DCA" w:rsidRDefault="00B928C1" w:rsidP="00B928C1">
      <w:pPr>
        <w:jc w:val="both"/>
        <w:rPr>
          <w:rFonts w:asciiTheme="majorHAnsi" w:hAnsiTheme="majorHAnsi"/>
          <w:sz w:val="20"/>
          <w:szCs w:val="20"/>
        </w:rPr>
      </w:pPr>
    </w:p>
    <w:p w:rsidR="003B1AFE" w:rsidRPr="00A24DCA" w:rsidRDefault="00234DE0"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Th</w:t>
      </w:r>
      <w:r w:rsidR="00E81EF0" w:rsidRPr="00A24DCA">
        <w:rPr>
          <w:rFonts w:asciiTheme="majorHAnsi" w:hAnsiTheme="majorHAnsi"/>
          <w:sz w:val="20"/>
          <w:szCs w:val="20"/>
        </w:rPr>
        <w:t xml:space="preserve">e Spanish Fund for the OAS provided </w:t>
      </w:r>
      <w:r w:rsidR="003B1AFE" w:rsidRPr="00A24DCA">
        <w:rPr>
          <w:rFonts w:asciiTheme="majorHAnsi" w:hAnsiTheme="majorHAnsi"/>
          <w:sz w:val="20"/>
          <w:szCs w:val="20"/>
        </w:rPr>
        <w:t xml:space="preserve">US$180,000 </w:t>
      </w:r>
      <w:r w:rsidRPr="00A24DCA">
        <w:rPr>
          <w:rFonts w:asciiTheme="majorHAnsi" w:hAnsiTheme="majorHAnsi"/>
          <w:sz w:val="20"/>
          <w:szCs w:val="20"/>
        </w:rPr>
        <w:t>to cover</w:t>
      </w:r>
      <w:r w:rsidR="003B1AFE" w:rsidRPr="00A24DCA">
        <w:rPr>
          <w:rFonts w:asciiTheme="majorHAnsi" w:hAnsiTheme="majorHAnsi"/>
          <w:sz w:val="20"/>
          <w:szCs w:val="20"/>
        </w:rPr>
        <w:t xml:space="preserve"> 60% </w:t>
      </w:r>
      <w:r w:rsidRPr="00A24DCA">
        <w:rPr>
          <w:rFonts w:asciiTheme="majorHAnsi" w:hAnsiTheme="majorHAnsi"/>
          <w:sz w:val="20"/>
          <w:szCs w:val="20"/>
        </w:rPr>
        <w:t xml:space="preserve">of the financing of the project on Friendly Settlements. </w:t>
      </w:r>
      <w:r w:rsidR="00342EDC" w:rsidRPr="00A24DCA">
        <w:rPr>
          <w:rFonts w:asciiTheme="majorHAnsi" w:hAnsiTheme="majorHAnsi"/>
          <w:sz w:val="20"/>
          <w:szCs w:val="20"/>
        </w:rPr>
        <w:t xml:space="preserve">The final disbursement, in the amount of US$30,000, is expected to be received upon presentation of the project’s </w:t>
      </w:r>
      <w:r w:rsidR="008A76A5" w:rsidRPr="00A24DCA">
        <w:rPr>
          <w:rFonts w:asciiTheme="majorHAnsi" w:hAnsiTheme="majorHAnsi"/>
          <w:sz w:val="20"/>
          <w:szCs w:val="20"/>
        </w:rPr>
        <w:t>interim</w:t>
      </w:r>
      <w:r w:rsidR="00342EDC" w:rsidRPr="00A24DCA">
        <w:rPr>
          <w:rFonts w:asciiTheme="majorHAnsi" w:hAnsiTheme="majorHAnsi"/>
          <w:sz w:val="20"/>
          <w:szCs w:val="20"/>
        </w:rPr>
        <w:t xml:space="preserve"> reports.</w:t>
      </w:r>
    </w:p>
    <w:p w:rsidR="00B928C1" w:rsidRPr="00A24DCA" w:rsidRDefault="00B928C1" w:rsidP="00B928C1">
      <w:pPr>
        <w:jc w:val="both"/>
        <w:rPr>
          <w:rFonts w:asciiTheme="majorHAnsi" w:hAnsiTheme="majorHAnsi"/>
          <w:sz w:val="20"/>
          <w:szCs w:val="20"/>
        </w:rPr>
      </w:pPr>
    </w:p>
    <w:p w:rsidR="003B1AFE" w:rsidRPr="00A24DCA" w:rsidRDefault="00D7602A"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The Government of Holland contributed a total of </w:t>
      </w:r>
      <w:r w:rsidR="003B1AFE" w:rsidRPr="00A24DCA">
        <w:rPr>
          <w:rFonts w:asciiTheme="majorHAnsi" w:hAnsiTheme="majorHAnsi"/>
          <w:sz w:val="20"/>
          <w:szCs w:val="20"/>
        </w:rPr>
        <w:t>US$317,662</w:t>
      </w:r>
      <w:r w:rsidRPr="00A24DCA">
        <w:rPr>
          <w:rFonts w:asciiTheme="majorHAnsi" w:hAnsiTheme="majorHAnsi"/>
          <w:sz w:val="20"/>
          <w:szCs w:val="20"/>
        </w:rPr>
        <w:t>, 20% of which is allocated to the Rapporteurship on the Rights of LGBTI Persons.</w:t>
      </w:r>
      <w:r w:rsidR="003B1AFE" w:rsidRPr="00A24DCA">
        <w:rPr>
          <w:rFonts w:asciiTheme="majorHAnsi" w:hAnsiTheme="majorHAnsi"/>
          <w:sz w:val="20"/>
          <w:szCs w:val="20"/>
        </w:rPr>
        <w:t xml:space="preserve"> </w:t>
      </w:r>
    </w:p>
    <w:p w:rsidR="00B928C1" w:rsidRPr="00A24DCA" w:rsidRDefault="00B928C1" w:rsidP="00B928C1">
      <w:pPr>
        <w:jc w:val="both"/>
        <w:rPr>
          <w:rFonts w:asciiTheme="majorHAnsi" w:hAnsiTheme="majorHAnsi"/>
          <w:sz w:val="20"/>
          <w:szCs w:val="20"/>
        </w:rPr>
      </w:pPr>
    </w:p>
    <w:p w:rsidR="003B1AFE" w:rsidRPr="00A24DCA" w:rsidRDefault="00B01752" w:rsidP="00B928C1">
      <w:pPr>
        <w:numPr>
          <w:ilvl w:val="0"/>
          <w:numId w:val="8"/>
        </w:numPr>
        <w:tabs>
          <w:tab w:val="clear" w:pos="360"/>
        </w:tabs>
        <w:ind w:left="1440" w:hanging="720"/>
        <w:jc w:val="both"/>
        <w:rPr>
          <w:rFonts w:asciiTheme="majorHAnsi" w:hAnsiTheme="majorHAnsi"/>
          <w:sz w:val="20"/>
          <w:szCs w:val="20"/>
        </w:rPr>
      </w:pPr>
      <w:r>
        <w:rPr>
          <w:rFonts w:asciiTheme="majorHAnsi" w:hAnsiTheme="majorHAnsi"/>
          <w:sz w:val="20"/>
          <w:szCs w:val="20"/>
        </w:rPr>
        <w:t xml:space="preserve">The Government of Switzerland contributed </w:t>
      </w:r>
      <w:r w:rsidRPr="00A24DCA">
        <w:rPr>
          <w:rFonts w:asciiTheme="majorHAnsi" w:hAnsiTheme="majorHAnsi"/>
          <w:sz w:val="20"/>
          <w:szCs w:val="20"/>
        </w:rPr>
        <w:t xml:space="preserve">US$12,788 </w:t>
      </w:r>
      <w:r>
        <w:rPr>
          <w:rFonts w:asciiTheme="majorHAnsi" w:hAnsiTheme="majorHAnsi"/>
          <w:sz w:val="20"/>
          <w:szCs w:val="20"/>
        </w:rPr>
        <w:t>in support of t</w:t>
      </w:r>
      <w:r w:rsidR="00DC0956" w:rsidRPr="00A24DCA">
        <w:rPr>
          <w:rFonts w:asciiTheme="majorHAnsi" w:hAnsiTheme="majorHAnsi"/>
          <w:sz w:val="20"/>
          <w:szCs w:val="20"/>
        </w:rPr>
        <w:t>he Rapporteurship for Freedom of Expression</w:t>
      </w:r>
      <w:r w:rsidR="003B1AFE" w:rsidRPr="00A24DCA">
        <w:rPr>
          <w:rFonts w:asciiTheme="majorHAnsi" w:hAnsiTheme="majorHAnsi"/>
          <w:sz w:val="20"/>
          <w:szCs w:val="20"/>
        </w:rPr>
        <w:t>.</w:t>
      </w:r>
    </w:p>
    <w:p w:rsidR="00B928C1" w:rsidRPr="00A24DCA" w:rsidRDefault="00B928C1" w:rsidP="00B928C1">
      <w:pPr>
        <w:jc w:val="both"/>
        <w:rPr>
          <w:rFonts w:asciiTheme="majorHAnsi" w:hAnsiTheme="majorHAnsi"/>
          <w:sz w:val="20"/>
          <w:szCs w:val="20"/>
        </w:rPr>
      </w:pPr>
    </w:p>
    <w:p w:rsidR="003B1AFE" w:rsidRPr="00A24DCA" w:rsidRDefault="00505A6B"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In terms of</w:t>
      </w:r>
      <w:r w:rsidR="009D5DC0" w:rsidRPr="00A24DCA">
        <w:rPr>
          <w:rFonts w:asciiTheme="majorHAnsi" w:hAnsiTheme="majorHAnsi"/>
          <w:sz w:val="20"/>
          <w:szCs w:val="20"/>
        </w:rPr>
        <w:t xml:space="preserve"> contributions from other institutions, </w:t>
      </w:r>
      <w:r w:rsidRPr="00A24DCA">
        <w:rPr>
          <w:rFonts w:asciiTheme="majorHAnsi" w:hAnsiTheme="majorHAnsi"/>
          <w:sz w:val="20"/>
          <w:szCs w:val="20"/>
        </w:rPr>
        <w:t xml:space="preserve">it is worth highlighting </w:t>
      </w:r>
      <w:r w:rsidR="009D5DC0" w:rsidRPr="00A24DCA">
        <w:rPr>
          <w:rFonts w:asciiTheme="majorHAnsi" w:hAnsiTheme="majorHAnsi"/>
          <w:sz w:val="20"/>
          <w:szCs w:val="20"/>
        </w:rPr>
        <w:t xml:space="preserve">the contribution made by the ARCUS Foundation in the amount of US$45,000 to finance </w:t>
      </w:r>
      <w:r w:rsidR="000E2DDB" w:rsidRPr="00A24DCA">
        <w:rPr>
          <w:rFonts w:asciiTheme="majorHAnsi" w:hAnsiTheme="majorHAnsi"/>
          <w:sz w:val="20"/>
          <w:szCs w:val="20"/>
        </w:rPr>
        <w:t>a fellow</w:t>
      </w:r>
      <w:r w:rsidR="009D5DC0" w:rsidRPr="00A24DCA">
        <w:rPr>
          <w:rFonts w:asciiTheme="majorHAnsi" w:hAnsiTheme="majorHAnsi"/>
          <w:sz w:val="20"/>
          <w:szCs w:val="20"/>
        </w:rPr>
        <w:t xml:space="preserve"> to support the LGBTI Persons Unit</w:t>
      </w:r>
      <w:r w:rsidR="00543882" w:rsidRPr="00A24DCA">
        <w:rPr>
          <w:rFonts w:asciiTheme="majorHAnsi" w:hAnsiTheme="majorHAnsi"/>
          <w:sz w:val="20"/>
          <w:szCs w:val="20"/>
        </w:rPr>
        <w:t>.</w:t>
      </w:r>
    </w:p>
    <w:p w:rsidR="00B928C1" w:rsidRPr="00A24DCA" w:rsidRDefault="00B928C1" w:rsidP="00B928C1">
      <w:pPr>
        <w:jc w:val="both"/>
        <w:rPr>
          <w:rFonts w:asciiTheme="majorHAnsi" w:hAnsiTheme="majorHAnsi"/>
          <w:sz w:val="20"/>
          <w:szCs w:val="20"/>
        </w:rPr>
      </w:pPr>
    </w:p>
    <w:p w:rsidR="003B1AFE" w:rsidRPr="00A24DCA" w:rsidRDefault="00A73412"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The Office of the United Nations High Commissioner for Refugees gave a contribution of US$60,000, to support </w:t>
      </w:r>
      <w:r w:rsidR="00B01752">
        <w:rPr>
          <w:rFonts w:asciiTheme="majorHAnsi" w:hAnsiTheme="majorHAnsi"/>
          <w:sz w:val="20"/>
          <w:szCs w:val="20"/>
        </w:rPr>
        <w:t>diverse activities</w:t>
      </w:r>
      <w:r w:rsidRPr="00A24DCA">
        <w:rPr>
          <w:rFonts w:asciiTheme="majorHAnsi" w:hAnsiTheme="majorHAnsi"/>
          <w:sz w:val="20"/>
          <w:szCs w:val="20"/>
        </w:rPr>
        <w:t>.</w:t>
      </w:r>
    </w:p>
    <w:p w:rsidR="00B928C1" w:rsidRPr="00A24DCA" w:rsidRDefault="00B928C1" w:rsidP="00B928C1">
      <w:pPr>
        <w:jc w:val="both"/>
        <w:rPr>
          <w:rFonts w:asciiTheme="majorHAnsi" w:hAnsiTheme="majorHAnsi"/>
          <w:sz w:val="20"/>
          <w:szCs w:val="20"/>
        </w:rPr>
      </w:pPr>
    </w:p>
    <w:p w:rsidR="003B1AFE" w:rsidRPr="00A24DCA" w:rsidRDefault="00680343"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The sum of </w:t>
      </w:r>
      <w:r w:rsidR="003B1AFE" w:rsidRPr="00A24DCA">
        <w:rPr>
          <w:rFonts w:asciiTheme="majorHAnsi" w:hAnsiTheme="majorHAnsi"/>
          <w:sz w:val="20"/>
          <w:szCs w:val="20"/>
        </w:rPr>
        <w:t xml:space="preserve">US$136,000 </w:t>
      </w:r>
      <w:r w:rsidR="00837B55" w:rsidRPr="00A24DCA">
        <w:rPr>
          <w:rFonts w:asciiTheme="majorHAnsi" w:hAnsiTheme="majorHAnsi"/>
          <w:sz w:val="20"/>
          <w:szCs w:val="20"/>
        </w:rPr>
        <w:t>w</w:t>
      </w:r>
      <w:r w:rsidRPr="00A24DCA">
        <w:rPr>
          <w:rFonts w:asciiTheme="majorHAnsi" w:hAnsiTheme="majorHAnsi"/>
          <w:sz w:val="20"/>
          <w:szCs w:val="20"/>
        </w:rPr>
        <w:t>as</w:t>
      </w:r>
      <w:r w:rsidR="00A73412" w:rsidRPr="00A24DCA">
        <w:rPr>
          <w:rFonts w:asciiTheme="majorHAnsi" w:hAnsiTheme="majorHAnsi"/>
          <w:sz w:val="20"/>
          <w:szCs w:val="20"/>
        </w:rPr>
        <w:t xml:space="preserve"> received from the International Work Group for Indigenous Affairs (IWGIA) for financing the third phase of the </w:t>
      </w:r>
      <w:r w:rsidR="00FA62E1" w:rsidRPr="00A24DCA">
        <w:rPr>
          <w:rFonts w:asciiTheme="majorHAnsi" w:hAnsiTheme="majorHAnsi"/>
          <w:sz w:val="20"/>
          <w:szCs w:val="20"/>
        </w:rPr>
        <w:t>project in support of</w:t>
      </w:r>
      <w:r w:rsidR="004C45BE" w:rsidRPr="00A24DCA">
        <w:rPr>
          <w:rFonts w:asciiTheme="majorHAnsi" w:hAnsiTheme="majorHAnsi"/>
          <w:sz w:val="20"/>
          <w:szCs w:val="20"/>
        </w:rPr>
        <w:t xml:space="preserve"> the Rapporteurship on the Rights of Indigenous Peoples.</w:t>
      </w:r>
      <w:r w:rsidR="003B1AFE" w:rsidRPr="00A24DCA">
        <w:rPr>
          <w:rFonts w:asciiTheme="majorHAnsi" w:hAnsiTheme="majorHAnsi"/>
          <w:sz w:val="20"/>
          <w:szCs w:val="20"/>
        </w:rPr>
        <w:t xml:space="preserve"> </w:t>
      </w:r>
    </w:p>
    <w:p w:rsidR="00B928C1" w:rsidRPr="00A24DCA" w:rsidRDefault="00B928C1" w:rsidP="00B928C1">
      <w:pPr>
        <w:jc w:val="both"/>
        <w:rPr>
          <w:rFonts w:asciiTheme="majorHAnsi" w:hAnsiTheme="majorHAnsi"/>
          <w:sz w:val="20"/>
          <w:szCs w:val="20"/>
        </w:rPr>
      </w:pPr>
    </w:p>
    <w:p w:rsidR="003B1AFE" w:rsidRPr="00A24DCA" w:rsidRDefault="001410D5"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The organization</w:t>
      </w:r>
      <w:r w:rsidR="003B1AFE" w:rsidRPr="00A24DCA">
        <w:rPr>
          <w:rFonts w:asciiTheme="majorHAnsi" w:hAnsiTheme="majorHAnsi"/>
          <w:sz w:val="20"/>
          <w:szCs w:val="20"/>
        </w:rPr>
        <w:t xml:space="preserve"> Save the Children </w:t>
      </w:r>
      <w:r w:rsidRPr="00A24DCA">
        <w:rPr>
          <w:rFonts w:asciiTheme="majorHAnsi" w:hAnsiTheme="majorHAnsi"/>
          <w:sz w:val="20"/>
          <w:szCs w:val="20"/>
        </w:rPr>
        <w:t>gave</w:t>
      </w:r>
      <w:r w:rsidR="003B1AFE" w:rsidRPr="00A24DCA">
        <w:rPr>
          <w:rFonts w:asciiTheme="majorHAnsi" w:hAnsiTheme="majorHAnsi"/>
          <w:sz w:val="20"/>
          <w:szCs w:val="20"/>
        </w:rPr>
        <w:t xml:space="preserve"> US$25,000</w:t>
      </w:r>
      <w:r w:rsidRPr="00A24DCA">
        <w:rPr>
          <w:rFonts w:asciiTheme="majorHAnsi" w:hAnsiTheme="majorHAnsi"/>
          <w:sz w:val="20"/>
          <w:szCs w:val="20"/>
        </w:rPr>
        <w:t xml:space="preserve">, mainly to finance </w:t>
      </w:r>
      <w:r w:rsidR="00E2444C" w:rsidRPr="00A24DCA">
        <w:rPr>
          <w:rFonts w:asciiTheme="majorHAnsi" w:hAnsiTheme="majorHAnsi"/>
          <w:sz w:val="20"/>
          <w:szCs w:val="20"/>
        </w:rPr>
        <w:t>a fellow</w:t>
      </w:r>
      <w:r w:rsidRPr="00A24DCA">
        <w:rPr>
          <w:rFonts w:asciiTheme="majorHAnsi" w:hAnsiTheme="majorHAnsi"/>
          <w:sz w:val="20"/>
          <w:szCs w:val="20"/>
        </w:rPr>
        <w:t xml:space="preserve"> for the Rapporteurship on the Rights of the Child</w:t>
      </w:r>
      <w:r w:rsidR="003B1AFE" w:rsidRPr="00A24DCA">
        <w:rPr>
          <w:rFonts w:asciiTheme="majorHAnsi" w:hAnsiTheme="majorHAnsi"/>
          <w:sz w:val="20"/>
          <w:szCs w:val="20"/>
        </w:rPr>
        <w:t>.</w:t>
      </w:r>
    </w:p>
    <w:p w:rsidR="00B928C1" w:rsidRPr="00A24DCA" w:rsidRDefault="00B928C1" w:rsidP="00B928C1">
      <w:pPr>
        <w:jc w:val="both"/>
        <w:rPr>
          <w:rFonts w:asciiTheme="majorHAnsi" w:hAnsiTheme="majorHAnsi"/>
          <w:sz w:val="20"/>
          <w:szCs w:val="20"/>
        </w:rPr>
      </w:pPr>
    </w:p>
    <w:p w:rsidR="003B1AFE" w:rsidRPr="00A24DCA" w:rsidRDefault="00C41627"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The Rapporteurship on the Rights of the Child received </w:t>
      </w:r>
      <w:r w:rsidR="003B1AFE" w:rsidRPr="00A24DCA">
        <w:rPr>
          <w:rFonts w:asciiTheme="majorHAnsi" w:hAnsiTheme="majorHAnsi"/>
          <w:sz w:val="20"/>
          <w:szCs w:val="20"/>
        </w:rPr>
        <w:t xml:space="preserve">US$100,000 </w:t>
      </w:r>
      <w:r w:rsidR="00680343" w:rsidRPr="00A24DCA">
        <w:rPr>
          <w:rFonts w:asciiTheme="majorHAnsi" w:hAnsiTheme="majorHAnsi"/>
          <w:sz w:val="20"/>
          <w:szCs w:val="20"/>
        </w:rPr>
        <w:t xml:space="preserve">to finance its activities </w:t>
      </w:r>
      <w:r w:rsidRPr="00A24DCA">
        <w:rPr>
          <w:rFonts w:asciiTheme="majorHAnsi" w:hAnsiTheme="majorHAnsi"/>
          <w:sz w:val="20"/>
          <w:szCs w:val="20"/>
        </w:rPr>
        <w:t xml:space="preserve">from the organization </w:t>
      </w:r>
      <w:r w:rsidR="00680343" w:rsidRPr="00A24DCA">
        <w:rPr>
          <w:rFonts w:asciiTheme="majorHAnsi" w:hAnsiTheme="majorHAnsi"/>
          <w:sz w:val="20"/>
          <w:szCs w:val="20"/>
        </w:rPr>
        <w:t>Plan Internat</w:t>
      </w:r>
      <w:r w:rsidR="003B1AFE" w:rsidRPr="00A24DCA">
        <w:rPr>
          <w:rFonts w:asciiTheme="majorHAnsi" w:hAnsiTheme="majorHAnsi"/>
          <w:sz w:val="20"/>
          <w:szCs w:val="20"/>
        </w:rPr>
        <w:t>ional.</w:t>
      </w:r>
    </w:p>
    <w:p w:rsidR="00B928C1" w:rsidRPr="00A24DCA" w:rsidRDefault="00B928C1" w:rsidP="00B928C1">
      <w:pPr>
        <w:jc w:val="both"/>
        <w:rPr>
          <w:rFonts w:asciiTheme="majorHAnsi" w:hAnsiTheme="majorHAnsi"/>
          <w:sz w:val="20"/>
          <w:szCs w:val="20"/>
        </w:rPr>
      </w:pPr>
    </w:p>
    <w:p w:rsidR="003B1AFE" w:rsidRPr="00A24DCA" w:rsidRDefault="00A11748"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The sum of </w:t>
      </w:r>
      <w:r w:rsidR="003B1AFE" w:rsidRPr="00A24DCA">
        <w:rPr>
          <w:rFonts w:asciiTheme="majorHAnsi" w:hAnsiTheme="majorHAnsi"/>
          <w:sz w:val="20"/>
          <w:szCs w:val="20"/>
        </w:rPr>
        <w:t xml:space="preserve">US$106,600 </w:t>
      </w:r>
      <w:r w:rsidRPr="00A24DCA">
        <w:rPr>
          <w:rFonts w:asciiTheme="majorHAnsi" w:hAnsiTheme="majorHAnsi"/>
          <w:sz w:val="20"/>
          <w:szCs w:val="20"/>
        </w:rPr>
        <w:t>was</w:t>
      </w:r>
      <w:r w:rsidR="00C41627" w:rsidRPr="00A24DCA">
        <w:rPr>
          <w:rFonts w:asciiTheme="majorHAnsi" w:hAnsiTheme="majorHAnsi"/>
          <w:sz w:val="20"/>
          <w:szCs w:val="20"/>
        </w:rPr>
        <w:t xml:space="preserve"> received from the organization World Vision, to finance a financing proposal </w:t>
      </w:r>
      <w:r w:rsidR="009614E4" w:rsidRPr="00A24DCA">
        <w:rPr>
          <w:rFonts w:asciiTheme="majorHAnsi" w:hAnsiTheme="majorHAnsi"/>
          <w:sz w:val="20"/>
          <w:szCs w:val="20"/>
        </w:rPr>
        <w:t xml:space="preserve">made by the Rapporteurship on the Rights of the Child with regard to national systems for the protection of children’s rights and their operation as a noteworthy institutional mechanism for the protection of children, in particular </w:t>
      </w:r>
      <w:r w:rsidR="00F038EB" w:rsidRPr="00A24DCA">
        <w:rPr>
          <w:rFonts w:asciiTheme="majorHAnsi" w:hAnsiTheme="majorHAnsi"/>
          <w:sz w:val="20"/>
          <w:szCs w:val="20"/>
        </w:rPr>
        <w:t>from</w:t>
      </w:r>
      <w:r w:rsidR="009614E4" w:rsidRPr="00A24DCA">
        <w:rPr>
          <w:rFonts w:asciiTheme="majorHAnsi" w:hAnsiTheme="majorHAnsi"/>
          <w:sz w:val="20"/>
          <w:szCs w:val="20"/>
        </w:rPr>
        <w:t xml:space="preserve"> violence. </w:t>
      </w:r>
    </w:p>
    <w:p w:rsidR="00B928C1" w:rsidRPr="00A24DCA" w:rsidRDefault="00B928C1" w:rsidP="00B928C1">
      <w:pPr>
        <w:jc w:val="both"/>
        <w:rPr>
          <w:rFonts w:asciiTheme="majorHAnsi" w:hAnsiTheme="majorHAnsi"/>
          <w:sz w:val="20"/>
          <w:szCs w:val="20"/>
        </w:rPr>
      </w:pPr>
    </w:p>
    <w:p w:rsidR="003B1AFE" w:rsidRPr="00A24DCA" w:rsidRDefault="007A1D7E"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The organization Children’s Villages contributed </w:t>
      </w:r>
      <w:r w:rsidR="003B1AFE" w:rsidRPr="00A24DCA">
        <w:rPr>
          <w:rFonts w:asciiTheme="majorHAnsi" w:hAnsiTheme="majorHAnsi"/>
          <w:sz w:val="20"/>
          <w:szCs w:val="20"/>
        </w:rPr>
        <w:t xml:space="preserve">US$5,000 </w:t>
      </w:r>
      <w:r w:rsidRPr="00A24DCA">
        <w:rPr>
          <w:rFonts w:asciiTheme="majorHAnsi" w:hAnsiTheme="majorHAnsi"/>
          <w:sz w:val="20"/>
          <w:szCs w:val="20"/>
        </w:rPr>
        <w:t>to the Rapporteurship on the Rights of the Child.</w:t>
      </w:r>
    </w:p>
    <w:p w:rsidR="00B928C1" w:rsidRPr="00A24DCA" w:rsidRDefault="00B928C1" w:rsidP="00B928C1">
      <w:pPr>
        <w:jc w:val="both"/>
        <w:rPr>
          <w:rFonts w:asciiTheme="majorHAnsi" w:hAnsiTheme="majorHAnsi"/>
          <w:sz w:val="20"/>
          <w:szCs w:val="20"/>
        </w:rPr>
      </w:pPr>
    </w:p>
    <w:p w:rsidR="003B1AFE" w:rsidRPr="00A24DCA" w:rsidRDefault="00E2444C"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The IACHR also received </w:t>
      </w:r>
      <w:r w:rsidR="003B1AFE" w:rsidRPr="00A24DCA">
        <w:rPr>
          <w:rFonts w:asciiTheme="majorHAnsi" w:hAnsiTheme="majorHAnsi"/>
          <w:sz w:val="20"/>
          <w:szCs w:val="20"/>
        </w:rPr>
        <w:t xml:space="preserve">US$12,800 </w:t>
      </w:r>
      <w:r w:rsidR="000D2CA1" w:rsidRPr="00A24DCA">
        <w:rPr>
          <w:rFonts w:asciiTheme="majorHAnsi" w:hAnsiTheme="majorHAnsi"/>
          <w:sz w:val="20"/>
          <w:szCs w:val="20"/>
        </w:rPr>
        <w:t xml:space="preserve">from the University of Notre Dame </w:t>
      </w:r>
      <w:r w:rsidR="00E451C8" w:rsidRPr="00A24DCA">
        <w:rPr>
          <w:rFonts w:asciiTheme="majorHAnsi" w:hAnsiTheme="majorHAnsi"/>
          <w:sz w:val="20"/>
          <w:szCs w:val="20"/>
        </w:rPr>
        <w:t>for the partial financing of</w:t>
      </w:r>
      <w:r w:rsidRPr="00A24DCA">
        <w:rPr>
          <w:rFonts w:asciiTheme="majorHAnsi" w:hAnsiTheme="majorHAnsi"/>
          <w:sz w:val="20"/>
          <w:szCs w:val="20"/>
        </w:rPr>
        <w:t xml:space="preserve"> the fellowship.</w:t>
      </w:r>
    </w:p>
    <w:p w:rsidR="003B1AFE" w:rsidRPr="00A24DCA" w:rsidRDefault="003B1AFE" w:rsidP="00B928C1">
      <w:pPr>
        <w:ind w:left="720"/>
        <w:jc w:val="both"/>
        <w:rPr>
          <w:rFonts w:asciiTheme="majorHAnsi" w:hAnsiTheme="majorHAnsi"/>
          <w:sz w:val="20"/>
          <w:szCs w:val="20"/>
        </w:rPr>
      </w:pPr>
    </w:p>
    <w:p w:rsidR="003B1AFE" w:rsidRPr="00A24DCA" w:rsidRDefault="005E3684" w:rsidP="00B928C1">
      <w:pPr>
        <w:widowControl w:val="0"/>
        <w:autoSpaceDE w:val="0"/>
        <w:autoSpaceDN w:val="0"/>
        <w:ind w:left="1440" w:hanging="720"/>
        <w:jc w:val="both"/>
        <w:outlineLvl w:val="2"/>
        <w:rPr>
          <w:rFonts w:asciiTheme="majorHAnsi" w:eastAsia="MS Mincho" w:hAnsiTheme="majorHAnsi"/>
          <w:b/>
          <w:sz w:val="20"/>
          <w:szCs w:val="20"/>
        </w:rPr>
      </w:pPr>
      <w:bookmarkStart w:id="2" w:name="_Toc401678056"/>
      <w:r w:rsidRPr="00A24DCA">
        <w:rPr>
          <w:rFonts w:asciiTheme="majorHAnsi" w:eastAsia="MS Mincho" w:hAnsiTheme="majorHAnsi"/>
          <w:b/>
          <w:sz w:val="20"/>
          <w:szCs w:val="20"/>
        </w:rPr>
        <w:t>5</w:t>
      </w:r>
      <w:r w:rsidR="003B1AFE" w:rsidRPr="00A24DCA">
        <w:rPr>
          <w:rFonts w:asciiTheme="majorHAnsi" w:eastAsia="MS Mincho" w:hAnsiTheme="majorHAnsi"/>
          <w:b/>
          <w:sz w:val="20"/>
          <w:szCs w:val="20"/>
        </w:rPr>
        <w:t xml:space="preserve">.  </w:t>
      </w:r>
      <w:r w:rsidRPr="00A24DCA">
        <w:rPr>
          <w:rFonts w:asciiTheme="majorHAnsi" w:eastAsia="MS Mincho" w:hAnsiTheme="majorHAnsi"/>
          <w:b/>
          <w:sz w:val="20"/>
          <w:szCs w:val="20"/>
        </w:rPr>
        <w:tab/>
      </w:r>
      <w:r w:rsidR="003B1AFE" w:rsidRPr="00A24DCA">
        <w:rPr>
          <w:rFonts w:asciiTheme="majorHAnsi" w:eastAsia="MS Mincho" w:hAnsiTheme="majorHAnsi"/>
          <w:b/>
          <w:sz w:val="20"/>
          <w:szCs w:val="20"/>
        </w:rPr>
        <w:t>Prop</w:t>
      </w:r>
      <w:r w:rsidR="0097727D" w:rsidRPr="00A24DCA">
        <w:rPr>
          <w:rFonts w:asciiTheme="majorHAnsi" w:eastAsia="MS Mincho" w:hAnsiTheme="majorHAnsi"/>
          <w:b/>
          <w:sz w:val="20"/>
          <w:szCs w:val="20"/>
        </w:rPr>
        <w:t xml:space="preserve">osals </w:t>
      </w:r>
      <w:r w:rsidR="00CE11E9" w:rsidRPr="00A24DCA">
        <w:rPr>
          <w:rFonts w:asciiTheme="majorHAnsi" w:eastAsia="MS Mincho" w:hAnsiTheme="majorHAnsi"/>
          <w:b/>
          <w:sz w:val="20"/>
          <w:szCs w:val="20"/>
        </w:rPr>
        <w:t>being prepared</w:t>
      </w:r>
      <w:r w:rsidR="0097727D" w:rsidRPr="00A24DCA">
        <w:rPr>
          <w:rFonts w:asciiTheme="majorHAnsi" w:eastAsia="MS Mincho" w:hAnsiTheme="majorHAnsi"/>
          <w:b/>
          <w:sz w:val="20"/>
          <w:szCs w:val="20"/>
        </w:rPr>
        <w:t xml:space="preserve"> and negotiations in the initial stage </w:t>
      </w:r>
      <w:bookmarkEnd w:id="2"/>
    </w:p>
    <w:p w:rsidR="003B1AFE" w:rsidRPr="00A24DCA" w:rsidRDefault="003B1AFE" w:rsidP="00B928C1">
      <w:pPr>
        <w:ind w:left="1440" w:hanging="720"/>
        <w:jc w:val="both"/>
        <w:rPr>
          <w:rFonts w:asciiTheme="majorHAnsi" w:hAnsiTheme="majorHAnsi"/>
          <w:sz w:val="20"/>
          <w:szCs w:val="20"/>
        </w:rPr>
      </w:pPr>
    </w:p>
    <w:p w:rsidR="00B928C1" w:rsidRPr="00A24DCA" w:rsidRDefault="0097727D"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A financing proposal on pretrial detention was submitted to the Spanish Fund for the OAS, in accordance with the priorities </w:t>
      </w:r>
      <w:r w:rsidR="004F4B14" w:rsidRPr="00A24DCA">
        <w:rPr>
          <w:rFonts w:asciiTheme="majorHAnsi" w:hAnsiTheme="majorHAnsi"/>
          <w:sz w:val="20"/>
          <w:szCs w:val="20"/>
        </w:rPr>
        <w:t>established</w:t>
      </w:r>
      <w:r w:rsidRPr="00A24DCA">
        <w:rPr>
          <w:rFonts w:asciiTheme="majorHAnsi" w:hAnsiTheme="majorHAnsi"/>
          <w:sz w:val="20"/>
          <w:szCs w:val="20"/>
        </w:rPr>
        <w:t xml:space="preserve"> </w:t>
      </w:r>
      <w:r w:rsidR="00B01752">
        <w:rPr>
          <w:rFonts w:asciiTheme="majorHAnsi" w:hAnsiTheme="majorHAnsi"/>
          <w:sz w:val="20"/>
          <w:szCs w:val="20"/>
        </w:rPr>
        <w:t>in the IACHR Strategic Plan</w:t>
      </w:r>
      <w:r w:rsidR="003B1AFE" w:rsidRPr="00A24DCA">
        <w:rPr>
          <w:rFonts w:asciiTheme="majorHAnsi" w:hAnsiTheme="majorHAnsi"/>
          <w:sz w:val="20"/>
          <w:szCs w:val="20"/>
        </w:rPr>
        <w:t xml:space="preserve">. </w:t>
      </w:r>
    </w:p>
    <w:p w:rsidR="00B928C1" w:rsidRPr="00A24DCA" w:rsidRDefault="00B928C1" w:rsidP="00B928C1">
      <w:pPr>
        <w:jc w:val="both"/>
        <w:rPr>
          <w:rFonts w:asciiTheme="majorHAnsi" w:hAnsiTheme="majorHAnsi"/>
          <w:sz w:val="20"/>
          <w:szCs w:val="20"/>
        </w:rPr>
      </w:pPr>
    </w:p>
    <w:p w:rsidR="003B1AFE" w:rsidRPr="00A24DCA" w:rsidRDefault="00C77E97"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A proposal requesting 20,000 euros from the European Union to finance a meeting of ombudspersons, to be held in Jamaica, was submitted. This meeting will bring together ombudspersons from CARICOM and Latin America </w:t>
      </w:r>
      <w:r w:rsidR="00A86798" w:rsidRPr="00A24DCA">
        <w:rPr>
          <w:rFonts w:asciiTheme="majorHAnsi" w:hAnsiTheme="majorHAnsi"/>
          <w:sz w:val="20"/>
          <w:szCs w:val="20"/>
        </w:rPr>
        <w:t>to</w:t>
      </w:r>
      <w:r w:rsidR="00B01C85" w:rsidRPr="00A24DCA">
        <w:rPr>
          <w:rFonts w:asciiTheme="majorHAnsi" w:hAnsiTheme="majorHAnsi"/>
          <w:sz w:val="20"/>
          <w:szCs w:val="20"/>
        </w:rPr>
        <w:t xml:space="preserve"> </w:t>
      </w:r>
      <w:r w:rsidRPr="00A24DCA">
        <w:rPr>
          <w:rFonts w:asciiTheme="majorHAnsi" w:hAnsiTheme="majorHAnsi"/>
          <w:sz w:val="20"/>
          <w:szCs w:val="20"/>
        </w:rPr>
        <w:t>exchange good practices</w:t>
      </w:r>
      <w:r w:rsidR="00B01C85" w:rsidRPr="00A24DCA">
        <w:rPr>
          <w:rFonts w:asciiTheme="majorHAnsi" w:hAnsiTheme="majorHAnsi"/>
          <w:sz w:val="20"/>
          <w:szCs w:val="20"/>
        </w:rPr>
        <w:t xml:space="preserve"> with the objective of strengthening</w:t>
      </w:r>
      <w:r w:rsidRPr="00A24DCA">
        <w:rPr>
          <w:rFonts w:asciiTheme="majorHAnsi" w:hAnsiTheme="majorHAnsi"/>
          <w:sz w:val="20"/>
          <w:szCs w:val="20"/>
        </w:rPr>
        <w:t xml:space="preserve"> their offices in the CARICOM countries in the context of the serious </w:t>
      </w:r>
      <w:r w:rsidR="00FA65B2" w:rsidRPr="00A24DCA">
        <w:rPr>
          <w:rFonts w:asciiTheme="majorHAnsi" w:hAnsiTheme="majorHAnsi"/>
          <w:sz w:val="20"/>
          <w:szCs w:val="20"/>
        </w:rPr>
        <w:t xml:space="preserve">public-safety </w:t>
      </w:r>
      <w:r w:rsidRPr="00A24DCA">
        <w:rPr>
          <w:rFonts w:asciiTheme="majorHAnsi" w:hAnsiTheme="majorHAnsi"/>
          <w:sz w:val="20"/>
          <w:szCs w:val="20"/>
        </w:rPr>
        <w:t xml:space="preserve">challenges </w:t>
      </w:r>
      <w:r w:rsidR="00FA65B2" w:rsidRPr="00A24DCA">
        <w:rPr>
          <w:rFonts w:asciiTheme="majorHAnsi" w:hAnsiTheme="majorHAnsi"/>
          <w:sz w:val="20"/>
          <w:szCs w:val="20"/>
        </w:rPr>
        <w:t xml:space="preserve">faced </w:t>
      </w:r>
      <w:r w:rsidR="00416A36" w:rsidRPr="00A24DCA">
        <w:rPr>
          <w:rFonts w:asciiTheme="majorHAnsi" w:hAnsiTheme="majorHAnsi"/>
          <w:sz w:val="20"/>
          <w:szCs w:val="20"/>
        </w:rPr>
        <w:t>there</w:t>
      </w:r>
      <w:r w:rsidR="00FA65B2" w:rsidRPr="00A24DCA">
        <w:rPr>
          <w:rFonts w:asciiTheme="majorHAnsi" w:hAnsiTheme="majorHAnsi"/>
          <w:sz w:val="20"/>
          <w:szCs w:val="20"/>
        </w:rPr>
        <w:t>by</w:t>
      </w:r>
      <w:r w:rsidRPr="00A24DCA">
        <w:rPr>
          <w:rFonts w:asciiTheme="majorHAnsi" w:hAnsiTheme="majorHAnsi"/>
          <w:sz w:val="20"/>
          <w:szCs w:val="20"/>
        </w:rPr>
        <w:t xml:space="preserve">. </w:t>
      </w:r>
      <w:r w:rsidR="003B1AFE" w:rsidRPr="00A24DCA">
        <w:rPr>
          <w:rFonts w:asciiTheme="majorHAnsi" w:hAnsiTheme="majorHAnsi"/>
          <w:sz w:val="20"/>
          <w:szCs w:val="20"/>
        </w:rPr>
        <w:t xml:space="preserve"> </w:t>
      </w:r>
    </w:p>
    <w:p w:rsidR="00B928C1" w:rsidRPr="00A24DCA" w:rsidRDefault="00B928C1" w:rsidP="00B928C1">
      <w:pPr>
        <w:jc w:val="both"/>
        <w:rPr>
          <w:rFonts w:asciiTheme="majorHAnsi" w:hAnsiTheme="majorHAnsi"/>
          <w:sz w:val="20"/>
          <w:szCs w:val="20"/>
        </w:rPr>
      </w:pPr>
    </w:p>
    <w:p w:rsidR="003B1AFE" w:rsidRPr="00A24DCA" w:rsidRDefault="00CE0085"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A proposal </w:t>
      </w:r>
      <w:r w:rsidR="009858CC" w:rsidRPr="00A24DCA">
        <w:rPr>
          <w:rFonts w:asciiTheme="majorHAnsi" w:hAnsiTheme="majorHAnsi"/>
          <w:sz w:val="20"/>
          <w:szCs w:val="20"/>
        </w:rPr>
        <w:t xml:space="preserve">with regard to financing for the Rapporteurship on migrant workers </w:t>
      </w:r>
      <w:r w:rsidR="00792F19" w:rsidRPr="00A24DCA">
        <w:rPr>
          <w:rFonts w:asciiTheme="majorHAnsi" w:hAnsiTheme="majorHAnsi"/>
          <w:sz w:val="20"/>
          <w:szCs w:val="20"/>
        </w:rPr>
        <w:t>was submitted for the Central America and Mexico Migration Alliance (CAMMINA)</w:t>
      </w:r>
      <w:r w:rsidR="003B1AFE" w:rsidRPr="00A24DCA">
        <w:rPr>
          <w:rFonts w:asciiTheme="majorHAnsi" w:hAnsiTheme="majorHAnsi"/>
          <w:sz w:val="20"/>
          <w:szCs w:val="20"/>
        </w:rPr>
        <w:t>.</w:t>
      </w:r>
    </w:p>
    <w:p w:rsidR="00B928C1" w:rsidRPr="00A24DCA" w:rsidRDefault="00B928C1" w:rsidP="00B928C1">
      <w:pPr>
        <w:jc w:val="both"/>
        <w:rPr>
          <w:rFonts w:asciiTheme="majorHAnsi" w:hAnsiTheme="majorHAnsi"/>
          <w:sz w:val="20"/>
          <w:szCs w:val="20"/>
        </w:rPr>
      </w:pPr>
    </w:p>
    <w:p w:rsidR="003B1AFE" w:rsidRPr="00A24DCA" w:rsidRDefault="00AE2011" w:rsidP="00B928C1">
      <w:pPr>
        <w:numPr>
          <w:ilvl w:val="0"/>
          <w:numId w:val="8"/>
        </w:numPr>
        <w:tabs>
          <w:tab w:val="clear" w:pos="360"/>
        </w:tabs>
        <w:ind w:left="1440" w:hanging="720"/>
        <w:jc w:val="both"/>
        <w:rPr>
          <w:rFonts w:asciiTheme="majorHAnsi" w:hAnsiTheme="majorHAnsi"/>
          <w:sz w:val="20"/>
          <w:szCs w:val="20"/>
        </w:rPr>
      </w:pPr>
      <w:r w:rsidRPr="00A24DCA">
        <w:rPr>
          <w:rFonts w:asciiTheme="majorHAnsi" w:hAnsiTheme="majorHAnsi"/>
          <w:sz w:val="20"/>
          <w:szCs w:val="20"/>
        </w:rPr>
        <w:t xml:space="preserve">A financing proposal </w:t>
      </w:r>
      <w:r w:rsidR="00573D17" w:rsidRPr="00A24DCA">
        <w:rPr>
          <w:rFonts w:asciiTheme="majorHAnsi" w:hAnsiTheme="majorHAnsi"/>
          <w:sz w:val="20"/>
          <w:szCs w:val="20"/>
        </w:rPr>
        <w:t>regarding</w:t>
      </w:r>
      <w:r w:rsidRPr="00A24DCA">
        <w:rPr>
          <w:rFonts w:asciiTheme="majorHAnsi" w:hAnsiTheme="majorHAnsi"/>
          <w:sz w:val="20"/>
          <w:szCs w:val="20"/>
        </w:rPr>
        <w:t xml:space="preserve"> girls and adolescents and their rights in the Americas was submitted to the organization </w:t>
      </w:r>
      <w:r w:rsidR="003B1AFE" w:rsidRPr="00A24DCA">
        <w:rPr>
          <w:rFonts w:asciiTheme="majorHAnsi" w:hAnsiTheme="majorHAnsi"/>
          <w:sz w:val="20"/>
          <w:szCs w:val="20"/>
        </w:rPr>
        <w:t>Plan Interna</w:t>
      </w:r>
      <w:r w:rsidR="00472D3B" w:rsidRPr="00A24DCA">
        <w:rPr>
          <w:rFonts w:asciiTheme="majorHAnsi" w:hAnsiTheme="majorHAnsi"/>
          <w:sz w:val="20"/>
          <w:szCs w:val="20"/>
        </w:rPr>
        <w:t>t</w:t>
      </w:r>
      <w:r w:rsidR="003B1AFE" w:rsidRPr="00A24DCA">
        <w:rPr>
          <w:rFonts w:asciiTheme="majorHAnsi" w:hAnsiTheme="majorHAnsi"/>
          <w:sz w:val="20"/>
          <w:szCs w:val="20"/>
        </w:rPr>
        <w:t xml:space="preserve">ional. </w:t>
      </w:r>
    </w:p>
    <w:p w:rsidR="00B928C1" w:rsidRPr="00A24DCA" w:rsidRDefault="00B928C1" w:rsidP="00310092">
      <w:pPr>
        <w:jc w:val="center"/>
        <w:rPr>
          <w:rFonts w:asciiTheme="majorHAnsi" w:hAnsiTheme="majorHAnsi"/>
          <w:sz w:val="20"/>
          <w:szCs w:val="20"/>
        </w:rPr>
      </w:pPr>
    </w:p>
    <w:p w:rsidR="003B1AFE" w:rsidRPr="00A24DCA" w:rsidRDefault="00472D3B" w:rsidP="00B928C1">
      <w:pPr>
        <w:numPr>
          <w:ilvl w:val="0"/>
          <w:numId w:val="8"/>
        </w:numPr>
        <w:tabs>
          <w:tab w:val="clear" w:pos="360"/>
        </w:tabs>
        <w:ind w:left="1440" w:hanging="720"/>
        <w:contextualSpacing/>
        <w:jc w:val="both"/>
        <w:rPr>
          <w:rFonts w:asciiTheme="majorHAnsi" w:hAnsiTheme="majorHAnsi"/>
          <w:sz w:val="20"/>
          <w:szCs w:val="20"/>
        </w:rPr>
      </w:pPr>
      <w:r w:rsidRPr="00A24DCA">
        <w:rPr>
          <w:rFonts w:asciiTheme="majorHAnsi" w:hAnsiTheme="majorHAnsi"/>
          <w:sz w:val="20"/>
          <w:szCs w:val="20"/>
        </w:rPr>
        <w:t>A letter requesting a</w:t>
      </w:r>
      <w:r w:rsidR="00365F9E">
        <w:rPr>
          <w:rFonts w:asciiTheme="majorHAnsi" w:hAnsiTheme="majorHAnsi"/>
          <w:sz w:val="20"/>
          <w:szCs w:val="20"/>
        </w:rPr>
        <w:t xml:space="preserve"> voluntary</w:t>
      </w:r>
      <w:r w:rsidRPr="00A24DCA">
        <w:rPr>
          <w:rFonts w:asciiTheme="majorHAnsi" w:hAnsiTheme="majorHAnsi"/>
          <w:sz w:val="20"/>
          <w:szCs w:val="20"/>
        </w:rPr>
        <w:t xml:space="preserve"> contribution for financing for the 2014-2015 period was sent to the Government of the United States. </w:t>
      </w:r>
      <w:r w:rsidR="00135938" w:rsidRPr="00A24DCA">
        <w:rPr>
          <w:rFonts w:asciiTheme="majorHAnsi" w:hAnsiTheme="majorHAnsi"/>
          <w:sz w:val="20"/>
          <w:szCs w:val="20"/>
        </w:rPr>
        <w:t>Note</w:t>
      </w:r>
      <w:r w:rsidRPr="00A24DCA">
        <w:rPr>
          <w:rFonts w:asciiTheme="majorHAnsi" w:hAnsiTheme="majorHAnsi"/>
          <w:sz w:val="20"/>
          <w:szCs w:val="20"/>
        </w:rPr>
        <w:t xml:space="preserve"> that, historically, the United States </w:t>
      </w:r>
      <w:r w:rsidR="004D2BFD" w:rsidRPr="00A24DCA">
        <w:rPr>
          <w:rFonts w:asciiTheme="majorHAnsi" w:hAnsiTheme="majorHAnsi"/>
          <w:sz w:val="20"/>
          <w:szCs w:val="20"/>
        </w:rPr>
        <w:t xml:space="preserve">has </w:t>
      </w:r>
      <w:r w:rsidR="00BA54C6" w:rsidRPr="00A24DCA">
        <w:rPr>
          <w:rFonts w:asciiTheme="majorHAnsi" w:hAnsiTheme="majorHAnsi"/>
          <w:sz w:val="20"/>
          <w:szCs w:val="20"/>
        </w:rPr>
        <w:t>contribute</w:t>
      </w:r>
      <w:r w:rsidR="004D2BFD" w:rsidRPr="00A24DCA">
        <w:rPr>
          <w:rFonts w:asciiTheme="majorHAnsi" w:hAnsiTheme="majorHAnsi"/>
          <w:sz w:val="20"/>
          <w:szCs w:val="20"/>
        </w:rPr>
        <w:t>d</w:t>
      </w:r>
      <w:r w:rsidRPr="00A24DCA">
        <w:rPr>
          <w:rFonts w:asciiTheme="majorHAnsi" w:hAnsiTheme="majorHAnsi"/>
          <w:sz w:val="20"/>
          <w:szCs w:val="20"/>
        </w:rPr>
        <w:t xml:space="preserve"> one part before the end of the calendar year and a second part the following year, as </w:t>
      </w:r>
      <w:r w:rsidR="00833641" w:rsidRPr="00A24DCA">
        <w:rPr>
          <w:rFonts w:asciiTheme="majorHAnsi" w:hAnsiTheme="majorHAnsi"/>
          <w:sz w:val="20"/>
          <w:szCs w:val="20"/>
        </w:rPr>
        <w:t>its</w:t>
      </w:r>
      <w:r w:rsidRPr="00A24DCA">
        <w:rPr>
          <w:rFonts w:asciiTheme="majorHAnsi" w:hAnsiTheme="majorHAnsi"/>
          <w:sz w:val="20"/>
          <w:szCs w:val="20"/>
        </w:rPr>
        <w:t xml:space="preserve"> fiscal year goes from October to September. </w:t>
      </w:r>
    </w:p>
    <w:p w:rsidR="003B1AFE" w:rsidRPr="00A24DCA" w:rsidRDefault="003B1AFE" w:rsidP="00B928C1">
      <w:pPr>
        <w:ind w:left="1440" w:hanging="720"/>
        <w:contextualSpacing/>
        <w:jc w:val="both"/>
        <w:rPr>
          <w:rFonts w:asciiTheme="majorHAnsi" w:hAnsiTheme="majorHAnsi"/>
          <w:sz w:val="20"/>
          <w:szCs w:val="20"/>
        </w:rPr>
      </w:pPr>
    </w:p>
    <w:p w:rsidR="00B74AD2" w:rsidRPr="00A24DCA" w:rsidRDefault="00B74AD2" w:rsidP="00873C8D">
      <w:pPr>
        <w:pStyle w:val="ListParagraph"/>
        <w:numPr>
          <w:ilvl w:val="0"/>
          <w:numId w:val="9"/>
        </w:numPr>
        <w:ind w:left="0" w:firstLine="720"/>
        <w:jc w:val="both"/>
        <w:rPr>
          <w:rFonts w:asciiTheme="majorHAnsi" w:hAnsiTheme="majorHAnsi" w:cstheme="minorHAnsi"/>
          <w:sz w:val="20"/>
          <w:szCs w:val="20"/>
        </w:rPr>
      </w:pPr>
      <w:r w:rsidRPr="00A24DCA">
        <w:rPr>
          <w:rFonts w:asciiTheme="majorHAnsi" w:hAnsiTheme="majorHAnsi" w:cstheme="minorHAnsi"/>
          <w:sz w:val="20"/>
          <w:szCs w:val="20"/>
        </w:rPr>
        <w:t>The following two graphs indicate the distribution of execution by source of fund, and by Object of Expenditure.</w:t>
      </w:r>
    </w:p>
    <w:p w:rsidR="00311655" w:rsidRPr="00A24DCA" w:rsidRDefault="00311655" w:rsidP="00B928C1">
      <w:pPr>
        <w:ind w:firstLine="720"/>
        <w:jc w:val="both"/>
        <w:rPr>
          <w:rFonts w:asciiTheme="majorHAnsi" w:hAnsiTheme="majorHAnsi" w:cstheme="minorHAnsi"/>
          <w:sz w:val="20"/>
          <w:szCs w:val="20"/>
        </w:rPr>
      </w:pPr>
    </w:p>
    <w:p w:rsidR="00660702" w:rsidRPr="00A24DCA" w:rsidRDefault="00660702" w:rsidP="00B928C1">
      <w:pPr>
        <w:ind w:firstLine="720"/>
        <w:jc w:val="both"/>
        <w:rPr>
          <w:rFonts w:asciiTheme="majorHAnsi" w:hAnsiTheme="majorHAnsi" w:cstheme="minorHAnsi"/>
          <w:sz w:val="20"/>
          <w:szCs w:val="20"/>
        </w:rPr>
      </w:pPr>
    </w:p>
    <w:p w:rsidR="005F51C5" w:rsidRPr="00A24DCA" w:rsidRDefault="00311655" w:rsidP="00310092">
      <w:pPr>
        <w:jc w:val="center"/>
        <w:rPr>
          <w:rFonts w:asciiTheme="majorHAnsi" w:hAnsiTheme="majorHAnsi" w:cstheme="minorHAnsi"/>
          <w:sz w:val="20"/>
          <w:szCs w:val="20"/>
        </w:rPr>
      </w:pPr>
      <w:r w:rsidRPr="00A24DCA">
        <w:rPr>
          <w:rFonts w:asciiTheme="majorHAnsi" w:hAnsiTheme="majorHAnsi" w:cstheme="minorHAnsi"/>
          <w:noProof/>
          <w:sz w:val="20"/>
          <w:szCs w:val="20"/>
        </w:rPr>
        <w:drawing>
          <wp:inline distT="0" distB="0" distL="0" distR="0" wp14:anchorId="7ACCA091" wp14:editId="1738D975">
            <wp:extent cx="5335988" cy="3638550"/>
            <wp:effectExtent l="76200" t="19050" r="131445" b="266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1811" cy="3642521"/>
                    </a:xfrm>
                    <a:prstGeom prst="rect">
                      <a:avLst/>
                    </a:prstGeom>
                    <a:ln>
                      <a:noFill/>
                    </a:ln>
                    <a:effectLst>
                      <a:outerShdw blurRad="292100" dist="139700" dir="2700000" algn="tl" rotWithShape="0">
                        <a:srgbClr val="333333">
                          <a:alpha val="65000"/>
                        </a:srgbClr>
                      </a:outerShdw>
                    </a:effectLst>
                  </pic:spPr>
                </pic:pic>
              </a:graphicData>
            </a:graphic>
          </wp:inline>
        </w:drawing>
      </w:r>
    </w:p>
    <w:p w:rsidR="00D07B4C" w:rsidRDefault="00D07B4C" w:rsidP="00D07B4C">
      <w:pPr>
        <w:pStyle w:val="ListParagraph"/>
        <w:jc w:val="both"/>
        <w:rPr>
          <w:rFonts w:asciiTheme="majorHAnsi" w:hAnsiTheme="majorHAnsi" w:cstheme="minorHAnsi"/>
          <w:sz w:val="20"/>
          <w:szCs w:val="20"/>
        </w:rPr>
      </w:pPr>
    </w:p>
    <w:p w:rsidR="00D07B4C" w:rsidRPr="00A24DCA" w:rsidRDefault="00D07B4C" w:rsidP="00D07B4C">
      <w:pPr>
        <w:pStyle w:val="ListParagraph"/>
        <w:numPr>
          <w:ilvl w:val="0"/>
          <w:numId w:val="9"/>
        </w:numPr>
        <w:ind w:left="0" w:firstLine="720"/>
        <w:jc w:val="both"/>
        <w:rPr>
          <w:rFonts w:asciiTheme="majorHAnsi" w:hAnsiTheme="majorHAnsi" w:cstheme="minorHAnsi"/>
          <w:sz w:val="20"/>
          <w:szCs w:val="20"/>
        </w:rPr>
      </w:pPr>
      <w:r w:rsidRPr="00A24DCA">
        <w:rPr>
          <w:rFonts w:asciiTheme="majorHAnsi" w:hAnsiTheme="majorHAnsi" w:cstheme="minorHAnsi"/>
          <w:sz w:val="20"/>
          <w:szCs w:val="20"/>
        </w:rPr>
        <w:t xml:space="preserve">It is important to note </w:t>
      </w:r>
      <w:r>
        <w:rPr>
          <w:rFonts w:asciiTheme="majorHAnsi" w:hAnsiTheme="majorHAnsi" w:cstheme="minorHAnsi"/>
          <w:sz w:val="20"/>
          <w:szCs w:val="20"/>
        </w:rPr>
        <w:t>even considering the commitment by Member States to provide financial resources to the IACHR, the Regular Fund represent only 47% of the 2014 annual execution of the Executive Secretariat.</w:t>
      </w:r>
    </w:p>
    <w:p w:rsidR="00660D2F" w:rsidRPr="00A24DCA" w:rsidRDefault="00660D2F" w:rsidP="00B928C1">
      <w:pPr>
        <w:ind w:firstLine="720"/>
        <w:jc w:val="both"/>
        <w:rPr>
          <w:rFonts w:asciiTheme="majorHAnsi" w:hAnsiTheme="majorHAnsi" w:cstheme="minorHAnsi"/>
          <w:sz w:val="20"/>
          <w:szCs w:val="20"/>
        </w:rPr>
      </w:pPr>
    </w:p>
    <w:p w:rsidR="00660D2F" w:rsidRPr="00A24DCA" w:rsidRDefault="00660702" w:rsidP="00310092">
      <w:pPr>
        <w:jc w:val="center"/>
        <w:rPr>
          <w:rFonts w:asciiTheme="majorHAnsi" w:hAnsiTheme="majorHAnsi" w:cstheme="minorHAnsi"/>
          <w:sz w:val="20"/>
          <w:szCs w:val="20"/>
        </w:rPr>
      </w:pPr>
      <w:r w:rsidRPr="00A24DCA">
        <w:rPr>
          <w:rFonts w:asciiTheme="majorHAnsi" w:hAnsiTheme="majorHAnsi" w:cstheme="minorHAnsi"/>
          <w:noProof/>
          <w:sz w:val="20"/>
          <w:szCs w:val="20"/>
        </w:rPr>
        <w:lastRenderedPageBreak/>
        <w:drawing>
          <wp:inline distT="0" distB="0" distL="0" distR="0" wp14:anchorId="3B8D2470" wp14:editId="30BBB9C0">
            <wp:extent cx="5600700" cy="3819055"/>
            <wp:effectExtent l="76200" t="19050" r="0" b="2387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2285" cy="3820136"/>
                    </a:xfrm>
                    <a:prstGeom prst="rect">
                      <a:avLst/>
                    </a:prstGeom>
                    <a:ln>
                      <a:noFill/>
                    </a:ln>
                    <a:effectLst>
                      <a:outerShdw blurRad="292100" dist="139700" dir="2700000" algn="tl" rotWithShape="0">
                        <a:srgbClr val="333333">
                          <a:alpha val="65000"/>
                        </a:srgbClr>
                      </a:outerShdw>
                    </a:effectLst>
                  </pic:spPr>
                </pic:pic>
              </a:graphicData>
            </a:graphic>
          </wp:inline>
        </w:drawing>
      </w:r>
    </w:p>
    <w:p w:rsidR="00660D2F" w:rsidRPr="00A24DCA" w:rsidRDefault="00660D2F" w:rsidP="00B928C1">
      <w:pPr>
        <w:jc w:val="both"/>
        <w:rPr>
          <w:rFonts w:asciiTheme="majorHAnsi" w:hAnsiTheme="majorHAnsi" w:cstheme="minorHAnsi"/>
          <w:sz w:val="20"/>
          <w:szCs w:val="20"/>
        </w:rPr>
      </w:pPr>
    </w:p>
    <w:p w:rsidR="00660D2F" w:rsidRPr="00A24DCA" w:rsidRDefault="00660D2F" w:rsidP="00B928C1">
      <w:pPr>
        <w:ind w:firstLine="720"/>
        <w:jc w:val="both"/>
        <w:rPr>
          <w:rFonts w:asciiTheme="majorHAnsi" w:hAnsiTheme="majorHAnsi" w:cstheme="minorHAnsi"/>
          <w:sz w:val="20"/>
          <w:szCs w:val="20"/>
        </w:rPr>
      </w:pPr>
    </w:p>
    <w:p w:rsidR="0056586B" w:rsidRPr="00A24DCA" w:rsidRDefault="005760E6" w:rsidP="00B928C1">
      <w:pPr>
        <w:pStyle w:val="ListParagraph"/>
        <w:numPr>
          <w:ilvl w:val="0"/>
          <w:numId w:val="2"/>
        </w:numPr>
        <w:ind w:left="1530" w:hanging="810"/>
        <w:jc w:val="both"/>
        <w:rPr>
          <w:rFonts w:asciiTheme="majorHAnsi" w:hAnsiTheme="majorHAnsi" w:cstheme="minorHAnsi"/>
          <w:b/>
          <w:sz w:val="20"/>
          <w:szCs w:val="20"/>
        </w:rPr>
      </w:pPr>
      <w:r w:rsidRPr="00A24DCA">
        <w:rPr>
          <w:rFonts w:asciiTheme="majorHAnsi" w:hAnsiTheme="majorHAnsi" w:cstheme="minorHAnsi"/>
          <w:b/>
          <w:sz w:val="20"/>
          <w:szCs w:val="20"/>
        </w:rPr>
        <w:t>Technology</w:t>
      </w:r>
      <w:r w:rsidR="0056586B" w:rsidRPr="00A24DCA">
        <w:rPr>
          <w:rFonts w:asciiTheme="majorHAnsi" w:hAnsiTheme="majorHAnsi" w:cstheme="minorHAnsi"/>
          <w:b/>
          <w:sz w:val="20"/>
          <w:szCs w:val="20"/>
        </w:rPr>
        <w:t xml:space="preserve"> advances</w:t>
      </w:r>
    </w:p>
    <w:p w:rsidR="003B72D2" w:rsidRPr="00A24DCA" w:rsidRDefault="003B72D2" w:rsidP="00B928C1">
      <w:pPr>
        <w:pStyle w:val="ListParagraph"/>
        <w:jc w:val="both"/>
        <w:rPr>
          <w:rFonts w:asciiTheme="majorHAnsi" w:hAnsiTheme="majorHAnsi" w:cstheme="minorHAnsi"/>
          <w:sz w:val="20"/>
          <w:szCs w:val="20"/>
        </w:rPr>
      </w:pPr>
    </w:p>
    <w:p w:rsidR="00D66078" w:rsidRPr="00A24DCA" w:rsidRDefault="00D66078" w:rsidP="00036C06">
      <w:pPr>
        <w:pStyle w:val="ListParagraph"/>
        <w:numPr>
          <w:ilvl w:val="0"/>
          <w:numId w:val="9"/>
        </w:numPr>
        <w:ind w:left="0" w:firstLine="720"/>
        <w:jc w:val="both"/>
        <w:rPr>
          <w:rFonts w:asciiTheme="majorHAnsi" w:hAnsiTheme="majorHAnsi" w:cstheme="minorHAnsi"/>
          <w:sz w:val="20"/>
          <w:szCs w:val="20"/>
        </w:rPr>
      </w:pPr>
      <w:r w:rsidRPr="00A24DCA">
        <w:rPr>
          <w:rFonts w:asciiTheme="majorHAnsi" w:hAnsiTheme="majorHAnsi" w:cstheme="minorHAnsi"/>
          <w:sz w:val="20"/>
          <w:szCs w:val="20"/>
        </w:rPr>
        <w:t xml:space="preserve">The </w:t>
      </w:r>
      <w:r w:rsidR="005E3684" w:rsidRPr="00A24DCA">
        <w:rPr>
          <w:rFonts w:asciiTheme="majorHAnsi" w:hAnsiTheme="majorHAnsi" w:cstheme="minorHAnsi"/>
          <w:sz w:val="20"/>
          <w:szCs w:val="20"/>
        </w:rPr>
        <w:t>Technology</w:t>
      </w:r>
      <w:r w:rsidR="00A54DB5" w:rsidRPr="00A24DCA">
        <w:rPr>
          <w:rFonts w:asciiTheme="majorHAnsi" w:hAnsiTheme="majorHAnsi" w:cstheme="minorHAnsi"/>
          <w:sz w:val="20"/>
          <w:szCs w:val="20"/>
        </w:rPr>
        <w:t xml:space="preserve"> and Systems Unit (“</w:t>
      </w:r>
      <w:r w:rsidRPr="00A24DCA">
        <w:rPr>
          <w:rFonts w:asciiTheme="majorHAnsi" w:hAnsiTheme="majorHAnsi" w:cstheme="minorHAnsi"/>
          <w:sz w:val="20"/>
          <w:szCs w:val="20"/>
        </w:rPr>
        <w:t>TSU</w:t>
      </w:r>
      <w:r w:rsidR="00A54DB5" w:rsidRPr="00A24DCA">
        <w:rPr>
          <w:rFonts w:asciiTheme="majorHAnsi" w:hAnsiTheme="majorHAnsi" w:cstheme="minorHAnsi"/>
          <w:sz w:val="20"/>
          <w:szCs w:val="20"/>
        </w:rPr>
        <w:t>”)</w:t>
      </w:r>
      <w:r w:rsidRPr="00A24DCA">
        <w:rPr>
          <w:rFonts w:asciiTheme="majorHAnsi" w:hAnsiTheme="majorHAnsi" w:cstheme="minorHAnsi"/>
          <w:sz w:val="20"/>
          <w:szCs w:val="20"/>
        </w:rPr>
        <w:t xml:space="preserve"> is responsible for managing information technology resources, projects, systems applications, and telecommunications of the IACHR.</w:t>
      </w:r>
      <w:r w:rsidR="00A54DB5" w:rsidRPr="00A24DCA">
        <w:rPr>
          <w:rFonts w:asciiTheme="majorHAnsi" w:hAnsiTheme="majorHAnsi" w:cstheme="minorHAnsi"/>
          <w:sz w:val="20"/>
          <w:szCs w:val="20"/>
        </w:rPr>
        <w:t xml:space="preserve"> </w:t>
      </w:r>
      <w:r w:rsidRPr="00A24DCA">
        <w:rPr>
          <w:rFonts w:asciiTheme="majorHAnsi" w:hAnsiTheme="majorHAnsi" w:cstheme="minorHAnsi"/>
          <w:sz w:val="20"/>
          <w:szCs w:val="20"/>
        </w:rPr>
        <w:t xml:space="preserve"> The TSU’s main functions are to promote integrity and transparency of the Commission’s processes and work with </w:t>
      </w:r>
      <w:r w:rsidRPr="00170BCD">
        <w:rPr>
          <w:rFonts w:ascii="Cambria" w:hAnsi="Cambria" w:cs="Calibri"/>
          <w:sz w:val="20"/>
          <w:szCs w:val="20"/>
        </w:rPr>
        <w:t>technology</w:t>
      </w:r>
      <w:r w:rsidRPr="00A24DCA">
        <w:rPr>
          <w:rFonts w:asciiTheme="majorHAnsi" w:hAnsiTheme="majorHAnsi" w:cstheme="minorHAnsi"/>
          <w:sz w:val="20"/>
          <w:szCs w:val="20"/>
        </w:rPr>
        <w:t xml:space="preserve"> and automatized tools for improving management decision making, management internalization practices, streamlining manual procedures of the staff, and support for victims, petitioners and States with innovation technology.</w:t>
      </w:r>
    </w:p>
    <w:p w:rsidR="00D66078" w:rsidRPr="00A24DCA" w:rsidRDefault="00D66078" w:rsidP="00B928C1">
      <w:pPr>
        <w:ind w:firstLine="720"/>
        <w:jc w:val="both"/>
        <w:rPr>
          <w:rFonts w:asciiTheme="majorHAnsi" w:hAnsiTheme="majorHAnsi" w:cstheme="minorHAnsi"/>
          <w:sz w:val="20"/>
          <w:szCs w:val="20"/>
        </w:rPr>
      </w:pPr>
      <w:r w:rsidRPr="00A24DCA">
        <w:rPr>
          <w:rFonts w:asciiTheme="majorHAnsi" w:hAnsiTheme="majorHAnsi" w:cstheme="minorHAnsi"/>
          <w:sz w:val="20"/>
          <w:szCs w:val="20"/>
        </w:rPr>
        <w:t xml:space="preserve"> </w:t>
      </w:r>
    </w:p>
    <w:p w:rsidR="00A54DB5" w:rsidRPr="00170BCD" w:rsidRDefault="004A6F41" w:rsidP="00036C06">
      <w:pPr>
        <w:pStyle w:val="ListParagraph"/>
        <w:numPr>
          <w:ilvl w:val="0"/>
          <w:numId w:val="9"/>
        </w:numPr>
        <w:ind w:left="0" w:firstLine="720"/>
        <w:jc w:val="both"/>
        <w:rPr>
          <w:rFonts w:ascii="Cambria" w:hAnsi="Cambria" w:cs="Calibri"/>
          <w:sz w:val="20"/>
          <w:szCs w:val="20"/>
        </w:rPr>
      </w:pPr>
      <w:r w:rsidRPr="00A24DCA">
        <w:rPr>
          <w:rFonts w:asciiTheme="majorHAnsi" w:hAnsiTheme="majorHAnsi"/>
          <w:sz w:val="20"/>
          <w:u w:color="FF0000"/>
        </w:rPr>
        <w:t>In 2014</w:t>
      </w:r>
      <w:r w:rsidRPr="00170BCD">
        <w:rPr>
          <w:rFonts w:ascii="Cambria" w:hAnsi="Cambria" w:cs="Calibri"/>
          <w:sz w:val="20"/>
          <w:szCs w:val="20"/>
        </w:rPr>
        <w:t>, the Technology and Systems Unit (TSU) managed to consolidate several projects and in doing so meet the IACHR Executive Secretariat’s automation and process-improvement objectives by managing information technology resources, systems applications, and telecommunications services. Via the implementation of the projects undertaken by the TSU, we were able to make improvements to some of the Commission’s procedures and efforts by using automated management tools and technology including management internalization processes, the systematization of manual processes engaged in by staff, and support for victims, petitioners, and states through the use of technological innovation.</w:t>
      </w:r>
    </w:p>
    <w:p w:rsidR="00A54DB5" w:rsidRPr="00170BCD" w:rsidRDefault="00A54DB5" w:rsidP="00036C06">
      <w:pPr>
        <w:pStyle w:val="ListParagraph"/>
        <w:jc w:val="both"/>
        <w:rPr>
          <w:rFonts w:ascii="Cambria" w:hAnsi="Cambria" w:cs="Calibri"/>
          <w:sz w:val="20"/>
          <w:szCs w:val="20"/>
        </w:rPr>
      </w:pPr>
    </w:p>
    <w:p w:rsidR="00A54DB5" w:rsidRPr="00036C06" w:rsidRDefault="005E50C8" w:rsidP="00036C06">
      <w:pPr>
        <w:pStyle w:val="ListParagraph"/>
        <w:numPr>
          <w:ilvl w:val="0"/>
          <w:numId w:val="9"/>
        </w:numPr>
        <w:ind w:left="0" w:firstLine="720"/>
        <w:jc w:val="both"/>
        <w:rPr>
          <w:rFonts w:ascii="Cambria" w:hAnsi="Cambria" w:cs="Calibri"/>
          <w:sz w:val="20"/>
          <w:szCs w:val="20"/>
        </w:rPr>
      </w:pPr>
      <w:r w:rsidRPr="00036C06">
        <w:rPr>
          <w:rFonts w:ascii="Cambria" w:hAnsi="Cambria" w:cs="Calibri"/>
          <w:sz w:val="20"/>
          <w:szCs w:val="20"/>
        </w:rPr>
        <w:t>During this year’s regular and special sessions, the Technology and Systems Unit was responsible for coordinating, managing the logistics of, programming, monitoring, and following up on technology and telecommunications services in direct contact with the respective services areas in order to ensure that the events and meetings went smoothly as far as the technological challenges and components involved were concerned</w:t>
      </w:r>
      <w:r w:rsidR="00A54DB5" w:rsidRPr="00036C06">
        <w:rPr>
          <w:rFonts w:ascii="Cambria" w:hAnsi="Cambria" w:cs="Calibri"/>
          <w:sz w:val="20"/>
          <w:szCs w:val="20"/>
        </w:rPr>
        <w:t xml:space="preserve">. </w:t>
      </w:r>
    </w:p>
    <w:p w:rsidR="00A54DB5" w:rsidRPr="00036C06" w:rsidRDefault="00A54DB5" w:rsidP="00036C06">
      <w:pPr>
        <w:pStyle w:val="ListParagraph"/>
        <w:jc w:val="both"/>
        <w:rPr>
          <w:rFonts w:ascii="Cambria" w:hAnsi="Cambria" w:cs="Calibri"/>
          <w:sz w:val="20"/>
          <w:szCs w:val="20"/>
        </w:rPr>
      </w:pPr>
    </w:p>
    <w:p w:rsidR="005E50C8" w:rsidRPr="00170BCD" w:rsidRDefault="005E50C8" w:rsidP="00036C06">
      <w:pPr>
        <w:pStyle w:val="ListParagraph"/>
        <w:numPr>
          <w:ilvl w:val="0"/>
          <w:numId w:val="9"/>
        </w:numPr>
        <w:ind w:left="0" w:firstLine="720"/>
        <w:jc w:val="both"/>
        <w:rPr>
          <w:rFonts w:ascii="Cambria" w:hAnsi="Cambria" w:cs="Calibri"/>
          <w:sz w:val="20"/>
          <w:szCs w:val="20"/>
        </w:rPr>
      </w:pPr>
      <w:r w:rsidRPr="00036C06">
        <w:rPr>
          <w:rFonts w:ascii="Cambria" w:hAnsi="Cambria" w:cs="Calibri"/>
          <w:sz w:val="20"/>
          <w:szCs w:val="20"/>
        </w:rPr>
        <w:t xml:space="preserve">The TSU designed and implemented a couple of electronic form-based applications in order to ascertain civil society’s interest in participating in specific hearings such as thematic hearings and/or </w:t>
      </w:r>
      <w:r w:rsidRPr="00036C06">
        <w:rPr>
          <w:rFonts w:ascii="Cambria" w:hAnsi="Cambria" w:cs="Calibri"/>
          <w:sz w:val="20"/>
          <w:szCs w:val="20"/>
        </w:rPr>
        <w:lastRenderedPageBreak/>
        <w:t xml:space="preserve">hearings requested by member states. </w:t>
      </w:r>
      <w:r w:rsidRPr="00170BCD">
        <w:rPr>
          <w:rFonts w:ascii="Cambria" w:hAnsi="Cambria" w:cs="Calibri"/>
          <w:sz w:val="20"/>
          <w:szCs w:val="20"/>
        </w:rPr>
        <w:t>After capturing the data digitally, we were able to provide the Executive Secretariat with user-friendly reports for assessing and selecting the organizations that participated in the hearings.</w:t>
      </w:r>
    </w:p>
    <w:p w:rsidR="005E50C8" w:rsidRPr="00170BCD" w:rsidRDefault="005E50C8" w:rsidP="00036C06">
      <w:pPr>
        <w:pStyle w:val="ListParagraph"/>
        <w:jc w:val="both"/>
        <w:rPr>
          <w:rFonts w:ascii="Cambria" w:hAnsi="Cambria" w:cs="Calibri"/>
          <w:sz w:val="20"/>
          <w:szCs w:val="20"/>
        </w:rPr>
      </w:pPr>
    </w:p>
    <w:p w:rsidR="005E50C8" w:rsidRPr="00170BCD" w:rsidRDefault="005E50C8" w:rsidP="00036C06">
      <w:pPr>
        <w:pStyle w:val="ListParagraph"/>
        <w:numPr>
          <w:ilvl w:val="0"/>
          <w:numId w:val="9"/>
        </w:numPr>
        <w:ind w:left="0" w:firstLine="720"/>
        <w:jc w:val="both"/>
        <w:rPr>
          <w:rFonts w:ascii="Cambria" w:hAnsi="Cambria" w:cs="Calibri"/>
          <w:sz w:val="20"/>
          <w:szCs w:val="20"/>
        </w:rPr>
      </w:pPr>
      <w:r w:rsidRPr="00036C06">
        <w:rPr>
          <w:rFonts w:ascii="Cambria" w:hAnsi="Cambria" w:cs="Calibri"/>
          <w:sz w:val="20"/>
          <w:szCs w:val="20"/>
        </w:rPr>
        <w:t xml:space="preserve">The Technology and Systems Unit also developed an automated and personalized system for requests to participate in the hearings held during the 152nd special session in Mexico; this was the only centralized means of making such requests. </w:t>
      </w:r>
      <w:r w:rsidRPr="00170BCD">
        <w:rPr>
          <w:rFonts w:ascii="Cambria" w:hAnsi="Cambria" w:cs="Calibri"/>
          <w:sz w:val="20"/>
          <w:szCs w:val="20"/>
        </w:rPr>
        <w:t xml:space="preserve">This new digital system aimed to facilitate and hasten processes for the benefit of all involved and allowed for requests to take part in one or more hearings to be submitted in any of the four official languages. </w:t>
      </w:r>
    </w:p>
    <w:p w:rsidR="005E50C8" w:rsidRPr="00170BCD" w:rsidRDefault="005E50C8" w:rsidP="00036C06">
      <w:pPr>
        <w:pStyle w:val="ListParagraph"/>
        <w:jc w:val="both"/>
        <w:rPr>
          <w:rFonts w:ascii="Cambria" w:hAnsi="Cambria" w:cs="Calibri"/>
          <w:sz w:val="20"/>
          <w:szCs w:val="20"/>
        </w:rPr>
      </w:pPr>
    </w:p>
    <w:p w:rsidR="00A54DB5" w:rsidRPr="00170BCD" w:rsidRDefault="005E50C8" w:rsidP="00036C06">
      <w:pPr>
        <w:pStyle w:val="ListParagraph"/>
        <w:numPr>
          <w:ilvl w:val="0"/>
          <w:numId w:val="9"/>
        </w:numPr>
        <w:ind w:left="0" w:firstLine="720"/>
        <w:jc w:val="both"/>
        <w:rPr>
          <w:rFonts w:ascii="Cambria" w:hAnsi="Cambria" w:cs="Calibri"/>
          <w:sz w:val="20"/>
          <w:szCs w:val="20"/>
        </w:rPr>
      </w:pPr>
      <w:r w:rsidRPr="00036C06">
        <w:rPr>
          <w:rFonts w:ascii="Cambria" w:hAnsi="Cambria" w:cs="Calibri"/>
          <w:sz w:val="20"/>
          <w:szCs w:val="20"/>
        </w:rPr>
        <w:t xml:space="preserve">The Technology Unit also prepared statistical reports based on the data obtained from requests made for hearings and working meetings during the Commission’s sessions this year. </w:t>
      </w:r>
      <w:r w:rsidRPr="00170BCD">
        <w:rPr>
          <w:rFonts w:ascii="Cambria" w:hAnsi="Cambria" w:cs="Calibri"/>
          <w:sz w:val="20"/>
          <w:szCs w:val="20"/>
        </w:rPr>
        <w:t>The report contained the overall number of hits the system’s site received, requests that include hearings and working meetings broken down by country, type of requester, type of request, and rapporteurship, as well as statistics and graphs having to do with the requests approved. These tools both permit and facilitate decision-making by senior managers</w:t>
      </w:r>
      <w:r w:rsidR="00A15937" w:rsidRPr="00170BCD">
        <w:rPr>
          <w:rFonts w:ascii="Cambria" w:hAnsi="Cambria" w:cs="Calibri"/>
          <w:sz w:val="20"/>
          <w:szCs w:val="20"/>
        </w:rPr>
        <w:t>.</w:t>
      </w:r>
    </w:p>
    <w:p w:rsidR="005E50C8" w:rsidRPr="00170BCD" w:rsidRDefault="005E50C8" w:rsidP="00036C06">
      <w:pPr>
        <w:pStyle w:val="ListParagraph"/>
        <w:jc w:val="both"/>
        <w:rPr>
          <w:rFonts w:ascii="Cambria" w:hAnsi="Cambria" w:cs="Calibri"/>
          <w:sz w:val="20"/>
          <w:szCs w:val="20"/>
        </w:rPr>
      </w:pPr>
    </w:p>
    <w:p w:rsidR="005E50C8" w:rsidRPr="00170BCD" w:rsidRDefault="005E50C8" w:rsidP="00036C06">
      <w:pPr>
        <w:pStyle w:val="ListParagraph"/>
        <w:numPr>
          <w:ilvl w:val="0"/>
          <w:numId w:val="9"/>
        </w:numPr>
        <w:ind w:left="0" w:firstLine="720"/>
        <w:jc w:val="both"/>
        <w:rPr>
          <w:rFonts w:ascii="Cambria" w:hAnsi="Cambria" w:cs="Calibri"/>
          <w:sz w:val="20"/>
          <w:szCs w:val="20"/>
        </w:rPr>
      </w:pPr>
      <w:r w:rsidRPr="00036C06">
        <w:rPr>
          <w:rFonts w:ascii="Cambria" w:hAnsi="Cambria" w:cs="Calibri"/>
          <w:sz w:val="20"/>
          <w:szCs w:val="20"/>
        </w:rPr>
        <w:t xml:space="preserve">In recent years, the TSU has been working persistently on a project to develop the Individual Petition System Portal in an effort to fulfill the mandate issued by the OAS member states that calls for mechanisms allowing states, petitioners, and victims to electronically access files on petitions and cases to be enhanced. </w:t>
      </w:r>
      <w:r w:rsidRPr="00170BCD">
        <w:rPr>
          <w:rFonts w:ascii="Cambria" w:hAnsi="Cambria" w:cs="Calibri"/>
          <w:sz w:val="20"/>
          <w:szCs w:val="20"/>
        </w:rPr>
        <w:t>Two events were held to present the portal and demonstrate to users of the IACHR what this new system that will provide them more information on their petitions, cases, and/or precautionary measures is all about. The first event was held in Asuncion, Paraguay during the General Assembly. The second event took place at headquarters during the 153rd regular session and was attended by member states and representatives of civil society. In addition to presenting the advantages, functionalities, and improvements offered by the portal, a live demonstration was also done on how information will be accessed and displayed for those who have a case, petition, and/or precautionary measure with the IACHR and who wish to register in the system. The TSU is continuing to manage, monitor, and work on developing this system, which will set the standard for moving forward in both providing users of the IACHR with access to information and ensuring the transparency of such information.</w:t>
      </w:r>
    </w:p>
    <w:p w:rsidR="005E50C8" w:rsidRPr="00170BCD" w:rsidRDefault="005E50C8" w:rsidP="00036C06">
      <w:pPr>
        <w:pStyle w:val="ListParagraph"/>
        <w:jc w:val="both"/>
        <w:rPr>
          <w:rFonts w:ascii="Cambria" w:hAnsi="Cambria" w:cs="Calibri"/>
          <w:sz w:val="20"/>
          <w:szCs w:val="20"/>
        </w:rPr>
      </w:pPr>
    </w:p>
    <w:p w:rsidR="00A54DB5" w:rsidRPr="00170BCD" w:rsidRDefault="005E50C8" w:rsidP="00036C06">
      <w:pPr>
        <w:pStyle w:val="ListParagraph"/>
        <w:numPr>
          <w:ilvl w:val="0"/>
          <w:numId w:val="9"/>
        </w:numPr>
        <w:ind w:left="0" w:firstLine="720"/>
        <w:jc w:val="both"/>
        <w:rPr>
          <w:rFonts w:ascii="Cambria" w:hAnsi="Cambria" w:cs="Calibri"/>
          <w:sz w:val="20"/>
          <w:szCs w:val="20"/>
        </w:rPr>
      </w:pPr>
      <w:r w:rsidRPr="00036C06">
        <w:rPr>
          <w:rFonts w:ascii="Cambria" w:hAnsi="Cambria" w:cs="Calibri"/>
          <w:sz w:val="20"/>
          <w:szCs w:val="20"/>
        </w:rPr>
        <w:t xml:space="preserve">The Fellowship Application System (FAS) was put into operation. </w:t>
      </w:r>
      <w:r w:rsidRPr="00170BCD">
        <w:rPr>
          <w:rFonts w:ascii="Cambria" w:hAnsi="Cambria" w:cs="Calibri"/>
          <w:sz w:val="20"/>
          <w:szCs w:val="20"/>
        </w:rPr>
        <w:t>After having analyzed, designed, developed, and tested the digital and automated fellowship application system, the TSU satisfactorily delivered the system so it could be implemented using a web-based platform that enables the documents and data the Executive Secretariat needs to analyze and reach decisions with respect candidates’ applications for the different fellowship programs to be managed. In addition, training was provided to Executive Secretariat staff that will be responsible for the system with regard to the processes for fellowship recipient selection. The respective documentation on managing and using the system, for both users and system administrators, was delivered as well. Lastly, implementation of the system for candidates for the 2015 Rómulo Gallegos Fellowship Program was successful. We have been able to measure impact as far as processes for collecting and processing data for the subsequent assessment and selection of fellows are concerned, and as a result have come up with processes that are now more agile and efficient. We were also able to measure and report the results of data obtained from the requests in a tangible way. Below you will find graphs containing information on the impact of implementation of the FAS as well as data on the fellowships already awarded under the system: Rómulo Gallegos 2015 and the 2015 Fellowship on International Protection and Internal Displacement</w:t>
      </w:r>
    </w:p>
    <w:p w:rsidR="00A54DB5" w:rsidRPr="00170BCD" w:rsidRDefault="00A54DB5" w:rsidP="00036C06">
      <w:pPr>
        <w:pStyle w:val="ListParagraph"/>
        <w:jc w:val="both"/>
        <w:rPr>
          <w:rFonts w:ascii="Cambria" w:hAnsi="Cambria" w:cs="Calibri"/>
          <w:sz w:val="20"/>
          <w:szCs w:val="20"/>
        </w:rPr>
      </w:pPr>
    </w:p>
    <w:p w:rsidR="00A54DB5" w:rsidRPr="00170BCD" w:rsidRDefault="00A54DB5" w:rsidP="00036C06">
      <w:pPr>
        <w:pStyle w:val="ListParagraph"/>
        <w:jc w:val="both"/>
        <w:rPr>
          <w:rFonts w:ascii="Cambria" w:hAnsi="Cambria" w:cs="Calibri"/>
          <w:sz w:val="20"/>
          <w:szCs w:val="20"/>
        </w:rPr>
      </w:pPr>
    </w:p>
    <w:p w:rsidR="00A15937" w:rsidRPr="00170BCD" w:rsidRDefault="00A15937" w:rsidP="00036C06">
      <w:pPr>
        <w:pStyle w:val="ListParagraph"/>
        <w:jc w:val="both"/>
        <w:rPr>
          <w:rFonts w:ascii="Cambria" w:hAnsi="Cambria" w:cs="Calibri"/>
          <w:sz w:val="20"/>
          <w:szCs w:val="20"/>
        </w:rPr>
      </w:pPr>
    </w:p>
    <w:p w:rsidR="00A15937" w:rsidRPr="009C186B" w:rsidRDefault="00A15937">
      <w:pPr>
        <w:rPr>
          <w:rFonts w:asciiTheme="majorHAnsi" w:hAnsiTheme="majorHAnsi"/>
          <w:sz w:val="20"/>
          <w:szCs w:val="20"/>
        </w:rPr>
      </w:pPr>
      <w:r w:rsidRPr="009C186B">
        <w:rPr>
          <w:noProof/>
        </w:rPr>
        <w:lastRenderedPageBreak/>
        <w:drawing>
          <wp:inline distT="0" distB="0" distL="0" distR="0" wp14:anchorId="1A790421" wp14:editId="2FA030B1">
            <wp:extent cx="5555615" cy="3905250"/>
            <wp:effectExtent l="0" t="0" r="6985" b="0"/>
            <wp:docPr id="4" name="Picture 4" descr="I:\Unidad Tecnología y Sistemas\LUANA\Infograficos - Final Versions\English\Infografico FASv5.jpg"/>
            <wp:cNvGraphicFramePr/>
            <a:graphic xmlns:a="http://schemas.openxmlformats.org/drawingml/2006/main">
              <a:graphicData uri="http://schemas.openxmlformats.org/drawingml/2006/picture">
                <pic:pic xmlns:pic="http://schemas.openxmlformats.org/drawingml/2006/picture">
                  <pic:nvPicPr>
                    <pic:cNvPr id="1" name="Picture 1" descr="I:\Unidad Tecnología y Sistemas\LUANA\Infograficos - Final Versions\English\Infografico FASv5.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5615" cy="3905250"/>
                    </a:xfrm>
                    <a:prstGeom prst="rect">
                      <a:avLst/>
                    </a:prstGeom>
                    <a:noFill/>
                    <a:ln>
                      <a:noFill/>
                    </a:ln>
                  </pic:spPr>
                </pic:pic>
              </a:graphicData>
            </a:graphic>
          </wp:inline>
        </w:drawing>
      </w:r>
    </w:p>
    <w:p w:rsidR="00A15937" w:rsidRPr="009C186B" w:rsidRDefault="00A15937">
      <w:pPr>
        <w:rPr>
          <w:rFonts w:asciiTheme="majorHAnsi" w:hAnsiTheme="majorHAnsi"/>
          <w:sz w:val="20"/>
          <w:szCs w:val="20"/>
        </w:rPr>
      </w:pPr>
    </w:p>
    <w:p w:rsidR="00A15937" w:rsidRPr="009C186B" w:rsidRDefault="00A15937">
      <w:pPr>
        <w:rPr>
          <w:rFonts w:asciiTheme="majorHAnsi" w:hAnsiTheme="majorHAnsi"/>
          <w:sz w:val="20"/>
          <w:szCs w:val="20"/>
        </w:rPr>
      </w:pPr>
    </w:p>
    <w:p w:rsidR="00A15937" w:rsidRPr="009C186B" w:rsidRDefault="00A15937">
      <w:pPr>
        <w:rPr>
          <w:rFonts w:asciiTheme="majorHAnsi" w:hAnsiTheme="majorHAnsi"/>
          <w:sz w:val="20"/>
          <w:szCs w:val="20"/>
        </w:rPr>
      </w:pPr>
    </w:p>
    <w:p w:rsidR="00A15937" w:rsidRPr="009C186B" w:rsidRDefault="00A15937">
      <w:pPr>
        <w:rPr>
          <w:rFonts w:asciiTheme="majorHAnsi" w:hAnsiTheme="majorHAnsi"/>
          <w:sz w:val="20"/>
          <w:szCs w:val="20"/>
        </w:rPr>
      </w:pPr>
      <w:r w:rsidRPr="009C186B">
        <w:rPr>
          <w:rFonts w:asciiTheme="majorHAnsi" w:hAnsiTheme="majorHAnsi"/>
          <w:sz w:val="20"/>
          <w:szCs w:val="20"/>
        </w:rPr>
        <w:br w:type="page"/>
      </w:r>
    </w:p>
    <w:p w:rsidR="00A15937" w:rsidRPr="009C186B" w:rsidRDefault="00A15937" w:rsidP="00A15937">
      <w:pPr>
        <w:jc w:val="center"/>
        <w:rPr>
          <w:rFonts w:asciiTheme="majorHAnsi" w:hAnsiTheme="majorHAnsi"/>
          <w:sz w:val="20"/>
          <w:szCs w:val="20"/>
        </w:rPr>
      </w:pPr>
      <w:r w:rsidRPr="009C186B">
        <w:rPr>
          <w:noProof/>
        </w:rPr>
        <w:lastRenderedPageBreak/>
        <w:drawing>
          <wp:inline distT="0" distB="0" distL="0" distR="0" wp14:anchorId="2F78D3D0" wp14:editId="4962A06A">
            <wp:extent cx="4823460" cy="8229600"/>
            <wp:effectExtent l="0" t="0" r="0" b="0"/>
            <wp:docPr id="6" name="Picture 6" descr="I:\Unidad Tecnología y Sistemas\LUANA\Infograficos - Final Versions\English\BecaGallegos2015v9.jpg"/>
            <wp:cNvGraphicFramePr/>
            <a:graphic xmlns:a="http://schemas.openxmlformats.org/drawingml/2006/main">
              <a:graphicData uri="http://schemas.openxmlformats.org/drawingml/2006/picture">
                <pic:pic xmlns:pic="http://schemas.openxmlformats.org/drawingml/2006/picture">
                  <pic:nvPicPr>
                    <pic:cNvPr id="2" name="Picture 2" descr="I:\Unidad Tecnología y Sistemas\LUANA\Infograficos - Final Versions\English\BecaGallegos2015v9.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3460" cy="8229600"/>
                    </a:xfrm>
                    <a:prstGeom prst="rect">
                      <a:avLst/>
                    </a:prstGeom>
                    <a:noFill/>
                    <a:ln>
                      <a:noFill/>
                    </a:ln>
                  </pic:spPr>
                </pic:pic>
              </a:graphicData>
            </a:graphic>
          </wp:inline>
        </w:drawing>
      </w:r>
      <w:r w:rsidRPr="009C186B">
        <w:rPr>
          <w:rFonts w:asciiTheme="majorHAnsi" w:hAnsiTheme="majorHAnsi"/>
          <w:sz w:val="20"/>
          <w:szCs w:val="20"/>
        </w:rPr>
        <w:br w:type="page"/>
      </w:r>
    </w:p>
    <w:p w:rsidR="009B39D7" w:rsidRPr="009C186B" w:rsidRDefault="009B39D7" w:rsidP="009B39D7">
      <w:pPr>
        <w:jc w:val="center"/>
        <w:rPr>
          <w:rFonts w:asciiTheme="majorHAnsi" w:hAnsiTheme="majorHAnsi"/>
          <w:sz w:val="20"/>
          <w:szCs w:val="20"/>
        </w:rPr>
      </w:pPr>
    </w:p>
    <w:p w:rsidR="00A54DB5" w:rsidRPr="009C186B" w:rsidRDefault="00A54DB5" w:rsidP="00B928C1">
      <w:pPr>
        <w:ind w:firstLine="720"/>
        <w:jc w:val="both"/>
        <w:rPr>
          <w:rFonts w:asciiTheme="majorHAnsi" w:hAnsiTheme="majorHAnsi"/>
          <w:sz w:val="20"/>
          <w:szCs w:val="20"/>
        </w:rPr>
      </w:pPr>
    </w:p>
    <w:p w:rsidR="00A54DB5" w:rsidRPr="009C186B" w:rsidRDefault="005E50C8" w:rsidP="00036C06">
      <w:pPr>
        <w:pStyle w:val="ListParagraph"/>
        <w:numPr>
          <w:ilvl w:val="0"/>
          <w:numId w:val="9"/>
        </w:numPr>
        <w:ind w:left="0" w:firstLine="720"/>
        <w:jc w:val="both"/>
        <w:rPr>
          <w:rFonts w:asciiTheme="majorHAnsi" w:eastAsia="Arial Unicode MS" w:hAnsiTheme="majorHAnsi"/>
          <w:sz w:val="20"/>
          <w:szCs w:val="20"/>
          <w:u w:color="FF0000"/>
        </w:rPr>
      </w:pPr>
      <w:r w:rsidRPr="009C186B">
        <w:rPr>
          <w:rFonts w:asciiTheme="majorHAnsi" w:hAnsiTheme="majorHAnsi"/>
          <w:sz w:val="20"/>
          <w:szCs w:val="20"/>
          <w:u w:color="FF0000"/>
        </w:rPr>
        <w:t>The TSU, in its ongoing efforts to enhance and facilitate the work of the Executive Secretariat’s staff, is moving forward with a project to modernize and replace technological, multimedia, and telecommunications equipment in the IACHR; this is one of the open-ended projects in place to meet this objective. Two multimedia rooms that include different state-of-the-art technologies were designed, coordinated, and put into place. These rooms have the capacity to project presentations and can be used for videoconferences and teleconferences; they also include smart boards and collaborative tools. This makes it possible for virtual meetings to be held between the members of the IACHR as well as with the users of the inter-American human rights system. Furthermore, we now have better quality multimedia capabilities for the presentation and discussion of our day-to-day work. As to the replacement of computer equipment, between 2013 and 2014, some 102 computers were updated, 21 used computers were reconnected, and 14 local and 1 network printers were procured.</w:t>
      </w:r>
      <w:r w:rsidR="00A54DB5" w:rsidRPr="009C186B">
        <w:rPr>
          <w:rFonts w:asciiTheme="majorHAnsi" w:eastAsia="Arial Unicode MS" w:hAnsiTheme="majorHAnsi"/>
          <w:sz w:val="20"/>
          <w:szCs w:val="20"/>
          <w:u w:color="FF0000"/>
        </w:rPr>
        <w:t xml:space="preserve">. </w:t>
      </w:r>
    </w:p>
    <w:p w:rsidR="00A15937" w:rsidRPr="009C186B" w:rsidRDefault="00A54DB5" w:rsidP="00B928C1">
      <w:pPr>
        <w:pStyle w:val="Body1"/>
        <w:ind w:firstLine="720"/>
        <w:jc w:val="both"/>
        <w:rPr>
          <w:rFonts w:asciiTheme="majorHAnsi" w:hAnsiTheme="majorHAnsi"/>
          <w:color w:val="auto"/>
          <w:sz w:val="20"/>
          <w:u w:color="FF0000"/>
        </w:rPr>
      </w:pPr>
      <w:r w:rsidRPr="009C186B">
        <w:rPr>
          <w:rFonts w:asciiTheme="majorHAnsi" w:hAnsiTheme="majorHAnsi"/>
          <w:color w:val="auto"/>
          <w:sz w:val="20"/>
          <w:u w:color="FF0000"/>
        </w:rPr>
        <w:tab/>
      </w:r>
      <w:r w:rsidRPr="009C186B">
        <w:rPr>
          <w:rFonts w:asciiTheme="majorHAnsi" w:hAnsiTheme="majorHAnsi"/>
          <w:color w:val="auto"/>
          <w:sz w:val="20"/>
          <w:u w:color="FF0000"/>
        </w:rPr>
        <w:tab/>
      </w:r>
    </w:p>
    <w:tbl>
      <w:tblPr>
        <w:tblW w:w="5089" w:type="dxa"/>
        <w:jc w:val="center"/>
        <w:tblInd w:w="501" w:type="dxa"/>
        <w:tblCellMar>
          <w:left w:w="70" w:type="dxa"/>
          <w:right w:w="70" w:type="dxa"/>
        </w:tblCellMar>
        <w:tblLook w:val="04A0" w:firstRow="1" w:lastRow="0" w:firstColumn="1" w:lastColumn="0" w:noHBand="0" w:noVBand="1"/>
      </w:tblPr>
      <w:tblGrid>
        <w:gridCol w:w="1182"/>
        <w:gridCol w:w="3907"/>
      </w:tblGrid>
      <w:tr w:rsidR="00A15937" w:rsidRPr="009C186B" w:rsidTr="00A15937">
        <w:trPr>
          <w:trHeight w:val="375"/>
          <w:jc w:val="center"/>
        </w:trPr>
        <w:tc>
          <w:tcPr>
            <w:tcW w:w="5089" w:type="dxa"/>
            <w:gridSpan w:val="2"/>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A15937" w:rsidRPr="009C186B" w:rsidRDefault="00A15937">
            <w:pPr>
              <w:spacing w:line="276" w:lineRule="auto"/>
              <w:jc w:val="center"/>
              <w:rPr>
                <w:rFonts w:asciiTheme="majorHAnsi" w:hAnsiTheme="majorHAnsi" w:cs="Calibri"/>
                <w:b/>
                <w:bCs/>
                <w:color w:val="FFFFFF"/>
                <w:lang w:eastAsia="es-ES_tradnl"/>
              </w:rPr>
            </w:pPr>
            <w:r w:rsidRPr="009C186B">
              <w:rPr>
                <w:rFonts w:asciiTheme="majorHAnsi" w:hAnsiTheme="majorHAnsi" w:cs="Calibri"/>
                <w:b/>
                <w:bCs/>
                <w:color w:val="FFFFFF"/>
                <w:lang w:eastAsia="es-ES_tradnl"/>
              </w:rPr>
              <w:t>Equipment Procured</w:t>
            </w:r>
          </w:p>
        </w:tc>
      </w:tr>
      <w:tr w:rsidR="00A15937" w:rsidRPr="009C186B" w:rsidTr="00A15937">
        <w:trPr>
          <w:trHeight w:val="300"/>
          <w:jc w:val="center"/>
        </w:trPr>
        <w:tc>
          <w:tcPr>
            <w:tcW w:w="1182" w:type="dxa"/>
            <w:tcBorders>
              <w:top w:val="nil"/>
              <w:left w:val="single" w:sz="4" w:space="0" w:color="auto"/>
              <w:bottom w:val="single" w:sz="4" w:space="0" w:color="auto"/>
              <w:right w:val="single" w:sz="4" w:space="0" w:color="auto"/>
            </w:tcBorders>
            <w:noWrap/>
            <w:vAlign w:val="bottom"/>
            <w:hideMark/>
          </w:tcPr>
          <w:p w:rsidR="00A15937" w:rsidRPr="009C186B" w:rsidRDefault="00A15937">
            <w:pPr>
              <w:spacing w:line="276" w:lineRule="auto"/>
              <w:jc w:val="center"/>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102</w:t>
            </w:r>
          </w:p>
        </w:tc>
        <w:tc>
          <w:tcPr>
            <w:tcW w:w="3907" w:type="dxa"/>
            <w:tcBorders>
              <w:top w:val="nil"/>
              <w:left w:val="nil"/>
              <w:bottom w:val="single" w:sz="4" w:space="0" w:color="auto"/>
              <w:right w:val="single" w:sz="4" w:space="0" w:color="auto"/>
            </w:tcBorders>
            <w:noWrap/>
            <w:vAlign w:val="bottom"/>
            <w:hideMark/>
          </w:tcPr>
          <w:p w:rsidR="00A15937" w:rsidRPr="009C186B" w:rsidRDefault="00A15937">
            <w:pPr>
              <w:spacing w:line="276" w:lineRule="auto"/>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Desktop computers</w:t>
            </w:r>
          </w:p>
        </w:tc>
      </w:tr>
      <w:tr w:rsidR="00A15937" w:rsidRPr="009C186B" w:rsidTr="00A15937">
        <w:trPr>
          <w:trHeight w:val="300"/>
          <w:jc w:val="center"/>
        </w:trPr>
        <w:tc>
          <w:tcPr>
            <w:tcW w:w="1182" w:type="dxa"/>
            <w:tcBorders>
              <w:top w:val="nil"/>
              <w:left w:val="single" w:sz="4" w:space="0" w:color="auto"/>
              <w:bottom w:val="single" w:sz="4" w:space="0" w:color="auto"/>
              <w:right w:val="single" w:sz="4" w:space="0" w:color="auto"/>
            </w:tcBorders>
            <w:shd w:val="clear" w:color="auto" w:fill="FFFFFF"/>
            <w:vAlign w:val="bottom"/>
            <w:hideMark/>
          </w:tcPr>
          <w:p w:rsidR="00A15937" w:rsidRPr="009C186B" w:rsidRDefault="00A15937">
            <w:pPr>
              <w:spacing w:line="276" w:lineRule="auto"/>
              <w:jc w:val="center"/>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107</w:t>
            </w:r>
          </w:p>
        </w:tc>
        <w:tc>
          <w:tcPr>
            <w:tcW w:w="3907" w:type="dxa"/>
            <w:tcBorders>
              <w:top w:val="nil"/>
              <w:left w:val="nil"/>
              <w:bottom w:val="single" w:sz="4" w:space="0" w:color="auto"/>
              <w:right w:val="single" w:sz="4" w:space="0" w:color="auto"/>
            </w:tcBorders>
            <w:shd w:val="clear" w:color="auto" w:fill="FFFFFF"/>
            <w:vAlign w:val="bottom"/>
            <w:hideMark/>
          </w:tcPr>
          <w:p w:rsidR="00A15937" w:rsidRPr="009C186B" w:rsidRDefault="00A15937">
            <w:pPr>
              <w:spacing w:line="276" w:lineRule="auto"/>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Desktop computer screens</w:t>
            </w:r>
          </w:p>
        </w:tc>
      </w:tr>
      <w:tr w:rsidR="00A15937" w:rsidRPr="009C186B" w:rsidTr="00A15937">
        <w:trPr>
          <w:trHeight w:val="300"/>
          <w:jc w:val="center"/>
        </w:trPr>
        <w:tc>
          <w:tcPr>
            <w:tcW w:w="1182" w:type="dxa"/>
            <w:tcBorders>
              <w:top w:val="nil"/>
              <w:left w:val="single" w:sz="4" w:space="0" w:color="auto"/>
              <w:bottom w:val="single" w:sz="4" w:space="0" w:color="auto"/>
              <w:right w:val="single" w:sz="4" w:space="0" w:color="auto"/>
            </w:tcBorders>
            <w:noWrap/>
            <w:vAlign w:val="bottom"/>
            <w:hideMark/>
          </w:tcPr>
          <w:p w:rsidR="00A15937" w:rsidRPr="009C186B" w:rsidRDefault="00A15937">
            <w:pPr>
              <w:spacing w:line="276" w:lineRule="auto"/>
              <w:jc w:val="center"/>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15</w:t>
            </w:r>
          </w:p>
        </w:tc>
        <w:tc>
          <w:tcPr>
            <w:tcW w:w="3907" w:type="dxa"/>
            <w:tcBorders>
              <w:top w:val="nil"/>
              <w:left w:val="nil"/>
              <w:bottom w:val="single" w:sz="4" w:space="0" w:color="auto"/>
              <w:right w:val="single" w:sz="4" w:space="0" w:color="auto"/>
            </w:tcBorders>
            <w:noWrap/>
            <w:vAlign w:val="bottom"/>
            <w:hideMark/>
          </w:tcPr>
          <w:p w:rsidR="00A15937" w:rsidRPr="009C186B" w:rsidRDefault="00A15937">
            <w:pPr>
              <w:spacing w:line="276" w:lineRule="auto"/>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 xml:space="preserve">Printers </w:t>
            </w:r>
          </w:p>
        </w:tc>
      </w:tr>
      <w:tr w:rsidR="00A15937" w:rsidRPr="009C186B" w:rsidTr="00A15937">
        <w:trPr>
          <w:trHeight w:val="300"/>
          <w:jc w:val="center"/>
        </w:trPr>
        <w:tc>
          <w:tcPr>
            <w:tcW w:w="1182" w:type="dxa"/>
            <w:tcBorders>
              <w:top w:val="nil"/>
              <w:left w:val="single" w:sz="4" w:space="0" w:color="auto"/>
              <w:bottom w:val="single" w:sz="4" w:space="0" w:color="auto"/>
              <w:right w:val="single" w:sz="4" w:space="0" w:color="auto"/>
            </w:tcBorders>
            <w:noWrap/>
            <w:vAlign w:val="bottom"/>
            <w:hideMark/>
          </w:tcPr>
          <w:p w:rsidR="00A15937" w:rsidRPr="009C186B" w:rsidRDefault="00A15937">
            <w:pPr>
              <w:spacing w:line="276" w:lineRule="auto"/>
              <w:jc w:val="center"/>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4</w:t>
            </w:r>
          </w:p>
        </w:tc>
        <w:tc>
          <w:tcPr>
            <w:tcW w:w="3907" w:type="dxa"/>
            <w:tcBorders>
              <w:top w:val="nil"/>
              <w:left w:val="nil"/>
              <w:bottom w:val="single" w:sz="4" w:space="0" w:color="auto"/>
              <w:right w:val="single" w:sz="4" w:space="0" w:color="auto"/>
            </w:tcBorders>
            <w:noWrap/>
            <w:vAlign w:val="bottom"/>
            <w:hideMark/>
          </w:tcPr>
          <w:p w:rsidR="00A15937" w:rsidRPr="009C186B" w:rsidRDefault="00A15937">
            <w:pPr>
              <w:spacing w:line="276" w:lineRule="auto"/>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Laptops</w:t>
            </w:r>
          </w:p>
        </w:tc>
      </w:tr>
      <w:tr w:rsidR="00A15937" w:rsidRPr="009C186B" w:rsidTr="00A15937">
        <w:trPr>
          <w:trHeight w:val="300"/>
          <w:jc w:val="center"/>
        </w:trPr>
        <w:tc>
          <w:tcPr>
            <w:tcW w:w="1182" w:type="dxa"/>
            <w:tcBorders>
              <w:top w:val="nil"/>
              <w:left w:val="single" w:sz="4" w:space="0" w:color="auto"/>
              <w:bottom w:val="single" w:sz="4" w:space="0" w:color="auto"/>
              <w:right w:val="single" w:sz="4" w:space="0" w:color="auto"/>
            </w:tcBorders>
            <w:noWrap/>
            <w:vAlign w:val="bottom"/>
            <w:hideMark/>
          </w:tcPr>
          <w:p w:rsidR="00A15937" w:rsidRPr="009C186B" w:rsidRDefault="00A15937">
            <w:pPr>
              <w:spacing w:line="276" w:lineRule="auto"/>
              <w:jc w:val="center"/>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43</w:t>
            </w:r>
          </w:p>
        </w:tc>
        <w:tc>
          <w:tcPr>
            <w:tcW w:w="3907" w:type="dxa"/>
            <w:tcBorders>
              <w:top w:val="nil"/>
              <w:left w:val="nil"/>
              <w:bottom w:val="single" w:sz="4" w:space="0" w:color="auto"/>
              <w:right w:val="single" w:sz="4" w:space="0" w:color="auto"/>
            </w:tcBorders>
            <w:noWrap/>
            <w:vAlign w:val="bottom"/>
            <w:hideMark/>
          </w:tcPr>
          <w:p w:rsidR="00A15937" w:rsidRPr="009C186B" w:rsidRDefault="00A15937">
            <w:pPr>
              <w:spacing w:line="276" w:lineRule="auto"/>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Software licenses</w:t>
            </w:r>
          </w:p>
        </w:tc>
      </w:tr>
      <w:tr w:rsidR="00A15937" w:rsidRPr="009C186B" w:rsidTr="00A15937">
        <w:trPr>
          <w:trHeight w:val="300"/>
          <w:jc w:val="center"/>
        </w:trPr>
        <w:tc>
          <w:tcPr>
            <w:tcW w:w="1182" w:type="dxa"/>
            <w:tcBorders>
              <w:top w:val="nil"/>
              <w:left w:val="single" w:sz="4" w:space="0" w:color="auto"/>
              <w:bottom w:val="single" w:sz="4" w:space="0" w:color="auto"/>
              <w:right w:val="single" w:sz="4" w:space="0" w:color="auto"/>
            </w:tcBorders>
            <w:noWrap/>
            <w:vAlign w:val="bottom"/>
            <w:hideMark/>
          </w:tcPr>
          <w:p w:rsidR="00A15937" w:rsidRPr="009C186B" w:rsidRDefault="00A15937">
            <w:pPr>
              <w:spacing w:line="276" w:lineRule="auto"/>
              <w:jc w:val="center"/>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2</w:t>
            </w:r>
          </w:p>
        </w:tc>
        <w:tc>
          <w:tcPr>
            <w:tcW w:w="3907" w:type="dxa"/>
            <w:tcBorders>
              <w:top w:val="nil"/>
              <w:left w:val="nil"/>
              <w:bottom w:val="single" w:sz="4" w:space="0" w:color="auto"/>
              <w:right w:val="single" w:sz="4" w:space="0" w:color="auto"/>
            </w:tcBorders>
            <w:noWrap/>
            <w:vAlign w:val="bottom"/>
            <w:hideMark/>
          </w:tcPr>
          <w:p w:rsidR="00A15937" w:rsidRPr="009C186B" w:rsidRDefault="00A15937">
            <w:pPr>
              <w:spacing w:line="276" w:lineRule="auto"/>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Smart multimedia rooms</w:t>
            </w:r>
          </w:p>
        </w:tc>
      </w:tr>
      <w:tr w:rsidR="00A15937" w:rsidRPr="009C186B" w:rsidTr="00A15937">
        <w:trPr>
          <w:trHeight w:val="300"/>
          <w:jc w:val="center"/>
        </w:trPr>
        <w:tc>
          <w:tcPr>
            <w:tcW w:w="1182" w:type="dxa"/>
            <w:tcBorders>
              <w:top w:val="nil"/>
              <w:left w:val="single" w:sz="4" w:space="0" w:color="auto"/>
              <w:bottom w:val="single" w:sz="4" w:space="0" w:color="auto"/>
              <w:right w:val="single" w:sz="4" w:space="0" w:color="auto"/>
            </w:tcBorders>
            <w:noWrap/>
            <w:vAlign w:val="bottom"/>
            <w:hideMark/>
          </w:tcPr>
          <w:p w:rsidR="00A15937" w:rsidRPr="009C186B" w:rsidRDefault="00A15937">
            <w:pPr>
              <w:spacing w:line="276" w:lineRule="auto"/>
              <w:jc w:val="center"/>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1</w:t>
            </w:r>
          </w:p>
        </w:tc>
        <w:tc>
          <w:tcPr>
            <w:tcW w:w="3907" w:type="dxa"/>
            <w:tcBorders>
              <w:top w:val="nil"/>
              <w:left w:val="nil"/>
              <w:bottom w:val="single" w:sz="4" w:space="0" w:color="auto"/>
              <w:right w:val="single" w:sz="4" w:space="0" w:color="auto"/>
            </w:tcBorders>
            <w:noWrap/>
            <w:vAlign w:val="bottom"/>
            <w:hideMark/>
          </w:tcPr>
          <w:p w:rsidR="00A15937" w:rsidRPr="009C186B" w:rsidRDefault="00A15937">
            <w:pPr>
              <w:spacing w:line="276" w:lineRule="auto"/>
              <w:rPr>
                <w:rFonts w:asciiTheme="majorHAnsi" w:hAnsiTheme="majorHAnsi" w:cs="Calibri"/>
                <w:color w:val="000000"/>
                <w:sz w:val="20"/>
                <w:szCs w:val="20"/>
                <w:lang w:eastAsia="es-ES_tradnl"/>
              </w:rPr>
            </w:pPr>
            <w:r w:rsidRPr="009C186B">
              <w:rPr>
                <w:rFonts w:asciiTheme="majorHAnsi" w:hAnsiTheme="majorHAnsi" w:cs="Calibri"/>
                <w:color w:val="000000"/>
                <w:sz w:val="20"/>
                <w:szCs w:val="20"/>
                <w:lang w:eastAsia="es-ES_tradnl"/>
              </w:rPr>
              <w:t>IP telephone for conference calls</w:t>
            </w:r>
          </w:p>
        </w:tc>
      </w:tr>
    </w:tbl>
    <w:p w:rsidR="00A54DB5" w:rsidRPr="009C186B" w:rsidRDefault="00A54DB5" w:rsidP="00B928C1">
      <w:pPr>
        <w:pStyle w:val="Body1"/>
        <w:ind w:firstLine="720"/>
        <w:jc w:val="both"/>
        <w:rPr>
          <w:rFonts w:asciiTheme="majorHAnsi" w:hAnsiTheme="majorHAnsi"/>
          <w:color w:val="auto"/>
          <w:sz w:val="20"/>
          <w:u w:color="FF0000"/>
        </w:rPr>
      </w:pPr>
    </w:p>
    <w:p w:rsidR="00A54DB5" w:rsidRPr="009C186B" w:rsidRDefault="009B39D7" w:rsidP="00B71853">
      <w:pPr>
        <w:pStyle w:val="Body1"/>
        <w:ind w:firstLine="90"/>
        <w:jc w:val="center"/>
        <w:rPr>
          <w:rFonts w:asciiTheme="majorHAnsi" w:hAnsiTheme="majorHAnsi"/>
          <w:color w:val="auto"/>
          <w:sz w:val="20"/>
          <w:u w:color="FF0000"/>
        </w:rPr>
      </w:pPr>
      <w:r w:rsidRPr="009C186B">
        <w:rPr>
          <w:noProof/>
        </w:rPr>
        <w:drawing>
          <wp:inline distT="0" distB="0" distL="0" distR="0" wp14:anchorId="006A13E0" wp14:editId="00892184">
            <wp:extent cx="5572125" cy="2035810"/>
            <wp:effectExtent l="0" t="0" r="9525" b="2540"/>
            <wp:docPr id="9" name="Picture 9" descr="cid:image005.png@01CFEDF7.9D1F8F70"/>
            <wp:cNvGraphicFramePr/>
            <a:graphic xmlns:a="http://schemas.openxmlformats.org/drawingml/2006/main">
              <a:graphicData uri="http://schemas.openxmlformats.org/drawingml/2006/picture">
                <pic:pic xmlns:pic="http://schemas.openxmlformats.org/drawingml/2006/picture">
                  <pic:nvPicPr>
                    <pic:cNvPr id="6" name="Picture 6" descr="cid:image005.png@01CFEDF7.9D1F8F70"/>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572125" cy="2035810"/>
                    </a:xfrm>
                    <a:prstGeom prst="rect">
                      <a:avLst/>
                    </a:prstGeom>
                    <a:noFill/>
                    <a:ln>
                      <a:noFill/>
                    </a:ln>
                  </pic:spPr>
                </pic:pic>
              </a:graphicData>
            </a:graphic>
          </wp:inline>
        </w:drawing>
      </w:r>
    </w:p>
    <w:p w:rsidR="00A54DB5" w:rsidRPr="009C186B" w:rsidRDefault="00A54DB5" w:rsidP="00B928C1">
      <w:pPr>
        <w:jc w:val="both"/>
        <w:rPr>
          <w:rFonts w:asciiTheme="majorHAnsi" w:hAnsiTheme="majorHAnsi" w:cstheme="minorHAnsi"/>
          <w:sz w:val="20"/>
          <w:szCs w:val="20"/>
        </w:rPr>
      </w:pPr>
    </w:p>
    <w:p w:rsidR="005E50C8" w:rsidRPr="00036C06" w:rsidRDefault="005E50C8" w:rsidP="00036C06">
      <w:pPr>
        <w:pStyle w:val="ListParagraph"/>
        <w:numPr>
          <w:ilvl w:val="0"/>
          <w:numId w:val="9"/>
        </w:numPr>
        <w:ind w:left="0" w:firstLine="720"/>
        <w:jc w:val="both"/>
        <w:rPr>
          <w:rFonts w:asciiTheme="majorHAnsi" w:hAnsiTheme="majorHAnsi"/>
          <w:sz w:val="20"/>
          <w:szCs w:val="20"/>
          <w:u w:color="FF0000"/>
        </w:rPr>
      </w:pPr>
      <w:r w:rsidRPr="009C186B">
        <w:rPr>
          <w:rFonts w:asciiTheme="majorHAnsi" w:eastAsia="Arial Unicode MS" w:hAnsiTheme="majorHAnsi"/>
          <w:sz w:val="20"/>
          <w:szCs w:val="20"/>
          <w:u w:color="FF0000"/>
        </w:rPr>
        <w:t xml:space="preserve">The TSU worked in coordination with the Universidad Federal da Paraíba on the demonstration of a human rights and technology simulator for a virtual training program on international systems for the protection and defense of human rights. A number of representatives from the Center for Legal Sciences at the </w:t>
      </w:r>
      <w:r w:rsidRPr="00036C06">
        <w:rPr>
          <w:rFonts w:asciiTheme="majorHAnsi" w:hAnsiTheme="majorHAnsi"/>
          <w:sz w:val="20"/>
          <w:szCs w:val="20"/>
          <w:u w:color="FF0000"/>
        </w:rPr>
        <w:t xml:space="preserve">Universidad Federal de Paraíba in Brazil attended. Executive Secretariat staff had the opportunity to witness the demonstration and provide feedback to them for purposes of improving the flows and processes involved in the development of this system, the implementation of which is intended to educate attorneys who are studying human rights at the Universidad Federal de Paraíba. </w:t>
      </w:r>
    </w:p>
    <w:p w:rsidR="005E50C8" w:rsidRPr="00036C06" w:rsidRDefault="005E50C8" w:rsidP="00036C06">
      <w:pPr>
        <w:pStyle w:val="ListParagraph"/>
        <w:jc w:val="both"/>
        <w:rPr>
          <w:rFonts w:asciiTheme="majorHAnsi" w:hAnsiTheme="majorHAnsi"/>
          <w:sz w:val="20"/>
          <w:szCs w:val="20"/>
          <w:u w:color="FF0000"/>
        </w:rPr>
      </w:pPr>
    </w:p>
    <w:p w:rsidR="005E50C8" w:rsidRPr="00036C06" w:rsidRDefault="005E50C8" w:rsidP="00036C06">
      <w:pPr>
        <w:pStyle w:val="ListParagraph"/>
        <w:numPr>
          <w:ilvl w:val="0"/>
          <w:numId w:val="9"/>
        </w:numPr>
        <w:ind w:left="0" w:firstLine="720"/>
        <w:jc w:val="both"/>
        <w:rPr>
          <w:rFonts w:asciiTheme="majorHAnsi" w:hAnsiTheme="majorHAnsi"/>
          <w:sz w:val="20"/>
          <w:szCs w:val="20"/>
          <w:u w:color="FF0000"/>
        </w:rPr>
      </w:pPr>
      <w:r w:rsidRPr="00036C06">
        <w:rPr>
          <w:rFonts w:asciiTheme="majorHAnsi" w:hAnsiTheme="majorHAnsi"/>
          <w:sz w:val="20"/>
          <w:szCs w:val="20"/>
          <w:u w:color="FF0000"/>
        </w:rPr>
        <w:t>The processes and systems used and employed within the Technology and Systems Unit were documented so there would be reference manuals for internal use by the staff of the Executive Secretariat who use the systems as well as for those who manage the systems and provide support for tasks related to data entry, data maintenance and quality, data processing, and reports.</w:t>
      </w:r>
    </w:p>
    <w:p w:rsidR="005E50C8" w:rsidRPr="00036C06" w:rsidRDefault="005E50C8" w:rsidP="00036C06">
      <w:pPr>
        <w:pStyle w:val="ListParagraph"/>
        <w:jc w:val="both"/>
        <w:rPr>
          <w:rFonts w:asciiTheme="majorHAnsi" w:hAnsiTheme="majorHAnsi"/>
          <w:sz w:val="20"/>
          <w:szCs w:val="20"/>
          <w:u w:color="FF0000"/>
        </w:rPr>
      </w:pPr>
    </w:p>
    <w:p w:rsidR="005E50C8" w:rsidRPr="00036C06" w:rsidRDefault="005E50C8" w:rsidP="00036C06">
      <w:pPr>
        <w:pStyle w:val="ListParagraph"/>
        <w:numPr>
          <w:ilvl w:val="0"/>
          <w:numId w:val="9"/>
        </w:numPr>
        <w:ind w:left="0" w:firstLine="720"/>
        <w:jc w:val="both"/>
        <w:rPr>
          <w:rFonts w:asciiTheme="majorHAnsi" w:hAnsiTheme="majorHAnsi"/>
          <w:sz w:val="20"/>
          <w:szCs w:val="20"/>
          <w:u w:color="FF0000"/>
        </w:rPr>
      </w:pPr>
      <w:r w:rsidRPr="00036C06">
        <w:rPr>
          <w:rFonts w:asciiTheme="majorHAnsi" w:hAnsiTheme="majorHAnsi"/>
          <w:sz w:val="20"/>
          <w:szCs w:val="20"/>
          <w:u w:color="FF0000"/>
        </w:rPr>
        <w:lastRenderedPageBreak/>
        <w:t xml:space="preserve">We held trainings within the TSU for purposes of sharing knowhow among the unit’s staff. Training was also offered to new Executive Secretariat staff, fellows, and interns on the use and operation of the DMS and PCMS systems. Those who attended the training received support documents and reference manuals on the substance of the training. </w:t>
      </w:r>
    </w:p>
    <w:p w:rsidR="005E50C8" w:rsidRPr="00036C06" w:rsidRDefault="005E50C8" w:rsidP="00036C06">
      <w:pPr>
        <w:pStyle w:val="ListParagraph"/>
        <w:jc w:val="both"/>
        <w:rPr>
          <w:rFonts w:asciiTheme="majorHAnsi" w:hAnsiTheme="majorHAnsi"/>
          <w:sz w:val="20"/>
          <w:szCs w:val="20"/>
          <w:u w:color="FF0000"/>
        </w:rPr>
      </w:pPr>
    </w:p>
    <w:p w:rsidR="00A15937" w:rsidRPr="00036C06" w:rsidRDefault="00A15937" w:rsidP="00036C06">
      <w:pPr>
        <w:pStyle w:val="ListParagraph"/>
        <w:numPr>
          <w:ilvl w:val="0"/>
          <w:numId w:val="9"/>
        </w:numPr>
        <w:ind w:left="0" w:firstLine="720"/>
        <w:jc w:val="both"/>
        <w:rPr>
          <w:rFonts w:asciiTheme="majorHAnsi" w:hAnsiTheme="majorHAnsi"/>
          <w:sz w:val="20"/>
          <w:szCs w:val="20"/>
          <w:u w:color="FF0000"/>
        </w:rPr>
      </w:pPr>
      <w:r w:rsidRPr="00036C06">
        <w:rPr>
          <w:rFonts w:asciiTheme="majorHAnsi" w:hAnsiTheme="majorHAnsi"/>
          <w:sz w:val="20"/>
          <w:szCs w:val="20"/>
          <w:u w:color="FF0000"/>
        </w:rPr>
        <w:t>The Technology and Systems Unit, in its ongoing efforts to improve existing systems, took into account the feedback received from our external and internal users to enhance and update the Hearing Request System (HRS). After some adjustments, the system will allow our users to better understand what information they need to provide in their requests for hearings and/or working meetings, and will also include an assistance module that provides step-by-step directions on how to fill out the request.</w:t>
      </w:r>
    </w:p>
    <w:p w:rsidR="00A15937" w:rsidRPr="00036C06" w:rsidRDefault="00A15937" w:rsidP="00036C06">
      <w:pPr>
        <w:pStyle w:val="ListParagraph"/>
        <w:jc w:val="both"/>
        <w:rPr>
          <w:rFonts w:asciiTheme="majorHAnsi" w:hAnsiTheme="majorHAnsi"/>
          <w:sz w:val="20"/>
          <w:szCs w:val="20"/>
          <w:u w:color="FF0000"/>
        </w:rPr>
      </w:pPr>
    </w:p>
    <w:p w:rsidR="00A15937" w:rsidRPr="00036C06" w:rsidRDefault="00A15937" w:rsidP="00036C06">
      <w:pPr>
        <w:pStyle w:val="ListParagraph"/>
        <w:numPr>
          <w:ilvl w:val="0"/>
          <w:numId w:val="9"/>
        </w:numPr>
        <w:ind w:left="0" w:firstLine="720"/>
        <w:jc w:val="both"/>
        <w:rPr>
          <w:rFonts w:asciiTheme="majorHAnsi" w:hAnsiTheme="majorHAnsi"/>
          <w:sz w:val="20"/>
          <w:szCs w:val="20"/>
          <w:u w:color="FF0000"/>
        </w:rPr>
      </w:pPr>
      <w:r w:rsidRPr="00036C06">
        <w:rPr>
          <w:rFonts w:asciiTheme="majorHAnsi" w:hAnsiTheme="majorHAnsi"/>
          <w:sz w:val="20"/>
          <w:szCs w:val="20"/>
          <w:u w:color="FF0000"/>
        </w:rPr>
        <w:t xml:space="preserve">The Technology and Systems Unit also generates statistical reports so that outcomes may be managed, [and] for monitoring, analysis, and decisions based on the information obtained thanks to the support of the different systems implemented within the IACHR. These reports appear in the Executive Secretary’s report, the annual report, and in presentations from the different areas of the Executive Secretariat. </w:t>
      </w:r>
    </w:p>
    <w:p w:rsidR="00A15937" w:rsidRPr="00036C06" w:rsidRDefault="00A15937" w:rsidP="00036C06">
      <w:pPr>
        <w:pStyle w:val="ListParagraph"/>
        <w:jc w:val="both"/>
        <w:rPr>
          <w:rFonts w:asciiTheme="majorHAnsi" w:hAnsiTheme="majorHAnsi"/>
          <w:sz w:val="20"/>
          <w:szCs w:val="20"/>
          <w:u w:color="FF0000"/>
        </w:rPr>
      </w:pPr>
    </w:p>
    <w:p w:rsidR="005E3684" w:rsidRPr="00D00E90" w:rsidRDefault="00A15937" w:rsidP="00036C06">
      <w:pPr>
        <w:pStyle w:val="ListParagraph"/>
        <w:numPr>
          <w:ilvl w:val="0"/>
          <w:numId w:val="9"/>
        </w:numPr>
        <w:ind w:left="0" w:firstLine="720"/>
        <w:jc w:val="both"/>
        <w:rPr>
          <w:rFonts w:asciiTheme="majorHAnsi" w:hAnsiTheme="majorHAnsi"/>
          <w:sz w:val="20"/>
          <w:szCs w:val="20"/>
          <w:u w:color="FF0000"/>
        </w:rPr>
      </w:pPr>
      <w:r w:rsidRPr="00D00E90">
        <w:rPr>
          <w:rFonts w:asciiTheme="majorHAnsi" w:hAnsiTheme="majorHAnsi"/>
          <w:sz w:val="20"/>
          <w:szCs w:val="20"/>
          <w:u w:color="FF0000"/>
        </w:rPr>
        <w:t>From the Technology and Systems Unit, we can affirm that the IACHR is making progress in its efforts to manage data in close connection with the development of new methods for data management, process automation, and for bringing users of the inter-American human rights system in closer through the use of systematized technological platforms, and we will continue to promote such improvements in order to facilitate access to human rights-related information for those who approach the Commission</w:t>
      </w:r>
      <w:r w:rsidR="00A54DB5" w:rsidRPr="00D00E90">
        <w:rPr>
          <w:rFonts w:asciiTheme="majorHAnsi" w:hAnsiTheme="majorHAnsi"/>
          <w:sz w:val="20"/>
          <w:szCs w:val="20"/>
          <w:u w:color="FF0000"/>
        </w:rPr>
        <w:t>.</w:t>
      </w:r>
    </w:p>
    <w:p w:rsidR="00D00E90" w:rsidRDefault="00D00E90">
      <w:pPr>
        <w:rPr>
          <w:rFonts w:asciiTheme="majorHAnsi" w:hAnsiTheme="majorHAnsi"/>
          <w:sz w:val="20"/>
          <w:szCs w:val="20"/>
          <w:u w:color="FF0000"/>
        </w:rPr>
      </w:pPr>
    </w:p>
    <w:p w:rsidR="00A54DB5" w:rsidRPr="00D00E90" w:rsidRDefault="00A15937" w:rsidP="00D00E90">
      <w:pPr>
        <w:pStyle w:val="ListParagraph"/>
        <w:numPr>
          <w:ilvl w:val="0"/>
          <w:numId w:val="9"/>
        </w:numPr>
        <w:ind w:left="0" w:firstLine="720"/>
        <w:jc w:val="both"/>
        <w:rPr>
          <w:rFonts w:asciiTheme="majorHAnsi" w:hAnsiTheme="majorHAnsi"/>
          <w:sz w:val="20"/>
          <w:szCs w:val="20"/>
          <w:u w:color="FF0000"/>
        </w:rPr>
      </w:pPr>
      <w:r w:rsidRPr="00D00E90">
        <w:rPr>
          <w:rFonts w:asciiTheme="majorHAnsi" w:hAnsiTheme="majorHAnsi"/>
          <w:sz w:val="20"/>
          <w:szCs w:val="20"/>
          <w:u w:color="FF0000"/>
        </w:rPr>
        <w:t>Below you have the Technology and Systems Unit’s catalogue of projects:</w:t>
      </w:r>
      <w:r w:rsidR="00A54DB5" w:rsidRPr="00D00E90">
        <w:rPr>
          <w:rFonts w:asciiTheme="majorHAnsi" w:hAnsiTheme="majorHAnsi"/>
          <w:sz w:val="20"/>
          <w:szCs w:val="20"/>
          <w:u w:color="FF0000"/>
        </w:rPr>
        <w:t>:</w:t>
      </w:r>
    </w:p>
    <w:p w:rsidR="00A54DB5" w:rsidRPr="00036C06" w:rsidRDefault="00A54DB5" w:rsidP="00D00E90">
      <w:pPr>
        <w:pStyle w:val="ListParagraph"/>
        <w:jc w:val="both"/>
        <w:rPr>
          <w:rFonts w:asciiTheme="majorHAnsi" w:hAnsiTheme="majorHAnsi"/>
          <w:sz w:val="20"/>
          <w:szCs w:val="20"/>
          <w:u w:color="FF0000"/>
        </w:rPr>
      </w:pPr>
    </w:p>
    <w:p w:rsidR="00A54DB5" w:rsidRPr="009C186B" w:rsidRDefault="00B71853" w:rsidP="00754C99">
      <w:pPr>
        <w:jc w:val="center"/>
        <w:rPr>
          <w:rFonts w:asciiTheme="majorHAnsi" w:hAnsiTheme="majorHAnsi" w:cstheme="minorHAnsi"/>
          <w:sz w:val="20"/>
          <w:szCs w:val="20"/>
        </w:rPr>
      </w:pPr>
      <w:r>
        <w:rPr>
          <w:noProof/>
        </w:rPr>
        <w:drawing>
          <wp:inline distT="0" distB="0" distL="0" distR="0" wp14:anchorId="2CEB6BEC" wp14:editId="5E9809AF">
            <wp:extent cx="5753735" cy="4459605"/>
            <wp:effectExtent l="0" t="0" r="0" b="0"/>
            <wp:docPr id="2" name="Picture 2" descr="cid:image006.png@01D034D5.D76F7A30"/>
            <wp:cNvGraphicFramePr/>
            <a:graphic xmlns:a="http://schemas.openxmlformats.org/drawingml/2006/main">
              <a:graphicData uri="http://schemas.openxmlformats.org/drawingml/2006/picture">
                <pic:pic xmlns:pic="http://schemas.openxmlformats.org/drawingml/2006/picture">
                  <pic:nvPicPr>
                    <pic:cNvPr id="1" name="Picture 1" descr="cid:image006.png@01D034D5.D76F7A30"/>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53735" cy="4459605"/>
                    </a:xfrm>
                    <a:prstGeom prst="rect">
                      <a:avLst/>
                    </a:prstGeom>
                    <a:noFill/>
                    <a:ln>
                      <a:noFill/>
                    </a:ln>
                  </pic:spPr>
                </pic:pic>
              </a:graphicData>
            </a:graphic>
          </wp:inline>
        </w:drawing>
      </w:r>
    </w:p>
    <w:sectPr w:rsidR="00A54DB5" w:rsidRPr="009C186B" w:rsidSect="008D4DFE">
      <w:headerReference w:type="default" r:id="rId20"/>
      <w:footerReference w:type="default" r:id="rId21"/>
      <w:headerReference w:type="first" r:id="rId22"/>
      <w:footerReference w:type="first" r:id="rId23"/>
      <w:pgSz w:w="12240" w:h="15840"/>
      <w:pgMar w:top="1440" w:right="1440" w:bottom="1440" w:left="1440" w:header="720" w:footer="720" w:gutter="0"/>
      <w:pgNumType w:start="72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8C0" w:rsidRDefault="001468C0" w:rsidP="00BD586E">
      <w:r>
        <w:separator/>
      </w:r>
    </w:p>
  </w:endnote>
  <w:endnote w:type="continuationSeparator" w:id="0">
    <w:p w:rsidR="001468C0" w:rsidRDefault="001468C0" w:rsidP="00BD5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MS ??">
    <w:altName w:val="Arial Unicode MS"/>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685443"/>
      <w:docPartObj>
        <w:docPartGallery w:val="Page Numbers (Bottom of Page)"/>
        <w:docPartUnique/>
      </w:docPartObj>
    </w:sdtPr>
    <w:sdtEndPr>
      <w:rPr>
        <w:rFonts w:asciiTheme="majorHAnsi" w:hAnsiTheme="majorHAnsi"/>
        <w:noProof/>
        <w:sz w:val="16"/>
        <w:szCs w:val="16"/>
      </w:rPr>
    </w:sdtEndPr>
    <w:sdtContent>
      <w:p w:rsidR="00D66078" w:rsidRPr="004528EE" w:rsidRDefault="004528EE" w:rsidP="004528EE">
        <w:pPr>
          <w:pStyle w:val="Footer"/>
          <w:jc w:val="center"/>
          <w:rPr>
            <w:rFonts w:asciiTheme="majorHAnsi" w:hAnsiTheme="majorHAnsi"/>
            <w:sz w:val="16"/>
            <w:szCs w:val="16"/>
          </w:rPr>
        </w:pPr>
        <w:r w:rsidRPr="004528EE">
          <w:rPr>
            <w:rFonts w:asciiTheme="majorHAnsi" w:hAnsiTheme="majorHAnsi"/>
            <w:sz w:val="16"/>
            <w:szCs w:val="16"/>
          </w:rPr>
          <w:fldChar w:fldCharType="begin"/>
        </w:r>
        <w:r w:rsidRPr="004528EE">
          <w:rPr>
            <w:rFonts w:asciiTheme="majorHAnsi" w:hAnsiTheme="majorHAnsi"/>
            <w:sz w:val="16"/>
            <w:szCs w:val="16"/>
          </w:rPr>
          <w:instrText xml:space="preserve"> PAGE   \* MERGEFORMAT </w:instrText>
        </w:r>
        <w:r w:rsidRPr="004528EE">
          <w:rPr>
            <w:rFonts w:asciiTheme="majorHAnsi" w:hAnsiTheme="majorHAnsi"/>
            <w:sz w:val="16"/>
            <w:szCs w:val="16"/>
          </w:rPr>
          <w:fldChar w:fldCharType="separate"/>
        </w:r>
        <w:r w:rsidR="008D4DFE">
          <w:rPr>
            <w:rFonts w:asciiTheme="majorHAnsi" w:hAnsiTheme="majorHAnsi"/>
            <w:noProof/>
            <w:sz w:val="16"/>
            <w:szCs w:val="16"/>
          </w:rPr>
          <w:t>741</w:t>
        </w:r>
        <w:r w:rsidRPr="004528EE">
          <w:rPr>
            <w:rFonts w:asciiTheme="majorHAnsi" w:hAnsiTheme="majorHAnsi"/>
            <w:noProof/>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972799"/>
      <w:docPartObj>
        <w:docPartGallery w:val="Page Numbers (Bottom of Page)"/>
        <w:docPartUnique/>
      </w:docPartObj>
    </w:sdtPr>
    <w:sdtEndPr>
      <w:rPr>
        <w:noProof/>
      </w:rPr>
    </w:sdtEndPr>
    <w:sdtContent>
      <w:p w:rsidR="00636992" w:rsidRPr="00754C99" w:rsidRDefault="00754C99" w:rsidP="00754C99">
        <w:pPr>
          <w:pStyle w:val="Footer"/>
          <w:jc w:val="center"/>
        </w:pPr>
        <w:r w:rsidRPr="00754C99">
          <w:rPr>
            <w:rFonts w:asciiTheme="majorHAnsi" w:hAnsiTheme="majorHAnsi"/>
            <w:sz w:val="16"/>
            <w:szCs w:val="16"/>
          </w:rPr>
          <w:fldChar w:fldCharType="begin"/>
        </w:r>
        <w:r w:rsidRPr="00754C99">
          <w:rPr>
            <w:rFonts w:asciiTheme="majorHAnsi" w:hAnsiTheme="majorHAnsi"/>
            <w:sz w:val="16"/>
            <w:szCs w:val="16"/>
          </w:rPr>
          <w:instrText xml:space="preserve"> PAGE   \* MERGEFORMAT </w:instrText>
        </w:r>
        <w:r w:rsidRPr="00754C99">
          <w:rPr>
            <w:rFonts w:asciiTheme="majorHAnsi" w:hAnsiTheme="majorHAnsi"/>
            <w:sz w:val="16"/>
            <w:szCs w:val="16"/>
          </w:rPr>
          <w:fldChar w:fldCharType="separate"/>
        </w:r>
        <w:r w:rsidR="008D4DFE">
          <w:rPr>
            <w:rFonts w:asciiTheme="majorHAnsi" w:hAnsiTheme="majorHAnsi"/>
            <w:noProof/>
            <w:sz w:val="16"/>
            <w:szCs w:val="16"/>
          </w:rPr>
          <w:t>725</w:t>
        </w:r>
        <w:r w:rsidRPr="00754C99">
          <w:rPr>
            <w:rFonts w:asciiTheme="majorHAnsi" w:hAnsiTheme="majorHAnsi"/>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8C0" w:rsidRDefault="001468C0" w:rsidP="00BD586E">
      <w:r>
        <w:separator/>
      </w:r>
    </w:p>
  </w:footnote>
  <w:footnote w:type="continuationSeparator" w:id="0">
    <w:p w:rsidR="001468C0" w:rsidRDefault="001468C0" w:rsidP="00BD586E">
      <w:r>
        <w:continuationSeparator/>
      </w:r>
    </w:p>
  </w:footnote>
  <w:footnote w:id="1">
    <w:p w:rsidR="004F74CC" w:rsidRPr="00636992" w:rsidRDefault="004F74CC" w:rsidP="00636992">
      <w:pPr>
        <w:pStyle w:val="FootnoteText"/>
        <w:spacing w:after="120"/>
        <w:ind w:firstLine="720"/>
        <w:jc w:val="both"/>
        <w:rPr>
          <w:rFonts w:asciiTheme="majorHAnsi" w:hAnsiTheme="majorHAnsi"/>
          <w:sz w:val="16"/>
          <w:szCs w:val="16"/>
        </w:rPr>
      </w:pPr>
      <w:r w:rsidRPr="00636992">
        <w:rPr>
          <w:rStyle w:val="FootnoteReference"/>
          <w:rFonts w:asciiTheme="majorHAnsi" w:hAnsiTheme="majorHAnsi"/>
          <w:sz w:val="16"/>
          <w:szCs w:val="16"/>
        </w:rPr>
        <w:footnoteRef/>
      </w:r>
      <w:r w:rsidRPr="00636992">
        <w:rPr>
          <w:rFonts w:asciiTheme="majorHAnsi" w:hAnsiTheme="majorHAnsi"/>
          <w:sz w:val="16"/>
          <w:szCs w:val="16"/>
        </w:rPr>
        <w:t xml:space="preserve"> The new structure will be implemented in 2015.</w:t>
      </w:r>
    </w:p>
  </w:footnote>
  <w:footnote w:id="2">
    <w:p w:rsidR="00A629C6" w:rsidRPr="00707A6D" w:rsidRDefault="00A629C6" w:rsidP="00204E60">
      <w:pPr>
        <w:pStyle w:val="FootnoteText"/>
        <w:rPr>
          <w:rFonts w:asciiTheme="majorHAnsi" w:hAnsiTheme="majorHAnsi"/>
          <w:sz w:val="16"/>
          <w:szCs w:val="16"/>
        </w:rPr>
      </w:pPr>
      <w:r w:rsidRPr="00707A6D">
        <w:rPr>
          <w:rStyle w:val="FootnoteReference"/>
          <w:rFonts w:asciiTheme="majorHAnsi" w:hAnsiTheme="majorHAnsi"/>
          <w:sz w:val="16"/>
          <w:szCs w:val="16"/>
        </w:rPr>
        <w:footnoteRef/>
      </w:r>
      <w:r w:rsidRPr="00707A6D">
        <w:rPr>
          <w:rFonts w:asciiTheme="majorHAnsi" w:hAnsiTheme="majorHAnsi"/>
          <w:sz w:val="16"/>
          <w:szCs w:val="16"/>
        </w:rPr>
        <w:t xml:space="preserve"> The Commission approved the process to ensure the creation of the Rapporteurship for</w:t>
      </w:r>
      <w:r w:rsidR="00707A6D" w:rsidRPr="00707A6D">
        <w:rPr>
          <w:rFonts w:asciiTheme="majorHAnsi" w:hAnsiTheme="majorHAnsi" w:cstheme="minorHAnsi"/>
          <w:sz w:val="16"/>
          <w:szCs w:val="16"/>
          <w:u w:val="single"/>
        </w:rPr>
        <w:t xml:space="preserve"> </w:t>
      </w:r>
      <w:r w:rsidR="00707A6D" w:rsidRPr="00707A6D">
        <w:rPr>
          <w:rFonts w:asciiTheme="majorHAnsi" w:hAnsiTheme="majorHAnsi" w:cstheme="minorHAnsi"/>
          <w:sz w:val="16"/>
          <w:szCs w:val="16"/>
        </w:rPr>
        <w:t xml:space="preserve">Economic, Social and </w:t>
      </w:r>
      <w:r w:rsidR="00707A6D" w:rsidRPr="00707A6D">
        <w:rPr>
          <w:rFonts w:asciiTheme="majorHAnsi" w:hAnsiTheme="majorHAnsi"/>
          <w:sz w:val="16"/>
          <w:szCs w:val="16"/>
        </w:rPr>
        <w:t>Cultural</w:t>
      </w:r>
      <w:r w:rsidR="00707A6D" w:rsidRPr="00707A6D">
        <w:rPr>
          <w:rFonts w:asciiTheme="majorHAnsi" w:hAnsiTheme="majorHAnsi" w:cstheme="minorHAnsi"/>
          <w:sz w:val="16"/>
          <w:szCs w:val="16"/>
        </w:rPr>
        <w:t xml:space="preserve"> Rights between December 2015 and January 2016.</w:t>
      </w:r>
    </w:p>
  </w:footnote>
  <w:footnote w:id="3">
    <w:p w:rsidR="00545248" w:rsidRPr="00545248" w:rsidRDefault="00545248" w:rsidP="00A24DCA">
      <w:pPr>
        <w:pStyle w:val="FootnoteText"/>
        <w:spacing w:after="120"/>
        <w:ind w:firstLine="720"/>
        <w:jc w:val="both"/>
      </w:pPr>
      <w:r w:rsidRPr="00545248">
        <w:rPr>
          <w:rFonts w:asciiTheme="majorHAnsi" w:hAnsiTheme="majorHAnsi"/>
          <w:sz w:val="16"/>
          <w:szCs w:val="16"/>
        </w:rPr>
        <w:footnoteRef/>
      </w:r>
      <w:r w:rsidRPr="00545248">
        <w:rPr>
          <w:rFonts w:asciiTheme="majorHAnsi" w:hAnsiTheme="majorHAnsi"/>
          <w:sz w:val="16"/>
          <w:szCs w:val="16"/>
        </w:rPr>
        <w:t xml:space="preserve"> On January 16, 2015, we received notification from the Secretary for Administration and Finance</w:t>
      </w:r>
      <w:r>
        <w:rPr>
          <w:rFonts w:asciiTheme="majorHAnsi" w:hAnsiTheme="majorHAnsi"/>
          <w:sz w:val="16"/>
          <w:szCs w:val="16"/>
        </w:rPr>
        <w:t xml:space="preserve"> </w:t>
      </w:r>
      <w:r w:rsidRPr="00545248">
        <w:rPr>
          <w:rFonts w:asciiTheme="majorHAnsi" w:hAnsiTheme="majorHAnsi"/>
          <w:sz w:val="16"/>
          <w:szCs w:val="16"/>
        </w:rPr>
        <w:t>that</w:t>
      </w:r>
      <w:r w:rsidR="00A24DCA">
        <w:rPr>
          <w:rFonts w:asciiTheme="majorHAnsi" w:hAnsiTheme="majorHAnsi"/>
          <w:sz w:val="16"/>
          <w:szCs w:val="16"/>
        </w:rPr>
        <w:t xml:space="preserve"> as a result of the financial shortages at the GS/OAS, </w:t>
      </w:r>
      <w:r w:rsidRPr="00545248">
        <w:rPr>
          <w:rFonts w:asciiTheme="majorHAnsi" w:hAnsiTheme="majorHAnsi"/>
          <w:sz w:val="16"/>
          <w:szCs w:val="16"/>
        </w:rPr>
        <w:t xml:space="preserve"> all unfilled positions (2 P04s and P02 that had been reinstated), are to remain frozen throughout 2015, in effect negating the budget approval by member states.</w:t>
      </w:r>
    </w:p>
  </w:footnote>
  <w:footnote w:id="4">
    <w:p w:rsidR="00D66078" w:rsidRPr="00636992" w:rsidRDefault="00D66078" w:rsidP="00636992">
      <w:pPr>
        <w:pStyle w:val="FootnoteText"/>
        <w:spacing w:after="120"/>
        <w:ind w:firstLine="720"/>
        <w:jc w:val="both"/>
        <w:rPr>
          <w:rFonts w:asciiTheme="majorHAnsi" w:hAnsiTheme="majorHAnsi"/>
          <w:sz w:val="16"/>
          <w:szCs w:val="16"/>
        </w:rPr>
      </w:pPr>
      <w:r w:rsidRPr="00636992">
        <w:rPr>
          <w:rStyle w:val="FootnoteReference"/>
          <w:rFonts w:asciiTheme="majorHAnsi" w:hAnsiTheme="majorHAnsi"/>
          <w:sz w:val="16"/>
          <w:szCs w:val="16"/>
        </w:rPr>
        <w:footnoteRef/>
      </w:r>
      <w:r w:rsidRPr="00636992">
        <w:rPr>
          <w:rFonts w:asciiTheme="majorHAnsi" w:hAnsiTheme="majorHAnsi"/>
          <w:sz w:val="16"/>
          <w:szCs w:val="16"/>
        </w:rPr>
        <w:t xml:space="preserve"> Reporting on year-end execution will be provided once the GS/OAS has concluded its financial closing procedures.  We anticipate this update to be furnished by the close of the first quarter of 201</w:t>
      </w:r>
      <w:r w:rsidR="003B1AFE" w:rsidRPr="00636992">
        <w:rPr>
          <w:rFonts w:asciiTheme="majorHAnsi" w:hAnsiTheme="majorHAnsi"/>
          <w:sz w:val="16"/>
          <w:szCs w:val="16"/>
        </w:rPr>
        <w:t>5</w:t>
      </w:r>
      <w:r w:rsidRPr="00636992">
        <w:rPr>
          <w:rFonts w:asciiTheme="majorHAnsi" w:hAnsiTheme="majorHAnsi"/>
          <w:sz w:val="16"/>
          <w:szCs w:val="16"/>
        </w:rPr>
        <w:t xml:space="preserve"> and uploaded to the IACHR website.</w:t>
      </w:r>
    </w:p>
  </w:footnote>
  <w:footnote w:id="5">
    <w:p w:rsidR="00762804" w:rsidRPr="00447D17" w:rsidRDefault="00762804" w:rsidP="00636992">
      <w:pPr>
        <w:pStyle w:val="FootnoteText"/>
        <w:spacing w:after="120"/>
        <w:ind w:firstLine="720"/>
        <w:jc w:val="both"/>
        <w:rPr>
          <w:rFonts w:asciiTheme="majorHAnsi" w:hAnsiTheme="majorHAnsi"/>
          <w:sz w:val="16"/>
          <w:szCs w:val="16"/>
        </w:rPr>
      </w:pPr>
      <w:r w:rsidRPr="00B01752">
        <w:rPr>
          <w:rStyle w:val="FootnoteReference"/>
          <w:rFonts w:asciiTheme="majorHAnsi" w:hAnsiTheme="majorHAnsi"/>
          <w:sz w:val="16"/>
          <w:szCs w:val="16"/>
        </w:rPr>
        <w:footnoteRef/>
      </w:r>
      <w:r w:rsidRPr="00B01752">
        <w:rPr>
          <w:rFonts w:asciiTheme="majorHAnsi" w:hAnsiTheme="majorHAnsi"/>
          <w:sz w:val="16"/>
          <w:szCs w:val="16"/>
        </w:rPr>
        <w:t xml:space="preserve"> </w:t>
      </w:r>
      <w:r w:rsidR="00447D17" w:rsidRPr="00B01752">
        <w:rPr>
          <w:rFonts w:asciiTheme="majorHAnsi" w:hAnsiTheme="majorHAnsi"/>
          <w:sz w:val="16"/>
          <w:szCs w:val="16"/>
        </w:rPr>
        <w:t xml:space="preserve">The Government of Norway made a contribution of </w:t>
      </w:r>
      <w:r w:rsidRPr="00B01752">
        <w:rPr>
          <w:rFonts w:asciiTheme="majorHAnsi" w:hAnsiTheme="majorHAnsi"/>
          <w:sz w:val="16"/>
          <w:szCs w:val="16"/>
        </w:rPr>
        <w:t xml:space="preserve">US$540,756.00 </w:t>
      </w:r>
      <w:r w:rsidR="00447D17" w:rsidRPr="00B01752">
        <w:rPr>
          <w:rFonts w:asciiTheme="majorHAnsi" w:hAnsiTheme="majorHAnsi"/>
          <w:sz w:val="16"/>
          <w:szCs w:val="16"/>
        </w:rPr>
        <w:t xml:space="preserve">to the Strategic Plan in December of 2014. The Government of France contributed </w:t>
      </w:r>
      <w:r w:rsidRPr="00B01752">
        <w:rPr>
          <w:rFonts w:asciiTheme="majorHAnsi" w:hAnsiTheme="majorHAnsi"/>
          <w:sz w:val="16"/>
          <w:szCs w:val="16"/>
        </w:rPr>
        <w:t xml:space="preserve">US$24,000 </w:t>
      </w:r>
      <w:r w:rsidR="00447D17" w:rsidRPr="00B01752">
        <w:rPr>
          <w:rFonts w:asciiTheme="majorHAnsi" w:hAnsiTheme="majorHAnsi"/>
          <w:sz w:val="16"/>
          <w:szCs w:val="16"/>
        </w:rPr>
        <w:t xml:space="preserve">to the IACHR in December </w:t>
      </w:r>
      <w:r w:rsidRPr="00B01752">
        <w:rPr>
          <w:rFonts w:asciiTheme="majorHAnsi" w:hAnsiTheme="majorHAnsi"/>
          <w:sz w:val="16"/>
          <w:szCs w:val="16"/>
        </w:rPr>
        <w:t>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992" w:rsidRDefault="00636992" w:rsidP="00636992">
    <w:pPr>
      <w:pStyle w:val="Header"/>
      <w:jc w:val="center"/>
      <w:rPr>
        <w:sz w:val="22"/>
        <w:szCs w:val="22"/>
      </w:rPr>
    </w:pPr>
    <w:r>
      <w:rPr>
        <w:noProof/>
        <w:sz w:val="22"/>
        <w:szCs w:val="22"/>
      </w:rPr>
      <w:drawing>
        <wp:inline distT="0" distB="0" distL="0" distR="0" wp14:anchorId="3A9FEC21" wp14:editId="243290E5">
          <wp:extent cx="2209800" cy="114300"/>
          <wp:effectExtent l="0" t="0" r="0" b="0"/>
          <wp:docPr id="3" name="Picture 3" descr="C:\Users\mfontana\Documents\Eva Fontana\GRAFICA CIDH\cartas\logos\iachr-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fontana\Documents\Eva Fontana\GRAFICA CIDH\cartas\logos\iachr-pe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114300"/>
                  </a:xfrm>
                  <a:prstGeom prst="rect">
                    <a:avLst/>
                  </a:prstGeom>
                  <a:noFill/>
                  <a:ln>
                    <a:noFill/>
                  </a:ln>
                </pic:spPr>
              </pic:pic>
            </a:graphicData>
          </a:graphic>
        </wp:inline>
      </w:drawing>
    </w:r>
  </w:p>
  <w:p w:rsidR="00636992" w:rsidRDefault="001468C0" w:rsidP="00636992">
    <w:pPr>
      <w:pStyle w:val="Header"/>
    </w:pPr>
    <w:r>
      <w:rPr>
        <w:sz w:val="22"/>
        <w:szCs w:val="22"/>
      </w:rPr>
      <w:pict>
        <v:rect id="_x0000_i1025"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4BF" w:rsidRDefault="00E004BF" w:rsidP="00E004BF">
    <w:pPr>
      <w:pStyle w:val="Header"/>
      <w:jc w:val="center"/>
    </w:pPr>
    <w:r>
      <w:rPr>
        <w:noProof/>
      </w:rPr>
      <w:drawing>
        <wp:anchor distT="0" distB="0" distL="114300" distR="114300" simplePos="0" relativeHeight="251659264" behindDoc="1" locked="0" layoutInCell="1" allowOverlap="1" wp14:anchorId="42ED720A" wp14:editId="2A3CC319">
          <wp:simplePos x="0" y="0"/>
          <wp:positionH relativeFrom="column">
            <wp:posOffset>0</wp:posOffset>
          </wp:positionH>
          <wp:positionV relativeFrom="paragraph">
            <wp:posOffset>53975</wp:posOffset>
          </wp:positionV>
          <wp:extent cx="5943600" cy="669925"/>
          <wp:effectExtent l="0" t="0" r="0" b="0"/>
          <wp:wrapThrough wrapText="bothSides">
            <wp:wrapPolygon edited="0">
              <wp:start x="0" y="0"/>
              <wp:lineTo x="0" y="20883"/>
              <wp:lineTo x="21531" y="20883"/>
              <wp:lineTo x="21531" y="0"/>
              <wp:lineTo x="0" y="0"/>
            </wp:wrapPolygon>
          </wp:wrapThrough>
          <wp:docPr id="1" name="Picture 1" descr="header-capitul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capitulos-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4BF" w:rsidRDefault="00E004BF" w:rsidP="00E004BF">
    <w:pPr>
      <w:pStyle w:val="Header"/>
      <w:jc w:val="center"/>
    </w:pPr>
  </w:p>
  <w:p w:rsidR="00E004BF" w:rsidRDefault="00E004BF" w:rsidP="00E004BF">
    <w:pPr>
      <w:pStyle w:val="Header"/>
    </w:pPr>
  </w:p>
  <w:p w:rsidR="00E004BF" w:rsidRDefault="00E004BF" w:rsidP="00E004BF">
    <w:pPr>
      <w:pStyle w:val="Header"/>
    </w:pPr>
  </w:p>
  <w:p w:rsidR="00574047" w:rsidRDefault="001468C0" w:rsidP="00E004BF">
    <w:pPr>
      <w:pStyle w:val="Header"/>
    </w:pPr>
    <w:r>
      <w:pict>
        <v:rect id="_x0000_i1026"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86326"/>
    <w:multiLevelType w:val="hybridMultilevel"/>
    <w:tmpl w:val="E42C1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7C66F9"/>
    <w:multiLevelType w:val="hybridMultilevel"/>
    <w:tmpl w:val="E3B05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357FF9"/>
    <w:multiLevelType w:val="hybridMultilevel"/>
    <w:tmpl w:val="78C0F87A"/>
    <w:lvl w:ilvl="0" w:tplc="11266586">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6312A89"/>
    <w:multiLevelType w:val="hybridMultilevel"/>
    <w:tmpl w:val="87F67F5E"/>
    <w:lvl w:ilvl="0" w:tplc="7B70E6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66A2C88"/>
    <w:multiLevelType w:val="hybridMultilevel"/>
    <w:tmpl w:val="CEBC9542"/>
    <w:lvl w:ilvl="0" w:tplc="61F0A7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8512926"/>
    <w:multiLevelType w:val="hybridMultilevel"/>
    <w:tmpl w:val="91C26DF8"/>
    <w:lvl w:ilvl="0" w:tplc="7BD2B8C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37B14C8"/>
    <w:multiLevelType w:val="hybridMultilevel"/>
    <w:tmpl w:val="77DCB822"/>
    <w:lvl w:ilvl="0" w:tplc="04090001">
      <w:start w:val="1"/>
      <w:numFmt w:val="bullet"/>
      <w:lvlText w:val=""/>
      <w:lvlJc w:val="left"/>
      <w:pPr>
        <w:tabs>
          <w:tab w:val="num" w:pos="360"/>
        </w:tabs>
        <w:ind w:left="360" w:hanging="360"/>
      </w:pPr>
      <w:rPr>
        <w:rFonts w:ascii="Symbol" w:hAnsi="Symbol" w:hint="default"/>
      </w:rPr>
    </w:lvl>
    <w:lvl w:ilvl="1" w:tplc="BED6A236">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BC207BA"/>
    <w:multiLevelType w:val="hybridMultilevel"/>
    <w:tmpl w:val="C664A284"/>
    <w:lvl w:ilvl="0" w:tplc="D9C4C3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D65587D"/>
    <w:multiLevelType w:val="hybridMultilevel"/>
    <w:tmpl w:val="D1AAE3A6"/>
    <w:lvl w:ilvl="0" w:tplc="4606B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1239F1"/>
    <w:multiLevelType w:val="hybridMultilevel"/>
    <w:tmpl w:val="517EA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79204B"/>
    <w:multiLevelType w:val="hybridMultilevel"/>
    <w:tmpl w:val="BB02F66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CF1049F"/>
    <w:multiLevelType w:val="hybridMultilevel"/>
    <w:tmpl w:val="F7A4DCF4"/>
    <w:lvl w:ilvl="0" w:tplc="82266408">
      <w:start w:val="3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1"/>
  </w:num>
  <w:num w:numId="4">
    <w:abstractNumId w:val="2"/>
  </w:num>
  <w:num w:numId="5">
    <w:abstractNumId w:val="4"/>
  </w:num>
  <w:num w:numId="6">
    <w:abstractNumId w:val="7"/>
  </w:num>
  <w:num w:numId="7">
    <w:abstractNumId w:val="3"/>
  </w:num>
  <w:num w:numId="8">
    <w:abstractNumId w:val="6"/>
  </w:num>
  <w:num w:numId="9">
    <w:abstractNumId w:val="8"/>
  </w:num>
  <w:num w:numId="10">
    <w:abstractNumId w:val="9"/>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2D2"/>
    <w:rsid w:val="00003F89"/>
    <w:rsid w:val="00012BD0"/>
    <w:rsid w:val="000159E9"/>
    <w:rsid w:val="00035E2F"/>
    <w:rsid w:val="00036C06"/>
    <w:rsid w:val="0005017C"/>
    <w:rsid w:val="00057968"/>
    <w:rsid w:val="00076FCD"/>
    <w:rsid w:val="00084014"/>
    <w:rsid w:val="000D0404"/>
    <w:rsid w:val="000D2CA1"/>
    <w:rsid w:val="000E2DDB"/>
    <w:rsid w:val="000F0895"/>
    <w:rsid w:val="00105B07"/>
    <w:rsid w:val="00122D37"/>
    <w:rsid w:val="00126D4C"/>
    <w:rsid w:val="00135938"/>
    <w:rsid w:val="00135AB6"/>
    <w:rsid w:val="001410D5"/>
    <w:rsid w:val="00145B83"/>
    <w:rsid w:val="001468C0"/>
    <w:rsid w:val="001509B2"/>
    <w:rsid w:val="00170BCD"/>
    <w:rsid w:val="00174298"/>
    <w:rsid w:val="001752B3"/>
    <w:rsid w:val="00195DC6"/>
    <w:rsid w:val="001B166E"/>
    <w:rsid w:val="001C54F7"/>
    <w:rsid w:val="001F170E"/>
    <w:rsid w:val="00201163"/>
    <w:rsid w:val="00204E60"/>
    <w:rsid w:val="00216A47"/>
    <w:rsid w:val="00234DE0"/>
    <w:rsid w:val="00244525"/>
    <w:rsid w:val="0024516A"/>
    <w:rsid w:val="00245260"/>
    <w:rsid w:val="002549FB"/>
    <w:rsid w:val="00254E15"/>
    <w:rsid w:val="002560B0"/>
    <w:rsid w:val="0026368E"/>
    <w:rsid w:val="0027403C"/>
    <w:rsid w:val="002764AA"/>
    <w:rsid w:val="00292397"/>
    <w:rsid w:val="00293567"/>
    <w:rsid w:val="002C02B1"/>
    <w:rsid w:val="002C4A08"/>
    <w:rsid w:val="002F5ADF"/>
    <w:rsid w:val="0030707D"/>
    <w:rsid w:val="00310092"/>
    <w:rsid w:val="00311655"/>
    <w:rsid w:val="003233A2"/>
    <w:rsid w:val="00323D5D"/>
    <w:rsid w:val="00336728"/>
    <w:rsid w:val="00342EDC"/>
    <w:rsid w:val="00351C92"/>
    <w:rsid w:val="00357678"/>
    <w:rsid w:val="00363ABB"/>
    <w:rsid w:val="00365F9E"/>
    <w:rsid w:val="0038521D"/>
    <w:rsid w:val="003B1AFE"/>
    <w:rsid w:val="003B72D2"/>
    <w:rsid w:val="003C148A"/>
    <w:rsid w:val="003C6602"/>
    <w:rsid w:val="003E1ED8"/>
    <w:rsid w:val="003E29AE"/>
    <w:rsid w:val="003E5AE3"/>
    <w:rsid w:val="003F1A71"/>
    <w:rsid w:val="003F4530"/>
    <w:rsid w:val="004003A2"/>
    <w:rsid w:val="00416A36"/>
    <w:rsid w:val="00432668"/>
    <w:rsid w:val="00447D17"/>
    <w:rsid w:val="00450D50"/>
    <w:rsid w:val="004528EE"/>
    <w:rsid w:val="0046433B"/>
    <w:rsid w:val="00472D3B"/>
    <w:rsid w:val="00477191"/>
    <w:rsid w:val="00497A0F"/>
    <w:rsid w:val="004A1D51"/>
    <w:rsid w:val="004A3BE3"/>
    <w:rsid w:val="004A6F2B"/>
    <w:rsid w:val="004A6F41"/>
    <w:rsid w:val="004B2CFC"/>
    <w:rsid w:val="004C45BE"/>
    <w:rsid w:val="004D2BFD"/>
    <w:rsid w:val="004E694D"/>
    <w:rsid w:val="004F4B14"/>
    <w:rsid w:val="004F74CC"/>
    <w:rsid w:val="00500C8E"/>
    <w:rsid w:val="00505A6B"/>
    <w:rsid w:val="0051737B"/>
    <w:rsid w:val="0052210B"/>
    <w:rsid w:val="00526F38"/>
    <w:rsid w:val="005366AD"/>
    <w:rsid w:val="0054085B"/>
    <w:rsid w:val="00543882"/>
    <w:rsid w:val="00545248"/>
    <w:rsid w:val="005576CF"/>
    <w:rsid w:val="00560135"/>
    <w:rsid w:val="0056586B"/>
    <w:rsid w:val="00573D17"/>
    <w:rsid w:val="00574047"/>
    <w:rsid w:val="0057484C"/>
    <w:rsid w:val="005760E6"/>
    <w:rsid w:val="005B6841"/>
    <w:rsid w:val="005C1D0F"/>
    <w:rsid w:val="005E3684"/>
    <w:rsid w:val="005E50C8"/>
    <w:rsid w:val="005E51A1"/>
    <w:rsid w:val="005E71F3"/>
    <w:rsid w:val="005F51C5"/>
    <w:rsid w:val="005F6198"/>
    <w:rsid w:val="006106EA"/>
    <w:rsid w:val="00615C6E"/>
    <w:rsid w:val="00623BB2"/>
    <w:rsid w:val="006303E9"/>
    <w:rsid w:val="00636992"/>
    <w:rsid w:val="00640BBC"/>
    <w:rsid w:val="00643E5B"/>
    <w:rsid w:val="00660702"/>
    <w:rsid w:val="00660D2F"/>
    <w:rsid w:val="00680343"/>
    <w:rsid w:val="006824A8"/>
    <w:rsid w:val="006857BA"/>
    <w:rsid w:val="006A6BEE"/>
    <w:rsid w:val="006B1426"/>
    <w:rsid w:val="006B3AA0"/>
    <w:rsid w:val="006D44D0"/>
    <w:rsid w:val="00707A6D"/>
    <w:rsid w:val="00750DEB"/>
    <w:rsid w:val="00754C99"/>
    <w:rsid w:val="00762804"/>
    <w:rsid w:val="00771AD7"/>
    <w:rsid w:val="00776797"/>
    <w:rsid w:val="007836FA"/>
    <w:rsid w:val="00792F19"/>
    <w:rsid w:val="007A1D7E"/>
    <w:rsid w:val="007A45DF"/>
    <w:rsid w:val="007D48DB"/>
    <w:rsid w:val="007F145D"/>
    <w:rsid w:val="00815591"/>
    <w:rsid w:val="0082585B"/>
    <w:rsid w:val="00833641"/>
    <w:rsid w:val="00836254"/>
    <w:rsid w:val="00837B55"/>
    <w:rsid w:val="008623D2"/>
    <w:rsid w:val="00873C8D"/>
    <w:rsid w:val="008758DB"/>
    <w:rsid w:val="008776E4"/>
    <w:rsid w:val="008802F6"/>
    <w:rsid w:val="008840EB"/>
    <w:rsid w:val="008A00EF"/>
    <w:rsid w:val="008A543B"/>
    <w:rsid w:val="008A76A5"/>
    <w:rsid w:val="008B1CCF"/>
    <w:rsid w:val="008C578F"/>
    <w:rsid w:val="008D3D68"/>
    <w:rsid w:val="008D4DFE"/>
    <w:rsid w:val="008E3C69"/>
    <w:rsid w:val="008F4099"/>
    <w:rsid w:val="009019D5"/>
    <w:rsid w:val="009221B2"/>
    <w:rsid w:val="0092557A"/>
    <w:rsid w:val="00936768"/>
    <w:rsid w:val="0094556A"/>
    <w:rsid w:val="009614E4"/>
    <w:rsid w:val="0097727D"/>
    <w:rsid w:val="009858CC"/>
    <w:rsid w:val="009869A5"/>
    <w:rsid w:val="00994340"/>
    <w:rsid w:val="00995AB3"/>
    <w:rsid w:val="009A7CCE"/>
    <w:rsid w:val="009B39D7"/>
    <w:rsid w:val="009C186B"/>
    <w:rsid w:val="009D5DC0"/>
    <w:rsid w:val="00A055FA"/>
    <w:rsid w:val="00A06F63"/>
    <w:rsid w:val="00A07E40"/>
    <w:rsid w:val="00A11748"/>
    <w:rsid w:val="00A11A1F"/>
    <w:rsid w:val="00A15937"/>
    <w:rsid w:val="00A24DCA"/>
    <w:rsid w:val="00A4445D"/>
    <w:rsid w:val="00A54DB5"/>
    <w:rsid w:val="00A60AB1"/>
    <w:rsid w:val="00A629C6"/>
    <w:rsid w:val="00A649D4"/>
    <w:rsid w:val="00A66038"/>
    <w:rsid w:val="00A666D6"/>
    <w:rsid w:val="00A73412"/>
    <w:rsid w:val="00A86798"/>
    <w:rsid w:val="00AE07ED"/>
    <w:rsid w:val="00AE2011"/>
    <w:rsid w:val="00B01752"/>
    <w:rsid w:val="00B01C85"/>
    <w:rsid w:val="00B13284"/>
    <w:rsid w:val="00B14FA7"/>
    <w:rsid w:val="00B4369C"/>
    <w:rsid w:val="00B52ECC"/>
    <w:rsid w:val="00B66A22"/>
    <w:rsid w:val="00B71853"/>
    <w:rsid w:val="00B74AD2"/>
    <w:rsid w:val="00B928C1"/>
    <w:rsid w:val="00B9504E"/>
    <w:rsid w:val="00B97F40"/>
    <w:rsid w:val="00BA54C6"/>
    <w:rsid w:val="00BA7392"/>
    <w:rsid w:val="00BA7642"/>
    <w:rsid w:val="00BD586E"/>
    <w:rsid w:val="00BE112A"/>
    <w:rsid w:val="00BE1462"/>
    <w:rsid w:val="00C17CB9"/>
    <w:rsid w:val="00C227F5"/>
    <w:rsid w:val="00C41627"/>
    <w:rsid w:val="00C77E97"/>
    <w:rsid w:val="00C86FC0"/>
    <w:rsid w:val="00CB43FD"/>
    <w:rsid w:val="00CB5E2F"/>
    <w:rsid w:val="00CC1A20"/>
    <w:rsid w:val="00CE0085"/>
    <w:rsid w:val="00CE11E9"/>
    <w:rsid w:val="00CE6FD7"/>
    <w:rsid w:val="00CF0722"/>
    <w:rsid w:val="00CF44D9"/>
    <w:rsid w:val="00CF75EE"/>
    <w:rsid w:val="00D00E90"/>
    <w:rsid w:val="00D03042"/>
    <w:rsid w:val="00D07B4C"/>
    <w:rsid w:val="00D173A3"/>
    <w:rsid w:val="00D2255D"/>
    <w:rsid w:val="00D27148"/>
    <w:rsid w:val="00D33CD9"/>
    <w:rsid w:val="00D467FF"/>
    <w:rsid w:val="00D51E81"/>
    <w:rsid w:val="00D61B9E"/>
    <w:rsid w:val="00D66078"/>
    <w:rsid w:val="00D70915"/>
    <w:rsid w:val="00D7602A"/>
    <w:rsid w:val="00D83680"/>
    <w:rsid w:val="00D93EDA"/>
    <w:rsid w:val="00D9514C"/>
    <w:rsid w:val="00DA0D85"/>
    <w:rsid w:val="00DC0956"/>
    <w:rsid w:val="00DE6EF5"/>
    <w:rsid w:val="00DF356B"/>
    <w:rsid w:val="00DF57E8"/>
    <w:rsid w:val="00E004BF"/>
    <w:rsid w:val="00E038EB"/>
    <w:rsid w:val="00E168F7"/>
    <w:rsid w:val="00E22002"/>
    <w:rsid w:val="00E2444C"/>
    <w:rsid w:val="00E42FCC"/>
    <w:rsid w:val="00E451C8"/>
    <w:rsid w:val="00E5419A"/>
    <w:rsid w:val="00E81EF0"/>
    <w:rsid w:val="00E82218"/>
    <w:rsid w:val="00EA14B6"/>
    <w:rsid w:val="00EB771D"/>
    <w:rsid w:val="00EE6AF2"/>
    <w:rsid w:val="00F00A68"/>
    <w:rsid w:val="00F038EB"/>
    <w:rsid w:val="00F25BC3"/>
    <w:rsid w:val="00F353FB"/>
    <w:rsid w:val="00F57070"/>
    <w:rsid w:val="00F742E5"/>
    <w:rsid w:val="00FA62E1"/>
    <w:rsid w:val="00FA65B2"/>
    <w:rsid w:val="00FA6E9E"/>
    <w:rsid w:val="00FC4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B72D2"/>
    <w:pPr>
      <w:ind w:left="720"/>
      <w:contextualSpacing/>
    </w:pPr>
  </w:style>
  <w:style w:type="character" w:styleId="CommentReference">
    <w:name w:val="annotation reference"/>
    <w:basedOn w:val="DefaultParagraphFont"/>
    <w:rsid w:val="00771AD7"/>
    <w:rPr>
      <w:sz w:val="16"/>
      <w:szCs w:val="16"/>
    </w:rPr>
  </w:style>
  <w:style w:type="paragraph" w:styleId="CommentText">
    <w:name w:val="annotation text"/>
    <w:basedOn w:val="Normal"/>
    <w:link w:val="CommentTextChar"/>
    <w:rsid w:val="00771AD7"/>
    <w:rPr>
      <w:sz w:val="20"/>
      <w:szCs w:val="20"/>
    </w:rPr>
  </w:style>
  <w:style w:type="character" w:customStyle="1" w:styleId="CommentTextChar">
    <w:name w:val="Comment Text Char"/>
    <w:basedOn w:val="DefaultParagraphFont"/>
    <w:link w:val="CommentText"/>
    <w:rsid w:val="00771AD7"/>
  </w:style>
  <w:style w:type="paragraph" w:styleId="CommentSubject">
    <w:name w:val="annotation subject"/>
    <w:basedOn w:val="CommentText"/>
    <w:next w:val="CommentText"/>
    <w:link w:val="CommentSubjectChar"/>
    <w:rsid w:val="00771AD7"/>
    <w:rPr>
      <w:b/>
      <w:bCs/>
    </w:rPr>
  </w:style>
  <w:style w:type="character" w:customStyle="1" w:styleId="CommentSubjectChar">
    <w:name w:val="Comment Subject Char"/>
    <w:basedOn w:val="CommentTextChar"/>
    <w:link w:val="CommentSubject"/>
    <w:rsid w:val="00771AD7"/>
    <w:rPr>
      <w:b/>
      <w:bCs/>
    </w:rPr>
  </w:style>
  <w:style w:type="paragraph" w:styleId="BalloonText">
    <w:name w:val="Balloon Text"/>
    <w:basedOn w:val="Normal"/>
    <w:link w:val="BalloonTextChar"/>
    <w:rsid w:val="00771AD7"/>
    <w:rPr>
      <w:rFonts w:ascii="Tahoma" w:hAnsi="Tahoma" w:cs="Tahoma"/>
      <w:sz w:val="16"/>
      <w:szCs w:val="16"/>
    </w:rPr>
  </w:style>
  <w:style w:type="character" w:customStyle="1" w:styleId="BalloonTextChar">
    <w:name w:val="Balloon Text Char"/>
    <w:basedOn w:val="DefaultParagraphFont"/>
    <w:link w:val="BalloonText"/>
    <w:rsid w:val="00771AD7"/>
    <w:rPr>
      <w:rFonts w:ascii="Tahoma" w:hAnsi="Tahoma" w:cs="Tahoma"/>
      <w:sz w:val="16"/>
      <w:szCs w:val="16"/>
    </w:rPr>
  </w:style>
  <w:style w:type="paragraph" w:styleId="NormalWeb">
    <w:name w:val="Normal (Web)"/>
    <w:basedOn w:val="Normal"/>
    <w:uiPriority w:val="99"/>
    <w:unhideWhenUsed/>
    <w:rsid w:val="009A7CCE"/>
    <w:pPr>
      <w:spacing w:beforeLines="1"/>
    </w:pPr>
    <w:rPr>
      <w:rFonts w:ascii="Times" w:eastAsia="MS ??" w:hAnsi="Times"/>
      <w:sz w:val="20"/>
      <w:szCs w:val="20"/>
      <w:lang w:val="es-ES_tradnl" w:eastAsia="es-ES_tradnl"/>
    </w:rPr>
  </w:style>
  <w:style w:type="paragraph" w:styleId="FootnoteText">
    <w:name w:val="footnote text"/>
    <w:basedOn w:val="Normal"/>
    <w:link w:val="FootnoteTextChar"/>
    <w:rsid w:val="00BD586E"/>
    <w:rPr>
      <w:sz w:val="20"/>
      <w:szCs w:val="20"/>
    </w:rPr>
  </w:style>
  <w:style w:type="character" w:customStyle="1" w:styleId="FootnoteTextChar">
    <w:name w:val="Footnote Text Char"/>
    <w:basedOn w:val="DefaultParagraphFont"/>
    <w:link w:val="FootnoteText"/>
    <w:rsid w:val="00BD586E"/>
  </w:style>
  <w:style w:type="character" w:styleId="FootnoteReference">
    <w:name w:val="footnote reference"/>
    <w:basedOn w:val="DefaultParagraphFont"/>
    <w:rsid w:val="00BD586E"/>
    <w:rPr>
      <w:vertAlign w:val="superscript"/>
    </w:rPr>
  </w:style>
  <w:style w:type="paragraph" w:styleId="Header">
    <w:name w:val="header"/>
    <w:aliases w:val="encabezado"/>
    <w:basedOn w:val="Normal"/>
    <w:link w:val="HeaderChar"/>
    <w:uiPriority w:val="99"/>
    <w:rsid w:val="0056586B"/>
    <w:pPr>
      <w:tabs>
        <w:tab w:val="center" w:pos="4680"/>
        <w:tab w:val="right" w:pos="9360"/>
      </w:tabs>
    </w:pPr>
  </w:style>
  <w:style w:type="character" w:customStyle="1" w:styleId="HeaderChar">
    <w:name w:val="Header Char"/>
    <w:aliases w:val="encabezado Char"/>
    <w:basedOn w:val="DefaultParagraphFont"/>
    <w:link w:val="Header"/>
    <w:uiPriority w:val="99"/>
    <w:rsid w:val="0056586B"/>
    <w:rPr>
      <w:sz w:val="24"/>
      <w:szCs w:val="24"/>
    </w:rPr>
  </w:style>
  <w:style w:type="paragraph" w:styleId="Footer">
    <w:name w:val="footer"/>
    <w:basedOn w:val="Normal"/>
    <w:link w:val="FooterChar"/>
    <w:uiPriority w:val="99"/>
    <w:rsid w:val="0056586B"/>
    <w:pPr>
      <w:tabs>
        <w:tab w:val="center" w:pos="4680"/>
        <w:tab w:val="right" w:pos="9360"/>
      </w:tabs>
    </w:pPr>
  </w:style>
  <w:style w:type="character" w:customStyle="1" w:styleId="FooterChar">
    <w:name w:val="Footer Char"/>
    <w:basedOn w:val="DefaultParagraphFont"/>
    <w:link w:val="Footer"/>
    <w:uiPriority w:val="99"/>
    <w:rsid w:val="0056586B"/>
    <w:rPr>
      <w:sz w:val="24"/>
      <w:szCs w:val="24"/>
    </w:rPr>
  </w:style>
  <w:style w:type="table" w:styleId="TableClassic2">
    <w:name w:val="Table Classic 2"/>
    <w:basedOn w:val="TableNormal"/>
    <w:rsid w:val="002F5AD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1">
    <w:name w:val="Style 1"/>
    <w:basedOn w:val="Normal"/>
    <w:rsid w:val="003B1AFE"/>
    <w:pPr>
      <w:widowControl w:val="0"/>
      <w:autoSpaceDE w:val="0"/>
      <w:autoSpaceDN w:val="0"/>
      <w:adjustRightInd w:val="0"/>
    </w:pPr>
    <w:rPr>
      <w:rFonts w:eastAsia="MS Mincho"/>
    </w:rPr>
  </w:style>
  <w:style w:type="paragraph" w:customStyle="1" w:styleId="Body1">
    <w:name w:val="Body 1"/>
    <w:rsid w:val="00A54DB5"/>
    <w:pPr>
      <w:outlineLvl w:val="0"/>
    </w:pPr>
    <w:rPr>
      <w:rFonts w:eastAsia="Arial Unicode MS"/>
      <w:color w:val="000000"/>
      <w:sz w:val="24"/>
      <w:u w:color="000000"/>
    </w:rPr>
  </w:style>
  <w:style w:type="character" w:customStyle="1" w:styleId="TextoNormalChar">
    <w:name w:val="Texto Normal Char"/>
    <w:link w:val="TextoNormal"/>
    <w:rsid w:val="00A54DB5"/>
    <w:rPr>
      <w:rFonts w:ascii="Calibri" w:eastAsia="MS Mincho" w:hAnsi="Calibri"/>
      <w:sz w:val="24"/>
      <w:lang w:val="es-MX" w:eastAsia="es-ES"/>
    </w:rPr>
  </w:style>
  <w:style w:type="paragraph" w:customStyle="1" w:styleId="TextoNormal">
    <w:name w:val="Texto Normal"/>
    <w:basedOn w:val="Normal"/>
    <w:link w:val="TextoNormalChar"/>
    <w:rsid w:val="00A54DB5"/>
    <w:pPr>
      <w:jc w:val="both"/>
    </w:pPr>
    <w:rPr>
      <w:rFonts w:ascii="Calibri" w:eastAsia="MS Mincho" w:hAnsi="Calibri"/>
      <w:szCs w:val="20"/>
      <w:lang w:val="es-MX"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B72D2"/>
    <w:pPr>
      <w:ind w:left="720"/>
      <w:contextualSpacing/>
    </w:pPr>
  </w:style>
  <w:style w:type="character" w:styleId="CommentReference">
    <w:name w:val="annotation reference"/>
    <w:basedOn w:val="DefaultParagraphFont"/>
    <w:rsid w:val="00771AD7"/>
    <w:rPr>
      <w:sz w:val="16"/>
      <w:szCs w:val="16"/>
    </w:rPr>
  </w:style>
  <w:style w:type="paragraph" w:styleId="CommentText">
    <w:name w:val="annotation text"/>
    <w:basedOn w:val="Normal"/>
    <w:link w:val="CommentTextChar"/>
    <w:rsid w:val="00771AD7"/>
    <w:rPr>
      <w:sz w:val="20"/>
      <w:szCs w:val="20"/>
    </w:rPr>
  </w:style>
  <w:style w:type="character" w:customStyle="1" w:styleId="CommentTextChar">
    <w:name w:val="Comment Text Char"/>
    <w:basedOn w:val="DefaultParagraphFont"/>
    <w:link w:val="CommentText"/>
    <w:rsid w:val="00771AD7"/>
  </w:style>
  <w:style w:type="paragraph" w:styleId="CommentSubject">
    <w:name w:val="annotation subject"/>
    <w:basedOn w:val="CommentText"/>
    <w:next w:val="CommentText"/>
    <w:link w:val="CommentSubjectChar"/>
    <w:rsid w:val="00771AD7"/>
    <w:rPr>
      <w:b/>
      <w:bCs/>
    </w:rPr>
  </w:style>
  <w:style w:type="character" w:customStyle="1" w:styleId="CommentSubjectChar">
    <w:name w:val="Comment Subject Char"/>
    <w:basedOn w:val="CommentTextChar"/>
    <w:link w:val="CommentSubject"/>
    <w:rsid w:val="00771AD7"/>
    <w:rPr>
      <w:b/>
      <w:bCs/>
    </w:rPr>
  </w:style>
  <w:style w:type="paragraph" w:styleId="BalloonText">
    <w:name w:val="Balloon Text"/>
    <w:basedOn w:val="Normal"/>
    <w:link w:val="BalloonTextChar"/>
    <w:rsid w:val="00771AD7"/>
    <w:rPr>
      <w:rFonts w:ascii="Tahoma" w:hAnsi="Tahoma" w:cs="Tahoma"/>
      <w:sz w:val="16"/>
      <w:szCs w:val="16"/>
    </w:rPr>
  </w:style>
  <w:style w:type="character" w:customStyle="1" w:styleId="BalloonTextChar">
    <w:name w:val="Balloon Text Char"/>
    <w:basedOn w:val="DefaultParagraphFont"/>
    <w:link w:val="BalloonText"/>
    <w:rsid w:val="00771AD7"/>
    <w:rPr>
      <w:rFonts w:ascii="Tahoma" w:hAnsi="Tahoma" w:cs="Tahoma"/>
      <w:sz w:val="16"/>
      <w:szCs w:val="16"/>
    </w:rPr>
  </w:style>
  <w:style w:type="paragraph" w:styleId="NormalWeb">
    <w:name w:val="Normal (Web)"/>
    <w:basedOn w:val="Normal"/>
    <w:uiPriority w:val="99"/>
    <w:unhideWhenUsed/>
    <w:rsid w:val="009A7CCE"/>
    <w:pPr>
      <w:spacing w:beforeLines="1"/>
    </w:pPr>
    <w:rPr>
      <w:rFonts w:ascii="Times" w:eastAsia="MS ??" w:hAnsi="Times"/>
      <w:sz w:val="20"/>
      <w:szCs w:val="20"/>
      <w:lang w:val="es-ES_tradnl" w:eastAsia="es-ES_tradnl"/>
    </w:rPr>
  </w:style>
  <w:style w:type="paragraph" w:styleId="FootnoteText">
    <w:name w:val="footnote text"/>
    <w:basedOn w:val="Normal"/>
    <w:link w:val="FootnoteTextChar"/>
    <w:rsid w:val="00BD586E"/>
    <w:rPr>
      <w:sz w:val="20"/>
      <w:szCs w:val="20"/>
    </w:rPr>
  </w:style>
  <w:style w:type="character" w:customStyle="1" w:styleId="FootnoteTextChar">
    <w:name w:val="Footnote Text Char"/>
    <w:basedOn w:val="DefaultParagraphFont"/>
    <w:link w:val="FootnoteText"/>
    <w:rsid w:val="00BD586E"/>
  </w:style>
  <w:style w:type="character" w:styleId="FootnoteReference">
    <w:name w:val="footnote reference"/>
    <w:basedOn w:val="DefaultParagraphFont"/>
    <w:rsid w:val="00BD586E"/>
    <w:rPr>
      <w:vertAlign w:val="superscript"/>
    </w:rPr>
  </w:style>
  <w:style w:type="paragraph" w:styleId="Header">
    <w:name w:val="header"/>
    <w:aliases w:val="encabezado"/>
    <w:basedOn w:val="Normal"/>
    <w:link w:val="HeaderChar"/>
    <w:uiPriority w:val="99"/>
    <w:rsid w:val="0056586B"/>
    <w:pPr>
      <w:tabs>
        <w:tab w:val="center" w:pos="4680"/>
        <w:tab w:val="right" w:pos="9360"/>
      </w:tabs>
    </w:pPr>
  </w:style>
  <w:style w:type="character" w:customStyle="1" w:styleId="HeaderChar">
    <w:name w:val="Header Char"/>
    <w:aliases w:val="encabezado Char"/>
    <w:basedOn w:val="DefaultParagraphFont"/>
    <w:link w:val="Header"/>
    <w:uiPriority w:val="99"/>
    <w:rsid w:val="0056586B"/>
    <w:rPr>
      <w:sz w:val="24"/>
      <w:szCs w:val="24"/>
    </w:rPr>
  </w:style>
  <w:style w:type="paragraph" w:styleId="Footer">
    <w:name w:val="footer"/>
    <w:basedOn w:val="Normal"/>
    <w:link w:val="FooterChar"/>
    <w:uiPriority w:val="99"/>
    <w:rsid w:val="0056586B"/>
    <w:pPr>
      <w:tabs>
        <w:tab w:val="center" w:pos="4680"/>
        <w:tab w:val="right" w:pos="9360"/>
      </w:tabs>
    </w:pPr>
  </w:style>
  <w:style w:type="character" w:customStyle="1" w:styleId="FooterChar">
    <w:name w:val="Footer Char"/>
    <w:basedOn w:val="DefaultParagraphFont"/>
    <w:link w:val="Footer"/>
    <w:uiPriority w:val="99"/>
    <w:rsid w:val="0056586B"/>
    <w:rPr>
      <w:sz w:val="24"/>
      <w:szCs w:val="24"/>
    </w:rPr>
  </w:style>
  <w:style w:type="table" w:styleId="TableClassic2">
    <w:name w:val="Table Classic 2"/>
    <w:basedOn w:val="TableNormal"/>
    <w:rsid w:val="002F5AD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1">
    <w:name w:val="Style 1"/>
    <w:basedOn w:val="Normal"/>
    <w:rsid w:val="003B1AFE"/>
    <w:pPr>
      <w:widowControl w:val="0"/>
      <w:autoSpaceDE w:val="0"/>
      <w:autoSpaceDN w:val="0"/>
      <w:adjustRightInd w:val="0"/>
    </w:pPr>
    <w:rPr>
      <w:rFonts w:eastAsia="MS Mincho"/>
    </w:rPr>
  </w:style>
  <w:style w:type="paragraph" w:customStyle="1" w:styleId="Body1">
    <w:name w:val="Body 1"/>
    <w:rsid w:val="00A54DB5"/>
    <w:pPr>
      <w:outlineLvl w:val="0"/>
    </w:pPr>
    <w:rPr>
      <w:rFonts w:eastAsia="Arial Unicode MS"/>
      <w:color w:val="000000"/>
      <w:sz w:val="24"/>
      <w:u w:color="000000"/>
    </w:rPr>
  </w:style>
  <w:style w:type="character" w:customStyle="1" w:styleId="TextoNormalChar">
    <w:name w:val="Texto Normal Char"/>
    <w:link w:val="TextoNormal"/>
    <w:rsid w:val="00A54DB5"/>
    <w:rPr>
      <w:rFonts w:ascii="Calibri" w:eastAsia="MS Mincho" w:hAnsi="Calibri"/>
      <w:sz w:val="24"/>
      <w:lang w:val="es-MX" w:eastAsia="es-ES"/>
    </w:rPr>
  </w:style>
  <w:style w:type="paragraph" w:customStyle="1" w:styleId="TextoNormal">
    <w:name w:val="Texto Normal"/>
    <w:basedOn w:val="Normal"/>
    <w:link w:val="TextoNormalChar"/>
    <w:rsid w:val="00A54DB5"/>
    <w:pPr>
      <w:jc w:val="both"/>
    </w:pPr>
    <w:rPr>
      <w:rFonts w:ascii="Calibri" w:eastAsia="MS Mincho" w:hAnsi="Calibri"/>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6660">
      <w:bodyDiv w:val="1"/>
      <w:marLeft w:val="0"/>
      <w:marRight w:val="0"/>
      <w:marTop w:val="0"/>
      <w:marBottom w:val="0"/>
      <w:divBdr>
        <w:top w:val="none" w:sz="0" w:space="0" w:color="auto"/>
        <w:left w:val="none" w:sz="0" w:space="0" w:color="auto"/>
        <w:bottom w:val="none" w:sz="0" w:space="0" w:color="auto"/>
        <w:right w:val="none" w:sz="0" w:space="0" w:color="auto"/>
      </w:divBdr>
    </w:div>
    <w:div w:id="362292813">
      <w:bodyDiv w:val="1"/>
      <w:marLeft w:val="0"/>
      <w:marRight w:val="0"/>
      <w:marTop w:val="0"/>
      <w:marBottom w:val="0"/>
      <w:divBdr>
        <w:top w:val="none" w:sz="0" w:space="0" w:color="auto"/>
        <w:left w:val="none" w:sz="0" w:space="0" w:color="auto"/>
        <w:bottom w:val="none" w:sz="0" w:space="0" w:color="auto"/>
        <w:right w:val="none" w:sz="0" w:space="0" w:color="auto"/>
      </w:divBdr>
    </w:div>
    <w:div w:id="620235200">
      <w:bodyDiv w:val="1"/>
      <w:marLeft w:val="0"/>
      <w:marRight w:val="0"/>
      <w:marTop w:val="0"/>
      <w:marBottom w:val="0"/>
      <w:divBdr>
        <w:top w:val="none" w:sz="0" w:space="0" w:color="auto"/>
        <w:left w:val="none" w:sz="0" w:space="0" w:color="auto"/>
        <w:bottom w:val="none" w:sz="0" w:space="0" w:color="auto"/>
        <w:right w:val="none" w:sz="0" w:space="0" w:color="auto"/>
      </w:divBdr>
    </w:div>
    <w:div w:id="1063717708">
      <w:bodyDiv w:val="1"/>
      <w:marLeft w:val="0"/>
      <w:marRight w:val="0"/>
      <w:marTop w:val="0"/>
      <w:marBottom w:val="0"/>
      <w:divBdr>
        <w:top w:val="none" w:sz="0" w:space="0" w:color="auto"/>
        <w:left w:val="none" w:sz="0" w:space="0" w:color="auto"/>
        <w:bottom w:val="none" w:sz="0" w:space="0" w:color="auto"/>
        <w:right w:val="none" w:sz="0" w:space="0" w:color="auto"/>
      </w:divBdr>
    </w:div>
    <w:div w:id="1172188152">
      <w:bodyDiv w:val="1"/>
      <w:marLeft w:val="0"/>
      <w:marRight w:val="0"/>
      <w:marTop w:val="0"/>
      <w:marBottom w:val="0"/>
      <w:divBdr>
        <w:top w:val="none" w:sz="0" w:space="0" w:color="auto"/>
        <w:left w:val="none" w:sz="0" w:space="0" w:color="auto"/>
        <w:bottom w:val="none" w:sz="0" w:space="0" w:color="auto"/>
        <w:right w:val="none" w:sz="0" w:space="0" w:color="auto"/>
      </w:divBdr>
    </w:div>
    <w:div w:id="1717044152">
      <w:bodyDiv w:val="1"/>
      <w:marLeft w:val="0"/>
      <w:marRight w:val="0"/>
      <w:marTop w:val="0"/>
      <w:marBottom w:val="0"/>
      <w:divBdr>
        <w:top w:val="none" w:sz="0" w:space="0" w:color="auto"/>
        <w:left w:val="none" w:sz="0" w:space="0" w:color="auto"/>
        <w:bottom w:val="none" w:sz="0" w:space="0" w:color="auto"/>
        <w:right w:val="none" w:sz="0" w:space="0" w:color="auto"/>
      </w:divBdr>
    </w:div>
    <w:div w:id="1787313830">
      <w:bodyDiv w:val="1"/>
      <w:marLeft w:val="0"/>
      <w:marRight w:val="0"/>
      <w:marTop w:val="0"/>
      <w:marBottom w:val="0"/>
      <w:divBdr>
        <w:top w:val="none" w:sz="0" w:space="0" w:color="auto"/>
        <w:left w:val="none" w:sz="0" w:space="0" w:color="auto"/>
        <w:bottom w:val="none" w:sz="0" w:space="0" w:color="auto"/>
        <w:right w:val="none" w:sz="0" w:space="0" w:color="auto"/>
      </w:divBdr>
    </w:div>
    <w:div w:id="1919291148">
      <w:bodyDiv w:val="1"/>
      <w:marLeft w:val="0"/>
      <w:marRight w:val="0"/>
      <w:marTop w:val="0"/>
      <w:marBottom w:val="0"/>
      <w:divBdr>
        <w:top w:val="none" w:sz="0" w:space="0" w:color="auto"/>
        <w:left w:val="none" w:sz="0" w:space="0" w:color="auto"/>
        <w:bottom w:val="none" w:sz="0" w:space="0" w:color="auto"/>
        <w:right w:val="none" w:sz="0" w:space="0" w:color="auto"/>
      </w:divBdr>
    </w:div>
    <w:div w:id="202389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cid:image005.png@01CFEDF7.9D1F8F7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cid:image006.png@01D034D5.D76F7A30"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63542-E9E4-4C85-91B4-6B97F4871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4477</Words>
  <Characters>25520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Annual Report 2014 - Chapter VI</vt:lpstr>
    </vt:vector>
  </TitlesOfParts>
  <LinksUpToDate>false</LinksUpToDate>
  <CharactersWithSpaces>29938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2014 - Chapter VI</dc:title>
  <dc:creator/>
  <cp:lastModifiedBy/>
  <cp:revision>1</cp:revision>
  <dcterms:created xsi:type="dcterms:W3CDTF">2015-03-10T12:17:00Z</dcterms:created>
  <dcterms:modified xsi:type="dcterms:W3CDTF">2017-01-12T17:33:00Z</dcterms:modified>
</cp:coreProperties>
</file>