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70ADD" w14:textId="0FEB019F" w:rsidR="00B117BB" w:rsidRPr="00CC2594" w:rsidRDefault="005621BA" w:rsidP="00B117BB">
      <w:pPr>
        <w:spacing w:after="0" w:line="240" w:lineRule="auto"/>
        <w:jc w:val="center"/>
        <w:rPr>
          <w:rFonts w:ascii="Cambria" w:eastAsia="Batang" w:hAnsi="Cambria" w:cs="Times New Roman"/>
          <w:b/>
          <w:szCs w:val="21"/>
          <w:lang w:val="en-US"/>
        </w:rPr>
      </w:pPr>
      <w:r w:rsidRPr="00CC2594">
        <w:rPr>
          <w:rFonts w:ascii="Cambria" w:eastAsia="Batang" w:hAnsi="Cambria" w:cs="Times New Roman"/>
          <w:b/>
          <w:szCs w:val="21"/>
          <w:lang w:val="en-US"/>
        </w:rPr>
        <w:t>INTERAMERICAN COMISSION ON HUMAN RIGHTS</w:t>
      </w:r>
    </w:p>
    <w:p w14:paraId="2C089ED9" w14:textId="460D2EC2" w:rsidR="00B117BB" w:rsidRPr="00CC2594" w:rsidRDefault="00527571" w:rsidP="00B117BB">
      <w:pPr>
        <w:spacing w:after="0" w:line="240" w:lineRule="auto"/>
        <w:jc w:val="center"/>
        <w:rPr>
          <w:rFonts w:ascii="Cambria" w:eastAsia="Batang" w:hAnsi="Cambria" w:cs="Times New Roman"/>
          <w:b/>
          <w:szCs w:val="21"/>
          <w:lang w:val="en-US"/>
        </w:rPr>
      </w:pPr>
      <w:r w:rsidRPr="00CC2594">
        <w:rPr>
          <w:rFonts w:ascii="Cambria" w:eastAsia="Batang" w:hAnsi="Cambria" w:cs="Times New Roman"/>
          <w:b/>
          <w:szCs w:val="21"/>
          <w:lang w:val="en-US"/>
        </w:rPr>
        <w:t>RESOLU</w:t>
      </w:r>
      <w:r w:rsidR="005621BA" w:rsidRPr="00CC2594">
        <w:rPr>
          <w:rFonts w:ascii="Cambria" w:eastAsia="Batang" w:hAnsi="Cambria" w:cs="Times New Roman"/>
          <w:b/>
          <w:szCs w:val="21"/>
          <w:lang w:val="en-US"/>
        </w:rPr>
        <w:t>TION</w:t>
      </w:r>
      <w:r w:rsidRPr="00CC2594">
        <w:rPr>
          <w:rFonts w:ascii="Cambria" w:eastAsia="Batang" w:hAnsi="Cambria" w:cs="Times New Roman"/>
          <w:b/>
          <w:szCs w:val="21"/>
          <w:lang w:val="en-US"/>
        </w:rPr>
        <w:t xml:space="preserve"> </w:t>
      </w:r>
      <w:r w:rsidR="00CC2594">
        <w:rPr>
          <w:rFonts w:ascii="Cambria" w:eastAsia="Batang" w:hAnsi="Cambria" w:cs="Times New Roman"/>
          <w:b/>
          <w:szCs w:val="21"/>
          <w:lang w:val="en-US"/>
        </w:rPr>
        <w:t>8</w:t>
      </w:r>
      <w:r w:rsidR="00B117BB" w:rsidRPr="00CC2594">
        <w:rPr>
          <w:rFonts w:ascii="Cambria" w:eastAsia="Batang" w:hAnsi="Cambria" w:cs="Times New Roman"/>
          <w:b/>
          <w:szCs w:val="21"/>
          <w:lang w:val="en-US"/>
        </w:rPr>
        <w:t>/20</w:t>
      </w:r>
      <w:r w:rsidR="003B10E7" w:rsidRPr="00CC2594">
        <w:rPr>
          <w:rFonts w:ascii="Cambria" w:eastAsia="Batang" w:hAnsi="Cambria" w:cs="Times New Roman"/>
          <w:b/>
          <w:szCs w:val="21"/>
          <w:lang w:val="en-US"/>
        </w:rPr>
        <w:t>20</w:t>
      </w:r>
    </w:p>
    <w:p w14:paraId="61C2A726" w14:textId="3DEAB537" w:rsidR="00B117BB" w:rsidRPr="00CC2594" w:rsidRDefault="005621BA" w:rsidP="00B117BB">
      <w:pPr>
        <w:spacing w:after="0" w:line="240" w:lineRule="auto"/>
        <w:jc w:val="center"/>
        <w:rPr>
          <w:rFonts w:ascii="Cambria" w:eastAsia="Batang" w:hAnsi="Cambria" w:cs="Times New Roman"/>
          <w:szCs w:val="21"/>
          <w:lang w:val="en-US"/>
        </w:rPr>
      </w:pPr>
      <w:r w:rsidRPr="00CC2594">
        <w:rPr>
          <w:rFonts w:ascii="Cambria" w:eastAsia="Batang" w:hAnsi="Cambria" w:cs="Times New Roman"/>
          <w:szCs w:val="21"/>
          <w:lang w:val="en-US"/>
        </w:rPr>
        <w:t>Precautionary Measure</w:t>
      </w:r>
      <w:r w:rsidR="00B117BB" w:rsidRPr="00CC2594">
        <w:rPr>
          <w:rFonts w:ascii="Cambria" w:eastAsia="Batang" w:hAnsi="Cambria" w:cs="Times New Roman"/>
          <w:szCs w:val="21"/>
          <w:lang w:val="en-US"/>
        </w:rPr>
        <w:t xml:space="preserve"> No. </w:t>
      </w:r>
      <w:r w:rsidR="003B10E7" w:rsidRPr="00CC2594">
        <w:rPr>
          <w:rFonts w:ascii="Cambria" w:eastAsia="Batang" w:hAnsi="Cambria" w:cs="Times New Roman"/>
          <w:szCs w:val="21"/>
          <w:lang w:val="en-US"/>
        </w:rPr>
        <w:t>1008-19</w:t>
      </w:r>
    </w:p>
    <w:p w14:paraId="03933F1D" w14:textId="77777777" w:rsidR="00B117BB" w:rsidRPr="00CC2594" w:rsidRDefault="00B117BB" w:rsidP="00B117BB">
      <w:pPr>
        <w:spacing w:after="0" w:line="240" w:lineRule="auto"/>
        <w:jc w:val="both"/>
        <w:rPr>
          <w:rFonts w:ascii="Cambria" w:eastAsia="Batang" w:hAnsi="Cambria" w:cs="Times New Roman"/>
          <w:sz w:val="21"/>
          <w:szCs w:val="21"/>
          <w:lang w:val="en-US"/>
        </w:rPr>
      </w:pPr>
    </w:p>
    <w:p w14:paraId="42E8FB00" w14:textId="604FE346" w:rsidR="00B117BB" w:rsidRPr="00CC2594" w:rsidRDefault="005621BA" w:rsidP="00B117BB">
      <w:pPr>
        <w:spacing w:after="0" w:line="240" w:lineRule="auto"/>
        <w:jc w:val="center"/>
        <w:rPr>
          <w:rFonts w:ascii="Cambria" w:eastAsia="Batang" w:hAnsi="Cambria" w:cs="Times New Roman"/>
          <w:sz w:val="26"/>
          <w:szCs w:val="26"/>
          <w:lang w:val="en-US"/>
        </w:rPr>
      </w:pPr>
      <w:r w:rsidRPr="00CC2594">
        <w:rPr>
          <w:rFonts w:ascii="Cambria" w:eastAsia="Batang" w:hAnsi="Cambria" w:cs="Times New Roman"/>
          <w:sz w:val="26"/>
          <w:szCs w:val="26"/>
          <w:lang w:val="en-US"/>
        </w:rPr>
        <w:t>Alfonso and</w:t>
      </w:r>
      <w:r w:rsidR="003B10E7" w:rsidRPr="00CC2594">
        <w:rPr>
          <w:rFonts w:ascii="Cambria" w:eastAsia="Batang" w:hAnsi="Cambria" w:cs="Times New Roman"/>
          <w:sz w:val="26"/>
          <w:szCs w:val="26"/>
          <w:lang w:val="en-US"/>
        </w:rPr>
        <w:t xml:space="preserve"> Alberto </w:t>
      </w:r>
      <w:proofErr w:type="spellStart"/>
      <w:r w:rsidR="003B10E7" w:rsidRPr="00CC2594">
        <w:rPr>
          <w:rFonts w:ascii="Cambria" w:eastAsia="Batang" w:hAnsi="Cambria" w:cs="Times New Roman"/>
          <w:sz w:val="26"/>
          <w:szCs w:val="26"/>
          <w:lang w:val="en-US"/>
        </w:rPr>
        <w:t>Alejandre</w:t>
      </w:r>
      <w:proofErr w:type="spellEnd"/>
      <w:r w:rsidR="003B10E7" w:rsidRPr="00CC2594">
        <w:rPr>
          <w:rFonts w:ascii="Cambria" w:eastAsia="Batang" w:hAnsi="Cambria" w:cs="Times New Roman"/>
          <w:sz w:val="26"/>
          <w:szCs w:val="26"/>
          <w:lang w:val="en-US"/>
        </w:rPr>
        <w:t xml:space="preserve"> </w:t>
      </w:r>
      <w:proofErr w:type="spellStart"/>
      <w:r w:rsidR="003B10E7" w:rsidRPr="00CC2594">
        <w:rPr>
          <w:rFonts w:ascii="Cambria" w:eastAsia="Batang" w:hAnsi="Cambria" w:cs="Times New Roman"/>
          <w:sz w:val="26"/>
          <w:szCs w:val="26"/>
          <w:lang w:val="en-US"/>
        </w:rPr>
        <w:t>Díaz</w:t>
      </w:r>
      <w:proofErr w:type="spellEnd"/>
      <w:r w:rsidR="00B117BB" w:rsidRPr="00CC2594">
        <w:rPr>
          <w:rFonts w:ascii="Cambria" w:eastAsia="Batang" w:hAnsi="Cambria" w:cs="Times New Roman"/>
          <w:sz w:val="26"/>
          <w:szCs w:val="26"/>
          <w:lang w:val="en-US"/>
        </w:rPr>
        <w:t xml:space="preserve"> </w:t>
      </w:r>
      <w:r w:rsidRPr="00CC2594">
        <w:rPr>
          <w:rFonts w:ascii="Cambria" w:eastAsia="Batang" w:hAnsi="Cambria" w:cs="Times New Roman"/>
          <w:sz w:val="26"/>
          <w:szCs w:val="26"/>
          <w:lang w:val="en-US"/>
        </w:rPr>
        <w:t>regarding</w:t>
      </w:r>
      <w:r w:rsidR="00B117BB" w:rsidRPr="00CC2594">
        <w:rPr>
          <w:rFonts w:ascii="Cambria" w:eastAsia="Batang" w:hAnsi="Cambria" w:cs="Times New Roman"/>
          <w:sz w:val="26"/>
          <w:szCs w:val="26"/>
          <w:lang w:val="en-US"/>
        </w:rPr>
        <w:t xml:space="preserve"> </w:t>
      </w:r>
      <w:r w:rsidR="003B10E7" w:rsidRPr="00CC2594">
        <w:rPr>
          <w:rFonts w:ascii="Cambria" w:eastAsia="Batang" w:hAnsi="Cambria" w:cs="Times New Roman"/>
          <w:sz w:val="26"/>
          <w:szCs w:val="26"/>
          <w:lang w:val="en-US"/>
        </w:rPr>
        <w:t>M</w:t>
      </w:r>
      <w:r w:rsidR="0009530E" w:rsidRPr="00CC2594">
        <w:rPr>
          <w:rFonts w:ascii="Cambria" w:eastAsia="Batang" w:hAnsi="Cambria" w:cs="Times New Roman"/>
          <w:sz w:val="26"/>
          <w:szCs w:val="26"/>
          <w:lang w:val="en-US"/>
        </w:rPr>
        <w:t>e</w:t>
      </w:r>
      <w:r w:rsidR="003B10E7" w:rsidRPr="00CC2594">
        <w:rPr>
          <w:rFonts w:ascii="Cambria" w:eastAsia="Batang" w:hAnsi="Cambria" w:cs="Times New Roman"/>
          <w:sz w:val="26"/>
          <w:szCs w:val="26"/>
          <w:lang w:val="en-US"/>
        </w:rPr>
        <w:t>xico</w:t>
      </w:r>
      <w:r w:rsidR="00472D97" w:rsidRPr="00CC2594">
        <w:rPr>
          <w:rStyle w:val="FootnoteReference"/>
          <w:rFonts w:ascii="Cambria" w:eastAsia="Batang" w:hAnsi="Cambria" w:cs="Times New Roman"/>
          <w:sz w:val="26"/>
          <w:szCs w:val="26"/>
          <w:lang w:val="en-US"/>
        </w:rPr>
        <w:footnoteReference w:id="1"/>
      </w:r>
    </w:p>
    <w:p w14:paraId="7EF20311" w14:textId="414104A9" w:rsidR="00B117BB" w:rsidRPr="00CC2594" w:rsidRDefault="005621BA" w:rsidP="00B117BB">
      <w:pPr>
        <w:spacing w:after="0" w:line="240" w:lineRule="auto"/>
        <w:jc w:val="center"/>
        <w:rPr>
          <w:rFonts w:ascii="Cambria" w:eastAsia="Batang" w:hAnsi="Cambria" w:cs="Times New Roman"/>
          <w:sz w:val="20"/>
          <w:szCs w:val="21"/>
          <w:lang w:val="en-US"/>
        </w:rPr>
      </w:pPr>
      <w:r w:rsidRPr="00CC2594">
        <w:rPr>
          <w:rFonts w:ascii="Cambria" w:eastAsia="Batang" w:hAnsi="Cambria" w:cs="Times New Roman"/>
          <w:sz w:val="20"/>
          <w:szCs w:val="21"/>
          <w:lang w:val="en-US"/>
        </w:rPr>
        <w:t xml:space="preserve">February </w:t>
      </w:r>
      <w:r w:rsidR="00CC2594">
        <w:rPr>
          <w:rFonts w:ascii="Cambria" w:eastAsia="Batang" w:hAnsi="Cambria" w:cs="Times New Roman"/>
          <w:sz w:val="20"/>
          <w:szCs w:val="21"/>
          <w:lang w:val="en-US"/>
        </w:rPr>
        <w:t>5</w:t>
      </w:r>
      <w:r w:rsidRPr="00CC2594">
        <w:rPr>
          <w:rFonts w:ascii="Cambria" w:eastAsia="Batang" w:hAnsi="Cambria" w:cs="Times New Roman"/>
          <w:sz w:val="20"/>
          <w:szCs w:val="21"/>
          <w:lang w:val="en-US"/>
        </w:rPr>
        <w:t>,</w:t>
      </w:r>
      <w:r w:rsidR="00302DF0" w:rsidRPr="00CC2594">
        <w:rPr>
          <w:rFonts w:ascii="Cambria" w:eastAsia="Batang" w:hAnsi="Cambria" w:cs="Times New Roman"/>
          <w:sz w:val="20"/>
          <w:szCs w:val="21"/>
          <w:lang w:val="en-US"/>
        </w:rPr>
        <w:t xml:space="preserve"> 2020</w:t>
      </w:r>
    </w:p>
    <w:p w14:paraId="256C9BBD" w14:textId="77777777" w:rsidR="00B117BB" w:rsidRPr="00CC2594" w:rsidRDefault="00B117BB" w:rsidP="00B117BB">
      <w:pPr>
        <w:spacing w:after="0" w:line="240" w:lineRule="auto"/>
        <w:jc w:val="both"/>
        <w:rPr>
          <w:rFonts w:ascii="Cambria" w:eastAsia="Batang" w:hAnsi="Cambria" w:cs="Times New Roman"/>
          <w:sz w:val="21"/>
          <w:szCs w:val="21"/>
          <w:lang w:val="en-US"/>
        </w:rPr>
      </w:pPr>
    </w:p>
    <w:p w14:paraId="529F5F2D" w14:textId="7D6D6931" w:rsidR="00B117BB" w:rsidRPr="00CC2594" w:rsidRDefault="003F2F9A" w:rsidP="00B117BB">
      <w:pPr>
        <w:numPr>
          <w:ilvl w:val="0"/>
          <w:numId w:val="2"/>
        </w:numPr>
        <w:spacing w:after="0" w:line="240" w:lineRule="auto"/>
        <w:ind w:hanging="294"/>
        <w:jc w:val="both"/>
        <w:rPr>
          <w:rFonts w:ascii="Cambria" w:eastAsia="Batang" w:hAnsi="Cambria" w:cs="Times New Roman"/>
          <w:b/>
          <w:sz w:val="21"/>
          <w:szCs w:val="21"/>
          <w:lang w:val="en-US"/>
        </w:rPr>
      </w:pPr>
      <w:r w:rsidRPr="00CC2594">
        <w:rPr>
          <w:rFonts w:ascii="Cambria" w:eastAsia="Batang" w:hAnsi="Cambria" w:cs="Times New Roman"/>
          <w:b/>
          <w:sz w:val="21"/>
          <w:szCs w:val="21"/>
          <w:lang w:val="en-US"/>
        </w:rPr>
        <w:t>INTRODUCTION</w:t>
      </w:r>
    </w:p>
    <w:p w14:paraId="4713200F" w14:textId="77777777" w:rsidR="00B117BB" w:rsidRPr="00CC2594" w:rsidRDefault="00B117BB" w:rsidP="00B117BB">
      <w:pPr>
        <w:spacing w:after="0" w:line="240" w:lineRule="auto"/>
        <w:ind w:left="720"/>
        <w:jc w:val="both"/>
        <w:rPr>
          <w:rFonts w:ascii="Cambria" w:eastAsia="Batang" w:hAnsi="Cambria" w:cs="Times New Roman"/>
          <w:b/>
          <w:sz w:val="21"/>
          <w:szCs w:val="21"/>
          <w:lang w:val="en-US"/>
        </w:rPr>
      </w:pPr>
    </w:p>
    <w:p w14:paraId="43C1A9B4" w14:textId="7B73167F" w:rsidR="00B117BB" w:rsidRPr="00CC2594" w:rsidRDefault="003F2F9A" w:rsidP="00B117BB">
      <w:pPr>
        <w:numPr>
          <w:ilvl w:val="0"/>
          <w:numId w:val="3"/>
        </w:numPr>
        <w:spacing w:after="0" w:line="240" w:lineRule="auto"/>
        <w:ind w:left="0" w:firstLine="360"/>
        <w:jc w:val="both"/>
        <w:rPr>
          <w:rFonts w:ascii="Cambria" w:eastAsia="Batang" w:hAnsi="Cambria" w:cs="Times New Roman"/>
          <w:sz w:val="21"/>
          <w:szCs w:val="21"/>
          <w:lang w:val="en-US"/>
        </w:rPr>
      </w:pPr>
      <w:r w:rsidRPr="00CC2594">
        <w:rPr>
          <w:rFonts w:ascii="Cambria" w:eastAsia="Batang" w:hAnsi="Cambria" w:cs="Times New Roman"/>
          <w:sz w:val="21"/>
          <w:szCs w:val="21"/>
          <w:lang w:val="en-US"/>
        </w:rPr>
        <w:t>On October</w:t>
      </w:r>
      <w:r w:rsidR="002C6DCB" w:rsidRPr="00CC2594">
        <w:rPr>
          <w:rFonts w:ascii="Cambria" w:eastAsia="Batang" w:hAnsi="Cambria" w:cs="Times New Roman"/>
          <w:sz w:val="21"/>
          <w:szCs w:val="21"/>
          <w:lang w:val="en-US"/>
        </w:rPr>
        <w:t xml:space="preserve"> 2019</w:t>
      </w:r>
      <w:r w:rsidR="00B117BB" w:rsidRPr="00CC2594">
        <w:rPr>
          <w:rFonts w:ascii="Cambria" w:eastAsia="Batang" w:hAnsi="Cambria" w:cs="Times New Roman"/>
          <w:sz w:val="21"/>
          <w:szCs w:val="21"/>
          <w:lang w:val="en-US"/>
        </w:rPr>
        <w:t xml:space="preserve">, </w:t>
      </w:r>
      <w:r w:rsidR="00EF222B" w:rsidRPr="00CC2594">
        <w:rPr>
          <w:rFonts w:ascii="Cambria" w:eastAsia="Batang" w:hAnsi="Cambria" w:cs="Times New Roman"/>
          <w:sz w:val="21"/>
          <w:szCs w:val="21"/>
          <w:lang w:val="en-US"/>
        </w:rPr>
        <w:t xml:space="preserve">the </w:t>
      </w:r>
      <w:r w:rsidR="00A4033F" w:rsidRPr="00CC2594">
        <w:rPr>
          <w:rFonts w:ascii="Cambria" w:hAnsi="Cambria"/>
          <w:sz w:val="21"/>
          <w:szCs w:val="21"/>
          <w:lang w:val="en-US"/>
        </w:rPr>
        <w:t xml:space="preserve">Inter-American Commission on Human Rights </w:t>
      </w:r>
      <w:bookmarkStart w:id="0" w:name="_GoBack"/>
      <w:bookmarkEnd w:id="0"/>
      <w:r w:rsidR="00A4033F" w:rsidRPr="00CC2594">
        <w:rPr>
          <w:rFonts w:ascii="Cambria" w:hAnsi="Cambria"/>
          <w:sz w:val="21"/>
          <w:szCs w:val="21"/>
          <w:lang w:val="en-US"/>
        </w:rPr>
        <w:t xml:space="preserve">(hereinafter “the Inter-American Commission”, “the Commission” or “the IACHR”) received a request for precautionary measures from applicants who </w:t>
      </w:r>
      <w:r w:rsidR="00C55DD1" w:rsidRPr="00CC2594">
        <w:rPr>
          <w:rFonts w:ascii="Cambria" w:hAnsi="Cambria"/>
          <w:sz w:val="21"/>
          <w:szCs w:val="21"/>
          <w:lang w:val="en-US"/>
        </w:rPr>
        <w:t>asked</w:t>
      </w:r>
      <w:r w:rsidR="00A4033F" w:rsidRPr="00CC2594">
        <w:rPr>
          <w:rFonts w:ascii="Cambria" w:hAnsi="Cambria"/>
          <w:sz w:val="21"/>
          <w:szCs w:val="21"/>
          <w:lang w:val="en-US"/>
        </w:rPr>
        <w:t xml:space="preserve"> that their identity </w:t>
      </w:r>
      <w:r w:rsidR="00C55DD1" w:rsidRPr="00CC2594">
        <w:rPr>
          <w:rFonts w:ascii="Cambria" w:hAnsi="Cambria"/>
          <w:sz w:val="21"/>
          <w:szCs w:val="21"/>
          <w:lang w:val="en-US"/>
        </w:rPr>
        <w:t>be kept confidential</w:t>
      </w:r>
      <w:r w:rsidR="00A4033F" w:rsidRPr="00CC2594">
        <w:rPr>
          <w:rFonts w:ascii="Cambria" w:hAnsi="Cambria"/>
          <w:sz w:val="21"/>
          <w:szCs w:val="21"/>
          <w:lang w:val="en-US"/>
        </w:rPr>
        <w:t xml:space="preserve">, </w:t>
      </w:r>
      <w:r w:rsidR="00C55DD1" w:rsidRPr="00CC2594">
        <w:rPr>
          <w:rFonts w:ascii="Cambria" w:eastAsia="Batang" w:hAnsi="Cambria" w:cs="Times New Roman"/>
          <w:sz w:val="21"/>
          <w:szCs w:val="21"/>
          <w:lang w:val="en-US"/>
        </w:rPr>
        <w:t>urging the</w:t>
      </w:r>
      <w:r w:rsidR="00B117BB" w:rsidRPr="00CC2594">
        <w:rPr>
          <w:rFonts w:ascii="Cambria" w:eastAsia="Batang" w:hAnsi="Cambria" w:cs="Times New Roman"/>
          <w:sz w:val="21"/>
          <w:szCs w:val="21"/>
          <w:lang w:val="en-US"/>
        </w:rPr>
        <w:t xml:space="preserve"> </w:t>
      </w:r>
      <w:r w:rsidR="00C55DD1" w:rsidRPr="00CC2594">
        <w:rPr>
          <w:rFonts w:ascii="Cambria" w:eastAsia="Batang" w:hAnsi="Cambria" w:cs="Times New Roman"/>
          <w:sz w:val="21"/>
          <w:szCs w:val="21"/>
          <w:lang w:val="en-US"/>
        </w:rPr>
        <w:t>IACHR to request that the State of Mexico</w:t>
      </w:r>
      <w:r w:rsidR="00B117BB" w:rsidRPr="00CC2594">
        <w:rPr>
          <w:rFonts w:ascii="Cambria" w:eastAsia="Batang" w:hAnsi="Cambria" w:cs="Times New Roman"/>
          <w:sz w:val="21"/>
          <w:szCs w:val="21"/>
          <w:lang w:val="en-US"/>
        </w:rPr>
        <w:t xml:space="preserve"> (“</w:t>
      </w:r>
      <w:r w:rsidR="00C55DD1" w:rsidRPr="00CC2594">
        <w:rPr>
          <w:rFonts w:ascii="Cambria" w:eastAsia="Batang" w:hAnsi="Cambria" w:cs="Times New Roman"/>
          <w:sz w:val="21"/>
          <w:szCs w:val="21"/>
          <w:lang w:val="en-US"/>
        </w:rPr>
        <w:t>the State</w:t>
      </w:r>
      <w:r w:rsidR="00B117BB" w:rsidRPr="00CC2594">
        <w:rPr>
          <w:rFonts w:ascii="Cambria" w:eastAsia="Batang" w:hAnsi="Cambria" w:cs="Times New Roman"/>
          <w:sz w:val="21"/>
          <w:szCs w:val="21"/>
          <w:lang w:val="en-US"/>
        </w:rPr>
        <w:t>”</w:t>
      </w:r>
      <w:r w:rsidR="002C6DCB" w:rsidRPr="00CC2594">
        <w:rPr>
          <w:rFonts w:ascii="Cambria" w:eastAsia="Batang" w:hAnsi="Cambria" w:cs="Times New Roman"/>
          <w:sz w:val="21"/>
          <w:szCs w:val="21"/>
          <w:lang w:val="en-US"/>
        </w:rPr>
        <w:t xml:space="preserve"> o</w:t>
      </w:r>
      <w:r w:rsidR="00C55DD1" w:rsidRPr="00CC2594">
        <w:rPr>
          <w:rFonts w:ascii="Cambria" w:eastAsia="Batang" w:hAnsi="Cambria" w:cs="Times New Roman"/>
          <w:sz w:val="21"/>
          <w:szCs w:val="21"/>
          <w:lang w:val="en-US"/>
        </w:rPr>
        <w:t>r “Me</w:t>
      </w:r>
      <w:r w:rsidR="002C6DCB" w:rsidRPr="00CC2594">
        <w:rPr>
          <w:rFonts w:ascii="Cambria" w:eastAsia="Batang" w:hAnsi="Cambria" w:cs="Times New Roman"/>
          <w:sz w:val="21"/>
          <w:szCs w:val="21"/>
          <w:lang w:val="en-US"/>
        </w:rPr>
        <w:t>xico”</w:t>
      </w:r>
      <w:r w:rsidR="00B117BB" w:rsidRPr="00CC2594">
        <w:rPr>
          <w:rFonts w:ascii="Cambria" w:eastAsia="Batang" w:hAnsi="Cambria" w:cs="Times New Roman"/>
          <w:sz w:val="21"/>
          <w:szCs w:val="21"/>
          <w:lang w:val="en-US"/>
        </w:rPr>
        <w:t xml:space="preserve">) </w:t>
      </w:r>
      <w:r w:rsidR="003D1240" w:rsidRPr="00CC2594">
        <w:rPr>
          <w:rFonts w:ascii="Cambria" w:eastAsia="Batang" w:hAnsi="Cambria" w:cs="Times New Roman"/>
          <w:sz w:val="21"/>
          <w:szCs w:val="21"/>
          <w:lang w:val="en-US"/>
        </w:rPr>
        <w:t>adopt</w:t>
      </w:r>
      <w:r w:rsidR="00C55DD1" w:rsidRPr="00CC2594">
        <w:rPr>
          <w:rFonts w:ascii="Cambria" w:hAnsi="Cambria"/>
          <w:sz w:val="21"/>
          <w:szCs w:val="21"/>
          <w:lang w:val="en-US"/>
        </w:rPr>
        <w:t xml:space="preserve"> </w:t>
      </w:r>
      <w:r w:rsidR="00936DBC" w:rsidRPr="00CC2594">
        <w:rPr>
          <w:rFonts w:ascii="Cambria" w:hAnsi="Cambria"/>
          <w:sz w:val="21"/>
          <w:szCs w:val="21"/>
          <w:lang w:val="en-US"/>
        </w:rPr>
        <w:t>the necessary m</w:t>
      </w:r>
      <w:r w:rsidR="00C55DD1" w:rsidRPr="00CC2594">
        <w:rPr>
          <w:rFonts w:ascii="Cambria" w:hAnsi="Cambria"/>
          <w:sz w:val="21"/>
          <w:szCs w:val="21"/>
          <w:lang w:val="en-US"/>
        </w:rPr>
        <w:t>easure</w:t>
      </w:r>
      <w:r w:rsidR="00AB3937" w:rsidRPr="00CC2594">
        <w:rPr>
          <w:rFonts w:ascii="Cambria" w:hAnsi="Cambria"/>
          <w:sz w:val="21"/>
          <w:szCs w:val="21"/>
          <w:lang w:val="en-US"/>
        </w:rPr>
        <w:t>s</w:t>
      </w:r>
      <w:r w:rsidR="00C55DD1" w:rsidRPr="00CC2594">
        <w:rPr>
          <w:rFonts w:ascii="Cambria" w:hAnsi="Cambria"/>
          <w:sz w:val="21"/>
          <w:szCs w:val="21"/>
          <w:lang w:val="en-US"/>
        </w:rPr>
        <w:t xml:space="preserve"> to guarantee the rights of </w:t>
      </w:r>
      <w:r w:rsidR="00C55DD1" w:rsidRPr="00CC2594">
        <w:rPr>
          <w:rFonts w:ascii="Cambria" w:eastAsia="Batang" w:hAnsi="Cambria" w:cs="Times New Roman"/>
          <w:sz w:val="21"/>
          <w:szCs w:val="21"/>
          <w:lang w:val="en-US"/>
        </w:rPr>
        <w:t xml:space="preserve">the brothers </w:t>
      </w:r>
      <w:r w:rsidR="008C22F4" w:rsidRPr="00CC2594">
        <w:rPr>
          <w:rFonts w:ascii="Cambria" w:eastAsia="Batang" w:hAnsi="Cambria" w:cs="Times New Roman"/>
          <w:sz w:val="21"/>
          <w:szCs w:val="21"/>
          <w:lang w:val="en-US"/>
        </w:rPr>
        <w:t xml:space="preserve">Alfonso </w:t>
      </w:r>
      <w:proofErr w:type="spellStart"/>
      <w:r w:rsidR="003102F2" w:rsidRPr="00CC2594">
        <w:rPr>
          <w:rFonts w:ascii="Cambria" w:eastAsia="Batang" w:hAnsi="Cambria" w:cs="Times New Roman"/>
          <w:sz w:val="21"/>
          <w:szCs w:val="21"/>
          <w:lang w:val="en-US"/>
        </w:rPr>
        <w:t>Alejandre</w:t>
      </w:r>
      <w:proofErr w:type="spellEnd"/>
      <w:r w:rsidR="003102F2" w:rsidRPr="00CC2594">
        <w:rPr>
          <w:rFonts w:ascii="Cambria" w:eastAsia="Batang" w:hAnsi="Cambria" w:cs="Times New Roman"/>
          <w:sz w:val="21"/>
          <w:szCs w:val="21"/>
          <w:lang w:val="en-US"/>
        </w:rPr>
        <w:t xml:space="preserve"> </w:t>
      </w:r>
      <w:proofErr w:type="spellStart"/>
      <w:r w:rsidR="003102F2" w:rsidRPr="00CC2594">
        <w:rPr>
          <w:rFonts w:ascii="Cambria" w:eastAsia="Batang" w:hAnsi="Cambria" w:cs="Times New Roman"/>
          <w:sz w:val="21"/>
          <w:szCs w:val="21"/>
          <w:lang w:val="en-US"/>
        </w:rPr>
        <w:t>Díaz</w:t>
      </w:r>
      <w:proofErr w:type="spellEnd"/>
      <w:r w:rsidR="003102F2" w:rsidRPr="00CC2594">
        <w:rPr>
          <w:rFonts w:ascii="Cambria" w:eastAsia="Batang" w:hAnsi="Cambria" w:cs="Times New Roman"/>
          <w:sz w:val="21"/>
          <w:szCs w:val="21"/>
          <w:lang w:val="en-US"/>
        </w:rPr>
        <w:t xml:space="preserve"> </w:t>
      </w:r>
      <w:r w:rsidR="00C55DD1" w:rsidRPr="00CC2594">
        <w:rPr>
          <w:rFonts w:ascii="Cambria" w:eastAsia="Batang" w:hAnsi="Cambria" w:cs="Times New Roman"/>
          <w:sz w:val="21"/>
          <w:szCs w:val="21"/>
          <w:lang w:val="en-US"/>
        </w:rPr>
        <w:t>and</w:t>
      </w:r>
      <w:r w:rsidR="008C22F4" w:rsidRPr="00CC2594">
        <w:rPr>
          <w:rFonts w:ascii="Cambria" w:eastAsia="Batang" w:hAnsi="Cambria" w:cs="Times New Roman"/>
          <w:sz w:val="21"/>
          <w:szCs w:val="21"/>
          <w:lang w:val="en-US"/>
        </w:rPr>
        <w:t xml:space="preserve"> Alberto </w:t>
      </w:r>
      <w:proofErr w:type="spellStart"/>
      <w:r w:rsidR="008C22F4" w:rsidRPr="00CC2594">
        <w:rPr>
          <w:rFonts w:ascii="Cambria" w:eastAsia="Batang" w:hAnsi="Cambria" w:cs="Times New Roman"/>
          <w:sz w:val="21"/>
          <w:szCs w:val="21"/>
          <w:lang w:val="en-US"/>
        </w:rPr>
        <w:t>Alejandre</w:t>
      </w:r>
      <w:proofErr w:type="spellEnd"/>
      <w:r w:rsidR="008C22F4" w:rsidRPr="00CC2594">
        <w:rPr>
          <w:rFonts w:ascii="Cambria" w:eastAsia="Batang" w:hAnsi="Cambria" w:cs="Times New Roman"/>
          <w:sz w:val="21"/>
          <w:szCs w:val="21"/>
          <w:lang w:val="en-US"/>
        </w:rPr>
        <w:t xml:space="preserve"> </w:t>
      </w:r>
      <w:proofErr w:type="spellStart"/>
      <w:r w:rsidR="008C22F4" w:rsidRPr="00CC2594">
        <w:rPr>
          <w:rFonts w:ascii="Cambria" w:eastAsia="Batang" w:hAnsi="Cambria" w:cs="Times New Roman"/>
          <w:sz w:val="21"/>
          <w:szCs w:val="21"/>
          <w:lang w:val="en-US"/>
        </w:rPr>
        <w:t>Díaz</w:t>
      </w:r>
      <w:proofErr w:type="spellEnd"/>
      <w:r w:rsidR="008C22F4" w:rsidRPr="00CC2594">
        <w:rPr>
          <w:rFonts w:ascii="Cambria" w:eastAsia="Batang" w:hAnsi="Cambria" w:cs="Times New Roman"/>
          <w:sz w:val="21"/>
          <w:szCs w:val="21"/>
          <w:lang w:val="en-US"/>
        </w:rPr>
        <w:t xml:space="preserve"> (“</w:t>
      </w:r>
      <w:r w:rsidR="00C55DD1" w:rsidRPr="00CC2594">
        <w:rPr>
          <w:rFonts w:ascii="Cambria" w:eastAsia="Batang" w:hAnsi="Cambria" w:cs="Times New Roman"/>
          <w:sz w:val="21"/>
          <w:szCs w:val="21"/>
          <w:lang w:val="en-US"/>
        </w:rPr>
        <w:t>the proposed beneficiaries</w:t>
      </w:r>
      <w:r w:rsidR="008C22F4" w:rsidRPr="00CC2594">
        <w:rPr>
          <w:rFonts w:ascii="Cambria" w:eastAsia="Batang" w:hAnsi="Cambria" w:cs="Times New Roman"/>
          <w:sz w:val="21"/>
          <w:szCs w:val="21"/>
          <w:lang w:val="en-US"/>
        </w:rPr>
        <w:t xml:space="preserve">”). </w:t>
      </w:r>
      <w:r w:rsidR="00C55DD1" w:rsidRPr="00CC2594">
        <w:rPr>
          <w:rFonts w:ascii="Cambria" w:eastAsia="Batang" w:hAnsi="Cambria" w:cs="Times New Roman"/>
          <w:sz w:val="21"/>
          <w:szCs w:val="21"/>
          <w:lang w:val="en-US"/>
        </w:rPr>
        <w:t>According to the request</w:t>
      </w:r>
      <w:r w:rsidR="008C22F4" w:rsidRPr="00CC2594">
        <w:rPr>
          <w:rFonts w:ascii="Cambria" w:eastAsia="Batang" w:hAnsi="Cambria" w:cs="Times New Roman"/>
          <w:sz w:val="21"/>
          <w:szCs w:val="21"/>
          <w:lang w:val="en-US"/>
        </w:rPr>
        <w:t xml:space="preserve">, </w:t>
      </w:r>
      <w:r w:rsidR="00C55DD1" w:rsidRPr="00CC2594">
        <w:rPr>
          <w:rFonts w:ascii="Cambria" w:eastAsia="Batang" w:hAnsi="Cambria" w:cs="Times New Roman"/>
          <w:sz w:val="21"/>
          <w:szCs w:val="21"/>
          <w:lang w:val="en-US"/>
        </w:rPr>
        <w:t xml:space="preserve">the proposed beneficiaries </w:t>
      </w:r>
      <w:r w:rsidR="00FA7DFE" w:rsidRPr="00CC2594">
        <w:rPr>
          <w:rFonts w:ascii="Cambria" w:eastAsia="Batang" w:hAnsi="Cambria" w:cs="Times New Roman"/>
          <w:sz w:val="21"/>
          <w:szCs w:val="21"/>
          <w:lang w:val="en-US"/>
        </w:rPr>
        <w:t>have been</w:t>
      </w:r>
      <w:r w:rsidR="00C55DD1" w:rsidRPr="00CC2594">
        <w:rPr>
          <w:rFonts w:ascii="Cambria" w:eastAsia="Batang" w:hAnsi="Cambria" w:cs="Times New Roman"/>
          <w:sz w:val="21"/>
          <w:szCs w:val="21"/>
          <w:lang w:val="en-US"/>
        </w:rPr>
        <w:t xml:space="preserve"> </w:t>
      </w:r>
      <w:r w:rsidR="00936DBC" w:rsidRPr="00CC2594">
        <w:rPr>
          <w:rFonts w:ascii="Cambria" w:eastAsia="Batang" w:hAnsi="Cambria" w:cs="Times New Roman"/>
          <w:sz w:val="21"/>
          <w:szCs w:val="21"/>
          <w:lang w:val="en-US"/>
        </w:rPr>
        <w:t>missing</w:t>
      </w:r>
      <w:r w:rsidR="008C22F4" w:rsidRPr="00CC2594">
        <w:rPr>
          <w:rFonts w:ascii="Cambria" w:eastAsia="Batang" w:hAnsi="Cambria" w:cs="Times New Roman"/>
          <w:sz w:val="21"/>
          <w:szCs w:val="21"/>
          <w:lang w:val="en-US"/>
        </w:rPr>
        <w:t xml:space="preserve"> </w:t>
      </w:r>
      <w:r w:rsidR="00C55DD1" w:rsidRPr="00CC2594">
        <w:rPr>
          <w:rFonts w:ascii="Cambria" w:eastAsia="Batang" w:hAnsi="Cambria" w:cs="Times New Roman"/>
          <w:sz w:val="21"/>
          <w:szCs w:val="21"/>
          <w:lang w:val="en-US"/>
        </w:rPr>
        <w:t xml:space="preserve">since March </w:t>
      </w:r>
      <w:proofErr w:type="gramStart"/>
      <w:r w:rsidR="008C22F4" w:rsidRPr="00CC2594">
        <w:rPr>
          <w:rFonts w:ascii="Cambria" w:eastAsia="Batang" w:hAnsi="Cambria" w:cs="Times New Roman"/>
          <w:sz w:val="21"/>
          <w:szCs w:val="21"/>
          <w:lang w:val="en-US"/>
        </w:rPr>
        <w:t>22</w:t>
      </w:r>
      <w:r w:rsidR="00C55DD1" w:rsidRPr="00CC2594">
        <w:rPr>
          <w:rFonts w:ascii="Cambria" w:eastAsia="Batang" w:hAnsi="Cambria" w:cs="Times New Roman"/>
          <w:sz w:val="21"/>
          <w:szCs w:val="21"/>
          <w:vertAlign w:val="superscript"/>
          <w:lang w:val="en-US"/>
        </w:rPr>
        <w:t>nd</w:t>
      </w:r>
      <w:proofErr w:type="gramEnd"/>
      <w:r w:rsidR="00C55DD1" w:rsidRPr="00CC2594">
        <w:rPr>
          <w:rFonts w:ascii="Cambria" w:eastAsia="Batang" w:hAnsi="Cambria" w:cs="Times New Roman"/>
          <w:sz w:val="21"/>
          <w:szCs w:val="21"/>
          <w:lang w:val="en-US"/>
        </w:rPr>
        <w:t xml:space="preserve">, </w:t>
      </w:r>
      <w:r w:rsidR="008C22F4" w:rsidRPr="00CC2594">
        <w:rPr>
          <w:rFonts w:ascii="Cambria" w:eastAsia="Batang" w:hAnsi="Cambria" w:cs="Times New Roman"/>
          <w:sz w:val="21"/>
          <w:szCs w:val="21"/>
          <w:lang w:val="en-US"/>
        </w:rPr>
        <w:t>2019</w:t>
      </w:r>
      <w:r w:rsidR="008A3F43" w:rsidRPr="00CC2594">
        <w:rPr>
          <w:rFonts w:ascii="Cambria" w:eastAsia="Batang" w:hAnsi="Cambria" w:cs="Times New Roman"/>
          <w:sz w:val="21"/>
          <w:szCs w:val="21"/>
          <w:lang w:val="en-US"/>
        </w:rPr>
        <w:t>.</w:t>
      </w:r>
    </w:p>
    <w:p w14:paraId="77983874" w14:textId="77777777" w:rsidR="00B117BB" w:rsidRPr="00CC2594" w:rsidRDefault="00B117BB" w:rsidP="00B117BB">
      <w:pPr>
        <w:spacing w:after="0" w:line="240" w:lineRule="auto"/>
        <w:jc w:val="both"/>
        <w:rPr>
          <w:rFonts w:ascii="Cambria" w:eastAsia="Batang" w:hAnsi="Cambria" w:cs="Times New Roman"/>
          <w:sz w:val="21"/>
          <w:szCs w:val="21"/>
          <w:lang w:val="en-US"/>
        </w:rPr>
      </w:pPr>
    </w:p>
    <w:p w14:paraId="25BAA0B8" w14:textId="3BC5A2F9" w:rsidR="00B117BB" w:rsidRPr="00CC2594" w:rsidRDefault="00C96FC2" w:rsidP="00B117BB">
      <w:pPr>
        <w:numPr>
          <w:ilvl w:val="0"/>
          <w:numId w:val="3"/>
        </w:numPr>
        <w:spacing w:after="0" w:line="240" w:lineRule="auto"/>
        <w:ind w:left="0" w:firstLine="360"/>
        <w:jc w:val="both"/>
        <w:rPr>
          <w:rFonts w:ascii="Cambria" w:eastAsia="Batang" w:hAnsi="Cambria" w:cs="Times New Roman"/>
          <w:sz w:val="21"/>
          <w:szCs w:val="21"/>
          <w:lang w:val="en-US"/>
        </w:rPr>
      </w:pPr>
      <w:r w:rsidRPr="00CC2594">
        <w:rPr>
          <w:rFonts w:ascii="Cambria" w:eastAsia="Batang" w:hAnsi="Cambria" w:cs="Times New Roman"/>
          <w:sz w:val="21"/>
          <w:szCs w:val="21"/>
          <w:lang w:val="en-US"/>
        </w:rPr>
        <w:t>The</w:t>
      </w:r>
      <w:r w:rsidR="00B117BB" w:rsidRPr="00CC2594">
        <w:rPr>
          <w:rFonts w:ascii="Cambria" w:eastAsia="Batang" w:hAnsi="Cambria" w:cs="Times New Roman"/>
          <w:sz w:val="21"/>
          <w:szCs w:val="21"/>
          <w:lang w:val="en-US"/>
        </w:rPr>
        <w:t xml:space="preserve"> Co</w:t>
      </w:r>
      <w:r w:rsidRPr="00CC2594">
        <w:rPr>
          <w:rFonts w:ascii="Cambria" w:eastAsia="Batang" w:hAnsi="Cambria" w:cs="Times New Roman"/>
          <w:sz w:val="21"/>
          <w:szCs w:val="21"/>
          <w:lang w:val="en-US"/>
        </w:rPr>
        <w:t>mmissio</w:t>
      </w:r>
      <w:r w:rsidR="00B117BB" w:rsidRPr="00CC2594">
        <w:rPr>
          <w:rFonts w:ascii="Cambria" w:eastAsia="Batang" w:hAnsi="Cambria" w:cs="Times New Roman"/>
          <w:sz w:val="21"/>
          <w:szCs w:val="21"/>
          <w:lang w:val="en-US"/>
        </w:rPr>
        <w:t xml:space="preserve">n </w:t>
      </w:r>
      <w:r w:rsidRPr="00CC2594">
        <w:rPr>
          <w:rFonts w:ascii="Cambria" w:eastAsia="Batang" w:hAnsi="Cambria" w:cs="Times New Roman"/>
          <w:sz w:val="21"/>
          <w:szCs w:val="21"/>
          <w:lang w:val="en-US"/>
        </w:rPr>
        <w:t>requested</w:t>
      </w:r>
      <w:r w:rsidR="00B117BB" w:rsidRPr="00CC2594">
        <w:rPr>
          <w:rFonts w:ascii="Cambria" w:eastAsia="Batang" w:hAnsi="Cambria" w:cs="Times New Roman"/>
          <w:sz w:val="21"/>
          <w:szCs w:val="21"/>
          <w:lang w:val="en-US"/>
        </w:rPr>
        <w:t xml:space="preserve"> informa</w:t>
      </w:r>
      <w:r w:rsidRPr="00CC2594">
        <w:rPr>
          <w:rFonts w:ascii="Cambria" w:eastAsia="Batang" w:hAnsi="Cambria" w:cs="Times New Roman"/>
          <w:sz w:val="21"/>
          <w:szCs w:val="21"/>
          <w:lang w:val="en-US"/>
        </w:rPr>
        <w:t>tion from the</w:t>
      </w:r>
      <w:r w:rsidR="00B117BB" w:rsidRPr="00CC2594">
        <w:rPr>
          <w:rFonts w:ascii="Cambria" w:eastAsia="Batang" w:hAnsi="Cambria" w:cs="Times New Roman"/>
          <w:sz w:val="21"/>
          <w:szCs w:val="21"/>
          <w:lang w:val="en-US"/>
        </w:rPr>
        <w:t xml:space="preserve"> </w:t>
      </w:r>
      <w:r w:rsidRPr="00CC2594">
        <w:rPr>
          <w:rFonts w:ascii="Cambria" w:eastAsia="Batang" w:hAnsi="Cambria" w:cs="Times New Roman"/>
          <w:sz w:val="21"/>
          <w:szCs w:val="21"/>
          <w:lang w:val="en-US"/>
        </w:rPr>
        <w:t>State</w:t>
      </w:r>
      <w:r w:rsidR="00B117BB" w:rsidRPr="00CC2594">
        <w:rPr>
          <w:rFonts w:ascii="Cambria" w:eastAsia="Batang" w:hAnsi="Cambria" w:cs="Times New Roman"/>
          <w:sz w:val="21"/>
          <w:szCs w:val="21"/>
          <w:lang w:val="en-US"/>
        </w:rPr>
        <w:t xml:space="preserve">, </w:t>
      </w:r>
      <w:r w:rsidRPr="00CC2594">
        <w:rPr>
          <w:rFonts w:ascii="Cambria" w:eastAsia="Batang" w:hAnsi="Cambria" w:cs="Times New Roman"/>
          <w:sz w:val="21"/>
          <w:szCs w:val="21"/>
          <w:lang w:val="en-US"/>
        </w:rPr>
        <w:t>in accordance with Article</w:t>
      </w:r>
      <w:r w:rsidR="00B117BB" w:rsidRPr="00CC2594">
        <w:rPr>
          <w:rFonts w:ascii="Cambria" w:eastAsia="Batang" w:hAnsi="Cambria" w:cs="Times New Roman"/>
          <w:sz w:val="21"/>
          <w:szCs w:val="21"/>
          <w:lang w:val="en-US"/>
        </w:rPr>
        <w:t xml:space="preserve"> 25 </w:t>
      </w:r>
      <w:r w:rsidRPr="00CC2594">
        <w:rPr>
          <w:rFonts w:ascii="Cambria" w:eastAsia="Batang" w:hAnsi="Cambria" w:cs="Times New Roman"/>
          <w:sz w:val="21"/>
          <w:szCs w:val="21"/>
          <w:lang w:val="en-US"/>
        </w:rPr>
        <w:t>of its Rules of Procedure</w:t>
      </w:r>
      <w:r w:rsidR="0082209E" w:rsidRPr="00CC2594">
        <w:rPr>
          <w:rFonts w:ascii="Cambria" w:eastAsia="Batang" w:hAnsi="Cambria" w:cs="Times New Roman"/>
          <w:sz w:val="21"/>
          <w:szCs w:val="21"/>
          <w:lang w:val="en-US"/>
        </w:rPr>
        <w:t>,</w:t>
      </w:r>
      <w:r w:rsidR="008A3F43" w:rsidRPr="00CC2594">
        <w:rPr>
          <w:rFonts w:ascii="Cambria" w:eastAsia="Batang" w:hAnsi="Cambria" w:cs="Times New Roman"/>
          <w:sz w:val="21"/>
          <w:szCs w:val="21"/>
          <w:lang w:val="en-US"/>
        </w:rPr>
        <w:t xml:space="preserve"> </w:t>
      </w:r>
      <w:r w:rsidRPr="00CC2594">
        <w:rPr>
          <w:rFonts w:ascii="Cambria" w:eastAsia="Batang" w:hAnsi="Cambria" w:cs="Times New Roman"/>
          <w:sz w:val="21"/>
          <w:szCs w:val="21"/>
          <w:lang w:val="en-US"/>
        </w:rPr>
        <w:t>on</w:t>
      </w:r>
      <w:r w:rsidR="008A3F43" w:rsidRPr="00CC2594">
        <w:rPr>
          <w:rFonts w:ascii="Cambria" w:eastAsia="Batang" w:hAnsi="Cambria" w:cs="Times New Roman"/>
          <w:sz w:val="21"/>
          <w:szCs w:val="21"/>
          <w:lang w:val="en-US"/>
        </w:rPr>
        <w:t xml:space="preserve"> </w:t>
      </w:r>
      <w:r w:rsidRPr="00CC2594">
        <w:rPr>
          <w:rFonts w:ascii="Cambria" w:eastAsia="Batang" w:hAnsi="Cambria" w:cs="Times New Roman"/>
          <w:sz w:val="21"/>
          <w:szCs w:val="21"/>
          <w:lang w:val="en-US"/>
        </w:rPr>
        <w:t xml:space="preserve">January </w:t>
      </w:r>
      <w:proofErr w:type="gramStart"/>
      <w:r w:rsidRPr="00CC2594">
        <w:rPr>
          <w:rFonts w:ascii="Cambria" w:eastAsia="Batang" w:hAnsi="Cambria" w:cs="Times New Roman"/>
          <w:sz w:val="21"/>
          <w:szCs w:val="21"/>
          <w:lang w:val="en-US"/>
        </w:rPr>
        <w:t>13</w:t>
      </w:r>
      <w:r w:rsidRPr="00CC2594">
        <w:rPr>
          <w:rFonts w:ascii="Cambria" w:eastAsia="Batang" w:hAnsi="Cambria" w:cs="Times New Roman"/>
          <w:sz w:val="21"/>
          <w:szCs w:val="21"/>
          <w:vertAlign w:val="superscript"/>
          <w:lang w:val="en-US"/>
        </w:rPr>
        <w:t>th</w:t>
      </w:r>
      <w:proofErr w:type="gramEnd"/>
      <w:r w:rsidRPr="00CC2594">
        <w:rPr>
          <w:rFonts w:ascii="Cambria" w:eastAsia="Batang" w:hAnsi="Cambria" w:cs="Times New Roman"/>
          <w:sz w:val="21"/>
          <w:szCs w:val="21"/>
          <w:lang w:val="en-US"/>
        </w:rPr>
        <w:t>,</w:t>
      </w:r>
      <w:r w:rsidR="00B117BB" w:rsidRPr="00CC2594">
        <w:rPr>
          <w:rFonts w:ascii="Cambria" w:eastAsia="Batang" w:hAnsi="Cambria" w:cs="Times New Roman"/>
          <w:sz w:val="21"/>
          <w:szCs w:val="21"/>
          <w:lang w:val="en-US"/>
        </w:rPr>
        <w:t xml:space="preserve"> 20</w:t>
      </w:r>
      <w:r w:rsidR="008A3F43" w:rsidRPr="00CC2594">
        <w:rPr>
          <w:rFonts w:ascii="Cambria" w:eastAsia="Batang" w:hAnsi="Cambria" w:cs="Times New Roman"/>
          <w:sz w:val="21"/>
          <w:szCs w:val="21"/>
          <w:lang w:val="en-US"/>
        </w:rPr>
        <w:t>20</w:t>
      </w:r>
      <w:r w:rsidR="0082209E" w:rsidRPr="00CC2594">
        <w:rPr>
          <w:rFonts w:ascii="Cambria" w:eastAsia="Batang" w:hAnsi="Cambria" w:cs="Times New Roman"/>
          <w:sz w:val="21"/>
          <w:szCs w:val="21"/>
          <w:lang w:val="en-US"/>
        </w:rPr>
        <w:t xml:space="preserve">, </w:t>
      </w:r>
      <w:r w:rsidRPr="00CC2594">
        <w:rPr>
          <w:rFonts w:ascii="Cambria" w:eastAsia="Batang" w:hAnsi="Cambria" w:cs="Times New Roman"/>
          <w:sz w:val="21"/>
          <w:szCs w:val="21"/>
          <w:lang w:val="en-US"/>
        </w:rPr>
        <w:t>which responded</w:t>
      </w:r>
      <w:r w:rsidR="00B117BB" w:rsidRPr="00CC2594">
        <w:rPr>
          <w:rFonts w:ascii="Cambria" w:eastAsia="Batang" w:hAnsi="Cambria" w:cs="Times New Roman"/>
          <w:sz w:val="21"/>
          <w:szCs w:val="21"/>
          <w:lang w:val="en-US"/>
        </w:rPr>
        <w:t xml:space="preserve"> </w:t>
      </w:r>
      <w:r w:rsidRPr="00CC2594">
        <w:rPr>
          <w:rFonts w:ascii="Cambria" w:eastAsia="Batang" w:hAnsi="Cambria" w:cs="Times New Roman"/>
          <w:sz w:val="21"/>
          <w:szCs w:val="21"/>
          <w:lang w:val="en-US"/>
        </w:rPr>
        <w:t>on January 22</w:t>
      </w:r>
      <w:r w:rsidRPr="00CC2594">
        <w:rPr>
          <w:rFonts w:ascii="Cambria" w:eastAsia="Batang" w:hAnsi="Cambria" w:cs="Times New Roman"/>
          <w:sz w:val="21"/>
          <w:szCs w:val="21"/>
          <w:vertAlign w:val="superscript"/>
          <w:lang w:val="en-US"/>
        </w:rPr>
        <w:t>nd</w:t>
      </w:r>
      <w:r w:rsidRPr="00CC2594">
        <w:rPr>
          <w:rFonts w:ascii="Cambria" w:eastAsia="Batang" w:hAnsi="Cambria" w:cs="Times New Roman"/>
          <w:sz w:val="21"/>
          <w:szCs w:val="21"/>
          <w:lang w:val="en-US"/>
        </w:rPr>
        <w:t>,</w:t>
      </w:r>
      <w:r w:rsidR="00B117BB" w:rsidRPr="00CC2594">
        <w:rPr>
          <w:rFonts w:ascii="Cambria" w:eastAsia="Batang" w:hAnsi="Cambria" w:cs="Times New Roman"/>
          <w:sz w:val="21"/>
          <w:szCs w:val="21"/>
          <w:lang w:val="en-US"/>
        </w:rPr>
        <w:t xml:space="preserve"> 20</w:t>
      </w:r>
      <w:r w:rsidR="008A3F43" w:rsidRPr="00CC2594">
        <w:rPr>
          <w:rFonts w:ascii="Cambria" w:eastAsia="Batang" w:hAnsi="Cambria" w:cs="Times New Roman"/>
          <w:sz w:val="21"/>
          <w:szCs w:val="21"/>
          <w:lang w:val="en-US"/>
        </w:rPr>
        <w:t>20</w:t>
      </w:r>
      <w:r w:rsidR="00B117BB" w:rsidRPr="00CC2594">
        <w:rPr>
          <w:rFonts w:ascii="Cambria" w:eastAsia="Batang" w:hAnsi="Cambria" w:cs="Times New Roman"/>
          <w:sz w:val="21"/>
          <w:szCs w:val="21"/>
          <w:lang w:val="en-US"/>
        </w:rPr>
        <w:t xml:space="preserve">. </w:t>
      </w:r>
      <w:r w:rsidR="00132FCC" w:rsidRPr="00CC2594">
        <w:rPr>
          <w:rFonts w:ascii="Cambria" w:eastAsia="Batang" w:hAnsi="Cambria" w:cs="Times New Roman"/>
          <w:sz w:val="21"/>
          <w:szCs w:val="21"/>
          <w:lang w:val="en-US"/>
        </w:rPr>
        <w:t>On another note</w:t>
      </w:r>
      <w:r w:rsidR="00B117BB" w:rsidRPr="00CC2594">
        <w:rPr>
          <w:rFonts w:ascii="Cambria" w:eastAsia="Batang" w:hAnsi="Cambria" w:cs="Times New Roman"/>
          <w:sz w:val="21"/>
          <w:szCs w:val="21"/>
          <w:lang w:val="en-US"/>
        </w:rPr>
        <w:t xml:space="preserve">, </w:t>
      </w:r>
      <w:r w:rsidR="00132FCC" w:rsidRPr="00CC2594">
        <w:rPr>
          <w:rFonts w:ascii="Cambria" w:eastAsia="Batang" w:hAnsi="Cambria" w:cs="Times New Roman"/>
          <w:sz w:val="21"/>
          <w:szCs w:val="21"/>
          <w:lang w:val="en-US"/>
        </w:rPr>
        <w:t xml:space="preserve">the applicants continued </w:t>
      </w:r>
      <w:r w:rsidR="00EF222B" w:rsidRPr="00CC2594">
        <w:rPr>
          <w:rFonts w:ascii="Cambria" w:eastAsia="Batang" w:hAnsi="Cambria" w:cs="Times New Roman"/>
          <w:sz w:val="21"/>
          <w:szCs w:val="21"/>
          <w:lang w:val="en-US"/>
        </w:rPr>
        <w:t>providing</w:t>
      </w:r>
      <w:r w:rsidR="00132FCC" w:rsidRPr="00CC2594">
        <w:rPr>
          <w:rFonts w:ascii="Cambria" w:eastAsia="Batang" w:hAnsi="Cambria" w:cs="Times New Roman"/>
          <w:sz w:val="21"/>
          <w:szCs w:val="21"/>
          <w:lang w:val="en-US"/>
        </w:rPr>
        <w:t xml:space="preserve"> additional </w:t>
      </w:r>
      <w:proofErr w:type="gramStart"/>
      <w:r w:rsidR="00132FCC" w:rsidRPr="00CC2594">
        <w:rPr>
          <w:rFonts w:ascii="Cambria" w:eastAsia="Batang" w:hAnsi="Cambria" w:cs="Times New Roman"/>
          <w:sz w:val="21"/>
          <w:szCs w:val="21"/>
          <w:lang w:val="en-US"/>
        </w:rPr>
        <w:t>information</w:t>
      </w:r>
      <w:r w:rsidR="007F45FC" w:rsidRPr="00CC2594">
        <w:rPr>
          <w:rFonts w:ascii="Cambria" w:eastAsia="Batang" w:hAnsi="Cambria" w:cs="Times New Roman"/>
          <w:sz w:val="21"/>
          <w:szCs w:val="21"/>
          <w:lang w:val="en-US"/>
        </w:rPr>
        <w:t>,</w:t>
      </w:r>
      <w:proofErr w:type="gramEnd"/>
      <w:r w:rsidR="00132FCC" w:rsidRPr="00CC2594">
        <w:rPr>
          <w:rFonts w:ascii="Cambria" w:eastAsia="Batang" w:hAnsi="Cambria" w:cs="Times New Roman"/>
          <w:sz w:val="21"/>
          <w:szCs w:val="21"/>
          <w:lang w:val="en-US"/>
        </w:rPr>
        <w:t xml:space="preserve"> the most recent</w:t>
      </w:r>
      <w:r w:rsidR="007F45FC" w:rsidRPr="00CC2594">
        <w:rPr>
          <w:rFonts w:ascii="Cambria" w:eastAsia="Batang" w:hAnsi="Cambria" w:cs="Times New Roman"/>
          <w:sz w:val="21"/>
          <w:szCs w:val="21"/>
          <w:lang w:val="en-US"/>
        </w:rPr>
        <w:t xml:space="preserve"> one </w:t>
      </w:r>
      <w:r w:rsidR="00132FCC" w:rsidRPr="00CC2594">
        <w:rPr>
          <w:rFonts w:ascii="Cambria" w:eastAsia="Batang" w:hAnsi="Cambria" w:cs="Times New Roman"/>
          <w:sz w:val="21"/>
          <w:szCs w:val="21"/>
          <w:lang w:val="en-US"/>
        </w:rPr>
        <w:t>date</w:t>
      </w:r>
      <w:r w:rsidR="007F45FC" w:rsidRPr="00CC2594">
        <w:rPr>
          <w:rFonts w:ascii="Cambria" w:eastAsia="Batang" w:hAnsi="Cambria" w:cs="Times New Roman"/>
          <w:sz w:val="21"/>
          <w:szCs w:val="21"/>
          <w:lang w:val="en-US"/>
        </w:rPr>
        <w:t>d</w:t>
      </w:r>
      <w:r w:rsidR="00132FCC" w:rsidRPr="00CC2594">
        <w:rPr>
          <w:rFonts w:ascii="Cambria" w:eastAsia="Batang" w:hAnsi="Cambria" w:cs="Times New Roman"/>
          <w:sz w:val="21"/>
          <w:szCs w:val="21"/>
          <w:lang w:val="en-US"/>
        </w:rPr>
        <w:t xml:space="preserve"> January 19</w:t>
      </w:r>
      <w:r w:rsidR="00132FCC" w:rsidRPr="00CC2594">
        <w:rPr>
          <w:rFonts w:ascii="Cambria" w:eastAsia="Batang" w:hAnsi="Cambria" w:cs="Times New Roman"/>
          <w:sz w:val="21"/>
          <w:szCs w:val="21"/>
          <w:vertAlign w:val="superscript"/>
          <w:lang w:val="en-US"/>
        </w:rPr>
        <w:t>th</w:t>
      </w:r>
      <w:r w:rsidR="00132FCC" w:rsidRPr="00CC2594">
        <w:rPr>
          <w:rFonts w:ascii="Cambria" w:eastAsia="Batang" w:hAnsi="Cambria" w:cs="Times New Roman"/>
          <w:sz w:val="21"/>
          <w:szCs w:val="21"/>
          <w:lang w:val="en-US"/>
        </w:rPr>
        <w:t xml:space="preserve">, </w:t>
      </w:r>
      <w:r w:rsidR="008A3F43" w:rsidRPr="00CC2594">
        <w:rPr>
          <w:rFonts w:ascii="Cambria" w:eastAsia="Batang" w:hAnsi="Cambria" w:cs="Times New Roman"/>
          <w:sz w:val="21"/>
          <w:szCs w:val="21"/>
          <w:lang w:val="en-US"/>
        </w:rPr>
        <w:t>2020</w:t>
      </w:r>
      <w:r w:rsidR="00B117BB" w:rsidRPr="00CC2594">
        <w:rPr>
          <w:rFonts w:ascii="Cambria" w:eastAsia="Batang" w:hAnsi="Cambria" w:cs="Times New Roman"/>
          <w:sz w:val="21"/>
          <w:szCs w:val="21"/>
          <w:lang w:val="en-US"/>
        </w:rPr>
        <w:t>.</w:t>
      </w:r>
    </w:p>
    <w:p w14:paraId="03B47FF3" w14:textId="77777777" w:rsidR="00B117BB" w:rsidRPr="00CC2594" w:rsidRDefault="00B117BB" w:rsidP="00B117BB">
      <w:pPr>
        <w:spacing w:after="0" w:line="240" w:lineRule="auto"/>
        <w:jc w:val="both"/>
        <w:rPr>
          <w:rFonts w:ascii="Cambria" w:eastAsia="Batang" w:hAnsi="Cambria" w:cs="Times New Roman"/>
          <w:sz w:val="21"/>
          <w:szCs w:val="21"/>
          <w:lang w:val="en-US"/>
        </w:rPr>
      </w:pPr>
    </w:p>
    <w:p w14:paraId="3E9D3D3B" w14:textId="1579173A" w:rsidR="00B117BB" w:rsidRPr="00CC2594" w:rsidRDefault="00950E95" w:rsidP="003102F2">
      <w:pPr>
        <w:numPr>
          <w:ilvl w:val="0"/>
          <w:numId w:val="3"/>
        </w:numPr>
        <w:spacing w:after="0" w:line="240" w:lineRule="auto"/>
        <w:ind w:left="0" w:firstLine="360"/>
        <w:contextualSpacing/>
        <w:jc w:val="both"/>
        <w:rPr>
          <w:rFonts w:ascii="Cambria" w:eastAsia="Batang" w:hAnsi="Cambria" w:cs="Times New Roman"/>
          <w:sz w:val="21"/>
          <w:szCs w:val="21"/>
          <w:lang w:val="en-US"/>
        </w:rPr>
      </w:pPr>
      <w:r w:rsidRPr="00CC2594">
        <w:rPr>
          <w:rFonts w:ascii="Cambria" w:hAnsi="Cambria"/>
          <w:sz w:val="21"/>
          <w:szCs w:val="21"/>
          <w:lang w:val="en-US"/>
        </w:rPr>
        <w:t xml:space="preserve">After analyzing the </w:t>
      </w:r>
      <w:r w:rsidR="00EF222B" w:rsidRPr="00CC2594">
        <w:rPr>
          <w:rFonts w:ascii="Cambria" w:hAnsi="Cambria"/>
          <w:sz w:val="21"/>
          <w:szCs w:val="21"/>
          <w:lang w:val="en-US"/>
        </w:rPr>
        <w:t>factual and legal allegations from</w:t>
      </w:r>
      <w:r w:rsidRPr="00CC2594">
        <w:rPr>
          <w:rFonts w:ascii="Cambria" w:hAnsi="Cambria"/>
          <w:sz w:val="21"/>
          <w:szCs w:val="21"/>
          <w:lang w:val="en-US"/>
        </w:rPr>
        <w:t xml:space="preserve"> the parties, the Commission considers that the information provided shows </w:t>
      </w:r>
      <w:r w:rsidRPr="00CC2594">
        <w:rPr>
          <w:rFonts w:ascii="Cambria" w:hAnsi="Cambria"/>
          <w:i/>
          <w:sz w:val="21"/>
          <w:szCs w:val="21"/>
          <w:lang w:val="en-US"/>
        </w:rPr>
        <w:t xml:space="preserve">prima facie </w:t>
      </w:r>
      <w:r w:rsidRPr="00CC2594">
        <w:rPr>
          <w:rFonts w:ascii="Cambria" w:hAnsi="Cambria"/>
          <w:sz w:val="21"/>
          <w:szCs w:val="21"/>
          <w:lang w:val="en-US"/>
        </w:rPr>
        <w:t xml:space="preserve">that the beneficiaries </w:t>
      </w:r>
      <w:proofErr w:type="gramStart"/>
      <w:r w:rsidRPr="00CC2594">
        <w:rPr>
          <w:rFonts w:ascii="Cambria" w:hAnsi="Cambria"/>
          <w:sz w:val="21"/>
          <w:szCs w:val="21"/>
          <w:lang w:val="en-US"/>
        </w:rPr>
        <w:t>are</w:t>
      </w:r>
      <w:proofErr w:type="gramEnd"/>
      <w:r w:rsidRPr="00CC2594">
        <w:rPr>
          <w:rFonts w:ascii="Cambria" w:hAnsi="Cambria"/>
          <w:sz w:val="21"/>
          <w:szCs w:val="21"/>
          <w:lang w:val="en-US"/>
        </w:rPr>
        <w:t xml:space="preserve"> in a serious and urgent situation, since their rights to life and personal integrity are at risk. Consequently, in accordance with Article 25 of the Rules of Procedure, </w:t>
      </w:r>
      <w:r w:rsidR="00BA337B" w:rsidRPr="00CC2594">
        <w:rPr>
          <w:rFonts w:ascii="Cambria" w:hAnsi="Cambria"/>
          <w:sz w:val="21"/>
          <w:szCs w:val="21"/>
          <w:lang w:val="en-US"/>
        </w:rPr>
        <w:t>the Commission</w:t>
      </w:r>
      <w:r w:rsidRPr="00CC2594">
        <w:rPr>
          <w:rFonts w:ascii="Cambria" w:hAnsi="Cambria"/>
          <w:sz w:val="21"/>
          <w:szCs w:val="21"/>
          <w:lang w:val="en-US"/>
        </w:rPr>
        <w:t xml:space="preserve"> requests that</w:t>
      </w:r>
      <w:r w:rsidR="00B117BB" w:rsidRPr="00CC2594">
        <w:rPr>
          <w:rFonts w:ascii="Cambria" w:eastAsia="Batang" w:hAnsi="Cambria" w:cs="Times New Roman"/>
          <w:sz w:val="21"/>
          <w:szCs w:val="21"/>
          <w:lang w:val="en-US"/>
        </w:rPr>
        <w:t xml:space="preserve"> </w:t>
      </w:r>
      <w:r w:rsidR="00BA337B" w:rsidRPr="00CC2594">
        <w:rPr>
          <w:rFonts w:ascii="Cambria" w:eastAsia="Batang" w:hAnsi="Cambria" w:cs="Times New Roman"/>
          <w:sz w:val="21"/>
          <w:szCs w:val="21"/>
          <w:lang w:val="en-US"/>
        </w:rPr>
        <w:t>Me</w:t>
      </w:r>
      <w:r w:rsidR="008A3F43" w:rsidRPr="00CC2594">
        <w:rPr>
          <w:rFonts w:ascii="Cambria" w:eastAsia="Batang" w:hAnsi="Cambria" w:cs="Times New Roman"/>
          <w:sz w:val="21"/>
          <w:szCs w:val="21"/>
          <w:lang w:val="en-US"/>
        </w:rPr>
        <w:t>xico</w:t>
      </w:r>
      <w:r w:rsidR="00B117BB" w:rsidRPr="00CC2594">
        <w:rPr>
          <w:rFonts w:ascii="Cambria" w:eastAsia="Batang" w:hAnsi="Cambria" w:cs="Times New Roman"/>
          <w:sz w:val="21"/>
          <w:szCs w:val="21"/>
          <w:lang w:val="en-US"/>
        </w:rPr>
        <w:t xml:space="preserve">: </w:t>
      </w:r>
      <w:r w:rsidR="00BA337B" w:rsidRPr="00CC2594">
        <w:rPr>
          <w:rFonts w:ascii="Cambria" w:eastAsia="Batang" w:hAnsi="Cambria" w:cs="Times New Roman"/>
          <w:sz w:val="21"/>
          <w:szCs w:val="21"/>
          <w:lang w:val="en-US"/>
        </w:rPr>
        <w:t xml:space="preserve">a) </w:t>
      </w:r>
      <w:r w:rsidR="00BA337B" w:rsidRPr="00CC2594">
        <w:rPr>
          <w:rFonts w:ascii="Cambria" w:hAnsi="Cambria"/>
          <w:sz w:val="21"/>
          <w:szCs w:val="21"/>
          <w:lang w:val="en-US"/>
        </w:rPr>
        <w:t>adopt the necessary measures to determine</w:t>
      </w:r>
      <w:r w:rsidR="008A3F43" w:rsidRPr="00CC2594">
        <w:rPr>
          <w:rFonts w:ascii="Cambria" w:hAnsi="Cambria"/>
          <w:sz w:val="21"/>
          <w:szCs w:val="21"/>
          <w:lang w:val="en-US"/>
        </w:rPr>
        <w:t xml:space="preserve"> </w:t>
      </w:r>
      <w:r w:rsidR="00BA337B" w:rsidRPr="00CC2594">
        <w:rPr>
          <w:rFonts w:ascii="Cambria" w:hAnsi="Cambria"/>
          <w:sz w:val="21"/>
          <w:szCs w:val="21"/>
          <w:lang w:val="en-US"/>
        </w:rPr>
        <w:t>the whereabouts</w:t>
      </w:r>
      <w:r w:rsidR="008A3F43" w:rsidRPr="00CC2594">
        <w:rPr>
          <w:rFonts w:ascii="Cambria" w:hAnsi="Cambria"/>
          <w:sz w:val="21"/>
          <w:szCs w:val="21"/>
          <w:lang w:val="en-US"/>
        </w:rPr>
        <w:t xml:space="preserve"> </w:t>
      </w:r>
      <w:r w:rsidR="00BA337B" w:rsidRPr="00CC2594">
        <w:rPr>
          <w:rFonts w:ascii="Cambria" w:hAnsi="Cambria"/>
          <w:sz w:val="21"/>
          <w:szCs w:val="21"/>
          <w:lang w:val="en-US"/>
        </w:rPr>
        <w:t xml:space="preserve">or </w:t>
      </w:r>
      <w:r w:rsidR="00954EBB" w:rsidRPr="00CC2594">
        <w:rPr>
          <w:rFonts w:ascii="Cambria" w:hAnsi="Cambria"/>
          <w:sz w:val="21"/>
          <w:szCs w:val="21"/>
          <w:lang w:val="en-US"/>
        </w:rPr>
        <w:t xml:space="preserve">fate </w:t>
      </w:r>
      <w:r w:rsidR="00954EBB" w:rsidRPr="00CC2594">
        <w:rPr>
          <w:rFonts w:ascii="Cambria" w:eastAsia="Batang" w:hAnsi="Cambria" w:cs="Times New Roman"/>
          <w:sz w:val="21"/>
          <w:szCs w:val="21"/>
          <w:lang w:val="en-US"/>
        </w:rPr>
        <w:t>of</w:t>
      </w:r>
      <w:r w:rsidR="00BA337B" w:rsidRPr="00CC2594">
        <w:rPr>
          <w:rFonts w:ascii="Cambria" w:eastAsia="Batang" w:hAnsi="Cambria" w:cs="Times New Roman"/>
          <w:sz w:val="21"/>
          <w:szCs w:val="21"/>
          <w:lang w:val="en-US"/>
        </w:rPr>
        <w:t xml:space="preserve"> Mr.</w:t>
      </w:r>
      <w:r w:rsidR="008A3F43" w:rsidRPr="00CC2594">
        <w:rPr>
          <w:rFonts w:ascii="Cambria" w:eastAsia="Batang" w:hAnsi="Cambria" w:cs="Times New Roman"/>
          <w:sz w:val="21"/>
          <w:szCs w:val="21"/>
          <w:lang w:val="en-US"/>
        </w:rPr>
        <w:t xml:space="preserve"> </w:t>
      </w:r>
      <w:r w:rsidR="003102F2" w:rsidRPr="00CC2594">
        <w:rPr>
          <w:rFonts w:ascii="Cambria" w:eastAsia="Batang" w:hAnsi="Cambria" w:cs="Times New Roman"/>
          <w:sz w:val="21"/>
          <w:szCs w:val="21"/>
          <w:lang w:val="en-US"/>
        </w:rPr>
        <w:t xml:space="preserve">Alfonso </w:t>
      </w:r>
      <w:proofErr w:type="spellStart"/>
      <w:r w:rsidR="003102F2" w:rsidRPr="00CC2594">
        <w:rPr>
          <w:rFonts w:ascii="Cambria" w:eastAsia="Batang" w:hAnsi="Cambria" w:cs="Times New Roman"/>
          <w:sz w:val="21"/>
          <w:szCs w:val="21"/>
          <w:lang w:val="en-US"/>
        </w:rPr>
        <w:t>Alejandre</w:t>
      </w:r>
      <w:proofErr w:type="spellEnd"/>
      <w:r w:rsidR="003102F2" w:rsidRPr="00CC2594">
        <w:rPr>
          <w:rFonts w:ascii="Cambria" w:eastAsia="Batang" w:hAnsi="Cambria" w:cs="Times New Roman"/>
          <w:sz w:val="21"/>
          <w:szCs w:val="21"/>
          <w:lang w:val="en-US"/>
        </w:rPr>
        <w:t xml:space="preserve"> </w:t>
      </w:r>
      <w:proofErr w:type="spellStart"/>
      <w:r w:rsidR="003102F2" w:rsidRPr="00CC2594">
        <w:rPr>
          <w:rFonts w:ascii="Cambria" w:eastAsia="Batang" w:hAnsi="Cambria" w:cs="Times New Roman"/>
          <w:sz w:val="21"/>
          <w:szCs w:val="21"/>
          <w:lang w:val="en-US"/>
        </w:rPr>
        <w:t>Díaz</w:t>
      </w:r>
      <w:proofErr w:type="spellEnd"/>
      <w:r w:rsidR="003102F2" w:rsidRPr="00CC2594">
        <w:rPr>
          <w:rFonts w:ascii="Cambria" w:eastAsia="Batang" w:hAnsi="Cambria" w:cs="Times New Roman"/>
          <w:sz w:val="21"/>
          <w:szCs w:val="21"/>
          <w:lang w:val="en-US"/>
        </w:rPr>
        <w:t xml:space="preserve"> </w:t>
      </w:r>
      <w:r w:rsidR="00BA337B" w:rsidRPr="00CC2594">
        <w:rPr>
          <w:rFonts w:ascii="Cambria" w:eastAsia="Batang" w:hAnsi="Cambria" w:cs="Times New Roman"/>
          <w:sz w:val="21"/>
          <w:szCs w:val="21"/>
          <w:lang w:val="en-US"/>
        </w:rPr>
        <w:t>and Mr.</w:t>
      </w:r>
      <w:r w:rsidR="003102F2" w:rsidRPr="00CC2594">
        <w:rPr>
          <w:rFonts w:ascii="Cambria" w:eastAsia="Batang" w:hAnsi="Cambria" w:cs="Times New Roman"/>
          <w:sz w:val="21"/>
          <w:szCs w:val="21"/>
          <w:lang w:val="en-US"/>
        </w:rPr>
        <w:t xml:space="preserve"> Alberto </w:t>
      </w:r>
      <w:proofErr w:type="spellStart"/>
      <w:r w:rsidR="003102F2" w:rsidRPr="00CC2594">
        <w:rPr>
          <w:rFonts w:ascii="Cambria" w:eastAsia="Batang" w:hAnsi="Cambria" w:cs="Times New Roman"/>
          <w:sz w:val="21"/>
          <w:szCs w:val="21"/>
          <w:lang w:val="en-US"/>
        </w:rPr>
        <w:t>Alejandre</w:t>
      </w:r>
      <w:proofErr w:type="spellEnd"/>
      <w:r w:rsidR="003102F2" w:rsidRPr="00CC2594">
        <w:rPr>
          <w:rFonts w:ascii="Cambria" w:eastAsia="Batang" w:hAnsi="Cambria" w:cs="Times New Roman"/>
          <w:sz w:val="21"/>
          <w:szCs w:val="21"/>
          <w:lang w:val="en-US"/>
        </w:rPr>
        <w:t xml:space="preserve"> </w:t>
      </w:r>
      <w:proofErr w:type="spellStart"/>
      <w:r w:rsidR="003102F2" w:rsidRPr="00CC2594">
        <w:rPr>
          <w:rFonts w:ascii="Cambria" w:eastAsia="Batang" w:hAnsi="Cambria" w:cs="Times New Roman"/>
          <w:sz w:val="21"/>
          <w:szCs w:val="21"/>
          <w:lang w:val="en-US"/>
        </w:rPr>
        <w:t>Díaz</w:t>
      </w:r>
      <w:proofErr w:type="spellEnd"/>
      <w:r w:rsidR="008A3F43" w:rsidRPr="00CC2594">
        <w:rPr>
          <w:rFonts w:ascii="Cambria" w:eastAsia="Batang" w:hAnsi="Cambria" w:cs="Times New Roman"/>
          <w:sz w:val="21"/>
          <w:szCs w:val="21"/>
          <w:lang w:val="en-US"/>
        </w:rPr>
        <w:t xml:space="preserve">, </w:t>
      </w:r>
      <w:r w:rsidR="0036205E" w:rsidRPr="00CC2594">
        <w:rPr>
          <w:rFonts w:ascii="Cambria" w:eastAsia="Batang" w:hAnsi="Cambria" w:cs="Times New Roman"/>
          <w:sz w:val="21"/>
          <w:szCs w:val="21"/>
          <w:lang w:val="en-US"/>
        </w:rPr>
        <w:t>in order to protect their rights to</w:t>
      </w:r>
      <w:r w:rsidR="008A3F43" w:rsidRPr="00CC2594">
        <w:rPr>
          <w:rFonts w:ascii="Cambria" w:eastAsia="Batang" w:hAnsi="Cambria" w:cs="Times New Roman"/>
          <w:sz w:val="21"/>
          <w:szCs w:val="21"/>
          <w:lang w:val="en-US"/>
        </w:rPr>
        <w:t xml:space="preserve"> </w:t>
      </w:r>
      <w:r w:rsidR="0036205E" w:rsidRPr="00CC2594">
        <w:rPr>
          <w:rFonts w:ascii="Cambria" w:eastAsia="Batang" w:hAnsi="Cambria" w:cs="Times New Roman"/>
          <w:sz w:val="21"/>
          <w:szCs w:val="21"/>
          <w:lang w:val="en-US"/>
        </w:rPr>
        <w:t>life and</w:t>
      </w:r>
      <w:r w:rsidR="008A3F43" w:rsidRPr="00CC2594">
        <w:rPr>
          <w:rFonts w:ascii="Cambria" w:eastAsia="Batang" w:hAnsi="Cambria" w:cs="Times New Roman"/>
          <w:sz w:val="21"/>
          <w:szCs w:val="21"/>
          <w:lang w:val="en-US"/>
        </w:rPr>
        <w:t xml:space="preserve"> </w:t>
      </w:r>
      <w:r w:rsidR="0036205E" w:rsidRPr="00CC2594">
        <w:rPr>
          <w:rFonts w:ascii="Cambria" w:eastAsia="Batang" w:hAnsi="Cambria" w:cs="Times New Roman"/>
          <w:sz w:val="21"/>
          <w:szCs w:val="21"/>
          <w:lang w:val="en-US"/>
        </w:rPr>
        <w:t>personal integrity</w:t>
      </w:r>
      <w:r w:rsidR="008A3F43" w:rsidRPr="00CC2594">
        <w:rPr>
          <w:rFonts w:ascii="Cambria" w:eastAsia="Batang" w:hAnsi="Cambria" w:cs="Times New Roman"/>
          <w:sz w:val="21"/>
          <w:szCs w:val="21"/>
          <w:lang w:val="en-US"/>
        </w:rPr>
        <w:t xml:space="preserve">; b) </w:t>
      </w:r>
      <w:r w:rsidR="0036205E" w:rsidRPr="00CC2594">
        <w:rPr>
          <w:rFonts w:ascii="Cambria" w:hAnsi="Cambria"/>
          <w:sz w:val="21"/>
          <w:szCs w:val="21"/>
          <w:lang w:val="en-US"/>
        </w:rPr>
        <w:t>consult upon the measures to be adopted with the representatives of the beneficiaries; and</w:t>
      </w:r>
      <w:r w:rsidR="008A3F43" w:rsidRPr="00CC2594">
        <w:rPr>
          <w:rFonts w:ascii="Cambria" w:eastAsia="Batang" w:hAnsi="Cambria" w:cs="Times New Roman"/>
          <w:sz w:val="21"/>
          <w:szCs w:val="21"/>
          <w:lang w:val="en-US"/>
        </w:rPr>
        <w:t xml:space="preserve"> c) </w:t>
      </w:r>
      <w:r w:rsidR="00C0696B" w:rsidRPr="00CC2594">
        <w:rPr>
          <w:rFonts w:ascii="Cambria" w:hAnsi="Cambria"/>
          <w:sz w:val="21"/>
          <w:szCs w:val="21"/>
          <w:lang w:val="en-US"/>
        </w:rPr>
        <w:t>provide information regarding the actions taken to investigate the alleged acts that caused the adoption of the present precautionary measure and, in this way, avoid their repetition</w:t>
      </w:r>
      <w:r w:rsidR="003102F2" w:rsidRPr="00CC2594">
        <w:rPr>
          <w:rFonts w:ascii="Cambria" w:eastAsia="Batang" w:hAnsi="Cambria" w:cs="Times New Roman"/>
          <w:sz w:val="21"/>
          <w:szCs w:val="21"/>
          <w:lang w:val="en-US"/>
        </w:rPr>
        <w:t>.</w:t>
      </w:r>
    </w:p>
    <w:p w14:paraId="3142E3DD" w14:textId="77777777" w:rsidR="00B117BB" w:rsidRPr="00CC2594" w:rsidRDefault="00B117BB" w:rsidP="00B117BB">
      <w:pPr>
        <w:spacing w:after="0" w:line="240" w:lineRule="auto"/>
        <w:jc w:val="both"/>
        <w:rPr>
          <w:rFonts w:ascii="Cambria" w:eastAsia="Batang" w:hAnsi="Cambria" w:cs="Times New Roman"/>
          <w:sz w:val="21"/>
          <w:szCs w:val="21"/>
          <w:lang w:val="en-US"/>
        </w:rPr>
      </w:pPr>
    </w:p>
    <w:p w14:paraId="6E2C708C" w14:textId="28074850" w:rsidR="00B117BB" w:rsidRPr="00CC2594" w:rsidRDefault="00C0696B" w:rsidP="00B117BB">
      <w:pPr>
        <w:numPr>
          <w:ilvl w:val="0"/>
          <w:numId w:val="2"/>
        </w:numPr>
        <w:spacing w:after="0" w:line="240" w:lineRule="auto"/>
        <w:ind w:hanging="294"/>
        <w:jc w:val="both"/>
        <w:rPr>
          <w:rFonts w:ascii="Cambria" w:eastAsia="Batang" w:hAnsi="Cambria" w:cs="Times New Roman"/>
          <w:b/>
          <w:sz w:val="21"/>
          <w:szCs w:val="21"/>
          <w:lang w:val="en-US"/>
        </w:rPr>
      </w:pPr>
      <w:r w:rsidRPr="00CC2594">
        <w:rPr>
          <w:rFonts w:ascii="Cambria" w:eastAsia="Batang" w:hAnsi="Cambria" w:cs="Times New Roman"/>
          <w:b/>
          <w:sz w:val="21"/>
          <w:szCs w:val="21"/>
          <w:lang w:val="en-US"/>
        </w:rPr>
        <w:t>SUMMARY OF THE ALLEGED FACTS</w:t>
      </w:r>
    </w:p>
    <w:p w14:paraId="39E68DD7" w14:textId="77777777" w:rsidR="00B117BB" w:rsidRPr="00CC2594" w:rsidRDefault="00B117BB" w:rsidP="00B117BB">
      <w:pPr>
        <w:spacing w:after="0" w:line="240" w:lineRule="auto"/>
        <w:jc w:val="both"/>
        <w:rPr>
          <w:rFonts w:ascii="Cambria" w:eastAsia="Batang" w:hAnsi="Cambria" w:cs="Times New Roman"/>
          <w:sz w:val="21"/>
          <w:szCs w:val="21"/>
          <w:lang w:val="en-US"/>
        </w:rPr>
      </w:pPr>
    </w:p>
    <w:p w14:paraId="09E93AF4" w14:textId="63B0B64B" w:rsidR="00B117BB" w:rsidRPr="00CC2594" w:rsidRDefault="00E00D75" w:rsidP="00E00D75">
      <w:pPr>
        <w:pStyle w:val="ListParagraph"/>
        <w:numPr>
          <w:ilvl w:val="3"/>
          <w:numId w:val="8"/>
        </w:numPr>
        <w:spacing w:after="200" w:line="240" w:lineRule="auto"/>
        <w:ind w:left="270" w:firstLine="0"/>
        <w:contextualSpacing w:val="0"/>
        <w:jc w:val="both"/>
        <w:rPr>
          <w:rFonts w:ascii="Cambria" w:hAnsi="Cambria"/>
          <w:b/>
          <w:sz w:val="21"/>
          <w:szCs w:val="21"/>
          <w:lang w:val="en-US"/>
        </w:rPr>
      </w:pPr>
      <w:r w:rsidRPr="00CC2594">
        <w:rPr>
          <w:rFonts w:ascii="Cambria" w:hAnsi="Cambria"/>
          <w:b/>
          <w:sz w:val="21"/>
          <w:szCs w:val="21"/>
          <w:lang w:val="en-US"/>
        </w:rPr>
        <w:t>Information alleged by the applicants</w:t>
      </w:r>
    </w:p>
    <w:p w14:paraId="07EA9BE0" w14:textId="07BAE601" w:rsidR="00A9623D" w:rsidRPr="00CC2594" w:rsidRDefault="00B2118E" w:rsidP="00A9623D">
      <w:pPr>
        <w:numPr>
          <w:ilvl w:val="0"/>
          <w:numId w:val="3"/>
        </w:numPr>
        <w:spacing w:after="0" w:line="240" w:lineRule="auto"/>
        <w:ind w:left="0" w:firstLine="360"/>
        <w:contextualSpacing/>
        <w:jc w:val="both"/>
        <w:rPr>
          <w:rFonts w:ascii="Cambria" w:eastAsia="Batang" w:hAnsi="Cambria" w:cs="Times New Roman"/>
          <w:sz w:val="21"/>
          <w:szCs w:val="21"/>
          <w:lang w:val="en-US"/>
        </w:rPr>
      </w:pPr>
      <w:r w:rsidRPr="00CC2594">
        <w:rPr>
          <w:rFonts w:ascii="Cambria" w:eastAsia="Batang" w:hAnsi="Cambria" w:cs="Times New Roman"/>
          <w:sz w:val="21"/>
          <w:szCs w:val="21"/>
          <w:lang w:val="en-US"/>
        </w:rPr>
        <w:t xml:space="preserve">The applicants </w:t>
      </w:r>
      <w:r w:rsidR="00800654" w:rsidRPr="00CC2594">
        <w:rPr>
          <w:rFonts w:ascii="Cambria" w:eastAsia="Batang" w:hAnsi="Cambria" w:cs="Times New Roman"/>
          <w:sz w:val="21"/>
          <w:szCs w:val="21"/>
          <w:lang w:val="en-US"/>
        </w:rPr>
        <w:t>a</w:t>
      </w:r>
      <w:r w:rsidRPr="00CC2594">
        <w:rPr>
          <w:rFonts w:ascii="Cambria" w:eastAsia="Batang" w:hAnsi="Cambria" w:cs="Times New Roman"/>
          <w:sz w:val="21"/>
          <w:szCs w:val="21"/>
          <w:lang w:val="en-US"/>
        </w:rPr>
        <w:t>lleged that</w:t>
      </w:r>
      <w:r w:rsidR="00800654" w:rsidRPr="00CC2594">
        <w:rPr>
          <w:rFonts w:ascii="Cambria" w:eastAsia="Batang" w:hAnsi="Cambria" w:cs="Times New Roman"/>
          <w:sz w:val="21"/>
          <w:szCs w:val="21"/>
          <w:lang w:val="en-US"/>
        </w:rPr>
        <w:t xml:space="preserve"> </w:t>
      </w:r>
      <w:r w:rsidRPr="00CC2594">
        <w:rPr>
          <w:rFonts w:ascii="Cambria" w:eastAsia="Batang" w:hAnsi="Cambria" w:cs="Times New Roman"/>
          <w:sz w:val="21"/>
          <w:szCs w:val="21"/>
          <w:lang w:val="en-US"/>
        </w:rPr>
        <w:t>on March</w:t>
      </w:r>
      <w:r w:rsidR="00800654" w:rsidRPr="00CC2594">
        <w:rPr>
          <w:rFonts w:ascii="Cambria" w:eastAsia="Batang" w:hAnsi="Cambria" w:cs="Times New Roman"/>
          <w:sz w:val="21"/>
          <w:szCs w:val="21"/>
          <w:lang w:val="en-US"/>
        </w:rPr>
        <w:t xml:space="preserve"> </w:t>
      </w:r>
      <w:proofErr w:type="gramStart"/>
      <w:r w:rsidR="00800654" w:rsidRPr="00CC2594">
        <w:rPr>
          <w:rFonts w:ascii="Cambria" w:eastAsia="Batang" w:hAnsi="Cambria" w:cs="Times New Roman"/>
          <w:sz w:val="21"/>
          <w:szCs w:val="21"/>
          <w:lang w:val="en-US"/>
        </w:rPr>
        <w:t>20</w:t>
      </w:r>
      <w:r w:rsidRPr="00CC2594">
        <w:rPr>
          <w:rFonts w:ascii="Cambria" w:eastAsia="Batang" w:hAnsi="Cambria" w:cs="Times New Roman"/>
          <w:sz w:val="21"/>
          <w:szCs w:val="21"/>
          <w:vertAlign w:val="superscript"/>
          <w:lang w:val="en-US"/>
        </w:rPr>
        <w:t>th</w:t>
      </w:r>
      <w:proofErr w:type="gramEnd"/>
      <w:r w:rsidRPr="00CC2594">
        <w:rPr>
          <w:rFonts w:ascii="Cambria" w:eastAsia="Batang" w:hAnsi="Cambria" w:cs="Times New Roman"/>
          <w:sz w:val="21"/>
          <w:szCs w:val="21"/>
          <w:lang w:val="en-US"/>
        </w:rPr>
        <w:t>,</w:t>
      </w:r>
      <w:r w:rsidR="00800654" w:rsidRPr="00CC2594">
        <w:rPr>
          <w:rFonts w:ascii="Cambria" w:eastAsia="Batang" w:hAnsi="Cambria" w:cs="Times New Roman"/>
          <w:sz w:val="21"/>
          <w:szCs w:val="21"/>
          <w:lang w:val="en-US"/>
        </w:rPr>
        <w:t xml:space="preserve"> 2019</w:t>
      </w:r>
      <w:r w:rsidR="00511EAE" w:rsidRPr="00CC2594">
        <w:rPr>
          <w:rFonts w:ascii="Cambria" w:eastAsia="Batang" w:hAnsi="Cambria" w:cs="Times New Roman"/>
          <w:sz w:val="21"/>
          <w:szCs w:val="21"/>
          <w:lang w:val="en-US"/>
        </w:rPr>
        <w:t xml:space="preserve">, </w:t>
      </w:r>
      <w:r w:rsidR="0004465C" w:rsidRPr="00CC2594">
        <w:rPr>
          <w:rFonts w:ascii="Cambria" w:eastAsia="Batang" w:hAnsi="Cambria" w:cs="Times New Roman"/>
          <w:sz w:val="21"/>
          <w:szCs w:val="21"/>
          <w:lang w:val="en-US"/>
        </w:rPr>
        <w:t>a group between</w:t>
      </w:r>
      <w:r w:rsidR="00511EAE" w:rsidRPr="00CC2594">
        <w:rPr>
          <w:rFonts w:ascii="Cambria" w:eastAsia="Batang" w:hAnsi="Cambria" w:cs="Times New Roman"/>
          <w:sz w:val="21"/>
          <w:szCs w:val="21"/>
          <w:lang w:val="en-US"/>
        </w:rPr>
        <w:t xml:space="preserve"> 12 </w:t>
      </w:r>
      <w:r w:rsidR="0004465C" w:rsidRPr="00CC2594">
        <w:rPr>
          <w:rFonts w:ascii="Cambria" w:eastAsia="Batang" w:hAnsi="Cambria" w:cs="Times New Roman"/>
          <w:sz w:val="21"/>
          <w:szCs w:val="21"/>
          <w:lang w:val="en-US"/>
        </w:rPr>
        <w:t>and</w:t>
      </w:r>
      <w:r w:rsidR="00511EAE" w:rsidRPr="00CC2594">
        <w:rPr>
          <w:rFonts w:ascii="Cambria" w:eastAsia="Batang" w:hAnsi="Cambria" w:cs="Times New Roman"/>
          <w:sz w:val="21"/>
          <w:szCs w:val="21"/>
          <w:lang w:val="en-US"/>
        </w:rPr>
        <w:t xml:space="preserve"> 15 </w:t>
      </w:r>
      <w:r w:rsidR="0004465C" w:rsidRPr="00CC2594">
        <w:rPr>
          <w:rFonts w:ascii="Cambria" w:eastAsia="Batang" w:hAnsi="Cambria" w:cs="Times New Roman"/>
          <w:sz w:val="21"/>
          <w:szCs w:val="21"/>
          <w:lang w:val="en-US"/>
        </w:rPr>
        <w:t xml:space="preserve">armed </w:t>
      </w:r>
      <w:r w:rsidR="004D40BB" w:rsidRPr="00CC2594">
        <w:rPr>
          <w:rFonts w:ascii="Cambria" w:eastAsia="Batang" w:hAnsi="Cambria" w:cs="Times New Roman"/>
          <w:sz w:val="21"/>
          <w:szCs w:val="21"/>
          <w:lang w:val="en-US"/>
        </w:rPr>
        <w:t>“</w:t>
      </w:r>
      <w:r w:rsidR="00EB6E41" w:rsidRPr="00CC2594">
        <w:rPr>
          <w:rFonts w:ascii="Cambria" w:eastAsia="Batang" w:hAnsi="Cambria" w:cs="Times New Roman"/>
          <w:sz w:val="21"/>
          <w:szCs w:val="21"/>
          <w:lang w:val="en-US"/>
        </w:rPr>
        <w:t xml:space="preserve">delinquents </w:t>
      </w:r>
      <w:r w:rsidR="0004465C" w:rsidRPr="00CC2594">
        <w:rPr>
          <w:rFonts w:ascii="Cambria" w:eastAsia="Batang" w:hAnsi="Cambria" w:cs="Times New Roman"/>
          <w:sz w:val="21"/>
          <w:szCs w:val="21"/>
          <w:lang w:val="en-US"/>
        </w:rPr>
        <w:t>accompanied by municipal police officers</w:t>
      </w:r>
      <w:r w:rsidR="006B3380" w:rsidRPr="00CC2594">
        <w:rPr>
          <w:rFonts w:ascii="Cambria" w:eastAsia="Batang" w:hAnsi="Cambria" w:cs="Times New Roman"/>
          <w:sz w:val="21"/>
          <w:szCs w:val="21"/>
          <w:lang w:val="en-US"/>
        </w:rPr>
        <w:t>”</w:t>
      </w:r>
      <w:r w:rsidR="0004465C" w:rsidRPr="00CC2594">
        <w:rPr>
          <w:rFonts w:ascii="Cambria" w:eastAsia="Batang" w:hAnsi="Cambria" w:cs="Times New Roman"/>
          <w:sz w:val="21"/>
          <w:szCs w:val="21"/>
          <w:lang w:val="en-US"/>
        </w:rPr>
        <w:t xml:space="preserve"> </w:t>
      </w:r>
      <w:r w:rsidR="0085334E" w:rsidRPr="00CC2594">
        <w:rPr>
          <w:rFonts w:ascii="Cambria" w:eastAsia="Batang" w:hAnsi="Cambria" w:cs="Times New Roman"/>
          <w:sz w:val="21"/>
          <w:szCs w:val="21"/>
          <w:lang w:val="en-US"/>
        </w:rPr>
        <w:t>reportedly</w:t>
      </w:r>
      <w:r w:rsidR="0004465C" w:rsidRPr="00CC2594">
        <w:rPr>
          <w:rFonts w:ascii="Cambria" w:eastAsia="Batang" w:hAnsi="Cambria" w:cs="Times New Roman"/>
          <w:sz w:val="21"/>
          <w:szCs w:val="21"/>
          <w:lang w:val="en-US"/>
        </w:rPr>
        <w:t xml:space="preserve"> came to the house of</w:t>
      </w:r>
      <w:r w:rsidR="00556E66" w:rsidRPr="00CC2594">
        <w:rPr>
          <w:rFonts w:ascii="Cambria" w:eastAsia="Batang" w:hAnsi="Cambria" w:cs="Times New Roman"/>
          <w:sz w:val="21"/>
          <w:szCs w:val="21"/>
          <w:lang w:val="en-US"/>
        </w:rPr>
        <w:t xml:space="preserve"> the</w:t>
      </w:r>
      <w:r w:rsidR="0004465C" w:rsidRPr="00CC2594">
        <w:rPr>
          <w:rFonts w:ascii="Cambria" w:eastAsia="Batang" w:hAnsi="Cambria" w:cs="Times New Roman"/>
          <w:sz w:val="21"/>
          <w:szCs w:val="21"/>
          <w:lang w:val="en-US"/>
        </w:rPr>
        <w:t xml:space="preserve"> proposed beneficiaries</w:t>
      </w:r>
      <w:r w:rsidR="00556E66" w:rsidRPr="00CC2594">
        <w:rPr>
          <w:rFonts w:ascii="Cambria" w:eastAsia="Batang" w:hAnsi="Cambria" w:cs="Times New Roman"/>
          <w:sz w:val="21"/>
          <w:szCs w:val="21"/>
          <w:lang w:val="en-US"/>
        </w:rPr>
        <w:t>’ mother</w:t>
      </w:r>
      <w:r w:rsidR="00511EAE" w:rsidRPr="00CC2594">
        <w:rPr>
          <w:rFonts w:ascii="Cambria" w:eastAsia="Batang" w:hAnsi="Cambria" w:cs="Times New Roman"/>
          <w:sz w:val="21"/>
          <w:szCs w:val="21"/>
          <w:lang w:val="en-US"/>
        </w:rPr>
        <w:t xml:space="preserve">, </w:t>
      </w:r>
      <w:r w:rsidR="0004465C" w:rsidRPr="00CC2594">
        <w:rPr>
          <w:rFonts w:ascii="Cambria" w:eastAsia="Batang" w:hAnsi="Cambria" w:cs="Times New Roman"/>
          <w:sz w:val="21"/>
          <w:szCs w:val="21"/>
          <w:lang w:val="en-US"/>
        </w:rPr>
        <w:t>i</w:t>
      </w:r>
      <w:r w:rsidR="009017D3" w:rsidRPr="00CC2594">
        <w:rPr>
          <w:rFonts w:ascii="Cambria" w:eastAsia="Batang" w:hAnsi="Cambria" w:cs="Times New Roman"/>
          <w:sz w:val="21"/>
          <w:szCs w:val="21"/>
          <w:lang w:val="en-US"/>
        </w:rPr>
        <w:t xml:space="preserve">n </w:t>
      </w:r>
      <w:proofErr w:type="spellStart"/>
      <w:r w:rsidR="009017D3" w:rsidRPr="00CC2594">
        <w:rPr>
          <w:rFonts w:ascii="Cambria" w:eastAsia="Batang" w:hAnsi="Cambria" w:cs="Times New Roman"/>
          <w:sz w:val="21"/>
          <w:szCs w:val="21"/>
          <w:lang w:val="en-US"/>
        </w:rPr>
        <w:t>Yurecuaro</w:t>
      </w:r>
      <w:proofErr w:type="spellEnd"/>
      <w:r w:rsidR="009017D3" w:rsidRPr="00CC2594">
        <w:rPr>
          <w:rFonts w:ascii="Cambria" w:eastAsia="Batang" w:hAnsi="Cambria" w:cs="Times New Roman"/>
          <w:sz w:val="21"/>
          <w:szCs w:val="21"/>
          <w:lang w:val="en-US"/>
        </w:rPr>
        <w:t xml:space="preserve">, Michoacán, </w:t>
      </w:r>
      <w:r w:rsidR="0004465C" w:rsidRPr="00CC2594">
        <w:rPr>
          <w:rFonts w:ascii="Cambria" w:eastAsia="Batang" w:hAnsi="Cambria" w:cs="Times New Roman"/>
          <w:sz w:val="21"/>
          <w:szCs w:val="21"/>
          <w:lang w:val="en-US"/>
        </w:rPr>
        <w:t>questioning</w:t>
      </w:r>
      <w:r w:rsidR="00511EAE" w:rsidRPr="00CC2594">
        <w:rPr>
          <w:rFonts w:ascii="Cambria" w:eastAsia="Batang" w:hAnsi="Cambria" w:cs="Times New Roman"/>
          <w:sz w:val="21"/>
          <w:szCs w:val="21"/>
          <w:lang w:val="en-US"/>
        </w:rPr>
        <w:t xml:space="preserve"> </w:t>
      </w:r>
      <w:r w:rsidR="0085334E" w:rsidRPr="00CC2594">
        <w:rPr>
          <w:rFonts w:ascii="Cambria" w:eastAsia="Batang" w:hAnsi="Cambria" w:cs="Times New Roman"/>
          <w:sz w:val="21"/>
          <w:szCs w:val="21"/>
          <w:lang w:val="en-US"/>
        </w:rPr>
        <w:t xml:space="preserve">the people who were there. </w:t>
      </w:r>
      <w:r w:rsidR="0009111F" w:rsidRPr="00CC2594">
        <w:rPr>
          <w:rFonts w:ascii="Cambria" w:eastAsia="Batang" w:hAnsi="Cambria" w:cs="Times New Roman"/>
          <w:sz w:val="21"/>
          <w:szCs w:val="21"/>
          <w:lang w:val="en-US"/>
        </w:rPr>
        <w:t>Allegedly,</w:t>
      </w:r>
      <w:r w:rsidR="0085334E" w:rsidRPr="00CC2594">
        <w:rPr>
          <w:rFonts w:ascii="Cambria" w:eastAsia="Batang" w:hAnsi="Cambria" w:cs="Times New Roman"/>
          <w:sz w:val="21"/>
          <w:szCs w:val="21"/>
          <w:lang w:val="en-US"/>
        </w:rPr>
        <w:t xml:space="preserve"> after not </w:t>
      </w:r>
      <w:r w:rsidR="0009111F" w:rsidRPr="00CC2594">
        <w:rPr>
          <w:rFonts w:ascii="Cambria" w:eastAsia="Batang" w:hAnsi="Cambria" w:cs="Times New Roman"/>
          <w:sz w:val="21"/>
          <w:szCs w:val="21"/>
          <w:lang w:val="en-US"/>
        </w:rPr>
        <w:t>obtaining</w:t>
      </w:r>
      <w:r w:rsidR="0085334E" w:rsidRPr="00CC2594">
        <w:rPr>
          <w:rFonts w:ascii="Cambria" w:eastAsia="Batang" w:hAnsi="Cambria" w:cs="Times New Roman"/>
          <w:sz w:val="21"/>
          <w:szCs w:val="21"/>
          <w:lang w:val="en-US"/>
        </w:rPr>
        <w:t xml:space="preserve"> the desired answers, the group started shooting inside the house. At that time, the proposed beneficiaries allegedly arrived to support their family, at the same time </w:t>
      </w:r>
      <w:r w:rsidR="0009111F" w:rsidRPr="00CC2594">
        <w:rPr>
          <w:rFonts w:ascii="Cambria" w:eastAsia="Batang" w:hAnsi="Cambria" w:cs="Times New Roman"/>
          <w:sz w:val="21"/>
          <w:szCs w:val="21"/>
          <w:lang w:val="en-US"/>
        </w:rPr>
        <w:t xml:space="preserve">that </w:t>
      </w:r>
      <w:r w:rsidR="0085334E" w:rsidRPr="00CC2594">
        <w:rPr>
          <w:rFonts w:ascii="Cambria" w:eastAsia="Batang" w:hAnsi="Cambria" w:cs="Times New Roman"/>
          <w:sz w:val="21"/>
          <w:szCs w:val="21"/>
          <w:lang w:val="en-US"/>
        </w:rPr>
        <w:t>two police patrols appeared, with between 8 and 10</w:t>
      </w:r>
      <w:r w:rsidR="00A9623D" w:rsidRPr="00CC2594">
        <w:rPr>
          <w:rFonts w:ascii="Cambria" w:eastAsia="Batang" w:hAnsi="Cambria" w:cs="Times New Roman"/>
          <w:sz w:val="21"/>
          <w:szCs w:val="21"/>
          <w:lang w:val="en-US"/>
        </w:rPr>
        <w:t xml:space="preserve"> </w:t>
      </w:r>
      <w:r w:rsidR="0018720A" w:rsidRPr="00CC2594">
        <w:rPr>
          <w:rFonts w:ascii="Cambria" w:eastAsia="Batang" w:hAnsi="Cambria" w:cs="Times New Roman"/>
          <w:sz w:val="21"/>
          <w:szCs w:val="21"/>
          <w:lang w:val="en-US"/>
        </w:rPr>
        <w:t>officers</w:t>
      </w:r>
      <w:r w:rsidR="0085334E" w:rsidRPr="00CC2594">
        <w:rPr>
          <w:rFonts w:ascii="Cambria" w:eastAsia="Batang" w:hAnsi="Cambria" w:cs="Times New Roman"/>
          <w:sz w:val="21"/>
          <w:szCs w:val="21"/>
          <w:lang w:val="en-US"/>
        </w:rPr>
        <w:t>, allegedly acting in complicity with the aggressors.</w:t>
      </w:r>
    </w:p>
    <w:p w14:paraId="6ADC16AC" w14:textId="77777777" w:rsidR="00A9623D" w:rsidRPr="00CC2594" w:rsidRDefault="00A9623D" w:rsidP="00A9623D">
      <w:pPr>
        <w:spacing w:after="0" w:line="240" w:lineRule="auto"/>
        <w:ind w:left="360"/>
        <w:contextualSpacing/>
        <w:jc w:val="both"/>
        <w:rPr>
          <w:rFonts w:ascii="Cambria" w:eastAsia="Batang" w:hAnsi="Cambria" w:cs="Times New Roman"/>
          <w:sz w:val="21"/>
          <w:szCs w:val="21"/>
          <w:lang w:val="en-US"/>
        </w:rPr>
      </w:pPr>
    </w:p>
    <w:p w14:paraId="23AC4B49" w14:textId="7BDDF41B" w:rsidR="00DF3EDD" w:rsidRPr="00CC2594" w:rsidRDefault="00A9623D" w:rsidP="00DF3EDD">
      <w:pPr>
        <w:numPr>
          <w:ilvl w:val="0"/>
          <w:numId w:val="3"/>
        </w:numPr>
        <w:spacing w:after="0" w:line="240" w:lineRule="auto"/>
        <w:ind w:left="0" w:firstLine="360"/>
        <w:contextualSpacing/>
        <w:jc w:val="both"/>
        <w:rPr>
          <w:rFonts w:ascii="Cambria" w:eastAsia="Batang" w:hAnsi="Cambria" w:cs="Times New Roman"/>
          <w:sz w:val="21"/>
          <w:szCs w:val="21"/>
          <w:lang w:val="en-US"/>
        </w:rPr>
      </w:pPr>
      <w:r w:rsidRPr="00CC2594">
        <w:rPr>
          <w:rFonts w:ascii="Cambria" w:eastAsia="Batang" w:hAnsi="Cambria" w:cs="Times New Roman"/>
          <w:sz w:val="21"/>
          <w:szCs w:val="21"/>
          <w:lang w:val="en-US"/>
        </w:rPr>
        <w:t>According to the request, after realizing that there were still alive pe</w:t>
      </w:r>
      <w:r w:rsidR="00556E66" w:rsidRPr="00CC2594">
        <w:rPr>
          <w:rFonts w:ascii="Cambria" w:eastAsia="Batang" w:hAnsi="Cambria" w:cs="Times New Roman"/>
          <w:sz w:val="21"/>
          <w:szCs w:val="21"/>
          <w:lang w:val="en-US"/>
        </w:rPr>
        <w:t>rsons</w:t>
      </w:r>
      <w:r w:rsidRPr="00CC2594">
        <w:rPr>
          <w:rFonts w:ascii="Cambria" w:eastAsia="Batang" w:hAnsi="Cambria" w:cs="Times New Roman"/>
          <w:sz w:val="21"/>
          <w:szCs w:val="21"/>
          <w:lang w:val="en-US"/>
        </w:rPr>
        <w:t xml:space="preserve"> in the house, the group shot again, going into the house. Some “soldiers” then arrived on the scene, causing the armed group to retreat, “only the police</w:t>
      </w:r>
      <w:r w:rsidR="000465A1" w:rsidRPr="00CC2594">
        <w:rPr>
          <w:rFonts w:ascii="Cambria" w:eastAsia="Batang" w:hAnsi="Cambria" w:cs="Times New Roman"/>
          <w:sz w:val="21"/>
          <w:szCs w:val="21"/>
          <w:lang w:val="en-US"/>
        </w:rPr>
        <w:t xml:space="preserve"> </w:t>
      </w:r>
      <w:r w:rsidR="00D80977" w:rsidRPr="00CC2594">
        <w:rPr>
          <w:rFonts w:ascii="Cambria" w:eastAsia="Batang" w:hAnsi="Cambria" w:cs="Times New Roman"/>
          <w:sz w:val="21"/>
          <w:szCs w:val="21"/>
          <w:lang w:val="en-US"/>
        </w:rPr>
        <w:t>were left</w:t>
      </w:r>
      <w:r w:rsidRPr="00CC2594">
        <w:rPr>
          <w:rFonts w:ascii="Cambria" w:eastAsia="Batang" w:hAnsi="Cambria" w:cs="Times New Roman"/>
          <w:sz w:val="21"/>
          <w:szCs w:val="21"/>
          <w:lang w:val="en-US"/>
        </w:rPr>
        <w:t>”. In this context, the</w:t>
      </w:r>
      <w:r w:rsidR="00DF3EDD" w:rsidRPr="00CC2594">
        <w:rPr>
          <w:rFonts w:ascii="Cambria" w:eastAsia="Batang" w:hAnsi="Cambria" w:cs="Times New Roman"/>
          <w:sz w:val="21"/>
          <w:szCs w:val="21"/>
          <w:lang w:val="en-US"/>
        </w:rPr>
        <w:t xml:space="preserve"> applicants</w:t>
      </w:r>
      <w:r w:rsidRPr="00CC2594">
        <w:rPr>
          <w:rFonts w:ascii="Cambria" w:eastAsia="Batang" w:hAnsi="Cambria" w:cs="Times New Roman"/>
          <w:sz w:val="21"/>
          <w:szCs w:val="21"/>
          <w:lang w:val="en-US"/>
        </w:rPr>
        <w:t xml:space="preserve"> a</w:t>
      </w:r>
      <w:r w:rsidR="00DF3EDD" w:rsidRPr="00CC2594">
        <w:rPr>
          <w:rFonts w:ascii="Cambria" w:eastAsia="Batang" w:hAnsi="Cambria" w:cs="Times New Roman"/>
          <w:sz w:val="21"/>
          <w:szCs w:val="21"/>
          <w:lang w:val="en-US"/>
        </w:rPr>
        <w:t>lleged that “</w:t>
      </w:r>
      <w:r w:rsidRPr="00CC2594">
        <w:rPr>
          <w:rFonts w:ascii="Cambria" w:eastAsia="Batang" w:hAnsi="Cambria" w:cs="Times New Roman"/>
          <w:sz w:val="21"/>
          <w:szCs w:val="21"/>
          <w:lang w:val="en-US"/>
        </w:rPr>
        <w:t xml:space="preserve">the army took Alfonso </w:t>
      </w:r>
      <w:proofErr w:type="spellStart"/>
      <w:r w:rsidRPr="00CC2594">
        <w:rPr>
          <w:rFonts w:ascii="Cambria" w:eastAsia="Batang" w:hAnsi="Cambria" w:cs="Times New Roman"/>
          <w:sz w:val="21"/>
          <w:szCs w:val="21"/>
          <w:lang w:val="en-US"/>
        </w:rPr>
        <w:t>Alejandre</w:t>
      </w:r>
      <w:proofErr w:type="spellEnd"/>
      <w:r w:rsidRPr="00CC2594">
        <w:rPr>
          <w:rFonts w:ascii="Cambria" w:eastAsia="Batang" w:hAnsi="Cambria" w:cs="Times New Roman"/>
          <w:sz w:val="21"/>
          <w:szCs w:val="21"/>
          <w:lang w:val="en-US"/>
        </w:rPr>
        <w:t xml:space="preserve"> </w:t>
      </w:r>
      <w:proofErr w:type="spellStart"/>
      <w:r w:rsidRPr="00CC2594">
        <w:rPr>
          <w:rFonts w:ascii="Cambria" w:eastAsia="Batang" w:hAnsi="Cambria" w:cs="Times New Roman"/>
          <w:sz w:val="21"/>
          <w:szCs w:val="21"/>
          <w:lang w:val="en-US"/>
        </w:rPr>
        <w:t>Díaz</w:t>
      </w:r>
      <w:proofErr w:type="spellEnd"/>
      <w:r w:rsidRPr="00CC2594">
        <w:rPr>
          <w:rFonts w:ascii="Cambria" w:eastAsia="Batang" w:hAnsi="Cambria" w:cs="Times New Roman"/>
          <w:sz w:val="21"/>
          <w:szCs w:val="21"/>
          <w:lang w:val="en-US"/>
        </w:rPr>
        <w:t xml:space="preserve"> and Alberto </w:t>
      </w:r>
      <w:proofErr w:type="spellStart"/>
      <w:r w:rsidRPr="00CC2594">
        <w:rPr>
          <w:rFonts w:ascii="Cambria" w:eastAsia="Batang" w:hAnsi="Cambria" w:cs="Times New Roman"/>
          <w:sz w:val="21"/>
          <w:szCs w:val="21"/>
          <w:lang w:val="en-US"/>
        </w:rPr>
        <w:t>Alejandre</w:t>
      </w:r>
      <w:proofErr w:type="spellEnd"/>
      <w:r w:rsidRPr="00CC2594">
        <w:rPr>
          <w:rFonts w:ascii="Cambria" w:eastAsia="Batang" w:hAnsi="Cambria" w:cs="Times New Roman"/>
          <w:sz w:val="21"/>
          <w:szCs w:val="21"/>
          <w:lang w:val="en-US"/>
        </w:rPr>
        <w:t xml:space="preserve"> </w:t>
      </w:r>
      <w:proofErr w:type="spellStart"/>
      <w:r w:rsidRPr="00CC2594">
        <w:rPr>
          <w:rFonts w:ascii="Cambria" w:eastAsia="Batang" w:hAnsi="Cambria" w:cs="Times New Roman"/>
          <w:sz w:val="21"/>
          <w:szCs w:val="21"/>
          <w:lang w:val="en-US"/>
        </w:rPr>
        <w:t>Díaz</w:t>
      </w:r>
      <w:proofErr w:type="spellEnd"/>
      <w:r w:rsidRPr="00CC2594">
        <w:rPr>
          <w:rFonts w:ascii="Cambria" w:eastAsia="Batang" w:hAnsi="Cambria" w:cs="Times New Roman"/>
          <w:sz w:val="21"/>
          <w:szCs w:val="21"/>
          <w:lang w:val="en-US"/>
        </w:rPr>
        <w:t xml:space="preserve"> to the PGR [the former </w:t>
      </w:r>
      <w:r w:rsidR="00DF3EDD" w:rsidRPr="00CC2594">
        <w:rPr>
          <w:rFonts w:ascii="Cambria" w:eastAsia="Batang" w:hAnsi="Cambria" w:cs="Times New Roman"/>
          <w:sz w:val="21"/>
          <w:szCs w:val="21"/>
          <w:lang w:val="en-US"/>
        </w:rPr>
        <w:t xml:space="preserve">Office of the </w:t>
      </w:r>
      <w:r w:rsidRPr="00CC2594">
        <w:rPr>
          <w:rFonts w:ascii="Cambria" w:eastAsia="Batang" w:hAnsi="Cambria" w:cs="Times New Roman"/>
          <w:sz w:val="21"/>
          <w:szCs w:val="21"/>
          <w:lang w:val="en-US"/>
        </w:rPr>
        <w:t xml:space="preserve">Attorney </w:t>
      </w:r>
      <w:r w:rsidR="00DF3EDD" w:rsidRPr="00CC2594">
        <w:rPr>
          <w:rFonts w:ascii="Cambria" w:eastAsia="Batang" w:hAnsi="Cambria" w:cs="Times New Roman"/>
          <w:sz w:val="21"/>
          <w:szCs w:val="21"/>
          <w:lang w:val="en-US"/>
        </w:rPr>
        <w:t>General</w:t>
      </w:r>
      <w:r w:rsidRPr="00CC2594">
        <w:rPr>
          <w:rFonts w:ascii="Cambria" w:eastAsia="Batang" w:hAnsi="Cambria" w:cs="Times New Roman"/>
          <w:sz w:val="21"/>
          <w:szCs w:val="21"/>
          <w:lang w:val="en-US"/>
        </w:rPr>
        <w:t>] located in th</w:t>
      </w:r>
      <w:r w:rsidR="00DF3EDD" w:rsidRPr="00CC2594">
        <w:rPr>
          <w:rFonts w:ascii="Cambria" w:eastAsia="Batang" w:hAnsi="Cambria" w:cs="Times New Roman"/>
          <w:sz w:val="21"/>
          <w:szCs w:val="21"/>
          <w:lang w:val="en-US"/>
        </w:rPr>
        <w:t xml:space="preserve">e city of La </w:t>
      </w:r>
      <w:proofErr w:type="spellStart"/>
      <w:r w:rsidR="00DF3EDD" w:rsidRPr="00CC2594">
        <w:rPr>
          <w:rFonts w:ascii="Cambria" w:eastAsia="Batang" w:hAnsi="Cambria" w:cs="Times New Roman"/>
          <w:sz w:val="21"/>
          <w:szCs w:val="21"/>
          <w:lang w:val="en-US"/>
        </w:rPr>
        <w:t>Piedad</w:t>
      </w:r>
      <w:proofErr w:type="spellEnd"/>
      <w:r w:rsidR="00DF3EDD" w:rsidRPr="00CC2594">
        <w:rPr>
          <w:rFonts w:ascii="Cambria" w:eastAsia="Batang" w:hAnsi="Cambria" w:cs="Times New Roman"/>
          <w:sz w:val="21"/>
          <w:szCs w:val="21"/>
          <w:lang w:val="en-US"/>
        </w:rPr>
        <w:t>, Michoacán,” allegedly for “carrying firearms”</w:t>
      </w:r>
      <w:r w:rsidRPr="00CC2594">
        <w:rPr>
          <w:rFonts w:ascii="Cambria" w:eastAsia="Batang" w:hAnsi="Cambria" w:cs="Times New Roman"/>
          <w:sz w:val="21"/>
          <w:szCs w:val="21"/>
          <w:lang w:val="en-US"/>
        </w:rPr>
        <w:t xml:space="preserve"> in violation of the law.</w:t>
      </w:r>
    </w:p>
    <w:p w14:paraId="692C4210" w14:textId="77777777" w:rsidR="00DF3EDD" w:rsidRPr="00CC2594" w:rsidRDefault="00DF3EDD" w:rsidP="00DF3EDD">
      <w:pPr>
        <w:spacing w:after="0" w:line="240" w:lineRule="auto"/>
        <w:contextualSpacing/>
        <w:jc w:val="both"/>
        <w:rPr>
          <w:rFonts w:ascii="Cambria" w:eastAsia="Batang" w:hAnsi="Cambria" w:cs="Times New Roman"/>
          <w:sz w:val="21"/>
          <w:szCs w:val="21"/>
          <w:lang w:val="en-US"/>
        </w:rPr>
      </w:pPr>
    </w:p>
    <w:p w14:paraId="77882AAC" w14:textId="3C364AE0" w:rsidR="00DF3EDD" w:rsidRPr="00CC2594" w:rsidRDefault="00DF3EDD" w:rsidP="00DF3EDD">
      <w:pPr>
        <w:numPr>
          <w:ilvl w:val="0"/>
          <w:numId w:val="3"/>
        </w:numPr>
        <w:spacing w:after="0" w:line="240" w:lineRule="auto"/>
        <w:ind w:left="0" w:firstLine="360"/>
        <w:contextualSpacing/>
        <w:jc w:val="both"/>
        <w:rPr>
          <w:rFonts w:ascii="Cambria" w:eastAsia="Batang" w:hAnsi="Cambria" w:cs="Times New Roman"/>
          <w:sz w:val="21"/>
          <w:szCs w:val="21"/>
          <w:lang w:val="en-US"/>
        </w:rPr>
      </w:pPr>
      <w:r w:rsidRPr="00CC2594">
        <w:rPr>
          <w:rFonts w:ascii="Cambria" w:eastAsia="Batang" w:hAnsi="Cambria" w:cs="Times New Roman"/>
          <w:sz w:val="21"/>
          <w:szCs w:val="21"/>
          <w:lang w:val="en-US"/>
        </w:rPr>
        <w:lastRenderedPageBreak/>
        <w:t xml:space="preserve">The </w:t>
      </w:r>
      <w:r w:rsidR="00D12066" w:rsidRPr="00CC2594">
        <w:rPr>
          <w:rFonts w:ascii="Cambria" w:eastAsia="Batang" w:hAnsi="Cambria" w:cs="Times New Roman"/>
          <w:sz w:val="21"/>
          <w:szCs w:val="21"/>
          <w:lang w:val="en-US"/>
        </w:rPr>
        <w:t>family of the proposed beneficiaries was</w:t>
      </w:r>
      <w:r w:rsidRPr="00CC2594">
        <w:rPr>
          <w:rFonts w:ascii="Cambria" w:eastAsia="Batang" w:hAnsi="Cambria" w:cs="Times New Roman"/>
          <w:sz w:val="21"/>
          <w:szCs w:val="21"/>
          <w:lang w:val="en-US"/>
        </w:rPr>
        <w:t xml:space="preserve"> reportedly able to visit them during their detention, when they were informed by state authorities that they were going to be released in 48 hours, that is, on March </w:t>
      </w:r>
      <w:proofErr w:type="gramStart"/>
      <w:r w:rsidRPr="00CC2594">
        <w:rPr>
          <w:rFonts w:ascii="Cambria" w:eastAsia="Batang" w:hAnsi="Cambria" w:cs="Times New Roman"/>
          <w:sz w:val="21"/>
          <w:szCs w:val="21"/>
          <w:lang w:val="en-US"/>
        </w:rPr>
        <w:t>23</w:t>
      </w:r>
      <w:r w:rsidRPr="00CC2594">
        <w:rPr>
          <w:rFonts w:ascii="Cambria" w:eastAsia="Batang" w:hAnsi="Cambria" w:cs="Times New Roman"/>
          <w:sz w:val="21"/>
          <w:szCs w:val="21"/>
          <w:vertAlign w:val="superscript"/>
          <w:lang w:val="en-US"/>
        </w:rPr>
        <w:t>th</w:t>
      </w:r>
      <w:proofErr w:type="gramEnd"/>
      <w:r w:rsidRPr="00CC2594">
        <w:rPr>
          <w:rFonts w:ascii="Cambria" w:eastAsia="Batang" w:hAnsi="Cambria" w:cs="Times New Roman"/>
          <w:sz w:val="21"/>
          <w:szCs w:val="21"/>
          <w:lang w:val="en-US"/>
        </w:rPr>
        <w:t>, 2019, at 5</w:t>
      </w:r>
      <w:r w:rsidR="00D62152" w:rsidRPr="00CC2594">
        <w:rPr>
          <w:rFonts w:ascii="Cambria" w:eastAsia="Batang" w:hAnsi="Cambria" w:cs="Times New Roman"/>
          <w:sz w:val="21"/>
          <w:szCs w:val="21"/>
          <w:lang w:val="en-US"/>
        </w:rPr>
        <w:t>.</w:t>
      </w:r>
      <w:r w:rsidRPr="00CC2594">
        <w:rPr>
          <w:rFonts w:ascii="Cambria" w:eastAsia="Batang" w:hAnsi="Cambria" w:cs="Times New Roman"/>
          <w:sz w:val="21"/>
          <w:szCs w:val="21"/>
          <w:lang w:val="en-US"/>
        </w:rPr>
        <w:t xml:space="preserve">00 a.m. During the visit, the proposed beneficiaries reportedly </w:t>
      </w:r>
      <w:proofErr w:type="gramStart"/>
      <w:r w:rsidRPr="00CC2594">
        <w:rPr>
          <w:rFonts w:ascii="Cambria" w:eastAsia="Batang" w:hAnsi="Cambria" w:cs="Times New Roman"/>
          <w:sz w:val="21"/>
          <w:szCs w:val="21"/>
          <w:lang w:val="en-US"/>
        </w:rPr>
        <w:t>said that</w:t>
      </w:r>
      <w:proofErr w:type="gramEnd"/>
      <w:r w:rsidRPr="00CC2594">
        <w:rPr>
          <w:rFonts w:ascii="Cambria" w:eastAsia="Batang" w:hAnsi="Cambria" w:cs="Times New Roman"/>
          <w:sz w:val="21"/>
          <w:szCs w:val="21"/>
          <w:lang w:val="en-US"/>
        </w:rPr>
        <w:t xml:space="preserve"> “those po</w:t>
      </w:r>
      <w:r w:rsidR="001C317C" w:rsidRPr="00CC2594">
        <w:rPr>
          <w:rFonts w:ascii="Cambria" w:eastAsia="Batang" w:hAnsi="Cambria" w:cs="Times New Roman"/>
          <w:sz w:val="21"/>
          <w:szCs w:val="21"/>
          <w:lang w:val="en-US"/>
        </w:rPr>
        <w:t xml:space="preserve">licemen </w:t>
      </w:r>
      <w:r w:rsidRPr="00CC2594">
        <w:rPr>
          <w:rFonts w:ascii="Cambria" w:eastAsia="Batang" w:hAnsi="Cambria" w:cs="Times New Roman"/>
          <w:sz w:val="21"/>
          <w:szCs w:val="21"/>
          <w:lang w:val="en-US"/>
        </w:rPr>
        <w:t xml:space="preserve">there want to </w:t>
      </w:r>
      <w:r w:rsidR="00787D39" w:rsidRPr="00CC2594">
        <w:rPr>
          <w:rFonts w:ascii="Cambria" w:eastAsia="Batang" w:hAnsi="Cambria" w:cs="Times New Roman"/>
          <w:sz w:val="21"/>
          <w:szCs w:val="21"/>
          <w:lang w:val="en-US"/>
        </w:rPr>
        <w:t>cause</w:t>
      </w:r>
      <w:r w:rsidRPr="00CC2594">
        <w:rPr>
          <w:rFonts w:ascii="Cambria" w:eastAsia="Batang" w:hAnsi="Cambria" w:cs="Times New Roman"/>
          <w:sz w:val="21"/>
          <w:szCs w:val="21"/>
          <w:lang w:val="en-US"/>
        </w:rPr>
        <w:t xml:space="preserve"> us trouble.” However, when they went to pick them up, they were informed that both had reportedly been released the day before, at 11</w:t>
      </w:r>
      <w:r w:rsidR="00B45392" w:rsidRPr="00CC2594">
        <w:rPr>
          <w:rFonts w:ascii="Cambria" w:eastAsia="Batang" w:hAnsi="Cambria" w:cs="Times New Roman"/>
          <w:sz w:val="21"/>
          <w:szCs w:val="21"/>
          <w:lang w:val="en-US"/>
        </w:rPr>
        <w:t>.</w:t>
      </w:r>
      <w:r w:rsidRPr="00CC2594">
        <w:rPr>
          <w:rFonts w:ascii="Cambria" w:eastAsia="Batang" w:hAnsi="Cambria" w:cs="Times New Roman"/>
          <w:sz w:val="21"/>
          <w:szCs w:val="21"/>
          <w:lang w:val="en-US"/>
        </w:rPr>
        <w:t>20 p.m., allegedly without explaining the reasons. The applicants added that, after the alleged release of the proposed beneficiaries, the latter did not call or</w:t>
      </w:r>
      <w:r w:rsidR="00D7385C" w:rsidRPr="00CC2594">
        <w:rPr>
          <w:rFonts w:ascii="Cambria" w:eastAsia="Batang" w:hAnsi="Cambria" w:cs="Times New Roman"/>
          <w:sz w:val="21"/>
          <w:szCs w:val="21"/>
          <w:lang w:val="en-US"/>
        </w:rPr>
        <w:t xml:space="preserve"> sought out</w:t>
      </w:r>
      <w:r w:rsidRPr="00CC2594">
        <w:rPr>
          <w:rFonts w:ascii="Cambria" w:eastAsia="Batang" w:hAnsi="Cambria" w:cs="Times New Roman"/>
          <w:sz w:val="21"/>
          <w:szCs w:val="21"/>
          <w:lang w:val="en-US"/>
        </w:rPr>
        <w:t xml:space="preserve"> their family or acquaintances, and their whereabouts have not been known since then.</w:t>
      </w:r>
    </w:p>
    <w:p w14:paraId="5053BA58" w14:textId="77777777" w:rsidR="00C67EB7" w:rsidRPr="00CC2594" w:rsidRDefault="00C67EB7" w:rsidP="00C67EB7">
      <w:pPr>
        <w:spacing w:after="0" w:line="240" w:lineRule="auto"/>
        <w:ind w:left="360"/>
        <w:contextualSpacing/>
        <w:jc w:val="both"/>
        <w:rPr>
          <w:rFonts w:ascii="Cambria" w:eastAsia="Batang" w:hAnsi="Cambria" w:cs="Times New Roman"/>
          <w:sz w:val="21"/>
          <w:szCs w:val="21"/>
          <w:lang w:val="en-US"/>
        </w:rPr>
      </w:pPr>
    </w:p>
    <w:p w14:paraId="60621B8C" w14:textId="07482344" w:rsidR="00416001" w:rsidRPr="00CC2594" w:rsidRDefault="00D7385C" w:rsidP="00416001">
      <w:pPr>
        <w:numPr>
          <w:ilvl w:val="0"/>
          <w:numId w:val="3"/>
        </w:numPr>
        <w:spacing w:after="0" w:line="240" w:lineRule="auto"/>
        <w:ind w:left="0" w:firstLine="360"/>
        <w:contextualSpacing/>
        <w:jc w:val="both"/>
        <w:rPr>
          <w:rFonts w:ascii="Cambria" w:eastAsia="Batang" w:hAnsi="Cambria" w:cs="Times New Roman"/>
          <w:sz w:val="21"/>
          <w:szCs w:val="21"/>
          <w:lang w:val="en-US"/>
        </w:rPr>
      </w:pPr>
      <w:r w:rsidRPr="00CC2594">
        <w:rPr>
          <w:rFonts w:ascii="Cambria" w:eastAsia="Batang" w:hAnsi="Cambria" w:cs="Times New Roman"/>
          <w:sz w:val="21"/>
          <w:szCs w:val="21"/>
          <w:lang w:val="en-US"/>
        </w:rPr>
        <w:t xml:space="preserve">The applicants reportedly filed complaints about the alleged disappearance </w:t>
      </w:r>
      <w:r w:rsidR="00B45392" w:rsidRPr="00CC2594">
        <w:rPr>
          <w:rFonts w:ascii="Cambria" w:eastAsia="Batang" w:hAnsi="Cambria" w:cs="Times New Roman"/>
          <w:sz w:val="21"/>
          <w:szCs w:val="21"/>
          <w:lang w:val="en-US"/>
        </w:rPr>
        <w:t>before</w:t>
      </w:r>
      <w:r w:rsidRPr="00CC2594">
        <w:rPr>
          <w:rFonts w:ascii="Cambria" w:eastAsia="Batang" w:hAnsi="Cambria" w:cs="Times New Roman"/>
          <w:sz w:val="21"/>
          <w:szCs w:val="21"/>
          <w:lang w:val="en-US"/>
        </w:rPr>
        <w:t xml:space="preserve"> State bodies and human rights organs, such as the Public </w:t>
      </w:r>
      <w:r w:rsidR="00E576E5" w:rsidRPr="00CC2594">
        <w:rPr>
          <w:rFonts w:ascii="Cambria" w:eastAsia="Batang" w:hAnsi="Cambria" w:cs="Times New Roman"/>
          <w:sz w:val="21"/>
          <w:szCs w:val="21"/>
          <w:lang w:val="en-US"/>
        </w:rPr>
        <w:t>Prosecutor’s Office</w:t>
      </w:r>
      <w:r w:rsidRPr="00CC2594">
        <w:rPr>
          <w:rFonts w:ascii="Cambria" w:eastAsia="Batang" w:hAnsi="Cambria" w:cs="Times New Roman"/>
          <w:sz w:val="21"/>
          <w:szCs w:val="21"/>
          <w:lang w:val="en-US"/>
        </w:rPr>
        <w:t xml:space="preserve">, the Human Rights Commission in Zamora, Michoacán, and the National Human Rights Commission in Mexico City, allegedly without any proper investigation having been conducted. According to the application, the state proceedings never took into account </w:t>
      </w:r>
      <w:r w:rsidR="00B75516" w:rsidRPr="00CC2594">
        <w:rPr>
          <w:rFonts w:ascii="Cambria" w:eastAsia="Batang" w:hAnsi="Cambria" w:cs="Times New Roman"/>
          <w:sz w:val="21"/>
          <w:szCs w:val="21"/>
          <w:lang w:val="en-US"/>
        </w:rPr>
        <w:t>“</w:t>
      </w:r>
      <w:r w:rsidRPr="00CC2594">
        <w:rPr>
          <w:rFonts w:ascii="Cambria" w:eastAsia="Batang" w:hAnsi="Cambria" w:cs="Times New Roman"/>
          <w:sz w:val="21"/>
          <w:szCs w:val="21"/>
          <w:lang w:val="en-US"/>
        </w:rPr>
        <w:t xml:space="preserve">the possible violation of the </w:t>
      </w:r>
      <w:r w:rsidR="00B75516" w:rsidRPr="00CC2594">
        <w:rPr>
          <w:rFonts w:ascii="Cambria" w:eastAsia="Batang" w:hAnsi="Cambria" w:cs="Times New Roman"/>
          <w:sz w:val="21"/>
          <w:szCs w:val="21"/>
          <w:lang w:val="en-US"/>
        </w:rPr>
        <w:t>proposed beneficiaries</w:t>
      </w:r>
      <w:r w:rsidR="00357636" w:rsidRPr="00CC2594">
        <w:rPr>
          <w:rFonts w:ascii="Cambria" w:eastAsia="Batang" w:hAnsi="Cambria" w:cs="Times New Roman"/>
          <w:sz w:val="21"/>
          <w:szCs w:val="21"/>
          <w:lang w:val="en-US"/>
        </w:rPr>
        <w:t>’ human rights</w:t>
      </w:r>
      <w:r w:rsidR="00B75516" w:rsidRPr="00CC2594">
        <w:rPr>
          <w:rFonts w:ascii="Cambria" w:eastAsia="Batang" w:hAnsi="Cambria" w:cs="Times New Roman"/>
          <w:sz w:val="21"/>
          <w:szCs w:val="21"/>
          <w:lang w:val="en-US"/>
        </w:rPr>
        <w:t>”</w:t>
      </w:r>
      <w:r w:rsidRPr="00CC2594">
        <w:rPr>
          <w:rFonts w:ascii="Cambria" w:eastAsia="Batang" w:hAnsi="Cambria" w:cs="Times New Roman"/>
          <w:sz w:val="21"/>
          <w:szCs w:val="21"/>
          <w:lang w:val="en-US"/>
        </w:rPr>
        <w:t xml:space="preserve"> in relation to the manner in which they </w:t>
      </w:r>
      <w:r w:rsidR="00B75516" w:rsidRPr="00CC2594">
        <w:rPr>
          <w:rFonts w:ascii="Cambria" w:eastAsia="Batang" w:hAnsi="Cambria" w:cs="Times New Roman"/>
          <w:sz w:val="21"/>
          <w:szCs w:val="21"/>
          <w:lang w:val="en-US"/>
        </w:rPr>
        <w:t>were reportedly</w:t>
      </w:r>
      <w:r w:rsidRPr="00CC2594">
        <w:rPr>
          <w:rFonts w:ascii="Cambria" w:eastAsia="Batang" w:hAnsi="Cambria" w:cs="Times New Roman"/>
          <w:sz w:val="21"/>
          <w:szCs w:val="21"/>
          <w:lang w:val="en-US"/>
        </w:rPr>
        <w:t xml:space="preserve"> granted their alleged freedom. The </w:t>
      </w:r>
      <w:r w:rsidR="0018720A" w:rsidRPr="00CC2594">
        <w:rPr>
          <w:rFonts w:ascii="Cambria" w:eastAsia="Batang" w:hAnsi="Cambria" w:cs="Times New Roman"/>
          <w:sz w:val="21"/>
          <w:szCs w:val="21"/>
          <w:lang w:val="en-US"/>
        </w:rPr>
        <w:t>investigations</w:t>
      </w:r>
      <w:r w:rsidR="009F4204" w:rsidRPr="00CC2594">
        <w:rPr>
          <w:rFonts w:ascii="Cambria" w:eastAsia="Batang" w:hAnsi="Cambria" w:cs="Times New Roman"/>
          <w:sz w:val="21"/>
          <w:szCs w:val="21"/>
          <w:lang w:val="en-US"/>
        </w:rPr>
        <w:t xml:space="preserve"> are directed at questioning “</w:t>
      </w:r>
      <w:r w:rsidRPr="00CC2594">
        <w:rPr>
          <w:rFonts w:ascii="Cambria" w:eastAsia="Batang" w:hAnsi="Cambria" w:cs="Times New Roman"/>
          <w:sz w:val="21"/>
          <w:szCs w:val="21"/>
          <w:lang w:val="en-US"/>
        </w:rPr>
        <w:t xml:space="preserve">whether they are aware of the location of [the proposed beneficiaries], but have never conducted an investigation to establish the actual release of [them] or </w:t>
      </w:r>
      <w:r w:rsidR="009F4204" w:rsidRPr="00CC2594">
        <w:rPr>
          <w:rFonts w:ascii="Cambria" w:eastAsia="Batang" w:hAnsi="Cambria" w:cs="Times New Roman"/>
          <w:sz w:val="21"/>
          <w:szCs w:val="21"/>
          <w:lang w:val="en-US"/>
        </w:rPr>
        <w:t>whether they have been subject</w:t>
      </w:r>
      <w:r w:rsidRPr="00CC2594">
        <w:rPr>
          <w:rFonts w:ascii="Cambria" w:eastAsia="Batang" w:hAnsi="Cambria" w:cs="Times New Roman"/>
          <w:sz w:val="21"/>
          <w:szCs w:val="21"/>
          <w:lang w:val="en-US"/>
        </w:rPr>
        <w:t xml:space="preserve"> to improper disp</w:t>
      </w:r>
      <w:r w:rsidR="009F4204" w:rsidRPr="00CC2594">
        <w:rPr>
          <w:rFonts w:ascii="Cambria" w:eastAsia="Batang" w:hAnsi="Cambria" w:cs="Times New Roman"/>
          <w:sz w:val="21"/>
          <w:szCs w:val="21"/>
          <w:lang w:val="en-US"/>
        </w:rPr>
        <w:t>osition of their liberty, body</w:t>
      </w:r>
      <w:r w:rsidRPr="00CC2594">
        <w:rPr>
          <w:rFonts w:ascii="Cambria" w:eastAsia="Batang" w:hAnsi="Cambria" w:cs="Times New Roman"/>
          <w:sz w:val="21"/>
          <w:szCs w:val="21"/>
          <w:lang w:val="en-US"/>
        </w:rPr>
        <w:t xml:space="preserve"> integrity or life, and have been</w:t>
      </w:r>
      <w:r w:rsidR="00440572" w:rsidRPr="00CC2594">
        <w:rPr>
          <w:rFonts w:ascii="Cambria" w:eastAsia="Batang" w:hAnsi="Cambria" w:cs="Times New Roman"/>
          <w:sz w:val="21"/>
          <w:szCs w:val="21"/>
          <w:lang w:val="en-US"/>
        </w:rPr>
        <w:t xml:space="preserve"> forcibly</w:t>
      </w:r>
      <w:r w:rsidRPr="00CC2594">
        <w:rPr>
          <w:rFonts w:ascii="Cambria" w:eastAsia="Batang" w:hAnsi="Cambria" w:cs="Times New Roman"/>
          <w:sz w:val="21"/>
          <w:szCs w:val="21"/>
          <w:lang w:val="en-US"/>
        </w:rPr>
        <w:t xml:space="preserve"> disappeared.</w:t>
      </w:r>
      <w:r w:rsidR="009F4204" w:rsidRPr="00CC2594">
        <w:rPr>
          <w:rFonts w:ascii="Cambria" w:eastAsia="Batang" w:hAnsi="Cambria" w:cs="Times New Roman"/>
          <w:sz w:val="21"/>
          <w:szCs w:val="21"/>
          <w:lang w:val="en-US"/>
        </w:rPr>
        <w:t xml:space="preserve">” In addition, they alleged that a reliable source from the Office of the Attorney General </w:t>
      </w:r>
      <w:r w:rsidR="007939BB" w:rsidRPr="00CC2594">
        <w:rPr>
          <w:rFonts w:ascii="Cambria" w:eastAsia="Batang" w:hAnsi="Cambria" w:cs="Times New Roman"/>
          <w:sz w:val="21"/>
          <w:szCs w:val="21"/>
          <w:lang w:val="en-US"/>
        </w:rPr>
        <w:t xml:space="preserve">of Michoacán State </w:t>
      </w:r>
      <w:r w:rsidR="009F4204" w:rsidRPr="00CC2594">
        <w:rPr>
          <w:rFonts w:ascii="Cambria" w:eastAsia="Batang" w:hAnsi="Cambria" w:cs="Times New Roman"/>
          <w:sz w:val="21"/>
          <w:szCs w:val="21"/>
          <w:lang w:val="en-US"/>
        </w:rPr>
        <w:t>shar</w:t>
      </w:r>
      <w:r w:rsidR="007343BD" w:rsidRPr="00CC2594">
        <w:rPr>
          <w:rFonts w:ascii="Cambria" w:eastAsia="Batang" w:hAnsi="Cambria" w:cs="Times New Roman"/>
          <w:sz w:val="21"/>
          <w:szCs w:val="21"/>
          <w:lang w:val="en-US"/>
        </w:rPr>
        <w:t>ed with them that “</w:t>
      </w:r>
      <w:r w:rsidR="009F4204" w:rsidRPr="00CC2594">
        <w:rPr>
          <w:rFonts w:ascii="Cambria" w:eastAsia="Batang" w:hAnsi="Cambria" w:cs="Times New Roman"/>
          <w:sz w:val="21"/>
          <w:szCs w:val="21"/>
          <w:lang w:val="en-US"/>
        </w:rPr>
        <w:t xml:space="preserve">[...] </w:t>
      </w:r>
      <w:r w:rsidR="007343BD" w:rsidRPr="00CC2594">
        <w:rPr>
          <w:rFonts w:ascii="Cambria" w:eastAsia="Batang" w:hAnsi="Cambria" w:cs="Times New Roman"/>
          <w:sz w:val="21"/>
          <w:szCs w:val="21"/>
          <w:lang w:val="en-US"/>
        </w:rPr>
        <w:t xml:space="preserve">they </w:t>
      </w:r>
      <w:r w:rsidR="009F4204" w:rsidRPr="00CC2594">
        <w:rPr>
          <w:rFonts w:ascii="Cambria" w:eastAsia="Batang" w:hAnsi="Cambria" w:cs="Times New Roman"/>
          <w:sz w:val="21"/>
          <w:szCs w:val="21"/>
          <w:lang w:val="en-US"/>
        </w:rPr>
        <w:t>received orders not to carry o</w:t>
      </w:r>
      <w:r w:rsidR="00261F6D" w:rsidRPr="00CC2594">
        <w:rPr>
          <w:rFonts w:ascii="Cambria" w:eastAsia="Batang" w:hAnsi="Cambria" w:cs="Times New Roman"/>
          <w:sz w:val="21"/>
          <w:szCs w:val="21"/>
          <w:lang w:val="en-US"/>
        </w:rPr>
        <w:t xml:space="preserve">ut any </w:t>
      </w:r>
      <w:r w:rsidR="006420AD" w:rsidRPr="00CC2594">
        <w:rPr>
          <w:rFonts w:ascii="Cambria" w:eastAsia="Batang" w:hAnsi="Cambria" w:cs="Times New Roman"/>
          <w:sz w:val="21"/>
          <w:szCs w:val="21"/>
          <w:lang w:val="en-US"/>
        </w:rPr>
        <w:t>further</w:t>
      </w:r>
      <w:r w:rsidR="00261F6D" w:rsidRPr="00CC2594">
        <w:rPr>
          <w:rFonts w:ascii="Cambria" w:eastAsia="Batang" w:hAnsi="Cambria" w:cs="Times New Roman"/>
          <w:sz w:val="21"/>
          <w:szCs w:val="21"/>
          <w:lang w:val="en-US"/>
        </w:rPr>
        <w:t xml:space="preserve"> investigations but</w:t>
      </w:r>
      <w:r w:rsidR="009F4204" w:rsidRPr="00CC2594">
        <w:rPr>
          <w:rFonts w:ascii="Cambria" w:eastAsia="Batang" w:hAnsi="Cambria" w:cs="Times New Roman"/>
          <w:sz w:val="21"/>
          <w:szCs w:val="21"/>
          <w:lang w:val="en-US"/>
        </w:rPr>
        <w:t xml:space="preserve"> were never told by whom and were not shown any documen</w:t>
      </w:r>
      <w:r w:rsidR="00261F6D" w:rsidRPr="00CC2594">
        <w:rPr>
          <w:rFonts w:ascii="Cambria" w:eastAsia="Batang" w:hAnsi="Cambria" w:cs="Times New Roman"/>
          <w:sz w:val="21"/>
          <w:szCs w:val="21"/>
          <w:lang w:val="en-US"/>
        </w:rPr>
        <w:t>ts proving such demonstration</w:t>
      </w:r>
      <w:r w:rsidR="009F4204" w:rsidRPr="00CC2594">
        <w:rPr>
          <w:rFonts w:ascii="Cambria" w:eastAsia="Batang" w:hAnsi="Cambria" w:cs="Times New Roman"/>
          <w:sz w:val="21"/>
          <w:szCs w:val="21"/>
          <w:lang w:val="en-US"/>
        </w:rPr>
        <w:t xml:space="preserve"> (sic.)</w:t>
      </w:r>
      <w:r w:rsidR="00261F6D" w:rsidRPr="00CC2594">
        <w:rPr>
          <w:rFonts w:ascii="Cambria" w:eastAsia="Batang" w:hAnsi="Cambria" w:cs="Times New Roman"/>
          <w:sz w:val="21"/>
          <w:szCs w:val="21"/>
          <w:lang w:val="en-US"/>
        </w:rPr>
        <w:t>.”</w:t>
      </w:r>
      <w:r w:rsidR="00EE65DC" w:rsidRPr="00CC2594">
        <w:rPr>
          <w:rFonts w:ascii="Cambria" w:eastAsia="Batang" w:hAnsi="Cambria" w:cs="Times New Roman"/>
          <w:sz w:val="21"/>
          <w:szCs w:val="21"/>
          <w:lang w:val="en-US"/>
        </w:rPr>
        <w:t xml:space="preserve"> I</w:t>
      </w:r>
      <w:r w:rsidR="008D5953" w:rsidRPr="00CC2594">
        <w:rPr>
          <w:rFonts w:ascii="Cambria" w:eastAsia="Batang" w:hAnsi="Cambria" w:cs="Times New Roman"/>
          <w:sz w:val="21"/>
          <w:szCs w:val="21"/>
          <w:lang w:val="en-US"/>
        </w:rPr>
        <w:t xml:space="preserve">n this regard, </w:t>
      </w:r>
      <w:r w:rsidR="00EE65DC" w:rsidRPr="00CC2594">
        <w:rPr>
          <w:rFonts w:ascii="Cambria" w:eastAsia="Batang" w:hAnsi="Cambria" w:cs="Times New Roman"/>
          <w:sz w:val="21"/>
          <w:szCs w:val="21"/>
          <w:lang w:val="en-US"/>
        </w:rPr>
        <w:t xml:space="preserve">the video-recordings of the security cameras of the PGR (now the Office of the Attorney General) </w:t>
      </w:r>
      <w:r w:rsidR="00EF7058" w:rsidRPr="00CC2594">
        <w:rPr>
          <w:rFonts w:ascii="Cambria" w:eastAsia="Batang" w:hAnsi="Cambria" w:cs="Times New Roman"/>
          <w:sz w:val="21"/>
          <w:szCs w:val="21"/>
          <w:lang w:val="en-US"/>
        </w:rPr>
        <w:t>reportedly did</w:t>
      </w:r>
      <w:r w:rsidR="00A5404F" w:rsidRPr="00CC2594">
        <w:rPr>
          <w:rFonts w:ascii="Cambria" w:eastAsia="Batang" w:hAnsi="Cambria" w:cs="Times New Roman"/>
          <w:sz w:val="21"/>
          <w:szCs w:val="21"/>
          <w:lang w:val="en-US"/>
        </w:rPr>
        <w:t xml:space="preserve"> not</w:t>
      </w:r>
      <w:r w:rsidR="00416001" w:rsidRPr="00CC2594">
        <w:rPr>
          <w:rFonts w:ascii="Cambria" w:eastAsia="Batang" w:hAnsi="Cambria" w:cs="Times New Roman"/>
          <w:sz w:val="21"/>
          <w:szCs w:val="21"/>
          <w:lang w:val="en-US"/>
        </w:rPr>
        <w:t xml:space="preserve"> “</w:t>
      </w:r>
      <w:r w:rsidR="006420AD" w:rsidRPr="00CC2594">
        <w:rPr>
          <w:rFonts w:ascii="Cambria" w:eastAsia="Batang" w:hAnsi="Cambria" w:cs="Times New Roman"/>
          <w:sz w:val="21"/>
          <w:szCs w:val="21"/>
          <w:lang w:val="en-US"/>
        </w:rPr>
        <w:t>record</w:t>
      </w:r>
      <w:r w:rsidR="00416001" w:rsidRPr="00CC2594">
        <w:rPr>
          <w:rFonts w:ascii="Cambria" w:eastAsia="Batang" w:hAnsi="Cambria" w:cs="Times New Roman"/>
          <w:sz w:val="21"/>
          <w:szCs w:val="21"/>
          <w:lang w:val="en-US"/>
        </w:rPr>
        <w:t xml:space="preserve"> the release of the [proposed beneficiaries].”</w:t>
      </w:r>
    </w:p>
    <w:p w14:paraId="40A861C7" w14:textId="3F060248" w:rsidR="00135EBB" w:rsidRPr="00CC2594" w:rsidRDefault="00135EBB" w:rsidP="00EF0173">
      <w:pPr>
        <w:spacing w:after="0" w:line="240" w:lineRule="auto"/>
        <w:ind w:left="360"/>
        <w:contextualSpacing/>
        <w:jc w:val="both"/>
        <w:rPr>
          <w:rFonts w:ascii="Cambria" w:eastAsia="Batang" w:hAnsi="Cambria" w:cs="Times New Roman"/>
          <w:sz w:val="21"/>
          <w:szCs w:val="21"/>
          <w:lang w:val="en-US"/>
        </w:rPr>
      </w:pPr>
    </w:p>
    <w:p w14:paraId="7DBAE31F" w14:textId="79ED0E42" w:rsidR="00744D05" w:rsidRPr="00CC2594" w:rsidRDefault="00EB6E41" w:rsidP="00744D05">
      <w:pPr>
        <w:numPr>
          <w:ilvl w:val="0"/>
          <w:numId w:val="3"/>
        </w:numPr>
        <w:spacing w:after="0" w:line="240" w:lineRule="auto"/>
        <w:ind w:left="0" w:firstLine="360"/>
        <w:contextualSpacing/>
        <w:jc w:val="both"/>
        <w:rPr>
          <w:rFonts w:ascii="Cambria" w:eastAsia="Batang" w:hAnsi="Cambria" w:cs="Times New Roman"/>
          <w:sz w:val="21"/>
          <w:szCs w:val="21"/>
          <w:lang w:val="en-US"/>
        </w:rPr>
      </w:pPr>
      <w:r w:rsidRPr="00CC2594">
        <w:rPr>
          <w:rFonts w:ascii="Cambria" w:eastAsia="Batang" w:hAnsi="Cambria" w:cs="Times New Roman"/>
          <w:sz w:val="21"/>
          <w:szCs w:val="21"/>
          <w:lang w:val="en-US"/>
        </w:rPr>
        <w:t>Additionally, the applicants indicated that, while protection was reportedly offered (without detail</w:t>
      </w:r>
      <w:r w:rsidR="003F793D" w:rsidRPr="00CC2594">
        <w:rPr>
          <w:rFonts w:ascii="Cambria" w:eastAsia="Batang" w:hAnsi="Cambria" w:cs="Times New Roman"/>
          <w:sz w:val="21"/>
          <w:szCs w:val="21"/>
          <w:lang w:val="en-US"/>
        </w:rPr>
        <w:t>ing</w:t>
      </w:r>
      <w:r w:rsidRPr="00CC2594">
        <w:rPr>
          <w:rFonts w:ascii="Cambria" w:eastAsia="Batang" w:hAnsi="Cambria" w:cs="Times New Roman"/>
          <w:sz w:val="21"/>
          <w:szCs w:val="21"/>
          <w:lang w:val="en-US"/>
        </w:rPr>
        <w:t xml:space="preserve">) to the family of the proposed beneficiaries, they left </w:t>
      </w:r>
      <w:proofErr w:type="spellStart"/>
      <w:r w:rsidRPr="00CC2594">
        <w:rPr>
          <w:rFonts w:ascii="Cambria" w:eastAsia="Batang" w:hAnsi="Cambria" w:cs="Times New Roman"/>
          <w:sz w:val="21"/>
          <w:szCs w:val="21"/>
          <w:lang w:val="en-US"/>
        </w:rPr>
        <w:t>Yurecuaro</w:t>
      </w:r>
      <w:proofErr w:type="spellEnd"/>
      <w:r w:rsidRPr="00CC2594">
        <w:rPr>
          <w:rFonts w:ascii="Cambria" w:eastAsia="Batang" w:hAnsi="Cambria" w:cs="Times New Roman"/>
          <w:sz w:val="21"/>
          <w:szCs w:val="21"/>
          <w:lang w:val="en-US"/>
        </w:rPr>
        <w:t>, Michoacán, for fear that what happened to their siblings would happen to them, particularly after being advised not to return “if they want to stay alive”. The family allegedly also knew that the house where their mother lived had been taken over by the “delinquents.”</w:t>
      </w:r>
    </w:p>
    <w:p w14:paraId="1C983B92" w14:textId="77777777" w:rsidR="00744D05" w:rsidRPr="00CC2594" w:rsidRDefault="00744D05" w:rsidP="00744D05">
      <w:pPr>
        <w:pStyle w:val="ListParagraph"/>
        <w:rPr>
          <w:rFonts w:ascii="Cambria" w:eastAsia="Batang" w:hAnsi="Cambria" w:cs="Times New Roman"/>
          <w:sz w:val="21"/>
          <w:szCs w:val="21"/>
          <w:lang w:val="en-US"/>
        </w:rPr>
      </w:pPr>
    </w:p>
    <w:p w14:paraId="017CC443" w14:textId="2F844421" w:rsidR="00744D05" w:rsidRPr="00CC2594" w:rsidRDefault="00744D05" w:rsidP="00DF0ACA">
      <w:pPr>
        <w:pStyle w:val="ListParagraph"/>
        <w:numPr>
          <w:ilvl w:val="3"/>
          <w:numId w:val="8"/>
        </w:numPr>
        <w:spacing w:after="0" w:line="240" w:lineRule="auto"/>
        <w:ind w:left="540"/>
        <w:jc w:val="both"/>
        <w:rPr>
          <w:rFonts w:ascii="Cambria" w:eastAsia="Times New Roman" w:hAnsi="Cambria" w:cs="Times New Roman"/>
          <w:b/>
          <w:sz w:val="21"/>
          <w:szCs w:val="21"/>
          <w:lang w:val="en-US"/>
        </w:rPr>
      </w:pPr>
      <w:r w:rsidRPr="00CC2594">
        <w:rPr>
          <w:rFonts w:ascii="Cambria" w:eastAsia="Times New Roman" w:hAnsi="Cambria" w:cs="Times New Roman"/>
          <w:b/>
          <w:sz w:val="21"/>
          <w:szCs w:val="21"/>
          <w:lang w:val="en-US"/>
        </w:rPr>
        <w:t>Response from the State</w:t>
      </w:r>
    </w:p>
    <w:p w14:paraId="00368108" w14:textId="77777777" w:rsidR="00DF0ACA" w:rsidRPr="00CC2594" w:rsidRDefault="00DF0ACA" w:rsidP="00DF0ACA">
      <w:pPr>
        <w:pStyle w:val="ListParagraph"/>
        <w:spacing w:after="0" w:line="240" w:lineRule="auto"/>
        <w:ind w:left="540"/>
        <w:jc w:val="both"/>
        <w:rPr>
          <w:rFonts w:ascii="Cambria" w:eastAsia="Times New Roman" w:hAnsi="Cambria" w:cs="Times New Roman"/>
          <w:b/>
          <w:sz w:val="21"/>
          <w:szCs w:val="21"/>
          <w:lang w:val="en-US"/>
        </w:rPr>
      </w:pPr>
    </w:p>
    <w:p w14:paraId="75D8C6F4" w14:textId="1044A41C" w:rsidR="007A61F9" w:rsidRPr="00CC2594" w:rsidRDefault="006420AD" w:rsidP="007A61F9">
      <w:pPr>
        <w:numPr>
          <w:ilvl w:val="0"/>
          <w:numId w:val="3"/>
        </w:numPr>
        <w:spacing w:after="0" w:line="240" w:lineRule="auto"/>
        <w:ind w:left="0" w:firstLine="360"/>
        <w:contextualSpacing/>
        <w:jc w:val="both"/>
        <w:rPr>
          <w:rFonts w:ascii="Cambria" w:eastAsia="Batang" w:hAnsi="Cambria" w:cs="Times New Roman"/>
          <w:sz w:val="21"/>
          <w:szCs w:val="21"/>
          <w:lang w:val="en-US"/>
        </w:rPr>
      </w:pPr>
      <w:r w:rsidRPr="00CC2594">
        <w:rPr>
          <w:rFonts w:ascii="Cambria" w:eastAsia="Batang" w:hAnsi="Cambria" w:cs="Times New Roman"/>
          <w:sz w:val="21"/>
          <w:szCs w:val="21"/>
          <w:lang w:val="en-US"/>
        </w:rPr>
        <w:t xml:space="preserve">The State alleged that, in view of the disappearance of Alfonso </w:t>
      </w:r>
      <w:proofErr w:type="spellStart"/>
      <w:r w:rsidRPr="00CC2594">
        <w:rPr>
          <w:rFonts w:ascii="Cambria" w:eastAsia="Batang" w:hAnsi="Cambria" w:cs="Times New Roman"/>
          <w:sz w:val="21"/>
          <w:szCs w:val="21"/>
          <w:lang w:val="en-US"/>
        </w:rPr>
        <w:t>Alejandre</w:t>
      </w:r>
      <w:proofErr w:type="spellEnd"/>
      <w:r w:rsidRPr="00CC2594">
        <w:rPr>
          <w:rFonts w:ascii="Cambria" w:eastAsia="Batang" w:hAnsi="Cambria" w:cs="Times New Roman"/>
          <w:sz w:val="21"/>
          <w:szCs w:val="21"/>
          <w:lang w:val="en-US"/>
        </w:rPr>
        <w:t xml:space="preserve"> </w:t>
      </w:r>
      <w:proofErr w:type="spellStart"/>
      <w:r w:rsidRPr="00CC2594">
        <w:rPr>
          <w:rFonts w:ascii="Cambria" w:eastAsia="Batang" w:hAnsi="Cambria" w:cs="Times New Roman"/>
          <w:sz w:val="21"/>
          <w:szCs w:val="21"/>
          <w:lang w:val="en-US"/>
        </w:rPr>
        <w:t>Díaz</w:t>
      </w:r>
      <w:proofErr w:type="spellEnd"/>
      <w:r w:rsidRPr="00CC2594">
        <w:rPr>
          <w:rFonts w:ascii="Cambria" w:eastAsia="Batang" w:hAnsi="Cambria" w:cs="Times New Roman"/>
          <w:sz w:val="21"/>
          <w:szCs w:val="21"/>
          <w:lang w:val="en-US"/>
        </w:rPr>
        <w:t xml:space="preserve"> and Alberto </w:t>
      </w:r>
      <w:proofErr w:type="spellStart"/>
      <w:r w:rsidRPr="00CC2594">
        <w:rPr>
          <w:rFonts w:ascii="Cambria" w:eastAsia="Batang" w:hAnsi="Cambria" w:cs="Times New Roman"/>
          <w:sz w:val="21"/>
          <w:szCs w:val="21"/>
          <w:lang w:val="en-US"/>
        </w:rPr>
        <w:t>Alejandre</w:t>
      </w:r>
      <w:proofErr w:type="spellEnd"/>
      <w:r w:rsidRPr="00CC2594">
        <w:rPr>
          <w:rFonts w:ascii="Cambria" w:eastAsia="Batang" w:hAnsi="Cambria" w:cs="Times New Roman"/>
          <w:sz w:val="21"/>
          <w:szCs w:val="21"/>
          <w:lang w:val="en-US"/>
        </w:rPr>
        <w:t xml:space="preserve"> </w:t>
      </w:r>
      <w:proofErr w:type="spellStart"/>
      <w:r w:rsidRPr="00CC2594">
        <w:rPr>
          <w:rFonts w:ascii="Cambria" w:eastAsia="Batang" w:hAnsi="Cambria" w:cs="Times New Roman"/>
          <w:sz w:val="21"/>
          <w:szCs w:val="21"/>
          <w:lang w:val="en-US"/>
        </w:rPr>
        <w:t>Díaz</w:t>
      </w:r>
      <w:proofErr w:type="spellEnd"/>
      <w:r w:rsidRPr="00CC2594">
        <w:rPr>
          <w:rFonts w:ascii="Cambria" w:eastAsia="Batang" w:hAnsi="Cambria" w:cs="Times New Roman"/>
          <w:sz w:val="21"/>
          <w:szCs w:val="21"/>
          <w:lang w:val="en-US"/>
        </w:rPr>
        <w:t xml:space="preserve">, an investigative file had been opened, which </w:t>
      </w:r>
      <w:r w:rsidR="0005568C" w:rsidRPr="00CC2594">
        <w:rPr>
          <w:rFonts w:ascii="Cambria" w:eastAsia="Batang" w:hAnsi="Cambria" w:cs="Times New Roman"/>
          <w:sz w:val="21"/>
          <w:szCs w:val="21"/>
          <w:lang w:val="en-US"/>
        </w:rPr>
        <w:t>reportedly</w:t>
      </w:r>
      <w:r w:rsidRPr="00CC2594">
        <w:rPr>
          <w:rFonts w:ascii="Cambria" w:eastAsia="Batang" w:hAnsi="Cambria" w:cs="Times New Roman"/>
          <w:sz w:val="21"/>
          <w:szCs w:val="21"/>
          <w:lang w:val="en-US"/>
        </w:rPr>
        <w:t xml:space="preserve"> continue</w:t>
      </w:r>
      <w:r w:rsidR="0005568C" w:rsidRPr="00CC2594">
        <w:rPr>
          <w:rFonts w:ascii="Cambria" w:eastAsia="Batang" w:hAnsi="Cambria" w:cs="Times New Roman"/>
          <w:sz w:val="21"/>
          <w:szCs w:val="21"/>
          <w:lang w:val="en-US"/>
        </w:rPr>
        <w:t>s</w:t>
      </w:r>
      <w:r w:rsidRPr="00CC2594">
        <w:rPr>
          <w:rFonts w:ascii="Cambria" w:eastAsia="Batang" w:hAnsi="Cambria" w:cs="Times New Roman"/>
          <w:sz w:val="21"/>
          <w:szCs w:val="21"/>
          <w:lang w:val="en-US"/>
        </w:rPr>
        <w:t xml:space="preserve"> to be processed. </w:t>
      </w:r>
      <w:r w:rsidR="00744D05" w:rsidRPr="00CC2594">
        <w:rPr>
          <w:rFonts w:ascii="Cambria" w:eastAsia="Batang" w:hAnsi="Cambria" w:cs="Times New Roman"/>
          <w:sz w:val="21"/>
          <w:szCs w:val="21"/>
          <w:lang w:val="en-US"/>
        </w:rPr>
        <w:t>In the framework of those investigations</w:t>
      </w:r>
      <w:r w:rsidRPr="00CC2594">
        <w:rPr>
          <w:rFonts w:ascii="Cambria" w:eastAsia="Batang" w:hAnsi="Cambria" w:cs="Times New Roman"/>
          <w:sz w:val="21"/>
          <w:szCs w:val="21"/>
          <w:lang w:val="en-US"/>
        </w:rPr>
        <w:t xml:space="preserve">, </w:t>
      </w:r>
      <w:r w:rsidR="00744D05" w:rsidRPr="00CC2594">
        <w:rPr>
          <w:rFonts w:ascii="Cambria" w:eastAsia="Batang" w:hAnsi="Cambria" w:cs="Times New Roman"/>
          <w:sz w:val="21"/>
          <w:szCs w:val="21"/>
          <w:lang w:val="en-US"/>
        </w:rPr>
        <w:t>it has been reportedly requested</w:t>
      </w:r>
      <w:r w:rsidRPr="00CC2594">
        <w:rPr>
          <w:rFonts w:ascii="Cambria" w:eastAsia="Batang" w:hAnsi="Cambria" w:cs="Times New Roman"/>
          <w:sz w:val="21"/>
          <w:szCs w:val="21"/>
          <w:lang w:val="en-US"/>
        </w:rPr>
        <w:t xml:space="preserve"> </w:t>
      </w:r>
      <w:r w:rsidR="00744D05" w:rsidRPr="00CC2594">
        <w:rPr>
          <w:rFonts w:ascii="Cambria" w:eastAsia="Batang" w:hAnsi="Cambria" w:cs="Times New Roman"/>
          <w:sz w:val="21"/>
          <w:szCs w:val="21"/>
          <w:lang w:val="en-US"/>
        </w:rPr>
        <w:t>that “different hospitals</w:t>
      </w:r>
      <w:r w:rsidRPr="00CC2594">
        <w:rPr>
          <w:rFonts w:ascii="Cambria" w:eastAsia="Batang" w:hAnsi="Cambria" w:cs="Times New Roman"/>
          <w:sz w:val="21"/>
          <w:szCs w:val="21"/>
          <w:lang w:val="en-US"/>
        </w:rPr>
        <w:t xml:space="preserve"> </w:t>
      </w:r>
      <w:r w:rsidR="00744D05" w:rsidRPr="00CC2594">
        <w:rPr>
          <w:rFonts w:ascii="Cambria" w:eastAsia="Batang" w:hAnsi="Cambria" w:cs="Times New Roman"/>
          <w:sz w:val="21"/>
          <w:szCs w:val="21"/>
          <w:lang w:val="en-US"/>
        </w:rPr>
        <w:t>of</w:t>
      </w:r>
      <w:r w:rsidRPr="00CC2594">
        <w:rPr>
          <w:rFonts w:ascii="Cambria" w:eastAsia="Batang" w:hAnsi="Cambria" w:cs="Times New Roman"/>
          <w:sz w:val="21"/>
          <w:szCs w:val="21"/>
          <w:lang w:val="en-US"/>
        </w:rPr>
        <w:t xml:space="preserve"> </w:t>
      </w:r>
      <w:r w:rsidR="00744D05" w:rsidRPr="00CC2594">
        <w:rPr>
          <w:rFonts w:ascii="Cambria" w:eastAsia="Batang" w:hAnsi="Cambria" w:cs="Times New Roman"/>
          <w:sz w:val="21"/>
          <w:szCs w:val="21"/>
          <w:lang w:val="en-US"/>
        </w:rPr>
        <w:t xml:space="preserve">La </w:t>
      </w:r>
      <w:proofErr w:type="spellStart"/>
      <w:r w:rsidR="00744D05" w:rsidRPr="00CC2594">
        <w:rPr>
          <w:rFonts w:ascii="Cambria" w:eastAsia="Batang" w:hAnsi="Cambria" w:cs="Times New Roman"/>
          <w:sz w:val="21"/>
          <w:szCs w:val="21"/>
          <w:lang w:val="en-US"/>
        </w:rPr>
        <w:t>Piedad</w:t>
      </w:r>
      <w:proofErr w:type="spellEnd"/>
      <w:r w:rsidR="00744D05" w:rsidRPr="00CC2594">
        <w:rPr>
          <w:rFonts w:ascii="Cambria" w:eastAsia="Batang" w:hAnsi="Cambria" w:cs="Times New Roman"/>
          <w:sz w:val="21"/>
          <w:szCs w:val="21"/>
          <w:lang w:val="en-US"/>
        </w:rPr>
        <w:t xml:space="preserve">, Michoacán, the </w:t>
      </w:r>
      <w:r w:rsidR="00263803" w:rsidRPr="00CC2594">
        <w:rPr>
          <w:rFonts w:ascii="Cambria" w:eastAsia="Batang" w:hAnsi="Cambria" w:cs="Times New Roman"/>
          <w:sz w:val="21"/>
          <w:szCs w:val="21"/>
          <w:lang w:val="en-US"/>
        </w:rPr>
        <w:t xml:space="preserve">Coordinator of the Center of </w:t>
      </w:r>
      <w:r w:rsidR="00744D05" w:rsidRPr="00CC2594">
        <w:rPr>
          <w:rFonts w:ascii="Cambria" w:eastAsia="Batang" w:hAnsi="Cambria" w:cs="Times New Roman"/>
          <w:sz w:val="21"/>
          <w:szCs w:val="21"/>
          <w:lang w:val="en-US"/>
        </w:rPr>
        <w:t>Command, Communication, Computer, Control, Coordination and Intelligence</w:t>
      </w:r>
      <w:r w:rsidR="00263803" w:rsidRPr="00CC2594">
        <w:rPr>
          <w:rFonts w:ascii="Cambria" w:eastAsia="Batang" w:hAnsi="Cambria" w:cs="Times New Roman"/>
          <w:sz w:val="21"/>
          <w:szCs w:val="21"/>
          <w:lang w:val="en-US"/>
        </w:rPr>
        <w:t>, the</w:t>
      </w:r>
      <w:r w:rsidR="00744D05" w:rsidRPr="00CC2594">
        <w:rPr>
          <w:rFonts w:ascii="Cambria" w:eastAsia="Batang" w:hAnsi="Cambria" w:cs="Times New Roman"/>
          <w:sz w:val="21"/>
          <w:szCs w:val="21"/>
          <w:lang w:val="en-US"/>
        </w:rPr>
        <w:t xml:space="preserve"> </w:t>
      </w:r>
      <w:r w:rsidR="00263803" w:rsidRPr="00CC2594">
        <w:rPr>
          <w:rFonts w:ascii="Cambria" w:eastAsia="Batang" w:hAnsi="Cambria" w:cs="Times New Roman"/>
          <w:sz w:val="21"/>
          <w:szCs w:val="21"/>
          <w:lang w:val="en-US"/>
        </w:rPr>
        <w:t>Director of</w:t>
      </w:r>
      <w:r w:rsidRPr="00CC2594">
        <w:rPr>
          <w:rFonts w:ascii="Cambria" w:eastAsia="Batang" w:hAnsi="Cambria" w:cs="Times New Roman"/>
          <w:sz w:val="21"/>
          <w:szCs w:val="21"/>
          <w:lang w:val="en-US"/>
        </w:rPr>
        <w:t xml:space="preserve"> Municipal</w:t>
      </w:r>
      <w:r w:rsidR="00263803" w:rsidRPr="00CC2594">
        <w:rPr>
          <w:rFonts w:ascii="Cambria" w:eastAsia="Batang" w:hAnsi="Cambria" w:cs="Times New Roman"/>
          <w:sz w:val="21"/>
          <w:szCs w:val="21"/>
          <w:lang w:val="en-US"/>
        </w:rPr>
        <w:t xml:space="preserve"> Public Safety</w:t>
      </w:r>
      <w:r w:rsidRPr="00CC2594">
        <w:rPr>
          <w:rFonts w:ascii="Cambria" w:eastAsia="Batang" w:hAnsi="Cambria" w:cs="Times New Roman"/>
          <w:sz w:val="21"/>
          <w:szCs w:val="21"/>
          <w:lang w:val="en-US"/>
        </w:rPr>
        <w:t>,</w:t>
      </w:r>
      <w:r w:rsidR="00263803" w:rsidRPr="00CC2594">
        <w:rPr>
          <w:rFonts w:ascii="Cambria" w:eastAsia="Batang" w:hAnsi="Cambria" w:cs="Times New Roman"/>
          <w:sz w:val="21"/>
          <w:szCs w:val="21"/>
          <w:lang w:val="en-US"/>
        </w:rPr>
        <w:t xml:space="preserve"> the Director of the Center of Social Reintegration</w:t>
      </w:r>
      <w:r w:rsidRPr="00CC2594">
        <w:rPr>
          <w:rFonts w:ascii="Cambria" w:eastAsia="Batang" w:hAnsi="Cambria" w:cs="Times New Roman"/>
          <w:sz w:val="21"/>
          <w:szCs w:val="21"/>
          <w:lang w:val="en-US"/>
        </w:rPr>
        <w:t xml:space="preserve"> </w:t>
      </w:r>
      <w:r w:rsidR="00263803" w:rsidRPr="00CC2594">
        <w:rPr>
          <w:rFonts w:ascii="Cambria" w:eastAsia="Batang" w:hAnsi="Cambria" w:cs="Times New Roman"/>
          <w:sz w:val="21"/>
          <w:szCs w:val="21"/>
          <w:lang w:val="en-US"/>
        </w:rPr>
        <w:t>of</w:t>
      </w:r>
      <w:r w:rsidRPr="00CC2594">
        <w:rPr>
          <w:rFonts w:ascii="Cambria" w:eastAsia="Batang" w:hAnsi="Cambria" w:cs="Times New Roman"/>
          <w:sz w:val="21"/>
          <w:szCs w:val="21"/>
          <w:lang w:val="en-US"/>
        </w:rPr>
        <w:t xml:space="preserve"> </w:t>
      </w:r>
      <w:r w:rsidR="00263803" w:rsidRPr="00CC2594">
        <w:rPr>
          <w:rFonts w:ascii="Cambria" w:eastAsia="Batang" w:hAnsi="Cambria" w:cs="Times New Roman"/>
          <w:sz w:val="21"/>
          <w:szCs w:val="21"/>
          <w:lang w:val="en-US"/>
        </w:rPr>
        <w:t>L</w:t>
      </w:r>
      <w:r w:rsidRPr="00CC2594">
        <w:rPr>
          <w:rFonts w:ascii="Cambria" w:eastAsia="Batang" w:hAnsi="Cambria" w:cs="Times New Roman"/>
          <w:sz w:val="21"/>
          <w:szCs w:val="21"/>
          <w:lang w:val="en-US"/>
        </w:rPr>
        <w:t xml:space="preserve">a </w:t>
      </w:r>
      <w:proofErr w:type="spellStart"/>
      <w:r w:rsidRPr="00CC2594">
        <w:rPr>
          <w:rFonts w:ascii="Cambria" w:eastAsia="Batang" w:hAnsi="Cambria" w:cs="Times New Roman"/>
          <w:sz w:val="21"/>
          <w:szCs w:val="21"/>
          <w:lang w:val="en-US"/>
        </w:rPr>
        <w:t>Piedad</w:t>
      </w:r>
      <w:proofErr w:type="spellEnd"/>
      <w:r w:rsidRPr="00CC2594">
        <w:rPr>
          <w:rFonts w:ascii="Cambria" w:eastAsia="Batang" w:hAnsi="Cambria" w:cs="Times New Roman"/>
          <w:sz w:val="21"/>
          <w:szCs w:val="21"/>
          <w:lang w:val="en-US"/>
        </w:rPr>
        <w:t xml:space="preserve">, </w:t>
      </w:r>
      <w:r w:rsidR="00263803" w:rsidRPr="00CC2594">
        <w:rPr>
          <w:rFonts w:ascii="Cambria" w:eastAsia="Batang" w:hAnsi="Cambria" w:cs="Times New Roman"/>
          <w:sz w:val="21"/>
          <w:szCs w:val="21"/>
          <w:lang w:val="en-US"/>
        </w:rPr>
        <w:t>the</w:t>
      </w:r>
      <w:r w:rsidRPr="00CC2594">
        <w:rPr>
          <w:rFonts w:ascii="Cambria" w:eastAsia="Batang" w:hAnsi="Cambria" w:cs="Times New Roman"/>
          <w:sz w:val="21"/>
          <w:szCs w:val="21"/>
          <w:lang w:val="en-US"/>
        </w:rPr>
        <w:t xml:space="preserve"> </w:t>
      </w:r>
      <w:r w:rsidR="00D7603A" w:rsidRPr="00CC2594">
        <w:rPr>
          <w:rFonts w:ascii="Cambria" w:eastAsia="Batang" w:hAnsi="Cambria" w:cs="Times New Roman"/>
          <w:sz w:val="21"/>
          <w:szCs w:val="21"/>
          <w:lang w:val="en-US"/>
        </w:rPr>
        <w:t>Office</w:t>
      </w:r>
      <w:r w:rsidRPr="00CC2594">
        <w:rPr>
          <w:rFonts w:ascii="Cambria" w:eastAsia="Batang" w:hAnsi="Cambria" w:cs="Times New Roman"/>
          <w:sz w:val="21"/>
          <w:szCs w:val="21"/>
          <w:lang w:val="en-US"/>
        </w:rPr>
        <w:t xml:space="preserve"> </w:t>
      </w:r>
      <w:r w:rsidR="007D794D" w:rsidRPr="00CC2594">
        <w:rPr>
          <w:rFonts w:ascii="Cambria" w:eastAsia="Batang" w:hAnsi="Cambria" w:cs="Times New Roman"/>
          <w:sz w:val="21"/>
          <w:szCs w:val="21"/>
          <w:lang w:val="en-US"/>
        </w:rPr>
        <w:t>of Planning and Statistics</w:t>
      </w:r>
      <w:r w:rsidRPr="00CC2594">
        <w:rPr>
          <w:rFonts w:ascii="Cambria" w:eastAsia="Batang" w:hAnsi="Cambria" w:cs="Times New Roman"/>
          <w:sz w:val="21"/>
          <w:szCs w:val="21"/>
          <w:lang w:val="en-US"/>
        </w:rPr>
        <w:t xml:space="preserve"> </w:t>
      </w:r>
      <w:r w:rsidR="00D7603A" w:rsidRPr="00CC2594">
        <w:rPr>
          <w:rFonts w:ascii="Cambria" w:eastAsia="Batang" w:hAnsi="Cambria" w:cs="Times New Roman"/>
          <w:sz w:val="21"/>
          <w:szCs w:val="21"/>
          <w:lang w:val="en-US"/>
        </w:rPr>
        <w:t>(</w:t>
      </w:r>
      <w:r w:rsidR="00D7603A" w:rsidRPr="00CC2594">
        <w:rPr>
          <w:rFonts w:ascii="Cambria" w:eastAsia="Batang" w:hAnsi="Cambria" w:cs="Times New Roman"/>
          <w:i/>
          <w:sz w:val="21"/>
          <w:szCs w:val="21"/>
          <w:lang w:val="en-US"/>
        </w:rPr>
        <w:t xml:space="preserve">Enlace de </w:t>
      </w:r>
      <w:proofErr w:type="spellStart"/>
      <w:r w:rsidR="00D7603A" w:rsidRPr="00CC2594">
        <w:rPr>
          <w:rFonts w:ascii="Cambria" w:eastAsia="Batang" w:hAnsi="Cambria" w:cs="Times New Roman"/>
          <w:i/>
          <w:sz w:val="21"/>
          <w:szCs w:val="21"/>
          <w:lang w:val="en-US"/>
        </w:rPr>
        <w:t>Planeación</w:t>
      </w:r>
      <w:proofErr w:type="spellEnd"/>
      <w:r w:rsidR="00D7603A" w:rsidRPr="00CC2594">
        <w:rPr>
          <w:rFonts w:ascii="Cambria" w:eastAsia="Batang" w:hAnsi="Cambria" w:cs="Times New Roman"/>
          <w:i/>
          <w:sz w:val="21"/>
          <w:szCs w:val="21"/>
          <w:lang w:val="en-US"/>
        </w:rPr>
        <w:t xml:space="preserve"> y </w:t>
      </w:r>
      <w:proofErr w:type="spellStart"/>
      <w:r w:rsidR="00D7603A" w:rsidRPr="00CC2594">
        <w:rPr>
          <w:rFonts w:ascii="Cambria" w:eastAsia="Batang" w:hAnsi="Cambria" w:cs="Times New Roman"/>
          <w:i/>
          <w:sz w:val="21"/>
          <w:szCs w:val="21"/>
          <w:lang w:val="en-US"/>
        </w:rPr>
        <w:t>Estadística</w:t>
      </w:r>
      <w:proofErr w:type="spellEnd"/>
      <w:r w:rsidR="00D7603A" w:rsidRPr="00CC2594">
        <w:rPr>
          <w:rFonts w:ascii="Cambria" w:eastAsia="Batang" w:hAnsi="Cambria" w:cs="Times New Roman"/>
          <w:sz w:val="21"/>
          <w:szCs w:val="21"/>
          <w:lang w:val="en-US"/>
        </w:rPr>
        <w:t xml:space="preserve">) </w:t>
      </w:r>
      <w:r w:rsidR="007D794D" w:rsidRPr="00CC2594">
        <w:rPr>
          <w:rFonts w:ascii="Cambria" w:eastAsia="Batang" w:hAnsi="Cambria" w:cs="Times New Roman"/>
          <w:sz w:val="21"/>
          <w:szCs w:val="21"/>
          <w:lang w:val="en-US"/>
        </w:rPr>
        <w:t>and</w:t>
      </w:r>
      <w:r w:rsidRPr="00CC2594">
        <w:rPr>
          <w:rFonts w:ascii="Cambria" w:eastAsia="Batang" w:hAnsi="Cambria" w:cs="Times New Roman"/>
          <w:sz w:val="21"/>
          <w:szCs w:val="21"/>
          <w:lang w:val="en-US"/>
        </w:rPr>
        <w:t xml:space="preserve"> </w:t>
      </w:r>
      <w:r w:rsidR="008C515F" w:rsidRPr="00CC2594">
        <w:rPr>
          <w:rFonts w:ascii="Cambria" w:eastAsia="Batang" w:hAnsi="Cambria" w:cs="Times New Roman"/>
          <w:sz w:val="21"/>
          <w:szCs w:val="21"/>
          <w:lang w:val="en-US"/>
        </w:rPr>
        <w:t>the Director of</w:t>
      </w:r>
      <w:r w:rsidRPr="00CC2594">
        <w:rPr>
          <w:rFonts w:ascii="Cambria" w:eastAsia="Batang" w:hAnsi="Cambria" w:cs="Times New Roman"/>
          <w:sz w:val="21"/>
          <w:szCs w:val="21"/>
          <w:lang w:val="en-US"/>
        </w:rPr>
        <w:t xml:space="preserve"> </w:t>
      </w:r>
      <w:r w:rsidR="008C515F" w:rsidRPr="00CC2594">
        <w:rPr>
          <w:rFonts w:ascii="Cambria" w:eastAsia="Batang" w:hAnsi="Cambria" w:cs="Times New Roman"/>
          <w:sz w:val="21"/>
          <w:szCs w:val="21"/>
          <w:lang w:val="en-US"/>
        </w:rPr>
        <w:t>Expert Services</w:t>
      </w:r>
      <w:r w:rsidR="00D51D13" w:rsidRPr="00CC2594">
        <w:rPr>
          <w:rFonts w:ascii="Cambria" w:eastAsia="Batang" w:hAnsi="Cambria" w:cs="Times New Roman"/>
          <w:sz w:val="21"/>
          <w:szCs w:val="21"/>
          <w:lang w:val="en-US"/>
        </w:rPr>
        <w:t>,</w:t>
      </w:r>
      <w:r w:rsidR="008C515F" w:rsidRPr="00CC2594">
        <w:rPr>
          <w:rFonts w:ascii="Cambria" w:eastAsia="Batang" w:hAnsi="Cambria" w:cs="Times New Roman"/>
          <w:sz w:val="21"/>
          <w:szCs w:val="21"/>
          <w:lang w:val="en-US"/>
        </w:rPr>
        <w:t xml:space="preserve"> report whether they had information</w:t>
      </w:r>
      <w:r w:rsidRPr="00CC2594">
        <w:rPr>
          <w:rFonts w:ascii="Cambria" w:eastAsia="Batang" w:hAnsi="Cambria" w:cs="Times New Roman"/>
          <w:sz w:val="21"/>
          <w:szCs w:val="21"/>
          <w:lang w:val="en-US"/>
        </w:rPr>
        <w:t xml:space="preserve"> </w:t>
      </w:r>
      <w:r w:rsidR="008C515F" w:rsidRPr="00CC2594">
        <w:rPr>
          <w:rFonts w:ascii="Cambria" w:eastAsia="Batang" w:hAnsi="Cambria" w:cs="Times New Roman"/>
          <w:sz w:val="21"/>
          <w:szCs w:val="21"/>
          <w:lang w:val="en-US"/>
        </w:rPr>
        <w:t>or record of the two missing victims</w:t>
      </w:r>
      <w:r w:rsidRPr="00CC2594">
        <w:rPr>
          <w:rFonts w:ascii="Cambria" w:eastAsia="Batang" w:hAnsi="Cambria" w:cs="Times New Roman"/>
          <w:sz w:val="21"/>
          <w:szCs w:val="21"/>
          <w:lang w:val="en-US"/>
        </w:rPr>
        <w:t>.</w:t>
      </w:r>
      <w:r w:rsidR="008C515F" w:rsidRPr="00CC2594">
        <w:rPr>
          <w:rFonts w:ascii="Cambria" w:eastAsia="Batang" w:hAnsi="Cambria" w:cs="Times New Roman"/>
          <w:sz w:val="21"/>
          <w:szCs w:val="21"/>
          <w:lang w:val="en-US"/>
        </w:rPr>
        <w:t>”</w:t>
      </w:r>
      <w:r w:rsidRPr="00CC2594">
        <w:rPr>
          <w:rFonts w:ascii="Cambria" w:eastAsia="Batang" w:hAnsi="Cambria" w:cs="Times New Roman"/>
          <w:sz w:val="21"/>
          <w:szCs w:val="21"/>
          <w:lang w:val="en-US"/>
        </w:rPr>
        <w:t xml:space="preserve"> The </w:t>
      </w:r>
      <w:r w:rsidR="00FB54D9" w:rsidRPr="00CC2594">
        <w:rPr>
          <w:rFonts w:ascii="Cambria" w:eastAsia="Batang" w:hAnsi="Cambria" w:cs="Times New Roman"/>
          <w:sz w:val="21"/>
          <w:szCs w:val="21"/>
          <w:lang w:val="en-US"/>
        </w:rPr>
        <w:t>family of the proposed beneficiaries has</w:t>
      </w:r>
      <w:r w:rsidRPr="00CC2594">
        <w:rPr>
          <w:rFonts w:ascii="Cambria" w:eastAsia="Batang" w:hAnsi="Cambria" w:cs="Times New Roman"/>
          <w:sz w:val="21"/>
          <w:szCs w:val="21"/>
          <w:lang w:val="en-US"/>
        </w:rPr>
        <w:t xml:space="preserve"> </w:t>
      </w:r>
      <w:r w:rsidR="008C515F" w:rsidRPr="00CC2594">
        <w:rPr>
          <w:rFonts w:ascii="Cambria" w:eastAsia="Batang" w:hAnsi="Cambria" w:cs="Times New Roman"/>
          <w:sz w:val="21"/>
          <w:szCs w:val="21"/>
          <w:lang w:val="en-US"/>
        </w:rPr>
        <w:t xml:space="preserve">also </w:t>
      </w:r>
      <w:r w:rsidRPr="00CC2594">
        <w:rPr>
          <w:rFonts w:ascii="Cambria" w:eastAsia="Batang" w:hAnsi="Cambria" w:cs="Times New Roman"/>
          <w:sz w:val="21"/>
          <w:szCs w:val="21"/>
          <w:lang w:val="en-US"/>
        </w:rPr>
        <w:t xml:space="preserve">been </w:t>
      </w:r>
      <w:r w:rsidR="008C515F" w:rsidRPr="00CC2594">
        <w:rPr>
          <w:rFonts w:ascii="Cambria" w:eastAsia="Batang" w:hAnsi="Cambria" w:cs="Times New Roman"/>
          <w:sz w:val="21"/>
          <w:szCs w:val="21"/>
          <w:lang w:val="en-US"/>
        </w:rPr>
        <w:t xml:space="preserve">reportedly </w:t>
      </w:r>
      <w:r w:rsidRPr="00CC2594">
        <w:rPr>
          <w:rFonts w:ascii="Cambria" w:eastAsia="Batang" w:hAnsi="Cambria" w:cs="Times New Roman"/>
          <w:sz w:val="21"/>
          <w:szCs w:val="21"/>
          <w:lang w:val="en-US"/>
        </w:rPr>
        <w:t xml:space="preserve">interviewed, and genetic samples </w:t>
      </w:r>
      <w:r w:rsidR="008C515F" w:rsidRPr="00CC2594">
        <w:rPr>
          <w:rFonts w:ascii="Cambria" w:eastAsia="Batang" w:hAnsi="Cambria" w:cs="Times New Roman"/>
          <w:sz w:val="21"/>
          <w:szCs w:val="21"/>
          <w:lang w:val="en-US"/>
        </w:rPr>
        <w:t>have</w:t>
      </w:r>
      <w:r w:rsidRPr="00CC2594">
        <w:rPr>
          <w:rFonts w:ascii="Cambria" w:eastAsia="Batang" w:hAnsi="Cambria" w:cs="Times New Roman"/>
          <w:sz w:val="21"/>
          <w:szCs w:val="21"/>
          <w:lang w:val="en-US"/>
        </w:rPr>
        <w:t xml:space="preserve"> been collected from their mother.</w:t>
      </w:r>
    </w:p>
    <w:p w14:paraId="2406C999" w14:textId="77777777" w:rsidR="007A61F9" w:rsidRPr="00CC2594" w:rsidRDefault="007A61F9" w:rsidP="007A61F9">
      <w:pPr>
        <w:spacing w:after="0" w:line="240" w:lineRule="auto"/>
        <w:ind w:left="360"/>
        <w:contextualSpacing/>
        <w:jc w:val="both"/>
        <w:rPr>
          <w:rFonts w:ascii="Cambria" w:eastAsia="Batang" w:hAnsi="Cambria" w:cs="Times New Roman"/>
          <w:sz w:val="21"/>
          <w:szCs w:val="21"/>
          <w:lang w:val="en-US"/>
        </w:rPr>
      </w:pPr>
    </w:p>
    <w:p w14:paraId="1CA83739" w14:textId="51E8B535" w:rsidR="007A61F9" w:rsidRPr="00CC2594" w:rsidRDefault="007A61F9" w:rsidP="007A61F9">
      <w:pPr>
        <w:numPr>
          <w:ilvl w:val="0"/>
          <w:numId w:val="3"/>
        </w:numPr>
        <w:spacing w:after="0" w:line="240" w:lineRule="auto"/>
        <w:ind w:left="0" w:firstLine="360"/>
        <w:contextualSpacing/>
        <w:jc w:val="both"/>
        <w:rPr>
          <w:rFonts w:ascii="Cambria" w:eastAsia="Batang" w:hAnsi="Cambria" w:cs="Times New Roman"/>
          <w:sz w:val="21"/>
          <w:szCs w:val="21"/>
          <w:lang w:val="en-US"/>
        </w:rPr>
      </w:pPr>
      <w:r w:rsidRPr="00CC2594">
        <w:rPr>
          <w:rFonts w:ascii="Cambria" w:eastAsia="Batang" w:hAnsi="Cambria" w:cs="Times New Roman"/>
          <w:sz w:val="21"/>
          <w:szCs w:val="21"/>
          <w:lang w:val="en-US"/>
        </w:rPr>
        <w:t>Additionally, the National Human Rights Commission</w:t>
      </w:r>
      <w:r w:rsidR="00ED0816" w:rsidRPr="00CC2594">
        <w:rPr>
          <w:rFonts w:ascii="Cambria" w:eastAsia="Batang" w:hAnsi="Cambria" w:cs="Times New Roman"/>
          <w:sz w:val="21"/>
          <w:szCs w:val="21"/>
          <w:lang w:val="en-US"/>
        </w:rPr>
        <w:t xml:space="preserve"> reportedly </w:t>
      </w:r>
      <w:r w:rsidRPr="00CC2594">
        <w:rPr>
          <w:rFonts w:ascii="Cambria" w:eastAsia="Batang" w:hAnsi="Cambria" w:cs="Times New Roman"/>
          <w:sz w:val="21"/>
          <w:szCs w:val="21"/>
          <w:lang w:val="en-US"/>
        </w:rPr>
        <w:t xml:space="preserve">requested from the </w:t>
      </w:r>
      <w:r w:rsidR="00ED0816" w:rsidRPr="00CC2594">
        <w:rPr>
          <w:rFonts w:ascii="Cambria" w:eastAsia="Batang" w:hAnsi="Cambria" w:cs="Times New Roman"/>
          <w:sz w:val="21"/>
          <w:szCs w:val="21"/>
          <w:lang w:val="en-US"/>
        </w:rPr>
        <w:t xml:space="preserve">Office of the Attorney General </w:t>
      </w:r>
      <w:r w:rsidRPr="00CC2594">
        <w:rPr>
          <w:rFonts w:ascii="Cambria" w:eastAsia="Batang" w:hAnsi="Cambria" w:cs="Times New Roman"/>
          <w:sz w:val="21"/>
          <w:szCs w:val="21"/>
          <w:lang w:val="en-US"/>
        </w:rPr>
        <w:t xml:space="preserve">(FGM) </w:t>
      </w:r>
      <w:r w:rsidR="00ED0816" w:rsidRPr="00CC2594">
        <w:rPr>
          <w:rFonts w:ascii="Cambria" w:eastAsia="Batang" w:hAnsi="Cambria" w:cs="Times New Roman"/>
          <w:sz w:val="21"/>
          <w:szCs w:val="21"/>
          <w:lang w:val="en-US"/>
        </w:rPr>
        <w:t xml:space="preserve">of Michoacán </w:t>
      </w:r>
      <w:r w:rsidR="008C2767" w:rsidRPr="00CC2594">
        <w:rPr>
          <w:rFonts w:ascii="Cambria" w:eastAsia="Batang" w:hAnsi="Cambria" w:cs="Times New Roman"/>
          <w:sz w:val="21"/>
          <w:szCs w:val="21"/>
          <w:lang w:val="en-US"/>
        </w:rPr>
        <w:t>a “</w:t>
      </w:r>
      <w:r w:rsidRPr="00CC2594">
        <w:rPr>
          <w:rFonts w:ascii="Cambria" w:eastAsia="Batang" w:hAnsi="Cambria" w:cs="Times New Roman"/>
          <w:sz w:val="21"/>
          <w:szCs w:val="21"/>
          <w:lang w:val="en-US"/>
        </w:rPr>
        <w:t xml:space="preserve">detailed report on the facts of the detention of Mr. Alfonso and Mr. Alberto </w:t>
      </w:r>
      <w:proofErr w:type="spellStart"/>
      <w:r w:rsidRPr="00CC2594">
        <w:rPr>
          <w:rFonts w:ascii="Cambria" w:eastAsia="Batang" w:hAnsi="Cambria" w:cs="Times New Roman"/>
          <w:sz w:val="21"/>
          <w:szCs w:val="21"/>
          <w:lang w:val="en-US"/>
        </w:rPr>
        <w:t>Alejandre</w:t>
      </w:r>
      <w:proofErr w:type="spellEnd"/>
      <w:r w:rsidRPr="00CC2594">
        <w:rPr>
          <w:rFonts w:ascii="Cambria" w:eastAsia="Batang" w:hAnsi="Cambria" w:cs="Times New Roman"/>
          <w:sz w:val="21"/>
          <w:szCs w:val="21"/>
          <w:lang w:val="en-US"/>
        </w:rPr>
        <w:t xml:space="preserve"> </w:t>
      </w:r>
      <w:proofErr w:type="spellStart"/>
      <w:r w:rsidRPr="00CC2594">
        <w:rPr>
          <w:rFonts w:ascii="Cambria" w:eastAsia="Batang" w:hAnsi="Cambria" w:cs="Times New Roman"/>
          <w:sz w:val="21"/>
          <w:szCs w:val="21"/>
          <w:lang w:val="en-US"/>
        </w:rPr>
        <w:t>Díaz</w:t>
      </w:r>
      <w:proofErr w:type="spellEnd"/>
      <w:r w:rsidRPr="00CC2594">
        <w:rPr>
          <w:rFonts w:ascii="Cambria" w:eastAsia="Batang" w:hAnsi="Cambria" w:cs="Times New Roman"/>
          <w:sz w:val="21"/>
          <w:szCs w:val="21"/>
          <w:lang w:val="en-US"/>
        </w:rPr>
        <w:t xml:space="preserve">, as well as the circumstances of time, manner and place in which the events </w:t>
      </w:r>
      <w:r w:rsidR="003C387E" w:rsidRPr="00CC2594">
        <w:rPr>
          <w:rFonts w:ascii="Cambria" w:eastAsia="Batang" w:hAnsi="Cambria" w:cs="Times New Roman"/>
          <w:sz w:val="21"/>
          <w:szCs w:val="21"/>
          <w:lang w:val="en-US"/>
        </w:rPr>
        <w:t>happened</w:t>
      </w:r>
      <w:r w:rsidRPr="00CC2594">
        <w:rPr>
          <w:rFonts w:ascii="Cambria" w:eastAsia="Batang" w:hAnsi="Cambria" w:cs="Times New Roman"/>
          <w:sz w:val="21"/>
          <w:szCs w:val="21"/>
          <w:lang w:val="en-US"/>
        </w:rPr>
        <w:t xml:space="preserve"> and their respective documentation, statements and actions.</w:t>
      </w:r>
      <w:r w:rsidR="003C387E" w:rsidRPr="00CC2594">
        <w:rPr>
          <w:rFonts w:ascii="Cambria" w:eastAsia="Batang" w:hAnsi="Cambria" w:cs="Times New Roman"/>
          <w:sz w:val="21"/>
          <w:szCs w:val="21"/>
          <w:lang w:val="en-US"/>
        </w:rPr>
        <w:t>”</w:t>
      </w:r>
      <w:r w:rsidRPr="00CC2594">
        <w:rPr>
          <w:rFonts w:ascii="Cambria" w:eastAsia="Batang" w:hAnsi="Cambria" w:cs="Times New Roman"/>
          <w:sz w:val="21"/>
          <w:szCs w:val="21"/>
          <w:lang w:val="en-US"/>
        </w:rPr>
        <w:t xml:space="preserve"> </w:t>
      </w:r>
      <w:r w:rsidR="003C387E" w:rsidRPr="00CC2594">
        <w:rPr>
          <w:rFonts w:ascii="Cambria" w:eastAsia="Batang" w:hAnsi="Cambria" w:cs="Times New Roman"/>
          <w:sz w:val="21"/>
          <w:szCs w:val="21"/>
          <w:lang w:val="en-US"/>
        </w:rPr>
        <w:t>Regarding</w:t>
      </w:r>
      <w:r w:rsidRPr="00CC2594">
        <w:rPr>
          <w:rFonts w:ascii="Cambria" w:eastAsia="Batang" w:hAnsi="Cambria" w:cs="Times New Roman"/>
          <w:sz w:val="21"/>
          <w:szCs w:val="21"/>
          <w:lang w:val="en-US"/>
        </w:rPr>
        <w:t xml:space="preserve"> the above, the FGM </w:t>
      </w:r>
      <w:r w:rsidR="004C01EE" w:rsidRPr="00CC2594">
        <w:rPr>
          <w:rFonts w:ascii="Cambria" w:eastAsia="Batang" w:hAnsi="Cambria" w:cs="Times New Roman"/>
          <w:sz w:val="21"/>
          <w:szCs w:val="21"/>
          <w:lang w:val="en-US"/>
        </w:rPr>
        <w:t xml:space="preserve">allegedly </w:t>
      </w:r>
      <w:r w:rsidRPr="00CC2594">
        <w:rPr>
          <w:rFonts w:ascii="Cambria" w:eastAsia="Batang" w:hAnsi="Cambria" w:cs="Times New Roman"/>
          <w:sz w:val="21"/>
          <w:szCs w:val="21"/>
          <w:lang w:val="en-US"/>
        </w:rPr>
        <w:t>reported that there is no reco</w:t>
      </w:r>
      <w:r w:rsidR="004C01EE" w:rsidRPr="00CC2594">
        <w:rPr>
          <w:rFonts w:ascii="Cambria" w:eastAsia="Batang" w:hAnsi="Cambria" w:cs="Times New Roman"/>
          <w:sz w:val="21"/>
          <w:szCs w:val="21"/>
          <w:lang w:val="en-US"/>
        </w:rPr>
        <w:t>rd of any action or proceeding “</w:t>
      </w:r>
      <w:r w:rsidRPr="00CC2594">
        <w:rPr>
          <w:rFonts w:ascii="Cambria" w:eastAsia="Batang" w:hAnsi="Cambria" w:cs="Times New Roman"/>
          <w:sz w:val="21"/>
          <w:szCs w:val="21"/>
          <w:lang w:val="en-US"/>
        </w:rPr>
        <w:t>leading to the execution of acts of human rights violations against th</w:t>
      </w:r>
      <w:r w:rsidR="00577FAF" w:rsidRPr="00CC2594">
        <w:rPr>
          <w:rFonts w:ascii="Cambria" w:eastAsia="Batang" w:hAnsi="Cambria" w:cs="Times New Roman"/>
          <w:sz w:val="21"/>
          <w:szCs w:val="21"/>
          <w:lang w:val="en-US"/>
        </w:rPr>
        <w:t>e alleged victims</w:t>
      </w:r>
      <w:r w:rsidRPr="00CC2594">
        <w:rPr>
          <w:rFonts w:ascii="Cambria" w:eastAsia="Batang" w:hAnsi="Cambria" w:cs="Times New Roman"/>
          <w:sz w:val="21"/>
          <w:szCs w:val="21"/>
          <w:lang w:val="en-US"/>
        </w:rPr>
        <w:t>.</w:t>
      </w:r>
      <w:r w:rsidR="00577FAF" w:rsidRPr="00CC2594">
        <w:rPr>
          <w:rFonts w:ascii="Cambria" w:eastAsia="Batang" w:hAnsi="Cambria" w:cs="Times New Roman"/>
          <w:sz w:val="21"/>
          <w:szCs w:val="21"/>
          <w:lang w:val="en-US"/>
        </w:rPr>
        <w:t>”</w:t>
      </w:r>
      <w:r w:rsidRPr="00CC2594">
        <w:rPr>
          <w:rFonts w:ascii="Cambria" w:eastAsia="Batang" w:hAnsi="Cambria" w:cs="Times New Roman"/>
          <w:sz w:val="21"/>
          <w:szCs w:val="21"/>
          <w:lang w:val="en-US"/>
        </w:rPr>
        <w:t xml:space="preserve"> In addition, the FGM indicated that only copies of the investigation file submitted at the time by the then PGR wer</w:t>
      </w:r>
      <w:r w:rsidR="00577FAF" w:rsidRPr="00CC2594">
        <w:rPr>
          <w:rFonts w:ascii="Cambria" w:eastAsia="Batang" w:hAnsi="Cambria" w:cs="Times New Roman"/>
          <w:sz w:val="21"/>
          <w:szCs w:val="21"/>
          <w:lang w:val="en-US"/>
        </w:rPr>
        <w:t xml:space="preserve">e included in the relevant </w:t>
      </w:r>
      <w:r w:rsidR="00754356" w:rsidRPr="00CC2594">
        <w:rPr>
          <w:rFonts w:ascii="Cambria" w:eastAsia="Batang" w:hAnsi="Cambria" w:cs="Times New Roman"/>
          <w:sz w:val="21"/>
          <w:szCs w:val="21"/>
          <w:lang w:val="en-US"/>
        </w:rPr>
        <w:t>record</w:t>
      </w:r>
      <w:r w:rsidRPr="00CC2594">
        <w:rPr>
          <w:rFonts w:ascii="Cambria" w:eastAsia="Batang" w:hAnsi="Cambria" w:cs="Times New Roman"/>
          <w:sz w:val="21"/>
          <w:szCs w:val="21"/>
          <w:lang w:val="en-US"/>
        </w:rPr>
        <w:t>.</w:t>
      </w:r>
    </w:p>
    <w:p w14:paraId="08AB4B64" w14:textId="0A50B24E" w:rsidR="00B948CB" w:rsidRPr="00CC2594" w:rsidRDefault="00B948CB" w:rsidP="00C617D7">
      <w:pPr>
        <w:spacing w:after="0" w:line="240" w:lineRule="auto"/>
        <w:ind w:left="360"/>
        <w:jc w:val="both"/>
        <w:rPr>
          <w:rFonts w:ascii="Cambria" w:eastAsia="Batang" w:hAnsi="Cambria" w:cs="Times New Roman"/>
          <w:sz w:val="21"/>
          <w:szCs w:val="21"/>
          <w:lang w:val="en-US"/>
        </w:rPr>
      </w:pPr>
    </w:p>
    <w:p w14:paraId="0B4CE6D9" w14:textId="6A930099" w:rsidR="00CB730A" w:rsidRPr="00CC2594" w:rsidRDefault="00CB730A" w:rsidP="00CB730A">
      <w:pPr>
        <w:numPr>
          <w:ilvl w:val="0"/>
          <w:numId w:val="3"/>
        </w:numPr>
        <w:spacing w:after="0" w:line="240" w:lineRule="auto"/>
        <w:ind w:left="0" w:firstLine="360"/>
        <w:jc w:val="both"/>
        <w:rPr>
          <w:rFonts w:ascii="Cambria" w:eastAsia="Batang" w:hAnsi="Cambria" w:cs="Times New Roman"/>
          <w:sz w:val="21"/>
          <w:szCs w:val="21"/>
          <w:lang w:val="en-US"/>
        </w:rPr>
      </w:pPr>
      <w:r w:rsidRPr="00CC2594">
        <w:rPr>
          <w:rFonts w:ascii="Cambria" w:eastAsia="Batang" w:hAnsi="Cambria" w:cs="Times New Roman"/>
          <w:sz w:val="21"/>
          <w:szCs w:val="21"/>
          <w:lang w:val="en-US"/>
        </w:rPr>
        <w:t>In view of the foregoing, the State stated that the Inter-American Commission must decline the present request for precautionary measures, invoking the</w:t>
      </w:r>
      <w:r w:rsidR="00A65001" w:rsidRPr="00CC2594">
        <w:rPr>
          <w:rFonts w:ascii="Cambria" w:eastAsia="Batang" w:hAnsi="Cambria" w:cs="Times New Roman"/>
          <w:sz w:val="21"/>
          <w:szCs w:val="21"/>
          <w:lang w:val="en-US"/>
        </w:rPr>
        <w:t xml:space="preserve"> complementarity</w:t>
      </w:r>
      <w:r w:rsidR="00FE0144" w:rsidRPr="00CC2594">
        <w:rPr>
          <w:rFonts w:ascii="Cambria" w:eastAsia="Batang" w:hAnsi="Cambria" w:cs="Times New Roman"/>
          <w:sz w:val="21"/>
          <w:szCs w:val="21"/>
          <w:lang w:val="en-US"/>
        </w:rPr>
        <w:t xml:space="preserve"> principle</w:t>
      </w:r>
      <w:r w:rsidR="00A65001" w:rsidRPr="00CC2594">
        <w:rPr>
          <w:rFonts w:ascii="Cambria" w:eastAsia="Batang" w:hAnsi="Cambria" w:cs="Times New Roman"/>
          <w:sz w:val="21"/>
          <w:szCs w:val="21"/>
          <w:lang w:val="en-US"/>
        </w:rPr>
        <w:t>, “</w:t>
      </w:r>
      <w:r w:rsidRPr="00CC2594">
        <w:rPr>
          <w:rFonts w:ascii="Cambria" w:eastAsia="Batang" w:hAnsi="Cambria" w:cs="Times New Roman"/>
          <w:sz w:val="21"/>
          <w:szCs w:val="21"/>
          <w:lang w:val="en-US"/>
        </w:rPr>
        <w:t xml:space="preserve">since the </w:t>
      </w:r>
      <w:r w:rsidRPr="00CC2594">
        <w:rPr>
          <w:rFonts w:ascii="Cambria" w:eastAsia="Batang" w:hAnsi="Cambria" w:cs="Times New Roman"/>
          <w:sz w:val="21"/>
          <w:szCs w:val="21"/>
          <w:lang w:val="en-US"/>
        </w:rPr>
        <w:lastRenderedPageBreak/>
        <w:t>Mexican State is already diligently a</w:t>
      </w:r>
      <w:r w:rsidR="00B9703B" w:rsidRPr="00CC2594">
        <w:rPr>
          <w:rFonts w:ascii="Cambria" w:eastAsia="Batang" w:hAnsi="Cambria" w:cs="Times New Roman"/>
          <w:sz w:val="21"/>
          <w:szCs w:val="21"/>
          <w:lang w:val="en-US"/>
        </w:rPr>
        <w:t xml:space="preserve">ddressing </w:t>
      </w:r>
      <w:r w:rsidR="00010403" w:rsidRPr="00CC2594">
        <w:rPr>
          <w:rFonts w:ascii="Cambria" w:eastAsia="Batang" w:hAnsi="Cambria" w:cs="Times New Roman"/>
          <w:sz w:val="21"/>
          <w:szCs w:val="21"/>
          <w:lang w:val="en-US"/>
        </w:rPr>
        <w:t>the situation at the</w:t>
      </w:r>
      <w:r w:rsidRPr="00CC2594">
        <w:rPr>
          <w:rFonts w:ascii="Cambria" w:eastAsia="Batang" w:hAnsi="Cambria" w:cs="Times New Roman"/>
          <w:sz w:val="21"/>
          <w:szCs w:val="21"/>
          <w:lang w:val="en-US"/>
        </w:rPr>
        <w:t xml:space="preserve"> </w:t>
      </w:r>
      <w:r w:rsidR="00010403" w:rsidRPr="00CC2594">
        <w:rPr>
          <w:rFonts w:ascii="Cambria" w:eastAsia="Batang" w:hAnsi="Cambria" w:cs="Times New Roman"/>
          <w:sz w:val="21"/>
          <w:szCs w:val="21"/>
          <w:lang w:val="en-US"/>
        </w:rPr>
        <w:t>internal level</w:t>
      </w:r>
      <w:r w:rsidRPr="00CC2594">
        <w:rPr>
          <w:rFonts w:ascii="Cambria" w:eastAsia="Batang" w:hAnsi="Cambria" w:cs="Times New Roman"/>
          <w:sz w:val="21"/>
          <w:szCs w:val="21"/>
          <w:lang w:val="en-US"/>
        </w:rPr>
        <w:t>. T</w:t>
      </w:r>
      <w:r w:rsidR="00010403" w:rsidRPr="00CC2594">
        <w:rPr>
          <w:rFonts w:ascii="Cambria" w:eastAsia="Batang" w:hAnsi="Cambria" w:cs="Times New Roman"/>
          <w:sz w:val="21"/>
          <w:szCs w:val="21"/>
          <w:lang w:val="en-US"/>
        </w:rPr>
        <w:t>hus, the State emphasized that “</w:t>
      </w:r>
      <w:r w:rsidRPr="00CC2594">
        <w:rPr>
          <w:rFonts w:ascii="Cambria" w:eastAsia="Batang" w:hAnsi="Cambria" w:cs="Times New Roman"/>
          <w:sz w:val="21"/>
          <w:szCs w:val="21"/>
          <w:lang w:val="en-US"/>
        </w:rPr>
        <w:t xml:space="preserve">[...] </w:t>
      </w:r>
      <w:r w:rsidR="00FE0144" w:rsidRPr="00CC2594">
        <w:rPr>
          <w:rFonts w:ascii="Cambria" w:eastAsia="Batang" w:hAnsi="Cambria" w:cs="Times New Roman"/>
          <w:sz w:val="21"/>
          <w:szCs w:val="21"/>
          <w:lang w:val="en-US"/>
        </w:rPr>
        <w:t>due to</w:t>
      </w:r>
      <w:r w:rsidRPr="00CC2594">
        <w:rPr>
          <w:rFonts w:ascii="Cambria" w:eastAsia="Batang" w:hAnsi="Cambria" w:cs="Times New Roman"/>
          <w:sz w:val="21"/>
          <w:szCs w:val="21"/>
          <w:lang w:val="en-US"/>
        </w:rPr>
        <w:t xml:space="preserve"> the situation of the proposed beneficiaries, the respective investigation files were </w:t>
      </w:r>
      <w:r w:rsidR="00FE0144" w:rsidRPr="00CC2594">
        <w:rPr>
          <w:rFonts w:ascii="Cambria" w:eastAsia="Batang" w:hAnsi="Cambria" w:cs="Times New Roman"/>
          <w:sz w:val="21"/>
          <w:szCs w:val="21"/>
          <w:lang w:val="en-US"/>
        </w:rPr>
        <w:t xml:space="preserve">opened </w:t>
      </w:r>
      <w:r w:rsidRPr="00CC2594">
        <w:rPr>
          <w:rFonts w:ascii="Cambria" w:eastAsia="Batang" w:hAnsi="Cambria" w:cs="Times New Roman"/>
          <w:sz w:val="21"/>
          <w:szCs w:val="21"/>
          <w:lang w:val="en-US"/>
        </w:rPr>
        <w:t xml:space="preserve">in a timely manner, within the framework of which the </w:t>
      </w:r>
      <w:r w:rsidR="00FE0144" w:rsidRPr="00CC2594">
        <w:rPr>
          <w:rFonts w:ascii="Cambria" w:eastAsia="Batang" w:hAnsi="Cambria" w:cs="Times New Roman"/>
          <w:sz w:val="21"/>
          <w:szCs w:val="21"/>
          <w:lang w:val="en-US"/>
        </w:rPr>
        <w:t>relevant</w:t>
      </w:r>
      <w:r w:rsidRPr="00CC2594">
        <w:rPr>
          <w:rFonts w:ascii="Cambria" w:eastAsia="Batang" w:hAnsi="Cambria" w:cs="Times New Roman"/>
          <w:sz w:val="21"/>
          <w:szCs w:val="21"/>
          <w:lang w:val="en-US"/>
        </w:rPr>
        <w:t xml:space="preserve"> steps have been taken to clarify the fate and whereabouts of the two </w:t>
      </w:r>
      <w:r w:rsidR="00954EBB" w:rsidRPr="00CC2594">
        <w:rPr>
          <w:rFonts w:ascii="Cambria" w:eastAsia="Batang" w:hAnsi="Cambria" w:cs="Times New Roman"/>
          <w:sz w:val="21"/>
          <w:szCs w:val="21"/>
          <w:lang w:val="en-US"/>
        </w:rPr>
        <w:t>missing</w:t>
      </w:r>
      <w:r w:rsidRPr="00CC2594">
        <w:rPr>
          <w:rFonts w:ascii="Cambria" w:eastAsia="Batang" w:hAnsi="Cambria" w:cs="Times New Roman"/>
          <w:sz w:val="21"/>
          <w:szCs w:val="21"/>
          <w:lang w:val="en-US"/>
        </w:rPr>
        <w:t xml:space="preserve"> persons.</w:t>
      </w:r>
    </w:p>
    <w:p w14:paraId="169EC53F" w14:textId="77777777" w:rsidR="00B117BB" w:rsidRPr="00CC2594" w:rsidRDefault="00B117BB" w:rsidP="00B117BB">
      <w:pPr>
        <w:spacing w:after="0" w:line="240" w:lineRule="auto"/>
        <w:jc w:val="both"/>
        <w:rPr>
          <w:rFonts w:ascii="Cambria" w:eastAsia="Batang" w:hAnsi="Cambria" w:cs="Times New Roman"/>
          <w:sz w:val="21"/>
          <w:szCs w:val="21"/>
          <w:lang w:val="en-US"/>
        </w:rPr>
      </w:pPr>
    </w:p>
    <w:p w14:paraId="6401B8A8" w14:textId="6445E4C7" w:rsidR="00B117BB" w:rsidRPr="00CC2594" w:rsidRDefault="00B117BB" w:rsidP="00B117BB">
      <w:pPr>
        <w:numPr>
          <w:ilvl w:val="0"/>
          <w:numId w:val="2"/>
        </w:numPr>
        <w:spacing w:after="0" w:line="240" w:lineRule="auto"/>
        <w:ind w:hanging="294"/>
        <w:jc w:val="both"/>
        <w:rPr>
          <w:rFonts w:ascii="Cambria" w:eastAsia="Batang" w:hAnsi="Cambria" w:cs="Times New Roman"/>
          <w:b/>
          <w:sz w:val="21"/>
          <w:szCs w:val="21"/>
          <w:lang w:val="en-US"/>
        </w:rPr>
      </w:pPr>
      <w:r w:rsidRPr="00CC2594">
        <w:rPr>
          <w:rFonts w:ascii="Cambria" w:eastAsia="Batang" w:hAnsi="Cambria" w:cs="Times New Roman"/>
          <w:b/>
          <w:sz w:val="21"/>
          <w:szCs w:val="21"/>
          <w:lang w:val="en-US"/>
        </w:rPr>
        <w:t>AN</w:t>
      </w:r>
      <w:r w:rsidR="00954EBB" w:rsidRPr="00CC2594">
        <w:rPr>
          <w:rFonts w:ascii="Cambria" w:eastAsia="Batang" w:hAnsi="Cambria" w:cs="Times New Roman"/>
          <w:b/>
          <w:sz w:val="21"/>
          <w:szCs w:val="21"/>
          <w:lang w:val="en-US"/>
        </w:rPr>
        <w:t>ALYSIS OF THE ELEMENTS OF SERIOUSNESS, URGENCY AND IRREPARABLE HARM</w:t>
      </w:r>
    </w:p>
    <w:p w14:paraId="3115FCC5" w14:textId="77777777" w:rsidR="00B117BB" w:rsidRPr="00CC2594" w:rsidRDefault="00B117BB" w:rsidP="00B117BB">
      <w:pPr>
        <w:spacing w:after="0" w:line="240" w:lineRule="auto"/>
        <w:ind w:left="720"/>
        <w:jc w:val="both"/>
        <w:rPr>
          <w:rFonts w:ascii="Cambria" w:eastAsia="Batang" w:hAnsi="Cambria" w:cs="Times New Roman"/>
          <w:b/>
          <w:sz w:val="21"/>
          <w:szCs w:val="21"/>
          <w:lang w:val="en-US"/>
        </w:rPr>
      </w:pPr>
    </w:p>
    <w:p w14:paraId="6B69A71F" w14:textId="23876D36" w:rsidR="00F21616" w:rsidRPr="00CC2594" w:rsidRDefault="00F21616" w:rsidP="00F21616">
      <w:pPr>
        <w:numPr>
          <w:ilvl w:val="0"/>
          <w:numId w:val="3"/>
        </w:numPr>
        <w:spacing w:after="0" w:line="240" w:lineRule="auto"/>
        <w:ind w:left="0" w:firstLine="360"/>
        <w:contextualSpacing/>
        <w:jc w:val="both"/>
        <w:rPr>
          <w:rFonts w:ascii="Cambria" w:eastAsia="Batang" w:hAnsi="Cambria" w:cs="Times New Roman"/>
          <w:sz w:val="21"/>
          <w:szCs w:val="21"/>
          <w:lang w:val="en-US"/>
        </w:rPr>
      </w:pPr>
      <w:r w:rsidRPr="00CC2594">
        <w:rPr>
          <w:rFonts w:ascii="Cambria" w:eastAsia="Batang" w:hAnsi="Cambria" w:cs="Times New Roman"/>
          <w:sz w:val="21"/>
          <w:szCs w:val="21"/>
          <w:lang w:val="en-US"/>
        </w:rPr>
        <w:t xml:space="preserve">Precautionary measures are one of the mechanisms of the Commission for the exercise of its function of </w:t>
      </w:r>
      <w:r w:rsidR="00EB2B90" w:rsidRPr="00CC2594">
        <w:rPr>
          <w:rFonts w:ascii="Cambria" w:eastAsia="Batang" w:hAnsi="Cambria" w:cs="Times New Roman"/>
          <w:sz w:val="21"/>
          <w:szCs w:val="21"/>
          <w:lang w:val="en-US"/>
        </w:rPr>
        <w:t>overseeing</w:t>
      </w:r>
      <w:r w:rsidRPr="00CC2594">
        <w:rPr>
          <w:rFonts w:ascii="Cambria" w:eastAsia="Batang" w:hAnsi="Cambria" w:cs="Times New Roman"/>
          <w:sz w:val="21"/>
          <w:szCs w:val="21"/>
          <w:lang w:val="en-US"/>
        </w:rPr>
        <w:t xml:space="preserve"> compliance with human rights obligations, as established in Article 106 of the Charter of the Organization of American States. The</w:t>
      </w:r>
      <w:r w:rsidR="00FE0144" w:rsidRPr="00CC2594">
        <w:rPr>
          <w:rFonts w:ascii="Cambria" w:eastAsia="Batang" w:hAnsi="Cambria" w:cs="Times New Roman"/>
          <w:sz w:val="21"/>
          <w:szCs w:val="21"/>
          <w:lang w:val="en-US"/>
        </w:rPr>
        <w:t>se</w:t>
      </w:r>
      <w:r w:rsidRPr="00CC2594">
        <w:rPr>
          <w:rFonts w:ascii="Cambria" w:eastAsia="Batang" w:hAnsi="Cambria" w:cs="Times New Roman"/>
          <w:sz w:val="21"/>
          <w:szCs w:val="21"/>
          <w:lang w:val="en-US"/>
        </w:rPr>
        <w:t xml:space="preserve"> general </w:t>
      </w:r>
      <w:r w:rsidR="00FE0144" w:rsidRPr="00CC2594">
        <w:rPr>
          <w:rFonts w:ascii="Cambria" w:eastAsia="Batang" w:hAnsi="Cambria" w:cs="Times New Roman"/>
          <w:sz w:val="21"/>
          <w:szCs w:val="21"/>
          <w:lang w:val="en-US"/>
        </w:rPr>
        <w:t>oversight</w:t>
      </w:r>
      <w:r w:rsidRPr="00CC2594">
        <w:rPr>
          <w:rFonts w:ascii="Cambria" w:eastAsia="Batang" w:hAnsi="Cambria" w:cs="Times New Roman"/>
          <w:sz w:val="21"/>
          <w:szCs w:val="21"/>
          <w:lang w:val="en-US"/>
        </w:rPr>
        <w:t xml:space="preserve"> functions are established in Article 41(b) of the American Convention on Human Rights, </w:t>
      </w:r>
      <w:r w:rsidR="00FE0144" w:rsidRPr="00CC2594">
        <w:rPr>
          <w:rFonts w:ascii="Cambria" w:eastAsia="Batang" w:hAnsi="Cambria" w:cs="Times New Roman"/>
          <w:sz w:val="21"/>
          <w:szCs w:val="21"/>
          <w:lang w:val="en-US"/>
        </w:rPr>
        <w:t xml:space="preserve">as well as </w:t>
      </w:r>
      <w:r w:rsidRPr="00CC2594">
        <w:rPr>
          <w:rFonts w:ascii="Cambria" w:eastAsia="Batang" w:hAnsi="Cambria" w:cs="Times New Roman"/>
          <w:sz w:val="21"/>
          <w:szCs w:val="21"/>
          <w:lang w:val="en-US"/>
        </w:rPr>
        <w:t xml:space="preserve">in Article 18(b) of the </w:t>
      </w:r>
      <w:r w:rsidR="00445639" w:rsidRPr="00CC2594">
        <w:rPr>
          <w:rFonts w:ascii="Cambria" w:eastAsia="Batang" w:hAnsi="Cambria" w:cs="Times New Roman"/>
          <w:sz w:val="21"/>
          <w:szCs w:val="21"/>
          <w:lang w:val="en-US"/>
        </w:rPr>
        <w:t>Statute of the IACHR</w:t>
      </w:r>
      <w:r w:rsidRPr="00CC2594">
        <w:rPr>
          <w:rFonts w:ascii="Cambria" w:eastAsia="Batang" w:hAnsi="Cambria" w:cs="Times New Roman"/>
          <w:sz w:val="21"/>
          <w:szCs w:val="21"/>
          <w:lang w:val="en-US"/>
        </w:rPr>
        <w:t xml:space="preserve">. The precautionary measures </w:t>
      </w:r>
      <w:r w:rsidR="00445639" w:rsidRPr="00CC2594">
        <w:rPr>
          <w:rFonts w:ascii="Cambria" w:eastAsia="Batang" w:hAnsi="Cambria" w:cs="Times New Roman"/>
          <w:sz w:val="21"/>
          <w:szCs w:val="21"/>
          <w:lang w:val="en-US"/>
        </w:rPr>
        <w:t xml:space="preserve">mechanism </w:t>
      </w:r>
      <w:r w:rsidRPr="00CC2594">
        <w:rPr>
          <w:rFonts w:ascii="Cambria" w:eastAsia="Batang" w:hAnsi="Cambria" w:cs="Times New Roman"/>
          <w:sz w:val="21"/>
          <w:szCs w:val="21"/>
          <w:lang w:val="en-US"/>
        </w:rPr>
        <w:t xml:space="preserve">is described in Article 25 of the </w:t>
      </w:r>
      <w:r w:rsidR="00445639" w:rsidRPr="00CC2594">
        <w:rPr>
          <w:rFonts w:ascii="Cambria" w:eastAsia="Batang" w:hAnsi="Cambria" w:cs="Times New Roman"/>
          <w:sz w:val="21"/>
          <w:szCs w:val="21"/>
          <w:lang w:val="en-US"/>
        </w:rPr>
        <w:t xml:space="preserve">Rules of Procedure of the </w:t>
      </w:r>
      <w:r w:rsidRPr="00CC2594">
        <w:rPr>
          <w:rFonts w:ascii="Cambria" w:eastAsia="Batang" w:hAnsi="Cambria" w:cs="Times New Roman"/>
          <w:sz w:val="21"/>
          <w:szCs w:val="21"/>
          <w:lang w:val="en-US"/>
        </w:rPr>
        <w:t>Commission</w:t>
      </w:r>
      <w:r w:rsidR="00445639" w:rsidRPr="00CC2594">
        <w:rPr>
          <w:rFonts w:ascii="Cambria" w:eastAsia="Batang" w:hAnsi="Cambria" w:cs="Times New Roman"/>
          <w:sz w:val="21"/>
          <w:szCs w:val="21"/>
          <w:lang w:val="en-US"/>
        </w:rPr>
        <w:t>. In accordance with that A</w:t>
      </w:r>
      <w:r w:rsidRPr="00CC2594">
        <w:rPr>
          <w:rFonts w:ascii="Cambria" w:eastAsia="Batang" w:hAnsi="Cambria" w:cs="Times New Roman"/>
          <w:sz w:val="21"/>
          <w:szCs w:val="21"/>
          <w:lang w:val="en-US"/>
        </w:rPr>
        <w:t>rticle, the Commission grants precautionary</w:t>
      </w:r>
      <w:r w:rsidR="00636B67" w:rsidRPr="00CC2594">
        <w:rPr>
          <w:rFonts w:ascii="Cambria" w:eastAsia="Batang" w:hAnsi="Cambria" w:cs="Times New Roman"/>
          <w:sz w:val="21"/>
          <w:szCs w:val="21"/>
          <w:lang w:val="en-US"/>
        </w:rPr>
        <w:t xml:space="preserve"> measures in serious and urgent situations</w:t>
      </w:r>
      <w:r w:rsidRPr="00CC2594">
        <w:rPr>
          <w:rFonts w:ascii="Cambria" w:eastAsia="Batang" w:hAnsi="Cambria" w:cs="Times New Roman"/>
          <w:sz w:val="21"/>
          <w:szCs w:val="21"/>
          <w:lang w:val="en-US"/>
        </w:rPr>
        <w:t xml:space="preserve"> in which </w:t>
      </w:r>
      <w:r w:rsidR="00636B67" w:rsidRPr="00CC2594">
        <w:rPr>
          <w:rFonts w:ascii="Cambria" w:eastAsia="Batang" w:hAnsi="Cambria" w:cs="Times New Roman"/>
          <w:sz w:val="21"/>
          <w:szCs w:val="21"/>
          <w:lang w:val="en-US"/>
        </w:rPr>
        <w:t>these</w:t>
      </w:r>
      <w:r w:rsidRPr="00CC2594">
        <w:rPr>
          <w:rFonts w:ascii="Cambria" w:eastAsia="Batang" w:hAnsi="Cambria" w:cs="Times New Roman"/>
          <w:sz w:val="21"/>
          <w:szCs w:val="21"/>
          <w:lang w:val="en-US"/>
        </w:rPr>
        <w:t xml:space="preserve"> measures are necessary to </w:t>
      </w:r>
      <w:r w:rsidR="00636B67" w:rsidRPr="00CC2594">
        <w:rPr>
          <w:rFonts w:ascii="Cambria" w:eastAsia="Batang" w:hAnsi="Cambria" w:cs="Times New Roman"/>
          <w:sz w:val="21"/>
          <w:szCs w:val="21"/>
          <w:lang w:val="en-US"/>
        </w:rPr>
        <w:t xml:space="preserve">avoid an </w:t>
      </w:r>
      <w:r w:rsidRPr="00CC2594">
        <w:rPr>
          <w:rFonts w:ascii="Cambria" w:eastAsia="Batang" w:hAnsi="Cambria" w:cs="Times New Roman"/>
          <w:sz w:val="21"/>
          <w:szCs w:val="21"/>
          <w:lang w:val="en-US"/>
        </w:rPr>
        <w:t>irreparable harm to persons.</w:t>
      </w:r>
    </w:p>
    <w:p w14:paraId="08AB3758" w14:textId="77777777" w:rsidR="00B117BB" w:rsidRPr="00CC2594" w:rsidRDefault="00B117BB" w:rsidP="00A8790B">
      <w:pPr>
        <w:spacing w:after="0" w:line="240" w:lineRule="auto"/>
        <w:jc w:val="both"/>
        <w:rPr>
          <w:rFonts w:ascii="Cambria" w:eastAsia="Batang" w:hAnsi="Cambria" w:cs="Times New Roman"/>
          <w:sz w:val="21"/>
          <w:szCs w:val="21"/>
          <w:lang w:val="en-US"/>
        </w:rPr>
      </w:pPr>
    </w:p>
    <w:p w14:paraId="35605040" w14:textId="3959A8FD" w:rsidR="00971855" w:rsidRPr="00CC2594" w:rsidRDefault="00971855" w:rsidP="00971855">
      <w:pPr>
        <w:numPr>
          <w:ilvl w:val="0"/>
          <w:numId w:val="3"/>
        </w:numPr>
        <w:spacing w:after="0" w:line="240" w:lineRule="auto"/>
        <w:ind w:left="0" w:firstLine="360"/>
        <w:jc w:val="both"/>
        <w:rPr>
          <w:rFonts w:ascii="Cambria" w:eastAsia="Batang" w:hAnsi="Cambria" w:cs="Times New Roman"/>
          <w:sz w:val="21"/>
          <w:szCs w:val="21"/>
          <w:lang w:val="en-US"/>
        </w:rPr>
      </w:pPr>
      <w:r w:rsidRPr="00CC2594">
        <w:rPr>
          <w:rFonts w:ascii="Cambria" w:eastAsia="Batang" w:hAnsi="Cambria" w:cs="Times New Roman"/>
          <w:sz w:val="21"/>
          <w:szCs w:val="21"/>
          <w:lang w:val="en-US"/>
        </w:rPr>
        <w:t>The Inter-American Commission and the Inter-American Court of Human Rights (hereinafter "the Inter-American Court" or “I/A Court H.R.”) have established repeatedly that precautionary and provisional measures have a dual nature, one being precautionary and the other being protective. As regards the protective nature, these measures seek to avoid irreparable harm and preserve the exercise of human rights. Regarding the</w:t>
      </w:r>
      <w:r w:rsidR="00B724D8" w:rsidRPr="00CC2594">
        <w:rPr>
          <w:rFonts w:ascii="Cambria" w:eastAsia="Batang" w:hAnsi="Cambria" w:cs="Times New Roman"/>
          <w:sz w:val="21"/>
          <w:szCs w:val="21"/>
          <w:lang w:val="en-US"/>
        </w:rPr>
        <w:t>ir</w:t>
      </w:r>
      <w:r w:rsidRPr="00CC2594">
        <w:rPr>
          <w:rFonts w:ascii="Cambria" w:eastAsia="Batang" w:hAnsi="Cambria" w:cs="Times New Roman"/>
          <w:sz w:val="21"/>
          <w:szCs w:val="21"/>
          <w:lang w:val="en-US"/>
        </w:rPr>
        <w:t xml:space="preserve"> precautionary nature, </w:t>
      </w:r>
      <w:r w:rsidR="00B724D8" w:rsidRPr="00CC2594">
        <w:rPr>
          <w:rFonts w:ascii="Cambria" w:eastAsia="Batang" w:hAnsi="Cambria" w:cs="Times New Roman"/>
          <w:sz w:val="21"/>
          <w:szCs w:val="21"/>
          <w:lang w:val="en-US"/>
        </w:rPr>
        <w:t>these</w:t>
      </w:r>
      <w:r w:rsidRPr="00CC2594">
        <w:rPr>
          <w:rFonts w:ascii="Cambria" w:eastAsia="Batang" w:hAnsi="Cambria" w:cs="Times New Roman"/>
          <w:sz w:val="21"/>
          <w:szCs w:val="21"/>
          <w:lang w:val="en-US"/>
        </w:rPr>
        <w:t xml:space="preserve"> measures </w:t>
      </w:r>
      <w:r w:rsidR="00B724D8" w:rsidRPr="00CC2594">
        <w:rPr>
          <w:rFonts w:ascii="Cambria" w:eastAsia="Batang" w:hAnsi="Cambria" w:cs="Times New Roman"/>
          <w:sz w:val="21"/>
          <w:szCs w:val="21"/>
          <w:lang w:val="en-US"/>
        </w:rPr>
        <w:t>have the purpose</w:t>
      </w:r>
      <w:r w:rsidRPr="00CC2594">
        <w:rPr>
          <w:rFonts w:ascii="Cambria" w:eastAsia="Batang" w:hAnsi="Cambria" w:cs="Times New Roman"/>
          <w:sz w:val="21"/>
          <w:szCs w:val="21"/>
          <w:lang w:val="en-US"/>
        </w:rPr>
        <w:t xml:space="preserve"> </w:t>
      </w:r>
      <w:r w:rsidR="00B724D8" w:rsidRPr="00CC2594">
        <w:rPr>
          <w:rFonts w:ascii="Cambria" w:eastAsia="Batang" w:hAnsi="Cambria" w:cs="Times New Roman"/>
          <w:sz w:val="21"/>
          <w:szCs w:val="21"/>
          <w:lang w:val="en-US"/>
        </w:rPr>
        <w:t>of preserving</w:t>
      </w:r>
      <w:r w:rsidRPr="00CC2594">
        <w:rPr>
          <w:rFonts w:ascii="Cambria" w:eastAsia="Batang" w:hAnsi="Cambria" w:cs="Times New Roman"/>
          <w:sz w:val="21"/>
          <w:szCs w:val="21"/>
          <w:lang w:val="en-US"/>
        </w:rPr>
        <w:t xml:space="preserve"> legal situation</w:t>
      </w:r>
      <w:r w:rsidR="00C2741A" w:rsidRPr="00CC2594">
        <w:rPr>
          <w:rFonts w:ascii="Cambria" w:eastAsia="Batang" w:hAnsi="Cambria" w:cs="Times New Roman"/>
          <w:sz w:val="21"/>
          <w:szCs w:val="21"/>
          <w:lang w:val="en-US"/>
        </w:rPr>
        <w:t>s while they are</w:t>
      </w:r>
      <w:r w:rsidRPr="00CC2594">
        <w:rPr>
          <w:rFonts w:ascii="Cambria" w:eastAsia="Batang" w:hAnsi="Cambria" w:cs="Times New Roman"/>
          <w:sz w:val="21"/>
          <w:szCs w:val="21"/>
          <w:lang w:val="en-US"/>
        </w:rPr>
        <w:t xml:space="preserve"> being considered by the IACHR. The</w:t>
      </w:r>
      <w:r w:rsidR="004952F5" w:rsidRPr="00CC2594">
        <w:rPr>
          <w:rFonts w:ascii="Cambria" w:eastAsia="Batang" w:hAnsi="Cambria" w:cs="Times New Roman"/>
          <w:sz w:val="21"/>
          <w:szCs w:val="21"/>
          <w:lang w:val="en-US"/>
        </w:rPr>
        <w:t>ir precautionary nature aims</w:t>
      </w:r>
      <w:r w:rsidRPr="00CC2594">
        <w:rPr>
          <w:rFonts w:ascii="Cambria" w:eastAsia="Batang" w:hAnsi="Cambria" w:cs="Times New Roman"/>
          <w:sz w:val="21"/>
          <w:szCs w:val="21"/>
          <w:lang w:val="en-US"/>
        </w:rPr>
        <w:t xml:space="preserve"> to </w:t>
      </w:r>
      <w:r w:rsidR="004952F5" w:rsidRPr="00CC2594">
        <w:rPr>
          <w:rFonts w:ascii="Cambria" w:eastAsia="Batang" w:hAnsi="Cambria" w:cs="Times New Roman"/>
          <w:sz w:val="21"/>
          <w:szCs w:val="21"/>
          <w:lang w:val="en-US"/>
        </w:rPr>
        <w:t>safeguard the rights at</w:t>
      </w:r>
      <w:r w:rsidRPr="00CC2594">
        <w:rPr>
          <w:rFonts w:ascii="Cambria" w:eastAsia="Batang" w:hAnsi="Cambria" w:cs="Times New Roman"/>
          <w:sz w:val="21"/>
          <w:szCs w:val="21"/>
          <w:lang w:val="en-US"/>
        </w:rPr>
        <w:t xml:space="preserve"> risk until the request under consideration in the Inter-American System is resolved. </w:t>
      </w:r>
      <w:r w:rsidR="000B203A" w:rsidRPr="00CC2594">
        <w:rPr>
          <w:rFonts w:ascii="Cambria" w:eastAsia="Batang" w:hAnsi="Cambria" w:cs="Times New Roman"/>
          <w:sz w:val="21"/>
          <w:szCs w:val="21"/>
          <w:lang w:val="en-US"/>
        </w:rPr>
        <w:t>The</w:t>
      </w:r>
      <w:r w:rsidR="00B84F8E" w:rsidRPr="00CC2594">
        <w:rPr>
          <w:rFonts w:ascii="Cambria" w:eastAsia="Batang" w:hAnsi="Cambria" w:cs="Times New Roman"/>
          <w:sz w:val="21"/>
          <w:szCs w:val="21"/>
          <w:lang w:val="en-US"/>
        </w:rPr>
        <w:t>ir</w:t>
      </w:r>
      <w:r w:rsidR="000B203A" w:rsidRPr="00CC2594">
        <w:rPr>
          <w:rFonts w:ascii="Cambria" w:eastAsia="Batang" w:hAnsi="Cambria" w:cs="Times New Roman"/>
          <w:sz w:val="21"/>
          <w:szCs w:val="21"/>
          <w:lang w:val="en-US"/>
        </w:rPr>
        <w:t xml:space="preserve"> object and purpose are</w:t>
      </w:r>
      <w:r w:rsidRPr="00CC2594">
        <w:rPr>
          <w:rFonts w:ascii="Cambria" w:eastAsia="Batang" w:hAnsi="Cambria" w:cs="Times New Roman"/>
          <w:sz w:val="21"/>
          <w:szCs w:val="21"/>
          <w:lang w:val="en-US"/>
        </w:rPr>
        <w:t xml:space="preserve"> to ensure the in</w:t>
      </w:r>
      <w:r w:rsidR="000B203A" w:rsidRPr="00CC2594">
        <w:rPr>
          <w:rFonts w:ascii="Cambria" w:eastAsia="Batang" w:hAnsi="Cambria" w:cs="Times New Roman"/>
          <w:sz w:val="21"/>
          <w:szCs w:val="21"/>
          <w:lang w:val="en-US"/>
        </w:rPr>
        <w:t>tegrity and effectiveness of an eventual</w:t>
      </w:r>
      <w:r w:rsidRPr="00CC2594">
        <w:rPr>
          <w:rFonts w:ascii="Cambria" w:eastAsia="Batang" w:hAnsi="Cambria" w:cs="Times New Roman"/>
          <w:sz w:val="21"/>
          <w:szCs w:val="21"/>
          <w:lang w:val="en-US"/>
        </w:rPr>
        <w:t xml:space="preserve"> decision on the merits and, thus, avoid any further infringement of the rights at issue, a situation that may adversely affect the useful effect (</w:t>
      </w:r>
      <w:proofErr w:type="spellStart"/>
      <w:r w:rsidRPr="00CC2594">
        <w:rPr>
          <w:rFonts w:ascii="Cambria" w:eastAsia="Batang" w:hAnsi="Cambria" w:cs="Times New Roman"/>
          <w:i/>
          <w:sz w:val="21"/>
          <w:szCs w:val="21"/>
          <w:lang w:val="en-US"/>
        </w:rPr>
        <w:t>effet</w:t>
      </w:r>
      <w:proofErr w:type="spellEnd"/>
      <w:r w:rsidRPr="00CC2594">
        <w:rPr>
          <w:rFonts w:ascii="Cambria" w:eastAsia="Batang" w:hAnsi="Cambria" w:cs="Times New Roman"/>
          <w:i/>
          <w:sz w:val="21"/>
          <w:szCs w:val="21"/>
          <w:lang w:val="en-US"/>
        </w:rPr>
        <w:t xml:space="preserve"> utile</w:t>
      </w:r>
      <w:r w:rsidRPr="00CC2594">
        <w:rPr>
          <w:rFonts w:ascii="Cambria" w:eastAsia="Batang" w:hAnsi="Cambria" w:cs="Times New Roman"/>
          <w:sz w:val="21"/>
          <w:szCs w:val="21"/>
          <w:lang w:val="en-US"/>
        </w:rPr>
        <w:t>) of the final decision. In this regard, precautionary or provisional measures allow the State concerned to comply with the final decision and, if necessary, implement the ordered reparations. Regarding the process of decision making and, according to Article 25(2) of the Rules of Procedure, the Commission considers that:</w:t>
      </w:r>
    </w:p>
    <w:p w14:paraId="4AF37879" w14:textId="77777777" w:rsidR="00971855" w:rsidRPr="00CC2594" w:rsidRDefault="00971855" w:rsidP="00971855">
      <w:pPr>
        <w:spacing w:after="0" w:line="240" w:lineRule="auto"/>
        <w:jc w:val="both"/>
        <w:rPr>
          <w:rFonts w:ascii="Cambria" w:eastAsia="Batang" w:hAnsi="Cambria" w:cs="Times New Roman"/>
          <w:sz w:val="21"/>
          <w:szCs w:val="21"/>
          <w:lang w:val="en-US"/>
        </w:rPr>
      </w:pPr>
    </w:p>
    <w:p w14:paraId="79618FE6" w14:textId="77777777" w:rsidR="00971855" w:rsidRPr="00CC2594" w:rsidRDefault="00971855" w:rsidP="00971855">
      <w:pPr>
        <w:numPr>
          <w:ilvl w:val="0"/>
          <w:numId w:val="1"/>
        </w:numPr>
        <w:spacing w:after="0" w:line="240" w:lineRule="auto"/>
        <w:ind w:left="709"/>
        <w:jc w:val="both"/>
        <w:rPr>
          <w:rFonts w:ascii="Cambria" w:eastAsia="Batang" w:hAnsi="Cambria" w:cs="Times New Roman"/>
          <w:sz w:val="18"/>
          <w:szCs w:val="21"/>
          <w:lang w:val="en-US"/>
        </w:rPr>
      </w:pPr>
      <w:r w:rsidRPr="00CC2594">
        <w:rPr>
          <w:rFonts w:ascii="Cambria" w:eastAsia="Batang" w:hAnsi="Cambria" w:cs="Times New Roman"/>
          <w:sz w:val="18"/>
          <w:szCs w:val="21"/>
          <w:lang w:val="en-US"/>
        </w:rPr>
        <w:t>“serious situation" refers to a grave impact that an action or omission can have on a protected right or on the eventual effect of a pending decision in a case or petition before the organs of the Inter-American System;</w:t>
      </w:r>
    </w:p>
    <w:p w14:paraId="2EDA5182" w14:textId="77777777" w:rsidR="00971855" w:rsidRPr="00CC2594" w:rsidRDefault="00971855" w:rsidP="00971855">
      <w:pPr>
        <w:spacing w:after="0" w:line="240" w:lineRule="auto"/>
        <w:ind w:left="709"/>
        <w:jc w:val="both"/>
        <w:rPr>
          <w:rFonts w:ascii="Cambria" w:eastAsia="Batang" w:hAnsi="Cambria" w:cs="Times New Roman"/>
          <w:sz w:val="18"/>
          <w:szCs w:val="21"/>
          <w:lang w:val="en-US"/>
        </w:rPr>
      </w:pPr>
    </w:p>
    <w:p w14:paraId="0875B1E3" w14:textId="77777777" w:rsidR="00971855" w:rsidRPr="00CC2594" w:rsidRDefault="00971855" w:rsidP="00971855">
      <w:pPr>
        <w:numPr>
          <w:ilvl w:val="0"/>
          <w:numId w:val="1"/>
        </w:numPr>
        <w:spacing w:after="0" w:line="240" w:lineRule="auto"/>
        <w:ind w:left="709"/>
        <w:jc w:val="both"/>
        <w:rPr>
          <w:rFonts w:ascii="Cambria" w:eastAsia="Batang" w:hAnsi="Cambria" w:cs="Times New Roman"/>
          <w:sz w:val="18"/>
          <w:szCs w:val="21"/>
          <w:lang w:val="en-US"/>
        </w:rPr>
      </w:pPr>
      <w:r w:rsidRPr="00CC2594">
        <w:rPr>
          <w:rFonts w:ascii="Cambria" w:eastAsia="Batang" w:hAnsi="Cambria" w:cs="Times New Roman"/>
          <w:sz w:val="18"/>
          <w:szCs w:val="21"/>
          <w:lang w:val="en-US"/>
        </w:rPr>
        <w:t xml:space="preserve"> “urgent situation” refers to risk or threat that is imminent and can materialize, thus requiring immediate preventive or protective action; and </w:t>
      </w:r>
    </w:p>
    <w:p w14:paraId="2635F3C9" w14:textId="77777777" w:rsidR="00971855" w:rsidRPr="00CC2594" w:rsidRDefault="00971855" w:rsidP="00971855">
      <w:pPr>
        <w:spacing w:after="0" w:line="240" w:lineRule="auto"/>
        <w:ind w:left="709"/>
        <w:jc w:val="both"/>
        <w:rPr>
          <w:rFonts w:ascii="Cambria" w:eastAsia="Batang" w:hAnsi="Cambria" w:cs="Times New Roman"/>
          <w:sz w:val="18"/>
          <w:szCs w:val="21"/>
          <w:lang w:val="en-US"/>
        </w:rPr>
      </w:pPr>
    </w:p>
    <w:p w14:paraId="7ED620D6" w14:textId="77777777" w:rsidR="00971855" w:rsidRPr="00CC2594" w:rsidRDefault="00971855" w:rsidP="00971855">
      <w:pPr>
        <w:numPr>
          <w:ilvl w:val="0"/>
          <w:numId w:val="1"/>
        </w:numPr>
        <w:spacing w:after="0" w:line="240" w:lineRule="auto"/>
        <w:ind w:left="709"/>
        <w:jc w:val="both"/>
        <w:rPr>
          <w:rFonts w:ascii="Cambria" w:eastAsia="Batang" w:hAnsi="Cambria" w:cs="Times New Roman"/>
          <w:sz w:val="18"/>
          <w:szCs w:val="21"/>
          <w:lang w:val="en-US"/>
        </w:rPr>
      </w:pPr>
      <w:r w:rsidRPr="00CC2594">
        <w:rPr>
          <w:rFonts w:ascii="Cambria" w:eastAsia="Batang" w:hAnsi="Cambria" w:cs="Times New Roman"/>
          <w:sz w:val="18"/>
          <w:szCs w:val="21"/>
          <w:lang w:val="en-US"/>
        </w:rPr>
        <w:t>“</w:t>
      </w:r>
      <w:proofErr w:type="gramStart"/>
      <w:r w:rsidRPr="00CC2594">
        <w:rPr>
          <w:rFonts w:ascii="Cambria" w:eastAsia="Batang" w:hAnsi="Cambria" w:cs="Times New Roman"/>
          <w:sz w:val="18"/>
          <w:szCs w:val="21"/>
          <w:lang w:val="en-US"/>
        </w:rPr>
        <w:t>irreparable</w:t>
      </w:r>
      <w:proofErr w:type="gramEnd"/>
      <w:r w:rsidRPr="00CC2594">
        <w:rPr>
          <w:rFonts w:ascii="Cambria" w:eastAsia="Batang" w:hAnsi="Cambria" w:cs="Times New Roman"/>
          <w:sz w:val="18"/>
          <w:szCs w:val="21"/>
          <w:lang w:val="en-US"/>
        </w:rPr>
        <w:t xml:space="preserve"> harm” refers to injury to rights which, due to their nature, would not be susceptible to reparation, restoration or adequate compensation.</w:t>
      </w:r>
    </w:p>
    <w:p w14:paraId="17991AC1" w14:textId="4879F2D9" w:rsidR="00B117BB" w:rsidRPr="00CC2594" w:rsidRDefault="00B117BB" w:rsidP="00971855">
      <w:pPr>
        <w:spacing w:after="0" w:line="240" w:lineRule="auto"/>
        <w:ind w:left="360"/>
        <w:jc w:val="both"/>
        <w:rPr>
          <w:rFonts w:ascii="Cambria" w:eastAsia="Batang" w:hAnsi="Cambria" w:cs="Times New Roman"/>
          <w:sz w:val="21"/>
          <w:szCs w:val="21"/>
          <w:lang w:val="en-US"/>
        </w:rPr>
      </w:pPr>
    </w:p>
    <w:p w14:paraId="67A4242B" w14:textId="7496EDC1" w:rsidR="00B117BB" w:rsidRPr="00CC2594" w:rsidRDefault="00091EAE" w:rsidP="00A8790B">
      <w:pPr>
        <w:numPr>
          <w:ilvl w:val="0"/>
          <w:numId w:val="3"/>
        </w:numPr>
        <w:spacing w:after="0" w:line="240" w:lineRule="auto"/>
        <w:ind w:left="0" w:firstLine="360"/>
        <w:jc w:val="both"/>
        <w:rPr>
          <w:rFonts w:ascii="Cambria" w:eastAsia="Batang" w:hAnsi="Cambria" w:cs="Times New Roman"/>
          <w:sz w:val="21"/>
          <w:szCs w:val="21"/>
          <w:lang w:val="en-US"/>
        </w:rPr>
      </w:pPr>
      <w:r w:rsidRPr="00CC2594">
        <w:rPr>
          <w:rFonts w:ascii="Cambria" w:eastAsia="Batang" w:hAnsi="Cambria" w:cs="Times New Roman"/>
          <w:sz w:val="21"/>
          <w:szCs w:val="21"/>
          <w:lang w:val="en-US"/>
        </w:rPr>
        <w:t xml:space="preserve">In analyzing those requirements, the Commission reiterates that the facts supporting a request for precautionary measures need not be proven beyond doubt; rather, the purpose of the assessment of the information provided should be to determine </w:t>
      </w:r>
      <w:r w:rsidRPr="00CC2594">
        <w:rPr>
          <w:rFonts w:ascii="Cambria" w:eastAsia="Batang" w:hAnsi="Cambria" w:cs="Times New Roman"/>
          <w:i/>
          <w:sz w:val="21"/>
          <w:szCs w:val="21"/>
          <w:lang w:val="en-US"/>
        </w:rPr>
        <w:t>prima facie</w:t>
      </w:r>
      <w:r w:rsidRPr="00CC2594">
        <w:rPr>
          <w:rFonts w:ascii="Cambria" w:eastAsia="Batang" w:hAnsi="Cambria" w:cs="Times New Roman"/>
          <w:sz w:val="21"/>
          <w:szCs w:val="21"/>
          <w:lang w:val="en-US"/>
        </w:rPr>
        <w:t xml:space="preserve"> if a serious and urgent situation exists</w:t>
      </w:r>
      <w:r w:rsidR="00B117BB" w:rsidRPr="00CC2594">
        <w:rPr>
          <w:rFonts w:ascii="Cambria" w:eastAsia="Batang" w:hAnsi="Cambria" w:cs="Times New Roman"/>
          <w:sz w:val="21"/>
          <w:szCs w:val="21"/>
          <w:vertAlign w:val="superscript"/>
          <w:lang w:val="en-US"/>
        </w:rPr>
        <w:footnoteReference w:id="2"/>
      </w:r>
      <w:r w:rsidR="00B117BB" w:rsidRPr="00CC2594">
        <w:rPr>
          <w:rFonts w:ascii="Cambria" w:eastAsia="Batang" w:hAnsi="Cambria" w:cs="Times New Roman"/>
          <w:sz w:val="21"/>
          <w:szCs w:val="21"/>
          <w:lang w:val="en-US"/>
        </w:rPr>
        <w:t>.</w:t>
      </w:r>
    </w:p>
    <w:p w14:paraId="42614A20" w14:textId="77777777" w:rsidR="00B74DAA" w:rsidRPr="00CC2594" w:rsidRDefault="00B74DAA" w:rsidP="00B74DAA">
      <w:pPr>
        <w:spacing w:after="0" w:line="240" w:lineRule="auto"/>
        <w:ind w:left="360"/>
        <w:jc w:val="both"/>
        <w:rPr>
          <w:rFonts w:ascii="Cambria" w:eastAsia="Batang" w:hAnsi="Cambria" w:cs="Times New Roman"/>
          <w:sz w:val="21"/>
          <w:szCs w:val="21"/>
          <w:lang w:val="en-US"/>
        </w:rPr>
      </w:pPr>
    </w:p>
    <w:p w14:paraId="6911A7AC" w14:textId="35EAFAE0" w:rsidR="004A2DEA" w:rsidRPr="00CC2594" w:rsidRDefault="004A2DEA" w:rsidP="004A2DEA">
      <w:pPr>
        <w:numPr>
          <w:ilvl w:val="0"/>
          <w:numId w:val="3"/>
        </w:numPr>
        <w:spacing w:after="0" w:line="240" w:lineRule="auto"/>
        <w:ind w:left="0" w:firstLine="360"/>
        <w:jc w:val="both"/>
        <w:rPr>
          <w:rFonts w:ascii="Cambria" w:eastAsia="Batang" w:hAnsi="Cambria" w:cs="Times New Roman"/>
          <w:sz w:val="21"/>
          <w:szCs w:val="21"/>
          <w:lang w:val="en-US"/>
        </w:rPr>
      </w:pPr>
      <w:r w:rsidRPr="00CC2594">
        <w:rPr>
          <w:rFonts w:ascii="Cambria" w:eastAsia="Batang" w:hAnsi="Cambria" w:cs="Times New Roman"/>
          <w:sz w:val="21"/>
          <w:szCs w:val="21"/>
          <w:lang w:val="en-US"/>
        </w:rPr>
        <w:t>Regarding the requirement of seriousness, in</w:t>
      </w:r>
      <w:r w:rsidR="00584374" w:rsidRPr="00CC2594">
        <w:rPr>
          <w:rFonts w:ascii="Cambria" w:eastAsia="Batang" w:hAnsi="Cambria" w:cs="Times New Roman"/>
          <w:sz w:val="21"/>
          <w:szCs w:val="21"/>
          <w:lang w:val="en-US"/>
        </w:rPr>
        <w:t xml:space="preserve"> alleged</w:t>
      </w:r>
      <w:r w:rsidRPr="00CC2594">
        <w:rPr>
          <w:rFonts w:ascii="Cambria" w:eastAsia="Batang" w:hAnsi="Cambria" w:cs="Times New Roman"/>
          <w:sz w:val="21"/>
          <w:szCs w:val="21"/>
          <w:lang w:val="en-US"/>
        </w:rPr>
        <w:t xml:space="preserve"> cases of disappearance the Commission has taken into account the indications of possible participation and </w:t>
      </w:r>
      <w:r w:rsidR="00D63C8F" w:rsidRPr="00CC2594">
        <w:rPr>
          <w:rFonts w:ascii="Cambria" w:eastAsia="Batang" w:hAnsi="Cambria" w:cs="Times New Roman"/>
          <w:sz w:val="21"/>
          <w:szCs w:val="21"/>
          <w:lang w:val="en-US"/>
        </w:rPr>
        <w:t xml:space="preserve">knowledge </w:t>
      </w:r>
      <w:r w:rsidR="00FA01EE" w:rsidRPr="00CC2594">
        <w:rPr>
          <w:rFonts w:ascii="Cambria" w:eastAsia="Batang" w:hAnsi="Cambria" w:cs="Times New Roman"/>
          <w:sz w:val="21"/>
          <w:szCs w:val="21"/>
          <w:lang w:val="en-US"/>
        </w:rPr>
        <w:t>by</w:t>
      </w:r>
      <w:r w:rsidR="00006AB4" w:rsidRPr="00CC2594">
        <w:rPr>
          <w:rFonts w:ascii="Cambria" w:eastAsia="Batang" w:hAnsi="Cambria" w:cs="Times New Roman"/>
          <w:sz w:val="21"/>
          <w:szCs w:val="21"/>
          <w:lang w:val="en-US"/>
        </w:rPr>
        <w:t xml:space="preserve"> </w:t>
      </w:r>
      <w:r w:rsidRPr="00CC2594">
        <w:rPr>
          <w:rFonts w:ascii="Cambria" w:eastAsia="Batang" w:hAnsi="Cambria" w:cs="Times New Roman"/>
          <w:sz w:val="21"/>
          <w:szCs w:val="21"/>
          <w:lang w:val="en-US"/>
        </w:rPr>
        <w:t>the State authorities in the events</w:t>
      </w:r>
      <w:r w:rsidR="004C04C1" w:rsidRPr="00CC2594">
        <w:rPr>
          <w:rStyle w:val="FootnoteReference"/>
          <w:rFonts w:ascii="Cambria" w:eastAsia="Batang" w:hAnsi="Cambria" w:cs="Times New Roman"/>
          <w:sz w:val="21"/>
          <w:szCs w:val="21"/>
          <w:lang w:val="es-ES"/>
        </w:rPr>
        <w:footnoteReference w:id="3"/>
      </w:r>
      <w:r w:rsidRPr="00CC2594">
        <w:rPr>
          <w:rFonts w:ascii="Cambria" w:eastAsia="Batang" w:hAnsi="Cambria" w:cs="Times New Roman"/>
          <w:sz w:val="21"/>
          <w:szCs w:val="21"/>
          <w:lang w:val="en-US"/>
        </w:rPr>
        <w:t xml:space="preserve">, since, without prejudice to the fact that the rights to life and personal integrity may also </w:t>
      </w:r>
      <w:r w:rsidRPr="00CC2594">
        <w:rPr>
          <w:rFonts w:ascii="Cambria" w:eastAsia="Batang" w:hAnsi="Cambria" w:cs="Times New Roman"/>
          <w:sz w:val="21"/>
          <w:szCs w:val="21"/>
          <w:lang w:val="en-US"/>
        </w:rPr>
        <w:lastRenderedPageBreak/>
        <w:t>be at risk in the event of an abduction</w:t>
      </w:r>
      <w:r w:rsidR="00392F77" w:rsidRPr="00CC2594">
        <w:rPr>
          <w:rStyle w:val="FootnoteReference"/>
          <w:rFonts w:ascii="Cambria" w:eastAsia="Batang" w:hAnsi="Cambria" w:cs="Times New Roman"/>
          <w:sz w:val="21"/>
          <w:szCs w:val="21"/>
          <w:lang w:val="es-ES"/>
        </w:rPr>
        <w:footnoteReference w:id="4"/>
      </w:r>
      <w:r w:rsidRPr="00CC2594">
        <w:rPr>
          <w:rFonts w:ascii="Cambria" w:eastAsia="Batang" w:hAnsi="Cambria" w:cs="Times New Roman"/>
          <w:sz w:val="21"/>
          <w:szCs w:val="21"/>
          <w:lang w:val="en-US"/>
        </w:rPr>
        <w:t xml:space="preserve"> or other cause of disappearance</w:t>
      </w:r>
      <w:r w:rsidR="00392F77" w:rsidRPr="00CC2594">
        <w:rPr>
          <w:rStyle w:val="FootnoteReference"/>
          <w:rFonts w:ascii="Cambria" w:eastAsia="Batang" w:hAnsi="Cambria" w:cs="Times New Roman"/>
          <w:sz w:val="21"/>
          <w:szCs w:val="21"/>
          <w:lang w:val="es-ES"/>
        </w:rPr>
        <w:footnoteReference w:id="5"/>
      </w:r>
      <w:r w:rsidRPr="00CC2594">
        <w:rPr>
          <w:rFonts w:ascii="Cambria" w:eastAsia="Batang" w:hAnsi="Cambria" w:cs="Times New Roman"/>
          <w:sz w:val="21"/>
          <w:szCs w:val="21"/>
          <w:lang w:val="en-US"/>
        </w:rPr>
        <w:t xml:space="preserve">, these aspects </w:t>
      </w:r>
      <w:r w:rsidR="008D2BFD" w:rsidRPr="00CC2594">
        <w:rPr>
          <w:rFonts w:ascii="Cambria" w:eastAsia="Batang" w:hAnsi="Cambria" w:cs="Times New Roman"/>
          <w:sz w:val="21"/>
          <w:szCs w:val="21"/>
          <w:lang w:val="en-US"/>
        </w:rPr>
        <w:t>impact</w:t>
      </w:r>
      <w:r w:rsidR="00392F77" w:rsidRPr="00CC2594">
        <w:rPr>
          <w:rFonts w:ascii="Cambria" w:eastAsia="Batang" w:hAnsi="Cambria" w:cs="Times New Roman"/>
          <w:sz w:val="21"/>
          <w:szCs w:val="21"/>
          <w:lang w:val="en-US"/>
        </w:rPr>
        <w:t xml:space="preserve"> </w:t>
      </w:r>
      <w:r w:rsidR="000522AE" w:rsidRPr="00CC2594">
        <w:rPr>
          <w:rFonts w:ascii="Cambria" w:eastAsia="Batang" w:hAnsi="Cambria" w:cs="Times New Roman"/>
          <w:sz w:val="21"/>
          <w:szCs w:val="21"/>
          <w:lang w:val="en-US"/>
        </w:rPr>
        <w:t>on</w:t>
      </w:r>
      <w:r w:rsidRPr="00CC2594">
        <w:rPr>
          <w:rFonts w:ascii="Cambria" w:eastAsia="Batang" w:hAnsi="Cambria" w:cs="Times New Roman"/>
          <w:sz w:val="21"/>
          <w:szCs w:val="21"/>
          <w:lang w:val="en-US"/>
        </w:rPr>
        <w:t xml:space="preserve"> the specific assessment made at the time of </w:t>
      </w:r>
      <w:r w:rsidR="000656BE" w:rsidRPr="00CC2594">
        <w:rPr>
          <w:rFonts w:ascii="Cambria" w:eastAsia="Batang" w:hAnsi="Cambria" w:cs="Times New Roman"/>
          <w:sz w:val="21"/>
          <w:szCs w:val="21"/>
          <w:lang w:val="en-US"/>
        </w:rPr>
        <w:t>evaluating</w:t>
      </w:r>
      <w:r w:rsidRPr="00CC2594">
        <w:rPr>
          <w:rFonts w:ascii="Cambria" w:eastAsia="Batang" w:hAnsi="Cambria" w:cs="Times New Roman"/>
          <w:sz w:val="21"/>
          <w:szCs w:val="21"/>
          <w:lang w:val="en-US"/>
        </w:rPr>
        <w:t xml:space="preserve"> the seriousness. In accordance with existing precedents,</w:t>
      </w:r>
      <w:r w:rsidR="00D67546" w:rsidRPr="00CC2594">
        <w:rPr>
          <w:rFonts w:ascii="Cambria" w:eastAsia="Batang" w:hAnsi="Cambria" w:cs="Times New Roman"/>
          <w:sz w:val="21"/>
          <w:szCs w:val="21"/>
          <w:lang w:val="en-US"/>
        </w:rPr>
        <w:t xml:space="preserve"> examples of possible linking to</w:t>
      </w:r>
      <w:r w:rsidRPr="00CC2594">
        <w:rPr>
          <w:rFonts w:ascii="Cambria" w:eastAsia="Batang" w:hAnsi="Cambria" w:cs="Times New Roman"/>
          <w:sz w:val="21"/>
          <w:szCs w:val="21"/>
          <w:lang w:val="en-US"/>
        </w:rPr>
        <w:t xml:space="preserve"> State agents are the presence of members of the army in the area where the disappearance occurred</w:t>
      </w:r>
      <w:r w:rsidR="00392F77" w:rsidRPr="00CC2594">
        <w:rPr>
          <w:rFonts w:ascii="Cambria" w:eastAsia="Batang" w:hAnsi="Cambria" w:cs="Times New Roman"/>
          <w:sz w:val="21"/>
          <w:szCs w:val="21"/>
          <w:vertAlign w:val="superscript"/>
          <w:lang w:val="es-ES"/>
        </w:rPr>
        <w:footnoteReference w:id="6"/>
      </w:r>
      <w:r w:rsidRPr="00CC2594">
        <w:rPr>
          <w:rFonts w:ascii="Cambria" w:eastAsia="Batang" w:hAnsi="Cambria" w:cs="Times New Roman"/>
          <w:sz w:val="21"/>
          <w:szCs w:val="21"/>
          <w:lang w:val="en-US"/>
        </w:rPr>
        <w:t>, the deprivation of liberty by paramilitary or armed groups operating jointly with State authorities</w:t>
      </w:r>
      <w:r w:rsidR="00392F77" w:rsidRPr="00CC2594">
        <w:rPr>
          <w:rFonts w:ascii="Cambria" w:eastAsia="Batang" w:hAnsi="Cambria" w:cs="Times New Roman"/>
          <w:sz w:val="21"/>
          <w:szCs w:val="21"/>
          <w:vertAlign w:val="superscript"/>
          <w:lang w:val="es-ES"/>
        </w:rPr>
        <w:footnoteReference w:id="7"/>
      </w:r>
      <w:r w:rsidR="00D67546" w:rsidRPr="00CC2594">
        <w:rPr>
          <w:rFonts w:ascii="Cambria" w:eastAsia="Batang" w:hAnsi="Cambria" w:cs="Times New Roman"/>
          <w:sz w:val="21"/>
          <w:szCs w:val="21"/>
          <w:lang w:val="en-US"/>
        </w:rPr>
        <w:t>, or</w:t>
      </w:r>
      <w:r w:rsidRPr="00CC2594">
        <w:rPr>
          <w:rFonts w:ascii="Cambria" w:eastAsia="Batang" w:hAnsi="Cambria" w:cs="Times New Roman"/>
          <w:sz w:val="21"/>
          <w:szCs w:val="21"/>
          <w:lang w:val="en-US"/>
        </w:rPr>
        <w:t xml:space="preserve"> testimonies claiming to have seen them </w:t>
      </w:r>
      <w:r w:rsidR="00EE23A5" w:rsidRPr="00CC2594">
        <w:rPr>
          <w:rFonts w:ascii="Cambria" w:eastAsia="Batang" w:hAnsi="Cambria" w:cs="Times New Roman"/>
          <w:sz w:val="21"/>
          <w:szCs w:val="21"/>
          <w:lang w:val="en-US"/>
        </w:rPr>
        <w:t xml:space="preserve">for the </w:t>
      </w:r>
      <w:r w:rsidRPr="00CC2594">
        <w:rPr>
          <w:rFonts w:ascii="Cambria" w:eastAsia="Batang" w:hAnsi="Cambria" w:cs="Times New Roman"/>
          <w:sz w:val="21"/>
          <w:szCs w:val="21"/>
          <w:lang w:val="en-US"/>
        </w:rPr>
        <w:t>last</w:t>
      </w:r>
      <w:r w:rsidR="00EE23A5" w:rsidRPr="00CC2594">
        <w:rPr>
          <w:rFonts w:ascii="Cambria" w:eastAsia="Batang" w:hAnsi="Cambria" w:cs="Times New Roman"/>
          <w:sz w:val="21"/>
          <w:szCs w:val="21"/>
          <w:lang w:val="en-US"/>
        </w:rPr>
        <w:t xml:space="preserve"> time</w:t>
      </w:r>
      <w:r w:rsidRPr="00CC2594">
        <w:rPr>
          <w:rFonts w:ascii="Cambria" w:eastAsia="Batang" w:hAnsi="Cambria" w:cs="Times New Roman"/>
          <w:sz w:val="21"/>
          <w:szCs w:val="21"/>
          <w:lang w:val="en-US"/>
        </w:rPr>
        <w:t xml:space="preserve"> boarding a vehicle </w:t>
      </w:r>
      <w:r w:rsidR="00EE23A5" w:rsidRPr="00CC2594">
        <w:rPr>
          <w:rFonts w:ascii="Cambria" w:eastAsia="Batang" w:hAnsi="Cambria" w:cs="Times New Roman"/>
          <w:sz w:val="21"/>
          <w:szCs w:val="21"/>
          <w:lang w:val="en-US"/>
        </w:rPr>
        <w:t>by</w:t>
      </w:r>
      <w:r w:rsidRPr="00CC2594">
        <w:rPr>
          <w:rFonts w:ascii="Cambria" w:eastAsia="Batang" w:hAnsi="Cambria" w:cs="Times New Roman"/>
          <w:sz w:val="21"/>
          <w:szCs w:val="21"/>
          <w:lang w:val="en-US"/>
        </w:rPr>
        <w:t xml:space="preserve"> the orders of police officers</w:t>
      </w:r>
      <w:r w:rsidR="00EE23A5" w:rsidRPr="00CC2594">
        <w:rPr>
          <w:rFonts w:ascii="Cambria" w:eastAsia="Batang" w:hAnsi="Cambria" w:cs="Times New Roman"/>
          <w:sz w:val="21"/>
          <w:szCs w:val="21"/>
          <w:vertAlign w:val="superscript"/>
          <w:lang w:val="es-ES"/>
        </w:rPr>
        <w:footnoteReference w:id="8"/>
      </w:r>
      <w:r w:rsidRPr="00CC2594">
        <w:rPr>
          <w:rFonts w:ascii="Cambria" w:eastAsia="Batang" w:hAnsi="Cambria" w:cs="Times New Roman"/>
          <w:sz w:val="21"/>
          <w:szCs w:val="21"/>
          <w:lang w:val="en-US"/>
        </w:rPr>
        <w:t>, among others demonstrating the link</w:t>
      </w:r>
      <w:r w:rsidR="00B776F9" w:rsidRPr="00CC2594">
        <w:rPr>
          <w:rFonts w:ascii="Cambria" w:eastAsia="Batang" w:hAnsi="Cambria" w:cs="Times New Roman"/>
          <w:sz w:val="21"/>
          <w:szCs w:val="21"/>
          <w:lang w:val="en-US"/>
        </w:rPr>
        <w:t xml:space="preserve"> of this event</w:t>
      </w:r>
      <w:r w:rsidRPr="00CC2594">
        <w:rPr>
          <w:rFonts w:ascii="Cambria" w:eastAsia="Batang" w:hAnsi="Cambria" w:cs="Times New Roman"/>
          <w:sz w:val="21"/>
          <w:szCs w:val="21"/>
          <w:lang w:val="en-US"/>
        </w:rPr>
        <w:t xml:space="preserve"> with the </w:t>
      </w:r>
      <w:r w:rsidR="00E07308" w:rsidRPr="00CC2594">
        <w:rPr>
          <w:rFonts w:ascii="Cambria" w:eastAsia="Batang" w:hAnsi="Cambria" w:cs="Times New Roman"/>
          <w:sz w:val="21"/>
          <w:szCs w:val="21"/>
          <w:lang w:val="en-US"/>
        </w:rPr>
        <w:t xml:space="preserve">State through the participation </w:t>
      </w:r>
      <w:r w:rsidRPr="00CC2594">
        <w:rPr>
          <w:rFonts w:ascii="Cambria" w:eastAsia="Batang" w:hAnsi="Cambria" w:cs="Times New Roman"/>
          <w:sz w:val="21"/>
          <w:szCs w:val="21"/>
          <w:lang w:val="en-US"/>
        </w:rPr>
        <w:t>of a State agent.</w:t>
      </w:r>
    </w:p>
    <w:p w14:paraId="1F0C7F75" w14:textId="77777777" w:rsidR="00AC1B18" w:rsidRPr="00CC2594" w:rsidRDefault="00AC1B18" w:rsidP="00AC1B18">
      <w:pPr>
        <w:spacing w:after="0" w:line="240" w:lineRule="auto"/>
        <w:ind w:left="360"/>
        <w:jc w:val="both"/>
        <w:rPr>
          <w:rFonts w:ascii="Cambria" w:eastAsia="Batang" w:hAnsi="Cambria" w:cs="Times New Roman"/>
          <w:sz w:val="21"/>
          <w:szCs w:val="21"/>
          <w:lang w:val="en-US"/>
        </w:rPr>
      </w:pPr>
    </w:p>
    <w:p w14:paraId="62DDCF0F" w14:textId="2F6983E5" w:rsidR="008D34C5" w:rsidRPr="00CC2594" w:rsidRDefault="00C621CD" w:rsidP="008D34C5">
      <w:pPr>
        <w:numPr>
          <w:ilvl w:val="0"/>
          <w:numId w:val="3"/>
        </w:numPr>
        <w:spacing w:after="0" w:line="240" w:lineRule="auto"/>
        <w:ind w:left="0" w:firstLine="360"/>
        <w:jc w:val="both"/>
        <w:rPr>
          <w:rFonts w:ascii="Cambria" w:eastAsia="Batang" w:hAnsi="Cambria" w:cs="Times New Roman"/>
          <w:sz w:val="21"/>
          <w:szCs w:val="21"/>
          <w:lang w:val="en-US"/>
        </w:rPr>
      </w:pPr>
      <w:r w:rsidRPr="00CC2594">
        <w:rPr>
          <w:rFonts w:ascii="Cambria" w:eastAsia="Batang" w:hAnsi="Cambria" w:cs="Times New Roman"/>
          <w:sz w:val="21"/>
          <w:szCs w:val="21"/>
          <w:lang w:val="en-US"/>
        </w:rPr>
        <w:t>In the present</w:t>
      </w:r>
      <w:r w:rsidR="00790EC3" w:rsidRPr="00CC2594">
        <w:rPr>
          <w:rFonts w:ascii="Cambria" w:eastAsia="Batang" w:hAnsi="Cambria" w:cs="Times New Roman"/>
          <w:sz w:val="21"/>
          <w:szCs w:val="21"/>
          <w:lang w:val="en-US"/>
        </w:rPr>
        <w:t xml:space="preserve"> </w:t>
      </w:r>
      <w:r w:rsidRPr="00CC2594">
        <w:rPr>
          <w:rFonts w:ascii="Cambria" w:eastAsia="Batang" w:hAnsi="Cambria" w:cs="Times New Roman"/>
          <w:sz w:val="21"/>
          <w:szCs w:val="21"/>
          <w:lang w:val="en-US"/>
        </w:rPr>
        <w:t>matter</w:t>
      </w:r>
      <w:r w:rsidR="00B74423" w:rsidRPr="00CC2594">
        <w:rPr>
          <w:rFonts w:ascii="Cambria" w:eastAsia="Batang" w:hAnsi="Cambria" w:cs="Times New Roman"/>
          <w:sz w:val="21"/>
          <w:szCs w:val="21"/>
          <w:lang w:val="en-US"/>
        </w:rPr>
        <w:t xml:space="preserve">, the Commission considers that the </w:t>
      </w:r>
      <w:r w:rsidR="00A87C46" w:rsidRPr="00CC2594">
        <w:rPr>
          <w:rFonts w:ascii="Cambria" w:eastAsia="Batang" w:hAnsi="Cambria" w:cs="Times New Roman"/>
          <w:sz w:val="21"/>
          <w:szCs w:val="21"/>
          <w:lang w:val="en-US"/>
        </w:rPr>
        <w:t xml:space="preserve">seriousness </w:t>
      </w:r>
      <w:r w:rsidR="00B74423" w:rsidRPr="00CC2594">
        <w:rPr>
          <w:rFonts w:ascii="Cambria" w:eastAsia="Batang" w:hAnsi="Cambria" w:cs="Times New Roman"/>
          <w:sz w:val="21"/>
          <w:szCs w:val="21"/>
          <w:lang w:val="en-US"/>
        </w:rPr>
        <w:t xml:space="preserve">requirement is met in view of the fact that the fate or whereabouts of the proposed beneficiaries </w:t>
      </w:r>
      <w:r w:rsidR="002935EC" w:rsidRPr="00CC2594">
        <w:rPr>
          <w:rFonts w:ascii="Cambria" w:eastAsia="Batang" w:hAnsi="Cambria" w:cs="Times New Roman"/>
          <w:sz w:val="21"/>
          <w:szCs w:val="21"/>
          <w:lang w:val="en-US"/>
        </w:rPr>
        <w:t>is reportedly unknown since</w:t>
      </w:r>
      <w:r w:rsidR="00B74423" w:rsidRPr="00CC2594">
        <w:rPr>
          <w:rFonts w:ascii="Cambria" w:eastAsia="Batang" w:hAnsi="Cambria" w:cs="Times New Roman"/>
          <w:sz w:val="21"/>
          <w:szCs w:val="21"/>
          <w:lang w:val="en-US"/>
        </w:rPr>
        <w:t xml:space="preserve"> </w:t>
      </w:r>
      <w:r w:rsidR="002935EC" w:rsidRPr="00CC2594">
        <w:rPr>
          <w:rFonts w:ascii="Cambria" w:eastAsia="Batang" w:hAnsi="Cambria" w:cs="Times New Roman"/>
          <w:sz w:val="21"/>
          <w:szCs w:val="21"/>
          <w:lang w:val="en-US"/>
        </w:rPr>
        <w:t xml:space="preserve">March </w:t>
      </w:r>
      <w:proofErr w:type="gramStart"/>
      <w:r w:rsidR="00B74423" w:rsidRPr="00CC2594">
        <w:rPr>
          <w:rFonts w:ascii="Cambria" w:eastAsia="Batang" w:hAnsi="Cambria" w:cs="Times New Roman"/>
          <w:sz w:val="21"/>
          <w:szCs w:val="21"/>
          <w:lang w:val="en-US"/>
        </w:rPr>
        <w:t>22</w:t>
      </w:r>
      <w:r w:rsidR="002935EC" w:rsidRPr="00CC2594">
        <w:rPr>
          <w:rFonts w:ascii="Cambria" w:eastAsia="Batang" w:hAnsi="Cambria" w:cs="Times New Roman"/>
          <w:sz w:val="21"/>
          <w:szCs w:val="21"/>
          <w:vertAlign w:val="superscript"/>
          <w:lang w:val="en-US"/>
        </w:rPr>
        <w:t>nd</w:t>
      </w:r>
      <w:proofErr w:type="gramEnd"/>
      <w:r w:rsidR="002935EC" w:rsidRPr="00CC2594">
        <w:rPr>
          <w:rFonts w:ascii="Cambria" w:eastAsia="Batang" w:hAnsi="Cambria" w:cs="Times New Roman"/>
          <w:sz w:val="21"/>
          <w:szCs w:val="21"/>
          <w:lang w:val="en-US"/>
        </w:rPr>
        <w:t xml:space="preserve">, </w:t>
      </w:r>
      <w:r w:rsidR="00B74423" w:rsidRPr="00CC2594">
        <w:rPr>
          <w:rFonts w:ascii="Cambria" w:eastAsia="Batang" w:hAnsi="Cambria" w:cs="Times New Roman"/>
          <w:sz w:val="21"/>
          <w:szCs w:val="21"/>
          <w:lang w:val="en-US"/>
        </w:rPr>
        <w:t xml:space="preserve">2019. According to the information available, the last time their family knew of their location, the proposed beneficiaries </w:t>
      </w:r>
      <w:r w:rsidR="00A52468" w:rsidRPr="00CC2594">
        <w:rPr>
          <w:rFonts w:ascii="Cambria" w:eastAsia="Batang" w:hAnsi="Cambria" w:cs="Times New Roman"/>
          <w:sz w:val="21"/>
          <w:szCs w:val="21"/>
          <w:lang w:val="en-US"/>
        </w:rPr>
        <w:t>were reportedly</w:t>
      </w:r>
      <w:r w:rsidR="00B74423" w:rsidRPr="00CC2594">
        <w:rPr>
          <w:rFonts w:ascii="Cambria" w:eastAsia="Batang" w:hAnsi="Cambria" w:cs="Times New Roman"/>
          <w:sz w:val="21"/>
          <w:szCs w:val="21"/>
          <w:lang w:val="en-US"/>
        </w:rPr>
        <w:t xml:space="preserve"> in the custody of the PGR, being allegedly released on the same day in circumstances that, according to them, had not been clarified </w:t>
      </w:r>
      <w:r w:rsidR="00810E22" w:rsidRPr="00CC2594">
        <w:rPr>
          <w:rFonts w:ascii="Cambria" w:eastAsia="Batang" w:hAnsi="Cambria" w:cs="Times New Roman"/>
          <w:sz w:val="21"/>
          <w:szCs w:val="21"/>
          <w:lang w:val="en-US"/>
        </w:rPr>
        <w:t>to date</w:t>
      </w:r>
      <w:r w:rsidR="00B74423" w:rsidRPr="00CC2594">
        <w:rPr>
          <w:rFonts w:ascii="Cambria" w:eastAsia="Batang" w:hAnsi="Cambria" w:cs="Times New Roman"/>
          <w:sz w:val="21"/>
          <w:szCs w:val="21"/>
          <w:lang w:val="en-US"/>
        </w:rPr>
        <w:t xml:space="preserve">. </w:t>
      </w:r>
      <w:r w:rsidR="008D34C5" w:rsidRPr="00CC2594">
        <w:rPr>
          <w:rFonts w:ascii="Cambria" w:eastAsia="Batang" w:hAnsi="Cambria" w:cs="Times New Roman"/>
          <w:sz w:val="21"/>
          <w:szCs w:val="21"/>
          <w:lang w:val="en-US"/>
        </w:rPr>
        <w:t xml:space="preserve">In this regard, the Commission notes the seriousness of the allegations that some State agents were involved or could at least have knowledge of the disappearance, highlighting as </w:t>
      </w:r>
      <w:r w:rsidR="0018720A" w:rsidRPr="00CC2594">
        <w:rPr>
          <w:rFonts w:ascii="Cambria" w:eastAsia="Batang" w:hAnsi="Cambria" w:cs="Times New Roman"/>
          <w:sz w:val="21"/>
          <w:szCs w:val="21"/>
          <w:lang w:val="en-US"/>
        </w:rPr>
        <w:t xml:space="preserve">a </w:t>
      </w:r>
      <w:r w:rsidR="008D34C5" w:rsidRPr="00CC2594">
        <w:rPr>
          <w:rFonts w:ascii="Cambria" w:eastAsia="Batang" w:hAnsi="Cambria" w:cs="Times New Roman"/>
          <w:sz w:val="21"/>
          <w:szCs w:val="21"/>
          <w:lang w:val="en-US"/>
        </w:rPr>
        <w:t xml:space="preserve">possible </w:t>
      </w:r>
      <w:r w:rsidR="00B95F91" w:rsidRPr="00CC2594">
        <w:rPr>
          <w:rFonts w:ascii="Cambria" w:eastAsia="Batang" w:hAnsi="Cambria" w:cs="Times New Roman"/>
          <w:sz w:val="21"/>
          <w:szCs w:val="21"/>
          <w:lang w:val="en-US"/>
        </w:rPr>
        <w:t>indication</w:t>
      </w:r>
      <w:r w:rsidR="008D34C5" w:rsidRPr="00CC2594">
        <w:rPr>
          <w:rFonts w:ascii="Cambria" w:eastAsia="Batang" w:hAnsi="Cambria" w:cs="Times New Roman"/>
          <w:sz w:val="21"/>
          <w:szCs w:val="21"/>
          <w:lang w:val="en-US"/>
        </w:rPr>
        <w:t xml:space="preserve"> the prior participation of certain police </w:t>
      </w:r>
      <w:r w:rsidR="0018720A" w:rsidRPr="00CC2594">
        <w:rPr>
          <w:rFonts w:ascii="Cambria" w:eastAsia="Batang" w:hAnsi="Cambria" w:cs="Times New Roman"/>
          <w:sz w:val="21"/>
          <w:szCs w:val="21"/>
          <w:lang w:val="en-US"/>
        </w:rPr>
        <w:t>officers</w:t>
      </w:r>
      <w:r w:rsidR="008D34C5" w:rsidRPr="00CC2594">
        <w:rPr>
          <w:rFonts w:ascii="Cambria" w:eastAsia="Batang" w:hAnsi="Cambria" w:cs="Times New Roman"/>
          <w:sz w:val="21"/>
          <w:szCs w:val="21"/>
          <w:lang w:val="en-US"/>
        </w:rPr>
        <w:t xml:space="preserve"> in the attack perpetrated on March 20</w:t>
      </w:r>
      <w:r w:rsidR="00B95F91" w:rsidRPr="00CC2594">
        <w:rPr>
          <w:rFonts w:ascii="Cambria" w:eastAsia="Batang" w:hAnsi="Cambria" w:cs="Times New Roman"/>
          <w:sz w:val="21"/>
          <w:szCs w:val="21"/>
          <w:vertAlign w:val="superscript"/>
          <w:lang w:val="en-US"/>
        </w:rPr>
        <w:t>th</w:t>
      </w:r>
      <w:r w:rsidR="008D34C5" w:rsidRPr="00CC2594">
        <w:rPr>
          <w:rFonts w:ascii="Cambria" w:eastAsia="Batang" w:hAnsi="Cambria" w:cs="Times New Roman"/>
          <w:sz w:val="21"/>
          <w:szCs w:val="21"/>
          <w:lang w:val="en-US"/>
        </w:rPr>
        <w:t>, 2019, as stated by the applicants, and warns that the State did not distort or offer a different narrative to these facts, especially considering that the disappearance occurred shortly after the proposed beneficiaries were in the custody of the State.</w:t>
      </w:r>
    </w:p>
    <w:p w14:paraId="4900F740" w14:textId="77777777" w:rsidR="008D34C5" w:rsidRPr="00CC2594" w:rsidRDefault="008D34C5" w:rsidP="005762B7">
      <w:pPr>
        <w:spacing w:after="0" w:line="240" w:lineRule="auto"/>
        <w:jc w:val="both"/>
        <w:rPr>
          <w:rFonts w:ascii="Cambria" w:eastAsia="Batang" w:hAnsi="Cambria" w:cs="Times New Roman"/>
          <w:sz w:val="21"/>
          <w:szCs w:val="21"/>
          <w:lang w:val="en-US"/>
        </w:rPr>
      </w:pPr>
    </w:p>
    <w:p w14:paraId="7F401BAF" w14:textId="3AF0B4FB" w:rsidR="00E41EC7" w:rsidRPr="00CC2594" w:rsidRDefault="00E41EC7" w:rsidP="00E41EC7">
      <w:pPr>
        <w:numPr>
          <w:ilvl w:val="0"/>
          <w:numId w:val="3"/>
        </w:numPr>
        <w:spacing w:after="0" w:line="240" w:lineRule="auto"/>
        <w:ind w:left="0" w:firstLine="360"/>
        <w:jc w:val="both"/>
        <w:rPr>
          <w:rFonts w:ascii="Cambria" w:eastAsia="Batang" w:hAnsi="Cambria" w:cs="Times New Roman"/>
          <w:sz w:val="21"/>
          <w:szCs w:val="21"/>
          <w:lang w:val="en-US"/>
        </w:rPr>
      </w:pPr>
      <w:r w:rsidRPr="00CC2594">
        <w:rPr>
          <w:rFonts w:ascii="Cambria" w:eastAsia="Batang" w:hAnsi="Cambria" w:cs="Times New Roman"/>
          <w:sz w:val="21"/>
          <w:szCs w:val="21"/>
          <w:lang w:val="en-US"/>
        </w:rPr>
        <w:t xml:space="preserve">The Commission takes note of the information provided by the State and recalls that, although it is not appropriate on this occasion, by the very nature of the precautionary procedure, to make a </w:t>
      </w:r>
      <w:r w:rsidR="0018720A" w:rsidRPr="00CC2594">
        <w:rPr>
          <w:rFonts w:ascii="Cambria" w:eastAsia="Batang" w:hAnsi="Cambria" w:cs="Times New Roman"/>
          <w:sz w:val="21"/>
          <w:szCs w:val="21"/>
          <w:lang w:val="en-US"/>
        </w:rPr>
        <w:t>determination</w:t>
      </w:r>
      <w:r w:rsidR="00777B1B" w:rsidRPr="00CC2594">
        <w:rPr>
          <w:rFonts w:ascii="Cambria" w:eastAsia="Batang" w:hAnsi="Cambria" w:cs="Times New Roman"/>
          <w:sz w:val="21"/>
          <w:szCs w:val="21"/>
          <w:lang w:val="en-US"/>
        </w:rPr>
        <w:t xml:space="preserve"> on the merits of the case</w:t>
      </w:r>
      <w:r w:rsidRPr="00CC2594">
        <w:rPr>
          <w:rFonts w:ascii="Cambria" w:eastAsia="Batang" w:hAnsi="Cambria" w:cs="Times New Roman"/>
          <w:sz w:val="21"/>
          <w:szCs w:val="21"/>
          <w:lang w:val="en-US"/>
        </w:rPr>
        <w:t xml:space="preserve"> </w:t>
      </w:r>
      <w:r w:rsidR="004212DF" w:rsidRPr="00CC2594">
        <w:rPr>
          <w:rFonts w:ascii="Cambria" w:eastAsia="Batang" w:hAnsi="Cambria" w:cs="Times New Roman"/>
          <w:sz w:val="21"/>
          <w:szCs w:val="21"/>
          <w:lang w:val="en-US"/>
        </w:rPr>
        <w:t>about</w:t>
      </w:r>
      <w:r w:rsidRPr="00CC2594">
        <w:rPr>
          <w:rFonts w:ascii="Cambria" w:eastAsia="Batang" w:hAnsi="Cambria" w:cs="Times New Roman"/>
          <w:sz w:val="21"/>
          <w:szCs w:val="21"/>
          <w:lang w:val="en-US"/>
        </w:rPr>
        <w:t xml:space="preserve"> the due </w:t>
      </w:r>
      <w:r w:rsidR="004212DF" w:rsidRPr="00CC2594">
        <w:rPr>
          <w:rFonts w:ascii="Cambria" w:eastAsia="Batang" w:hAnsi="Cambria" w:cs="Times New Roman"/>
          <w:sz w:val="21"/>
          <w:szCs w:val="21"/>
          <w:lang w:val="en-US"/>
        </w:rPr>
        <w:t>proceeding</w:t>
      </w:r>
      <w:r w:rsidR="0018720A" w:rsidRPr="00CC2594">
        <w:rPr>
          <w:rFonts w:ascii="Cambria" w:eastAsia="Batang" w:hAnsi="Cambria" w:cs="Times New Roman"/>
          <w:sz w:val="21"/>
          <w:szCs w:val="21"/>
          <w:lang w:val="en-US"/>
        </w:rPr>
        <w:t>s</w:t>
      </w:r>
      <w:r w:rsidRPr="00CC2594">
        <w:rPr>
          <w:rFonts w:ascii="Cambria" w:eastAsia="Batang" w:hAnsi="Cambria" w:cs="Times New Roman"/>
          <w:sz w:val="21"/>
          <w:szCs w:val="21"/>
          <w:lang w:val="en-US"/>
        </w:rPr>
        <w:t xml:space="preserve"> employed by the authorities, it notes that, from the perspective of risk analysis, more than 10 months have already passed since the fate or whereabouts of the proposed beneficiaries </w:t>
      </w:r>
      <w:r w:rsidR="00CC4A23" w:rsidRPr="00CC2594">
        <w:rPr>
          <w:rFonts w:ascii="Cambria" w:eastAsia="Batang" w:hAnsi="Cambria" w:cs="Times New Roman"/>
          <w:sz w:val="21"/>
          <w:szCs w:val="21"/>
          <w:lang w:val="en-US"/>
        </w:rPr>
        <w:t>is</w:t>
      </w:r>
      <w:r w:rsidRPr="00CC2594">
        <w:rPr>
          <w:rFonts w:ascii="Cambria" w:eastAsia="Batang" w:hAnsi="Cambria" w:cs="Times New Roman"/>
          <w:sz w:val="21"/>
          <w:szCs w:val="21"/>
          <w:lang w:val="en-US"/>
        </w:rPr>
        <w:t xml:space="preserve"> unknown. In this regard, when </w:t>
      </w:r>
      <w:r w:rsidR="00C676A2" w:rsidRPr="00CC2594">
        <w:rPr>
          <w:rFonts w:ascii="Cambria" w:eastAsia="Batang" w:hAnsi="Cambria" w:cs="Times New Roman"/>
          <w:sz w:val="21"/>
          <w:szCs w:val="21"/>
          <w:lang w:val="en-US"/>
        </w:rPr>
        <w:t>evaluating</w:t>
      </w:r>
      <w:r w:rsidRPr="00CC2594">
        <w:rPr>
          <w:rFonts w:ascii="Cambria" w:eastAsia="Batang" w:hAnsi="Cambria" w:cs="Times New Roman"/>
          <w:sz w:val="21"/>
          <w:szCs w:val="21"/>
          <w:lang w:val="en-US"/>
        </w:rPr>
        <w:t xml:space="preserve"> the seriousness of the situation, the Commission notes with concern th</w:t>
      </w:r>
      <w:r w:rsidR="00C676A2" w:rsidRPr="00CC2594">
        <w:rPr>
          <w:rFonts w:ascii="Cambria" w:eastAsia="Batang" w:hAnsi="Cambria" w:cs="Times New Roman"/>
          <w:sz w:val="21"/>
          <w:szCs w:val="21"/>
          <w:lang w:val="en-US"/>
        </w:rPr>
        <w:t xml:space="preserve">at, according to the applicants’ allegations: </w:t>
      </w:r>
      <w:proofErr w:type="spellStart"/>
      <w:r w:rsidRPr="00CC2594">
        <w:rPr>
          <w:rFonts w:ascii="Cambria" w:eastAsia="Batang" w:hAnsi="Cambria" w:cs="Times New Roman"/>
          <w:sz w:val="21"/>
          <w:szCs w:val="21"/>
          <w:lang w:val="en-US"/>
        </w:rPr>
        <w:t>i</w:t>
      </w:r>
      <w:proofErr w:type="spellEnd"/>
      <w:r w:rsidRPr="00CC2594">
        <w:rPr>
          <w:rFonts w:ascii="Cambria" w:eastAsia="Batang" w:hAnsi="Cambria" w:cs="Times New Roman"/>
          <w:sz w:val="21"/>
          <w:szCs w:val="21"/>
          <w:lang w:val="en-US"/>
        </w:rPr>
        <w:t xml:space="preserve">) the investigative line conducted by the State </w:t>
      </w:r>
      <w:r w:rsidR="00C676A2" w:rsidRPr="00CC2594">
        <w:rPr>
          <w:rFonts w:ascii="Cambria" w:eastAsia="Batang" w:hAnsi="Cambria" w:cs="Times New Roman"/>
          <w:sz w:val="21"/>
          <w:szCs w:val="21"/>
          <w:lang w:val="en-US"/>
        </w:rPr>
        <w:t>reportedly does not include “to proof</w:t>
      </w:r>
      <w:r w:rsidRPr="00CC2594">
        <w:rPr>
          <w:rFonts w:ascii="Cambria" w:eastAsia="Batang" w:hAnsi="Cambria" w:cs="Times New Roman"/>
          <w:sz w:val="21"/>
          <w:szCs w:val="21"/>
          <w:lang w:val="en-US"/>
        </w:rPr>
        <w:t xml:space="preserve"> the actual release of [them] or </w:t>
      </w:r>
      <w:r w:rsidR="00C676A2" w:rsidRPr="00CC2594">
        <w:rPr>
          <w:rFonts w:ascii="Cambria" w:eastAsia="Batang" w:hAnsi="Cambria" w:cs="Times New Roman"/>
          <w:sz w:val="21"/>
          <w:szCs w:val="21"/>
          <w:lang w:val="en-US"/>
        </w:rPr>
        <w:t>whether they have been subject</w:t>
      </w:r>
      <w:r w:rsidRPr="00CC2594">
        <w:rPr>
          <w:rFonts w:ascii="Cambria" w:eastAsia="Batang" w:hAnsi="Cambria" w:cs="Times New Roman"/>
          <w:sz w:val="21"/>
          <w:szCs w:val="21"/>
          <w:lang w:val="en-US"/>
        </w:rPr>
        <w:t xml:space="preserve"> to improper dis</w:t>
      </w:r>
      <w:r w:rsidR="00C676A2" w:rsidRPr="00CC2594">
        <w:rPr>
          <w:rFonts w:ascii="Cambria" w:eastAsia="Batang" w:hAnsi="Cambria" w:cs="Times New Roman"/>
          <w:sz w:val="21"/>
          <w:szCs w:val="21"/>
          <w:lang w:val="en-US"/>
        </w:rPr>
        <w:t>position of their freedom, bod</w:t>
      </w:r>
      <w:r w:rsidR="00926B82" w:rsidRPr="00CC2594">
        <w:rPr>
          <w:rFonts w:ascii="Cambria" w:eastAsia="Batang" w:hAnsi="Cambria" w:cs="Times New Roman"/>
          <w:sz w:val="21"/>
          <w:szCs w:val="21"/>
          <w:lang w:val="en-US"/>
        </w:rPr>
        <w:t>y integrity, or life, and</w:t>
      </w:r>
      <w:r w:rsidR="00D26A1D" w:rsidRPr="00CC2594">
        <w:rPr>
          <w:rFonts w:ascii="Cambria" w:eastAsia="Batang" w:hAnsi="Cambria" w:cs="Times New Roman"/>
          <w:sz w:val="21"/>
          <w:szCs w:val="21"/>
          <w:lang w:val="en-US"/>
        </w:rPr>
        <w:t xml:space="preserve"> have been</w:t>
      </w:r>
      <w:r w:rsidR="00926B82" w:rsidRPr="00CC2594">
        <w:rPr>
          <w:rFonts w:ascii="Cambria" w:eastAsia="Batang" w:hAnsi="Cambria" w:cs="Times New Roman"/>
          <w:sz w:val="21"/>
          <w:szCs w:val="21"/>
          <w:lang w:val="en-US"/>
        </w:rPr>
        <w:t xml:space="preserve"> forcibly </w:t>
      </w:r>
      <w:r w:rsidR="004D0CF6" w:rsidRPr="00CC2594">
        <w:rPr>
          <w:rFonts w:ascii="Cambria" w:eastAsia="Batang" w:hAnsi="Cambria" w:cs="Times New Roman"/>
          <w:sz w:val="21"/>
          <w:szCs w:val="21"/>
          <w:lang w:val="en-US"/>
        </w:rPr>
        <w:t>disappeared”;</w:t>
      </w:r>
      <w:r w:rsidRPr="00CC2594">
        <w:rPr>
          <w:rFonts w:ascii="Cambria" w:eastAsia="Batang" w:hAnsi="Cambria" w:cs="Times New Roman"/>
          <w:sz w:val="21"/>
          <w:szCs w:val="21"/>
          <w:lang w:val="en-US"/>
        </w:rPr>
        <w:t xml:space="preserve"> ii) the alleged existence of orders for the purpose of obstruc</w:t>
      </w:r>
      <w:r w:rsidR="004D0CF6" w:rsidRPr="00CC2594">
        <w:rPr>
          <w:rFonts w:ascii="Cambria" w:eastAsia="Batang" w:hAnsi="Cambria" w:cs="Times New Roman"/>
          <w:sz w:val="21"/>
          <w:szCs w:val="21"/>
          <w:lang w:val="en-US"/>
        </w:rPr>
        <w:t xml:space="preserve">ting the investigation itself; </w:t>
      </w:r>
      <w:r w:rsidRPr="00CC2594">
        <w:rPr>
          <w:rFonts w:ascii="Cambria" w:eastAsia="Batang" w:hAnsi="Cambria" w:cs="Times New Roman"/>
          <w:sz w:val="21"/>
          <w:szCs w:val="21"/>
          <w:lang w:val="en-US"/>
        </w:rPr>
        <w:t>iii) the fact that it was alleg</w:t>
      </w:r>
      <w:r w:rsidR="004D0CF6" w:rsidRPr="00CC2594">
        <w:rPr>
          <w:rFonts w:ascii="Cambria" w:eastAsia="Batang" w:hAnsi="Cambria" w:cs="Times New Roman"/>
          <w:sz w:val="21"/>
          <w:szCs w:val="21"/>
          <w:lang w:val="en-US"/>
        </w:rPr>
        <w:t>edly not possible to verify</w:t>
      </w:r>
      <w:r w:rsidRPr="00CC2594">
        <w:rPr>
          <w:rFonts w:ascii="Cambria" w:eastAsia="Batang" w:hAnsi="Cambria" w:cs="Times New Roman"/>
          <w:sz w:val="21"/>
          <w:szCs w:val="21"/>
          <w:lang w:val="en-US"/>
        </w:rPr>
        <w:t xml:space="preserve"> by the PGR's security cameras (</w:t>
      </w:r>
      <w:r w:rsidR="004D0CF6" w:rsidRPr="00CC2594">
        <w:rPr>
          <w:rFonts w:ascii="Cambria" w:eastAsia="Batang" w:hAnsi="Cambria" w:cs="Times New Roman"/>
          <w:sz w:val="21"/>
          <w:szCs w:val="21"/>
          <w:lang w:val="en-US"/>
        </w:rPr>
        <w:t>vid.</w:t>
      </w:r>
      <w:r w:rsidRPr="00CC2594">
        <w:rPr>
          <w:rFonts w:ascii="Cambria" w:eastAsia="Batang" w:hAnsi="Cambria" w:cs="Times New Roman"/>
          <w:sz w:val="21"/>
          <w:szCs w:val="21"/>
          <w:lang w:val="en-US"/>
        </w:rPr>
        <w:t xml:space="preserve"> </w:t>
      </w:r>
      <w:r w:rsidRPr="00CC2594">
        <w:rPr>
          <w:rFonts w:ascii="Cambria" w:eastAsia="Batang" w:hAnsi="Cambria" w:cs="Times New Roman"/>
          <w:i/>
          <w:sz w:val="21"/>
          <w:szCs w:val="21"/>
          <w:lang w:val="en-US"/>
        </w:rPr>
        <w:t>supra</w:t>
      </w:r>
      <w:r w:rsidRPr="00CC2594">
        <w:rPr>
          <w:rFonts w:ascii="Cambria" w:eastAsia="Batang" w:hAnsi="Cambria" w:cs="Times New Roman"/>
          <w:sz w:val="21"/>
          <w:szCs w:val="21"/>
          <w:lang w:val="en-US"/>
        </w:rPr>
        <w:t xml:space="preserve"> para. 7) the time of their release. Considering the above, the Commission recalls that the Inter-American Court has already emphasized that </w:t>
      </w:r>
      <w:r w:rsidR="00817A4A" w:rsidRPr="00CC2594">
        <w:rPr>
          <w:rFonts w:ascii="Cambria" w:eastAsia="Batang" w:hAnsi="Cambria" w:cs="Times New Roman"/>
          <w:sz w:val="21"/>
          <w:szCs w:val="21"/>
          <w:lang w:val="en-US"/>
        </w:rPr>
        <w:t xml:space="preserve">the </w:t>
      </w:r>
      <w:r w:rsidRPr="00CC2594">
        <w:rPr>
          <w:rFonts w:ascii="Cambria" w:eastAsia="Batang" w:hAnsi="Cambria" w:cs="Times New Roman"/>
          <w:sz w:val="21"/>
          <w:szCs w:val="21"/>
          <w:lang w:val="en-US"/>
        </w:rPr>
        <w:t xml:space="preserve">States have a special duty of due </w:t>
      </w:r>
      <w:r w:rsidR="00806E9F" w:rsidRPr="00CC2594">
        <w:rPr>
          <w:rFonts w:ascii="Cambria" w:eastAsia="Batang" w:hAnsi="Cambria" w:cs="Times New Roman"/>
          <w:sz w:val="21"/>
          <w:szCs w:val="21"/>
          <w:lang w:val="en-US"/>
        </w:rPr>
        <w:t>proceeding</w:t>
      </w:r>
      <w:r w:rsidR="0018720A" w:rsidRPr="00CC2594">
        <w:rPr>
          <w:rFonts w:ascii="Cambria" w:eastAsia="Batang" w:hAnsi="Cambria" w:cs="Times New Roman"/>
          <w:sz w:val="21"/>
          <w:szCs w:val="21"/>
          <w:lang w:val="en-US"/>
        </w:rPr>
        <w:t>s</w:t>
      </w:r>
      <w:r w:rsidRPr="00CC2594">
        <w:rPr>
          <w:rFonts w:ascii="Cambria" w:eastAsia="Batang" w:hAnsi="Cambria" w:cs="Times New Roman"/>
          <w:sz w:val="21"/>
          <w:szCs w:val="21"/>
          <w:lang w:val="en-US"/>
        </w:rPr>
        <w:t xml:space="preserve"> when State agents are or may be involved</w:t>
      </w:r>
      <w:r w:rsidR="00806E9F" w:rsidRPr="00CC2594">
        <w:rPr>
          <w:rStyle w:val="FootnoteReference"/>
          <w:rFonts w:ascii="Cambria" w:eastAsia="Batang" w:hAnsi="Cambria" w:cs="Times New Roman"/>
          <w:sz w:val="21"/>
          <w:szCs w:val="21"/>
          <w:lang w:val="es-ES"/>
        </w:rPr>
        <w:footnoteReference w:id="9"/>
      </w:r>
      <w:r w:rsidRPr="00CC2594">
        <w:rPr>
          <w:rFonts w:ascii="Cambria" w:eastAsia="Batang" w:hAnsi="Cambria" w:cs="Times New Roman"/>
          <w:sz w:val="21"/>
          <w:szCs w:val="21"/>
          <w:lang w:val="en-US"/>
        </w:rPr>
        <w:t>.</w:t>
      </w:r>
    </w:p>
    <w:p w14:paraId="27F9559F" w14:textId="510556CA" w:rsidR="004166FF" w:rsidRPr="00CC2594" w:rsidRDefault="004166FF" w:rsidP="001C52C8">
      <w:pPr>
        <w:spacing w:after="0" w:line="240" w:lineRule="auto"/>
        <w:jc w:val="both"/>
        <w:rPr>
          <w:rFonts w:ascii="Cambria" w:eastAsia="Batang" w:hAnsi="Cambria" w:cs="Times New Roman"/>
          <w:sz w:val="21"/>
          <w:szCs w:val="21"/>
          <w:lang w:val="en-US"/>
        </w:rPr>
      </w:pPr>
    </w:p>
    <w:p w14:paraId="0C930EA9" w14:textId="33954138" w:rsidR="00AC2A3B" w:rsidRPr="00CC2594" w:rsidRDefault="00AC2A3B" w:rsidP="00AC2A3B">
      <w:pPr>
        <w:numPr>
          <w:ilvl w:val="0"/>
          <w:numId w:val="3"/>
        </w:numPr>
        <w:spacing w:after="0" w:line="240" w:lineRule="auto"/>
        <w:ind w:left="0" w:firstLine="360"/>
        <w:jc w:val="both"/>
        <w:rPr>
          <w:rFonts w:ascii="Cambria" w:eastAsia="Batang" w:hAnsi="Cambria" w:cs="Times New Roman"/>
          <w:sz w:val="21"/>
          <w:szCs w:val="21"/>
          <w:lang w:val="en-US"/>
        </w:rPr>
      </w:pPr>
      <w:r w:rsidRPr="00CC2594">
        <w:rPr>
          <w:rFonts w:ascii="Cambria" w:eastAsia="Batang" w:hAnsi="Cambria" w:cs="Times New Roman"/>
          <w:sz w:val="21"/>
          <w:szCs w:val="21"/>
          <w:lang w:val="en-US"/>
        </w:rPr>
        <w:t xml:space="preserve">In view of the above, the Commission concludes that since the </w:t>
      </w:r>
      <w:r w:rsidRPr="00CC2594">
        <w:rPr>
          <w:rFonts w:ascii="Cambria" w:eastAsia="Batang" w:hAnsi="Cambria" w:cs="Times New Roman"/>
          <w:i/>
          <w:sz w:val="21"/>
          <w:szCs w:val="21"/>
          <w:lang w:val="en-US"/>
        </w:rPr>
        <w:t>prima facie</w:t>
      </w:r>
      <w:r w:rsidRPr="00CC2594">
        <w:rPr>
          <w:rFonts w:ascii="Cambria" w:eastAsia="Batang" w:hAnsi="Cambria" w:cs="Times New Roman"/>
          <w:sz w:val="21"/>
          <w:szCs w:val="21"/>
          <w:lang w:val="en-US"/>
        </w:rPr>
        <w:t xml:space="preserve"> standard, the rights to life and personal integrity of Alfonso </w:t>
      </w:r>
      <w:proofErr w:type="spellStart"/>
      <w:r w:rsidRPr="00CC2594">
        <w:rPr>
          <w:rFonts w:ascii="Cambria" w:eastAsia="Batang" w:hAnsi="Cambria" w:cs="Times New Roman"/>
          <w:sz w:val="21"/>
          <w:szCs w:val="21"/>
          <w:lang w:val="en-US"/>
        </w:rPr>
        <w:t>Alejandre</w:t>
      </w:r>
      <w:proofErr w:type="spellEnd"/>
      <w:r w:rsidRPr="00CC2594">
        <w:rPr>
          <w:rFonts w:ascii="Cambria" w:eastAsia="Batang" w:hAnsi="Cambria" w:cs="Times New Roman"/>
          <w:sz w:val="21"/>
          <w:szCs w:val="21"/>
          <w:lang w:val="en-US"/>
        </w:rPr>
        <w:t xml:space="preserve"> </w:t>
      </w:r>
      <w:proofErr w:type="spellStart"/>
      <w:r w:rsidRPr="00CC2594">
        <w:rPr>
          <w:rFonts w:ascii="Cambria" w:eastAsia="Batang" w:hAnsi="Cambria" w:cs="Times New Roman"/>
          <w:sz w:val="21"/>
          <w:szCs w:val="21"/>
          <w:lang w:val="en-US"/>
        </w:rPr>
        <w:t>Díaz</w:t>
      </w:r>
      <w:proofErr w:type="spellEnd"/>
      <w:r w:rsidRPr="00CC2594">
        <w:rPr>
          <w:rFonts w:ascii="Cambria" w:eastAsia="Batang" w:hAnsi="Cambria" w:cs="Times New Roman"/>
          <w:sz w:val="21"/>
          <w:szCs w:val="21"/>
          <w:lang w:val="en-US"/>
        </w:rPr>
        <w:t xml:space="preserve"> and Alberto </w:t>
      </w:r>
      <w:proofErr w:type="spellStart"/>
      <w:r w:rsidRPr="00CC2594">
        <w:rPr>
          <w:rFonts w:ascii="Cambria" w:eastAsia="Batang" w:hAnsi="Cambria" w:cs="Times New Roman"/>
          <w:sz w:val="21"/>
          <w:szCs w:val="21"/>
          <w:lang w:val="en-US"/>
        </w:rPr>
        <w:t>Alejandre</w:t>
      </w:r>
      <w:proofErr w:type="spellEnd"/>
      <w:r w:rsidRPr="00CC2594">
        <w:rPr>
          <w:rFonts w:ascii="Cambria" w:eastAsia="Batang" w:hAnsi="Cambria" w:cs="Times New Roman"/>
          <w:sz w:val="21"/>
          <w:szCs w:val="21"/>
          <w:lang w:val="en-US"/>
        </w:rPr>
        <w:t xml:space="preserve"> </w:t>
      </w:r>
      <w:proofErr w:type="spellStart"/>
      <w:r w:rsidRPr="00CC2594">
        <w:rPr>
          <w:rFonts w:ascii="Cambria" w:eastAsia="Batang" w:hAnsi="Cambria" w:cs="Times New Roman"/>
          <w:sz w:val="21"/>
          <w:szCs w:val="21"/>
          <w:lang w:val="en-US"/>
        </w:rPr>
        <w:t>Díaz</w:t>
      </w:r>
      <w:proofErr w:type="spellEnd"/>
      <w:r w:rsidRPr="00CC2594">
        <w:rPr>
          <w:rFonts w:ascii="Cambria" w:eastAsia="Batang" w:hAnsi="Cambria" w:cs="Times New Roman"/>
          <w:sz w:val="21"/>
          <w:szCs w:val="21"/>
          <w:lang w:val="en-US"/>
        </w:rPr>
        <w:t xml:space="preserve"> are at serious risk.</w:t>
      </w:r>
    </w:p>
    <w:p w14:paraId="5E5A71E8" w14:textId="77777777" w:rsidR="00B117BB" w:rsidRPr="00CC2594" w:rsidRDefault="00B117BB" w:rsidP="00B117BB">
      <w:pPr>
        <w:spacing w:after="0" w:line="240" w:lineRule="auto"/>
        <w:ind w:left="720"/>
        <w:contextualSpacing/>
        <w:jc w:val="both"/>
        <w:rPr>
          <w:rFonts w:ascii="Cambria" w:eastAsia="Calibri" w:hAnsi="Cambria" w:cs="Times New Roman"/>
          <w:sz w:val="21"/>
          <w:szCs w:val="21"/>
          <w:lang w:val="en-US"/>
        </w:rPr>
      </w:pPr>
    </w:p>
    <w:p w14:paraId="46BD5BDF" w14:textId="0BB85D34" w:rsidR="0094432A" w:rsidRPr="00CC2594" w:rsidRDefault="0094432A" w:rsidP="0094432A">
      <w:pPr>
        <w:numPr>
          <w:ilvl w:val="0"/>
          <w:numId w:val="3"/>
        </w:numPr>
        <w:spacing w:after="0" w:line="240" w:lineRule="auto"/>
        <w:ind w:left="0" w:firstLine="360"/>
        <w:jc w:val="both"/>
        <w:rPr>
          <w:rFonts w:ascii="Cambria" w:eastAsia="Batang" w:hAnsi="Cambria" w:cs="Times New Roman"/>
          <w:sz w:val="21"/>
          <w:szCs w:val="21"/>
          <w:lang w:val="en-US"/>
        </w:rPr>
      </w:pPr>
      <w:r w:rsidRPr="00CC2594">
        <w:rPr>
          <w:rFonts w:ascii="Cambria" w:eastAsia="Batang" w:hAnsi="Cambria" w:cs="Times New Roman"/>
          <w:sz w:val="21"/>
          <w:szCs w:val="21"/>
          <w:lang w:val="en-US"/>
        </w:rPr>
        <w:lastRenderedPageBreak/>
        <w:t>As regards the requirement of urgency, the Commission considers that it has been met, given that the passage of time is likely to have a greater impact on the rights to life and personal integrity of the proposed beneficiaries, especially since more than 10 months have passed since the alleged disappearance and the alleged involvement of State agents.</w:t>
      </w:r>
    </w:p>
    <w:p w14:paraId="39B12E5C" w14:textId="77777777" w:rsidR="00B117BB" w:rsidRPr="00CC2594" w:rsidRDefault="00B117BB" w:rsidP="00B117BB">
      <w:pPr>
        <w:spacing w:after="0" w:line="240" w:lineRule="auto"/>
        <w:ind w:left="360"/>
        <w:jc w:val="both"/>
        <w:rPr>
          <w:rFonts w:ascii="Cambria" w:eastAsia="Calibri" w:hAnsi="Cambria" w:cs="Times New Roman"/>
          <w:sz w:val="21"/>
          <w:szCs w:val="21"/>
          <w:lang w:val="en-US"/>
        </w:rPr>
      </w:pPr>
    </w:p>
    <w:p w14:paraId="165415AB" w14:textId="7390535D" w:rsidR="008F6DEC" w:rsidRPr="00CC2594" w:rsidRDefault="008F6DEC" w:rsidP="008F6DEC">
      <w:pPr>
        <w:numPr>
          <w:ilvl w:val="0"/>
          <w:numId w:val="3"/>
        </w:numPr>
        <w:spacing w:after="0" w:line="240" w:lineRule="auto"/>
        <w:ind w:left="0" w:firstLine="360"/>
        <w:jc w:val="both"/>
        <w:rPr>
          <w:rFonts w:ascii="Cambria" w:eastAsia="Batang" w:hAnsi="Cambria" w:cs="Times New Roman"/>
          <w:sz w:val="21"/>
          <w:szCs w:val="21"/>
          <w:lang w:val="en-US"/>
        </w:rPr>
      </w:pPr>
      <w:r w:rsidRPr="00CC2594">
        <w:rPr>
          <w:rFonts w:ascii="Cambria" w:eastAsia="Calibri" w:hAnsi="Cambria" w:cs="Times New Roman"/>
          <w:sz w:val="21"/>
          <w:szCs w:val="21"/>
          <w:lang w:val="en-US"/>
        </w:rPr>
        <w:t xml:space="preserve">Regarding the requirement of irreparable harm, the Commission considers that it has been met, since the possible impact on the rights to life and personal </w:t>
      </w:r>
      <w:proofErr w:type="gramStart"/>
      <w:r w:rsidRPr="00CC2594">
        <w:rPr>
          <w:rFonts w:ascii="Cambria" w:eastAsia="Calibri" w:hAnsi="Cambria" w:cs="Times New Roman"/>
          <w:sz w:val="21"/>
          <w:szCs w:val="21"/>
          <w:lang w:val="en-US"/>
        </w:rPr>
        <w:t>integrity</w:t>
      </w:r>
      <w:proofErr w:type="gramEnd"/>
      <w:r w:rsidRPr="00CC2594">
        <w:rPr>
          <w:rFonts w:ascii="Cambria" w:eastAsia="Calibri" w:hAnsi="Cambria" w:cs="Times New Roman"/>
          <w:sz w:val="21"/>
          <w:szCs w:val="21"/>
          <w:lang w:val="en-US"/>
        </w:rPr>
        <w:t xml:space="preserve"> as a whole constitutes the maximum situation of irreparable harm.</w:t>
      </w:r>
    </w:p>
    <w:p w14:paraId="512DC62B" w14:textId="77777777" w:rsidR="000A4AB1" w:rsidRPr="00CC2594" w:rsidRDefault="000A4AB1" w:rsidP="000A4AB1">
      <w:pPr>
        <w:pStyle w:val="ListParagraph"/>
        <w:rPr>
          <w:rFonts w:ascii="Cambria" w:eastAsia="Batang" w:hAnsi="Cambria" w:cs="Times New Roman"/>
          <w:sz w:val="21"/>
          <w:szCs w:val="21"/>
          <w:lang w:val="en-US"/>
        </w:rPr>
      </w:pPr>
    </w:p>
    <w:p w14:paraId="7BF625C1" w14:textId="339097CD" w:rsidR="004E1ABB" w:rsidRPr="00CC2594" w:rsidRDefault="00052EB8" w:rsidP="004E1ABB">
      <w:pPr>
        <w:pStyle w:val="ListParagraph"/>
        <w:numPr>
          <w:ilvl w:val="0"/>
          <w:numId w:val="3"/>
        </w:numPr>
        <w:spacing w:after="0" w:line="240" w:lineRule="auto"/>
        <w:ind w:left="0" w:firstLine="360"/>
        <w:contextualSpacing w:val="0"/>
        <w:jc w:val="both"/>
        <w:rPr>
          <w:rFonts w:ascii="Cambria" w:eastAsia="Batang" w:hAnsi="Cambria" w:cs="Times New Roman"/>
          <w:sz w:val="21"/>
          <w:szCs w:val="21"/>
          <w:lang w:val="en-US"/>
        </w:rPr>
      </w:pPr>
      <w:r w:rsidRPr="00CC2594">
        <w:rPr>
          <w:rFonts w:ascii="Cambria" w:eastAsia="Batang" w:hAnsi="Cambria" w:cs="Times New Roman"/>
          <w:sz w:val="21"/>
          <w:szCs w:val="21"/>
          <w:lang w:val="en-US"/>
        </w:rPr>
        <w:t xml:space="preserve">Lastly, regarding the </w:t>
      </w:r>
      <w:r w:rsidR="00A96F63" w:rsidRPr="00CC2594">
        <w:rPr>
          <w:rFonts w:ascii="Cambria" w:eastAsia="Batang" w:hAnsi="Cambria" w:cs="Times New Roman"/>
          <w:sz w:val="21"/>
          <w:szCs w:val="21"/>
          <w:lang w:val="en-US"/>
        </w:rPr>
        <w:t>complementarity principle,</w:t>
      </w:r>
      <w:r w:rsidRPr="00CC2594">
        <w:rPr>
          <w:rFonts w:ascii="Cambria" w:eastAsia="Batang" w:hAnsi="Cambria" w:cs="Times New Roman"/>
          <w:sz w:val="21"/>
          <w:szCs w:val="21"/>
          <w:lang w:val="en-US"/>
        </w:rPr>
        <w:t xml:space="preserve"> the Commission recalls that </w:t>
      </w:r>
      <w:r w:rsidR="007D7051" w:rsidRPr="00CC2594">
        <w:rPr>
          <w:rFonts w:ascii="Cambria" w:eastAsia="Batang" w:hAnsi="Cambria" w:cs="Times New Roman"/>
          <w:sz w:val="21"/>
          <w:szCs w:val="21"/>
          <w:lang w:val="en-US"/>
        </w:rPr>
        <w:t xml:space="preserve">this principle </w:t>
      </w:r>
      <w:r w:rsidR="00C1308E" w:rsidRPr="00CC2594">
        <w:rPr>
          <w:rFonts w:ascii="Cambria" w:eastAsia="Batang" w:hAnsi="Cambria" w:cs="Times New Roman"/>
          <w:sz w:val="21"/>
          <w:szCs w:val="21"/>
          <w:lang w:val="en-US"/>
        </w:rPr>
        <w:t>reports</w:t>
      </w:r>
      <w:r w:rsidR="007D7051" w:rsidRPr="00CC2594">
        <w:rPr>
          <w:rFonts w:ascii="Cambria" w:eastAsia="Batang" w:hAnsi="Cambria" w:cs="Times New Roman"/>
          <w:sz w:val="21"/>
          <w:szCs w:val="21"/>
          <w:lang w:val="en-US"/>
        </w:rPr>
        <w:t xml:space="preserve"> </w:t>
      </w:r>
      <w:r w:rsidR="00C1308E" w:rsidRPr="00CC2594">
        <w:rPr>
          <w:rFonts w:ascii="Cambria" w:eastAsia="Batang" w:hAnsi="Cambria" w:cs="Times New Roman"/>
          <w:sz w:val="21"/>
          <w:szCs w:val="21"/>
          <w:lang w:val="en-US"/>
        </w:rPr>
        <w:t xml:space="preserve">transversally to </w:t>
      </w:r>
      <w:r w:rsidR="007D7051" w:rsidRPr="00CC2594">
        <w:rPr>
          <w:rFonts w:ascii="Cambria" w:eastAsia="Batang" w:hAnsi="Cambria" w:cs="Times New Roman"/>
          <w:sz w:val="21"/>
          <w:szCs w:val="21"/>
          <w:lang w:val="en-US"/>
        </w:rPr>
        <w:t>the I</w:t>
      </w:r>
      <w:r w:rsidRPr="00CC2594">
        <w:rPr>
          <w:rFonts w:ascii="Cambria" w:eastAsia="Batang" w:hAnsi="Cambria" w:cs="Times New Roman"/>
          <w:sz w:val="21"/>
          <w:szCs w:val="21"/>
          <w:lang w:val="en-US"/>
        </w:rPr>
        <w:t xml:space="preserve">nter-American </w:t>
      </w:r>
      <w:r w:rsidR="00835DFD" w:rsidRPr="00CC2594">
        <w:rPr>
          <w:rFonts w:ascii="Cambria" w:eastAsia="Batang" w:hAnsi="Cambria" w:cs="Times New Roman"/>
          <w:sz w:val="21"/>
          <w:szCs w:val="21"/>
          <w:lang w:val="en-US"/>
        </w:rPr>
        <w:t>S</w:t>
      </w:r>
      <w:r w:rsidRPr="00CC2594">
        <w:rPr>
          <w:rFonts w:ascii="Cambria" w:eastAsia="Batang" w:hAnsi="Cambria" w:cs="Times New Roman"/>
          <w:sz w:val="21"/>
          <w:szCs w:val="21"/>
          <w:lang w:val="en-US"/>
        </w:rPr>
        <w:t>ystem and that international jurisdiction is an "adjuvant" to national jurisdictions, without replacing them</w:t>
      </w:r>
      <w:r w:rsidRPr="00CC2594">
        <w:rPr>
          <w:rStyle w:val="FootnoteReference"/>
          <w:rFonts w:ascii="Cambria" w:hAnsi="Cambria"/>
          <w:sz w:val="21"/>
          <w:szCs w:val="21"/>
        </w:rPr>
        <w:footnoteReference w:id="10"/>
      </w:r>
      <w:r w:rsidRPr="00CC2594">
        <w:rPr>
          <w:rFonts w:ascii="Cambria" w:eastAsia="Batang" w:hAnsi="Cambria" w:cs="Times New Roman"/>
          <w:sz w:val="21"/>
          <w:szCs w:val="21"/>
          <w:lang w:val="en-US"/>
        </w:rPr>
        <w:t xml:space="preserve">. The Commission considers, however, that the invocation of the </w:t>
      </w:r>
      <w:r w:rsidR="00384383" w:rsidRPr="00CC2594">
        <w:rPr>
          <w:rFonts w:ascii="Cambria" w:eastAsia="Batang" w:hAnsi="Cambria" w:cs="Times New Roman"/>
          <w:sz w:val="21"/>
          <w:szCs w:val="21"/>
          <w:lang w:val="en-US"/>
        </w:rPr>
        <w:t xml:space="preserve">complementarity </w:t>
      </w:r>
      <w:r w:rsidRPr="00CC2594">
        <w:rPr>
          <w:rFonts w:ascii="Cambria" w:eastAsia="Batang" w:hAnsi="Cambria" w:cs="Times New Roman"/>
          <w:sz w:val="21"/>
          <w:szCs w:val="21"/>
          <w:lang w:val="en-US"/>
        </w:rPr>
        <w:t>principle as an argument of i</w:t>
      </w:r>
      <w:r w:rsidR="000B0310" w:rsidRPr="00CC2594">
        <w:rPr>
          <w:rFonts w:ascii="Cambria" w:eastAsia="Batang" w:hAnsi="Cambria" w:cs="Times New Roman"/>
          <w:sz w:val="21"/>
          <w:szCs w:val="21"/>
          <w:lang w:val="en-US"/>
        </w:rPr>
        <w:t>rrelevance</w:t>
      </w:r>
      <w:r w:rsidRPr="00CC2594">
        <w:rPr>
          <w:rFonts w:ascii="Cambria" w:eastAsia="Batang" w:hAnsi="Cambria" w:cs="Times New Roman"/>
          <w:sz w:val="21"/>
          <w:szCs w:val="21"/>
          <w:lang w:val="en-US"/>
        </w:rPr>
        <w:t xml:space="preserve"> for the adoption of precautionary measures implies that the State </w:t>
      </w:r>
      <w:r w:rsidR="000B0310" w:rsidRPr="00CC2594">
        <w:rPr>
          <w:rFonts w:ascii="Cambria" w:eastAsia="Batang" w:hAnsi="Cambria" w:cs="Times New Roman"/>
          <w:sz w:val="21"/>
          <w:szCs w:val="21"/>
          <w:lang w:val="en-US"/>
        </w:rPr>
        <w:t>concerned</w:t>
      </w:r>
      <w:r w:rsidRPr="00CC2594">
        <w:rPr>
          <w:rFonts w:ascii="Cambria" w:eastAsia="Batang" w:hAnsi="Cambria" w:cs="Times New Roman"/>
          <w:sz w:val="21"/>
          <w:szCs w:val="21"/>
          <w:lang w:val="en-US"/>
        </w:rPr>
        <w:t xml:space="preserve"> must </w:t>
      </w:r>
      <w:r w:rsidR="009632B4" w:rsidRPr="00CC2594">
        <w:rPr>
          <w:rFonts w:ascii="Cambria" w:eastAsia="Batang" w:hAnsi="Cambria" w:cs="Times New Roman"/>
          <w:sz w:val="21"/>
          <w:szCs w:val="21"/>
          <w:lang w:val="en-US"/>
        </w:rPr>
        <w:t>meet</w:t>
      </w:r>
      <w:r w:rsidRPr="00CC2594">
        <w:rPr>
          <w:rFonts w:ascii="Cambria" w:eastAsia="Batang" w:hAnsi="Cambria" w:cs="Times New Roman"/>
          <w:sz w:val="21"/>
          <w:szCs w:val="21"/>
          <w:lang w:val="en-US"/>
        </w:rPr>
        <w:t xml:space="preserve"> the burden of </w:t>
      </w:r>
      <w:r w:rsidR="009632B4" w:rsidRPr="00CC2594">
        <w:rPr>
          <w:rFonts w:ascii="Cambria" w:eastAsia="Batang" w:hAnsi="Cambria" w:cs="Times New Roman"/>
          <w:sz w:val="21"/>
          <w:szCs w:val="21"/>
          <w:lang w:val="en-US"/>
        </w:rPr>
        <w:t>proving</w:t>
      </w:r>
      <w:r w:rsidRPr="00CC2594">
        <w:rPr>
          <w:rFonts w:ascii="Cambria" w:eastAsia="Batang" w:hAnsi="Cambria" w:cs="Times New Roman"/>
          <w:sz w:val="21"/>
          <w:szCs w:val="21"/>
          <w:lang w:val="en-US"/>
        </w:rPr>
        <w:t xml:space="preserve"> that the beneficiaries are not in the </w:t>
      </w:r>
      <w:r w:rsidR="009632B4" w:rsidRPr="00CC2594">
        <w:rPr>
          <w:rFonts w:ascii="Cambria" w:eastAsia="Batang" w:hAnsi="Cambria" w:cs="Times New Roman"/>
          <w:sz w:val="21"/>
          <w:szCs w:val="21"/>
          <w:lang w:val="en-US"/>
        </w:rPr>
        <w:t>scenario</w:t>
      </w:r>
      <w:r w:rsidRPr="00CC2594">
        <w:rPr>
          <w:rFonts w:ascii="Cambria" w:eastAsia="Batang" w:hAnsi="Cambria" w:cs="Times New Roman"/>
          <w:sz w:val="21"/>
          <w:szCs w:val="21"/>
          <w:lang w:val="en-US"/>
        </w:rPr>
        <w:t xml:space="preserve"> established in Article 25 of the R</w:t>
      </w:r>
      <w:r w:rsidR="009632B4" w:rsidRPr="00CC2594">
        <w:rPr>
          <w:rFonts w:ascii="Cambria" w:eastAsia="Batang" w:hAnsi="Cambria" w:cs="Times New Roman"/>
          <w:sz w:val="21"/>
          <w:szCs w:val="21"/>
          <w:lang w:val="en-US"/>
        </w:rPr>
        <w:t>ules of Procedure</w:t>
      </w:r>
      <w:r w:rsidRPr="00CC2594">
        <w:rPr>
          <w:rFonts w:ascii="Cambria" w:eastAsia="Batang" w:hAnsi="Cambria" w:cs="Times New Roman"/>
          <w:sz w:val="21"/>
          <w:szCs w:val="21"/>
          <w:lang w:val="en-US"/>
        </w:rPr>
        <w:t>, in view of the fact that the measures adopted by the State itself have had a substantive impact on reducing or mitigating the situation</w:t>
      </w:r>
      <w:r w:rsidR="009632B4" w:rsidRPr="00CC2594">
        <w:rPr>
          <w:rFonts w:ascii="Cambria" w:eastAsia="Batang" w:hAnsi="Cambria" w:cs="Times New Roman"/>
          <w:sz w:val="21"/>
          <w:szCs w:val="21"/>
          <w:lang w:val="en-US"/>
        </w:rPr>
        <w:t xml:space="preserve"> of risk</w:t>
      </w:r>
      <w:r w:rsidRPr="00CC2594">
        <w:rPr>
          <w:rFonts w:ascii="Cambria" w:eastAsia="Batang" w:hAnsi="Cambria" w:cs="Times New Roman"/>
          <w:sz w:val="21"/>
          <w:szCs w:val="21"/>
          <w:lang w:val="en-US"/>
        </w:rPr>
        <w:t xml:space="preserve">, in such a way that </w:t>
      </w:r>
      <w:r w:rsidR="007B6041" w:rsidRPr="00CC2594">
        <w:rPr>
          <w:rFonts w:ascii="Cambria" w:eastAsia="Batang" w:hAnsi="Cambria" w:cs="Times New Roman"/>
          <w:sz w:val="21"/>
          <w:szCs w:val="21"/>
          <w:lang w:val="en-US"/>
        </w:rPr>
        <w:t xml:space="preserve">perhaps </w:t>
      </w:r>
      <w:r w:rsidRPr="00CC2594">
        <w:rPr>
          <w:rFonts w:ascii="Cambria" w:eastAsia="Batang" w:hAnsi="Cambria" w:cs="Times New Roman"/>
          <w:sz w:val="21"/>
          <w:szCs w:val="21"/>
          <w:lang w:val="en-US"/>
        </w:rPr>
        <w:t xml:space="preserve">it </w:t>
      </w:r>
      <w:r w:rsidR="007B6041" w:rsidRPr="00CC2594">
        <w:rPr>
          <w:rFonts w:ascii="Cambria" w:eastAsia="Batang" w:hAnsi="Cambria" w:cs="Times New Roman"/>
          <w:sz w:val="21"/>
          <w:szCs w:val="21"/>
          <w:lang w:val="en-US"/>
        </w:rPr>
        <w:t>would</w:t>
      </w:r>
      <w:r w:rsidRPr="00CC2594">
        <w:rPr>
          <w:rFonts w:ascii="Cambria" w:eastAsia="Batang" w:hAnsi="Cambria" w:cs="Times New Roman"/>
          <w:sz w:val="21"/>
          <w:szCs w:val="21"/>
          <w:lang w:val="en-US"/>
        </w:rPr>
        <w:t xml:space="preserve"> not allow an assessment of a s</w:t>
      </w:r>
      <w:r w:rsidR="002640CF" w:rsidRPr="00CC2594">
        <w:rPr>
          <w:rFonts w:ascii="Cambria" w:eastAsia="Batang" w:hAnsi="Cambria" w:cs="Times New Roman"/>
          <w:sz w:val="21"/>
          <w:szCs w:val="21"/>
          <w:lang w:val="en-US"/>
        </w:rPr>
        <w:t>ituation that meet</w:t>
      </w:r>
      <w:r w:rsidRPr="00CC2594">
        <w:rPr>
          <w:rFonts w:ascii="Cambria" w:eastAsia="Batang" w:hAnsi="Cambria" w:cs="Times New Roman"/>
          <w:sz w:val="21"/>
          <w:szCs w:val="21"/>
          <w:lang w:val="en-US"/>
        </w:rPr>
        <w:t xml:space="preserve"> the requirement of</w:t>
      </w:r>
      <w:r w:rsidR="00262632" w:rsidRPr="00CC2594">
        <w:rPr>
          <w:rFonts w:ascii="Cambria" w:eastAsia="Batang" w:hAnsi="Cambria" w:cs="Times New Roman"/>
          <w:sz w:val="21"/>
          <w:szCs w:val="21"/>
          <w:lang w:val="en-US"/>
        </w:rPr>
        <w:t xml:space="preserve"> seriousness</w:t>
      </w:r>
      <w:r w:rsidRPr="00CC2594">
        <w:rPr>
          <w:rFonts w:ascii="Cambria" w:eastAsia="Batang" w:hAnsi="Cambria" w:cs="Times New Roman"/>
          <w:sz w:val="21"/>
          <w:szCs w:val="21"/>
          <w:lang w:val="en-US"/>
        </w:rPr>
        <w:t xml:space="preserve"> and</w:t>
      </w:r>
      <w:r w:rsidR="00907266" w:rsidRPr="00CC2594">
        <w:rPr>
          <w:rFonts w:ascii="Cambria" w:eastAsia="Batang" w:hAnsi="Cambria" w:cs="Times New Roman"/>
          <w:sz w:val="21"/>
          <w:szCs w:val="21"/>
          <w:lang w:val="en-US"/>
        </w:rPr>
        <w:t xml:space="preserve"> urgency that precisely require</w:t>
      </w:r>
      <w:r w:rsidRPr="00CC2594">
        <w:rPr>
          <w:rFonts w:ascii="Cambria" w:eastAsia="Batang" w:hAnsi="Cambria" w:cs="Times New Roman"/>
          <w:sz w:val="21"/>
          <w:szCs w:val="21"/>
          <w:lang w:val="en-US"/>
        </w:rPr>
        <w:t xml:space="preserve"> international intervention to prevent irreparable </w:t>
      </w:r>
      <w:r w:rsidR="00907266" w:rsidRPr="00CC2594">
        <w:rPr>
          <w:rFonts w:ascii="Cambria" w:eastAsia="Batang" w:hAnsi="Cambria" w:cs="Times New Roman"/>
          <w:sz w:val="21"/>
          <w:szCs w:val="21"/>
          <w:lang w:val="en-US"/>
        </w:rPr>
        <w:t>harm</w:t>
      </w:r>
      <w:r w:rsidRPr="00CC2594">
        <w:rPr>
          <w:rFonts w:ascii="Cambria" w:hAnsi="Cambria"/>
          <w:vertAlign w:val="superscript"/>
          <w:lang w:val="es-ES_tradnl"/>
        </w:rPr>
        <w:footnoteReference w:id="11"/>
      </w:r>
      <w:r w:rsidRPr="00CC2594">
        <w:rPr>
          <w:rFonts w:ascii="Cambria" w:eastAsia="Batang" w:hAnsi="Cambria" w:cs="Times New Roman"/>
          <w:sz w:val="21"/>
          <w:szCs w:val="21"/>
          <w:lang w:val="en-US"/>
        </w:rPr>
        <w:t>.</w:t>
      </w:r>
    </w:p>
    <w:p w14:paraId="5A0F8842" w14:textId="77777777" w:rsidR="004E1ABB" w:rsidRPr="00CC2594" w:rsidRDefault="004E1ABB" w:rsidP="004E1ABB">
      <w:pPr>
        <w:pStyle w:val="ListParagraph"/>
        <w:rPr>
          <w:rFonts w:ascii="Cambria" w:hAnsi="Cambria"/>
          <w:sz w:val="21"/>
          <w:szCs w:val="21"/>
          <w:lang w:val="en-US"/>
        </w:rPr>
      </w:pPr>
    </w:p>
    <w:p w14:paraId="5B0101FB" w14:textId="2FF369B3" w:rsidR="004E1ABB" w:rsidRPr="00CC2594" w:rsidRDefault="004E1ABB" w:rsidP="004E1ABB">
      <w:pPr>
        <w:pStyle w:val="ListParagraph"/>
        <w:numPr>
          <w:ilvl w:val="0"/>
          <w:numId w:val="3"/>
        </w:numPr>
        <w:spacing w:after="0" w:line="240" w:lineRule="auto"/>
        <w:ind w:left="0" w:firstLine="360"/>
        <w:contextualSpacing w:val="0"/>
        <w:jc w:val="both"/>
        <w:rPr>
          <w:rFonts w:ascii="Cambria" w:eastAsia="Batang" w:hAnsi="Cambria" w:cs="Times New Roman"/>
          <w:sz w:val="21"/>
          <w:szCs w:val="21"/>
          <w:lang w:val="en-US"/>
        </w:rPr>
      </w:pPr>
      <w:r w:rsidRPr="00CC2594">
        <w:rPr>
          <w:rFonts w:ascii="Cambria" w:hAnsi="Cambria"/>
          <w:sz w:val="21"/>
          <w:szCs w:val="21"/>
          <w:lang w:val="en-US"/>
        </w:rPr>
        <w:t xml:space="preserve">In that regard, in the present </w:t>
      </w:r>
      <w:r w:rsidR="00DB750E" w:rsidRPr="00CC2594">
        <w:rPr>
          <w:rFonts w:ascii="Cambria" w:hAnsi="Cambria"/>
          <w:sz w:val="21"/>
          <w:szCs w:val="21"/>
          <w:lang w:val="en-US"/>
        </w:rPr>
        <w:t>matter</w:t>
      </w:r>
      <w:r w:rsidRPr="00CC2594">
        <w:rPr>
          <w:rFonts w:ascii="Cambria" w:hAnsi="Cambria"/>
          <w:sz w:val="21"/>
          <w:szCs w:val="21"/>
          <w:lang w:val="en-US"/>
        </w:rPr>
        <w:t>, the Commission has found that the situation arising under Article 25 of the R</w:t>
      </w:r>
      <w:r w:rsidR="005D3A68" w:rsidRPr="00CC2594">
        <w:rPr>
          <w:rFonts w:ascii="Cambria" w:hAnsi="Cambria"/>
          <w:sz w:val="21"/>
          <w:szCs w:val="21"/>
          <w:lang w:val="en-US"/>
        </w:rPr>
        <w:t>ules of Procedure</w:t>
      </w:r>
      <w:r w:rsidRPr="00CC2594">
        <w:rPr>
          <w:rFonts w:ascii="Cambria" w:hAnsi="Cambria"/>
          <w:sz w:val="21"/>
          <w:szCs w:val="21"/>
          <w:lang w:val="en-US"/>
        </w:rPr>
        <w:t xml:space="preserve"> </w:t>
      </w:r>
      <w:r w:rsidR="005D3A68" w:rsidRPr="00CC2594">
        <w:rPr>
          <w:rFonts w:ascii="Cambria" w:hAnsi="Cambria"/>
          <w:sz w:val="21"/>
          <w:szCs w:val="21"/>
          <w:lang w:val="en-US"/>
        </w:rPr>
        <w:t>meets</w:t>
      </w:r>
      <w:r w:rsidRPr="00CC2594">
        <w:rPr>
          <w:rFonts w:ascii="Cambria" w:hAnsi="Cambria"/>
          <w:sz w:val="21"/>
          <w:szCs w:val="21"/>
          <w:lang w:val="en-US"/>
        </w:rPr>
        <w:t xml:space="preserve"> the regulatory requirements and that it is</w:t>
      </w:r>
      <w:r w:rsidR="00900C59" w:rsidRPr="00CC2594">
        <w:rPr>
          <w:rFonts w:ascii="Cambria" w:hAnsi="Cambria"/>
          <w:sz w:val="21"/>
          <w:szCs w:val="21"/>
          <w:lang w:val="en-US"/>
        </w:rPr>
        <w:t>,</w:t>
      </w:r>
      <w:r w:rsidRPr="00CC2594">
        <w:rPr>
          <w:rFonts w:ascii="Cambria" w:hAnsi="Cambria"/>
          <w:sz w:val="21"/>
          <w:szCs w:val="21"/>
          <w:lang w:val="en-US"/>
        </w:rPr>
        <w:t xml:space="preserve"> therefore</w:t>
      </w:r>
      <w:r w:rsidR="00900C59" w:rsidRPr="00CC2594">
        <w:rPr>
          <w:rFonts w:ascii="Cambria" w:hAnsi="Cambria"/>
          <w:sz w:val="21"/>
          <w:szCs w:val="21"/>
          <w:lang w:val="en-US"/>
        </w:rPr>
        <w:t>,</w:t>
      </w:r>
      <w:r w:rsidRPr="00CC2594">
        <w:rPr>
          <w:rFonts w:ascii="Cambria" w:hAnsi="Cambria"/>
          <w:sz w:val="21"/>
          <w:szCs w:val="21"/>
          <w:lang w:val="en-US"/>
        </w:rPr>
        <w:t xml:space="preserve"> appropriate to adopt</w:t>
      </w:r>
      <w:r w:rsidR="005D3A68" w:rsidRPr="00CC2594">
        <w:rPr>
          <w:rFonts w:ascii="Cambria" w:hAnsi="Cambria"/>
          <w:sz w:val="21"/>
          <w:szCs w:val="21"/>
          <w:lang w:val="en-US"/>
        </w:rPr>
        <w:t xml:space="preserve"> precautionary </w:t>
      </w:r>
      <w:r w:rsidRPr="00CC2594">
        <w:rPr>
          <w:rFonts w:ascii="Cambria" w:hAnsi="Cambria"/>
          <w:sz w:val="21"/>
          <w:szCs w:val="21"/>
          <w:lang w:val="en-US"/>
        </w:rPr>
        <w:t xml:space="preserve">measures to safeguard </w:t>
      </w:r>
      <w:r w:rsidR="005D3A68" w:rsidRPr="00CC2594">
        <w:rPr>
          <w:rFonts w:ascii="Cambria" w:hAnsi="Cambria"/>
          <w:sz w:val="21"/>
          <w:szCs w:val="21"/>
          <w:lang w:val="en-US"/>
        </w:rPr>
        <w:t>their</w:t>
      </w:r>
      <w:r w:rsidRPr="00CC2594">
        <w:rPr>
          <w:rFonts w:ascii="Cambria" w:hAnsi="Cambria"/>
          <w:sz w:val="21"/>
          <w:szCs w:val="21"/>
          <w:lang w:val="en-US"/>
        </w:rPr>
        <w:t xml:space="preserve"> rights.</w:t>
      </w:r>
    </w:p>
    <w:p w14:paraId="55B5A940" w14:textId="77777777" w:rsidR="00B117BB" w:rsidRPr="00CC2594" w:rsidRDefault="00B117BB" w:rsidP="000A4AB1">
      <w:pPr>
        <w:pStyle w:val="ListParagraph"/>
        <w:spacing w:after="0" w:line="240" w:lineRule="auto"/>
        <w:ind w:left="360"/>
        <w:contextualSpacing w:val="0"/>
        <w:jc w:val="both"/>
        <w:rPr>
          <w:rFonts w:ascii="Cambria" w:eastAsia="Calibri" w:hAnsi="Cambria" w:cs="Times New Roman"/>
          <w:sz w:val="21"/>
          <w:szCs w:val="21"/>
          <w:lang w:val="en-US"/>
        </w:rPr>
      </w:pPr>
    </w:p>
    <w:p w14:paraId="352AEAEC" w14:textId="54A7EEC9" w:rsidR="00B117BB" w:rsidRPr="00CC2594" w:rsidRDefault="002C02DA" w:rsidP="00B117BB">
      <w:pPr>
        <w:numPr>
          <w:ilvl w:val="0"/>
          <w:numId w:val="2"/>
        </w:numPr>
        <w:spacing w:after="0" w:line="240" w:lineRule="auto"/>
        <w:ind w:hanging="294"/>
        <w:jc w:val="both"/>
        <w:rPr>
          <w:rFonts w:ascii="Cambria" w:eastAsia="Batang" w:hAnsi="Cambria" w:cs="Times New Roman"/>
          <w:b/>
          <w:sz w:val="21"/>
          <w:szCs w:val="21"/>
          <w:lang w:val="en-US"/>
        </w:rPr>
      </w:pPr>
      <w:r w:rsidRPr="00CC2594">
        <w:rPr>
          <w:rFonts w:ascii="Cambria" w:eastAsia="Batang" w:hAnsi="Cambria" w:cs="Times New Roman"/>
          <w:b/>
          <w:sz w:val="21"/>
          <w:szCs w:val="21"/>
          <w:lang w:val="en-US"/>
        </w:rPr>
        <w:t>BENEFICIARI</w:t>
      </w:r>
      <w:r w:rsidR="005D3A68" w:rsidRPr="00CC2594">
        <w:rPr>
          <w:rFonts w:ascii="Cambria" w:eastAsia="Batang" w:hAnsi="Cambria" w:cs="Times New Roman"/>
          <w:b/>
          <w:sz w:val="21"/>
          <w:szCs w:val="21"/>
          <w:lang w:val="en-US"/>
        </w:rPr>
        <w:t>ES</w:t>
      </w:r>
    </w:p>
    <w:p w14:paraId="4A831E13" w14:textId="77777777" w:rsidR="00B117BB" w:rsidRPr="00CC2594" w:rsidRDefault="00B117BB" w:rsidP="00B117BB">
      <w:pPr>
        <w:spacing w:after="0" w:line="240" w:lineRule="auto"/>
        <w:jc w:val="both"/>
        <w:rPr>
          <w:rFonts w:ascii="Cambria" w:eastAsia="Batang" w:hAnsi="Cambria" w:cs="Times New Roman"/>
          <w:b/>
          <w:sz w:val="21"/>
          <w:szCs w:val="21"/>
          <w:lang w:val="en-US"/>
        </w:rPr>
      </w:pPr>
    </w:p>
    <w:p w14:paraId="16201878" w14:textId="2C505A9D" w:rsidR="005D3A68" w:rsidRPr="00CC2594" w:rsidRDefault="005D3A68" w:rsidP="00B117BB">
      <w:pPr>
        <w:numPr>
          <w:ilvl w:val="0"/>
          <w:numId w:val="3"/>
        </w:numPr>
        <w:spacing w:after="0" w:line="240" w:lineRule="auto"/>
        <w:ind w:left="0" w:firstLine="360"/>
        <w:jc w:val="both"/>
        <w:rPr>
          <w:rFonts w:ascii="Cambria" w:eastAsia="Batang" w:hAnsi="Cambria" w:cs="Times New Roman"/>
          <w:sz w:val="21"/>
          <w:szCs w:val="21"/>
          <w:lang w:val="en-US"/>
        </w:rPr>
      </w:pPr>
      <w:r w:rsidRPr="00CC2594">
        <w:rPr>
          <w:rFonts w:ascii="Cambria" w:eastAsia="Batang" w:hAnsi="Cambria" w:cs="Times New Roman"/>
          <w:sz w:val="21"/>
          <w:szCs w:val="21"/>
          <w:lang w:val="en-US"/>
        </w:rPr>
        <w:t xml:space="preserve">The </w:t>
      </w:r>
      <w:r w:rsidR="00F309D9" w:rsidRPr="00CC2594">
        <w:rPr>
          <w:rFonts w:ascii="Cambria" w:eastAsia="Batang" w:hAnsi="Cambria" w:cs="Times New Roman"/>
          <w:sz w:val="21"/>
          <w:szCs w:val="21"/>
          <w:lang w:val="en-US"/>
        </w:rPr>
        <w:t>IACHR</w:t>
      </w:r>
      <w:r w:rsidRPr="00CC2594">
        <w:rPr>
          <w:rFonts w:ascii="Cambria" w:eastAsia="Batang" w:hAnsi="Cambria" w:cs="Times New Roman"/>
          <w:sz w:val="21"/>
          <w:szCs w:val="21"/>
          <w:lang w:val="en-US"/>
        </w:rPr>
        <w:t xml:space="preserve"> </w:t>
      </w:r>
      <w:r w:rsidR="00F309D9" w:rsidRPr="00CC2594">
        <w:rPr>
          <w:rFonts w:ascii="Cambria" w:eastAsia="Batang" w:hAnsi="Cambria" w:cs="Times New Roman"/>
          <w:sz w:val="21"/>
          <w:szCs w:val="21"/>
          <w:lang w:val="en-US"/>
        </w:rPr>
        <w:t>considers</w:t>
      </w:r>
      <w:r w:rsidRPr="00CC2594">
        <w:rPr>
          <w:rFonts w:ascii="Cambria" w:eastAsia="Batang" w:hAnsi="Cambria" w:cs="Times New Roman"/>
          <w:sz w:val="21"/>
          <w:szCs w:val="21"/>
          <w:lang w:val="en-US"/>
        </w:rPr>
        <w:t xml:space="preserve"> Alfonso </w:t>
      </w:r>
      <w:proofErr w:type="spellStart"/>
      <w:r w:rsidRPr="00CC2594">
        <w:rPr>
          <w:rFonts w:ascii="Cambria" w:eastAsia="Batang" w:hAnsi="Cambria" w:cs="Times New Roman"/>
          <w:sz w:val="21"/>
          <w:szCs w:val="21"/>
          <w:lang w:val="en-US"/>
        </w:rPr>
        <w:t>Alejandre</w:t>
      </w:r>
      <w:proofErr w:type="spellEnd"/>
      <w:r w:rsidRPr="00CC2594">
        <w:rPr>
          <w:rFonts w:ascii="Cambria" w:eastAsia="Batang" w:hAnsi="Cambria" w:cs="Times New Roman"/>
          <w:sz w:val="21"/>
          <w:szCs w:val="21"/>
          <w:lang w:val="en-US"/>
        </w:rPr>
        <w:t xml:space="preserve"> </w:t>
      </w:r>
      <w:proofErr w:type="spellStart"/>
      <w:r w:rsidRPr="00CC2594">
        <w:rPr>
          <w:rFonts w:ascii="Cambria" w:eastAsia="Batang" w:hAnsi="Cambria" w:cs="Times New Roman"/>
          <w:sz w:val="21"/>
          <w:szCs w:val="21"/>
          <w:lang w:val="en-US"/>
        </w:rPr>
        <w:t>Díaz</w:t>
      </w:r>
      <w:proofErr w:type="spellEnd"/>
      <w:r w:rsidRPr="00CC2594">
        <w:rPr>
          <w:rFonts w:ascii="Cambria" w:eastAsia="Batang" w:hAnsi="Cambria" w:cs="Times New Roman"/>
          <w:sz w:val="21"/>
          <w:szCs w:val="21"/>
          <w:lang w:val="en-US"/>
        </w:rPr>
        <w:t xml:space="preserve"> and Alberto </w:t>
      </w:r>
      <w:proofErr w:type="spellStart"/>
      <w:r w:rsidRPr="00CC2594">
        <w:rPr>
          <w:rFonts w:ascii="Cambria" w:eastAsia="Batang" w:hAnsi="Cambria" w:cs="Times New Roman"/>
          <w:sz w:val="21"/>
          <w:szCs w:val="21"/>
          <w:lang w:val="en-US"/>
        </w:rPr>
        <w:t>Alejandre</w:t>
      </w:r>
      <w:proofErr w:type="spellEnd"/>
      <w:r w:rsidRPr="00CC2594">
        <w:rPr>
          <w:rFonts w:ascii="Cambria" w:eastAsia="Batang" w:hAnsi="Cambria" w:cs="Times New Roman"/>
          <w:sz w:val="21"/>
          <w:szCs w:val="21"/>
          <w:lang w:val="en-US"/>
        </w:rPr>
        <w:t xml:space="preserve"> </w:t>
      </w:r>
      <w:proofErr w:type="spellStart"/>
      <w:r w:rsidRPr="00CC2594">
        <w:rPr>
          <w:rFonts w:ascii="Cambria" w:eastAsia="Batang" w:hAnsi="Cambria" w:cs="Times New Roman"/>
          <w:sz w:val="21"/>
          <w:szCs w:val="21"/>
          <w:lang w:val="en-US"/>
        </w:rPr>
        <w:t>Díaz</w:t>
      </w:r>
      <w:proofErr w:type="spellEnd"/>
      <w:r w:rsidRPr="00CC2594">
        <w:rPr>
          <w:rFonts w:ascii="Cambria" w:eastAsia="Batang" w:hAnsi="Cambria" w:cs="Times New Roman"/>
          <w:sz w:val="21"/>
          <w:szCs w:val="21"/>
          <w:lang w:val="en-US"/>
        </w:rPr>
        <w:t>, who are dul</w:t>
      </w:r>
      <w:r w:rsidR="00F309D9" w:rsidRPr="00CC2594">
        <w:rPr>
          <w:rFonts w:ascii="Cambria" w:eastAsia="Batang" w:hAnsi="Cambria" w:cs="Times New Roman"/>
          <w:sz w:val="21"/>
          <w:szCs w:val="21"/>
          <w:lang w:val="en-US"/>
        </w:rPr>
        <w:t>y identified in this resolution, the beneficiaries of the present precautionary measure.</w:t>
      </w:r>
    </w:p>
    <w:p w14:paraId="2ADA3582" w14:textId="77777777" w:rsidR="008F3387" w:rsidRPr="00CC2594" w:rsidRDefault="008F3387" w:rsidP="00E96CEA">
      <w:pPr>
        <w:spacing w:after="0" w:line="240" w:lineRule="auto"/>
        <w:ind w:left="720"/>
        <w:jc w:val="both"/>
        <w:rPr>
          <w:rFonts w:ascii="Cambria" w:eastAsia="Batang" w:hAnsi="Cambria" w:cs="Times New Roman"/>
          <w:b/>
          <w:sz w:val="21"/>
          <w:szCs w:val="21"/>
          <w:lang w:val="en-US"/>
        </w:rPr>
      </w:pPr>
    </w:p>
    <w:p w14:paraId="6D7A390E" w14:textId="450AB631" w:rsidR="00B117BB" w:rsidRPr="00CC2594" w:rsidRDefault="00C00A05" w:rsidP="00B117BB">
      <w:pPr>
        <w:numPr>
          <w:ilvl w:val="0"/>
          <w:numId w:val="2"/>
        </w:numPr>
        <w:spacing w:after="0" w:line="240" w:lineRule="auto"/>
        <w:ind w:hanging="294"/>
        <w:jc w:val="both"/>
        <w:rPr>
          <w:rFonts w:ascii="Cambria" w:eastAsia="Batang" w:hAnsi="Cambria" w:cs="Times New Roman"/>
          <w:b/>
          <w:sz w:val="21"/>
          <w:szCs w:val="21"/>
          <w:lang w:val="en-US"/>
        </w:rPr>
      </w:pPr>
      <w:r w:rsidRPr="00CC2594">
        <w:rPr>
          <w:rFonts w:ascii="Cambria" w:eastAsia="Batang" w:hAnsi="Cambria" w:cs="Times New Roman"/>
          <w:b/>
          <w:sz w:val="21"/>
          <w:szCs w:val="21"/>
          <w:lang w:val="en-US"/>
        </w:rPr>
        <w:t>DECISION</w:t>
      </w:r>
    </w:p>
    <w:p w14:paraId="04EBB45E" w14:textId="77777777" w:rsidR="00B117BB" w:rsidRPr="00CC2594" w:rsidRDefault="00B117BB" w:rsidP="00B117BB">
      <w:pPr>
        <w:spacing w:after="0" w:line="240" w:lineRule="auto"/>
        <w:jc w:val="both"/>
        <w:rPr>
          <w:rFonts w:ascii="Cambria" w:eastAsia="Batang" w:hAnsi="Cambria" w:cs="Times New Roman"/>
          <w:b/>
          <w:sz w:val="21"/>
          <w:szCs w:val="21"/>
          <w:lang w:val="en-US"/>
        </w:rPr>
      </w:pPr>
    </w:p>
    <w:p w14:paraId="2DA67C8F" w14:textId="0309A613" w:rsidR="00F24503" w:rsidRPr="00CC2594" w:rsidRDefault="00F24503" w:rsidP="00F24503">
      <w:pPr>
        <w:numPr>
          <w:ilvl w:val="0"/>
          <w:numId w:val="3"/>
        </w:numPr>
        <w:spacing w:after="0" w:line="240" w:lineRule="auto"/>
        <w:ind w:left="0" w:firstLine="360"/>
        <w:jc w:val="both"/>
        <w:rPr>
          <w:rFonts w:ascii="Cambria" w:eastAsia="Batang" w:hAnsi="Cambria" w:cs="Times New Roman"/>
          <w:sz w:val="21"/>
          <w:szCs w:val="21"/>
          <w:lang w:val="en-US"/>
        </w:rPr>
      </w:pPr>
      <w:r w:rsidRPr="00CC2594">
        <w:rPr>
          <w:rFonts w:ascii="Cambria" w:hAnsi="Cambria"/>
          <w:sz w:val="21"/>
          <w:szCs w:val="21"/>
          <w:lang w:val="en-US"/>
        </w:rPr>
        <w:t xml:space="preserve">In view of the aforementioned background information, the IACHR considers that the present matter meets, </w:t>
      </w:r>
      <w:r w:rsidRPr="00CC2594">
        <w:rPr>
          <w:rFonts w:ascii="Cambria" w:hAnsi="Cambria"/>
          <w:i/>
          <w:sz w:val="21"/>
          <w:szCs w:val="21"/>
          <w:lang w:val="en-US"/>
        </w:rPr>
        <w:t>prima facie</w:t>
      </w:r>
      <w:r w:rsidRPr="00CC2594">
        <w:rPr>
          <w:rFonts w:ascii="Cambria" w:hAnsi="Cambria"/>
          <w:sz w:val="21"/>
          <w:szCs w:val="21"/>
          <w:lang w:val="en-US"/>
        </w:rPr>
        <w:t>, the requirements of seriousness, urgency, and irreparable harm established in Article 25 of the Rules of Procedure. Consequently, the Commission requests that</w:t>
      </w:r>
      <w:r w:rsidR="00BB71A4" w:rsidRPr="00CC2594">
        <w:rPr>
          <w:rFonts w:ascii="Cambria" w:hAnsi="Cambria"/>
          <w:sz w:val="21"/>
          <w:szCs w:val="21"/>
          <w:lang w:val="en-US"/>
        </w:rPr>
        <w:t xml:space="preserve"> Mexico</w:t>
      </w:r>
      <w:r w:rsidR="002A06C6" w:rsidRPr="00CC2594">
        <w:rPr>
          <w:rFonts w:ascii="Cambria" w:hAnsi="Cambria"/>
          <w:sz w:val="21"/>
          <w:szCs w:val="21"/>
          <w:lang w:val="en-US"/>
        </w:rPr>
        <w:t>:</w:t>
      </w:r>
    </w:p>
    <w:p w14:paraId="1A53E8AE" w14:textId="77777777" w:rsidR="00B117BB" w:rsidRPr="00CC2594" w:rsidRDefault="00B117BB" w:rsidP="002A06C6">
      <w:pPr>
        <w:spacing w:after="0" w:line="240" w:lineRule="auto"/>
        <w:contextualSpacing/>
        <w:jc w:val="both"/>
        <w:rPr>
          <w:rFonts w:ascii="Cambria" w:eastAsia="Calibri" w:hAnsi="Cambria" w:cs="Times New Roman"/>
          <w:sz w:val="21"/>
          <w:szCs w:val="21"/>
          <w:lang w:val="en-US"/>
        </w:rPr>
      </w:pPr>
    </w:p>
    <w:p w14:paraId="54111E19" w14:textId="72E9A574" w:rsidR="002A06C6" w:rsidRPr="00CC2594" w:rsidRDefault="007B507A" w:rsidP="002A06C6">
      <w:pPr>
        <w:pStyle w:val="ListParagraph"/>
        <w:numPr>
          <w:ilvl w:val="1"/>
          <w:numId w:val="6"/>
        </w:numPr>
        <w:spacing w:after="120" w:line="240" w:lineRule="auto"/>
        <w:ind w:left="1134" w:hanging="357"/>
        <w:contextualSpacing w:val="0"/>
        <w:jc w:val="both"/>
        <w:rPr>
          <w:rFonts w:ascii="Cambria" w:eastAsia="Batang" w:hAnsi="Cambria" w:cs="Times New Roman"/>
          <w:sz w:val="21"/>
          <w:szCs w:val="21"/>
          <w:lang w:val="en-US"/>
        </w:rPr>
      </w:pPr>
      <w:r w:rsidRPr="00CC2594">
        <w:rPr>
          <w:rFonts w:ascii="Cambria" w:hAnsi="Cambria"/>
          <w:sz w:val="21"/>
          <w:szCs w:val="21"/>
          <w:lang w:val="en-US"/>
        </w:rPr>
        <w:t xml:space="preserve">adopt the necessary measures to determine the whereabouts or fate </w:t>
      </w:r>
      <w:r w:rsidRPr="00CC2594">
        <w:rPr>
          <w:rFonts w:ascii="Cambria" w:eastAsia="Batang" w:hAnsi="Cambria" w:cs="Times New Roman"/>
          <w:sz w:val="21"/>
          <w:szCs w:val="21"/>
          <w:lang w:val="en-US"/>
        </w:rPr>
        <w:t xml:space="preserve">of Mr. Alfonso </w:t>
      </w:r>
      <w:proofErr w:type="spellStart"/>
      <w:r w:rsidRPr="00CC2594">
        <w:rPr>
          <w:rFonts w:ascii="Cambria" w:eastAsia="Batang" w:hAnsi="Cambria" w:cs="Times New Roman"/>
          <w:sz w:val="21"/>
          <w:szCs w:val="21"/>
          <w:lang w:val="en-US"/>
        </w:rPr>
        <w:t>Alejandre</w:t>
      </w:r>
      <w:proofErr w:type="spellEnd"/>
      <w:r w:rsidRPr="00CC2594">
        <w:rPr>
          <w:rFonts w:ascii="Cambria" w:eastAsia="Batang" w:hAnsi="Cambria" w:cs="Times New Roman"/>
          <w:sz w:val="21"/>
          <w:szCs w:val="21"/>
          <w:lang w:val="en-US"/>
        </w:rPr>
        <w:t xml:space="preserve"> </w:t>
      </w:r>
      <w:proofErr w:type="spellStart"/>
      <w:r w:rsidRPr="00CC2594">
        <w:rPr>
          <w:rFonts w:ascii="Cambria" w:eastAsia="Batang" w:hAnsi="Cambria" w:cs="Times New Roman"/>
          <w:sz w:val="21"/>
          <w:szCs w:val="21"/>
          <w:lang w:val="en-US"/>
        </w:rPr>
        <w:t>Díaz</w:t>
      </w:r>
      <w:proofErr w:type="spellEnd"/>
      <w:r w:rsidRPr="00CC2594">
        <w:rPr>
          <w:rFonts w:ascii="Cambria" w:eastAsia="Batang" w:hAnsi="Cambria" w:cs="Times New Roman"/>
          <w:sz w:val="21"/>
          <w:szCs w:val="21"/>
          <w:lang w:val="en-US"/>
        </w:rPr>
        <w:t xml:space="preserve"> and Mr. Alberto </w:t>
      </w:r>
      <w:proofErr w:type="spellStart"/>
      <w:r w:rsidRPr="00CC2594">
        <w:rPr>
          <w:rFonts w:ascii="Cambria" w:eastAsia="Batang" w:hAnsi="Cambria" w:cs="Times New Roman"/>
          <w:sz w:val="21"/>
          <w:szCs w:val="21"/>
          <w:lang w:val="en-US"/>
        </w:rPr>
        <w:t>Alejandre</w:t>
      </w:r>
      <w:proofErr w:type="spellEnd"/>
      <w:r w:rsidRPr="00CC2594">
        <w:rPr>
          <w:rFonts w:ascii="Cambria" w:eastAsia="Batang" w:hAnsi="Cambria" w:cs="Times New Roman"/>
          <w:sz w:val="21"/>
          <w:szCs w:val="21"/>
          <w:lang w:val="en-US"/>
        </w:rPr>
        <w:t xml:space="preserve"> </w:t>
      </w:r>
      <w:proofErr w:type="spellStart"/>
      <w:r w:rsidRPr="00CC2594">
        <w:rPr>
          <w:rFonts w:ascii="Cambria" w:eastAsia="Batang" w:hAnsi="Cambria" w:cs="Times New Roman"/>
          <w:sz w:val="21"/>
          <w:szCs w:val="21"/>
          <w:lang w:val="en-US"/>
        </w:rPr>
        <w:t>Díaz</w:t>
      </w:r>
      <w:proofErr w:type="spellEnd"/>
      <w:r w:rsidRPr="00CC2594">
        <w:rPr>
          <w:rFonts w:ascii="Cambria" w:eastAsia="Batang" w:hAnsi="Cambria" w:cs="Times New Roman"/>
          <w:sz w:val="21"/>
          <w:szCs w:val="21"/>
          <w:lang w:val="en-US"/>
        </w:rPr>
        <w:t>, in order to protect their rights to life and personal integrity;</w:t>
      </w:r>
    </w:p>
    <w:p w14:paraId="1D8AE649" w14:textId="19A90059" w:rsidR="00717ACB" w:rsidRPr="00CC2594" w:rsidRDefault="007B507A" w:rsidP="00717ACB">
      <w:pPr>
        <w:pStyle w:val="ListParagraph"/>
        <w:numPr>
          <w:ilvl w:val="1"/>
          <w:numId w:val="6"/>
        </w:numPr>
        <w:spacing w:after="120" w:line="240" w:lineRule="auto"/>
        <w:ind w:left="1134" w:hanging="357"/>
        <w:contextualSpacing w:val="0"/>
        <w:jc w:val="both"/>
        <w:rPr>
          <w:rFonts w:ascii="Cambria" w:eastAsia="Batang" w:hAnsi="Cambria" w:cs="Times New Roman"/>
          <w:sz w:val="21"/>
          <w:szCs w:val="21"/>
          <w:lang w:val="en-US"/>
        </w:rPr>
      </w:pPr>
      <w:r w:rsidRPr="00CC2594">
        <w:rPr>
          <w:rFonts w:ascii="Cambria" w:hAnsi="Cambria"/>
          <w:sz w:val="21"/>
          <w:szCs w:val="21"/>
          <w:lang w:val="en-US"/>
        </w:rPr>
        <w:t>consult upon the measures to be adopted with the representatives of the beneficiaries; and</w:t>
      </w:r>
    </w:p>
    <w:p w14:paraId="3D28F777" w14:textId="169B8413" w:rsidR="00717ACB" w:rsidRPr="00CC2594" w:rsidRDefault="007B507A" w:rsidP="00717ACB">
      <w:pPr>
        <w:pStyle w:val="ListParagraph"/>
        <w:numPr>
          <w:ilvl w:val="1"/>
          <w:numId w:val="6"/>
        </w:numPr>
        <w:spacing w:after="120" w:line="240" w:lineRule="auto"/>
        <w:ind w:left="1134" w:hanging="357"/>
        <w:contextualSpacing w:val="0"/>
        <w:jc w:val="both"/>
        <w:rPr>
          <w:rFonts w:ascii="Cambria" w:eastAsia="Batang" w:hAnsi="Cambria" w:cs="Times New Roman"/>
          <w:sz w:val="21"/>
          <w:szCs w:val="21"/>
          <w:lang w:val="en-US"/>
        </w:rPr>
      </w:pPr>
      <w:proofErr w:type="gramStart"/>
      <w:r w:rsidRPr="00CC2594">
        <w:rPr>
          <w:rFonts w:ascii="Cambria" w:hAnsi="Cambria"/>
          <w:sz w:val="21"/>
          <w:szCs w:val="21"/>
          <w:lang w:val="en-US"/>
        </w:rPr>
        <w:t>provide</w:t>
      </w:r>
      <w:proofErr w:type="gramEnd"/>
      <w:r w:rsidRPr="00CC2594">
        <w:rPr>
          <w:rFonts w:ascii="Cambria" w:hAnsi="Cambria"/>
          <w:sz w:val="21"/>
          <w:szCs w:val="21"/>
          <w:lang w:val="en-US"/>
        </w:rPr>
        <w:t xml:space="preserve"> information regarding the actions taken to investigate the alleged acts that caused the adoption of the present precautionary measure and, in this way, avoid their repetition.</w:t>
      </w:r>
    </w:p>
    <w:p w14:paraId="5C79BEF9" w14:textId="77777777" w:rsidR="003102F2" w:rsidRPr="00CC2594" w:rsidRDefault="003102F2" w:rsidP="003102F2">
      <w:pPr>
        <w:pStyle w:val="ListParagraph"/>
        <w:spacing w:after="0" w:line="240" w:lineRule="auto"/>
        <w:ind w:left="2160"/>
        <w:jc w:val="both"/>
        <w:rPr>
          <w:rFonts w:ascii="Cambria" w:eastAsia="Batang" w:hAnsi="Cambria" w:cs="Times New Roman"/>
          <w:sz w:val="21"/>
          <w:szCs w:val="21"/>
          <w:lang w:val="en-US"/>
        </w:rPr>
      </w:pPr>
    </w:p>
    <w:p w14:paraId="02FAFCE1" w14:textId="52F461F6" w:rsidR="00371ACA" w:rsidRPr="00CC2594" w:rsidRDefault="00371ACA" w:rsidP="00371ACA">
      <w:pPr>
        <w:numPr>
          <w:ilvl w:val="0"/>
          <w:numId w:val="3"/>
        </w:numPr>
        <w:spacing w:after="0" w:line="240" w:lineRule="auto"/>
        <w:ind w:left="0" w:firstLine="360"/>
        <w:jc w:val="both"/>
        <w:rPr>
          <w:rFonts w:ascii="Cambria" w:hAnsi="Cambria"/>
          <w:sz w:val="21"/>
          <w:szCs w:val="21"/>
          <w:lang w:val="en-US"/>
        </w:rPr>
      </w:pPr>
      <w:r w:rsidRPr="00CC2594">
        <w:rPr>
          <w:rFonts w:ascii="Cambria" w:hAnsi="Cambria"/>
          <w:sz w:val="21"/>
          <w:szCs w:val="21"/>
          <w:lang w:val="en-US"/>
        </w:rPr>
        <w:t xml:space="preserve">The Commission requests that the Government of Mexico kindly inform the Commission, within a period of 15 days, as from the date of notification of the present resolution, regarding the </w:t>
      </w:r>
      <w:r w:rsidRPr="00CC2594">
        <w:rPr>
          <w:rFonts w:ascii="Cambria" w:hAnsi="Cambria"/>
          <w:sz w:val="21"/>
          <w:szCs w:val="21"/>
          <w:lang w:val="en-US"/>
        </w:rPr>
        <w:lastRenderedPageBreak/>
        <w:t xml:space="preserve">adoption of the precautionary measures that have been consulted upon and </w:t>
      </w:r>
      <w:proofErr w:type="gramStart"/>
      <w:r w:rsidRPr="00CC2594">
        <w:rPr>
          <w:rFonts w:ascii="Cambria" w:hAnsi="Cambria"/>
          <w:sz w:val="21"/>
          <w:szCs w:val="21"/>
          <w:lang w:val="en-US"/>
        </w:rPr>
        <w:t>to periodically update</w:t>
      </w:r>
      <w:proofErr w:type="gramEnd"/>
      <w:r w:rsidRPr="00CC2594">
        <w:rPr>
          <w:rFonts w:ascii="Cambria" w:hAnsi="Cambria"/>
          <w:sz w:val="21"/>
          <w:szCs w:val="21"/>
          <w:lang w:val="en-US"/>
        </w:rPr>
        <w:t xml:space="preserve"> this information.</w:t>
      </w:r>
    </w:p>
    <w:p w14:paraId="5D93D7E4" w14:textId="77777777" w:rsidR="00B117BB" w:rsidRPr="00CC2594" w:rsidRDefault="00B117BB" w:rsidP="00B117BB">
      <w:pPr>
        <w:spacing w:after="0" w:line="240" w:lineRule="auto"/>
        <w:jc w:val="both"/>
        <w:rPr>
          <w:rFonts w:ascii="Cambria" w:eastAsia="Batang" w:hAnsi="Cambria" w:cs="Times New Roman"/>
          <w:sz w:val="21"/>
          <w:szCs w:val="21"/>
          <w:lang w:val="en-US"/>
        </w:rPr>
      </w:pPr>
    </w:p>
    <w:p w14:paraId="1B49B4C4" w14:textId="6834917D" w:rsidR="00371ACA" w:rsidRPr="00CC2594" w:rsidRDefault="00371ACA" w:rsidP="00371ACA">
      <w:pPr>
        <w:numPr>
          <w:ilvl w:val="0"/>
          <w:numId w:val="3"/>
        </w:numPr>
        <w:spacing w:after="0" w:line="240" w:lineRule="auto"/>
        <w:ind w:left="0" w:firstLine="360"/>
        <w:jc w:val="both"/>
        <w:rPr>
          <w:rFonts w:ascii="Cambria" w:hAnsi="Cambria"/>
          <w:sz w:val="21"/>
          <w:szCs w:val="21"/>
          <w:lang w:val="en-US"/>
        </w:rPr>
      </w:pPr>
      <w:r w:rsidRPr="00CC2594">
        <w:rPr>
          <w:rFonts w:ascii="Cambria" w:hAnsi="Cambria"/>
          <w:sz w:val="21"/>
          <w:szCs w:val="21"/>
          <w:lang w:val="en-US"/>
        </w:rPr>
        <w:t xml:space="preserve">The Commission highlights that, pursuant to Article 25(8) of the Commission's Rules of Procedure, the granting of precautionary measures and their adoption by the State do not constitute a prejudgment regarding the possible violation of the rights protected in the American </w:t>
      </w:r>
      <w:r w:rsidR="00164ABE" w:rsidRPr="00CC2594">
        <w:rPr>
          <w:rFonts w:ascii="Cambria" w:hAnsi="Cambria"/>
          <w:sz w:val="21"/>
          <w:szCs w:val="21"/>
          <w:lang w:val="en-US"/>
        </w:rPr>
        <w:t>Convention</w:t>
      </w:r>
      <w:r w:rsidRPr="00CC2594">
        <w:rPr>
          <w:rFonts w:ascii="Cambria" w:hAnsi="Cambria"/>
          <w:sz w:val="21"/>
          <w:szCs w:val="21"/>
          <w:lang w:val="en-US"/>
        </w:rPr>
        <w:t xml:space="preserve"> and other applicable instruments.</w:t>
      </w:r>
    </w:p>
    <w:p w14:paraId="01BAE598" w14:textId="77777777" w:rsidR="00B117BB" w:rsidRPr="00CC2594" w:rsidRDefault="00B117BB" w:rsidP="00371ACA">
      <w:pPr>
        <w:spacing w:after="0" w:line="240" w:lineRule="auto"/>
        <w:contextualSpacing/>
        <w:jc w:val="both"/>
        <w:rPr>
          <w:rFonts w:ascii="Cambria" w:eastAsia="Calibri" w:hAnsi="Cambria" w:cs="Times New Roman"/>
          <w:sz w:val="21"/>
          <w:szCs w:val="21"/>
          <w:lang w:val="en-US"/>
        </w:rPr>
      </w:pPr>
    </w:p>
    <w:p w14:paraId="2C4E6059" w14:textId="50B18293" w:rsidR="00164ABE" w:rsidRPr="00CC2594" w:rsidRDefault="00164ABE" w:rsidP="00164ABE">
      <w:pPr>
        <w:numPr>
          <w:ilvl w:val="0"/>
          <w:numId w:val="3"/>
        </w:numPr>
        <w:spacing w:after="0" w:line="240" w:lineRule="auto"/>
        <w:ind w:left="0" w:firstLine="360"/>
        <w:jc w:val="both"/>
        <w:rPr>
          <w:rFonts w:ascii="Cambria" w:eastAsia="Batang" w:hAnsi="Cambria" w:cs="Times New Roman"/>
          <w:sz w:val="21"/>
          <w:szCs w:val="21"/>
          <w:lang w:val="en-US"/>
        </w:rPr>
      </w:pPr>
      <w:r w:rsidRPr="00CC2594">
        <w:rPr>
          <w:rFonts w:ascii="Cambria" w:hAnsi="Cambria"/>
          <w:sz w:val="21"/>
          <w:szCs w:val="21"/>
          <w:lang w:val="en-US"/>
        </w:rPr>
        <w:t xml:space="preserve">The Commission requests that the Secretariat of the IACHR notify the State of </w:t>
      </w:r>
      <w:r w:rsidR="00D01DD6" w:rsidRPr="00CC2594">
        <w:rPr>
          <w:rFonts w:ascii="Cambria" w:hAnsi="Cambria"/>
          <w:sz w:val="21"/>
          <w:szCs w:val="21"/>
          <w:lang w:val="en-US"/>
        </w:rPr>
        <w:t>Mexico</w:t>
      </w:r>
      <w:r w:rsidRPr="00CC2594">
        <w:rPr>
          <w:rFonts w:ascii="Cambria" w:hAnsi="Cambria"/>
          <w:sz w:val="21"/>
          <w:szCs w:val="21"/>
          <w:lang w:val="en-US"/>
        </w:rPr>
        <w:t xml:space="preserve"> and the applicants of the present Resolution.</w:t>
      </w:r>
    </w:p>
    <w:p w14:paraId="6BB0CBF3" w14:textId="77777777" w:rsidR="00B117BB" w:rsidRPr="00CC2594" w:rsidRDefault="00B117BB" w:rsidP="00B117BB">
      <w:pPr>
        <w:spacing w:after="0" w:line="240" w:lineRule="auto"/>
        <w:jc w:val="both"/>
        <w:rPr>
          <w:rFonts w:ascii="Cambria" w:eastAsia="Batang" w:hAnsi="Cambria" w:cs="Times New Roman"/>
          <w:sz w:val="21"/>
          <w:szCs w:val="21"/>
          <w:lang w:val="en-US"/>
        </w:rPr>
      </w:pPr>
    </w:p>
    <w:p w14:paraId="73CE9696" w14:textId="16669E2A" w:rsidR="00527571" w:rsidRPr="00CC2594" w:rsidRDefault="00B117BB" w:rsidP="003E7854">
      <w:pPr>
        <w:numPr>
          <w:ilvl w:val="0"/>
          <w:numId w:val="3"/>
        </w:numPr>
        <w:spacing w:after="0" w:line="240" w:lineRule="auto"/>
        <w:ind w:left="0" w:firstLine="360"/>
        <w:jc w:val="both"/>
        <w:rPr>
          <w:rFonts w:ascii="Cambria" w:eastAsia="Batang" w:hAnsi="Cambria" w:cs="Times New Roman"/>
          <w:sz w:val="21"/>
          <w:szCs w:val="21"/>
          <w:lang w:val="en-US"/>
        </w:rPr>
      </w:pPr>
      <w:r w:rsidRPr="00CC2594">
        <w:rPr>
          <w:rFonts w:ascii="Cambria" w:eastAsia="Batang" w:hAnsi="Cambria" w:cs="Times New Roman"/>
          <w:sz w:val="21"/>
          <w:szCs w:val="21"/>
          <w:lang w:val="en-US"/>
        </w:rPr>
        <w:t>Ap</w:t>
      </w:r>
      <w:r w:rsidR="00164ABE" w:rsidRPr="00CC2594">
        <w:rPr>
          <w:rFonts w:ascii="Cambria" w:eastAsia="Batang" w:hAnsi="Cambria" w:cs="Times New Roman"/>
          <w:sz w:val="21"/>
          <w:szCs w:val="21"/>
          <w:lang w:val="en-US"/>
        </w:rPr>
        <w:t>proved on</w:t>
      </w:r>
      <w:r w:rsidRPr="00CC2594">
        <w:rPr>
          <w:rFonts w:ascii="Cambria" w:eastAsia="Batang" w:hAnsi="Cambria" w:cs="Times New Roman"/>
          <w:sz w:val="21"/>
          <w:szCs w:val="21"/>
          <w:lang w:val="en-US"/>
        </w:rPr>
        <w:t xml:space="preserve"> </w:t>
      </w:r>
      <w:r w:rsidR="00164ABE" w:rsidRPr="00CC2594">
        <w:rPr>
          <w:rFonts w:ascii="Cambria" w:eastAsia="Batang" w:hAnsi="Cambria" w:cs="Times New Roman"/>
          <w:sz w:val="21"/>
          <w:szCs w:val="21"/>
          <w:lang w:val="en-US"/>
        </w:rPr>
        <w:t xml:space="preserve">February </w:t>
      </w:r>
      <w:r w:rsidR="00D94D3E" w:rsidRPr="00CC2594">
        <w:rPr>
          <w:rFonts w:ascii="Cambria" w:eastAsia="Batang" w:hAnsi="Cambria" w:cs="Times New Roman"/>
          <w:sz w:val="21"/>
          <w:szCs w:val="21"/>
          <w:lang w:val="en-US"/>
        </w:rPr>
        <w:t>5</w:t>
      </w:r>
      <w:r w:rsidR="00164ABE" w:rsidRPr="00CC2594">
        <w:rPr>
          <w:rFonts w:ascii="Cambria" w:eastAsia="Batang" w:hAnsi="Cambria" w:cs="Times New Roman"/>
          <w:sz w:val="21"/>
          <w:szCs w:val="21"/>
          <w:lang w:val="en-US"/>
        </w:rPr>
        <w:t>,</w:t>
      </w:r>
      <w:r w:rsidR="00527571" w:rsidRPr="00CC2594">
        <w:rPr>
          <w:rFonts w:ascii="Cambria" w:eastAsia="Batang" w:hAnsi="Cambria" w:cs="Times New Roman"/>
          <w:sz w:val="21"/>
          <w:szCs w:val="21"/>
          <w:lang w:val="en-US"/>
        </w:rPr>
        <w:t xml:space="preserve"> 20</w:t>
      </w:r>
      <w:r w:rsidR="003102F2" w:rsidRPr="00CC2594">
        <w:rPr>
          <w:rFonts w:ascii="Cambria" w:eastAsia="Batang" w:hAnsi="Cambria" w:cs="Times New Roman"/>
          <w:sz w:val="21"/>
          <w:szCs w:val="21"/>
          <w:lang w:val="en-US"/>
        </w:rPr>
        <w:t>20</w:t>
      </w:r>
      <w:r w:rsidR="00527571" w:rsidRPr="00CC2594">
        <w:rPr>
          <w:rFonts w:ascii="Cambria" w:eastAsia="Batang" w:hAnsi="Cambria" w:cs="Times New Roman"/>
          <w:sz w:val="21"/>
          <w:szCs w:val="21"/>
          <w:lang w:val="en-US"/>
        </w:rPr>
        <w:t xml:space="preserve"> </w:t>
      </w:r>
      <w:r w:rsidR="00164ABE" w:rsidRPr="00CC2594">
        <w:rPr>
          <w:rFonts w:ascii="Cambria" w:eastAsia="Batang" w:hAnsi="Cambria" w:cs="Times New Roman"/>
          <w:sz w:val="21"/>
          <w:szCs w:val="21"/>
          <w:lang w:val="en-US"/>
        </w:rPr>
        <w:t>by</w:t>
      </w:r>
      <w:r w:rsidR="00527571" w:rsidRPr="00CC2594">
        <w:rPr>
          <w:rFonts w:ascii="Cambria" w:eastAsia="Batang" w:hAnsi="Cambria" w:cs="Times New Roman"/>
          <w:sz w:val="21"/>
          <w:szCs w:val="21"/>
          <w:lang w:val="en-US"/>
        </w:rPr>
        <w:t xml:space="preserve">: </w:t>
      </w:r>
      <w:r w:rsidR="00505CCC" w:rsidRPr="00CC2594">
        <w:rPr>
          <w:rFonts w:ascii="Cambria" w:eastAsia="Batang" w:hAnsi="Cambria" w:cs="Times New Roman"/>
          <w:sz w:val="21"/>
          <w:szCs w:val="21"/>
          <w:lang w:val="en-US"/>
        </w:rPr>
        <w:t xml:space="preserve">Esmeralda </w:t>
      </w:r>
      <w:proofErr w:type="spellStart"/>
      <w:r w:rsidR="00505CCC" w:rsidRPr="00CC2594">
        <w:rPr>
          <w:rFonts w:ascii="Cambria" w:eastAsia="Batang" w:hAnsi="Cambria" w:cs="Times New Roman"/>
          <w:sz w:val="21"/>
          <w:szCs w:val="21"/>
          <w:lang w:val="en-US"/>
        </w:rPr>
        <w:t>Arosemena</w:t>
      </w:r>
      <w:proofErr w:type="spellEnd"/>
      <w:r w:rsidR="00505CCC" w:rsidRPr="00CC2594">
        <w:rPr>
          <w:rFonts w:ascii="Cambria" w:eastAsia="Batang" w:hAnsi="Cambria" w:cs="Times New Roman"/>
          <w:sz w:val="21"/>
          <w:szCs w:val="21"/>
          <w:lang w:val="en-US"/>
        </w:rPr>
        <w:t xml:space="preserve"> Troitino, President; Antonia Urrejola </w:t>
      </w:r>
      <w:proofErr w:type="spellStart"/>
      <w:r w:rsidR="00505CCC" w:rsidRPr="00CC2594">
        <w:rPr>
          <w:rFonts w:ascii="Cambria" w:eastAsia="Batang" w:hAnsi="Cambria" w:cs="Times New Roman"/>
          <w:sz w:val="21"/>
          <w:szCs w:val="21"/>
          <w:lang w:val="en-US"/>
        </w:rPr>
        <w:t>Noguera</w:t>
      </w:r>
      <w:proofErr w:type="spellEnd"/>
      <w:r w:rsidR="00505CCC" w:rsidRPr="00CC2594">
        <w:rPr>
          <w:rFonts w:ascii="Cambria" w:eastAsia="Batang" w:hAnsi="Cambria" w:cs="Times New Roman"/>
          <w:sz w:val="21"/>
          <w:szCs w:val="21"/>
          <w:lang w:val="en-US"/>
        </w:rPr>
        <w:t xml:space="preserve">, Second Vice-President; Margarette Macaulay; </w:t>
      </w:r>
      <w:proofErr w:type="spellStart"/>
      <w:r w:rsidR="00505CCC" w:rsidRPr="00CC2594">
        <w:rPr>
          <w:rFonts w:ascii="Cambria" w:eastAsia="Batang" w:hAnsi="Cambria" w:cs="Times New Roman"/>
          <w:sz w:val="21"/>
          <w:szCs w:val="21"/>
          <w:lang w:val="en-US"/>
        </w:rPr>
        <w:t>Flávia</w:t>
      </w:r>
      <w:proofErr w:type="spellEnd"/>
      <w:r w:rsidR="00505CCC" w:rsidRPr="00CC2594">
        <w:rPr>
          <w:rFonts w:ascii="Cambria" w:eastAsia="Batang" w:hAnsi="Cambria" w:cs="Times New Roman"/>
          <w:sz w:val="21"/>
          <w:szCs w:val="21"/>
          <w:lang w:val="en-US"/>
        </w:rPr>
        <w:t xml:space="preserve"> Piovesan; y Julissa Mantilla.</w:t>
      </w:r>
    </w:p>
    <w:p w14:paraId="58EAB789" w14:textId="6FB0FC5E" w:rsidR="00B117BB" w:rsidRPr="00CC2594" w:rsidRDefault="00B117BB" w:rsidP="00142C07">
      <w:pPr>
        <w:spacing w:after="0" w:line="240" w:lineRule="auto"/>
        <w:contextualSpacing/>
        <w:jc w:val="both"/>
        <w:rPr>
          <w:rFonts w:ascii="Cambria" w:eastAsia="Batang" w:hAnsi="Cambria" w:cs="Times New Roman"/>
          <w:sz w:val="21"/>
          <w:szCs w:val="21"/>
          <w:lang w:val="en-US"/>
        </w:rPr>
      </w:pPr>
    </w:p>
    <w:p w14:paraId="3F8FE4B3" w14:textId="406041F3" w:rsidR="00457F3A" w:rsidRPr="00CC2594" w:rsidRDefault="00457F3A">
      <w:pPr>
        <w:rPr>
          <w:lang w:val="en-US"/>
        </w:rPr>
      </w:pPr>
    </w:p>
    <w:p w14:paraId="558F22D3" w14:textId="77777777" w:rsidR="00505CCC" w:rsidRPr="00505CCC" w:rsidRDefault="00505CCC" w:rsidP="00505CCC">
      <w:pPr>
        <w:spacing w:after="0" w:line="240" w:lineRule="auto"/>
        <w:jc w:val="center"/>
        <w:rPr>
          <w:rFonts w:ascii="Cambria" w:eastAsia="Batang" w:hAnsi="Cambria" w:cs="Times New Roman"/>
          <w:sz w:val="21"/>
          <w:szCs w:val="21"/>
          <w:lang w:val="en-US"/>
        </w:rPr>
      </w:pPr>
      <w:r w:rsidRPr="00505CCC">
        <w:rPr>
          <w:rFonts w:ascii="Cambria" w:eastAsia="Batang" w:hAnsi="Cambria" w:cs="Times New Roman"/>
          <w:sz w:val="21"/>
          <w:szCs w:val="21"/>
          <w:lang w:val="en-US"/>
        </w:rPr>
        <w:t xml:space="preserve">Paulo </w:t>
      </w:r>
      <w:proofErr w:type="spellStart"/>
      <w:r w:rsidRPr="00505CCC">
        <w:rPr>
          <w:rFonts w:ascii="Cambria" w:eastAsia="Batang" w:hAnsi="Cambria" w:cs="Times New Roman"/>
          <w:sz w:val="21"/>
          <w:szCs w:val="21"/>
          <w:lang w:val="en-US"/>
        </w:rPr>
        <w:t>Abrão</w:t>
      </w:r>
      <w:proofErr w:type="spellEnd"/>
    </w:p>
    <w:p w14:paraId="6F37D5EF" w14:textId="6FBD78B9" w:rsidR="00505CCC" w:rsidRPr="00505CCC" w:rsidRDefault="00505CCC" w:rsidP="00505CCC">
      <w:pPr>
        <w:spacing w:after="0" w:line="240" w:lineRule="auto"/>
        <w:jc w:val="center"/>
        <w:rPr>
          <w:rFonts w:ascii="Cambria" w:eastAsia="Batang" w:hAnsi="Cambria" w:cs="Times New Roman"/>
          <w:sz w:val="21"/>
          <w:szCs w:val="21"/>
          <w:lang w:val="en-US"/>
        </w:rPr>
      </w:pPr>
      <w:r w:rsidRPr="00CC2594">
        <w:rPr>
          <w:rFonts w:ascii="Cambria" w:eastAsia="Batang" w:hAnsi="Cambria" w:cs="Times New Roman"/>
          <w:sz w:val="21"/>
          <w:szCs w:val="21"/>
          <w:lang w:val="en-US"/>
        </w:rPr>
        <w:t>Executive Secretary</w:t>
      </w:r>
    </w:p>
    <w:p w14:paraId="47CEE8FC" w14:textId="1789D6F5" w:rsidR="00142C07" w:rsidRPr="00CC2594" w:rsidRDefault="00142C07">
      <w:pPr>
        <w:rPr>
          <w:lang w:val="en-US"/>
        </w:rPr>
      </w:pPr>
    </w:p>
    <w:p w14:paraId="1E083465" w14:textId="2AE86993" w:rsidR="00142C07" w:rsidRPr="00CC2594" w:rsidRDefault="00142C07">
      <w:pPr>
        <w:rPr>
          <w:lang w:val="en-US"/>
        </w:rPr>
      </w:pPr>
    </w:p>
    <w:p w14:paraId="3126F7B5" w14:textId="25B7908E" w:rsidR="00142C07" w:rsidRPr="00CC2594" w:rsidRDefault="00142C07">
      <w:pPr>
        <w:rPr>
          <w:lang w:val="en-US"/>
        </w:rPr>
      </w:pPr>
    </w:p>
    <w:p w14:paraId="0E316657" w14:textId="77777777" w:rsidR="00142C07" w:rsidRPr="00CC2594" w:rsidRDefault="00142C07">
      <w:pPr>
        <w:rPr>
          <w:lang w:val="en-US"/>
        </w:rPr>
      </w:pPr>
    </w:p>
    <w:p w14:paraId="2D9AEBF5" w14:textId="22017FE8" w:rsidR="00142C07" w:rsidRPr="00CC2594" w:rsidRDefault="00142C07" w:rsidP="00142C07">
      <w:pPr>
        <w:spacing w:after="0" w:line="240" w:lineRule="auto"/>
        <w:jc w:val="center"/>
        <w:rPr>
          <w:rFonts w:ascii="Cambria" w:eastAsia="Batang" w:hAnsi="Cambria" w:cs="Times New Roman"/>
          <w:sz w:val="21"/>
          <w:szCs w:val="21"/>
          <w:lang w:val="en-US"/>
        </w:rPr>
      </w:pPr>
    </w:p>
    <w:p w14:paraId="3953048F" w14:textId="77777777" w:rsidR="00142C07" w:rsidRPr="00CC2594" w:rsidRDefault="00142C07">
      <w:pPr>
        <w:rPr>
          <w:lang w:val="en-US"/>
        </w:rPr>
      </w:pPr>
    </w:p>
    <w:sectPr w:rsidR="00142C07" w:rsidRPr="00CC2594" w:rsidSect="006D7676">
      <w:headerReference w:type="default" r:id="rId8"/>
      <w:footerReference w:type="default" r:id="rId9"/>
      <w:pgSz w:w="11906" w:h="16838" w:code="9"/>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56CD5" w14:textId="77777777" w:rsidR="001B0F30" w:rsidRDefault="001B0F30" w:rsidP="00B117BB">
      <w:pPr>
        <w:spacing w:after="0" w:line="240" w:lineRule="auto"/>
      </w:pPr>
      <w:r>
        <w:separator/>
      </w:r>
    </w:p>
  </w:endnote>
  <w:endnote w:type="continuationSeparator" w:id="0">
    <w:p w14:paraId="26BB050D" w14:textId="77777777" w:rsidR="001B0F30" w:rsidRDefault="001B0F30" w:rsidP="00B1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sz w:val="16"/>
      </w:rPr>
      <w:id w:val="-954479824"/>
      <w:docPartObj>
        <w:docPartGallery w:val="Page Numbers (Bottom of Page)"/>
        <w:docPartUnique/>
      </w:docPartObj>
    </w:sdtPr>
    <w:sdtEndPr>
      <w:rPr>
        <w:noProof/>
      </w:rPr>
    </w:sdtEndPr>
    <w:sdtContent>
      <w:p w14:paraId="3BFDCFF7" w14:textId="2E72D3F4" w:rsidR="00FE0144" w:rsidRPr="00D961A4" w:rsidRDefault="00FE0144">
        <w:pPr>
          <w:pStyle w:val="Footer"/>
          <w:jc w:val="center"/>
          <w:rPr>
            <w:rFonts w:ascii="Calibri Light" w:hAnsi="Calibri Light"/>
            <w:sz w:val="16"/>
          </w:rPr>
        </w:pPr>
        <w:r w:rsidRPr="00D961A4">
          <w:rPr>
            <w:rFonts w:ascii="Calibri Light" w:hAnsi="Calibri Light"/>
            <w:sz w:val="16"/>
          </w:rPr>
          <w:fldChar w:fldCharType="begin"/>
        </w:r>
        <w:r w:rsidRPr="00D961A4">
          <w:rPr>
            <w:rFonts w:ascii="Calibri Light" w:hAnsi="Calibri Light"/>
            <w:sz w:val="16"/>
          </w:rPr>
          <w:instrText xml:space="preserve"> PAGE   \* MERGEFORMAT </w:instrText>
        </w:r>
        <w:r w:rsidRPr="00D961A4">
          <w:rPr>
            <w:rFonts w:ascii="Calibri Light" w:hAnsi="Calibri Light"/>
            <w:sz w:val="16"/>
          </w:rPr>
          <w:fldChar w:fldCharType="separate"/>
        </w:r>
        <w:r w:rsidR="00CC2594">
          <w:rPr>
            <w:rFonts w:ascii="Calibri Light" w:hAnsi="Calibri Light"/>
            <w:noProof/>
            <w:sz w:val="16"/>
          </w:rPr>
          <w:t>- 5 -</w:t>
        </w:r>
        <w:r w:rsidRPr="00D961A4">
          <w:rPr>
            <w:rFonts w:ascii="Calibri Light" w:hAnsi="Calibri Light"/>
            <w:noProof/>
            <w:sz w:val="16"/>
          </w:rPr>
          <w:fldChar w:fldCharType="end"/>
        </w:r>
      </w:p>
    </w:sdtContent>
  </w:sdt>
  <w:p w14:paraId="13200D93" w14:textId="77777777" w:rsidR="00FE0144" w:rsidRDefault="00FE0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96AD0" w14:textId="77777777" w:rsidR="001B0F30" w:rsidRDefault="001B0F30" w:rsidP="00B117BB">
      <w:pPr>
        <w:spacing w:after="0" w:line="240" w:lineRule="auto"/>
      </w:pPr>
      <w:r>
        <w:separator/>
      </w:r>
    </w:p>
  </w:footnote>
  <w:footnote w:type="continuationSeparator" w:id="0">
    <w:p w14:paraId="71447DCE" w14:textId="77777777" w:rsidR="001B0F30" w:rsidRDefault="001B0F30" w:rsidP="00B117BB">
      <w:pPr>
        <w:spacing w:after="0" w:line="240" w:lineRule="auto"/>
      </w:pPr>
      <w:r>
        <w:continuationSeparator/>
      </w:r>
    </w:p>
  </w:footnote>
  <w:footnote w:id="1">
    <w:p w14:paraId="1E7EAEE8" w14:textId="3D9008C1" w:rsidR="00FE0144" w:rsidRPr="00520AA2" w:rsidRDefault="00FE0144" w:rsidP="00790EC3">
      <w:pPr>
        <w:pStyle w:val="FootnoteText"/>
        <w:rPr>
          <w:rFonts w:asciiTheme="majorHAnsi" w:hAnsiTheme="majorHAnsi" w:cstheme="majorHAnsi"/>
          <w:sz w:val="16"/>
          <w:szCs w:val="16"/>
          <w:lang w:val="en-US"/>
        </w:rPr>
      </w:pPr>
      <w:r w:rsidRPr="00790EC3">
        <w:rPr>
          <w:rStyle w:val="FootnoteReference"/>
          <w:rFonts w:asciiTheme="majorHAnsi" w:hAnsiTheme="majorHAnsi" w:cstheme="majorHAnsi"/>
          <w:sz w:val="16"/>
          <w:szCs w:val="16"/>
        </w:rPr>
        <w:footnoteRef/>
      </w:r>
      <w:r w:rsidRPr="00520AA2">
        <w:rPr>
          <w:rFonts w:asciiTheme="majorHAnsi" w:hAnsiTheme="majorHAnsi" w:cstheme="majorHAnsi"/>
          <w:sz w:val="16"/>
          <w:szCs w:val="16"/>
          <w:lang w:val="en-US"/>
        </w:rPr>
        <w:t xml:space="preserve"> In accordance with Article 17.2.</w:t>
      </w:r>
      <w:proofErr w:type="spellStart"/>
      <w:r w:rsidRPr="00520AA2">
        <w:rPr>
          <w:rFonts w:asciiTheme="majorHAnsi" w:hAnsiTheme="majorHAnsi" w:cstheme="majorHAnsi"/>
          <w:sz w:val="16"/>
          <w:szCs w:val="16"/>
          <w:lang w:val="en-US"/>
        </w:rPr>
        <w:t>a</w:t>
      </w:r>
      <w:proofErr w:type="spellEnd"/>
      <w:r w:rsidRPr="00520AA2">
        <w:rPr>
          <w:rFonts w:asciiTheme="majorHAnsi" w:hAnsiTheme="majorHAnsi" w:cstheme="majorHAnsi"/>
          <w:sz w:val="16"/>
          <w:szCs w:val="16"/>
          <w:lang w:val="en-US"/>
        </w:rPr>
        <w:t xml:space="preserve"> of the Commission’s Rules of Procedure, the First Vice-President Hernández </w:t>
      </w:r>
      <w:proofErr w:type="spellStart"/>
      <w:r w:rsidRPr="00520AA2">
        <w:rPr>
          <w:rFonts w:asciiTheme="majorHAnsi" w:hAnsiTheme="majorHAnsi" w:cstheme="majorHAnsi"/>
          <w:sz w:val="16"/>
          <w:szCs w:val="16"/>
          <w:lang w:val="en-US"/>
        </w:rPr>
        <w:t>García</w:t>
      </w:r>
      <w:proofErr w:type="spellEnd"/>
      <w:r w:rsidRPr="00520AA2">
        <w:rPr>
          <w:rFonts w:asciiTheme="majorHAnsi" w:hAnsiTheme="majorHAnsi" w:cstheme="majorHAnsi"/>
          <w:sz w:val="16"/>
          <w:szCs w:val="16"/>
          <w:lang w:val="en-US"/>
        </w:rPr>
        <w:t>, of Mexican nationality, did not</w:t>
      </w:r>
      <w:r>
        <w:rPr>
          <w:rFonts w:asciiTheme="majorHAnsi" w:hAnsiTheme="majorHAnsi" w:cstheme="majorHAnsi"/>
          <w:sz w:val="16"/>
          <w:szCs w:val="16"/>
          <w:lang w:val="en-US"/>
        </w:rPr>
        <w:t xml:space="preserve"> take part in the </w:t>
      </w:r>
      <w:r w:rsidRPr="00520AA2">
        <w:rPr>
          <w:rFonts w:asciiTheme="majorHAnsi" w:hAnsiTheme="majorHAnsi" w:cstheme="majorHAnsi"/>
          <w:sz w:val="16"/>
          <w:szCs w:val="16"/>
          <w:lang w:val="en-US"/>
        </w:rPr>
        <w:t xml:space="preserve">debate </w:t>
      </w:r>
      <w:r>
        <w:rPr>
          <w:rFonts w:asciiTheme="majorHAnsi" w:hAnsiTheme="majorHAnsi" w:cstheme="majorHAnsi"/>
          <w:sz w:val="16"/>
          <w:szCs w:val="16"/>
          <w:lang w:val="en-US"/>
        </w:rPr>
        <w:t>or in the</w:t>
      </w:r>
      <w:r w:rsidRPr="00520AA2">
        <w:rPr>
          <w:rFonts w:asciiTheme="majorHAnsi" w:hAnsiTheme="majorHAnsi" w:cstheme="majorHAnsi"/>
          <w:sz w:val="16"/>
          <w:szCs w:val="16"/>
          <w:lang w:val="en-US"/>
        </w:rPr>
        <w:t xml:space="preserve"> </w:t>
      </w:r>
      <w:r>
        <w:rPr>
          <w:rFonts w:asciiTheme="majorHAnsi" w:hAnsiTheme="majorHAnsi" w:cstheme="majorHAnsi"/>
          <w:sz w:val="16"/>
          <w:szCs w:val="16"/>
          <w:lang w:val="en-US"/>
        </w:rPr>
        <w:t>deliberation</w:t>
      </w:r>
      <w:r w:rsidRPr="00520AA2">
        <w:rPr>
          <w:rFonts w:asciiTheme="majorHAnsi" w:hAnsiTheme="majorHAnsi" w:cstheme="majorHAnsi"/>
          <w:sz w:val="16"/>
          <w:szCs w:val="16"/>
          <w:lang w:val="en-US"/>
        </w:rPr>
        <w:t xml:space="preserve"> </w:t>
      </w:r>
      <w:r>
        <w:rPr>
          <w:rFonts w:asciiTheme="majorHAnsi" w:hAnsiTheme="majorHAnsi" w:cstheme="majorHAnsi"/>
          <w:sz w:val="16"/>
          <w:szCs w:val="16"/>
          <w:lang w:val="en-US"/>
        </w:rPr>
        <w:t>regarding this matter</w:t>
      </w:r>
      <w:r w:rsidRPr="00520AA2">
        <w:rPr>
          <w:rFonts w:asciiTheme="majorHAnsi" w:hAnsiTheme="majorHAnsi" w:cstheme="majorHAnsi"/>
          <w:sz w:val="16"/>
          <w:szCs w:val="16"/>
          <w:lang w:val="en-US"/>
        </w:rPr>
        <w:t>.</w:t>
      </w:r>
    </w:p>
  </w:footnote>
  <w:footnote w:id="2">
    <w:p w14:paraId="0BD6C07F" w14:textId="6E9FCBDB" w:rsidR="00FE0144" w:rsidRPr="003F2B68" w:rsidRDefault="00FE0144" w:rsidP="00790EC3">
      <w:pPr>
        <w:pStyle w:val="FootnoteText1"/>
        <w:rPr>
          <w:rFonts w:asciiTheme="majorHAnsi" w:hAnsiTheme="majorHAnsi" w:cstheme="majorHAnsi"/>
          <w:sz w:val="16"/>
          <w:szCs w:val="16"/>
          <w:lang w:val="en-US"/>
        </w:rPr>
      </w:pPr>
      <w:r w:rsidRPr="00790EC3">
        <w:rPr>
          <w:rStyle w:val="FootnoteReference"/>
          <w:rFonts w:asciiTheme="majorHAnsi" w:hAnsiTheme="majorHAnsi" w:cstheme="majorHAnsi"/>
          <w:sz w:val="16"/>
          <w:szCs w:val="16"/>
        </w:rPr>
        <w:footnoteRef/>
      </w:r>
      <w:r w:rsidRPr="00891329">
        <w:rPr>
          <w:rFonts w:asciiTheme="majorHAnsi" w:hAnsiTheme="majorHAnsi" w:cstheme="majorHAnsi"/>
          <w:sz w:val="16"/>
          <w:szCs w:val="16"/>
          <w:lang w:val="en-US"/>
        </w:rPr>
        <w:t xml:space="preserve"> </w:t>
      </w:r>
      <w:r w:rsidRPr="00F17A2D">
        <w:rPr>
          <w:rFonts w:ascii="Calibri Light" w:hAnsi="Calibri Light" w:cs="Calibri Light"/>
          <w:sz w:val="16"/>
          <w:szCs w:val="16"/>
          <w:lang w:val="en-US"/>
        </w:rPr>
        <w:t xml:space="preserve">In that regard, for instance, in relation to the provisional measures, the Inter-American Court has considered that this standard requires a minimum of details and information that allow for the </w:t>
      </w:r>
      <w:r w:rsidRPr="003F2B68">
        <w:rPr>
          <w:rFonts w:ascii="Calibri Light" w:hAnsi="Calibri Light" w:cs="Calibri Light"/>
          <w:i/>
          <w:sz w:val="16"/>
          <w:szCs w:val="16"/>
          <w:lang w:val="en-US"/>
        </w:rPr>
        <w:t>prima facie</w:t>
      </w:r>
      <w:r w:rsidRPr="00F17A2D">
        <w:rPr>
          <w:rFonts w:ascii="Calibri Light" w:hAnsi="Calibri Light" w:cs="Calibri Light"/>
          <w:sz w:val="16"/>
          <w:szCs w:val="16"/>
          <w:lang w:val="en-US"/>
        </w:rPr>
        <w:t xml:space="preserve"> assessment of the situation of risk and urgency. I/A Court H.R., </w:t>
      </w:r>
      <w:r w:rsidRPr="00997D06">
        <w:rPr>
          <w:rFonts w:ascii="Calibri Light" w:hAnsi="Calibri Light" w:cs="Calibri Light"/>
          <w:i/>
          <w:sz w:val="16"/>
          <w:szCs w:val="16"/>
          <w:lang w:val="en-US"/>
        </w:rPr>
        <w:t>Matter of the children and adolescents deprived of their liberty in the “</w:t>
      </w:r>
      <w:proofErr w:type="spellStart"/>
      <w:r w:rsidRPr="00A6131C">
        <w:rPr>
          <w:rFonts w:ascii="Calibri Light" w:hAnsi="Calibri Light" w:cs="Calibri Light"/>
          <w:i/>
          <w:sz w:val="16"/>
          <w:szCs w:val="16"/>
          <w:lang w:val="en-US"/>
        </w:rPr>
        <w:t>Complexo</w:t>
      </w:r>
      <w:proofErr w:type="spellEnd"/>
      <w:r w:rsidRPr="00A6131C">
        <w:rPr>
          <w:rFonts w:ascii="Calibri Light" w:hAnsi="Calibri Light" w:cs="Calibri Light"/>
          <w:i/>
          <w:sz w:val="16"/>
          <w:szCs w:val="16"/>
          <w:lang w:val="en-US"/>
        </w:rPr>
        <w:t xml:space="preserve"> do </w:t>
      </w:r>
      <w:proofErr w:type="spellStart"/>
      <w:r w:rsidRPr="00A6131C">
        <w:rPr>
          <w:rFonts w:ascii="Calibri Light" w:hAnsi="Calibri Light" w:cs="Calibri Light"/>
          <w:i/>
          <w:sz w:val="16"/>
          <w:szCs w:val="16"/>
          <w:lang w:val="en-US"/>
        </w:rPr>
        <w:t>Tatuapé</w:t>
      </w:r>
      <w:proofErr w:type="spellEnd"/>
      <w:r w:rsidRPr="00A6131C">
        <w:rPr>
          <w:rFonts w:ascii="Calibri Light" w:hAnsi="Calibri Light" w:cs="Calibri Light"/>
          <w:i/>
          <w:sz w:val="16"/>
          <w:szCs w:val="16"/>
          <w:lang w:val="en-US"/>
        </w:rPr>
        <w:t xml:space="preserve">” of the </w:t>
      </w:r>
      <w:proofErr w:type="spellStart"/>
      <w:r w:rsidRPr="00A6131C">
        <w:rPr>
          <w:rFonts w:ascii="Calibri Light" w:hAnsi="Calibri Light" w:cs="Calibri Light"/>
          <w:i/>
          <w:sz w:val="16"/>
          <w:szCs w:val="16"/>
          <w:lang w:val="en-US"/>
        </w:rPr>
        <w:t>Fundação</w:t>
      </w:r>
      <w:proofErr w:type="spellEnd"/>
      <w:r w:rsidRPr="00A6131C">
        <w:rPr>
          <w:rFonts w:ascii="Calibri Light" w:hAnsi="Calibri Light" w:cs="Calibri Light"/>
          <w:i/>
          <w:sz w:val="16"/>
          <w:szCs w:val="16"/>
          <w:lang w:val="en-US"/>
        </w:rPr>
        <w:t xml:space="preserve"> CASA</w:t>
      </w:r>
      <w:r w:rsidRPr="00A6131C">
        <w:rPr>
          <w:rFonts w:ascii="Calibri Light" w:hAnsi="Calibri Light" w:cs="Calibri Light"/>
          <w:sz w:val="16"/>
          <w:szCs w:val="16"/>
          <w:lang w:val="en-US"/>
        </w:rPr>
        <w:t xml:space="preserve">. Request for extension of precautionary measures. Provisional Measures regarding Brazil. Resolution of the Inter-American Court of Human Rights of July 4, 2006. </w:t>
      </w:r>
      <w:proofErr w:type="spellStart"/>
      <w:r w:rsidRPr="00A6131C">
        <w:rPr>
          <w:rFonts w:ascii="Calibri Light" w:hAnsi="Calibri Light" w:cs="Calibri Light"/>
          <w:sz w:val="16"/>
          <w:szCs w:val="16"/>
          <w:lang w:val="en-US"/>
        </w:rPr>
        <w:t>Considerandum</w:t>
      </w:r>
      <w:proofErr w:type="spellEnd"/>
      <w:r w:rsidRPr="00A6131C">
        <w:rPr>
          <w:rFonts w:ascii="Calibri Light" w:hAnsi="Calibri Light" w:cs="Calibri Light"/>
          <w:sz w:val="16"/>
          <w:szCs w:val="16"/>
          <w:lang w:val="en-US"/>
        </w:rPr>
        <w:t xml:space="preserve"> 23</w:t>
      </w:r>
      <w:r w:rsidRPr="003F2B68">
        <w:rPr>
          <w:rFonts w:asciiTheme="majorHAnsi" w:hAnsiTheme="majorHAnsi" w:cstheme="majorHAnsi"/>
          <w:sz w:val="16"/>
          <w:szCs w:val="16"/>
          <w:lang w:val="en-US"/>
        </w:rPr>
        <w:t xml:space="preserve">. Available at: http://www.corteidh.or.cr/docs/medidas/febem_se_03.pdf </w:t>
      </w:r>
    </w:p>
  </w:footnote>
  <w:footnote w:id="3">
    <w:p w14:paraId="556A1AC4" w14:textId="4F30BB03" w:rsidR="00FE0144" w:rsidRPr="008A26D4" w:rsidRDefault="00FE0144" w:rsidP="004C04C1">
      <w:pPr>
        <w:pStyle w:val="FootnoteText"/>
        <w:jc w:val="both"/>
        <w:rPr>
          <w:rFonts w:asciiTheme="majorHAnsi" w:hAnsiTheme="majorHAnsi" w:cstheme="majorHAnsi"/>
          <w:sz w:val="16"/>
          <w:szCs w:val="16"/>
          <w:lang w:val="en-US"/>
        </w:rPr>
      </w:pPr>
      <w:r w:rsidRPr="00790EC3">
        <w:rPr>
          <w:rStyle w:val="FootnoteReference"/>
          <w:rFonts w:asciiTheme="majorHAnsi" w:hAnsiTheme="majorHAnsi" w:cstheme="majorHAnsi"/>
          <w:sz w:val="16"/>
          <w:szCs w:val="16"/>
        </w:rPr>
        <w:footnoteRef/>
      </w:r>
      <w:r>
        <w:rPr>
          <w:rFonts w:asciiTheme="majorHAnsi" w:hAnsiTheme="majorHAnsi" w:cstheme="majorHAnsi"/>
          <w:sz w:val="16"/>
          <w:szCs w:val="16"/>
          <w:lang w:val="en-US"/>
        </w:rPr>
        <w:t xml:space="preserve"> </w:t>
      </w:r>
      <w:r w:rsidRPr="005F143F">
        <w:rPr>
          <w:rFonts w:asciiTheme="majorHAnsi" w:hAnsiTheme="majorHAnsi" w:cstheme="majorHAnsi"/>
          <w:sz w:val="16"/>
          <w:szCs w:val="16"/>
          <w:lang w:val="en-US"/>
        </w:rPr>
        <w:t xml:space="preserve">In accordance with Article II of the Inter-American Convention on Forced Disappearance of Persons, forced disappearance is the deprivation of liberty of one or more persons, in whatever form, committed by agents of the State or by persons or groups of persons acting with the authorization, support, or acquiescence of the State, followed by a failure to provide information or a refusal to acknowledge the deprivation of liberty or to account for the person's whereabouts, thereby preventing the exercise of the relevant legal remedies and procedural guarantees. See: Inter-American Convention on Forced Disappearance of Persons, adopted in </w:t>
      </w:r>
      <w:proofErr w:type="spellStart"/>
      <w:r w:rsidRPr="005F143F">
        <w:rPr>
          <w:rFonts w:asciiTheme="majorHAnsi" w:hAnsiTheme="majorHAnsi" w:cstheme="majorHAnsi"/>
          <w:sz w:val="16"/>
          <w:szCs w:val="16"/>
          <w:lang w:val="en-US"/>
        </w:rPr>
        <w:t>Belém</w:t>
      </w:r>
      <w:proofErr w:type="spellEnd"/>
      <w:r w:rsidRPr="005F143F">
        <w:rPr>
          <w:rFonts w:asciiTheme="majorHAnsi" w:hAnsiTheme="majorHAnsi" w:cstheme="majorHAnsi"/>
          <w:sz w:val="16"/>
          <w:szCs w:val="16"/>
          <w:lang w:val="en-US"/>
        </w:rPr>
        <w:t xml:space="preserve"> do </w:t>
      </w:r>
      <w:proofErr w:type="spellStart"/>
      <w:r w:rsidRPr="005F143F">
        <w:rPr>
          <w:rFonts w:asciiTheme="majorHAnsi" w:hAnsiTheme="majorHAnsi" w:cstheme="majorHAnsi"/>
          <w:sz w:val="16"/>
          <w:szCs w:val="16"/>
          <w:lang w:val="en-US"/>
        </w:rPr>
        <w:t>Pará</w:t>
      </w:r>
      <w:proofErr w:type="spellEnd"/>
      <w:r w:rsidRPr="005F143F">
        <w:rPr>
          <w:rFonts w:asciiTheme="majorHAnsi" w:hAnsiTheme="majorHAnsi" w:cstheme="majorHAnsi"/>
          <w:sz w:val="16"/>
          <w:szCs w:val="16"/>
          <w:lang w:val="en-US"/>
        </w:rPr>
        <w:t xml:space="preserve">, Brazil on 9 June 1994, at the twenty-fourth regular session of the OAS General Assembly. </w:t>
      </w:r>
      <w:r w:rsidRPr="008A26D4">
        <w:rPr>
          <w:rFonts w:asciiTheme="majorHAnsi" w:hAnsiTheme="majorHAnsi" w:cstheme="majorHAnsi"/>
          <w:sz w:val="16"/>
          <w:szCs w:val="16"/>
          <w:lang w:val="en-US"/>
        </w:rPr>
        <w:t xml:space="preserve">Available at: </w:t>
      </w:r>
      <w:hyperlink r:id="rId1" w:history="1">
        <w:r w:rsidRPr="008A26D4">
          <w:rPr>
            <w:rStyle w:val="Hyperlink"/>
            <w:rFonts w:asciiTheme="majorHAnsi" w:hAnsiTheme="majorHAnsi" w:cstheme="majorHAnsi"/>
            <w:sz w:val="16"/>
            <w:szCs w:val="16"/>
            <w:lang w:val="en-US"/>
          </w:rPr>
          <w:t>https://www.oas.org/juridico/spanish/tratados/a-60.html</w:t>
        </w:r>
      </w:hyperlink>
      <w:r w:rsidRPr="000D2C90">
        <w:rPr>
          <w:rFonts w:asciiTheme="majorHAnsi" w:hAnsiTheme="majorHAnsi" w:cstheme="majorHAnsi"/>
          <w:sz w:val="16"/>
          <w:szCs w:val="16"/>
          <w:lang w:val="en-US"/>
        </w:rPr>
        <w:t xml:space="preserve"> </w:t>
      </w:r>
      <w:r>
        <w:rPr>
          <w:rFonts w:asciiTheme="majorHAnsi" w:hAnsiTheme="majorHAnsi" w:cstheme="majorHAnsi"/>
          <w:sz w:val="16"/>
          <w:szCs w:val="16"/>
          <w:lang w:val="en-US"/>
        </w:rPr>
        <w:t>(in Spanish)</w:t>
      </w:r>
    </w:p>
  </w:footnote>
  <w:footnote w:id="4">
    <w:p w14:paraId="6B494B96" w14:textId="1BE4B00E" w:rsidR="00FE0144" w:rsidRPr="000D2C90" w:rsidRDefault="00FE0144" w:rsidP="00392F77">
      <w:pPr>
        <w:pStyle w:val="FootnoteText"/>
        <w:jc w:val="both"/>
        <w:rPr>
          <w:rFonts w:asciiTheme="majorHAnsi" w:hAnsiTheme="majorHAnsi" w:cstheme="majorHAnsi"/>
          <w:sz w:val="16"/>
          <w:szCs w:val="16"/>
          <w:lang w:val="en-US"/>
        </w:rPr>
      </w:pPr>
      <w:r w:rsidRPr="00790EC3">
        <w:rPr>
          <w:rStyle w:val="FootnoteReference"/>
          <w:rFonts w:asciiTheme="majorHAnsi" w:hAnsiTheme="majorHAnsi" w:cstheme="majorHAnsi"/>
          <w:sz w:val="16"/>
          <w:szCs w:val="16"/>
        </w:rPr>
        <w:footnoteRef/>
      </w:r>
      <w:r w:rsidRPr="000D2C90">
        <w:rPr>
          <w:rFonts w:asciiTheme="majorHAnsi" w:hAnsiTheme="majorHAnsi" w:cstheme="majorHAnsi"/>
          <w:sz w:val="16"/>
          <w:szCs w:val="16"/>
          <w:lang w:val="en-US"/>
        </w:rPr>
        <w:t xml:space="preserve"> See: IACHR, </w:t>
      </w:r>
      <w:r w:rsidRPr="000D2C90">
        <w:rPr>
          <w:rFonts w:asciiTheme="majorHAnsi" w:hAnsiTheme="majorHAnsi" w:cstheme="majorHAnsi"/>
          <w:i/>
          <w:sz w:val="16"/>
          <w:szCs w:val="16"/>
          <w:lang w:val="en-US"/>
        </w:rPr>
        <w:t xml:space="preserve">Javier Ortega Reyes, </w:t>
      </w:r>
      <w:proofErr w:type="spellStart"/>
      <w:r w:rsidRPr="000D2C90">
        <w:rPr>
          <w:rFonts w:asciiTheme="majorHAnsi" w:hAnsiTheme="majorHAnsi" w:cstheme="majorHAnsi"/>
          <w:i/>
          <w:sz w:val="16"/>
          <w:szCs w:val="16"/>
          <w:lang w:val="en-US"/>
        </w:rPr>
        <w:t>Paúl</w:t>
      </w:r>
      <w:proofErr w:type="spellEnd"/>
      <w:r w:rsidRPr="000D2C90">
        <w:rPr>
          <w:rFonts w:asciiTheme="majorHAnsi" w:hAnsiTheme="majorHAnsi" w:cstheme="majorHAnsi"/>
          <w:i/>
          <w:sz w:val="16"/>
          <w:szCs w:val="16"/>
          <w:lang w:val="en-US"/>
        </w:rPr>
        <w:t xml:space="preserve"> Rivas Bravo and </w:t>
      </w:r>
      <w:proofErr w:type="spellStart"/>
      <w:r w:rsidRPr="000D2C90">
        <w:rPr>
          <w:rFonts w:asciiTheme="majorHAnsi" w:hAnsiTheme="majorHAnsi" w:cstheme="majorHAnsi"/>
          <w:i/>
          <w:sz w:val="16"/>
          <w:szCs w:val="16"/>
          <w:lang w:val="en-US"/>
        </w:rPr>
        <w:t>Efraín</w:t>
      </w:r>
      <w:proofErr w:type="spellEnd"/>
      <w:r w:rsidRPr="000D2C90">
        <w:rPr>
          <w:rFonts w:asciiTheme="majorHAnsi" w:hAnsiTheme="majorHAnsi" w:cstheme="majorHAnsi"/>
          <w:i/>
          <w:sz w:val="16"/>
          <w:szCs w:val="16"/>
          <w:lang w:val="en-US"/>
        </w:rPr>
        <w:t xml:space="preserve"> </w:t>
      </w:r>
      <w:proofErr w:type="spellStart"/>
      <w:r w:rsidRPr="000D2C90">
        <w:rPr>
          <w:rFonts w:asciiTheme="majorHAnsi" w:hAnsiTheme="majorHAnsi" w:cstheme="majorHAnsi"/>
          <w:i/>
          <w:sz w:val="16"/>
          <w:szCs w:val="16"/>
          <w:lang w:val="en-US"/>
        </w:rPr>
        <w:t>Segarra</w:t>
      </w:r>
      <w:proofErr w:type="spellEnd"/>
      <w:r w:rsidRPr="000D2C90">
        <w:rPr>
          <w:rFonts w:asciiTheme="majorHAnsi" w:hAnsiTheme="majorHAnsi" w:cstheme="majorHAnsi"/>
          <w:i/>
          <w:sz w:val="16"/>
          <w:szCs w:val="16"/>
          <w:lang w:val="en-US"/>
        </w:rPr>
        <w:t xml:space="preserve"> Abril regarding Colombia</w:t>
      </w:r>
      <w:r w:rsidRPr="000D2C90">
        <w:rPr>
          <w:rFonts w:asciiTheme="majorHAnsi" w:hAnsiTheme="majorHAnsi" w:cstheme="majorHAnsi"/>
          <w:sz w:val="16"/>
          <w:szCs w:val="16"/>
          <w:lang w:val="en-US"/>
        </w:rPr>
        <w:t xml:space="preserve"> (MC-309-18 and MC-310-18), Resolution 25/2018 of </w:t>
      </w:r>
      <w:r>
        <w:rPr>
          <w:rFonts w:asciiTheme="majorHAnsi" w:hAnsiTheme="majorHAnsi" w:cstheme="majorHAnsi"/>
          <w:sz w:val="16"/>
          <w:szCs w:val="16"/>
          <w:lang w:val="en-US"/>
        </w:rPr>
        <w:t xml:space="preserve">April </w:t>
      </w:r>
      <w:proofErr w:type="gramStart"/>
      <w:r w:rsidRPr="000D2C90">
        <w:rPr>
          <w:rFonts w:asciiTheme="majorHAnsi" w:hAnsiTheme="majorHAnsi" w:cstheme="majorHAnsi"/>
          <w:sz w:val="16"/>
          <w:szCs w:val="16"/>
          <w:lang w:val="en-US"/>
        </w:rPr>
        <w:t>12</w:t>
      </w:r>
      <w:r>
        <w:rPr>
          <w:rFonts w:asciiTheme="majorHAnsi" w:hAnsiTheme="majorHAnsi" w:cstheme="majorHAnsi"/>
          <w:sz w:val="16"/>
          <w:szCs w:val="16"/>
          <w:vertAlign w:val="superscript"/>
          <w:lang w:val="en-US"/>
        </w:rPr>
        <w:t>th</w:t>
      </w:r>
      <w:proofErr w:type="gramEnd"/>
      <w:r w:rsidRPr="000D2C90">
        <w:rPr>
          <w:rFonts w:asciiTheme="majorHAnsi" w:hAnsiTheme="majorHAnsi" w:cstheme="majorHAnsi"/>
          <w:sz w:val="16"/>
          <w:szCs w:val="16"/>
          <w:lang w:val="en-US"/>
        </w:rPr>
        <w:t xml:space="preserve">. Available at: </w:t>
      </w:r>
      <w:hyperlink r:id="rId2" w:history="1">
        <w:r w:rsidRPr="000D2C90">
          <w:rPr>
            <w:rStyle w:val="Hyperlink"/>
            <w:rFonts w:asciiTheme="majorHAnsi" w:hAnsiTheme="majorHAnsi" w:cstheme="majorHAnsi"/>
            <w:sz w:val="16"/>
            <w:szCs w:val="16"/>
            <w:lang w:val="en-US"/>
          </w:rPr>
          <w:t>http://www.oas.org/es/cidh/decisiones/pdf/2018/25-18MC209-18-CO-210-18-EC.pdf</w:t>
        </w:r>
      </w:hyperlink>
      <w:r>
        <w:rPr>
          <w:rFonts w:asciiTheme="majorHAnsi" w:hAnsiTheme="majorHAnsi" w:cstheme="majorHAnsi"/>
          <w:sz w:val="16"/>
          <w:szCs w:val="16"/>
          <w:lang w:val="en-US"/>
        </w:rPr>
        <w:t xml:space="preserve"> (in Spanish)</w:t>
      </w:r>
    </w:p>
  </w:footnote>
  <w:footnote w:id="5">
    <w:p w14:paraId="0FCCA29A" w14:textId="067A6730" w:rsidR="00FE0144" w:rsidRPr="000D2C90" w:rsidRDefault="00FE0144" w:rsidP="00392F77">
      <w:pPr>
        <w:pStyle w:val="FootnoteText"/>
        <w:jc w:val="both"/>
        <w:rPr>
          <w:rFonts w:asciiTheme="majorHAnsi" w:hAnsiTheme="majorHAnsi" w:cstheme="majorHAnsi"/>
          <w:sz w:val="16"/>
          <w:szCs w:val="16"/>
          <w:lang w:val="en-US"/>
        </w:rPr>
      </w:pPr>
      <w:r w:rsidRPr="00790EC3">
        <w:rPr>
          <w:rStyle w:val="FootnoteReference"/>
          <w:rFonts w:asciiTheme="majorHAnsi" w:hAnsiTheme="majorHAnsi" w:cstheme="majorHAnsi"/>
          <w:sz w:val="16"/>
          <w:szCs w:val="16"/>
        </w:rPr>
        <w:footnoteRef/>
      </w:r>
      <w:r w:rsidRPr="000D2C90">
        <w:rPr>
          <w:rFonts w:asciiTheme="majorHAnsi" w:hAnsiTheme="majorHAnsi" w:cstheme="majorHAnsi"/>
          <w:sz w:val="16"/>
          <w:szCs w:val="16"/>
          <w:lang w:val="en-US"/>
        </w:rPr>
        <w:t xml:space="preserve"> See: IACHR, </w:t>
      </w:r>
      <w:proofErr w:type="spellStart"/>
      <w:r w:rsidRPr="000D2C90">
        <w:rPr>
          <w:rFonts w:asciiTheme="majorHAnsi" w:hAnsiTheme="majorHAnsi" w:cstheme="majorHAnsi"/>
          <w:i/>
          <w:sz w:val="16"/>
          <w:szCs w:val="16"/>
          <w:lang w:val="en-US"/>
        </w:rPr>
        <w:t>Náthaly</w:t>
      </w:r>
      <w:proofErr w:type="spellEnd"/>
      <w:r w:rsidRPr="000D2C90">
        <w:rPr>
          <w:rFonts w:asciiTheme="majorHAnsi" w:hAnsiTheme="majorHAnsi" w:cstheme="majorHAnsi"/>
          <w:i/>
          <w:sz w:val="16"/>
          <w:szCs w:val="16"/>
          <w:lang w:val="en-US"/>
        </w:rPr>
        <w:t xml:space="preserve"> Sara Salazar Ayala regarding </w:t>
      </w:r>
      <w:proofErr w:type="spellStart"/>
      <w:r w:rsidRPr="000D2C90">
        <w:rPr>
          <w:rFonts w:asciiTheme="majorHAnsi" w:hAnsiTheme="majorHAnsi" w:cstheme="majorHAnsi"/>
          <w:i/>
          <w:sz w:val="16"/>
          <w:szCs w:val="16"/>
          <w:lang w:val="en-US"/>
        </w:rPr>
        <w:t>Perú</w:t>
      </w:r>
      <w:proofErr w:type="spellEnd"/>
      <w:r w:rsidRPr="000D2C90">
        <w:rPr>
          <w:rFonts w:asciiTheme="majorHAnsi" w:hAnsiTheme="majorHAnsi" w:cstheme="majorHAnsi"/>
          <w:sz w:val="16"/>
          <w:szCs w:val="16"/>
          <w:lang w:val="en-US"/>
        </w:rPr>
        <w:t xml:space="preserve"> (MC-81-18), Resolution 24/2018 of </w:t>
      </w:r>
      <w:r>
        <w:rPr>
          <w:rFonts w:asciiTheme="majorHAnsi" w:hAnsiTheme="majorHAnsi" w:cstheme="majorHAnsi"/>
          <w:sz w:val="16"/>
          <w:szCs w:val="16"/>
          <w:lang w:val="en-US"/>
        </w:rPr>
        <w:t xml:space="preserve">April </w:t>
      </w:r>
      <w:proofErr w:type="gramStart"/>
      <w:r w:rsidRPr="000D2C90">
        <w:rPr>
          <w:rFonts w:asciiTheme="majorHAnsi" w:hAnsiTheme="majorHAnsi" w:cstheme="majorHAnsi"/>
          <w:sz w:val="16"/>
          <w:szCs w:val="16"/>
          <w:lang w:val="en-US"/>
        </w:rPr>
        <w:t>8</w:t>
      </w:r>
      <w:r w:rsidRPr="000D2C90">
        <w:rPr>
          <w:rFonts w:asciiTheme="majorHAnsi" w:hAnsiTheme="majorHAnsi" w:cstheme="majorHAnsi"/>
          <w:sz w:val="16"/>
          <w:szCs w:val="16"/>
          <w:vertAlign w:val="superscript"/>
          <w:lang w:val="en-US"/>
        </w:rPr>
        <w:t>th</w:t>
      </w:r>
      <w:proofErr w:type="gramEnd"/>
      <w:r w:rsidRPr="000D2C90">
        <w:rPr>
          <w:rFonts w:asciiTheme="majorHAnsi" w:hAnsiTheme="majorHAnsi" w:cstheme="majorHAnsi"/>
          <w:sz w:val="16"/>
          <w:szCs w:val="16"/>
          <w:lang w:val="en-US"/>
        </w:rPr>
        <w:t>. Available</w:t>
      </w:r>
      <w:r>
        <w:rPr>
          <w:rFonts w:asciiTheme="majorHAnsi" w:hAnsiTheme="majorHAnsi" w:cstheme="majorHAnsi"/>
          <w:sz w:val="16"/>
          <w:szCs w:val="16"/>
          <w:lang w:val="en-US"/>
        </w:rPr>
        <w:t xml:space="preserve"> </w:t>
      </w:r>
      <w:r w:rsidRPr="000D2C90">
        <w:rPr>
          <w:rFonts w:asciiTheme="majorHAnsi" w:hAnsiTheme="majorHAnsi" w:cstheme="majorHAnsi"/>
          <w:sz w:val="16"/>
          <w:szCs w:val="16"/>
          <w:lang w:val="en-US"/>
        </w:rPr>
        <w:t xml:space="preserve">at: </w:t>
      </w:r>
      <w:hyperlink r:id="rId3" w:history="1">
        <w:r w:rsidRPr="000D2C90">
          <w:rPr>
            <w:rStyle w:val="Hyperlink"/>
            <w:rFonts w:asciiTheme="majorHAnsi" w:hAnsiTheme="majorHAnsi" w:cstheme="majorHAnsi"/>
            <w:sz w:val="16"/>
            <w:szCs w:val="16"/>
            <w:lang w:val="en-US"/>
          </w:rPr>
          <w:t>http://www.oas.org/es/cidh/decisiones/pdf/2018/24-18MC81-18-PE.pdf</w:t>
        </w:r>
      </w:hyperlink>
      <w:r>
        <w:rPr>
          <w:rFonts w:asciiTheme="majorHAnsi" w:hAnsiTheme="majorHAnsi" w:cstheme="majorHAnsi"/>
          <w:sz w:val="16"/>
          <w:szCs w:val="16"/>
          <w:lang w:val="en-US"/>
        </w:rPr>
        <w:t xml:space="preserve"> (in Spanish)</w:t>
      </w:r>
    </w:p>
  </w:footnote>
  <w:footnote w:id="6">
    <w:p w14:paraId="098AF947" w14:textId="3123848B" w:rsidR="00FE0144" w:rsidRPr="000D2C90" w:rsidRDefault="00FE0144" w:rsidP="00392F77">
      <w:pPr>
        <w:pStyle w:val="FootnoteText"/>
        <w:jc w:val="both"/>
        <w:rPr>
          <w:rFonts w:asciiTheme="majorHAnsi" w:hAnsiTheme="majorHAnsi" w:cstheme="majorHAnsi"/>
          <w:sz w:val="16"/>
          <w:szCs w:val="16"/>
          <w:lang w:val="en-US"/>
        </w:rPr>
      </w:pPr>
      <w:r w:rsidRPr="00790EC3">
        <w:rPr>
          <w:rStyle w:val="FootnoteReference"/>
          <w:rFonts w:asciiTheme="majorHAnsi" w:hAnsiTheme="majorHAnsi" w:cstheme="majorHAnsi"/>
          <w:sz w:val="16"/>
          <w:szCs w:val="16"/>
        </w:rPr>
        <w:footnoteRef/>
      </w:r>
      <w:r w:rsidRPr="006B4CCE">
        <w:rPr>
          <w:rFonts w:asciiTheme="majorHAnsi" w:hAnsiTheme="majorHAnsi" w:cstheme="majorHAnsi"/>
          <w:sz w:val="16"/>
          <w:szCs w:val="16"/>
          <w:lang w:val="en-US"/>
        </w:rPr>
        <w:t xml:space="preserve"> See: IACHR, </w:t>
      </w:r>
      <w:proofErr w:type="spellStart"/>
      <w:r w:rsidRPr="006B4CCE">
        <w:rPr>
          <w:rFonts w:asciiTheme="majorHAnsi" w:hAnsiTheme="majorHAnsi" w:cstheme="majorHAnsi"/>
          <w:i/>
          <w:sz w:val="16"/>
          <w:szCs w:val="16"/>
          <w:lang w:val="en-US"/>
        </w:rPr>
        <w:t>Dubán</w:t>
      </w:r>
      <w:proofErr w:type="spellEnd"/>
      <w:r w:rsidRPr="006B4CCE">
        <w:rPr>
          <w:rFonts w:asciiTheme="majorHAnsi" w:hAnsiTheme="majorHAnsi" w:cstheme="majorHAnsi"/>
          <w:i/>
          <w:sz w:val="16"/>
          <w:szCs w:val="16"/>
          <w:lang w:val="en-US"/>
        </w:rPr>
        <w:t xml:space="preserve"> </w:t>
      </w:r>
      <w:proofErr w:type="spellStart"/>
      <w:r w:rsidRPr="006B4CCE">
        <w:rPr>
          <w:rFonts w:asciiTheme="majorHAnsi" w:hAnsiTheme="majorHAnsi" w:cstheme="majorHAnsi"/>
          <w:i/>
          <w:sz w:val="16"/>
          <w:szCs w:val="16"/>
          <w:lang w:val="en-US"/>
        </w:rPr>
        <w:t>Celiano</w:t>
      </w:r>
      <w:proofErr w:type="spellEnd"/>
      <w:r w:rsidRPr="006B4CCE">
        <w:rPr>
          <w:rFonts w:asciiTheme="majorHAnsi" w:hAnsiTheme="majorHAnsi" w:cstheme="majorHAnsi"/>
          <w:i/>
          <w:sz w:val="16"/>
          <w:szCs w:val="16"/>
          <w:lang w:val="en-US"/>
        </w:rPr>
        <w:t xml:space="preserve"> </w:t>
      </w:r>
      <w:proofErr w:type="spellStart"/>
      <w:r w:rsidRPr="006B4CCE">
        <w:rPr>
          <w:rFonts w:asciiTheme="majorHAnsi" w:hAnsiTheme="majorHAnsi" w:cstheme="majorHAnsi"/>
          <w:i/>
          <w:sz w:val="16"/>
          <w:szCs w:val="16"/>
          <w:lang w:val="en-US"/>
        </w:rPr>
        <w:t>Díaz</w:t>
      </w:r>
      <w:proofErr w:type="spellEnd"/>
      <w:r w:rsidRPr="006B4CCE">
        <w:rPr>
          <w:rFonts w:asciiTheme="majorHAnsi" w:hAnsiTheme="majorHAnsi" w:cstheme="majorHAnsi"/>
          <w:i/>
          <w:sz w:val="16"/>
          <w:szCs w:val="16"/>
          <w:lang w:val="en-US"/>
        </w:rPr>
        <w:t xml:space="preserve"> </w:t>
      </w:r>
      <w:proofErr w:type="spellStart"/>
      <w:r w:rsidRPr="006B4CCE">
        <w:rPr>
          <w:rFonts w:asciiTheme="majorHAnsi" w:hAnsiTheme="majorHAnsi" w:cstheme="majorHAnsi"/>
          <w:i/>
          <w:sz w:val="16"/>
          <w:szCs w:val="16"/>
          <w:lang w:val="en-US"/>
        </w:rPr>
        <w:t>Cristancho</w:t>
      </w:r>
      <w:proofErr w:type="spellEnd"/>
      <w:r w:rsidRPr="006B4CCE">
        <w:rPr>
          <w:rFonts w:asciiTheme="majorHAnsi" w:hAnsiTheme="majorHAnsi" w:cstheme="majorHAnsi"/>
          <w:i/>
          <w:sz w:val="16"/>
          <w:szCs w:val="16"/>
          <w:lang w:val="en-US"/>
        </w:rPr>
        <w:t xml:space="preserve"> regarding Colombia</w:t>
      </w:r>
      <w:r w:rsidRPr="006B4CCE">
        <w:rPr>
          <w:rFonts w:asciiTheme="majorHAnsi" w:hAnsiTheme="majorHAnsi" w:cstheme="majorHAnsi"/>
          <w:sz w:val="16"/>
          <w:szCs w:val="16"/>
          <w:lang w:val="en-US"/>
        </w:rPr>
        <w:t xml:space="preserve"> (MC-455-14), Resolution 37/2014 of December </w:t>
      </w:r>
      <w:proofErr w:type="gramStart"/>
      <w:r w:rsidRPr="006B4CCE">
        <w:rPr>
          <w:rFonts w:asciiTheme="majorHAnsi" w:hAnsiTheme="majorHAnsi" w:cstheme="majorHAnsi"/>
          <w:sz w:val="16"/>
          <w:szCs w:val="16"/>
          <w:lang w:val="en-US"/>
        </w:rPr>
        <w:t>24</w:t>
      </w:r>
      <w:r w:rsidRPr="006B4CCE">
        <w:rPr>
          <w:rFonts w:asciiTheme="majorHAnsi" w:hAnsiTheme="majorHAnsi" w:cstheme="majorHAnsi"/>
          <w:sz w:val="16"/>
          <w:szCs w:val="16"/>
          <w:vertAlign w:val="superscript"/>
          <w:lang w:val="en-US"/>
        </w:rPr>
        <w:t>th</w:t>
      </w:r>
      <w:proofErr w:type="gramEnd"/>
      <w:r w:rsidRPr="006B4CCE">
        <w:rPr>
          <w:rFonts w:asciiTheme="majorHAnsi" w:hAnsiTheme="majorHAnsi" w:cstheme="majorHAnsi"/>
          <w:sz w:val="16"/>
          <w:szCs w:val="16"/>
          <w:lang w:val="en-US"/>
        </w:rPr>
        <w:t xml:space="preserve">. </w:t>
      </w:r>
      <w:r>
        <w:rPr>
          <w:rFonts w:asciiTheme="majorHAnsi" w:hAnsiTheme="majorHAnsi" w:cstheme="majorHAnsi"/>
          <w:sz w:val="16"/>
          <w:szCs w:val="16"/>
          <w:lang w:val="en-US"/>
        </w:rPr>
        <w:t>Available at</w:t>
      </w:r>
      <w:r w:rsidRPr="000D2C90">
        <w:rPr>
          <w:rFonts w:asciiTheme="majorHAnsi" w:hAnsiTheme="majorHAnsi" w:cstheme="majorHAnsi"/>
          <w:sz w:val="16"/>
          <w:szCs w:val="16"/>
          <w:lang w:val="en-US"/>
        </w:rPr>
        <w:t xml:space="preserve">: </w:t>
      </w:r>
      <w:hyperlink r:id="rId4" w:history="1">
        <w:r w:rsidRPr="000D2C90">
          <w:rPr>
            <w:rStyle w:val="Hyperlink"/>
            <w:rFonts w:asciiTheme="majorHAnsi" w:hAnsiTheme="majorHAnsi" w:cstheme="majorHAnsi"/>
            <w:sz w:val="16"/>
            <w:szCs w:val="16"/>
            <w:lang w:val="en-US"/>
          </w:rPr>
          <w:t>http://www.oas.org/es/cidh/decisiones/pdf/2014/MC455-14-ES.pdf</w:t>
        </w:r>
      </w:hyperlink>
      <w:r>
        <w:rPr>
          <w:rFonts w:asciiTheme="majorHAnsi" w:hAnsiTheme="majorHAnsi" w:cstheme="majorHAnsi"/>
          <w:sz w:val="16"/>
          <w:szCs w:val="16"/>
          <w:lang w:val="en-US"/>
        </w:rPr>
        <w:t xml:space="preserve"> (in Spanish)</w:t>
      </w:r>
    </w:p>
  </w:footnote>
  <w:footnote w:id="7">
    <w:p w14:paraId="19613975" w14:textId="448044B6" w:rsidR="00FE0144" w:rsidRPr="000D2C90" w:rsidRDefault="00FE0144" w:rsidP="00392F77">
      <w:pPr>
        <w:pStyle w:val="FootnoteText"/>
        <w:jc w:val="both"/>
        <w:rPr>
          <w:rFonts w:asciiTheme="majorHAnsi" w:hAnsiTheme="majorHAnsi" w:cstheme="majorHAnsi"/>
          <w:sz w:val="16"/>
          <w:szCs w:val="16"/>
          <w:lang w:val="en-US"/>
        </w:rPr>
      </w:pPr>
      <w:r w:rsidRPr="00790EC3">
        <w:rPr>
          <w:rStyle w:val="FootnoteReference"/>
          <w:rFonts w:asciiTheme="majorHAnsi" w:hAnsiTheme="majorHAnsi" w:cstheme="majorHAnsi"/>
          <w:sz w:val="16"/>
          <w:szCs w:val="16"/>
        </w:rPr>
        <w:footnoteRef/>
      </w:r>
      <w:r w:rsidRPr="006B4CCE">
        <w:rPr>
          <w:rFonts w:asciiTheme="majorHAnsi" w:hAnsiTheme="majorHAnsi" w:cstheme="majorHAnsi"/>
          <w:sz w:val="16"/>
          <w:szCs w:val="16"/>
          <w:lang w:val="en-US"/>
        </w:rPr>
        <w:t xml:space="preserve">  See: IACHR, </w:t>
      </w:r>
      <w:r w:rsidRPr="006B4CCE">
        <w:rPr>
          <w:rFonts w:asciiTheme="majorHAnsi" w:hAnsiTheme="majorHAnsi" w:cstheme="majorHAnsi"/>
          <w:i/>
          <w:sz w:val="16"/>
          <w:szCs w:val="16"/>
          <w:lang w:val="en-US"/>
        </w:rPr>
        <w:t xml:space="preserve">Buenaventura </w:t>
      </w:r>
      <w:proofErr w:type="spellStart"/>
      <w:r w:rsidRPr="006B4CCE">
        <w:rPr>
          <w:rFonts w:asciiTheme="majorHAnsi" w:hAnsiTheme="majorHAnsi" w:cstheme="majorHAnsi"/>
          <w:i/>
          <w:sz w:val="16"/>
          <w:szCs w:val="16"/>
          <w:lang w:val="en-US"/>
        </w:rPr>
        <w:t>Hoyos</w:t>
      </w:r>
      <w:proofErr w:type="spellEnd"/>
      <w:r w:rsidRPr="006B4CCE">
        <w:rPr>
          <w:rFonts w:asciiTheme="majorHAnsi" w:hAnsiTheme="majorHAnsi" w:cstheme="majorHAnsi"/>
          <w:i/>
          <w:sz w:val="16"/>
          <w:szCs w:val="16"/>
          <w:lang w:val="en-US"/>
        </w:rPr>
        <w:t xml:space="preserve"> Hernández regarding Colombia</w:t>
      </w:r>
      <w:r w:rsidRPr="006B4CCE">
        <w:rPr>
          <w:rFonts w:asciiTheme="majorHAnsi" w:hAnsiTheme="majorHAnsi" w:cstheme="majorHAnsi"/>
          <w:sz w:val="16"/>
          <w:szCs w:val="16"/>
          <w:lang w:val="en-US"/>
        </w:rPr>
        <w:t xml:space="preserve"> (MC-301-13), Resolution 4/2013 of October </w:t>
      </w:r>
      <w:proofErr w:type="gramStart"/>
      <w:r w:rsidRPr="006B4CCE">
        <w:rPr>
          <w:rFonts w:asciiTheme="majorHAnsi" w:hAnsiTheme="majorHAnsi" w:cstheme="majorHAnsi"/>
          <w:sz w:val="16"/>
          <w:szCs w:val="16"/>
          <w:lang w:val="en-US"/>
        </w:rPr>
        <w:t>4</w:t>
      </w:r>
      <w:r w:rsidRPr="006B4CCE">
        <w:rPr>
          <w:rFonts w:asciiTheme="majorHAnsi" w:hAnsiTheme="majorHAnsi" w:cstheme="majorHAnsi"/>
          <w:sz w:val="16"/>
          <w:szCs w:val="16"/>
          <w:vertAlign w:val="superscript"/>
          <w:lang w:val="en-US"/>
        </w:rPr>
        <w:t>th</w:t>
      </w:r>
      <w:proofErr w:type="gramEnd"/>
      <w:r w:rsidRPr="006B4CCE">
        <w:rPr>
          <w:rFonts w:asciiTheme="majorHAnsi" w:hAnsiTheme="majorHAnsi" w:cstheme="majorHAnsi"/>
          <w:sz w:val="16"/>
          <w:szCs w:val="16"/>
          <w:lang w:val="en-US"/>
        </w:rPr>
        <w:t xml:space="preserve">. </w:t>
      </w:r>
      <w:r>
        <w:rPr>
          <w:rFonts w:asciiTheme="majorHAnsi" w:hAnsiTheme="majorHAnsi" w:cstheme="majorHAnsi"/>
          <w:sz w:val="16"/>
          <w:szCs w:val="16"/>
          <w:lang w:val="en-US"/>
        </w:rPr>
        <w:t>Available at</w:t>
      </w:r>
      <w:r w:rsidRPr="000D2C90">
        <w:rPr>
          <w:rFonts w:asciiTheme="majorHAnsi" w:hAnsiTheme="majorHAnsi" w:cstheme="majorHAnsi"/>
          <w:sz w:val="16"/>
          <w:szCs w:val="16"/>
          <w:lang w:val="en-US"/>
        </w:rPr>
        <w:t xml:space="preserve">: </w:t>
      </w:r>
      <w:hyperlink r:id="rId5" w:history="1">
        <w:r w:rsidRPr="000D2C90">
          <w:rPr>
            <w:rStyle w:val="Hyperlink"/>
            <w:rFonts w:asciiTheme="majorHAnsi" w:hAnsiTheme="majorHAnsi" w:cstheme="majorHAnsi"/>
            <w:sz w:val="16"/>
            <w:szCs w:val="16"/>
            <w:lang w:val="en-US"/>
          </w:rPr>
          <w:t>http://www.oas.org/es/cidh/decisiones/pdf/MC301-13Resolucion%204-13esp.pdf</w:t>
        </w:r>
      </w:hyperlink>
      <w:r>
        <w:rPr>
          <w:rFonts w:asciiTheme="majorHAnsi" w:hAnsiTheme="majorHAnsi" w:cstheme="majorHAnsi"/>
          <w:sz w:val="16"/>
          <w:szCs w:val="16"/>
          <w:lang w:val="en-US"/>
        </w:rPr>
        <w:t xml:space="preserve"> (in Spanish)</w:t>
      </w:r>
    </w:p>
  </w:footnote>
  <w:footnote w:id="8">
    <w:p w14:paraId="47AD2D57" w14:textId="057DE276" w:rsidR="00FE0144" w:rsidRPr="000D2C90" w:rsidRDefault="00FE0144" w:rsidP="00EE23A5">
      <w:pPr>
        <w:pStyle w:val="FootnoteText"/>
        <w:jc w:val="both"/>
        <w:rPr>
          <w:rFonts w:asciiTheme="majorHAnsi" w:hAnsiTheme="majorHAnsi" w:cstheme="majorHAnsi"/>
          <w:sz w:val="16"/>
          <w:szCs w:val="16"/>
          <w:lang w:val="en-US"/>
        </w:rPr>
      </w:pPr>
      <w:r w:rsidRPr="00790EC3">
        <w:rPr>
          <w:rStyle w:val="FootnoteReference"/>
          <w:rFonts w:asciiTheme="majorHAnsi" w:hAnsiTheme="majorHAnsi" w:cstheme="majorHAnsi"/>
          <w:sz w:val="16"/>
          <w:szCs w:val="16"/>
        </w:rPr>
        <w:footnoteRef/>
      </w:r>
      <w:r w:rsidRPr="006B4CCE">
        <w:rPr>
          <w:rFonts w:asciiTheme="majorHAnsi" w:hAnsiTheme="majorHAnsi" w:cstheme="majorHAnsi"/>
          <w:sz w:val="16"/>
          <w:szCs w:val="16"/>
          <w:lang w:val="en-US"/>
        </w:rPr>
        <w:t xml:space="preserve">  See: IACHR, Margarita </w:t>
      </w:r>
      <w:proofErr w:type="spellStart"/>
      <w:r w:rsidRPr="006B4CCE">
        <w:rPr>
          <w:rFonts w:asciiTheme="majorHAnsi" w:hAnsiTheme="majorHAnsi" w:cstheme="majorHAnsi"/>
          <w:sz w:val="16"/>
          <w:szCs w:val="16"/>
          <w:lang w:val="en-US"/>
        </w:rPr>
        <w:t>Marín</w:t>
      </w:r>
      <w:proofErr w:type="spellEnd"/>
      <w:r w:rsidRPr="006B4CCE">
        <w:rPr>
          <w:rFonts w:asciiTheme="majorHAnsi" w:hAnsiTheme="majorHAnsi" w:cstheme="majorHAnsi"/>
          <w:sz w:val="16"/>
          <w:szCs w:val="16"/>
          <w:lang w:val="en-US"/>
        </w:rPr>
        <w:t xml:space="preserve"> Yan and others regarding México (MC-29-16), Resolution 24/2016 of </w:t>
      </w:r>
      <w:r>
        <w:rPr>
          <w:rFonts w:asciiTheme="majorHAnsi" w:hAnsiTheme="majorHAnsi" w:cstheme="majorHAnsi"/>
          <w:sz w:val="16"/>
          <w:szCs w:val="16"/>
          <w:lang w:val="en-US"/>
        </w:rPr>
        <w:t xml:space="preserve">April </w:t>
      </w:r>
      <w:proofErr w:type="gramStart"/>
      <w:r w:rsidRPr="006B4CCE">
        <w:rPr>
          <w:rFonts w:asciiTheme="majorHAnsi" w:hAnsiTheme="majorHAnsi" w:cstheme="majorHAnsi"/>
          <w:sz w:val="16"/>
          <w:szCs w:val="16"/>
          <w:lang w:val="en-US"/>
        </w:rPr>
        <w:t>15</w:t>
      </w:r>
      <w:r w:rsidRPr="006B4CCE">
        <w:rPr>
          <w:rFonts w:asciiTheme="majorHAnsi" w:hAnsiTheme="majorHAnsi" w:cstheme="majorHAnsi"/>
          <w:sz w:val="16"/>
          <w:szCs w:val="16"/>
          <w:vertAlign w:val="superscript"/>
          <w:lang w:val="en-US"/>
        </w:rPr>
        <w:t>th</w:t>
      </w:r>
      <w:proofErr w:type="gramEnd"/>
      <w:r w:rsidRPr="006B4CCE">
        <w:rPr>
          <w:rFonts w:asciiTheme="majorHAnsi" w:hAnsiTheme="majorHAnsi" w:cstheme="majorHAnsi"/>
          <w:sz w:val="16"/>
          <w:szCs w:val="16"/>
          <w:lang w:val="en-US"/>
        </w:rPr>
        <w:t xml:space="preserve">. </w:t>
      </w:r>
      <w:r>
        <w:rPr>
          <w:rFonts w:asciiTheme="majorHAnsi" w:hAnsiTheme="majorHAnsi" w:cstheme="majorHAnsi"/>
          <w:sz w:val="16"/>
          <w:szCs w:val="16"/>
          <w:lang w:val="en-US"/>
        </w:rPr>
        <w:t>Available at</w:t>
      </w:r>
      <w:r w:rsidRPr="000D2C90">
        <w:rPr>
          <w:rFonts w:asciiTheme="majorHAnsi" w:hAnsiTheme="majorHAnsi" w:cstheme="majorHAnsi"/>
          <w:sz w:val="16"/>
          <w:szCs w:val="16"/>
          <w:lang w:val="en-US"/>
        </w:rPr>
        <w:t xml:space="preserve">: </w:t>
      </w:r>
      <w:hyperlink r:id="rId6" w:history="1">
        <w:r w:rsidRPr="000D2C90">
          <w:rPr>
            <w:rStyle w:val="Hyperlink"/>
            <w:rFonts w:asciiTheme="majorHAnsi" w:hAnsiTheme="majorHAnsi" w:cstheme="majorHAnsi"/>
            <w:sz w:val="16"/>
            <w:szCs w:val="16"/>
            <w:lang w:val="en-US"/>
          </w:rPr>
          <w:t>http://www.oas.org/es/cidh/decisiones/pdf/2016/MC29-16-Es.pdf</w:t>
        </w:r>
      </w:hyperlink>
      <w:r>
        <w:rPr>
          <w:rFonts w:asciiTheme="majorHAnsi" w:hAnsiTheme="majorHAnsi" w:cstheme="majorHAnsi"/>
          <w:sz w:val="16"/>
          <w:szCs w:val="16"/>
          <w:lang w:val="en-US"/>
        </w:rPr>
        <w:t xml:space="preserve"> (in Spanish)</w:t>
      </w:r>
    </w:p>
  </w:footnote>
  <w:footnote w:id="9">
    <w:p w14:paraId="579666D5" w14:textId="3ACF81E0" w:rsidR="00FE0144" w:rsidRPr="00641976" w:rsidRDefault="00FE0144" w:rsidP="00806E9F">
      <w:pPr>
        <w:pStyle w:val="FootnoteText"/>
        <w:jc w:val="both"/>
        <w:rPr>
          <w:rFonts w:asciiTheme="majorHAnsi" w:hAnsiTheme="majorHAnsi" w:cstheme="majorHAnsi"/>
          <w:sz w:val="16"/>
          <w:szCs w:val="16"/>
          <w:lang w:val="en-US"/>
        </w:rPr>
      </w:pPr>
      <w:r w:rsidRPr="00790EC3">
        <w:rPr>
          <w:rStyle w:val="FootnoteReference"/>
          <w:rFonts w:asciiTheme="majorHAnsi" w:hAnsiTheme="majorHAnsi" w:cstheme="majorHAnsi"/>
          <w:sz w:val="16"/>
          <w:szCs w:val="16"/>
        </w:rPr>
        <w:footnoteRef/>
      </w:r>
      <w:r w:rsidRPr="006B4CCE">
        <w:rPr>
          <w:rFonts w:asciiTheme="majorHAnsi" w:hAnsiTheme="majorHAnsi" w:cstheme="majorHAnsi"/>
          <w:sz w:val="16"/>
          <w:szCs w:val="16"/>
          <w:lang w:val="en-US"/>
        </w:rPr>
        <w:t xml:space="preserve"> See, for instance: I/A Court H.R., Case of </w:t>
      </w:r>
      <w:proofErr w:type="spellStart"/>
      <w:r w:rsidRPr="006B4CCE">
        <w:rPr>
          <w:rFonts w:asciiTheme="majorHAnsi" w:hAnsiTheme="majorHAnsi" w:cstheme="majorHAnsi"/>
          <w:sz w:val="16"/>
          <w:szCs w:val="16"/>
          <w:lang w:val="en-US"/>
        </w:rPr>
        <w:t>Heliodoro</w:t>
      </w:r>
      <w:proofErr w:type="spellEnd"/>
      <w:r w:rsidRPr="006B4CCE">
        <w:rPr>
          <w:rFonts w:asciiTheme="majorHAnsi" w:hAnsiTheme="majorHAnsi" w:cstheme="majorHAnsi"/>
          <w:sz w:val="16"/>
          <w:szCs w:val="16"/>
          <w:lang w:val="en-US"/>
        </w:rPr>
        <w:t xml:space="preserve"> Portugal v. Panama. Preliminary Objections, Merits, Reparations, and Costs. Judgment of August 12, 2008. </w:t>
      </w:r>
      <w:proofErr w:type="gramStart"/>
      <w:r>
        <w:rPr>
          <w:rFonts w:asciiTheme="majorHAnsi" w:hAnsiTheme="majorHAnsi" w:cstheme="majorHAnsi"/>
          <w:sz w:val="16"/>
          <w:szCs w:val="16"/>
          <w:lang w:val="en-US"/>
        </w:rPr>
        <w:t>para</w:t>
      </w:r>
      <w:proofErr w:type="gramEnd"/>
      <w:r w:rsidRPr="006B4CCE">
        <w:rPr>
          <w:rFonts w:asciiTheme="majorHAnsi" w:hAnsiTheme="majorHAnsi" w:cstheme="majorHAnsi"/>
          <w:sz w:val="16"/>
          <w:szCs w:val="16"/>
          <w:lang w:val="en-US"/>
        </w:rPr>
        <w:t xml:space="preserve">. 144. Available at: </w:t>
      </w:r>
      <w:hyperlink r:id="rId7" w:history="1">
        <w:proofErr w:type="gramStart"/>
        <w:r w:rsidRPr="006B4CCE">
          <w:rPr>
            <w:rStyle w:val="Hyperlink"/>
            <w:rFonts w:asciiTheme="majorHAnsi" w:hAnsiTheme="majorHAnsi" w:cstheme="majorHAnsi"/>
            <w:sz w:val="16"/>
            <w:szCs w:val="16"/>
            <w:lang w:val="en-US"/>
          </w:rPr>
          <w:t>http://www.corteidh.or.cr/docs/casos/articulos/seriec_186_esp.pdf</w:t>
        </w:r>
      </w:hyperlink>
      <w:r w:rsidRPr="006B4CCE">
        <w:rPr>
          <w:rFonts w:asciiTheme="majorHAnsi" w:hAnsiTheme="majorHAnsi" w:cstheme="majorHAnsi"/>
          <w:sz w:val="16"/>
          <w:szCs w:val="16"/>
          <w:lang w:val="en-US"/>
        </w:rPr>
        <w:t xml:space="preserve"> </w:t>
      </w:r>
      <w:r>
        <w:rPr>
          <w:rFonts w:asciiTheme="majorHAnsi" w:hAnsiTheme="majorHAnsi" w:cstheme="majorHAnsi"/>
          <w:sz w:val="16"/>
          <w:szCs w:val="16"/>
          <w:lang w:val="en-US"/>
        </w:rPr>
        <w:t>(in Spanish) and</w:t>
      </w:r>
      <w:r w:rsidRPr="006B4CCE">
        <w:rPr>
          <w:rFonts w:asciiTheme="majorHAnsi" w:hAnsiTheme="majorHAnsi" w:cstheme="majorHAnsi"/>
          <w:sz w:val="16"/>
          <w:szCs w:val="16"/>
          <w:lang w:val="en-US"/>
        </w:rPr>
        <w:t xml:space="preserve"> </w:t>
      </w:r>
      <w:r w:rsidRPr="00641976">
        <w:rPr>
          <w:rFonts w:asciiTheme="majorHAnsi" w:hAnsiTheme="majorHAnsi" w:cstheme="majorHAnsi"/>
          <w:sz w:val="16"/>
          <w:szCs w:val="16"/>
          <w:lang w:val="en-US"/>
        </w:rPr>
        <w:t xml:space="preserve">I/A Court H.R., Case of </w:t>
      </w:r>
      <w:proofErr w:type="spellStart"/>
      <w:r w:rsidRPr="00641976">
        <w:rPr>
          <w:rFonts w:asciiTheme="majorHAnsi" w:hAnsiTheme="majorHAnsi" w:cstheme="majorHAnsi"/>
          <w:sz w:val="16"/>
          <w:szCs w:val="16"/>
          <w:lang w:val="en-US"/>
        </w:rPr>
        <w:t>Munárriz</w:t>
      </w:r>
      <w:proofErr w:type="spellEnd"/>
      <w:r w:rsidRPr="00641976">
        <w:rPr>
          <w:rFonts w:asciiTheme="majorHAnsi" w:hAnsiTheme="majorHAnsi" w:cstheme="majorHAnsi"/>
          <w:sz w:val="16"/>
          <w:szCs w:val="16"/>
          <w:lang w:val="en-US"/>
        </w:rPr>
        <w:t xml:space="preserve"> Escobar et al. v. Peru</w:t>
      </w:r>
      <w:proofErr w:type="gramEnd"/>
      <w:r w:rsidRPr="00641976">
        <w:rPr>
          <w:rFonts w:asciiTheme="majorHAnsi" w:hAnsiTheme="majorHAnsi" w:cstheme="majorHAnsi"/>
          <w:sz w:val="16"/>
          <w:szCs w:val="16"/>
          <w:lang w:val="en-US"/>
        </w:rPr>
        <w:t>. Preliminary Objection, Merits, Reparations and Cost</w:t>
      </w:r>
      <w:r>
        <w:rPr>
          <w:rFonts w:asciiTheme="majorHAnsi" w:hAnsiTheme="majorHAnsi" w:cstheme="majorHAnsi"/>
          <w:sz w:val="16"/>
          <w:szCs w:val="16"/>
          <w:lang w:val="en-US"/>
        </w:rPr>
        <w:t>s. Judgment of August 20, 2018,</w:t>
      </w:r>
      <w:r w:rsidRPr="00641976">
        <w:rPr>
          <w:rFonts w:asciiTheme="majorHAnsi" w:hAnsiTheme="majorHAnsi" w:cstheme="majorHAnsi"/>
          <w:sz w:val="16"/>
          <w:szCs w:val="16"/>
          <w:lang w:val="en-US"/>
        </w:rPr>
        <w:t xml:space="preserve"> para</w:t>
      </w:r>
      <w:r>
        <w:rPr>
          <w:rFonts w:asciiTheme="majorHAnsi" w:hAnsiTheme="majorHAnsi" w:cstheme="majorHAnsi"/>
          <w:sz w:val="16"/>
          <w:szCs w:val="16"/>
          <w:lang w:val="en-US"/>
        </w:rPr>
        <w:t>. 98. Available at</w:t>
      </w:r>
      <w:r w:rsidRPr="00641976">
        <w:rPr>
          <w:rFonts w:asciiTheme="majorHAnsi" w:hAnsiTheme="majorHAnsi" w:cstheme="majorHAnsi"/>
          <w:sz w:val="16"/>
          <w:szCs w:val="16"/>
          <w:lang w:val="en-US"/>
        </w:rPr>
        <w:t xml:space="preserve">: </w:t>
      </w:r>
      <w:hyperlink r:id="rId8" w:history="1">
        <w:r w:rsidRPr="0094357B">
          <w:rPr>
            <w:rStyle w:val="Hyperlink"/>
            <w:rFonts w:asciiTheme="majorHAnsi" w:hAnsiTheme="majorHAnsi" w:cstheme="majorHAnsi"/>
            <w:sz w:val="16"/>
            <w:szCs w:val="16"/>
            <w:lang w:val="en-US"/>
          </w:rPr>
          <w:t>http://www.corteidh.or.cr/docs/casos/articulos/seriec_355_esp.pdf</w:t>
        </w:r>
      </w:hyperlink>
      <w:r w:rsidRPr="00641976">
        <w:rPr>
          <w:rFonts w:asciiTheme="majorHAnsi" w:hAnsiTheme="majorHAnsi" w:cstheme="majorHAnsi"/>
          <w:sz w:val="16"/>
          <w:szCs w:val="16"/>
          <w:lang w:val="en-US"/>
        </w:rPr>
        <w:t>.</w:t>
      </w:r>
      <w:r>
        <w:rPr>
          <w:rFonts w:asciiTheme="majorHAnsi" w:hAnsiTheme="majorHAnsi" w:cstheme="majorHAnsi"/>
          <w:sz w:val="16"/>
          <w:szCs w:val="16"/>
          <w:lang w:val="en-US"/>
        </w:rPr>
        <w:t xml:space="preserve"> </w:t>
      </w:r>
      <w:r w:rsidRPr="00641976">
        <w:rPr>
          <w:rFonts w:asciiTheme="majorHAnsi" w:hAnsiTheme="majorHAnsi" w:cstheme="majorHAnsi"/>
          <w:sz w:val="16"/>
          <w:szCs w:val="16"/>
          <w:lang w:val="en-US"/>
        </w:rPr>
        <w:t>(</w:t>
      </w:r>
      <w:r>
        <w:rPr>
          <w:rFonts w:asciiTheme="majorHAnsi" w:hAnsiTheme="majorHAnsi" w:cstheme="majorHAnsi"/>
          <w:sz w:val="16"/>
          <w:szCs w:val="16"/>
          <w:lang w:val="en-US"/>
        </w:rPr>
        <w:t>O</w:t>
      </w:r>
      <w:r w:rsidRPr="00641976">
        <w:rPr>
          <w:rFonts w:asciiTheme="majorHAnsi" w:hAnsiTheme="majorHAnsi" w:cstheme="majorHAnsi"/>
          <w:sz w:val="16"/>
          <w:szCs w:val="16"/>
          <w:lang w:val="en-US"/>
        </w:rPr>
        <w:t>nly in Spanish)</w:t>
      </w:r>
    </w:p>
  </w:footnote>
  <w:footnote w:id="10">
    <w:p w14:paraId="4801988D" w14:textId="342C3EAB" w:rsidR="00FE0144" w:rsidRPr="00C3786B" w:rsidRDefault="00FE0144" w:rsidP="00052EB8">
      <w:pPr>
        <w:pStyle w:val="FootnoteText"/>
        <w:rPr>
          <w:rFonts w:asciiTheme="majorHAnsi" w:hAnsiTheme="majorHAnsi" w:cstheme="majorHAnsi"/>
          <w:sz w:val="16"/>
          <w:szCs w:val="16"/>
          <w:lang w:val="en-US"/>
        </w:rPr>
      </w:pPr>
      <w:r w:rsidRPr="00790EC3">
        <w:rPr>
          <w:rStyle w:val="FootnoteReference"/>
          <w:rFonts w:asciiTheme="majorHAnsi" w:hAnsiTheme="majorHAnsi" w:cstheme="majorHAnsi"/>
          <w:sz w:val="16"/>
          <w:szCs w:val="16"/>
        </w:rPr>
        <w:footnoteRef/>
      </w:r>
      <w:r w:rsidRPr="00C3786B">
        <w:rPr>
          <w:rFonts w:asciiTheme="majorHAnsi" w:hAnsiTheme="majorHAnsi" w:cstheme="majorHAnsi"/>
          <w:sz w:val="16"/>
          <w:szCs w:val="16"/>
          <w:lang w:val="en-US"/>
        </w:rPr>
        <w:t xml:space="preserve"> See </w:t>
      </w:r>
      <w:r w:rsidRPr="00C3786B">
        <w:rPr>
          <w:rFonts w:asciiTheme="majorHAnsi" w:hAnsiTheme="majorHAnsi" w:cstheme="majorHAnsi"/>
          <w:i/>
          <w:sz w:val="16"/>
          <w:szCs w:val="16"/>
          <w:lang w:val="en-US"/>
        </w:rPr>
        <w:t>inter alia</w:t>
      </w:r>
      <w:r w:rsidRPr="00C3786B">
        <w:rPr>
          <w:rFonts w:asciiTheme="majorHAnsi" w:hAnsiTheme="majorHAnsi" w:cstheme="majorHAnsi"/>
          <w:sz w:val="16"/>
          <w:szCs w:val="16"/>
          <w:lang w:val="en-US"/>
        </w:rPr>
        <w:t xml:space="preserve">: IACHR, Francisco Javier Barraza Gómez regarding Mexico (MC-209-14), Resolution of August 15, </w:t>
      </w:r>
      <w:r>
        <w:rPr>
          <w:rFonts w:asciiTheme="majorHAnsi" w:hAnsiTheme="majorHAnsi" w:cstheme="majorHAnsi"/>
          <w:sz w:val="16"/>
          <w:szCs w:val="16"/>
          <w:lang w:val="en-US"/>
        </w:rPr>
        <w:t xml:space="preserve">2017, </w:t>
      </w:r>
      <w:proofErr w:type="gramStart"/>
      <w:r>
        <w:rPr>
          <w:rFonts w:asciiTheme="majorHAnsi" w:hAnsiTheme="majorHAnsi" w:cstheme="majorHAnsi"/>
          <w:sz w:val="16"/>
          <w:szCs w:val="16"/>
          <w:lang w:val="en-US"/>
        </w:rPr>
        <w:t>para</w:t>
      </w:r>
      <w:proofErr w:type="gramEnd"/>
      <w:r w:rsidRPr="00C3786B">
        <w:rPr>
          <w:rFonts w:asciiTheme="majorHAnsi" w:hAnsiTheme="majorHAnsi" w:cstheme="majorHAnsi"/>
          <w:sz w:val="16"/>
          <w:szCs w:val="16"/>
          <w:lang w:val="en-US"/>
        </w:rPr>
        <w:t xml:space="preserve">. 22. Available at: </w:t>
      </w:r>
      <w:hyperlink r:id="rId9" w:history="1">
        <w:r w:rsidRPr="00C3786B">
          <w:rPr>
            <w:rStyle w:val="Hyperlink"/>
            <w:rFonts w:asciiTheme="majorHAnsi" w:hAnsiTheme="majorHAnsi" w:cstheme="majorHAnsi"/>
            <w:sz w:val="16"/>
            <w:szCs w:val="16"/>
            <w:lang w:val="en-US"/>
          </w:rPr>
          <w:t>http://www.oas.org/es/cidh/decisiones/cautelares.asp</w:t>
        </w:r>
      </w:hyperlink>
      <w:r w:rsidRPr="00C3786B">
        <w:rPr>
          <w:rFonts w:asciiTheme="majorHAnsi" w:hAnsiTheme="majorHAnsi" w:cstheme="majorHAnsi"/>
          <w:sz w:val="16"/>
          <w:szCs w:val="16"/>
          <w:lang w:val="en-US"/>
        </w:rPr>
        <w:t xml:space="preserve"> (in Spanish); IACHR, Paulina Mateo Chic regarding G</w:t>
      </w:r>
      <w:r>
        <w:rPr>
          <w:rFonts w:asciiTheme="majorHAnsi" w:hAnsiTheme="majorHAnsi" w:cstheme="majorHAnsi"/>
          <w:sz w:val="16"/>
          <w:szCs w:val="16"/>
          <w:lang w:val="en-US"/>
        </w:rPr>
        <w:t>uatemala (MC 782-17), Resolution</w:t>
      </w:r>
      <w:r w:rsidRPr="00C3786B">
        <w:rPr>
          <w:rFonts w:asciiTheme="majorHAnsi" w:hAnsiTheme="majorHAnsi" w:cstheme="majorHAnsi"/>
          <w:sz w:val="16"/>
          <w:szCs w:val="16"/>
          <w:lang w:val="en-US"/>
        </w:rPr>
        <w:t xml:space="preserve"> </w:t>
      </w:r>
      <w:r>
        <w:rPr>
          <w:rFonts w:asciiTheme="majorHAnsi" w:hAnsiTheme="majorHAnsi" w:cstheme="majorHAnsi"/>
          <w:sz w:val="16"/>
          <w:szCs w:val="16"/>
          <w:lang w:val="en-US"/>
        </w:rPr>
        <w:t>of</w:t>
      </w:r>
      <w:r w:rsidRPr="00C3786B">
        <w:rPr>
          <w:rFonts w:asciiTheme="majorHAnsi" w:hAnsiTheme="majorHAnsi" w:cstheme="majorHAnsi"/>
          <w:sz w:val="16"/>
          <w:szCs w:val="16"/>
          <w:lang w:val="en-US"/>
        </w:rPr>
        <w:t xml:space="preserve"> </w:t>
      </w:r>
      <w:r>
        <w:rPr>
          <w:rFonts w:asciiTheme="majorHAnsi" w:hAnsiTheme="majorHAnsi" w:cstheme="majorHAnsi"/>
          <w:sz w:val="16"/>
          <w:szCs w:val="16"/>
          <w:lang w:val="en-US"/>
        </w:rPr>
        <w:t>December 1, 2017, para</w:t>
      </w:r>
      <w:r w:rsidRPr="00C3786B">
        <w:rPr>
          <w:rFonts w:asciiTheme="majorHAnsi" w:hAnsiTheme="majorHAnsi" w:cstheme="majorHAnsi"/>
          <w:sz w:val="16"/>
          <w:szCs w:val="16"/>
          <w:lang w:val="en-US"/>
        </w:rPr>
        <w:t xml:space="preserve">. </w:t>
      </w:r>
      <w:proofErr w:type="gramStart"/>
      <w:r w:rsidRPr="00C3786B">
        <w:rPr>
          <w:rFonts w:asciiTheme="majorHAnsi" w:hAnsiTheme="majorHAnsi" w:cstheme="majorHAnsi"/>
          <w:sz w:val="16"/>
          <w:szCs w:val="16"/>
          <w:lang w:val="en-US"/>
        </w:rPr>
        <w:t>34</w:t>
      </w:r>
      <w:proofErr w:type="gramEnd"/>
      <w:r w:rsidRPr="00C3786B">
        <w:rPr>
          <w:rFonts w:asciiTheme="majorHAnsi" w:hAnsiTheme="majorHAnsi" w:cstheme="majorHAnsi"/>
          <w:sz w:val="16"/>
          <w:szCs w:val="16"/>
          <w:lang w:val="en-US"/>
        </w:rPr>
        <w:t xml:space="preserve">; Available at: </w:t>
      </w:r>
      <w:hyperlink r:id="rId10" w:history="1">
        <w:r w:rsidRPr="00C3786B">
          <w:rPr>
            <w:rStyle w:val="Hyperlink"/>
            <w:rFonts w:asciiTheme="majorHAnsi" w:hAnsiTheme="majorHAnsi" w:cstheme="majorHAnsi"/>
            <w:sz w:val="16"/>
            <w:szCs w:val="16"/>
            <w:lang w:val="en-US"/>
          </w:rPr>
          <w:t>http://www.oas.org/es/cidh/decisiones/pdf/2017/49-17MC782-17-GU.pdf</w:t>
        </w:r>
      </w:hyperlink>
      <w:r w:rsidRPr="00C3786B">
        <w:rPr>
          <w:rFonts w:asciiTheme="majorHAnsi" w:hAnsiTheme="majorHAnsi" w:cstheme="majorHAnsi"/>
          <w:sz w:val="16"/>
          <w:szCs w:val="16"/>
          <w:lang w:val="en-US"/>
        </w:rPr>
        <w:t xml:space="preserve"> </w:t>
      </w:r>
      <w:r>
        <w:rPr>
          <w:rFonts w:asciiTheme="majorHAnsi" w:hAnsiTheme="majorHAnsi" w:cstheme="majorHAnsi"/>
          <w:sz w:val="16"/>
          <w:szCs w:val="16"/>
          <w:lang w:val="en-US"/>
        </w:rPr>
        <w:t>(in Spanish); and</w:t>
      </w:r>
      <w:r w:rsidRPr="00C3786B">
        <w:rPr>
          <w:rFonts w:asciiTheme="majorHAnsi" w:hAnsiTheme="majorHAnsi" w:cstheme="majorHAnsi"/>
          <w:sz w:val="16"/>
          <w:szCs w:val="16"/>
          <w:lang w:val="en-US"/>
        </w:rPr>
        <w:t xml:space="preserve"> </w:t>
      </w:r>
      <w:r>
        <w:rPr>
          <w:rFonts w:asciiTheme="majorHAnsi" w:hAnsiTheme="majorHAnsi" w:cstheme="majorHAnsi"/>
          <w:sz w:val="16"/>
          <w:szCs w:val="16"/>
          <w:lang w:val="en-US"/>
        </w:rPr>
        <w:t>IA</w:t>
      </w:r>
      <w:r w:rsidRPr="00C3786B">
        <w:rPr>
          <w:rFonts w:asciiTheme="majorHAnsi" w:hAnsiTheme="majorHAnsi" w:cstheme="majorHAnsi"/>
          <w:sz w:val="16"/>
          <w:szCs w:val="16"/>
          <w:lang w:val="en-US"/>
        </w:rPr>
        <w:t>CH</w:t>
      </w:r>
      <w:r>
        <w:rPr>
          <w:rFonts w:asciiTheme="majorHAnsi" w:hAnsiTheme="majorHAnsi" w:cstheme="majorHAnsi"/>
          <w:sz w:val="16"/>
          <w:szCs w:val="16"/>
          <w:lang w:val="en-US"/>
        </w:rPr>
        <w:t>R</w:t>
      </w:r>
      <w:r w:rsidRPr="00C3786B">
        <w:rPr>
          <w:rFonts w:asciiTheme="majorHAnsi" w:hAnsiTheme="majorHAnsi" w:cstheme="majorHAnsi"/>
          <w:sz w:val="16"/>
          <w:szCs w:val="16"/>
          <w:lang w:val="en-US"/>
        </w:rPr>
        <w:t xml:space="preserve">, Santiago Maldonado </w:t>
      </w:r>
      <w:r>
        <w:rPr>
          <w:rFonts w:asciiTheme="majorHAnsi" w:hAnsiTheme="majorHAnsi" w:cstheme="majorHAnsi"/>
          <w:sz w:val="16"/>
          <w:szCs w:val="16"/>
          <w:lang w:val="en-US"/>
        </w:rPr>
        <w:t>regarding</w:t>
      </w:r>
      <w:r w:rsidRPr="00C3786B">
        <w:rPr>
          <w:rFonts w:asciiTheme="majorHAnsi" w:hAnsiTheme="majorHAnsi" w:cstheme="majorHAnsi"/>
          <w:sz w:val="16"/>
          <w:szCs w:val="16"/>
          <w:lang w:val="en-US"/>
        </w:rPr>
        <w:t xml:space="preserve"> Argentina (MC 564-2017), </w:t>
      </w:r>
      <w:r>
        <w:rPr>
          <w:rFonts w:asciiTheme="majorHAnsi" w:hAnsiTheme="majorHAnsi" w:cstheme="majorHAnsi"/>
          <w:sz w:val="16"/>
          <w:szCs w:val="16"/>
          <w:lang w:val="en-US"/>
        </w:rPr>
        <w:t>Resolution</w:t>
      </w:r>
      <w:r w:rsidRPr="00C3786B">
        <w:rPr>
          <w:rFonts w:asciiTheme="majorHAnsi" w:hAnsiTheme="majorHAnsi" w:cstheme="majorHAnsi"/>
          <w:sz w:val="16"/>
          <w:szCs w:val="16"/>
          <w:lang w:val="en-US"/>
        </w:rPr>
        <w:t xml:space="preserve"> </w:t>
      </w:r>
      <w:r>
        <w:rPr>
          <w:rFonts w:asciiTheme="majorHAnsi" w:hAnsiTheme="majorHAnsi" w:cstheme="majorHAnsi"/>
          <w:sz w:val="16"/>
          <w:szCs w:val="16"/>
          <w:lang w:val="en-US"/>
        </w:rPr>
        <w:t>of August</w:t>
      </w:r>
      <w:r w:rsidRPr="00C3786B">
        <w:rPr>
          <w:rFonts w:asciiTheme="majorHAnsi" w:hAnsiTheme="majorHAnsi" w:cstheme="majorHAnsi"/>
          <w:sz w:val="16"/>
          <w:szCs w:val="16"/>
          <w:lang w:val="en-US"/>
        </w:rPr>
        <w:t xml:space="preserve"> 22</w:t>
      </w:r>
      <w:r>
        <w:rPr>
          <w:rFonts w:asciiTheme="majorHAnsi" w:hAnsiTheme="majorHAnsi" w:cstheme="majorHAnsi"/>
          <w:sz w:val="16"/>
          <w:szCs w:val="16"/>
          <w:lang w:val="en-US"/>
        </w:rPr>
        <w:t>,</w:t>
      </w:r>
      <w:r w:rsidRPr="00C3786B">
        <w:rPr>
          <w:rFonts w:asciiTheme="majorHAnsi" w:hAnsiTheme="majorHAnsi" w:cstheme="majorHAnsi"/>
          <w:sz w:val="16"/>
          <w:szCs w:val="16"/>
          <w:lang w:val="en-US"/>
        </w:rPr>
        <w:t xml:space="preserve"> </w:t>
      </w:r>
      <w:r>
        <w:rPr>
          <w:rFonts w:asciiTheme="majorHAnsi" w:hAnsiTheme="majorHAnsi" w:cstheme="majorHAnsi"/>
          <w:sz w:val="16"/>
          <w:szCs w:val="16"/>
          <w:lang w:val="en-US"/>
        </w:rPr>
        <w:t>2017, para</w:t>
      </w:r>
      <w:r w:rsidRPr="00C3786B">
        <w:rPr>
          <w:rFonts w:asciiTheme="majorHAnsi" w:hAnsiTheme="majorHAnsi" w:cstheme="majorHAnsi"/>
          <w:sz w:val="16"/>
          <w:szCs w:val="16"/>
          <w:lang w:val="en-US"/>
        </w:rPr>
        <w:t xml:space="preserve">. 16. Available at: </w:t>
      </w:r>
      <w:hyperlink r:id="rId11" w:history="1">
        <w:r w:rsidRPr="00C3786B">
          <w:rPr>
            <w:rStyle w:val="Hyperlink"/>
            <w:rFonts w:asciiTheme="majorHAnsi" w:hAnsiTheme="majorHAnsi" w:cstheme="majorHAnsi"/>
            <w:sz w:val="16"/>
            <w:szCs w:val="16"/>
            <w:lang w:val="en-US"/>
          </w:rPr>
          <w:t>http://www.oas.org/es/cidh/decisiones/pdf/2017/32-17MC564-17-AR.pdf</w:t>
        </w:r>
      </w:hyperlink>
      <w:r w:rsidRPr="00C3786B">
        <w:rPr>
          <w:rFonts w:asciiTheme="majorHAnsi" w:hAnsiTheme="majorHAnsi" w:cstheme="majorHAnsi"/>
          <w:sz w:val="16"/>
          <w:szCs w:val="16"/>
          <w:lang w:val="en-US"/>
        </w:rPr>
        <w:t xml:space="preserve"> (in Spanish)</w:t>
      </w:r>
    </w:p>
  </w:footnote>
  <w:footnote w:id="11">
    <w:p w14:paraId="4DC9C23A" w14:textId="0CDBE4BA" w:rsidR="00FE0144" w:rsidRPr="00790EC3" w:rsidRDefault="00FE0144" w:rsidP="00052EB8">
      <w:pPr>
        <w:pStyle w:val="FootnoteText"/>
        <w:rPr>
          <w:rFonts w:asciiTheme="majorHAnsi" w:hAnsiTheme="majorHAnsi" w:cstheme="majorHAnsi"/>
          <w:sz w:val="16"/>
          <w:szCs w:val="16"/>
          <w:lang w:val="es-PE"/>
        </w:rPr>
      </w:pPr>
      <w:r w:rsidRPr="00790EC3">
        <w:rPr>
          <w:rStyle w:val="FootnoteReference"/>
          <w:rFonts w:asciiTheme="majorHAnsi" w:hAnsiTheme="majorHAnsi" w:cstheme="majorHAnsi"/>
          <w:sz w:val="16"/>
          <w:szCs w:val="16"/>
        </w:rPr>
        <w:footnoteRef/>
      </w:r>
      <w:r>
        <w:rPr>
          <w:rFonts w:asciiTheme="majorHAnsi" w:hAnsiTheme="majorHAnsi" w:cstheme="majorHAnsi"/>
          <w:sz w:val="16"/>
          <w:szCs w:val="16"/>
          <w:lang w:val="es-PE"/>
        </w:rPr>
        <w:t xml:space="preserve"> </w:t>
      </w:r>
      <w:proofErr w:type="spellStart"/>
      <w:r>
        <w:rPr>
          <w:rFonts w:asciiTheme="majorHAnsi" w:hAnsiTheme="majorHAnsi" w:cstheme="majorHAnsi"/>
          <w:sz w:val="16"/>
          <w:szCs w:val="16"/>
          <w:lang w:val="es-PE"/>
        </w:rPr>
        <w:t>Ibi</w:t>
      </w:r>
      <w:r w:rsidRPr="00790EC3">
        <w:rPr>
          <w:rFonts w:asciiTheme="majorHAnsi" w:hAnsiTheme="majorHAnsi" w:cstheme="majorHAnsi"/>
          <w:sz w:val="16"/>
          <w:szCs w:val="16"/>
          <w:lang w:val="es-PE"/>
        </w:rPr>
        <w:t>d</w:t>
      </w:r>
      <w:proofErr w:type="spellEnd"/>
      <w:r>
        <w:rPr>
          <w:rFonts w:asciiTheme="majorHAnsi" w:hAnsiTheme="majorHAnsi" w:cstheme="majorHAnsi"/>
          <w:sz w:val="16"/>
          <w:szCs w:val="16"/>
          <w:lang w:val="es-PE"/>
        </w:rPr>
        <w:t>.</w:t>
      </w:r>
      <w:r w:rsidRPr="00790EC3">
        <w:rPr>
          <w:rFonts w:asciiTheme="majorHAnsi" w:hAnsiTheme="majorHAnsi" w:cstheme="majorHAnsi"/>
          <w:sz w:val="16"/>
          <w:szCs w:val="16"/>
          <w:lang w:val="es-P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CAF31" w14:textId="78D3B9CD" w:rsidR="00FE0144" w:rsidRPr="00436700" w:rsidRDefault="00FE0144" w:rsidP="00457F3A">
    <w:pPr>
      <w:tabs>
        <w:tab w:val="left" w:pos="4040"/>
        <w:tab w:val="left" w:pos="4333"/>
        <w:tab w:val="center" w:pos="4680"/>
        <w:tab w:val="right" w:pos="9360"/>
      </w:tabs>
      <w:spacing w:after="0" w:line="240" w:lineRule="auto"/>
      <w:rPr>
        <w:rFonts w:eastAsia="Calibri"/>
        <w:lang w:val="en-US"/>
      </w:rPr>
    </w:pPr>
    <w:r w:rsidRPr="005621BA">
      <w:rPr>
        <w:rFonts w:eastAsia="Calibri"/>
        <w:noProof/>
        <w:lang w:eastAsia="es-US"/>
      </w:rPr>
      <w:drawing>
        <wp:inline distT="0" distB="0" distL="0" distR="0" wp14:anchorId="0CD3338D" wp14:editId="01662E5A">
          <wp:extent cx="5732060" cy="559558"/>
          <wp:effectExtent l="0" t="0" r="2540" b="0"/>
          <wp:docPr id="16" name="Picture 15">
            <a:extLst xmlns:a="http://schemas.openxmlformats.org/drawingml/2006/main">
              <a:ext uri="{FF2B5EF4-FFF2-40B4-BE49-F238E27FC236}">
                <a16:creationId xmlns:a16="http://schemas.microsoft.com/office/drawing/2014/main" id="{828FA546-A045-47C4-8005-EF0ABE45B1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828FA546-A045-47C4-8005-EF0ABE45B1A4}"/>
                      </a:ext>
                    </a:extLst>
                  </pic:cNvPr>
                  <pic:cNvPicPr>
                    <a:picLocks noChangeAspect="1"/>
                  </pic:cNvPicPr>
                </pic:nvPicPr>
                <pic:blipFill rotWithShape="1">
                  <a:blip r:embed="rId1"/>
                  <a:srcRect b="14924"/>
                  <a:stretch/>
                </pic:blipFill>
                <pic:spPr bwMode="auto">
                  <a:xfrm>
                    <a:off x="0" y="0"/>
                    <a:ext cx="5731510" cy="559504"/>
                  </a:xfrm>
                  <a:prstGeom prst="rect">
                    <a:avLst/>
                  </a:prstGeom>
                  <a:ln>
                    <a:noFill/>
                  </a:ln>
                  <a:extLst>
                    <a:ext uri="{53640926-AAD7-44D8-BBD7-CCE9431645EC}">
                      <a14:shadowObscured xmlns:a14="http://schemas.microsoft.com/office/drawing/2010/main"/>
                    </a:ext>
                  </a:extLst>
                </pic:spPr>
              </pic:pic>
            </a:graphicData>
          </a:graphic>
        </wp:inline>
      </w:drawing>
    </w:r>
  </w:p>
  <w:p w14:paraId="2309C398" w14:textId="77777777" w:rsidR="00FE0144" w:rsidRPr="00436700" w:rsidRDefault="00FE0144" w:rsidP="00457F3A">
    <w:pPr>
      <w:pBdr>
        <w:bottom w:val="single" w:sz="6" w:space="1" w:color="auto"/>
      </w:pBdr>
      <w:tabs>
        <w:tab w:val="center" w:pos="4680"/>
        <w:tab w:val="right" w:pos="9360"/>
      </w:tabs>
      <w:spacing w:after="0" w:line="240" w:lineRule="auto"/>
    </w:pPr>
  </w:p>
  <w:p w14:paraId="48A15B0F" w14:textId="51A90F02" w:rsidR="00FE0144" w:rsidRPr="00E24662" w:rsidRDefault="00FE0144" w:rsidP="00457F3A">
    <w:pPr>
      <w:tabs>
        <w:tab w:val="left" w:pos="4040"/>
        <w:tab w:val="left" w:pos="4333"/>
        <w:tab w:val="center" w:pos="4680"/>
        <w:tab w:val="right" w:pos="9360"/>
      </w:tabs>
      <w:spacing w:after="0" w:line="240" w:lineRule="auto"/>
      <w:rPr>
        <w:rFonts w:eastAsia="Calibr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096"/>
    <w:multiLevelType w:val="hybridMultilevel"/>
    <w:tmpl w:val="97B21C8C"/>
    <w:lvl w:ilvl="0" w:tplc="04090017">
      <w:start w:val="1"/>
      <w:numFmt w:val="lowerLetter"/>
      <w:lvlText w:val="%1)"/>
      <w:lvlJc w:val="left"/>
      <w:pPr>
        <w:ind w:left="1440" w:hanging="360"/>
      </w:pPr>
    </w:lvl>
    <w:lvl w:ilvl="1" w:tplc="540A0019">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1" w15:restartNumberingAfterBreak="0">
    <w:nsid w:val="09C62745"/>
    <w:multiLevelType w:val="hybridMultilevel"/>
    <w:tmpl w:val="3BE4F874"/>
    <w:lvl w:ilvl="0" w:tplc="34529FA4">
      <w:start w:val="1"/>
      <w:numFmt w:val="decimal"/>
      <w:lvlText w:val="%1."/>
      <w:lvlJc w:val="left"/>
      <w:pPr>
        <w:ind w:left="720" w:hanging="360"/>
      </w:pPr>
      <w:rPr>
        <w:rFonts w:hint="default"/>
        <w:lang w:val="es-C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BE5DC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871FE"/>
    <w:multiLevelType w:val="hybridMultilevel"/>
    <w:tmpl w:val="B766641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AF94192"/>
    <w:multiLevelType w:val="hybridMultilevel"/>
    <w:tmpl w:val="968AA6C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A26CF"/>
    <w:multiLevelType w:val="hybridMultilevel"/>
    <w:tmpl w:val="87AC74C4"/>
    <w:lvl w:ilvl="0" w:tplc="0D249076">
      <w:start w:val="1"/>
      <w:numFmt w:val="decimal"/>
      <w:lvlText w:val="%1."/>
      <w:lvlJc w:val="center"/>
      <w:pPr>
        <w:ind w:left="720" w:hanging="360"/>
      </w:pPr>
      <w:rPr>
        <w:rFonts w:ascii="Cambria" w:hAnsi="Cambria" w:hint="default"/>
        <w:b w:val="0"/>
        <w:sz w:val="21"/>
        <w:szCs w:val="21"/>
      </w:rPr>
    </w:lvl>
    <w:lvl w:ilvl="1" w:tplc="FF669E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30594"/>
    <w:multiLevelType w:val="hybridMultilevel"/>
    <w:tmpl w:val="81FC1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6831DC"/>
    <w:multiLevelType w:val="hybridMultilevel"/>
    <w:tmpl w:val="C2E671F2"/>
    <w:lvl w:ilvl="0" w:tplc="E1BA5F44">
      <w:start w:val="1"/>
      <w:numFmt w:val="decimal"/>
      <w:lvlText w:val="%1."/>
      <w:lvlJc w:val="left"/>
      <w:pPr>
        <w:ind w:left="720" w:hanging="360"/>
      </w:pPr>
      <w:rPr>
        <w:rFonts w:ascii="Cambria" w:hAnsi="Cambria" w:hint="default"/>
        <w:b w:val="0"/>
        <w:sz w:val="22"/>
        <w:lang w:val="es-ES_tradn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BE5DC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F2C03"/>
    <w:multiLevelType w:val="hybridMultilevel"/>
    <w:tmpl w:val="D692497E"/>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70EC6913"/>
    <w:multiLevelType w:val="hybridMultilevel"/>
    <w:tmpl w:val="7EA63032"/>
    <w:lvl w:ilvl="0" w:tplc="5AFCF512">
      <w:start w:val="1"/>
      <w:numFmt w:val="upperRoman"/>
      <w:lvlText w:val="%1."/>
      <w:lvlJc w:val="right"/>
      <w:pPr>
        <w:ind w:left="720" w:hanging="360"/>
      </w:pPr>
      <w:rPr>
        <w:lang w:val="es-ES_tradn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3A4637"/>
    <w:multiLevelType w:val="hybridMultilevel"/>
    <w:tmpl w:val="87AC74C4"/>
    <w:lvl w:ilvl="0" w:tplc="0D249076">
      <w:start w:val="1"/>
      <w:numFmt w:val="decimal"/>
      <w:lvlText w:val="%1."/>
      <w:lvlJc w:val="center"/>
      <w:pPr>
        <w:ind w:left="720" w:hanging="360"/>
      </w:pPr>
      <w:rPr>
        <w:rFonts w:ascii="Cambria" w:hAnsi="Cambria" w:hint="default"/>
        <w:b w:val="0"/>
        <w:sz w:val="21"/>
        <w:szCs w:val="21"/>
      </w:rPr>
    </w:lvl>
    <w:lvl w:ilvl="1" w:tplc="FF669E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8"/>
  </w:num>
  <w:num w:numId="6">
    <w:abstractNumId w:val="0"/>
  </w:num>
  <w:num w:numId="7">
    <w:abstractNumId w:val="10"/>
  </w:num>
  <w:num w:numId="8">
    <w:abstractNumId w:val="9"/>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BB"/>
    <w:rsid w:val="00000510"/>
    <w:rsid w:val="00006643"/>
    <w:rsid w:val="00006AB4"/>
    <w:rsid w:val="00010403"/>
    <w:rsid w:val="000166DD"/>
    <w:rsid w:val="0002105D"/>
    <w:rsid w:val="000245D8"/>
    <w:rsid w:val="0004465C"/>
    <w:rsid w:val="000465A1"/>
    <w:rsid w:val="000522AE"/>
    <w:rsid w:val="000528A5"/>
    <w:rsid w:val="00052EB8"/>
    <w:rsid w:val="0005568C"/>
    <w:rsid w:val="000604EB"/>
    <w:rsid w:val="000656BE"/>
    <w:rsid w:val="00080DD4"/>
    <w:rsid w:val="00081820"/>
    <w:rsid w:val="0009111F"/>
    <w:rsid w:val="00091EAE"/>
    <w:rsid w:val="0009530E"/>
    <w:rsid w:val="000A4AB1"/>
    <w:rsid w:val="000A5814"/>
    <w:rsid w:val="000B0310"/>
    <w:rsid w:val="000B203A"/>
    <w:rsid w:val="000B3A74"/>
    <w:rsid w:val="000B6E8E"/>
    <w:rsid w:val="000D2C90"/>
    <w:rsid w:val="000F3B2E"/>
    <w:rsid w:val="001210B7"/>
    <w:rsid w:val="00123C69"/>
    <w:rsid w:val="00132FCC"/>
    <w:rsid w:val="00135EBB"/>
    <w:rsid w:val="001371F9"/>
    <w:rsid w:val="00142C07"/>
    <w:rsid w:val="00150327"/>
    <w:rsid w:val="00164ABE"/>
    <w:rsid w:val="00171503"/>
    <w:rsid w:val="00180309"/>
    <w:rsid w:val="00184B98"/>
    <w:rsid w:val="001852BF"/>
    <w:rsid w:val="0018720A"/>
    <w:rsid w:val="00191A13"/>
    <w:rsid w:val="001945B1"/>
    <w:rsid w:val="00195677"/>
    <w:rsid w:val="001A0F9E"/>
    <w:rsid w:val="001A40D7"/>
    <w:rsid w:val="001A5FC7"/>
    <w:rsid w:val="001B0F30"/>
    <w:rsid w:val="001B1532"/>
    <w:rsid w:val="001B3065"/>
    <w:rsid w:val="001B6819"/>
    <w:rsid w:val="001C0440"/>
    <w:rsid w:val="001C317C"/>
    <w:rsid w:val="001C52C8"/>
    <w:rsid w:val="001C5D94"/>
    <w:rsid w:val="001E21AA"/>
    <w:rsid w:val="001E593D"/>
    <w:rsid w:val="00201235"/>
    <w:rsid w:val="00203925"/>
    <w:rsid w:val="0021367E"/>
    <w:rsid w:val="00215F79"/>
    <w:rsid w:val="00227591"/>
    <w:rsid w:val="00230928"/>
    <w:rsid w:val="00235FDB"/>
    <w:rsid w:val="00240087"/>
    <w:rsid w:val="00245B85"/>
    <w:rsid w:val="00261F6D"/>
    <w:rsid w:val="00262632"/>
    <w:rsid w:val="00263803"/>
    <w:rsid w:val="002640CF"/>
    <w:rsid w:val="002733E4"/>
    <w:rsid w:val="00283B4A"/>
    <w:rsid w:val="0029188B"/>
    <w:rsid w:val="002935EC"/>
    <w:rsid w:val="002A06C6"/>
    <w:rsid w:val="002B150D"/>
    <w:rsid w:val="002C02DA"/>
    <w:rsid w:val="002C242A"/>
    <w:rsid w:val="002C440F"/>
    <w:rsid w:val="002C6DCB"/>
    <w:rsid w:val="002D777F"/>
    <w:rsid w:val="002E24D1"/>
    <w:rsid w:val="002F0E56"/>
    <w:rsid w:val="00302DF0"/>
    <w:rsid w:val="003102F2"/>
    <w:rsid w:val="0032069F"/>
    <w:rsid w:val="00323C05"/>
    <w:rsid w:val="00327749"/>
    <w:rsid w:val="00341C66"/>
    <w:rsid w:val="0034262E"/>
    <w:rsid w:val="00350AB8"/>
    <w:rsid w:val="0035388A"/>
    <w:rsid w:val="00357636"/>
    <w:rsid w:val="0036205E"/>
    <w:rsid w:val="00363B10"/>
    <w:rsid w:val="0036631B"/>
    <w:rsid w:val="00370123"/>
    <w:rsid w:val="00371ACA"/>
    <w:rsid w:val="00377369"/>
    <w:rsid w:val="00377CE9"/>
    <w:rsid w:val="00381D23"/>
    <w:rsid w:val="00384383"/>
    <w:rsid w:val="003922B4"/>
    <w:rsid w:val="00392F77"/>
    <w:rsid w:val="003A57C2"/>
    <w:rsid w:val="003B10E7"/>
    <w:rsid w:val="003B6DDA"/>
    <w:rsid w:val="003C387E"/>
    <w:rsid w:val="003D1240"/>
    <w:rsid w:val="003D2D83"/>
    <w:rsid w:val="003E2F7D"/>
    <w:rsid w:val="003E7854"/>
    <w:rsid w:val="003F1087"/>
    <w:rsid w:val="003F267F"/>
    <w:rsid w:val="003F2B68"/>
    <w:rsid w:val="003F2F9A"/>
    <w:rsid w:val="003F52F2"/>
    <w:rsid w:val="003F793D"/>
    <w:rsid w:val="00400A96"/>
    <w:rsid w:val="004022A2"/>
    <w:rsid w:val="00404398"/>
    <w:rsid w:val="00405AB6"/>
    <w:rsid w:val="00416001"/>
    <w:rsid w:val="004166FF"/>
    <w:rsid w:val="00420FFB"/>
    <w:rsid w:val="004212DF"/>
    <w:rsid w:val="00434D18"/>
    <w:rsid w:val="00440572"/>
    <w:rsid w:val="00445639"/>
    <w:rsid w:val="0045406C"/>
    <w:rsid w:val="004550BA"/>
    <w:rsid w:val="00457F3A"/>
    <w:rsid w:val="004727CD"/>
    <w:rsid w:val="00472D97"/>
    <w:rsid w:val="0048752A"/>
    <w:rsid w:val="004952F5"/>
    <w:rsid w:val="004A11A5"/>
    <w:rsid w:val="004A2DEA"/>
    <w:rsid w:val="004A6891"/>
    <w:rsid w:val="004B716F"/>
    <w:rsid w:val="004C01EE"/>
    <w:rsid w:val="004C04C1"/>
    <w:rsid w:val="004D00A0"/>
    <w:rsid w:val="004D0CF6"/>
    <w:rsid w:val="004D40BB"/>
    <w:rsid w:val="004E1ABB"/>
    <w:rsid w:val="004E66F1"/>
    <w:rsid w:val="004F7880"/>
    <w:rsid w:val="00502DDD"/>
    <w:rsid w:val="00504CB4"/>
    <w:rsid w:val="00505CCC"/>
    <w:rsid w:val="00511EAE"/>
    <w:rsid w:val="005137BC"/>
    <w:rsid w:val="00520AA2"/>
    <w:rsid w:val="005238EF"/>
    <w:rsid w:val="00527571"/>
    <w:rsid w:val="00542EBF"/>
    <w:rsid w:val="00556E66"/>
    <w:rsid w:val="005621BA"/>
    <w:rsid w:val="00571C9A"/>
    <w:rsid w:val="005762B7"/>
    <w:rsid w:val="00577FAF"/>
    <w:rsid w:val="005827C2"/>
    <w:rsid w:val="005840AE"/>
    <w:rsid w:val="0058432A"/>
    <w:rsid w:val="00584374"/>
    <w:rsid w:val="00585D31"/>
    <w:rsid w:val="005A18D6"/>
    <w:rsid w:val="005A2513"/>
    <w:rsid w:val="005B3DE0"/>
    <w:rsid w:val="005C6D7A"/>
    <w:rsid w:val="005D3A68"/>
    <w:rsid w:val="005E19EF"/>
    <w:rsid w:val="005E33DC"/>
    <w:rsid w:val="005F143F"/>
    <w:rsid w:val="0061754F"/>
    <w:rsid w:val="00621CDE"/>
    <w:rsid w:val="0062481F"/>
    <w:rsid w:val="00627979"/>
    <w:rsid w:val="00633677"/>
    <w:rsid w:val="00633C3B"/>
    <w:rsid w:val="006349E5"/>
    <w:rsid w:val="00636B67"/>
    <w:rsid w:val="00641976"/>
    <w:rsid w:val="00641C16"/>
    <w:rsid w:val="006420AD"/>
    <w:rsid w:val="00646B82"/>
    <w:rsid w:val="006574B3"/>
    <w:rsid w:val="006646C0"/>
    <w:rsid w:val="00683016"/>
    <w:rsid w:val="006B3380"/>
    <w:rsid w:val="006B4CCE"/>
    <w:rsid w:val="006D125D"/>
    <w:rsid w:val="006D581D"/>
    <w:rsid w:val="006D7676"/>
    <w:rsid w:val="007003D0"/>
    <w:rsid w:val="00711B73"/>
    <w:rsid w:val="00717ACB"/>
    <w:rsid w:val="00720B4C"/>
    <w:rsid w:val="00724D9F"/>
    <w:rsid w:val="007343BD"/>
    <w:rsid w:val="00737058"/>
    <w:rsid w:val="00741FC9"/>
    <w:rsid w:val="00742358"/>
    <w:rsid w:val="00742C6D"/>
    <w:rsid w:val="00744D05"/>
    <w:rsid w:val="00754356"/>
    <w:rsid w:val="007610E5"/>
    <w:rsid w:val="007742E8"/>
    <w:rsid w:val="007743BD"/>
    <w:rsid w:val="00775044"/>
    <w:rsid w:val="00776240"/>
    <w:rsid w:val="00777B1B"/>
    <w:rsid w:val="0078603D"/>
    <w:rsid w:val="00787D39"/>
    <w:rsid w:val="00790EC3"/>
    <w:rsid w:val="007939BB"/>
    <w:rsid w:val="007A61F9"/>
    <w:rsid w:val="007B507A"/>
    <w:rsid w:val="007B6041"/>
    <w:rsid w:val="007D7051"/>
    <w:rsid w:val="007D794D"/>
    <w:rsid w:val="007F3C90"/>
    <w:rsid w:val="007F45FC"/>
    <w:rsid w:val="007F5117"/>
    <w:rsid w:val="007F61D7"/>
    <w:rsid w:val="00800654"/>
    <w:rsid w:val="00806E9F"/>
    <w:rsid w:val="0080744B"/>
    <w:rsid w:val="00810E22"/>
    <w:rsid w:val="00817A4A"/>
    <w:rsid w:val="0082209E"/>
    <w:rsid w:val="008321B7"/>
    <w:rsid w:val="00832B97"/>
    <w:rsid w:val="00835DFD"/>
    <w:rsid w:val="008371B0"/>
    <w:rsid w:val="00840869"/>
    <w:rsid w:val="00842183"/>
    <w:rsid w:val="00842257"/>
    <w:rsid w:val="00843C55"/>
    <w:rsid w:val="0085334E"/>
    <w:rsid w:val="00855E17"/>
    <w:rsid w:val="00857B7A"/>
    <w:rsid w:val="00873359"/>
    <w:rsid w:val="008751F4"/>
    <w:rsid w:val="0088319B"/>
    <w:rsid w:val="00883756"/>
    <w:rsid w:val="00891329"/>
    <w:rsid w:val="0089744E"/>
    <w:rsid w:val="008A26D4"/>
    <w:rsid w:val="008A3F31"/>
    <w:rsid w:val="008A3F43"/>
    <w:rsid w:val="008A42B3"/>
    <w:rsid w:val="008B1366"/>
    <w:rsid w:val="008B7F99"/>
    <w:rsid w:val="008C22F4"/>
    <w:rsid w:val="008C2767"/>
    <w:rsid w:val="008C515F"/>
    <w:rsid w:val="008D2BFD"/>
    <w:rsid w:val="008D34C5"/>
    <w:rsid w:val="008D5953"/>
    <w:rsid w:val="008E0360"/>
    <w:rsid w:val="008E475E"/>
    <w:rsid w:val="008F3387"/>
    <w:rsid w:val="008F560E"/>
    <w:rsid w:val="008F6DEC"/>
    <w:rsid w:val="00900C59"/>
    <w:rsid w:val="009017D3"/>
    <w:rsid w:val="009050EC"/>
    <w:rsid w:val="00907266"/>
    <w:rsid w:val="00907898"/>
    <w:rsid w:val="00907C81"/>
    <w:rsid w:val="00910B56"/>
    <w:rsid w:val="00911E0B"/>
    <w:rsid w:val="00926B82"/>
    <w:rsid w:val="00930C02"/>
    <w:rsid w:val="00936669"/>
    <w:rsid w:val="00936DBC"/>
    <w:rsid w:val="0094432A"/>
    <w:rsid w:val="00944D0A"/>
    <w:rsid w:val="00945DA5"/>
    <w:rsid w:val="0094628E"/>
    <w:rsid w:val="00950E95"/>
    <w:rsid w:val="00954EBB"/>
    <w:rsid w:val="0096262C"/>
    <w:rsid w:val="009632B4"/>
    <w:rsid w:val="009664F2"/>
    <w:rsid w:val="00971855"/>
    <w:rsid w:val="00995948"/>
    <w:rsid w:val="009B5172"/>
    <w:rsid w:val="009D177A"/>
    <w:rsid w:val="009D3285"/>
    <w:rsid w:val="009E6D75"/>
    <w:rsid w:val="009F4204"/>
    <w:rsid w:val="00A01EEF"/>
    <w:rsid w:val="00A04BA5"/>
    <w:rsid w:val="00A06FBE"/>
    <w:rsid w:val="00A12C94"/>
    <w:rsid w:val="00A1353B"/>
    <w:rsid w:val="00A16277"/>
    <w:rsid w:val="00A23D5D"/>
    <w:rsid w:val="00A4033F"/>
    <w:rsid w:val="00A40DBD"/>
    <w:rsid w:val="00A4167F"/>
    <w:rsid w:val="00A44046"/>
    <w:rsid w:val="00A46D70"/>
    <w:rsid w:val="00A52468"/>
    <w:rsid w:val="00A5404F"/>
    <w:rsid w:val="00A61783"/>
    <w:rsid w:val="00A623CE"/>
    <w:rsid w:val="00A65001"/>
    <w:rsid w:val="00A81C98"/>
    <w:rsid w:val="00A8790B"/>
    <w:rsid w:val="00A87C46"/>
    <w:rsid w:val="00A922DD"/>
    <w:rsid w:val="00A9623D"/>
    <w:rsid w:val="00A96F63"/>
    <w:rsid w:val="00AA6E64"/>
    <w:rsid w:val="00AB1B35"/>
    <w:rsid w:val="00AB3937"/>
    <w:rsid w:val="00AC1B18"/>
    <w:rsid w:val="00AC2A3B"/>
    <w:rsid w:val="00AC308E"/>
    <w:rsid w:val="00AD0E77"/>
    <w:rsid w:val="00AD679C"/>
    <w:rsid w:val="00AE0201"/>
    <w:rsid w:val="00AE3EDA"/>
    <w:rsid w:val="00B11643"/>
    <w:rsid w:val="00B117BB"/>
    <w:rsid w:val="00B17772"/>
    <w:rsid w:val="00B20660"/>
    <w:rsid w:val="00B2118E"/>
    <w:rsid w:val="00B31D82"/>
    <w:rsid w:val="00B43BDF"/>
    <w:rsid w:val="00B45392"/>
    <w:rsid w:val="00B52F7E"/>
    <w:rsid w:val="00B61454"/>
    <w:rsid w:val="00B7156E"/>
    <w:rsid w:val="00B724D8"/>
    <w:rsid w:val="00B74423"/>
    <w:rsid w:val="00B74DAA"/>
    <w:rsid w:val="00B75516"/>
    <w:rsid w:val="00B776F9"/>
    <w:rsid w:val="00B84F8E"/>
    <w:rsid w:val="00B948CB"/>
    <w:rsid w:val="00B95F91"/>
    <w:rsid w:val="00B9703B"/>
    <w:rsid w:val="00B97AF9"/>
    <w:rsid w:val="00BA337B"/>
    <w:rsid w:val="00BA43C0"/>
    <w:rsid w:val="00BB71A4"/>
    <w:rsid w:val="00BD239A"/>
    <w:rsid w:val="00BD262F"/>
    <w:rsid w:val="00BF0532"/>
    <w:rsid w:val="00C00A05"/>
    <w:rsid w:val="00C0696B"/>
    <w:rsid w:val="00C1261E"/>
    <w:rsid w:val="00C1308E"/>
    <w:rsid w:val="00C14D08"/>
    <w:rsid w:val="00C16F0D"/>
    <w:rsid w:val="00C20659"/>
    <w:rsid w:val="00C2741A"/>
    <w:rsid w:val="00C322C1"/>
    <w:rsid w:val="00C3444A"/>
    <w:rsid w:val="00C3786B"/>
    <w:rsid w:val="00C432BC"/>
    <w:rsid w:val="00C55DD1"/>
    <w:rsid w:val="00C617D7"/>
    <w:rsid w:val="00C6180A"/>
    <w:rsid w:val="00C621CD"/>
    <w:rsid w:val="00C64893"/>
    <w:rsid w:val="00C676A2"/>
    <w:rsid w:val="00C67EB7"/>
    <w:rsid w:val="00C71E76"/>
    <w:rsid w:val="00C80475"/>
    <w:rsid w:val="00C82483"/>
    <w:rsid w:val="00C85129"/>
    <w:rsid w:val="00C92C73"/>
    <w:rsid w:val="00C96FC2"/>
    <w:rsid w:val="00CA6DB0"/>
    <w:rsid w:val="00CB730A"/>
    <w:rsid w:val="00CC2594"/>
    <w:rsid w:val="00CC4A23"/>
    <w:rsid w:val="00CE75A1"/>
    <w:rsid w:val="00CE7CCC"/>
    <w:rsid w:val="00CF2C55"/>
    <w:rsid w:val="00CF5F63"/>
    <w:rsid w:val="00CF7208"/>
    <w:rsid w:val="00CF7329"/>
    <w:rsid w:val="00D01DD6"/>
    <w:rsid w:val="00D05840"/>
    <w:rsid w:val="00D0649F"/>
    <w:rsid w:val="00D11231"/>
    <w:rsid w:val="00D12066"/>
    <w:rsid w:val="00D178DB"/>
    <w:rsid w:val="00D214AE"/>
    <w:rsid w:val="00D26A1D"/>
    <w:rsid w:val="00D33634"/>
    <w:rsid w:val="00D354C5"/>
    <w:rsid w:val="00D35B21"/>
    <w:rsid w:val="00D51D13"/>
    <w:rsid w:val="00D56A3B"/>
    <w:rsid w:val="00D6198F"/>
    <w:rsid w:val="00D62152"/>
    <w:rsid w:val="00D63693"/>
    <w:rsid w:val="00D63C8F"/>
    <w:rsid w:val="00D67546"/>
    <w:rsid w:val="00D7385C"/>
    <w:rsid w:val="00D75223"/>
    <w:rsid w:val="00D7603A"/>
    <w:rsid w:val="00D761E3"/>
    <w:rsid w:val="00D80977"/>
    <w:rsid w:val="00D819D9"/>
    <w:rsid w:val="00D8331F"/>
    <w:rsid w:val="00D936DA"/>
    <w:rsid w:val="00D94D3E"/>
    <w:rsid w:val="00DA183F"/>
    <w:rsid w:val="00DB487D"/>
    <w:rsid w:val="00DB750E"/>
    <w:rsid w:val="00DC543B"/>
    <w:rsid w:val="00DE21BA"/>
    <w:rsid w:val="00DE21E7"/>
    <w:rsid w:val="00DE72A7"/>
    <w:rsid w:val="00DE7E30"/>
    <w:rsid w:val="00DF0ACA"/>
    <w:rsid w:val="00DF3EDD"/>
    <w:rsid w:val="00E00D75"/>
    <w:rsid w:val="00E061BB"/>
    <w:rsid w:val="00E06675"/>
    <w:rsid w:val="00E07308"/>
    <w:rsid w:val="00E16422"/>
    <w:rsid w:val="00E26505"/>
    <w:rsid w:val="00E32525"/>
    <w:rsid w:val="00E335C4"/>
    <w:rsid w:val="00E37D45"/>
    <w:rsid w:val="00E41EC7"/>
    <w:rsid w:val="00E4437B"/>
    <w:rsid w:val="00E46578"/>
    <w:rsid w:val="00E4783C"/>
    <w:rsid w:val="00E54DCF"/>
    <w:rsid w:val="00E576E5"/>
    <w:rsid w:val="00E61E48"/>
    <w:rsid w:val="00E657DF"/>
    <w:rsid w:val="00E66670"/>
    <w:rsid w:val="00E85ECB"/>
    <w:rsid w:val="00E901F8"/>
    <w:rsid w:val="00E96CEA"/>
    <w:rsid w:val="00EA42FD"/>
    <w:rsid w:val="00EB2B90"/>
    <w:rsid w:val="00EB6E41"/>
    <w:rsid w:val="00EC6605"/>
    <w:rsid w:val="00EC7AF4"/>
    <w:rsid w:val="00ED0816"/>
    <w:rsid w:val="00ED77CF"/>
    <w:rsid w:val="00EE23A5"/>
    <w:rsid w:val="00EE537B"/>
    <w:rsid w:val="00EE65DC"/>
    <w:rsid w:val="00EE65FF"/>
    <w:rsid w:val="00EF0173"/>
    <w:rsid w:val="00EF1BEC"/>
    <w:rsid w:val="00EF222B"/>
    <w:rsid w:val="00EF61F4"/>
    <w:rsid w:val="00EF7058"/>
    <w:rsid w:val="00F047FA"/>
    <w:rsid w:val="00F21616"/>
    <w:rsid w:val="00F22BA6"/>
    <w:rsid w:val="00F24503"/>
    <w:rsid w:val="00F309D9"/>
    <w:rsid w:val="00F3664C"/>
    <w:rsid w:val="00F52F38"/>
    <w:rsid w:val="00F748B2"/>
    <w:rsid w:val="00F77A29"/>
    <w:rsid w:val="00F84F42"/>
    <w:rsid w:val="00F923A5"/>
    <w:rsid w:val="00F95D20"/>
    <w:rsid w:val="00FA01EE"/>
    <w:rsid w:val="00FA04C9"/>
    <w:rsid w:val="00FA7DFE"/>
    <w:rsid w:val="00FB1189"/>
    <w:rsid w:val="00FB54D9"/>
    <w:rsid w:val="00FB7AD7"/>
    <w:rsid w:val="00FD368E"/>
    <w:rsid w:val="00FD4258"/>
    <w:rsid w:val="00FD690B"/>
    <w:rsid w:val="00FE0144"/>
    <w:rsid w:val="00FE3263"/>
    <w:rsid w:val="00FE386F"/>
    <w:rsid w:val="00FF0E86"/>
    <w:rsid w:val="00FF4716"/>
    <w:rsid w:val="00FF52A6"/>
    <w:rsid w:val="00FF5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C3941"/>
  <w15:docId w15:val="{D0EAFDAC-10B7-49B3-8499-ED89D646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nhideWhenUsed/>
    <w:rsid w:val="00B117BB"/>
    <w:pPr>
      <w:spacing w:after="0" w:line="240" w:lineRule="auto"/>
    </w:pPr>
    <w:rPr>
      <w:sz w:val="20"/>
      <w:szCs w:val="20"/>
    </w:rPr>
  </w:style>
  <w:style w:type="character" w:customStyle="1" w:styleId="FootnoteTextChar">
    <w:name w:val="Footnote Text Char"/>
    <w:basedOn w:val="DefaultParagraphFont"/>
    <w:link w:val="FootnoteText1"/>
    <w:rsid w:val="00B117BB"/>
    <w:rPr>
      <w:sz w:val="20"/>
      <w:szCs w:val="20"/>
      <w:lang w:val="es-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B117BB"/>
    <w:rPr>
      <w:vertAlign w:val="superscript"/>
    </w:rPr>
  </w:style>
  <w:style w:type="paragraph" w:styleId="Footer">
    <w:name w:val="footer"/>
    <w:basedOn w:val="Normal"/>
    <w:link w:val="FooterChar"/>
    <w:uiPriority w:val="99"/>
    <w:unhideWhenUsed/>
    <w:rsid w:val="00B117BB"/>
    <w:pPr>
      <w:tabs>
        <w:tab w:val="center" w:pos="4680"/>
        <w:tab w:val="right" w:pos="9360"/>
      </w:tabs>
      <w:spacing w:after="0" w:line="240" w:lineRule="auto"/>
    </w:pPr>
    <w:rPr>
      <w:rFonts w:ascii="Calibri" w:eastAsia="Batang" w:hAnsi="Calibri" w:cs="Times New Roman"/>
      <w:lang w:val="es-ES"/>
    </w:rPr>
  </w:style>
  <w:style w:type="character" w:customStyle="1" w:styleId="FooterChar">
    <w:name w:val="Footer Char"/>
    <w:basedOn w:val="DefaultParagraphFont"/>
    <w:link w:val="Footer"/>
    <w:uiPriority w:val="99"/>
    <w:rsid w:val="00B117BB"/>
    <w:rPr>
      <w:rFonts w:ascii="Calibri" w:eastAsia="Batang" w:hAnsi="Calibri" w:cs="Times New Roman"/>
      <w:lang w:val="es-ES"/>
    </w:rPr>
  </w:style>
  <w:style w:type="paragraph" w:customStyle="1" w:styleId="Appelnotedebasde">
    <w:name w:val="Appel note de bas de..."/>
    <w:basedOn w:val="Normal"/>
    <w:link w:val="FootnoteReference"/>
    <w:rsid w:val="00B117BB"/>
    <w:pPr>
      <w:spacing w:line="240" w:lineRule="exact"/>
    </w:pPr>
    <w:rPr>
      <w:vertAlign w:val="superscript"/>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1"/>
    <w:unhideWhenUsed/>
    <w:qFormat/>
    <w:rsid w:val="00B117BB"/>
    <w:pPr>
      <w:spacing w:after="0" w:line="240" w:lineRule="auto"/>
    </w:pPr>
    <w:rPr>
      <w:sz w:val="20"/>
      <w:szCs w:val="20"/>
    </w:rPr>
  </w:style>
  <w:style w:type="character" w:customStyle="1" w:styleId="FootnoteTextChar1">
    <w:name w:val="Footnote Text Char1"/>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B117BB"/>
    <w:rPr>
      <w:sz w:val="20"/>
      <w:szCs w:val="20"/>
    </w:rPr>
  </w:style>
  <w:style w:type="paragraph" w:styleId="ListParagraph">
    <w:name w:val="List Paragraph"/>
    <w:basedOn w:val="Normal"/>
    <w:uiPriority w:val="34"/>
    <w:qFormat/>
    <w:rsid w:val="00D936DA"/>
    <w:pPr>
      <w:ind w:left="720"/>
      <w:contextualSpacing/>
    </w:pPr>
  </w:style>
  <w:style w:type="character" w:styleId="CommentReference">
    <w:name w:val="annotation reference"/>
    <w:basedOn w:val="DefaultParagraphFont"/>
    <w:uiPriority w:val="99"/>
    <w:semiHidden/>
    <w:unhideWhenUsed/>
    <w:rsid w:val="00724D9F"/>
    <w:rPr>
      <w:sz w:val="16"/>
      <w:szCs w:val="16"/>
    </w:rPr>
  </w:style>
  <w:style w:type="paragraph" w:styleId="CommentText">
    <w:name w:val="annotation text"/>
    <w:basedOn w:val="Normal"/>
    <w:link w:val="CommentTextChar"/>
    <w:uiPriority w:val="99"/>
    <w:semiHidden/>
    <w:unhideWhenUsed/>
    <w:rsid w:val="00724D9F"/>
    <w:pPr>
      <w:spacing w:line="240" w:lineRule="auto"/>
    </w:pPr>
    <w:rPr>
      <w:sz w:val="20"/>
      <w:szCs w:val="20"/>
    </w:rPr>
  </w:style>
  <w:style w:type="character" w:customStyle="1" w:styleId="CommentTextChar">
    <w:name w:val="Comment Text Char"/>
    <w:basedOn w:val="DefaultParagraphFont"/>
    <w:link w:val="CommentText"/>
    <w:uiPriority w:val="99"/>
    <w:semiHidden/>
    <w:rsid w:val="00724D9F"/>
    <w:rPr>
      <w:sz w:val="20"/>
      <w:szCs w:val="20"/>
    </w:rPr>
  </w:style>
  <w:style w:type="paragraph" w:styleId="CommentSubject">
    <w:name w:val="annotation subject"/>
    <w:basedOn w:val="CommentText"/>
    <w:next w:val="CommentText"/>
    <w:link w:val="CommentSubjectChar"/>
    <w:uiPriority w:val="99"/>
    <w:semiHidden/>
    <w:unhideWhenUsed/>
    <w:rsid w:val="00724D9F"/>
    <w:rPr>
      <w:b/>
      <w:bCs/>
    </w:rPr>
  </w:style>
  <w:style w:type="character" w:customStyle="1" w:styleId="CommentSubjectChar">
    <w:name w:val="Comment Subject Char"/>
    <w:basedOn w:val="CommentTextChar"/>
    <w:link w:val="CommentSubject"/>
    <w:uiPriority w:val="99"/>
    <w:semiHidden/>
    <w:rsid w:val="00724D9F"/>
    <w:rPr>
      <w:b/>
      <w:bCs/>
      <w:sz w:val="20"/>
      <w:szCs w:val="20"/>
    </w:rPr>
  </w:style>
  <w:style w:type="paragraph" w:styleId="BalloonText">
    <w:name w:val="Balloon Text"/>
    <w:basedOn w:val="Normal"/>
    <w:link w:val="BalloonTextChar"/>
    <w:uiPriority w:val="99"/>
    <w:semiHidden/>
    <w:unhideWhenUsed/>
    <w:rsid w:val="00724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D9F"/>
    <w:rPr>
      <w:rFonts w:ascii="Segoe UI" w:hAnsi="Segoe UI" w:cs="Segoe UI"/>
      <w:sz w:val="18"/>
      <w:szCs w:val="18"/>
    </w:rPr>
  </w:style>
  <w:style w:type="paragraph" w:styleId="Revision">
    <w:name w:val="Revision"/>
    <w:hidden/>
    <w:uiPriority w:val="99"/>
    <w:semiHidden/>
    <w:rsid w:val="00BD239A"/>
    <w:pPr>
      <w:spacing w:after="0" w:line="240" w:lineRule="auto"/>
    </w:pPr>
  </w:style>
  <w:style w:type="character" w:styleId="Hyperlink">
    <w:name w:val="Hyperlink"/>
    <w:basedOn w:val="DefaultParagraphFont"/>
    <w:uiPriority w:val="99"/>
    <w:unhideWhenUsed/>
    <w:rsid w:val="001C52C8"/>
    <w:rPr>
      <w:color w:val="0563C1" w:themeColor="hyperlink"/>
      <w:u w:val="single"/>
    </w:rPr>
  </w:style>
  <w:style w:type="paragraph" w:styleId="NoSpacing">
    <w:name w:val="No Spacing"/>
    <w:uiPriority w:val="1"/>
    <w:qFormat/>
    <w:rsid w:val="00472D97"/>
    <w:pPr>
      <w:spacing w:after="0" w:line="240" w:lineRule="auto"/>
    </w:pPr>
    <w:rPr>
      <w:rFonts w:ascii="Calibri" w:eastAsia="MS Mincho" w:hAnsi="Calibri" w:cs="Arial"/>
      <w:lang w:val="en-US" w:eastAsia="ja-JP"/>
    </w:rPr>
  </w:style>
  <w:style w:type="paragraph" w:styleId="Header">
    <w:name w:val="header"/>
    <w:basedOn w:val="Normal"/>
    <w:link w:val="HeaderChar"/>
    <w:uiPriority w:val="99"/>
    <w:unhideWhenUsed/>
    <w:rsid w:val="00562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orteidh.or.cr/docs/casos/articulos/seriec_355_esp.pdf" TargetMode="External"/><Relationship Id="rId3" Type="http://schemas.openxmlformats.org/officeDocument/2006/relationships/hyperlink" Target="http://www.oas.org/es/cidh/decisiones/pdf/2018/24-18MC81-18-PE.pdf" TargetMode="External"/><Relationship Id="rId7" Type="http://schemas.openxmlformats.org/officeDocument/2006/relationships/hyperlink" Target="http://www.corteidh.or.cr/docs/casos/articulos/seriec_186_esp.pdf" TargetMode="External"/><Relationship Id="rId2" Type="http://schemas.openxmlformats.org/officeDocument/2006/relationships/hyperlink" Target="http://www.oas.org/es/cidh/decisiones/pdf/2018/25-18MC209-18-CO-210-18-EC.pdf" TargetMode="External"/><Relationship Id="rId1" Type="http://schemas.openxmlformats.org/officeDocument/2006/relationships/hyperlink" Target="https://www.oas.org/juridico/spanish/tratados/a-60.html" TargetMode="External"/><Relationship Id="rId6" Type="http://schemas.openxmlformats.org/officeDocument/2006/relationships/hyperlink" Target="http://www.oas.org/es/cidh/decisiones/pdf/2016/MC29-16-Es.pdf" TargetMode="External"/><Relationship Id="rId11" Type="http://schemas.openxmlformats.org/officeDocument/2006/relationships/hyperlink" Target="http://www.oas.org/es/cidh/decisiones/pdf/2017/32-17MC564-17-AR.pdf" TargetMode="External"/><Relationship Id="rId5" Type="http://schemas.openxmlformats.org/officeDocument/2006/relationships/hyperlink" Target="http://www.oas.org/es/cidh/decisiones/pdf/MC301-13Resolucion%204-13esp.pdf" TargetMode="External"/><Relationship Id="rId10" Type="http://schemas.openxmlformats.org/officeDocument/2006/relationships/hyperlink" Target="http://www.oas.org/es/cidh/decisiones/pdf/2017/49-17MC782-17-GU.pdf" TargetMode="External"/><Relationship Id="rId4" Type="http://schemas.openxmlformats.org/officeDocument/2006/relationships/hyperlink" Target="http://www.oas.org/es/cidh/decisiones/pdf/2014/MC455-14-ES.pdf" TargetMode="External"/><Relationship Id="rId9" Type="http://schemas.openxmlformats.org/officeDocument/2006/relationships/hyperlink" Target="http://www.oas.org/es/cidh/decisiones/cautelares.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AB15B-6609-4276-833A-608DE9CB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2748</Words>
  <Characters>15120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Luisa</dc:creator>
  <cp:lastModifiedBy>Silva, Luisa</cp:lastModifiedBy>
  <cp:revision>3</cp:revision>
  <cp:lastPrinted>2019-06-05T20:43:00Z</cp:lastPrinted>
  <dcterms:created xsi:type="dcterms:W3CDTF">2020-02-06T22:50:00Z</dcterms:created>
  <dcterms:modified xsi:type="dcterms:W3CDTF">2020-02-06T22:51:00Z</dcterms:modified>
</cp:coreProperties>
</file>