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9E" w:rsidRDefault="00D71BEB" w:rsidP="008A069E">
      <w:pPr>
        <w:spacing w:after="0" w:line="240" w:lineRule="auto"/>
        <w:jc w:val="center"/>
        <w:rPr>
          <w:rFonts w:ascii="Cambria" w:eastAsia="Calibri" w:hAnsi="Cambria" w:cs="Times New Roman"/>
          <w:b/>
          <w:bCs/>
          <w:color w:val="000000"/>
          <w:sz w:val="21"/>
          <w:szCs w:val="21"/>
        </w:rPr>
      </w:pPr>
      <w:bookmarkStart w:id="0" w:name="_GoBack"/>
      <w:bookmarkEnd w:id="0"/>
      <w:r>
        <w:rPr>
          <w:rFonts w:ascii="Cambria" w:eastAsia="Calibri" w:hAnsi="Cambria" w:cs="Times New Roman"/>
          <w:b/>
          <w:bCs/>
          <w:color w:val="000000"/>
          <w:sz w:val="21"/>
          <w:szCs w:val="21"/>
        </w:rPr>
        <w:t xml:space="preserve"> </w:t>
      </w:r>
      <w:r w:rsidR="008A069E">
        <w:rPr>
          <w:rFonts w:ascii="Cambria" w:eastAsia="Calibri" w:hAnsi="Cambria" w:cs="Times New Roman"/>
          <w:b/>
          <w:bCs/>
          <w:color w:val="000000"/>
          <w:sz w:val="21"/>
          <w:szCs w:val="21"/>
        </w:rPr>
        <w:t xml:space="preserve">INTER-AMERICAN COMMISSION ON HUMAN RIGHTS </w:t>
      </w:r>
    </w:p>
    <w:p w:rsidR="008A069E" w:rsidRDefault="008A069E" w:rsidP="008A069E">
      <w:pPr>
        <w:spacing w:after="0" w:line="240" w:lineRule="auto"/>
        <w:jc w:val="center"/>
        <w:rPr>
          <w:rFonts w:ascii="Cambria" w:eastAsia="Calibri" w:hAnsi="Cambria" w:cs="Times New Roman"/>
          <w:b/>
          <w:bCs/>
          <w:color w:val="000000"/>
          <w:sz w:val="21"/>
          <w:szCs w:val="21"/>
        </w:rPr>
      </w:pPr>
      <w:r>
        <w:rPr>
          <w:rFonts w:ascii="Cambria" w:eastAsia="Calibri" w:hAnsi="Cambria" w:cs="Times New Roman"/>
          <w:b/>
          <w:bCs/>
          <w:color w:val="000000"/>
          <w:sz w:val="21"/>
          <w:szCs w:val="21"/>
        </w:rPr>
        <w:t xml:space="preserve">RESOLUTION </w:t>
      </w:r>
      <w:r w:rsidR="00816BFA">
        <w:rPr>
          <w:rFonts w:ascii="Cambria" w:eastAsia="Calibri" w:hAnsi="Cambria" w:cs="Times New Roman"/>
          <w:b/>
          <w:bCs/>
          <w:color w:val="000000"/>
          <w:sz w:val="21"/>
          <w:szCs w:val="21"/>
        </w:rPr>
        <w:t>21</w:t>
      </w:r>
      <w:r>
        <w:rPr>
          <w:rFonts w:ascii="Cambria" w:eastAsia="Calibri" w:hAnsi="Cambria" w:cs="Times New Roman"/>
          <w:b/>
          <w:bCs/>
          <w:color w:val="000000"/>
          <w:sz w:val="21"/>
          <w:szCs w:val="21"/>
        </w:rPr>
        <w:t>/2017</w:t>
      </w:r>
    </w:p>
    <w:p w:rsidR="008A069E" w:rsidRDefault="008A069E" w:rsidP="008A069E">
      <w:pPr>
        <w:rPr>
          <w:rFonts w:cstheme="minorHAnsi"/>
        </w:rPr>
      </w:pPr>
    </w:p>
    <w:p w:rsidR="008A069E" w:rsidRDefault="002302B4" w:rsidP="008A069E">
      <w:pPr>
        <w:spacing w:after="0" w:line="240" w:lineRule="auto"/>
        <w:jc w:val="center"/>
        <w:rPr>
          <w:rFonts w:ascii="Cambria" w:eastAsia="Calibri" w:hAnsi="Cambria" w:cs="Times New Roman"/>
          <w:color w:val="000000"/>
          <w:sz w:val="21"/>
          <w:szCs w:val="21"/>
        </w:rPr>
      </w:pPr>
      <w:r>
        <w:rPr>
          <w:rFonts w:ascii="Cambria" w:eastAsia="Calibri" w:hAnsi="Cambria" w:cs="Times New Roman"/>
          <w:color w:val="000000"/>
          <w:sz w:val="21"/>
          <w:szCs w:val="21"/>
        </w:rPr>
        <w:t>Precautionary measure</w:t>
      </w:r>
      <w:r w:rsidR="008A069E">
        <w:rPr>
          <w:rFonts w:ascii="Cambria" w:eastAsia="Calibri" w:hAnsi="Cambria" w:cs="Times New Roman"/>
          <w:color w:val="000000"/>
          <w:sz w:val="21"/>
          <w:szCs w:val="21"/>
        </w:rPr>
        <w:t xml:space="preserve"> N°250-17</w:t>
      </w:r>
    </w:p>
    <w:p w:rsidR="008A069E" w:rsidRDefault="008A069E" w:rsidP="008A069E">
      <w:pPr>
        <w:spacing w:after="0" w:line="240" w:lineRule="auto"/>
        <w:jc w:val="center"/>
        <w:rPr>
          <w:rFonts w:ascii="Cambria" w:eastAsia="Calibri" w:hAnsi="Cambria" w:cs="Times New Roman"/>
          <w:color w:val="000000"/>
          <w:sz w:val="21"/>
          <w:szCs w:val="21"/>
        </w:rPr>
      </w:pPr>
    </w:p>
    <w:p w:rsidR="008A069E" w:rsidRPr="00816BFA" w:rsidRDefault="008A069E" w:rsidP="008A069E">
      <w:pPr>
        <w:spacing w:after="0" w:line="240" w:lineRule="auto"/>
        <w:jc w:val="center"/>
        <w:rPr>
          <w:rFonts w:ascii="Cambria" w:eastAsia="Calibri" w:hAnsi="Cambria" w:cs="Times New Roman"/>
          <w:color w:val="000000"/>
          <w:sz w:val="26"/>
          <w:szCs w:val="26"/>
        </w:rPr>
      </w:pPr>
      <w:r w:rsidRPr="00816BFA">
        <w:rPr>
          <w:rFonts w:ascii="Cambria" w:eastAsia="Calibri" w:hAnsi="Cambria" w:cs="Times New Roman"/>
          <w:color w:val="000000"/>
          <w:sz w:val="26"/>
          <w:szCs w:val="26"/>
        </w:rPr>
        <w:t>Lezmond Mitchell regarding the United States of America</w:t>
      </w:r>
      <w:r w:rsidRPr="00816BFA">
        <w:rPr>
          <w:rStyle w:val="FootnoteReference"/>
          <w:rFonts w:ascii="Cambria" w:eastAsia="Calibri" w:hAnsi="Cambria" w:cs="Times New Roman"/>
          <w:color w:val="000000"/>
          <w:sz w:val="26"/>
          <w:szCs w:val="26"/>
        </w:rPr>
        <w:footnoteReference w:id="1"/>
      </w:r>
    </w:p>
    <w:p w:rsidR="008A069E" w:rsidRDefault="008A069E" w:rsidP="008A069E">
      <w:pPr>
        <w:spacing w:after="0" w:line="240" w:lineRule="auto"/>
        <w:jc w:val="center"/>
        <w:rPr>
          <w:rFonts w:ascii="Cambria" w:eastAsia="Calibri" w:hAnsi="Cambria" w:cs="Times New Roman"/>
          <w:color w:val="000000"/>
          <w:sz w:val="21"/>
          <w:szCs w:val="21"/>
        </w:rPr>
      </w:pPr>
      <w:r>
        <w:rPr>
          <w:rFonts w:ascii="Cambria" w:eastAsia="Calibri" w:hAnsi="Cambria" w:cs="Times New Roman"/>
          <w:color w:val="000000"/>
          <w:sz w:val="21"/>
          <w:szCs w:val="21"/>
        </w:rPr>
        <w:t>Ju</w:t>
      </w:r>
      <w:r w:rsidR="00783EFC">
        <w:rPr>
          <w:rFonts w:ascii="Cambria" w:eastAsia="Calibri" w:hAnsi="Cambria" w:cs="Times New Roman"/>
          <w:color w:val="000000"/>
          <w:sz w:val="21"/>
          <w:szCs w:val="21"/>
        </w:rPr>
        <w:t>ly</w:t>
      </w:r>
      <w:r>
        <w:rPr>
          <w:rFonts w:ascii="Cambria" w:eastAsia="Calibri" w:hAnsi="Cambria" w:cs="Times New Roman"/>
          <w:color w:val="000000"/>
          <w:sz w:val="21"/>
          <w:szCs w:val="21"/>
        </w:rPr>
        <w:t xml:space="preserve"> </w:t>
      </w:r>
      <w:r w:rsidR="00783EFC">
        <w:rPr>
          <w:rFonts w:ascii="Cambria" w:eastAsia="Calibri" w:hAnsi="Cambria" w:cs="Times New Roman"/>
          <w:color w:val="000000"/>
          <w:sz w:val="21"/>
          <w:szCs w:val="21"/>
        </w:rPr>
        <w:t>2</w:t>
      </w:r>
      <w:r>
        <w:rPr>
          <w:rFonts w:ascii="Cambria" w:eastAsia="Calibri" w:hAnsi="Cambria" w:cs="Times New Roman"/>
          <w:color w:val="000000"/>
          <w:sz w:val="21"/>
          <w:szCs w:val="21"/>
        </w:rPr>
        <w:t>, 2017</w:t>
      </w:r>
    </w:p>
    <w:p w:rsidR="008A069E" w:rsidRDefault="008A069E" w:rsidP="008A069E">
      <w:pPr>
        <w:spacing w:after="0" w:line="240" w:lineRule="auto"/>
        <w:jc w:val="center"/>
        <w:rPr>
          <w:rFonts w:ascii="Cambria" w:eastAsia="Calibri" w:hAnsi="Cambria" w:cs="Times New Roman"/>
          <w:color w:val="000000"/>
          <w:sz w:val="21"/>
          <w:szCs w:val="21"/>
        </w:rPr>
      </w:pPr>
    </w:p>
    <w:p w:rsidR="008A069E" w:rsidRDefault="008A069E" w:rsidP="008A069E">
      <w:pPr>
        <w:spacing w:after="0" w:line="240" w:lineRule="auto"/>
        <w:jc w:val="center"/>
        <w:rPr>
          <w:rFonts w:ascii="Cambria" w:eastAsia="Calibri" w:hAnsi="Cambria" w:cs="Times New Roman"/>
          <w:color w:val="000000"/>
          <w:sz w:val="21"/>
          <w:szCs w:val="21"/>
        </w:rPr>
      </w:pPr>
    </w:p>
    <w:p w:rsidR="008A069E" w:rsidRDefault="008A069E" w:rsidP="008A069E">
      <w:pPr>
        <w:pStyle w:val="ListParagraph"/>
        <w:numPr>
          <w:ilvl w:val="0"/>
          <w:numId w:val="1"/>
        </w:numPr>
        <w:spacing w:after="0" w:line="240" w:lineRule="auto"/>
        <w:rPr>
          <w:rFonts w:ascii="Cambria" w:eastAsia="Calibri" w:hAnsi="Cambria" w:cs="Times New Roman"/>
          <w:b/>
          <w:color w:val="000000"/>
          <w:sz w:val="21"/>
          <w:szCs w:val="21"/>
        </w:rPr>
      </w:pPr>
      <w:r w:rsidRPr="00881324">
        <w:rPr>
          <w:rFonts w:ascii="Cambria" w:eastAsia="Calibri" w:hAnsi="Cambria" w:cs="Times New Roman"/>
          <w:b/>
          <w:color w:val="000000"/>
          <w:sz w:val="21"/>
          <w:szCs w:val="21"/>
        </w:rPr>
        <w:t xml:space="preserve">INTRODUCTION </w:t>
      </w:r>
    </w:p>
    <w:p w:rsidR="002302B4" w:rsidRPr="00881324" w:rsidRDefault="002302B4" w:rsidP="002302B4">
      <w:pPr>
        <w:pStyle w:val="ListParagraph"/>
        <w:spacing w:after="0" w:line="240" w:lineRule="auto"/>
        <w:rPr>
          <w:rFonts w:ascii="Cambria" w:eastAsia="Calibri" w:hAnsi="Cambria" w:cs="Times New Roman"/>
          <w:b/>
          <w:color w:val="000000"/>
          <w:sz w:val="21"/>
          <w:szCs w:val="21"/>
        </w:rPr>
      </w:pPr>
    </w:p>
    <w:p w:rsidR="00441BC9" w:rsidRDefault="008A069E" w:rsidP="00097347">
      <w:pPr>
        <w:pStyle w:val="ListParagraph"/>
        <w:numPr>
          <w:ilvl w:val="1"/>
          <w:numId w:val="1"/>
        </w:numPr>
        <w:spacing w:after="0" w:line="240" w:lineRule="auto"/>
        <w:ind w:left="0" w:firstLine="360"/>
        <w:jc w:val="both"/>
        <w:rPr>
          <w:rFonts w:ascii="Cambria" w:eastAsia="Calibri" w:hAnsi="Cambria" w:cs="Times New Roman"/>
          <w:color w:val="000000"/>
          <w:sz w:val="21"/>
          <w:szCs w:val="21"/>
        </w:rPr>
      </w:pPr>
      <w:r w:rsidRPr="008A069E">
        <w:rPr>
          <w:rFonts w:ascii="Cambria" w:eastAsia="Calibri" w:hAnsi="Cambria" w:cs="Times New Roman"/>
          <w:color w:val="000000"/>
          <w:sz w:val="21"/>
          <w:szCs w:val="21"/>
        </w:rPr>
        <w:t xml:space="preserve">On April 3, 2017, the Inter-American Commission on Human Rights (hereinafter “the Inter-American </w:t>
      </w:r>
      <w:r w:rsidRPr="00813D3C">
        <w:rPr>
          <w:rFonts w:ascii="Cambria" w:eastAsia="Calibri" w:hAnsi="Cambria" w:cs="Times New Roman"/>
          <w:color w:val="000000"/>
          <w:sz w:val="21"/>
          <w:szCs w:val="21"/>
        </w:rPr>
        <w:t>Commission,” “the Commission” or “the IACHR”) received a request for precautionary measures from Mrs. Hillary Potashner, Mrs. Gia Kim and Mr. Jonathan Aminoff (hereinafter “the applicants”) urging the Commission to request the United States of America (hereinafter “United States” or “the State”)</w:t>
      </w:r>
      <w:r w:rsidR="00441BC9" w:rsidRPr="00813D3C">
        <w:rPr>
          <w:rFonts w:ascii="Cambria" w:eastAsia="Calibri" w:hAnsi="Cambria" w:cs="Times New Roman"/>
          <w:color w:val="000000"/>
          <w:sz w:val="21"/>
          <w:szCs w:val="21"/>
        </w:rPr>
        <w:t xml:space="preserve"> </w:t>
      </w:r>
      <w:r w:rsidR="002F4BB9" w:rsidRPr="00813D3C">
        <w:rPr>
          <w:rFonts w:ascii="Cambria" w:eastAsia="Calibri" w:hAnsi="Cambria" w:cs="Times New Roman"/>
          <w:color w:val="000000"/>
          <w:sz w:val="21"/>
          <w:szCs w:val="21"/>
        </w:rPr>
        <w:t>to suspend the application of the death penalty imposed on</w:t>
      </w:r>
      <w:r w:rsidRPr="00813D3C">
        <w:rPr>
          <w:rFonts w:ascii="Cambria" w:eastAsia="Calibri" w:hAnsi="Cambria" w:cs="Times New Roman"/>
          <w:color w:val="000000"/>
          <w:sz w:val="21"/>
          <w:szCs w:val="21"/>
        </w:rPr>
        <w:t xml:space="preserve"> Mr. Lezmond Mitchell (hereinafter “the proposed beneficiary”), an American citizen and member of the </w:t>
      </w:r>
      <w:r w:rsidR="002F4BB9" w:rsidRPr="00813D3C">
        <w:rPr>
          <w:rFonts w:ascii="Cambria" w:eastAsia="Calibri" w:hAnsi="Cambria" w:cs="Times New Roman"/>
          <w:color w:val="000000"/>
          <w:sz w:val="21"/>
          <w:szCs w:val="21"/>
        </w:rPr>
        <w:t xml:space="preserve">Navajo </w:t>
      </w:r>
      <w:r w:rsidRPr="00813D3C">
        <w:rPr>
          <w:rFonts w:ascii="Cambria" w:eastAsia="Calibri" w:hAnsi="Cambria" w:cs="Times New Roman"/>
          <w:color w:val="000000"/>
          <w:sz w:val="21"/>
          <w:szCs w:val="21"/>
        </w:rPr>
        <w:t>indigenous people who is currently on death row, having been convicted for a murder and an armed robbery that took place in 2001. This request is relate</w:t>
      </w:r>
      <w:r w:rsidR="00CF5EF6" w:rsidRPr="00813D3C">
        <w:rPr>
          <w:rFonts w:ascii="Cambria" w:eastAsia="Calibri" w:hAnsi="Cambria" w:cs="Times New Roman"/>
          <w:color w:val="000000"/>
          <w:sz w:val="21"/>
          <w:szCs w:val="21"/>
        </w:rPr>
        <w:t>d</w:t>
      </w:r>
      <w:r w:rsidRPr="00813D3C">
        <w:rPr>
          <w:rFonts w:ascii="Cambria" w:eastAsia="Calibri" w:hAnsi="Cambria" w:cs="Times New Roman"/>
          <w:color w:val="000000"/>
          <w:sz w:val="21"/>
          <w:szCs w:val="21"/>
        </w:rPr>
        <w:t xml:space="preserve"> to petition P-627-17, in which the applicants denounced alleged violation</w:t>
      </w:r>
      <w:r w:rsidR="00CF5EF6" w:rsidRPr="00813D3C">
        <w:rPr>
          <w:rFonts w:ascii="Cambria" w:eastAsia="Calibri" w:hAnsi="Cambria" w:cs="Times New Roman"/>
          <w:color w:val="000000"/>
          <w:sz w:val="21"/>
          <w:szCs w:val="21"/>
        </w:rPr>
        <w:t>s</w:t>
      </w:r>
      <w:r w:rsidRPr="00813D3C">
        <w:rPr>
          <w:rFonts w:ascii="Cambria" w:eastAsia="Calibri" w:hAnsi="Cambria" w:cs="Times New Roman"/>
          <w:color w:val="000000"/>
          <w:sz w:val="21"/>
          <w:szCs w:val="21"/>
        </w:rPr>
        <w:t xml:space="preserve"> </w:t>
      </w:r>
      <w:r w:rsidR="00D71BEB">
        <w:rPr>
          <w:rFonts w:ascii="Cambria" w:eastAsia="Calibri" w:hAnsi="Cambria" w:cs="Times New Roman"/>
          <w:color w:val="000000"/>
          <w:sz w:val="21"/>
          <w:szCs w:val="21"/>
        </w:rPr>
        <w:t>of</w:t>
      </w:r>
      <w:r w:rsidRPr="00813D3C">
        <w:rPr>
          <w:rFonts w:ascii="Cambria" w:eastAsia="Calibri" w:hAnsi="Cambria" w:cs="Times New Roman"/>
          <w:color w:val="000000"/>
          <w:sz w:val="21"/>
          <w:szCs w:val="21"/>
        </w:rPr>
        <w:t xml:space="preserve"> Article I (right to life, liberty and personal security), Article II (right to equality before the law), Article III (right to religious freedom and worship), </w:t>
      </w:r>
      <w:r w:rsidR="00441BC9" w:rsidRPr="00813D3C">
        <w:rPr>
          <w:rFonts w:ascii="Cambria" w:eastAsia="Calibri" w:hAnsi="Cambria" w:cs="Times New Roman"/>
          <w:color w:val="000000"/>
          <w:sz w:val="21"/>
          <w:szCs w:val="21"/>
        </w:rPr>
        <w:t>Article XIII (right to the benefits of culture), Article XVIII (right to fair trail</w:t>
      </w:r>
      <w:r w:rsidR="00441BC9">
        <w:rPr>
          <w:rFonts w:ascii="Cambria" w:eastAsia="Calibri" w:hAnsi="Cambria" w:cs="Times New Roman"/>
          <w:color w:val="000000"/>
          <w:sz w:val="21"/>
          <w:szCs w:val="21"/>
        </w:rPr>
        <w:t xml:space="preserve">), Article XIX (right to nationality), Article XXV (right to protection from arbitrary arrest) and Article XXVI (right to due process of law) of the </w:t>
      </w:r>
      <w:r w:rsidR="00441BC9" w:rsidRPr="00441BC9">
        <w:rPr>
          <w:rFonts w:ascii="Cambria" w:eastAsia="Calibri" w:hAnsi="Cambria" w:cs="Times New Roman"/>
          <w:color w:val="000000"/>
          <w:sz w:val="21"/>
          <w:szCs w:val="21"/>
        </w:rPr>
        <w:t>American Declaration of the Rights and Duties of Man</w:t>
      </w:r>
      <w:r w:rsidR="00441BC9">
        <w:rPr>
          <w:rFonts w:ascii="Cambria" w:eastAsia="Calibri" w:hAnsi="Cambria" w:cs="Times New Roman"/>
          <w:color w:val="000000"/>
          <w:sz w:val="21"/>
          <w:szCs w:val="21"/>
        </w:rPr>
        <w:t xml:space="preserve"> (hereinafter “American Declaration” or “Declaration”).</w:t>
      </w:r>
    </w:p>
    <w:p w:rsidR="00441BC9" w:rsidRDefault="00441BC9" w:rsidP="00097347">
      <w:pPr>
        <w:pStyle w:val="ListParagraph"/>
        <w:spacing w:after="0" w:line="240" w:lineRule="auto"/>
        <w:ind w:left="0" w:firstLine="360"/>
        <w:jc w:val="both"/>
        <w:rPr>
          <w:rFonts w:ascii="Cambria" w:eastAsia="Calibri" w:hAnsi="Cambria" w:cs="Times New Roman"/>
          <w:color w:val="000000"/>
          <w:sz w:val="21"/>
          <w:szCs w:val="21"/>
        </w:rPr>
      </w:pPr>
    </w:p>
    <w:p w:rsidR="008A069E" w:rsidRPr="00631FF3" w:rsidRDefault="008A069E" w:rsidP="00631FF3">
      <w:pPr>
        <w:pStyle w:val="ListParagraph"/>
        <w:numPr>
          <w:ilvl w:val="1"/>
          <w:numId w:val="1"/>
        </w:numPr>
        <w:spacing w:after="0" w:line="240" w:lineRule="auto"/>
        <w:ind w:left="0" w:firstLine="360"/>
        <w:jc w:val="both"/>
        <w:rPr>
          <w:rFonts w:ascii="Cambria" w:eastAsia="Calibri" w:hAnsi="Cambria" w:cs="Times New Roman"/>
          <w:color w:val="000000"/>
          <w:sz w:val="21"/>
          <w:szCs w:val="21"/>
        </w:rPr>
      </w:pPr>
      <w:r w:rsidRPr="008A069E">
        <w:rPr>
          <w:rFonts w:ascii="Cambria" w:eastAsia="Calibri" w:hAnsi="Cambria" w:cs="Times New Roman"/>
          <w:color w:val="000000"/>
          <w:sz w:val="21"/>
          <w:szCs w:val="21"/>
        </w:rPr>
        <w:t xml:space="preserve">Having analyzed the </w:t>
      </w:r>
      <w:r w:rsidR="00274180">
        <w:rPr>
          <w:rFonts w:ascii="Cambria" w:eastAsia="Calibri" w:hAnsi="Cambria" w:cs="Times New Roman"/>
          <w:color w:val="000000"/>
          <w:sz w:val="21"/>
          <w:szCs w:val="21"/>
        </w:rPr>
        <w:t>allegations</w:t>
      </w:r>
      <w:r w:rsidRPr="00813D3C">
        <w:rPr>
          <w:rFonts w:ascii="Cambria" w:eastAsia="Calibri" w:hAnsi="Cambria" w:cs="Times New Roman"/>
          <w:color w:val="000000"/>
          <w:sz w:val="21"/>
          <w:szCs w:val="21"/>
        </w:rPr>
        <w:t xml:space="preserve"> of fact and law </w:t>
      </w:r>
      <w:r w:rsidR="00274180">
        <w:rPr>
          <w:rFonts w:ascii="Cambria" w:eastAsia="Calibri" w:hAnsi="Cambria" w:cs="Times New Roman"/>
          <w:color w:val="000000"/>
          <w:sz w:val="21"/>
          <w:szCs w:val="21"/>
        </w:rPr>
        <w:t>presented</w:t>
      </w:r>
      <w:r w:rsidRPr="00813D3C">
        <w:rPr>
          <w:rFonts w:ascii="Cambria" w:eastAsia="Calibri" w:hAnsi="Cambria" w:cs="Times New Roman"/>
          <w:color w:val="000000"/>
          <w:sz w:val="21"/>
          <w:szCs w:val="21"/>
        </w:rPr>
        <w:t xml:space="preserve"> by the appli</w:t>
      </w:r>
      <w:r w:rsidR="00441BC9" w:rsidRPr="00813D3C">
        <w:rPr>
          <w:rFonts w:ascii="Cambria" w:eastAsia="Calibri" w:hAnsi="Cambria" w:cs="Times New Roman"/>
          <w:color w:val="000000"/>
          <w:sz w:val="21"/>
          <w:szCs w:val="21"/>
        </w:rPr>
        <w:t>cants, t</w:t>
      </w:r>
      <w:r w:rsidR="00D71BEB">
        <w:rPr>
          <w:rFonts w:ascii="Cambria" w:eastAsia="Calibri" w:hAnsi="Cambria" w:cs="Times New Roman"/>
          <w:color w:val="000000"/>
          <w:sz w:val="21"/>
          <w:szCs w:val="21"/>
        </w:rPr>
        <w:t>he Commission considers that, in the event</w:t>
      </w:r>
      <w:r w:rsidR="00441BC9" w:rsidRPr="00813D3C">
        <w:rPr>
          <w:rFonts w:ascii="Cambria" w:eastAsia="Calibri" w:hAnsi="Cambria" w:cs="Times New Roman"/>
          <w:color w:val="000000"/>
          <w:sz w:val="21"/>
          <w:szCs w:val="21"/>
        </w:rPr>
        <w:t xml:space="preserve"> Mr</w:t>
      </w:r>
      <w:r w:rsidR="002F4BB9" w:rsidRPr="00813D3C">
        <w:rPr>
          <w:rFonts w:ascii="Cambria" w:eastAsia="Calibri" w:hAnsi="Cambria" w:cs="Times New Roman"/>
          <w:color w:val="000000"/>
          <w:sz w:val="21"/>
          <w:szCs w:val="21"/>
        </w:rPr>
        <w:t xml:space="preserve">. Mitchell is executed before </w:t>
      </w:r>
      <w:r w:rsidR="00274180">
        <w:rPr>
          <w:rFonts w:ascii="Cambria" w:eastAsia="Calibri" w:hAnsi="Cambria" w:cs="Times New Roman"/>
          <w:color w:val="000000"/>
          <w:sz w:val="21"/>
          <w:szCs w:val="21"/>
        </w:rPr>
        <w:t>it</w:t>
      </w:r>
      <w:r w:rsidR="00441BC9" w:rsidRPr="00813D3C">
        <w:rPr>
          <w:rFonts w:ascii="Cambria" w:eastAsia="Calibri" w:hAnsi="Cambria" w:cs="Times New Roman"/>
          <w:color w:val="000000"/>
          <w:sz w:val="21"/>
          <w:szCs w:val="21"/>
        </w:rPr>
        <w:t xml:space="preserve"> has</w:t>
      </w:r>
      <w:r w:rsidR="00274180">
        <w:rPr>
          <w:rFonts w:ascii="Cambria" w:eastAsia="Calibri" w:hAnsi="Cambria" w:cs="Times New Roman"/>
          <w:color w:val="000000"/>
          <w:sz w:val="21"/>
          <w:szCs w:val="21"/>
        </w:rPr>
        <w:t xml:space="preserve"> had</w:t>
      </w:r>
      <w:r w:rsidR="00441BC9" w:rsidRPr="00813D3C">
        <w:rPr>
          <w:rFonts w:ascii="Cambria" w:eastAsia="Calibri" w:hAnsi="Cambria" w:cs="Times New Roman"/>
          <w:color w:val="000000"/>
          <w:sz w:val="21"/>
          <w:szCs w:val="21"/>
        </w:rPr>
        <w:t xml:space="preserve"> the opportunity </w:t>
      </w:r>
      <w:r w:rsidR="00274180">
        <w:rPr>
          <w:rFonts w:ascii="Cambria" w:eastAsia="Calibri" w:hAnsi="Cambria" w:cs="Times New Roman"/>
          <w:color w:val="000000"/>
          <w:sz w:val="21"/>
          <w:szCs w:val="21"/>
        </w:rPr>
        <w:t>to</w:t>
      </w:r>
      <w:r w:rsidR="00441BC9" w:rsidRPr="00813D3C">
        <w:rPr>
          <w:rFonts w:ascii="Cambria" w:eastAsia="Calibri" w:hAnsi="Cambria" w:cs="Times New Roman"/>
          <w:color w:val="000000"/>
          <w:sz w:val="21"/>
          <w:szCs w:val="21"/>
        </w:rPr>
        <w:t xml:space="preserve"> </w:t>
      </w:r>
      <w:r w:rsidR="00C826B9">
        <w:rPr>
          <w:rFonts w:ascii="Cambria" w:eastAsia="Calibri" w:hAnsi="Cambria" w:cs="Times New Roman"/>
          <w:color w:val="000000"/>
          <w:sz w:val="21"/>
          <w:szCs w:val="21"/>
        </w:rPr>
        <w:t>examine</w:t>
      </w:r>
      <w:r w:rsidR="00441BC9" w:rsidRPr="00813D3C">
        <w:rPr>
          <w:rFonts w:ascii="Cambria" w:eastAsia="Calibri" w:hAnsi="Cambria" w:cs="Times New Roman"/>
          <w:color w:val="000000"/>
          <w:sz w:val="21"/>
          <w:szCs w:val="21"/>
        </w:rPr>
        <w:t xml:space="preserve"> the merits of the matter, any </w:t>
      </w:r>
      <w:r w:rsidR="00D71BEB">
        <w:rPr>
          <w:rFonts w:ascii="Cambria" w:eastAsia="Calibri" w:hAnsi="Cambria" w:cs="Times New Roman"/>
          <w:color w:val="000000"/>
          <w:sz w:val="21"/>
          <w:szCs w:val="21"/>
        </w:rPr>
        <w:t xml:space="preserve">eventual </w:t>
      </w:r>
      <w:r w:rsidR="00441BC9" w:rsidRPr="00813D3C">
        <w:rPr>
          <w:rFonts w:ascii="Cambria" w:eastAsia="Calibri" w:hAnsi="Cambria" w:cs="Times New Roman"/>
          <w:color w:val="000000"/>
          <w:sz w:val="21"/>
          <w:szCs w:val="21"/>
        </w:rPr>
        <w:t xml:space="preserve">decision would be rendered moot, thus </w:t>
      </w:r>
      <w:r w:rsidR="00C826B9">
        <w:rPr>
          <w:rFonts w:ascii="Cambria" w:eastAsia="Calibri" w:hAnsi="Cambria" w:cs="Times New Roman"/>
          <w:color w:val="000000"/>
          <w:sz w:val="21"/>
          <w:szCs w:val="21"/>
        </w:rPr>
        <w:t>resulting in</w:t>
      </w:r>
      <w:r w:rsidR="00441BC9" w:rsidRPr="00813D3C">
        <w:rPr>
          <w:rFonts w:ascii="Cambria" w:eastAsia="Calibri" w:hAnsi="Cambria" w:cs="Times New Roman"/>
          <w:color w:val="000000"/>
          <w:sz w:val="21"/>
          <w:szCs w:val="21"/>
        </w:rPr>
        <w:t xml:space="preserve"> </w:t>
      </w:r>
      <w:r w:rsidR="00CF5EF6" w:rsidRPr="00813D3C">
        <w:rPr>
          <w:rFonts w:ascii="Cambria" w:eastAsia="Calibri" w:hAnsi="Cambria" w:cs="Times New Roman"/>
          <w:color w:val="000000"/>
          <w:sz w:val="21"/>
          <w:szCs w:val="21"/>
        </w:rPr>
        <w:t xml:space="preserve">irreparable </w:t>
      </w:r>
      <w:r w:rsidR="006A341C" w:rsidRPr="00813D3C">
        <w:rPr>
          <w:rFonts w:ascii="Cambria" w:eastAsia="Calibri" w:hAnsi="Cambria" w:cs="Times New Roman"/>
          <w:color w:val="000000"/>
          <w:sz w:val="21"/>
          <w:szCs w:val="21"/>
        </w:rPr>
        <w:t>harm</w:t>
      </w:r>
      <w:r w:rsidR="00441BC9" w:rsidRPr="00813D3C">
        <w:rPr>
          <w:rFonts w:ascii="Cambria" w:eastAsia="Calibri" w:hAnsi="Cambria" w:cs="Times New Roman"/>
          <w:color w:val="000000"/>
          <w:sz w:val="21"/>
          <w:szCs w:val="21"/>
        </w:rPr>
        <w:t>. Consequently, on</w:t>
      </w:r>
      <w:r w:rsidR="00D71BEB">
        <w:rPr>
          <w:rFonts w:ascii="Cambria" w:eastAsia="Calibri" w:hAnsi="Cambria" w:cs="Times New Roman"/>
          <w:color w:val="000000"/>
          <w:sz w:val="21"/>
          <w:szCs w:val="21"/>
        </w:rPr>
        <w:t xml:space="preserve"> the basis of</w:t>
      </w:r>
      <w:r w:rsidR="00441BC9" w:rsidRPr="00813D3C">
        <w:rPr>
          <w:rFonts w:ascii="Cambria" w:eastAsia="Calibri" w:hAnsi="Cambria" w:cs="Times New Roman"/>
          <w:color w:val="000000"/>
          <w:sz w:val="21"/>
          <w:szCs w:val="21"/>
        </w:rPr>
        <w:t xml:space="preserve"> Article 25 of its Rules of </w:t>
      </w:r>
      <w:r w:rsidRPr="00813D3C">
        <w:rPr>
          <w:rFonts w:ascii="Cambria" w:eastAsia="Calibri" w:hAnsi="Cambria" w:cs="Times New Roman"/>
          <w:color w:val="000000"/>
          <w:sz w:val="21"/>
          <w:szCs w:val="21"/>
        </w:rPr>
        <w:t xml:space="preserve">Procedure, the </w:t>
      </w:r>
      <w:r w:rsidR="00441BC9" w:rsidRPr="00813D3C">
        <w:rPr>
          <w:rFonts w:ascii="Cambria" w:eastAsia="Calibri" w:hAnsi="Cambria" w:cs="Times New Roman"/>
          <w:color w:val="000000"/>
          <w:sz w:val="21"/>
          <w:szCs w:val="21"/>
        </w:rPr>
        <w:t xml:space="preserve">Commission hereby requests the United States </w:t>
      </w:r>
      <w:r w:rsidR="00D71BEB">
        <w:rPr>
          <w:rFonts w:ascii="Cambria" w:eastAsia="Calibri" w:hAnsi="Cambria" w:cs="Times New Roman"/>
          <w:color w:val="000000"/>
          <w:sz w:val="21"/>
          <w:szCs w:val="21"/>
        </w:rPr>
        <w:t>to adopt the</w:t>
      </w:r>
      <w:r w:rsidR="00631FF3" w:rsidRPr="00631FF3">
        <w:rPr>
          <w:rFonts w:ascii="Cambria" w:eastAsia="Calibri" w:hAnsi="Cambria" w:cs="Times New Roman"/>
          <w:color w:val="000000"/>
          <w:sz w:val="21"/>
          <w:szCs w:val="21"/>
        </w:rPr>
        <w:t xml:space="preserve"> necessary </w:t>
      </w:r>
      <w:r w:rsidR="00D71BEB">
        <w:rPr>
          <w:rFonts w:ascii="Cambria" w:eastAsia="Calibri" w:hAnsi="Cambria" w:cs="Times New Roman"/>
          <w:color w:val="000000"/>
          <w:sz w:val="21"/>
          <w:szCs w:val="21"/>
        </w:rPr>
        <w:t xml:space="preserve">measures </w:t>
      </w:r>
      <w:r w:rsidR="00631FF3" w:rsidRPr="00631FF3">
        <w:rPr>
          <w:rFonts w:ascii="Cambria" w:eastAsia="Calibri" w:hAnsi="Cambria" w:cs="Times New Roman"/>
          <w:color w:val="000000"/>
          <w:sz w:val="21"/>
          <w:szCs w:val="21"/>
        </w:rPr>
        <w:t xml:space="preserve">to preserve the life and physical integrity of Mr. Lezmond Mitchell until the IACHR </w:t>
      </w:r>
      <w:r w:rsidR="00D71BEB">
        <w:rPr>
          <w:rFonts w:ascii="Cambria" w:eastAsia="Calibri" w:hAnsi="Cambria" w:cs="Times New Roman"/>
          <w:color w:val="000000"/>
          <w:sz w:val="21"/>
          <w:szCs w:val="21"/>
        </w:rPr>
        <w:t>has ruled</w:t>
      </w:r>
      <w:r w:rsidR="00631FF3" w:rsidRPr="00631FF3">
        <w:rPr>
          <w:rFonts w:ascii="Cambria" w:eastAsia="Calibri" w:hAnsi="Cambria" w:cs="Times New Roman"/>
          <w:color w:val="000000"/>
          <w:sz w:val="21"/>
          <w:szCs w:val="21"/>
        </w:rPr>
        <w:t xml:space="preserve"> on his petition, so as not to render ineffective the processing of his case before the </w:t>
      </w:r>
      <w:r w:rsidR="00D71BEB">
        <w:rPr>
          <w:rFonts w:ascii="Cambria" w:eastAsia="Calibri" w:hAnsi="Cambria" w:cs="Times New Roman"/>
          <w:color w:val="000000"/>
          <w:sz w:val="21"/>
          <w:szCs w:val="21"/>
        </w:rPr>
        <w:t>i</w:t>
      </w:r>
      <w:r w:rsidR="00631FF3" w:rsidRPr="00631FF3">
        <w:rPr>
          <w:rFonts w:ascii="Cambria" w:eastAsia="Calibri" w:hAnsi="Cambria" w:cs="Times New Roman"/>
          <w:color w:val="000000"/>
          <w:sz w:val="21"/>
          <w:szCs w:val="21"/>
        </w:rPr>
        <w:t xml:space="preserve">nter-American </w:t>
      </w:r>
      <w:r w:rsidR="00D71BEB">
        <w:rPr>
          <w:rFonts w:ascii="Cambria" w:eastAsia="Calibri" w:hAnsi="Cambria" w:cs="Times New Roman"/>
          <w:color w:val="000000"/>
          <w:sz w:val="21"/>
          <w:szCs w:val="21"/>
        </w:rPr>
        <w:t>s</w:t>
      </w:r>
      <w:r w:rsidR="00631FF3" w:rsidRPr="00631FF3">
        <w:rPr>
          <w:rFonts w:ascii="Cambria" w:eastAsia="Calibri" w:hAnsi="Cambria" w:cs="Times New Roman"/>
          <w:color w:val="000000"/>
          <w:sz w:val="21"/>
          <w:szCs w:val="21"/>
        </w:rPr>
        <w:t>ystem.</w:t>
      </w:r>
    </w:p>
    <w:p w:rsidR="00A573DD" w:rsidRPr="00813D3C" w:rsidRDefault="00A573DD" w:rsidP="00A573DD">
      <w:pPr>
        <w:pStyle w:val="ListParagraph"/>
        <w:spacing w:after="0" w:line="240" w:lineRule="auto"/>
        <w:ind w:left="1440"/>
        <w:jc w:val="both"/>
        <w:rPr>
          <w:rFonts w:ascii="Cambria" w:eastAsia="Calibri" w:hAnsi="Cambria" w:cs="Times New Roman"/>
          <w:color w:val="000000"/>
          <w:sz w:val="21"/>
          <w:szCs w:val="21"/>
        </w:rPr>
      </w:pPr>
    </w:p>
    <w:p w:rsidR="008A069E" w:rsidRDefault="008A069E" w:rsidP="008A069E">
      <w:pPr>
        <w:pStyle w:val="ListParagraph"/>
        <w:numPr>
          <w:ilvl w:val="0"/>
          <w:numId w:val="1"/>
        </w:numPr>
        <w:spacing w:after="0" w:line="240" w:lineRule="auto"/>
        <w:jc w:val="both"/>
        <w:rPr>
          <w:rFonts w:ascii="Cambria" w:eastAsia="Calibri" w:hAnsi="Cambria" w:cs="Times New Roman"/>
          <w:b/>
          <w:color w:val="000000"/>
          <w:sz w:val="21"/>
          <w:szCs w:val="21"/>
        </w:rPr>
      </w:pPr>
      <w:r w:rsidRPr="00881324">
        <w:rPr>
          <w:rFonts w:ascii="Cambria" w:eastAsia="Calibri" w:hAnsi="Cambria" w:cs="Times New Roman"/>
          <w:b/>
          <w:color w:val="000000"/>
          <w:sz w:val="21"/>
          <w:szCs w:val="21"/>
        </w:rPr>
        <w:t xml:space="preserve">SUMMARY OF FACTS AND ARGUMENTS SUBMITTED BY THE APPLICANTS </w:t>
      </w:r>
    </w:p>
    <w:p w:rsidR="008A069E" w:rsidRPr="00881324" w:rsidRDefault="008A069E" w:rsidP="008A069E">
      <w:pPr>
        <w:pStyle w:val="ListParagraph"/>
        <w:spacing w:after="0" w:line="240" w:lineRule="auto"/>
        <w:jc w:val="both"/>
        <w:rPr>
          <w:rFonts w:ascii="Cambria" w:eastAsia="Calibri" w:hAnsi="Cambria" w:cs="Times New Roman"/>
          <w:b/>
          <w:color w:val="000000"/>
          <w:sz w:val="21"/>
          <w:szCs w:val="21"/>
        </w:rPr>
      </w:pPr>
    </w:p>
    <w:p w:rsidR="008A069E" w:rsidRPr="00A573DD" w:rsidRDefault="00A573DD" w:rsidP="00A573DD">
      <w:pPr>
        <w:pStyle w:val="ListParagraph"/>
        <w:numPr>
          <w:ilvl w:val="0"/>
          <w:numId w:val="4"/>
        </w:numPr>
        <w:spacing w:after="0" w:line="240" w:lineRule="auto"/>
        <w:jc w:val="both"/>
        <w:rPr>
          <w:rFonts w:ascii="Cambria" w:eastAsia="Calibri" w:hAnsi="Cambria" w:cs="Times New Roman"/>
          <w:color w:val="000000"/>
          <w:sz w:val="21"/>
          <w:szCs w:val="21"/>
        </w:rPr>
      </w:pPr>
      <w:r w:rsidRPr="00A573DD">
        <w:rPr>
          <w:rFonts w:ascii="Cambria" w:eastAsia="Calibri" w:hAnsi="Cambria" w:cs="Times New Roman"/>
          <w:color w:val="000000"/>
          <w:sz w:val="21"/>
          <w:szCs w:val="21"/>
        </w:rPr>
        <w:t xml:space="preserve">Main stages of the criminal proceeding </w:t>
      </w:r>
    </w:p>
    <w:p w:rsidR="00A573DD" w:rsidRDefault="00A573DD" w:rsidP="00A573DD">
      <w:pPr>
        <w:spacing w:after="0" w:line="240" w:lineRule="auto"/>
        <w:jc w:val="both"/>
        <w:rPr>
          <w:rFonts w:ascii="Cambria" w:eastAsia="Calibri" w:hAnsi="Cambria" w:cs="Times New Roman"/>
          <w:b/>
          <w:color w:val="000000"/>
          <w:sz w:val="21"/>
          <w:szCs w:val="21"/>
        </w:rPr>
      </w:pPr>
    </w:p>
    <w:p w:rsidR="00A573DD" w:rsidRDefault="00A573DD" w:rsidP="00097347">
      <w:pPr>
        <w:pStyle w:val="ListParagraph"/>
        <w:numPr>
          <w:ilvl w:val="0"/>
          <w:numId w:val="5"/>
        </w:numPr>
        <w:spacing w:after="0" w:line="240" w:lineRule="auto"/>
        <w:ind w:left="0" w:firstLine="360"/>
        <w:jc w:val="both"/>
        <w:rPr>
          <w:rFonts w:ascii="Cambria" w:eastAsia="Calibri" w:hAnsi="Cambria" w:cs="Times New Roman"/>
          <w:color w:val="000000"/>
          <w:sz w:val="21"/>
          <w:szCs w:val="21"/>
        </w:rPr>
      </w:pPr>
      <w:r w:rsidRPr="00A573DD">
        <w:rPr>
          <w:rFonts w:ascii="Cambria" w:eastAsia="Calibri" w:hAnsi="Cambria" w:cs="Times New Roman"/>
          <w:color w:val="000000"/>
          <w:sz w:val="21"/>
          <w:szCs w:val="21"/>
        </w:rPr>
        <w:t>The applicants indicated that on October 28, 2001, the proposed beneficiary</w:t>
      </w:r>
      <w:r w:rsidR="00C826B9">
        <w:rPr>
          <w:rFonts w:ascii="Cambria" w:eastAsia="Calibri" w:hAnsi="Cambria" w:cs="Times New Roman"/>
          <w:color w:val="000000"/>
          <w:sz w:val="21"/>
          <w:szCs w:val="21"/>
        </w:rPr>
        <w:t xml:space="preserve"> and another person</w:t>
      </w:r>
      <w:r w:rsidR="00D71BEB">
        <w:rPr>
          <w:rFonts w:ascii="Cambria" w:eastAsia="Calibri" w:hAnsi="Cambria" w:cs="Times New Roman"/>
          <w:color w:val="000000"/>
          <w:sz w:val="21"/>
          <w:szCs w:val="21"/>
        </w:rPr>
        <w:t xml:space="preserve"> </w:t>
      </w:r>
      <w:r w:rsidRPr="00A573DD">
        <w:rPr>
          <w:rFonts w:ascii="Cambria" w:eastAsia="Calibri" w:hAnsi="Cambria" w:cs="Times New Roman"/>
          <w:color w:val="000000"/>
          <w:sz w:val="21"/>
          <w:szCs w:val="21"/>
        </w:rPr>
        <w:t>murdered</w:t>
      </w:r>
      <w:r w:rsidR="00C826B9">
        <w:rPr>
          <w:rFonts w:ascii="Cambria" w:eastAsia="Calibri" w:hAnsi="Cambria" w:cs="Times New Roman"/>
          <w:color w:val="000000"/>
          <w:sz w:val="21"/>
          <w:szCs w:val="21"/>
        </w:rPr>
        <w:t xml:space="preserve"> </w:t>
      </w:r>
      <w:r w:rsidRPr="00A573DD">
        <w:rPr>
          <w:rFonts w:ascii="Cambria" w:eastAsia="Calibri" w:hAnsi="Cambria" w:cs="Times New Roman"/>
          <w:color w:val="000000"/>
          <w:sz w:val="21"/>
          <w:szCs w:val="21"/>
        </w:rPr>
        <w:t>Mrs. Alyce Slim and her granddaughter Jane Doe – all of them member</w:t>
      </w:r>
      <w:r w:rsidR="00CF5EF6">
        <w:rPr>
          <w:rFonts w:ascii="Cambria" w:eastAsia="Calibri" w:hAnsi="Cambria" w:cs="Times New Roman"/>
          <w:color w:val="000000"/>
          <w:sz w:val="21"/>
          <w:szCs w:val="21"/>
        </w:rPr>
        <w:t>s</w:t>
      </w:r>
      <w:r w:rsidRPr="00A573DD">
        <w:rPr>
          <w:rFonts w:ascii="Cambria" w:eastAsia="Calibri" w:hAnsi="Cambria" w:cs="Times New Roman"/>
          <w:color w:val="000000"/>
          <w:sz w:val="21"/>
          <w:szCs w:val="21"/>
        </w:rPr>
        <w:t xml:space="preserve"> of the indigenous people of </w:t>
      </w:r>
      <w:r w:rsidR="00D71BEB">
        <w:rPr>
          <w:rFonts w:ascii="Cambria" w:eastAsia="Calibri" w:hAnsi="Cambria" w:cs="Times New Roman"/>
          <w:color w:val="000000"/>
          <w:sz w:val="21"/>
          <w:szCs w:val="21"/>
        </w:rPr>
        <w:t xml:space="preserve">the </w:t>
      </w:r>
      <w:r w:rsidRPr="00A573DD">
        <w:rPr>
          <w:rFonts w:ascii="Cambria" w:eastAsia="Calibri" w:hAnsi="Cambria" w:cs="Times New Roman"/>
          <w:color w:val="000000"/>
          <w:sz w:val="21"/>
          <w:szCs w:val="21"/>
        </w:rPr>
        <w:t xml:space="preserve">Navajo – while they were in the </w:t>
      </w:r>
      <w:r w:rsidRPr="00813D3C">
        <w:rPr>
          <w:rFonts w:ascii="Cambria" w:eastAsia="Calibri" w:hAnsi="Cambria" w:cs="Times New Roman"/>
          <w:color w:val="000000"/>
          <w:sz w:val="21"/>
          <w:szCs w:val="21"/>
        </w:rPr>
        <w:t xml:space="preserve">tribe’s territory. Three days </w:t>
      </w:r>
      <w:r w:rsidR="002F4BB9" w:rsidRPr="00813D3C">
        <w:rPr>
          <w:rFonts w:ascii="Cambria" w:eastAsia="Calibri" w:hAnsi="Cambria" w:cs="Times New Roman"/>
          <w:color w:val="000000"/>
          <w:sz w:val="21"/>
          <w:szCs w:val="21"/>
        </w:rPr>
        <w:t>later</w:t>
      </w:r>
      <w:r w:rsidRPr="00813D3C">
        <w:rPr>
          <w:rFonts w:ascii="Cambria" w:eastAsia="Calibri" w:hAnsi="Cambria" w:cs="Times New Roman"/>
          <w:color w:val="000000"/>
          <w:sz w:val="21"/>
          <w:szCs w:val="21"/>
        </w:rPr>
        <w:t xml:space="preserve">, </w:t>
      </w:r>
      <w:r w:rsidR="008F04B0">
        <w:rPr>
          <w:rFonts w:ascii="Cambria" w:eastAsia="Calibri" w:hAnsi="Cambria" w:cs="Times New Roman"/>
          <w:color w:val="000000"/>
          <w:sz w:val="21"/>
          <w:szCs w:val="21"/>
        </w:rPr>
        <w:t xml:space="preserve">using the vehicle </w:t>
      </w:r>
      <w:r w:rsidR="00D71BEB">
        <w:rPr>
          <w:rFonts w:ascii="Cambria" w:eastAsia="Calibri" w:hAnsi="Cambria" w:cs="Times New Roman"/>
          <w:color w:val="000000"/>
          <w:sz w:val="21"/>
          <w:szCs w:val="21"/>
        </w:rPr>
        <w:t xml:space="preserve">that previously </w:t>
      </w:r>
      <w:r w:rsidR="008F04B0">
        <w:rPr>
          <w:rFonts w:ascii="Cambria" w:eastAsia="Calibri" w:hAnsi="Cambria" w:cs="Times New Roman"/>
          <w:color w:val="000000"/>
          <w:sz w:val="21"/>
          <w:szCs w:val="21"/>
        </w:rPr>
        <w:t>belong</w:t>
      </w:r>
      <w:r w:rsidR="00D71BEB">
        <w:rPr>
          <w:rFonts w:ascii="Cambria" w:eastAsia="Calibri" w:hAnsi="Cambria" w:cs="Times New Roman"/>
          <w:color w:val="000000"/>
          <w:sz w:val="21"/>
          <w:szCs w:val="21"/>
        </w:rPr>
        <w:t>ed</w:t>
      </w:r>
      <w:r w:rsidR="008F04B0">
        <w:rPr>
          <w:rFonts w:ascii="Cambria" w:eastAsia="Calibri" w:hAnsi="Cambria" w:cs="Times New Roman"/>
          <w:color w:val="000000"/>
          <w:sz w:val="21"/>
          <w:szCs w:val="21"/>
        </w:rPr>
        <w:t xml:space="preserve"> to Mrs. Slim, </w:t>
      </w:r>
      <w:r w:rsidRPr="00813D3C">
        <w:rPr>
          <w:rFonts w:ascii="Cambria" w:eastAsia="Calibri" w:hAnsi="Cambria" w:cs="Times New Roman"/>
          <w:color w:val="000000"/>
          <w:sz w:val="21"/>
          <w:szCs w:val="21"/>
        </w:rPr>
        <w:t>he</w:t>
      </w:r>
      <w:r w:rsidRPr="00A573DD">
        <w:rPr>
          <w:rFonts w:ascii="Cambria" w:eastAsia="Calibri" w:hAnsi="Cambria" w:cs="Times New Roman"/>
          <w:color w:val="000000"/>
          <w:sz w:val="21"/>
          <w:szCs w:val="21"/>
        </w:rPr>
        <w:t xml:space="preserve"> committed an armed robbery. </w:t>
      </w:r>
    </w:p>
    <w:p w:rsidR="002302B4" w:rsidRDefault="002302B4" w:rsidP="00097347">
      <w:pPr>
        <w:pStyle w:val="ListParagraph"/>
        <w:spacing w:after="0" w:line="240" w:lineRule="auto"/>
        <w:ind w:left="0" w:firstLine="360"/>
        <w:jc w:val="both"/>
        <w:rPr>
          <w:rFonts w:ascii="Cambria" w:eastAsia="Calibri" w:hAnsi="Cambria" w:cs="Times New Roman"/>
          <w:color w:val="000000"/>
          <w:sz w:val="21"/>
          <w:szCs w:val="21"/>
        </w:rPr>
      </w:pPr>
    </w:p>
    <w:p w:rsidR="00E16B52" w:rsidRDefault="00A573DD" w:rsidP="00097347">
      <w:pPr>
        <w:pStyle w:val="ListParagraph"/>
        <w:numPr>
          <w:ilvl w:val="0"/>
          <w:numId w:val="5"/>
        </w:numPr>
        <w:spacing w:after="0" w:line="240" w:lineRule="auto"/>
        <w:ind w:left="0" w:firstLine="360"/>
        <w:jc w:val="both"/>
        <w:rPr>
          <w:rFonts w:ascii="Cambria" w:eastAsia="Calibri" w:hAnsi="Cambria" w:cs="Times New Roman"/>
          <w:color w:val="000000"/>
          <w:sz w:val="21"/>
          <w:szCs w:val="21"/>
        </w:rPr>
      </w:pPr>
      <w:r w:rsidRPr="00E16B52">
        <w:rPr>
          <w:rFonts w:ascii="Cambria" w:eastAsia="Calibri" w:hAnsi="Cambria" w:cs="Times New Roman"/>
          <w:color w:val="000000"/>
          <w:sz w:val="21"/>
          <w:szCs w:val="21"/>
        </w:rPr>
        <w:t xml:space="preserve">The </w:t>
      </w:r>
      <w:r w:rsidR="00D71BEB">
        <w:rPr>
          <w:rFonts w:ascii="Cambria" w:eastAsia="Calibri" w:hAnsi="Cambria" w:cs="Times New Roman"/>
          <w:color w:val="000000"/>
          <w:sz w:val="21"/>
          <w:szCs w:val="21"/>
        </w:rPr>
        <w:t>proposed beneficiary’s trial</w:t>
      </w:r>
      <w:r w:rsidRPr="00E16B52">
        <w:rPr>
          <w:rFonts w:ascii="Cambria" w:eastAsia="Calibri" w:hAnsi="Cambria" w:cs="Times New Roman"/>
          <w:color w:val="000000"/>
          <w:sz w:val="21"/>
          <w:szCs w:val="21"/>
        </w:rPr>
        <w:t xml:space="preserve"> started on April 1, 2003</w:t>
      </w:r>
      <w:r w:rsidR="00D71BEB">
        <w:rPr>
          <w:rFonts w:ascii="Cambria" w:eastAsia="Calibri" w:hAnsi="Cambria" w:cs="Times New Roman"/>
          <w:color w:val="000000"/>
          <w:sz w:val="21"/>
          <w:szCs w:val="21"/>
        </w:rPr>
        <w:t>,</w:t>
      </w:r>
      <w:r w:rsidRPr="00E16B52">
        <w:rPr>
          <w:rFonts w:ascii="Cambria" w:eastAsia="Calibri" w:hAnsi="Cambria" w:cs="Times New Roman"/>
          <w:color w:val="000000"/>
          <w:sz w:val="21"/>
          <w:szCs w:val="21"/>
        </w:rPr>
        <w:t xml:space="preserve"> before the </w:t>
      </w:r>
      <w:r w:rsidR="00783EFC">
        <w:rPr>
          <w:rFonts w:ascii="Cambria" w:eastAsia="Calibri" w:hAnsi="Cambria" w:cs="Times New Roman"/>
          <w:color w:val="000000"/>
          <w:sz w:val="21"/>
          <w:szCs w:val="21"/>
        </w:rPr>
        <w:t>U.S. District Court for</w:t>
      </w:r>
      <w:r w:rsidRPr="00E16B52">
        <w:rPr>
          <w:rFonts w:ascii="Cambria" w:eastAsia="Calibri" w:hAnsi="Cambria" w:cs="Times New Roman"/>
          <w:color w:val="000000"/>
          <w:sz w:val="21"/>
          <w:szCs w:val="21"/>
        </w:rPr>
        <w:t xml:space="preserve"> the District of Arizona, held at Flagst</w:t>
      </w:r>
      <w:r w:rsidR="00C826B9">
        <w:rPr>
          <w:rFonts w:ascii="Cambria" w:eastAsia="Calibri" w:hAnsi="Cambria" w:cs="Times New Roman"/>
          <w:color w:val="000000"/>
          <w:sz w:val="21"/>
          <w:szCs w:val="21"/>
        </w:rPr>
        <w:t xml:space="preserve">aff, </w:t>
      </w:r>
      <w:r w:rsidR="00D71BEB">
        <w:rPr>
          <w:rFonts w:ascii="Cambria" w:eastAsia="Calibri" w:hAnsi="Cambria" w:cs="Times New Roman"/>
          <w:color w:val="000000"/>
          <w:sz w:val="21"/>
          <w:szCs w:val="21"/>
        </w:rPr>
        <w:t>and he was found guilty on</w:t>
      </w:r>
      <w:r w:rsidRPr="00E16B52">
        <w:rPr>
          <w:rFonts w:ascii="Cambria" w:eastAsia="Calibri" w:hAnsi="Cambria" w:cs="Times New Roman"/>
          <w:color w:val="000000"/>
          <w:sz w:val="21"/>
          <w:szCs w:val="21"/>
        </w:rPr>
        <w:t xml:space="preserve"> September 15, 2003. According to the information submitted, Mr. Lezmond Mitchell was convicted to two life sentences for the two murders, </w:t>
      </w:r>
      <w:r w:rsidRPr="00E16B52">
        <w:rPr>
          <w:rFonts w:ascii="Cambria" w:eastAsia="Calibri" w:hAnsi="Cambria" w:cs="Times New Roman"/>
          <w:color w:val="000000"/>
          <w:sz w:val="21"/>
          <w:szCs w:val="21"/>
        </w:rPr>
        <w:lastRenderedPageBreak/>
        <w:t xml:space="preserve">as </w:t>
      </w:r>
      <w:r w:rsidR="00CF5EF6">
        <w:rPr>
          <w:rFonts w:ascii="Cambria" w:eastAsia="Calibri" w:hAnsi="Cambria" w:cs="Times New Roman"/>
          <w:color w:val="000000"/>
          <w:sz w:val="21"/>
          <w:szCs w:val="21"/>
        </w:rPr>
        <w:t xml:space="preserve">well as </w:t>
      </w:r>
      <w:r w:rsidR="00C826B9">
        <w:rPr>
          <w:rFonts w:ascii="Cambria" w:eastAsia="Calibri" w:hAnsi="Cambria" w:cs="Times New Roman"/>
          <w:color w:val="000000"/>
          <w:sz w:val="21"/>
          <w:szCs w:val="21"/>
        </w:rPr>
        <w:t>long terms</w:t>
      </w:r>
      <w:r w:rsidRPr="00E16B52">
        <w:rPr>
          <w:rFonts w:ascii="Cambria" w:eastAsia="Calibri" w:hAnsi="Cambria" w:cs="Times New Roman"/>
          <w:color w:val="000000"/>
          <w:sz w:val="21"/>
          <w:szCs w:val="21"/>
        </w:rPr>
        <w:t xml:space="preserve"> </w:t>
      </w:r>
      <w:r w:rsidR="008F04B0">
        <w:rPr>
          <w:rFonts w:ascii="Cambria" w:eastAsia="Calibri" w:hAnsi="Cambria" w:cs="Times New Roman"/>
          <w:color w:val="000000"/>
          <w:sz w:val="21"/>
          <w:szCs w:val="21"/>
        </w:rPr>
        <w:t>of</w:t>
      </w:r>
      <w:r w:rsidRPr="00E16B52">
        <w:rPr>
          <w:rFonts w:ascii="Cambria" w:eastAsia="Calibri" w:hAnsi="Cambria" w:cs="Times New Roman"/>
          <w:color w:val="000000"/>
          <w:sz w:val="21"/>
          <w:szCs w:val="21"/>
        </w:rPr>
        <w:t xml:space="preserve"> </w:t>
      </w:r>
      <w:r w:rsidR="008F04B0">
        <w:rPr>
          <w:rFonts w:ascii="Cambria" w:eastAsia="Calibri" w:hAnsi="Cambria" w:cs="Times New Roman"/>
          <w:color w:val="000000"/>
          <w:sz w:val="21"/>
          <w:szCs w:val="21"/>
        </w:rPr>
        <w:t>im</w:t>
      </w:r>
      <w:r w:rsidRPr="00E16B52">
        <w:rPr>
          <w:rFonts w:ascii="Cambria" w:eastAsia="Calibri" w:hAnsi="Cambria" w:cs="Times New Roman"/>
          <w:color w:val="000000"/>
          <w:sz w:val="21"/>
          <w:szCs w:val="21"/>
        </w:rPr>
        <w:t>prison</w:t>
      </w:r>
      <w:r w:rsidR="008F04B0">
        <w:rPr>
          <w:rFonts w:ascii="Cambria" w:eastAsia="Calibri" w:hAnsi="Cambria" w:cs="Times New Roman"/>
          <w:color w:val="000000"/>
          <w:sz w:val="21"/>
          <w:szCs w:val="21"/>
        </w:rPr>
        <w:t>ment</w:t>
      </w:r>
      <w:r w:rsidRPr="00E16B52">
        <w:rPr>
          <w:rFonts w:ascii="Cambria" w:eastAsia="Calibri" w:hAnsi="Cambria" w:cs="Times New Roman"/>
          <w:color w:val="000000"/>
          <w:sz w:val="21"/>
          <w:szCs w:val="21"/>
        </w:rPr>
        <w:t xml:space="preserve"> for the armed robbery</w:t>
      </w:r>
      <w:r w:rsidR="008F04B0">
        <w:rPr>
          <w:rFonts w:ascii="Cambria" w:eastAsia="Calibri" w:hAnsi="Cambria" w:cs="Times New Roman"/>
          <w:color w:val="000000"/>
          <w:sz w:val="21"/>
          <w:szCs w:val="21"/>
        </w:rPr>
        <w:t xml:space="preserve"> and related offenses</w:t>
      </w:r>
      <w:r w:rsidRPr="00E16B52">
        <w:rPr>
          <w:rFonts w:ascii="Cambria" w:eastAsia="Calibri" w:hAnsi="Cambria" w:cs="Times New Roman"/>
          <w:color w:val="000000"/>
          <w:sz w:val="21"/>
          <w:szCs w:val="21"/>
        </w:rPr>
        <w:t xml:space="preserve"> that he committed three days </w:t>
      </w:r>
      <w:r w:rsidR="008F04B0">
        <w:rPr>
          <w:rFonts w:ascii="Cambria" w:eastAsia="Calibri" w:hAnsi="Cambria" w:cs="Times New Roman"/>
          <w:color w:val="000000"/>
          <w:sz w:val="21"/>
          <w:szCs w:val="21"/>
        </w:rPr>
        <w:t>later</w:t>
      </w:r>
      <w:r w:rsidRPr="00E16B52">
        <w:rPr>
          <w:rFonts w:ascii="Cambria" w:eastAsia="Calibri" w:hAnsi="Cambria" w:cs="Times New Roman"/>
          <w:color w:val="000000"/>
          <w:sz w:val="21"/>
          <w:szCs w:val="21"/>
        </w:rPr>
        <w:t xml:space="preserve">, </w:t>
      </w:r>
      <w:r w:rsidR="008F04B0">
        <w:rPr>
          <w:rFonts w:ascii="Cambria" w:eastAsia="Calibri" w:hAnsi="Cambria" w:cs="Times New Roman"/>
          <w:color w:val="000000"/>
          <w:sz w:val="21"/>
          <w:szCs w:val="21"/>
        </w:rPr>
        <w:t>while</w:t>
      </w:r>
      <w:r w:rsidRPr="00E16B52">
        <w:rPr>
          <w:rFonts w:ascii="Cambria" w:eastAsia="Calibri" w:hAnsi="Cambria" w:cs="Times New Roman"/>
          <w:color w:val="000000"/>
          <w:sz w:val="21"/>
          <w:szCs w:val="21"/>
        </w:rPr>
        <w:t xml:space="preserve"> </w:t>
      </w:r>
      <w:r w:rsidR="008F04B0" w:rsidRPr="00E16B52">
        <w:rPr>
          <w:rFonts w:ascii="Cambria" w:eastAsia="Calibri" w:hAnsi="Cambria" w:cs="Times New Roman"/>
          <w:color w:val="000000"/>
          <w:sz w:val="21"/>
          <w:szCs w:val="21"/>
        </w:rPr>
        <w:t>the capital punishment was</w:t>
      </w:r>
      <w:r w:rsidR="008F04B0">
        <w:rPr>
          <w:rFonts w:ascii="Cambria" w:eastAsia="Calibri" w:hAnsi="Cambria" w:cs="Times New Roman"/>
          <w:color w:val="000000"/>
          <w:sz w:val="21"/>
          <w:szCs w:val="21"/>
        </w:rPr>
        <w:t xml:space="preserve"> imposed</w:t>
      </w:r>
      <w:r w:rsidR="008F04B0" w:rsidRPr="00E16B52">
        <w:rPr>
          <w:rFonts w:ascii="Cambria" w:eastAsia="Calibri" w:hAnsi="Cambria" w:cs="Times New Roman"/>
          <w:color w:val="000000"/>
          <w:sz w:val="21"/>
          <w:szCs w:val="21"/>
        </w:rPr>
        <w:t xml:space="preserve"> </w:t>
      </w:r>
      <w:r w:rsidRPr="00E16B52">
        <w:rPr>
          <w:rFonts w:ascii="Cambria" w:eastAsia="Calibri" w:hAnsi="Cambria" w:cs="Times New Roman"/>
          <w:color w:val="000000"/>
          <w:sz w:val="21"/>
          <w:szCs w:val="21"/>
        </w:rPr>
        <w:t xml:space="preserve">for the crime of carjacking </w:t>
      </w:r>
      <w:r w:rsidR="00D71BEB">
        <w:rPr>
          <w:rFonts w:ascii="Cambria" w:eastAsia="Calibri" w:hAnsi="Cambria" w:cs="Times New Roman"/>
          <w:color w:val="000000"/>
          <w:sz w:val="21"/>
          <w:szCs w:val="21"/>
        </w:rPr>
        <w:t>since it</w:t>
      </w:r>
      <w:r w:rsidRPr="00E16B52">
        <w:rPr>
          <w:rFonts w:ascii="Cambria" w:eastAsia="Calibri" w:hAnsi="Cambria" w:cs="Times New Roman"/>
          <w:color w:val="000000"/>
          <w:sz w:val="21"/>
          <w:szCs w:val="21"/>
        </w:rPr>
        <w:t xml:space="preserve"> resulted in the death of Mr</w:t>
      </w:r>
      <w:r w:rsidR="007E2A34">
        <w:rPr>
          <w:rFonts w:ascii="Cambria" w:eastAsia="Calibri" w:hAnsi="Cambria" w:cs="Times New Roman"/>
          <w:color w:val="000000"/>
          <w:sz w:val="21"/>
          <w:szCs w:val="21"/>
        </w:rPr>
        <w:t>s</w:t>
      </w:r>
      <w:r w:rsidRPr="00E16B52">
        <w:rPr>
          <w:rFonts w:ascii="Cambria" w:eastAsia="Calibri" w:hAnsi="Cambria" w:cs="Times New Roman"/>
          <w:color w:val="000000"/>
          <w:sz w:val="21"/>
          <w:szCs w:val="21"/>
        </w:rPr>
        <w:t>. Slim and her granddaughter.</w:t>
      </w:r>
      <w:r>
        <w:rPr>
          <w:rStyle w:val="FootnoteReference"/>
          <w:rFonts w:ascii="Cambria" w:eastAsia="Calibri" w:hAnsi="Cambria" w:cs="Times New Roman"/>
          <w:color w:val="000000"/>
          <w:sz w:val="21"/>
          <w:szCs w:val="21"/>
        </w:rPr>
        <w:footnoteReference w:id="2"/>
      </w:r>
      <w:r w:rsidRPr="00E16B52">
        <w:rPr>
          <w:rFonts w:ascii="Cambria" w:eastAsia="Calibri" w:hAnsi="Cambria" w:cs="Times New Roman"/>
          <w:color w:val="000000"/>
          <w:sz w:val="21"/>
          <w:szCs w:val="21"/>
        </w:rPr>
        <w:t xml:space="preserve"> </w:t>
      </w:r>
      <w:r w:rsidR="00E16B52" w:rsidRPr="00E16B52">
        <w:rPr>
          <w:rFonts w:ascii="Cambria" w:eastAsia="Calibri" w:hAnsi="Cambria" w:cs="Times New Roman"/>
          <w:color w:val="000000"/>
          <w:sz w:val="21"/>
          <w:szCs w:val="21"/>
        </w:rPr>
        <w:t>During the proceeding</w:t>
      </w:r>
      <w:r w:rsidR="00E57FD5">
        <w:rPr>
          <w:rFonts w:ascii="Cambria" w:eastAsia="Calibri" w:hAnsi="Cambria" w:cs="Times New Roman"/>
          <w:color w:val="000000"/>
          <w:sz w:val="21"/>
          <w:szCs w:val="21"/>
        </w:rPr>
        <w:t>s</w:t>
      </w:r>
      <w:r w:rsidR="00E16B52" w:rsidRPr="00E16B52">
        <w:rPr>
          <w:rFonts w:ascii="Cambria" w:eastAsia="Calibri" w:hAnsi="Cambria" w:cs="Times New Roman"/>
          <w:color w:val="000000"/>
          <w:sz w:val="21"/>
          <w:szCs w:val="21"/>
        </w:rPr>
        <w:t xml:space="preserve">, the proposed beneficiary </w:t>
      </w:r>
      <w:r w:rsidR="00E57FD5">
        <w:rPr>
          <w:rFonts w:ascii="Cambria" w:eastAsia="Calibri" w:hAnsi="Cambria" w:cs="Times New Roman"/>
          <w:color w:val="000000"/>
          <w:sz w:val="21"/>
          <w:szCs w:val="21"/>
        </w:rPr>
        <w:t>was</w:t>
      </w:r>
      <w:r w:rsidR="00E16B52" w:rsidRPr="00E16B52">
        <w:rPr>
          <w:rFonts w:ascii="Cambria" w:eastAsia="Calibri" w:hAnsi="Cambria" w:cs="Times New Roman"/>
          <w:color w:val="000000"/>
          <w:sz w:val="21"/>
          <w:szCs w:val="21"/>
        </w:rPr>
        <w:t xml:space="preserve"> represented by two federal public defen</w:t>
      </w:r>
      <w:r w:rsidR="00E57FD5">
        <w:rPr>
          <w:rFonts w:ascii="Cambria" w:eastAsia="Calibri" w:hAnsi="Cambria" w:cs="Times New Roman"/>
          <w:color w:val="000000"/>
          <w:sz w:val="21"/>
          <w:szCs w:val="21"/>
        </w:rPr>
        <w:t>ders and by a private attorney</w:t>
      </w:r>
      <w:r w:rsidR="008F04B0">
        <w:rPr>
          <w:rFonts w:ascii="Cambria" w:eastAsia="Calibri" w:hAnsi="Cambria" w:cs="Times New Roman"/>
          <w:color w:val="000000"/>
          <w:sz w:val="21"/>
          <w:szCs w:val="21"/>
        </w:rPr>
        <w:t xml:space="preserve">. </w:t>
      </w:r>
    </w:p>
    <w:p w:rsidR="00E16B52" w:rsidRDefault="00E16B52" w:rsidP="00097347">
      <w:pPr>
        <w:pStyle w:val="ListParagraph"/>
        <w:spacing w:after="0" w:line="240" w:lineRule="auto"/>
        <w:ind w:left="0" w:firstLine="360"/>
        <w:jc w:val="both"/>
        <w:rPr>
          <w:rFonts w:ascii="Cambria" w:eastAsia="Calibri" w:hAnsi="Cambria" w:cs="Times New Roman"/>
          <w:color w:val="000000"/>
          <w:sz w:val="21"/>
          <w:szCs w:val="21"/>
        </w:rPr>
      </w:pPr>
    </w:p>
    <w:p w:rsidR="00E16B52" w:rsidRDefault="00E16B52" w:rsidP="00097347">
      <w:pPr>
        <w:pStyle w:val="ListParagraph"/>
        <w:numPr>
          <w:ilvl w:val="0"/>
          <w:numId w:val="5"/>
        </w:numPr>
        <w:spacing w:after="0" w:line="240" w:lineRule="auto"/>
        <w:ind w:left="0" w:firstLine="360"/>
        <w:jc w:val="both"/>
        <w:rPr>
          <w:rFonts w:ascii="Cambria" w:eastAsia="Calibri" w:hAnsi="Cambria" w:cs="Times New Roman"/>
          <w:color w:val="000000"/>
          <w:sz w:val="21"/>
          <w:szCs w:val="21"/>
        </w:rPr>
      </w:pPr>
      <w:r w:rsidRPr="00E16B52">
        <w:rPr>
          <w:rFonts w:ascii="Cambria" w:eastAsia="Calibri" w:hAnsi="Cambria" w:cs="Times New Roman"/>
          <w:color w:val="000000"/>
          <w:sz w:val="21"/>
          <w:szCs w:val="21"/>
        </w:rPr>
        <w:t xml:space="preserve">The applicants indicated that the </w:t>
      </w:r>
      <w:r w:rsidR="002271F3">
        <w:rPr>
          <w:rFonts w:ascii="Cambria" w:eastAsia="Calibri" w:hAnsi="Cambria" w:cs="Times New Roman"/>
          <w:color w:val="000000"/>
          <w:sz w:val="21"/>
          <w:szCs w:val="21"/>
        </w:rPr>
        <w:t>local</w:t>
      </w:r>
      <w:r w:rsidRPr="00E16B52">
        <w:rPr>
          <w:rFonts w:ascii="Cambria" w:eastAsia="Calibri" w:hAnsi="Cambria" w:cs="Times New Roman"/>
          <w:color w:val="000000"/>
          <w:sz w:val="21"/>
          <w:szCs w:val="21"/>
        </w:rPr>
        <w:t xml:space="preserve"> authorities dismissed the </w:t>
      </w:r>
      <w:r w:rsidR="002271F3">
        <w:rPr>
          <w:rFonts w:ascii="Cambria" w:eastAsia="Calibri" w:hAnsi="Cambria" w:cs="Times New Roman"/>
          <w:color w:val="000000"/>
          <w:sz w:val="21"/>
          <w:szCs w:val="21"/>
        </w:rPr>
        <w:t>remedies filed by the defense lawyers</w:t>
      </w:r>
      <w:r w:rsidRPr="00E16B52">
        <w:rPr>
          <w:rFonts w:ascii="Cambria" w:eastAsia="Calibri" w:hAnsi="Cambria" w:cs="Times New Roman"/>
          <w:color w:val="000000"/>
          <w:sz w:val="21"/>
          <w:szCs w:val="21"/>
        </w:rPr>
        <w:t xml:space="preserve">, </w:t>
      </w:r>
      <w:r w:rsidR="00E82C8F">
        <w:rPr>
          <w:rFonts w:ascii="Cambria" w:eastAsia="Calibri" w:hAnsi="Cambria" w:cs="Times New Roman"/>
          <w:color w:val="000000"/>
          <w:sz w:val="21"/>
          <w:szCs w:val="21"/>
        </w:rPr>
        <w:t xml:space="preserve">and that “no domestic court allowed </w:t>
      </w:r>
      <w:r w:rsidRPr="00E16B52">
        <w:rPr>
          <w:rFonts w:ascii="Cambria" w:eastAsia="Calibri" w:hAnsi="Cambria" w:cs="Times New Roman"/>
          <w:color w:val="000000"/>
          <w:sz w:val="21"/>
          <w:szCs w:val="21"/>
        </w:rPr>
        <w:t>Mr. Mitchell</w:t>
      </w:r>
      <w:r w:rsidR="00E82C8F">
        <w:rPr>
          <w:rFonts w:ascii="Cambria" w:eastAsia="Calibri" w:hAnsi="Cambria" w:cs="Times New Roman"/>
          <w:color w:val="000000"/>
          <w:sz w:val="21"/>
          <w:szCs w:val="21"/>
        </w:rPr>
        <w:t xml:space="preserve"> the opportunity to develop his claims in the post-conviction process,</w:t>
      </w:r>
      <w:r w:rsidRPr="00E16B52">
        <w:rPr>
          <w:rFonts w:ascii="Cambria" w:eastAsia="Calibri" w:hAnsi="Cambria" w:cs="Times New Roman"/>
          <w:color w:val="000000"/>
          <w:sz w:val="21"/>
          <w:szCs w:val="21"/>
        </w:rPr>
        <w:t xml:space="preserve"> in violation </w:t>
      </w:r>
      <w:r w:rsidR="00CF5EF6">
        <w:rPr>
          <w:rFonts w:ascii="Cambria" w:eastAsia="Calibri" w:hAnsi="Cambria" w:cs="Times New Roman"/>
          <w:color w:val="000000"/>
          <w:sz w:val="21"/>
          <w:szCs w:val="21"/>
        </w:rPr>
        <w:t>to</w:t>
      </w:r>
      <w:r>
        <w:rPr>
          <w:rFonts w:ascii="Cambria" w:eastAsia="Calibri" w:hAnsi="Cambria" w:cs="Times New Roman"/>
          <w:color w:val="000000"/>
          <w:sz w:val="21"/>
          <w:szCs w:val="21"/>
        </w:rPr>
        <w:t xml:space="preserve"> the American Declaration (of Rights and Duties of Man).” On October 3, 2016, the Supreme Court of the United States dismissed a “writ of certiorari,” thus exhausting the available domestic remedies regarding his conviction. </w:t>
      </w:r>
      <w:r w:rsidR="00DD44C9">
        <w:rPr>
          <w:rFonts w:ascii="Cambria" w:eastAsia="Calibri" w:hAnsi="Cambria" w:cs="Times New Roman"/>
          <w:color w:val="000000"/>
          <w:sz w:val="21"/>
          <w:szCs w:val="21"/>
        </w:rPr>
        <w:t xml:space="preserve">In addition, they informed that </w:t>
      </w:r>
      <w:r>
        <w:rPr>
          <w:rFonts w:ascii="Cambria" w:eastAsia="Calibri" w:hAnsi="Cambria" w:cs="Times New Roman"/>
          <w:color w:val="000000"/>
          <w:sz w:val="21"/>
          <w:szCs w:val="21"/>
        </w:rPr>
        <w:t>the pr</w:t>
      </w:r>
      <w:r w:rsidR="00CF5EF6">
        <w:rPr>
          <w:rFonts w:ascii="Cambria" w:eastAsia="Calibri" w:hAnsi="Cambria" w:cs="Times New Roman"/>
          <w:color w:val="000000"/>
          <w:sz w:val="21"/>
          <w:szCs w:val="21"/>
        </w:rPr>
        <w:t xml:space="preserve">oposed beneficiary has </w:t>
      </w:r>
      <w:r w:rsidR="00DD44C9">
        <w:rPr>
          <w:rFonts w:ascii="Cambria" w:eastAsia="Calibri" w:hAnsi="Cambria" w:cs="Times New Roman"/>
          <w:color w:val="000000"/>
          <w:sz w:val="21"/>
          <w:szCs w:val="21"/>
        </w:rPr>
        <w:t xml:space="preserve">currently </w:t>
      </w:r>
      <w:r w:rsidR="00CF5EF6">
        <w:rPr>
          <w:rFonts w:ascii="Cambria" w:eastAsia="Calibri" w:hAnsi="Cambria" w:cs="Times New Roman"/>
          <w:color w:val="000000"/>
          <w:sz w:val="21"/>
          <w:szCs w:val="21"/>
        </w:rPr>
        <w:t>filed a</w:t>
      </w:r>
      <w:r>
        <w:rPr>
          <w:rFonts w:ascii="Cambria" w:eastAsia="Calibri" w:hAnsi="Cambria" w:cs="Times New Roman"/>
          <w:color w:val="000000"/>
          <w:sz w:val="21"/>
          <w:szCs w:val="21"/>
        </w:rPr>
        <w:t xml:space="preserve"> remedy in order to repeal the application of the death penalty through lethal injection for considering this </w:t>
      </w:r>
      <w:r w:rsidR="00DD44C9">
        <w:rPr>
          <w:rFonts w:ascii="Cambria" w:eastAsia="Calibri" w:hAnsi="Cambria" w:cs="Times New Roman"/>
          <w:color w:val="000000"/>
          <w:sz w:val="21"/>
          <w:szCs w:val="21"/>
        </w:rPr>
        <w:t xml:space="preserve">to be </w:t>
      </w:r>
      <w:r>
        <w:rPr>
          <w:rFonts w:ascii="Cambria" w:eastAsia="Calibri" w:hAnsi="Cambria" w:cs="Times New Roman"/>
          <w:color w:val="000000"/>
          <w:sz w:val="21"/>
          <w:szCs w:val="21"/>
        </w:rPr>
        <w:t xml:space="preserve">a cruel, inhumane and degrading treatment (see para. 6 below). According to the applicants, this remedy </w:t>
      </w:r>
      <w:r w:rsidR="00DD44C9">
        <w:rPr>
          <w:rFonts w:ascii="Cambria" w:eastAsia="Calibri" w:hAnsi="Cambria" w:cs="Times New Roman"/>
          <w:color w:val="000000"/>
          <w:sz w:val="21"/>
          <w:szCs w:val="21"/>
        </w:rPr>
        <w:t>is</w:t>
      </w:r>
      <w:r>
        <w:rPr>
          <w:rFonts w:ascii="Cambria" w:eastAsia="Calibri" w:hAnsi="Cambria" w:cs="Times New Roman"/>
          <w:color w:val="000000"/>
          <w:sz w:val="21"/>
          <w:szCs w:val="21"/>
        </w:rPr>
        <w:t xml:space="preserve"> pending </w:t>
      </w:r>
      <w:r w:rsidR="00E57FD5">
        <w:rPr>
          <w:rFonts w:ascii="Cambria" w:eastAsia="Calibri" w:hAnsi="Cambria" w:cs="Times New Roman"/>
          <w:color w:val="000000"/>
          <w:sz w:val="21"/>
          <w:szCs w:val="21"/>
        </w:rPr>
        <w:t xml:space="preserve">a </w:t>
      </w:r>
      <w:r>
        <w:rPr>
          <w:rFonts w:ascii="Cambria" w:eastAsia="Calibri" w:hAnsi="Cambria" w:cs="Times New Roman"/>
          <w:color w:val="000000"/>
          <w:sz w:val="21"/>
          <w:szCs w:val="21"/>
        </w:rPr>
        <w:t xml:space="preserve">decision and once decided, it would allow for the execution of the proposed beneficiary to be requested within months. To this date, the proposed beneficiary </w:t>
      </w:r>
      <w:r w:rsidR="00DD44C9">
        <w:rPr>
          <w:rFonts w:ascii="Cambria" w:eastAsia="Calibri" w:hAnsi="Cambria" w:cs="Times New Roman"/>
          <w:color w:val="000000"/>
          <w:sz w:val="21"/>
          <w:szCs w:val="21"/>
        </w:rPr>
        <w:t>is</w:t>
      </w:r>
      <w:r>
        <w:rPr>
          <w:rFonts w:ascii="Cambria" w:eastAsia="Calibri" w:hAnsi="Cambria" w:cs="Times New Roman"/>
          <w:color w:val="000000"/>
          <w:sz w:val="21"/>
          <w:szCs w:val="21"/>
        </w:rPr>
        <w:t xml:space="preserve"> the only prisoner of indigenous origin on</w:t>
      </w:r>
      <w:r w:rsidR="00813D3C">
        <w:rPr>
          <w:rFonts w:ascii="Cambria" w:eastAsia="Calibri" w:hAnsi="Cambria" w:cs="Times New Roman"/>
          <w:color w:val="000000"/>
          <w:sz w:val="21"/>
          <w:szCs w:val="21"/>
        </w:rPr>
        <w:t xml:space="preserve"> </w:t>
      </w:r>
      <w:r>
        <w:rPr>
          <w:rFonts w:ascii="Cambria" w:eastAsia="Calibri" w:hAnsi="Cambria" w:cs="Times New Roman"/>
          <w:color w:val="000000"/>
          <w:sz w:val="21"/>
          <w:szCs w:val="21"/>
        </w:rPr>
        <w:t>death row.</w:t>
      </w:r>
      <w:r w:rsidR="00DD44C9">
        <w:rPr>
          <w:rFonts w:ascii="Cambria" w:eastAsia="Calibri" w:hAnsi="Cambria" w:cs="Times New Roman"/>
          <w:color w:val="000000"/>
          <w:sz w:val="21"/>
          <w:szCs w:val="21"/>
        </w:rPr>
        <w:t xml:space="preserve"> </w:t>
      </w:r>
    </w:p>
    <w:p w:rsidR="00E16B52" w:rsidRDefault="00E16B52" w:rsidP="00E16B52">
      <w:pPr>
        <w:spacing w:after="0" w:line="240" w:lineRule="auto"/>
        <w:jc w:val="both"/>
        <w:rPr>
          <w:rFonts w:ascii="Cambria" w:eastAsia="Calibri" w:hAnsi="Cambria" w:cs="Times New Roman"/>
          <w:color w:val="000000"/>
          <w:sz w:val="21"/>
          <w:szCs w:val="21"/>
        </w:rPr>
      </w:pPr>
    </w:p>
    <w:p w:rsidR="00E16B52" w:rsidRDefault="00E16B52" w:rsidP="00E16B52">
      <w:pPr>
        <w:pStyle w:val="ListParagraph"/>
        <w:numPr>
          <w:ilvl w:val="0"/>
          <w:numId w:val="4"/>
        </w:numPr>
        <w:spacing w:after="0" w:line="240" w:lineRule="auto"/>
        <w:jc w:val="both"/>
        <w:rPr>
          <w:rFonts w:ascii="Cambria" w:eastAsia="Calibri" w:hAnsi="Cambria" w:cs="Times New Roman"/>
          <w:color w:val="000000"/>
          <w:sz w:val="21"/>
          <w:szCs w:val="21"/>
        </w:rPr>
      </w:pPr>
      <w:r>
        <w:rPr>
          <w:rFonts w:ascii="Cambria" w:eastAsia="Calibri" w:hAnsi="Cambria" w:cs="Times New Roman"/>
          <w:color w:val="000000"/>
          <w:sz w:val="21"/>
          <w:szCs w:val="21"/>
        </w:rPr>
        <w:t xml:space="preserve">Main arguments on the alleged violations </w:t>
      </w:r>
      <w:r w:rsidR="00DD44C9">
        <w:rPr>
          <w:rFonts w:ascii="Cambria" w:eastAsia="Calibri" w:hAnsi="Cambria" w:cs="Times New Roman"/>
          <w:color w:val="000000"/>
          <w:sz w:val="21"/>
          <w:szCs w:val="21"/>
        </w:rPr>
        <w:t>with</w:t>
      </w:r>
      <w:r>
        <w:rPr>
          <w:rFonts w:ascii="Cambria" w:eastAsia="Calibri" w:hAnsi="Cambria" w:cs="Times New Roman"/>
          <w:color w:val="000000"/>
          <w:sz w:val="21"/>
          <w:szCs w:val="21"/>
        </w:rPr>
        <w:t>i</w:t>
      </w:r>
      <w:r w:rsidR="00E57FD5">
        <w:rPr>
          <w:rFonts w:ascii="Cambria" w:eastAsia="Calibri" w:hAnsi="Cambria" w:cs="Times New Roman"/>
          <w:color w:val="000000"/>
          <w:sz w:val="21"/>
          <w:szCs w:val="21"/>
        </w:rPr>
        <w:t>n the context of the proceedings</w:t>
      </w:r>
    </w:p>
    <w:p w:rsidR="00E16B52" w:rsidRDefault="00E16B52" w:rsidP="00E16B52">
      <w:pPr>
        <w:spacing w:after="0" w:line="240" w:lineRule="auto"/>
        <w:jc w:val="both"/>
        <w:rPr>
          <w:rFonts w:ascii="Cambria" w:eastAsia="Calibri" w:hAnsi="Cambria" w:cs="Times New Roman"/>
          <w:color w:val="000000"/>
          <w:sz w:val="21"/>
          <w:szCs w:val="21"/>
        </w:rPr>
      </w:pPr>
    </w:p>
    <w:p w:rsidR="00E16B52" w:rsidRDefault="00E16B52" w:rsidP="00097347">
      <w:pPr>
        <w:pStyle w:val="ListParagraph"/>
        <w:numPr>
          <w:ilvl w:val="0"/>
          <w:numId w:val="7"/>
        </w:numPr>
        <w:spacing w:after="0" w:line="240" w:lineRule="auto"/>
        <w:ind w:left="0" w:firstLine="360"/>
        <w:jc w:val="both"/>
        <w:rPr>
          <w:rFonts w:ascii="Cambria" w:eastAsia="Calibri" w:hAnsi="Cambria" w:cs="Times New Roman"/>
          <w:color w:val="000000"/>
          <w:sz w:val="21"/>
          <w:szCs w:val="21"/>
        </w:rPr>
      </w:pPr>
      <w:r>
        <w:rPr>
          <w:rFonts w:ascii="Cambria" w:eastAsia="Calibri" w:hAnsi="Cambria" w:cs="Times New Roman"/>
          <w:color w:val="000000"/>
          <w:sz w:val="21"/>
          <w:szCs w:val="21"/>
        </w:rPr>
        <w:t xml:space="preserve">The applicants mentioned the alleged violation of various rights enshrined in the American Declaration, such as: </w:t>
      </w:r>
      <w:r w:rsidR="00C7307D">
        <w:rPr>
          <w:rFonts w:ascii="Cambria" w:eastAsia="Calibri" w:hAnsi="Cambria" w:cs="Times New Roman"/>
          <w:color w:val="000000"/>
          <w:sz w:val="21"/>
          <w:szCs w:val="21"/>
        </w:rPr>
        <w:t>Article I (right to life, liberty and personal security), Article II (right to equality before the law)</w:t>
      </w:r>
      <w:r w:rsidR="00E57FD5" w:rsidRPr="00E57FD5">
        <w:rPr>
          <w:rStyle w:val="FootnoteReference"/>
          <w:rFonts w:ascii="Cambria" w:eastAsia="Calibri" w:hAnsi="Cambria" w:cs="Times New Roman"/>
          <w:color w:val="000000"/>
          <w:sz w:val="21"/>
          <w:szCs w:val="21"/>
        </w:rPr>
        <w:t xml:space="preserve"> </w:t>
      </w:r>
      <w:r w:rsidR="00E57FD5">
        <w:rPr>
          <w:rStyle w:val="FootnoteReference"/>
          <w:rFonts w:ascii="Cambria" w:eastAsia="Calibri" w:hAnsi="Cambria" w:cs="Times New Roman"/>
          <w:color w:val="000000"/>
          <w:sz w:val="21"/>
          <w:szCs w:val="21"/>
        </w:rPr>
        <w:footnoteReference w:id="3"/>
      </w:r>
      <w:r w:rsidR="00C7307D">
        <w:rPr>
          <w:rFonts w:ascii="Cambria" w:eastAsia="Calibri" w:hAnsi="Cambria" w:cs="Times New Roman"/>
          <w:color w:val="000000"/>
          <w:sz w:val="21"/>
          <w:szCs w:val="21"/>
        </w:rPr>
        <w:t>, Article III (right to religious freedom and worship)</w:t>
      </w:r>
      <w:r w:rsidR="00E57FD5" w:rsidRPr="00E57FD5">
        <w:rPr>
          <w:rStyle w:val="FootnoteReference"/>
          <w:rFonts w:ascii="Cambria" w:eastAsia="Calibri" w:hAnsi="Cambria" w:cs="Times New Roman"/>
          <w:color w:val="000000"/>
          <w:sz w:val="21"/>
          <w:szCs w:val="21"/>
        </w:rPr>
        <w:t xml:space="preserve"> </w:t>
      </w:r>
      <w:r w:rsidR="00E57FD5">
        <w:rPr>
          <w:rStyle w:val="FootnoteReference"/>
          <w:rFonts w:ascii="Cambria" w:eastAsia="Calibri" w:hAnsi="Cambria" w:cs="Times New Roman"/>
          <w:color w:val="000000"/>
          <w:sz w:val="21"/>
          <w:szCs w:val="21"/>
        </w:rPr>
        <w:footnoteReference w:id="4"/>
      </w:r>
      <w:r w:rsidR="00C7307D">
        <w:rPr>
          <w:rFonts w:ascii="Cambria" w:eastAsia="Calibri" w:hAnsi="Cambria" w:cs="Times New Roman"/>
          <w:color w:val="000000"/>
          <w:sz w:val="21"/>
          <w:szCs w:val="21"/>
        </w:rPr>
        <w:t xml:space="preserve">, Article XIII (right to the benefits of culture), Article XVIII (right to fair trail), Article XIX (right to nationality), Article XXV (right to protection from arbitrary arrest) and Article XXVI (right to due process of law).Therefore, the applicants filed petition P-627-17, </w:t>
      </w:r>
      <w:r w:rsidR="00DD44C9">
        <w:rPr>
          <w:rFonts w:ascii="Cambria" w:eastAsia="Calibri" w:hAnsi="Cambria" w:cs="Times New Roman"/>
          <w:color w:val="000000"/>
          <w:sz w:val="21"/>
          <w:szCs w:val="21"/>
        </w:rPr>
        <w:t xml:space="preserve">requesting that the Commission declare that the United States violated these rights under </w:t>
      </w:r>
      <w:r w:rsidR="00C7307D">
        <w:rPr>
          <w:rFonts w:ascii="Cambria" w:eastAsia="Calibri" w:hAnsi="Cambria" w:cs="Times New Roman"/>
          <w:color w:val="000000"/>
          <w:sz w:val="21"/>
          <w:szCs w:val="21"/>
        </w:rPr>
        <w:t xml:space="preserve">the American Declaration. </w:t>
      </w:r>
    </w:p>
    <w:p w:rsidR="002302B4" w:rsidRDefault="002302B4" w:rsidP="00097347">
      <w:pPr>
        <w:pStyle w:val="ListParagraph"/>
        <w:spacing w:after="0" w:line="240" w:lineRule="auto"/>
        <w:ind w:left="0" w:firstLine="360"/>
        <w:jc w:val="both"/>
        <w:rPr>
          <w:rFonts w:ascii="Cambria" w:eastAsia="Calibri" w:hAnsi="Cambria" w:cs="Times New Roman"/>
          <w:color w:val="000000"/>
          <w:sz w:val="21"/>
          <w:szCs w:val="21"/>
        </w:rPr>
      </w:pPr>
    </w:p>
    <w:p w:rsidR="00C7307D" w:rsidRDefault="00E57FD5" w:rsidP="00097347">
      <w:pPr>
        <w:pStyle w:val="ListParagraph"/>
        <w:numPr>
          <w:ilvl w:val="0"/>
          <w:numId w:val="7"/>
        </w:numPr>
        <w:spacing w:after="0" w:line="240" w:lineRule="auto"/>
        <w:ind w:left="0" w:firstLine="360"/>
        <w:jc w:val="both"/>
        <w:rPr>
          <w:rFonts w:ascii="Cambria" w:eastAsia="Calibri" w:hAnsi="Cambria" w:cs="Times New Roman"/>
          <w:color w:val="000000"/>
          <w:sz w:val="21"/>
          <w:szCs w:val="21"/>
        </w:rPr>
      </w:pPr>
      <w:r>
        <w:rPr>
          <w:rFonts w:ascii="Cambria" w:eastAsia="Calibri" w:hAnsi="Cambria" w:cs="Times New Roman"/>
          <w:color w:val="000000"/>
          <w:sz w:val="21"/>
          <w:szCs w:val="21"/>
        </w:rPr>
        <w:t>In Particular</w:t>
      </w:r>
      <w:r w:rsidR="00C7307D">
        <w:rPr>
          <w:rFonts w:ascii="Cambria" w:eastAsia="Calibri" w:hAnsi="Cambria" w:cs="Times New Roman"/>
          <w:color w:val="000000"/>
          <w:sz w:val="21"/>
          <w:szCs w:val="21"/>
        </w:rPr>
        <w:t>, the applicants pointed out that these alleged violation</w:t>
      </w:r>
      <w:r w:rsidR="008F39EF">
        <w:rPr>
          <w:rFonts w:ascii="Cambria" w:eastAsia="Calibri" w:hAnsi="Cambria" w:cs="Times New Roman"/>
          <w:color w:val="000000"/>
          <w:sz w:val="21"/>
          <w:szCs w:val="21"/>
        </w:rPr>
        <w:t>s</w:t>
      </w:r>
      <w:r w:rsidR="00C7307D">
        <w:rPr>
          <w:rFonts w:ascii="Cambria" w:eastAsia="Calibri" w:hAnsi="Cambria" w:cs="Times New Roman"/>
          <w:color w:val="000000"/>
          <w:sz w:val="21"/>
          <w:szCs w:val="21"/>
        </w:rPr>
        <w:t xml:space="preserve"> </w:t>
      </w:r>
      <w:r w:rsidR="008736C3">
        <w:rPr>
          <w:rFonts w:ascii="Cambria" w:eastAsia="Calibri" w:hAnsi="Cambria" w:cs="Times New Roman"/>
          <w:color w:val="000000"/>
          <w:sz w:val="21"/>
          <w:szCs w:val="21"/>
        </w:rPr>
        <w:t>are related to</w:t>
      </w:r>
      <w:r w:rsidR="00C7307D">
        <w:rPr>
          <w:rFonts w:ascii="Cambria" w:eastAsia="Calibri" w:hAnsi="Cambria" w:cs="Times New Roman"/>
          <w:color w:val="000000"/>
          <w:sz w:val="21"/>
          <w:szCs w:val="21"/>
        </w:rPr>
        <w:t xml:space="preserve"> </w:t>
      </w:r>
      <w:r w:rsidR="008736C3">
        <w:rPr>
          <w:rFonts w:ascii="Cambria" w:eastAsia="Calibri" w:hAnsi="Cambria" w:cs="Times New Roman"/>
          <w:color w:val="000000"/>
          <w:sz w:val="21"/>
          <w:szCs w:val="21"/>
        </w:rPr>
        <w:t>five</w:t>
      </w:r>
      <w:r w:rsidR="00C7307D">
        <w:rPr>
          <w:rFonts w:ascii="Cambria" w:eastAsia="Calibri" w:hAnsi="Cambria" w:cs="Times New Roman"/>
          <w:color w:val="000000"/>
          <w:sz w:val="21"/>
          <w:szCs w:val="21"/>
        </w:rPr>
        <w:t xml:space="preserve"> different concepts: </w:t>
      </w:r>
      <w:proofErr w:type="spellStart"/>
      <w:r w:rsidR="00C7307D">
        <w:rPr>
          <w:rFonts w:ascii="Cambria" w:eastAsia="Calibri" w:hAnsi="Cambria" w:cs="Times New Roman"/>
          <w:color w:val="000000"/>
          <w:sz w:val="21"/>
          <w:szCs w:val="21"/>
        </w:rPr>
        <w:t>i</w:t>
      </w:r>
      <w:proofErr w:type="spellEnd"/>
      <w:r w:rsidR="00C7307D">
        <w:rPr>
          <w:rFonts w:ascii="Cambria" w:eastAsia="Calibri" w:hAnsi="Cambria" w:cs="Times New Roman"/>
          <w:color w:val="000000"/>
          <w:sz w:val="21"/>
          <w:szCs w:val="21"/>
        </w:rPr>
        <w:t>) the arbitrary decision of applying the capital punishment to the proposed beneficiary in spite of the outright opposition of the Navajo people; ii) the alleged collusion between the federal authorities and the Navajo people to deprive the proposed beneficiary of his right to due process: iii) the ineffectiveness</w:t>
      </w:r>
      <w:r w:rsidR="00367661">
        <w:rPr>
          <w:rFonts w:ascii="Cambria" w:eastAsia="Calibri" w:hAnsi="Cambria" w:cs="Times New Roman"/>
          <w:color w:val="000000"/>
          <w:sz w:val="21"/>
          <w:szCs w:val="21"/>
        </w:rPr>
        <w:t xml:space="preserve"> of</w:t>
      </w:r>
      <w:r>
        <w:rPr>
          <w:rFonts w:ascii="Cambria" w:eastAsia="Calibri" w:hAnsi="Cambria" w:cs="Times New Roman"/>
          <w:color w:val="000000"/>
          <w:sz w:val="21"/>
          <w:szCs w:val="21"/>
        </w:rPr>
        <w:t xml:space="preserve"> the public defense during</w:t>
      </w:r>
      <w:r w:rsidR="00C7307D">
        <w:rPr>
          <w:rFonts w:ascii="Cambria" w:eastAsia="Calibri" w:hAnsi="Cambria" w:cs="Times New Roman"/>
          <w:color w:val="000000"/>
          <w:sz w:val="21"/>
          <w:szCs w:val="21"/>
        </w:rPr>
        <w:t xml:space="preserve"> the oral stage of the trial; iv) the ineffectiveness of the public de</w:t>
      </w:r>
      <w:r w:rsidR="000D5F9B">
        <w:rPr>
          <w:rFonts w:ascii="Cambria" w:eastAsia="Calibri" w:hAnsi="Cambria" w:cs="Times New Roman"/>
          <w:color w:val="000000"/>
          <w:sz w:val="21"/>
          <w:szCs w:val="21"/>
        </w:rPr>
        <w:t>fense during sentencing</w:t>
      </w:r>
      <w:r w:rsidR="008736C3">
        <w:rPr>
          <w:rFonts w:ascii="Cambria" w:eastAsia="Calibri" w:hAnsi="Cambria" w:cs="Times New Roman"/>
          <w:color w:val="000000"/>
          <w:sz w:val="21"/>
          <w:szCs w:val="21"/>
        </w:rPr>
        <w:t>;</w:t>
      </w:r>
      <w:r w:rsidR="00C7307D">
        <w:rPr>
          <w:rStyle w:val="FootnoteReference"/>
          <w:rFonts w:ascii="Cambria" w:eastAsia="Calibri" w:hAnsi="Cambria" w:cs="Times New Roman"/>
          <w:color w:val="000000"/>
          <w:sz w:val="21"/>
          <w:szCs w:val="21"/>
        </w:rPr>
        <w:footnoteReference w:id="5"/>
      </w:r>
      <w:r w:rsidR="00C7307D">
        <w:rPr>
          <w:rFonts w:ascii="Cambria" w:eastAsia="Calibri" w:hAnsi="Cambria" w:cs="Times New Roman"/>
          <w:color w:val="000000"/>
          <w:sz w:val="21"/>
          <w:szCs w:val="21"/>
        </w:rPr>
        <w:t xml:space="preserve"> </w:t>
      </w:r>
      <w:r w:rsidR="000D5F9B">
        <w:rPr>
          <w:rFonts w:ascii="Cambria" w:eastAsia="Calibri" w:hAnsi="Cambria" w:cs="Times New Roman"/>
          <w:color w:val="000000"/>
          <w:sz w:val="21"/>
          <w:szCs w:val="21"/>
        </w:rPr>
        <w:t xml:space="preserve">and </w:t>
      </w:r>
      <w:r w:rsidR="00C7307D">
        <w:rPr>
          <w:rFonts w:ascii="Cambria" w:eastAsia="Calibri" w:hAnsi="Cambria" w:cs="Times New Roman"/>
          <w:color w:val="000000"/>
          <w:sz w:val="21"/>
          <w:szCs w:val="21"/>
        </w:rPr>
        <w:t xml:space="preserve">v) the outright dismissal of the </w:t>
      </w:r>
      <w:r w:rsidR="00783EFC">
        <w:rPr>
          <w:rFonts w:ascii="Cambria" w:eastAsia="Calibri" w:hAnsi="Cambria" w:cs="Times New Roman"/>
          <w:color w:val="000000"/>
          <w:sz w:val="21"/>
          <w:szCs w:val="21"/>
        </w:rPr>
        <w:t>U.S. District Court for</w:t>
      </w:r>
      <w:r w:rsidR="00C7307D">
        <w:rPr>
          <w:rFonts w:ascii="Cambria" w:eastAsia="Calibri" w:hAnsi="Cambria" w:cs="Times New Roman"/>
          <w:color w:val="000000"/>
          <w:sz w:val="21"/>
          <w:szCs w:val="21"/>
        </w:rPr>
        <w:t xml:space="preserve"> the</w:t>
      </w:r>
      <w:r w:rsidR="003B39E0">
        <w:rPr>
          <w:rFonts w:ascii="Cambria" w:eastAsia="Calibri" w:hAnsi="Cambria" w:cs="Times New Roman"/>
          <w:color w:val="000000"/>
          <w:sz w:val="21"/>
          <w:szCs w:val="21"/>
        </w:rPr>
        <w:t xml:space="preserve"> District of Arizona to allow</w:t>
      </w:r>
      <w:r w:rsidR="00C7307D">
        <w:rPr>
          <w:rFonts w:ascii="Cambria" w:eastAsia="Calibri" w:hAnsi="Cambria" w:cs="Times New Roman"/>
          <w:color w:val="000000"/>
          <w:sz w:val="21"/>
          <w:szCs w:val="21"/>
        </w:rPr>
        <w:t xml:space="preserve"> a new he</w:t>
      </w:r>
      <w:r w:rsidR="002302B4">
        <w:rPr>
          <w:rFonts w:ascii="Cambria" w:eastAsia="Calibri" w:hAnsi="Cambria" w:cs="Times New Roman"/>
          <w:color w:val="000000"/>
          <w:sz w:val="21"/>
          <w:szCs w:val="21"/>
        </w:rPr>
        <w:t xml:space="preserve">aring on evidentiary issues. In that regard, the applicants indicated that the </w:t>
      </w:r>
      <w:r w:rsidR="003B39E0">
        <w:rPr>
          <w:rFonts w:ascii="Cambria" w:eastAsia="Calibri" w:hAnsi="Cambria" w:cs="Times New Roman"/>
          <w:color w:val="000000"/>
          <w:sz w:val="21"/>
          <w:szCs w:val="21"/>
        </w:rPr>
        <w:t>judicial</w:t>
      </w:r>
      <w:r w:rsidR="002302B4">
        <w:rPr>
          <w:rFonts w:ascii="Cambria" w:eastAsia="Calibri" w:hAnsi="Cambria" w:cs="Times New Roman"/>
          <w:color w:val="000000"/>
          <w:sz w:val="21"/>
          <w:szCs w:val="21"/>
        </w:rPr>
        <w:t xml:space="preserve"> authorities </w:t>
      </w:r>
      <w:r w:rsidR="008736C3">
        <w:rPr>
          <w:rFonts w:ascii="Cambria" w:eastAsia="Calibri" w:hAnsi="Cambria" w:cs="Times New Roman"/>
          <w:color w:val="000000"/>
          <w:sz w:val="21"/>
          <w:szCs w:val="21"/>
        </w:rPr>
        <w:t>ruled on these five claims</w:t>
      </w:r>
      <w:r w:rsidR="002302B4">
        <w:rPr>
          <w:rFonts w:ascii="Cambria" w:eastAsia="Calibri" w:hAnsi="Cambria" w:cs="Times New Roman"/>
          <w:color w:val="000000"/>
          <w:sz w:val="21"/>
          <w:szCs w:val="21"/>
        </w:rPr>
        <w:t xml:space="preserve">, dismissing all of them, thus exhausting the domestic remedies </w:t>
      </w:r>
      <w:r w:rsidR="008736C3">
        <w:rPr>
          <w:rFonts w:ascii="Cambria" w:eastAsia="Calibri" w:hAnsi="Cambria" w:cs="Times New Roman"/>
          <w:color w:val="000000"/>
          <w:sz w:val="21"/>
          <w:szCs w:val="21"/>
        </w:rPr>
        <w:t>after</w:t>
      </w:r>
      <w:r w:rsidR="002302B4">
        <w:rPr>
          <w:rFonts w:ascii="Cambria" w:eastAsia="Calibri" w:hAnsi="Cambria" w:cs="Times New Roman"/>
          <w:color w:val="000000"/>
          <w:sz w:val="21"/>
          <w:szCs w:val="21"/>
        </w:rPr>
        <w:t xml:space="preserve"> the Supreme Court’s decision of October 3, 2016.</w:t>
      </w:r>
      <w:r w:rsidR="002302B4">
        <w:rPr>
          <w:rStyle w:val="FootnoteReference"/>
          <w:rFonts w:ascii="Cambria" w:eastAsia="Calibri" w:hAnsi="Cambria" w:cs="Times New Roman"/>
          <w:color w:val="000000"/>
          <w:sz w:val="21"/>
          <w:szCs w:val="21"/>
        </w:rPr>
        <w:footnoteReference w:id="6"/>
      </w:r>
      <w:r w:rsidR="002302B4">
        <w:rPr>
          <w:rFonts w:ascii="Cambria" w:eastAsia="Calibri" w:hAnsi="Cambria" w:cs="Times New Roman"/>
          <w:color w:val="000000"/>
          <w:sz w:val="21"/>
          <w:szCs w:val="21"/>
        </w:rPr>
        <w:t xml:space="preserve"> Currently, the only remedy pending </w:t>
      </w:r>
      <w:r w:rsidR="008736C3">
        <w:rPr>
          <w:rFonts w:ascii="Cambria" w:eastAsia="Calibri" w:hAnsi="Cambria" w:cs="Times New Roman"/>
          <w:color w:val="000000"/>
          <w:sz w:val="21"/>
          <w:szCs w:val="21"/>
        </w:rPr>
        <w:t>is</w:t>
      </w:r>
      <w:r w:rsidR="002302B4">
        <w:rPr>
          <w:rFonts w:ascii="Cambria" w:eastAsia="Calibri" w:hAnsi="Cambria" w:cs="Times New Roman"/>
          <w:color w:val="000000"/>
          <w:sz w:val="21"/>
          <w:szCs w:val="21"/>
        </w:rPr>
        <w:t xml:space="preserve"> the one filed regarding the application of the lethal injection. </w:t>
      </w:r>
    </w:p>
    <w:p w:rsidR="002302B4" w:rsidRDefault="002302B4" w:rsidP="00097347">
      <w:pPr>
        <w:pStyle w:val="ListParagraph"/>
        <w:spacing w:after="0" w:line="240" w:lineRule="auto"/>
        <w:ind w:left="0" w:firstLine="360"/>
        <w:jc w:val="both"/>
        <w:rPr>
          <w:rFonts w:ascii="Cambria" w:eastAsia="Calibri" w:hAnsi="Cambria" w:cs="Times New Roman"/>
          <w:color w:val="000000"/>
          <w:sz w:val="21"/>
          <w:szCs w:val="21"/>
        </w:rPr>
      </w:pPr>
    </w:p>
    <w:p w:rsidR="002302B4" w:rsidRDefault="002302B4" w:rsidP="00097347">
      <w:pPr>
        <w:pStyle w:val="ListParagraph"/>
        <w:numPr>
          <w:ilvl w:val="0"/>
          <w:numId w:val="7"/>
        </w:numPr>
        <w:spacing w:after="0" w:line="240" w:lineRule="auto"/>
        <w:ind w:left="0" w:firstLine="360"/>
        <w:jc w:val="both"/>
        <w:rPr>
          <w:rFonts w:ascii="Cambria" w:eastAsia="Calibri" w:hAnsi="Cambria" w:cs="Times New Roman"/>
          <w:color w:val="000000"/>
          <w:sz w:val="21"/>
          <w:szCs w:val="21"/>
        </w:rPr>
      </w:pPr>
      <w:r>
        <w:rPr>
          <w:rFonts w:ascii="Cambria" w:eastAsia="Calibri" w:hAnsi="Cambria" w:cs="Times New Roman"/>
          <w:color w:val="000000"/>
          <w:sz w:val="21"/>
          <w:szCs w:val="21"/>
        </w:rPr>
        <w:t xml:space="preserve">In regard to the </w:t>
      </w:r>
      <w:r w:rsidR="003B39E0">
        <w:rPr>
          <w:rFonts w:ascii="Cambria" w:eastAsia="Calibri" w:hAnsi="Cambria" w:cs="Times New Roman"/>
          <w:color w:val="000000"/>
          <w:sz w:val="21"/>
          <w:szCs w:val="21"/>
        </w:rPr>
        <w:t>method of execution</w:t>
      </w:r>
      <w:r>
        <w:rPr>
          <w:rFonts w:ascii="Cambria" w:eastAsia="Calibri" w:hAnsi="Cambria" w:cs="Times New Roman"/>
          <w:color w:val="000000"/>
          <w:sz w:val="21"/>
          <w:szCs w:val="21"/>
        </w:rPr>
        <w:t>, the applicants argued that the lethal injection constitutes a cruel, inhumane and degrading treatment</w:t>
      </w:r>
      <w:r w:rsidR="0004619C">
        <w:rPr>
          <w:rFonts w:ascii="Cambria" w:eastAsia="Calibri" w:hAnsi="Cambria" w:cs="Times New Roman"/>
          <w:color w:val="000000"/>
          <w:sz w:val="21"/>
          <w:szCs w:val="21"/>
        </w:rPr>
        <w:t xml:space="preserve">, due to the unnecessary risk of </w:t>
      </w:r>
      <w:r>
        <w:rPr>
          <w:rFonts w:ascii="Cambria" w:eastAsia="Calibri" w:hAnsi="Cambria" w:cs="Times New Roman"/>
          <w:color w:val="000000"/>
          <w:sz w:val="21"/>
          <w:szCs w:val="21"/>
        </w:rPr>
        <w:t>inflict</w:t>
      </w:r>
      <w:r w:rsidR="0004619C">
        <w:rPr>
          <w:rFonts w:ascii="Cambria" w:eastAsia="Calibri" w:hAnsi="Cambria" w:cs="Times New Roman"/>
          <w:color w:val="000000"/>
          <w:sz w:val="21"/>
          <w:szCs w:val="21"/>
        </w:rPr>
        <w:t>ing</w:t>
      </w:r>
      <w:r>
        <w:rPr>
          <w:rFonts w:ascii="Cambria" w:eastAsia="Calibri" w:hAnsi="Cambria" w:cs="Times New Roman"/>
          <w:color w:val="000000"/>
          <w:sz w:val="21"/>
          <w:szCs w:val="21"/>
        </w:rPr>
        <w:t xml:space="preserve"> unbearable pain. Moreover, they argued that the authorities, to this date, have not develop</w:t>
      </w:r>
      <w:r w:rsidR="00813D3C">
        <w:rPr>
          <w:rFonts w:ascii="Cambria" w:eastAsia="Calibri" w:hAnsi="Cambria" w:cs="Times New Roman"/>
          <w:color w:val="000000"/>
          <w:sz w:val="21"/>
          <w:szCs w:val="21"/>
        </w:rPr>
        <w:t>ed</w:t>
      </w:r>
      <w:r>
        <w:rPr>
          <w:rFonts w:ascii="Cambria" w:eastAsia="Calibri" w:hAnsi="Cambria" w:cs="Times New Roman"/>
          <w:color w:val="000000"/>
          <w:sz w:val="21"/>
          <w:szCs w:val="21"/>
        </w:rPr>
        <w:t xml:space="preserve"> a protocol in order to protect the persons sentenced to death from being subject</w:t>
      </w:r>
      <w:r w:rsidR="003B39E0">
        <w:rPr>
          <w:rFonts w:ascii="Cambria" w:eastAsia="Calibri" w:hAnsi="Cambria" w:cs="Times New Roman"/>
          <w:color w:val="000000"/>
          <w:sz w:val="21"/>
          <w:szCs w:val="21"/>
        </w:rPr>
        <w:t>ed</w:t>
      </w:r>
      <w:r>
        <w:rPr>
          <w:rFonts w:ascii="Cambria" w:eastAsia="Calibri" w:hAnsi="Cambria" w:cs="Times New Roman"/>
          <w:color w:val="000000"/>
          <w:sz w:val="21"/>
          <w:szCs w:val="21"/>
        </w:rPr>
        <w:t xml:space="preserve"> to cruel punishments. </w:t>
      </w:r>
    </w:p>
    <w:p w:rsidR="002302B4" w:rsidRDefault="002302B4" w:rsidP="00097347">
      <w:pPr>
        <w:pStyle w:val="ListParagraph"/>
        <w:spacing w:after="0" w:line="240" w:lineRule="auto"/>
        <w:ind w:left="0" w:firstLine="360"/>
        <w:jc w:val="both"/>
        <w:rPr>
          <w:rFonts w:ascii="Cambria" w:eastAsia="Calibri" w:hAnsi="Cambria" w:cs="Times New Roman"/>
          <w:color w:val="000000"/>
          <w:sz w:val="21"/>
          <w:szCs w:val="21"/>
        </w:rPr>
      </w:pPr>
    </w:p>
    <w:p w:rsidR="002302B4" w:rsidRPr="00E16B52" w:rsidRDefault="002302B4" w:rsidP="00097347">
      <w:pPr>
        <w:pStyle w:val="ListParagraph"/>
        <w:numPr>
          <w:ilvl w:val="0"/>
          <w:numId w:val="7"/>
        </w:numPr>
        <w:spacing w:after="0" w:line="240" w:lineRule="auto"/>
        <w:ind w:left="0" w:firstLine="360"/>
        <w:jc w:val="both"/>
        <w:rPr>
          <w:rFonts w:ascii="Cambria" w:eastAsia="Calibri" w:hAnsi="Cambria" w:cs="Times New Roman"/>
          <w:color w:val="000000"/>
          <w:sz w:val="21"/>
          <w:szCs w:val="21"/>
        </w:rPr>
      </w:pPr>
      <w:r>
        <w:rPr>
          <w:rFonts w:ascii="Cambria" w:eastAsia="Calibri" w:hAnsi="Cambria" w:cs="Times New Roman"/>
          <w:color w:val="000000"/>
          <w:sz w:val="21"/>
          <w:szCs w:val="21"/>
        </w:rPr>
        <w:t xml:space="preserve">In light of the aforementioned arguments, the applicants urged the Inter-American Commission to request the </w:t>
      </w:r>
      <w:r w:rsidR="0004619C">
        <w:rPr>
          <w:rFonts w:ascii="Cambria" w:eastAsia="Calibri" w:hAnsi="Cambria" w:cs="Times New Roman"/>
          <w:color w:val="000000"/>
          <w:sz w:val="21"/>
          <w:szCs w:val="21"/>
        </w:rPr>
        <w:t>United States to</w:t>
      </w:r>
      <w:r w:rsidR="00813D3C">
        <w:rPr>
          <w:rFonts w:ascii="Cambria" w:eastAsia="Calibri" w:hAnsi="Cambria" w:cs="Times New Roman"/>
          <w:color w:val="000000"/>
          <w:sz w:val="21"/>
          <w:szCs w:val="21"/>
        </w:rPr>
        <w:t xml:space="preserve"> suspen</w:t>
      </w:r>
      <w:r w:rsidR="0004619C">
        <w:rPr>
          <w:rFonts w:ascii="Cambria" w:eastAsia="Calibri" w:hAnsi="Cambria" w:cs="Times New Roman"/>
          <w:color w:val="000000"/>
          <w:sz w:val="21"/>
          <w:szCs w:val="21"/>
        </w:rPr>
        <w:t>d</w:t>
      </w:r>
      <w:r w:rsidR="00367661">
        <w:rPr>
          <w:rFonts w:ascii="Cambria" w:eastAsia="Calibri" w:hAnsi="Cambria" w:cs="Times New Roman"/>
          <w:color w:val="000000"/>
          <w:sz w:val="21"/>
          <w:szCs w:val="21"/>
        </w:rPr>
        <w:t xml:space="preserve"> </w:t>
      </w:r>
      <w:r w:rsidR="00813D3C">
        <w:rPr>
          <w:rFonts w:ascii="Cambria" w:eastAsia="Calibri" w:hAnsi="Cambria" w:cs="Times New Roman"/>
          <w:color w:val="000000"/>
          <w:sz w:val="21"/>
          <w:szCs w:val="21"/>
        </w:rPr>
        <w:t xml:space="preserve">the </w:t>
      </w:r>
      <w:r w:rsidR="00367661">
        <w:rPr>
          <w:rFonts w:ascii="Cambria" w:eastAsia="Calibri" w:hAnsi="Cambria" w:cs="Times New Roman"/>
          <w:color w:val="000000"/>
          <w:sz w:val="21"/>
          <w:szCs w:val="21"/>
        </w:rPr>
        <w:t xml:space="preserve">execution </w:t>
      </w:r>
      <w:r w:rsidR="00813D3C">
        <w:rPr>
          <w:rFonts w:ascii="Cambria" w:eastAsia="Calibri" w:hAnsi="Cambria" w:cs="Times New Roman"/>
          <w:color w:val="000000"/>
          <w:sz w:val="21"/>
          <w:szCs w:val="21"/>
        </w:rPr>
        <w:t xml:space="preserve">of </w:t>
      </w:r>
      <w:r w:rsidR="0004619C">
        <w:rPr>
          <w:rFonts w:ascii="Cambria" w:eastAsia="Calibri" w:hAnsi="Cambria" w:cs="Times New Roman"/>
          <w:color w:val="000000"/>
          <w:sz w:val="21"/>
          <w:szCs w:val="21"/>
        </w:rPr>
        <w:t xml:space="preserve">the </w:t>
      </w:r>
      <w:r w:rsidR="00813D3C">
        <w:rPr>
          <w:rFonts w:ascii="Cambria" w:eastAsia="Calibri" w:hAnsi="Cambria" w:cs="Times New Roman"/>
          <w:color w:val="000000"/>
          <w:sz w:val="21"/>
          <w:szCs w:val="21"/>
        </w:rPr>
        <w:t xml:space="preserve">death penalty imposed on </w:t>
      </w:r>
      <w:r>
        <w:rPr>
          <w:rFonts w:ascii="Cambria" w:eastAsia="Calibri" w:hAnsi="Cambria" w:cs="Times New Roman"/>
          <w:color w:val="000000"/>
          <w:sz w:val="21"/>
          <w:szCs w:val="21"/>
        </w:rPr>
        <w:t>the proposed beneficiary</w:t>
      </w:r>
      <w:r w:rsidR="0004619C">
        <w:rPr>
          <w:rFonts w:ascii="Cambria" w:eastAsia="Calibri" w:hAnsi="Cambria" w:cs="Times New Roman"/>
          <w:color w:val="000000"/>
          <w:sz w:val="21"/>
          <w:szCs w:val="21"/>
        </w:rPr>
        <w:t>,</w:t>
      </w:r>
      <w:r>
        <w:rPr>
          <w:rFonts w:ascii="Cambria" w:eastAsia="Calibri" w:hAnsi="Cambria" w:cs="Times New Roman"/>
          <w:color w:val="000000"/>
          <w:sz w:val="21"/>
          <w:szCs w:val="21"/>
        </w:rPr>
        <w:t xml:space="preserve"> i</w:t>
      </w:r>
      <w:r w:rsidR="00813D3C">
        <w:rPr>
          <w:rFonts w:ascii="Cambria" w:eastAsia="Calibri" w:hAnsi="Cambria" w:cs="Times New Roman"/>
          <w:color w:val="000000"/>
          <w:sz w:val="21"/>
          <w:szCs w:val="21"/>
        </w:rPr>
        <w:t>n order to</w:t>
      </w:r>
      <w:r>
        <w:rPr>
          <w:rFonts w:ascii="Cambria" w:eastAsia="Calibri" w:hAnsi="Cambria" w:cs="Times New Roman"/>
          <w:color w:val="000000"/>
          <w:sz w:val="21"/>
          <w:szCs w:val="21"/>
        </w:rPr>
        <w:t xml:space="preserve"> allow the Commission to </w:t>
      </w:r>
      <w:r w:rsidR="0004619C">
        <w:rPr>
          <w:rFonts w:ascii="Cambria" w:eastAsia="Calibri" w:hAnsi="Cambria" w:cs="Times New Roman"/>
          <w:color w:val="000000"/>
          <w:sz w:val="21"/>
          <w:szCs w:val="21"/>
        </w:rPr>
        <w:t>analyze</w:t>
      </w:r>
      <w:r>
        <w:rPr>
          <w:rFonts w:ascii="Cambria" w:eastAsia="Calibri" w:hAnsi="Cambria" w:cs="Times New Roman"/>
          <w:color w:val="000000"/>
          <w:sz w:val="21"/>
          <w:szCs w:val="21"/>
        </w:rPr>
        <w:t xml:space="preserve"> the merits of the petition. </w:t>
      </w:r>
    </w:p>
    <w:p w:rsidR="008A069E" w:rsidRDefault="008A069E" w:rsidP="008A069E">
      <w:pPr>
        <w:pStyle w:val="ListParagraph"/>
        <w:spacing w:after="0" w:line="240" w:lineRule="auto"/>
        <w:ind w:left="1440"/>
        <w:jc w:val="both"/>
        <w:rPr>
          <w:rFonts w:ascii="Cambria" w:eastAsia="Calibri" w:hAnsi="Cambria" w:cs="Times New Roman"/>
          <w:b/>
          <w:color w:val="000000"/>
          <w:sz w:val="21"/>
          <w:szCs w:val="21"/>
        </w:rPr>
      </w:pPr>
    </w:p>
    <w:p w:rsidR="008A069E" w:rsidRDefault="002302B4" w:rsidP="008A069E">
      <w:pPr>
        <w:pStyle w:val="ListParagraph"/>
        <w:numPr>
          <w:ilvl w:val="0"/>
          <w:numId w:val="1"/>
        </w:numPr>
        <w:spacing w:after="0" w:line="240" w:lineRule="auto"/>
        <w:jc w:val="both"/>
        <w:rPr>
          <w:rFonts w:ascii="Cambria" w:eastAsia="Calibri" w:hAnsi="Cambria" w:cs="Times New Roman"/>
          <w:b/>
          <w:color w:val="000000"/>
          <w:sz w:val="21"/>
          <w:szCs w:val="21"/>
        </w:rPr>
      </w:pPr>
      <w:r>
        <w:rPr>
          <w:rFonts w:ascii="Cambria" w:eastAsia="Calibri" w:hAnsi="Cambria" w:cs="Times New Roman"/>
          <w:b/>
          <w:color w:val="000000"/>
          <w:sz w:val="21"/>
          <w:szCs w:val="21"/>
        </w:rPr>
        <w:t xml:space="preserve">ANALYSIS OF THE REQUIREMENTS </w:t>
      </w:r>
      <w:r w:rsidR="008A069E" w:rsidRPr="00881324">
        <w:rPr>
          <w:rFonts w:ascii="Cambria" w:eastAsia="Calibri" w:hAnsi="Cambria" w:cs="Times New Roman"/>
          <w:b/>
          <w:color w:val="000000"/>
          <w:sz w:val="21"/>
          <w:szCs w:val="21"/>
        </w:rPr>
        <w:t>OF SERIOUSNESS, URGENCY AND IRREPARABLE HARM</w:t>
      </w:r>
    </w:p>
    <w:p w:rsidR="00FB66BD" w:rsidRDefault="00FB66BD" w:rsidP="00FB66BD">
      <w:pPr>
        <w:pStyle w:val="ListParagraph"/>
        <w:spacing w:after="0" w:line="240" w:lineRule="auto"/>
        <w:jc w:val="both"/>
        <w:rPr>
          <w:rFonts w:ascii="Cambria" w:eastAsia="Calibri" w:hAnsi="Cambria" w:cs="Times New Roman"/>
          <w:b/>
          <w:color w:val="000000"/>
          <w:sz w:val="21"/>
          <w:szCs w:val="21"/>
        </w:rPr>
      </w:pPr>
    </w:p>
    <w:p w:rsidR="00FB66BD" w:rsidRPr="003223FA" w:rsidRDefault="00FB66BD" w:rsidP="00097347">
      <w:pPr>
        <w:numPr>
          <w:ilvl w:val="0"/>
          <w:numId w:val="11"/>
        </w:numPr>
        <w:spacing w:after="0" w:line="240" w:lineRule="auto"/>
        <w:ind w:left="0" w:firstLine="360"/>
        <w:jc w:val="both"/>
        <w:rPr>
          <w:rFonts w:ascii="Cambria" w:eastAsia="Calibri" w:hAnsi="Cambria" w:cs="Times New Roman"/>
          <w:sz w:val="21"/>
          <w:szCs w:val="21"/>
        </w:rPr>
      </w:pPr>
      <w:r w:rsidRPr="00AF09D6">
        <w:rPr>
          <w:rFonts w:ascii="Cambria" w:hAnsi="Cambria"/>
          <w:color w:val="000000"/>
          <w:sz w:val="21"/>
          <w:szCs w:val="21"/>
        </w:rPr>
        <w:t>The precautionary measures mechanism is part of the Commi</w:t>
      </w:r>
      <w:r w:rsidR="008F04B0">
        <w:rPr>
          <w:rFonts w:ascii="Cambria" w:hAnsi="Cambria"/>
          <w:color w:val="000000"/>
          <w:sz w:val="21"/>
          <w:szCs w:val="21"/>
        </w:rPr>
        <w:t>ssion’s function of overseeing Member S</w:t>
      </w:r>
      <w:r w:rsidRPr="00AF09D6">
        <w:rPr>
          <w:rFonts w:ascii="Cambria" w:hAnsi="Cambria"/>
          <w:color w:val="000000"/>
          <w:sz w:val="21"/>
          <w:szCs w:val="21"/>
        </w:rPr>
        <w:t>tate</w:t>
      </w:r>
      <w:r w:rsidR="008F04B0">
        <w:rPr>
          <w:rFonts w:ascii="Cambria" w:hAnsi="Cambria"/>
          <w:color w:val="000000"/>
          <w:sz w:val="21"/>
          <w:szCs w:val="21"/>
        </w:rPr>
        <w:t>s’</w:t>
      </w:r>
      <w:r w:rsidRPr="00AF09D6">
        <w:rPr>
          <w:rFonts w:ascii="Cambria" w:hAnsi="Cambria"/>
          <w:color w:val="000000"/>
          <w:sz w:val="21"/>
          <w:szCs w:val="21"/>
        </w:rPr>
        <w:t xml:space="preserve"> compliance with the human rights obligations set forth in the Charter of t</w:t>
      </w:r>
      <w:r w:rsidR="0041308E">
        <w:rPr>
          <w:rFonts w:ascii="Cambria" w:hAnsi="Cambria"/>
          <w:color w:val="000000"/>
          <w:sz w:val="21"/>
          <w:szCs w:val="21"/>
        </w:rPr>
        <w:t>he OAS,</w:t>
      </w:r>
      <w:r w:rsidR="008F04B0">
        <w:rPr>
          <w:rFonts w:ascii="Cambria" w:hAnsi="Cambria"/>
          <w:color w:val="000000"/>
          <w:sz w:val="21"/>
          <w:szCs w:val="21"/>
        </w:rPr>
        <w:t xml:space="preserve"> and in the case of </w:t>
      </w:r>
      <w:r w:rsidR="0041308E">
        <w:rPr>
          <w:rFonts w:ascii="Cambria" w:hAnsi="Cambria"/>
          <w:color w:val="000000"/>
          <w:sz w:val="21"/>
          <w:szCs w:val="21"/>
        </w:rPr>
        <w:t>those</w:t>
      </w:r>
      <w:r w:rsidR="008F04B0">
        <w:rPr>
          <w:rFonts w:ascii="Cambria" w:hAnsi="Cambria"/>
          <w:color w:val="000000"/>
          <w:sz w:val="21"/>
          <w:szCs w:val="21"/>
        </w:rPr>
        <w:t xml:space="preserve"> S</w:t>
      </w:r>
      <w:r w:rsidRPr="00AF09D6">
        <w:rPr>
          <w:rFonts w:ascii="Cambria" w:hAnsi="Cambria"/>
          <w:color w:val="000000"/>
          <w:sz w:val="21"/>
          <w:szCs w:val="21"/>
        </w:rPr>
        <w:t xml:space="preserve">tates that have not </w:t>
      </w:r>
      <w:r w:rsidR="0041308E">
        <w:rPr>
          <w:rFonts w:ascii="Cambria" w:hAnsi="Cambria"/>
          <w:color w:val="000000"/>
          <w:sz w:val="21"/>
          <w:szCs w:val="21"/>
        </w:rPr>
        <w:t xml:space="preserve">yet </w:t>
      </w:r>
      <w:r w:rsidRPr="00AF09D6">
        <w:rPr>
          <w:rFonts w:ascii="Cambria" w:hAnsi="Cambria"/>
          <w:color w:val="000000"/>
          <w:sz w:val="21"/>
          <w:szCs w:val="21"/>
        </w:rPr>
        <w:t xml:space="preserve">ratified the American Convention on Human Rights, </w:t>
      </w:r>
      <w:r w:rsidR="0041308E">
        <w:rPr>
          <w:rFonts w:ascii="Cambria" w:hAnsi="Cambria"/>
          <w:color w:val="000000"/>
          <w:sz w:val="21"/>
          <w:szCs w:val="21"/>
        </w:rPr>
        <w:t xml:space="preserve">these obligations are set </w:t>
      </w:r>
      <w:r w:rsidRPr="00AF09D6">
        <w:rPr>
          <w:rFonts w:ascii="Cambria" w:hAnsi="Cambria"/>
          <w:color w:val="000000"/>
          <w:sz w:val="21"/>
          <w:szCs w:val="21"/>
        </w:rPr>
        <w:t>in the American Declaration of the Rights and Duties of Man. These general oversight functions are set forth in Article 18 of the IACHR Statute, and the precautionary measures mechanism is described in Article 25 of the Commission’s Rules of Procedure. According to this Article, the Commission issues precautionary measures in situations that are serious and urgent, and where such measures are necessary to prevent irreparable harm to persons</w:t>
      </w:r>
      <w:r>
        <w:rPr>
          <w:rFonts w:ascii="Cambria" w:hAnsi="Cambria"/>
          <w:color w:val="000000"/>
          <w:sz w:val="21"/>
          <w:szCs w:val="21"/>
        </w:rPr>
        <w:t>.</w:t>
      </w:r>
    </w:p>
    <w:p w:rsidR="00FB66BD" w:rsidRPr="00FE3CE7" w:rsidRDefault="00FB66BD" w:rsidP="00FB66BD">
      <w:pPr>
        <w:spacing w:after="0" w:line="240" w:lineRule="auto"/>
        <w:jc w:val="both"/>
        <w:rPr>
          <w:rFonts w:ascii="Cambria" w:eastAsia="Calibri" w:hAnsi="Cambria" w:cs="Times New Roman"/>
          <w:sz w:val="21"/>
          <w:szCs w:val="21"/>
        </w:rPr>
      </w:pPr>
    </w:p>
    <w:p w:rsidR="00FB66BD" w:rsidRPr="00FB66BD"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D1283C">
        <w:rPr>
          <w:rFonts w:ascii="Cambria" w:hAnsi="Cambria"/>
          <w:color w:val="000000"/>
          <w:sz w:val="21"/>
          <w:szCs w:val="21"/>
        </w:rPr>
        <w:t xml:space="preserve">The Inter-American Commission and the Inter-American Court of Human Rights have consistently held that precautionary measures have a dual nature: precautionary and protective. Regarding their protective nature, the measures seek to avoid irreparable harm and preserve the exercise of human rights. Regarding their precautionary nature, the measures have the purpose of preserving legal situations being considered by the IACHR. Their precautionary nature aims at preserving those rights at risk until the petition in the </w:t>
      </w:r>
      <w:r w:rsidR="003B39E0">
        <w:rPr>
          <w:rFonts w:ascii="Cambria" w:hAnsi="Cambria"/>
          <w:color w:val="000000"/>
          <w:sz w:val="21"/>
          <w:szCs w:val="21"/>
        </w:rPr>
        <w:t>i</w:t>
      </w:r>
      <w:r w:rsidRPr="00D1283C">
        <w:rPr>
          <w:rFonts w:ascii="Cambria" w:hAnsi="Cambria"/>
          <w:color w:val="000000"/>
          <w:sz w:val="21"/>
          <w:szCs w:val="21"/>
        </w:rPr>
        <w:t>nter-American system is resolved. Its object and purpose are to ensure the integrity and effectiveness of the decision on the merits and, thus, avoid infringement of the rights at issue, a situation that may adversely affect the useful purpose (</w:t>
      </w:r>
      <w:r w:rsidRPr="00D1283C">
        <w:rPr>
          <w:rFonts w:ascii="Cambria" w:hAnsi="Cambria"/>
          <w:i/>
          <w:color w:val="000000"/>
          <w:sz w:val="21"/>
          <w:szCs w:val="21"/>
        </w:rPr>
        <w:t>effet utile</w:t>
      </w:r>
      <w:r w:rsidRPr="00D1283C">
        <w:rPr>
          <w:rFonts w:ascii="Cambria" w:hAnsi="Cambria"/>
          <w:color w:val="000000"/>
          <w:sz w:val="21"/>
          <w:szCs w:val="21"/>
        </w:rPr>
        <w:t>) of the final decision. In this regard, precautionary measures or provisional measures thus enable the State concerned to fulfill the final decision and, if necessary, to comply with the ordered reparations. As such, for the purpose of making a decision in accordance with Article 25(2) of its Rules of Procedure, the Commission considers that:</w:t>
      </w:r>
    </w:p>
    <w:p w:rsidR="00FB66BD" w:rsidRPr="00D84F1A" w:rsidRDefault="00FB66BD" w:rsidP="00FB66BD">
      <w:pPr>
        <w:spacing w:after="0" w:line="240" w:lineRule="auto"/>
        <w:contextualSpacing/>
        <w:jc w:val="both"/>
        <w:rPr>
          <w:rFonts w:ascii="Cambria" w:eastAsia="Calibri" w:hAnsi="Cambria" w:cs="Times New Roman"/>
          <w:sz w:val="21"/>
          <w:szCs w:val="21"/>
        </w:rPr>
      </w:pPr>
    </w:p>
    <w:p w:rsidR="00FB66BD" w:rsidRPr="00D1283C" w:rsidRDefault="00FB66BD" w:rsidP="00FB66BD">
      <w:pPr>
        <w:pStyle w:val="ListParagraph"/>
        <w:numPr>
          <w:ilvl w:val="0"/>
          <w:numId w:val="10"/>
        </w:numPr>
        <w:spacing w:after="0" w:line="240" w:lineRule="auto"/>
        <w:jc w:val="both"/>
        <w:rPr>
          <w:rFonts w:ascii="Cambria" w:eastAsia="Calibri" w:hAnsi="Cambria" w:cs="Times New Roman"/>
          <w:sz w:val="18"/>
          <w:szCs w:val="21"/>
        </w:rPr>
      </w:pPr>
      <w:r w:rsidRPr="00761A73">
        <w:rPr>
          <w:rFonts w:ascii="Cambria" w:hAnsi="Cambria"/>
          <w:color w:val="000000"/>
          <w:sz w:val="18"/>
          <w:szCs w:val="21"/>
        </w:rPr>
        <w:t>“serious situation” refers to a grave impact that an action or omission can have on a protected right or on the eventual effect of a pending decision in a case or petition before the organs of the Inter-American system</w:t>
      </w:r>
      <w:r w:rsidRPr="00D1283C">
        <w:rPr>
          <w:rFonts w:ascii="Cambria" w:eastAsia="Calibri" w:hAnsi="Cambria" w:cs="Times New Roman"/>
          <w:sz w:val="18"/>
          <w:szCs w:val="21"/>
        </w:rPr>
        <w:t>;</w:t>
      </w:r>
    </w:p>
    <w:p w:rsidR="00FB66BD" w:rsidRPr="00D1283C" w:rsidRDefault="00FB66BD" w:rsidP="00FB66BD">
      <w:pPr>
        <w:pStyle w:val="ListParagraph"/>
        <w:spacing w:after="0" w:line="240" w:lineRule="auto"/>
        <w:ind w:left="761"/>
        <w:jc w:val="both"/>
        <w:rPr>
          <w:rFonts w:ascii="Cambria" w:eastAsia="Calibri" w:hAnsi="Cambria" w:cs="Times New Roman"/>
          <w:sz w:val="18"/>
          <w:szCs w:val="21"/>
        </w:rPr>
      </w:pPr>
    </w:p>
    <w:p w:rsidR="00FB66BD" w:rsidRPr="00D1283C" w:rsidRDefault="00FB66BD" w:rsidP="00FB66BD">
      <w:pPr>
        <w:pStyle w:val="ListParagraph"/>
        <w:numPr>
          <w:ilvl w:val="0"/>
          <w:numId w:val="10"/>
        </w:numPr>
        <w:spacing w:after="0" w:line="240" w:lineRule="auto"/>
        <w:jc w:val="both"/>
        <w:rPr>
          <w:rFonts w:ascii="Cambria" w:eastAsia="Calibri" w:hAnsi="Cambria" w:cs="Times New Roman"/>
          <w:sz w:val="18"/>
          <w:szCs w:val="21"/>
        </w:rPr>
      </w:pPr>
      <w:r>
        <w:rPr>
          <w:rFonts w:ascii="Cambria" w:hAnsi="Cambria"/>
          <w:color w:val="000000"/>
          <w:sz w:val="18"/>
          <w:szCs w:val="21"/>
        </w:rPr>
        <w:t>“urgent situation” refers to risk or threat that is imminent and can materialize, thus requiring immediate preventive or protective action</w:t>
      </w:r>
      <w:r>
        <w:rPr>
          <w:rFonts w:ascii="Cambria" w:eastAsia="Calibri" w:hAnsi="Cambria" w:cs="Times New Roman"/>
          <w:sz w:val="18"/>
          <w:szCs w:val="21"/>
        </w:rPr>
        <w:t>; and</w:t>
      </w:r>
    </w:p>
    <w:p w:rsidR="00FB66BD" w:rsidRPr="00D1283C" w:rsidRDefault="00FB66BD" w:rsidP="00FB66BD">
      <w:pPr>
        <w:pStyle w:val="ListParagraph"/>
        <w:spacing w:after="0" w:line="240" w:lineRule="auto"/>
        <w:ind w:left="761"/>
        <w:jc w:val="both"/>
        <w:rPr>
          <w:rFonts w:ascii="Cambria" w:eastAsia="Calibri" w:hAnsi="Cambria" w:cs="Times New Roman"/>
          <w:sz w:val="18"/>
          <w:szCs w:val="21"/>
        </w:rPr>
      </w:pPr>
    </w:p>
    <w:p w:rsidR="00FB66BD" w:rsidRPr="00340159" w:rsidRDefault="00FB66BD" w:rsidP="00FB66BD">
      <w:pPr>
        <w:pStyle w:val="ListParagraph"/>
        <w:numPr>
          <w:ilvl w:val="0"/>
          <w:numId w:val="10"/>
        </w:numPr>
        <w:spacing w:after="0" w:line="240" w:lineRule="auto"/>
        <w:jc w:val="both"/>
        <w:rPr>
          <w:rFonts w:ascii="Cambria" w:eastAsia="Calibri" w:hAnsi="Cambria" w:cs="Times New Roman"/>
          <w:sz w:val="18"/>
          <w:szCs w:val="21"/>
        </w:rPr>
      </w:pPr>
      <w:r w:rsidRPr="00761A73">
        <w:rPr>
          <w:rFonts w:ascii="Cambria" w:hAnsi="Cambria"/>
          <w:color w:val="000000"/>
          <w:sz w:val="18"/>
          <w:szCs w:val="21"/>
        </w:rPr>
        <w:t>“</w:t>
      </w:r>
      <w:proofErr w:type="gramStart"/>
      <w:r w:rsidRPr="00761A73">
        <w:rPr>
          <w:rFonts w:ascii="Cambria" w:hAnsi="Cambria"/>
          <w:color w:val="000000"/>
          <w:sz w:val="18"/>
          <w:szCs w:val="21"/>
        </w:rPr>
        <w:t>irreparable</w:t>
      </w:r>
      <w:proofErr w:type="gramEnd"/>
      <w:r w:rsidRPr="00761A73">
        <w:rPr>
          <w:rFonts w:ascii="Cambria" w:hAnsi="Cambria"/>
          <w:color w:val="000000"/>
          <w:sz w:val="18"/>
          <w:szCs w:val="21"/>
        </w:rPr>
        <w:t xml:space="preserve"> harm” refers to injury to rights which, due to their nature, would not be susceptible to reparation, restoration or adequate compensation</w:t>
      </w:r>
      <w:r w:rsidRPr="00340159">
        <w:rPr>
          <w:rFonts w:ascii="Cambria" w:eastAsia="Calibri" w:hAnsi="Cambria" w:cs="Times New Roman"/>
          <w:sz w:val="18"/>
          <w:szCs w:val="21"/>
        </w:rPr>
        <w:t>.</w:t>
      </w:r>
    </w:p>
    <w:p w:rsidR="00FB66BD" w:rsidRPr="00340159" w:rsidRDefault="00FB66BD" w:rsidP="00FB66BD">
      <w:pPr>
        <w:spacing w:after="0" w:line="240" w:lineRule="auto"/>
        <w:jc w:val="both"/>
        <w:rPr>
          <w:rFonts w:ascii="Cambria" w:eastAsia="Calibri" w:hAnsi="Cambria" w:cs="Times New Roman"/>
          <w:sz w:val="18"/>
          <w:szCs w:val="21"/>
        </w:rPr>
      </w:pPr>
    </w:p>
    <w:p w:rsidR="00FB66BD" w:rsidRPr="008D12EA" w:rsidRDefault="00FB66BD" w:rsidP="00FB66BD">
      <w:pPr>
        <w:numPr>
          <w:ilvl w:val="0"/>
          <w:numId w:val="11"/>
        </w:numPr>
        <w:spacing w:after="0" w:line="240" w:lineRule="auto"/>
        <w:ind w:left="0" w:firstLine="360"/>
        <w:jc w:val="both"/>
        <w:rPr>
          <w:rFonts w:ascii="Cambria" w:hAnsi="Cambria"/>
          <w:sz w:val="21"/>
          <w:szCs w:val="21"/>
        </w:rPr>
      </w:pPr>
      <w:r>
        <w:rPr>
          <w:rFonts w:ascii="Cambria" w:hAnsi="Cambria"/>
          <w:color w:val="000000"/>
          <w:sz w:val="21"/>
          <w:szCs w:val="21"/>
        </w:rPr>
        <w:t xml:space="preserve">In analyzing those requirements, the Commission reiterates that the facts supporting a request for precautionary measures need not be proven beyond doubt; rather, </w:t>
      </w:r>
      <w:r w:rsidR="0004619C">
        <w:rPr>
          <w:rFonts w:ascii="Cambria" w:hAnsi="Cambria"/>
          <w:color w:val="000000"/>
          <w:sz w:val="21"/>
          <w:szCs w:val="21"/>
        </w:rPr>
        <w:t xml:space="preserve">a </w:t>
      </w:r>
      <w:r w:rsidR="0004619C" w:rsidRPr="0004619C">
        <w:rPr>
          <w:rFonts w:ascii="Cambria" w:hAnsi="Cambria"/>
          <w:i/>
          <w:color w:val="000000"/>
          <w:sz w:val="21"/>
          <w:szCs w:val="21"/>
        </w:rPr>
        <w:t>prima facie</w:t>
      </w:r>
      <w:r w:rsidR="0004619C">
        <w:rPr>
          <w:rFonts w:ascii="Cambria" w:hAnsi="Cambria"/>
          <w:color w:val="000000"/>
          <w:sz w:val="21"/>
          <w:szCs w:val="21"/>
        </w:rPr>
        <w:t xml:space="preserve"> standard should be applied in order to assess whether there is a situation of seriousness and urgency</w:t>
      </w:r>
      <w:r w:rsidRPr="008D12EA">
        <w:rPr>
          <w:rFonts w:ascii="Cambria" w:hAnsi="Cambria"/>
          <w:sz w:val="21"/>
          <w:szCs w:val="21"/>
        </w:rPr>
        <w:t>.</w:t>
      </w:r>
      <w:r w:rsidR="0004619C" w:rsidRPr="0004619C">
        <w:rPr>
          <w:rFonts w:ascii="Cambria" w:hAnsi="Cambria"/>
          <w:sz w:val="21"/>
          <w:szCs w:val="21"/>
          <w:vertAlign w:val="superscript"/>
        </w:rPr>
        <w:t xml:space="preserve"> </w:t>
      </w:r>
      <w:r w:rsidR="0004619C" w:rsidRPr="002D5E17">
        <w:rPr>
          <w:rFonts w:ascii="Cambria" w:hAnsi="Cambria"/>
          <w:sz w:val="21"/>
          <w:szCs w:val="21"/>
          <w:vertAlign w:val="superscript"/>
        </w:rPr>
        <w:footnoteReference w:id="7"/>
      </w:r>
    </w:p>
    <w:p w:rsidR="00FB66BD" w:rsidRPr="008D12EA" w:rsidRDefault="00FB66BD" w:rsidP="00FB66BD">
      <w:pPr>
        <w:spacing w:after="0" w:line="240" w:lineRule="auto"/>
        <w:ind w:left="360"/>
        <w:jc w:val="both"/>
        <w:rPr>
          <w:rFonts w:ascii="Cambria" w:hAnsi="Cambria"/>
          <w:sz w:val="21"/>
          <w:szCs w:val="21"/>
        </w:rPr>
      </w:pPr>
    </w:p>
    <w:p w:rsidR="00FB66BD" w:rsidRPr="002562F7" w:rsidRDefault="00FB66BD" w:rsidP="00FB66BD">
      <w:pPr>
        <w:numPr>
          <w:ilvl w:val="0"/>
          <w:numId w:val="11"/>
        </w:numPr>
        <w:spacing w:after="0" w:line="240" w:lineRule="auto"/>
        <w:ind w:left="0" w:firstLine="360"/>
        <w:jc w:val="both"/>
        <w:rPr>
          <w:rFonts w:ascii="Cambria" w:hAnsi="Cambria"/>
          <w:sz w:val="21"/>
          <w:szCs w:val="21"/>
        </w:rPr>
      </w:pPr>
      <w:r w:rsidRPr="002562F7">
        <w:rPr>
          <w:rFonts w:ascii="Cambria" w:hAnsi="Cambria"/>
          <w:sz w:val="21"/>
          <w:szCs w:val="21"/>
        </w:rPr>
        <w:t xml:space="preserve">As a preliminary </w:t>
      </w:r>
      <w:r>
        <w:rPr>
          <w:rFonts w:ascii="Cambria" w:hAnsi="Cambria"/>
          <w:sz w:val="21"/>
          <w:szCs w:val="21"/>
        </w:rPr>
        <w:t>observation</w:t>
      </w:r>
      <w:r w:rsidRPr="002562F7">
        <w:rPr>
          <w:rFonts w:ascii="Cambria" w:hAnsi="Cambria"/>
          <w:sz w:val="21"/>
          <w:szCs w:val="21"/>
        </w:rPr>
        <w:t>, the Commission deem</w:t>
      </w:r>
      <w:r>
        <w:rPr>
          <w:rFonts w:ascii="Cambria" w:hAnsi="Cambria"/>
          <w:sz w:val="21"/>
          <w:szCs w:val="21"/>
        </w:rPr>
        <w:t>s</w:t>
      </w:r>
      <w:r w:rsidRPr="002562F7">
        <w:rPr>
          <w:rFonts w:ascii="Cambria" w:hAnsi="Cambria"/>
          <w:sz w:val="21"/>
          <w:szCs w:val="21"/>
        </w:rPr>
        <w:t xml:space="preserve"> necessary to point out that, according to </w:t>
      </w:r>
      <w:r w:rsidRPr="008051C1">
        <w:rPr>
          <w:rFonts w:ascii="Cambria" w:eastAsia="Calibri" w:hAnsi="Cambria" w:cs="Times New Roman"/>
          <w:color w:val="000000"/>
          <w:sz w:val="21"/>
          <w:szCs w:val="21"/>
        </w:rPr>
        <w:t>its mandate, it is not called to rule on</w:t>
      </w:r>
      <w:r w:rsidR="00244772">
        <w:rPr>
          <w:rFonts w:ascii="Cambria" w:eastAsia="Calibri" w:hAnsi="Cambria" w:cs="Times New Roman"/>
          <w:color w:val="000000"/>
          <w:sz w:val="21"/>
          <w:szCs w:val="21"/>
        </w:rPr>
        <w:t xml:space="preserve"> the responsibility of</w:t>
      </w:r>
      <w:r w:rsidRPr="008051C1">
        <w:rPr>
          <w:rFonts w:ascii="Cambria" w:eastAsia="Calibri" w:hAnsi="Cambria" w:cs="Times New Roman"/>
          <w:color w:val="000000"/>
          <w:sz w:val="21"/>
          <w:szCs w:val="21"/>
        </w:rPr>
        <w:t xml:space="preserve"> individuals’ responsibilities in relation to the alleged commission of crimes or offenses. Moreover, it is not competent to review internal decisions on the basis of compliance with </w:t>
      </w:r>
      <w:r w:rsidR="00244772">
        <w:rPr>
          <w:rFonts w:ascii="Cambria" w:eastAsia="Calibri" w:hAnsi="Cambria" w:cs="Times New Roman"/>
          <w:color w:val="000000"/>
          <w:sz w:val="21"/>
          <w:szCs w:val="21"/>
        </w:rPr>
        <w:t>domestic</w:t>
      </w:r>
      <w:r w:rsidRPr="008051C1">
        <w:rPr>
          <w:rFonts w:ascii="Cambria" w:eastAsia="Calibri" w:hAnsi="Cambria" w:cs="Times New Roman"/>
          <w:color w:val="000000"/>
          <w:sz w:val="21"/>
          <w:szCs w:val="21"/>
        </w:rPr>
        <w:t xml:space="preserve"> law. In this sense, the Commission will hereby analyze the present request for precautionary measures under Article 25 of its Rules of Procedures</w:t>
      </w:r>
      <w:r w:rsidRPr="002562F7">
        <w:rPr>
          <w:rFonts w:ascii="Cambria" w:hAnsi="Cambria"/>
          <w:sz w:val="21"/>
          <w:szCs w:val="21"/>
        </w:rPr>
        <w:t xml:space="preserve">. In regard to petition P-627-17, which denounces alleged violations to the </w:t>
      </w:r>
      <w:r w:rsidRPr="002562F7">
        <w:rPr>
          <w:rFonts w:ascii="Cambria" w:hAnsi="Cambria"/>
          <w:color w:val="000000"/>
          <w:sz w:val="21"/>
          <w:szCs w:val="21"/>
        </w:rPr>
        <w:t>American Declaration of the Rights and Duties of Man</w:t>
      </w:r>
      <w:r w:rsidRPr="002562F7">
        <w:rPr>
          <w:rFonts w:ascii="Cambria" w:hAnsi="Cambria"/>
          <w:sz w:val="21"/>
          <w:szCs w:val="21"/>
        </w:rPr>
        <w:t>, the Commission r</w:t>
      </w:r>
      <w:r>
        <w:rPr>
          <w:rFonts w:ascii="Cambria" w:hAnsi="Cambria"/>
          <w:sz w:val="21"/>
          <w:szCs w:val="21"/>
        </w:rPr>
        <w:t>ecalls</w:t>
      </w:r>
      <w:r w:rsidRPr="002562F7">
        <w:rPr>
          <w:rFonts w:ascii="Cambria" w:hAnsi="Cambria"/>
          <w:sz w:val="21"/>
          <w:szCs w:val="21"/>
        </w:rPr>
        <w:t xml:space="preserve"> that the analysis of t</w:t>
      </w:r>
      <w:r>
        <w:rPr>
          <w:rFonts w:ascii="Cambria" w:hAnsi="Cambria"/>
          <w:sz w:val="21"/>
          <w:szCs w:val="21"/>
        </w:rPr>
        <w:t>he</w:t>
      </w:r>
      <w:r w:rsidR="009D639B">
        <w:rPr>
          <w:rFonts w:ascii="Cambria" w:hAnsi="Cambria"/>
          <w:sz w:val="21"/>
          <w:szCs w:val="21"/>
        </w:rPr>
        <w:t>se</w:t>
      </w:r>
      <w:r w:rsidRPr="002562F7">
        <w:rPr>
          <w:rFonts w:ascii="Cambria" w:hAnsi="Cambria"/>
          <w:sz w:val="21"/>
          <w:szCs w:val="21"/>
        </w:rPr>
        <w:t xml:space="preserve"> </w:t>
      </w:r>
      <w:r w:rsidR="009D639B">
        <w:rPr>
          <w:rFonts w:ascii="Cambria" w:hAnsi="Cambria"/>
          <w:sz w:val="21"/>
          <w:szCs w:val="21"/>
        </w:rPr>
        <w:t>claims</w:t>
      </w:r>
      <w:r w:rsidRPr="002562F7">
        <w:rPr>
          <w:rFonts w:ascii="Cambria" w:hAnsi="Cambria"/>
          <w:sz w:val="21"/>
          <w:szCs w:val="21"/>
        </w:rPr>
        <w:t xml:space="preserve"> will </w:t>
      </w:r>
      <w:r>
        <w:rPr>
          <w:rFonts w:ascii="Cambria" w:hAnsi="Cambria"/>
          <w:sz w:val="21"/>
          <w:szCs w:val="21"/>
        </w:rPr>
        <w:t>be carried</w:t>
      </w:r>
      <w:r w:rsidRPr="002562F7">
        <w:rPr>
          <w:rFonts w:ascii="Cambria" w:hAnsi="Cambria"/>
          <w:sz w:val="21"/>
          <w:szCs w:val="21"/>
        </w:rPr>
        <w:t xml:space="preserve"> out</w:t>
      </w:r>
      <w:r>
        <w:rPr>
          <w:rFonts w:ascii="Cambria" w:hAnsi="Cambria"/>
          <w:sz w:val="21"/>
          <w:szCs w:val="21"/>
        </w:rPr>
        <w:t xml:space="preserve"> in compliance with the</w:t>
      </w:r>
      <w:r w:rsidRPr="002562F7">
        <w:rPr>
          <w:rFonts w:ascii="Cambria" w:hAnsi="Cambria"/>
          <w:sz w:val="21"/>
          <w:szCs w:val="21"/>
        </w:rPr>
        <w:t xml:space="preserve"> </w:t>
      </w:r>
      <w:r>
        <w:rPr>
          <w:rFonts w:ascii="Cambria" w:hAnsi="Cambria"/>
          <w:sz w:val="21"/>
          <w:szCs w:val="21"/>
        </w:rPr>
        <w:t xml:space="preserve">specific provisions related to the </w:t>
      </w:r>
      <w:r w:rsidRPr="002562F7">
        <w:rPr>
          <w:rFonts w:ascii="Cambria" w:hAnsi="Cambria"/>
          <w:bCs/>
          <w:sz w:val="21"/>
          <w:szCs w:val="21"/>
        </w:rPr>
        <w:t>Petition and Case System</w:t>
      </w:r>
      <w:r w:rsidRPr="002562F7">
        <w:rPr>
          <w:rFonts w:ascii="Cambria" w:hAnsi="Cambria"/>
          <w:sz w:val="21"/>
          <w:szCs w:val="21"/>
        </w:rPr>
        <w:t xml:space="preserve">, </w:t>
      </w:r>
      <w:r>
        <w:rPr>
          <w:rFonts w:ascii="Cambria" w:hAnsi="Cambria"/>
          <w:sz w:val="21"/>
          <w:szCs w:val="21"/>
        </w:rPr>
        <w:t>in accordance with the relevant</w:t>
      </w:r>
      <w:r w:rsidRPr="002562F7">
        <w:rPr>
          <w:rFonts w:ascii="Cambria" w:hAnsi="Cambria"/>
          <w:sz w:val="21"/>
          <w:szCs w:val="21"/>
        </w:rPr>
        <w:t xml:space="preserve"> </w:t>
      </w:r>
      <w:r w:rsidR="00244772">
        <w:rPr>
          <w:rFonts w:ascii="Cambria" w:hAnsi="Cambria"/>
          <w:sz w:val="21"/>
          <w:szCs w:val="21"/>
        </w:rPr>
        <w:t xml:space="preserve">provisions of its Statute and Rules of Procedure. </w:t>
      </w:r>
    </w:p>
    <w:p w:rsidR="00FB66BD" w:rsidRPr="002562F7" w:rsidRDefault="00FB66BD" w:rsidP="00FB66BD">
      <w:pPr>
        <w:spacing w:after="0" w:line="240" w:lineRule="auto"/>
        <w:ind w:left="360"/>
        <w:jc w:val="both"/>
        <w:rPr>
          <w:rFonts w:ascii="Cambria" w:hAnsi="Cambria"/>
          <w:sz w:val="21"/>
          <w:szCs w:val="21"/>
        </w:rPr>
      </w:pPr>
    </w:p>
    <w:p w:rsidR="00FB66BD" w:rsidRPr="00196F06"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2A399E">
        <w:rPr>
          <w:rFonts w:ascii="Cambria" w:eastAsia="Calibri" w:hAnsi="Cambria" w:cs="Times New Roman"/>
          <w:sz w:val="21"/>
          <w:szCs w:val="21"/>
        </w:rPr>
        <w:t xml:space="preserve">The Inter-American Commission observes that the death penalty has been subject to a strict regulation </w:t>
      </w:r>
      <w:r w:rsidR="009D639B">
        <w:rPr>
          <w:rFonts w:ascii="Cambria" w:eastAsia="Calibri" w:hAnsi="Cambria" w:cs="Times New Roman"/>
          <w:sz w:val="21"/>
          <w:szCs w:val="21"/>
        </w:rPr>
        <w:t>with</w:t>
      </w:r>
      <w:r>
        <w:rPr>
          <w:rFonts w:ascii="Cambria" w:eastAsia="Calibri" w:hAnsi="Cambria" w:cs="Times New Roman"/>
          <w:sz w:val="21"/>
          <w:szCs w:val="21"/>
        </w:rPr>
        <w:t xml:space="preserve">in the context of the </w:t>
      </w:r>
      <w:r w:rsidR="00244772">
        <w:rPr>
          <w:rFonts w:ascii="Cambria" w:eastAsia="Calibri" w:hAnsi="Cambria" w:cs="Times New Roman"/>
          <w:sz w:val="21"/>
          <w:szCs w:val="21"/>
        </w:rPr>
        <w:t>i</w:t>
      </w:r>
      <w:r>
        <w:rPr>
          <w:rFonts w:ascii="Cambria" w:eastAsia="Calibri" w:hAnsi="Cambria" w:cs="Times New Roman"/>
          <w:sz w:val="21"/>
          <w:szCs w:val="21"/>
        </w:rPr>
        <w:t xml:space="preserve">nter-American </w:t>
      </w:r>
      <w:r w:rsidR="00244772">
        <w:rPr>
          <w:rFonts w:ascii="Cambria" w:eastAsia="Calibri" w:hAnsi="Cambria" w:cs="Times New Roman"/>
          <w:sz w:val="21"/>
          <w:szCs w:val="21"/>
        </w:rPr>
        <w:t>s</w:t>
      </w:r>
      <w:r>
        <w:rPr>
          <w:rFonts w:ascii="Cambria" w:eastAsia="Calibri" w:hAnsi="Cambria" w:cs="Times New Roman"/>
          <w:sz w:val="21"/>
          <w:szCs w:val="21"/>
        </w:rPr>
        <w:t xml:space="preserve">ystem. </w:t>
      </w:r>
      <w:r w:rsidRPr="003661F2">
        <w:rPr>
          <w:rFonts w:ascii="Cambria" w:eastAsia="Calibri" w:hAnsi="Cambria" w:cs="Times New Roman"/>
          <w:sz w:val="21"/>
          <w:szCs w:val="21"/>
        </w:rPr>
        <w:t xml:space="preserve">In spite of the tendency noted </w:t>
      </w:r>
      <w:r>
        <w:rPr>
          <w:rFonts w:ascii="Cambria" w:eastAsia="Calibri" w:hAnsi="Cambria" w:cs="Times New Roman"/>
          <w:sz w:val="21"/>
          <w:szCs w:val="21"/>
        </w:rPr>
        <w:t>among</w:t>
      </w:r>
      <w:r w:rsidRPr="003661F2">
        <w:rPr>
          <w:rFonts w:ascii="Cambria" w:eastAsia="Calibri" w:hAnsi="Cambria" w:cs="Times New Roman"/>
          <w:sz w:val="21"/>
          <w:szCs w:val="21"/>
        </w:rPr>
        <w:t xml:space="preserve"> OAS Member States in favor of the gradual abolition of the death penalty</w:t>
      </w:r>
      <w:r w:rsidR="009D639B">
        <w:rPr>
          <w:rFonts w:ascii="Cambria" w:eastAsia="Calibri" w:hAnsi="Cambria" w:cs="Times New Roman"/>
          <w:sz w:val="21"/>
          <w:szCs w:val="21"/>
        </w:rPr>
        <w:t>,</w:t>
      </w:r>
      <w:r w:rsidRPr="00446FA7">
        <w:rPr>
          <w:rFonts w:ascii="Cambria" w:eastAsia="Calibri" w:hAnsi="Cambria" w:cs="Times New Roman"/>
          <w:sz w:val="21"/>
          <w:szCs w:val="21"/>
          <w:vertAlign w:val="superscript"/>
        </w:rPr>
        <w:footnoteReference w:id="8"/>
      </w:r>
      <w:r w:rsidRPr="003661F2">
        <w:rPr>
          <w:rFonts w:ascii="Cambria" w:eastAsia="Calibri" w:hAnsi="Cambria" w:cs="Times New Roman"/>
          <w:sz w:val="21"/>
          <w:szCs w:val="21"/>
        </w:rPr>
        <w:t xml:space="preserve"> for th</w:t>
      </w:r>
      <w:r w:rsidR="009D639B">
        <w:rPr>
          <w:rFonts w:ascii="Cambria" w:eastAsia="Calibri" w:hAnsi="Cambria" w:cs="Times New Roman"/>
          <w:sz w:val="21"/>
          <w:szCs w:val="21"/>
        </w:rPr>
        <w:t>ose</w:t>
      </w:r>
      <w:r w:rsidRPr="003661F2">
        <w:rPr>
          <w:rFonts w:ascii="Cambria" w:eastAsia="Calibri" w:hAnsi="Cambria" w:cs="Times New Roman"/>
          <w:sz w:val="21"/>
          <w:szCs w:val="21"/>
        </w:rPr>
        <w:t xml:space="preserve"> States that maintain</w:t>
      </w:r>
      <w:r>
        <w:rPr>
          <w:rFonts w:ascii="Cambria" w:eastAsia="Calibri" w:hAnsi="Cambria" w:cs="Times New Roman"/>
          <w:sz w:val="21"/>
          <w:szCs w:val="21"/>
        </w:rPr>
        <w:t xml:space="preserve"> the</w:t>
      </w:r>
      <w:r w:rsidRPr="003661F2">
        <w:rPr>
          <w:rFonts w:ascii="Cambria" w:eastAsia="Calibri" w:hAnsi="Cambria" w:cs="Times New Roman"/>
          <w:sz w:val="21"/>
          <w:szCs w:val="21"/>
        </w:rPr>
        <w:t xml:space="preserve"> death penalty</w:t>
      </w:r>
      <w:r>
        <w:rPr>
          <w:rFonts w:ascii="Cambria" w:eastAsia="Calibri" w:hAnsi="Cambria" w:cs="Times New Roman"/>
          <w:sz w:val="21"/>
          <w:szCs w:val="21"/>
        </w:rPr>
        <w:t>,</w:t>
      </w:r>
      <w:r w:rsidRPr="003661F2">
        <w:rPr>
          <w:rFonts w:ascii="Cambria" w:eastAsia="Calibri" w:hAnsi="Cambria" w:cs="Times New Roman"/>
          <w:sz w:val="21"/>
          <w:szCs w:val="21"/>
        </w:rPr>
        <w:t xml:space="preserve"> </w:t>
      </w:r>
      <w:r>
        <w:rPr>
          <w:rFonts w:ascii="Cambria" w:eastAsia="Calibri" w:hAnsi="Cambria" w:cs="Times New Roman"/>
          <w:sz w:val="21"/>
          <w:szCs w:val="21"/>
        </w:rPr>
        <w:t xml:space="preserve">there </w:t>
      </w:r>
      <w:r w:rsidR="009D639B">
        <w:rPr>
          <w:rFonts w:ascii="Cambria" w:eastAsia="Calibri" w:hAnsi="Cambria" w:cs="Times New Roman"/>
          <w:sz w:val="21"/>
          <w:szCs w:val="21"/>
        </w:rPr>
        <w:t>is</w:t>
      </w:r>
      <w:r>
        <w:rPr>
          <w:rFonts w:ascii="Cambria" w:eastAsia="Calibri" w:hAnsi="Cambria" w:cs="Times New Roman"/>
          <w:sz w:val="21"/>
          <w:szCs w:val="21"/>
        </w:rPr>
        <w:t xml:space="preserve"> </w:t>
      </w:r>
      <w:r w:rsidRPr="003661F2">
        <w:rPr>
          <w:rFonts w:ascii="Cambria" w:eastAsia="Calibri" w:hAnsi="Cambria" w:cs="Times New Roman"/>
          <w:sz w:val="21"/>
          <w:szCs w:val="21"/>
        </w:rPr>
        <w:t>a series of restrictions and limitations established in the regional instruments</w:t>
      </w:r>
      <w:r>
        <w:rPr>
          <w:rFonts w:ascii="Cambria" w:eastAsia="Calibri" w:hAnsi="Cambria" w:cs="Times New Roman"/>
          <w:sz w:val="21"/>
          <w:szCs w:val="21"/>
        </w:rPr>
        <w:t xml:space="preserve"> of human rights with which the States are obliged to comply under international law</w:t>
      </w:r>
      <w:r w:rsidR="009D639B">
        <w:rPr>
          <w:rFonts w:ascii="Cambria" w:eastAsia="Calibri" w:hAnsi="Cambria" w:cs="Times New Roman"/>
          <w:sz w:val="21"/>
          <w:szCs w:val="21"/>
        </w:rPr>
        <w:t>.</w:t>
      </w:r>
      <w:r w:rsidRPr="00446FA7">
        <w:rPr>
          <w:rFonts w:ascii="Cambria" w:eastAsia="Calibri" w:hAnsi="Cambria" w:cs="Times New Roman"/>
          <w:sz w:val="21"/>
          <w:szCs w:val="21"/>
          <w:vertAlign w:val="superscript"/>
        </w:rPr>
        <w:footnoteReference w:id="9"/>
      </w:r>
      <w:r w:rsidRPr="003661F2">
        <w:rPr>
          <w:rFonts w:ascii="Cambria" w:eastAsia="Calibri" w:hAnsi="Cambria" w:cs="Times New Roman"/>
          <w:sz w:val="21"/>
          <w:szCs w:val="21"/>
        </w:rPr>
        <w:t xml:space="preserve"> </w:t>
      </w:r>
      <w:r w:rsidRPr="00750B50">
        <w:rPr>
          <w:rFonts w:ascii="Cambria" w:eastAsia="Calibri" w:hAnsi="Cambria" w:cs="Times New Roman"/>
          <w:sz w:val="21"/>
          <w:szCs w:val="21"/>
        </w:rPr>
        <w:t xml:space="preserve">These limitations are based on the acknowledgement of the right to life as the supreme right of the human being and the condition </w:t>
      </w:r>
      <w:r w:rsidRPr="00750B50">
        <w:rPr>
          <w:rFonts w:ascii="Cambria" w:eastAsia="Calibri" w:hAnsi="Cambria" w:cs="Times New Roman"/>
          <w:i/>
          <w:sz w:val="21"/>
          <w:szCs w:val="21"/>
        </w:rPr>
        <w:t>sine qua non</w:t>
      </w:r>
      <w:r w:rsidRPr="00750B50">
        <w:rPr>
          <w:rFonts w:ascii="Cambria" w:eastAsia="Calibri" w:hAnsi="Cambria" w:cs="Times New Roman"/>
          <w:sz w:val="21"/>
          <w:szCs w:val="21"/>
        </w:rPr>
        <w:t xml:space="preserve"> </w:t>
      </w:r>
      <w:r w:rsidRPr="00CA5C1C">
        <w:rPr>
          <w:rFonts w:ascii="Cambria" w:eastAsia="Calibri" w:hAnsi="Cambria" w:cs="Times New Roman"/>
          <w:sz w:val="21"/>
          <w:szCs w:val="21"/>
        </w:rPr>
        <w:t>to the enjoyment of all other human rights</w:t>
      </w:r>
      <w:r w:rsidRPr="00750B50">
        <w:rPr>
          <w:rFonts w:ascii="Cambria" w:eastAsia="Calibri" w:hAnsi="Cambria" w:cs="Times New Roman"/>
          <w:sz w:val="21"/>
          <w:szCs w:val="21"/>
        </w:rPr>
        <w:t xml:space="preserve">, thus demanding </w:t>
      </w:r>
      <w:r>
        <w:rPr>
          <w:rFonts w:ascii="Cambria" w:eastAsia="Calibri" w:hAnsi="Cambria" w:cs="Times New Roman"/>
          <w:sz w:val="21"/>
          <w:szCs w:val="21"/>
        </w:rPr>
        <w:t xml:space="preserve">a </w:t>
      </w:r>
      <w:r w:rsidR="0041308E">
        <w:rPr>
          <w:rFonts w:ascii="Cambria" w:eastAsia="Calibri" w:hAnsi="Cambria" w:cs="Times New Roman"/>
          <w:sz w:val="21"/>
          <w:szCs w:val="21"/>
        </w:rPr>
        <w:t>higher</w:t>
      </w:r>
      <w:r>
        <w:rPr>
          <w:rFonts w:ascii="Cambria" w:eastAsia="Calibri" w:hAnsi="Cambria" w:cs="Times New Roman"/>
          <w:sz w:val="21"/>
          <w:szCs w:val="21"/>
        </w:rPr>
        <w:t xml:space="preserve"> scrutiny in order to ensure th</w:t>
      </w:r>
      <w:r w:rsidR="00243229">
        <w:rPr>
          <w:rFonts w:ascii="Cambria" w:eastAsia="Calibri" w:hAnsi="Cambria" w:cs="Times New Roman"/>
          <w:sz w:val="21"/>
          <w:szCs w:val="21"/>
        </w:rPr>
        <w:t>at any deprivation of the right</w:t>
      </w:r>
      <w:r>
        <w:rPr>
          <w:rFonts w:ascii="Cambria" w:eastAsia="Calibri" w:hAnsi="Cambria" w:cs="Times New Roman"/>
          <w:sz w:val="21"/>
          <w:szCs w:val="21"/>
        </w:rPr>
        <w:t xml:space="preserve"> to life that could occur by means of the application of death penalty aligns strictly to the requirements of the applicable instrument</w:t>
      </w:r>
      <w:r w:rsidRPr="00750B50">
        <w:rPr>
          <w:rFonts w:ascii="Cambria" w:eastAsia="Calibri" w:hAnsi="Cambria" w:cs="Times New Roman"/>
          <w:sz w:val="21"/>
          <w:szCs w:val="21"/>
        </w:rPr>
        <w:t>s</w:t>
      </w:r>
      <w:r w:rsidR="009D639B">
        <w:rPr>
          <w:rFonts w:ascii="Cambria" w:eastAsia="Calibri" w:hAnsi="Cambria" w:cs="Times New Roman"/>
          <w:sz w:val="21"/>
          <w:szCs w:val="21"/>
        </w:rPr>
        <w:t>.</w:t>
      </w:r>
      <w:r w:rsidRPr="00446FA7">
        <w:rPr>
          <w:rFonts w:ascii="Cambria" w:eastAsia="Calibri" w:hAnsi="Cambria" w:cs="Times New Roman"/>
          <w:sz w:val="21"/>
          <w:szCs w:val="21"/>
          <w:vertAlign w:val="superscript"/>
        </w:rPr>
        <w:footnoteReference w:id="10"/>
      </w:r>
      <w:r w:rsidRPr="00750B50">
        <w:rPr>
          <w:rFonts w:ascii="Cambria" w:eastAsia="Calibri" w:hAnsi="Cambria" w:cs="Times New Roman"/>
          <w:sz w:val="21"/>
          <w:szCs w:val="21"/>
        </w:rPr>
        <w:t xml:space="preserve"> In that sense, the Commission has underline</w:t>
      </w:r>
      <w:r>
        <w:rPr>
          <w:rFonts w:ascii="Cambria" w:eastAsia="Calibri" w:hAnsi="Cambria" w:cs="Times New Roman"/>
          <w:sz w:val="21"/>
          <w:szCs w:val="21"/>
        </w:rPr>
        <w:t>d</w:t>
      </w:r>
      <w:r w:rsidRPr="00750B50">
        <w:rPr>
          <w:rFonts w:ascii="Cambria" w:eastAsia="Calibri" w:hAnsi="Cambria" w:cs="Times New Roman"/>
          <w:sz w:val="21"/>
          <w:szCs w:val="21"/>
        </w:rPr>
        <w:t xml:space="preserve"> that the right to due process plays an essential role in guaranteeing the protection of the rights of persons </w:t>
      </w:r>
      <w:r>
        <w:rPr>
          <w:rFonts w:ascii="Cambria" w:eastAsia="Calibri" w:hAnsi="Cambria" w:cs="Times New Roman"/>
          <w:sz w:val="21"/>
          <w:szCs w:val="21"/>
        </w:rPr>
        <w:t>sentenced to death</w:t>
      </w:r>
      <w:r w:rsidRPr="00750B50">
        <w:rPr>
          <w:rFonts w:ascii="Cambria" w:eastAsia="Calibri" w:hAnsi="Cambria" w:cs="Times New Roman"/>
          <w:sz w:val="21"/>
          <w:szCs w:val="21"/>
        </w:rPr>
        <w:t xml:space="preserve">. </w:t>
      </w:r>
      <w:r w:rsidRPr="00196F06">
        <w:rPr>
          <w:rFonts w:ascii="Cambria" w:eastAsia="Calibri" w:hAnsi="Cambria" w:cs="Times New Roman"/>
          <w:sz w:val="21"/>
          <w:szCs w:val="21"/>
        </w:rPr>
        <w:t>In fact, among the guarantees of due process, the States are obliged to guarantee the exercise of the right to a fair trial, the strictest compliance with the right to defense</w:t>
      </w:r>
      <w:r>
        <w:rPr>
          <w:rFonts w:ascii="Cambria" w:eastAsia="Calibri" w:hAnsi="Cambria" w:cs="Times New Roman"/>
          <w:sz w:val="21"/>
          <w:szCs w:val="21"/>
        </w:rPr>
        <w:t>,</w:t>
      </w:r>
      <w:r w:rsidRPr="00196F06">
        <w:rPr>
          <w:rFonts w:ascii="Cambria" w:eastAsia="Calibri" w:hAnsi="Cambria" w:cs="Times New Roman"/>
          <w:sz w:val="21"/>
          <w:szCs w:val="21"/>
        </w:rPr>
        <w:t xml:space="preserve"> and the right to equality </w:t>
      </w:r>
      <w:r>
        <w:rPr>
          <w:rFonts w:ascii="Cambria" w:eastAsia="Calibri" w:hAnsi="Cambria" w:cs="Times New Roman"/>
          <w:sz w:val="21"/>
          <w:szCs w:val="21"/>
        </w:rPr>
        <w:t>and to non-discriminatio</w:t>
      </w:r>
      <w:r w:rsidRPr="00196F06">
        <w:rPr>
          <w:rFonts w:ascii="Cambria" w:eastAsia="Calibri" w:hAnsi="Cambria" w:cs="Times New Roman"/>
          <w:sz w:val="21"/>
          <w:szCs w:val="21"/>
        </w:rPr>
        <w:t>n</w:t>
      </w:r>
      <w:r w:rsidR="009D639B">
        <w:rPr>
          <w:rFonts w:ascii="Cambria" w:eastAsia="Calibri" w:hAnsi="Cambria" w:cs="Times New Roman"/>
          <w:sz w:val="21"/>
          <w:szCs w:val="21"/>
        </w:rPr>
        <w:t>.</w:t>
      </w:r>
      <w:r w:rsidRPr="00446FA7">
        <w:rPr>
          <w:rFonts w:ascii="Cambria" w:eastAsia="Calibri" w:hAnsi="Cambria" w:cs="Times New Roman"/>
          <w:sz w:val="21"/>
          <w:szCs w:val="21"/>
          <w:vertAlign w:val="superscript"/>
        </w:rPr>
        <w:footnoteReference w:id="11"/>
      </w:r>
    </w:p>
    <w:p w:rsidR="00FB66BD" w:rsidRPr="00196F06" w:rsidRDefault="00FB66BD" w:rsidP="00FB66BD">
      <w:pPr>
        <w:spacing w:after="0" w:line="240" w:lineRule="auto"/>
        <w:ind w:left="360"/>
        <w:jc w:val="both"/>
        <w:rPr>
          <w:rFonts w:ascii="Cambria" w:eastAsia="Calibri" w:hAnsi="Cambria" w:cs="Times New Roman"/>
          <w:sz w:val="21"/>
          <w:szCs w:val="21"/>
        </w:rPr>
      </w:pPr>
    </w:p>
    <w:p w:rsidR="00FB66BD" w:rsidRPr="00760364"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3A693C">
        <w:rPr>
          <w:rFonts w:ascii="Cambria" w:eastAsia="Calibri" w:hAnsi="Cambria" w:cs="Times New Roman"/>
          <w:sz w:val="21"/>
          <w:szCs w:val="21"/>
        </w:rPr>
        <w:t xml:space="preserve">In the present matter, the Inter-American Commission considers that the requirement of seriousness is </w:t>
      </w:r>
      <w:r>
        <w:rPr>
          <w:rFonts w:ascii="Cambria" w:eastAsia="Calibri" w:hAnsi="Cambria" w:cs="Times New Roman"/>
          <w:sz w:val="21"/>
          <w:szCs w:val="21"/>
        </w:rPr>
        <w:t>met</w:t>
      </w:r>
      <w:r w:rsidRPr="003A693C">
        <w:rPr>
          <w:rFonts w:ascii="Cambria" w:eastAsia="Calibri" w:hAnsi="Cambria" w:cs="Times New Roman"/>
          <w:sz w:val="21"/>
          <w:szCs w:val="21"/>
        </w:rPr>
        <w:t xml:space="preserve">, </w:t>
      </w:r>
      <w:r>
        <w:rPr>
          <w:rFonts w:ascii="Cambria" w:eastAsia="Calibri" w:hAnsi="Cambria" w:cs="Times New Roman"/>
          <w:sz w:val="21"/>
          <w:szCs w:val="21"/>
        </w:rPr>
        <w:t xml:space="preserve">in both </w:t>
      </w:r>
      <w:r w:rsidR="009D639B">
        <w:rPr>
          <w:rFonts w:ascii="Cambria" w:eastAsia="Calibri" w:hAnsi="Cambria" w:cs="Times New Roman"/>
          <w:sz w:val="21"/>
          <w:szCs w:val="21"/>
        </w:rPr>
        <w:t xml:space="preserve">its </w:t>
      </w:r>
      <w:r>
        <w:rPr>
          <w:rFonts w:ascii="Cambria" w:eastAsia="Calibri" w:hAnsi="Cambria" w:cs="Times New Roman"/>
          <w:sz w:val="21"/>
          <w:szCs w:val="21"/>
        </w:rPr>
        <w:t>precautionary and protective</w:t>
      </w:r>
      <w:r w:rsidR="009D639B" w:rsidRPr="009D639B">
        <w:rPr>
          <w:rFonts w:ascii="Cambria" w:eastAsia="Calibri" w:hAnsi="Cambria" w:cs="Times New Roman"/>
          <w:sz w:val="21"/>
          <w:szCs w:val="21"/>
        </w:rPr>
        <w:t xml:space="preserve"> </w:t>
      </w:r>
      <w:r w:rsidR="009D639B">
        <w:rPr>
          <w:rFonts w:ascii="Cambria" w:eastAsia="Calibri" w:hAnsi="Cambria" w:cs="Times New Roman"/>
          <w:sz w:val="21"/>
          <w:szCs w:val="21"/>
        </w:rPr>
        <w:t>aspects</w:t>
      </w:r>
      <w:r w:rsidRPr="003A693C">
        <w:rPr>
          <w:rFonts w:ascii="Cambria" w:eastAsia="Calibri" w:hAnsi="Cambria" w:cs="Times New Roman"/>
          <w:sz w:val="21"/>
          <w:szCs w:val="21"/>
        </w:rPr>
        <w:t>. In that sense, although the imposition of the death penalty is not prohibited in the American Declaration</w:t>
      </w:r>
      <w:r w:rsidR="00215862">
        <w:rPr>
          <w:rFonts w:ascii="Cambria" w:eastAsia="Calibri" w:hAnsi="Cambria" w:cs="Times New Roman"/>
          <w:sz w:val="21"/>
          <w:szCs w:val="21"/>
        </w:rPr>
        <w:t>,</w:t>
      </w:r>
      <w:r w:rsidRPr="00446FA7">
        <w:rPr>
          <w:rFonts w:ascii="Cambria" w:eastAsia="Calibri" w:hAnsi="Cambria" w:cs="Times New Roman"/>
          <w:sz w:val="21"/>
          <w:szCs w:val="21"/>
          <w:vertAlign w:val="superscript"/>
        </w:rPr>
        <w:footnoteReference w:id="12"/>
      </w:r>
      <w:r w:rsidRPr="003A693C">
        <w:rPr>
          <w:rFonts w:ascii="Cambria" w:eastAsia="Calibri" w:hAnsi="Cambria" w:cs="Times New Roman"/>
          <w:sz w:val="21"/>
          <w:szCs w:val="21"/>
        </w:rPr>
        <w:t xml:space="preserve"> the Commission observes that the rights </w:t>
      </w:r>
      <w:r w:rsidR="00215862" w:rsidRPr="003A693C">
        <w:rPr>
          <w:rFonts w:ascii="Cambria" w:eastAsia="Calibri" w:hAnsi="Cambria" w:cs="Times New Roman"/>
          <w:sz w:val="21"/>
          <w:szCs w:val="21"/>
        </w:rPr>
        <w:t xml:space="preserve">invoked </w:t>
      </w:r>
      <w:r w:rsidRPr="003A693C">
        <w:rPr>
          <w:rFonts w:ascii="Cambria" w:eastAsia="Calibri" w:hAnsi="Cambria" w:cs="Times New Roman"/>
          <w:sz w:val="21"/>
          <w:szCs w:val="21"/>
        </w:rPr>
        <w:t xml:space="preserve">mainly include the right to life under Article </w:t>
      </w:r>
      <w:r>
        <w:rPr>
          <w:rFonts w:ascii="Cambria" w:eastAsia="Calibri" w:hAnsi="Cambria" w:cs="Times New Roman"/>
          <w:sz w:val="21"/>
          <w:szCs w:val="21"/>
        </w:rPr>
        <w:t xml:space="preserve">I of the </w:t>
      </w:r>
      <w:r w:rsidRPr="003A693C">
        <w:rPr>
          <w:rFonts w:ascii="Cambria" w:eastAsia="Calibri" w:hAnsi="Cambria" w:cs="Times New Roman"/>
          <w:sz w:val="21"/>
          <w:szCs w:val="21"/>
        </w:rPr>
        <w:t xml:space="preserve">American Declaration, </w:t>
      </w:r>
      <w:r>
        <w:rPr>
          <w:rFonts w:ascii="Cambria" w:eastAsia="Calibri" w:hAnsi="Cambria" w:cs="Times New Roman"/>
          <w:sz w:val="21"/>
          <w:szCs w:val="21"/>
        </w:rPr>
        <w:t xml:space="preserve">in relation to the risk of Mr. </w:t>
      </w:r>
      <w:r w:rsidRPr="003A693C">
        <w:rPr>
          <w:rFonts w:ascii="Cambria" w:eastAsia="Calibri" w:hAnsi="Cambria" w:cs="Times New Roman"/>
          <w:sz w:val="21"/>
          <w:szCs w:val="21"/>
        </w:rPr>
        <w:t>Mitchell</w:t>
      </w:r>
      <w:r>
        <w:rPr>
          <w:rFonts w:ascii="Cambria" w:eastAsia="Calibri" w:hAnsi="Cambria" w:cs="Times New Roman"/>
          <w:sz w:val="21"/>
          <w:szCs w:val="21"/>
        </w:rPr>
        <w:t xml:space="preserve"> being executed </w:t>
      </w:r>
      <w:r w:rsidR="00243229">
        <w:rPr>
          <w:rFonts w:ascii="Cambria" w:eastAsia="Calibri" w:hAnsi="Cambria" w:cs="Times New Roman"/>
          <w:sz w:val="21"/>
          <w:szCs w:val="21"/>
        </w:rPr>
        <w:t>within</w:t>
      </w:r>
      <w:r>
        <w:rPr>
          <w:rFonts w:ascii="Cambria" w:eastAsia="Calibri" w:hAnsi="Cambria" w:cs="Times New Roman"/>
          <w:sz w:val="21"/>
          <w:szCs w:val="21"/>
        </w:rPr>
        <w:t xml:space="preserve"> the context of a criminal</w:t>
      </w:r>
      <w:r w:rsidRPr="00FB77D6">
        <w:rPr>
          <w:rFonts w:ascii="Cambria" w:eastAsia="Calibri" w:hAnsi="Cambria" w:cs="Times New Roman"/>
          <w:sz w:val="21"/>
          <w:szCs w:val="21"/>
        </w:rPr>
        <w:t xml:space="preserve"> </w:t>
      </w:r>
      <w:r w:rsidR="00215862">
        <w:rPr>
          <w:rFonts w:ascii="Cambria" w:eastAsia="Calibri" w:hAnsi="Cambria" w:cs="Times New Roman"/>
          <w:sz w:val="21"/>
          <w:szCs w:val="21"/>
        </w:rPr>
        <w:t xml:space="preserve">procedure </w:t>
      </w:r>
      <w:r>
        <w:rPr>
          <w:rFonts w:ascii="Cambria" w:eastAsia="Calibri" w:hAnsi="Cambria" w:cs="Times New Roman"/>
          <w:sz w:val="21"/>
          <w:szCs w:val="21"/>
        </w:rPr>
        <w:t xml:space="preserve">in regard to which </w:t>
      </w:r>
      <w:r w:rsidR="00215862">
        <w:rPr>
          <w:rFonts w:ascii="Cambria" w:eastAsia="Calibri" w:hAnsi="Cambria" w:cs="Times New Roman"/>
          <w:sz w:val="21"/>
          <w:szCs w:val="21"/>
        </w:rPr>
        <w:t xml:space="preserve">the applicants denounced </w:t>
      </w:r>
      <w:r>
        <w:rPr>
          <w:rFonts w:ascii="Cambria" w:eastAsia="Calibri" w:hAnsi="Cambria" w:cs="Times New Roman"/>
          <w:sz w:val="21"/>
          <w:szCs w:val="21"/>
        </w:rPr>
        <w:t xml:space="preserve">violations </w:t>
      </w:r>
      <w:r w:rsidR="00243229">
        <w:rPr>
          <w:rFonts w:ascii="Cambria" w:eastAsia="Calibri" w:hAnsi="Cambria" w:cs="Times New Roman"/>
          <w:sz w:val="21"/>
          <w:szCs w:val="21"/>
        </w:rPr>
        <w:t>of</w:t>
      </w:r>
      <w:r>
        <w:rPr>
          <w:rFonts w:ascii="Cambria" w:eastAsia="Calibri" w:hAnsi="Cambria" w:cs="Times New Roman"/>
          <w:sz w:val="21"/>
          <w:szCs w:val="21"/>
        </w:rPr>
        <w:t xml:space="preserve"> the right to </w:t>
      </w:r>
      <w:r w:rsidR="00215862">
        <w:rPr>
          <w:rFonts w:ascii="Cambria" w:eastAsia="Calibri" w:hAnsi="Cambria" w:cs="Times New Roman"/>
          <w:sz w:val="21"/>
          <w:szCs w:val="21"/>
        </w:rPr>
        <w:t>due process, among other rights</w:t>
      </w:r>
      <w:r w:rsidRPr="003A693C">
        <w:rPr>
          <w:rFonts w:ascii="Cambria" w:eastAsia="Calibri" w:hAnsi="Cambria" w:cs="Times New Roman"/>
          <w:sz w:val="21"/>
          <w:szCs w:val="21"/>
        </w:rPr>
        <w:t xml:space="preserve">. </w:t>
      </w:r>
      <w:r w:rsidRPr="00134E3F">
        <w:rPr>
          <w:rFonts w:ascii="Cambria" w:eastAsia="Calibri" w:hAnsi="Cambria" w:cs="Times New Roman"/>
          <w:sz w:val="21"/>
          <w:szCs w:val="21"/>
        </w:rPr>
        <w:t xml:space="preserve">In particular, the applicants claimed that, </w:t>
      </w:r>
      <w:r w:rsidR="00BA724A">
        <w:rPr>
          <w:rFonts w:ascii="Cambria" w:eastAsia="Calibri" w:hAnsi="Cambria" w:cs="Times New Roman"/>
          <w:sz w:val="21"/>
          <w:szCs w:val="21"/>
        </w:rPr>
        <w:t>during the criminal proceeding</w:t>
      </w:r>
      <w:r w:rsidRPr="00134E3F">
        <w:rPr>
          <w:rFonts w:ascii="Cambria" w:eastAsia="Calibri" w:hAnsi="Cambria" w:cs="Times New Roman"/>
          <w:sz w:val="21"/>
          <w:szCs w:val="21"/>
        </w:rPr>
        <w:t xml:space="preserve">, the </w:t>
      </w:r>
      <w:r w:rsidR="00215862">
        <w:rPr>
          <w:rFonts w:ascii="Cambria" w:eastAsia="Calibri" w:hAnsi="Cambria" w:cs="Times New Roman"/>
          <w:sz w:val="21"/>
          <w:szCs w:val="21"/>
        </w:rPr>
        <w:t>relevant</w:t>
      </w:r>
      <w:r w:rsidR="00BA724A">
        <w:rPr>
          <w:rFonts w:ascii="Cambria" w:eastAsia="Calibri" w:hAnsi="Cambria" w:cs="Times New Roman"/>
          <w:sz w:val="21"/>
          <w:szCs w:val="21"/>
        </w:rPr>
        <w:t xml:space="preserve"> </w:t>
      </w:r>
      <w:r w:rsidRPr="00134E3F">
        <w:rPr>
          <w:rFonts w:ascii="Cambria" w:eastAsia="Calibri" w:hAnsi="Cambria" w:cs="Times New Roman"/>
          <w:sz w:val="21"/>
          <w:szCs w:val="21"/>
        </w:rPr>
        <w:t>authorities did not offer Mr. Mitchell</w:t>
      </w:r>
      <w:r>
        <w:rPr>
          <w:rFonts w:ascii="Cambria" w:eastAsia="Calibri" w:hAnsi="Cambria" w:cs="Times New Roman"/>
          <w:sz w:val="21"/>
          <w:szCs w:val="21"/>
        </w:rPr>
        <w:t xml:space="preserve"> the possibility </w:t>
      </w:r>
      <w:r w:rsidR="00BA724A">
        <w:rPr>
          <w:rFonts w:ascii="Cambria" w:eastAsia="Calibri" w:hAnsi="Cambria" w:cs="Times New Roman"/>
          <w:sz w:val="21"/>
          <w:szCs w:val="21"/>
        </w:rPr>
        <w:t>of having</w:t>
      </w:r>
      <w:r>
        <w:rPr>
          <w:rFonts w:ascii="Cambria" w:eastAsia="Calibri" w:hAnsi="Cambria" w:cs="Times New Roman"/>
          <w:sz w:val="21"/>
          <w:szCs w:val="21"/>
        </w:rPr>
        <w:t xml:space="preserve"> an adequate defense, to provide </w:t>
      </w:r>
      <w:r w:rsidR="00243229">
        <w:rPr>
          <w:rFonts w:ascii="Cambria" w:eastAsia="Calibri" w:hAnsi="Cambria" w:cs="Times New Roman"/>
          <w:sz w:val="21"/>
          <w:szCs w:val="21"/>
        </w:rPr>
        <w:t>mitigating</w:t>
      </w:r>
      <w:r>
        <w:rPr>
          <w:rFonts w:ascii="Cambria" w:eastAsia="Calibri" w:hAnsi="Cambria" w:cs="Times New Roman"/>
          <w:sz w:val="21"/>
          <w:szCs w:val="21"/>
        </w:rPr>
        <w:t xml:space="preserve"> evidence</w:t>
      </w:r>
      <w:r w:rsidR="00BA724A">
        <w:rPr>
          <w:rFonts w:ascii="Cambria" w:eastAsia="Calibri" w:hAnsi="Cambria" w:cs="Times New Roman"/>
          <w:sz w:val="21"/>
          <w:szCs w:val="21"/>
        </w:rPr>
        <w:t xml:space="preserve"> or</w:t>
      </w:r>
      <w:r w:rsidR="00243229">
        <w:rPr>
          <w:rFonts w:ascii="Cambria" w:eastAsia="Calibri" w:hAnsi="Cambria" w:cs="Times New Roman"/>
          <w:sz w:val="21"/>
          <w:szCs w:val="21"/>
        </w:rPr>
        <w:t xml:space="preserve"> access to</w:t>
      </w:r>
      <w:r>
        <w:rPr>
          <w:rFonts w:ascii="Cambria" w:eastAsia="Calibri" w:hAnsi="Cambria" w:cs="Times New Roman"/>
          <w:sz w:val="21"/>
          <w:szCs w:val="21"/>
        </w:rPr>
        <w:t xml:space="preserve"> effective remedies, among other </w:t>
      </w:r>
      <w:r w:rsidR="00215862">
        <w:rPr>
          <w:rFonts w:ascii="Cambria" w:eastAsia="Calibri" w:hAnsi="Cambria" w:cs="Times New Roman"/>
          <w:sz w:val="21"/>
          <w:szCs w:val="21"/>
        </w:rPr>
        <w:t>issues</w:t>
      </w:r>
      <w:r w:rsidRPr="00134E3F">
        <w:rPr>
          <w:rFonts w:ascii="Cambria" w:eastAsia="Calibri" w:hAnsi="Cambria" w:cs="Times New Roman"/>
          <w:sz w:val="21"/>
          <w:szCs w:val="21"/>
        </w:rPr>
        <w:t xml:space="preserve">. </w:t>
      </w:r>
      <w:r w:rsidR="00215862">
        <w:rPr>
          <w:rFonts w:ascii="Cambria" w:eastAsia="Calibri" w:hAnsi="Cambria" w:cs="Times New Roman"/>
          <w:sz w:val="21"/>
          <w:szCs w:val="21"/>
        </w:rPr>
        <w:t>Furthermore</w:t>
      </w:r>
      <w:r w:rsidRPr="00760364">
        <w:rPr>
          <w:rFonts w:ascii="Cambria" w:eastAsia="Calibri" w:hAnsi="Cambria" w:cs="Times New Roman"/>
          <w:sz w:val="21"/>
          <w:szCs w:val="21"/>
        </w:rPr>
        <w:t>, the Commission observes that the applicants claimed</w:t>
      </w:r>
      <w:r w:rsidR="00B94725">
        <w:rPr>
          <w:rFonts w:ascii="Cambria" w:eastAsia="Calibri" w:hAnsi="Cambria" w:cs="Times New Roman"/>
          <w:sz w:val="21"/>
          <w:szCs w:val="21"/>
        </w:rPr>
        <w:t>,</w:t>
      </w:r>
      <w:r w:rsidRPr="00760364">
        <w:rPr>
          <w:rFonts w:ascii="Cambria" w:eastAsia="Calibri" w:hAnsi="Cambria" w:cs="Times New Roman"/>
          <w:sz w:val="21"/>
          <w:szCs w:val="21"/>
        </w:rPr>
        <w:t xml:space="preserve"> in the context of the petition</w:t>
      </w:r>
      <w:r w:rsidR="00B94725">
        <w:rPr>
          <w:rFonts w:ascii="Cambria" w:eastAsia="Calibri" w:hAnsi="Cambria" w:cs="Times New Roman"/>
          <w:sz w:val="21"/>
          <w:szCs w:val="21"/>
        </w:rPr>
        <w:t>,</w:t>
      </w:r>
      <w:r w:rsidRPr="00760364">
        <w:rPr>
          <w:rFonts w:ascii="Cambria" w:eastAsia="Calibri" w:hAnsi="Cambria" w:cs="Times New Roman"/>
          <w:sz w:val="21"/>
          <w:szCs w:val="21"/>
        </w:rPr>
        <w:t xml:space="preserve"> </w:t>
      </w:r>
      <w:r w:rsidR="00631FF3">
        <w:rPr>
          <w:rFonts w:ascii="Cambria" w:eastAsia="Calibri" w:hAnsi="Cambria" w:cs="Times New Roman"/>
          <w:sz w:val="21"/>
          <w:szCs w:val="21"/>
        </w:rPr>
        <w:t xml:space="preserve">that </w:t>
      </w:r>
      <w:r w:rsidR="00631FF3" w:rsidRPr="00760364">
        <w:rPr>
          <w:rFonts w:ascii="Cambria" w:eastAsia="Calibri" w:hAnsi="Cambria" w:cs="Times New Roman"/>
          <w:sz w:val="21"/>
          <w:szCs w:val="21"/>
        </w:rPr>
        <w:t>the application of the death penalty</w:t>
      </w:r>
      <w:r w:rsidR="00631FF3">
        <w:rPr>
          <w:rFonts w:ascii="Cambria" w:eastAsia="Calibri" w:hAnsi="Cambria" w:cs="Times New Roman"/>
          <w:sz w:val="21"/>
          <w:szCs w:val="21"/>
        </w:rPr>
        <w:t xml:space="preserve"> is incompatible</w:t>
      </w:r>
      <w:r w:rsidR="00631FF3" w:rsidRPr="00760364">
        <w:rPr>
          <w:rFonts w:ascii="Cambria" w:eastAsia="Calibri" w:hAnsi="Cambria" w:cs="Times New Roman"/>
          <w:sz w:val="21"/>
          <w:szCs w:val="21"/>
        </w:rPr>
        <w:t xml:space="preserve"> </w:t>
      </w:r>
      <w:r w:rsidRPr="00760364">
        <w:rPr>
          <w:rFonts w:ascii="Cambria" w:eastAsia="Calibri" w:hAnsi="Cambria" w:cs="Times New Roman"/>
          <w:sz w:val="21"/>
          <w:szCs w:val="21"/>
        </w:rPr>
        <w:t xml:space="preserve">with the religious beliefs and the </w:t>
      </w:r>
      <w:r>
        <w:rPr>
          <w:rFonts w:ascii="Cambria" w:eastAsia="Calibri" w:hAnsi="Cambria" w:cs="Times New Roman"/>
          <w:sz w:val="21"/>
          <w:szCs w:val="21"/>
        </w:rPr>
        <w:t>worldview</w:t>
      </w:r>
      <w:r w:rsidRPr="00760364">
        <w:rPr>
          <w:rFonts w:ascii="Cambria" w:eastAsia="Calibri" w:hAnsi="Cambria" w:cs="Times New Roman"/>
          <w:sz w:val="21"/>
          <w:szCs w:val="21"/>
        </w:rPr>
        <w:t xml:space="preserve"> of the</w:t>
      </w:r>
      <w:r>
        <w:rPr>
          <w:rFonts w:ascii="Cambria" w:eastAsia="Calibri" w:hAnsi="Cambria" w:cs="Times New Roman"/>
          <w:sz w:val="21"/>
          <w:szCs w:val="21"/>
        </w:rPr>
        <w:t xml:space="preserve"> </w:t>
      </w:r>
      <w:r w:rsidRPr="00760364">
        <w:rPr>
          <w:rFonts w:ascii="Cambria" w:eastAsia="Calibri" w:hAnsi="Cambria" w:cs="Times New Roman"/>
          <w:sz w:val="21"/>
          <w:szCs w:val="21"/>
        </w:rPr>
        <w:t>Navajo</w:t>
      </w:r>
      <w:r>
        <w:rPr>
          <w:rFonts w:ascii="Cambria" w:eastAsia="Calibri" w:hAnsi="Cambria" w:cs="Times New Roman"/>
          <w:sz w:val="21"/>
          <w:szCs w:val="21"/>
        </w:rPr>
        <w:t xml:space="preserve"> </w:t>
      </w:r>
      <w:r w:rsidR="00BA724A">
        <w:rPr>
          <w:rFonts w:ascii="Cambria" w:eastAsia="Calibri" w:hAnsi="Cambria" w:cs="Times New Roman"/>
          <w:sz w:val="21"/>
          <w:szCs w:val="21"/>
        </w:rPr>
        <w:t>people</w:t>
      </w:r>
      <w:r>
        <w:rPr>
          <w:rFonts w:ascii="Cambria" w:eastAsia="Calibri" w:hAnsi="Cambria" w:cs="Times New Roman"/>
          <w:sz w:val="21"/>
          <w:szCs w:val="21"/>
        </w:rPr>
        <w:t xml:space="preserve">, emphasizing the fact that Mr. </w:t>
      </w:r>
      <w:r w:rsidRPr="00760364">
        <w:rPr>
          <w:rFonts w:ascii="Cambria" w:eastAsia="Calibri" w:hAnsi="Cambria" w:cs="Times New Roman"/>
          <w:sz w:val="21"/>
          <w:szCs w:val="21"/>
        </w:rPr>
        <w:t>Mitchell</w:t>
      </w:r>
      <w:r>
        <w:rPr>
          <w:rFonts w:ascii="Cambria" w:eastAsia="Calibri" w:hAnsi="Cambria" w:cs="Times New Roman"/>
          <w:sz w:val="21"/>
          <w:szCs w:val="21"/>
        </w:rPr>
        <w:t xml:space="preserve"> </w:t>
      </w:r>
      <w:r w:rsidR="00631FF3">
        <w:rPr>
          <w:rFonts w:ascii="Cambria" w:eastAsia="Calibri" w:hAnsi="Cambria" w:cs="Times New Roman"/>
          <w:sz w:val="21"/>
          <w:szCs w:val="21"/>
        </w:rPr>
        <w:t>is</w:t>
      </w:r>
      <w:r>
        <w:rPr>
          <w:rFonts w:ascii="Cambria" w:eastAsia="Calibri" w:hAnsi="Cambria" w:cs="Times New Roman"/>
          <w:sz w:val="21"/>
          <w:szCs w:val="21"/>
        </w:rPr>
        <w:t xml:space="preserve"> the first American </w:t>
      </w:r>
      <w:r w:rsidR="0051336E" w:rsidRPr="0051336E">
        <w:rPr>
          <w:rFonts w:ascii="Cambria" w:eastAsia="Calibri" w:hAnsi="Cambria" w:cs="Times New Roman"/>
          <w:sz w:val="21"/>
          <w:szCs w:val="21"/>
        </w:rPr>
        <w:t>indigenous person</w:t>
      </w:r>
      <w:r>
        <w:rPr>
          <w:rFonts w:ascii="Cambria" w:eastAsia="Calibri" w:hAnsi="Cambria" w:cs="Times New Roman"/>
          <w:sz w:val="21"/>
          <w:szCs w:val="21"/>
        </w:rPr>
        <w:t xml:space="preserve"> </w:t>
      </w:r>
      <w:r w:rsidR="00BA724A">
        <w:rPr>
          <w:rFonts w:ascii="Cambria" w:eastAsia="Calibri" w:hAnsi="Cambria" w:cs="Times New Roman"/>
          <w:sz w:val="21"/>
          <w:szCs w:val="21"/>
        </w:rPr>
        <w:t>on</w:t>
      </w:r>
      <w:r>
        <w:rPr>
          <w:rFonts w:ascii="Cambria" w:eastAsia="Calibri" w:hAnsi="Cambria" w:cs="Times New Roman"/>
          <w:sz w:val="21"/>
          <w:szCs w:val="21"/>
        </w:rPr>
        <w:t xml:space="preserve"> death row</w:t>
      </w:r>
      <w:r w:rsidRPr="00760364">
        <w:rPr>
          <w:rFonts w:ascii="Cambria" w:eastAsia="Calibri" w:hAnsi="Cambria" w:cs="Times New Roman"/>
          <w:sz w:val="21"/>
          <w:szCs w:val="21"/>
        </w:rPr>
        <w:t>.</w:t>
      </w:r>
      <w:r w:rsidR="009D639B">
        <w:rPr>
          <w:rFonts w:ascii="Cambria" w:eastAsia="Calibri" w:hAnsi="Cambria" w:cs="Times New Roman"/>
          <w:sz w:val="21"/>
          <w:szCs w:val="21"/>
        </w:rPr>
        <w:t xml:space="preserve"> </w:t>
      </w:r>
    </w:p>
    <w:p w:rsidR="00FB66BD" w:rsidRPr="00760364" w:rsidRDefault="00FB66BD" w:rsidP="00FB66BD">
      <w:pPr>
        <w:spacing w:after="0" w:line="240" w:lineRule="auto"/>
        <w:ind w:left="360"/>
        <w:jc w:val="both"/>
        <w:rPr>
          <w:rFonts w:ascii="Cambria" w:eastAsia="Calibri" w:hAnsi="Cambria" w:cs="Times New Roman"/>
          <w:sz w:val="21"/>
          <w:szCs w:val="21"/>
        </w:rPr>
      </w:pPr>
    </w:p>
    <w:p w:rsidR="00FB66BD" w:rsidRPr="00AD5AA8"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AD5AA8">
        <w:rPr>
          <w:rFonts w:ascii="Cambria" w:eastAsia="Calibri" w:hAnsi="Cambria" w:cs="Times New Roman"/>
          <w:color w:val="000000"/>
          <w:sz w:val="21"/>
          <w:szCs w:val="21"/>
        </w:rPr>
        <w:lastRenderedPageBreak/>
        <w:t xml:space="preserve">Consequently, the Commission concludes that the rights of Mr. </w:t>
      </w:r>
      <w:r w:rsidRPr="00AD5AA8">
        <w:rPr>
          <w:rFonts w:ascii="Cambria" w:eastAsia="Calibri" w:hAnsi="Cambria" w:cs="Times New Roman"/>
          <w:sz w:val="21"/>
          <w:szCs w:val="21"/>
        </w:rPr>
        <w:t xml:space="preserve">Mitchell, under the American Declaration, are </w:t>
      </w:r>
      <w:r w:rsidRPr="00AD5AA8">
        <w:rPr>
          <w:rFonts w:ascii="Cambria" w:eastAsia="Calibri" w:hAnsi="Cambria" w:cs="Times New Roman"/>
          <w:i/>
          <w:sz w:val="21"/>
          <w:szCs w:val="21"/>
        </w:rPr>
        <w:t>prima facie</w:t>
      </w:r>
      <w:r w:rsidRPr="00AD5AA8">
        <w:rPr>
          <w:rFonts w:ascii="Cambria" w:eastAsia="Calibri" w:hAnsi="Cambria" w:cs="Times New Roman"/>
          <w:sz w:val="21"/>
          <w:szCs w:val="21"/>
        </w:rPr>
        <w:t xml:space="preserve"> at risk, considering the possibility of </w:t>
      </w:r>
      <w:r w:rsidRPr="00AD5AA8">
        <w:rPr>
          <w:rFonts w:ascii="Cambria" w:eastAsia="Calibri" w:hAnsi="Cambria" w:cs="Times New Roman"/>
          <w:iCs/>
          <w:sz w:val="21"/>
          <w:szCs w:val="21"/>
        </w:rPr>
        <w:t>the death sentence being imposed</w:t>
      </w:r>
      <w:r>
        <w:rPr>
          <w:rFonts w:ascii="Cambria" w:eastAsia="Calibri" w:hAnsi="Cambria" w:cs="Times New Roman"/>
          <w:sz w:val="21"/>
          <w:szCs w:val="21"/>
        </w:rPr>
        <w:t xml:space="preserve"> and its subsequent effects i</w:t>
      </w:r>
      <w:r w:rsidRPr="00AD5AA8">
        <w:rPr>
          <w:rFonts w:ascii="Cambria" w:eastAsia="Calibri" w:hAnsi="Cambria" w:cs="Times New Roman"/>
          <w:sz w:val="21"/>
          <w:szCs w:val="21"/>
        </w:rPr>
        <w:t>n</w:t>
      </w:r>
      <w:r>
        <w:rPr>
          <w:rFonts w:ascii="Cambria" w:eastAsia="Calibri" w:hAnsi="Cambria" w:cs="Times New Roman"/>
          <w:sz w:val="21"/>
          <w:szCs w:val="21"/>
        </w:rPr>
        <w:t xml:space="preserve"> relation to the underlying petition which is currently being analyzed by the Commission</w:t>
      </w:r>
      <w:r w:rsidRPr="00AD5AA8">
        <w:rPr>
          <w:rFonts w:ascii="Cambria" w:eastAsia="Calibri" w:hAnsi="Cambria" w:cs="Times New Roman"/>
          <w:sz w:val="21"/>
          <w:szCs w:val="21"/>
        </w:rPr>
        <w:t>.</w:t>
      </w:r>
    </w:p>
    <w:p w:rsidR="00FB66BD" w:rsidRPr="00AD5AA8" w:rsidRDefault="00FB66BD" w:rsidP="00FB66BD">
      <w:pPr>
        <w:spacing w:after="0" w:line="240" w:lineRule="auto"/>
        <w:ind w:left="360"/>
        <w:jc w:val="both"/>
        <w:rPr>
          <w:rFonts w:ascii="Cambria" w:eastAsia="Calibri" w:hAnsi="Cambria" w:cs="Times New Roman"/>
          <w:sz w:val="21"/>
          <w:szCs w:val="21"/>
        </w:rPr>
      </w:pPr>
    </w:p>
    <w:p w:rsidR="00FB66BD" w:rsidRPr="00A365F6"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A365F6">
        <w:rPr>
          <w:rFonts w:ascii="Cambria" w:hAnsi="Cambria"/>
          <w:color w:val="000000"/>
          <w:sz w:val="21"/>
          <w:szCs w:val="21"/>
        </w:rPr>
        <w:t>As for the requirement of urgency, the Commission considers that it is fulfilled to the extent that</w:t>
      </w:r>
      <w:r w:rsidRPr="00A365F6">
        <w:rPr>
          <w:rFonts w:ascii="Cambria" w:eastAsia="Calibri" w:hAnsi="Cambria" w:cs="Times New Roman"/>
          <w:sz w:val="21"/>
          <w:szCs w:val="21"/>
        </w:rPr>
        <w:t xml:space="preserve">, given </w:t>
      </w:r>
      <w:r w:rsidRPr="00A365F6">
        <w:rPr>
          <w:rFonts w:ascii="Cambria" w:hAnsi="Cambria"/>
          <w:color w:val="000000"/>
          <w:sz w:val="21"/>
          <w:szCs w:val="21"/>
        </w:rPr>
        <w:t>the apparent exhaustion of domestic remedies and the allegations of the applican</w:t>
      </w:r>
      <w:r>
        <w:rPr>
          <w:rFonts w:ascii="Cambria" w:hAnsi="Cambria"/>
          <w:color w:val="000000"/>
          <w:sz w:val="21"/>
          <w:szCs w:val="21"/>
        </w:rPr>
        <w:t xml:space="preserve">ts regarding the </w:t>
      </w:r>
      <w:r w:rsidRPr="00A365F6">
        <w:rPr>
          <w:rFonts w:ascii="Cambria" w:eastAsia="Calibri" w:hAnsi="Cambria" w:cs="Times New Roman"/>
          <w:sz w:val="21"/>
          <w:szCs w:val="21"/>
        </w:rPr>
        <w:t xml:space="preserve"> </w:t>
      </w:r>
      <w:r w:rsidR="00631FF3">
        <w:rPr>
          <w:rFonts w:ascii="Cambria" w:eastAsia="Calibri" w:hAnsi="Cambria" w:cs="Times New Roman"/>
          <w:sz w:val="21"/>
          <w:szCs w:val="21"/>
        </w:rPr>
        <w:t>setting</w:t>
      </w:r>
      <w:r>
        <w:rPr>
          <w:rFonts w:ascii="Cambria" w:eastAsia="Calibri" w:hAnsi="Cambria" w:cs="Times New Roman"/>
          <w:sz w:val="21"/>
          <w:szCs w:val="21"/>
        </w:rPr>
        <w:t xml:space="preserve"> of an execution date</w:t>
      </w:r>
      <w:r w:rsidRPr="00A365F6">
        <w:rPr>
          <w:rFonts w:ascii="Cambria" w:eastAsia="Calibri" w:hAnsi="Cambria" w:cs="Times New Roman"/>
          <w:sz w:val="21"/>
          <w:szCs w:val="21"/>
        </w:rPr>
        <w:t xml:space="preserve"> </w:t>
      </w:r>
      <w:r>
        <w:rPr>
          <w:rFonts w:ascii="Cambria" w:eastAsia="Calibri" w:hAnsi="Cambria" w:cs="Times New Roman"/>
          <w:sz w:val="21"/>
          <w:szCs w:val="21"/>
        </w:rPr>
        <w:t>in the near future</w:t>
      </w:r>
      <w:r w:rsidRPr="00A365F6">
        <w:rPr>
          <w:rFonts w:ascii="Cambria" w:eastAsia="Calibri" w:hAnsi="Cambria" w:cs="Times New Roman"/>
          <w:sz w:val="21"/>
          <w:szCs w:val="21"/>
        </w:rPr>
        <w:t xml:space="preserve">, </w:t>
      </w:r>
      <w:r>
        <w:rPr>
          <w:rFonts w:ascii="Cambria" w:eastAsia="Calibri" w:hAnsi="Cambria" w:cs="Times New Roman"/>
          <w:sz w:val="21"/>
          <w:szCs w:val="21"/>
        </w:rPr>
        <w:t>this irreparable harm requires an immediate intervention in the</w:t>
      </w:r>
      <w:r w:rsidRPr="00A365F6">
        <w:rPr>
          <w:rFonts w:ascii="Cambria" w:eastAsia="Calibri" w:hAnsi="Cambria" w:cs="Times New Roman"/>
          <w:sz w:val="21"/>
          <w:szCs w:val="21"/>
        </w:rPr>
        <w:t xml:space="preserve"> </w:t>
      </w:r>
      <w:r>
        <w:rPr>
          <w:rFonts w:ascii="Cambria" w:eastAsia="Calibri" w:hAnsi="Cambria" w:cs="Times New Roman"/>
          <w:sz w:val="21"/>
          <w:szCs w:val="21"/>
        </w:rPr>
        <w:t>present matter</w:t>
      </w:r>
      <w:r w:rsidRPr="00A365F6">
        <w:rPr>
          <w:rFonts w:ascii="Cambria" w:eastAsia="Calibri" w:hAnsi="Cambria" w:cs="Times New Roman"/>
          <w:sz w:val="21"/>
          <w:szCs w:val="21"/>
        </w:rPr>
        <w:t>.</w:t>
      </w:r>
    </w:p>
    <w:p w:rsidR="00FB66BD" w:rsidRPr="00A365F6" w:rsidRDefault="00FB66BD" w:rsidP="00FB66BD">
      <w:pPr>
        <w:spacing w:after="0" w:line="240" w:lineRule="auto"/>
        <w:ind w:left="360"/>
        <w:jc w:val="both"/>
        <w:rPr>
          <w:rFonts w:ascii="Cambria" w:eastAsia="Calibri" w:hAnsi="Cambria" w:cs="Times New Roman"/>
          <w:sz w:val="21"/>
          <w:szCs w:val="21"/>
        </w:rPr>
      </w:pPr>
    </w:p>
    <w:p w:rsidR="00FB66BD" w:rsidRPr="00BF7EF9"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033887">
        <w:rPr>
          <w:rFonts w:ascii="Cambria" w:hAnsi="Cambria"/>
          <w:color w:val="000000"/>
          <w:sz w:val="21"/>
          <w:szCs w:val="21"/>
        </w:rPr>
        <w:t xml:space="preserve">Regarding the requirement of </w:t>
      </w:r>
      <w:r w:rsidRPr="00033887">
        <w:rPr>
          <w:rFonts w:ascii="Cambria" w:hAnsi="Cambria"/>
          <w:sz w:val="21"/>
          <w:szCs w:val="21"/>
        </w:rPr>
        <w:t xml:space="preserve">irreparable harm, </w:t>
      </w:r>
      <w:r w:rsidRPr="00033887">
        <w:rPr>
          <w:rFonts w:ascii="Cambria" w:hAnsi="Cambria"/>
          <w:color w:val="000000"/>
          <w:sz w:val="21"/>
          <w:szCs w:val="21"/>
        </w:rPr>
        <w:t>the Commi</w:t>
      </w:r>
      <w:r w:rsidR="00BA724A">
        <w:rPr>
          <w:rFonts w:ascii="Cambria" w:hAnsi="Cambria"/>
          <w:color w:val="000000"/>
          <w:sz w:val="21"/>
          <w:szCs w:val="21"/>
        </w:rPr>
        <w:t>ssion considers that the risk to</w:t>
      </w:r>
      <w:r w:rsidRPr="00033887">
        <w:rPr>
          <w:rFonts w:ascii="Cambria" w:hAnsi="Cambria"/>
          <w:color w:val="000000"/>
          <w:sz w:val="21"/>
          <w:szCs w:val="21"/>
        </w:rPr>
        <w:t xml:space="preserve"> the right to life is evident</w:t>
      </w:r>
      <w:r>
        <w:rPr>
          <w:rFonts w:ascii="Cambria" w:hAnsi="Cambria"/>
          <w:color w:val="000000"/>
          <w:sz w:val="21"/>
          <w:szCs w:val="21"/>
        </w:rPr>
        <w:t xml:space="preserve"> in</w:t>
      </w:r>
      <w:r w:rsidRPr="00033887">
        <w:rPr>
          <w:rFonts w:ascii="Cambria" w:hAnsi="Cambria"/>
          <w:color w:val="000000"/>
          <w:sz w:val="21"/>
          <w:szCs w:val="21"/>
        </w:rPr>
        <w:t xml:space="preserve"> light of </w:t>
      </w:r>
      <w:r>
        <w:rPr>
          <w:rFonts w:ascii="Cambria" w:hAnsi="Cambria"/>
          <w:sz w:val="21"/>
          <w:szCs w:val="21"/>
        </w:rPr>
        <w:t xml:space="preserve">the imminent </w:t>
      </w:r>
      <w:r w:rsidRPr="00033887">
        <w:rPr>
          <w:rFonts w:ascii="Cambria" w:hAnsi="Cambria"/>
          <w:sz w:val="21"/>
          <w:szCs w:val="21"/>
        </w:rPr>
        <w:t>application of the death pen</w:t>
      </w:r>
      <w:r w:rsidRPr="00033887">
        <w:rPr>
          <w:rFonts w:ascii="Cambria" w:hAnsi="Cambria"/>
          <w:color w:val="000000"/>
          <w:sz w:val="21"/>
          <w:szCs w:val="21"/>
        </w:rPr>
        <w:t>alty</w:t>
      </w:r>
      <w:r>
        <w:rPr>
          <w:rFonts w:ascii="Cambria" w:hAnsi="Cambria"/>
          <w:sz w:val="21"/>
          <w:szCs w:val="21"/>
        </w:rPr>
        <w:t xml:space="preserve"> since the loss of life  imposes the most extreme and irreversible situation possible</w:t>
      </w:r>
      <w:r w:rsidRPr="00033887">
        <w:rPr>
          <w:rFonts w:ascii="Cambria" w:hAnsi="Cambria"/>
          <w:sz w:val="21"/>
          <w:szCs w:val="21"/>
        </w:rPr>
        <w:t xml:space="preserve">. </w:t>
      </w:r>
      <w:r w:rsidRPr="00BF7EF9">
        <w:rPr>
          <w:rFonts w:ascii="Cambria" w:hAnsi="Cambria"/>
          <w:sz w:val="21"/>
          <w:szCs w:val="21"/>
        </w:rPr>
        <w:t xml:space="preserve">In regard to the precautionary nature, the Commission considers that if Mr. Mitchell </w:t>
      </w:r>
      <w:r w:rsidR="007216B6">
        <w:rPr>
          <w:rFonts w:ascii="Cambria" w:hAnsi="Cambria"/>
          <w:sz w:val="21"/>
          <w:szCs w:val="21"/>
        </w:rPr>
        <w:t>is</w:t>
      </w:r>
      <w:r>
        <w:rPr>
          <w:rFonts w:ascii="Cambria" w:hAnsi="Cambria"/>
          <w:sz w:val="21"/>
          <w:szCs w:val="21"/>
        </w:rPr>
        <w:t xml:space="preserve"> </w:t>
      </w:r>
      <w:r w:rsidRPr="00BF7EF9">
        <w:rPr>
          <w:rFonts w:ascii="Cambria" w:hAnsi="Cambria"/>
          <w:sz w:val="21"/>
          <w:szCs w:val="21"/>
        </w:rPr>
        <w:t xml:space="preserve">executed before the Commission </w:t>
      </w:r>
      <w:r w:rsidR="00B94725">
        <w:rPr>
          <w:rFonts w:ascii="Cambria" w:hAnsi="Cambria"/>
          <w:sz w:val="21"/>
          <w:szCs w:val="21"/>
        </w:rPr>
        <w:t xml:space="preserve">has </w:t>
      </w:r>
      <w:r w:rsidRPr="00BF7EF9">
        <w:rPr>
          <w:rFonts w:ascii="Cambria" w:hAnsi="Cambria"/>
          <w:sz w:val="21"/>
          <w:szCs w:val="21"/>
        </w:rPr>
        <w:t>had the opportunity to analyze completely the petition P-627</w:t>
      </w:r>
      <w:r>
        <w:rPr>
          <w:rFonts w:ascii="Cambria" w:hAnsi="Cambria"/>
          <w:sz w:val="21"/>
          <w:szCs w:val="21"/>
        </w:rPr>
        <w:t xml:space="preserve">-17, the final decision would lack any </w:t>
      </w:r>
      <w:r w:rsidRPr="00BF7EF9">
        <w:rPr>
          <w:rFonts w:ascii="Cambria" w:hAnsi="Cambria"/>
          <w:sz w:val="21"/>
          <w:szCs w:val="21"/>
        </w:rPr>
        <w:t xml:space="preserve">effectiveness, </w:t>
      </w:r>
      <w:r w:rsidR="00BA724A">
        <w:rPr>
          <w:rFonts w:ascii="Cambria" w:hAnsi="Cambria"/>
          <w:sz w:val="21"/>
          <w:szCs w:val="21"/>
        </w:rPr>
        <w:t xml:space="preserve">because the situation of irreparable harm would have already materialized. </w:t>
      </w:r>
    </w:p>
    <w:p w:rsidR="00FB66BD" w:rsidRPr="00BF7EF9" w:rsidRDefault="00FB66BD" w:rsidP="00FB66BD">
      <w:pPr>
        <w:spacing w:after="0" w:line="240" w:lineRule="auto"/>
        <w:ind w:left="360"/>
        <w:jc w:val="both"/>
        <w:rPr>
          <w:rFonts w:ascii="Cambria" w:eastAsia="Calibri" w:hAnsi="Cambria" w:cs="Times New Roman"/>
          <w:sz w:val="21"/>
          <w:szCs w:val="21"/>
        </w:rPr>
      </w:pPr>
    </w:p>
    <w:p w:rsidR="00FB66BD" w:rsidRPr="00B85F67"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B85F67">
        <w:rPr>
          <w:rFonts w:ascii="Cambria" w:eastAsia="Calibri" w:hAnsi="Cambria" w:cs="Times New Roman"/>
          <w:sz w:val="21"/>
          <w:szCs w:val="21"/>
        </w:rPr>
        <w:t>In this context, the Commission points out that, in compliance with the Article 25 (5) of its Rules of Procedure</w:t>
      </w:r>
      <w:r>
        <w:rPr>
          <w:rFonts w:ascii="Cambria" w:eastAsia="Calibri" w:hAnsi="Cambria" w:cs="Times New Roman"/>
          <w:sz w:val="21"/>
          <w:szCs w:val="21"/>
        </w:rPr>
        <w:t>, "[p]rior</w:t>
      </w:r>
      <w:r w:rsidRPr="00B85F67">
        <w:rPr>
          <w:rFonts w:ascii="Cambria" w:eastAsia="Calibri" w:hAnsi="Cambria" w:cs="Times New Roman"/>
          <w:sz w:val="21"/>
          <w:szCs w:val="21"/>
        </w:rPr>
        <w:t xml:space="preserve"> the adoption of precautionary measures, the Commission shall request relevant information to the State concerned, except where the immediacy </w:t>
      </w:r>
      <w:r w:rsidR="00BA724A">
        <w:rPr>
          <w:rFonts w:ascii="Cambria" w:eastAsia="Calibri" w:hAnsi="Cambria" w:cs="Times New Roman"/>
          <w:sz w:val="21"/>
          <w:szCs w:val="21"/>
        </w:rPr>
        <w:t>of the threatened harm admits</w:t>
      </w:r>
      <w:r w:rsidRPr="00B85F67">
        <w:rPr>
          <w:rFonts w:ascii="Cambria" w:eastAsia="Calibri" w:hAnsi="Cambria" w:cs="Times New Roman"/>
          <w:sz w:val="21"/>
          <w:szCs w:val="21"/>
        </w:rPr>
        <w:t xml:space="preserve"> no delay.</w:t>
      </w:r>
      <w:r>
        <w:rPr>
          <w:rFonts w:ascii="Cambria" w:eastAsia="Calibri" w:hAnsi="Cambria" w:cs="Times New Roman"/>
          <w:sz w:val="21"/>
          <w:szCs w:val="21"/>
        </w:rPr>
        <w:t>”</w:t>
      </w:r>
      <w:r w:rsidRPr="00B85F67">
        <w:rPr>
          <w:rFonts w:ascii="Cambria" w:eastAsia="Calibri" w:hAnsi="Cambria" w:cs="Times New Roman"/>
          <w:sz w:val="21"/>
          <w:szCs w:val="21"/>
        </w:rPr>
        <w:t xml:space="preserve"> In the present matter, taking into consideration the nature of the potential harm and its effect on the protected rights, as well as the allegations of the applicants regarding the exhaustion of the domestic judicia</w:t>
      </w:r>
      <w:r w:rsidR="00B94725">
        <w:rPr>
          <w:rFonts w:ascii="Cambria" w:eastAsia="Calibri" w:hAnsi="Cambria" w:cs="Times New Roman"/>
          <w:sz w:val="21"/>
          <w:szCs w:val="21"/>
        </w:rPr>
        <w:t>l</w:t>
      </w:r>
      <w:r w:rsidRPr="00B85F67">
        <w:rPr>
          <w:rFonts w:ascii="Cambria" w:eastAsia="Calibri" w:hAnsi="Cambria" w:cs="Times New Roman"/>
          <w:sz w:val="21"/>
          <w:szCs w:val="21"/>
        </w:rPr>
        <w:t xml:space="preserve"> remedies,</w:t>
      </w:r>
      <w:r>
        <w:rPr>
          <w:rFonts w:ascii="Cambria" w:eastAsia="Calibri" w:hAnsi="Cambria" w:cs="Times New Roman"/>
          <w:sz w:val="21"/>
          <w:szCs w:val="21"/>
        </w:rPr>
        <w:t xml:space="preserve"> the Commission understands that immediate actions have to be adopted in order to protect the rights of Mr. </w:t>
      </w:r>
      <w:r w:rsidRPr="00B85F67">
        <w:rPr>
          <w:rFonts w:ascii="Cambria" w:eastAsia="Calibri" w:hAnsi="Cambria" w:cs="Times New Roman"/>
          <w:sz w:val="21"/>
          <w:szCs w:val="21"/>
        </w:rPr>
        <w:t>Mitchell</w:t>
      </w:r>
      <w:r>
        <w:rPr>
          <w:rFonts w:ascii="Cambria" w:eastAsia="Calibri" w:hAnsi="Cambria" w:cs="Times New Roman"/>
          <w:sz w:val="21"/>
          <w:szCs w:val="21"/>
        </w:rPr>
        <w:t xml:space="preserve"> and guarantee the effectiveness of an eventual decision in the context of the </w:t>
      </w:r>
      <w:r w:rsidR="00B94725">
        <w:rPr>
          <w:rFonts w:ascii="Cambria" w:eastAsia="Calibri" w:hAnsi="Cambria" w:cs="Times New Roman"/>
          <w:sz w:val="21"/>
          <w:szCs w:val="21"/>
        </w:rPr>
        <w:t>aforementioned</w:t>
      </w:r>
      <w:r>
        <w:rPr>
          <w:rFonts w:ascii="Cambria" w:eastAsia="Calibri" w:hAnsi="Cambria" w:cs="Times New Roman"/>
          <w:sz w:val="21"/>
          <w:szCs w:val="21"/>
        </w:rPr>
        <w:t xml:space="preserve"> petition.</w:t>
      </w:r>
    </w:p>
    <w:p w:rsidR="00FB66BD" w:rsidRPr="00B85F67" w:rsidRDefault="00FB66BD" w:rsidP="00FB66BD">
      <w:pPr>
        <w:spacing w:after="0" w:line="240" w:lineRule="auto"/>
        <w:ind w:left="360"/>
        <w:jc w:val="both"/>
        <w:rPr>
          <w:rFonts w:ascii="Cambria" w:eastAsia="Calibri" w:hAnsi="Cambria" w:cs="Times New Roman"/>
          <w:sz w:val="21"/>
          <w:szCs w:val="21"/>
        </w:rPr>
      </w:pPr>
    </w:p>
    <w:p w:rsidR="00FB66BD" w:rsidRPr="0002271B" w:rsidRDefault="00FB66BD" w:rsidP="00FB66BD">
      <w:pPr>
        <w:numPr>
          <w:ilvl w:val="0"/>
          <w:numId w:val="8"/>
        </w:numPr>
        <w:spacing w:after="0" w:line="240" w:lineRule="auto"/>
        <w:jc w:val="both"/>
        <w:rPr>
          <w:rFonts w:ascii="Cambria" w:eastAsia="Calibri" w:hAnsi="Cambria" w:cs="Times New Roman"/>
          <w:b/>
          <w:sz w:val="21"/>
          <w:szCs w:val="21"/>
        </w:rPr>
      </w:pPr>
      <w:r>
        <w:rPr>
          <w:rFonts w:ascii="Cambria" w:eastAsia="Calibri" w:hAnsi="Cambria" w:cs="Times New Roman"/>
          <w:b/>
          <w:sz w:val="21"/>
          <w:szCs w:val="21"/>
          <w:lang w:val="es-CO"/>
        </w:rPr>
        <w:t>BENEFICIARIES</w:t>
      </w:r>
    </w:p>
    <w:p w:rsidR="00FB66BD" w:rsidRPr="0002271B" w:rsidRDefault="00FB66BD" w:rsidP="00FB66BD">
      <w:pPr>
        <w:spacing w:after="0" w:line="240" w:lineRule="auto"/>
        <w:jc w:val="both"/>
        <w:rPr>
          <w:rFonts w:ascii="Cambria" w:eastAsia="Calibri" w:hAnsi="Cambria" w:cs="Times New Roman"/>
          <w:b/>
          <w:sz w:val="21"/>
          <w:szCs w:val="21"/>
        </w:rPr>
      </w:pPr>
    </w:p>
    <w:p w:rsidR="00FB66BD" w:rsidRPr="00F3308F" w:rsidRDefault="00FB66BD" w:rsidP="00FB66BD">
      <w:pPr>
        <w:numPr>
          <w:ilvl w:val="0"/>
          <w:numId w:val="11"/>
        </w:numPr>
        <w:spacing w:after="0" w:line="240" w:lineRule="auto"/>
        <w:ind w:left="0" w:firstLine="360"/>
        <w:jc w:val="both"/>
        <w:rPr>
          <w:rFonts w:ascii="Cambria" w:eastAsia="Calibri" w:hAnsi="Cambria" w:cs="Times New Roman"/>
          <w:sz w:val="21"/>
          <w:szCs w:val="21"/>
        </w:rPr>
      </w:pPr>
      <w:r>
        <w:rPr>
          <w:rFonts w:ascii="Cambria" w:hAnsi="Cambria"/>
          <w:color w:val="000000"/>
          <w:sz w:val="21"/>
          <w:szCs w:val="21"/>
        </w:rPr>
        <w:t xml:space="preserve">The Commission extends this precautionary measure in favor of </w:t>
      </w:r>
      <w:r w:rsidRPr="00F3308F">
        <w:rPr>
          <w:rFonts w:ascii="Cambria" w:eastAsia="Calibri" w:hAnsi="Cambria" w:cs="Times New Roman"/>
          <w:sz w:val="21"/>
          <w:szCs w:val="21"/>
        </w:rPr>
        <w:t>Lezmond Mitchell</w:t>
      </w:r>
      <w:r>
        <w:rPr>
          <w:rFonts w:ascii="Cambria" w:hAnsi="Cambria"/>
          <w:color w:val="000000"/>
          <w:sz w:val="21"/>
          <w:szCs w:val="21"/>
        </w:rPr>
        <w:t>, who is duly identified in the context of this proceeding</w:t>
      </w:r>
      <w:r w:rsidRPr="00F3308F">
        <w:rPr>
          <w:rFonts w:ascii="Cambria" w:eastAsia="Calibri" w:hAnsi="Cambria" w:cs="Times New Roman"/>
          <w:sz w:val="21"/>
          <w:szCs w:val="21"/>
        </w:rPr>
        <w:t>.</w:t>
      </w:r>
    </w:p>
    <w:p w:rsidR="00FB66BD" w:rsidRPr="00F3308F" w:rsidRDefault="00FB66BD" w:rsidP="00FB66BD">
      <w:pPr>
        <w:spacing w:after="0" w:line="240" w:lineRule="auto"/>
        <w:jc w:val="both"/>
        <w:rPr>
          <w:rFonts w:ascii="Cambria" w:eastAsia="Calibri" w:hAnsi="Cambria" w:cs="Times New Roman"/>
          <w:sz w:val="21"/>
          <w:szCs w:val="21"/>
        </w:rPr>
      </w:pPr>
    </w:p>
    <w:p w:rsidR="00FB66BD" w:rsidRPr="0002271B" w:rsidRDefault="00FB66BD" w:rsidP="00FB66BD">
      <w:pPr>
        <w:numPr>
          <w:ilvl w:val="0"/>
          <w:numId w:val="8"/>
        </w:numPr>
        <w:spacing w:after="0" w:line="240" w:lineRule="auto"/>
        <w:jc w:val="both"/>
        <w:rPr>
          <w:rFonts w:ascii="Cambria" w:eastAsia="Calibri" w:hAnsi="Cambria" w:cs="Times New Roman"/>
          <w:b/>
          <w:sz w:val="21"/>
          <w:szCs w:val="21"/>
        </w:rPr>
      </w:pPr>
      <w:r>
        <w:rPr>
          <w:rFonts w:ascii="Cambria" w:eastAsia="Calibri" w:hAnsi="Cambria" w:cs="Times New Roman"/>
          <w:b/>
          <w:sz w:val="21"/>
          <w:szCs w:val="21"/>
          <w:lang w:val="es-CO"/>
        </w:rPr>
        <w:t>DECISIO</w:t>
      </w:r>
      <w:r w:rsidRPr="0002271B">
        <w:rPr>
          <w:rFonts w:ascii="Cambria" w:eastAsia="Calibri" w:hAnsi="Cambria" w:cs="Times New Roman"/>
          <w:b/>
          <w:sz w:val="21"/>
          <w:szCs w:val="21"/>
          <w:lang w:val="es-CO"/>
        </w:rPr>
        <w:t>N</w:t>
      </w:r>
    </w:p>
    <w:p w:rsidR="00FB66BD" w:rsidRPr="0002271B" w:rsidRDefault="00FB66BD" w:rsidP="00FB66BD">
      <w:pPr>
        <w:spacing w:after="0" w:line="240" w:lineRule="auto"/>
        <w:jc w:val="both"/>
        <w:rPr>
          <w:rFonts w:ascii="Cambria" w:eastAsia="Calibri" w:hAnsi="Cambria" w:cs="Times New Roman"/>
          <w:b/>
          <w:sz w:val="21"/>
          <w:szCs w:val="21"/>
        </w:rPr>
      </w:pPr>
    </w:p>
    <w:p w:rsidR="00FB66BD" w:rsidRPr="003816C6" w:rsidRDefault="00FB66BD" w:rsidP="00FB66BD">
      <w:pPr>
        <w:numPr>
          <w:ilvl w:val="0"/>
          <w:numId w:val="11"/>
        </w:numPr>
        <w:spacing w:after="0" w:line="240" w:lineRule="auto"/>
        <w:ind w:left="0" w:firstLine="360"/>
        <w:jc w:val="both"/>
        <w:rPr>
          <w:rFonts w:ascii="Cambria" w:eastAsia="Calibri" w:hAnsi="Cambria" w:cs="Times New Roman"/>
          <w:sz w:val="21"/>
          <w:szCs w:val="21"/>
        </w:rPr>
      </w:pPr>
      <w:r w:rsidRPr="003816C6">
        <w:rPr>
          <w:rFonts w:ascii="Cambria" w:hAnsi="Cambria"/>
          <w:color w:val="000000"/>
          <w:sz w:val="21"/>
          <w:szCs w:val="21"/>
        </w:rPr>
        <w:t xml:space="preserve">In view of the </w:t>
      </w:r>
      <w:r w:rsidR="00BA724A">
        <w:rPr>
          <w:rFonts w:ascii="Cambria" w:hAnsi="Cambria"/>
          <w:color w:val="000000"/>
          <w:sz w:val="21"/>
          <w:szCs w:val="21"/>
        </w:rPr>
        <w:t>aforementioned</w:t>
      </w:r>
      <w:r w:rsidRPr="003816C6">
        <w:rPr>
          <w:rFonts w:ascii="Cambria" w:hAnsi="Cambria"/>
          <w:color w:val="000000"/>
          <w:sz w:val="21"/>
          <w:szCs w:val="21"/>
        </w:rPr>
        <w:t xml:space="preserve"> background</w:t>
      </w:r>
      <w:r w:rsidRPr="003816C6">
        <w:rPr>
          <w:rFonts w:ascii="Cambria" w:eastAsia="Calibri" w:hAnsi="Cambria" w:cs="Times New Roman"/>
          <w:sz w:val="21"/>
          <w:szCs w:val="21"/>
        </w:rPr>
        <w:t xml:space="preserve">, taking into account the obligations of the United States in regard to human rights as a member of the OAS and as part of the oversight functions of the Commission to member state compliance </w:t>
      </w:r>
      <w:r w:rsidRPr="00AF09D6">
        <w:rPr>
          <w:rFonts w:ascii="Cambria" w:hAnsi="Cambria"/>
          <w:color w:val="000000"/>
          <w:sz w:val="21"/>
          <w:szCs w:val="21"/>
        </w:rPr>
        <w:t xml:space="preserve">with the human rights obligations set forth in the Charter of the OAS, and in the case of the member states that have not </w:t>
      </w:r>
      <w:r w:rsidR="00BA724A" w:rsidRPr="00BA724A">
        <w:rPr>
          <w:rFonts w:ascii="Cambria" w:hAnsi="Cambria"/>
          <w:color w:val="000000"/>
          <w:sz w:val="21"/>
          <w:szCs w:val="21"/>
        </w:rPr>
        <w:t>yet</w:t>
      </w:r>
      <w:r w:rsidR="00BA724A" w:rsidRPr="00AF09D6">
        <w:rPr>
          <w:rFonts w:ascii="Cambria" w:hAnsi="Cambria"/>
          <w:color w:val="000000"/>
          <w:sz w:val="21"/>
          <w:szCs w:val="21"/>
        </w:rPr>
        <w:t xml:space="preserve"> </w:t>
      </w:r>
      <w:r w:rsidRPr="00AF09D6">
        <w:rPr>
          <w:rFonts w:ascii="Cambria" w:hAnsi="Cambria"/>
          <w:color w:val="000000"/>
          <w:sz w:val="21"/>
          <w:szCs w:val="21"/>
        </w:rPr>
        <w:t xml:space="preserve">ratified the </w:t>
      </w:r>
      <w:r w:rsidRPr="00BA724A">
        <w:rPr>
          <w:rFonts w:ascii="Cambria" w:hAnsi="Cambria"/>
          <w:color w:val="000000"/>
          <w:sz w:val="21"/>
          <w:szCs w:val="21"/>
        </w:rPr>
        <w:t>American Convention on Human Rights, in the American Declaration of the Rights and Duties of Man</w:t>
      </w:r>
      <w:r w:rsidRPr="00BA724A">
        <w:rPr>
          <w:rFonts w:ascii="Cambria" w:eastAsia="Calibri" w:hAnsi="Cambria" w:cs="Times New Roman"/>
          <w:sz w:val="21"/>
          <w:szCs w:val="21"/>
        </w:rPr>
        <w:t>,</w:t>
      </w:r>
      <w:r>
        <w:rPr>
          <w:rFonts w:ascii="Cambria" w:eastAsia="Calibri" w:hAnsi="Cambria" w:cs="Times New Roman"/>
          <w:sz w:val="21"/>
          <w:szCs w:val="21"/>
        </w:rPr>
        <w:t xml:space="preserve"> the Commission considers that this matter meets</w:t>
      </w:r>
      <w:r w:rsidRPr="003816C6">
        <w:rPr>
          <w:rFonts w:ascii="Cambria" w:eastAsia="Calibri" w:hAnsi="Cambria" w:cs="Times New Roman"/>
          <w:sz w:val="21"/>
          <w:szCs w:val="21"/>
        </w:rPr>
        <w:t xml:space="preserve"> </w:t>
      </w:r>
      <w:r w:rsidRPr="003816C6">
        <w:rPr>
          <w:rFonts w:ascii="Cambria" w:eastAsia="Calibri" w:hAnsi="Cambria" w:cs="Times New Roman"/>
          <w:i/>
          <w:sz w:val="21"/>
          <w:szCs w:val="21"/>
        </w:rPr>
        <w:t>prima facie</w:t>
      </w:r>
      <w:r w:rsidRPr="003816C6">
        <w:rPr>
          <w:rFonts w:ascii="Cambria" w:eastAsia="Calibri" w:hAnsi="Cambria" w:cs="Times New Roman"/>
          <w:sz w:val="21"/>
          <w:szCs w:val="21"/>
        </w:rPr>
        <w:t xml:space="preserve"> </w:t>
      </w:r>
      <w:r>
        <w:rPr>
          <w:rFonts w:ascii="Cambria" w:eastAsia="Calibri" w:hAnsi="Cambria" w:cs="Times New Roman"/>
          <w:sz w:val="21"/>
          <w:szCs w:val="21"/>
        </w:rPr>
        <w:t xml:space="preserve">the requirements of seriousness, urgency and irreparability set forth in Article 25 of its Rules of Procedure. </w:t>
      </w:r>
      <w:r w:rsidRPr="003816C6">
        <w:rPr>
          <w:rFonts w:ascii="Cambria" w:eastAsia="Calibri" w:hAnsi="Cambria" w:cs="Times New Roman"/>
          <w:sz w:val="21"/>
          <w:szCs w:val="21"/>
        </w:rPr>
        <w:t>Consequently, the Commission requests the United States to adopt the</w:t>
      </w:r>
      <w:r w:rsidR="00B94725" w:rsidRPr="00B94725">
        <w:rPr>
          <w:rFonts w:ascii="Cambria" w:eastAsia="Calibri" w:hAnsi="Cambria" w:cs="Times New Roman"/>
          <w:sz w:val="21"/>
          <w:szCs w:val="21"/>
        </w:rPr>
        <w:t xml:space="preserve"> necessary</w:t>
      </w:r>
      <w:r w:rsidRPr="003816C6">
        <w:rPr>
          <w:rFonts w:ascii="Cambria" w:eastAsia="Calibri" w:hAnsi="Cambria" w:cs="Times New Roman"/>
          <w:sz w:val="21"/>
          <w:szCs w:val="21"/>
        </w:rPr>
        <w:t xml:space="preserve"> measures to preserve the life and physical integrity of Mr. Lezmond Mitchell until the IACHR </w:t>
      </w:r>
      <w:r w:rsidR="00BA724A">
        <w:rPr>
          <w:rFonts w:ascii="Cambria" w:eastAsia="Calibri" w:hAnsi="Cambria" w:cs="Times New Roman"/>
          <w:sz w:val="21"/>
          <w:szCs w:val="21"/>
        </w:rPr>
        <w:t>rules on</w:t>
      </w:r>
      <w:r w:rsidRPr="003816C6">
        <w:rPr>
          <w:rFonts w:ascii="Cambria" w:eastAsia="Calibri" w:hAnsi="Cambria" w:cs="Times New Roman"/>
          <w:sz w:val="21"/>
          <w:szCs w:val="21"/>
        </w:rPr>
        <w:t xml:space="preserve"> his petition</w:t>
      </w:r>
      <w:r w:rsidR="00631FF3">
        <w:rPr>
          <w:rFonts w:ascii="Cambria" w:eastAsia="Calibri" w:hAnsi="Cambria" w:cs="Times New Roman"/>
          <w:sz w:val="21"/>
          <w:szCs w:val="21"/>
        </w:rPr>
        <w:t>, so as n</w:t>
      </w:r>
      <w:r w:rsidRPr="003816C6">
        <w:rPr>
          <w:rFonts w:ascii="Cambria" w:hAnsi="Cambria"/>
          <w:color w:val="000000"/>
          <w:sz w:val="21"/>
          <w:szCs w:val="21"/>
        </w:rPr>
        <w:t>ot</w:t>
      </w:r>
      <w:r w:rsidR="00631FF3">
        <w:rPr>
          <w:rFonts w:ascii="Cambria" w:hAnsi="Cambria"/>
          <w:color w:val="000000"/>
          <w:sz w:val="21"/>
          <w:szCs w:val="21"/>
        </w:rPr>
        <w:t xml:space="preserve"> to render ineffective</w:t>
      </w:r>
      <w:r w:rsidRPr="003816C6">
        <w:rPr>
          <w:rFonts w:ascii="Cambria" w:hAnsi="Cambria"/>
          <w:color w:val="000000"/>
          <w:sz w:val="21"/>
          <w:szCs w:val="21"/>
        </w:rPr>
        <w:t xml:space="preserve"> </w:t>
      </w:r>
      <w:r>
        <w:rPr>
          <w:rFonts w:ascii="Cambria" w:hAnsi="Cambria"/>
          <w:color w:val="000000"/>
          <w:sz w:val="21"/>
          <w:szCs w:val="21"/>
        </w:rPr>
        <w:t xml:space="preserve">the </w:t>
      </w:r>
      <w:r w:rsidRPr="003816C6">
        <w:rPr>
          <w:rFonts w:ascii="Cambria" w:hAnsi="Cambria"/>
          <w:color w:val="000000"/>
          <w:sz w:val="21"/>
          <w:szCs w:val="21"/>
        </w:rPr>
        <w:t xml:space="preserve">processing of his case </w:t>
      </w:r>
      <w:r>
        <w:rPr>
          <w:rFonts w:ascii="Cambria" w:hAnsi="Cambria"/>
          <w:color w:val="000000"/>
          <w:sz w:val="21"/>
          <w:szCs w:val="21"/>
        </w:rPr>
        <w:t xml:space="preserve">before the </w:t>
      </w:r>
      <w:r w:rsidR="00B94725">
        <w:rPr>
          <w:rFonts w:ascii="Cambria" w:hAnsi="Cambria"/>
          <w:color w:val="000000"/>
          <w:sz w:val="21"/>
          <w:szCs w:val="21"/>
        </w:rPr>
        <w:t>inter-American s</w:t>
      </w:r>
      <w:r>
        <w:rPr>
          <w:rFonts w:ascii="Cambria" w:hAnsi="Cambria"/>
          <w:color w:val="000000"/>
          <w:sz w:val="21"/>
          <w:szCs w:val="21"/>
        </w:rPr>
        <w:t>ystem</w:t>
      </w:r>
      <w:r w:rsidRPr="003816C6">
        <w:rPr>
          <w:rFonts w:ascii="Cambria" w:eastAsia="Calibri" w:hAnsi="Cambria" w:cs="Times New Roman"/>
          <w:sz w:val="21"/>
          <w:szCs w:val="21"/>
        </w:rPr>
        <w:t>.</w:t>
      </w:r>
    </w:p>
    <w:p w:rsidR="00FB66BD" w:rsidRPr="003816C6" w:rsidRDefault="00FB66BD" w:rsidP="00FB66BD">
      <w:pPr>
        <w:spacing w:after="0" w:line="240" w:lineRule="auto"/>
        <w:jc w:val="both"/>
        <w:rPr>
          <w:rFonts w:ascii="Cambria" w:eastAsia="Calibri" w:hAnsi="Cambria" w:cs="Times New Roman"/>
          <w:sz w:val="21"/>
          <w:szCs w:val="21"/>
        </w:rPr>
      </w:pPr>
    </w:p>
    <w:p w:rsidR="00FB66BD" w:rsidRPr="00565D0F" w:rsidRDefault="00FB66BD" w:rsidP="00FB66BD">
      <w:pPr>
        <w:numPr>
          <w:ilvl w:val="0"/>
          <w:numId w:val="11"/>
        </w:numPr>
        <w:spacing w:after="0" w:line="240" w:lineRule="auto"/>
        <w:ind w:left="0" w:firstLine="360"/>
        <w:jc w:val="both"/>
        <w:rPr>
          <w:rFonts w:ascii="Cambria" w:eastAsia="Calibri" w:hAnsi="Cambria" w:cs="Times New Roman"/>
          <w:sz w:val="21"/>
          <w:szCs w:val="21"/>
        </w:rPr>
      </w:pPr>
      <w:r>
        <w:rPr>
          <w:rFonts w:ascii="Cambria" w:hAnsi="Cambria"/>
          <w:color w:val="000000"/>
          <w:sz w:val="21"/>
          <w:szCs w:val="21"/>
        </w:rPr>
        <w:t>The Commission also requests that the Government provide information within a period of 15 days from the date that the present resolution is issued on the adoption of the agreed precautionary measures and provide updated information periodically</w:t>
      </w:r>
      <w:r w:rsidR="00E04BB0">
        <w:rPr>
          <w:rFonts w:ascii="Cambria" w:hAnsi="Cambria"/>
          <w:color w:val="000000"/>
          <w:sz w:val="21"/>
          <w:szCs w:val="21"/>
        </w:rPr>
        <w:t>.</w:t>
      </w:r>
    </w:p>
    <w:p w:rsidR="00FB66BD" w:rsidRPr="00565D0F" w:rsidRDefault="00FB66BD" w:rsidP="00FB66BD">
      <w:pPr>
        <w:spacing w:after="0" w:line="240" w:lineRule="auto"/>
        <w:jc w:val="both"/>
        <w:rPr>
          <w:rFonts w:ascii="Cambria" w:eastAsia="Calibri" w:hAnsi="Cambria" w:cs="Times New Roman"/>
          <w:sz w:val="21"/>
          <w:szCs w:val="21"/>
        </w:rPr>
      </w:pPr>
    </w:p>
    <w:p w:rsidR="00FB66BD" w:rsidRPr="0092696C" w:rsidRDefault="00FB66BD" w:rsidP="00FB66BD">
      <w:pPr>
        <w:numPr>
          <w:ilvl w:val="0"/>
          <w:numId w:val="11"/>
        </w:numPr>
        <w:spacing w:after="0" w:line="240" w:lineRule="auto"/>
        <w:ind w:left="0" w:firstLine="360"/>
        <w:jc w:val="both"/>
        <w:rPr>
          <w:rFonts w:ascii="Cambria" w:eastAsia="Calibri" w:hAnsi="Cambria" w:cs="Times New Roman"/>
          <w:sz w:val="21"/>
          <w:szCs w:val="21"/>
        </w:rPr>
      </w:pPr>
      <w:r>
        <w:rPr>
          <w:rFonts w:ascii="Cambria" w:hAnsi="Cambria"/>
          <w:sz w:val="21"/>
          <w:szCs w:val="21"/>
        </w:rPr>
        <w:lastRenderedPageBreak/>
        <w:t>The Commission points out that, in accordance with Article 25 (8) of its Rules of Procedure, the granting of precautionary measures and their adoption by the State shall not constitute a prejudgment of any violation of the rights protected in the American Declaration o</w:t>
      </w:r>
      <w:r w:rsidR="00B94725">
        <w:rPr>
          <w:rFonts w:ascii="Cambria" w:hAnsi="Cambria"/>
          <w:sz w:val="21"/>
          <w:szCs w:val="21"/>
        </w:rPr>
        <w:t>f</w:t>
      </w:r>
      <w:r>
        <w:rPr>
          <w:rFonts w:ascii="Cambria" w:hAnsi="Cambria"/>
          <w:sz w:val="21"/>
          <w:szCs w:val="21"/>
        </w:rPr>
        <w:t xml:space="preserve"> the Rights and Duties of Man</w:t>
      </w:r>
      <w:r>
        <w:rPr>
          <w:rFonts w:ascii="Cambria" w:hAnsi="Cambria"/>
          <w:color w:val="000000"/>
          <w:sz w:val="21"/>
          <w:szCs w:val="21"/>
        </w:rPr>
        <w:t xml:space="preserve"> </w:t>
      </w:r>
      <w:r>
        <w:rPr>
          <w:rFonts w:ascii="Cambria" w:hAnsi="Cambria"/>
          <w:sz w:val="21"/>
          <w:szCs w:val="21"/>
        </w:rPr>
        <w:t>and any other applicable instrument</w:t>
      </w:r>
      <w:r w:rsidRPr="0092696C">
        <w:rPr>
          <w:rFonts w:ascii="Cambria" w:eastAsia="Calibri" w:hAnsi="Cambria" w:cs="Times New Roman"/>
          <w:sz w:val="21"/>
          <w:szCs w:val="21"/>
        </w:rPr>
        <w:t>.</w:t>
      </w:r>
    </w:p>
    <w:p w:rsidR="00FB66BD" w:rsidRPr="0092696C" w:rsidRDefault="00FB66BD" w:rsidP="00FB66BD">
      <w:pPr>
        <w:spacing w:after="0" w:line="240" w:lineRule="auto"/>
        <w:jc w:val="both"/>
        <w:rPr>
          <w:rFonts w:ascii="Cambria" w:eastAsia="Calibri" w:hAnsi="Cambria" w:cs="Times New Roman"/>
          <w:sz w:val="21"/>
          <w:szCs w:val="21"/>
        </w:rPr>
      </w:pPr>
    </w:p>
    <w:p w:rsidR="00FB66BD" w:rsidRPr="00B3459A" w:rsidRDefault="00FB66BD" w:rsidP="00FB66BD">
      <w:pPr>
        <w:numPr>
          <w:ilvl w:val="0"/>
          <w:numId w:val="11"/>
        </w:numPr>
        <w:spacing w:after="0" w:line="240" w:lineRule="auto"/>
        <w:ind w:left="0" w:firstLine="360"/>
        <w:jc w:val="both"/>
        <w:rPr>
          <w:rFonts w:ascii="Cambria" w:eastAsia="Calibri" w:hAnsi="Cambria" w:cs="Times New Roman"/>
          <w:sz w:val="21"/>
          <w:szCs w:val="21"/>
        </w:rPr>
      </w:pPr>
      <w:r>
        <w:rPr>
          <w:rFonts w:ascii="Cambria" w:hAnsi="Cambria"/>
          <w:sz w:val="21"/>
          <w:szCs w:val="21"/>
        </w:rPr>
        <w:t>The Commission requests that the Executive Secretariat of the IACHR notify the United States of America and the applicants of the present resolution</w:t>
      </w:r>
      <w:r w:rsidRPr="00B3459A">
        <w:rPr>
          <w:rFonts w:ascii="Cambria" w:eastAsia="Calibri" w:hAnsi="Cambria" w:cs="Times New Roman"/>
          <w:sz w:val="21"/>
          <w:szCs w:val="21"/>
        </w:rPr>
        <w:t>.</w:t>
      </w:r>
    </w:p>
    <w:p w:rsidR="00FB66BD" w:rsidRPr="00B3459A" w:rsidRDefault="00FB66BD" w:rsidP="00FB66BD">
      <w:pPr>
        <w:spacing w:after="0" w:line="240" w:lineRule="auto"/>
        <w:jc w:val="both"/>
        <w:rPr>
          <w:rFonts w:ascii="Cambria" w:eastAsia="Calibri" w:hAnsi="Cambria" w:cs="Times New Roman"/>
          <w:sz w:val="21"/>
          <w:szCs w:val="21"/>
        </w:rPr>
      </w:pPr>
    </w:p>
    <w:p w:rsidR="00FB66BD" w:rsidRDefault="00FB66BD" w:rsidP="00FB66BD">
      <w:pPr>
        <w:numPr>
          <w:ilvl w:val="0"/>
          <w:numId w:val="11"/>
        </w:numPr>
        <w:spacing w:after="0" w:line="240" w:lineRule="auto"/>
        <w:ind w:left="0" w:firstLine="360"/>
        <w:jc w:val="both"/>
        <w:rPr>
          <w:rFonts w:ascii="Cambria" w:eastAsia="Calibri" w:hAnsi="Cambria" w:cs="Times New Roman"/>
          <w:sz w:val="21"/>
          <w:szCs w:val="21"/>
        </w:rPr>
      </w:pPr>
      <w:r>
        <w:rPr>
          <w:rFonts w:ascii="Cambria" w:hAnsi="Cambria"/>
          <w:sz w:val="21"/>
          <w:szCs w:val="21"/>
        </w:rPr>
        <w:t xml:space="preserve">Approved on June </w:t>
      </w:r>
      <w:r w:rsidR="00B94725">
        <w:rPr>
          <w:rFonts w:ascii="Cambria" w:hAnsi="Cambria"/>
          <w:color w:val="000000"/>
          <w:sz w:val="21"/>
          <w:szCs w:val="21"/>
        </w:rPr>
        <w:t>2</w:t>
      </w:r>
      <w:r>
        <w:rPr>
          <w:rFonts w:ascii="Cambria" w:hAnsi="Cambria"/>
          <w:color w:val="000000"/>
          <w:sz w:val="21"/>
          <w:szCs w:val="21"/>
        </w:rPr>
        <w:t>, 2017, by</w:t>
      </w:r>
      <w:r w:rsidRPr="002562F7">
        <w:rPr>
          <w:rFonts w:ascii="Cambria" w:eastAsia="Calibri" w:hAnsi="Cambria" w:cs="Times New Roman"/>
          <w:sz w:val="21"/>
          <w:szCs w:val="21"/>
        </w:rPr>
        <w:t>:</w:t>
      </w:r>
      <w:r w:rsidR="00B94725">
        <w:rPr>
          <w:rFonts w:ascii="Cambria" w:eastAsia="Calibri" w:hAnsi="Cambria" w:cs="Times New Roman"/>
          <w:sz w:val="21"/>
          <w:szCs w:val="21"/>
        </w:rPr>
        <w:t xml:space="preserve"> Francisco </w:t>
      </w:r>
      <w:proofErr w:type="spellStart"/>
      <w:r w:rsidR="00B94725">
        <w:rPr>
          <w:rFonts w:ascii="Cambria" w:eastAsia="Calibri" w:hAnsi="Cambria" w:cs="Times New Roman"/>
          <w:sz w:val="21"/>
          <w:szCs w:val="21"/>
        </w:rPr>
        <w:t>Eguiguren</w:t>
      </w:r>
      <w:proofErr w:type="spellEnd"/>
      <w:r w:rsidR="00B94725">
        <w:rPr>
          <w:rFonts w:ascii="Cambria" w:eastAsia="Calibri" w:hAnsi="Cambria" w:cs="Times New Roman"/>
          <w:sz w:val="21"/>
          <w:szCs w:val="21"/>
        </w:rPr>
        <w:t xml:space="preserve"> </w:t>
      </w:r>
      <w:proofErr w:type="spellStart"/>
      <w:r w:rsidR="00B94725">
        <w:rPr>
          <w:rFonts w:ascii="Cambria" w:eastAsia="Calibri" w:hAnsi="Cambria" w:cs="Times New Roman"/>
          <w:sz w:val="21"/>
          <w:szCs w:val="21"/>
        </w:rPr>
        <w:t>Praeli</w:t>
      </w:r>
      <w:proofErr w:type="spellEnd"/>
      <w:r w:rsidR="00B94725">
        <w:rPr>
          <w:rFonts w:ascii="Cambria" w:eastAsia="Calibri" w:hAnsi="Cambria" w:cs="Times New Roman"/>
          <w:sz w:val="21"/>
          <w:szCs w:val="21"/>
        </w:rPr>
        <w:t xml:space="preserve">, President; Margarette May Macaulay, First-Vice President; Esmeralda </w:t>
      </w:r>
      <w:proofErr w:type="spellStart"/>
      <w:r w:rsidR="00B94725">
        <w:rPr>
          <w:rFonts w:ascii="Cambria" w:eastAsia="Calibri" w:hAnsi="Cambria" w:cs="Times New Roman"/>
          <w:sz w:val="21"/>
          <w:szCs w:val="21"/>
        </w:rPr>
        <w:t>Arosemena</w:t>
      </w:r>
      <w:proofErr w:type="spellEnd"/>
      <w:r w:rsidR="00B94725">
        <w:rPr>
          <w:rFonts w:ascii="Cambria" w:eastAsia="Calibri" w:hAnsi="Cambria" w:cs="Times New Roman"/>
          <w:sz w:val="21"/>
          <w:szCs w:val="21"/>
        </w:rPr>
        <w:t xml:space="preserve"> de </w:t>
      </w:r>
      <w:proofErr w:type="spellStart"/>
      <w:r w:rsidR="00B94725">
        <w:rPr>
          <w:rFonts w:ascii="Cambria" w:eastAsia="Calibri" w:hAnsi="Cambria" w:cs="Times New Roman"/>
          <w:sz w:val="21"/>
          <w:szCs w:val="21"/>
        </w:rPr>
        <w:t>Troitiño</w:t>
      </w:r>
      <w:proofErr w:type="spellEnd"/>
      <w:r w:rsidR="00B94725">
        <w:rPr>
          <w:rFonts w:ascii="Cambria" w:eastAsia="Calibri" w:hAnsi="Cambria" w:cs="Times New Roman"/>
          <w:sz w:val="21"/>
          <w:szCs w:val="21"/>
        </w:rPr>
        <w:t xml:space="preserve">, Second Vice-President; José de Jesús Orozco </w:t>
      </w:r>
      <w:proofErr w:type="spellStart"/>
      <w:r w:rsidR="00B94725">
        <w:rPr>
          <w:rFonts w:ascii="Cambria" w:eastAsia="Calibri" w:hAnsi="Cambria" w:cs="Times New Roman"/>
          <w:sz w:val="21"/>
          <w:szCs w:val="21"/>
        </w:rPr>
        <w:t>Henríquez</w:t>
      </w:r>
      <w:proofErr w:type="spellEnd"/>
      <w:r w:rsidR="00B94725">
        <w:rPr>
          <w:rFonts w:ascii="Cambria" w:eastAsia="Calibri" w:hAnsi="Cambria" w:cs="Times New Roman"/>
          <w:sz w:val="21"/>
          <w:szCs w:val="21"/>
        </w:rPr>
        <w:t xml:space="preserve">; Paulo </w:t>
      </w:r>
      <w:proofErr w:type="spellStart"/>
      <w:r w:rsidR="00B94725">
        <w:rPr>
          <w:rFonts w:ascii="Cambria" w:eastAsia="Calibri" w:hAnsi="Cambria" w:cs="Times New Roman"/>
          <w:sz w:val="21"/>
          <w:szCs w:val="21"/>
        </w:rPr>
        <w:t>Vannuchi</w:t>
      </w:r>
      <w:proofErr w:type="spellEnd"/>
      <w:r w:rsidR="00B94725">
        <w:rPr>
          <w:rFonts w:ascii="Cambria" w:eastAsia="Calibri" w:hAnsi="Cambria" w:cs="Times New Roman"/>
          <w:sz w:val="21"/>
          <w:szCs w:val="21"/>
        </w:rPr>
        <w:t xml:space="preserve">; members of the IACHR. </w:t>
      </w:r>
    </w:p>
    <w:p w:rsidR="00B94725" w:rsidRDefault="00B94725" w:rsidP="00B94725">
      <w:pPr>
        <w:pStyle w:val="ListParagraph"/>
        <w:rPr>
          <w:rFonts w:ascii="Cambria" w:eastAsia="Calibri" w:hAnsi="Cambria" w:cs="Times New Roman"/>
          <w:sz w:val="21"/>
          <w:szCs w:val="21"/>
        </w:rPr>
      </w:pPr>
    </w:p>
    <w:p w:rsidR="00B94725" w:rsidRDefault="00B94725" w:rsidP="00B94725">
      <w:pPr>
        <w:spacing w:after="0" w:line="240" w:lineRule="auto"/>
        <w:jc w:val="both"/>
        <w:rPr>
          <w:rFonts w:ascii="Cambria" w:eastAsia="Calibri" w:hAnsi="Cambria" w:cs="Times New Roman"/>
          <w:sz w:val="21"/>
          <w:szCs w:val="21"/>
        </w:rPr>
      </w:pPr>
    </w:p>
    <w:p w:rsidR="00B94725" w:rsidRDefault="00B94725" w:rsidP="00B94725">
      <w:pPr>
        <w:spacing w:after="0" w:line="240" w:lineRule="auto"/>
        <w:jc w:val="both"/>
        <w:rPr>
          <w:rFonts w:ascii="Cambria" w:eastAsia="Calibri" w:hAnsi="Cambria" w:cs="Times New Roman"/>
          <w:sz w:val="21"/>
          <w:szCs w:val="21"/>
        </w:rPr>
      </w:pPr>
    </w:p>
    <w:p w:rsidR="00B94725" w:rsidRDefault="00B94725" w:rsidP="00B94725">
      <w:pPr>
        <w:spacing w:after="0" w:line="240" w:lineRule="auto"/>
        <w:jc w:val="both"/>
        <w:rPr>
          <w:rFonts w:ascii="Cambria" w:eastAsia="Calibri" w:hAnsi="Cambria" w:cs="Times New Roman"/>
          <w:sz w:val="21"/>
          <w:szCs w:val="21"/>
        </w:rPr>
      </w:pPr>
    </w:p>
    <w:p w:rsidR="00B94725" w:rsidRDefault="00B94725" w:rsidP="00B94725">
      <w:pPr>
        <w:spacing w:after="0" w:line="240" w:lineRule="auto"/>
        <w:jc w:val="both"/>
        <w:rPr>
          <w:rFonts w:ascii="Cambria" w:eastAsia="Calibri" w:hAnsi="Cambria" w:cs="Times New Roman"/>
          <w:sz w:val="21"/>
          <w:szCs w:val="21"/>
        </w:rPr>
      </w:pPr>
    </w:p>
    <w:p w:rsidR="00B94725" w:rsidRDefault="00B94725" w:rsidP="00B94725">
      <w:pPr>
        <w:spacing w:after="0" w:line="240" w:lineRule="auto"/>
        <w:jc w:val="both"/>
        <w:rPr>
          <w:rFonts w:ascii="Cambria" w:eastAsia="Calibri" w:hAnsi="Cambria" w:cs="Times New Roman"/>
          <w:sz w:val="21"/>
          <w:szCs w:val="21"/>
        </w:rPr>
      </w:pPr>
    </w:p>
    <w:p w:rsidR="00B94725" w:rsidRDefault="00B94725" w:rsidP="00B94725">
      <w:pPr>
        <w:spacing w:after="0" w:line="240" w:lineRule="auto"/>
        <w:jc w:val="both"/>
        <w:rPr>
          <w:rFonts w:ascii="Cambria" w:eastAsia="Calibri" w:hAnsi="Cambria" w:cs="Times New Roman"/>
          <w:sz w:val="21"/>
          <w:szCs w:val="21"/>
        </w:rPr>
      </w:pP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t>Elizabeth Abi-Mershed</w:t>
      </w:r>
    </w:p>
    <w:p w:rsidR="00B94725" w:rsidRPr="002562F7" w:rsidRDefault="00B94725" w:rsidP="00B94725">
      <w:pPr>
        <w:spacing w:after="0" w:line="240" w:lineRule="auto"/>
        <w:jc w:val="both"/>
        <w:rPr>
          <w:rFonts w:ascii="Cambria" w:eastAsia="Calibri" w:hAnsi="Cambria" w:cs="Times New Roman"/>
          <w:sz w:val="21"/>
          <w:szCs w:val="21"/>
        </w:rPr>
      </w:pP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t xml:space="preserve">        Assistant Executive-Secretary</w:t>
      </w:r>
    </w:p>
    <w:p w:rsidR="00FB66BD" w:rsidRPr="002562F7" w:rsidRDefault="00FB66BD" w:rsidP="00FB66BD">
      <w:pPr>
        <w:spacing w:after="0" w:line="240" w:lineRule="auto"/>
        <w:jc w:val="both"/>
        <w:rPr>
          <w:rFonts w:ascii="Cambria" w:eastAsia="Calibri" w:hAnsi="Cambria" w:cs="Times New Roman"/>
          <w:sz w:val="21"/>
          <w:szCs w:val="21"/>
        </w:rPr>
      </w:pPr>
    </w:p>
    <w:p w:rsidR="005E4AFC" w:rsidRDefault="005E4AFC" w:rsidP="00FB66BD">
      <w:pPr>
        <w:pStyle w:val="ListParagraph"/>
        <w:spacing w:after="0" w:line="240" w:lineRule="auto"/>
        <w:jc w:val="both"/>
      </w:pPr>
    </w:p>
    <w:sectPr w:rsidR="005E4A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73" w:rsidRDefault="00183D73" w:rsidP="008A069E">
      <w:pPr>
        <w:spacing w:after="0" w:line="240" w:lineRule="auto"/>
      </w:pPr>
      <w:r>
        <w:separator/>
      </w:r>
    </w:p>
  </w:endnote>
  <w:endnote w:type="continuationSeparator" w:id="0">
    <w:p w:rsidR="00183D73" w:rsidRDefault="00183D73" w:rsidP="008A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53739"/>
      <w:docPartObj>
        <w:docPartGallery w:val="Page Numbers (Bottom of Page)"/>
        <w:docPartUnique/>
      </w:docPartObj>
    </w:sdtPr>
    <w:sdtEndPr>
      <w:rPr>
        <w:noProof/>
      </w:rPr>
    </w:sdtEndPr>
    <w:sdtContent>
      <w:p w:rsidR="006F2BBF" w:rsidRDefault="006F2BBF">
        <w:pPr>
          <w:pStyle w:val="Footer"/>
          <w:jc w:val="center"/>
        </w:pPr>
        <w:r>
          <w:fldChar w:fldCharType="begin"/>
        </w:r>
        <w:r>
          <w:instrText xml:space="preserve"> PAGE   \* MERGEFORMAT </w:instrText>
        </w:r>
        <w:r>
          <w:fldChar w:fldCharType="separate"/>
        </w:r>
        <w:r w:rsidR="003737BC">
          <w:rPr>
            <w:noProof/>
          </w:rPr>
          <w:t>1</w:t>
        </w:r>
        <w:r>
          <w:rPr>
            <w:noProof/>
          </w:rPr>
          <w:fldChar w:fldCharType="end"/>
        </w:r>
      </w:p>
    </w:sdtContent>
  </w:sdt>
  <w:p w:rsidR="006F2BBF" w:rsidRDefault="006F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73" w:rsidRDefault="00183D73" w:rsidP="008A069E">
      <w:pPr>
        <w:spacing w:after="0" w:line="240" w:lineRule="auto"/>
      </w:pPr>
      <w:r>
        <w:separator/>
      </w:r>
    </w:p>
  </w:footnote>
  <w:footnote w:type="continuationSeparator" w:id="0">
    <w:p w:rsidR="00183D73" w:rsidRDefault="00183D73" w:rsidP="008A069E">
      <w:pPr>
        <w:spacing w:after="0" w:line="240" w:lineRule="auto"/>
      </w:pPr>
      <w:r>
        <w:continuationSeparator/>
      </w:r>
    </w:p>
  </w:footnote>
  <w:footnote w:id="1">
    <w:p w:rsidR="008A069E" w:rsidRPr="008A069E" w:rsidRDefault="008A069E" w:rsidP="008A069E">
      <w:pPr>
        <w:pStyle w:val="FootnoteText"/>
        <w:jc w:val="both"/>
        <w:rPr>
          <w:rFonts w:asciiTheme="majorHAnsi" w:hAnsiTheme="majorHAnsi" w:cstheme="majorHAnsi"/>
        </w:rPr>
      </w:pPr>
      <w:r w:rsidRPr="008A069E">
        <w:rPr>
          <w:rStyle w:val="FootnoteReference"/>
          <w:rFonts w:asciiTheme="majorHAnsi" w:hAnsiTheme="majorHAnsi" w:cstheme="majorHAnsi"/>
          <w:sz w:val="16"/>
        </w:rPr>
        <w:footnoteRef/>
      </w:r>
      <w:r w:rsidRPr="008A069E">
        <w:rPr>
          <w:rFonts w:asciiTheme="majorHAnsi" w:hAnsiTheme="majorHAnsi" w:cstheme="majorHAnsi"/>
          <w:sz w:val="16"/>
        </w:rPr>
        <w:t xml:space="preserve"> In accordance with Article 17.2 of the Rules of Procedure of the</w:t>
      </w:r>
      <w:r w:rsidR="00C826B9">
        <w:rPr>
          <w:rFonts w:asciiTheme="majorHAnsi" w:hAnsiTheme="majorHAnsi" w:cstheme="majorHAnsi"/>
          <w:sz w:val="16"/>
        </w:rPr>
        <w:t xml:space="preserve"> IACHR, Commissioner James Cav</w:t>
      </w:r>
      <w:r w:rsidRPr="008A069E">
        <w:rPr>
          <w:rFonts w:asciiTheme="majorHAnsi" w:hAnsiTheme="majorHAnsi" w:cstheme="majorHAnsi"/>
          <w:sz w:val="16"/>
        </w:rPr>
        <w:t>all</w:t>
      </w:r>
      <w:r w:rsidR="00C826B9">
        <w:rPr>
          <w:rFonts w:asciiTheme="majorHAnsi" w:hAnsiTheme="majorHAnsi" w:cstheme="majorHAnsi"/>
          <w:sz w:val="16"/>
        </w:rPr>
        <w:t>ar</w:t>
      </w:r>
      <w:r w:rsidRPr="008A069E">
        <w:rPr>
          <w:rFonts w:asciiTheme="majorHAnsi" w:hAnsiTheme="majorHAnsi" w:cstheme="majorHAnsi"/>
          <w:sz w:val="16"/>
        </w:rPr>
        <w:t xml:space="preserve">o, an American citizen, did not participate in the debate or the discussion on the present precautionary matter. </w:t>
      </w:r>
    </w:p>
  </w:footnote>
  <w:footnote w:id="2">
    <w:p w:rsidR="00A573DD" w:rsidRPr="00C7307D" w:rsidRDefault="00A573DD" w:rsidP="00C7307D">
      <w:pPr>
        <w:pStyle w:val="FootnoteText"/>
        <w:jc w:val="both"/>
        <w:rPr>
          <w:rFonts w:asciiTheme="majorHAnsi" w:hAnsiTheme="majorHAnsi" w:cstheme="majorHAnsi"/>
          <w:sz w:val="16"/>
        </w:rPr>
      </w:pPr>
      <w:r w:rsidRPr="00C7307D">
        <w:rPr>
          <w:rStyle w:val="FootnoteReference"/>
          <w:rFonts w:asciiTheme="majorHAnsi" w:hAnsiTheme="majorHAnsi" w:cstheme="majorHAnsi"/>
          <w:sz w:val="16"/>
        </w:rPr>
        <w:footnoteRef/>
      </w:r>
      <w:r w:rsidRPr="00C7307D">
        <w:rPr>
          <w:rFonts w:asciiTheme="majorHAnsi" w:hAnsiTheme="majorHAnsi" w:cstheme="majorHAnsi"/>
          <w:sz w:val="16"/>
        </w:rPr>
        <w:t xml:space="preserve"> According to the information submitted by the applicants, </w:t>
      </w:r>
      <w:r w:rsidR="00367661">
        <w:rPr>
          <w:rFonts w:asciiTheme="majorHAnsi" w:hAnsiTheme="majorHAnsi" w:cstheme="majorHAnsi"/>
          <w:sz w:val="16"/>
        </w:rPr>
        <w:t>in accordance with</w:t>
      </w:r>
      <w:r w:rsidRPr="00C7307D">
        <w:rPr>
          <w:rFonts w:asciiTheme="majorHAnsi" w:hAnsiTheme="majorHAnsi" w:cstheme="majorHAnsi"/>
          <w:sz w:val="16"/>
        </w:rPr>
        <w:t xml:space="preserve"> the American legislation, the death penalty cannot be </w:t>
      </w:r>
      <w:r w:rsidR="008736C3">
        <w:rPr>
          <w:rFonts w:asciiTheme="majorHAnsi" w:hAnsiTheme="majorHAnsi" w:cstheme="majorHAnsi"/>
          <w:sz w:val="16"/>
        </w:rPr>
        <w:t>imposed</w:t>
      </w:r>
      <w:r w:rsidRPr="00C7307D">
        <w:rPr>
          <w:rFonts w:asciiTheme="majorHAnsi" w:hAnsiTheme="majorHAnsi" w:cstheme="majorHAnsi"/>
          <w:sz w:val="16"/>
        </w:rPr>
        <w:t xml:space="preserve"> for offenses committed among members of the indigenous people within their territories after the Navajo nation, in the context of a process of consultation with the federal authorities, decided to oppose the possibility of its application. Nevertheless, the crime of carjacking </w:t>
      </w:r>
      <w:r w:rsidR="008736C3">
        <w:rPr>
          <w:rFonts w:asciiTheme="majorHAnsi" w:hAnsiTheme="majorHAnsi" w:cstheme="majorHAnsi"/>
          <w:sz w:val="16"/>
        </w:rPr>
        <w:t xml:space="preserve">falls under </w:t>
      </w:r>
      <w:r w:rsidRPr="00C7307D">
        <w:rPr>
          <w:rFonts w:asciiTheme="majorHAnsi" w:hAnsiTheme="majorHAnsi" w:cstheme="majorHAnsi"/>
          <w:sz w:val="16"/>
        </w:rPr>
        <w:t xml:space="preserve">federal jurisdiction, </w:t>
      </w:r>
      <w:r w:rsidR="00E16B52" w:rsidRPr="00C7307D">
        <w:rPr>
          <w:rFonts w:asciiTheme="majorHAnsi" w:hAnsiTheme="majorHAnsi" w:cstheme="majorHAnsi"/>
          <w:sz w:val="16"/>
        </w:rPr>
        <w:t>regardless of the status of the indigenous persons or</w:t>
      </w:r>
      <w:r w:rsidR="008736C3">
        <w:rPr>
          <w:rFonts w:asciiTheme="majorHAnsi" w:hAnsiTheme="majorHAnsi" w:cstheme="majorHAnsi"/>
          <w:sz w:val="16"/>
        </w:rPr>
        <w:t xml:space="preserve"> whether</w:t>
      </w:r>
      <w:r w:rsidR="00E16B52" w:rsidRPr="00C7307D">
        <w:rPr>
          <w:rFonts w:asciiTheme="majorHAnsi" w:hAnsiTheme="majorHAnsi" w:cstheme="majorHAnsi"/>
          <w:sz w:val="16"/>
        </w:rPr>
        <w:t xml:space="preserve"> the crime </w:t>
      </w:r>
      <w:r w:rsidR="008736C3">
        <w:rPr>
          <w:rFonts w:asciiTheme="majorHAnsi" w:hAnsiTheme="majorHAnsi" w:cstheme="majorHAnsi"/>
          <w:sz w:val="16"/>
        </w:rPr>
        <w:t>was</w:t>
      </w:r>
      <w:r w:rsidR="00E16B52" w:rsidRPr="00C7307D">
        <w:rPr>
          <w:rFonts w:asciiTheme="majorHAnsi" w:hAnsiTheme="majorHAnsi" w:cstheme="majorHAnsi"/>
          <w:sz w:val="16"/>
        </w:rPr>
        <w:t xml:space="preserve"> committed inside their territories. Therefore, due to the fact that the carjacking resulted in the death</w:t>
      </w:r>
      <w:r w:rsidR="00367661">
        <w:rPr>
          <w:rFonts w:asciiTheme="majorHAnsi" w:hAnsiTheme="majorHAnsi" w:cstheme="majorHAnsi"/>
          <w:sz w:val="16"/>
        </w:rPr>
        <w:t xml:space="preserve"> of the victims</w:t>
      </w:r>
      <w:r w:rsidR="00E16B52" w:rsidRPr="00C7307D">
        <w:rPr>
          <w:rFonts w:asciiTheme="majorHAnsi" w:hAnsiTheme="majorHAnsi" w:cstheme="majorHAnsi"/>
          <w:sz w:val="16"/>
        </w:rPr>
        <w:t xml:space="preserve">, the attorney requested the capital punishment for the proposed beneficiary. </w:t>
      </w:r>
    </w:p>
  </w:footnote>
  <w:footnote w:id="3">
    <w:p w:rsidR="00E57FD5" w:rsidRPr="00C7307D" w:rsidRDefault="00E57FD5" w:rsidP="00E57FD5">
      <w:pPr>
        <w:pStyle w:val="FootnoteText"/>
        <w:jc w:val="both"/>
        <w:rPr>
          <w:rFonts w:asciiTheme="majorHAnsi" w:hAnsiTheme="majorHAnsi" w:cstheme="majorHAnsi"/>
          <w:sz w:val="16"/>
        </w:rPr>
      </w:pPr>
      <w:r w:rsidRPr="00C7307D">
        <w:rPr>
          <w:rStyle w:val="FootnoteReference"/>
          <w:rFonts w:asciiTheme="majorHAnsi" w:hAnsiTheme="majorHAnsi" w:cstheme="majorHAnsi"/>
          <w:sz w:val="16"/>
        </w:rPr>
        <w:footnoteRef/>
      </w:r>
      <w:r w:rsidRPr="00C7307D">
        <w:rPr>
          <w:rFonts w:asciiTheme="majorHAnsi" w:hAnsiTheme="majorHAnsi" w:cstheme="majorHAnsi"/>
          <w:sz w:val="16"/>
        </w:rPr>
        <w:t xml:space="preserve"> According to the applicants, the proposed beneficiary </w:t>
      </w:r>
      <w:r>
        <w:rPr>
          <w:rFonts w:asciiTheme="majorHAnsi" w:hAnsiTheme="majorHAnsi" w:cstheme="majorHAnsi"/>
          <w:sz w:val="16"/>
        </w:rPr>
        <w:t>is</w:t>
      </w:r>
      <w:r w:rsidRPr="00C7307D">
        <w:rPr>
          <w:rFonts w:asciiTheme="majorHAnsi" w:hAnsiTheme="majorHAnsi" w:cstheme="majorHAnsi"/>
          <w:sz w:val="16"/>
        </w:rPr>
        <w:t xml:space="preserve"> the first indigenous person </w:t>
      </w:r>
      <w:r>
        <w:rPr>
          <w:rFonts w:asciiTheme="majorHAnsi" w:hAnsiTheme="majorHAnsi" w:cstheme="majorHAnsi"/>
          <w:sz w:val="16"/>
        </w:rPr>
        <w:t xml:space="preserve">that might be </w:t>
      </w:r>
      <w:r w:rsidRPr="00C7307D">
        <w:rPr>
          <w:rFonts w:asciiTheme="majorHAnsi" w:hAnsiTheme="majorHAnsi" w:cstheme="majorHAnsi"/>
          <w:sz w:val="16"/>
        </w:rPr>
        <w:t xml:space="preserve">executed in the context of a criminal proceeding for offenses committed within autochthonous territory. </w:t>
      </w:r>
    </w:p>
  </w:footnote>
  <w:footnote w:id="4">
    <w:p w:rsidR="00E57FD5" w:rsidRPr="00C7307D" w:rsidRDefault="00E57FD5" w:rsidP="00E57FD5">
      <w:pPr>
        <w:pStyle w:val="FootnoteText"/>
        <w:jc w:val="both"/>
        <w:rPr>
          <w:rFonts w:asciiTheme="majorHAnsi" w:hAnsiTheme="majorHAnsi" w:cstheme="majorHAnsi"/>
          <w:sz w:val="16"/>
        </w:rPr>
      </w:pPr>
      <w:r w:rsidRPr="00C7307D">
        <w:rPr>
          <w:rStyle w:val="FootnoteReference"/>
          <w:rFonts w:asciiTheme="majorHAnsi" w:hAnsiTheme="majorHAnsi" w:cstheme="majorHAnsi"/>
          <w:sz w:val="16"/>
        </w:rPr>
        <w:footnoteRef/>
      </w:r>
      <w:r w:rsidRPr="00C7307D">
        <w:rPr>
          <w:rFonts w:asciiTheme="majorHAnsi" w:hAnsiTheme="majorHAnsi" w:cstheme="majorHAnsi"/>
          <w:sz w:val="16"/>
        </w:rPr>
        <w:t xml:space="preserve"> It seems that the application of the capital punishments constitute</w:t>
      </w:r>
      <w:r>
        <w:rPr>
          <w:rFonts w:asciiTheme="majorHAnsi" w:hAnsiTheme="majorHAnsi" w:cstheme="majorHAnsi"/>
          <w:sz w:val="16"/>
        </w:rPr>
        <w:t>s</w:t>
      </w:r>
      <w:r w:rsidRPr="00C7307D">
        <w:rPr>
          <w:rFonts w:asciiTheme="majorHAnsi" w:hAnsiTheme="majorHAnsi" w:cstheme="majorHAnsi"/>
          <w:sz w:val="16"/>
        </w:rPr>
        <w:t xml:space="preserve"> an offense to the religious sentiment of the Navajo people, because it is contrary to their beliefs. </w:t>
      </w:r>
    </w:p>
  </w:footnote>
  <w:footnote w:id="5">
    <w:p w:rsidR="00C7307D" w:rsidRPr="00C7307D" w:rsidRDefault="00C7307D" w:rsidP="00C7307D">
      <w:pPr>
        <w:pStyle w:val="FootnoteText"/>
        <w:jc w:val="both"/>
      </w:pPr>
      <w:r w:rsidRPr="00C7307D">
        <w:rPr>
          <w:rStyle w:val="FootnoteReference"/>
          <w:rFonts w:asciiTheme="majorHAnsi" w:hAnsiTheme="majorHAnsi" w:cstheme="majorHAnsi"/>
          <w:sz w:val="16"/>
        </w:rPr>
        <w:footnoteRef/>
      </w:r>
      <w:r w:rsidRPr="00C7307D">
        <w:rPr>
          <w:rFonts w:asciiTheme="majorHAnsi" w:hAnsiTheme="majorHAnsi" w:cstheme="majorHAnsi"/>
          <w:sz w:val="16"/>
        </w:rPr>
        <w:t xml:space="preserve"> These last two aspect</w:t>
      </w:r>
      <w:r w:rsidR="008736C3">
        <w:rPr>
          <w:rFonts w:asciiTheme="majorHAnsi" w:hAnsiTheme="majorHAnsi" w:cstheme="majorHAnsi"/>
          <w:sz w:val="16"/>
        </w:rPr>
        <w:t>s</w:t>
      </w:r>
      <w:r w:rsidRPr="00C7307D">
        <w:rPr>
          <w:rFonts w:asciiTheme="majorHAnsi" w:hAnsiTheme="majorHAnsi" w:cstheme="majorHAnsi"/>
          <w:sz w:val="16"/>
        </w:rPr>
        <w:t xml:space="preserve"> </w:t>
      </w:r>
      <w:r w:rsidR="008736C3">
        <w:rPr>
          <w:rFonts w:asciiTheme="majorHAnsi" w:hAnsiTheme="majorHAnsi" w:cstheme="majorHAnsi"/>
          <w:sz w:val="16"/>
        </w:rPr>
        <w:t>are</w:t>
      </w:r>
      <w:r w:rsidRPr="00C7307D">
        <w:rPr>
          <w:rFonts w:asciiTheme="majorHAnsi" w:hAnsiTheme="majorHAnsi" w:cstheme="majorHAnsi"/>
          <w:sz w:val="16"/>
        </w:rPr>
        <w:t xml:space="preserve"> related to the ineffectiveness of the public defense assigned to the proposed beneficiary during the submission of the evidence for the defense, among other issues related to the due process.</w:t>
      </w:r>
      <w:r w:rsidRPr="00C7307D">
        <w:rPr>
          <w:sz w:val="16"/>
        </w:rPr>
        <w:t xml:space="preserve"> </w:t>
      </w:r>
    </w:p>
  </w:footnote>
  <w:footnote w:id="6">
    <w:p w:rsidR="002302B4" w:rsidRPr="002302B4" w:rsidRDefault="002302B4">
      <w:pPr>
        <w:pStyle w:val="FootnoteText"/>
      </w:pPr>
      <w:r w:rsidRPr="002302B4">
        <w:rPr>
          <w:rStyle w:val="FootnoteReference"/>
          <w:rFonts w:asciiTheme="majorHAnsi" w:hAnsiTheme="majorHAnsi" w:cstheme="majorHAnsi"/>
          <w:sz w:val="16"/>
          <w:szCs w:val="16"/>
        </w:rPr>
        <w:footnoteRef/>
      </w:r>
      <w:r w:rsidRPr="002302B4">
        <w:rPr>
          <w:rFonts w:asciiTheme="majorHAnsi" w:hAnsiTheme="majorHAnsi" w:cstheme="majorHAnsi"/>
          <w:sz w:val="16"/>
          <w:szCs w:val="16"/>
        </w:rPr>
        <w:t xml:space="preserve"> </w:t>
      </w:r>
      <w:r>
        <w:rPr>
          <w:rFonts w:asciiTheme="majorHAnsi" w:hAnsiTheme="majorHAnsi" w:cstheme="majorHAnsi"/>
          <w:sz w:val="16"/>
          <w:szCs w:val="16"/>
        </w:rPr>
        <w:t>According to the applicants, w</w:t>
      </w:r>
      <w:r w:rsidRPr="002302B4">
        <w:rPr>
          <w:rFonts w:asciiTheme="majorHAnsi" w:hAnsiTheme="majorHAnsi" w:cstheme="majorHAnsi"/>
          <w:sz w:val="16"/>
          <w:szCs w:val="16"/>
        </w:rPr>
        <w:t>ith</w:t>
      </w:r>
      <w:r w:rsidRPr="002302B4">
        <w:rPr>
          <w:rFonts w:asciiTheme="majorHAnsi" w:hAnsiTheme="majorHAnsi" w:cstheme="majorHAnsi"/>
          <w:sz w:val="16"/>
        </w:rPr>
        <w:t xml:space="preserve"> the exception of the possibility of asking for a “pardon” which </w:t>
      </w:r>
      <w:r w:rsidR="008736C3">
        <w:rPr>
          <w:rFonts w:asciiTheme="majorHAnsi" w:hAnsiTheme="majorHAnsi" w:cstheme="majorHAnsi"/>
          <w:sz w:val="16"/>
        </w:rPr>
        <w:t>may</w:t>
      </w:r>
      <w:r w:rsidRPr="002302B4">
        <w:rPr>
          <w:rFonts w:asciiTheme="majorHAnsi" w:hAnsiTheme="majorHAnsi" w:cstheme="majorHAnsi"/>
          <w:sz w:val="16"/>
        </w:rPr>
        <w:t xml:space="preserve"> be granted by the President of the United States.</w:t>
      </w:r>
      <w:r w:rsidRPr="002302B4">
        <w:rPr>
          <w:sz w:val="16"/>
        </w:rPr>
        <w:t xml:space="preserve"> </w:t>
      </w:r>
    </w:p>
  </w:footnote>
  <w:footnote w:id="7">
    <w:p w:rsidR="0004619C" w:rsidRPr="00AE3D4B" w:rsidRDefault="0004619C" w:rsidP="0004619C">
      <w:pPr>
        <w:pStyle w:val="FootnoteText"/>
        <w:jc w:val="both"/>
        <w:rPr>
          <w:rFonts w:asciiTheme="majorHAnsi" w:hAnsiTheme="majorHAnsi"/>
          <w:sz w:val="16"/>
          <w:szCs w:val="16"/>
        </w:rPr>
      </w:pPr>
      <w:r w:rsidRPr="007545C1">
        <w:rPr>
          <w:rStyle w:val="FootnoteReference"/>
          <w:rFonts w:asciiTheme="majorHAnsi" w:hAnsiTheme="majorHAnsi"/>
          <w:sz w:val="16"/>
          <w:szCs w:val="16"/>
        </w:rPr>
        <w:footnoteRef/>
      </w:r>
      <w:r w:rsidRPr="00AE3D4B">
        <w:rPr>
          <w:rFonts w:asciiTheme="majorHAnsi" w:hAnsiTheme="majorHAnsi"/>
          <w:sz w:val="16"/>
          <w:szCs w:val="16"/>
        </w:rPr>
        <w:t xml:space="preserve"> </w:t>
      </w:r>
      <w:r w:rsidRPr="00AE3D4B">
        <w:rPr>
          <w:rFonts w:ascii="Calibri Light" w:hAnsi="Calibri Light" w:cs="Calibri Light"/>
          <w:sz w:val="16"/>
          <w:szCs w:val="16"/>
        </w:rPr>
        <w:t xml:space="preserve">For instance, in regard to the precautionary measures, the Inter-American Court has indicated that a minimum of detail and information is required to appraise </w:t>
      </w:r>
      <w:r w:rsidRPr="00AE3D4B">
        <w:rPr>
          <w:rFonts w:ascii="Calibri Light" w:hAnsi="Calibri Light" w:cs="Calibri Light"/>
          <w:i/>
          <w:iCs/>
          <w:sz w:val="16"/>
          <w:szCs w:val="16"/>
        </w:rPr>
        <w:t>prima facie</w:t>
      </w:r>
      <w:r w:rsidRPr="00AE3D4B">
        <w:rPr>
          <w:rFonts w:ascii="Calibri Light" w:hAnsi="Calibri Light" w:cs="Calibri Light"/>
          <w:sz w:val="16"/>
          <w:szCs w:val="16"/>
        </w:rPr>
        <w:t xml:space="preserve"> an extremely serious and urgent situation. IAHR Court, </w:t>
      </w:r>
      <w:r w:rsidRPr="00AE3D4B">
        <w:rPr>
          <w:rFonts w:ascii="Calibri Light" w:hAnsi="Calibri Light" w:cs="Calibri Light"/>
          <w:i/>
          <w:iCs/>
          <w:sz w:val="16"/>
          <w:szCs w:val="16"/>
        </w:rPr>
        <w:t>Matter of the children and adolescents deprived of their liberty in the “Complexo do Tatuapé” of the Fundação CASA</w:t>
      </w:r>
      <w:r w:rsidRPr="00AE3D4B">
        <w:rPr>
          <w:rFonts w:ascii="Calibri Light" w:hAnsi="Calibri Light" w:cs="Calibri Light"/>
          <w:sz w:val="16"/>
          <w:szCs w:val="16"/>
        </w:rPr>
        <w:t>. Request for the extension of precautionary measures. Precautionary measures regarding Brazil. Resolution of the Inter-American Court of Human Rights of July 4, 2006. See 23.</w:t>
      </w:r>
    </w:p>
  </w:footnote>
  <w:footnote w:id="8">
    <w:p w:rsidR="00FB66BD" w:rsidRPr="00AE3D4B" w:rsidRDefault="00FB66BD" w:rsidP="00097347">
      <w:pPr>
        <w:pStyle w:val="FootnoteText"/>
        <w:jc w:val="both"/>
        <w:rPr>
          <w:rFonts w:asciiTheme="majorHAnsi" w:hAnsiTheme="majorHAnsi"/>
          <w:sz w:val="16"/>
          <w:szCs w:val="16"/>
        </w:rPr>
      </w:pPr>
      <w:r w:rsidRPr="007545C1">
        <w:rPr>
          <w:rStyle w:val="FootnoteReference"/>
          <w:rFonts w:asciiTheme="majorHAnsi" w:hAnsiTheme="majorHAnsi"/>
          <w:sz w:val="16"/>
          <w:szCs w:val="16"/>
        </w:rPr>
        <w:footnoteRef/>
      </w:r>
      <w:r w:rsidRPr="00AE3D4B">
        <w:rPr>
          <w:rFonts w:asciiTheme="majorHAnsi" w:hAnsiTheme="majorHAnsi"/>
          <w:sz w:val="16"/>
          <w:szCs w:val="16"/>
        </w:rPr>
        <w:t xml:space="preserve"> </w:t>
      </w:r>
      <w:r w:rsidRPr="00AE3D4B">
        <w:rPr>
          <w:rFonts w:ascii="Calibri Light" w:hAnsi="Calibri Light" w:cs="Calibri Light"/>
          <w:sz w:val="16"/>
          <w:szCs w:val="16"/>
        </w:rPr>
        <w:t xml:space="preserve">IACHR. Report on The Death Penalty in the Inter-American Human Rights System: from Restrictions to Abolition, OAS/Ser.L/V/II </w:t>
      </w:r>
      <w:r>
        <w:rPr>
          <w:rFonts w:ascii="Calibri Light" w:hAnsi="Calibri Light" w:cs="Calibri Light"/>
          <w:sz w:val="16"/>
          <w:szCs w:val="16"/>
        </w:rPr>
        <w:t>Doc. 68, December 31, 2011, par</w:t>
      </w:r>
      <w:r w:rsidR="00B352F3">
        <w:rPr>
          <w:rFonts w:ascii="Calibri Light" w:hAnsi="Calibri Light" w:cs="Calibri Light"/>
          <w:sz w:val="16"/>
          <w:szCs w:val="16"/>
        </w:rPr>
        <w:t>a</w:t>
      </w:r>
      <w:r w:rsidRPr="00AE3D4B">
        <w:rPr>
          <w:rFonts w:ascii="Calibri Light" w:hAnsi="Calibri Light" w:cs="Calibri Light"/>
          <w:sz w:val="16"/>
          <w:szCs w:val="16"/>
        </w:rPr>
        <w:t>. 12 and 138, available at</w:t>
      </w:r>
      <w:r w:rsidRPr="00AE3D4B">
        <w:rPr>
          <w:rFonts w:asciiTheme="majorHAnsi" w:hAnsiTheme="majorHAnsi"/>
          <w:sz w:val="16"/>
          <w:szCs w:val="16"/>
        </w:rPr>
        <w:t>: http://www.oas.org/es/cidh/docs/pdfs/penademuerte.pdf</w:t>
      </w:r>
    </w:p>
  </w:footnote>
  <w:footnote w:id="9">
    <w:p w:rsidR="00FB66BD" w:rsidRPr="005E4CDB" w:rsidRDefault="00FB66BD" w:rsidP="00097347">
      <w:pPr>
        <w:pStyle w:val="FootnoteText"/>
        <w:jc w:val="both"/>
        <w:rPr>
          <w:rFonts w:asciiTheme="majorHAnsi" w:hAnsiTheme="majorHAnsi"/>
          <w:sz w:val="16"/>
          <w:szCs w:val="16"/>
        </w:rPr>
      </w:pPr>
      <w:r w:rsidRPr="007545C1">
        <w:rPr>
          <w:rStyle w:val="FootnoteReference"/>
          <w:rFonts w:asciiTheme="majorHAnsi" w:hAnsiTheme="majorHAnsi"/>
          <w:sz w:val="16"/>
          <w:szCs w:val="16"/>
        </w:rPr>
        <w:footnoteRef/>
      </w:r>
      <w:r w:rsidRPr="005E4CDB">
        <w:rPr>
          <w:rFonts w:asciiTheme="majorHAnsi" w:hAnsiTheme="majorHAnsi"/>
          <w:sz w:val="16"/>
          <w:szCs w:val="16"/>
        </w:rPr>
        <w:t xml:space="preserve"> </w:t>
      </w:r>
      <w:r w:rsidRPr="005E4CDB">
        <w:rPr>
          <w:rFonts w:ascii="Calibri Light" w:hAnsi="Calibri Light" w:cs="Calibri Light"/>
          <w:sz w:val="16"/>
          <w:szCs w:val="16"/>
        </w:rPr>
        <w:t xml:space="preserve">IACHR. Report on The Death Penalty in the Inter-American Human Rights System: from Restrictions to Abolition, OAS/Ser.L/V/II </w:t>
      </w:r>
      <w:r>
        <w:rPr>
          <w:rFonts w:ascii="Calibri Light" w:hAnsi="Calibri Light" w:cs="Calibri Light"/>
          <w:sz w:val="16"/>
          <w:szCs w:val="16"/>
        </w:rPr>
        <w:t>Doc. 68, December 31, 2011, par</w:t>
      </w:r>
      <w:r w:rsidR="00B352F3">
        <w:rPr>
          <w:rFonts w:ascii="Calibri Light" w:hAnsi="Calibri Light" w:cs="Calibri Light"/>
          <w:sz w:val="16"/>
          <w:szCs w:val="16"/>
        </w:rPr>
        <w:t>a</w:t>
      </w:r>
      <w:r w:rsidRPr="005E4CDB">
        <w:rPr>
          <w:rFonts w:ascii="Calibri Light" w:hAnsi="Calibri Light" w:cs="Calibri Light"/>
          <w:sz w:val="16"/>
          <w:szCs w:val="16"/>
        </w:rPr>
        <w:t>. 139, available at</w:t>
      </w:r>
      <w:r w:rsidRPr="005E4CDB">
        <w:rPr>
          <w:rFonts w:asciiTheme="majorHAnsi" w:hAnsiTheme="majorHAnsi"/>
          <w:sz w:val="16"/>
          <w:szCs w:val="16"/>
        </w:rPr>
        <w:t>: http://www.oas.org/es/cidh/docs/pdfs/penademuerte.pdf</w:t>
      </w:r>
    </w:p>
  </w:footnote>
  <w:footnote w:id="10">
    <w:p w:rsidR="00FB66BD" w:rsidRPr="003B23EA" w:rsidRDefault="00FB66BD" w:rsidP="00097347">
      <w:pPr>
        <w:pStyle w:val="FootnoteText"/>
        <w:jc w:val="both"/>
        <w:rPr>
          <w:rFonts w:asciiTheme="majorHAnsi" w:hAnsiTheme="majorHAnsi"/>
          <w:sz w:val="16"/>
          <w:szCs w:val="16"/>
        </w:rPr>
      </w:pPr>
      <w:r w:rsidRPr="007545C1">
        <w:rPr>
          <w:rStyle w:val="FootnoteReference"/>
          <w:rFonts w:asciiTheme="majorHAnsi" w:hAnsiTheme="majorHAnsi"/>
          <w:sz w:val="16"/>
          <w:szCs w:val="16"/>
        </w:rPr>
        <w:footnoteRef/>
      </w:r>
      <w:r w:rsidRPr="003B23EA">
        <w:rPr>
          <w:rFonts w:asciiTheme="majorHAnsi" w:hAnsiTheme="majorHAnsi"/>
          <w:sz w:val="16"/>
          <w:szCs w:val="16"/>
        </w:rPr>
        <w:t xml:space="preserve"> </w:t>
      </w:r>
      <w:r w:rsidRPr="003B23EA">
        <w:rPr>
          <w:rFonts w:ascii="Calibri Light" w:hAnsi="Calibri Light" w:cs="Calibri Light"/>
          <w:sz w:val="16"/>
          <w:szCs w:val="16"/>
        </w:rPr>
        <w:t>IACHR, Report N°90/09, Case 12.644, Admissibility and Merits (Publication), Medellin, Ramírez Cardenas and Leal García, United States, August 7, 2009, para. 122</w:t>
      </w:r>
      <w:r w:rsidRPr="003B23EA">
        <w:rPr>
          <w:rFonts w:asciiTheme="majorHAnsi" w:hAnsiTheme="majorHAnsi"/>
          <w:sz w:val="16"/>
          <w:szCs w:val="16"/>
        </w:rPr>
        <w:t xml:space="preserve">. </w:t>
      </w:r>
    </w:p>
  </w:footnote>
  <w:footnote w:id="11">
    <w:p w:rsidR="00FB66BD" w:rsidRPr="003B23EA" w:rsidRDefault="00FB66BD" w:rsidP="00097347">
      <w:pPr>
        <w:pStyle w:val="FootnoteText"/>
        <w:jc w:val="both"/>
        <w:rPr>
          <w:rFonts w:asciiTheme="majorHAnsi" w:hAnsiTheme="majorHAnsi"/>
          <w:sz w:val="16"/>
          <w:szCs w:val="16"/>
        </w:rPr>
      </w:pPr>
      <w:r w:rsidRPr="007545C1">
        <w:rPr>
          <w:rStyle w:val="FootnoteReference"/>
          <w:rFonts w:asciiTheme="majorHAnsi" w:hAnsiTheme="majorHAnsi"/>
          <w:sz w:val="16"/>
          <w:szCs w:val="16"/>
        </w:rPr>
        <w:footnoteRef/>
      </w:r>
      <w:r w:rsidRPr="003B23EA">
        <w:rPr>
          <w:rFonts w:asciiTheme="majorHAnsi" w:hAnsiTheme="majorHAnsi"/>
          <w:sz w:val="16"/>
          <w:szCs w:val="16"/>
        </w:rPr>
        <w:t xml:space="preserve"> </w:t>
      </w:r>
      <w:r w:rsidRPr="003B23EA">
        <w:rPr>
          <w:rFonts w:ascii="Calibri Light" w:hAnsi="Calibri Light" w:cs="Calibri Light"/>
          <w:sz w:val="16"/>
          <w:szCs w:val="16"/>
        </w:rPr>
        <w:t xml:space="preserve">IACHR. Report on The Death Penalty in the Inter-American Human Rights System: from Restrictions to Abolition, OAS/Ser.L/V/II </w:t>
      </w:r>
      <w:r>
        <w:rPr>
          <w:rFonts w:ascii="Calibri Light" w:hAnsi="Calibri Light" w:cs="Calibri Light"/>
          <w:sz w:val="16"/>
          <w:szCs w:val="16"/>
        </w:rPr>
        <w:t>Doc. 68, December 31, 2011, par</w:t>
      </w:r>
      <w:r w:rsidR="00B352F3">
        <w:rPr>
          <w:rFonts w:ascii="Calibri Light" w:hAnsi="Calibri Light" w:cs="Calibri Light"/>
          <w:sz w:val="16"/>
          <w:szCs w:val="16"/>
        </w:rPr>
        <w:t>a</w:t>
      </w:r>
      <w:r w:rsidRPr="003B23EA">
        <w:rPr>
          <w:rFonts w:ascii="Calibri Light" w:hAnsi="Calibri Light" w:cs="Calibri Light"/>
          <w:sz w:val="16"/>
          <w:szCs w:val="16"/>
        </w:rPr>
        <w:t>. 141, available at</w:t>
      </w:r>
      <w:r w:rsidRPr="003B23EA">
        <w:rPr>
          <w:rFonts w:asciiTheme="majorHAnsi" w:hAnsiTheme="majorHAnsi"/>
          <w:sz w:val="16"/>
          <w:szCs w:val="16"/>
        </w:rPr>
        <w:t>: http://www.oas.org/es/cidh/docs/pdfs/penademuerte.pdf</w:t>
      </w:r>
    </w:p>
  </w:footnote>
  <w:footnote w:id="12">
    <w:p w:rsidR="00FB66BD" w:rsidRPr="00E80F15" w:rsidRDefault="00FB66BD" w:rsidP="00097347">
      <w:pPr>
        <w:pStyle w:val="FootnoteText"/>
        <w:jc w:val="both"/>
        <w:rPr>
          <w:rFonts w:asciiTheme="majorHAnsi" w:hAnsiTheme="majorHAnsi"/>
          <w:sz w:val="16"/>
          <w:szCs w:val="16"/>
        </w:rPr>
      </w:pPr>
      <w:r w:rsidRPr="007545C1">
        <w:rPr>
          <w:rStyle w:val="FootnoteReference"/>
          <w:rFonts w:asciiTheme="majorHAnsi" w:hAnsiTheme="majorHAnsi"/>
          <w:sz w:val="16"/>
          <w:szCs w:val="16"/>
        </w:rPr>
        <w:footnoteRef/>
      </w:r>
      <w:r w:rsidRPr="00E80F15">
        <w:rPr>
          <w:rFonts w:asciiTheme="majorHAnsi" w:hAnsiTheme="majorHAnsi"/>
          <w:sz w:val="16"/>
          <w:szCs w:val="16"/>
        </w:rPr>
        <w:t xml:space="preserve"> </w:t>
      </w:r>
      <w:r w:rsidRPr="00E80F15">
        <w:rPr>
          <w:rFonts w:asciiTheme="majorHAnsi" w:hAnsiTheme="majorHAnsi" w:cstheme="majorHAnsi"/>
          <w:sz w:val="16"/>
          <w:szCs w:val="16"/>
        </w:rPr>
        <w:t xml:space="preserve">IACHR. Report on The Death Penalty in the Inter-American Human Rights System: from Restrictions to Abolition, OAS/Ser.L/V/II </w:t>
      </w:r>
      <w:r>
        <w:rPr>
          <w:rFonts w:asciiTheme="majorHAnsi" w:hAnsiTheme="majorHAnsi" w:cstheme="majorHAnsi"/>
          <w:sz w:val="16"/>
          <w:szCs w:val="16"/>
        </w:rPr>
        <w:t>Doc. 68, December 31, 2011, par</w:t>
      </w:r>
      <w:r w:rsidR="00B352F3">
        <w:rPr>
          <w:rFonts w:asciiTheme="majorHAnsi" w:hAnsiTheme="majorHAnsi" w:cstheme="majorHAnsi"/>
          <w:sz w:val="16"/>
          <w:szCs w:val="16"/>
        </w:rPr>
        <w:t>a</w:t>
      </w:r>
      <w:r w:rsidRPr="00E80F15">
        <w:rPr>
          <w:rFonts w:asciiTheme="majorHAnsi" w:hAnsiTheme="majorHAnsi" w:cstheme="majorHAnsi"/>
          <w:sz w:val="16"/>
          <w:szCs w:val="16"/>
        </w:rPr>
        <w:t>. 2, available at</w:t>
      </w:r>
      <w:r w:rsidRPr="00E80F15">
        <w:rPr>
          <w:rFonts w:asciiTheme="majorHAnsi" w:hAnsiTheme="majorHAnsi"/>
          <w:sz w:val="16"/>
          <w:szCs w:val="16"/>
        </w:rPr>
        <w:t>: http://www.oas.org/es/cidh/docs/pdfs/penademuerte.pdf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0E" w:rsidRPr="00A9630E" w:rsidRDefault="00A9630E" w:rsidP="00A9630E">
    <w:pPr>
      <w:tabs>
        <w:tab w:val="left" w:pos="4040"/>
        <w:tab w:val="left" w:pos="4333"/>
        <w:tab w:val="center" w:pos="4680"/>
        <w:tab w:val="right" w:pos="9360"/>
      </w:tabs>
      <w:spacing w:after="0" w:line="240" w:lineRule="auto"/>
      <w:rPr>
        <w:rFonts w:ascii="Calibri" w:eastAsia="Calibri" w:hAnsi="Calibri" w:cs="Times New Roman"/>
      </w:rPr>
    </w:pPr>
    <w:r>
      <w:rPr>
        <w:rFonts w:ascii="Calibri" w:eastAsia="Calibri" w:hAnsi="Calibri" w:cs="Times New Roman"/>
        <w:noProof/>
        <w:lang w:val="es-UY" w:eastAsia="es-UY"/>
      </w:rPr>
      <w:drawing>
        <wp:inline distT="0" distB="0" distL="0" distR="0">
          <wp:extent cx="2560320" cy="636270"/>
          <wp:effectExtent l="0" t="0" r="0" b="0"/>
          <wp:docPr id="4" name="Picture 4" descr="alta-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36270"/>
                  </a:xfrm>
                  <a:prstGeom prst="rect">
                    <a:avLst/>
                  </a:prstGeom>
                  <a:noFill/>
                  <a:ln>
                    <a:noFill/>
                  </a:ln>
                </pic:spPr>
              </pic:pic>
            </a:graphicData>
          </a:graphic>
        </wp:inline>
      </w:drawing>
    </w:r>
    <w:r w:rsidRPr="00A9630E">
      <w:rPr>
        <w:rFonts w:ascii="Calibri" w:eastAsia="Calibri" w:hAnsi="Calibri" w:cs="Times New Roman"/>
      </w:rPr>
      <w:tab/>
    </w:r>
    <w:r w:rsidRPr="00A9630E">
      <w:rPr>
        <w:rFonts w:ascii="Calibri" w:eastAsia="Calibri" w:hAnsi="Calibri" w:cs="Times New Roman"/>
      </w:rPr>
      <w:tab/>
    </w:r>
    <w:r w:rsidRPr="00A9630E">
      <w:rPr>
        <w:rFonts w:ascii="Calibri" w:eastAsia="Calibri" w:hAnsi="Calibri" w:cs="Times New Roman"/>
      </w:rPr>
      <w:tab/>
    </w:r>
    <w:r w:rsidRPr="00A9630E">
      <w:rPr>
        <w:rFonts w:ascii="Calibri" w:eastAsia="Calibri" w:hAnsi="Calibri" w:cs="Times New Roman"/>
      </w:rPr>
      <w:tab/>
    </w:r>
    <w:r>
      <w:rPr>
        <w:rFonts w:ascii="Calibri" w:eastAsia="Times New Roman" w:hAnsi="Calibri" w:cs="Times New Roman"/>
        <w:noProof/>
        <w:lang w:val="es-UY" w:eastAsia="es-UY"/>
      </w:rPr>
      <w:drawing>
        <wp:inline distT="0" distB="0" distL="0" distR="0">
          <wp:extent cx="2560320" cy="673100"/>
          <wp:effectExtent l="0" t="0" r="0" b="0"/>
          <wp:docPr id="3" name="Picture 3" descr="I:\Prensa y Difusión\Templates\LogosNuevosOEA\principal\OAS_Seal_ENG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rensa y Difusión\Templates\LogosNuevosOEA\principal\OAS_Seal_ENG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673100"/>
                  </a:xfrm>
                  <a:prstGeom prst="rect">
                    <a:avLst/>
                  </a:prstGeom>
                  <a:noFill/>
                  <a:ln>
                    <a:noFill/>
                  </a:ln>
                </pic:spPr>
              </pic:pic>
            </a:graphicData>
          </a:graphic>
        </wp:inline>
      </w:drawing>
    </w:r>
  </w:p>
  <w:p w:rsidR="00A9630E" w:rsidRPr="00A9630E" w:rsidRDefault="00A9630E" w:rsidP="00A9630E">
    <w:pPr>
      <w:pBdr>
        <w:bottom w:val="single" w:sz="6" w:space="1" w:color="auto"/>
      </w:pBdr>
      <w:tabs>
        <w:tab w:val="center" w:pos="4680"/>
        <w:tab w:val="right" w:pos="9360"/>
      </w:tabs>
      <w:spacing w:after="0" w:line="276" w:lineRule="auto"/>
      <w:rPr>
        <w:rFonts w:ascii="Calibri" w:eastAsia="Batang" w:hAnsi="Calibri" w:cs="Times New Roman"/>
        <w:lang w:val="es-ES"/>
      </w:rPr>
    </w:pPr>
  </w:p>
  <w:p w:rsidR="00740D10" w:rsidRPr="00A9630E" w:rsidRDefault="0070701A" w:rsidP="00A96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9B8"/>
    <w:multiLevelType w:val="hybridMultilevel"/>
    <w:tmpl w:val="DA8CCD34"/>
    <w:lvl w:ilvl="0" w:tplc="A970B310">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41AB2"/>
    <w:multiLevelType w:val="hybridMultilevel"/>
    <w:tmpl w:val="DD60557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41B80"/>
    <w:multiLevelType w:val="hybridMultilevel"/>
    <w:tmpl w:val="4D5A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C24"/>
    <w:multiLevelType w:val="hybridMultilevel"/>
    <w:tmpl w:val="E0744A10"/>
    <w:lvl w:ilvl="0" w:tplc="439405A6">
      <w:start w:val="6"/>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EC2E4C"/>
    <w:multiLevelType w:val="hybridMultilevel"/>
    <w:tmpl w:val="2B1AF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1056E"/>
    <w:multiLevelType w:val="hybridMultilevel"/>
    <w:tmpl w:val="1C7E758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BCB1E24"/>
    <w:multiLevelType w:val="hybridMultilevel"/>
    <w:tmpl w:val="D56287F4"/>
    <w:lvl w:ilvl="0" w:tplc="E61205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B796F"/>
    <w:multiLevelType w:val="hybridMultilevel"/>
    <w:tmpl w:val="87902CD0"/>
    <w:lvl w:ilvl="0" w:tplc="9A926B9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272A4"/>
    <w:multiLevelType w:val="hybridMultilevel"/>
    <w:tmpl w:val="7AC8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647F6"/>
    <w:multiLevelType w:val="hybridMultilevel"/>
    <w:tmpl w:val="188AC55C"/>
    <w:lvl w:ilvl="0" w:tplc="04090013">
      <w:start w:val="1"/>
      <w:numFmt w:val="upperRoman"/>
      <w:lvlText w:val="%1."/>
      <w:lvlJc w:val="righ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41096"/>
    <w:multiLevelType w:val="hybridMultilevel"/>
    <w:tmpl w:val="1AAE01F8"/>
    <w:lvl w:ilvl="0" w:tplc="F29E2946">
      <w:start w:val="10"/>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0"/>
  </w:num>
  <w:num w:numId="6">
    <w:abstractNumId w:val="8"/>
  </w:num>
  <w:num w:numId="7">
    <w:abstractNumId w:val="3"/>
  </w:num>
  <w:num w:numId="8">
    <w:abstractNumId w:val="7"/>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9E"/>
    <w:rsid w:val="0004619C"/>
    <w:rsid w:val="00097347"/>
    <w:rsid w:val="000D5F9B"/>
    <w:rsid w:val="00183D73"/>
    <w:rsid w:val="001D40D6"/>
    <w:rsid w:val="00215862"/>
    <w:rsid w:val="002271F3"/>
    <w:rsid w:val="002302B4"/>
    <w:rsid w:val="00243229"/>
    <w:rsid w:val="00244772"/>
    <w:rsid w:val="00274180"/>
    <w:rsid w:val="002F4BB9"/>
    <w:rsid w:val="00367661"/>
    <w:rsid w:val="003737BC"/>
    <w:rsid w:val="003B1C2B"/>
    <w:rsid w:val="003B39E0"/>
    <w:rsid w:val="0041308E"/>
    <w:rsid w:val="00441BC9"/>
    <w:rsid w:val="004F26C3"/>
    <w:rsid w:val="0051336E"/>
    <w:rsid w:val="005D41E7"/>
    <w:rsid w:val="005E4AFC"/>
    <w:rsid w:val="00631FF3"/>
    <w:rsid w:val="00643D9E"/>
    <w:rsid w:val="006A341C"/>
    <w:rsid w:val="006D1C8D"/>
    <w:rsid w:val="006F2BBF"/>
    <w:rsid w:val="007216B6"/>
    <w:rsid w:val="0076354F"/>
    <w:rsid w:val="00783EFC"/>
    <w:rsid w:val="007E2A34"/>
    <w:rsid w:val="00813D3C"/>
    <w:rsid w:val="00816BFA"/>
    <w:rsid w:val="00816D49"/>
    <w:rsid w:val="008736C3"/>
    <w:rsid w:val="008A069E"/>
    <w:rsid w:val="008A4ACE"/>
    <w:rsid w:val="008F04B0"/>
    <w:rsid w:val="008F39EF"/>
    <w:rsid w:val="009D639B"/>
    <w:rsid w:val="00A01EDB"/>
    <w:rsid w:val="00A573DD"/>
    <w:rsid w:val="00A749ED"/>
    <w:rsid w:val="00A9630E"/>
    <w:rsid w:val="00AF09B8"/>
    <w:rsid w:val="00B02F9A"/>
    <w:rsid w:val="00B352F3"/>
    <w:rsid w:val="00B94725"/>
    <w:rsid w:val="00BA724A"/>
    <w:rsid w:val="00C4005F"/>
    <w:rsid w:val="00C7307D"/>
    <w:rsid w:val="00C826B9"/>
    <w:rsid w:val="00CF5EF6"/>
    <w:rsid w:val="00D30834"/>
    <w:rsid w:val="00D71BEB"/>
    <w:rsid w:val="00DD44C9"/>
    <w:rsid w:val="00E04BB0"/>
    <w:rsid w:val="00E16B52"/>
    <w:rsid w:val="00E57FD5"/>
    <w:rsid w:val="00E82C8F"/>
    <w:rsid w:val="00FB66BD"/>
    <w:rsid w:val="00FC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9E"/>
    <w:pPr>
      <w:ind w:left="720"/>
      <w:contextualSpacing/>
    </w:pPr>
  </w:style>
  <w:style w:type="paragraph" w:styleId="NoSpacing">
    <w:name w:val="No Spacing"/>
    <w:uiPriority w:val="1"/>
    <w:qFormat/>
    <w:rsid w:val="008A069E"/>
    <w:pPr>
      <w:spacing w:after="0" w:line="240" w:lineRule="auto"/>
    </w:pPr>
  </w:style>
  <w:style w:type="paragraph" w:styleId="Header">
    <w:name w:val="header"/>
    <w:basedOn w:val="Normal"/>
    <w:link w:val="HeaderChar"/>
    <w:uiPriority w:val="99"/>
    <w:unhideWhenUsed/>
    <w:rsid w:val="008A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9E"/>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8A069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8A069E"/>
    <w:rPr>
      <w:sz w:val="20"/>
      <w:szCs w:val="20"/>
    </w:rPr>
  </w:style>
  <w:style w:type="character" w:styleId="FootnoteReference">
    <w:name w:val="footnote reference"/>
    <w:aliases w:val="Footnotes refss,Texto de nota al pie,Appel note de bas de page,f,4_G,Ref. de nota al pie.,referencia nota al pie,BVI fnr,Footnote number,Footnote symbol,Footnote,16 Point,Superscript 6 Point,Texto nota al pie,Ref. de nota al pi,Ref,f1"/>
    <w:basedOn w:val="DefaultParagraphFont"/>
    <w:uiPriority w:val="99"/>
    <w:unhideWhenUsed/>
    <w:qFormat/>
    <w:rsid w:val="008A069E"/>
    <w:rPr>
      <w:vertAlign w:val="superscript"/>
    </w:rPr>
  </w:style>
  <w:style w:type="paragraph" w:styleId="BalloonText">
    <w:name w:val="Balloon Text"/>
    <w:basedOn w:val="Normal"/>
    <w:link w:val="BalloonTextChar"/>
    <w:uiPriority w:val="99"/>
    <w:semiHidden/>
    <w:unhideWhenUsed/>
    <w:rsid w:val="00A9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0E"/>
    <w:rPr>
      <w:rFonts w:ascii="Tahoma" w:hAnsi="Tahoma" w:cs="Tahoma"/>
      <w:sz w:val="16"/>
      <w:szCs w:val="16"/>
    </w:rPr>
  </w:style>
  <w:style w:type="paragraph" w:styleId="Footer">
    <w:name w:val="footer"/>
    <w:basedOn w:val="Normal"/>
    <w:link w:val="FooterChar"/>
    <w:uiPriority w:val="99"/>
    <w:unhideWhenUsed/>
    <w:rsid w:val="00A9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9E"/>
    <w:pPr>
      <w:ind w:left="720"/>
      <w:contextualSpacing/>
    </w:pPr>
  </w:style>
  <w:style w:type="paragraph" w:styleId="NoSpacing">
    <w:name w:val="No Spacing"/>
    <w:uiPriority w:val="1"/>
    <w:qFormat/>
    <w:rsid w:val="008A069E"/>
    <w:pPr>
      <w:spacing w:after="0" w:line="240" w:lineRule="auto"/>
    </w:pPr>
  </w:style>
  <w:style w:type="paragraph" w:styleId="Header">
    <w:name w:val="header"/>
    <w:basedOn w:val="Normal"/>
    <w:link w:val="HeaderChar"/>
    <w:uiPriority w:val="99"/>
    <w:unhideWhenUsed/>
    <w:rsid w:val="008A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9E"/>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8A069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8A069E"/>
    <w:rPr>
      <w:sz w:val="20"/>
      <w:szCs w:val="20"/>
    </w:rPr>
  </w:style>
  <w:style w:type="character" w:styleId="FootnoteReference">
    <w:name w:val="footnote reference"/>
    <w:aliases w:val="Footnotes refss,Texto de nota al pie,Appel note de bas de page,f,4_G,Ref. de nota al pie.,referencia nota al pie,BVI fnr,Footnote number,Footnote symbol,Footnote,16 Point,Superscript 6 Point,Texto nota al pie,Ref. de nota al pi,Ref,f1"/>
    <w:basedOn w:val="DefaultParagraphFont"/>
    <w:uiPriority w:val="99"/>
    <w:unhideWhenUsed/>
    <w:qFormat/>
    <w:rsid w:val="008A069E"/>
    <w:rPr>
      <w:vertAlign w:val="superscript"/>
    </w:rPr>
  </w:style>
  <w:style w:type="paragraph" w:styleId="BalloonText">
    <w:name w:val="Balloon Text"/>
    <w:basedOn w:val="Normal"/>
    <w:link w:val="BalloonTextChar"/>
    <w:uiPriority w:val="99"/>
    <w:semiHidden/>
    <w:unhideWhenUsed/>
    <w:rsid w:val="00A9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0E"/>
    <w:rPr>
      <w:rFonts w:ascii="Tahoma" w:hAnsi="Tahoma" w:cs="Tahoma"/>
      <w:sz w:val="16"/>
      <w:szCs w:val="16"/>
    </w:rPr>
  </w:style>
  <w:style w:type="paragraph" w:styleId="Footer">
    <w:name w:val="footer"/>
    <w:basedOn w:val="Normal"/>
    <w:link w:val="FooterChar"/>
    <w:uiPriority w:val="99"/>
    <w:unhideWhenUsed/>
    <w:rsid w:val="00A9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0D5A-0F57-4FDD-B5A9-6AB95F42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2698</Words>
  <Characters>14220</Characters>
  <Application>Microsoft Office Word</Application>
  <DocSecurity>0</DocSecurity>
  <Lines>222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Fontana, Maria Eva</cp:lastModifiedBy>
  <cp:revision>8</cp:revision>
  <dcterms:created xsi:type="dcterms:W3CDTF">2017-06-29T21:01:00Z</dcterms:created>
  <dcterms:modified xsi:type="dcterms:W3CDTF">2017-08-23T21:09:00Z</dcterms:modified>
</cp:coreProperties>
</file>