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19EDE" w14:textId="77777777" w:rsidR="00040C3A" w:rsidRPr="00766381" w:rsidRDefault="00E32052" w:rsidP="00627C9F">
      <w:pPr>
        <w:jc w:val="both"/>
        <w:rPr>
          <w:rFonts w:asciiTheme="majorHAnsi" w:hAnsiTheme="majorHAnsi" w:cs="Univers"/>
          <w:b/>
          <w:bCs/>
          <w:sz w:val="22"/>
          <w:szCs w:val="22"/>
          <w:lang w:val="es-ES_tradnl"/>
        </w:rPr>
      </w:pPr>
      <w:r w:rsidRPr="003C32BC">
        <w:rPr>
          <w:rFonts w:asciiTheme="majorHAnsi" w:hAnsiTheme="majorHAnsi"/>
          <w:noProof/>
          <w:sz w:val="22"/>
          <w:szCs w:val="22"/>
        </w:rPr>
        <mc:AlternateContent>
          <mc:Choice Requires="wps">
            <w:drawing>
              <wp:anchor distT="0" distB="0" distL="114300" distR="114300" simplePos="0" relativeHeight="251684864" behindDoc="1" locked="0" layoutInCell="1" allowOverlap="1" wp14:anchorId="267E9B31" wp14:editId="336EC61C">
                <wp:simplePos x="0" y="0"/>
                <wp:positionH relativeFrom="column">
                  <wp:posOffset>-416257</wp:posOffset>
                </wp:positionH>
                <wp:positionV relativeFrom="paragraph">
                  <wp:posOffset>-429904</wp:posOffset>
                </wp:positionV>
                <wp:extent cx="1409700" cy="8977630"/>
                <wp:effectExtent l="0" t="0" r="0" b="0"/>
                <wp:wrapNone/>
                <wp:docPr id="13" name="Rectangle 13"/>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BFA89" id="Rectangle 13" o:spid="_x0000_s1026" style="position:absolute;margin-left:-32.8pt;margin-top:-33.85pt;width:111pt;height:706.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" fillcolor="#67ae3c" stroked="f" strokeweight="2pt"/>
            </w:pict>
          </mc:Fallback>
        </mc:AlternateContent>
      </w:r>
      <w:r w:rsidR="003E6CA1" w:rsidRPr="00766381">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3819453" wp14:editId="5D24117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E52179" w14:textId="77777777" w:rsidR="00E10F82" w:rsidRDefault="00E10F82" w:rsidP="00AE5488">
                            <w:r>
                              <w:rPr>
                                <w:noProof/>
                              </w:rPr>
                              <w:drawing>
                                <wp:inline distT="0" distB="0" distL="0" distR="0" wp14:anchorId="4FFF0B58" wp14:editId="066320A4">
                                  <wp:extent cx="2647666" cy="509676"/>
                                  <wp:effectExtent l="0" t="0" r="635" b="5080"/>
                                  <wp:docPr id="6" name="Picture 6"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819453"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1FE52179" w14:textId="77777777" w:rsidR="00E10F82" w:rsidRDefault="00E10F82" w:rsidP="00AE5488">
                      <w:r>
                        <w:rPr>
                          <w:noProof/>
                        </w:rPr>
                        <w:drawing>
                          <wp:inline distT="0" distB="0" distL="0" distR="0" wp14:anchorId="4FFF0B58" wp14:editId="066320A4">
                            <wp:extent cx="2647666" cy="509676"/>
                            <wp:effectExtent l="0" t="0" r="635" b="5080"/>
                            <wp:docPr id="6" name="Picture 6"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61D890D9" w14:textId="77777777" w:rsidR="00040C3A" w:rsidRPr="00766381" w:rsidRDefault="00040C3A" w:rsidP="00040C3A">
      <w:pPr>
        <w:tabs>
          <w:tab w:val="center" w:pos="5400"/>
        </w:tabs>
        <w:suppressAutoHyphens/>
        <w:jc w:val="both"/>
        <w:rPr>
          <w:rFonts w:asciiTheme="majorHAnsi" w:hAnsiTheme="majorHAnsi"/>
          <w:sz w:val="22"/>
          <w:szCs w:val="22"/>
          <w:lang w:val="es-ES"/>
        </w:rPr>
      </w:pPr>
    </w:p>
    <w:p w14:paraId="4C39CBBE" w14:textId="77777777" w:rsidR="00040C3A" w:rsidRPr="00766381" w:rsidRDefault="00040C3A" w:rsidP="00040C3A">
      <w:pPr>
        <w:tabs>
          <w:tab w:val="center" w:pos="5400"/>
        </w:tabs>
        <w:suppressAutoHyphens/>
        <w:jc w:val="both"/>
        <w:rPr>
          <w:rFonts w:asciiTheme="majorHAnsi" w:hAnsiTheme="majorHAnsi"/>
          <w:sz w:val="22"/>
          <w:szCs w:val="22"/>
          <w:lang w:val="es-ES"/>
        </w:rPr>
      </w:pPr>
    </w:p>
    <w:p w14:paraId="604A1BFA" w14:textId="77777777" w:rsidR="005128E4" w:rsidRPr="00766381" w:rsidRDefault="005128E4" w:rsidP="00040C3A">
      <w:pPr>
        <w:tabs>
          <w:tab w:val="center" w:pos="5400"/>
        </w:tabs>
        <w:suppressAutoHyphens/>
        <w:rPr>
          <w:rFonts w:asciiTheme="majorHAnsi" w:hAnsiTheme="majorHAnsi"/>
          <w:sz w:val="22"/>
          <w:szCs w:val="22"/>
          <w:lang w:val="es-ES_tradnl"/>
        </w:rPr>
      </w:pPr>
    </w:p>
    <w:p w14:paraId="16202B80" w14:textId="77777777" w:rsidR="005128E4" w:rsidRPr="00766381" w:rsidRDefault="005128E4" w:rsidP="00040C3A">
      <w:pPr>
        <w:tabs>
          <w:tab w:val="center" w:pos="5400"/>
        </w:tabs>
        <w:suppressAutoHyphens/>
        <w:rPr>
          <w:rFonts w:asciiTheme="majorHAnsi" w:hAnsiTheme="majorHAnsi"/>
          <w:sz w:val="22"/>
          <w:szCs w:val="22"/>
          <w:lang w:val="es-ES_tradnl"/>
        </w:rPr>
      </w:pPr>
    </w:p>
    <w:p w14:paraId="6B3193A1" w14:textId="77777777" w:rsidR="005128E4" w:rsidRPr="00766381" w:rsidRDefault="005128E4" w:rsidP="00040C3A">
      <w:pPr>
        <w:tabs>
          <w:tab w:val="center" w:pos="5400"/>
        </w:tabs>
        <w:suppressAutoHyphens/>
        <w:rPr>
          <w:rFonts w:asciiTheme="majorHAnsi" w:hAnsiTheme="majorHAnsi"/>
          <w:sz w:val="22"/>
          <w:szCs w:val="22"/>
          <w:lang w:val="es-ES_tradnl"/>
        </w:rPr>
      </w:pPr>
    </w:p>
    <w:p w14:paraId="67F9884A" w14:textId="77777777" w:rsidR="00040C3A" w:rsidRPr="00766381" w:rsidRDefault="00040C3A" w:rsidP="005128E4">
      <w:pPr>
        <w:tabs>
          <w:tab w:val="center" w:pos="5400"/>
        </w:tabs>
        <w:suppressAutoHyphens/>
        <w:jc w:val="center"/>
        <w:rPr>
          <w:rFonts w:asciiTheme="majorHAnsi" w:hAnsiTheme="majorHAnsi"/>
          <w:sz w:val="22"/>
          <w:szCs w:val="22"/>
          <w:lang w:val="es-ES_tradnl"/>
        </w:rPr>
      </w:pPr>
    </w:p>
    <w:p w14:paraId="6AEE6203" w14:textId="77777777" w:rsidR="00040C3A" w:rsidRPr="00766381" w:rsidRDefault="00040C3A" w:rsidP="005128E4">
      <w:pPr>
        <w:tabs>
          <w:tab w:val="center" w:pos="5400"/>
        </w:tabs>
        <w:suppressAutoHyphens/>
        <w:jc w:val="center"/>
        <w:rPr>
          <w:rFonts w:asciiTheme="majorHAnsi" w:hAnsiTheme="majorHAnsi"/>
          <w:sz w:val="22"/>
          <w:szCs w:val="22"/>
          <w:lang w:val="es-ES_tradnl"/>
        </w:rPr>
      </w:pPr>
    </w:p>
    <w:p w14:paraId="5632F2D7" w14:textId="77777777" w:rsidR="005B52B0" w:rsidRPr="00766381" w:rsidRDefault="005B52B0" w:rsidP="005128E4">
      <w:pPr>
        <w:tabs>
          <w:tab w:val="center" w:pos="5400"/>
        </w:tabs>
        <w:suppressAutoHyphens/>
        <w:jc w:val="center"/>
        <w:rPr>
          <w:rFonts w:asciiTheme="majorHAnsi" w:hAnsiTheme="majorHAnsi"/>
          <w:sz w:val="22"/>
          <w:szCs w:val="22"/>
          <w:lang w:val="es-ES_tradnl"/>
        </w:rPr>
      </w:pPr>
    </w:p>
    <w:p w14:paraId="7B9B15B7" w14:textId="77777777" w:rsidR="005B52B0" w:rsidRPr="00766381" w:rsidRDefault="005B52B0" w:rsidP="005128E4">
      <w:pPr>
        <w:tabs>
          <w:tab w:val="center" w:pos="5400"/>
        </w:tabs>
        <w:suppressAutoHyphens/>
        <w:jc w:val="center"/>
        <w:rPr>
          <w:rFonts w:asciiTheme="majorHAnsi" w:hAnsiTheme="majorHAnsi"/>
          <w:sz w:val="22"/>
          <w:szCs w:val="22"/>
          <w:lang w:val="es-ES_tradnl"/>
        </w:rPr>
      </w:pPr>
    </w:p>
    <w:p w14:paraId="079D181A" w14:textId="77777777" w:rsidR="005B52B0" w:rsidRPr="00766381" w:rsidRDefault="005B52B0" w:rsidP="005128E4">
      <w:pPr>
        <w:tabs>
          <w:tab w:val="center" w:pos="5400"/>
        </w:tabs>
        <w:suppressAutoHyphens/>
        <w:jc w:val="center"/>
        <w:rPr>
          <w:rFonts w:asciiTheme="majorHAnsi" w:hAnsiTheme="majorHAnsi"/>
          <w:sz w:val="22"/>
          <w:szCs w:val="22"/>
          <w:lang w:val="es-ES_tradnl"/>
        </w:rPr>
      </w:pPr>
    </w:p>
    <w:p w14:paraId="30B2526C" w14:textId="77777777" w:rsidR="00040C3A" w:rsidRPr="00766381" w:rsidRDefault="00040C3A" w:rsidP="00040C3A">
      <w:pPr>
        <w:tabs>
          <w:tab w:val="center" w:pos="5400"/>
        </w:tabs>
        <w:suppressAutoHyphens/>
        <w:jc w:val="center"/>
        <w:rPr>
          <w:rFonts w:asciiTheme="majorHAnsi" w:hAnsiTheme="majorHAnsi"/>
          <w:sz w:val="22"/>
          <w:szCs w:val="22"/>
          <w:lang w:val="es-ES_tradnl"/>
        </w:rPr>
      </w:pPr>
    </w:p>
    <w:p w14:paraId="4410BCD2" w14:textId="77777777" w:rsidR="00040C3A" w:rsidRPr="00766381" w:rsidRDefault="00040C3A" w:rsidP="00040C3A">
      <w:pPr>
        <w:tabs>
          <w:tab w:val="center" w:pos="5400"/>
        </w:tabs>
        <w:suppressAutoHyphens/>
        <w:jc w:val="center"/>
        <w:rPr>
          <w:rFonts w:asciiTheme="majorHAnsi" w:hAnsiTheme="majorHAnsi"/>
          <w:sz w:val="22"/>
          <w:szCs w:val="22"/>
          <w:lang w:val="es-ES_tradnl"/>
        </w:rPr>
      </w:pPr>
    </w:p>
    <w:p w14:paraId="512897FC" w14:textId="77777777" w:rsidR="00040C3A" w:rsidRPr="00766381" w:rsidRDefault="003D3BC2" w:rsidP="00040C3A">
      <w:pPr>
        <w:tabs>
          <w:tab w:val="center" w:pos="5400"/>
        </w:tabs>
        <w:suppressAutoHyphens/>
        <w:jc w:val="center"/>
        <w:rPr>
          <w:rFonts w:asciiTheme="majorHAnsi" w:hAnsiTheme="majorHAnsi"/>
          <w:sz w:val="22"/>
          <w:szCs w:val="22"/>
          <w:lang w:val="es-ES_tradnl"/>
        </w:rPr>
      </w:pPr>
      <w:r w:rsidRPr="00766381">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4BBDD4FF" wp14:editId="4CA1164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6BE463" w14:textId="5C5D2F8E" w:rsidR="00E10F82" w:rsidRPr="000158FD" w:rsidRDefault="00E10F82" w:rsidP="00997BC5">
                            <w:pPr>
                              <w:spacing w:line="276" w:lineRule="auto"/>
                              <w:rPr>
                                <w:rFonts w:asciiTheme="majorHAnsi" w:hAnsiTheme="majorHAnsi" w:cs="Arial"/>
                                <w:b/>
                                <w:bCs/>
                                <w:color w:val="0D0D0D" w:themeColor="text1" w:themeTint="F2"/>
                                <w:sz w:val="36"/>
                                <w:szCs w:val="22"/>
                                <w:lang w:val="pt-BR"/>
                              </w:rPr>
                            </w:pPr>
                            <w:r>
                              <w:rPr>
                                <w:rFonts w:asciiTheme="majorHAnsi" w:hAnsiTheme="majorHAnsi" w:cs="Arial"/>
                                <w:b/>
                                <w:bCs/>
                                <w:color w:val="0D0D0D" w:themeColor="text1" w:themeTint="F2"/>
                                <w:sz w:val="36"/>
                                <w:szCs w:val="22"/>
                                <w:lang w:val="pt-BR"/>
                              </w:rPr>
                              <w:t>REPORT</w:t>
                            </w:r>
                            <w:r w:rsidRPr="000158FD">
                              <w:rPr>
                                <w:rFonts w:asciiTheme="majorHAnsi" w:hAnsiTheme="majorHAnsi" w:cs="Arial"/>
                                <w:b/>
                                <w:bCs/>
                                <w:color w:val="0D0D0D" w:themeColor="text1" w:themeTint="F2"/>
                                <w:sz w:val="36"/>
                                <w:szCs w:val="22"/>
                                <w:lang w:val="pt-BR"/>
                              </w:rPr>
                              <w:t xml:space="preserve"> </w:t>
                            </w:r>
                            <w:r w:rsidRPr="000158FD">
                              <w:rPr>
                                <w:rFonts w:asciiTheme="majorHAnsi" w:hAnsiTheme="majorHAnsi" w:cs="Arial"/>
                                <w:b/>
                                <w:bCs/>
                                <w:color w:val="0D0D0D" w:themeColor="text1" w:themeTint="F2"/>
                                <w:sz w:val="36"/>
                                <w:szCs w:val="40"/>
                                <w:lang w:val="pt-BR"/>
                              </w:rPr>
                              <w:t>No.</w:t>
                            </w:r>
                            <w:r>
                              <w:rPr>
                                <w:rFonts w:asciiTheme="majorHAnsi" w:hAnsiTheme="majorHAnsi" w:cs="Arial"/>
                                <w:b/>
                                <w:bCs/>
                                <w:color w:val="0D0D0D" w:themeColor="text1" w:themeTint="F2"/>
                                <w:sz w:val="36"/>
                                <w:szCs w:val="22"/>
                                <w:lang w:val="pt-BR"/>
                              </w:rPr>
                              <w:t xml:space="preserve"> </w:t>
                            </w:r>
                            <w:r w:rsidR="00401302">
                              <w:rPr>
                                <w:rFonts w:asciiTheme="majorHAnsi" w:hAnsiTheme="majorHAnsi" w:cs="Arial"/>
                                <w:b/>
                                <w:bCs/>
                                <w:color w:val="0D0D0D" w:themeColor="text1" w:themeTint="F2"/>
                                <w:sz w:val="36"/>
                                <w:szCs w:val="22"/>
                                <w:lang w:val="pt-BR"/>
                              </w:rPr>
                              <w:t>301</w:t>
                            </w:r>
                            <w:r>
                              <w:rPr>
                                <w:rFonts w:asciiTheme="majorHAnsi" w:hAnsiTheme="majorHAnsi" w:cs="Arial"/>
                                <w:b/>
                                <w:bCs/>
                                <w:color w:val="0D0D0D" w:themeColor="text1" w:themeTint="F2"/>
                                <w:sz w:val="36"/>
                                <w:szCs w:val="22"/>
                                <w:lang w:val="pt-BR"/>
                              </w:rPr>
                              <w:t>/20</w:t>
                            </w:r>
                          </w:p>
                          <w:p w14:paraId="6C259F60" w14:textId="77777777" w:rsidR="00E10F82" w:rsidRPr="005572EF" w:rsidRDefault="00E10F82" w:rsidP="00997BC5">
                            <w:pPr>
                              <w:spacing w:line="276" w:lineRule="auto"/>
                              <w:rPr>
                                <w:rFonts w:asciiTheme="majorHAnsi" w:hAnsiTheme="majorHAnsi" w:cs="Arial"/>
                                <w:b/>
                                <w:color w:val="0D0D0D" w:themeColor="text1" w:themeTint="F2"/>
                                <w:sz w:val="36"/>
                                <w:szCs w:val="22"/>
                                <w:lang w:val="pt-BR"/>
                              </w:rPr>
                            </w:pPr>
                            <w:r w:rsidRPr="005572EF">
                              <w:rPr>
                                <w:rFonts w:asciiTheme="majorHAnsi" w:hAnsiTheme="majorHAnsi" w:cs="Arial"/>
                                <w:b/>
                                <w:color w:val="0D0D0D" w:themeColor="text1" w:themeTint="F2"/>
                                <w:sz w:val="36"/>
                                <w:szCs w:val="22"/>
                                <w:lang w:val="pt-BR"/>
                              </w:rPr>
                              <w:t>CAS</w:t>
                            </w:r>
                            <w:r>
                              <w:rPr>
                                <w:rFonts w:asciiTheme="majorHAnsi" w:hAnsiTheme="majorHAnsi" w:cs="Arial"/>
                                <w:b/>
                                <w:color w:val="0D0D0D" w:themeColor="text1" w:themeTint="F2"/>
                                <w:sz w:val="36"/>
                                <w:szCs w:val="22"/>
                                <w:lang w:val="pt-BR"/>
                              </w:rPr>
                              <w:t>E</w:t>
                            </w:r>
                            <w:r w:rsidRPr="005572EF">
                              <w:rPr>
                                <w:rFonts w:asciiTheme="majorHAnsi" w:hAnsiTheme="majorHAnsi" w:cs="Arial"/>
                                <w:b/>
                                <w:color w:val="0D0D0D" w:themeColor="text1" w:themeTint="F2"/>
                                <w:sz w:val="36"/>
                                <w:szCs w:val="22"/>
                                <w:lang w:val="pt-BR"/>
                              </w:rPr>
                              <w:t xml:space="preserve"> </w:t>
                            </w:r>
                            <w:r>
                              <w:rPr>
                                <w:rFonts w:asciiTheme="majorHAnsi" w:hAnsiTheme="majorHAnsi" w:cs="Arial"/>
                                <w:b/>
                                <w:color w:val="0D0D0D" w:themeColor="text1" w:themeTint="F2"/>
                                <w:sz w:val="36"/>
                                <w:szCs w:val="22"/>
                                <w:lang w:val="pt-BR"/>
                              </w:rPr>
                              <w:t>12</w:t>
                            </w:r>
                            <w:r w:rsidRPr="005572EF">
                              <w:rPr>
                                <w:rFonts w:asciiTheme="majorHAnsi" w:hAnsiTheme="majorHAnsi" w:cs="Arial"/>
                                <w:b/>
                                <w:color w:val="0D0D0D" w:themeColor="text1" w:themeTint="F2"/>
                                <w:sz w:val="36"/>
                                <w:szCs w:val="22"/>
                                <w:lang w:val="pt-BR"/>
                              </w:rPr>
                              <w:t>.</w:t>
                            </w:r>
                            <w:r>
                              <w:rPr>
                                <w:rFonts w:asciiTheme="majorHAnsi" w:hAnsiTheme="majorHAnsi" w:cs="Arial"/>
                                <w:b/>
                                <w:color w:val="0D0D0D" w:themeColor="text1" w:themeTint="F2"/>
                                <w:sz w:val="36"/>
                                <w:szCs w:val="22"/>
                                <w:lang w:val="pt-BR"/>
                              </w:rPr>
                              <w:t>963</w:t>
                            </w:r>
                          </w:p>
                          <w:p w14:paraId="7A6017EA" w14:textId="77777777" w:rsidR="00E10F82" w:rsidRPr="008C280D" w:rsidRDefault="00E10F82" w:rsidP="000158FD">
                            <w:pPr>
                              <w:spacing w:line="276" w:lineRule="auto"/>
                              <w:rPr>
                                <w:rFonts w:asciiTheme="majorHAnsi" w:hAnsiTheme="majorHAnsi" w:cs="Arial"/>
                                <w:szCs w:val="22"/>
                              </w:rPr>
                            </w:pPr>
                            <w:r w:rsidRPr="008C280D">
                              <w:rPr>
                                <w:rFonts w:asciiTheme="majorHAnsi" w:hAnsiTheme="majorHAnsi" w:cs="Arial"/>
                                <w:szCs w:val="22"/>
                              </w:rPr>
                              <w:t xml:space="preserve">REPORT ON THE MERITS </w:t>
                            </w:r>
                          </w:p>
                          <w:p w14:paraId="53825787" w14:textId="77777777" w:rsidR="00E10F82" w:rsidRPr="008C280D" w:rsidRDefault="00E10F82" w:rsidP="00997BC5">
                            <w:pPr>
                              <w:spacing w:line="276" w:lineRule="auto"/>
                              <w:rPr>
                                <w:rFonts w:asciiTheme="majorHAnsi" w:hAnsiTheme="majorHAnsi" w:cs="Arial"/>
                                <w:color w:val="0D0D0D" w:themeColor="text1" w:themeTint="F2"/>
                                <w:szCs w:val="22"/>
                              </w:rPr>
                            </w:pPr>
                            <w:bookmarkStart w:id="0" w:name="_ftnref1"/>
                          </w:p>
                          <w:bookmarkEnd w:id="0"/>
                          <w:p w14:paraId="4A64C90F" w14:textId="77777777" w:rsidR="00E10F82" w:rsidRPr="008C280D" w:rsidRDefault="00E10F82" w:rsidP="002938EF">
                            <w:pPr>
                              <w:spacing w:line="276" w:lineRule="auto"/>
                              <w:rPr>
                                <w:rFonts w:asciiTheme="majorHAnsi" w:hAnsiTheme="majorHAnsi" w:cs="Arial"/>
                                <w:color w:val="0D0D0D" w:themeColor="text1" w:themeTint="F2"/>
                                <w:szCs w:val="22"/>
                              </w:rPr>
                            </w:pPr>
                            <w:r w:rsidRPr="008C280D">
                              <w:rPr>
                                <w:rFonts w:asciiTheme="majorHAnsi" w:hAnsiTheme="majorHAnsi" w:cs="Arial"/>
                                <w:color w:val="0D0D0D" w:themeColor="text1" w:themeTint="F2"/>
                                <w:szCs w:val="22"/>
                              </w:rPr>
                              <w:t>ALEJANDRO NISSEN PESSOLANI</w:t>
                            </w:r>
                          </w:p>
                          <w:p w14:paraId="17821753" w14:textId="77777777" w:rsidR="00E10F82" w:rsidRPr="008C280D" w:rsidRDefault="00E10F82" w:rsidP="002938EF">
                            <w:pPr>
                              <w:spacing w:line="276" w:lineRule="auto"/>
                              <w:rPr>
                                <w:rFonts w:asciiTheme="majorHAnsi" w:hAnsiTheme="majorHAnsi" w:cs="Arial"/>
                                <w:color w:val="0D0D0D" w:themeColor="text1" w:themeTint="F2"/>
                                <w:szCs w:val="22"/>
                              </w:rPr>
                            </w:pPr>
                            <w:r w:rsidRPr="008C280D">
                              <w:rPr>
                                <w:rFonts w:asciiTheme="majorHAnsi" w:hAnsiTheme="majorHAnsi" w:cs="Arial"/>
                                <w:color w:val="0D0D0D" w:themeColor="text1" w:themeTint="F2"/>
                                <w:szCs w:val="22"/>
                              </w:rPr>
                              <w:t>PARAGUAY</w:t>
                            </w:r>
                          </w:p>
                          <w:p w14:paraId="74C57A94" w14:textId="77777777" w:rsidR="00E10F82" w:rsidRPr="008C280D" w:rsidRDefault="00E10F82" w:rsidP="007A5817">
                            <w:pPr>
                              <w:rPr>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DD4FF"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5E6BE463" w14:textId="5C5D2F8E" w:rsidR="00E10F82" w:rsidRPr="000158FD" w:rsidRDefault="00E10F82" w:rsidP="00997BC5">
                      <w:pPr>
                        <w:spacing w:line="276" w:lineRule="auto"/>
                        <w:rPr>
                          <w:rFonts w:asciiTheme="majorHAnsi" w:hAnsiTheme="majorHAnsi" w:cs="Arial"/>
                          <w:b/>
                          <w:bCs/>
                          <w:color w:val="0D0D0D" w:themeColor="text1" w:themeTint="F2"/>
                          <w:sz w:val="36"/>
                          <w:szCs w:val="22"/>
                          <w:lang w:val="pt-BR"/>
                        </w:rPr>
                      </w:pPr>
                      <w:r>
                        <w:rPr>
                          <w:rFonts w:asciiTheme="majorHAnsi" w:hAnsiTheme="majorHAnsi" w:cs="Arial"/>
                          <w:b/>
                          <w:bCs/>
                          <w:color w:val="0D0D0D" w:themeColor="text1" w:themeTint="F2"/>
                          <w:sz w:val="36"/>
                          <w:szCs w:val="22"/>
                          <w:lang w:val="pt-BR"/>
                        </w:rPr>
                        <w:t>REPORT</w:t>
                      </w:r>
                      <w:r w:rsidRPr="000158FD">
                        <w:rPr>
                          <w:rFonts w:asciiTheme="majorHAnsi" w:hAnsiTheme="majorHAnsi" w:cs="Arial"/>
                          <w:b/>
                          <w:bCs/>
                          <w:color w:val="0D0D0D" w:themeColor="text1" w:themeTint="F2"/>
                          <w:sz w:val="36"/>
                          <w:szCs w:val="22"/>
                          <w:lang w:val="pt-BR"/>
                        </w:rPr>
                        <w:t xml:space="preserve"> </w:t>
                      </w:r>
                      <w:r w:rsidRPr="000158FD">
                        <w:rPr>
                          <w:rFonts w:asciiTheme="majorHAnsi" w:hAnsiTheme="majorHAnsi" w:cs="Arial"/>
                          <w:b/>
                          <w:bCs/>
                          <w:color w:val="0D0D0D" w:themeColor="text1" w:themeTint="F2"/>
                          <w:sz w:val="36"/>
                          <w:szCs w:val="40"/>
                          <w:lang w:val="pt-BR"/>
                        </w:rPr>
                        <w:t>No.</w:t>
                      </w:r>
                      <w:r>
                        <w:rPr>
                          <w:rFonts w:asciiTheme="majorHAnsi" w:hAnsiTheme="majorHAnsi" w:cs="Arial"/>
                          <w:b/>
                          <w:bCs/>
                          <w:color w:val="0D0D0D" w:themeColor="text1" w:themeTint="F2"/>
                          <w:sz w:val="36"/>
                          <w:szCs w:val="22"/>
                          <w:lang w:val="pt-BR"/>
                        </w:rPr>
                        <w:t xml:space="preserve"> </w:t>
                      </w:r>
                      <w:r w:rsidR="00401302">
                        <w:rPr>
                          <w:rFonts w:asciiTheme="majorHAnsi" w:hAnsiTheme="majorHAnsi" w:cs="Arial"/>
                          <w:b/>
                          <w:bCs/>
                          <w:color w:val="0D0D0D" w:themeColor="text1" w:themeTint="F2"/>
                          <w:sz w:val="36"/>
                          <w:szCs w:val="22"/>
                          <w:lang w:val="pt-BR"/>
                        </w:rPr>
                        <w:t>301</w:t>
                      </w:r>
                      <w:r>
                        <w:rPr>
                          <w:rFonts w:asciiTheme="majorHAnsi" w:hAnsiTheme="majorHAnsi" w:cs="Arial"/>
                          <w:b/>
                          <w:bCs/>
                          <w:color w:val="0D0D0D" w:themeColor="text1" w:themeTint="F2"/>
                          <w:sz w:val="36"/>
                          <w:szCs w:val="22"/>
                          <w:lang w:val="pt-BR"/>
                        </w:rPr>
                        <w:t>/20</w:t>
                      </w:r>
                    </w:p>
                    <w:p w14:paraId="6C259F60" w14:textId="77777777" w:rsidR="00E10F82" w:rsidRPr="005572EF" w:rsidRDefault="00E10F82" w:rsidP="00997BC5">
                      <w:pPr>
                        <w:spacing w:line="276" w:lineRule="auto"/>
                        <w:rPr>
                          <w:rFonts w:asciiTheme="majorHAnsi" w:hAnsiTheme="majorHAnsi" w:cs="Arial"/>
                          <w:b/>
                          <w:color w:val="0D0D0D" w:themeColor="text1" w:themeTint="F2"/>
                          <w:sz w:val="36"/>
                          <w:szCs w:val="22"/>
                          <w:lang w:val="pt-BR"/>
                        </w:rPr>
                      </w:pPr>
                      <w:r w:rsidRPr="005572EF">
                        <w:rPr>
                          <w:rFonts w:asciiTheme="majorHAnsi" w:hAnsiTheme="majorHAnsi" w:cs="Arial"/>
                          <w:b/>
                          <w:color w:val="0D0D0D" w:themeColor="text1" w:themeTint="F2"/>
                          <w:sz w:val="36"/>
                          <w:szCs w:val="22"/>
                          <w:lang w:val="pt-BR"/>
                        </w:rPr>
                        <w:t>CAS</w:t>
                      </w:r>
                      <w:r>
                        <w:rPr>
                          <w:rFonts w:asciiTheme="majorHAnsi" w:hAnsiTheme="majorHAnsi" w:cs="Arial"/>
                          <w:b/>
                          <w:color w:val="0D0D0D" w:themeColor="text1" w:themeTint="F2"/>
                          <w:sz w:val="36"/>
                          <w:szCs w:val="22"/>
                          <w:lang w:val="pt-BR"/>
                        </w:rPr>
                        <w:t>E</w:t>
                      </w:r>
                      <w:r w:rsidRPr="005572EF">
                        <w:rPr>
                          <w:rFonts w:asciiTheme="majorHAnsi" w:hAnsiTheme="majorHAnsi" w:cs="Arial"/>
                          <w:b/>
                          <w:color w:val="0D0D0D" w:themeColor="text1" w:themeTint="F2"/>
                          <w:sz w:val="36"/>
                          <w:szCs w:val="22"/>
                          <w:lang w:val="pt-BR"/>
                        </w:rPr>
                        <w:t xml:space="preserve"> </w:t>
                      </w:r>
                      <w:r>
                        <w:rPr>
                          <w:rFonts w:asciiTheme="majorHAnsi" w:hAnsiTheme="majorHAnsi" w:cs="Arial"/>
                          <w:b/>
                          <w:color w:val="0D0D0D" w:themeColor="text1" w:themeTint="F2"/>
                          <w:sz w:val="36"/>
                          <w:szCs w:val="22"/>
                          <w:lang w:val="pt-BR"/>
                        </w:rPr>
                        <w:t>12</w:t>
                      </w:r>
                      <w:r w:rsidRPr="005572EF">
                        <w:rPr>
                          <w:rFonts w:asciiTheme="majorHAnsi" w:hAnsiTheme="majorHAnsi" w:cs="Arial"/>
                          <w:b/>
                          <w:color w:val="0D0D0D" w:themeColor="text1" w:themeTint="F2"/>
                          <w:sz w:val="36"/>
                          <w:szCs w:val="22"/>
                          <w:lang w:val="pt-BR"/>
                        </w:rPr>
                        <w:t>.</w:t>
                      </w:r>
                      <w:r>
                        <w:rPr>
                          <w:rFonts w:asciiTheme="majorHAnsi" w:hAnsiTheme="majorHAnsi" w:cs="Arial"/>
                          <w:b/>
                          <w:color w:val="0D0D0D" w:themeColor="text1" w:themeTint="F2"/>
                          <w:sz w:val="36"/>
                          <w:szCs w:val="22"/>
                          <w:lang w:val="pt-BR"/>
                        </w:rPr>
                        <w:t>963</w:t>
                      </w:r>
                    </w:p>
                    <w:p w14:paraId="7A6017EA" w14:textId="77777777" w:rsidR="00E10F82" w:rsidRPr="008C280D" w:rsidRDefault="00E10F82" w:rsidP="000158FD">
                      <w:pPr>
                        <w:spacing w:line="276" w:lineRule="auto"/>
                        <w:rPr>
                          <w:rFonts w:asciiTheme="majorHAnsi" w:hAnsiTheme="majorHAnsi" w:cs="Arial"/>
                          <w:szCs w:val="22"/>
                        </w:rPr>
                      </w:pPr>
                      <w:r w:rsidRPr="008C280D">
                        <w:rPr>
                          <w:rFonts w:asciiTheme="majorHAnsi" w:hAnsiTheme="majorHAnsi" w:cs="Arial"/>
                          <w:szCs w:val="22"/>
                        </w:rPr>
                        <w:t xml:space="preserve">REPORT ON THE MERITS </w:t>
                      </w:r>
                    </w:p>
                    <w:p w14:paraId="53825787" w14:textId="77777777" w:rsidR="00E10F82" w:rsidRPr="008C280D" w:rsidRDefault="00E10F82" w:rsidP="00997BC5">
                      <w:pPr>
                        <w:spacing w:line="276" w:lineRule="auto"/>
                        <w:rPr>
                          <w:rFonts w:asciiTheme="majorHAnsi" w:hAnsiTheme="majorHAnsi" w:cs="Arial"/>
                          <w:color w:val="0D0D0D" w:themeColor="text1" w:themeTint="F2"/>
                          <w:szCs w:val="22"/>
                        </w:rPr>
                      </w:pPr>
                      <w:bookmarkStart w:id="1" w:name="_ftnref1"/>
                    </w:p>
                    <w:bookmarkEnd w:id="1"/>
                    <w:p w14:paraId="4A64C90F" w14:textId="77777777" w:rsidR="00E10F82" w:rsidRPr="008C280D" w:rsidRDefault="00E10F82" w:rsidP="002938EF">
                      <w:pPr>
                        <w:spacing w:line="276" w:lineRule="auto"/>
                        <w:rPr>
                          <w:rFonts w:asciiTheme="majorHAnsi" w:hAnsiTheme="majorHAnsi" w:cs="Arial"/>
                          <w:color w:val="0D0D0D" w:themeColor="text1" w:themeTint="F2"/>
                          <w:szCs w:val="22"/>
                        </w:rPr>
                      </w:pPr>
                      <w:r w:rsidRPr="008C280D">
                        <w:rPr>
                          <w:rFonts w:asciiTheme="majorHAnsi" w:hAnsiTheme="majorHAnsi" w:cs="Arial"/>
                          <w:color w:val="0D0D0D" w:themeColor="text1" w:themeTint="F2"/>
                          <w:szCs w:val="22"/>
                        </w:rPr>
                        <w:t>ALEJANDRO NISSEN PESSOLANI</w:t>
                      </w:r>
                    </w:p>
                    <w:p w14:paraId="17821753" w14:textId="77777777" w:rsidR="00E10F82" w:rsidRPr="008C280D" w:rsidRDefault="00E10F82" w:rsidP="002938EF">
                      <w:pPr>
                        <w:spacing w:line="276" w:lineRule="auto"/>
                        <w:rPr>
                          <w:rFonts w:asciiTheme="majorHAnsi" w:hAnsiTheme="majorHAnsi" w:cs="Arial"/>
                          <w:color w:val="0D0D0D" w:themeColor="text1" w:themeTint="F2"/>
                          <w:szCs w:val="22"/>
                        </w:rPr>
                      </w:pPr>
                      <w:r w:rsidRPr="008C280D">
                        <w:rPr>
                          <w:rFonts w:asciiTheme="majorHAnsi" w:hAnsiTheme="majorHAnsi" w:cs="Arial"/>
                          <w:color w:val="0D0D0D" w:themeColor="text1" w:themeTint="F2"/>
                          <w:szCs w:val="22"/>
                        </w:rPr>
                        <w:t>PARAGUAY</w:t>
                      </w:r>
                    </w:p>
                    <w:p w14:paraId="74C57A94" w14:textId="77777777" w:rsidR="00E10F82" w:rsidRPr="008C280D" w:rsidRDefault="00E10F82" w:rsidP="007A5817">
                      <w:pPr>
                        <w:rPr>
                          <w:color w:val="0D0D0D" w:themeColor="text1" w:themeTint="F2"/>
                        </w:rPr>
                      </w:pPr>
                    </w:p>
                  </w:txbxContent>
                </v:textbox>
              </v:shape>
            </w:pict>
          </mc:Fallback>
        </mc:AlternateContent>
      </w:r>
      <w:r w:rsidR="004E2649" w:rsidRPr="00766381">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5AE05AE3" wp14:editId="6C0BA009">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A68031" w14:textId="77777777" w:rsidR="00E10F82" w:rsidRPr="004E2649" w:rsidRDefault="00E10F8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OEA/Ser.L/V/II.XX</w:t>
                            </w:r>
                          </w:p>
                          <w:p w14:paraId="219091CC" w14:textId="19B712FF" w:rsidR="00E10F82" w:rsidRPr="004E2649" w:rsidRDefault="00E10F82"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401302">
                              <w:rPr>
                                <w:rFonts w:asciiTheme="minorHAnsi" w:hAnsiTheme="minorHAnsi"/>
                                <w:color w:val="FFFFFF" w:themeColor="background1"/>
                                <w:sz w:val="22"/>
                                <w:lang w:val="pt-BR"/>
                              </w:rPr>
                              <w:t>318</w:t>
                            </w:r>
                          </w:p>
                          <w:p w14:paraId="42360937" w14:textId="3D1CBF12" w:rsidR="00E10F82" w:rsidRPr="006F0A3C" w:rsidRDefault="00401302"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October 29,</w:t>
                            </w:r>
                            <w:r w:rsidR="00E10F82" w:rsidRPr="006F0A3C">
                              <w:rPr>
                                <w:rFonts w:asciiTheme="minorHAnsi" w:hAnsiTheme="minorHAnsi"/>
                                <w:color w:val="FFFFFF" w:themeColor="background1"/>
                                <w:sz w:val="22"/>
                              </w:rPr>
                              <w:t xml:space="preserve"> 20</w:t>
                            </w:r>
                            <w:r>
                              <w:rPr>
                                <w:rFonts w:asciiTheme="minorHAnsi" w:hAnsiTheme="minorHAnsi"/>
                                <w:color w:val="FFFFFF" w:themeColor="background1"/>
                                <w:sz w:val="22"/>
                              </w:rPr>
                              <w:t>20</w:t>
                            </w:r>
                          </w:p>
                          <w:p w14:paraId="2E0C4F1C" w14:textId="77777777" w:rsidR="00E10F82" w:rsidRPr="006F0A3C" w:rsidRDefault="00E10F82" w:rsidP="007A5817">
                            <w:pPr>
                              <w:spacing w:line="276" w:lineRule="auto"/>
                              <w:jc w:val="right"/>
                              <w:rPr>
                                <w:rFonts w:asciiTheme="minorHAnsi" w:hAnsiTheme="minorHAnsi"/>
                                <w:color w:val="FFFFFF" w:themeColor="background1"/>
                                <w:sz w:val="22"/>
                              </w:rPr>
                            </w:pPr>
                            <w:r w:rsidRPr="006F0A3C">
                              <w:rPr>
                                <w:rFonts w:asciiTheme="minorHAnsi" w:hAnsiTheme="minorHAnsi"/>
                                <w:color w:val="FFFFFF" w:themeColor="background1"/>
                                <w:sz w:val="22"/>
                              </w:rPr>
                              <w:t>Original: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05AE3"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2FA68031" w14:textId="77777777" w:rsidR="00E10F82" w:rsidRPr="004E2649" w:rsidRDefault="00E10F82"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OEA/Ser.L/V/II.XX</w:t>
                      </w:r>
                    </w:p>
                    <w:p w14:paraId="219091CC" w14:textId="19B712FF" w:rsidR="00E10F82" w:rsidRPr="004E2649" w:rsidRDefault="00E10F82" w:rsidP="007A5817">
                      <w:pPr>
                        <w:spacing w:line="276" w:lineRule="auto"/>
                        <w:jc w:val="right"/>
                        <w:rPr>
                          <w:rFonts w:asciiTheme="minorHAnsi" w:hAnsiTheme="minorHAnsi"/>
                          <w:color w:val="FFFFFF" w:themeColor="background1"/>
                          <w:sz w:val="22"/>
                          <w:lang w:val="pt-BR"/>
                        </w:rPr>
                      </w:pPr>
                      <w:r w:rsidRPr="004E2649">
                        <w:rPr>
                          <w:rFonts w:asciiTheme="minorHAnsi" w:hAnsiTheme="minorHAnsi"/>
                          <w:color w:val="FFFFFF" w:themeColor="background1"/>
                          <w:sz w:val="22"/>
                          <w:lang w:val="pt-BR"/>
                        </w:rPr>
                        <w:t xml:space="preserve">Doc. </w:t>
                      </w:r>
                      <w:r w:rsidR="00401302">
                        <w:rPr>
                          <w:rFonts w:asciiTheme="minorHAnsi" w:hAnsiTheme="minorHAnsi"/>
                          <w:color w:val="FFFFFF" w:themeColor="background1"/>
                          <w:sz w:val="22"/>
                          <w:lang w:val="pt-BR"/>
                        </w:rPr>
                        <w:t>318</w:t>
                      </w:r>
                    </w:p>
                    <w:p w14:paraId="42360937" w14:textId="3D1CBF12" w:rsidR="00E10F82" w:rsidRPr="006F0A3C" w:rsidRDefault="00401302"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October 29,</w:t>
                      </w:r>
                      <w:r w:rsidR="00E10F82" w:rsidRPr="006F0A3C">
                        <w:rPr>
                          <w:rFonts w:asciiTheme="minorHAnsi" w:hAnsiTheme="minorHAnsi"/>
                          <w:color w:val="FFFFFF" w:themeColor="background1"/>
                          <w:sz w:val="22"/>
                        </w:rPr>
                        <w:t xml:space="preserve"> 20</w:t>
                      </w:r>
                      <w:r>
                        <w:rPr>
                          <w:rFonts w:asciiTheme="minorHAnsi" w:hAnsiTheme="minorHAnsi"/>
                          <w:color w:val="FFFFFF" w:themeColor="background1"/>
                          <w:sz w:val="22"/>
                        </w:rPr>
                        <w:t>20</w:t>
                      </w:r>
                    </w:p>
                    <w:p w14:paraId="2E0C4F1C" w14:textId="77777777" w:rsidR="00E10F82" w:rsidRPr="006F0A3C" w:rsidRDefault="00E10F82" w:rsidP="007A5817">
                      <w:pPr>
                        <w:spacing w:line="276" w:lineRule="auto"/>
                        <w:jc w:val="right"/>
                        <w:rPr>
                          <w:rFonts w:asciiTheme="minorHAnsi" w:hAnsiTheme="minorHAnsi"/>
                          <w:color w:val="FFFFFF" w:themeColor="background1"/>
                          <w:sz w:val="22"/>
                        </w:rPr>
                      </w:pPr>
                      <w:r w:rsidRPr="006F0A3C">
                        <w:rPr>
                          <w:rFonts w:asciiTheme="minorHAnsi" w:hAnsiTheme="minorHAnsi"/>
                          <w:color w:val="FFFFFF" w:themeColor="background1"/>
                          <w:sz w:val="22"/>
                        </w:rPr>
                        <w:t>Original: Spanish</w:t>
                      </w:r>
                    </w:p>
                  </w:txbxContent>
                </v:textbox>
              </v:shape>
            </w:pict>
          </mc:Fallback>
        </mc:AlternateContent>
      </w:r>
    </w:p>
    <w:p w14:paraId="1D5B7444" w14:textId="77777777" w:rsidR="00040C3A" w:rsidRPr="00766381" w:rsidRDefault="00040C3A" w:rsidP="00040C3A">
      <w:pPr>
        <w:tabs>
          <w:tab w:val="center" w:pos="5400"/>
        </w:tabs>
        <w:suppressAutoHyphens/>
        <w:jc w:val="center"/>
        <w:rPr>
          <w:rFonts w:asciiTheme="majorHAnsi" w:hAnsiTheme="majorHAnsi"/>
          <w:sz w:val="22"/>
          <w:szCs w:val="22"/>
          <w:lang w:val="es-ES_tradnl"/>
        </w:rPr>
      </w:pPr>
    </w:p>
    <w:p w14:paraId="588826C0" w14:textId="77777777" w:rsidR="00040C3A" w:rsidRPr="00766381" w:rsidRDefault="00040C3A" w:rsidP="00040C3A">
      <w:pPr>
        <w:tabs>
          <w:tab w:val="center" w:pos="5400"/>
        </w:tabs>
        <w:suppressAutoHyphens/>
        <w:jc w:val="center"/>
        <w:rPr>
          <w:rFonts w:asciiTheme="majorHAnsi" w:hAnsiTheme="majorHAnsi"/>
          <w:sz w:val="22"/>
          <w:szCs w:val="22"/>
          <w:lang w:val="es-ES_tradnl"/>
        </w:rPr>
      </w:pPr>
    </w:p>
    <w:p w14:paraId="7A43699D" w14:textId="77777777" w:rsidR="00040C3A" w:rsidRPr="00766381" w:rsidRDefault="00040C3A" w:rsidP="00040C3A">
      <w:pPr>
        <w:tabs>
          <w:tab w:val="center" w:pos="5400"/>
        </w:tabs>
        <w:suppressAutoHyphens/>
        <w:jc w:val="center"/>
        <w:rPr>
          <w:rFonts w:asciiTheme="majorHAnsi" w:hAnsiTheme="majorHAnsi" w:cs="Arial"/>
          <w:sz w:val="22"/>
          <w:szCs w:val="22"/>
          <w:lang w:val="es-ES_tradnl"/>
        </w:rPr>
      </w:pPr>
    </w:p>
    <w:p w14:paraId="0737B263" w14:textId="77777777" w:rsidR="00040C3A" w:rsidRPr="00766381" w:rsidRDefault="00040C3A" w:rsidP="00040C3A">
      <w:pPr>
        <w:tabs>
          <w:tab w:val="center" w:pos="5400"/>
        </w:tabs>
        <w:suppressAutoHyphens/>
        <w:jc w:val="center"/>
        <w:rPr>
          <w:rFonts w:asciiTheme="majorHAnsi" w:hAnsiTheme="majorHAnsi"/>
          <w:sz w:val="22"/>
          <w:szCs w:val="22"/>
          <w:lang w:val="es-ES_tradnl"/>
        </w:rPr>
      </w:pPr>
    </w:p>
    <w:p w14:paraId="7EC3274C" w14:textId="77777777" w:rsidR="00040C3A" w:rsidRPr="00766381" w:rsidRDefault="00040C3A" w:rsidP="00040C3A">
      <w:pPr>
        <w:tabs>
          <w:tab w:val="center" w:pos="5400"/>
        </w:tabs>
        <w:suppressAutoHyphens/>
        <w:jc w:val="center"/>
        <w:rPr>
          <w:rFonts w:asciiTheme="majorHAnsi" w:hAnsiTheme="majorHAnsi"/>
          <w:sz w:val="22"/>
          <w:szCs w:val="22"/>
          <w:lang w:val="es-ES_tradnl"/>
        </w:rPr>
      </w:pPr>
    </w:p>
    <w:p w14:paraId="1FC79CAD" w14:textId="77777777" w:rsidR="00040C3A" w:rsidRPr="00766381" w:rsidRDefault="00040C3A" w:rsidP="00040C3A">
      <w:pPr>
        <w:tabs>
          <w:tab w:val="center" w:pos="5400"/>
        </w:tabs>
        <w:suppressAutoHyphens/>
        <w:jc w:val="center"/>
        <w:rPr>
          <w:rFonts w:asciiTheme="majorHAnsi" w:hAnsiTheme="majorHAnsi"/>
          <w:sz w:val="22"/>
          <w:szCs w:val="22"/>
          <w:lang w:val="es-ES_tradnl"/>
        </w:rPr>
      </w:pPr>
    </w:p>
    <w:p w14:paraId="47D25B4F" w14:textId="77777777" w:rsidR="00040C3A" w:rsidRPr="00766381" w:rsidRDefault="00040C3A" w:rsidP="00040C3A">
      <w:pPr>
        <w:tabs>
          <w:tab w:val="center" w:pos="5400"/>
        </w:tabs>
        <w:suppressAutoHyphens/>
        <w:jc w:val="center"/>
        <w:rPr>
          <w:rFonts w:asciiTheme="majorHAnsi" w:hAnsiTheme="majorHAnsi"/>
          <w:sz w:val="22"/>
          <w:szCs w:val="22"/>
          <w:lang w:val="es-ES_tradnl"/>
        </w:rPr>
      </w:pPr>
    </w:p>
    <w:p w14:paraId="6C05C3F5" w14:textId="77777777" w:rsidR="005128E4" w:rsidRPr="00766381" w:rsidRDefault="005128E4" w:rsidP="00040C3A">
      <w:pPr>
        <w:tabs>
          <w:tab w:val="center" w:pos="5400"/>
        </w:tabs>
        <w:suppressAutoHyphens/>
        <w:jc w:val="center"/>
        <w:rPr>
          <w:rFonts w:asciiTheme="majorHAnsi" w:hAnsiTheme="majorHAnsi"/>
          <w:sz w:val="22"/>
          <w:szCs w:val="22"/>
          <w:lang w:val="es-ES_tradnl"/>
        </w:rPr>
      </w:pPr>
    </w:p>
    <w:p w14:paraId="343B7B2D" w14:textId="77777777" w:rsidR="00040C3A" w:rsidRPr="00766381" w:rsidRDefault="00040C3A" w:rsidP="00040C3A">
      <w:pPr>
        <w:tabs>
          <w:tab w:val="center" w:pos="5400"/>
        </w:tabs>
        <w:suppressAutoHyphens/>
        <w:jc w:val="center"/>
        <w:rPr>
          <w:rFonts w:asciiTheme="majorHAnsi" w:hAnsiTheme="majorHAnsi"/>
          <w:sz w:val="22"/>
          <w:szCs w:val="22"/>
          <w:lang w:val="es-ES_tradnl"/>
        </w:rPr>
      </w:pPr>
    </w:p>
    <w:p w14:paraId="68F139D9" w14:textId="77777777" w:rsidR="005128E4" w:rsidRPr="00766381" w:rsidRDefault="005128E4" w:rsidP="00040C3A">
      <w:pPr>
        <w:tabs>
          <w:tab w:val="center" w:pos="5400"/>
        </w:tabs>
        <w:suppressAutoHyphens/>
        <w:jc w:val="center"/>
        <w:rPr>
          <w:rFonts w:asciiTheme="majorHAnsi" w:hAnsiTheme="majorHAnsi"/>
          <w:sz w:val="22"/>
          <w:szCs w:val="22"/>
          <w:lang w:val="es-ES_tradnl"/>
        </w:rPr>
      </w:pPr>
    </w:p>
    <w:p w14:paraId="09452522" w14:textId="77777777" w:rsidR="005128E4" w:rsidRPr="00766381" w:rsidRDefault="005128E4" w:rsidP="00040C3A">
      <w:pPr>
        <w:tabs>
          <w:tab w:val="center" w:pos="5400"/>
        </w:tabs>
        <w:suppressAutoHyphens/>
        <w:jc w:val="center"/>
        <w:rPr>
          <w:rFonts w:asciiTheme="majorHAnsi" w:hAnsiTheme="majorHAnsi"/>
          <w:sz w:val="22"/>
          <w:szCs w:val="22"/>
          <w:lang w:val="es-ES_tradnl"/>
        </w:rPr>
      </w:pPr>
    </w:p>
    <w:p w14:paraId="3CAE4106" w14:textId="77777777" w:rsidR="005128E4" w:rsidRPr="00766381" w:rsidRDefault="005128E4" w:rsidP="00040C3A">
      <w:pPr>
        <w:tabs>
          <w:tab w:val="center" w:pos="5400"/>
        </w:tabs>
        <w:suppressAutoHyphens/>
        <w:jc w:val="center"/>
        <w:rPr>
          <w:rFonts w:asciiTheme="majorHAnsi" w:hAnsiTheme="majorHAnsi"/>
          <w:sz w:val="22"/>
          <w:szCs w:val="22"/>
          <w:lang w:val="es-ES_tradnl"/>
        </w:rPr>
      </w:pPr>
    </w:p>
    <w:p w14:paraId="04015B73" w14:textId="77777777" w:rsidR="00040C3A" w:rsidRPr="00766381" w:rsidRDefault="00040C3A" w:rsidP="00040C3A">
      <w:pPr>
        <w:tabs>
          <w:tab w:val="center" w:pos="5400"/>
        </w:tabs>
        <w:suppressAutoHyphens/>
        <w:jc w:val="center"/>
        <w:rPr>
          <w:rFonts w:asciiTheme="majorHAnsi" w:hAnsiTheme="majorHAnsi"/>
          <w:sz w:val="22"/>
          <w:szCs w:val="22"/>
          <w:lang w:val="es-ES_tradnl"/>
        </w:rPr>
      </w:pPr>
    </w:p>
    <w:p w14:paraId="431DFD34" w14:textId="77777777" w:rsidR="00040C3A" w:rsidRPr="00766381" w:rsidRDefault="00040C3A" w:rsidP="00040C3A">
      <w:pPr>
        <w:tabs>
          <w:tab w:val="center" w:pos="5400"/>
        </w:tabs>
        <w:suppressAutoHyphens/>
        <w:jc w:val="center"/>
        <w:rPr>
          <w:rFonts w:asciiTheme="majorHAnsi" w:hAnsiTheme="majorHAnsi"/>
          <w:sz w:val="22"/>
          <w:szCs w:val="22"/>
          <w:lang w:val="es-ES_tradnl"/>
        </w:rPr>
      </w:pPr>
    </w:p>
    <w:p w14:paraId="70879718" w14:textId="77777777" w:rsidR="00A50FCF" w:rsidRPr="00766381" w:rsidRDefault="00A50FCF" w:rsidP="00040C3A">
      <w:pPr>
        <w:tabs>
          <w:tab w:val="center" w:pos="5400"/>
        </w:tabs>
        <w:suppressAutoHyphens/>
        <w:jc w:val="center"/>
        <w:rPr>
          <w:rFonts w:asciiTheme="majorHAnsi" w:hAnsiTheme="majorHAnsi"/>
          <w:sz w:val="18"/>
          <w:szCs w:val="22"/>
          <w:lang w:val="es-ES_tradnl"/>
        </w:rPr>
      </w:pPr>
    </w:p>
    <w:p w14:paraId="1CBC6071" w14:textId="77777777" w:rsidR="00A50FCF" w:rsidRPr="00766381" w:rsidRDefault="00A50FCF" w:rsidP="00040C3A">
      <w:pPr>
        <w:tabs>
          <w:tab w:val="center" w:pos="5400"/>
        </w:tabs>
        <w:suppressAutoHyphens/>
        <w:jc w:val="center"/>
        <w:rPr>
          <w:rFonts w:asciiTheme="majorHAnsi" w:hAnsiTheme="majorHAnsi"/>
          <w:sz w:val="18"/>
          <w:szCs w:val="22"/>
          <w:lang w:val="es-ES_tradnl"/>
        </w:rPr>
      </w:pPr>
    </w:p>
    <w:p w14:paraId="01CC981C" w14:textId="77777777" w:rsidR="00A50FCF" w:rsidRPr="00766381" w:rsidRDefault="00A50FCF" w:rsidP="00040C3A">
      <w:pPr>
        <w:tabs>
          <w:tab w:val="center" w:pos="5400"/>
        </w:tabs>
        <w:suppressAutoHyphens/>
        <w:jc w:val="center"/>
        <w:rPr>
          <w:rFonts w:asciiTheme="majorHAnsi" w:hAnsiTheme="majorHAnsi"/>
          <w:sz w:val="18"/>
          <w:szCs w:val="22"/>
          <w:lang w:val="es-ES_tradnl"/>
        </w:rPr>
      </w:pPr>
    </w:p>
    <w:p w14:paraId="20F42179" w14:textId="77777777" w:rsidR="00A50FCF" w:rsidRPr="00766381" w:rsidRDefault="00A50FCF" w:rsidP="00040C3A">
      <w:pPr>
        <w:tabs>
          <w:tab w:val="center" w:pos="5400"/>
        </w:tabs>
        <w:suppressAutoHyphens/>
        <w:jc w:val="center"/>
        <w:rPr>
          <w:rFonts w:asciiTheme="majorHAnsi" w:hAnsiTheme="majorHAnsi"/>
          <w:sz w:val="18"/>
          <w:szCs w:val="22"/>
          <w:lang w:val="es-ES_tradnl"/>
        </w:rPr>
      </w:pPr>
    </w:p>
    <w:p w14:paraId="50B4D462" w14:textId="77777777" w:rsidR="00A50FCF" w:rsidRPr="00766381" w:rsidRDefault="00A50FCF" w:rsidP="00040C3A">
      <w:pPr>
        <w:tabs>
          <w:tab w:val="center" w:pos="5400"/>
        </w:tabs>
        <w:suppressAutoHyphens/>
        <w:jc w:val="center"/>
        <w:rPr>
          <w:rFonts w:asciiTheme="majorHAnsi" w:hAnsiTheme="majorHAnsi"/>
          <w:sz w:val="18"/>
          <w:szCs w:val="22"/>
          <w:lang w:val="es-ES_tradnl"/>
        </w:rPr>
      </w:pPr>
    </w:p>
    <w:p w14:paraId="444491A3" w14:textId="77777777" w:rsidR="00A50FCF" w:rsidRPr="00766381" w:rsidRDefault="00A50FCF" w:rsidP="00040C3A">
      <w:pPr>
        <w:tabs>
          <w:tab w:val="center" w:pos="5400"/>
        </w:tabs>
        <w:suppressAutoHyphens/>
        <w:jc w:val="center"/>
        <w:rPr>
          <w:rFonts w:asciiTheme="majorHAnsi" w:hAnsiTheme="majorHAnsi"/>
          <w:sz w:val="18"/>
          <w:szCs w:val="22"/>
          <w:lang w:val="es-ES_tradnl"/>
        </w:rPr>
      </w:pPr>
    </w:p>
    <w:p w14:paraId="1593F27C" w14:textId="77777777" w:rsidR="00A50FCF" w:rsidRPr="00766381" w:rsidRDefault="00A50FCF" w:rsidP="00040C3A">
      <w:pPr>
        <w:tabs>
          <w:tab w:val="center" w:pos="5400"/>
        </w:tabs>
        <w:suppressAutoHyphens/>
        <w:jc w:val="center"/>
        <w:rPr>
          <w:rFonts w:asciiTheme="majorHAnsi" w:hAnsiTheme="majorHAnsi"/>
          <w:sz w:val="18"/>
          <w:szCs w:val="22"/>
          <w:lang w:val="es-ES_tradnl"/>
        </w:rPr>
      </w:pPr>
    </w:p>
    <w:p w14:paraId="67CA3179" w14:textId="77777777" w:rsidR="00A50FCF" w:rsidRPr="00766381" w:rsidRDefault="00A50FCF" w:rsidP="00040C3A">
      <w:pPr>
        <w:tabs>
          <w:tab w:val="center" w:pos="5400"/>
        </w:tabs>
        <w:suppressAutoHyphens/>
        <w:jc w:val="center"/>
        <w:rPr>
          <w:rFonts w:asciiTheme="majorHAnsi" w:hAnsiTheme="majorHAnsi"/>
          <w:sz w:val="18"/>
          <w:szCs w:val="22"/>
          <w:lang w:val="es-ES_tradnl"/>
        </w:rPr>
      </w:pPr>
    </w:p>
    <w:p w14:paraId="52D8D229" w14:textId="77777777" w:rsidR="00A50FCF" w:rsidRPr="00766381" w:rsidRDefault="00A50FCF" w:rsidP="00040C3A">
      <w:pPr>
        <w:tabs>
          <w:tab w:val="center" w:pos="5400"/>
        </w:tabs>
        <w:suppressAutoHyphens/>
        <w:jc w:val="center"/>
        <w:rPr>
          <w:rFonts w:asciiTheme="majorHAnsi" w:hAnsiTheme="majorHAnsi"/>
          <w:sz w:val="18"/>
          <w:szCs w:val="22"/>
          <w:lang w:val="es-ES_tradnl"/>
        </w:rPr>
      </w:pPr>
    </w:p>
    <w:p w14:paraId="63035B9D" w14:textId="77777777" w:rsidR="00A50FCF" w:rsidRPr="00766381" w:rsidRDefault="00A50FCF" w:rsidP="00040C3A">
      <w:pPr>
        <w:tabs>
          <w:tab w:val="center" w:pos="5400"/>
        </w:tabs>
        <w:suppressAutoHyphens/>
        <w:jc w:val="center"/>
        <w:rPr>
          <w:rFonts w:asciiTheme="majorHAnsi" w:hAnsiTheme="majorHAnsi"/>
          <w:sz w:val="18"/>
          <w:szCs w:val="22"/>
          <w:lang w:val="es-ES_tradnl"/>
        </w:rPr>
      </w:pPr>
    </w:p>
    <w:p w14:paraId="12DE8562" w14:textId="77777777" w:rsidR="00A50FCF" w:rsidRPr="00766381" w:rsidRDefault="00A50FCF" w:rsidP="00040C3A">
      <w:pPr>
        <w:tabs>
          <w:tab w:val="center" w:pos="5400"/>
        </w:tabs>
        <w:suppressAutoHyphens/>
        <w:jc w:val="center"/>
        <w:rPr>
          <w:rFonts w:asciiTheme="majorHAnsi" w:hAnsiTheme="majorHAnsi"/>
          <w:sz w:val="18"/>
          <w:szCs w:val="22"/>
          <w:lang w:val="es-ES_tradnl"/>
        </w:rPr>
      </w:pPr>
    </w:p>
    <w:p w14:paraId="7DAFB0ED" w14:textId="77777777" w:rsidR="00A50FCF" w:rsidRPr="00766381" w:rsidRDefault="00A50FCF" w:rsidP="00040C3A">
      <w:pPr>
        <w:tabs>
          <w:tab w:val="center" w:pos="5400"/>
        </w:tabs>
        <w:suppressAutoHyphens/>
        <w:jc w:val="center"/>
        <w:rPr>
          <w:rFonts w:asciiTheme="majorHAnsi" w:hAnsiTheme="majorHAnsi"/>
          <w:sz w:val="18"/>
          <w:szCs w:val="22"/>
          <w:lang w:val="es-ES_tradnl"/>
        </w:rPr>
      </w:pPr>
    </w:p>
    <w:p w14:paraId="58237A5E" w14:textId="77777777" w:rsidR="00A50FCF" w:rsidRPr="00766381" w:rsidRDefault="00A50FCF" w:rsidP="00040C3A">
      <w:pPr>
        <w:tabs>
          <w:tab w:val="center" w:pos="5400"/>
        </w:tabs>
        <w:suppressAutoHyphens/>
        <w:jc w:val="center"/>
        <w:rPr>
          <w:rFonts w:asciiTheme="majorHAnsi" w:hAnsiTheme="majorHAnsi"/>
          <w:sz w:val="18"/>
          <w:szCs w:val="22"/>
          <w:lang w:val="es-ES_tradnl"/>
        </w:rPr>
      </w:pPr>
    </w:p>
    <w:p w14:paraId="641A552B" w14:textId="77777777" w:rsidR="00A50FCF" w:rsidRPr="00766381" w:rsidRDefault="00A50FCF" w:rsidP="00040C3A">
      <w:pPr>
        <w:tabs>
          <w:tab w:val="center" w:pos="5400"/>
        </w:tabs>
        <w:suppressAutoHyphens/>
        <w:jc w:val="center"/>
        <w:rPr>
          <w:rFonts w:asciiTheme="majorHAnsi" w:hAnsiTheme="majorHAnsi"/>
          <w:sz w:val="18"/>
          <w:szCs w:val="22"/>
          <w:lang w:val="es-ES_tradnl"/>
        </w:rPr>
      </w:pPr>
    </w:p>
    <w:p w14:paraId="61423779" w14:textId="77777777" w:rsidR="00A50FCF" w:rsidRPr="00766381" w:rsidRDefault="0090270B" w:rsidP="00040C3A">
      <w:pPr>
        <w:tabs>
          <w:tab w:val="center" w:pos="5400"/>
        </w:tabs>
        <w:suppressAutoHyphens/>
        <w:jc w:val="center"/>
        <w:rPr>
          <w:rFonts w:asciiTheme="majorHAnsi" w:hAnsiTheme="majorHAnsi"/>
          <w:sz w:val="18"/>
          <w:szCs w:val="22"/>
          <w:lang w:val="es-ES_tradnl"/>
        </w:rPr>
      </w:pPr>
      <w:r w:rsidRPr="00766381">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150776DA" wp14:editId="5A674D27">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77C698" w14:textId="00FBF7A7" w:rsidR="00E10F82" w:rsidRPr="005B5828" w:rsidRDefault="00E10F82" w:rsidP="0059191A">
                            <w:pPr>
                              <w:tabs>
                                <w:tab w:val="center" w:pos="5400"/>
                              </w:tabs>
                              <w:suppressAutoHyphens/>
                              <w:spacing w:before="60"/>
                              <w:rPr>
                                <w:rFonts w:asciiTheme="majorHAnsi" w:hAnsiTheme="majorHAnsi" w:cs="Univers"/>
                                <w:color w:val="0D0D0D" w:themeColor="text1" w:themeTint="F2"/>
                                <w:sz w:val="18"/>
                                <w:szCs w:val="20"/>
                              </w:rPr>
                            </w:pPr>
                            <w:r w:rsidRPr="005B5828">
                              <w:rPr>
                                <w:rFonts w:asciiTheme="majorHAnsi" w:hAnsiTheme="majorHAnsi"/>
                                <w:color w:val="0D0D0D" w:themeColor="text1" w:themeTint="F2"/>
                                <w:sz w:val="18"/>
                                <w:szCs w:val="20"/>
                              </w:rPr>
                              <w:t>Approved by the Commission at its session No.</w:t>
                            </w:r>
                            <w:r>
                              <w:rPr>
                                <w:rFonts w:asciiTheme="majorHAnsi" w:hAnsiTheme="majorHAnsi"/>
                                <w:color w:val="0D0D0D" w:themeColor="text1" w:themeTint="F2"/>
                                <w:sz w:val="18"/>
                                <w:szCs w:val="20"/>
                              </w:rPr>
                              <w:t xml:space="preserve"> </w:t>
                            </w:r>
                            <w:r w:rsidR="00401302">
                              <w:rPr>
                                <w:rFonts w:asciiTheme="majorHAnsi" w:hAnsiTheme="majorHAnsi"/>
                                <w:color w:val="0D0D0D" w:themeColor="text1" w:themeTint="F2"/>
                                <w:sz w:val="18"/>
                                <w:szCs w:val="20"/>
                              </w:rPr>
                              <w:t>2190</w:t>
                            </w:r>
                            <w:r w:rsidRPr="005B5828">
                              <w:rPr>
                                <w:rFonts w:asciiTheme="majorHAnsi" w:hAnsiTheme="majorHAnsi"/>
                                <w:color w:val="0D0D0D" w:themeColor="text1" w:themeTint="F2"/>
                                <w:sz w:val="18"/>
                                <w:szCs w:val="20"/>
                              </w:rPr>
                              <w:t xml:space="preserve"> held on </w:t>
                            </w:r>
                            <w:r w:rsidR="00401302">
                              <w:rPr>
                                <w:rFonts w:asciiTheme="majorHAnsi" w:hAnsiTheme="majorHAnsi"/>
                                <w:color w:val="0D0D0D" w:themeColor="text1" w:themeTint="F2"/>
                                <w:sz w:val="18"/>
                                <w:szCs w:val="20"/>
                              </w:rPr>
                              <w:t>October 29</w:t>
                            </w:r>
                            <w:r w:rsidRPr="005B5828">
                              <w:rPr>
                                <w:rFonts w:asciiTheme="majorHAnsi" w:hAnsiTheme="majorHAnsi"/>
                                <w:color w:val="0D0D0D" w:themeColor="text1" w:themeTint="F2"/>
                                <w:sz w:val="18"/>
                                <w:szCs w:val="20"/>
                              </w:rPr>
                              <w:t>, 20</w:t>
                            </w:r>
                            <w:r w:rsidR="00401302">
                              <w:rPr>
                                <w:rFonts w:asciiTheme="majorHAnsi" w:hAnsiTheme="majorHAnsi"/>
                                <w:color w:val="0D0D0D" w:themeColor="text1" w:themeTint="F2"/>
                                <w:sz w:val="18"/>
                                <w:szCs w:val="20"/>
                              </w:rPr>
                              <w:t>20</w:t>
                            </w:r>
                            <w:r w:rsidRPr="005B5828">
                              <w:rPr>
                                <w:rFonts w:asciiTheme="majorHAnsi" w:hAnsiTheme="majorHAnsi"/>
                                <w:color w:val="0D0D0D" w:themeColor="text1" w:themeTint="F2"/>
                                <w:sz w:val="18"/>
                                <w:szCs w:val="20"/>
                              </w:rPr>
                              <w:br/>
                            </w:r>
                          </w:p>
                          <w:p w14:paraId="280A9F9E" w14:textId="77777777" w:rsidR="00E10F82" w:rsidRPr="005B5828" w:rsidRDefault="00E10F82" w:rsidP="0059191A">
                            <w:pPr>
                              <w:tabs>
                                <w:tab w:val="center" w:pos="5400"/>
                              </w:tabs>
                              <w:suppressAutoHyphens/>
                              <w:spacing w:before="60"/>
                              <w:rPr>
                                <w:rFonts w:asciiTheme="majorHAnsi" w:hAnsiTheme="majorHAnsi" w:cs="Univers"/>
                                <w:color w:val="0D0D0D" w:themeColor="text1" w:themeTint="F2"/>
                                <w:sz w:val="18"/>
                                <w:szCs w:val="20"/>
                              </w:rPr>
                            </w:pPr>
                          </w:p>
                          <w:p w14:paraId="3A9A478A" w14:textId="77777777" w:rsidR="00E10F82" w:rsidRPr="005B5828" w:rsidRDefault="00E10F82" w:rsidP="0059191A">
                            <w:pPr>
                              <w:tabs>
                                <w:tab w:val="center" w:pos="5400"/>
                              </w:tabs>
                              <w:suppressAutoHyphens/>
                              <w:spacing w:before="60"/>
                              <w:rPr>
                                <w:rFonts w:asciiTheme="majorHAnsi" w:hAnsiTheme="majorHAnsi" w:cs="Univers"/>
                                <w:color w:val="0D0D0D" w:themeColor="text1" w:themeTint="F2"/>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776DA"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6277C698" w14:textId="00FBF7A7" w:rsidR="00E10F82" w:rsidRPr="005B5828" w:rsidRDefault="00E10F82" w:rsidP="0059191A">
                      <w:pPr>
                        <w:tabs>
                          <w:tab w:val="center" w:pos="5400"/>
                        </w:tabs>
                        <w:suppressAutoHyphens/>
                        <w:spacing w:before="60"/>
                        <w:rPr>
                          <w:rFonts w:asciiTheme="majorHAnsi" w:hAnsiTheme="majorHAnsi" w:cs="Univers"/>
                          <w:color w:val="0D0D0D" w:themeColor="text1" w:themeTint="F2"/>
                          <w:sz w:val="18"/>
                          <w:szCs w:val="20"/>
                        </w:rPr>
                      </w:pPr>
                      <w:r w:rsidRPr="005B5828">
                        <w:rPr>
                          <w:rFonts w:asciiTheme="majorHAnsi" w:hAnsiTheme="majorHAnsi"/>
                          <w:color w:val="0D0D0D" w:themeColor="text1" w:themeTint="F2"/>
                          <w:sz w:val="18"/>
                          <w:szCs w:val="20"/>
                        </w:rPr>
                        <w:t>Approved by the Commission at its session No.</w:t>
                      </w:r>
                      <w:r>
                        <w:rPr>
                          <w:rFonts w:asciiTheme="majorHAnsi" w:hAnsiTheme="majorHAnsi"/>
                          <w:color w:val="0D0D0D" w:themeColor="text1" w:themeTint="F2"/>
                          <w:sz w:val="18"/>
                          <w:szCs w:val="20"/>
                        </w:rPr>
                        <w:t xml:space="preserve"> </w:t>
                      </w:r>
                      <w:r w:rsidR="00401302">
                        <w:rPr>
                          <w:rFonts w:asciiTheme="majorHAnsi" w:hAnsiTheme="majorHAnsi"/>
                          <w:color w:val="0D0D0D" w:themeColor="text1" w:themeTint="F2"/>
                          <w:sz w:val="18"/>
                          <w:szCs w:val="20"/>
                        </w:rPr>
                        <w:t>2190</w:t>
                      </w:r>
                      <w:r w:rsidRPr="005B5828">
                        <w:rPr>
                          <w:rFonts w:asciiTheme="majorHAnsi" w:hAnsiTheme="majorHAnsi"/>
                          <w:color w:val="0D0D0D" w:themeColor="text1" w:themeTint="F2"/>
                          <w:sz w:val="18"/>
                          <w:szCs w:val="20"/>
                        </w:rPr>
                        <w:t xml:space="preserve"> held on </w:t>
                      </w:r>
                      <w:r w:rsidR="00401302">
                        <w:rPr>
                          <w:rFonts w:asciiTheme="majorHAnsi" w:hAnsiTheme="majorHAnsi"/>
                          <w:color w:val="0D0D0D" w:themeColor="text1" w:themeTint="F2"/>
                          <w:sz w:val="18"/>
                          <w:szCs w:val="20"/>
                        </w:rPr>
                        <w:t>October 29</w:t>
                      </w:r>
                      <w:r w:rsidRPr="005B5828">
                        <w:rPr>
                          <w:rFonts w:asciiTheme="majorHAnsi" w:hAnsiTheme="majorHAnsi"/>
                          <w:color w:val="0D0D0D" w:themeColor="text1" w:themeTint="F2"/>
                          <w:sz w:val="18"/>
                          <w:szCs w:val="20"/>
                        </w:rPr>
                        <w:t>, 20</w:t>
                      </w:r>
                      <w:r w:rsidR="00401302">
                        <w:rPr>
                          <w:rFonts w:asciiTheme="majorHAnsi" w:hAnsiTheme="majorHAnsi"/>
                          <w:color w:val="0D0D0D" w:themeColor="text1" w:themeTint="F2"/>
                          <w:sz w:val="18"/>
                          <w:szCs w:val="20"/>
                        </w:rPr>
                        <w:t>20</w:t>
                      </w:r>
                      <w:r w:rsidRPr="005B5828">
                        <w:rPr>
                          <w:rFonts w:asciiTheme="majorHAnsi" w:hAnsiTheme="majorHAnsi"/>
                          <w:color w:val="0D0D0D" w:themeColor="text1" w:themeTint="F2"/>
                          <w:sz w:val="18"/>
                          <w:szCs w:val="20"/>
                        </w:rPr>
                        <w:br/>
                      </w:r>
                    </w:p>
                    <w:p w14:paraId="280A9F9E" w14:textId="77777777" w:rsidR="00E10F82" w:rsidRPr="005B5828" w:rsidRDefault="00E10F82" w:rsidP="0059191A">
                      <w:pPr>
                        <w:tabs>
                          <w:tab w:val="center" w:pos="5400"/>
                        </w:tabs>
                        <w:suppressAutoHyphens/>
                        <w:spacing w:before="60"/>
                        <w:rPr>
                          <w:rFonts w:asciiTheme="majorHAnsi" w:hAnsiTheme="majorHAnsi" w:cs="Univers"/>
                          <w:color w:val="0D0D0D" w:themeColor="text1" w:themeTint="F2"/>
                          <w:sz w:val="18"/>
                          <w:szCs w:val="20"/>
                        </w:rPr>
                      </w:pPr>
                    </w:p>
                    <w:p w14:paraId="3A9A478A" w14:textId="77777777" w:rsidR="00E10F82" w:rsidRPr="005B5828" w:rsidRDefault="00E10F82" w:rsidP="0059191A">
                      <w:pPr>
                        <w:tabs>
                          <w:tab w:val="center" w:pos="5400"/>
                        </w:tabs>
                        <w:suppressAutoHyphens/>
                        <w:spacing w:before="60"/>
                        <w:rPr>
                          <w:rFonts w:asciiTheme="majorHAnsi" w:hAnsiTheme="majorHAnsi" w:cs="Univers"/>
                          <w:color w:val="0D0D0D" w:themeColor="text1" w:themeTint="F2"/>
                          <w:sz w:val="18"/>
                          <w:szCs w:val="20"/>
                        </w:rPr>
                      </w:pPr>
                    </w:p>
                  </w:txbxContent>
                </v:textbox>
              </v:shape>
            </w:pict>
          </mc:Fallback>
        </mc:AlternateContent>
      </w:r>
    </w:p>
    <w:p w14:paraId="44570987" w14:textId="77777777" w:rsidR="00A50FCF" w:rsidRPr="00766381" w:rsidRDefault="00A50FCF" w:rsidP="00040C3A">
      <w:pPr>
        <w:tabs>
          <w:tab w:val="center" w:pos="5400"/>
        </w:tabs>
        <w:suppressAutoHyphens/>
        <w:jc w:val="center"/>
        <w:rPr>
          <w:rFonts w:asciiTheme="majorHAnsi" w:hAnsiTheme="majorHAnsi"/>
          <w:sz w:val="18"/>
          <w:szCs w:val="22"/>
        </w:rPr>
      </w:pPr>
    </w:p>
    <w:p w14:paraId="5A156173" w14:textId="77777777" w:rsidR="00A50FCF" w:rsidRPr="00766381" w:rsidRDefault="00A50FCF" w:rsidP="00040C3A">
      <w:pPr>
        <w:tabs>
          <w:tab w:val="center" w:pos="5400"/>
        </w:tabs>
        <w:suppressAutoHyphens/>
        <w:jc w:val="center"/>
        <w:rPr>
          <w:rFonts w:asciiTheme="majorHAnsi" w:hAnsiTheme="majorHAnsi"/>
          <w:sz w:val="18"/>
          <w:szCs w:val="22"/>
          <w:lang w:val="es-ES_tradnl"/>
        </w:rPr>
      </w:pPr>
    </w:p>
    <w:p w14:paraId="014857B7" w14:textId="77777777" w:rsidR="00A50FCF" w:rsidRPr="00766381" w:rsidRDefault="00A50FCF" w:rsidP="00040C3A">
      <w:pPr>
        <w:tabs>
          <w:tab w:val="center" w:pos="5400"/>
        </w:tabs>
        <w:suppressAutoHyphens/>
        <w:jc w:val="center"/>
        <w:rPr>
          <w:rFonts w:asciiTheme="majorHAnsi" w:hAnsiTheme="majorHAnsi"/>
          <w:sz w:val="18"/>
          <w:szCs w:val="22"/>
          <w:lang w:val="es-ES_tradnl"/>
        </w:rPr>
      </w:pPr>
    </w:p>
    <w:p w14:paraId="4F59C047" w14:textId="77777777" w:rsidR="00A50FCF" w:rsidRPr="00766381" w:rsidRDefault="00A50FCF" w:rsidP="00040C3A">
      <w:pPr>
        <w:tabs>
          <w:tab w:val="center" w:pos="5400"/>
        </w:tabs>
        <w:suppressAutoHyphens/>
        <w:jc w:val="center"/>
        <w:rPr>
          <w:rFonts w:asciiTheme="majorHAnsi" w:hAnsiTheme="majorHAnsi"/>
          <w:sz w:val="18"/>
          <w:szCs w:val="22"/>
          <w:lang w:val="es-ES_tradnl"/>
        </w:rPr>
      </w:pPr>
    </w:p>
    <w:p w14:paraId="4132317F" w14:textId="77777777" w:rsidR="00A50FCF" w:rsidRPr="00766381" w:rsidRDefault="0090270B" w:rsidP="00040C3A">
      <w:pPr>
        <w:tabs>
          <w:tab w:val="center" w:pos="5400"/>
        </w:tabs>
        <w:suppressAutoHyphens/>
        <w:jc w:val="center"/>
        <w:rPr>
          <w:rFonts w:asciiTheme="majorHAnsi" w:hAnsiTheme="majorHAnsi"/>
          <w:sz w:val="18"/>
          <w:szCs w:val="22"/>
          <w:lang w:val="es-ES_tradnl"/>
        </w:rPr>
      </w:pPr>
      <w:r w:rsidRPr="00766381">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4807C7B4" wp14:editId="6D852BDD">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63FBB4" w14:textId="114A6A32" w:rsidR="00E10F82" w:rsidRPr="00500F83" w:rsidRDefault="00E10F82" w:rsidP="00113F73">
                            <w:pPr>
                              <w:spacing w:line="276" w:lineRule="auto"/>
                              <w:rPr>
                                <w:rFonts w:asciiTheme="majorHAnsi" w:hAnsiTheme="majorHAnsi"/>
                                <w:color w:val="595959" w:themeColor="text1" w:themeTint="A6"/>
                                <w:sz w:val="18"/>
                                <w:szCs w:val="18"/>
                              </w:rPr>
                            </w:pPr>
                            <w:r>
                              <w:rPr>
                                <w:rFonts w:asciiTheme="majorHAnsi" w:hAnsiTheme="majorHAnsi"/>
                                <w:b/>
                                <w:color w:val="595959" w:themeColor="text1" w:themeTint="A6"/>
                                <w:sz w:val="18"/>
                                <w:szCs w:val="18"/>
                                <w:lang w:val="pt-BR"/>
                              </w:rPr>
                              <w:t>Cite as</w:t>
                            </w:r>
                            <w:r w:rsidRPr="0022273F">
                              <w:rPr>
                                <w:rFonts w:asciiTheme="majorHAnsi" w:hAnsiTheme="majorHAnsi"/>
                                <w:b/>
                                <w:color w:val="595959" w:themeColor="text1" w:themeTint="A6"/>
                                <w:sz w:val="18"/>
                                <w:szCs w:val="18"/>
                                <w:lang w:val="pt-BR"/>
                              </w:rPr>
                              <w:t>:</w:t>
                            </w:r>
                            <w:r w:rsidRPr="0022273F">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pt-BR"/>
                              </w:rPr>
                              <w:t xml:space="preserve">IACHR, Report </w:t>
                            </w:r>
                            <w:r w:rsidRPr="0022273F">
                              <w:rPr>
                                <w:rFonts w:asciiTheme="majorHAnsi" w:hAnsiTheme="majorHAnsi"/>
                                <w:color w:val="595959" w:themeColor="text1" w:themeTint="A6"/>
                                <w:sz w:val="18"/>
                                <w:szCs w:val="18"/>
                                <w:lang w:val="pt-BR"/>
                              </w:rPr>
                              <w:t>No.</w:t>
                            </w:r>
                            <w:r w:rsidR="00401302">
                              <w:rPr>
                                <w:rFonts w:asciiTheme="majorHAnsi" w:hAnsiTheme="majorHAnsi"/>
                                <w:color w:val="595959" w:themeColor="text1" w:themeTint="A6"/>
                                <w:sz w:val="18"/>
                                <w:szCs w:val="18"/>
                                <w:lang w:val="pt-BR"/>
                              </w:rPr>
                              <w:t xml:space="preserve"> 301/20</w:t>
                            </w:r>
                            <w:r>
                              <w:rPr>
                                <w:rFonts w:asciiTheme="majorHAnsi" w:hAnsiTheme="majorHAnsi"/>
                                <w:color w:val="595959" w:themeColor="text1" w:themeTint="A6"/>
                                <w:sz w:val="18"/>
                                <w:szCs w:val="18"/>
                                <w:lang w:val="pt-BR"/>
                              </w:rPr>
                              <w:t>,</w:t>
                            </w:r>
                            <w:r w:rsidRPr="0022273F">
                              <w:rPr>
                                <w:rFonts w:asciiTheme="majorHAnsi" w:hAnsiTheme="majorHAnsi"/>
                                <w:color w:val="595959" w:themeColor="text1" w:themeTint="A6"/>
                                <w:sz w:val="18"/>
                                <w:szCs w:val="18"/>
                                <w:lang w:val="pt-BR"/>
                              </w:rPr>
                              <w:t xml:space="preserve"> </w:t>
                            </w:r>
                            <w:r w:rsidRPr="00500F83">
                              <w:rPr>
                                <w:rFonts w:asciiTheme="majorHAnsi" w:hAnsiTheme="majorHAnsi"/>
                                <w:color w:val="595959" w:themeColor="text1" w:themeTint="A6"/>
                                <w:sz w:val="18"/>
                                <w:szCs w:val="18"/>
                              </w:rPr>
                              <w:t xml:space="preserve">Case 12.963, Merits, Alejandro Nissen Pessolani, Paraguay, </w:t>
                            </w:r>
                            <w:r w:rsidR="00401302">
                              <w:rPr>
                                <w:rFonts w:asciiTheme="majorHAnsi" w:hAnsiTheme="majorHAnsi"/>
                                <w:color w:val="595959" w:themeColor="text1" w:themeTint="A6"/>
                                <w:sz w:val="18"/>
                                <w:szCs w:val="18"/>
                              </w:rPr>
                              <w:t>October 29,</w:t>
                            </w:r>
                            <w:r w:rsidRPr="00500F83">
                              <w:rPr>
                                <w:rFonts w:asciiTheme="majorHAnsi" w:hAnsiTheme="majorHAnsi"/>
                                <w:color w:val="595959" w:themeColor="text1" w:themeTint="A6"/>
                                <w:sz w:val="18"/>
                                <w:szCs w:val="18"/>
                              </w:rPr>
                              <w:t xml:space="preserve"> 2020.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7C7B4"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5463FBB4" w14:textId="114A6A32" w:rsidR="00E10F82" w:rsidRPr="00500F83" w:rsidRDefault="00E10F82" w:rsidP="00113F73">
                      <w:pPr>
                        <w:spacing w:line="276" w:lineRule="auto"/>
                        <w:rPr>
                          <w:rFonts w:asciiTheme="majorHAnsi" w:hAnsiTheme="majorHAnsi"/>
                          <w:color w:val="595959" w:themeColor="text1" w:themeTint="A6"/>
                          <w:sz w:val="18"/>
                          <w:szCs w:val="18"/>
                        </w:rPr>
                      </w:pPr>
                      <w:r>
                        <w:rPr>
                          <w:rFonts w:asciiTheme="majorHAnsi" w:hAnsiTheme="majorHAnsi"/>
                          <w:b/>
                          <w:color w:val="595959" w:themeColor="text1" w:themeTint="A6"/>
                          <w:sz w:val="18"/>
                          <w:szCs w:val="18"/>
                          <w:lang w:val="pt-BR"/>
                        </w:rPr>
                        <w:t>Cite as</w:t>
                      </w:r>
                      <w:r w:rsidRPr="0022273F">
                        <w:rPr>
                          <w:rFonts w:asciiTheme="majorHAnsi" w:hAnsiTheme="majorHAnsi"/>
                          <w:b/>
                          <w:color w:val="595959" w:themeColor="text1" w:themeTint="A6"/>
                          <w:sz w:val="18"/>
                          <w:szCs w:val="18"/>
                          <w:lang w:val="pt-BR"/>
                        </w:rPr>
                        <w:t>:</w:t>
                      </w:r>
                      <w:r w:rsidRPr="0022273F">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pt-BR"/>
                        </w:rPr>
                        <w:t xml:space="preserve">IACHR, Report </w:t>
                      </w:r>
                      <w:r w:rsidRPr="0022273F">
                        <w:rPr>
                          <w:rFonts w:asciiTheme="majorHAnsi" w:hAnsiTheme="majorHAnsi"/>
                          <w:color w:val="595959" w:themeColor="text1" w:themeTint="A6"/>
                          <w:sz w:val="18"/>
                          <w:szCs w:val="18"/>
                          <w:lang w:val="pt-BR"/>
                        </w:rPr>
                        <w:t>No.</w:t>
                      </w:r>
                      <w:r w:rsidR="00401302">
                        <w:rPr>
                          <w:rFonts w:asciiTheme="majorHAnsi" w:hAnsiTheme="majorHAnsi"/>
                          <w:color w:val="595959" w:themeColor="text1" w:themeTint="A6"/>
                          <w:sz w:val="18"/>
                          <w:szCs w:val="18"/>
                          <w:lang w:val="pt-BR"/>
                        </w:rPr>
                        <w:t xml:space="preserve"> 301/20</w:t>
                      </w:r>
                      <w:r>
                        <w:rPr>
                          <w:rFonts w:asciiTheme="majorHAnsi" w:hAnsiTheme="majorHAnsi"/>
                          <w:color w:val="595959" w:themeColor="text1" w:themeTint="A6"/>
                          <w:sz w:val="18"/>
                          <w:szCs w:val="18"/>
                          <w:lang w:val="pt-BR"/>
                        </w:rPr>
                        <w:t>,</w:t>
                      </w:r>
                      <w:r w:rsidRPr="0022273F">
                        <w:rPr>
                          <w:rFonts w:asciiTheme="majorHAnsi" w:hAnsiTheme="majorHAnsi"/>
                          <w:color w:val="595959" w:themeColor="text1" w:themeTint="A6"/>
                          <w:sz w:val="18"/>
                          <w:szCs w:val="18"/>
                          <w:lang w:val="pt-BR"/>
                        </w:rPr>
                        <w:t xml:space="preserve"> </w:t>
                      </w:r>
                      <w:r w:rsidRPr="00500F83">
                        <w:rPr>
                          <w:rFonts w:asciiTheme="majorHAnsi" w:hAnsiTheme="majorHAnsi"/>
                          <w:color w:val="595959" w:themeColor="text1" w:themeTint="A6"/>
                          <w:sz w:val="18"/>
                          <w:szCs w:val="18"/>
                        </w:rPr>
                        <w:t xml:space="preserve">Case 12.963, Merits, Alejandro Nissen Pessolani, Paraguay, </w:t>
                      </w:r>
                      <w:r w:rsidR="00401302">
                        <w:rPr>
                          <w:rFonts w:asciiTheme="majorHAnsi" w:hAnsiTheme="majorHAnsi"/>
                          <w:color w:val="595959" w:themeColor="text1" w:themeTint="A6"/>
                          <w:sz w:val="18"/>
                          <w:szCs w:val="18"/>
                        </w:rPr>
                        <w:t>October 29,</w:t>
                      </w:r>
                      <w:r w:rsidRPr="00500F83">
                        <w:rPr>
                          <w:rFonts w:asciiTheme="majorHAnsi" w:hAnsiTheme="majorHAnsi"/>
                          <w:color w:val="595959" w:themeColor="text1" w:themeTint="A6"/>
                          <w:sz w:val="18"/>
                          <w:szCs w:val="18"/>
                        </w:rPr>
                        <w:t xml:space="preserve"> 2020. </w:t>
                      </w:r>
                    </w:p>
                  </w:txbxContent>
                </v:textbox>
              </v:shape>
            </w:pict>
          </mc:Fallback>
        </mc:AlternateContent>
      </w:r>
    </w:p>
    <w:p w14:paraId="3DA1A1F0" w14:textId="77777777" w:rsidR="00A50FCF" w:rsidRPr="00766381" w:rsidRDefault="00A50FCF" w:rsidP="00040C3A">
      <w:pPr>
        <w:tabs>
          <w:tab w:val="center" w:pos="5400"/>
        </w:tabs>
        <w:suppressAutoHyphens/>
        <w:jc w:val="center"/>
        <w:rPr>
          <w:rFonts w:asciiTheme="majorHAnsi" w:hAnsiTheme="majorHAnsi"/>
          <w:sz w:val="18"/>
          <w:szCs w:val="22"/>
          <w:lang w:val="es-ES_tradnl"/>
        </w:rPr>
      </w:pPr>
    </w:p>
    <w:p w14:paraId="7CCE54FE" w14:textId="77777777" w:rsidR="0090270B" w:rsidRPr="00766381" w:rsidRDefault="00D306D1" w:rsidP="005516A1">
      <w:pPr>
        <w:tabs>
          <w:tab w:val="center" w:pos="5400"/>
        </w:tabs>
        <w:suppressAutoHyphens/>
        <w:jc w:val="center"/>
        <w:rPr>
          <w:rFonts w:asciiTheme="majorHAnsi" w:hAnsiTheme="majorHAnsi"/>
          <w:b/>
          <w:sz w:val="20"/>
          <w:lang w:val="es-ES_tradnl"/>
        </w:rPr>
      </w:pPr>
      <w:r w:rsidRPr="00766381">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28F0B792" wp14:editId="35BF204D">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BAB2C37" w14:textId="77777777" w:rsidR="00E10F82" w:rsidRPr="00D72DC6" w:rsidRDefault="00E10F82" w:rsidP="00F02AD1">
                            <w:pPr>
                              <w:rPr>
                                <w:color w:val="FFFFFF" w:themeColor="background1"/>
                                <w14:textFill>
                                  <w14:noFill/>
                                </w14:textFill>
                              </w:rPr>
                            </w:pPr>
                            <w:r>
                              <w:rPr>
                                <w:noProof/>
                                <w:color w:val="FFFFFF" w:themeColor="background1"/>
                              </w:rPr>
                              <w:drawing>
                                <wp:inline distT="0" distB="0" distL="0" distR="0" wp14:anchorId="23E7D5BF" wp14:editId="0FFFD3A3">
                                  <wp:extent cx="1658203" cy="4265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1725" cy="42743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0B792"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3BAB2C37" w14:textId="77777777" w:rsidR="00E10F82" w:rsidRPr="00D72DC6" w:rsidRDefault="00E10F82" w:rsidP="00F02AD1">
                      <w:pPr>
                        <w:rPr>
                          <w:color w:val="FFFFFF" w:themeColor="background1"/>
                          <w14:textFill>
                            <w14:noFill/>
                          </w14:textFill>
                        </w:rPr>
                      </w:pPr>
                      <w:r>
                        <w:rPr>
                          <w:noProof/>
                          <w:color w:val="FFFFFF" w:themeColor="background1"/>
                        </w:rPr>
                        <w:drawing>
                          <wp:inline distT="0" distB="0" distL="0" distR="0" wp14:anchorId="23E7D5BF" wp14:editId="0FFFD3A3">
                            <wp:extent cx="1658203" cy="4265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61725" cy="427433"/>
                                    </a:xfrm>
                                    <a:prstGeom prst="rect">
                                      <a:avLst/>
                                    </a:prstGeom>
                                  </pic:spPr>
                                </pic:pic>
                              </a:graphicData>
                            </a:graphic>
                          </wp:inline>
                        </w:drawing>
                      </w:r>
                    </w:p>
                  </w:txbxContent>
                </v:textbox>
              </v:shape>
            </w:pict>
          </mc:Fallback>
        </mc:AlternateContent>
      </w:r>
      <w:r w:rsidRPr="00766381">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046EFA9" wp14:editId="3C64D706">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FBD2A5" w14:textId="77777777" w:rsidR="00E10F82" w:rsidRPr="004B7EB6" w:rsidRDefault="00E10F8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6EFA9"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1FFBD2A5" w14:textId="77777777" w:rsidR="00E10F82" w:rsidRPr="004B7EB6" w:rsidRDefault="00E10F82"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29F8831" w14:textId="77777777" w:rsidR="0070697F" w:rsidRPr="00766381" w:rsidRDefault="0070697F" w:rsidP="00032214">
      <w:pPr>
        <w:tabs>
          <w:tab w:val="center" w:pos="5400"/>
        </w:tabs>
        <w:suppressAutoHyphens/>
        <w:rPr>
          <w:rFonts w:asciiTheme="majorHAnsi" w:hAnsiTheme="majorHAnsi"/>
          <w:b/>
          <w:sz w:val="20"/>
          <w:lang w:val="es-ES_tradnl"/>
        </w:rPr>
        <w:sectPr w:rsidR="0070697F" w:rsidRPr="00766381"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0D387348" w14:textId="77777777" w:rsidR="00722C9F" w:rsidRPr="00766381" w:rsidRDefault="00722C9F" w:rsidP="00032214">
      <w:pPr>
        <w:tabs>
          <w:tab w:val="center" w:pos="5400"/>
        </w:tabs>
        <w:suppressAutoHyphens/>
        <w:spacing w:line="276" w:lineRule="auto"/>
        <w:rPr>
          <w:rFonts w:asciiTheme="majorHAnsi" w:hAnsiTheme="majorHAnsi"/>
          <w:sz w:val="18"/>
          <w:szCs w:val="20"/>
          <w:lang w:val="es-ES_tradnl"/>
        </w:rPr>
      </w:pPr>
    </w:p>
    <w:p w14:paraId="49AB3C77" w14:textId="77777777" w:rsidR="00722C9F" w:rsidRPr="00766381" w:rsidRDefault="00722C9F" w:rsidP="00722C9F">
      <w:pPr>
        <w:tabs>
          <w:tab w:val="center" w:pos="5400"/>
        </w:tabs>
        <w:suppressAutoHyphens/>
        <w:spacing w:line="276" w:lineRule="auto"/>
        <w:jc w:val="center"/>
        <w:rPr>
          <w:rFonts w:asciiTheme="majorHAnsi" w:hAnsiTheme="majorHAnsi"/>
          <w:b/>
          <w:sz w:val="20"/>
          <w:szCs w:val="20"/>
          <w:lang w:val="es-ES_tradnl"/>
        </w:rPr>
      </w:pPr>
      <w:r w:rsidRPr="00766381">
        <w:rPr>
          <w:rFonts w:asciiTheme="majorHAnsi" w:hAnsiTheme="majorHAnsi"/>
          <w:b/>
          <w:sz w:val="20"/>
          <w:szCs w:val="20"/>
          <w:lang w:val="es-ES_tradnl"/>
        </w:rPr>
        <w:t>ÍNDICE</w:t>
      </w:r>
    </w:p>
    <w:p w14:paraId="493B7A9F" w14:textId="77777777" w:rsidR="008D768D" w:rsidRPr="00766381" w:rsidRDefault="008D768D" w:rsidP="006125C3">
      <w:pPr>
        <w:tabs>
          <w:tab w:val="center" w:pos="5400"/>
        </w:tabs>
        <w:suppressAutoHyphens/>
        <w:spacing w:line="276" w:lineRule="auto"/>
        <w:rPr>
          <w:rFonts w:asciiTheme="majorHAnsi" w:hAnsiTheme="majorHAnsi"/>
          <w:sz w:val="20"/>
          <w:szCs w:val="20"/>
          <w:lang w:val="es-ES_tradnl"/>
        </w:rPr>
      </w:pPr>
    </w:p>
    <w:p w14:paraId="09DBF3FE" w14:textId="77777777" w:rsidR="00E909AA" w:rsidRPr="00766381" w:rsidRDefault="00E909AA" w:rsidP="00E909AA">
      <w:pPr>
        <w:suppressAutoHyphens/>
        <w:rPr>
          <w:rFonts w:asciiTheme="majorHAnsi" w:hAnsiTheme="majorHAnsi"/>
          <w:b/>
          <w:sz w:val="20"/>
          <w:szCs w:val="20"/>
          <w:lang w:val="es-ES_tradnl"/>
        </w:rPr>
      </w:pPr>
    </w:p>
    <w:sdt>
      <w:sdtPr>
        <w:rPr>
          <w:rFonts w:ascii="Times New Roman" w:eastAsia="Arial Unicode MS" w:hAnsi="Times New Roman" w:cs="Times New Roman"/>
          <w:color w:val="auto"/>
          <w:sz w:val="24"/>
          <w:szCs w:val="24"/>
          <w:bdr w:val="nil"/>
        </w:rPr>
        <w:id w:val="-1043598323"/>
        <w:docPartObj>
          <w:docPartGallery w:val="Table of Contents"/>
          <w:docPartUnique/>
        </w:docPartObj>
      </w:sdtPr>
      <w:sdtEndPr>
        <w:rPr>
          <w:b/>
          <w:bCs/>
          <w:noProof/>
        </w:rPr>
      </w:sdtEndPr>
      <w:sdtContent>
        <w:p w14:paraId="562BFCA9" w14:textId="77777777" w:rsidR="00AF48C1" w:rsidRPr="00766381" w:rsidRDefault="00AF48C1">
          <w:pPr>
            <w:pStyle w:val="TOCHeading"/>
          </w:pPr>
          <w:r w:rsidRPr="00766381">
            <w:t>Contents</w:t>
          </w:r>
        </w:p>
        <w:p w14:paraId="7088D1BC" w14:textId="70B7AEBF" w:rsidR="00AF48C1" w:rsidRPr="00766381" w:rsidRDefault="00AF48C1" w:rsidP="00AF48C1">
          <w:pPr>
            <w:pStyle w:val="TOC1"/>
            <w:rPr>
              <w:rFonts w:eastAsiaTheme="minorEastAsia" w:cstheme="minorBidi"/>
              <w:noProof/>
              <w:bdr w:val="none" w:sz="0" w:space="0" w:color="auto"/>
            </w:rPr>
          </w:pPr>
          <w:r w:rsidRPr="00766381">
            <w:fldChar w:fldCharType="begin"/>
          </w:r>
          <w:r w:rsidRPr="00766381">
            <w:instrText xml:space="preserve"> TOC \o "1-3" \h \z \u </w:instrText>
          </w:r>
          <w:r w:rsidRPr="00766381">
            <w:fldChar w:fldCharType="separate"/>
          </w:r>
          <w:hyperlink w:anchor="_Toc42595058" w:history="1">
            <w:r w:rsidRPr="00766381">
              <w:rPr>
                <w:rStyle w:val="Hyperlink"/>
                <w:rFonts w:ascii="Cambria" w:hAnsi="Cambria"/>
                <w:b/>
                <w:noProof/>
                <w:sz w:val="20"/>
                <w:szCs w:val="20"/>
              </w:rPr>
              <w:t>I.</w:t>
            </w:r>
            <w:r w:rsidRPr="00766381">
              <w:rPr>
                <w:rFonts w:eastAsiaTheme="minorEastAsia" w:cstheme="minorBidi"/>
                <w:b/>
                <w:noProof/>
                <w:bdr w:val="none" w:sz="0" w:space="0" w:color="auto"/>
              </w:rPr>
              <w:tab/>
            </w:r>
            <w:r w:rsidR="005C0F12">
              <w:rPr>
                <w:rStyle w:val="Hyperlink"/>
                <w:rFonts w:ascii="Cambria" w:hAnsi="Cambria"/>
                <w:b/>
                <w:noProof/>
                <w:sz w:val="20"/>
                <w:szCs w:val="20"/>
              </w:rPr>
              <w:t>INTRODUCTION</w:t>
            </w:r>
            <w:r w:rsidRPr="00766381">
              <w:rPr>
                <w:noProof/>
                <w:webHidden/>
              </w:rPr>
              <w:tab/>
            </w:r>
            <w:r w:rsidRPr="00766381">
              <w:rPr>
                <w:noProof/>
                <w:webHidden/>
              </w:rPr>
              <w:fldChar w:fldCharType="begin"/>
            </w:r>
            <w:r w:rsidRPr="00766381">
              <w:rPr>
                <w:noProof/>
                <w:webHidden/>
              </w:rPr>
              <w:instrText xml:space="preserve"> PAGEREF _Toc42595058 \h </w:instrText>
            </w:r>
            <w:r w:rsidRPr="00766381">
              <w:rPr>
                <w:noProof/>
                <w:webHidden/>
              </w:rPr>
              <w:fldChar w:fldCharType="separate"/>
            </w:r>
            <w:r w:rsidR="00A56611">
              <w:rPr>
                <w:b/>
                <w:bCs/>
                <w:noProof/>
                <w:webHidden/>
              </w:rPr>
              <w:t>Error! Bookmark not defined.</w:t>
            </w:r>
            <w:r w:rsidRPr="00766381">
              <w:rPr>
                <w:noProof/>
                <w:webHidden/>
              </w:rPr>
              <w:fldChar w:fldCharType="end"/>
            </w:r>
          </w:hyperlink>
        </w:p>
        <w:p w14:paraId="4BE2FA2E" w14:textId="1A4CC38A" w:rsidR="00AF48C1" w:rsidRPr="00766381" w:rsidRDefault="00A56611" w:rsidP="00AF48C1">
          <w:pPr>
            <w:pStyle w:val="TOC1"/>
            <w:rPr>
              <w:rFonts w:eastAsiaTheme="minorEastAsia" w:cstheme="minorBidi"/>
              <w:noProof/>
              <w:bdr w:val="none" w:sz="0" w:space="0" w:color="auto"/>
            </w:rPr>
          </w:pPr>
          <w:hyperlink w:anchor="_Toc42595059" w:history="1">
            <w:r w:rsidR="00AF48C1" w:rsidRPr="00766381">
              <w:rPr>
                <w:rStyle w:val="Hyperlink"/>
                <w:rFonts w:ascii="Cambria" w:hAnsi="Cambria"/>
                <w:b/>
                <w:noProof/>
                <w:sz w:val="20"/>
                <w:szCs w:val="20"/>
              </w:rPr>
              <w:t>II.</w:t>
            </w:r>
            <w:r w:rsidR="00AF48C1" w:rsidRPr="00766381">
              <w:rPr>
                <w:rFonts w:eastAsiaTheme="minorEastAsia" w:cstheme="minorBidi"/>
                <w:b/>
                <w:noProof/>
                <w:bdr w:val="none" w:sz="0" w:space="0" w:color="auto"/>
              </w:rPr>
              <w:tab/>
            </w:r>
            <w:r w:rsidR="005C0F12">
              <w:rPr>
                <w:rStyle w:val="Hyperlink"/>
                <w:rFonts w:ascii="Cambria" w:hAnsi="Cambria"/>
                <w:b/>
                <w:noProof/>
                <w:sz w:val="20"/>
                <w:szCs w:val="20"/>
              </w:rPr>
              <w:t>POSITIONS OF THE PARTIES</w:t>
            </w:r>
            <w:r w:rsidR="00AF48C1" w:rsidRPr="00766381">
              <w:rPr>
                <w:noProof/>
                <w:webHidden/>
              </w:rPr>
              <w:tab/>
            </w:r>
            <w:r w:rsidR="00AF48C1" w:rsidRPr="00766381">
              <w:rPr>
                <w:noProof/>
                <w:webHidden/>
              </w:rPr>
              <w:fldChar w:fldCharType="begin"/>
            </w:r>
            <w:r w:rsidR="00AF48C1" w:rsidRPr="00766381">
              <w:rPr>
                <w:noProof/>
                <w:webHidden/>
              </w:rPr>
              <w:instrText xml:space="preserve"> PAGEREF _Toc42595059 \h </w:instrText>
            </w:r>
            <w:r w:rsidR="00AF48C1" w:rsidRPr="00766381">
              <w:rPr>
                <w:noProof/>
                <w:webHidden/>
              </w:rPr>
              <w:fldChar w:fldCharType="separate"/>
            </w:r>
            <w:r>
              <w:rPr>
                <w:b/>
                <w:bCs/>
                <w:noProof/>
                <w:webHidden/>
              </w:rPr>
              <w:t>Error! Bookmark not defined.</w:t>
            </w:r>
            <w:r w:rsidR="00AF48C1" w:rsidRPr="00766381">
              <w:rPr>
                <w:noProof/>
                <w:webHidden/>
              </w:rPr>
              <w:fldChar w:fldCharType="end"/>
            </w:r>
          </w:hyperlink>
        </w:p>
        <w:p w14:paraId="5DA48B4E" w14:textId="3911D3EA" w:rsidR="00AF48C1" w:rsidRPr="00766381" w:rsidRDefault="00A56611" w:rsidP="00AF48C1">
          <w:pPr>
            <w:pStyle w:val="TOC2"/>
            <w:jc w:val="both"/>
            <w:rPr>
              <w:rFonts w:ascii="Cambria" w:eastAsiaTheme="minorEastAsia" w:hAnsi="Cambria" w:cstheme="minorBidi"/>
              <w:noProof/>
              <w:sz w:val="20"/>
              <w:szCs w:val="20"/>
              <w:bdr w:val="none" w:sz="0" w:space="0" w:color="auto"/>
            </w:rPr>
          </w:pPr>
          <w:hyperlink w:anchor="_Toc42595060" w:history="1">
            <w:r w:rsidR="00AF48C1" w:rsidRPr="00766381">
              <w:rPr>
                <w:rStyle w:val="Hyperlink"/>
                <w:rFonts w:ascii="Cambria" w:hAnsi="Cambria"/>
                <w:noProof/>
                <w:sz w:val="20"/>
                <w:szCs w:val="20"/>
              </w:rPr>
              <w:t>A. P</w:t>
            </w:r>
            <w:r w:rsidR="005C0F12">
              <w:rPr>
                <w:rStyle w:val="Hyperlink"/>
                <w:rFonts w:ascii="Cambria" w:hAnsi="Cambria"/>
                <w:noProof/>
                <w:sz w:val="20"/>
                <w:szCs w:val="20"/>
              </w:rPr>
              <w:t>etitioners</w:t>
            </w:r>
            <w:r w:rsidR="00AF48C1" w:rsidRPr="00766381">
              <w:rPr>
                <w:rFonts w:ascii="Cambria" w:hAnsi="Cambria"/>
                <w:noProof/>
                <w:webHidden/>
                <w:sz w:val="20"/>
                <w:szCs w:val="20"/>
              </w:rPr>
              <w:tab/>
            </w:r>
            <w:r w:rsidR="00AF48C1" w:rsidRPr="00766381">
              <w:rPr>
                <w:rFonts w:ascii="Cambria" w:hAnsi="Cambria"/>
                <w:noProof/>
                <w:webHidden/>
                <w:sz w:val="20"/>
                <w:szCs w:val="20"/>
              </w:rPr>
              <w:fldChar w:fldCharType="begin"/>
            </w:r>
            <w:r w:rsidR="00AF48C1" w:rsidRPr="00766381">
              <w:rPr>
                <w:rFonts w:ascii="Cambria" w:hAnsi="Cambria"/>
                <w:noProof/>
                <w:webHidden/>
                <w:sz w:val="20"/>
                <w:szCs w:val="20"/>
              </w:rPr>
              <w:instrText xml:space="preserve"> PAGEREF _Toc42595060 \h </w:instrText>
            </w:r>
            <w:r w:rsidR="00AF48C1" w:rsidRPr="00766381">
              <w:rPr>
                <w:rFonts w:ascii="Cambria" w:hAnsi="Cambria"/>
                <w:noProof/>
                <w:webHidden/>
                <w:sz w:val="20"/>
                <w:szCs w:val="20"/>
              </w:rPr>
            </w:r>
            <w:r w:rsidR="00AF48C1" w:rsidRPr="00766381">
              <w:rPr>
                <w:rFonts w:ascii="Cambria" w:hAnsi="Cambria"/>
                <w:noProof/>
                <w:webHidden/>
                <w:sz w:val="20"/>
                <w:szCs w:val="20"/>
              </w:rPr>
              <w:fldChar w:fldCharType="separate"/>
            </w:r>
            <w:r>
              <w:rPr>
                <w:rFonts w:ascii="Cambria" w:hAnsi="Cambria"/>
                <w:noProof/>
                <w:webHidden/>
                <w:sz w:val="20"/>
                <w:szCs w:val="20"/>
              </w:rPr>
              <w:t>2</w:t>
            </w:r>
            <w:r w:rsidR="00AF48C1" w:rsidRPr="00766381">
              <w:rPr>
                <w:rFonts w:ascii="Cambria" w:hAnsi="Cambria"/>
                <w:noProof/>
                <w:webHidden/>
                <w:sz w:val="20"/>
                <w:szCs w:val="20"/>
              </w:rPr>
              <w:fldChar w:fldCharType="end"/>
            </w:r>
          </w:hyperlink>
        </w:p>
        <w:p w14:paraId="0C810BF3" w14:textId="7CBB07A4" w:rsidR="00AF48C1" w:rsidRPr="00766381" w:rsidRDefault="00A56611" w:rsidP="00AF48C1">
          <w:pPr>
            <w:pStyle w:val="TOC2"/>
            <w:jc w:val="both"/>
            <w:rPr>
              <w:rFonts w:ascii="Cambria" w:eastAsiaTheme="minorEastAsia" w:hAnsi="Cambria" w:cstheme="minorBidi"/>
              <w:noProof/>
              <w:sz w:val="20"/>
              <w:szCs w:val="20"/>
              <w:bdr w:val="none" w:sz="0" w:space="0" w:color="auto"/>
            </w:rPr>
          </w:pPr>
          <w:hyperlink w:anchor="_Toc42595061" w:history="1">
            <w:r w:rsidR="00AF48C1" w:rsidRPr="00766381">
              <w:rPr>
                <w:rStyle w:val="Hyperlink"/>
                <w:rFonts w:ascii="Cambria" w:hAnsi="Cambria"/>
                <w:noProof/>
                <w:sz w:val="20"/>
                <w:szCs w:val="20"/>
              </w:rPr>
              <w:t xml:space="preserve">B. </w:t>
            </w:r>
            <w:r w:rsidR="005C0F12">
              <w:rPr>
                <w:rStyle w:val="Hyperlink"/>
                <w:rFonts w:ascii="Cambria" w:hAnsi="Cambria"/>
                <w:noProof/>
                <w:sz w:val="20"/>
                <w:szCs w:val="20"/>
              </w:rPr>
              <w:t>State……………</w:t>
            </w:r>
            <w:r w:rsidR="00AF48C1" w:rsidRPr="00766381">
              <w:rPr>
                <w:rFonts w:ascii="Cambria" w:hAnsi="Cambria"/>
                <w:noProof/>
                <w:webHidden/>
                <w:sz w:val="20"/>
                <w:szCs w:val="20"/>
              </w:rPr>
              <w:tab/>
            </w:r>
            <w:r w:rsidR="00AF48C1" w:rsidRPr="00766381">
              <w:rPr>
                <w:rFonts w:ascii="Cambria" w:hAnsi="Cambria"/>
                <w:noProof/>
                <w:webHidden/>
                <w:sz w:val="20"/>
                <w:szCs w:val="20"/>
              </w:rPr>
              <w:fldChar w:fldCharType="begin"/>
            </w:r>
            <w:r w:rsidR="00AF48C1" w:rsidRPr="00766381">
              <w:rPr>
                <w:rFonts w:ascii="Cambria" w:hAnsi="Cambria"/>
                <w:noProof/>
                <w:webHidden/>
                <w:sz w:val="20"/>
                <w:szCs w:val="20"/>
              </w:rPr>
              <w:instrText xml:space="preserve"> PAGEREF _Toc42595061 \h </w:instrText>
            </w:r>
            <w:r w:rsidR="00AF48C1" w:rsidRPr="00766381">
              <w:rPr>
                <w:rFonts w:ascii="Cambria" w:hAnsi="Cambria"/>
                <w:noProof/>
                <w:webHidden/>
                <w:sz w:val="20"/>
                <w:szCs w:val="20"/>
              </w:rPr>
            </w:r>
            <w:r w:rsidR="00AF48C1" w:rsidRPr="00766381">
              <w:rPr>
                <w:rFonts w:ascii="Cambria" w:hAnsi="Cambria"/>
                <w:noProof/>
                <w:webHidden/>
                <w:sz w:val="20"/>
                <w:szCs w:val="20"/>
              </w:rPr>
              <w:fldChar w:fldCharType="separate"/>
            </w:r>
            <w:r>
              <w:rPr>
                <w:rFonts w:ascii="Cambria" w:hAnsi="Cambria"/>
                <w:noProof/>
                <w:webHidden/>
                <w:sz w:val="20"/>
                <w:szCs w:val="20"/>
              </w:rPr>
              <w:t>4</w:t>
            </w:r>
            <w:r w:rsidR="00AF48C1" w:rsidRPr="00766381">
              <w:rPr>
                <w:rFonts w:ascii="Cambria" w:hAnsi="Cambria"/>
                <w:noProof/>
                <w:webHidden/>
                <w:sz w:val="20"/>
                <w:szCs w:val="20"/>
              </w:rPr>
              <w:fldChar w:fldCharType="end"/>
            </w:r>
          </w:hyperlink>
        </w:p>
        <w:p w14:paraId="4DB4303C" w14:textId="445F562B" w:rsidR="00AF48C1" w:rsidRPr="00766381" w:rsidRDefault="00A56611" w:rsidP="00AF48C1">
          <w:pPr>
            <w:pStyle w:val="TOC1"/>
            <w:rPr>
              <w:rFonts w:eastAsiaTheme="minorEastAsia" w:cstheme="minorBidi"/>
              <w:noProof/>
              <w:bdr w:val="none" w:sz="0" w:space="0" w:color="auto"/>
            </w:rPr>
          </w:pPr>
          <w:hyperlink w:anchor="_Toc42595062" w:history="1">
            <w:r w:rsidR="00AF48C1" w:rsidRPr="00766381">
              <w:rPr>
                <w:rStyle w:val="Hyperlink"/>
                <w:rFonts w:ascii="Cambria" w:hAnsi="Cambria"/>
                <w:b/>
                <w:noProof/>
                <w:sz w:val="20"/>
                <w:szCs w:val="20"/>
              </w:rPr>
              <w:t>III.</w:t>
            </w:r>
            <w:r w:rsidR="00AF48C1" w:rsidRPr="00766381">
              <w:rPr>
                <w:rFonts w:eastAsiaTheme="minorEastAsia" w:cstheme="minorBidi"/>
                <w:b/>
                <w:noProof/>
                <w:bdr w:val="none" w:sz="0" w:space="0" w:color="auto"/>
              </w:rPr>
              <w:tab/>
            </w:r>
            <w:r w:rsidR="00831074">
              <w:rPr>
                <w:rStyle w:val="Hyperlink"/>
                <w:rFonts w:ascii="Cambria" w:hAnsi="Cambria"/>
                <w:b/>
                <w:noProof/>
                <w:sz w:val="20"/>
                <w:szCs w:val="20"/>
              </w:rPr>
              <w:t>DETERMINATIONS</w:t>
            </w:r>
            <w:r w:rsidR="005C0F12">
              <w:rPr>
                <w:rStyle w:val="Hyperlink"/>
                <w:rFonts w:ascii="Cambria" w:hAnsi="Cambria"/>
                <w:b/>
                <w:noProof/>
                <w:sz w:val="20"/>
                <w:szCs w:val="20"/>
              </w:rPr>
              <w:t xml:space="preserve"> OF FACT</w:t>
            </w:r>
            <w:r w:rsidR="00AF48C1" w:rsidRPr="00766381">
              <w:rPr>
                <w:noProof/>
                <w:webHidden/>
              </w:rPr>
              <w:tab/>
            </w:r>
            <w:r w:rsidR="00AF48C1" w:rsidRPr="00766381">
              <w:rPr>
                <w:noProof/>
                <w:webHidden/>
              </w:rPr>
              <w:fldChar w:fldCharType="begin"/>
            </w:r>
            <w:r w:rsidR="00AF48C1" w:rsidRPr="00766381">
              <w:rPr>
                <w:noProof/>
                <w:webHidden/>
              </w:rPr>
              <w:instrText xml:space="preserve"> PAGEREF _Toc42595062 \h </w:instrText>
            </w:r>
            <w:r w:rsidR="00AF48C1" w:rsidRPr="00766381">
              <w:rPr>
                <w:noProof/>
                <w:webHidden/>
              </w:rPr>
            </w:r>
            <w:r w:rsidR="00AF48C1" w:rsidRPr="00766381">
              <w:rPr>
                <w:noProof/>
                <w:webHidden/>
              </w:rPr>
              <w:fldChar w:fldCharType="separate"/>
            </w:r>
            <w:r>
              <w:rPr>
                <w:noProof/>
                <w:webHidden/>
              </w:rPr>
              <w:t>4</w:t>
            </w:r>
            <w:r w:rsidR="00AF48C1" w:rsidRPr="00766381">
              <w:rPr>
                <w:noProof/>
                <w:webHidden/>
              </w:rPr>
              <w:fldChar w:fldCharType="end"/>
            </w:r>
          </w:hyperlink>
        </w:p>
        <w:p w14:paraId="14AB482A" w14:textId="06F20431" w:rsidR="00AF48C1" w:rsidRPr="00766381" w:rsidRDefault="00A56611" w:rsidP="00AF48C1">
          <w:pPr>
            <w:pStyle w:val="TOC2"/>
            <w:jc w:val="both"/>
            <w:rPr>
              <w:rFonts w:ascii="Cambria" w:eastAsiaTheme="minorEastAsia" w:hAnsi="Cambria" w:cstheme="minorBidi"/>
              <w:noProof/>
              <w:sz w:val="20"/>
              <w:szCs w:val="20"/>
              <w:bdr w:val="none" w:sz="0" w:space="0" w:color="auto"/>
            </w:rPr>
          </w:pPr>
          <w:hyperlink w:anchor="_Toc42595063" w:history="1">
            <w:r w:rsidR="00AF48C1" w:rsidRPr="00766381">
              <w:rPr>
                <w:rStyle w:val="Hyperlink"/>
                <w:rFonts w:ascii="Cambria" w:hAnsi="Cambria"/>
                <w:noProof/>
                <w:sz w:val="20"/>
                <w:szCs w:val="20"/>
              </w:rPr>
              <w:t xml:space="preserve">A. </w:t>
            </w:r>
            <w:r w:rsidR="00AF48C1" w:rsidRPr="00766381">
              <w:rPr>
                <w:rFonts w:ascii="Cambria" w:eastAsiaTheme="minorEastAsia" w:hAnsi="Cambria" w:cstheme="minorBidi"/>
                <w:noProof/>
                <w:sz w:val="20"/>
                <w:szCs w:val="20"/>
                <w:bdr w:val="none" w:sz="0" w:space="0" w:color="auto"/>
              </w:rPr>
              <w:tab/>
            </w:r>
            <w:r w:rsidR="00831074">
              <w:rPr>
                <w:rStyle w:val="Hyperlink"/>
                <w:rFonts w:ascii="Cambria" w:hAnsi="Cambria"/>
                <w:noProof/>
                <w:sz w:val="20"/>
                <w:szCs w:val="20"/>
              </w:rPr>
              <w:t>Relevant</w:t>
            </w:r>
            <w:r w:rsidR="00AF48C1" w:rsidRPr="00766381">
              <w:rPr>
                <w:rStyle w:val="Hyperlink"/>
                <w:rFonts w:ascii="Cambria" w:hAnsi="Cambria"/>
                <w:noProof/>
                <w:sz w:val="20"/>
                <w:szCs w:val="20"/>
              </w:rPr>
              <w:t xml:space="preserve"> </w:t>
            </w:r>
            <w:r w:rsidR="005C0F12">
              <w:rPr>
                <w:rStyle w:val="Hyperlink"/>
                <w:rFonts w:ascii="Cambria" w:hAnsi="Cambria"/>
                <w:noProof/>
                <w:sz w:val="20"/>
                <w:szCs w:val="20"/>
              </w:rPr>
              <w:t>legal framework</w:t>
            </w:r>
            <w:r w:rsidR="00AF48C1" w:rsidRPr="00766381">
              <w:rPr>
                <w:rFonts w:ascii="Cambria" w:hAnsi="Cambria"/>
                <w:noProof/>
                <w:webHidden/>
                <w:sz w:val="20"/>
                <w:szCs w:val="20"/>
              </w:rPr>
              <w:tab/>
            </w:r>
            <w:r w:rsidR="00AF48C1" w:rsidRPr="00766381">
              <w:rPr>
                <w:rFonts w:ascii="Cambria" w:hAnsi="Cambria"/>
                <w:noProof/>
                <w:webHidden/>
                <w:sz w:val="20"/>
                <w:szCs w:val="20"/>
              </w:rPr>
              <w:fldChar w:fldCharType="begin"/>
            </w:r>
            <w:r w:rsidR="00AF48C1" w:rsidRPr="00766381">
              <w:rPr>
                <w:rFonts w:ascii="Cambria" w:hAnsi="Cambria"/>
                <w:noProof/>
                <w:webHidden/>
                <w:sz w:val="20"/>
                <w:szCs w:val="20"/>
              </w:rPr>
              <w:instrText xml:space="preserve"> PAGEREF _Toc42595063 \h </w:instrText>
            </w:r>
            <w:r w:rsidR="00AF48C1" w:rsidRPr="00766381">
              <w:rPr>
                <w:rFonts w:ascii="Cambria" w:hAnsi="Cambria"/>
                <w:noProof/>
                <w:webHidden/>
                <w:sz w:val="20"/>
                <w:szCs w:val="20"/>
              </w:rPr>
            </w:r>
            <w:r w:rsidR="00AF48C1" w:rsidRPr="00766381">
              <w:rPr>
                <w:rFonts w:ascii="Cambria" w:hAnsi="Cambria"/>
                <w:noProof/>
                <w:webHidden/>
                <w:sz w:val="20"/>
                <w:szCs w:val="20"/>
              </w:rPr>
              <w:fldChar w:fldCharType="separate"/>
            </w:r>
            <w:r>
              <w:rPr>
                <w:rFonts w:ascii="Cambria" w:hAnsi="Cambria"/>
                <w:noProof/>
                <w:webHidden/>
                <w:sz w:val="20"/>
                <w:szCs w:val="20"/>
              </w:rPr>
              <w:t>4</w:t>
            </w:r>
            <w:r w:rsidR="00AF48C1" w:rsidRPr="00766381">
              <w:rPr>
                <w:rFonts w:ascii="Cambria" w:hAnsi="Cambria"/>
                <w:noProof/>
                <w:webHidden/>
                <w:sz w:val="20"/>
                <w:szCs w:val="20"/>
              </w:rPr>
              <w:fldChar w:fldCharType="end"/>
            </w:r>
          </w:hyperlink>
        </w:p>
        <w:p w14:paraId="09FC28FC" w14:textId="0A8CDADA" w:rsidR="00AF48C1" w:rsidRPr="00766381" w:rsidRDefault="00A56611" w:rsidP="00AF48C1">
          <w:pPr>
            <w:pStyle w:val="TOC2"/>
            <w:jc w:val="both"/>
            <w:rPr>
              <w:rFonts w:ascii="Cambria" w:eastAsiaTheme="minorEastAsia" w:hAnsi="Cambria" w:cstheme="minorBidi"/>
              <w:noProof/>
              <w:sz w:val="20"/>
              <w:szCs w:val="20"/>
              <w:bdr w:val="none" w:sz="0" w:space="0" w:color="auto"/>
            </w:rPr>
          </w:pPr>
          <w:hyperlink w:anchor="_Toc42595064" w:history="1">
            <w:r w:rsidR="00AF48C1" w:rsidRPr="00766381">
              <w:rPr>
                <w:rStyle w:val="Hyperlink"/>
                <w:rFonts w:ascii="Cambria" w:hAnsi="Cambria"/>
                <w:bCs/>
                <w:iCs/>
                <w:noProof/>
                <w:sz w:val="20"/>
                <w:szCs w:val="20"/>
              </w:rPr>
              <w:t xml:space="preserve">B. </w:t>
            </w:r>
            <w:r w:rsidR="00AF48C1" w:rsidRPr="00766381">
              <w:rPr>
                <w:rFonts w:ascii="Cambria" w:eastAsiaTheme="minorEastAsia" w:hAnsi="Cambria" w:cstheme="minorBidi"/>
                <w:noProof/>
                <w:sz w:val="20"/>
                <w:szCs w:val="20"/>
                <w:bdr w:val="none" w:sz="0" w:space="0" w:color="auto"/>
              </w:rPr>
              <w:tab/>
            </w:r>
            <w:r w:rsidR="005C0F12">
              <w:rPr>
                <w:rStyle w:val="Hyperlink"/>
                <w:rFonts w:ascii="Cambria" w:hAnsi="Cambria"/>
                <w:noProof/>
                <w:sz w:val="20"/>
                <w:szCs w:val="20"/>
              </w:rPr>
              <w:t>Facts of the case</w:t>
            </w:r>
            <w:r w:rsidR="00AF48C1" w:rsidRPr="00766381">
              <w:rPr>
                <w:rFonts w:ascii="Cambria" w:hAnsi="Cambria"/>
                <w:noProof/>
                <w:webHidden/>
                <w:sz w:val="20"/>
                <w:szCs w:val="20"/>
              </w:rPr>
              <w:tab/>
            </w:r>
            <w:r w:rsidR="00AF48C1" w:rsidRPr="00766381">
              <w:rPr>
                <w:rFonts w:ascii="Cambria" w:hAnsi="Cambria"/>
                <w:noProof/>
                <w:webHidden/>
                <w:sz w:val="20"/>
                <w:szCs w:val="20"/>
              </w:rPr>
              <w:fldChar w:fldCharType="begin"/>
            </w:r>
            <w:r w:rsidR="00AF48C1" w:rsidRPr="00766381">
              <w:rPr>
                <w:rFonts w:ascii="Cambria" w:hAnsi="Cambria"/>
                <w:noProof/>
                <w:webHidden/>
                <w:sz w:val="20"/>
                <w:szCs w:val="20"/>
              </w:rPr>
              <w:instrText xml:space="preserve"> PAGEREF _Toc42595064 \h </w:instrText>
            </w:r>
            <w:r w:rsidR="00AF48C1" w:rsidRPr="00766381">
              <w:rPr>
                <w:rFonts w:ascii="Cambria" w:hAnsi="Cambria"/>
                <w:noProof/>
                <w:webHidden/>
                <w:sz w:val="20"/>
                <w:szCs w:val="20"/>
              </w:rPr>
            </w:r>
            <w:r w:rsidR="00AF48C1" w:rsidRPr="00766381">
              <w:rPr>
                <w:rFonts w:ascii="Cambria" w:hAnsi="Cambria"/>
                <w:noProof/>
                <w:webHidden/>
                <w:sz w:val="20"/>
                <w:szCs w:val="20"/>
              </w:rPr>
              <w:fldChar w:fldCharType="separate"/>
            </w:r>
            <w:r>
              <w:rPr>
                <w:rFonts w:ascii="Cambria" w:hAnsi="Cambria"/>
                <w:noProof/>
                <w:webHidden/>
                <w:sz w:val="20"/>
                <w:szCs w:val="20"/>
              </w:rPr>
              <w:t>7</w:t>
            </w:r>
            <w:r w:rsidR="00AF48C1" w:rsidRPr="00766381">
              <w:rPr>
                <w:rFonts w:ascii="Cambria" w:hAnsi="Cambria"/>
                <w:noProof/>
                <w:webHidden/>
                <w:sz w:val="20"/>
                <w:szCs w:val="20"/>
              </w:rPr>
              <w:fldChar w:fldCharType="end"/>
            </w:r>
          </w:hyperlink>
        </w:p>
        <w:p w14:paraId="29BD0817" w14:textId="245AEE6C" w:rsidR="00AF48C1" w:rsidRPr="00766381" w:rsidRDefault="00A56611" w:rsidP="00AF48C1">
          <w:pPr>
            <w:pStyle w:val="TOC3"/>
            <w:jc w:val="both"/>
            <w:rPr>
              <w:rFonts w:ascii="Cambria" w:eastAsiaTheme="minorEastAsia" w:hAnsi="Cambria" w:cstheme="minorBidi"/>
              <w:noProof/>
              <w:sz w:val="20"/>
              <w:szCs w:val="20"/>
              <w:bdr w:val="none" w:sz="0" w:space="0" w:color="auto"/>
            </w:rPr>
          </w:pPr>
          <w:hyperlink w:anchor="_Toc42595065" w:history="1">
            <w:r w:rsidR="00AF48C1" w:rsidRPr="00766381">
              <w:rPr>
                <w:rStyle w:val="Hyperlink"/>
                <w:rFonts w:ascii="Cambria" w:hAnsi="Cambria"/>
                <w:noProof/>
                <w:sz w:val="20"/>
                <w:szCs w:val="20"/>
                <w:lang w:val="es-ES_tradnl"/>
              </w:rPr>
              <w:t xml:space="preserve">1. </w:t>
            </w:r>
            <w:r w:rsidR="00500F83" w:rsidRPr="00500F83">
              <w:rPr>
                <w:rStyle w:val="Hyperlink"/>
                <w:rFonts w:ascii="Cambria" w:hAnsi="Cambria"/>
                <w:noProof/>
                <w:sz w:val="20"/>
                <w:szCs w:val="20"/>
                <w:lang w:val="es-VE"/>
              </w:rPr>
              <w:t>Alejandro Nissen Pessolani</w:t>
            </w:r>
            <w:r w:rsidR="00500F83">
              <w:rPr>
                <w:rStyle w:val="Hyperlink"/>
                <w:rFonts w:ascii="Cambria" w:hAnsi="Cambria"/>
                <w:noProof/>
                <w:sz w:val="20"/>
                <w:szCs w:val="20"/>
                <w:lang w:val="es-VE"/>
              </w:rPr>
              <w:t>’s appointment and the investigations undertaken</w:t>
            </w:r>
            <w:r w:rsidR="00AF48C1" w:rsidRPr="00766381">
              <w:rPr>
                <w:rFonts w:ascii="Cambria" w:hAnsi="Cambria"/>
                <w:noProof/>
                <w:webHidden/>
                <w:sz w:val="20"/>
                <w:szCs w:val="20"/>
              </w:rPr>
              <w:tab/>
            </w:r>
            <w:r w:rsidR="00AF48C1" w:rsidRPr="00766381">
              <w:rPr>
                <w:rFonts w:ascii="Cambria" w:hAnsi="Cambria"/>
                <w:noProof/>
                <w:webHidden/>
                <w:sz w:val="20"/>
                <w:szCs w:val="20"/>
              </w:rPr>
              <w:fldChar w:fldCharType="begin"/>
            </w:r>
            <w:r w:rsidR="00AF48C1" w:rsidRPr="00766381">
              <w:rPr>
                <w:rFonts w:ascii="Cambria" w:hAnsi="Cambria"/>
                <w:noProof/>
                <w:webHidden/>
                <w:sz w:val="20"/>
                <w:szCs w:val="20"/>
              </w:rPr>
              <w:instrText xml:space="preserve"> PAGEREF _Toc42595065 \h </w:instrText>
            </w:r>
            <w:r w:rsidR="00AF48C1" w:rsidRPr="00766381">
              <w:rPr>
                <w:rFonts w:ascii="Cambria" w:hAnsi="Cambria"/>
                <w:noProof/>
                <w:webHidden/>
                <w:sz w:val="20"/>
                <w:szCs w:val="20"/>
              </w:rPr>
            </w:r>
            <w:r w:rsidR="00AF48C1" w:rsidRPr="00766381">
              <w:rPr>
                <w:rFonts w:ascii="Cambria" w:hAnsi="Cambria"/>
                <w:noProof/>
                <w:webHidden/>
                <w:sz w:val="20"/>
                <w:szCs w:val="20"/>
              </w:rPr>
              <w:fldChar w:fldCharType="separate"/>
            </w:r>
            <w:r>
              <w:rPr>
                <w:rFonts w:ascii="Cambria" w:hAnsi="Cambria"/>
                <w:noProof/>
                <w:webHidden/>
                <w:sz w:val="20"/>
                <w:szCs w:val="20"/>
              </w:rPr>
              <w:t>7</w:t>
            </w:r>
            <w:r w:rsidR="00AF48C1" w:rsidRPr="00766381">
              <w:rPr>
                <w:rFonts w:ascii="Cambria" w:hAnsi="Cambria"/>
                <w:noProof/>
                <w:webHidden/>
                <w:sz w:val="20"/>
                <w:szCs w:val="20"/>
              </w:rPr>
              <w:fldChar w:fldCharType="end"/>
            </w:r>
          </w:hyperlink>
        </w:p>
        <w:p w14:paraId="53EC2B34" w14:textId="00D0C750" w:rsidR="00AF48C1" w:rsidRPr="00766381" w:rsidRDefault="00A56611" w:rsidP="00AF48C1">
          <w:pPr>
            <w:pStyle w:val="TOC3"/>
            <w:jc w:val="both"/>
            <w:rPr>
              <w:rFonts w:ascii="Cambria" w:eastAsiaTheme="minorEastAsia" w:hAnsi="Cambria" w:cstheme="minorBidi"/>
              <w:noProof/>
              <w:sz w:val="20"/>
              <w:szCs w:val="20"/>
              <w:bdr w:val="none" w:sz="0" w:space="0" w:color="auto"/>
            </w:rPr>
          </w:pPr>
          <w:hyperlink w:anchor="_Toc42595066" w:history="1">
            <w:r w:rsidR="00AF48C1" w:rsidRPr="00766381">
              <w:rPr>
                <w:rStyle w:val="Hyperlink"/>
                <w:rFonts w:ascii="Cambria" w:hAnsi="Cambria"/>
                <w:noProof/>
                <w:sz w:val="20"/>
                <w:szCs w:val="20"/>
                <w:lang w:val="es-ES"/>
              </w:rPr>
              <w:t xml:space="preserve">2. </w:t>
            </w:r>
            <w:r w:rsidR="00500F83">
              <w:rPr>
                <w:rStyle w:val="Hyperlink"/>
                <w:rFonts w:ascii="Cambria" w:hAnsi="Cambria"/>
                <w:noProof/>
                <w:sz w:val="20"/>
                <w:szCs w:val="20"/>
                <w:lang w:val="es-ES"/>
              </w:rPr>
              <w:t>First disciplinary case brought against the alleged victim</w:t>
            </w:r>
            <w:r w:rsidR="00AF48C1" w:rsidRPr="00766381">
              <w:rPr>
                <w:rFonts w:ascii="Cambria" w:hAnsi="Cambria"/>
                <w:noProof/>
                <w:webHidden/>
                <w:sz w:val="20"/>
                <w:szCs w:val="20"/>
              </w:rPr>
              <w:tab/>
            </w:r>
            <w:r w:rsidR="00AF48C1" w:rsidRPr="00766381">
              <w:rPr>
                <w:rFonts w:ascii="Cambria" w:hAnsi="Cambria"/>
                <w:noProof/>
                <w:webHidden/>
                <w:sz w:val="20"/>
                <w:szCs w:val="20"/>
              </w:rPr>
              <w:fldChar w:fldCharType="begin"/>
            </w:r>
            <w:r w:rsidR="00AF48C1" w:rsidRPr="00766381">
              <w:rPr>
                <w:rFonts w:ascii="Cambria" w:hAnsi="Cambria"/>
                <w:noProof/>
                <w:webHidden/>
                <w:sz w:val="20"/>
                <w:szCs w:val="20"/>
              </w:rPr>
              <w:instrText xml:space="preserve"> PAGEREF _Toc42595066 \h </w:instrText>
            </w:r>
            <w:r w:rsidR="00AF48C1" w:rsidRPr="00766381">
              <w:rPr>
                <w:rFonts w:ascii="Cambria" w:hAnsi="Cambria"/>
                <w:noProof/>
                <w:webHidden/>
                <w:sz w:val="20"/>
                <w:szCs w:val="20"/>
              </w:rPr>
            </w:r>
            <w:r w:rsidR="00AF48C1" w:rsidRPr="00766381">
              <w:rPr>
                <w:rFonts w:ascii="Cambria" w:hAnsi="Cambria"/>
                <w:noProof/>
                <w:webHidden/>
                <w:sz w:val="20"/>
                <w:szCs w:val="20"/>
              </w:rPr>
              <w:fldChar w:fldCharType="separate"/>
            </w:r>
            <w:r>
              <w:rPr>
                <w:rFonts w:ascii="Cambria" w:hAnsi="Cambria"/>
                <w:noProof/>
                <w:webHidden/>
                <w:sz w:val="20"/>
                <w:szCs w:val="20"/>
              </w:rPr>
              <w:t>8</w:t>
            </w:r>
            <w:r w:rsidR="00AF48C1" w:rsidRPr="00766381">
              <w:rPr>
                <w:rFonts w:ascii="Cambria" w:hAnsi="Cambria"/>
                <w:noProof/>
                <w:webHidden/>
                <w:sz w:val="20"/>
                <w:szCs w:val="20"/>
              </w:rPr>
              <w:fldChar w:fldCharType="end"/>
            </w:r>
          </w:hyperlink>
        </w:p>
        <w:p w14:paraId="2642435B" w14:textId="5F2A369F" w:rsidR="00AF48C1" w:rsidRPr="00766381" w:rsidRDefault="00A56611" w:rsidP="00AF48C1">
          <w:pPr>
            <w:pStyle w:val="TOC3"/>
            <w:jc w:val="both"/>
            <w:rPr>
              <w:rFonts w:ascii="Cambria" w:eastAsiaTheme="minorEastAsia" w:hAnsi="Cambria" w:cstheme="minorBidi"/>
              <w:noProof/>
              <w:sz w:val="20"/>
              <w:szCs w:val="20"/>
              <w:bdr w:val="none" w:sz="0" w:space="0" w:color="auto"/>
            </w:rPr>
          </w:pPr>
          <w:hyperlink w:anchor="_Toc42595067" w:history="1">
            <w:r w:rsidR="00AF48C1" w:rsidRPr="00766381">
              <w:rPr>
                <w:rStyle w:val="Hyperlink"/>
                <w:rFonts w:ascii="Cambria" w:hAnsi="Cambria"/>
                <w:noProof/>
                <w:sz w:val="20"/>
                <w:szCs w:val="20"/>
                <w:lang w:val="es-MX"/>
              </w:rPr>
              <w:t xml:space="preserve">3. </w:t>
            </w:r>
            <w:r w:rsidR="008E0900">
              <w:rPr>
                <w:rStyle w:val="Hyperlink"/>
                <w:rFonts w:ascii="Cambria" w:hAnsi="Cambria"/>
                <w:noProof/>
                <w:sz w:val="20"/>
                <w:szCs w:val="20"/>
                <w:lang w:val="es-MX"/>
              </w:rPr>
              <w:t>Second complaint filed against the alleged victim</w:t>
            </w:r>
            <w:r w:rsidR="00AF48C1" w:rsidRPr="00766381">
              <w:rPr>
                <w:rFonts w:ascii="Cambria" w:hAnsi="Cambria"/>
                <w:noProof/>
                <w:webHidden/>
                <w:sz w:val="20"/>
                <w:szCs w:val="20"/>
              </w:rPr>
              <w:tab/>
            </w:r>
            <w:r w:rsidR="00AF48C1" w:rsidRPr="00766381">
              <w:rPr>
                <w:rFonts w:ascii="Cambria" w:hAnsi="Cambria"/>
                <w:noProof/>
                <w:webHidden/>
                <w:sz w:val="20"/>
                <w:szCs w:val="20"/>
              </w:rPr>
              <w:fldChar w:fldCharType="begin"/>
            </w:r>
            <w:r w:rsidR="00AF48C1" w:rsidRPr="00766381">
              <w:rPr>
                <w:rFonts w:ascii="Cambria" w:hAnsi="Cambria"/>
                <w:noProof/>
                <w:webHidden/>
                <w:sz w:val="20"/>
                <w:szCs w:val="20"/>
              </w:rPr>
              <w:instrText xml:space="preserve"> PAGEREF _Toc42595067 \h </w:instrText>
            </w:r>
            <w:r w:rsidR="00AF48C1" w:rsidRPr="00766381">
              <w:rPr>
                <w:rFonts w:ascii="Cambria" w:hAnsi="Cambria"/>
                <w:noProof/>
                <w:webHidden/>
                <w:sz w:val="20"/>
                <w:szCs w:val="20"/>
              </w:rPr>
            </w:r>
            <w:r w:rsidR="00AF48C1" w:rsidRPr="00766381">
              <w:rPr>
                <w:rFonts w:ascii="Cambria" w:hAnsi="Cambria"/>
                <w:noProof/>
                <w:webHidden/>
                <w:sz w:val="20"/>
                <w:szCs w:val="20"/>
              </w:rPr>
              <w:fldChar w:fldCharType="separate"/>
            </w:r>
            <w:r>
              <w:rPr>
                <w:rFonts w:ascii="Cambria" w:hAnsi="Cambria"/>
                <w:noProof/>
                <w:webHidden/>
                <w:sz w:val="20"/>
                <w:szCs w:val="20"/>
              </w:rPr>
              <w:t>10</w:t>
            </w:r>
            <w:r w:rsidR="00AF48C1" w:rsidRPr="00766381">
              <w:rPr>
                <w:rFonts w:ascii="Cambria" w:hAnsi="Cambria"/>
                <w:noProof/>
                <w:webHidden/>
                <w:sz w:val="20"/>
                <w:szCs w:val="20"/>
              </w:rPr>
              <w:fldChar w:fldCharType="end"/>
            </w:r>
          </w:hyperlink>
        </w:p>
        <w:p w14:paraId="571ECF40" w14:textId="164C576E" w:rsidR="00AF48C1" w:rsidRPr="00766381" w:rsidRDefault="00A56611" w:rsidP="00AF48C1">
          <w:pPr>
            <w:pStyle w:val="TOC3"/>
            <w:jc w:val="both"/>
            <w:rPr>
              <w:rFonts w:ascii="Cambria" w:eastAsiaTheme="minorEastAsia" w:hAnsi="Cambria" w:cstheme="minorBidi"/>
              <w:noProof/>
              <w:sz w:val="20"/>
              <w:szCs w:val="20"/>
              <w:bdr w:val="none" w:sz="0" w:space="0" w:color="auto"/>
            </w:rPr>
          </w:pPr>
          <w:hyperlink w:anchor="_Toc42595068" w:history="1">
            <w:r w:rsidR="00AF48C1" w:rsidRPr="00766381">
              <w:rPr>
                <w:rStyle w:val="Hyperlink"/>
                <w:rFonts w:ascii="Cambria" w:hAnsi="Cambria"/>
                <w:noProof/>
                <w:sz w:val="20"/>
                <w:szCs w:val="20"/>
                <w:lang w:val="es-MX"/>
              </w:rPr>
              <w:t xml:space="preserve">4. </w:t>
            </w:r>
            <w:r w:rsidR="008E0900">
              <w:rPr>
                <w:rStyle w:val="Hyperlink"/>
                <w:rFonts w:ascii="Cambria" w:hAnsi="Cambria"/>
                <w:noProof/>
                <w:sz w:val="20"/>
                <w:szCs w:val="20"/>
                <w:lang w:val="es-MX"/>
              </w:rPr>
              <w:t>Action of unconstitutionality brought by the alleged victim</w:t>
            </w:r>
            <w:r w:rsidR="00AF48C1" w:rsidRPr="00766381">
              <w:rPr>
                <w:rFonts w:ascii="Cambria" w:hAnsi="Cambria"/>
                <w:noProof/>
                <w:webHidden/>
                <w:sz w:val="20"/>
                <w:szCs w:val="20"/>
              </w:rPr>
              <w:tab/>
            </w:r>
            <w:r w:rsidR="00AF48C1" w:rsidRPr="00766381">
              <w:rPr>
                <w:rFonts w:ascii="Cambria" w:hAnsi="Cambria"/>
                <w:noProof/>
                <w:webHidden/>
                <w:sz w:val="20"/>
                <w:szCs w:val="20"/>
              </w:rPr>
              <w:fldChar w:fldCharType="begin"/>
            </w:r>
            <w:r w:rsidR="00AF48C1" w:rsidRPr="00766381">
              <w:rPr>
                <w:rFonts w:ascii="Cambria" w:hAnsi="Cambria"/>
                <w:noProof/>
                <w:webHidden/>
                <w:sz w:val="20"/>
                <w:szCs w:val="20"/>
              </w:rPr>
              <w:instrText xml:space="preserve"> PAGEREF _Toc42595068 \h </w:instrText>
            </w:r>
            <w:r w:rsidR="00AF48C1" w:rsidRPr="00766381">
              <w:rPr>
                <w:rFonts w:ascii="Cambria" w:hAnsi="Cambria"/>
                <w:noProof/>
                <w:webHidden/>
                <w:sz w:val="20"/>
                <w:szCs w:val="20"/>
              </w:rPr>
            </w:r>
            <w:r w:rsidR="00AF48C1" w:rsidRPr="00766381">
              <w:rPr>
                <w:rFonts w:ascii="Cambria" w:hAnsi="Cambria"/>
                <w:noProof/>
                <w:webHidden/>
                <w:sz w:val="20"/>
                <w:szCs w:val="20"/>
              </w:rPr>
              <w:fldChar w:fldCharType="separate"/>
            </w:r>
            <w:r>
              <w:rPr>
                <w:rFonts w:ascii="Cambria" w:hAnsi="Cambria"/>
                <w:noProof/>
                <w:webHidden/>
                <w:sz w:val="20"/>
                <w:szCs w:val="20"/>
              </w:rPr>
              <w:t>10</w:t>
            </w:r>
            <w:r w:rsidR="00AF48C1" w:rsidRPr="00766381">
              <w:rPr>
                <w:rFonts w:ascii="Cambria" w:hAnsi="Cambria"/>
                <w:noProof/>
                <w:webHidden/>
                <w:sz w:val="20"/>
                <w:szCs w:val="20"/>
              </w:rPr>
              <w:fldChar w:fldCharType="end"/>
            </w:r>
          </w:hyperlink>
        </w:p>
        <w:p w14:paraId="5401B83E" w14:textId="0437B309" w:rsidR="00AF48C1" w:rsidRPr="00766381" w:rsidRDefault="00A56611" w:rsidP="00AF48C1">
          <w:pPr>
            <w:pStyle w:val="TOC1"/>
            <w:rPr>
              <w:rFonts w:eastAsiaTheme="minorEastAsia" w:cstheme="minorBidi"/>
              <w:noProof/>
              <w:bdr w:val="none" w:sz="0" w:space="0" w:color="auto"/>
            </w:rPr>
          </w:pPr>
          <w:hyperlink w:anchor="_Toc42595069" w:history="1">
            <w:r w:rsidR="00AF48C1" w:rsidRPr="00766381">
              <w:rPr>
                <w:rStyle w:val="Hyperlink"/>
                <w:rFonts w:ascii="Cambria" w:hAnsi="Cambria"/>
                <w:b/>
                <w:noProof/>
                <w:sz w:val="20"/>
                <w:szCs w:val="20"/>
              </w:rPr>
              <w:t>IV.</w:t>
            </w:r>
            <w:r w:rsidR="00AF48C1" w:rsidRPr="00766381">
              <w:rPr>
                <w:rFonts w:eastAsiaTheme="minorEastAsia" w:cstheme="minorBidi"/>
                <w:b/>
                <w:noProof/>
                <w:bdr w:val="none" w:sz="0" w:space="0" w:color="auto"/>
              </w:rPr>
              <w:tab/>
            </w:r>
            <w:r w:rsidR="00AF48C1" w:rsidRPr="00766381">
              <w:rPr>
                <w:rStyle w:val="Hyperlink"/>
                <w:rFonts w:ascii="Cambria" w:hAnsi="Cambria"/>
                <w:b/>
                <w:noProof/>
                <w:sz w:val="20"/>
                <w:szCs w:val="20"/>
              </w:rPr>
              <w:t>A</w:t>
            </w:r>
            <w:r w:rsidR="008E0900">
              <w:rPr>
                <w:rStyle w:val="Hyperlink"/>
                <w:rFonts w:ascii="Cambria" w:hAnsi="Cambria"/>
                <w:b/>
                <w:noProof/>
                <w:sz w:val="20"/>
                <w:szCs w:val="20"/>
              </w:rPr>
              <w:t>NALYSIS OF LAW</w:t>
            </w:r>
            <w:r w:rsidR="00AF48C1" w:rsidRPr="00766381">
              <w:rPr>
                <w:noProof/>
                <w:webHidden/>
              </w:rPr>
              <w:tab/>
            </w:r>
            <w:r w:rsidR="00AF48C1" w:rsidRPr="00766381">
              <w:rPr>
                <w:noProof/>
                <w:webHidden/>
              </w:rPr>
              <w:fldChar w:fldCharType="begin"/>
            </w:r>
            <w:r w:rsidR="00AF48C1" w:rsidRPr="00766381">
              <w:rPr>
                <w:noProof/>
                <w:webHidden/>
              </w:rPr>
              <w:instrText xml:space="preserve"> PAGEREF _Toc42595069 \h </w:instrText>
            </w:r>
            <w:r w:rsidR="00AF48C1" w:rsidRPr="00766381">
              <w:rPr>
                <w:noProof/>
                <w:webHidden/>
              </w:rPr>
              <w:fldChar w:fldCharType="separate"/>
            </w:r>
            <w:r>
              <w:rPr>
                <w:b/>
                <w:bCs/>
                <w:noProof/>
                <w:webHidden/>
              </w:rPr>
              <w:t>Error! Bookmark not defined.</w:t>
            </w:r>
            <w:r w:rsidR="00AF48C1" w:rsidRPr="00766381">
              <w:rPr>
                <w:noProof/>
                <w:webHidden/>
              </w:rPr>
              <w:fldChar w:fldCharType="end"/>
            </w:r>
          </w:hyperlink>
        </w:p>
        <w:p w14:paraId="6106153D" w14:textId="01DFCD33" w:rsidR="00AF48C1" w:rsidRPr="00766381" w:rsidRDefault="00A56611" w:rsidP="00AF48C1">
          <w:pPr>
            <w:pStyle w:val="TOC2"/>
            <w:jc w:val="both"/>
            <w:rPr>
              <w:rFonts w:ascii="Cambria" w:eastAsiaTheme="minorEastAsia" w:hAnsi="Cambria" w:cstheme="minorBidi"/>
              <w:noProof/>
              <w:sz w:val="20"/>
              <w:szCs w:val="20"/>
              <w:bdr w:val="none" w:sz="0" w:space="0" w:color="auto"/>
            </w:rPr>
          </w:pPr>
          <w:hyperlink w:anchor="_Toc42595070" w:history="1">
            <w:r w:rsidR="00AF48C1" w:rsidRPr="00766381">
              <w:rPr>
                <w:rStyle w:val="Hyperlink"/>
                <w:rFonts w:ascii="Cambria" w:hAnsi="Cambria"/>
                <w:noProof/>
                <w:sz w:val="20"/>
                <w:szCs w:val="20"/>
              </w:rPr>
              <w:t xml:space="preserve">1. </w:t>
            </w:r>
            <w:r w:rsidR="008E0900">
              <w:rPr>
                <w:rStyle w:val="Hyperlink"/>
                <w:rFonts w:ascii="Cambria" w:hAnsi="Cambria"/>
                <w:noProof/>
                <w:sz w:val="20"/>
                <w:szCs w:val="20"/>
              </w:rPr>
              <w:t xml:space="preserve">General considerations on applicable guarantees and the principle of </w:t>
            </w:r>
            <w:r w:rsidR="00AF48C1" w:rsidRPr="00766381">
              <w:rPr>
                <w:rStyle w:val="Hyperlink"/>
                <w:rFonts w:ascii="Cambria" w:hAnsi="Cambria"/>
                <w:noProof/>
                <w:sz w:val="20"/>
                <w:szCs w:val="20"/>
              </w:rPr>
              <w:t>judicial</w:t>
            </w:r>
            <w:r w:rsidR="008E0900">
              <w:rPr>
                <w:rStyle w:val="Hyperlink"/>
                <w:rFonts w:ascii="Cambria" w:hAnsi="Cambria"/>
                <w:noProof/>
                <w:sz w:val="20"/>
                <w:szCs w:val="20"/>
              </w:rPr>
              <w:t xml:space="preserve"> independence</w:t>
            </w:r>
            <w:r w:rsidR="00AF48C1" w:rsidRPr="00766381">
              <w:rPr>
                <w:rFonts w:ascii="Cambria" w:hAnsi="Cambria"/>
                <w:noProof/>
                <w:webHidden/>
                <w:sz w:val="20"/>
                <w:szCs w:val="20"/>
              </w:rPr>
              <w:tab/>
            </w:r>
            <w:r w:rsidR="00AF48C1" w:rsidRPr="00766381">
              <w:rPr>
                <w:rFonts w:ascii="Cambria" w:hAnsi="Cambria"/>
                <w:noProof/>
                <w:webHidden/>
                <w:sz w:val="20"/>
                <w:szCs w:val="20"/>
              </w:rPr>
              <w:fldChar w:fldCharType="begin"/>
            </w:r>
            <w:r w:rsidR="00AF48C1" w:rsidRPr="00766381">
              <w:rPr>
                <w:rFonts w:ascii="Cambria" w:hAnsi="Cambria"/>
                <w:noProof/>
                <w:webHidden/>
                <w:sz w:val="20"/>
                <w:szCs w:val="20"/>
              </w:rPr>
              <w:instrText xml:space="preserve"> PAGEREF _Toc42595070 \h </w:instrText>
            </w:r>
            <w:r w:rsidR="00AF48C1" w:rsidRPr="00766381">
              <w:rPr>
                <w:rFonts w:ascii="Cambria" w:hAnsi="Cambria"/>
                <w:noProof/>
                <w:webHidden/>
                <w:sz w:val="20"/>
                <w:szCs w:val="20"/>
              </w:rPr>
            </w:r>
            <w:r w:rsidR="00AF48C1" w:rsidRPr="00766381">
              <w:rPr>
                <w:rFonts w:ascii="Cambria" w:hAnsi="Cambria"/>
                <w:noProof/>
                <w:webHidden/>
                <w:sz w:val="20"/>
                <w:szCs w:val="20"/>
              </w:rPr>
              <w:fldChar w:fldCharType="separate"/>
            </w:r>
            <w:r>
              <w:rPr>
                <w:rFonts w:ascii="Cambria" w:hAnsi="Cambria"/>
                <w:noProof/>
                <w:webHidden/>
                <w:sz w:val="20"/>
                <w:szCs w:val="20"/>
              </w:rPr>
              <w:t>12</w:t>
            </w:r>
            <w:r w:rsidR="00AF48C1" w:rsidRPr="00766381">
              <w:rPr>
                <w:rFonts w:ascii="Cambria" w:hAnsi="Cambria"/>
                <w:noProof/>
                <w:webHidden/>
                <w:sz w:val="20"/>
                <w:szCs w:val="20"/>
              </w:rPr>
              <w:fldChar w:fldCharType="end"/>
            </w:r>
          </w:hyperlink>
        </w:p>
        <w:p w14:paraId="4169A285" w14:textId="1C5E275E" w:rsidR="00AF48C1" w:rsidRPr="00766381" w:rsidRDefault="00A56611" w:rsidP="00AF48C1">
          <w:pPr>
            <w:pStyle w:val="TOC2"/>
            <w:jc w:val="both"/>
            <w:rPr>
              <w:rFonts w:ascii="Cambria" w:eastAsiaTheme="minorEastAsia" w:hAnsi="Cambria" w:cstheme="minorBidi"/>
              <w:noProof/>
              <w:sz w:val="20"/>
              <w:szCs w:val="20"/>
              <w:bdr w:val="none" w:sz="0" w:space="0" w:color="auto"/>
            </w:rPr>
          </w:pPr>
          <w:hyperlink w:anchor="_Toc42595071" w:history="1">
            <w:r w:rsidR="00AF48C1" w:rsidRPr="00766381">
              <w:rPr>
                <w:rStyle w:val="Hyperlink"/>
                <w:rFonts w:ascii="Cambria" w:hAnsi="Cambria"/>
                <w:noProof/>
                <w:sz w:val="20"/>
                <w:szCs w:val="20"/>
              </w:rPr>
              <w:t xml:space="preserve">2. </w:t>
            </w:r>
            <w:r w:rsidR="008E0900">
              <w:rPr>
                <w:rStyle w:val="Hyperlink"/>
                <w:rFonts w:ascii="Cambria" w:hAnsi="Cambria"/>
                <w:noProof/>
                <w:sz w:val="20"/>
                <w:szCs w:val="20"/>
              </w:rPr>
              <w:t>The right to a competent, independent, and impartial tribunal</w:t>
            </w:r>
            <w:r w:rsidR="00AF48C1" w:rsidRPr="00766381">
              <w:rPr>
                <w:rFonts w:ascii="Cambria" w:hAnsi="Cambria"/>
                <w:noProof/>
                <w:webHidden/>
                <w:sz w:val="20"/>
                <w:szCs w:val="20"/>
              </w:rPr>
              <w:tab/>
            </w:r>
            <w:r w:rsidR="00AF48C1" w:rsidRPr="00766381">
              <w:rPr>
                <w:rFonts w:ascii="Cambria" w:hAnsi="Cambria"/>
                <w:noProof/>
                <w:webHidden/>
                <w:sz w:val="20"/>
                <w:szCs w:val="20"/>
              </w:rPr>
              <w:fldChar w:fldCharType="begin"/>
            </w:r>
            <w:r w:rsidR="00AF48C1" w:rsidRPr="00766381">
              <w:rPr>
                <w:rFonts w:ascii="Cambria" w:hAnsi="Cambria"/>
                <w:noProof/>
                <w:webHidden/>
                <w:sz w:val="20"/>
                <w:szCs w:val="20"/>
              </w:rPr>
              <w:instrText xml:space="preserve"> PAGEREF _Toc42595071 \h </w:instrText>
            </w:r>
            <w:r w:rsidR="00AF48C1" w:rsidRPr="00766381">
              <w:rPr>
                <w:rFonts w:ascii="Cambria" w:hAnsi="Cambria"/>
                <w:noProof/>
                <w:webHidden/>
                <w:sz w:val="20"/>
                <w:szCs w:val="20"/>
              </w:rPr>
            </w:r>
            <w:r w:rsidR="00AF48C1" w:rsidRPr="00766381">
              <w:rPr>
                <w:rFonts w:ascii="Cambria" w:hAnsi="Cambria"/>
                <w:noProof/>
                <w:webHidden/>
                <w:sz w:val="20"/>
                <w:szCs w:val="20"/>
              </w:rPr>
              <w:fldChar w:fldCharType="separate"/>
            </w:r>
            <w:r>
              <w:rPr>
                <w:rFonts w:ascii="Cambria" w:hAnsi="Cambria"/>
                <w:noProof/>
                <w:webHidden/>
                <w:sz w:val="20"/>
                <w:szCs w:val="20"/>
              </w:rPr>
              <w:t>13</w:t>
            </w:r>
            <w:r w:rsidR="00AF48C1" w:rsidRPr="00766381">
              <w:rPr>
                <w:rFonts w:ascii="Cambria" w:hAnsi="Cambria"/>
                <w:noProof/>
                <w:webHidden/>
                <w:sz w:val="20"/>
                <w:szCs w:val="20"/>
              </w:rPr>
              <w:fldChar w:fldCharType="end"/>
            </w:r>
          </w:hyperlink>
        </w:p>
        <w:p w14:paraId="0C8CAE99" w14:textId="526CBF43" w:rsidR="00AF48C1" w:rsidRPr="00766381" w:rsidRDefault="00A56611" w:rsidP="00AF48C1">
          <w:pPr>
            <w:pStyle w:val="TOC2"/>
            <w:jc w:val="both"/>
            <w:rPr>
              <w:rFonts w:ascii="Cambria" w:eastAsiaTheme="minorEastAsia" w:hAnsi="Cambria" w:cstheme="minorBidi"/>
              <w:noProof/>
              <w:sz w:val="20"/>
              <w:szCs w:val="20"/>
              <w:bdr w:val="none" w:sz="0" w:space="0" w:color="auto"/>
            </w:rPr>
          </w:pPr>
          <w:hyperlink w:anchor="_Toc42595072" w:history="1">
            <w:r w:rsidR="00AF48C1" w:rsidRPr="00766381">
              <w:rPr>
                <w:rStyle w:val="Hyperlink"/>
                <w:rFonts w:ascii="Cambria" w:hAnsi="Cambria"/>
                <w:noProof/>
                <w:sz w:val="20"/>
                <w:szCs w:val="20"/>
              </w:rPr>
              <w:t xml:space="preserve">3. </w:t>
            </w:r>
            <w:r w:rsidR="007F7880">
              <w:rPr>
                <w:rStyle w:val="Hyperlink"/>
                <w:rFonts w:ascii="Cambria" w:hAnsi="Cambria"/>
                <w:noProof/>
                <w:sz w:val="20"/>
                <w:szCs w:val="20"/>
              </w:rPr>
              <w:t>The right of defense and the principle of consistency and reasonable time</w:t>
            </w:r>
            <w:r w:rsidR="00AF48C1" w:rsidRPr="00766381">
              <w:rPr>
                <w:rFonts w:ascii="Cambria" w:hAnsi="Cambria"/>
                <w:noProof/>
                <w:webHidden/>
                <w:sz w:val="20"/>
                <w:szCs w:val="20"/>
              </w:rPr>
              <w:tab/>
            </w:r>
            <w:r w:rsidR="00AF48C1" w:rsidRPr="00766381">
              <w:rPr>
                <w:rFonts w:ascii="Cambria" w:hAnsi="Cambria"/>
                <w:noProof/>
                <w:webHidden/>
                <w:sz w:val="20"/>
                <w:szCs w:val="20"/>
              </w:rPr>
              <w:fldChar w:fldCharType="begin"/>
            </w:r>
            <w:r w:rsidR="00AF48C1" w:rsidRPr="00766381">
              <w:rPr>
                <w:rFonts w:ascii="Cambria" w:hAnsi="Cambria"/>
                <w:noProof/>
                <w:webHidden/>
                <w:sz w:val="20"/>
                <w:szCs w:val="20"/>
              </w:rPr>
              <w:instrText xml:space="preserve"> PAGEREF _Toc42595072 \h </w:instrText>
            </w:r>
            <w:r w:rsidR="00AF48C1" w:rsidRPr="00766381">
              <w:rPr>
                <w:rFonts w:ascii="Cambria" w:hAnsi="Cambria"/>
                <w:noProof/>
                <w:webHidden/>
                <w:sz w:val="20"/>
                <w:szCs w:val="20"/>
              </w:rPr>
            </w:r>
            <w:r w:rsidR="00AF48C1" w:rsidRPr="00766381">
              <w:rPr>
                <w:rFonts w:ascii="Cambria" w:hAnsi="Cambria"/>
                <w:noProof/>
                <w:webHidden/>
                <w:sz w:val="20"/>
                <w:szCs w:val="20"/>
              </w:rPr>
              <w:fldChar w:fldCharType="separate"/>
            </w:r>
            <w:r>
              <w:rPr>
                <w:rFonts w:ascii="Cambria" w:hAnsi="Cambria"/>
                <w:noProof/>
                <w:webHidden/>
                <w:sz w:val="20"/>
                <w:szCs w:val="20"/>
              </w:rPr>
              <w:t>15</w:t>
            </w:r>
            <w:r w:rsidR="00AF48C1" w:rsidRPr="00766381">
              <w:rPr>
                <w:rFonts w:ascii="Cambria" w:hAnsi="Cambria"/>
                <w:noProof/>
                <w:webHidden/>
                <w:sz w:val="20"/>
                <w:szCs w:val="20"/>
              </w:rPr>
              <w:fldChar w:fldCharType="end"/>
            </w:r>
          </w:hyperlink>
        </w:p>
        <w:p w14:paraId="0C12D4BD" w14:textId="585CAFFF" w:rsidR="00AF48C1" w:rsidRPr="00766381" w:rsidRDefault="00A56611" w:rsidP="00AF48C1">
          <w:pPr>
            <w:pStyle w:val="TOC2"/>
            <w:jc w:val="both"/>
            <w:rPr>
              <w:rFonts w:ascii="Cambria" w:eastAsiaTheme="minorEastAsia" w:hAnsi="Cambria" w:cstheme="minorBidi"/>
              <w:noProof/>
              <w:sz w:val="20"/>
              <w:szCs w:val="20"/>
              <w:bdr w:val="none" w:sz="0" w:space="0" w:color="auto"/>
            </w:rPr>
          </w:pPr>
          <w:hyperlink w:anchor="_Toc42595073" w:history="1">
            <w:r w:rsidR="00AF48C1" w:rsidRPr="00766381">
              <w:rPr>
                <w:rStyle w:val="Hyperlink"/>
                <w:rFonts w:ascii="Cambria" w:hAnsi="Cambria"/>
                <w:noProof/>
                <w:sz w:val="20"/>
                <w:szCs w:val="20"/>
              </w:rPr>
              <w:t xml:space="preserve">4. </w:t>
            </w:r>
            <w:r w:rsidR="00FE0875">
              <w:rPr>
                <w:rStyle w:val="Hyperlink"/>
                <w:rFonts w:ascii="Cambria" w:hAnsi="Cambria"/>
                <w:noProof/>
                <w:sz w:val="20"/>
                <w:szCs w:val="20"/>
              </w:rPr>
              <w:t>The right to reasoned decisions, the principle of legality, and the right to freedom of expression</w:t>
            </w:r>
            <w:r w:rsidR="00AF48C1" w:rsidRPr="00766381">
              <w:rPr>
                <w:rFonts w:ascii="Cambria" w:hAnsi="Cambria"/>
                <w:noProof/>
                <w:webHidden/>
                <w:sz w:val="20"/>
                <w:szCs w:val="20"/>
              </w:rPr>
              <w:tab/>
            </w:r>
            <w:r w:rsidR="00AF48C1" w:rsidRPr="00766381">
              <w:rPr>
                <w:rFonts w:ascii="Cambria" w:hAnsi="Cambria"/>
                <w:noProof/>
                <w:webHidden/>
                <w:sz w:val="20"/>
                <w:szCs w:val="20"/>
              </w:rPr>
              <w:fldChar w:fldCharType="begin"/>
            </w:r>
            <w:r w:rsidR="00AF48C1" w:rsidRPr="00766381">
              <w:rPr>
                <w:rFonts w:ascii="Cambria" w:hAnsi="Cambria"/>
                <w:noProof/>
                <w:webHidden/>
                <w:sz w:val="20"/>
                <w:szCs w:val="20"/>
              </w:rPr>
              <w:instrText xml:space="preserve"> PAGEREF _Toc42595073 \h </w:instrText>
            </w:r>
            <w:r w:rsidR="00AF48C1" w:rsidRPr="00766381">
              <w:rPr>
                <w:rFonts w:ascii="Cambria" w:hAnsi="Cambria"/>
                <w:noProof/>
                <w:webHidden/>
                <w:sz w:val="20"/>
                <w:szCs w:val="20"/>
              </w:rPr>
            </w:r>
            <w:r w:rsidR="00AF48C1" w:rsidRPr="00766381">
              <w:rPr>
                <w:rFonts w:ascii="Cambria" w:hAnsi="Cambria"/>
                <w:noProof/>
                <w:webHidden/>
                <w:sz w:val="20"/>
                <w:szCs w:val="20"/>
              </w:rPr>
              <w:fldChar w:fldCharType="separate"/>
            </w:r>
            <w:r>
              <w:rPr>
                <w:rFonts w:ascii="Cambria" w:hAnsi="Cambria"/>
                <w:noProof/>
                <w:webHidden/>
                <w:sz w:val="20"/>
                <w:szCs w:val="20"/>
              </w:rPr>
              <w:t>17</w:t>
            </w:r>
            <w:r w:rsidR="00AF48C1" w:rsidRPr="00766381">
              <w:rPr>
                <w:rFonts w:ascii="Cambria" w:hAnsi="Cambria"/>
                <w:noProof/>
                <w:webHidden/>
                <w:sz w:val="20"/>
                <w:szCs w:val="20"/>
              </w:rPr>
              <w:fldChar w:fldCharType="end"/>
            </w:r>
          </w:hyperlink>
        </w:p>
        <w:p w14:paraId="49781021" w14:textId="70BF2895" w:rsidR="00AF48C1" w:rsidRPr="00766381" w:rsidRDefault="00A56611" w:rsidP="00AF48C1">
          <w:pPr>
            <w:pStyle w:val="TOC2"/>
            <w:jc w:val="both"/>
            <w:rPr>
              <w:rFonts w:ascii="Cambria" w:eastAsiaTheme="minorEastAsia" w:hAnsi="Cambria" w:cstheme="minorBidi"/>
              <w:noProof/>
              <w:sz w:val="20"/>
              <w:szCs w:val="20"/>
              <w:bdr w:val="none" w:sz="0" w:space="0" w:color="auto"/>
            </w:rPr>
          </w:pPr>
          <w:hyperlink w:anchor="_Toc42595074" w:history="1">
            <w:r w:rsidR="00AF48C1" w:rsidRPr="00766381">
              <w:rPr>
                <w:rStyle w:val="Hyperlink"/>
                <w:rFonts w:ascii="Cambria" w:hAnsi="Cambria"/>
                <w:noProof/>
                <w:sz w:val="20"/>
                <w:szCs w:val="20"/>
              </w:rPr>
              <w:t xml:space="preserve">5. </w:t>
            </w:r>
            <w:r w:rsidR="00FE0875">
              <w:rPr>
                <w:rStyle w:val="Hyperlink"/>
                <w:rFonts w:ascii="Cambria" w:hAnsi="Cambria"/>
                <w:noProof/>
                <w:sz w:val="20"/>
                <w:szCs w:val="20"/>
              </w:rPr>
              <w:t>The right to appeal the judgment to a higher court and the right to judicial protection</w:t>
            </w:r>
            <w:r w:rsidR="00AF48C1" w:rsidRPr="00766381">
              <w:rPr>
                <w:rFonts w:ascii="Cambria" w:hAnsi="Cambria"/>
                <w:noProof/>
                <w:webHidden/>
                <w:sz w:val="20"/>
                <w:szCs w:val="20"/>
              </w:rPr>
              <w:tab/>
            </w:r>
            <w:r w:rsidR="00AF48C1" w:rsidRPr="00766381">
              <w:rPr>
                <w:rFonts w:ascii="Cambria" w:hAnsi="Cambria"/>
                <w:noProof/>
                <w:webHidden/>
                <w:sz w:val="20"/>
                <w:szCs w:val="20"/>
              </w:rPr>
              <w:fldChar w:fldCharType="begin"/>
            </w:r>
            <w:r w:rsidR="00AF48C1" w:rsidRPr="00766381">
              <w:rPr>
                <w:rFonts w:ascii="Cambria" w:hAnsi="Cambria"/>
                <w:noProof/>
                <w:webHidden/>
                <w:sz w:val="20"/>
                <w:szCs w:val="20"/>
              </w:rPr>
              <w:instrText xml:space="preserve"> PAGEREF _Toc42595074 \h </w:instrText>
            </w:r>
            <w:r w:rsidR="00AF48C1" w:rsidRPr="00766381">
              <w:rPr>
                <w:rFonts w:ascii="Cambria" w:hAnsi="Cambria"/>
                <w:noProof/>
                <w:webHidden/>
                <w:sz w:val="20"/>
                <w:szCs w:val="20"/>
              </w:rPr>
            </w:r>
            <w:r w:rsidR="00AF48C1" w:rsidRPr="00766381">
              <w:rPr>
                <w:rFonts w:ascii="Cambria" w:hAnsi="Cambria"/>
                <w:noProof/>
                <w:webHidden/>
                <w:sz w:val="20"/>
                <w:szCs w:val="20"/>
              </w:rPr>
              <w:fldChar w:fldCharType="separate"/>
            </w:r>
            <w:r>
              <w:rPr>
                <w:rFonts w:ascii="Cambria" w:hAnsi="Cambria"/>
                <w:noProof/>
                <w:webHidden/>
                <w:sz w:val="20"/>
                <w:szCs w:val="20"/>
              </w:rPr>
              <w:t>21</w:t>
            </w:r>
            <w:r w:rsidR="00AF48C1" w:rsidRPr="00766381">
              <w:rPr>
                <w:rFonts w:ascii="Cambria" w:hAnsi="Cambria"/>
                <w:noProof/>
                <w:webHidden/>
                <w:sz w:val="20"/>
                <w:szCs w:val="20"/>
              </w:rPr>
              <w:fldChar w:fldCharType="end"/>
            </w:r>
          </w:hyperlink>
        </w:p>
        <w:p w14:paraId="1E0FA80B" w14:textId="3410FA1C" w:rsidR="00AF48C1" w:rsidRPr="00766381" w:rsidRDefault="00A56611" w:rsidP="00AF48C1">
          <w:pPr>
            <w:pStyle w:val="TOC2"/>
            <w:jc w:val="both"/>
            <w:rPr>
              <w:rFonts w:ascii="Cambria" w:eastAsiaTheme="minorEastAsia" w:hAnsi="Cambria" w:cstheme="minorBidi"/>
              <w:noProof/>
              <w:sz w:val="20"/>
              <w:szCs w:val="20"/>
              <w:bdr w:val="none" w:sz="0" w:space="0" w:color="auto"/>
            </w:rPr>
          </w:pPr>
          <w:hyperlink w:anchor="_Toc42595075" w:history="1">
            <w:r w:rsidR="00AF48C1" w:rsidRPr="00766381">
              <w:rPr>
                <w:rStyle w:val="Hyperlink"/>
                <w:rFonts w:ascii="Cambria" w:hAnsi="Cambria"/>
                <w:noProof/>
                <w:sz w:val="20"/>
                <w:szCs w:val="20"/>
              </w:rPr>
              <w:t xml:space="preserve">6. </w:t>
            </w:r>
            <w:r w:rsidR="00B36208">
              <w:rPr>
                <w:rStyle w:val="Hyperlink"/>
                <w:rFonts w:ascii="Cambria" w:hAnsi="Cambria"/>
                <w:noProof/>
                <w:sz w:val="20"/>
                <w:szCs w:val="20"/>
              </w:rPr>
              <w:t>Political rights</w:t>
            </w:r>
            <w:r w:rsidR="00AF48C1" w:rsidRPr="00766381">
              <w:rPr>
                <w:rFonts w:ascii="Cambria" w:hAnsi="Cambria"/>
                <w:noProof/>
                <w:webHidden/>
                <w:sz w:val="20"/>
                <w:szCs w:val="20"/>
              </w:rPr>
              <w:tab/>
            </w:r>
            <w:r w:rsidR="00AF48C1" w:rsidRPr="00766381">
              <w:rPr>
                <w:rFonts w:ascii="Cambria" w:hAnsi="Cambria"/>
                <w:noProof/>
                <w:webHidden/>
                <w:sz w:val="20"/>
                <w:szCs w:val="20"/>
              </w:rPr>
              <w:fldChar w:fldCharType="begin"/>
            </w:r>
            <w:r w:rsidR="00AF48C1" w:rsidRPr="00766381">
              <w:rPr>
                <w:rFonts w:ascii="Cambria" w:hAnsi="Cambria"/>
                <w:noProof/>
                <w:webHidden/>
                <w:sz w:val="20"/>
                <w:szCs w:val="20"/>
              </w:rPr>
              <w:instrText xml:space="preserve"> PAGEREF _Toc42595075 \h </w:instrText>
            </w:r>
            <w:r w:rsidR="00AF48C1" w:rsidRPr="00766381">
              <w:rPr>
                <w:rFonts w:ascii="Cambria" w:hAnsi="Cambria"/>
                <w:noProof/>
                <w:webHidden/>
                <w:sz w:val="20"/>
                <w:szCs w:val="20"/>
              </w:rPr>
            </w:r>
            <w:r w:rsidR="00AF48C1" w:rsidRPr="00766381">
              <w:rPr>
                <w:rFonts w:ascii="Cambria" w:hAnsi="Cambria"/>
                <w:noProof/>
                <w:webHidden/>
                <w:sz w:val="20"/>
                <w:szCs w:val="20"/>
              </w:rPr>
              <w:fldChar w:fldCharType="separate"/>
            </w:r>
            <w:r>
              <w:rPr>
                <w:rFonts w:ascii="Cambria" w:hAnsi="Cambria"/>
                <w:noProof/>
                <w:webHidden/>
                <w:sz w:val="20"/>
                <w:szCs w:val="20"/>
              </w:rPr>
              <w:t>23</w:t>
            </w:r>
            <w:r w:rsidR="00AF48C1" w:rsidRPr="00766381">
              <w:rPr>
                <w:rFonts w:ascii="Cambria" w:hAnsi="Cambria"/>
                <w:noProof/>
                <w:webHidden/>
                <w:sz w:val="20"/>
                <w:szCs w:val="20"/>
              </w:rPr>
              <w:fldChar w:fldCharType="end"/>
            </w:r>
          </w:hyperlink>
        </w:p>
        <w:p w14:paraId="59AE709B" w14:textId="66717BD5" w:rsidR="00AF48C1" w:rsidRPr="00766381" w:rsidRDefault="00A56611" w:rsidP="00AF48C1">
          <w:pPr>
            <w:pStyle w:val="TOC1"/>
            <w:rPr>
              <w:rFonts w:eastAsiaTheme="minorEastAsia" w:cstheme="minorBidi"/>
              <w:noProof/>
              <w:szCs w:val="22"/>
              <w:bdr w:val="none" w:sz="0" w:space="0" w:color="auto"/>
            </w:rPr>
          </w:pPr>
          <w:hyperlink w:anchor="_Toc42595076" w:history="1">
            <w:r w:rsidR="00AF48C1" w:rsidRPr="00766381">
              <w:rPr>
                <w:rStyle w:val="Hyperlink"/>
                <w:rFonts w:ascii="Cambria" w:hAnsi="Cambria"/>
                <w:b/>
                <w:noProof/>
                <w:sz w:val="20"/>
                <w:szCs w:val="20"/>
              </w:rPr>
              <w:t>V.</w:t>
            </w:r>
            <w:r w:rsidR="00AF48C1" w:rsidRPr="00766381">
              <w:rPr>
                <w:rFonts w:eastAsiaTheme="minorEastAsia" w:cstheme="minorBidi"/>
                <w:b/>
                <w:noProof/>
                <w:bdr w:val="none" w:sz="0" w:space="0" w:color="auto"/>
              </w:rPr>
              <w:tab/>
            </w:r>
            <w:r w:rsidR="00AF48C1" w:rsidRPr="00766381">
              <w:rPr>
                <w:rStyle w:val="Hyperlink"/>
                <w:rFonts w:ascii="Cambria" w:hAnsi="Cambria"/>
                <w:b/>
                <w:noProof/>
                <w:sz w:val="20"/>
                <w:szCs w:val="20"/>
              </w:rPr>
              <w:t>CONCL</w:t>
            </w:r>
            <w:r w:rsidR="00B36208">
              <w:rPr>
                <w:rStyle w:val="Hyperlink"/>
                <w:rFonts w:ascii="Cambria" w:hAnsi="Cambria"/>
                <w:b/>
                <w:noProof/>
                <w:sz w:val="20"/>
                <w:szCs w:val="20"/>
              </w:rPr>
              <w:t>USIONS AND RECOMMENDATIONS</w:t>
            </w:r>
            <w:r w:rsidR="00AF48C1" w:rsidRPr="00766381">
              <w:rPr>
                <w:noProof/>
                <w:webHidden/>
              </w:rPr>
              <w:tab/>
            </w:r>
            <w:r w:rsidR="00AF48C1" w:rsidRPr="00766381">
              <w:rPr>
                <w:noProof/>
                <w:webHidden/>
              </w:rPr>
              <w:fldChar w:fldCharType="begin"/>
            </w:r>
            <w:r w:rsidR="00AF48C1" w:rsidRPr="00766381">
              <w:rPr>
                <w:noProof/>
                <w:webHidden/>
              </w:rPr>
              <w:instrText xml:space="preserve"> PAGEREF _Toc42595076 \h </w:instrText>
            </w:r>
            <w:r w:rsidR="00AF48C1" w:rsidRPr="00766381">
              <w:rPr>
                <w:noProof/>
                <w:webHidden/>
              </w:rPr>
            </w:r>
            <w:r w:rsidR="00AF48C1" w:rsidRPr="00766381">
              <w:rPr>
                <w:noProof/>
                <w:webHidden/>
              </w:rPr>
              <w:fldChar w:fldCharType="separate"/>
            </w:r>
            <w:r>
              <w:rPr>
                <w:noProof/>
                <w:webHidden/>
              </w:rPr>
              <w:t>23</w:t>
            </w:r>
            <w:r w:rsidR="00AF48C1" w:rsidRPr="00766381">
              <w:rPr>
                <w:noProof/>
                <w:webHidden/>
              </w:rPr>
              <w:fldChar w:fldCharType="end"/>
            </w:r>
          </w:hyperlink>
        </w:p>
        <w:p w14:paraId="1422D682" w14:textId="77777777" w:rsidR="00AF48C1" w:rsidRPr="00766381" w:rsidRDefault="00AF48C1">
          <w:r w:rsidRPr="00766381">
            <w:rPr>
              <w:b/>
              <w:bCs/>
              <w:noProof/>
            </w:rPr>
            <w:fldChar w:fldCharType="end"/>
          </w:r>
        </w:p>
      </w:sdtContent>
    </w:sdt>
    <w:p w14:paraId="178BF7CB" w14:textId="77777777" w:rsidR="00E909AA" w:rsidRPr="00766381" w:rsidRDefault="006125C3" w:rsidP="00E909AA">
      <w:pPr>
        <w:tabs>
          <w:tab w:val="left" w:pos="720"/>
          <w:tab w:val="left" w:pos="1440"/>
          <w:tab w:val="right" w:leader="dot" w:pos="9350"/>
        </w:tabs>
        <w:spacing w:after="100"/>
        <w:ind w:left="720" w:hanging="720"/>
        <w:rPr>
          <w:rFonts w:asciiTheme="majorHAnsi" w:eastAsia="Times New Roman" w:hAnsiTheme="majorHAnsi"/>
          <w:b/>
          <w:noProof/>
          <w:sz w:val="20"/>
          <w:szCs w:val="20"/>
          <w:bdr w:val="none" w:sz="0" w:space="0" w:color="auto"/>
          <w:lang w:val="es-ES"/>
        </w:rPr>
      </w:pPr>
      <w:r w:rsidRPr="00766381">
        <w:rPr>
          <w:rFonts w:asciiTheme="majorHAnsi" w:hAnsiTheme="majorHAnsi"/>
          <w:b/>
          <w:sz w:val="20"/>
          <w:szCs w:val="20"/>
          <w:lang w:val="es-ES_tradnl"/>
        </w:rPr>
        <w:fldChar w:fldCharType="begin"/>
      </w:r>
      <w:r w:rsidRPr="00766381">
        <w:rPr>
          <w:rFonts w:asciiTheme="majorHAnsi" w:hAnsiTheme="majorHAnsi"/>
          <w:b/>
          <w:sz w:val="20"/>
          <w:szCs w:val="20"/>
          <w:lang w:val="es-ES_tradnl"/>
        </w:rPr>
        <w:instrText xml:space="preserve"> TOC \o "1-7" \h \z \u </w:instrText>
      </w:r>
      <w:r w:rsidRPr="00766381">
        <w:rPr>
          <w:rFonts w:asciiTheme="majorHAnsi" w:hAnsiTheme="majorHAnsi"/>
          <w:b/>
          <w:sz w:val="20"/>
          <w:szCs w:val="20"/>
          <w:lang w:val="es-ES_tradnl"/>
        </w:rPr>
        <w:fldChar w:fldCharType="separate"/>
      </w:r>
    </w:p>
    <w:p w14:paraId="6FADF3EB" w14:textId="77777777" w:rsidR="006125C3" w:rsidRPr="00766381" w:rsidRDefault="006125C3" w:rsidP="006125C3">
      <w:pPr>
        <w:tabs>
          <w:tab w:val="left" w:pos="720"/>
          <w:tab w:val="left" w:pos="1440"/>
          <w:tab w:val="right" w:leader="dot" w:pos="9350"/>
        </w:tabs>
        <w:spacing w:after="100"/>
        <w:ind w:left="720" w:hanging="720"/>
        <w:rPr>
          <w:rFonts w:asciiTheme="majorHAnsi" w:eastAsia="Times New Roman" w:hAnsiTheme="majorHAnsi"/>
          <w:b/>
          <w:noProof/>
          <w:sz w:val="20"/>
          <w:szCs w:val="20"/>
          <w:bdr w:val="none" w:sz="0" w:space="0" w:color="auto"/>
          <w:lang w:val="es-ES"/>
        </w:rPr>
      </w:pPr>
    </w:p>
    <w:p w14:paraId="7F738204" w14:textId="77777777" w:rsidR="008D768D" w:rsidRPr="00766381" w:rsidRDefault="006125C3" w:rsidP="006125C3">
      <w:pPr>
        <w:tabs>
          <w:tab w:val="center" w:pos="5400"/>
        </w:tabs>
        <w:suppressAutoHyphens/>
        <w:spacing w:line="276" w:lineRule="auto"/>
        <w:rPr>
          <w:rFonts w:asciiTheme="majorHAnsi" w:hAnsiTheme="majorHAnsi"/>
          <w:sz w:val="20"/>
          <w:szCs w:val="20"/>
          <w:lang w:val="es-ES_tradnl"/>
        </w:rPr>
      </w:pPr>
      <w:r w:rsidRPr="00766381">
        <w:rPr>
          <w:rFonts w:asciiTheme="majorHAnsi" w:hAnsiTheme="majorHAnsi"/>
          <w:b/>
          <w:sz w:val="20"/>
          <w:szCs w:val="20"/>
          <w:lang w:val="es-ES_tradnl"/>
        </w:rPr>
        <w:fldChar w:fldCharType="end"/>
      </w:r>
    </w:p>
    <w:p w14:paraId="0D4FD934" w14:textId="77777777" w:rsidR="00722C9F" w:rsidRPr="00766381" w:rsidRDefault="00722C9F">
      <w:pPr>
        <w:rPr>
          <w:rFonts w:ascii="Cambria" w:hAnsi="Cambria" w:cs="Calibri"/>
          <w:sz w:val="20"/>
          <w:szCs w:val="20"/>
          <w:lang w:val="es-ES"/>
        </w:rPr>
      </w:pPr>
      <w:r w:rsidRPr="00766381">
        <w:rPr>
          <w:rFonts w:ascii="Cambria" w:hAnsi="Cambria" w:cs="Calibri"/>
          <w:sz w:val="20"/>
          <w:szCs w:val="20"/>
          <w:lang w:val="es-ES"/>
        </w:rPr>
        <w:br w:type="page"/>
      </w:r>
    </w:p>
    <w:p w14:paraId="4B4C5C35" w14:textId="77777777" w:rsidR="00D12193" w:rsidRPr="00766381" w:rsidRDefault="00D44E05" w:rsidP="00C76167">
      <w:pPr>
        <w:pStyle w:val="Heading1"/>
      </w:pPr>
      <w:r>
        <w:lastRenderedPageBreak/>
        <w:t>INTRODUCTION</w:t>
      </w:r>
      <w:r w:rsidR="00046691">
        <w:tab/>
      </w:r>
    </w:p>
    <w:p w14:paraId="4B7A3F8F" w14:textId="77777777" w:rsidR="005C4CA5" w:rsidRPr="00766381" w:rsidRDefault="005C4CA5" w:rsidP="00914740">
      <w:pPr>
        <w:tabs>
          <w:tab w:val="left" w:pos="360"/>
        </w:tabs>
        <w:suppressAutoHyphens/>
        <w:rPr>
          <w:rFonts w:asciiTheme="majorHAnsi" w:hAnsiTheme="majorHAnsi"/>
          <w:b/>
          <w:sz w:val="20"/>
          <w:szCs w:val="20"/>
          <w:lang w:val="es-ES_tradnl"/>
        </w:rPr>
      </w:pPr>
    </w:p>
    <w:p w14:paraId="2BE536C7" w14:textId="77777777" w:rsidR="001B62CA" w:rsidRPr="00F40DD5" w:rsidRDefault="00046691" w:rsidP="001B62CA">
      <w:pPr>
        <w:pStyle w:val="parrafos"/>
        <w:rPr>
          <w:lang w:val="en-US"/>
        </w:rPr>
      </w:pPr>
      <w:r w:rsidRPr="00F40DD5">
        <w:rPr>
          <w:lang w:val="en-US"/>
        </w:rPr>
        <w:t>On December</w:t>
      </w:r>
      <w:r w:rsidR="005C4CA5" w:rsidRPr="00F40DD5">
        <w:rPr>
          <w:lang w:val="en-US"/>
        </w:rPr>
        <w:t xml:space="preserve"> </w:t>
      </w:r>
      <w:r w:rsidR="002938EF" w:rsidRPr="00F40DD5">
        <w:rPr>
          <w:lang w:val="en-US"/>
        </w:rPr>
        <w:t>27</w:t>
      </w:r>
      <w:r w:rsidRPr="00F40DD5">
        <w:rPr>
          <w:lang w:val="en-US"/>
        </w:rPr>
        <w:t xml:space="preserve">, </w:t>
      </w:r>
      <w:r w:rsidR="002938EF" w:rsidRPr="00F40DD5">
        <w:rPr>
          <w:lang w:val="en-US"/>
        </w:rPr>
        <w:t>2004</w:t>
      </w:r>
      <w:r w:rsidRPr="00F40DD5">
        <w:rPr>
          <w:lang w:val="en-US"/>
        </w:rPr>
        <w:t xml:space="preserve">, the Inter-American Commission on Human Rights </w:t>
      </w:r>
      <w:r w:rsidR="005C4CA5" w:rsidRPr="00F40DD5">
        <w:rPr>
          <w:lang w:val="en-US"/>
        </w:rPr>
        <w:t>(</w:t>
      </w:r>
      <w:r w:rsidRPr="00F40DD5">
        <w:rPr>
          <w:lang w:val="en-US"/>
        </w:rPr>
        <w:t>hereinafter</w:t>
      </w:r>
      <w:r w:rsidR="005C4CA5" w:rsidRPr="00F40DD5">
        <w:rPr>
          <w:lang w:val="en-US"/>
        </w:rPr>
        <w:t xml:space="preserve"> “</w:t>
      </w:r>
      <w:r w:rsidRPr="00F40DD5">
        <w:rPr>
          <w:lang w:val="en-US"/>
        </w:rPr>
        <w:t xml:space="preserve">the Inter-American Commission,” </w:t>
      </w:r>
      <w:r w:rsidR="005C4CA5" w:rsidRPr="00F40DD5">
        <w:rPr>
          <w:lang w:val="en-US"/>
        </w:rPr>
        <w:t>“</w:t>
      </w:r>
      <w:r w:rsidRPr="00F40DD5">
        <w:rPr>
          <w:lang w:val="en-US"/>
        </w:rPr>
        <w:t>the Commission,” or</w:t>
      </w:r>
      <w:r w:rsidR="005C4CA5" w:rsidRPr="00F40DD5">
        <w:rPr>
          <w:lang w:val="en-US"/>
        </w:rPr>
        <w:t xml:space="preserve"> “</w:t>
      </w:r>
      <w:r w:rsidRPr="00F40DD5">
        <w:rPr>
          <w:lang w:val="en-US"/>
        </w:rPr>
        <w:t>the IACHR</w:t>
      </w:r>
      <w:r w:rsidR="005C4CA5" w:rsidRPr="00F40DD5">
        <w:rPr>
          <w:lang w:val="en-US"/>
        </w:rPr>
        <w:t xml:space="preserve">”) </w:t>
      </w:r>
      <w:r w:rsidRPr="00F40DD5">
        <w:rPr>
          <w:lang w:val="en-US"/>
        </w:rPr>
        <w:t xml:space="preserve">received a petition lodged by </w:t>
      </w:r>
      <w:r w:rsidR="002938EF" w:rsidRPr="00F40DD5">
        <w:rPr>
          <w:lang w:val="en-US"/>
        </w:rPr>
        <w:t>Alejandro Nissen Pessolani (</w:t>
      </w:r>
      <w:r w:rsidRPr="00F40DD5">
        <w:rPr>
          <w:lang w:val="en-US"/>
        </w:rPr>
        <w:t>hereinafter</w:t>
      </w:r>
      <w:r w:rsidR="002938EF" w:rsidRPr="00F40DD5">
        <w:rPr>
          <w:lang w:val="en-US"/>
        </w:rPr>
        <w:t xml:space="preserve"> “</w:t>
      </w:r>
      <w:r w:rsidRPr="00F40DD5">
        <w:rPr>
          <w:lang w:val="en-US"/>
        </w:rPr>
        <w:t>the petitioner</w:t>
      </w:r>
      <w:r w:rsidR="002938EF" w:rsidRPr="00F40DD5">
        <w:rPr>
          <w:lang w:val="en-US"/>
        </w:rPr>
        <w:t>” o</w:t>
      </w:r>
      <w:r w:rsidRPr="00F40DD5">
        <w:rPr>
          <w:lang w:val="en-US"/>
        </w:rPr>
        <w:t>r</w:t>
      </w:r>
      <w:r w:rsidR="002938EF" w:rsidRPr="00F40DD5">
        <w:rPr>
          <w:lang w:val="en-US"/>
        </w:rPr>
        <w:t xml:space="preserve"> “</w:t>
      </w:r>
      <w:r w:rsidRPr="00F40DD5">
        <w:rPr>
          <w:lang w:val="en-US"/>
        </w:rPr>
        <w:t>the alleged victim</w:t>
      </w:r>
      <w:r w:rsidR="002938EF" w:rsidRPr="00F40DD5">
        <w:rPr>
          <w:lang w:val="en-US"/>
        </w:rPr>
        <w:t>”),</w:t>
      </w:r>
      <w:r w:rsidR="005C4CA5" w:rsidRPr="00F40DD5">
        <w:rPr>
          <w:vertAlign w:val="superscript"/>
          <w:lang w:val="en-US"/>
        </w:rPr>
        <w:t xml:space="preserve"> </w:t>
      </w:r>
      <w:r w:rsidRPr="00F40DD5">
        <w:rPr>
          <w:lang w:val="en-US"/>
        </w:rPr>
        <w:t xml:space="preserve">alleging that the Republic of Paraguay (hereinafter “the Paraguayan State,” “the State,” or </w:t>
      </w:r>
      <w:r w:rsidR="00036C4E">
        <w:rPr>
          <w:lang w:val="en-US"/>
        </w:rPr>
        <w:t>“</w:t>
      </w:r>
      <w:r w:rsidRPr="00F40DD5">
        <w:rPr>
          <w:lang w:val="en-US"/>
        </w:rPr>
        <w:t>Paraguay</w:t>
      </w:r>
      <w:r w:rsidR="00036C4E">
        <w:rPr>
          <w:lang w:val="en-US"/>
        </w:rPr>
        <w:t>”</w:t>
      </w:r>
      <w:r w:rsidRPr="00F40DD5">
        <w:rPr>
          <w:lang w:val="en-US"/>
        </w:rPr>
        <w:t xml:space="preserve">) bears international responsibility </w:t>
      </w:r>
      <w:r w:rsidR="00F40DD5" w:rsidRPr="00F40DD5">
        <w:rPr>
          <w:lang w:val="en-US"/>
        </w:rPr>
        <w:t>as a result of two case</w:t>
      </w:r>
      <w:r w:rsidR="00F40DD5">
        <w:rPr>
          <w:lang w:val="en-US"/>
        </w:rPr>
        <w:t xml:space="preserve">s brought against </w:t>
      </w:r>
      <w:r w:rsidR="00740190">
        <w:rPr>
          <w:lang w:val="en-US"/>
        </w:rPr>
        <w:t>him</w:t>
      </w:r>
      <w:r w:rsidR="00F40DD5">
        <w:rPr>
          <w:lang w:val="en-US"/>
        </w:rPr>
        <w:t xml:space="preserve"> before the Jury for the Prosecution of Magistrates (</w:t>
      </w:r>
      <w:r w:rsidR="002938EF" w:rsidRPr="00F40DD5">
        <w:rPr>
          <w:lang w:val="en-US"/>
        </w:rPr>
        <w:t>Jurado de Enjuiciamiento de Magistrados</w:t>
      </w:r>
      <w:r w:rsidR="00F40DD5">
        <w:rPr>
          <w:lang w:val="en-US"/>
        </w:rPr>
        <w:t xml:space="preserve">, </w:t>
      </w:r>
      <w:r w:rsidR="00E10F82">
        <w:rPr>
          <w:lang w:val="en-US"/>
        </w:rPr>
        <w:t xml:space="preserve">hereinafter </w:t>
      </w:r>
      <w:r w:rsidR="00F40DD5">
        <w:rPr>
          <w:lang w:val="en-US"/>
        </w:rPr>
        <w:t>“</w:t>
      </w:r>
      <w:r w:rsidR="002938EF" w:rsidRPr="00F40DD5">
        <w:rPr>
          <w:lang w:val="en-US"/>
        </w:rPr>
        <w:t xml:space="preserve">JEM”), </w:t>
      </w:r>
      <w:r w:rsidR="00F40DD5" w:rsidRPr="0051009A">
        <w:rPr>
          <w:lang w:val="en-US"/>
        </w:rPr>
        <w:t xml:space="preserve">which </w:t>
      </w:r>
      <w:r w:rsidR="0051009A">
        <w:rPr>
          <w:lang w:val="en-US"/>
        </w:rPr>
        <w:t>decided to remove him</w:t>
      </w:r>
      <w:r w:rsidR="00F40DD5">
        <w:rPr>
          <w:lang w:val="en-US"/>
        </w:rPr>
        <w:t xml:space="preserve"> from his post as </w:t>
      </w:r>
      <w:r w:rsidR="00802B57">
        <w:rPr>
          <w:lang w:val="en-US"/>
        </w:rPr>
        <w:t xml:space="preserve">a </w:t>
      </w:r>
      <w:r w:rsidR="00F40DD5">
        <w:rPr>
          <w:lang w:val="en-US"/>
        </w:rPr>
        <w:t>Criminal Prosecutor</w:t>
      </w:r>
      <w:r w:rsidR="002938EF" w:rsidRPr="00F40DD5">
        <w:rPr>
          <w:lang w:val="en-US"/>
        </w:rPr>
        <w:t>.</w:t>
      </w:r>
    </w:p>
    <w:p w14:paraId="1373445E" w14:textId="77777777" w:rsidR="001B62CA" w:rsidRPr="00F40DD5" w:rsidRDefault="001B62CA" w:rsidP="001B62CA">
      <w:pPr>
        <w:pStyle w:val="parrafos"/>
        <w:numPr>
          <w:ilvl w:val="0"/>
          <w:numId w:val="0"/>
        </w:numPr>
        <w:rPr>
          <w:lang w:val="en-US"/>
        </w:rPr>
      </w:pPr>
    </w:p>
    <w:p w14:paraId="481275FB" w14:textId="77777777" w:rsidR="00865597" w:rsidRPr="003B60F2" w:rsidRDefault="00802B57" w:rsidP="001B62CA">
      <w:pPr>
        <w:pStyle w:val="parrafos"/>
        <w:rPr>
          <w:lang w:val="en-US"/>
        </w:rPr>
      </w:pPr>
      <w:r w:rsidRPr="00802B57">
        <w:rPr>
          <w:lang w:val="en-US"/>
        </w:rPr>
        <w:t xml:space="preserve">The Commission approved Admissibility Report </w:t>
      </w:r>
      <w:r w:rsidR="00865597" w:rsidRPr="00802B57">
        <w:rPr>
          <w:lang w:val="en-US"/>
        </w:rPr>
        <w:t xml:space="preserve">No. </w:t>
      </w:r>
      <w:r w:rsidR="002938EF" w:rsidRPr="00802B57">
        <w:rPr>
          <w:lang w:val="en-US"/>
        </w:rPr>
        <w:t>60/14</w:t>
      </w:r>
      <w:r w:rsidR="00036C4E">
        <w:rPr>
          <w:lang w:val="en-US"/>
        </w:rPr>
        <w:t xml:space="preserve"> on </w:t>
      </w:r>
      <w:r>
        <w:rPr>
          <w:lang w:val="en-US"/>
        </w:rPr>
        <w:t xml:space="preserve">July </w:t>
      </w:r>
      <w:r w:rsidR="002938EF" w:rsidRPr="00802B57">
        <w:rPr>
          <w:lang w:val="en-US"/>
        </w:rPr>
        <w:t>24</w:t>
      </w:r>
      <w:r>
        <w:rPr>
          <w:lang w:val="en-US"/>
        </w:rPr>
        <w:t>,</w:t>
      </w:r>
      <w:r w:rsidR="002938EF" w:rsidRPr="00802B57">
        <w:rPr>
          <w:lang w:val="en-US"/>
        </w:rPr>
        <w:t xml:space="preserve"> 2014</w:t>
      </w:r>
      <w:r>
        <w:rPr>
          <w:lang w:val="en-US"/>
        </w:rPr>
        <w:t>.</w:t>
      </w:r>
      <w:r w:rsidR="00865597" w:rsidRPr="00766381">
        <w:rPr>
          <w:rStyle w:val="FootnoteReference"/>
          <w:sz w:val="24"/>
        </w:rPr>
        <w:footnoteReference w:id="2"/>
      </w:r>
      <w:r w:rsidR="00865597" w:rsidRPr="00802B57">
        <w:rPr>
          <w:lang w:val="en-US"/>
        </w:rPr>
        <w:t xml:space="preserve"> </w:t>
      </w:r>
      <w:r w:rsidRPr="00802B57">
        <w:rPr>
          <w:lang w:val="en-US"/>
        </w:rPr>
        <w:t>On August</w:t>
      </w:r>
      <w:r w:rsidR="008C7015" w:rsidRPr="00802B57">
        <w:rPr>
          <w:lang w:val="en-US"/>
        </w:rPr>
        <w:t xml:space="preserve"> </w:t>
      </w:r>
      <w:r w:rsidR="002B65F9" w:rsidRPr="00802B57">
        <w:rPr>
          <w:lang w:val="en-US"/>
        </w:rPr>
        <w:t>18</w:t>
      </w:r>
      <w:r w:rsidRPr="00802B57">
        <w:rPr>
          <w:lang w:val="en-US"/>
        </w:rPr>
        <w:t xml:space="preserve">, </w:t>
      </w:r>
      <w:r w:rsidR="002B65F9" w:rsidRPr="00802B57">
        <w:rPr>
          <w:lang w:val="en-US"/>
        </w:rPr>
        <w:t>2014</w:t>
      </w:r>
      <w:r w:rsidRPr="00802B57">
        <w:rPr>
          <w:lang w:val="en-US"/>
        </w:rPr>
        <w:t xml:space="preserve">, the Commission notified the parties of the report and </w:t>
      </w:r>
      <w:r w:rsidR="003B60F2">
        <w:rPr>
          <w:lang w:val="en-US"/>
        </w:rPr>
        <w:t xml:space="preserve">made itself available to </w:t>
      </w:r>
      <w:r w:rsidR="00740190">
        <w:rPr>
          <w:lang w:val="en-US"/>
        </w:rPr>
        <w:t>them</w:t>
      </w:r>
      <w:r w:rsidR="00036C4E">
        <w:rPr>
          <w:lang w:val="en-US"/>
        </w:rPr>
        <w:t xml:space="preserve"> to reach</w:t>
      </w:r>
      <w:r>
        <w:rPr>
          <w:lang w:val="en-US"/>
        </w:rPr>
        <w:t xml:space="preserve"> a friendly settlement</w:t>
      </w:r>
      <w:r w:rsidR="003B60F2">
        <w:rPr>
          <w:lang w:val="en-US"/>
        </w:rPr>
        <w:t xml:space="preserve">, but the conditions were not in place to initiate such as </w:t>
      </w:r>
      <w:r>
        <w:rPr>
          <w:lang w:val="en-US"/>
        </w:rPr>
        <w:t xml:space="preserve">proceeding. </w:t>
      </w:r>
      <w:r w:rsidRPr="00802B57">
        <w:rPr>
          <w:lang w:val="en-US"/>
        </w:rPr>
        <w:t xml:space="preserve">The parties </w:t>
      </w:r>
      <w:r w:rsidR="007E4D45">
        <w:rPr>
          <w:lang w:val="en-US"/>
        </w:rPr>
        <w:t>had the</w:t>
      </w:r>
      <w:r w:rsidRPr="00802B57">
        <w:rPr>
          <w:lang w:val="en-US"/>
        </w:rPr>
        <w:t xml:space="preserve"> </w:t>
      </w:r>
      <w:r w:rsidR="007E4D45">
        <w:rPr>
          <w:lang w:val="en-US"/>
        </w:rPr>
        <w:t xml:space="preserve">requisite </w:t>
      </w:r>
      <w:r w:rsidRPr="00802B57">
        <w:rPr>
          <w:lang w:val="en-US"/>
        </w:rPr>
        <w:t>time frames in which to submit additional comments on th</w:t>
      </w:r>
      <w:r>
        <w:rPr>
          <w:lang w:val="en-US"/>
        </w:rPr>
        <w:t xml:space="preserve">e merits. </w:t>
      </w:r>
      <w:r w:rsidRPr="003B60F2">
        <w:rPr>
          <w:lang w:val="en-US"/>
        </w:rPr>
        <w:t xml:space="preserve">All </w:t>
      </w:r>
      <w:r w:rsidR="003B60F2" w:rsidRPr="003B60F2">
        <w:rPr>
          <w:lang w:val="en-US"/>
        </w:rPr>
        <w:t xml:space="preserve">the </w:t>
      </w:r>
      <w:r w:rsidRPr="003B60F2">
        <w:rPr>
          <w:lang w:val="en-US"/>
        </w:rPr>
        <w:t xml:space="preserve">information </w:t>
      </w:r>
      <w:r w:rsidR="003B60F2">
        <w:rPr>
          <w:lang w:val="en-US"/>
        </w:rPr>
        <w:t xml:space="preserve">the Commission </w:t>
      </w:r>
      <w:r w:rsidRPr="003B60F2">
        <w:rPr>
          <w:lang w:val="en-US"/>
        </w:rPr>
        <w:t xml:space="preserve">received was duly </w:t>
      </w:r>
      <w:r w:rsidR="003B60F2" w:rsidRPr="003B60F2">
        <w:rPr>
          <w:lang w:val="en-US"/>
        </w:rPr>
        <w:t>transmitted</w:t>
      </w:r>
      <w:r w:rsidRPr="003B60F2">
        <w:rPr>
          <w:lang w:val="en-US"/>
        </w:rPr>
        <w:t xml:space="preserve"> to the parties.</w:t>
      </w:r>
      <w:r w:rsidR="00865597" w:rsidRPr="003B60F2">
        <w:rPr>
          <w:rFonts w:eastAsia="Times New Roman"/>
          <w:sz w:val="32"/>
          <w:lang w:val="en-US" w:eastAsia="es-ES"/>
        </w:rPr>
        <w:t xml:space="preserve"> </w:t>
      </w:r>
    </w:p>
    <w:p w14:paraId="074501FE" w14:textId="77777777" w:rsidR="0006565A" w:rsidRPr="003B60F2" w:rsidRDefault="0006565A" w:rsidP="00914740">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suppressAutoHyphens/>
        <w:jc w:val="both"/>
        <w:rPr>
          <w:rFonts w:ascii="Cambria" w:hAnsi="Cambria"/>
          <w:sz w:val="20"/>
          <w:szCs w:val="20"/>
        </w:rPr>
      </w:pPr>
    </w:p>
    <w:p w14:paraId="7D6A1EA6" w14:textId="77777777" w:rsidR="00D83D73" w:rsidRPr="00766381" w:rsidRDefault="007E4D45" w:rsidP="002B65F9">
      <w:pPr>
        <w:pStyle w:val="Heading1"/>
      </w:pPr>
      <w:r>
        <w:t xml:space="preserve">POSITIONS OF THE </w:t>
      </w:r>
      <w:r w:rsidR="00802B57">
        <w:t>PARTIES</w:t>
      </w:r>
    </w:p>
    <w:p w14:paraId="6B26BB0A" w14:textId="77777777" w:rsidR="00D12193" w:rsidRPr="00766381" w:rsidRDefault="00AF48C1" w:rsidP="00AF48C1">
      <w:pPr>
        <w:pStyle w:val="Heading2"/>
      </w:pPr>
      <w:bookmarkStart w:id="2" w:name="_Toc42595060"/>
      <w:r w:rsidRPr="00766381">
        <w:t xml:space="preserve">A. </w:t>
      </w:r>
      <w:r w:rsidR="0022273F" w:rsidRPr="00766381">
        <w:t>P</w:t>
      </w:r>
      <w:bookmarkEnd w:id="2"/>
      <w:r w:rsidR="00802B57">
        <w:t>etitioner</w:t>
      </w:r>
      <w:r w:rsidR="0022273F" w:rsidRPr="00766381">
        <w:t xml:space="preserve"> </w:t>
      </w:r>
    </w:p>
    <w:p w14:paraId="47E26ED6" w14:textId="77777777" w:rsidR="00361415" w:rsidRPr="00766381" w:rsidRDefault="00361415" w:rsidP="00914740">
      <w:pPr>
        <w:tabs>
          <w:tab w:val="left" w:pos="360"/>
        </w:tabs>
        <w:suppressAutoHyphens/>
        <w:rPr>
          <w:rFonts w:asciiTheme="majorHAnsi" w:hAnsiTheme="majorHAnsi"/>
          <w:sz w:val="20"/>
          <w:szCs w:val="20"/>
          <w:lang w:val="es-ES_tradnl"/>
        </w:rPr>
      </w:pPr>
    </w:p>
    <w:p w14:paraId="54C2D97D" w14:textId="77777777" w:rsidR="00166189" w:rsidRPr="009D2755" w:rsidRDefault="00802B57" w:rsidP="00A02ACB">
      <w:pPr>
        <w:pStyle w:val="parrafos"/>
        <w:rPr>
          <w:lang w:val="en-US"/>
        </w:rPr>
      </w:pPr>
      <w:r w:rsidRPr="00802B57">
        <w:rPr>
          <w:lang w:val="en-US"/>
        </w:rPr>
        <w:t xml:space="preserve">The petitioner indicates that in </w:t>
      </w:r>
      <w:r w:rsidR="00337283" w:rsidRPr="00802B57">
        <w:rPr>
          <w:lang w:val="en-US"/>
        </w:rPr>
        <w:t>2001</w:t>
      </w:r>
      <w:r w:rsidRPr="00802B57">
        <w:rPr>
          <w:lang w:val="en-US"/>
        </w:rPr>
        <w:t xml:space="preserve">, when he was Prosecutor for Criminal Unit No. 10, he began to investigate a series of acts of corruption in both the public and private sectors. </w:t>
      </w:r>
      <w:r>
        <w:rPr>
          <w:lang w:val="en-US"/>
        </w:rPr>
        <w:t xml:space="preserve">He indicates that </w:t>
      </w:r>
      <w:r w:rsidR="00E25A7C">
        <w:rPr>
          <w:lang w:val="en-US"/>
        </w:rPr>
        <w:t>the individuals</w:t>
      </w:r>
      <w:r>
        <w:rPr>
          <w:lang w:val="en-US"/>
        </w:rPr>
        <w:t xml:space="preserve"> under investigation included some </w:t>
      </w:r>
      <w:r w:rsidR="00B60BFB">
        <w:rPr>
          <w:lang w:val="en-US"/>
        </w:rPr>
        <w:t>well-known</w:t>
      </w:r>
      <w:r>
        <w:rPr>
          <w:lang w:val="en-US"/>
        </w:rPr>
        <w:t xml:space="preserve"> politicians in the government at th</w:t>
      </w:r>
      <w:r w:rsidR="00E25A7C">
        <w:rPr>
          <w:lang w:val="en-US"/>
        </w:rPr>
        <w:t>e</w:t>
      </w:r>
      <w:r>
        <w:rPr>
          <w:lang w:val="en-US"/>
        </w:rPr>
        <w:t xml:space="preserve"> time and </w:t>
      </w:r>
      <w:r w:rsidR="00E25A7C">
        <w:rPr>
          <w:lang w:val="en-US"/>
        </w:rPr>
        <w:t>others in their family circle</w:t>
      </w:r>
      <w:r>
        <w:rPr>
          <w:lang w:val="en-US"/>
        </w:rPr>
        <w:t xml:space="preserve">. </w:t>
      </w:r>
      <w:r w:rsidRPr="00802B57">
        <w:rPr>
          <w:lang w:val="en-US"/>
        </w:rPr>
        <w:t xml:space="preserve">He alleges that “in order to remove him from the Public Prosecutor’s </w:t>
      </w:r>
      <w:r>
        <w:rPr>
          <w:lang w:val="en-US"/>
        </w:rPr>
        <w:t xml:space="preserve">Office, which was investigating them,” </w:t>
      </w:r>
      <w:r w:rsidR="009D2755">
        <w:rPr>
          <w:lang w:val="en-US"/>
        </w:rPr>
        <w:t>two proceedings were instituted against him before the JEM, the body responsible for prosecuting and removing individuals who work as prosecutors in the Public Prosecutor’s Office</w:t>
      </w:r>
      <w:r w:rsidR="00337283" w:rsidRPr="00802B57">
        <w:rPr>
          <w:lang w:val="en-US"/>
        </w:rPr>
        <w:t>.</w:t>
      </w:r>
    </w:p>
    <w:p w14:paraId="521E70C4" w14:textId="77777777" w:rsidR="001A7EB2" w:rsidRPr="009D2755" w:rsidRDefault="001A7EB2" w:rsidP="001A7EB2">
      <w:pPr>
        <w:pStyle w:val="parrafos"/>
        <w:numPr>
          <w:ilvl w:val="0"/>
          <w:numId w:val="0"/>
        </w:numPr>
        <w:rPr>
          <w:lang w:val="en-US"/>
        </w:rPr>
      </w:pPr>
    </w:p>
    <w:p w14:paraId="74D8FFAB" w14:textId="77777777" w:rsidR="001A7EB2" w:rsidRPr="00382C8C" w:rsidRDefault="00382C8C" w:rsidP="00A02ACB">
      <w:pPr>
        <w:pStyle w:val="parrafos"/>
        <w:rPr>
          <w:lang w:val="en-US"/>
        </w:rPr>
      </w:pPr>
      <w:r w:rsidRPr="00382C8C">
        <w:rPr>
          <w:lang w:val="en-US"/>
        </w:rPr>
        <w:t>The petitioner indicates that the individuals under investigation had asked the Prosecutor General of the State (</w:t>
      </w:r>
      <w:r w:rsidR="001A7EB2" w:rsidRPr="00382C8C">
        <w:rPr>
          <w:lang w:val="en-US"/>
        </w:rPr>
        <w:t>Fiscal General del Estado</w:t>
      </w:r>
      <w:r w:rsidRPr="00382C8C">
        <w:rPr>
          <w:lang w:val="en-US"/>
        </w:rPr>
        <w:t xml:space="preserve">, </w:t>
      </w:r>
      <w:r w:rsidR="00E25A7C">
        <w:rPr>
          <w:lang w:val="en-US"/>
        </w:rPr>
        <w:t xml:space="preserve">hereinafter </w:t>
      </w:r>
      <w:r w:rsidRPr="00382C8C">
        <w:rPr>
          <w:lang w:val="en-US"/>
        </w:rPr>
        <w:t xml:space="preserve">“FGE”) to </w:t>
      </w:r>
      <w:r>
        <w:rPr>
          <w:lang w:val="en-US"/>
        </w:rPr>
        <w:t xml:space="preserve">strip him of his prosecutor’s post, and </w:t>
      </w:r>
      <w:r w:rsidR="00E25A7C">
        <w:rPr>
          <w:lang w:val="en-US"/>
        </w:rPr>
        <w:t xml:space="preserve">states </w:t>
      </w:r>
      <w:r>
        <w:rPr>
          <w:lang w:val="en-US"/>
        </w:rPr>
        <w:t>that the FG</w:t>
      </w:r>
      <w:r w:rsidR="00E25A7C">
        <w:rPr>
          <w:lang w:val="en-US"/>
        </w:rPr>
        <w:t>E</w:t>
      </w:r>
      <w:r>
        <w:rPr>
          <w:lang w:val="en-US"/>
        </w:rPr>
        <w:t xml:space="preserve"> had warned him about these pressures. </w:t>
      </w:r>
      <w:r w:rsidRPr="00382C8C">
        <w:rPr>
          <w:lang w:val="en-US"/>
        </w:rPr>
        <w:t xml:space="preserve">He </w:t>
      </w:r>
      <w:r w:rsidR="0072619E">
        <w:rPr>
          <w:lang w:val="en-US"/>
        </w:rPr>
        <w:t>notes</w:t>
      </w:r>
      <w:r w:rsidRPr="00382C8C">
        <w:rPr>
          <w:lang w:val="en-US"/>
        </w:rPr>
        <w:t xml:space="preserve"> that it was in this context</w:t>
      </w:r>
      <w:r w:rsidR="001A7EB2" w:rsidRPr="00382C8C">
        <w:rPr>
          <w:lang w:val="en-US"/>
        </w:rPr>
        <w:t xml:space="preserve"> </w:t>
      </w:r>
      <w:r w:rsidRPr="00382C8C">
        <w:rPr>
          <w:lang w:val="en-US"/>
        </w:rPr>
        <w:t xml:space="preserve">that two </w:t>
      </w:r>
      <w:r w:rsidR="00E25A7C">
        <w:rPr>
          <w:lang w:val="en-US"/>
        </w:rPr>
        <w:t xml:space="preserve">proceedings were instituted </w:t>
      </w:r>
      <w:r w:rsidRPr="00382C8C">
        <w:rPr>
          <w:lang w:val="en-US"/>
        </w:rPr>
        <w:t xml:space="preserve">against him, </w:t>
      </w:r>
      <w:r w:rsidR="00A049F6">
        <w:rPr>
          <w:lang w:val="en-US"/>
        </w:rPr>
        <w:t>under procedures</w:t>
      </w:r>
      <w:r>
        <w:rPr>
          <w:lang w:val="en-US"/>
        </w:rPr>
        <w:t xml:space="preserve"> governed by Laws </w:t>
      </w:r>
      <w:r w:rsidR="00027C02" w:rsidRPr="00382C8C">
        <w:rPr>
          <w:lang w:val="en-US"/>
        </w:rPr>
        <w:t xml:space="preserve">1.084 </w:t>
      </w:r>
      <w:r>
        <w:rPr>
          <w:lang w:val="en-US"/>
        </w:rPr>
        <w:t>and</w:t>
      </w:r>
      <w:r w:rsidR="00027C02" w:rsidRPr="00382C8C">
        <w:rPr>
          <w:lang w:val="en-US"/>
        </w:rPr>
        <w:t xml:space="preserve"> 1.752</w:t>
      </w:r>
      <w:r w:rsidR="001A7EB2" w:rsidRPr="00382C8C">
        <w:rPr>
          <w:lang w:val="en-US"/>
        </w:rPr>
        <w:t>.</w:t>
      </w:r>
    </w:p>
    <w:p w14:paraId="43D5359D" w14:textId="77777777" w:rsidR="00027C02" w:rsidRPr="00382C8C" w:rsidRDefault="00027C02" w:rsidP="00027C02">
      <w:pPr>
        <w:pStyle w:val="ListParagraph"/>
        <w:rPr>
          <w:lang w:val="en-US"/>
        </w:rPr>
      </w:pPr>
    </w:p>
    <w:p w14:paraId="6576907D" w14:textId="77777777" w:rsidR="00027C02" w:rsidRPr="00766381" w:rsidRDefault="00382C8C" w:rsidP="00027C02">
      <w:pPr>
        <w:pStyle w:val="parrafos"/>
        <w:numPr>
          <w:ilvl w:val="0"/>
          <w:numId w:val="0"/>
        </w:numPr>
        <w:rPr>
          <w:i/>
        </w:rPr>
      </w:pPr>
      <w:r>
        <w:rPr>
          <w:i/>
        </w:rPr>
        <w:t xml:space="preserve">First </w:t>
      </w:r>
      <w:r w:rsidR="00A049F6">
        <w:rPr>
          <w:i/>
        </w:rPr>
        <w:t>proceeding</w:t>
      </w:r>
    </w:p>
    <w:p w14:paraId="1091FE0E" w14:textId="77777777" w:rsidR="001A7EB2" w:rsidRPr="00766381" w:rsidRDefault="001A7EB2" w:rsidP="001A7EB2">
      <w:pPr>
        <w:pStyle w:val="ListParagraph"/>
        <w:rPr>
          <w:rFonts w:asciiTheme="majorHAnsi" w:hAnsiTheme="majorHAnsi"/>
        </w:rPr>
      </w:pPr>
    </w:p>
    <w:p w14:paraId="4BCC0F1D" w14:textId="77777777" w:rsidR="001A7EB2" w:rsidRPr="00FF7B9A" w:rsidRDefault="00382C8C" w:rsidP="00A02ACB">
      <w:pPr>
        <w:pStyle w:val="parrafos"/>
        <w:rPr>
          <w:lang w:val="en-US"/>
        </w:rPr>
      </w:pPr>
      <w:r w:rsidRPr="00382C8C">
        <w:rPr>
          <w:lang w:val="en-US"/>
        </w:rPr>
        <w:t xml:space="preserve">The petitioner states that on March </w:t>
      </w:r>
      <w:r w:rsidR="001A7EB2" w:rsidRPr="00382C8C">
        <w:rPr>
          <w:lang w:val="en-US"/>
        </w:rPr>
        <w:t>12</w:t>
      </w:r>
      <w:r w:rsidRPr="00382C8C">
        <w:rPr>
          <w:lang w:val="en-US"/>
        </w:rPr>
        <w:t xml:space="preserve">, </w:t>
      </w:r>
      <w:r w:rsidR="001A7EB2" w:rsidRPr="00382C8C">
        <w:rPr>
          <w:lang w:val="en-US"/>
        </w:rPr>
        <w:t xml:space="preserve">2002, Cristian Paolo Ortiz </w:t>
      </w:r>
      <w:r w:rsidRPr="00382C8C">
        <w:rPr>
          <w:lang w:val="en-US"/>
        </w:rPr>
        <w:t xml:space="preserve">filed a complaint against him for poor performance of his duties, a complaint that did not meet the requirements </w:t>
      </w:r>
      <w:r w:rsidR="00A049F6">
        <w:rPr>
          <w:lang w:val="en-US"/>
        </w:rPr>
        <w:t>under the</w:t>
      </w:r>
      <w:r w:rsidRPr="00382C8C">
        <w:rPr>
          <w:lang w:val="en-US"/>
        </w:rPr>
        <w:t xml:space="preserve"> law. </w:t>
      </w:r>
      <w:r w:rsidR="00E10F82">
        <w:rPr>
          <w:lang w:val="en-US"/>
        </w:rPr>
        <w:t>Th</w:t>
      </w:r>
      <w:r w:rsidR="00FF7B9A" w:rsidRPr="00FF7B9A">
        <w:rPr>
          <w:lang w:val="en-US"/>
        </w:rPr>
        <w:t>e</w:t>
      </w:r>
      <w:r w:rsidR="00E10F82">
        <w:rPr>
          <w:lang w:val="en-US"/>
        </w:rPr>
        <w:t xml:space="preserve"> petitioner</w:t>
      </w:r>
      <w:r w:rsidR="00FF7B9A" w:rsidRPr="00FF7B9A">
        <w:rPr>
          <w:lang w:val="en-US"/>
        </w:rPr>
        <w:t xml:space="preserve"> specifies that the complainant had not posted the necessary bond, because he had provided as proof of his economic solvency a property</w:t>
      </w:r>
      <w:r w:rsidR="00027C02" w:rsidRPr="00FF7B9A">
        <w:rPr>
          <w:lang w:val="en-US"/>
        </w:rPr>
        <w:t xml:space="preserve"> </w:t>
      </w:r>
      <w:r w:rsidR="00FF7B9A" w:rsidRPr="00FF7B9A">
        <w:rPr>
          <w:lang w:val="en-US"/>
        </w:rPr>
        <w:t>that had been seized by order of th</w:t>
      </w:r>
      <w:r w:rsidR="00FF7B9A">
        <w:rPr>
          <w:lang w:val="en-US"/>
        </w:rPr>
        <w:t xml:space="preserve">e court in the investigation against him. </w:t>
      </w:r>
      <w:r w:rsidR="00FF7B9A" w:rsidRPr="00FF7B9A">
        <w:rPr>
          <w:lang w:val="en-US"/>
        </w:rPr>
        <w:t xml:space="preserve">The petitioner states that he complained to the </w:t>
      </w:r>
      <w:r w:rsidR="001A7EB2" w:rsidRPr="00FF7B9A">
        <w:rPr>
          <w:lang w:val="en-US"/>
        </w:rPr>
        <w:t xml:space="preserve">JEM </w:t>
      </w:r>
      <w:r w:rsidR="00FF7B9A" w:rsidRPr="00FF7B9A">
        <w:rPr>
          <w:lang w:val="en-US"/>
        </w:rPr>
        <w:t>that Mr.</w:t>
      </w:r>
      <w:r w:rsidR="001A7EB2" w:rsidRPr="00FF7B9A">
        <w:rPr>
          <w:lang w:val="en-US"/>
        </w:rPr>
        <w:t xml:space="preserve"> Ort</w:t>
      </w:r>
      <w:r w:rsidR="00966AE7" w:rsidRPr="00FF7B9A">
        <w:rPr>
          <w:lang w:val="en-US"/>
        </w:rPr>
        <w:t>iz</w:t>
      </w:r>
      <w:r w:rsidR="00FF7B9A" w:rsidRPr="00FF7B9A">
        <w:rPr>
          <w:lang w:val="en-US"/>
        </w:rPr>
        <w:t>’s complaint</w:t>
      </w:r>
      <w:r w:rsidR="00966AE7" w:rsidRPr="00FF7B9A">
        <w:rPr>
          <w:lang w:val="en-US"/>
        </w:rPr>
        <w:t xml:space="preserve"> “</w:t>
      </w:r>
      <w:r w:rsidR="00FF7B9A" w:rsidRPr="00FF7B9A">
        <w:rPr>
          <w:lang w:val="en-US"/>
        </w:rPr>
        <w:t>was simply intended to remove him from that case and from [his] prosecutor’s post so that emphasis would no longer be plac</w:t>
      </w:r>
      <w:r w:rsidR="00FF7B9A">
        <w:rPr>
          <w:lang w:val="en-US"/>
        </w:rPr>
        <w:t xml:space="preserve">ed on investigations of that type,” but the JEM decided to initiate its processing of the complaint, on May </w:t>
      </w:r>
      <w:r w:rsidR="001A7EB2" w:rsidRPr="00FF7B9A">
        <w:rPr>
          <w:lang w:val="en-US"/>
        </w:rPr>
        <w:t>22</w:t>
      </w:r>
      <w:r w:rsidR="00FF7B9A">
        <w:rPr>
          <w:lang w:val="en-US"/>
        </w:rPr>
        <w:t xml:space="preserve">, </w:t>
      </w:r>
      <w:r w:rsidR="001A7EB2" w:rsidRPr="00FF7B9A">
        <w:rPr>
          <w:lang w:val="en-US"/>
        </w:rPr>
        <w:t>2002.</w:t>
      </w:r>
    </w:p>
    <w:p w14:paraId="6E6CB5EE" w14:textId="77777777" w:rsidR="001A7EB2" w:rsidRPr="00FF7B9A" w:rsidRDefault="001A7EB2" w:rsidP="001A7EB2">
      <w:pPr>
        <w:pStyle w:val="ListParagraph"/>
        <w:rPr>
          <w:rFonts w:asciiTheme="majorHAnsi" w:hAnsiTheme="majorHAnsi"/>
          <w:lang w:val="en-US"/>
        </w:rPr>
      </w:pPr>
    </w:p>
    <w:p w14:paraId="5B8C68F7" w14:textId="77777777" w:rsidR="001A7EB2" w:rsidRPr="00B31285" w:rsidRDefault="000C0FC5" w:rsidP="00A02ACB">
      <w:pPr>
        <w:pStyle w:val="parrafos"/>
        <w:rPr>
          <w:lang w:val="en-US"/>
        </w:rPr>
      </w:pPr>
      <w:r w:rsidRPr="000C0FC5">
        <w:rPr>
          <w:lang w:val="en-US"/>
        </w:rPr>
        <w:t>He claims that said proceeding violated Article 8 of the Am</w:t>
      </w:r>
      <w:r>
        <w:rPr>
          <w:lang w:val="en-US"/>
        </w:rPr>
        <w:t>erican Convention.</w:t>
      </w:r>
      <w:r w:rsidR="001A7EB2" w:rsidRPr="000C0FC5">
        <w:rPr>
          <w:lang w:val="en-US"/>
        </w:rPr>
        <w:t xml:space="preserve"> </w:t>
      </w:r>
      <w:r w:rsidRPr="000C0FC5">
        <w:rPr>
          <w:lang w:val="en-US"/>
        </w:rPr>
        <w:t xml:space="preserve">In that respect, he maintains that even before the investigation against him was </w:t>
      </w:r>
      <w:r w:rsidR="00A049F6">
        <w:rPr>
          <w:lang w:val="en-US"/>
        </w:rPr>
        <w:t>launched</w:t>
      </w:r>
      <w:r w:rsidRPr="000C0FC5">
        <w:rPr>
          <w:lang w:val="en-US"/>
        </w:rPr>
        <w:t xml:space="preserve">, the President of the </w:t>
      </w:r>
      <w:r w:rsidR="001A7EB2" w:rsidRPr="000C0FC5">
        <w:rPr>
          <w:lang w:val="en-US"/>
        </w:rPr>
        <w:t xml:space="preserve">JEM, </w:t>
      </w:r>
      <w:r w:rsidRPr="000C0FC5">
        <w:rPr>
          <w:lang w:val="en-US"/>
        </w:rPr>
        <w:t xml:space="preserve">without the vote of the other members of the Jury, </w:t>
      </w:r>
      <w:r>
        <w:rPr>
          <w:lang w:val="en-US"/>
        </w:rPr>
        <w:t xml:space="preserve">first requested and then </w:t>
      </w:r>
      <w:r w:rsidR="000967DD">
        <w:rPr>
          <w:lang w:val="en-US"/>
        </w:rPr>
        <w:t>urged</w:t>
      </w:r>
      <w:r>
        <w:rPr>
          <w:lang w:val="en-US"/>
        </w:rPr>
        <w:t xml:space="preserve"> the alleged victim to turn over the file of the investigation into the supposedly illegal origin of the automobile owned by the Office of the President of the Republic. </w:t>
      </w:r>
      <w:r w:rsidRPr="00B31285">
        <w:rPr>
          <w:lang w:val="en-US"/>
        </w:rPr>
        <w:t xml:space="preserve">The petitioner contends that </w:t>
      </w:r>
      <w:r w:rsidR="00B31285" w:rsidRPr="00B31285">
        <w:rPr>
          <w:lang w:val="en-US"/>
        </w:rPr>
        <w:t>this is why he challenged the Presi</w:t>
      </w:r>
      <w:r w:rsidR="00B31285">
        <w:rPr>
          <w:lang w:val="en-US"/>
        </w:rPr>
        <w:t xml:space="preserve">dent </w:t>
      </w:r>
      <w:r w:rsidR="00B42ACA">
        <w:rPr>
          <w:lang w:val="en-US"/>
        </w:rPr>
        <w:t xml:space="preserve">of the </w:t>
      </w:r>
      <w:r w:rsidR="00B42ACA" w:rsidRPr="00B31285">
        <w:rPr>
          <w:lang w:val="en-US"/>
        </w:rPr>
        <w:t>JEM</w:t>
      </w:r>
      <w:r w:rsidR="00B42ACA">
        <w:rPr>
          <w:lang w:val="en-US"/>
        </w:rPr>
        <w:t xml:space="preserve"> </w:t>
      </w:r>
      <w:r w:rsidR="00B31285">
        <w:rPr>
          <w:lang w:val="en-US"/>
        </w:rPr>
        <w:t xml:space="preserve">and other members, but since it is the JEM itself that rules on the challenge, it was rejected. </w:t>
      </w:r>
      <w:r w:rsidR="0072619E">
        <w:rPr>
          <w:lang w:val="en-US"/>
        </w:rPr>
        <w:t>He</w:t>
      </w:r>
      <w:r w:rsidR="00B31285" w:rsidRPr="00B31285">
        <w:rPr>
          <w:lang w:val="en-US"/>
        </w:rPr>
        <w:t xml:space="preserve"> claims that </w:t>
      </w:r>
      <w:r w:rsidR="006D4902">
        <w:rPr>
          <w:lang w:val="en-US"/>
        </w:rPr>
        <w:t>h</w:t>
      </w:r>
      <w:r w:rsidR="00B31285" w:rsidRPr="00B31285">
        <w:rPr>
          <w:lang w:val="en-US"/>
        </w:rPr>
        <w:t>e was also suspended from his duties by the President of</w:t>
      </w:r>
      <w:r w:rsidR="00B31285">
        <w:rPr>
          <w:lang w:val="en-US"/>
        </w:rPr>
        <w:t xml:space="preserve"> the JEM, who, along with other JEM magistrates, was also being investigated by the petitioner for crimes of corruption</w:t>
      </w:r>
      <w:r w:rsidR="001A7EB2" w:rsidRPr="00B31285">
        <w:rPr>
          <w:lang w:val="en-US"/>
        </w:rPr>
        <w:t>.</w:t>
      </w:r>
    </w:p>
    <w:p w14:paraId="34A3AF29" w14:textId="77777777" w:rsidR="001A7EB2" w:rsidRPr="00B31285" w:rsidRDefault="001A7EB2" w:rsidP="001A7EB2">
      <w:pPr>
        <w:pStyle w:val="ListParagraph"/>
        <w:rPr>
          <w:rFonts w:asciiTheme="majorHAnsi" w:hAnsiTheme="majorHAnsi"/>
          <w:lang w:val="en-US"/>
        </w:rPr>
      </w:pPr>
    </w:p>
    <w:p w14:paraId="06839329" w14:textId="77777777" w:rsidR="001A7EB2" w:rsidRPr="003E5336" w:rsidRDefault="006D4902" w:rsidP="00A02ACB">
      <w:pPr>
        <w:pStyle w:val="parrafos"/>
        <w:rPr>
          <w:lang w:val="en-US"/>
        </w:rPr>
      </w:pPr>
      <w:r w:rsidRPr="003E5336">
        <w:rPr>
          <w:lang w:val="en-US"/>
        </w:rPr>
        <w:lastRenderedPageBreak/>
        <w:t>The petitioner alleges that he had access to the draft of a final judgment that had been drawn up against him, presumably by order of the Prosecutor General of the State</w:t>
      </w:r>
      <w:r w:rsidR="003E5336" w:rsidRPr="003E5336">
        <w:rPr>
          <w:lang w:val="en-US"/>
        </w:rPr>
        <w:t>.</w:t>
      </w:r>
      <w:r w:rsidR="003E5336">
        <w:rPr>
          <w:lang w:val="en-US"/>
        </w:rPr>
        <w:t xml:space="preserve"> </w:t>
      </w:r>
      <w:r w:rsidR="003E5336" w:rsidRPr="003E5336">
        <w:rPr>
          <w:lang w:val="en-US"/>
        </w:rPr>
        <w:t xml:space="preserve">He therefore made it available to the press and, on October </w:t>
      </w:r>
      <w:r w:rsidR="001A7EB2" w:rsidRPr="003E5336">
        <w:rPr>
          <w:lang w:val="en-US"/>
        </w:rPr>
        <w:t>30</w:t>
      </w:r>
      <w:r w:rsidR="003E5336">
        <w:rPr>
          <w:lang w:val="en-US"/>
        </w:rPr>
        <w:t xml:space="preserve">, </w:t>
      </w:r>
      <w:r w:rsidR="001A7EB2" w:rsidRPr="003E5336">
        <w:rPr>
          <w:lang w:val="en-US"/>
        </w:rPr>
        <w:t xml:space="preserve">2002, </w:t>
      </w:r>
      <w:r w:rsidR="003E5336">
        <w:rPr>
          <w:lang w:val="en-US"/>
        </w:rPr>
        <w:t>submitted the draft to a notary public for notarization.</w:t>
      </w:r>
    </w:p>
    <w:p w14:paraId="00B14884" w14:textId="77777777" w:rsidR="001A7EB2" w:rsidRPr="003E5336" w:rsidRDefault="001A7EB2" w:rsidP="001A7EB2">
      <w:pPr>
        <w:pStyle w:val="ListParagraph"/>
        <w:rPr>
          <w:rFonts w:asciiTheme="majorHAnsi" w:hAnsiTheme="majorHAnsi"/>
          <w:lang w:val="en-US"/>
        </w:rPr>
      </w:pPr>
    </w:p>
    <w:p w14:paraId="2C37A168" w14:textId="77777777" w:rsidR="001A7EB2" w:rsidRPr="00222538" w:rsidRDefault="0072619E" w:rsidP="00A02ACB">
      <w:pPr>
        <w:pStyle w:val="parrafos"/>
        <w:rPr>
          <w:lang w:val="en-US"/>
        </w:rPr>
      </w:pPr>
      <w:r>
        <w:rPr>
          <w:lang w:val="en-US"/>
        </w:rPr>
        <w:t xml:space="preserve">He </w:t>
      </w:r>
      <w:r w:rsidR="00222538" w:rsidRPr="00222538">
        <w:rPr>
          <w:lang w:val="en-US"/>
        </w:rPr>
        <w:t>claims that the</w:t>
      </w:r>
      <w:r w:rsidR="001A7EB2" w:rsidRPr="00222538">
        <w:rPr>
          <w:lang w:val="en-US"/>
        </w:rPr>
        <w:t xml:space="preserve"> </w:t>
      </w:r>
      <w:r w:rsidR="00222538" w:rsidRPr="00222538">
        <w:rPr>
          <w:lang w:val="en-US"/>
        </w:rPr>
        <w:t xml:space="preserve">JEM issued Judgment </w:t>
      </w:r>
      <w:r w:rsidR="001A7EB2" w:rsidRPr="00222538">
        <w:rPr>
          <w:lang w:val="en-US"/>
        </w:rPr>
        <w:t>No. 2/03</w:t>
      </w:r>
      <w:r w:rsidR="00222538" w:rsidRPr="00222538">
        <w:rPr>
          <w:lang w:val="en-US"/>
        </w:rPr>
        <w:t xml:space="preserve"> in his case on April </w:t>
      </w:r>
      <w:r w:rsidR="001A7EB2" w:rsidRPr="00222538">
        <w:rPr>
          <w:lang w:val="en-US"/>
        </w:rPr>
        <w:t>7</w:t>
      </w:r>
      <w:r w:rsidR="00222538" w:rsidRPr="00222538">
        <w:rPr>
          <w:lang w:val="en-US"/>
        </w:rPr>
        <w:t xml:space="preserve">, </w:t>
      </w:r>
      <w:r w:rsidR="001A7EB2" w:rsidRPr="00222538">
        <w:rPr>
          <w:lang w:val="en-US"/>
        </w:rPr>
        <w:t xml:space="preserve">2003, </w:t>
      </w:r>
      <w:r w:rsidR="00222538" w:rsidRPr="00222538">
        <w:rPr>
          <w:lang w:val="en-US"/>
        </w:rPr>
        <w:t xml:space="preserve">seven months after expiration of the 180-day period provided for in Law No. </w:t>
      </w:r>
      <w:r w:rsidR="001A7EB2" w:rsidRPr="00222538">
        <w:rPr>
          <w:lang w:val="en-US"/>
        </w:rPr>
        <w:t xml:space="preserve">1084, </w:t>
      </w:r>
      <w:r w:rsidR="00222538" w:rsidRPr="00222538">
        <w:rPr>
          <w:lang w:val="en-US"/>
        </w:rPr>
        <w:t>the same day on wh</w:t>
      </w:r>
      <w:r w:rsidR="00222538">
        <w:rPr>
          <w:lang w:val="en-US"/>
        </w:rPr>
        <w:t xml:space="preserve">ich the petitioner made a formal accusation and a request for </w:t>
      </w:r>
      <w:r w:rsidR="00222538" w:rsidRPr="00362DFE">
        <w:rPr>
          <w:lang w:val="en-US"/>
        </w:rPr>
        <w:t>parliamentary impeachment</w:t>
      </w:r>
      <w:r w:rsidR="00222538">
        <w:rPr>
          <w:lang w:val="en-US"/>
        </w:rPr>
        <w:t xml:space="preserve"> of the President of the JEM in the investigation into trafficking in vehicles. </w:t>
      </w:r>
      <w:r w:rsidR="00222538" w:rsidRPr="00222538">
        <w:rPr>
          <w:lang w:val="en-US"/>
        </w:rPr>
        <w:t xml:space="preserve">He maintains that the </w:t>
      </w:r>
      <w:r w:rsidR="001A7EB2" w:rsidRPr="00222538">
        <w:rPr>
          <w:lang w:val="en-US"/>
        </w:rPr>
        <w:t xml:space="preserve">JEM </w:t>
      </w:r>
      <w:r w:rsidR="00222538" w:rsidRPr="00222538">
        <w:rPr>
          <w:lang w:val="en-US"/>
        </w:rPr>
        <w:t>decided to</w:t>
      </w:r>
      <w:r w:rsidR="00222538">
        <w:rPr>
          <w:lang w:val="en-US"/>
        </w:rPr>
        <w:t xml:space="preserve"> remove him from his post. </w:t>
      </w:r>
      <w:r w:rsidR="00222538" w:rsidRPr="00222538">
        <w:rPr>
          <w:lang w:val="en-US"/>
        </w:rPr>
        <w:t xml:space="preserve">He also alleges that the </w:t>
      </w:r>
      <w:r w:rsidR="001A7EB2" w:rsidRPr="00222538">
        <w:rPr>
          <w:lang w:val="en-US"/>
        </w:rPr>
        <w:t xml:space="preserve">JEM </w:t>
      </w:r>
      <w:r w:rsidR="00222538" w:rsidRPr="00222538">
        <w:rPr>
          <w:lang w:val="en-US"/>
        </w:rPr>
        <w:t>convicted him for acts other than those denounced and that these were not discussed in the evidentiary hearing, in vi</w:t>
      </w:r>
      <w:r w:rsidR="00222538">
        <w:rPr>
          <w:lang w:val="en-US"/>
        </w:rPr>
        <w:t>olation of the principle of consistency and guarantees of due process</w:t>
      </w:r>
      <w:r w:rsidR="001A7EB2" w:rsidRPr="00222538">
        <w:rPr>
          <w:lang w:val="en-US"/>
        </w:rPr>
        <w:t xml:space="preserve">. </w:t>
      </w:r>
      <w:r w:rsidR="00222538" w:rsidRPr="00222538">
        <w:rPr>
          <w:lang w:val="en-US"/>
        </w:rPr>
        <w:t>He indicates that he filed a petition for clarification, which was re</w:t>
      </w:r>
      <w:r w:rsidR="00222538">
        <w:rPr>
          <w:lang w:val="en-US"/>
        </w:rPr>
        <w:t xml:space="preserve">jected. </w:t>
      </w:r>
      <w:r w:rsidR="00222538" w:rsidRPr="00222538">
        <w:rPr>
          <w:lang w:val="en-US"/>
        </w:rPr>
        <w:t>He points out that, in view of that rejection, he</w:t>
      </w:r>
      <w:r w:rsidR="00222538">
        <w:rPr>
          <w:lang w:val="en-US"/>
        </w:rPr>
        <w:t xml:space="preserve"> brought an action of unconstitutionality before the Supreme Court of Justice</w:t>
      </w:r>
      <w:r w:rsidR="001A7EB2" w:rsidRPr="00222538">
        <w:rPr>
          <w:lang w:val="en-US"/>
        </w:rPr>
        <w:t xml:space="preserve"> (</w:t>
      </w:r>
      <w:r w:rsidR="004A71C4">
        <w:rPr>
          <w:lang w:val="en-US"/>
        </w:rPr>
        <w:t xml:space="preserve">hereinafter “the Supreme Court” or </w:t>
      </w:r>
      <w:r w:rsidR="001A7EB2" w:rsidRPr="00222538">
        <w:rPr>
          <w:lang w:val="en-US"/>
        </w:rPr>
        <w:t>“CSJ”)</w:t>
      </w:r>
      <w:r w:rsidR="00F71AA3">
        <w:rPr>
          <w:lang w:val="en-US"/>
        </w:rPr>
        <w:t xml:space="preserve"> to have the JEM’s judgment suspended</w:t>
      </w:r>
      <w:r w:rsidR="001A7EB2" w:rsidRPr="00222538">
        <w:rPr>
          <w:lang w:val="en-US"/>
        </w:rPr>
        <w:t>.</w:t>
      </w:r>
    </w:p>
    <w:p w14:paraId="6D37E820" w14:textId="77777777" w:rsidR="001A7EB2" w:rsidRPr="00222538" w:rsidRDefault="001A7EB2" w:rsidP="001A7EB2">
      <w:pPr>
        <w:pStyle w:val="ListParagraph"/>
        <w:rPr>
          <w:rFonts w:asciiTheme="majorHAnsi" w:hAnsiTheme="majorHAnsi"/>
          <w:lang w:val="en-US"/>
        </w:rPr>
      </w:pPr>
    </w:p>
    <w:p w14:paraId="14D0F4B3" w14:textId="77777777" w:rsidR="001A7EB2" w:rsidRPr="00C93683" w:rsidRDefault="00C93683" w:rsidP="00A02ACB">
      <w:pPr>
        <w:pStyle w:val="parrafos"/>
        <w:rPr>
          <w:lang w:val="en-US"/>
        </w:rPr>
      </w:pPr>
      <w:r w:rsidRPr="00C93683">
        <w:rPr>
          <w:lang w:val="en-US"/>
        </w:rPr>
        <w:t xml:space="preserve">He states that although the judgment against him was not final, on April </w:t>
      </w:r>
      <w:r w:rsidR="001A7EB2" w:rsidRPr="00C93683">
        <w:rPr>
          <w:lang w:val="en-US"/>
        </w:rPr>
        <w:t>28</w:t>
      </w:r>
      <w:r w:rsidRPr="00C93683">
        <w:rPr>
          <w:lang w:val="en-US"/>
        </w:rPr>
        <w:t xml:space="preserve">, </w:t>
      </w:r>
      <w:r w:rsidR="001A7EB2" w:rsidRPr="00C93683">
        <w:rPr>
          <w:lang w:val="en-US"/>
        </w:rPr>
        <w:t>2003</w:t>
      </w:r>
      <w:r>
        <w:rPr>
          <w:lang w:val="en-US"/>
        </w:rPr>
        <w:t xml:space="preserve">, an Interim Prosecutor for Criminal Unit No. 10 was appointed, who withdrew the investigations he had been handling. </w:t>
      </w:r>
      <w:r w:rsidRPr="00C93683">
        <w:rPr>
          <w:lang w:val="en-US"/>
        </w:rPr>
        <w:t xml:space="preserve">He claims that the process took place without his participation or that of the staff members of the unit, which was permanently </w:t>
      </w:r>
      <w:r>
        <w:rPr>
          <w:lang w:val="en-US"/>
        </w:rPr>
        <w:t xml:space="preserve">dismantled. </w:t>
      </w:r>
      <w:r w:rsidRPr="00C93683">
        <w:rPr>
          <w:lang w:val="en-US"/>
        </w:rPr>
        <w:t>He alleges that the unit was searched by about 12 staff members of the Prosec</w:t>
      </w:r>
      <w:r>
        <w:rPr>
          <w:lang w:val="en-US"/>
        </w:rPr>
        <w:t>utor</w:t>
      </w:r>
      <w:r w:rsidRPr="00C93683">
        <w:rPr>
          <w:lang w:val="en-US"/>
        </w:rPr>
        <w:t xml:space="preserve"> General’s Office, who took all th</w:t>
      </w:r>
      <w:r>
        <w:rPr>
          <w:lang w:val="en-US"/>
        </w:rPr>
        <w:t xml:space="preserve">e files with them. </w:t>
      </w:r>
      <w:r w:rsidRPr="00C93683">
        <w:rPr>
          <w:lang w:val="en-US"/>
        </w:rPr>
        <w:t>He indicates that he appealed the decision on the appointment, in order to continue the investigations, but that he did not receiv</w:t>
      </w:r>
      <w:r>
        <w:rPr>
          <w:lang w:val="en-US"/>
        </w:rPr>
        <w:t>e any response from the FGE to this or other requests.</w:t>
      </w:r>
    </w:p>
    <w:p w14:paraId="2F482376" w14:textId="77777777" w:rsidR="001A7EB2" w:rsidRPr="00C93683" w:rsidRDefault="001A7EB2" w:rsidP="001A7EB2">
      <w:pPr>
        <w:pStyle w:val="ListParagraph"/>
        <w:rPr>
          <w:rFonts w:asciiTheme="majorHAnsi" w:hAnsiTheme="majorHAnsi"/>
          <w:lang w:val="en-US"/>
        </w:rPr>
      </w:pPr>
    </w:p>
    <w:p w14:paraId="7D8534B0" w14:textId="77777777" w:rsidR="001A7EB2" w:rsidRPr="00280B27" w:rsidRDefault="00280B27" w:rsidP="00A02ACB">
      <w:pPr>
        <w:pStyle w:val="parrafos"/>
        <w:rPr>
          <w:lang w:val="en-US"/>
        </w:rPr>
      </w:pPr>
      <w:r w:rsidRPr="00280B27">
        <w:rPr>
          <w:lang w:val="en-US"/>
        </w:rPr>
        <w:t xml:space="preserve">He indicates that on May </w:t>
      </w:r>
      <w:r w:rsidR="001A7EB2" w:rsidRPr="00280B27">
        <w:rPr>
          <w:lang w:val="en-US"/>
        </w:rPr>
        <w:t>16</w:t>
      </w:r>
      <w:r w:rsidRPr="00280B27">
        <w:rPr>
          <w:lang w:val="en-US"/>
        </w:rPr>
        <w:t xml:space="preserve">, </w:t>
      </w:r>
      <w:r w:rsidR="001A7EB2" w:rsidRPr="00280B27">
        <w:rPr>
          <w:lang w:val="en-US"/>
        </w:rPr>
        <w:t xml:space="preserve">2003, </w:t>
      </w:r>
      <w:r w:rsidRPr="00280B27">
        <w:rPr>
          <w:lang w:val="en-US"/>
        </w:rPr>
        <w:t>the</w:t>
      </w:r>
      <w:r w:rsidR="001A7EB2" w:rsidRPr="00280B27">
        <w:rPr>
          <w:lang w:val="en-US"/>
        </w:rPr>
        <w:t xml:space="preserve"> </w:t>
      </w:r>
      <w:r>
        <w:rPr>
          <w:lang w:val="en-US"/>
        </w:rPr>
        <w:t>Supreme Court</w:t>
      </w:r>
      <w:r w:rsidR="001A7EB2" w:rsidRPr="00280B27">
        <w:rPr>
          <w:lang w:val="en-US"/>
        </w:rPr>
        <w:t xml:space="preserve"> </w:t>
      </w:r>
      <w:r w:rsidRPr="00280B27">
        <w:rPr>
          <w:lang w:val="en-US"/>
        </w:rPr>
        <w:t xml:space="preserve">issued Interlocutory Decree No.  </w:t>
      </w:r>
      <w:r w:rsidR="001A7EB2" w:rsidRPr="00280B27">
        <w:rPr>
          <w:lang w:val="en-US"/>
        </w:rPr>
        <w:t xml:space="preserve">552, </w:t>
      </w:r>
      <w:r w:rsidRPr="00280B27">
        <w:rPr>
          <w:lang w:val="en-US"/>
        </w:rPr>
        <w:t>suspend</w:t>
      </w:r>
      <w:r w:rsidR="004A71C4">
        <w:rPr>
          <w:lang w:val="en-US"/>
        </w:rPr>
        <w:t>ing</w:t>
      </w:r>
      <w:r w:rsidRPr="00280B27">
        <w:rPr>
          <w:lang w:val="en-US"/>
        </w:rPr>
        <w:t xml:space="preserve"> the effects of the JEM’s judgment until the CSJ issued its ruling on th</w:t>
      </w:r>
      <w:r>
        <w:rPr>
          <w:lang w:val="en-US"/>
        </w:rPr>
        <w:t xml:space="preserve">e action of unconstitutionality. </w:t>
      </w:r>
      <w:r w:rsidRPr="00280B27">
        <w:rPr>
          <w:lang w:val="en-US"/>
        </w:rPr>
        <w:t xml:space="preserve">The petitioner states that on that same day, he resumed </w:t>
      </w:r>
      <w:r>
        <w:rPr>
          <w:lang w:val="en-US"/>
        </w:rPr>
        <w:t>his duties as a prosecutor.</w:t>
      </w:r>
    </w:p>
    <w:p w14:paraId="7A43476F" w14:textId="77777777" w:rsidR="00611321" w:rsidRPr="00280B27" w:rsidRDefault="00611321" w:rsidP="00611321">
      <w:pPr>
        <w:pStyle w:val="ListParagraph"/>
        <w:rPr>
          <w:lang w:val="en-US"/>
        </w:rPr>
      </w:pPr>
    </w:p>
    <w:p w14:paraId="02186523" w14:textId="77777777" w:rsidR="003A0CBC" w:rsidRPr="00384085" w:rsidRDefault="00280B27" w:rsidP="00611321">
      <w:pPr>
        <w:pStyle w:val="parrafos"/>
        <w:rPr>
          <w:lang w:val="en-US"/>
        </w:rPr>
      </w:pPr>
      <w:r w:rsidRPr="00384085">
        <w:rPr>
          <w:lang w:val="en-US"/>
        </w:rPr>
        <w:t xml:space="preserve">He </w:t>
      </w:r>
      <w:r w:rsidR="00C94EF2">
        <w:rPr>
          <w:lang w:val="en-US"/>
        </w:rPr>
        <w:t>states</w:t>
      </w:r>
      <w:r w:rsidRPr="00384085">
        <w:rPr>
          <w:lang w:val="en-US"/>
        </w:rPr>
        <w:t xml:space="preserve"> that the </w:t>
      </w:r>
      <w:r w:rsidR="004A71C4">
        <w:rPr>
          <w:lang w:val="en-US"/>
        </w:rPr>
        <w:t>Supreme Court</w:t>
      </w:r>
      <w:r w:rsidR="00384085" w:rsidRPr="00384085">
        <w:rPr>
          <w:lang w:val="en-US"/>
        </w:rPr>
        <w:t xml:space="preserve"> rejected the action of unconstitutionality against Judgment No.</w:t>
      </w:r>
      <w:r w:rsidR="00384085">
        <w:rPr>
          <w:lang w:val="en-US"/>
        </w:rPr>
        <w:t xml:space="preserve"> </w:t>
      </w:r>
      <w:r w:rsidR="00611321" w:rsidRPr="00384085">
        <w:rPr>
          <w:lang w:val="en-US"/>
        </w:rPr>
        <w:t xml:space="preserve">2/03 </w:t>
      </w:r>
      <w:r w:rsidR="00384085">
        <w:rPr>
          <w:lang w:val="en-US"/>
        </w:rPr>
        <w:t xml:space="preserve">of the </w:t>
      </w:r>
      <w:r w:rsidR="00611321" w:rsidRPr="00384085">
        <w:rPr>
          <w:lang w:val="en-US"/>
        </w:rPr>
        <w:t xml:space="preserve">JEM </w:t>
      </w:r>
      <w:r w:rsidR="00384085">
        <w:rPr>
          <w:lang w:val="en-US"/>
        </w:rPr>
        <w:t xml:space="preserve">on June </w:t>
      </w:r>
      <w:r w:rsidR="00611321" w:rsidRPr="00384085">
        <w:rPr>
          <w:lang w:val="en-US"/>
        </w:rPr>
        <w:t>16</w:t>
      </w:r>
      <w:r w:rsidR="00384085">
        <w:rPr>
          <w:lang w:val="en-US"/>
        </w:rPr>
        <w:t xml:space="preserve">, </w:t>
      </w:r>
      <w:r w:rsidR="00611321" w:rsidRPr="00384085">
        <w:rPr>
          <w:lang w:val="en-US"/>
        </w:rPr>
        <w:t>2004</w:t>
      </w:r>
      <w:r w:rsidR="00384085">
        <w:rPr>
          <w:lang w:val="en-US"/>
        </w:rPr>
        <w:t xml:space="preserve">, through </w:t>
      </w:r>
      <w:r w:rsidR="004A71C4">
        <w:rPr>
          <w:lang w:val="en-US"/>
        </w:rPr>
        <w:t xml:space="preserve">CSJ </w:t>
      </w:r>
      <w:r w:rsidR="00384085">
        <w:rPr>
          <w:lang w:val="en-US"/>
        </w:rPr>
        <w:t xml:space="preserve">Agreement and Judgment No. </w:t>
      </w:r>
      <w:r w:rsidR="00611321" w:rsidRPr="00384085">
        <w:rPr>
          <w:lang w:val="en-US"/>
        </w:rPr>
        <w:t xml:space="preserve">915. </w:t>
      </w:r>
      <w:r w:rsidR="00384085" w:rsidRPr="00384085">
        <w:rPr>
          <w:lang w:val="en-US"/>
        </w:rPr>
        <w:t xml:space="preserve">He </w:t>
      </w:r>
      <w:r w:rsidR="00C94EF2">
        <w:rPr>
          <w:lang w:val="en-US"/>
        </w:rPr>
        <w:t>claims</w:t>
      </w:r>
      <w:r w:rsidR="00384085" w:rsidRPr="00384085">
        <w:rPr>
          <w:lang w:val="en-US"/>
        </w:rPr>
        <w:t xml:space="preserve"> that the only action that can be brought against a JEM judgment under domestic law is an action of unconstitutionality; th</w:t>
      </w:r>
      <w:r w:rsidR="00384085">
        <w:rPr>
          <w:lang w:val="en-US"/>
        </w:rPr>
        <w:t>erefore, he considers that domestic remedies have been exhausted.</w:t>
      </w:r>
    </w:p>
    <w:p w14:paraId="7CECB445" w14:textId="77777777" w:rsidR="00611321" w:rsidRPr="00384085" w:rsidRDefault="00611321" w:rsidP="00611321">
      <w:pPr>
        <w:pStyle w:val="parrafos"/>
        <w:numPr>
          <w:ilvl w:val="0"/>
          <w:numId w:val="0"/>
        </w:numPr>
        <w:rPr>
          <w:lang w:val="en-US"/>
        </w:rPr>
      </w:pPr>
    </w:p>
    <w:p w14:paraId="1FCCC2FE" w14:textId="77777777" w:rsidR="003A0CBC" w:rsidRPr="00766381" w:rsidRDefault="008649CC" w:rsidP="003A0CBC">
      <w:pPr>
        <w:pStyle w:val="parrafos"/>
        <w:numPr>
          <w:ilvl w:val="0"/>
          <w:numId w:val="0"/>
        </w:numPr>
        <w:rPr>
          <w:i/>
        </w:rPr>
      </w:pPr>
      <w:r>
        <w:rPr>
          <w:i/>
        </w:rPr>
        <w:t xml:space="preserve">Second </w:t>
      </w:r>
      <w:r w:rsidR="00C94EF2">
        <w:rPr>
          <w:i/>
        </w:rPr>
        <w:t>proceeding</w:t>
      </w:r>
    </w:p>
    <w:p w14:paraId="0D614180" w14:textId="77777777" w:rsidR="001A7EB2" w:rsidRPr="00766381" w:rsidRDefault="001A7EB2" w:rsidP="001A7EB2">
      <w:pPr>
        <w:pStyle w:val="ListParagraph"/>
        <w:rPr>
          <w:rFonts w:asciiTheme="majorHAnsi" w:hAnsiTheme="majorHAnsi"/>
        </w:rPr>
      </w:pPr>
    </w:p>
    <w:p w14:paraId="671A79F4" w14:textId="77777777" w:rsidR="001A7EB2" w:rsidRPr="008649CC" w:rsidRDefault="008649CC" w:rsidP="00A02ACB">
      <w:pPr>
        <w:pStyle w:val="parrafos"/>
        <w:rPr>
          <w:lang w:val="en-US"/>
        </w:rPr>
      </w:pPr>
      <w:r w:rsidRPr="008649CC">
        <w:rPr>
          <w:lang w:val="en-US"/>
        </w:rPr>
        <w:t xml:space="preserve">The petitioner indicates that the Dures, a married couple </w:t>
      </w:r>
      <w:r w:rsidR="00E43703">
        <w:rPr>
          <w:lang w:val="en-US"/>
        </w:rPr>
        <w:t xml:space="preserve">who were </w:t>
      </w:r>
      <w:r w:rsidRPr="008649CC">
        <w:rPr>
          <w:lang w:val="en-US"/>
        </w:rPr>
        <w:t>being investigated by the alleged victim for wrongful acts against the public treasury, lodged the second complaint against him, in April</w:t>
      </w:r>
      <w:r>
        <w:rPr>
          <w:lang w:val="en-US"/>
        </w:rPr>
        <w:t xml:space="preserve"> </w:t>
      </w:r>
      <w:r w:rsidR="00966AE7" w:rsidRPr="008649CC">
        <w:rPr>
          <w:lang w:val="en-US"/>
        </w:rPr>
        <w:t xml:space="preserve">2003, </w:t>
      </w:r>
      <w:r>
        <w:rPr>
          <w:lang w:val="en-US"/>
        </w:rPr>
        <w:t xml:space="preserve">claiming poor performance owing to a clear-cut bias. </w:t>
      </w:r>
      <w:r w:rsidRPr="008649CC">
        <w:rPr>
          <w:lang w:val="en-US"/>
        </w:rPr>
        <w:t xml:space="preserve">He states that on May </w:t>
      </w:r>
      <w:r w:rsidR="001A7EB2" w:rsidRPr="008649CC">
        <w:rPr>
          <w:lang w:val="en-US"/>
        </w:rPr>
        <w:t>16</w:t>
      </w:r>
      <w:r w:rsidRPr="008649CC">
        <w:rPr>
          <w:lang w:val="en-US"/>
        </w:rPr>
        <w:t xml:space="preserve">, </w:t>
      </w:r>
      <w:r w:rsidR="001A7EB2" w:rsidRPr="008649CC">
        <w:rPr>
          <w:lang w:val="en-US"/>
        </w:rPr>
        <w:t xml:space="preserve">2003, </w:t>
      </w:r>
      <w:r w:rsidRPr="008649CC">
        <w:rPr>
          <w:lang w:val="en-US"/>
        </w:rPr>
        <w:t xml:space="preserve">a few hours after having resumed his duties, the </w:t>
      </w:r>
      <w:r>
        <w:rPr>
          <w:lang w:val="en-US"/>
        </w:rPr>
        <w:t xml:space="preserve">JEM decided to grant the petition and suspend him. </w:t>
      </w:r>
      <w:r w:rsidRPr="008649CC">
        <w:rPr>
          <w:lang w:val="en-US"/>
        </w:rPr>
        <w:t>He alleges that the JEM granted the petition in view of the suspension of th</w:t>
      </w:r>
      <w:r>
        <w:rPr>
          <w:lang w:val="en-US"/>
        </w:rPr>
        <w:t xml:space="preserve">e effects of Judgment No. </w:t>
      </w:r>
      <w:r w:rsidR="001A7EB2" w:rsidRPr="008649CC">
        <w:rPr>
          <w:lang w:val="en-US"/>
        </w:rPr>
        <w:t xml:space="preserve">2/03. </w:t>
      </w:r>
      <w:r w:rsidRPr="008649CC">
        <w:rPr>
          <w:lang w:val="en-US"/>
        </w:rPr>
        <w:t>In this regard, he claims that this decision violated the principle of presumption of innocence and due process, since it prevented him fro</w:t>
      </w:r>
      <w:r>
        <w:rPr>
          <w:lang w:val="en-US"/>
        </w:rPr>
        <w:t>m taking part in the proceeding.</w:t>
      </w:r>
    </w:p>
    <w:p w14:paraId="7DC57727" w14:textId="77777777" w:rsidR="001A7EB2" w:rsidRPr="008649CC" w:rsidRDefault="001A7EB2" w:rsidP="001A7EB2">
      <w:pPr>
        <w:pStyle w:val="ListParagraph"/>
        <w:rPr>
          <w:rFonts w:asciiTheme="majorHAnsi" w:hAnsiTheme="majorHAnsi"/>
          <w:lang w:val="en-US"/>
        </w:rPr>
      </w:pPr>
    </w:p>
    <w:p w14:paraId="1B791A7E" w14:textId="77777777" w:rsidR="00611321" w:rsidRPr="00E43703" w:rsidRDefault="00AF6802" w:rsidP="00AF6802">
      <w:pPr>
        <w:pStyle w:val="parrafos"/>
        <w:rPr>
          <w:lang w:val="en-US"/>
        </w:rPr>
      </w:pPr>
      <w:r w:rsidRPr="00AF6802">
        <w:rPr>
          <w:lang w:val="en-US"/>
        </w:rPr>
        <w:t xml:space="preserve">He notes that in response to the JEM’s request to suspend him in this second case, on May </w:t>
      </w:r>
      <w:r w:rsidR="001A7EB2" w:rsidRPr="00AF6802">
        <w:rPr>
          <w:lang w:val="en-US"/>
        </w:rPr>
        <w:t>20</w:t>
      </w:r>
      <w:r>
        <w:rPr>
          <w:lang w:val="en-US"/>
        </w:rPr>
        <w:t xml:space="preserve">, </w:t>
      </w:r>
      <w:r w:rsidR="001A7EB2" w:rsidRPr="00AF6802">
        <w:rPr>
          <w:lang w:val="en-US"/>
        </w:rPr>
        <w:t xml:space="preserve">2003, </w:t>
      </w:r>
      <w:r>
        <w:rPr>
          <w:lang w:val="en-US"/>
        </w:rPr>
        <w:t>the</w:t>
      </w:r>
      <w:r w:rsidR="001A7EB2" w:rsidRPr="00AF6802">
        <w:rPr>
          <w:lang w:val="en-US"/>
        </w:rPr>
        <w:t xml:space="preserve"> CSJ </w:t>
      </w:r>
      <w:r>
        <w:rPr>
          <w:lang w:val="en-US"/>
        </w:rPr>
        <w:t>decided that the petitioner w</w:t>
      </w:r>
      <w:r w:rsidR="00E10F82">
        <w:rPr>
          <w:lang w:val="en-US"/>
        </w:rPr>
        <w:t>ould</w:t>
      </w:r>
      <w:r>
        <w:rPr>
          <w:lang w:val="en-US"/>
        </w:rPr>
        <w:t xml:space="preserve"> be suspended without pay until the final ruling was made. </w:t>
      </w:r>
      <w:r w:rsidRPr="00AF6802">
        <w:rPr>
          <w:lang w:val="en-US"/>
        </w:rPr>
        <w:t>He maintains that due t</w:t>
      </w:r>
      <w:r>
        <w:rPr>
          <w:lang w:val="en-US"/>
        </w:rPr>
        <w:t>o</w:t>
      </w:r>
      <w:r w:rsidRPr="00AF6802">
        <w:rPr>
          <w:lang w:val="en-US"/>
        </w:rPr>
        <w:t xml:space="preserve"> the pressure of </w:t>
      </w:r>
      <w:r>
        <w:rPr>
          <w:lang w:val="en-US"/>
        </w:rPr>
        <w:t>public opinion, the CSJ retracted its decision in part and ordered that he be paid 50</w:t>
      </w:r>
      <w:r w:rsidR="00E43703">
        <w:rPr>
          <w:lang w:val="en-US"/>
        </w:rPr>
        <w:t xml:space="preserve"> percent</w:t>
      </w:r>
      <w:r>
        <w:rPr>
          <w:lang w:val="en-US"/>
        </w:rPr>
        <w:t xml:space="preserve"> of his salary. </w:t>
      </w:r>
      <w:r w:rsidRPr="00E43703">
        <w:rPr>
          <w:lang w:val="en-US"/>
        </w:rPr>
        <w:t xml:space="preserve">He indicates that this situation </w:t>
      </w:r>
      <w:r w:rsidR="00080188" w:rsidRPr="00E43703">
        <w:rPr>
          <w:lang w:val="en-US"/>
        </w:rPr>
        <w:t>affected</w:t>
      </w:r>
      <w:r w:rsidRPr="00E43703">
        <w:rPr>
          <w:lang w:val="en-US"/>
        </w:rPr>
        <w:t xml:space="preserve"> his family.</w:t>
      </w:r>
    </w:p>
    <w:p w14:paraId="0FFA090D" w14:textId="77777777" w:rsidR="00AF6802" w:rsidRPr="00E43703" w:rsidRDefault="00AF6802" w:rsidP="00AF6802">
      <w:pPr>
        <w:pStyle w:val="parrafos"/>
        <w:numPr>
          <w:ilvl w:val="0"/>
          <w:numId w:val="0"/>
        </w:numPr>
        <w:rPr>
          <w:lang w:val="en-US"/>
        </w:rPr>
      </w:pPr>
    </w:p>
    <w:p w14:paraId="0639F0D2" w14:textId="77777777" w:rsidR="001A7EB2" w:rsidRPr="00080188" w:rsidRDefault="00080188" w:rsidP="00A02ACB">
      <w:pPr>
        <w:pStyle w:val="parrafos"/>
        <w:rPr>
          <w:lang w:val="en-US"/>
        </w:rPr>
      </w:pPr>
      <w:r w:rsidRPr="00080188">
        <w:rPr>
          <w:lang w:val="en-US"/>
        </w:rPr>
        <w:t>He states that a nin</w:t>
      </w:r>
      <w:r w:rsidR="00E43703">
        <w:rPr>
          <w:lang w:val="en-US"/>
        </w:rPr>
        <w:t>e</w:t>
      </w:r>
      <w:r w:rsidRPr="00080188">
        <w:rPr>
          <w:lang w:val="en-US"/>
        </w:rPr>
        <w:t xml:space="preserve">-member jury acquitted him through Final Judgment No. </w:t>
      </w:r>
      <w:r w:rsidR="001A7EB2" w:rsidRPr="00080188">
        <w:rPr>
          <w:lang w:val="en-US"/>
        </w:rPr>
        <w:t xml:space="preserve">11-04 </w:t>
      </w:r>
      <w:r>
        <w:rPr>
          <w:lang w:val="en-US"/>
        </w:rPr>
        <w:t>of April</w:t>
      </w:r>
      <w:r w:rsidR="001A7EB2" w:rsidRPr="00080188">
        <w:rPr>
          <w:lang w:val="en-US"/>
        </w:rPr>
        <w:t xml:space="preserve"> 29</w:t>
      </w:r>
      <w:r>
        <w:rPr>
          <w:lang w:val="en-US"/>
        </w:rPr>
        <w:t xml:space="preserve">, </w:t>
      </w:r>
      <w:r w:rsidR="001A7EB2" w:rsidRPr="00080188">
        <w:rPr>
          <w:lang w:val="en-US"/>
        </w:rPr>
        <w:t xml:space="preserve">2004. </w:t>
      </w:r>
      <w:r w:rsidRPr="00080188">
        <w:rPr>
          <w:lang w:val="en-US"/>
        </w:rPr>
        <w:t xml:space="preserve">He claims that he filed a petition for clarification so that the JEM would rule on costs and that on May </w:t>
      </w:r>
      <w:r w:rsidR="001A7EB2" w:rsidRPr="00080188">
        <w:rPr>
          <w:lang w:val="en-US"/>
        </w:rPr>
        <w:t>13</w:t>
      </w:r>
      <w:r>
        <w:rPr>
          <w:lang w:val="en-US"/>
        </w:rPr>
        <w:t xml:space="preserve">, </w:t>
      </w:r>
      <w:r w:rsidR="001A7EB2" w:rsidRPr="00080188">
        <w:rPr>
          <w:lang w:val="en-US"/>
        </w:rPr>
        <w:t xml:space="preserve">2004, </w:t>
      </w:r>
      <w:r>
        <w:rPr>
          <w:lang w:val="en-US"/>
        </w:rPr>
        <w:t>it decided that “each party should bear its own costs.</w:t>
      </w:r>
      <w:r w:rsidR="001A7EB2" w:rsidRPr="00080188">
        <w:rPr>
          <w:lang w:val="en-US"/>
        </w:rPr>
        <w:t>”</w:t>
      </w:r>
    </w:p>
    <w:p w14:paraId="77D86B7F" w14:textId="77777777" w:rsidR="00B33DBA" w:rsidRPr="00080188" w:rsidRDefault="00B33DBA" w:rsidP="00B33DBA">
      <w:pPr>
        <w:pStyle w:val="ListParagraph"/>
        <w:rPr>
          <w:lang w:val="en-US"/>
        </w:rPr>
      </w:pPr>
    </w:p>
    <w:p w14:paraId="44A0E4B7" w14:textId="77777777" w:rsidR="00361415" w:rsidRPr="0050463D" w:rsidRDefault="00080188" w:rsidP="00874A6B">
      <w:pPr>
        <w:pStyle w:val="parrafos"/>
        <w:rPr>
          <w:lang w:val="en-US"/>
        </w:rPr>
      </w:pPr>
      <w:r w:rsidRPr="0050463D">
        <w:rPr>
          <w:lang w:val="en-US"/>
        </w:rPr>
        <w:t>The petitioner maintains that the State</w:t>
      </w:r>
      <w:r w:rsidR="00B33DBA" w:rsidRPr="0050463D">
        <w:rPr>
          <w:lang w:val="en-US"/>
        </w:rPr>
        <w:t xml:space="preserve"> </w:t>
      </w:r>
      <w:r w:rsidRPr="0050463D">
        <w:rPr>
          <w:lang w:val="en-US"/>
        </w:rPr>
        <w:t xml:space="preserve">allowed special juries and tribunals, dependents, and interested parties to be </w:t>
      </w:r>
      <w:r w:rsidRPr="00E10F82">
        <w:rPr>
          <w:lang w:val="en-US"/>
        </w:rPr>
        <w:t>directly involved</w:t>
      </w:r>
      <w:r w:rsidRPr="0050463D">
        <w:rPr>
          <w:lang w:val="en-US"/>
        </w:rPr>
        <w:t xml:space="preserve"> in the </w:t>
      </w:r>
      <w:r w:rsidR="000D5E6E">
        <w:rPr>
          <w:lang w:val="en-US"/>
        </w:rPr>
        <w:t>preordained</w:t>
      </w:r>
      <w:r w:rsidRPr="0050463D">
        <w:rPr>
          <w:lang w:val="en-US"/>
        </w:rPr>
        <w:t xml:space="preserve"> result of his removal.</w:t>
      </w:r>
      <w:r w:rsidR="0050463D" w:rsidRPr="0050463D">
        <w:rPr>
          <w:lang w:val="en-US"/>
        </w:rPr>
        <w:t xml:space="preserve"> </w:t>
      </w:r>
      <w:r w:rsidRPr="0050463D">
        <w:rPr>
          <w:lang w:val="en-US"/>
        </w:rPr>
        <w:t xml:space="preserve">He indicates that the justice operators who judged him should have </w:t>
      </w:r>
      <w:r w:rsidR="000D5E6E">
        <w:rPr>
          <w:lang w:val="en-US"/>
        </w:rPr>
        <w:t>removed themselves from the proceedings</w:t>
      </w:r>
      <w:r w:rsidRPr="0050463D">
        <w:rPr>
          <w:lang w:val="en-US"/>
        </w:rPr>
        <w:t>, since they were being investigated by the alleged victim.</w:t>
      </w:r>
      <w:r w:rsidR="0050463D" w:rsidRPr="0050463D">
        <w:rPr>
          <w:lang w:val="en-US"/>
        </w:rPr>
        <w:t xml:space="preserve"> </w:t>
      </w:r>
      <w:r w:rsidRPr="0050463D">
        <w:rPr>
          <w:lang w:val="en-US"/>
        </w:rPr>
        <w:t xml:space="preserve">In addition, the petitioner indicates that the JEM issued a ruling without providing the necessary </w:t>
      </w:r>
      <w:r w:rsidR="00CA4D7D">
        <w:rPr>
          <w:lang w:val="en-US"/>
        </w:rPr>
        <w:t xml:space="preserve">legal </w:t>
      </w:r>
      <w:r w:rsidR="0050463D">
        <w:rPr>
          <w:lang w:val="en-US"/>
        </w:rPr>
        <w:t>reasoning</w:t>
      </w:r>
      <w:r w:rsidR="0050463D" w:rsidRPr="0050463D">
        <w:rPr>
          <w:lang w:val="en-US"/>
        </w:rPr>
        <w:t xml:space="preserve">; evidence of that is that the </w:t>
      </w:r>
      <w:r w:rsidR="006F0A3C">
        <w:rPr>
          <w:lang w:val="en-US"/>
        </w:rPr>
        <w:t xml:space="preserve">sanction </w:t>
      </w:r>
      <w:r w:rsidR="0050463D" w:rsidRPr="0050463D">
        <w:rPr>
          <w:lang w:val="en-US"/>
        </w:rPr>
        <w:t>decision</w:t>
      </w:r>
      <w:r w:rsidRPr="0050463D">
        <w:rPr>
          <w:lang w:val="en-US"/>
        </w:rPr>
        <w:t xml:space="preserve"> </w:t>
      </w:r>
      <w:r w:rsidR="0050463D" w:rsidRPr="0050463D">
        <w:rPr>
          <w:lang w:val="en-US"/>
        </w:rPr>
        <w:t>lays out facts that are different than those in the complaints, as it include</w:t>
      </w:r>
      <w:r w:rsidR="0050463D">
        <w:rPr>
          <w:lang w:val="en-US"/>
        </w:rPr>
        <w:t>s</w:t>
      </w:r>
      <w:r w:rsidR="0050463D" w:rsidRPr="0050463D">
        <w:rPr>
          <w:lang w:val="en-US"/>
        </w:rPr>
        <w:t xml:space="preserve"> </w:t>
      </w:r>
      <w:r w:rsidR="00CA4D7D">
        <w:rPr>
          <w:lang w:val="en-US"/>
        </w:rPr>
        <w:t>his</w:t>
      </w:r>
      <w:r w:rsidR="0050463D">
        <w:rPr>
          <w:lang w:val="en-US"/>
        </w:rPr>
        <w:t xml:space="preserve"> </w:t>
      </w:r>
      <w:r w:rsidR="0050463D" w:rsidRPr="0050463D">
        <w:rPr>
          <w:lang w:val="en-US"/>
        </w:rPr>
        <w:t xml:space="preserve">alleged </w:t>
      </w:r>
      <w:r w:rsidR="00CA4D7D">
        <w:rPr>
          <w:lang w:val="en-US"/>
        </w:rPr>
        <w:t>failure to comply</w:t>
      </w:r>
      <w:r w:rsidR="0050463D" w:rsidRPr="0050463D">
        <w:rPr>
          <w:lang w:val="en-US"/>
        </w:rPr>
        <w:t xml:space="preserve"> with Administrative Resolution No. </w:t>
      </w:r>
      <w:r w:rsidR="008C645C" w:rsidRPr="0050463D">
        <w:rPr>
          <w:lang w:val="en-US"/>
        </w:rPr>
        <w:t xml:space="preserve">68/2001. </w:t>
      </w:r>
      <w:r w:rsidR="0050463D" w:rsidRPr="0050463D">
        <w:rPr>
          <w:lang w:val="en-US"/>
        </w:rPr>
        <w:lastRenderedPageBreak/>
        <w:t xml:space="preserve">The petitioner also argues that his right to presumption of innocence was violated, as the Supreme Court </w:t>
      </w:r>
      <w:r w:rsidR="007C49CC">
        <w:rPr>
          <w:lang w:val="en-US"/>
        </w:rPr>
        <w:t xml:space="preserve">ruled that </w:t>
      </w:r>
      <w:r w:rsidR="00CA4D7D">
        <w:rPr>
          <w:lang w:val="en-US"/>
        </w:rPr>
        <w:t xml:space="preserve">his wages </w:t>
      </w:r>
      <w:r w:rsidR="007C49CC">
        <w:rPr>
          <w:lang w:val="en-US"/>
        </w:rPr>
        <w:t xml:space="preserve">were to be suspended, by means of </w:t>
      </w:r>
      <w:r w:rsidR="0050463D" w:rsidRPr="0050463D">
        <w:rPr>
          <w:lang w:val="en-US"/>
        </w:rPr>
        <w:t>a decision that could not be appealed</w:t>
      </w:r>
      <w:r w:rsidR="0050463D">
        <w:rPr>
          <w:lang w:val="en-US"/>
        </w:rPr>
        <w:t>, thus violating Article 8 of the Convention.</w:t>
      </w:r>
    </w:p>
    <w:p w14:paraId="6B732ACD" w14:textId="77777777" w:rsidR="00D12193" w:rsidRPr="00766381" w:rsidRDefault="00AF48C1" w:rsidP="00AF48C1">
      <w:pPr>
        <w:pStyle w:val="Heading2"/>
      </w:pPr>
      <w:bookmarkStart w:id="3" w:name="_Toc42595061"/>
      <w:r w:rsidRPr="00766381">
        <w:t xml:space="preserve">B. </w:t>
      </w:r>
      <w:bookmarkEnd w:id="3"/>
      <w:r w:rsidR="003B0D60">
        <w:t>State</w:t>
      </w:r>
      <w:r w:rsidR="00CC63CF" w:rsidRPr="00766381">
        <w:t xml:space="preserve"> </w:t>
      </w:r>
    </w:p>
    <w:p w14:paraId="3C3DF103" w14:textId="77777777" w:rsidR="007C756A" w:rsidRPr="00766381" w:rsidRDefault="007C756A" w:rsidP="00914740">
      <w:pPr>
        <w:tabs>
          <w:tab w:val="left" w:pos="360"/>
        </w:tabs>
        <w:suppressAutoHyphens/>
        <w:rPr>
          <w:rFonts w:asciiTheme="majorHAnsi" w:hAnsiTheme="majorHAnsi"/>
          <w:sz w:val="20"/>
          <w:szCs w:val="20"/>
          <w:lang w:val="es-ES_tradnl"/>
        </w:rPr>
      </w:pPr>
    </w:p>
    <w:p w14:paraId="2F53C15B" w14:textId="77777777" w:rsidR="00351BA6" w:rsidRPr="00872B99" w:rsidRDefault="003B0D60" w:rsidP="00351BA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rPr>
          <w:sz w:val="20"/>
          <w:szCs w:val="20"/>
        </w:rPr>
      </w:pPr>
      <w:r w:rsidRPr="003B0D60">
        <w:rPr>
          <w:rFonts w:ascii="Cambria" w:hAnsi="Cambria"/>
          <w:sz w:val="20"/>
          <w:szCs w:val="20"/>
        </w:rPr>
        <w:t xml:space="preserve">The State did not submit </w:t>
      </w:r>
      <w:r w:rsidR="007C49CC" w:rsidRPr="003B0D60">
        <w:rPr>
          <w:rFonts w:ascii="Cambria" w:hAnsi="Cambria"/>
          <w:sz w:val="20"/>
          <w:szCs w:val="20"/>
        </w:rPr>
        <w:t>observations</w:t>
      </w:r>
      <w:r w:rsidRPr="003B0D60">
        <w:rPr>
          <w:rFonts w:ascii="Cambria" w:hAnsi="Cambria"/>
          <w:sz w:val="20"/>
          <w:szCs w:val="20"/>
        </w:rPr>
        <w:t xml:space="preserve"> during this stage, and therefor</w:t>
      </w:r>
      <w:r w:rsidR="007C49CC">
        <w:rPr>
          <w:rFonts w:ascii="Cambria" w:hAnsi="Cambria"/>
          <w:sz w:val="20"/>
          <w:szCs w:val="20"/>
        </w:rPr>
        <w:t>e</w:t>
      </w:r>
      <w:r w:rsidRPr="003B0D60">
        <w:rPr>
          <w:rFonts w:ascii="Cambria" w:hAnsi="Cambria"/>
          <w:sz w:val="20"/>
          <w:szCs w:val="20"/>
        </w:rPr>
        <w:t xml:space="preserve"> this section is based on the arguments on the merits </w:t>
      </w:r>
      <w:r w:rsidR="007C49CC">
        <w:rPr>
          <w:rFonts w:ascii="Cambria" w:hAnsi="Cambria"/>
          <w:sz w:val="20"/>
          <w:szCs w:val="20"/>
        </w:rPr>
        <w:t>that it put forward</w:t>
      </w:r>
      <w:r w:rsidRPr="003B0D60">
        <w:rPr>
          <w:rFonts w:ascii="Cambria" w:hAnsi="Cambria"/>
          <w:sz w:val="20"/>
          <w:szCs w:val="20"/>
        </w:rPr>
        <w:t xml:space="preserve"> during the admissibility stage.</w:t>
      </w:r>
    </w:p>
    <w:p w14:paraId="3B2D7B8D" w14:textId="77777777" w:rsidR="00351BA6" w:rsidRPr="00872B99" w:rsidRDefault="00351BA6" w:rsidP="00351BA6">
      <w:pPr>
        <w:pStyle w:val="parrafos"/>
        <w:numPr>
          <w:ilvl w:val="0"/>
          <w:numId w:val="0"/>
        </w:numPr>
        <w:rPr>
          <w:rFonts w:ascii="Cambria" w:hAnsi="Cambria"/>
          <w:lang w:val="en-US"/>
        </w:rPr>
      </w:pPr>
    </w:p>
    <w:p w14:paraId="5AE9B29A" w14:textId="77777777" w:rsidR="00C04E87" w:rsidRPr="003B0D60" w:rsidRDefault="003B0D60" w:rsidP="00A02ACB">
      <w:pPr>
        <w:pStyle w:val="parrafos"/>
        <w:rPr>
          <w:rFonts w:ascii="Cambria" w:hAnsi="Cambria"/>
          <w:lang w:val="en-US"/>
        </w:rPr>
      </w:pPr>
      <w:r w:rsidRPr="003B0D60">
        <w:rPr>
          <w:rFonts w:ascii="Cambria" w:hAnsi="Cambria"/>
          <w:lang w:val="en-US"/>
        </w:rPr>
        <w:t xml:space="preserve">The State indicates that on March </w:t>
      </w:r>
      <w:r w:rsidR="00C04E87" w:rsidRPr="003B0D60">
        <w:rPr>
          <w:rFonts w:ascii="Cambria" w:hAnsi="Cambria"/>
          <w:lang w:val="en-US"/>
        </w:rPr>
        <w:t>12</w:t>
      </w:r>
      <w:r w:rsidRPr="003B0D60">
        <w:rPr>
          <w:rFonts w:ascii="Cambria" w:hAnsi="Cambria"/>
          <w:lang w:val="en-US"/>
        </w:rPr>
        <w:t xml:space="preserve">, </w:t>
      </w:r>
      <w:r w:rsidR="00C04E87" w:rsidRPr="003B0D60">
        <w:rPr>
          <w:rFonts w:ascii="Cambria" w:hAnsi="Cambria"/>
          <w:lang w:val="en-US"/>
        </w:rPr>
        <w:t xml:space="preserve">2002, Cristian Paolo Ortiz </w:t>
      </w:r>
      <w:r w:rsidRPr="003B0D60">
        <w:rPr>
          <w:rFonts w:ascii="Cambria" w:hAnsi="Cambria"/>
          <w:lang w:val="en-US"/>
        </w:rPr>
        <w:t xml:space="preserve">lodged a formal charge and requested the alleged victim’s prosecution, on grounds established in Article </w:t>
      </w:r>
      <w:r w:rsidR="00C04E87" w:rsidRPr="003B0D60">
        <w:rPr>
          <w:rFonts w:ascii="Cambria" w:hAnsi="Cambria"/>
          <w:lang w:val="en-US"/>
        </w:rPr>
        <w:t xml:space="preserve">14 </w:t>
      </w:r>
      <w:r w:rsidRPr="003B0D60">
        <w:rPr>
          <w:rFonts w:ascii="Cambria" w:hAnsi="Cambria"/>
          <w:lang w:val="en-US"/>
        </w:rPr>
        <w:t xml:space="preserve">of Law </w:t>
      </w:r>
      <w:r w:rsidR="00C04E87" w:rsidRPr="003B0D60">
        <w:rPr>
          <w:rFonts w:ascii="Cambria" w:hAnsi="Cambria"/>
          <w:lang w:val="en-US"/>
        </w:rPr>
        <w:t xml:space="preserve">No. 1084/97 </w:t>
      </w:r>
      <w:r w:rsidRPr="003B0D60">
        <w:rPr>
          <w:rFonts w:ascii="Cambria" w:hAnsi="Cambria"/>
          <w:lang w:val="en-US"/>
        </w:rPr>
        <w:t>for po</w:t>
      </w:r>
      <w:r>
        <w:rPr>
          <w:rFonts w:ascii="Cambria" w:hAnsi="Cambria"/>
          <w:lang w:val="en-US"/>
        </w:rPr>
        <w:t xml:space="preserve">or performance of his duties, specifically as noted in subparagraphs </w:t>
      </w:r>
      <w:r w:rsidR="008C679C">
        <w:rPr>
          <w:rFonts w:ascii="Cambria" w:hAnsi="Cambria"/>
          <w:lang w:val="en-US"/>
        </w:rPr>
        <w:t>(</w:t>
      </w:r>
      <w:r w:rsidR="00C04E87" w:rsidRPr="003B0D60">
        <w:rPr>
          <w:rFonts w:ascii="Cambria" w:hAnsi="Cambria"/>
          <w:lang w:val="en-US"/>
        </w:rPr>
        <w:t xml:space="preserve">b), </w:t>
      </w:r>
      <w:r w:rsidR="008C679C">
        <w:rPr>
          <w:rFonts w:ascii="Cambria" w:hAnsi="Cambria"/>
          <w:lang w:val="en-US"/>
        </w:rPr>
        <w:t>(</w:t>
      </w:r>
      <w:r w:rsidR="00C04E87" w:rsidRPr="003B0D60">
        <w:rPr>
          <w:rFonts w:ascii="Cambria" w:hAnsi="Cambria"/>
          <w:lang w:val="en-US"/>
        </w:rPr>
        <w:t xml:space="preserve">g), </w:t>
      </w:r>
      <w:r w:rsidR="008C679C">
        <w:rPr>
          <w:rFonts w:ascii="Cambria" w:hAnsi="Cambria"/>
          <w:lang w:val="en-US"/>
        </w:rPr>
        <w:t>(</w:t>
      </w:r>
      <w:r w:rsidR="00C04E87" w:rsidRPr="003B0D60">
        <w:rPr>
          <w:rFonts w:ascii="Cambria" w:hAnsi="Cambria"/>
          <w:lang w:val="en-US"/>
        </w:rPr>
        <w:t>m)</w:t>
      </w:r>
      <w:r>
        <w:rPr>
          <w:rFonts w:ascii="Cambria" w:hAnsi="Cambria"/>
          <w:lang w:val="en-US"/>
        </w:rPr>
        <w:t xml:space="preserve">, and </w:t>
      </w:r>
      <w:r w:rsidR="008C679C">
        <w:rPr>
          <w:rFonts w:ascii="Cambria" w:hAnsi="Cambria"/>
          <w:lang w:val="en-US"/>
        </w:rPr>
        <w:t>(</w:t>
      </w:r>
      <w:r w:rsidR="00C04E87" w:rsidRPr="003B0D60">
        <w:rPr>
          <w:rFonts w:ascii="Cambria" w:hAnsi="Cambria"/>
          <w:lang w:val="en-US"/>
        </w:rPr>
        <w:t>p)</w:t>
      </w:r>
      <w:r w:rsidR="00CC63CF" w:rsidRPr="003B0D60">
        <w:rPr>
          <w:rFonts w:ascii="Cambria" w:hAnsi="Cambria"/>
          <w:lang w:val="en-US"/>
        </w:rPr>
        <w:t>.</w:t>
      </w:r>
    </w:p>
    <w:p w14:paraId="5275AABE" w14:textId="77777777" w:rsidR="00C04E87" w:rsidRPr="003B0D60" w:rsidRDefault="00CC63CF" w:rsidP="00C04E87">
      <w:pPr>
        <w:pStyle w:val="parrafos"/>
        <w:numPr>
          <w:ilvl w:val="0"/>
          <w:numId w:val="0"/>
        </w:numPr>
        <w:rPr>
          <w:rFonts w:ascii="Cambria" w:hAnsi="Cambria"/>
          <w:lang w:val="en-US"/>
        </w:rPr>
      </w:pPr>
      <w:r w:rsidRPr="003B0D60">
        <w:rPr>
          <w:rFonts w:ascii="Cambria" w:hAnsi="Cambria"/>
          <w:lang w:val="en-US"/>
        </w:rPr>
        <w:t xml:space="preserve"> </w:t>
      </w:r>
    </w:p>
    <w:p w14:paraId="07240AFA" w14:textId="77777777" w:rsidR="004A1220" w:rsidRPr="008435D2" w:rsidRDefault="003B0D60" w:rsidP="00A02ACB">
      <w:pPr>
        <w:pStyle w:val="parrafos"/>
        <w:rPr>
          <w:rFonts w:ascii="Cambria" w:hAnsi="Cambria"/>
          <w:lang w:val="en-US"/>
        </w:rPr>
      </w:pPr>
      <w:r w:rsidRPr="008435D2">
        <w:rPr>
          <w:lang w:val="en-US"/>
        </w:rPr>
        <w:t xml:space="preserve">It indicates that on March </w:t>
      </w:r>
      <w:r w:rsidR="004A1220" w:rsidRPr="008435D2">
        <w:rPr>
          <w:lang w:val="en-US"/>
        </w:rPr>
        <w:t>18</w:t>
      </w:r>
      <w:r w:rsidRPr="008435D2">
        <w:rPr>
          <w:lang w:val="en-US"/>
        </w:rPr>
        <w:t xml:space="preserve">, </w:t>
      </w:r>
      <w:r w:rsidR="004A1220" w:rsidRPr="008435D2">
        <w:rPr>
          <w:lang w:val="en-US"/>
        </w:rPr>
        <w:t xml:space="preserve">2002, </w:t>
      </w:r>
      <w:r w:rsidRPr="008435D2">
        <w:rPr>
          <w:lang w:val="en-US"/>
        </w:rPr>
        <w:t xml:space="preserve">the JEM </w:t>
      </w:r>
      <w:r w:rsidR="00DF13BA">
        <w:rPr>
          <w:lang w:val="en-US"/>
        </w:rPr>
        <w:t>initiated</w:t>
      </w:r>
      <w:r w:rsidRPr="008435D2">
        <w:rPr>
          <w:lang w:val="en-US"/>
        </w:rPr>
        <w:t xml:space="preserve"> the prosecution of the alleged victim</w:t>
      </w:r>
      <w:r w:rsidR="008435D2" w:rsidRPr="008435D2">
        <w:rPr>
          <w:lang w:val="en-US"/>
        </w:rPr>
        <w:t xml:space="preserve"> and </w:t>
      </w:r>
      <w:r w:rsidR="008A7DF8">
        <w:rPr>
          <w:lang w:val="en-US"/>
        </w:rPr>
        <w:t>served</w:t>
      </w:r>
      <w:r w:rsidR="008435D2" w:rsidRPr="008435D2">
        <w:rPr>
          <w:lang w:val="en-US"/>
        </w:rPr>
        <w:t xml:space="preserve"> </w:t>
      </w:r>
      <w:r w:rsidR="00362DFE">
        <w:rPr>
          <w:lang w:val="en-US"/>
        </w:rPr>
        <w:t xml:space="preserve">him with </w:t>
      </w:r>
      <w:r w:rsidR="0045130A">
        <w:rPr>
          <w:lang w:val="en-US"/>
        </w:rPr>
        <w:t>the formal charge</w:t>
      </w:r>
      <w:r w:rsidR="008435D2" w:rsidRPr="008435D2">
        <w:rPr>
          <w:lang w:val="en-US"/>
        </w:rPr>
        <w:t xml:space="preserve">, which </w:t>
      </w:r>
      <w:r w:rsidR="00DF13BA">
        <w:rPr>
          <w:lang w:val="en-US"/>
        </w:rPr>
        <w:t>he</w:t>
      </w:r>
      <w:r w:rsidR="008435D2" w:rsidRPr="008435D2">
        <w:rPr>
          <w:lang w:val="en-US"/>
        </w:rPr>
        <w:t xml:space="preserve"> responded to on April </w:t>
      </w:r>
      <w:r w:rsidR="004A1220" w:rsidRPr="008435D2">
        <w:rPr>
          <w:lang w:val="en-US"/>
        </w:rPr>
        <w:t>16</w:t>
      </w:r>
      <w:r w:rsidR="008435D2" w:rsidRPr="008435D2">
        <w:rPr>
          <w:lang w:val="en-US"/>
        </w:rPr>
        <w:t>,</w:t>
      </w:r>
      <w:r w:rsidR="008435D2">
        <w:rPr>
          <w:lang w:val="en-US"/>
        </w:rPr>
        <w:t xml:space="preserve"> </w:t>
      </w:r>
      <w:r w:rsidR="004A1220" w:rsidRPr="008435D2">
        <w:rPr>
          <w:lang w:val="en-US"/>
        </w:rPr>
        <w:t>2002</w:t>
      </w:r>
      <w:r w:rsidR="0086680C" w:rsidRPr="008435D2">
        <w:rPr>
          <w:lang w:val="en-US"/>
        </w:rPr>
        <w:t xml:space="preserve">, </w:t>
      </w:r>
      <w:r w:rsidR="008435D2">
        <w:rPr>
          <w:lang w:val="en-US"/>
        </w:rPr>
        <w:t xml:space="preserve">and that on May 22, 2002, the </w:t>
      </w:r>
      <w:r w:rsidR="00DF13BA">
        <w:rPr>
          <w:lang w:val="en-US"/>
        </w:rPr>
        <w:t>JEM</w:t>
      </w:r>
      <w:r w:rsidR="008435D2">
        <w:rPr>
          <w:lang w:val="en-US"/>
        </w:rPr>
        <w:t xml:space="preserve"> ordered the opening of the evidentiary stage. </w:t>
      </w:r>
      <w:r w:rsidR="008435D2" w:rsidRPr="008435D2">
        <w:rPr>
          <w:lang w:val="en-US"/>
        </w:rPr>
        <w:t xml:space="preserve">It adds that the </w:t>
      </w:r>
      <w:r w:rsidR="0086680C" w:rsidRPr="008435D2">
        <w:rPr>
          <w:lang w:val="en-US"/>
        </w:rPr>
        <w:t xml:space="preserve">JEM </w:t>
      </w:r>
      <w:r w:rsidR="008435D2" w:rsidRPr="008435D2">
        <w:rPr>
          <w:lang w:val="en-US"/>
        </w:rPr>
        <w:t xml:space="preserve">admitted the documentary evidence in the form of </w:t>
      </w:r>
      <w:r w:rsidR="008435D2">
        <w:rPr>
          <w:lang w:val="en-US"/>
        </w:rPr>
        <w:t xml:space="preserve">reports and testimony offered by the complainant party as well as evidence in the form of </w:t>
      </w:r>
      <w:r w:rsidR="008435D2" w:rsidRPr="008435D2">
        <w:rPr>
          <w:lang w:val="en-US"/>
        </w:rPr>
        <w:t>legal instruments, testimony, confessions, and reports offered by th</w:t>
      </w:r>
      <w:r w:rsidR="008435D2">
        <w:rPr>
          <w:lang w:val="en-US"/>
        </w:rPr>
        <w:t>e defense</w:t>
      </w:r>
      <w:r w:rsidR="004A1220" w:rsidRPr="008435D2">
        <w:rPr>
          <w:lang w:val="en-US"/>
        </w:rPr>
        <w:t>.</w:t>
      </w:r>
    </w:p>
    <w:p w14:paraId="0CC5C508" w14:textId="77777777" w:rsidR="004A1220" w:rsidRPr="008435D2" w:rsidRDefault="004A1220" w:rsidP="00FF2E66"/>
    <w:p w14:paraId="1A247DD4" w14:textId="77777777" w:rsidR="004A1220" w:rsidRPr="00E21E04" w:rsidRDefault="0085000D" w:rsidP="00A02ACB">
      <w:pPr>
        <w:pStyle w:val="parrafos"/>
        <w:rPr>
          <w:rFonts w:ascii="Cambria" w:hAnsi="Cambria"/>
          <w:lang w:val="en-US"/>
        </w:rPr>
      </w:pPr>
      <w:r w:rsidRPr="0085000D">
        <w:rPr>
          <w:lang w:val="en-US"/>
        </w:rPr>
        <w:t xml:space="preserve">The State contends that on April </w:t>
      </w:r>
      <w:r w:rsidR="004A1220" w:rsidRPr="0085000D">
        <w:rPr>
          <w:lang w:val="en-US"/>
        </w:rPr>
        <w:t>7</w:t>
      </w:r>
      <w:r w:rsidRPr="0085000D">
        <w:rPr>
          <w:lang w:val="en-US"/>
        </w:rPr>
        <w:t xml:space="preserve">, </w:t>
      </w:r>
      <w:r w:rsidR="004A1220" w:rsidRPr="0085000D">
        <w:rPr>
          <w:lang w:val="en-US"/>
        </w:rPr>
        <w:t>2003,</w:t>
      </w:r>
      <w:r w:rsidRPr="0085000D">
        <w:rPr>
          <w:lang w:val="en-US"/>
        </w:rPr>
        <w:t xml:space="preserve"> the </w:t>
      </w:r>
      <w:r w:rsidR="004A1220" w:rsidRPr="0085000D">
        <w:rPr>
          <w:lang w:val="en-US"/>
        </w:rPr>
        <w:t xml:space="preserve">JEM </w:t>
      </w:r>
      <w:r w:rsidRPr="0085000D">
        <w:rPr>
          <w:lang w:val="en-US"/>
        </w:rPr>
        <w:t xml:space="preserve">decided to remove Mr. </w:t>
      </w:r>
      <w:r w:rsidR="00FF2E66" w:rsidRPr="0085000D">
        <w:rPr>
          <w:lang w:val="en-US"/>
        </w:rPr>
        <w:t>Nissen Pessolani</w:t>
      </w:r>
      <w:r w:rsidRPr="0085000D">
        <w:rPr>
          <w:lang w:val="en-US"/>
        </w:rPr>
        <w:t xml:space="preserve"> from his position of Criminal Prosecutor for poor performance of his duties, in accordance with subparagraphs </w:t>
      </w:r>
      <w:r w:rsidR="008C679C">
        <w:rPr>
          <w:lang w:val="en-US"/>
        </w:rPr>
        <w:t>(</w:t>
      </w:r>
      <w:r w:rsidR="004A1220" w:rsidRPr="0085000D">
        <w:rPr>
          <w:lang w:val="en-US"/>
        </w:rPr>
        <w:t xml:space="preserve">b), </w:t>
      </w:r>
      <w:r w:rsidR="008C679C">
        <w:rPr>
          <w:lang w:val="en-US"/>
        </w:rPr>
        <w:t>(</w:t>
      </w:r>
      <w:r w:rsidR="004A1220" w:rsidRPr="0085000D">
        <w:rPr>
          <w:lang w:val="en-US"/>
        </w:rPr>
        <w:t>g)</w:t>
      </w:r>
      <w:r>
        <w:rPr>
          <w:lang w:val="en-US"/>
        </w:rPr>
        <w:t>, and</w:t>
      </w:r>
      <w:r w:rsidR="004A1220" w:rsidRPr="0085000D">
        <w:rPr>
          <w:lang w:val="en-US"/>
        </w:rPr>
        <w:t xml:space="preserve"> </w:t>
      </w:r>
      <w:r w:rsidR="008C679C">
        <w:rPr>
          <w:lang w:val="en-US"/>
        </w:rPr>
        <w:t>(</w:t>
      </w:r>
      <w:r w:rsidR="004A1220" w:rsidRPr="0085000D">
        <w:rPr>
          <w:lang w:val="en-US"/>
        </w:rPr>
        <w:t xml:space="preserve">n) </w:t>
      </w:r>
      <w:r>
        <w:rPr>
          <w:lang w:val="en-US"/>
        </w:rPr>
        <w:t xml:space="preserve">of Article </w:t>
      </w:r>
      <w:r w:rsidR="004A1220" w:rsidRPr="0085000D">
        <w:rPr>
          <w:lang w:val="en-US"/>
        </w:rPr>
        <w:t xml:space="preserve">14 </w:t>
      </w:r>
      <w:r>
        <w:rPr>
          <w:lang w:val="en-US"/>
        </w:rPr>
        <w:t xml:space="preserve">of Law. </w:t>
      </w:r>
      <w:r w:rsidRPr="0085000D">
        <w:rPr>
          <w:lang w:val="en-US"/>
        </w:rPr>
        <w:t xml:space="preserve">No. </w:t>
      </w:r>
      <w:r w:rsidR="00070712" w:rsidRPr="0085000D">
        <w:rPr>
          <w:lang w:val="en-US"/>
        </w:rPr>
        <w:t>1084</w:t>
      </w:r>
      <w:r w:rsidR="004A1220" w:rsidRPr="0085000D">
        <w:rPr>
          <w:lang w:val="en-US"/>
        </w:rPr>
        <w:t xml:space="preserve">, </w:t>
      </w:r>
      <w:r w:rsidR="00DF13BA">
        <w:rPr>
          <w:lang w:val="en-US"/>
        </w:rPr>
        <w:t>and communicated</w:t>
      </w:r>
      <w:r>
        <w:rPr>
          <w:lang w:val="en-US"/>
        </w:rPr>
        <w:t xml:space="preserve"> the decision to the Chambers of the National Congress, the CSJ, and the Council of Magistrates. </w:t>
      </w:r>
      <w:r w:rsidR="00C20561">
        <w:rPr>
          <w:lang w:val="en-US"/>
        </w:rPr>
        <w:t xml:space="preserve">According to the State, </w:t>
      </w:r>
      <w:r w:rsidRPr="00E21E04">
        <w:rPr>
          <w:lang w:val="en-US"/>
        </w:rPr>
        <w:t xml:space="preserve">the </w:t>
      </w:r>
      <w:r w:rsidR="004A1220" w:rsidRPr="00E21E04">
        <w:rPr>
          <w:lang w:val="en-US"/>
        </w:rPr>
        <w:t xml:space="preserve">JEM </w:t>
      </w:r>
      <w:r w:rsidRPr="00E21E04">
        <w:rPr>
          <w:lang w:val="en-US"/>
        </w:rPr>
        <w:t>considered that the alleged victim had told the complainant who had been under investigation that “in the event he does not cooperate there is the possibility of a 10-year sentence</w:t>
      </w:r>
      <w:r w:rsidR="00E21E04" w:rsidRPr="00E21E04">
        <w:rPr>
          <w:lang w:val="en-US"/>
        </w:rPr>
        <w:t>”; also, that he allegedly</w:t>
      </w:r>
      <w:r w:rsidR="00C20561" w:rsidRPr="00C20561">
        <w:rPr>
          <w:lang w:val="en-US"/>
        </w:rPr>
        <w:t xml:space="preserve"> </w:t>
      </w:r>
      <w:r w:rsidR="00C20561" w:rsidRPr="00E21E04">
        <w:rPr>
          <w:lang w:val="en-US"/>
        </w:rPr>
        <w:t>had</w:t>
      </w:r>
      <w:r w:rsidR="00E21E04" w:rsidRPr="00E21E04">
        <w:rPr>
          <w:lang w:val="en-US"/>
        </w:rPr>
        <w:t xml:space="preserve"> </w:t>
      </w:r>
      <w:bookmarkStart w:id="4" w:name="_Hlk52465558"/>
      <w:r w:rsidR="00E21E04" w:rsidRPr="00E21E04">
        <w:rPr>
          <w:lang w:val="en-US"/>
        </w:rPr>
        <w:t>“provided information and made comments and declarations to the press and third parties that went beyond the sensitive parameters of criminal investigation in its preliminary stage</w:t>
      </w:r>
      <w:bookmarkEnd w:id="4"/>
      <w:r w:rsidR="00E21E04" w:rsidRPr="00E21E04">
        <w:rPr>
          <w:lang w:val="en-US"/>
        </w:rPr>
        <w:t xml:space="preserve">”; and that he allegedly </w:t>
      </w:r>
      <w:r w:rsidR="00C20561" w:rsidRPr="00E21E04">
        <w:rPr>
          <w:lang w:val="en-US"/>
        </w:rPr>
        <w:t xml:space="preserve">had </w:t>
      </w:r>
      <w:r w:rsidR="00E21E04" w:rsidRPr="00E21E04">
        <w:rPr>
          <w:lang w:val="en-US"/>
        </w:rPr>
        <w:t xml:space="preserve">illegally ordered “an expert from the Public Prosecutor’s Office to do his work in the context of a proceeding” conducted </w:t>
      </w:r>
      <w:r w:rsidR="00E21E04">
        <w:rPr>
          <w:lang w:val="en-US"/>
        </w:rPr>
        <w:t xml:space="preserve">before the JEM, which would </w:t>
      </w:r>
      <w:r w:rsidR="00446FD6">
        <w:rPr>
          <w:lang w:val="en-US"/>
        </w:rPr>
        <w:t>constitute</w:t>
      </w:r>
      <w:r w:rsidR="00E21E04">
        <w:rPr>
          <w:lang w:val="en-US"/>
        </w:rPr>
        <w:t xml:space="preserve"> expert involvement outside of a criminal trial or proceeding for which he was responsible.</w:t>
      </w:r>
    </w:p>
    <w:p w14:paraId="04FBF128" w14:textId="77777777" w:rsidR="004A1220" w:rsidRPr="00E21E04" w:rsidRDefault="004A1220" w:rsidP="004A1220">
      <w:pPr>
        <w:pStyle w:val="ListParagraph"/>
        <w:rPr>
          <w:lang w:val="en-US"/>
        </w:rPr>
      </w:pPr>
    </w:p>
    <w:p w14:paraId="505F356A" w14:textId="77777777" w:rsidR="001A3824" w:rsidRPr="00ED0C13" w:rsidRDefault="00E21E04" w:rsidP="00A02ACB">
      <w:pPr>
        <w:pStyle w:val="parrafos"/>
        <w:rPr>
          <w:rFonts w:ascii="Cambria" w:hAnsi="Cambria"/>
          <w:lang w:val="en-US"/>
        </w:rPr>
      </w:pPr>
      <w:r w:rsidRPr="00E21E04">
        <w:rPr>
          <w:lang w:val="en-US"/>
        </w:rPr>
        <w:t xml:space="preserve">The State indicates that on April </w:t>
      </w:r>
      <w:r w:rsidR="00F23669" w:rsidRPr="00E21E04">
        <w:rPr>
          <w:lang w:val="en-US"/>
        </w:rPr>
        <w:t>10</w:t>
      </w:r>
      <w:r w:rsidRPr="00E21E04">
        <w:rPr>
          <w:lang w:val="en-US"/>
        </w:rPr>
        <w:t xml:space="preserve">, </w:t>
      </w:r>
      <w:r w:rsidR="00F23669" w:rsidRPr="00E21E04">
        <w:rPr>
          <w:lang w:val="en-US"/>
        </w:rPr>
        <w:t>2003</w:t>
      </w:r>
      <w:r w:rsidRPr="00E21E04">
        <w:rPr>
          <w:lang w:val="en-US"/>
        </w:rPr>
        <w:t>, the alleged victim filed a petition for clarification and reversal of the decision, asking</w:t>
      </w:r>
      <w:r>
        <w:rPr>
          <w:lang w:val="en-US"/>
        </w:rPr>
        <w:t xml:space="preserve"> </w:t>
      </w:r>
      <w:r w:rsidRPr="00E21E04">
        <w:rPr>
          <w:lang w:val="en-US"/>
        </w:rPr>
        <w:t xml:space="preserve">that the </w:t>
      </w:r>
      <w:r w:rsidR="00C20561" w:rsidRPr="00446FD6">
        <w:rPr>
          <w:lang w:val="en-US"/>
        </w:rPr>
        <w:t>JEM</w:t>
      </w:r>
      <w:r w:rsidRPr="00E21E04">
        <w:rPr>
          <w:lang w:val="en-US"/>
        </w:rPr>
        <w:t xml:space="preserve">, </w:t>
      </w:r>
      <w:r>
        <w:rPr>
          <w:lang w:val="en-US"/>
        </w:rPr>
        <w:t>“</w:t>
      </w:r>
      <w:r w:rsidRPr="00E21E04">
        <w:rPr>
          <w:lang w:val="en-US"/>
        </w:rPr>
        <w:t>in the exercise of its prerogative, declare n</w:t>
      </w:r>
      <w:r>
        <w:rPr>
          <w:lang w:val="en-US"/>
        </w:rPr>
        <w:t xml:space="preserve">ull and void the communications transmitted in relation to said resolution.” </w:t>
      </w:r>
      <w:r w:rsidRPr="00ED0C13">
        <w:rPr>
          <w:lang w:val="en-US"/>
        </w:rPr>
        <w:t xml:space="preserve">The State indicates that on April </w:t>
      </w:r>
      <w:r w:rsidR="00EA7A2B" w:rsidRPr="00ED0C13">
        <w:rPr>
          <w:lang w:val="en-US"/>
        </w:rPr>
        <w:t>22</w:t>
      </w:r>
      <w:r w:rsidRPr="00ED0C13">
        <w:rPr>
          <w:lang w:val="en-US"/>
        </w:rPr>
        <w:t>,</w:t>
      </w:r>
      <w:r w:rsidR="00EA7A2B" w:rsidRPr="00ED0C13">
        <w:rPr>
          <w:lang w:val="en-US"/>
        </w:rPr>
        <w:t xml:space="preserve"> 2003,</w:t>
      </w:r>
      <w:r w:rsidR="004A1220" w:rsidRPr="00ED0C13">
        <w:rPr>
          <w:lang w:val="en-US"/>
        </w:rPr>
        <w:t xml:space="preserve"> </w:t>
      </w:r>
      <w:r w:rsidR="00ED0C13" w:rsidRPr="00ED0C13">
        <w:rPr>
          <w:lang w:val="en-US"/>
        </w:rPr>
        <w:t>the</w:t>
      </w:r>
      <w:r w:rsidR="00EA7A2B" w:rsidRPr="00ED0C13">
        <w:rPr>
          <w:lang w:val="en-US"/>
        </w:rPr>
        <w:t xml:space="preserve"> JEM</w:t>
      </w:r>
      <w:r w:rsidR="00ED0C13" w:rsidRPr="00ED0C13">
        <w:rPr>
          <w:lang w:val="en-US"/>
        </w:rPr>
        <w:t xml:space="preserve"> decided not to grant the petitions for clarification and reversal, arguing that the preconditions for allowing </w:t>
      </w:r>
      <w:r w:rsidR="00ED0C13">
        <w:rPr>
          <w:lang w:val="en-US"/>
        </w:rPr>
        <w:t>the</w:t>
      </w:r>
      <w:r w:rsidR="00ED0C13" w:rsidRPr="00ED0C13">
        <w:rPr>
          <w:lang w:val="en-US"/>
        </w:rPr>
        <w:t xml:space="preserve"> appeal did not exist, given that the </w:t>
      </w:r>
      <w:r w:rsidR="00C20561">
        <w:rPr>
          <w:lang w:val="en-US"/>
        </w:rPr>
        <w:t>appellant</w:t>
      </w:r>
      <w:r w:rsidR="00ED0C13" w:rsidRPr="00ED0C13">
        <w:rPr>
          <w:lang w:val="en-US"/>
        </w:rPr>
        <w:t xml:space="preserve"> was requesting clarification of matters </w:t>
      </w:r>
      <w:r w:rsidR="00ED0C13">
        <w:rPr>
          <w:lang w:val="en-US"/>
        </w:rPr>
        <w:t xml:space="preserve">that were clearly </w:t>
      </w:r>
      <w:r w:rsidR="00097C22">
        <w:rPr>
          <w:lang w:val="en-US"/>
        </w:rPr>
        <w:t>laid out</w:t>
      </w:r>
      <w:r w:rsidR="00ED0C13">
        <w:rPr>
          <w:lang w:val="en-US"/>
        </w:rPr>
        <w:t xml:space="preserve"> in Article </w:t>
      </w:r>
      <w:r w:rsidR="004A1220" w:rsidRPr="00ED0C13">
        <w:rPr>
          <w:lang w:val="en-US"/>
        </w:rPr>
        <w:t xml:space="preserve">31 </w:t>
      </w:r>
      <w:r w:rsidR="00ED0C13">
        <w:rPr>
          <w:lang w:val="en-US"/>
        </w:rPr>
        <w:t xml:space="preserve">of Law No. </w:t>
      </w:r>
      <w:r w:rsidR="004A1220" w:rsidRPr="00ED0C13">
        <w:rPr>
          <w:lang w:val="en-US"/>
        </w:rPr>
        <w:t>1084.</w:t>
      </w:r>
      <w:r w:rsidR="00F23669" w:rsidRPr="00ED0C13">
        <w:rPr>
          <w:lang w:val="en-US"/>
        </w:rPr>
        <w:t xml:space="preserve"> </w:t>
      </w:r>
      <w:r w:rsidR="00ED0C13" w:rsidRPr="00ED0C13">
        <w:rPr>
          <w:lang w:val="en-US"/>
        </w:rPr>
        <w:t xml:space="preserve">The State indicates that, in view of this situation, the petitioner brought an action of unconstitutionality against </w:t>
      </w:r>
      <w:r w:rsidR="00446FD6">
        <w:rPr>
          <w:lang w:val="en-US"/>
        </w:rPr>
        <w:t>that</w:t>
      </w:r>
      <w:r w:rsidR="00ED0C13" w:rsidRPr="00ED0C13">
        <w:rPr>
          <w:lang w:val="en-US"/>
        </w:rPr>
        <w:t xml:space="preserve"> decision, which was </w:t>
      </w:r>
      <w:r w:rsidR="00652E0C">
        <w:rPr>
          <w:lang w:val="en-US"/>
        </w:rPr>
        <w:t>amended</w:t>
      </w:r>
      <w:r w:rsidR="00ED0C13" w:rsidRPr="00ED0C13">
        <w:rPr>
          <w:lang w:val="en-US"/>
        </w:rPr>
        <w:t xml:space="preserve"> on April 25 of that same year</w:t>
      </w:r>
      <w:r w:rsidR="00ED0C13">
        <w:rPr>
          <w:lang w:val="en-US"/>
        </w:rPr>
        <w:t xml:space="preserve"> and rejected on June 16, 2004, by the </w:t>
      </w:r>
      <w:r w:rsidR="001A3824" w:rsidRPr="00ED0C13">
        <w:rPr>
          <w:lang w:val="en-US"/>
        </w:rPr>
        <w:t>CSJ.</w:t>
      </w:r>
    </w:p>
    <w:p w14:paraId="6F9111F3" w14:textId="77777777" w:rsidR="001A3824" w:rsidRPr="00ED0C13" w:rsidRDefault="001A3824" w:rsidP="001A3824">
      <w:pPr>
        <w:pStyle w:val="ListParagraph"/>
        <w:rPr>
          <w:lang w:val="en-US"/>
        </w:rPr>
      </w:pPr>
    </w:p>
    <w:p w14:paraId="2B6A8D71" w14:textId="77777777" w:rsidR="001A3824" w:rsidRPr="00340076" w:rsidRDefault="00ED0C13" w:rsidP="00A02ACB">
      <w:pPr>
        <w:pStyle w:val="parrafos"/>
        <w:rPr>
          <w:rFonts w:ascii="Cambria" w:hAnsi="Cambria"/>
          <w:lang w:val="en-US"/>
        </w:rPr>
      </w:pPr>
      <w:r w:rsidRPr="00340076">
        <w:rPr>
          <w:lang w:val="en-US"/>
        </w:rPr>
        <w:t>The State maintains that the petitioner was accused of poor performance of his duties and that</w:t>
      </w:r>
      <w:r w:rsidR="00340076" w:rsidRPr="00340076">
        <w:rPr>
          <w:lang w:val="en-US"/>
        </w:rPr>
        <w:t xml:space="preserve"> “the</w:t>
      </w:r>
      <w:r w:rsidR="00340076">
        <w:rPr>
          <w:lang w:val="en-US"/>
        </w:rPr>
        <w:t xml:space="preserve"> appropriate procedural stages” were implemented during the </w:t>
      </w:r>
      <w:r w:rsidRPr="00340076">
        <w:rPr>
          <w:lang w:val="en-US"/>
        </w:rPr>
        <w:t>proceeding</w:t>
      </w:r>
      <w:r w:rsidR="00340076">
        <w:rPr>
          <w:lang w:val="en-US"/>
        </w:rPr>
        <w:t>s.</w:t>
      </w:r>
      <w:r w:rsidR="00466276" w:rsidRPr="00340076">
        <w:rPr>
          <w:lang w:val="en-US"/>
        </w:rPr>
        <w:t xml:space="preserve"> </w:t>
      </w:r>
      <w:r w:rsidR="00340076" w:rsidRPr="00340076">
        <w:rPr>
          <w:lang w:val="en-US"/>
        </w:rPr>
        <w:t>It specifies that the petitioner</w:t>
      </w:r>
      <w:r w:rsidR="001A3824" w:rsidRPr="00340076">
        <w:rPr>
          <w:lang w:val="en-US"/>
        </w:rPr>
        <w:t xml:space="preserve"> </w:t>
      </w:r>
      <w:r w:rsidR="00340076" w:rsidRPr="00340076">
        <w:rPr>
          <w:lang w:val="en-US"/>
        </w:rPr>
        <w:t>used “the procedura</w:t>
      </w:r>
      <w:r w:rsidR="00340076">
        <w:rPr>
          <w:lang w:val="en-US"/>
        </w:rPr>
        <w:t>l</w:t>
      </w:r>
      <w:r w:rsidR="00340076" w:rsidRPr="00340076">
        <w:rPr>
          <w:lang w:val="en-US"/>
        </w:rPr>
        <w:t xml:space="preserve"> devices provided by law to appeal each and every one of the decisions” of the JEM that were unfavorable to him, and therefore that th</w:t>
      </w:r>
      <w:r w:rsidR="00340076">
        <w:rPr>
          <w:lang w:val="en-US"/>
        </w:rPr>
        <w:t xml:space="preserve">e rules of due process had been followed. </w:t>
      </w:r>
      <w:r w:rsidR="00340076" w:rsidRPr="00340076">
        <w:rPr>
          <w:lang w:val="en-US"/>
        </w:rPr>
        <w:t>The State argues that the fact that the judgment went against the petitioner does not mean that the decision was arbitrary or illegal.</w:t>
      </w:r>
      <w:r w:rsidR="00340076">
        <w:rPr>
          <w:lang w:val="en-US"/>
        </w:rPr>
        <w:t xml:space="preserve"> </w:t>
      </w:r>
      <w:r w:rsidR="00340076" w:rsidRPr="00340076">
        <w:rPr>
          <w:lang w:val="en-US"/>
        </w:rPr>
        <w:t xml:space="preserve">It adds that the vote of the CSJ sitting </w:t>
      </w:r>
      <w:r w:rsidR="00340076" w:rsidRPr="00340076">
        <w:rPr>
          <w:i/>
          <w:iCs/>
          <w:lang w:val="en-US"/>
        </w:rPr>
        <w:t>en banc</w:t>
      </w:r>
      <w:r w:rsidR="00340076" w:rsidRPr="00340076">
        <w:rPr>
          <w:lang w:val="en-US"/>
        </w:rPr>
        <w:t xml:space="preserve"> (nine members)</w:t>
      </w:r>
      <w:r w:rsidR="001A3824" w:rsidRPr="00340076">
        <w:rPr>
          <w:lang w:val="en-US"/>
        </w:rPr>
        <w:t xml:space="preserve"> </w:t>
      </w:r>
      <w:r w:rsidR="00340076" w:rsidRPr="00340076">
        <w:rPr>
          <w:lang w:val="en-US"/>
        </w:rPr>
        <w:t>was unanimous in rejecting the action o</w:t>
      </w:r>
      <w:r w:rsidR="001C4760">
        <w:rPr>
          <w:lang w:val="en-US"/>
        </w:rPr>
        <w:t>f</w:t>
      </w:r>
      <w:r w:rsidR="00340076" w:rsidRPr="00340076">
        <w:rPr>
          <w:lang w:val="en-US"/>
        </w:rPr>
        <w:t xml:space="preserve"> unconstitutionality. </w:t>
      </w:r>
    </w:p>
    <w:p w14:paraId="31C0ECC3" w14:textId="77777777" w:rsidR="001A3824" w:rsidRPr="00340076" w:rsidRDefault="001A3824" w:rsidP="00F23669">
      <w:pPr>
        <w:pStyle w:val="parrafos"/>
        <w:numPr>
          <w:ilvl w:val="0"/>
          <w:numId w:val="0"/>
        </w:numPr>
        <w:rPr>
          <w:rFonts w:ascii="Cambria" w:hAnsi="Cambria"/>
          <w:lang w:val="en-US"/>
        </w:rPr>
      </w:pPr>
    </w:p>
    <w:p w14:paraId="5147BDF8" w14:textId="77777777" w:rsidR="001A3824" w:rsidRPr="00340076" w:rsidRDefault="00340076" w:rsidP="00A02ACB">
      <w:pPr>
        <w:pStyle w:val="parrafos"/>
        <w:rPr>
          <w:rFonts w:ascii="Cambria" w:hAnsi="Cambria"/>
          <w:lang w:val="en-US"/>
        </w:rPr>
      </w:pPr>
      <w:r w:rsidRPr="00340076">
        <w:rPr>
          <w:lang w:val="en-US"/>
        </w:rPr>
        <w:t>The State contends that the petitioner cannot use the IACHR as a judicial instance of last resort to try to reverse court decisions in proceedings in which he participated full</w:t>
      </w:r>
      <w:r>
        <w:rPr>
          <w:lang w:val="en-US"/>
        </w:rPr>
        <w:t>y—decisions that are final and enforceable.</w:t>
      </w:r>
      <w:r w:rsidRPr="00340076">
        <w:rPr>
          <w:lang w:val="en-US"/>
        </w:rPr>
        <w:t xml:space="preserve"> </w:t>
      </w:r>
    </w:p>
    <w:p w14:paraId="484FB7B9" w14:textId="77777777" w:rsidR="008266A7" w:rsidRPr="00340076" w:rsidRDefault="008266A7" w:rsidP="00914740">
      <w:pPr>
        <w:pStyle w:val="ListParagraph"/>
        <w:rPr>
          <w:lang w:val="en-US"/>
        </w:rPr>
      </w:pPr>
    </w:p>
    <w:p w14:paraId="35480BE0" w14:textId="77777777" w:rsidR="007C756A" w:rsidRPr="006D66C4" w:rsidRDefault="00D12193" w:rsidP="00914740">
      <w:pPr>
        <w:pStyle w:val="Heading1"/>
      </w:pPr>
      <w:bookmarkStart w:id="5" w:name="_Toc42595062"/>
      <w:r w:rsidRPr="006D66C4">
        <w:t>DETERMINA</w:t>
      </w:r>
      <w:bookmarkEnd w:id="5"/>
      <w:r w:rsidR="006D66C4">
        <w:t>TIONS OF FACT</w:t>
      </w:r>
      <w:r w:rsidR="008A078F" w:rsidRPr="006D66C4">
        <w:t xml:space="preserve"> </w:t>
      </w:r>
    </w:p>
    <w:p w14:paraId="27FC57C9" w14:textId="77777777" w:rsidR="000A576A" w:rsidRPr="00766381" w:rsidRDefault="00CB2F4C" w:rsidP="00351BA6">
      <w:pPr>
        <w:pStyle w:val="Heading2"/>
      </w:pPr>
      <w:bookmarkStart w:id="6" w:name="_Toc42595063"/>
      <w:r w:rsidRPr="006D66C4">
        <w:t xml:space="preserve">A. </w:t>
      </w:r>
      <w:r w:rsidRPr="006D66C4">
        <w:tab/>
      </w:r>
      <w:bookmarkEnd w:id="6"/>
      <w:r w:rsidR="006D66C4" w:rsidRPr="006D66C4">
        <w:t>Relevant</w:t>
      </w:r>
      <w:r w:rsidR="006D66C4">
        <w:t xml:space="preserve"> </w:t>
      </w:r>
      <w:r w:rsidR="00500F83">
        <w:t>legal</w:t>
      </w:r>
      <w:r w:rsidR="006D66C4">
        <w:t xml:space="preserve"> framework </w:t>
      </w:r>
    </w:p>
    <w:p w14:paraId="16C07178" w14:textId="77777777" w:rsidR="00E94F44" w:rsidRPr="00766381" w:rsidRDefault="00E94F44" w:rsidP="00914740">
      <w:pPr>
        <w:tabs>
          <w:tab w:val="left" w:pos="360"/>
        </w:tabs>
        <w:rPr>
          <w:sz w:val="20"/>
          <w:szCs w:val="20"/>
          <w:lang w:val="es-ES_tradnl"/>
        </w:rPr>
      </w:pPr>
    </w:p>
    <w:p w14:paraId="6FCDCBF4" w14:textId="77777777" w:rsidR="00507BC3" w:rsidRPr="00B60BFB" w:rsidRDefault="00283BB0" w:rsidP="00507BC3">
      <w:pPr>
        <w:pStyle w:val="parrafos"/>
        <w:rPr>
          <w:lang w:val="en-US"/>
        </w:rPr>
      </w:pPr>
      <w:r w:rsidRPr="00B60BFB">
        <w:rPr>
          <w:lang w:val="en-US"/>
        </w:rPr>
        <w:lastRenderedPageBreak/>
        <w:t xml:space="preserve">As will be explained in detail in the next section, the alleged victim was removed </w:t>
      </w:r>
      <w:r w:rsidR="00B60BFB" w:rsidRPr="00B60BFB">
        <w:rPr>
          <w:lang w:val="en-US"/>
        </w:rPr>
        <w:t xml:space="preserve">from office as a result of a </w:t>
      </w:r>
      <w:r w:rsidR="00844080">
        <w:rPr>
          <w:lang w:val="en-US"/>
        </w:rPr>
        <w:t>disciplinary</w:t>
      </w:r>
      <w:r w:rsidR="00B60BFB" w:rsidRPr="00B60BFB">
        <w:rPr>
          <w:lang w:val="en-US"/>
        </w:rPr>
        <w:t xml:space="preserve"> </w:t>
      </w:r>
      <w:r w:rsidR="00844080">
        <w:rPr>
          <w:lang w:val="en-US"/>
        </w:rPr>
        <w:t>proceeding</w:t>
      </w:r>
      <w:r w:rsidR="00B60BFB" w:rsidRPr="00B60BFB">
        <w:rPr>
          <w:lang w:val="en-US"/>
        </w:rPr>
        <w:t xml:space="preserve"> before the Jury for the Prosecution of Magistrates, which is </w:t>
      </w:r>
      <w:r w:rsidR="009B7F26">
        <w:rPr>
          <w:lang w:val="en-US"/>
        </w:rPr>
        <w:t>regulated in</w:t>
      </w:r>
      <w:r w:rsidR="00B60BFB" w:rsidRPr="00B60BFB">
        <w:rPr>
          <w:lang w:val="en-US"/>
        </w:rPr>
        <w:t xml:space="preserve"> the National Constitution of Paraguay and in Law No. </w:t>
      </w:r>
      <w:r w:rsidR="00507BC3" w:rsidRPr="00B60BFB">
        <w:rPr>
          <w:lang w:val="en-US"/>
        </w:rPr>
        <w:t xml:space="preserve">1084 </w:t>
      </w:r>
      <w:r w:rsidR="00B60BFB">
        <w:rPr>
          <w:lang w:val="en-US"/>
        </w:rPr>
        <w:t>of the</w:t>
      </w:r>
      <w:r w:rsidR="00507BC3" w:rsidRPr="00B60BFB">
        <w:rPr>
          <w:lang w:val="en-US"/>
        </w:rPr>
        <w:t xml:space="preserve"> 1997 </w:t>
      </w:r>
      <w:r w:rsidR="00B60BFB">
        <w:rPr>
          <w:lang w:val="en-US"/>
        </w:rPr>
        <w:t>Procedures for the Prosecution and Removal of Magistrates.</w:t>
      </w:r>
      <w:r w:rsidR="00507BC3" w:rsidRPr="00B60BFB">
        <w:rPr>
          <w:lang w:val="en-US"/>
        </w:rPr>
        <w:t xml:space="preserve"> </w:t>
      </w:r>
    </w:p>
    <w:p w14:paraId="451634CB" w14:textId="77777777" w:rsidR="00466276" w:rsidRPr="00B60BFB" w:rsidRDefault="00466276" w:rsidP="00466276">
      <w:pPr>
        <w:pStyle w:val="parrafos"/>
        <w:numPr>
          <w:ilvl w:val="0"/>
          <w:numId w:val="0"/>
        </w:numPr>
        <w:rPr>
          <w:lang w:val="en-US"/>
        </w:rPr>
      </w:pPr>
    </w:p>
    <w:p w14:paraId="7FF431F9" w14:textId="77777777" w:rsidR="00466276" w:rsidRPr="00B60BFB" w:rsidRDefault="00B60BFB" w:rsidP="00507BC3">
      <w:pPr>
        <w:pStyle w:val="parrafos"/>
        <w:rPr>
          <w:lang w:val="en-US"/>
        </w:rPr>
      </w:pPr>
      <w:r w:rsidRPr="00C36424">
        <w:rPr>
          <w:lang w:val="en-US"/>
        </w:rPr>
        <w:t>The Paraguayan Constitution</w:t>
      </w:r>
      <w:r w:rsidRPr="00B60BFB">
        <w:rPr>
          <w:lang w:val="en-US"/>
        </w:rPr>
        <w:t xml:space="preserve"> establishes the following</w:t>
      </w:r>
      <w:r w:rsidR="00466276" w:rsidRPr="00B60BFB">
        <w:rPr>
          <w:lang w:val="en-US"/>
        </w:rPr>
        <w:t>:</w:t>
      </w:r>
    </w:p>
    <w:p w14:paraId="562E22AE" w14:textId="77777777" w:rsidR="00466276" w:rsidRPr="00B60BFB" w:rsidRDefault="00466276" w:rsidP="00466276">
      <w:pPr>
        <w:pStyle w:val="parrafos"/>
        <w:numPr>
          <w:ilvl w:val="0"/>
          <w:numId w:val="0"/>
        </w:numPr>
        <w:rPr>
          <w:lang w:val="en-US"/>
        </w:rPr>
      </w:pPr>
    </w:p>
    <w:p w14:paraId="42F5458D" w14:textId="77777777" w:rsidR="00466276" w:rsidRPr="00B60BFB" w:rsidRDefault="00B60BFB" w:rsidP="00466276">
      <w:pPr>
        <w:pStyle w:val="parrafos"/>
        <w:numPr>
          <w:ilvl w:val="0"/>
          <w:numId w:val="0"/>
        </w:numPr>
        <w:ind w:left="720" w:right="720"/>
        <w:rPr>
          <w:lang w:val="en-US"/>
        </w:rPr>
      </w:pPr>
      <w:r w:rsidRPr="00B60BFB">
        <w:rPr>
          <w:lang w:val="en-US"/>
        </w:rPr>
        <w:t>Article</w:t>
      </w:r>
      <w:r w:rsidR="00466276" w:rsidRPr="00B60BFB">
        <w:rPr>
          <w:lang w:val="en-US"/>
        </w:rPr>
        <w:t xml:space="preserve"> 253 </w:t>
      </w:r>
      <w:r w:rsidRPr="00B60BFB">
        <w:rPr>
          <w:lang w:val="en-US"/>
        </w:rPr>
        <w:t>–</w:t>
      </w:r>
      <w:r w:rsidR="00466276" w:rsidRPr="00B60BFB">
        <w:rPr>
          <w:lang w:val="en-US"/>
        </w:rPr>
        <w:t xml:space="preserve"> </w:t>
      </w:r>
      <w:r w:rsidRPr="00B60BFB">
        <w:rPr>
          <w:lang w:val="en-US"/>
        </w:rPr>
        <w:t>THE PROSECUTION AND REMOVAL OF MAGISTRATES</w:t>
      </w:r>
    </w:p>
    <w:p w14:paraId="567A11FB" w14:textId="77777777" w:rsidR="00466276" w:rsidRPr="004D42F2" w:rsidRDefault="00B60BFB" w:rsidP="00466276">
      <w:pPr>
        <w:pStyle w:val="parrafos"/>
        <w:numPr>
          <w:ilvl w:val="0"/>
          <w:numId w:val="0"/>
        </w:numPr>
        <w:ind w:left="720" w:right="720"/>
        <w:rPr>
          <w:lang w:val="en-US"/>
        </w:rPr>
      </w:pPr>
      <w:r w:rsidRPr="004D42F2">
        <w:rPr>
          <w:lang w:val="en-US"/>
        </w:rPr>
        <w:t xml:space="preserve">Judicial magistrates may be prosecuted and removed </w:t>
      </w:r>
      <w:r w:rsidR="00C36424" w:rsidRPr="004D42F2">
        <w:rPr>
          <w:lang w:val="en-US"/>
        </w:rPr>
        <w:t xml:space="preserve">only </w:t>
      </w:r>
      <w:r w:rsidRPr="004D42F2">
        <w:rPr>
          <w:lang w:val="en-US"/>
        </w:rPr>
        <w:t>fo</w:t>
      </w:r>
      <w:r w:rsidR="004D42F2" w:rsidRPr="004D42F2">
        <w:rPr>
          <w:lang w:val="en-US"/>
        </w:rPr>
        <w:t>r the commission of crimes or for poor performance of their duties</w:t>
      </w:r>
      <w:r w:rsidR="004D42F2">
        <w:rPr>
          <w:lang w:val="en-US"/>
        </w:rPr>
        <w:t>,</w:t>
      </w:r>
      <w:r w:rsidR="00C36424">
        <w:rPr>
          <w:lang w:val="en-US"/>
        </w:rPr>
        <w:t xml:space="preserve"> </w:t>
      </w:r>
      <w:r w:rsidR="004D42F2" w:rsidRPr="004D42F2">
        <w:rPr>
          <w:lang w:val="en-US"/>
        </w:rPr>
        <w:t xml:space="preserve">as </w:t>
      </w:r>
      <w:r w:rsidR="00C36424">
        <w:rPr>
          <w:lang w:val="en-US"/>
        </w:rPr>
        <w:t>defined</w:t>
      </w:r>
      <w:r w:rsidR="004D42F2" w:rsidRPr="004D42F2">
        <w:rPr>
          <w:lang w:val="en-US"/>
        </w:rPr>
        <w:t xml:space="preserve"> in the law, by decision of a Jury</w:t>
      </w:r>
      <w:r w:rsidR="004D42F2">
        <w:rPr>
          <w:lang w:val="en-US"/>
        </w:rPr>
        <w:t xml:space="preserve"> for the Prosecution of Magistrates. </w:t>
      </w:r>
      <w:r w:rsidR="004D42F2" w:rsidRPr="004D42F2">
        <w:rPr>
          <w:lang w:val="en-US"/>
        </w:rPr>
        <w:t>This shall be composed of two members of the Supreme Court</w:t>
      </w:r>
      <w:r w:rsidR="00DD0CFC">
        <w:rPr>
          <w:lang w:val="en-US"/>
        </w:rPr>
        <w:t xml:space="preserve"> of Justice</w:t>
      </w:r>
      <w:r w:rsidR="004D42F2" w:rsidRPr="004D42F2">
        <w:rPr>
          <w:lang w:val="en-US"/>
        </w:rPr>
        <w:t xml:space="preserve">, two members of the Council of Magistrates, two senators, and two deputies; these last four must </w:t>
      </w:r>
      <w:r w:rsidR="004D42F2">
        <w:rPr>
          <w:lang w:val="en-US"/>
        </w:rPr>
        <w:t xml:space="preserve">be lawyers. </w:t>
      </w:r>
      <w:r w:rsidR="004D42F2" w:rsidRPr="004D42F2">
        <w:rPr>
          <w:lang w:val="en-US"/>
        </w:rPr>
        <w:t>The functioning of the Jury for the Prosecution of Magistrates</w:t>
      </w:r>
      <w:r w:rsidR="00C36424">
        <w:rPr>
          <w:lang w:val="en-US"/>
        </w:rPr>
        <w:t xml:space="preserve"> shall be regulated by law</w:t>
      </w:r>
      <w:r w:rsidR="00466276" w:rsidRPr="004D42F2">
        <w:rPr>
          <w:lang w:val="en-US"/>
        </w:rPr>
        <w:t>.</w:t>
      </w:r>
    </w:p>
    <w:p w14:paraId="2410A945" w14:textId="77777777" w:rsidR="00534DEF" w:rsidRPr="004D42F2" w:rsidRDefault="00534DEF" w:rsidP="00534DEF">
      <w:pPr>
        <w:pStyle w:val="parrafos"/>
        <w:numPr>
          <w:ilvl w:val="0"/>
          <w:numId w:val="0"/>
        </w:numPr>
        <w:rPr>
          <w:lang w:val="en-US"/>
        </w:rPr>
      </w:pPr>
    </w:p>
    <w:p w14:paraId="2E3A82CD" w14:textId="77777777" w:rsidR="00466276" w:rsidRPr="008C4425" w:rsidRDefault="008C4425" w:rsidP="00466276">
      <w:pPr>
        <w:pStyle w:val="parrafos"/>
        <w:rPr>
          <w:lang w:val="en-US"/>
        </w:rPr>
      </w:pPr>
      <w:r w:rsidRPr="008C4425">
        <w:rPr>
          <w:lang w:val="en-US"/>
        </w:rPr>
        <w:t>With regard to public prosec</w:t>
      </w:r>
      <w:r>
        <w:rPr>
          <w:lang w:val="en-US"/>
        </w:rPr>
        <w:t>utors</w:t>
      </w:r>
      <w:r w:rsidRPr="008C4425">
        <w:rPr>
          <w:lang w:val="en-US"/>
        </w:rPr>
        <w:t>, the Constitution in</w:t>
      </w:r>
      <w:r>
        <w:rPr>
          <w:lang w:val="en-US"/>
        </w:rPr>
        <w:t>dicates the following</w:t>
      </w:r>
      <w:r w:rsidR="00466276" w:rsidRPr="008C4425">
        <w:rPr>
          <w:lang w:val="en-US"/>
        </w:rPr>
        <w:t>:</w:t>
      </w:r>
    </w:p>
    <w:p w14:paraId="15B8B7EF" w14:textId="77777777" w:rsidR="00466276" w:rsidRPr="008C4425" w:rsidRDefault="00466276" w:rsidP="00466276">
      <w:pPr>
        <w:pStyle w:val="parrafos"/>
        <w:numPr>
          <w:ilvl w:val="0"/>
          <w:numId w:val="0"/>
        </w:numPr>
        <w:rPr>
          <w:lang w:val="en-US"/>
        </w:rPr>
      </w:pPr>
    </w:p>
    <w:p w14:paraId="6A750DE9" w14:textId="77777777" w:rsidR="00466276" w:rsidRPr="00DD0CFC" w:rsidRDefault="008C4425" w:rsidP="00466276">
      <w:pPr>
        <w:pStyle w:val="parrafos"/>
        <w:numPr>
          <w:ilvl w:val="0"/>
          <w:numId w:val="0"/>
        </w:numPr>
        <w:ind w:left="720" w:right="720"/>
        <w:rPr>
          <w:lang w:val="en-US"/>
        </w:rPr>
      </w:pPr>
      <w:r w:rsidRPr="00872B99">
        <w:rPr>
          <w:lang w:val="en-US"/>
        </w:rPr>
        <w:t>Article</w:t>
      </w:r>
      <w:r w:rsidR="00466276" w:rsidRPr="00872B99">
        <w:rPr>
          <w:lang w:val="en-US"/>
        </w:rPr>
        <w:t xml:space="preserve"> </w:t>
      </w:r>
      <w:r w:rsidR="00466276" w:rsidRPr="00DD0CFC">
        <w:rPr>
          <w:lang w:val="en-US"/>
        </w:rPr>
        <w:t xml:space="preserve">270 </w:t>
      </w:r>
      <w:r w:rsidRPr="00DD0CFC">
        <w:rPr>
          <w:lang w:val="en-US"/>
        </w:rPr>
        <w:t>–</w:t>
      </w:r>
      <w:r w:rsidR="00466276" w:rsidRPr="00DD0CFC">
        <w:rPr>
          <w:lang w:val="en-US"/>
        </w:rPr>
        <w:t xml:space="preserve"> </w:t>
      </w:r>
      <w:r w:rsidRPr="00DD0CFC">
        <w:rPr>
          <w:lang w:val="en-US"/>
        </w:rPr>
        <w:t>PUBLIC PROSECUTORS</w:t>
      </w:r>
    </w:p>
    <w:p w14:paraId="27A3856E" w14:textId="77777777" w:rsidR="00466276" w:rsidRPr="00FA2EF1" w:rsidRDefault="008C4425" w:rsidP="00466276">
      <w:pPr>
        <w:pStyle w:val="parrafos"/>
        <w:numPr>
          <w:ilvl w:val="0"/>
          <w:numId w:val="0"/>
        </w:numPr>
        <w:ind w:left="720" w:right="720"/>
        <w:rPr>
          <w:lang w:val="en-US"/>
        </w:rPr>
      </w:pPr>
      <w:r w:rsidRPr="00DD0CFC">
        <w:rPr>
          <w:lang w:val="en-US"/>
        </w:rPr>
        <w:t>Public prosecutors are</w:t>
      </w:r>
      <w:r w:rsidRPr="008C4425">
        <w:rPr>
          <w:lang w:val="en-US"/>
        </w:rPr>
        <w:t xml:space="preserve"> </w:t>
      </w:r>
      <w:r w:rsidR="002E38CB">
        <w:rPr>
          <w:lang w:val="en-US"/>
        </w:rPr>
        <w:t>designated</w:t>
      </w:r>
      <w:r w:rsidRPr="008C4425">
        <w:rPr>
          <w:lang w:val="en-US"/>
        </w:rPr>
        <w:t xml:space="preserve"> in the same manner as this Constitution establishes for judges. The</w:t>
      </w:r>
      <w:r w:rsidR="00C36424">
        <w:rPr>
          <w:lang w:val="en-US"/>
        </w:rPr>
        <w:t xml:space="preserve">ir term of </w:t>
      </w:r>
      <w:r w:rsidRPr="008C4425">
        <w:rPr>
          <w:lang w:val="en-US"/>
        </w:rPr>
        <w:t xml:space="preserve">office </w:t>
      </w:r>
      <w:r w:rsidR="00FA2EF1">
        <w:rPr>
          <w:lang w:val="en-US"/>
        </w:rPr>
        <w:t>and</w:t>
      </w:r>
      <w:r w:rsidRPr="008C4425">
        <w:rPr>
          <w:lang w:val="en-US"/>
        </w:rPr>
        <w:t xml:space="preserve"> </w:t>
      </w:r>
      <w:r w:rsidR="00C36424">
        <w:rPr>
          <w:lang w:val="en-US"/>
        </w:rPr>
        <w:t xml:space="preserve">procedures for removal </w:t>
      </w:r>
      <w:r w:rsidRPr="008C4425">
        <w:rPr>
          <w:lang w:val="en-US"/>
        </w:rPr>
        <w:t>are</w:t>
      </w:r>
      <w:r w:rsidR="00FA2EF1">
        <w:rPr>
          <w:lang w:val="en-US"/>
        </w:rPr>
        <w:t xml:space="preserve"> </w:t>
      </w:r>
      <w:r w:rsidR="00107E65">
        <w:rPr>
          <w:lang w:val="en-US"/>
        </w:rPr>
        <w:t>the same</w:t>
      </w:r>
      <w:r w:rsidRPr="008C4425">
        <w:rPr>
          <w:lang w:val="en-US"/>
        </w:rPr>
        <w:t>.</w:t>
      </w:r>
      <w:r>
        <w:rPr>
          <w:lang w:val="en-US"/>
        </w:rPr>
        <w:t xml:space="preserve"> </w:t>
      </w:r>
      <w:r w:rsidRPr="00FA2EF1">
        <w:rPr>
          <w:lang w:val="en-US"/>
        </w:rPr>
        <w:t xml:space="preserve">In addition, they have the same </w:t>
      </w:r>
      <w:r w:rsidR="00FA2EF1">
        <w:rPr>
          <w:lang w:val="en-US"/>
        </w:rPr>
        <w:t xml:space="preserve">provisions on conflict of interests and immunity as </w:t>
      </w:r>
      <w:r w:rsidR="00FA2EF1" w:rsidRPr="00FA2EF1">
        <w:rPr>
          <w:lang w:val="en-US"/>
        </w:rPr>
        <w:t xml:space="preserve">those </w:t>
      </w:r>
      <w:r w:rsidR="00FA2EF1">
        <w:rPr>
          <w:lang w:val="en-US"/>
        </w:rPr>
        <w:t>established for members of the judicial branch.</w:t>
      </w:r>
      <w:r w:rsidR="00FA2EF1" w:rsidRPr="00FA2EF1">
        <w:rPr>
          <w:lang w:val="en-US"/>
        </w:rPr>
        <w:t xml:space="preserve"> </w:t>
      </w:r>
    </w:p>
    <w:p w14:paraId="47428203" w14:textId="77777777" w:rsidR="00466276" w:rsidRPr="00FA2EF1" w:rsidRDefault="00466276" w:rsidP="00534DEF">
      <w:pPr>
        <w:pStyle w:val="parrafos"/>
        <w:numPr>
          <w:ilvl w:val="0"/>
          <w:numId w:val="0"/>
        </w:numPr>
        <w:rPr>
          <w:lang w:val="en-US"/>
        </w:rPr>
      </w:pPr>
    </w:p>
    <w:p w14:paraId="5D8277A4" w14:textId="77777777" w:rsidR="00534DEF" w:rsidRPr="00376749" w:rsidRDefault="00186DB1" w:rsidP="00507BC3">
      <w:pPr>
        <w:pStyle w:val="parrafos"/>
        <w:rPr>
          <w:lang w:val="en-US"/>
        </w:rPr>
      </w:pPr>
      <w:r w:rsidRPr="00376749">
        <w:rPr>
          <w:rFonts w:ascii="Cambria" w:hAnsi="Cambria"/>
          <w:lang w:val="en-US"/>
        </w:rPr>
        <w:t>Law</w:t>
      </w:r>
      <w:r w:rsidR="00534DEF" w:rsidRPr="00376749">
        <w:rPr>
          <w:rFonts w:ascii="Cambria" w:hAnsi="Cambria"/>
          <w:lang w:val="en-US"/>
        </w:rPr>
        <w:t xml:space="preserve"> </w:t>
      </w:r>
      <w:r w:rsidRPr="00376749">
        <w:rPr>
          <w:rFonts w:ascii="Cambria" w:hAnsi="Cambria"/>
          <w:lang w:val="en-US"/>
        </w:rPr>
        <w:t xml:space="preserve">No. </w:t>
      </w:r>
      <w:r w:rsidR="00534DEF" w:rsidRPr="00376749">
        <w:rPr>
          <w:rFonts w:ascii="Cambria" w:hAnsi="Cambria"/>
          <w:lang w:val="en-US"/>
        </w:rPr>
        <w:t xml:space="preserve">1084 </w:t>
      </w:r>
      <w:r w:rsidR="00376749" w:rsidRPr="00376749">
        <w:rPr>
          <w:rFonts w:ascii="Cambria" w:hAnsi="Cambria"/>
          <w:lang w:val="en-US"/>
        </w:rPr>
        <w:t>establishes the composition and procedures of the Jury for the Prosecution</w:t>
      </w:r>
      <w:r w:rsidR="00376749">
        <w:rPr>
          <w:rFonts w:ascii="Cambria" w:hAnsi="Cambria"/>
          <w:lang w:val="en-US"/>
        </w:rPr>
        <w:t xml:space="preserve"> of Magistrates</w:t>
      </w:r>
      <w:r w:rsidR="00376749" w:rsidRPr="00376749">
        <w:rPr>
          <w:rFonts w:ascii="Cambria" w:hAnsi="Cambria"/>
          <w:lang w:val="en-US"/>
        </w:rPr>
        <w:t>, as well as</w:t>
      </w:r>
      <w:r w:rsidR="00376749">
        <w:rPr>
          <w:rFonts w:ascii="Cambria" w:hAnsi="Cambria"/>
          <w:lang w:val="en-US"/>
        </w:rPr>
        <w:t xml:space="preserve"> the</w:t>
      </w:r>
      <w:r w:rsidR="00376749" w:rsidRPr="00376749">
        <w:rPr>
          <w:rFonts w:ascii="Cambria" w:hAnsi="Cambria"/>
          <w:lang w:val="en-US"/>
        </w:rPr>
        <w:t xml:space="preserve"> gro</w:t>
      </w:r>
      <w:r w:rsidR="00376749">
        <w:rPr>
          <w:rFonts w:ascii="Cambria" w:hAnsi="Cambria"/>
          <w:lang w:val="en-US"/>
        </w:rPr>
        <w:t>unds for discipline</w:t>
      </w:r>
      <w:r w:rsidR="00534DEF" w:rsidRPr="00376749">
        <w:rPr>
          <w:rFonts w:ascii="Cambria" w:hAnsi="Cambria"/>
          <w:lang w:val="en-US"/>
        </w:rPr>
        <w:t>.</w:t>
      </w:r>
    </w:p>
    <w:p w14:paraId="7134C483" w14:textId="77777777" w:rsidR="00353024" w:rsidRPr="00376749" w:rsidRDefault="00353024" w:rsidP="00353024">
      <w:pPr>
        <w:pStyle w:val="parrafos"/>
        <w:numPr>
          <w:ilvl w:val="0"/>
          <w:numId w:val="0"/>
        </w:numPr>
        <w:rPr>
          <w:lang w:val="en-US"/>
        </w:rPr>
      </w:pPr>
    </w:p>
    <w:p w14:paraId="1063D20D" w14:textId="77777777" w:rsidR="00353024" w:rsidRPr="00766381" w:rsidRDefault="00376749" w:rsidP="00507BC3">
      <w:pPr>
        <w:pStyle w:val="parrafos"/>
      </w:pPr>
      <w:r>
        <w:t>Article</w:t>
      </w:r>
      <w:r w:rsidR="00353024" w:rsidRPr="00766381">
        <w:t xml:space="preserve"> 1 </w:t>
      </w:r>
      <w:r>
        <w:t xml:space="preserve">indicates </w:t>
      </w:r>
      <w:r w:rsidR="00DD0CFC">
        <w:t>the following</w:t>
      </w:r>
      <w:r w:rsidR="00353024" w:rsidRPr="00766381">
        <w:t>:</w:t>
      </w:r>
      <w:r w:rsidR="00775EC8">
        <w:t xml:space="preserve"> </w:t>
      </w:r>
    </w:p>
    <w:p w14:paraId="607DE4F5" w14:textId="77777777" w:rsidR="00353024" w:rsidRPr="00766381" w:rsidRDefault="00353024" w:rsidP="00353024">
      <w:pPr>
        <w:pStyle w:val="ListParagraph"/>
        <w:rPr>
          <w:sz w:val="20"/>
          <w:szCs w:val="20"/>
        </w:rPr>
      </w:pPr>
    </w:p>
    <w:p w14:paraId="58C57999" w14:textId="77777777" w:rsidR="00353024" w:rsidRPr="00CA2A56" w:rsidRDefault="00376749" w:rsidP="00366296">
      <w:pPr>
        <w:pStyle w:val="parrafos"/>
        <w:numPr>
          <w:ilvl w:val="0"/>
          <w:numId w:val="0"/>
        </w:numPr>
        <w:ind w:left="720" w:right="720"/>
        <w:rPr>
          <w:rFonts w:ascii="Cambria" w:hAnsi="Cambria"/>
          <w:color w:val="2B2B2B"/>
          <w:shd w:val="clear" w:color="auto" w:fill="FFFFFF"/>
          <w:lang w:val="en-US"/>
        </w:rPr>
      </w:pPr>
      <w:r w:rsidRPr="00CA2A56">
        <w:rPr>
          <w:rFonts w:ascii="Cambria" w:hAnsi="Cambria"/>
          <w:color w:val="2B2B2B"/>
          <w:shd w:val="clear" w:color="auto" w:fill="FFFFFF"/>
          <w:lang w:val="en-US"/>
        </w:rPr>
        <w:t>The Jury for the Prosecution of Magistrates, hereinafter “the Jury,” shall elect</w:t>
      </w:r>
      <w:r w:rsidR="00775EC8">
        <w:rPr>
          <w:rFonts w:ascii="Cambria" w:hAnsi="Cambria"/>
          <w:color w:val="2B2B2B"/>
          <w:shd w:val="clear" w:color="auto" w:fill="FFFFFF"/>
          <w:lang w:val="en-US"/>
        </w:rPr>
        <w:t xml:space="preserve"> from among its members</w:t>
      </w:r>
      <w:r w:rsidRPr="00CA2A56">
        <w:rPr>
          <w:rFonts w:ascii="Cambria" w:hAnsi="Cambria"/>
          <w:color w:val="2B2B2B"/>
          <w:shd w:val="clear" w:color="auto" w:fill="FFFFFF"/>
          <w:lang w:val="en-US"/>
        </w:rPr>
        <w:t>, in order and by means of secret ballot, its President and Vice-President</w:t>
      </w:r>
      <w:r w:rsidR="00CA2A56" w:rsidRPr="00CA2A56">
        <w:rPr>
          <w:rFonts w:ascii="Cambria" w:hAnsi="Cambria"/>
          <w:color w:val="2B2B2B"/>
          <w:shd w:val="clear" w:color="auto" w:fill="FFFFFF"/>
          <w:lang w:val="en-US"/>
        </w:rPr>
        <w:t xml:space="preserve">, who shall remain in office for one year, with the possibility </w:t>
      </w:r>
      <w:r w:rsidR="00CA2A56">
        <w:rPr>
          <w:rFonts w:ascii="Cambria" w:hAnsi="Cambria"/>
          <w:color w:val="2B2B2B"/>
          <w:shd w:val="clear" w:color="auto" w:fill="FFFFFF"/>
          <w:lang w:val="en-US"/>
        </w:rPr>
        <w:t>of re-election</w:t>
      </w:r>
      <w:r w:rsidR="00353024" w:rsidRPr="00CA2A56">
        <w:rPr>
          <w:rFonts w:ascii="Cambria" w:hAnsi="Cambria"/>
          <w:color w:val="2B2B2B"/>
          <w:shd w:val="clear" w:color="auto" w:fill="FFFFFF"/>
          <w:lang w:val="en-US"/>
        </w:rPr>
        <w:t>.</w:t>
      </w:r>
    </w:p>
    <w:p w14:paraId="2AD6C052" w14:textId="77777777" w:rsidR="00366296" w:rsidRPr="00CA2A56" w:rsidRDefault="00CA2A56" w:rsidP="00366296">
      <w:pPr>
        <w:pStyle w:val="parrafos"/>
        <w:numPr>
          <w:ilvl w:val="0"/>
          <w:numId w:val="0"/>
        </w:numPr>
        <w:ind w:left="720" w:right="720"/>
        <w:rPr>
          <w:rFonts w:ascii="Cambria" w:hAnsi="Cambria"/>
          <w:color w:val="2B2B2B"/>
          <w:shd w:val="clear" w:color="auto" w:fill="FFFFFF"/>
          <w:lang w:val="en-US"/>
        </w:rPr>
      </w:pPr>
      <w:r w:rsidRPr="00CA2A56">
        <w:rPr>
          <w:rFonts w:ascii="Cambria" w:hAnsi="Cambria"/>
          <w:color w:val="2B2B2B"/>
          <w:shd w:val="clear" w:color="auto" w:fill="FFFFFF"/>
          <w:lang w:val="en-US"/>
        </w:rPr>
        <w:t xml:space="preserve">During </w:t>
      </w:r>
      <w:r w:rsidR="009B6161">
        <w:rPr>
          <w:rFonts w:ascii="Cambria" w:hAnsi="Cambria"/>
          <w:color w:val="2B2B2B"/>
          <w:shd w:val="clear" w:color="auto" w:fill="FFFFFF"/>
          <w:lang w:val="en-US"/>
        </w:rPr>
        <w:t>the</w:t>
      </w:r>
      <w:r w:rsidRPr="00CA2A56">
        <w:rPr>
          <w:rFonts w:ascii="Cambria" w:hAnsi="Cambria"/>
          <w:color w:val="2B2B2B"/>
          <w:shd w:val="clear" w:color="auto" w:fill="FFFFFF"/>
          <w:lang w:val="en-US"/>
        </w:rPr>
        <w:t xml:space="preserve"> same </w:t>
      </w:r>
      <w:r w:rsidR="009B6161">
        <w:rPr>
          <w:rFonts w:ascii="Cambria" w:hAnsi="Cambria"/>
          <w:color w:val="2B2B2B"/>
          <w:shd w:val="clear" w:color="auto" w:fill="FFFFFF"/>
          <w:lang w:val="en-US"/>
        </w:rPr>
        <w:t>act</w:t>
      </w:r>
      <w:r w:rsidRPr="00CA2A56">
        <w:rPr>
          <w:rFonts w:ascii="Cambria" w:hAnsi="Cambria"/>
          <w:color w:val="2B2B2B"/>
          <w:shd w:val="clear" w:color="auto" w:fill="FFFFFF"/>
          <w:lang w:val="en-US"/>
        </w:rPr>
        <w:t xml:space="preserve">, the President-designate shall take an oath or pledge to </w:t>
      </w:r>
      <w:r w:rsidR="009B6161">
        <w:rPr>
          <w:rFonts w:ascii="Cambria" w:hAnsi="Cambria"/>
          <w:color w:val="2B2B2B"/>
          <w:shd w:val="clear" w:color="auto" w:fill="FFFFFF"/>
          <w:lang w:val="en-US"/>
        </w:rPr>
        <w:t>perform</w:t>
      </w:r>
      <w:r w:rsidRPr="00CA2A56">
        <w:rPr>
          <w:rFonts w:ascii="Cambria" w:hAnsi="Cambria"/>
          <w:color w:val="2B2B2B"/>
          <w:shd w:val="clear" w:color="auto" w:fill="FFFFFF"/>
          <w:lang w:val="en-US"/>
        </w:rPr>
        <w:t xml:space="preserve"> his or her duties an</w:t>
      </w:r>
      <w:r>
        <w:rPr>
          <w:rFonts w:ascii="Cambria" w:hAnsi="Cambria"/>
          <w:color w:val="2B2B2B"/>
          <w:shd w:val="clear" w:color="auto" w:fill="FFFFFF"/>
          <w:lang w:val="en-US"/>
        </w:rPr>
        <w:t>d work in accordance with the provisions of the Constitution and the laws. Immediately thereafter,</w:t>
      </w:r>
      <w:r w:rsidRPr="00CA2A56">
        <w:rPr>
          <w:rFonts w:ascii="Cambria" w:hAnsi="Cambria"/>
          <w:color w:val="2B2B2B"/>
          <w:shd w:val="clear" w:color="auto" w:fill="FFFFFF"/>
          <w:lang w:val="en-US"/>
        </w:rPr>
        <w:t xml:space="preserve"> </w:t>
      </w:r>
      <w:r>
        <w:rPr>
          <w:rFonts w:ascii="Cambria" w:hAnsi="Cambria"/>
          <w:color w:val="2B2B2B"/>
          <w:shd w:val="clear" w:color="auto" w:fill="FFFFFF"/>
          <w:lang w:val="en-US"/>
        </w:rPr>
        <w:t xml:space="preserve">the </w:t>
      </w:r>
      <w:r w:rsidRPr="00CA2A56">
        <w:rPr>
          <w:rFonts w:ascii="Cambria" w:hAnsi="Cambria"/>
          <w:color w:val="2B2B2B"/>
          <w:shd w:val="clear" w:color="auto" w:fill="FFFFFF"/>
          <w:lang w:val="en-US"/>
        </w:rPr>
        <w:t>members shall do the same before the President.</w:t>
      </w:r>
    </w:p>
    <w:p w14:paraId="0B9CC62F" w14:textId="77777777" w:rsidR="00353024" w:rsidRPr="00CA2A56" w:rsidRDefault="00353024" w:rsidP="00353024">
      <w:pPr>
        <w:pStyle w:val="parrafos"/>
        <w:numPr>
          <w:ilvl w:val="0"/>
          <w:numId w:val="0"/>
        </w:numPr>
        <w:rPr>
          <w:rFonts w:ascii="Open Sans" w:hAnsi="Open Sans" w:hint="eastAsia"/>
          <w:color w:val="2B2B2B"/>
          <w:sz w:val="21"/>
          <w:szCs w:val="21"/>
          <w:shd w:val="clear" w:color="auto" w:fill="FFFFFF"/>
          <w:lang w:val="en-US"/>
        </w:rPr>
      </w:pPr>
    </w:p>
    <w:p w14:paraId="186BBBFD" w14:textId="77777777" w:rsidR="00353024" w:rsidRPr="00766381" w:rsidRDefault="00CA2A56" w:rsidP="00353024">
      <w:pPr>
        <w:pStyle w:val="parrafos"/>
      </w:pPr>
      <w:r>
        <w:t>Article</w:t>
      </w:r>
      <w:r w:rsidR="00353024" w:rsidRPr="00766381">
        <w:t xml:space="preserve"> 3 </w:t>
      </w:r>
      <w:r>
        <w:t xml:space="preserve">indicates </w:t>
      </w:r>
      <w:r w:rsidR="00F65F29">
        <w:t>the following</w:t>
      </w:r>
      <w:r w:rsidR="00353024" w:rsidRPr="00766381">
        <w:t xml:space="preserve">: </w:t>
      </w:r>
    </w:p>
    <w:p w14:paraId="78179440" w14:textId="77777777" w:rsidR="00353024" w:rsidRPr="00766381" w:rsidRDefault="00353024" w:rsidP="00353024">
      <w:pPr>
        <w:pStyle w:val="parrafos"/>
        <w:numPr>
          <w:ilvl w:val="0"/>
          <w:numId w:val="0"/>
        </w:numPr>
      </w:pPr>
    </w:p>
    <w:p w14:paraId="3B9F560F" w14:textId="77777777" w:rsidR="00353024" w:rsidRPr="00CA2A56" w:rsidRDefault="00CA2A56" w:rsidP="00366296">
      <w:pPr>
        <w:pStyle w:val="parrafos"/>
        <w:numPr>
          <w:ilvl w:val="0"/>
          <w:numId w:val="0"/>
        </w:numPr>
        <w:ind w:left="720" w:right="720"/>
        <w:rPr>
          <w:lang w:val="en-US"/>
        </w:rPr>
      </w:pPr>
      <w:r w:rsidRPr="00CA2A56">
        <w:rPr>
          <w:lang w:val="en-US"/>
        </w:rPr>
        <w:t xml:space="preserve">The members of the Jury shall be designated, respectively, by simple majority of votes of the members of the Supreme Court of Justice, the Chamber of Senators, the Chamber of Deputies, and the Council of Magistrates. </w:t>
      </w:r>
    </w:p>
    <w:p w14:paraId="6AB54C32" w14:textId="77777777" w:rsidR="00353024" w:rsidRPr="0034763C" w:rsidRDefault="00CA2A56" w:rsidP="00366296">
      <w:pPr>
        <w:pStyle w:val="parrafos"/>
        <w:numPr>
          <w:ilvl w:val="0"/>
          <w:numId w:val="0"/>
        </w:numPr>
        <w:ind w:left="720" w:right="720"/>
        <w:rPr>
          <w:lang w:val="en-US"/>
        </w:rPr>
      </w:pPr>
      <w:r w:rsidRPr="0034763C">
        <w:rPr>
          <w:lang w:val="en-US"/>
        </w:rPr>
        <w:t xml:space="preserve">The members of the Jury shall remain in office until </w:t>
      </w:r>
      <w:r w:rsidR="0034763C" w:rsidRPr="0034763C">
        <w:rPr>
          <w:lang w:val="en-US"/>
        </w:rPr>
        <w:t>they have served the period for which they were elec</w:t>
      </w:r>
      <w:r w:rsidR="0034763C">
        <w:rPr>
          <w:lang w:val="en-US"/>
        </w:rPr>
        <w:t>ted or designated.</w:t>
      </w:r>
    </w:p>
    <w:p w14:paraId="483916B2" w14:textId="77777777" w:rsidR="00507BC3" w:rsidRPr="0034763C" w:rsidRDefault="00507BC3" w:rsidP="00507BC3">
      <w:pPr>
        <w:pStyle w:val="parrafos"/>
        <w:numPr>
          <w:ilvl w:val="0"/>
          <w:numId w:val="0"/>
        </w:numPr>
        <w:rPr>
          <w:lang w:val="en-US"/>
        </w:rPr>
      </w:pPr>
      <w:r w:rsidRPr="0034763C">
        <w:rPr>
          <w:lang w:val="en-US"/>
        </w:rPr>
        <w:t xml:space="preserve"> </w:t>
      </w:r>
    </w:p>
    <w:p w14:paraId="51288028" w14:textId="77777777" w:rsidR="00507BC3" w:rsidRPr="00766381" w:rsidRDefault="0034763C" w:rsidP="00507BC3">
      <w:pPr>
        <w:pStyle w:val="parrafos"/>
      </w:pPr>
      <w:r>
        <w:t>Article</w:t>
      </w:r>
      <w:r w:rsidR="00534DEF" w:rsidRPr="00766381">
        <w:t xml:space="preserve"> 11</w:t>
      </w:r>
      <w:r w:rsidR="00507BC3" w:rsidRPr="00766381">
        <w:t xml:space="preserve"> </w:t>
      </w:r>
      <w:r w:rsidR="008374CF">
        <w:t>determines</w:t>
      </w:r>
      <w:r>
        <w:t xml:space="preserve"> </w:t>
      </w:r>
      <w:r w:rsidR="00F65F29">
        <w:t>the following</w:t>
      </w:r>
      <w:r w:rsidR="00507BC3" w:rsidRPr="00766381">
        <w:t>:</w:t>
      </w:r>
    </w:p>
    <w:p w14:paraId="19C9620A" w14:textId="77777777" w:rsidR="00497CA0" w:rsidRPr="00766381" w:rsidRDefault="00497CA0" w:rsidP="00466276">
      <w:pPr>
        <w:pStyle w:val="parrafos"/>
        <w:numPr>
          <w:ilvl w:val="0"/>
          <w:numId w:val="0"/>
        </w:numPr>
        <w:ind w:left="720" w:right="720"/>
      </w:pPr>
    </w:p>
    <w:p w14:paraId="5DC2D580" w14:textId="77777777" w:rsidR="00534DEF" w:rsidRPr="005D185D" w:rsidRDefault="008374CF" w:rsidP="00466276">
      <w:pPr>
        <w:pStyle w:val="parrafos"/>
        <w:numPr>
          <w:ilvl w:val="0"/>
          <w:numId w:val="0"/>
        </w:numPr>
        <w:ind w:left="720" w:right="720"/>
        <w:rPr>
          <w:lang w:val="en-US"/>
        </w:rPr>
      </w:pPr>
      <w:r>
        <w:rPr>
          <w:lang w:val="en-US"/>
        </w:rPr>
        <w:t>I</w:t>
      </w:r>
      <w:r w:rsidR="0034763C" w:rsidRPr="005D185D">
        <w:rPr>
          <w:lang w:val="en-US"/>
        </w:rPr>
        <w:t xml:space="preserve">n accordance with the procedures established in this law, the Jury is responsible for the prosecution of members of Appeals Courts of any jurisdiction, of other judges, and of those who work as </w:t>
      </w:r>
      <w:r>
        <w:rPr>
          <w:lang w:val="en-US"/>
        </w:rPr>
        <w:t xml:space="preserve">State Attorneys and Prosecutors </w:t>
      </w:r>
      <w:r w:rsidR="005D185D" w:rsidRPr="005D185D">
        <w:rPr>
          <w:lang w:val="en-US"/>
        </w:rPr>
        <w:t xml:space="preserve">in the </w:t>
      </w:r>
      <w:r w:rsidRPr="005D185D">
        <w:rPr>
          <w:lang w:val="en-US"/>
        </w:rPr>
        <w:t xml:space="preserve">Office </w:t>
      </w:r>
      <w:r>
        <w:rPr>
          <w:lang w:val="en-US"/>
        </w:rPr>
        <w:t xml:space="preserve">of the </w:t>
      </w:r>
      <w:r w:rsidR="005D185D" w:rsidRPr="005D185D">
        <w:rPr>
          <w:lang w:val="en-US"/>
        </w:rPr>
        <w:t>Public Prosec</w:t>
      </w:r>
      <w:r w:rsidR="005D185D">
        <w:rPr>
          <w:lang w:val="en-US"/>
        </w:rPr>
        <w:t>u</w:t>
      </w:r>
      <w:r w:rsidR="005D185D" w:rsidRPr="005D185D">
        <w:rPr>
          <w:lang w:val="en-US"/>
        </w:rPr>
        <w:t>tor</w:t>
      </w:r>
      <w:r w:rsidR="00534DEF" w:rsidRPr="005D185D">
        <w:rPr>
          <w:lang w:val="en-US"/>
        </w:rPr>
        <w:t>.</w:t>
      </w:r>
      <w:r w:rsidR="005D185D">
        <w:rPr>
          <w:lang w:val="en-US"/>
        </w:rPr>
        <w:t xml:space="preserve"> </w:t>
      </w:r>
    </w:p>
    <w:p w14:paraId="16856E5D" w14:textId="77777777" w:rsidR="00FD60EB" w:rsidRPr="005D185D" w:rsidRDefault="00FD60EB" w:rsidP="00534DEF">
      <w:pPr>
        <w:pStyle w:val="parrafos"/>
        <w:numPr>
          <w:ilvl w:val="0"/>
          <w:numId w:val="0"/>
        </w:numPr>
        <w:rPr>
          <w:lang w:val="en-US"/>
        </w:rPr>
      </w:pPr>
    </w:p>
    <w:p w14:paraId="17E7979E" w14:textId="77777777" w:rsidR="00FD60EB" w:rsidRPr="00766381" w:rsidRDefault="005D185D" w:rsidP="00FD60EB">
      <w:pPr>
        <w:pStyle w:val="parrafos"/>
      </w:pPr>
      <w:r>
        <w:t>Article</w:t>
      </w:r>
      <w:r w:rsidR="00FD60EB" w:rsidRPr="00766381">
        <w:t xml:space="preserve"> 12 </w:t>
      </w:r>
      <w:r w:rsidR="008374CF">
        <w:t>provides</w:t>
      </w:r>
      <w:r>
        <w:t xml:space="preserve"> that</w:t>
      </w:r>
      <w:r w:rsidR="00FD60EB" w:rsidRPr="00766381">
        <w:t>:</w:t>
      </w:r>
    </w:p>
    <w:p w14:paraId="2AB033DC" w14:textId="77777777" w:rsidR="00FD60EB" w:rsidRPr="00766381" w:rsidRDefault="00FD60EB" w:rsidP="00FD60EB">
      <w:pPr>
        <w:pStyle w:val="parrafos"/>
        <w:numPr>
          <w:ilvl w:val="0"/>
          <w:numId w:val="0"/>
        </w:numPr>
      </w:pPr>
    </w:p>
    <w:p w14:paraId="44C23FE2" w14:textId="77777777" w:rsidR="00FD60EB" w:rsidRPr="001D334F" w:rsidRDefault="005D185D" w:rsidP="00466276">
      <w:pPr>
        <w:pStyle w:val="parrafos"/>
        <w:numPr>
          <w:ilvl w:val="0"/>
          <w:numId w:val="0"/>
        </w:numPr>
        <w:ind w:left="720" w:right="720"/>
        <w:rPr>
          <w:lang w:val="en-US"/>
        </w:rPr>
      </w:pPr>
      <w:r w:rsidRPr="001D334F">
        <w:rPr>
          <w:lang w:val="en-US"/>
        </w:rPr>
        <w:t xml:space="preserve">The commission of crimes or the poor performance of duties </w:t>
      </w:r>
      <w:r w:rsidR="001D334F" w:rsidRPr="001D334F">
        <w:rPr>
          <w:lang w:val="en-US"/>
        </w:rPr>
        <w:t xml:space="preserve">as defined in this law are grounds for prosecution. </w:t>
      </w:r>
    </w:p>
    <w:p w14:paraId="6B19AD72" w14:textId="77777777" w:rsidR="00FD60EB" w:rsidRPr="001D334F" w:rsidRDefault="00FD60EB" w:rsidP="00FD60EB">
      <w:pPr>
        <w:pStyle w:val="parrafos"/>
        <w:numPr>
          <w:ilvl w:val="0"/>
          <w:numId w:val="0"/>
        </w:numPr>
        <w:rPr>
          <w:lang w:val="en-US"/>
        </w:rPr>
      </w:pPr>
    </w:p>
    <w:p w14:paraId="531FE147" w14:textId="77777777" w:rsidR="00FD60EB" w:rsidRPr="00766381" w:rsidRDefault="001D334F" w:rsidP="00FD60EB">
      <w:pPr>
        <w:pStyle w:val="parrafos"/>
        <w:rPr>
          <w:bdr w:val="none" w:sz="0" w:space="0" w:color="auto"/>
        </w:rPr>
      </w:pPr>
      <w:r>
        <w:rPr>
          <w:bdr w:val="none" w:sz="0" w:space="0" w:color="auto"/>
        </w:rPr>
        <w:t>Article</w:t>
      </w:r>
      <w:r w:rsidR="00FD60EB" w:rsidRPr="00766381">
        <w:rPr>
          <w:bdr w:val="none" w:sz="0" w:space="0" w:color="auto"/>
        </w:rPr>
        <w:t xml:space="preserve"> 14 </w:t>
      </w:r>
      <w:r>
        <w:rPr>
          <w:bdr w:val="none" w:sz="0" w:space="0" w:color="auto"/>
        </w:rPr>
        <w:t>indicates that</w:t>
      </w:r>
      <w:r w:rsidR="00FD60EB" w:rsidRPr="00766381">
        <w:rPr>
          <w:bdr w:val="none" w:sz="0" w:space="0" w:color="auto"/>
        </w:rPr>
        <w:t>:</w:t>
      </w:r>
    </w:p>
    <w:p w14:paraId="09124C2B" w14:textId="77777777" w:rsidR="00FD60EB" w:rsidRPr="00766381" w:rsidRDefault="00FD60EB" w:rsidP="00FD60EB">
      <w:pPr>
        <w:pStyle w:val="parrafos"/>
        <w:numPr>
          <w:ilvl w:val="0"/>
          <w:numId w:val="0"/>
        </w:numPr>
        <w:rPr>
          <w:bdr w:val="none" w:sz="0" w:space="0" w:color="auto"/>
        </w:rPr>
      </w:pPr>
    </w:p>
    <w:p w14:paraId="1E00CC43" w14:textId="77777777" w:rsidR="00FD60EB" w:rsidRPr="001D334F" w:rsidRDefault="001D334F" w:rsidP="00466276">
      <w:pPr>
        <w:pStyle w:val="parrafos"/>
        <w:numPr>
          <w:ilvl w:val="0"/>
          <w:numId w:val="0"/>
        </w:numPr>
        <w:ind w:left="720" w:right="720"/>
        <w:rPr>
          <w:bdr w:val="none" w:sz="0" w:space="0" w:color="auto"/>
          <w:lang w:val="en-US"/>
        </w:rPr>
      </w:pPr>
      <w:r w:rsidRPr="001D334F">
        <w:rPr>
          <w:bdr w:val="none" w:sz="0" w:space="0" w:color="auto"/>
          <w:lang w:val="en-US"/>
        </w:rPr>
        <w:t>The following constitutes poor performance of duties warranting the removal from office of judicial magistrates, prosecutors, public prosecutors, and justices of the peace</w:t>
      </w:r>
      <w:r w:rsidR="00FD60EB" w:rsidRPr="001D334F">
        <w:rPr>
          <w:bdr w:val="none" w:sz="0" w:space="0" w:color="auto"/>
          <w:lang w:val="en-US"/>
        </w:rPr>
        <w:t>:</w:t>
      </w:r>
    </w:p>
    <w:p w14:paraId="1FA8FA7D" w14:textId="77777777" w:rsidR="00FD60EB" w:rsidRPr="003067C5" w:rsidRDefault="00FD60EB" w:rsidP="00466276">
      <w:pPr>
        <w:pStyle w:val="parrafos"/>
        <w:numPr>
          <w:ilvl w:val="0"/>
          <w:numId w:val="0"/>
        </w:numPr>
        <w:ind w:left="720" w:right="720"/>
        <w:rPr>
          <w:bdr w:val="none" w:sz="0" w:space="0" w:color="auto"/>
          <w:lang w:val="en-US"/>
        </w:rPr>
      </w:pPr>
      <w:r w:rsidRPr="003067C5">
        <w:rPr>
          <w:bdr w:val="none" w:sz="0" w:space="0" w:color="auto"/>
          <w:lang w:val="en-US"/>
        </w:rPr>
        <w:t xml:space="preserve">b) </w:t>
      </w:r>
      <w:bookmarkStart w:id="7" w:name="_Hlk52354555"/>
      <w:r w:rsidR="003067C5" w:rsidRPr="003067C5">
        <w:rPr>
          <w:bdr w:val="none" w:sz="0" w:space="0" w:color="auto"/>
          <w:lang w:val="en-US"/>
        </w:rPr>
        <w:t>repeated and serious noncompliance with the obligations established in the National Constitution, Procedural Codes, and other laws on the exercise of their duties</w:t>
      </w:r>
      <w:bookmarkEnd w:id="7"/>
      <w:r w:rsidRPr="003067C5">
        <w:rPr>
          <w:bdr w:val="none" w:sz="0" w:space="0" w:color="auto"/>
          <w:lang w:val="en-US"/>
        </w:rPr>
        <w:t>;</w:t>
      </w:r>
    </w:p>
    <w:p w14:paraId="309E4036" w14:textId="77777777" w:rsidR="00FD60EB" w:rsidRPr="003067C5" w:rsidRDefault="00FD60EB" w:rsidP="00466276">
      <w:pPr>
        <w:pStyle w:val="parrafos"/>
        <w:numPr>
          <w:ilvl w:val="0"/>
          <w:numId w:val="0"/>
        </w:numPr>
        <w:ind w:left="720" w:right="720"/>
        <w:rPr>
          <w:bdr w:val="none" w:sz="0" w:space="0" w:color="auto"/>
          <w:lang w:val="en-US"/>
        </w:rPr>
      </w:pPr>
      <w:r w:rsidRPr="003067C5">
        <w:rPr>
          <w:bdr w:val="none" w:sz="0" w:space="0" w:color="auto"/>
          <w:lang w:val="en-US"/>
        </w:rPr>
        <w:t xml:space="preserve">c) </w:t>
      </w:r>
      <w:r w:rsidR="003067C5" w:rsidRPr="003067C5">
        <w:rPr>
          <w:bdr w:val="none" w:sz="0" w:space="0" w:color="auto"/>
          <w:lang w:val="en-US"/>
        </w:rPr>
        <w:t>fail</w:t>
      </w:r>
      <w:r w:rsidR="004F1102">
        <w:rPr>
          <w:bdr w:val="none" w:sz="0" w:space="0" w:color="auto"/>
          <w:lang w:val="en-US"/>
        </w:rPr>
        <w:t>ing</w:t>
      </w:r>
      <w:r w:rsidR="003067C5" w:rsidRPr="003067C5">
        <w:rPr>
          <w:bdr w:val="none" w:sz="0" w:space="0" w:color="auto"/>
          <w:lang w:val="en-US"/>
        </w:rPr>
        <w:t xml:space="preserve"> to maintain personal independence in the exercise of their duties and submi</w:t>
      </w:r>
      <w:r w:rsidR="004F1102">
        <w:rPr>
          <w:bdr w:val="none" w:sz="0" w:space="0" w:color="auto"/>
          <w:lang w:val="en-US"/>
        </w:rPr>
        <w:t>tting</w:t>
      </w:r>
      <w:r w:rsidR="003067C5" w:rsidRPr="003067C5">
        <w:rPr>
          <w:bdr w:val="none" w:sz="0" w:space="0" w:color="auto"/>
          <w:lang w:val="en-US"/>
        </w:rPr>
        <w:t xml:space="preserve">, without any law requiring </w:t>
      </w:r>
      <w:r w:rsidR="00F65F29">
        <w:rPr>
          <w:bdr w:val="none" w:sz="0" w:space="0" w:color="auto"/>
          <w:lang w:val="en-US"/>
        </w:rPr>
        <w:t>them to</w:t>
      </w:r>
      <w:r w:rsidR="003067C5" w:rsidRPr="003067C5">
        <w:rPr>
          <w:bdr w:val="none" w:sz="0" w:space="0" w:color="auto"/>
          <w:lang w:val="en-US"/>
        </w:rPr>
        <w:t xml:space="preserve">, to orders and </w:t>
      </w:r>
      <w:r w:rsidR="00AD204C">
        <w:rPr>
          <w:bdr w:val="none" w:sz="0" w:space="0" w:color="auto"/>
          <w:lang w:val="en-US"/>
        </w:rPr>
        <w:t>instructions</w:t>
      </w:r>
      <w:r w:rsidR="003067C5" w:rsidRPr="003067C5">
        <w:rPr>
          <w:bdr w:val="none" w:sz="0" w:space="0" w:color="auto"/>
          <w:lang w:val="en-US"/>
        </w:rPr>
        <w:t xml:space="preserve"> from higher-rank</w:t>
      </w:r>
      <w:r w:rsidR="003067C5">
        <w:rPr>
          <w:bdr w:val="none" w:sz="0" w:space="0" w:color="auto"/>
          <w:lang w:val="en-US"/>
        </w:rPr>
        <w:t xml:space="preserve">ed </w:t>
      </w:r>
      <w:r w:rsidR="003067C5" w:rsidRPr="003067C5">
        <w:rPr>
          <w:bdr w:val="none" w:sz="0" w:space="0" w:color="auto"/>
          <w:lang w:val="en-US"/>
        </w:rPr>
        <w:t xml:space="preserve">magistrates </w:t>
      </w:r>
      <w:r w:rsidR="003067C5">
        <w:rPr>
          <w:bdr w:val="none" w:sz="0" w:space="0" w:color="auto"/>
          <w:lang w:val="en-US"/>
        </w:rPr>
        <w:t>or from officials from other branches or agencies of the State</w:t>
      </w:r>
      <w:r w:rsidRPr="003067C5">
        <w:rPr>
          <w:bdr w:val="none" w:sz="0" w:space="0" w:color="auto"/>
          <w:lang w:val="en-US"/>
        </w:rPr>
        <w:t>;</w:t>
      </w:r>
    </w:p>
    <w:p w14:paraId="4212374D" w14:textId="77777777" w:rsidR="00FD60EB" w:rsidRPr="003067C5" w:rsidRDefault="00FD60EB" w:rsidP="00466276">
      <w:pPr>
        <w:pStyle w:val="parrafos"/>
        <w:numPr>
          <w:ilvl w:val="0"/>
          <w:numId w:val="0"/>
        </w:numPr>
        <w:ind w:left="720" w:right="720"/>
        <w:rPr>
          <w:bdr w:val="none" w:sz="0" w:space="0" w:color="auto"/>
          <w:lang w:val="en-US"/>
        </w:rPr>
      </w:pPr>
      <w:r w:rsidRPr="003067C5">
        <w:rPr>
          <w:bdr w:val="none" w:sz="0" w:space="0" w:color="auto"/>
          <w:lang w:val="en-US"/>
        </w:rPr>
        <w:t xml:space="preserve">g) </w:t>
      </w:r>
      <w:r w:rsidR="003067C5" w:rsidRPr="003067C5">
        <w:rPr>
          <w:bdr w:val="none" w:sz="0" w:space="0" w:color="auto"/>
          <w:lang w:val="en-US"/>
        </w:rPr>
        <w:t>demonstrat</w:t>
      </w:r>
      <w:r w:rsidR="008B7408">
        <w:rPr>
          <w:bdr w:val="none" w:sz="0" w:space="0" w:color="auto"/>
          <w:lang w:val="en-US"/>
        </w:rPr>
        <w:t>ion of</w:t>
      </w:r>
      <w:r w:rsidR="003067C5" w:rsidRPr="003067C5">
        <w:rPr>
          <w:bdr w:val="none" w:sz="0" w:space="0" w:color="auto"/>
          <w:lang w:val="en-US"/>
        </w:rPr>
        <w:t xml:space="preserve"> a clear-cut bias or ignorance of the law in trials, manifested through repeat</w:t>
      </w:r>
      <w:r w:rsidR="003067C5">
        <w:rPr>
          <w:bdr w:val="none" w:sz="0" w:space="0" w:color="auto"/>
          <w:lang w:val="en-US"/>
        </w:rPr>
        <w:t>ed acts</w:t>
      </w:r>
      <w:r w:rsidRPr="003067C5">
        <w:rPr>
          <w:bdr w:val="none" w:sz="0" w:space="0" w:color="auto"/>
          <w:lang w:val="en-US"/>
        </w:rPr>
        <w:t>;</w:t>
      </w:r>
    </w:p>
    <w:p w14:paraId="4FE05D16" w14:textId="77777777" w:rsidR="00FD60EB" w:rsidRPr="00AD204C" w:rsidRDefault="00FD60EB" w:rsidP="00466276">
      <w:pPr>
        <w:pStyle w:val="parrafos"/>
        <w:numPr>
          <w:ilvl w:val="0"/>
          <w:numId w:val="0"/>
        </w:numPr>
        <w:ind w:left="720" w:right="720"/>
        <w:rPr>
          <w:bdr w:val="none" w:sz="0" w:space="0" w:color="auto"/>
          <w:lang w:val="en-US"/>
        </w:rPr>
      </w:pPr>
      <w:r w:rsidRPr="00AD204C">
        <w:rPr>
          <w:bdr w:val="none" w:sz="0" w:space="0" w:color="auto"/>
          <w:lang w:val="en-US"/>
        </w:rPr>
        <w:t xml:space="preserve">n) </w:t>
      </w:r>
      <w:bookmarkStart w:id="8" w:name="_Hlk52715210"/>
      <w:r w:rsidR="00D15833">
        <w:rPr>
          <w:bdr w:val="none" w:sz="0" w:space="0" w:color="auto"/>
          <w:lang w:val="en-US"/>
        </w:rPr>
        <w:t xml:space="preserve">[giving] </w:t>
      </w:r>
      <w:r w:rsidR="00AD204C" w:rsidRPr="00AD204C">
        <w:rPr>
          <w:bdr w:val="none" w:sz="0" w:space="0" w:color="auto"/>
          <w:lang w:val="en-US"/>
        </w:rPr>
        <w:t xml:space="preserve">information or </w:t>
      </w:r>
      <w:r w:rsidR="00D15833">
        <w:rPr>
          <w:bdr w:val="none" w:sz="0" w:space="0" w:color="auto"/>
          <w:lang w:val="en-US"/>
        </w:rPr>
        <w:t>[</w:t>
      </w:r>
      <w:r w:rsidR="00AD204C" w:rsidRPr="00AD204C">
        <w:rPr>
          <w:bdr w:val="none" w:sz="0" w:space="0" w:color="auto"/>
          <w:lang w:val="en-US"/>
        </w:rPr>
        <w:t>issu</w:t>
      </w:r>
      <w:r w:rsidR="00D15833">
        <w:rPr>
          <w:bdr w:val="none" w:sz="0" w:space="0" w:color="auto"/>
          <w:lang w:val="en-US"/>
        </w:rPr>
        <w:t>ing]</w:t>
      </w:r>
      <w:r w:rsidR="00AD204C" w:rsidRPr="00AD204C">
        <w:rPr>
          <w:bdr w:val="none" w:sz="0" w:space="0" w:color="auto"/>
          <w:lang w:val="en-US"/>
        </w:rPr>
        <w:t xml:space="preserve"> </w:t>
      </w:r>
      <w:r w:rsidR="008B7408">
        <w:rPr>
          <w:bdr w:val="none" w:sz="0" w:space="0" w:color="auto"/>
          <w:lang w:val="en-US"/>
        </w:rPr>
        <w:t>declarations</w:t>
      </w:r>
      <w:r w:rsidR="000B3213" w:rsidRPr="00AD204C">
        <w:rPr>
          <w:bdr w:val="none" w:sz="0" w:space="0" w:color="auto"/>
          <w:lang w:val="en-US"/>
        </w:rPr>
        <w:t xml:space="preserve"> </w:t>
      </w:r>
      <w:r w:rsidR="00AD204C" w:rsidRPr="00AD204C">
        <w:rPr>
          <w:bdr w:val="none" w:sz="0" w:space="0" w:color="auto"/>
          <w:lang w:val="en-US"/>
        </w:rPr>
        <w:t>or comments to</w:t>
      </w:r>
      <w:r w:rsidR="00D15833">
        <w:rPr>
          <w:bdr w:val="none" w:sz="0" w:space="0" w:color="auto"/>
          <w:lang w:val="en-US"/>
        </w:rPr>
        <w:t>…</w:t>
      </w:r>
      <w:r w:rsidR="00AD204C" w:rsidRPr="00AD204C">
        <w:rPr>
          <w:bdr w:val="none" w:sz="0" w:space="0" w:color="auto"/>
          <w:lang w:val="en-US"/>
        </w:rPr>
        <w:t>third parties about the trials they are handling, when the</w:t>
      </w:r>
      <w:r w:rsidR="008B7408">
        <w:rPr>
          <w:bdr w:val="none" w:sz="0" w:space="0" w:color="auto"/>
          <w:lang w:val="en-US"/>
        </w:rPr>
        <w:t>y</w:t>
      </w:r>
      <w:r w:rsidR="00AD204C" w:rsidRPr="00AD204C">
        <w:rPr>
          <w:bdr w:val="none" w:sz="0" w:space="0" w:color="auto"/>
          <w:lang w:val="en-US"/>
        </w:rPr>
        <w:t xml:space="preserve"> might affect their processing</w:t>
      </w:r>
      <w:r w:rsidR="008B7408">
        <w:rPr>
          <w:bdr w:val="none" w:sz="0" w:space="0" w:color="auto"/>
          <w:lang w:val="en-US"/>
        </w:rPr>
        <w:t>,</w:t>
      </w:r>
      <w:r w:rsidR="00AD204C" w:rsidRPr="00AD204C">
        <w:rPr>
          <w:bdr w:val="none" w:sz="0" w:space="0" w:color="auto"/>
          <w:lang w:val="en-US"/>
        </w:rPr>
        <w:t xml:space="preserve"> or affect the honor or reputation or the presumption of innocence established in the National Constituti</w:t>
      </w:r>
      <w:r w:rsidR="00AD204C">
        <w:rPr>
          <w:bdr w:val="none" w:sz="0" w:space="0" w:color="auto"/>
          <w:lang w:val="en-US"/>
        </w:rPr>
        <w:t xml:space="preserve">on; or </w:t>
      </w:r>
      <w:r w:rsidR="00D15833">
        <w:rPr>
          <w:bdr w:val="none" w:sz="0" w:space="0" w:color="auto"/>
          <w:lang w:val="en-US"/>
        </w:rPr>
        <w:t>[</w:t>
      </w:r>
      <w:r w:rsidR="008B7408">
        <w:rPr>
          <w:bdr w:val="none" w:sz="0" w:space="0" w:color="auto"/>
          <w:lang w:val="en-US"/>
        </w:rPr>
        <w:t>sustain</w:t>
      </w:r>
      <w:r w:rsidR="00D15833">
        <w:rPr>
          <w:bdr w:val="none" w:sz="0" w:space="0" w:color="auto"/>
          <w:lang w:val="en-US"/>
        </w:rPr>
        <w:t>ing]</w:t>
      </w:r>
      <w:r w:rsidR="008B7408">
        <w:rPr>
          <w:bdr w:val="none" w:sz="0" w:space="0" w:color="auto"/>
          <w:lang w:val="en-US"/>
        </w:rPr>
        <w:t xml:space="preserve"> polemics</w:t>
      </w:r>
      <w:r w:rsidR="00AD204C">
        <w:rPr>
          <w:bdr w:val="none" w:sz="0" w:space="0" w:color="auto"/>
          <w:lang w:val="en-US"/>
        </w:rPr>
        <w:t xml:space="preserve"> about ongoing trials</w:t>
      </w:r>
      <w:bookmarkEnd w:id="8"/>
      <w:r w:rsidRPr="00AD204C">
        <w:rPr>
          <w:bdr w:val="none" w:sz="0" w:space="0" w:color="auto"/>
          <w:lang w:val="en-US"/>
        </w:rPr>
        <w:t>;</w:t>
      </w:r>
    </w:p>
    <w:p w14:paraId="6D600635" w14:textId="77777777" w:rsidR="00FD60EB" w:rsidRPr="00AD204C" w:rsidRDefault="00FD60EB" w:rsidP="00466276">
      <w:pPr>
        <w:pStyle w:val="parrafos"/>
        <w:numPr>
          <w:ilvl w:val="0"/>
          <w:numId w:val="0"/>
        </w:numPr>
        <w:ind w:left="720" w:right="720"/>
        <w:rPr>
          <w:bdr w:val="none" w:sz="0" w:space="0" w:color="auto"/>
          <w:lang w:val="en-US"/>
        </w:rPr>
      </w:pPr>
      <w:r w:rsidRPr="00AD204C">
        <w:rPr>
          <w:bdr w:val="none" w:sz="0" w:space="0" w:color="auto"/>
          <w:lang w:val="en-US"/>
        </w:rPr>
        <w:t xml:space="preserve">p) </w:t>
      </w:r>
      <w:r w:rsidR="008B7408">
        <w:rPr>
          <w:bdr w:val="none" w:sz="0" w:space="0" w:color="auto"/>
          <w:lang w:val="en-US"/>
        </w:rPr>
        <w:t>receipt of</w:t>
      </w:r>
      <w:r w:rsidR="00AD204C" w:rsidRPr="00AD204C">
        <w:rPr>
          <w:bdr w:val="none" w:sz="0" w:space="0" w:color="auto"/>
          <w:lang w:val="en-US"/>
        </w:rPr>
        <w:t xml:space="preserve"> gifts or accept</w:t>
      </w:r>
      <w:r w:rsidR="008B7408">
        <w:rPr>
          <w:bdr w:val="none" w:sz="0" w:space="0" w:color="auto"/>
          <w:lang w:val="en-US"/>
        </w:rPr>
        <w:t>ance of</w:t>
      </w:r>
      <w:r w:rsidR="00AD204C" w:rsidRPr="00AD204C">
        <w:rPr>
          <w:bdr w:val="none" w:sz="0" w:space="0" w:color="auto"/>
          <w:lang w:val="en-US"/>
        </w:rPr>
        <w:t xml:space="preserve"> promises or other benefits, directly or indirectly, from persons who in any way may play a role or have an interest in the proc</w:t>
      </w:r>
      <w:r w:rsidR="00AD204C">
        <w:rPr>
          <w:bdr w:val="none" w:sz="0" w:space="0" w:color="auto"/>
          <w:lang w:val="en-US"/>
        </w:rPr>
        <w:t>eedings they are handling….</w:t>
      </w:r>
    </w:p>
    <w:p w14:paraId="17DB0AB4" w14:textId="77777777" w:rsidR="00FD60EB" w:rsidRPr="00AD204C" w:rsidRDefault="00FD60EB" w:rsidP="00FD60EB">
      <w:pPr>
        <w:pStyle w:val="parrafos"/>
        <w:numPr>
          <w:ilvl w:val="0"/>
          <w:numId w:val="0"/>
        </w:numPr>
        <w:rPr>
          <w:lang w:val="en-US"/>
        </w:rPr>
      </w:pPr>
    </w:p>
    <w:p w14:paraId="49366126" w14:textId="77777777" w:rsidR="00FD60EB" w:rsidRPr="00766381" w:rsidRDefault="0037228E" w:rsidP="00FD60EB">
      <w:pPr>
        <w:pStyle w:val="parrafos"/>
      </w:pPr>
      <w:r>
        <w:t>Article</w:t>
      </w:r>
      <w:r w:rsidR="00FD60EB" w:rsidRPr="00766381">
        <w:t xml:space="preserve"> </w:t>
      </w:r>
      <w:r w:rsidR="00A02ACB" w:rsidRPr="00766381">
        <w:t>16</w:t>
      </w:r>
      <w:r w:rsidR="00FD60EB" w:rsidRPr="00766381">
        <w:t xml:space="preserve"> </w:t>
      </w:r>
      <w:r>
        <w:t>specifies that</w:t>
      </w:r>
      <w:r w:rsidR="00FD60EB" w:rsidRPr="00766381">
        <w:t>:</w:t>
      </w:r>
    </w:p>
    <w:p w14:paraId="4639CCC4" w14:textId="77777777" w:rsidR="00FD60EB" w:rsidRPr="00766381" w:rsidRDefault="00FD60EB" w:rsidP="00FD60EB">
      <w:pPr>
        <w:pStyle w:val="parrafos"/>
        <w:numPr>
          <w:ilvl w:val="0"/>
          <w:numId w:val="0"/>
        </w:numPr>
      </w:pPr>
    </w:p>
    <w:p w14:paraId="32714C80" w14:textId="77777777" w:rsidR="00A02ACB" w:rsidRPr="00B70531" w:rsidRDefault="00156ECD" w:rsidP="00466276">
      <w:pPr>
        <w:pStyle w:val="parrafos"/>
        <w:numPr>
          <w:ilvl w:val="0"/>
          <w:numId w:val="0"/>
        </w:numPr>
        <w:ind w:left="720" w:right="720"/>
        <w:rPr>
          <w:lang w:val="en-US"/>
        </w:rPr>
      </w:pPr>
      <w:r w:rsidRPr="006A4A21">
        <w:rPr>
          <w:lang w:val="en-US"/>
        </w:rPr>
        <w:t>The proceeding shall</w:t>
      </w:r>
      <w:r w:rsidRPr="00B70531">
        <w:rPr>
          <w:lang w:val="en-US"/>
        </w:rPr>
        <w:t xml:space="preserve"> be initiated before the Jury for the Prosecution of Magistrates </w:t>
      </w:r>
      <w:r w:rsidR="006A4A21">
        <w:rPr>
          <w:lang w:val="en-US"/>
        </w:rPr>
        <w:t>upon a charge being brought</w:t>
      </w:r>
      <w:r w:rsidRPr="00B70531">
        <w:rPr>
          <w:lang w:val="en-US"/>
        </w:rPr>
        <w:t xml:space="preserve"> </w:t>
      </w:r>
      <w:r w:rsidR="00B70531">
        <w:rPr>
          <w:lang w:val="en-US"/>
        </w:rPr>
        <w:t>by</w:t>
      </w:r>
      <w:r w:rsidRPr="00B70531">
        <w:rPr>
          <w:lang w:val="en-US"/>
        </w:rPr>
        <w:t xml:space="preserve"> the litigant o</w:t>
      </w:r>
      <w:r w:rsidR="00B70531">
        <w:rPr>
          <w:lang w:val="en-US"/>
        </w:rPr>
        <w:t>r</w:t>
      </w:r>
      <w:r w:rsidRPr="00B70531">
        <w:rPr>
          <w:lang w:val="en-US"/>
        </w:rPr>
        <w:t xml:space="preserve"> the professional </w:t>
      </w:r>
      <w:r w:rsidR="006A4A21">
        <w:rPr>
          <w:lang w:val="en-US"/>
        </w:rPr>
        <w:t>concerned</w:t>
      </w:r>
      <w:r w:rsidRPr="00B70531">
        <w:rPr>
          <w:lang w:val="en-US"/>
        </w:rPr>
        <w:t xml:space="preserve">, who may do so personally or </w:t>
      </w:r>
      <w:r w:rsidR="006A4A21">
        <w:rPr>
          <w:lang w:val="en-US"/>
        </w:rPr>
        <w:t>through</w:t>
      </w:r>
      <w:r w:rsidRPr="00B70531">
        <w:rPr>
          <w:lang w:val="en-US"/>
        </w:rPr>
        <w:t xml:space="preserve"> a proxy with special power of attorney; </w:t>
      </w:r>
      <w:r w:rsidR="006A4A21">
        <w:rPr>
          <w:lang w:val="en-US"/>
        </w:rPr>
        <w:t>upon a charge being brought</w:t>
      </w:r>
      <w:r w:rsidRPr="00B70531">
        <w:rPr>
          <w:lang w:val="en-US"/>
        </w:rPr>
        <w:t xml:space="preserve"> </w:t>
      </w:r>
      <w:r w:rsidR="00B70531">
        <w:rPr>
          <w:lang w:val="en-US"/>
        </w:rPr>
        <w:t>by</w:t>
      </w:r>
      <w:r w:rsidRPr="00B70531">
        <w:rPr>
          <w:lang w:val="en-US"/>
        </w:rPr>
        <w:t xml:space="preserve"> the Supreme Court of Justice, the Ministry of Justice and Labor, the </w:t>
      </w:r>
      <w:r w:rsidR="006A4A21" w:rsidRPr="00B70531">
        <w:rPr>
          <w:lang w:val="en-US"/>
        </w:rPr>
        <w:t xml:space="preserve">Office </w:t>
      </w:r>
      <w:r w:rsidR="006A4A21">
        <w:rPr>
          <w:lang w:val="en-US"/>
        </w:rPr>
        <w:t xml:space="preserve">of the </w:t>
      </w:r>
      <w:r w:rsidRPr="00B70531">
        <w:rPr>
          <w:lang w:val="en-US"/>
        </w:rPr>
        <w:t>Public Prosecutor, the Chamber of Senators, the Chamber of Deputies, and the Council of Magistrates</w:t>
      </w:r>
      <w:r w:rsidR="00B70531">
        <w:rPr>
          <w:lang w:val="en-US"/>
        </w:rPr>
        <w:t>;</w:t>
      </w:r>
      <w:r w:rsidRPr="00B70531">
        <w:rPr>
          <w:lang w:val="en-US"/>
        </w:rPr>
        <w:t xml:space="preserve"> </w:t>
      </w:r>
      <w:r w:rsidR="00B70531" w:rsidRPr="00B70531">
        <w:rPr>
          <w:lang w:val="en-US"/>
        </w:rPr>
        <w:t xml:space="preserve">and by the Jury itself acting of its own accord. </w:t>
      </w:r>
    </w:p>
    <w:p w14:paraId="3F90A769" w14:textId="77777777" w:rsidR="00AB26DF" w:rsidRPr="00B70531" w:rsidRDefault="00B70531" w:rsidP="00466276">
      <w:pPr>
        <w:pStyle w:val="parrafos"/>
        <w:numPr>
          <w:ilvl w:val="0"/>
          <w:numId w:val="0"/>
        </w:numPr>
        <w:ind w:left="720" w:right="720"/>
        <w:rPr>
          <w:lang w:val="en-US"/>
        </w:rPr>
      </w:pPr>
      <w:r w:rsidRPr="00B70531">
        <w:rPr>
          <w:lang w:val="en-US"/>
        </w:rPr>
        <w:t xml:space="preserve">The </w:t>
      </w:r>
      <w:r w:rsidR="006A4A21">
        <w:rPr>
          <w:lang w:val="en-US"/>
        </w:rPr>
        <w:t xml:space="preserve">aforementioned </w:t>
      </w:r>
      <w:r w:rsidRPr="00B70531">
        <w:rPr>
          <w:lang w:val="en-US"/>
        </w:rPr>
        <w:t xml:space="preserve">individuals and entities may limit themselves to </w:t>
      </w:r>
      <w:r w:rsidR="00F217E1">
        <w:rPr>
          <w:lang w:val="en-US"/>
        </w:rPr>
        <w:t>lodging</w:t>
      </w:r>
      <w:r w:rsidRPr="00B70531">
        <w:rPr>
          <w:lang w:val="en-US"/>
        </w:rPr>
        <w:t xml:space="preserve"> a formal complaint </w:t>
      </w:r>
      <w:r w:rsidR="00F217E1">
        <w:rPr>
          <w:lang w:val="en-US"/>
        </w:rPr>
        <w:t>with</w:t>
      </w:r>
      <w:r w:rsidRPr="00B70531">
        <w:rPr>
          <w:lang w:val="en-US"/>
        </w:rPr>
        <w:t xml:space="preserve"> the Office of the Prosecutor General of the State, wh</w:t>
      </w:r>
      <w:r>
        <w:rPr>
          <w:lang w:val="en-US"/>
        </w:rPr>
        <w:t xml:space="preserve">ich, if it </w:t>
      </w:r>
      <w:r w:rsidR="006A4A21">
        <w:rPr>
          <w:lang w:val="en-US"/>
        </w:rPr>
        <w:t xml:space="preserve">sees fit </w:t>
      </w:r>
      <w:r>
        <w:rPr>
          <w:lang w:val="en-US"/>
        </w:rPr>
        <w:t xml:space="preserve">to do so, shall </w:t>
      </w:r>
      <w:r w:rsidR="006A4A21">
        <w:rPr>
          <w:lang w:val="en-US"/>
        </w:rPr>
        <w:t>bring</w:t>
      </w:r>
      <w:r w:rsidR="00F217E1">
        <w:rPr>
          <w:lang w:val="en-US"/>
        </w:rPr>
        <w:t xml:space="preserve"> the </w:t>
      </w:r>
      <w:r w:rsidR="006A4A21">
        <w:rPr>
          <w:lang w:val="en-US"/>
        </w:rPr>
        <w:t>appropriate</w:t>
      </w:r>
      <w:r>
        <w:rPr>
          <w:lang w:val="en-US"/>
        </w:rPr>
        <w:t xml:space="preserve"> charge</w:t>
      </w:r>
      <w:r w:rsidR="00A02ACB" w:rsidRPr="00B70531">
        <w:rPr>
          <w:lang w:val="en-US"/>
        </w:rPr>
        <w:t>.</w:t>
      </w:r>
    </w:p>
    <w:p w14:paraId="2B7349FA" w14:textId="77777777" w:rsidR="00A02ACB" w:rsidRPr="00B70531" w:rsidRDefault="00A02ACB" w:rsidP="00A02ACB">
      <w:pPr>
        <w:pStyle w:val="parrafos"/>
        <w:numPr>
          <w:ilvl w:val="0"/>
          <w:numId w:val="0"/>
        </w:numPr>
        <w:rPr>
          <w:lang w:val="en-US"/>
        </w:rPr>
      </w:pPr>
    </w:p>
    <w:p w14:paraId="00E9C5B4" w14:textId="77777777" w:rsidR="00A02ACB" w:rsidRPr="00766381" w:rsidRDefault="00F217E1" w:rsidP="00A02ACB">
      <w:pPr>
        <w:pStyle w:val="parrafos"/>
      </w:pPr>
      <w:r>
        <w:t>Article</w:t>
      </w:r>
      <w:r w:rsidR="00A02ACB" w:rsidRPr="00766381">
        <w:t xml:space="preserve"> 18 </w:t>
      </w:r>
      <w:r>
        <w:t xml:space="preserve">establishes </w:t>
      </w:r>
      <w:r w:rsidR="008839BC">
        <w:t>the following</w:t>
      </w:r>
      <w:r w:rsidR="00A02ACB" w:rsidRPr="00766381">
        <w:t>:</w:t>
      </w:r>
    </w:p>
    <w:p w14:paraId="2352419D" w14:textId="77777777" w:rsidR="00A02ACB" w:rsidRPr="00766381" w:rsidRDefault="00A02ACB" w:rsidP="00A02ACB">
      <w:pPr>
        <w:pStyle w:val="parrafos"/>
        <w:numPr>
          <w:ilvl w:val="0"/>
          <w:numId w:val="0"/>
        </w:numPr>
        <w:rPr>
          <w:lang w:val="es-ES"/>
        </w:rPr>
      </w:pPr>
    </w:p>
    <w:p w14:paraId="25ABF8DB" w14:textId="77777777" w:rsidR="00A02ACB" w:rsidRPr="0007407E" w:rsidRDefault="0007407E" w:rsidP="00466276">
      <w:pPr>
        <w:pStyle w:val="parrafos"/>
        <w:numPr>
          <w:ilvl w:val="0"/>
          <w:numId w:val="0"/>
        </w:numPr>
        <w:ind w:left="720" w:right="720"/>
        <w:rPr>
          <w:lang w:val="en-US"/>
        </w:rPr>
      </w:pPr>
      <w:r w:rsidRPr="0007407E">
        <w:rPr>
          <w:lang w:val="en-US"/>
        </w:rPr>
        <w:t>The complaint having been presented before</w:t>
      </w:r>
      <w:r w:rsidR="00166FCA">
        <w:rPr>
          <w:lang w:val="en-US"/>
        </w:rPr>
        <w:t xml:space="preserve"> </w:t>
      </w:r>
      <w:r w:rsidR="00400426">
        <w:rPr>
          <w:lang w:val="en-US"/>
        </w:rPr>
        <w:t xml:space="preserve">him, </w:t>
      </w:r>
      <w:r w:rsidRPr="0007407E">
        <w:rPr>
          <w:lang w:val="en-US"/>
        </w:rPr>
        <w:t>the Prosecutor General of the State, after studying the merits of the accusations against the accused, shall, if warranted, bring the charge before the Jury.</w:t>
      </w:r>
    </w:p>
    <w:p w14:paraId="5176C036" w14:textId="77777777" w:rsidR="00A02ACB" w:rsidRPr="0007407E" w:rsidRDefault="0007407E" w:rsidP="00466276">
      <w:pPr>
        <w:pStyle w:val="parrafos"/>
        <w:numPr>
          <w:ilvl w:val="0"/>
          <w:numId w:val="0"/>
        </w:numPr>
        <w:ind w:left="720" w:right="720"/>
        <w:rPr>
          <w:lang w:val="en-US"/>
        </w:rPr>
      </w:pPr>
      <w:r w:rsidRPr="0007407E">
        <w:rPr>
          <w:lang w:val="en-US"/>
        </w:rPr>
        <w:t xml:space="preserve">It may also order a </w:t>
      </w:r>
      <w:r w:rsidR="00651CF2">
        <w:rPr>
          <w:lang w:val="en-US"/>
        </w:rPr>
        <w:t>preliminary discovery period</w:t>
      </w:r>
      <w:r w:rsidRPr="0007407E">
        <w:rPr>
          <w:lang w:val="en-US"/>
        </w:rPr>
        <w:t xml:space="preserve"> </w:t>
      </w:r>
      <w:r w:rsidR="00651CF2">
        <w:rPr>
          <w:lang w:val="en-US"/>
        </w:rPr>
        <w:t>related to</w:t>
      </w:r>
      <w:r w:rsidRPr="0007407E">
        <w:rPr>
          <w:lang w:val="en-US"/>
        </w:rPr>
        <w:t xml:space="preserve"> the facts </w:t>
      </w:r>
      <w:r w:rsidR="00D23C56">
        <w:rPr>
          <w:lang w:val="en-US"/>
        </w:rPr>
        <w:t>being alleged</w:t>
      </w:r>
      <w:r w:rsidRPr="0007407E">
        <w:rPr>
          <w:lang w:val="en-US"/>
        </w:rPr>
        <w:t xml:space="preserve">, to </w:t>
      </w:r>
      <w:r>
        <w:rPr>
          <w:lang w:val="en-US"/>
        </w:rPr>
        <w:t xml:space="preserve">verify their seriousness. </w:t>
      </w:r>
      <w:r w:rsidRPr="0007407E">
        <w:rPr>
          <w:lang w:val="en-US"/>
        </w:rPr>
        <w:t xml:space="preserve">If these </w:t>
      </w:r>
      <w:r w:rsidR="00D23C56">
        <w:rPr>
          <w:lang w:val="en-US"/>
        </w:rPr>
        <w:t xml:space="preserve">procedural </w:t>
      </w:r>
      <w:r w:rsidRPr="0007407E">
        <w:rPr>
          <w:lang w:val="en-US"/>
        </w:rPr>
        <w:t xml:space="preserve">steps do not produce clear evidence that grounds for removal exist, the charge shall </w:t>
      </w:r>
      <w:r>
        <w:rPr>
          <w:lang w:val="en-US"/>
        </w:rPr>
        <w:t>not be brought and the case shall be closed, with</w:t>
      </w:r>
      <w:r w:rsidR="00D23C56">
        <w:rPr>
          <w:lang w:val="en-US"/>
        </w:rPr>
        <w:t xml:space="preserve"> </w:t>
      </w:r>
      <w:r>
        <w:rPr>
          <w:lang w:val="en-US"/>
        </w:rPr>
        <w:t>the complainant</w:t>
      </w:r>
      <w:r w:rsidR="00D23C56">
        <w:rPr>
          <w:lang w:val="en-US"/>
        </w:rPr>
        <w:t xml:space="preserve"> notified</w:t>
      </w:r>
      <w:r w:rsidR="00A02ACB" w:rsidRPr="0007407E">
        <w:rPr>
          <w:lang w:val="en-US"/>
        </w:rPr>
        <w:t>.</w:t>
      </w:r>
    </w:p>
    <w:p w14:paraId="53B8C739" w14:textId="77777777" w:rsidR="00A02ACB" w:rsidRPr="0007407E" w:rsidRDefault="00A02ACB" w:rsidP="00A02ACB">
      <w:pPr>
        <w:pStyle w:val="parrafos"/>
        <w:numPr>
          <w:ilvl w:val="0"/>
          <w:numId w:val="0"/>
        </w:numPr>
        <w:rPr>
          <w:lang w:val="en-US"/>
        </w:rPr>
      </w:pPr>
    </w:p>
    <w:p w14:paraId="72BFB191" w14:textId="77777777" w:rsidR="00A02ACB" w:rsidRPr="00766381" w:rsidRDefault="00806871" w:rsidP="00A02ACB">
      <w:pPr>
        <w:pStyle w:val="parrafos"/>
      </w:pPr>
      <w:r>
        <w:t>Article</w:t>
      </w:r>
      <w:r w:rsidR="00A02ACB" w:rsidRPr="00806871">
        <w:t xml:space="preserve"> 19 </w:t>
      </w:r>
      <w:r>
        <w:t xml:space="preserve">indicates </w:t>
      </w:r>
      <w:r w:rsidR="00400426">
        <w:t>the following</w:t>
      </w:r>
      <w:r w:rsidR="00A02ACB" w:rsidRPr="00766381">
        <w:t>:</w:t>
      </w:r>
    </w:p>
    <w:p w14:paraId="3F0BFC0A" w14:textId="77777777" w:rsidR="00A02ACB" w:rsidRPr="00766381" w:rsidRDefault="00A02ACB" w:rsidP="00A02ACB">
      <w:pPr>
        <w:pStyle w:val="parrafos"/>
        <w:numPr>
          <w:ilvl w:val="0"/>
          <w:numId w:val="0"/>
        </w:numPr>
      </w:pPr>
    </w:p>
    <w:p w14:paraId="49D0E8EB" w14:textId="77777777" w:rsidR="00A02ACB" w:rsidRPr="00F80C0F" w:rsidRDefault="00D7134A" w:rsidP="00466276">
      <w:pPr>
        <w:pStyle w:val="parrafos"/>
        <w:numPr>
          <w:ilvl w:val="0"/>
          <w:numId w:val="0"/>
        </w:numPr>
        <w:ind w:left="720" w:right="720"/>
        <w:rPr>
          <w:lang w:val="en-US"/>
        </w:rPr>
      </w:pPr>
      <w:r w:rsidRPr="00F80C0F">
        <w:rPr>
          <w:lang w:val="en-US"/>
        </w:rPr>
        <w:t xml:space="preserve">The </w:t>
      </w:r>
      <w:r w:rsidR="00F80C0F" w:rsidRPr="00F80C0F">
        <w:rPr>
          <w:lang w:val="en-US"/>
        </w:rPr>
        <w:t xml:space="preserve">brief brought </w:t>
      </w:r>
      <w:r w:rsidR="005F0C02">
        <w:rPr>
          <w:lang w:val="en-US"/>
        </w:rPr>
        <w:t>before</w:t>
      </w:r>
      <w:r w:rsidR="00F80C0F" w:rsidRPr="00F80C0F">
        <w:rPr>
          <w:lang w:val="en-US"/>
        </w:rPr>
        <w:t xml:space="preserve"> </w:t>
      </w:r>
      <w:r w:rsidR="00DC2138" w:rsidRPr="00F80C0F">
        <w:rPr>
          <w:lang w:val="en-US"/>
        </w:rPr>
        <w:t xml:space="preserve">“the Jury” </w:t>
      </w:r>
      <w:r w:rsidR="005F0C02">
        <w:rPr>
          <w:lang w:val="en-US"/>
        </w:rPr>
        <w:t xml:space="preserve">to advance the prosecution </w:t>
      </w:r>
      <w:r w:rsidR="00DC2138" w:rsidRPr="00F80C0F">
        <w:rPr>
          <w:lang w:val="en-US"/>
        </w:rPr>
        <w:t>shall include</w:t>
      </w:r>
      <w:r w:rsidR="00A02ACB" w:rsidRPr="00F80C0F">
        <w:rPr>
          <w:lang w:val="en-US"/>
        </w:rPr>
        <w:t>:</w:t>
      </w:r>
    </w:p>
    <w:p w14:paraId="6E845EAD" w14:textId="77777777" w:rsidR="00A02ACB" w:rsidRPr="00DC2138" w:rsidRDefault="00A02ACB" w:rsidP="00466276">
      <w:pPr>
        <w:pStyle w:val="parrafos"/>
        <w:numPr>
          <w:ilvl w:val="0"/>
          <w:numId w:val="0"/>
        </w:numPr>
        <w:ind w:left="720" w:right="720"/>
        <w:rPr>
          <w:lang w:val="en-US"/>
        </w:rPr>
      </w:pPr>
      <w:r w:rsidRPr="00F80C0F">
        <w:rPr>
          <w:lang w:val="en-US"/>
        </w:rPr>
        <w:t xml:space="preserve">a) </w:t>
      </w:r>
      <w:r w:rsidR="00DC2138" w:rsidRPr="00F80C0F">
        <w:rPr>
          <w:lang w:val="en-US"/>
        </w:rPr>
        <w:t xml:space="preserve">the target of </w:t>
      </w:r>
      <w:r w:rsidR="00F80C0F">
        <w:rPr>
          <w:lang w:val="en-US"/>
        </w:rPr>
        <w:t xml:space="preserve">the </w:t>
      </w:r>
      <w:r w:rsidR="00DC2138" w:rsidRPr="00F80C0F">
        <w:rPr>
          <w:lang w:val="en-US"/>
        </w:rPr>
        <w:t>prosecution</w:t>
      </w:r>
      <w:r w:rsidRPr="00F80C0F">
        <w:rPr>
          <w:lang w:val="en-US"/>
        </w:rPr>
        <w:t>;</w:t>
      </w:r>
    </w:p>
    <w:p w14:paraId="673114D9" w14:textId="77777777" w:rsidR="00A02ACB" w:rsidRPr="00DC2138" w:rsidRDefault="00A02ACB" w:rsidP="00466276">
      <w:pPr>
        <w:pStyle w:val="parrafos"/>
        <w:numPr>
          <w:ilvl w:val="0"/>
          <w:numId w:val="0"/>
        </w:numPr>
        <w:ind w:left="720" w:right="720"/>
        <w:rPr>
          <w:lang w:val="en-US"/>
        </w:rPr>
      </w:pPr>
      <w:r w:rsidRPr="00DC2138">
        <w:rPr>
          <w:lang w:val="en-US"/>
        </w:rPr>
        <w:t xml:space="preserve">b) </w:t>
      </w:r>
      <w:r w:rsidR="00DC2138" w:rsidRPr="00DC2138">
        <w:rPr>
          <w:lang w:val="en-US"/>
        </w:rPr>
        <w:t>the</w:t>
      </w:r>
      <w:r w:rsidR="00DC2138">
        <w:rPr>
          <w:lang w:val="en-US"/>
        </w:rPr>
        <w:t xml:space="preserve"> </w:t>
      </w:r>
      <w:r w:rsidR="00DC2138" w:rsidRPr="00DC2138">
        <w:rPr>
          <w:lang w:val="en-US"/>
        </w:rPr>
        <w:t xml:space="preserve">name and actual and legal </w:t>
      </w:r>
      <w:r w:rsidR="00DC2138">
        <w:rPr>
          <w:lang w:val="en-US"/>
        </w:rPr>
        <w:t>residence</w:t>
      </w:r>
      <w:r w:rsidR="00DC2138" w:rsidRPr="00DC2138">
        <w:rPr>
          <w:lang w:val="en-US"/>
        </w:rPr>
        <w:t xml:space="preserve"> of</w:t>
      </w:r>
      <w:r w:rsidR="00DC2138">
        <w:rPr>
          <w:lang w:val="en-US"/>
        </w:rPr>
        <w:t xml:space="preserve"> the accuser</w:t>
      </w:r>
      <w:r w:rsidRPr="00DC2138">
        <w:rPr>
          <w:lang w:val="en-US"/>
        </w:rPr>
        <w:t>;</w:t>
      </w:r>
    </w:p>
    <w:p w14:paraId="60F9A85D" w14:textId="77777777" w:rsidR="00A02ACB" w:rsidRPr="00DC2138" w:rsidRDefault="00A02ACB" w:rsidP="00466276">
      <w:pPr>
        <w:pStyle w:val="parrafos"/>
        <w:numPr>
          <w:ilvl w:val="0"/>
          <w:numId w:val="0"/>
        </w:numPr>
        <w:ind w:left="720" w:right="720"/>
        <w:rPr>
          <w:lang w:val="en-US"/>
        </w:rPr>
      </w:pPr>
      <w:r w:rsidRPr="00DC2138">
        <w:rPr>
          <w:lang w:val="en-US"/>
        </w:rPr>
        <w:t xml:space="preserve">c) </w:t>
      </w:r>
      <w:r w:rsidR="00DC2138" w:rsidRPr="00DC2138">
        <w:rPr>
          <w:lang w:val="en-US"/>
        </w:rPr>
        <w:t>the name and legal residence of the</w:t>
      </w:r>
      <w:r w:rsidRPr="00DC2138">
        <w:rPr>
          <w:lang w:val="en-US"/>
        </w:rPr>
        <w:t xml:space="preserve"> </w:t>
      </w:r>
      <w:r w:rsidR="00DC2138" w:rsidRPr="00DC2138">
        <w:rPr>
          <w:lang w:val="en-US"/>
        </w:rPr>
        <w:t>accused</w:t>
      </w:r>
      <w:r w:rsidRPr="00DC2138">
        <w:rPr>
          <w:lang w:val="en-US"/>
        </w:rPr>
        <w:t>;</w:t>
      </w:r>
    </w:p>
    <w:p w14:paraId="64BCE853" w14:textId="77777777" w:rsidR="00A02ACB" w:rsidRPr="00F80C0F" w:rsidRDefault="00A02ACB" w:rsidP="00466276">
      <w:pPr>
        <w:pStyle w:val="parrafos"/>
        <w:numPr>
          <w:ilvl w:val="0"/>
          <w:numId w:val="0"/>
        </w:numPr>
        <w:ind w:left="720" w:right="720"/>
        <w:rPr>
          <w:lang w:val="en-US"/>
        </w:rPr>
      </w:pPr>
      <w:r w:rsidRPr="00F80C0F">
        <w:rPr>
          <w:lang w:val="en-US"/>
        </w:rPr>
        <w:t xml:space="preserve">d) </w:t>
      </w:r>
      <w:r w:rsidR="00F80C0F" w:rsidRPr="00F80C0F">
        <w:rPr>
          <w:lang w:val="en-US"/>
        </w:rPr>
        <w:t>a well-documented statement of the facts on which the case</w:t>
      </w:r>
      <w:r w:rsidR="00F80C0F">
        <w:rPr>
          <w:lang w:val="en-US"/>
        </w:rPr>
        <w:t xml:space="preserve"> is </w:t>
      </w:r>
      <w:r w:rsidR="00E565AF">
        <w:rPr>
          <w:lang w:val="en-US"/>
        </w:rPr>
        <w:t>based</w:t>
      </w:r>
      <w:r w:rsidRPr="00F80C0F">
        <w:rPr>
          <w:lang w:val="en-US"/>
        </w:rPr>
        <w:t>;</w:t>
      </w:r>
    </w:p>
    <w:p w14:paraId="3E29B19D" w14:textId="77777777" w:rsidR="00A02ACB" w:rsidRPr="005F0C02" w:rsidRDefault="00A02ACB" w:rsidP="00466276">
      <w:pPr>
        <w:pStyle w:val="parrafos"/>
        <w:numPr>
          <w:ilvl w:val="0"/>
          <w:numId w:val="0"/>
        </w:numPr>
        <w:ind w:left="720" w:right="720"/>
        <w:rPr>
          <w:lang w:val="pt-BR"/>
        </w:rPr>
      </w:pPr>
      <w:r w:rsidRPr="00766381">
        <w:rPr>
          <w:lang w:val="pt-BR"/>
        </w:rPr>
        <w:t xml:space="preserve">e) </w:t>
      </w:r>
      <w:r w:rsidR="00DC2138">
        <w:rPr>
          <w:lang w:val="pt-BR"/>
        </w:rPr>
        <w:t xml:space="preserve">the </w:t>
      </w:r>
      <w:r w:rsidR="00DC2138" w:rsidRPr="005F0C02">
        <w:rPr>
          <w:lang w:val="pt-BR"/>
        </w:rPr>
        <w:t>legal provisions that have been infringed</w:t>
      </w:r>
      <w:r w:rsidRPr="005F0C02">
        <w:rPr>
          <w:lang w:val="pt-BR"/>
        </w:rPr>
        <w:t xml:space="preserve">; </w:t>
      </w:r>
    </w:p>
    <w:p w14:paraId="608F985E" w14:textId="77777777" w:rsidR="00A02ACB" w:rsidRPr="005F0C02" w:rsidRDefault="00A02ACB" w:rsidP="00466276">
      <w:pPr>
        <w:pStyle w:val="parrafos"/>
        <w:numPr>
          <w:ilvl w:val="0"/>
          <w:numId w:val="0"/>
        </w:numPr>
        <w:ind w:left="720" w:right="720"/>
        <w:rPr>
          <w:lang w:val="en-US"/>
        </w:rPr>
      </w:pPr>
      <w:r w:rsidRPr="005F0C02">
        <w:rPr>
          <w:lang w:val="en-US"/>
        </w:rPr>
        <w:t xml:space="preserve">f) </w:t>
      </w:r>
      <w:r w:rsidR="00F80C0F" w:rsidRPr="005F0C02">
        <w:rPr>
          <w:lang w:val="en-US"/>
        </w:rPr>
        <w:t>a clear and precise petition</w:t>
      </w:r>
      <w:r w:rsidRPr="005F0C02">
        <w:rPr>
          <w:lang w:val="en-US"/>
        </w:rPr>
        <w:t xml:space="preserve">; </w:t>
      </w:r>
      <w:r w:rsidR="00F80C0F" w:rsidRPr="005F0C02">
        <w:rPr>
          <w:lang w:val="en-US"/>
        </w:rPr>
        <w:t>and</w:t>
      </w:r>
    </w:p>
    <w:p w14:paraId="7FD54129" w14:textId="77777777" w:rsidR="00A02ACB" w:rsidRPr="005F0C02" w:rsidRDefault="00A02ACB" w:rsidP="00466276">
      <w:pPr>
        <w:pStyle w:val="parrafos"/>
        <w:numPr>
          <w:ilvl w:val="0"/>
          <w:numId w:val="0"/>
        </w:numPr>
        <w:ind w:left="720" w:right="720"/>
        <w:rPr>
          <w:lang w:val="en-US"/>
        </w:rPr>
      </w:pPr>
      <w:r w:rsidRPr="005F0C02">
        <w:rPr>
          <w:lang w:val="en-US"/>
        </w:rPr>
        <w:t xml:space="preserve">g) </w:t>
      </w:r>
      <w:r w:rsidR="005F0C02" w:rsidRPr="005F0C02">
        <w:rPr>
          <w:lang w:val="en-US"/>
        </w:rPr>
        <w:t>verification</w:t>
      </w:r>
      <w:r w:rsidR="00F80C0F" w:rsidRPr="005F0C02">
        <w:rPr>
          <w:lang w:val="en-US"/>
        </w:rPr>
        <w:t xml:space="preserve"> of the particulars required </w:t>
      </w:r>
      <w:r w:rsidR="005F0C02">
        <w:rPr>
          <w:lang w:val="en-US"/>
        </w:rPr>
        <w:t>under</w:t>
      </w:r>
      <w:r w:rsidR="00F80C0F" w:rsidRPr="005F0C02">
        <w:rPr>
          <w:lang w:val="en-US"/>
        </w:rPr>
        <w:t xml:space="preserve"> Article 17 for the </w:t>
      </w:r>
      <w:r w:rsidR="00E565AF">
        <w:rPr>
          <w:lang w:val="en-US"/>
        </w:rPr>
        <w:t>individual complainant</w:t>
      </w:r>
      <w:r w:rsidR="00F80C0F" w:rsidRPr="005F0C02">
        <w:rPr>
          <w:lang w:val="en-US"/>
        </w:rPr>
        <w:t xml:space="preserve">, whether </w:t>
      </w:r>
      <w:r w:rsidR="005F0C02" w:rsidRPr="005F0C02">
        <w:rPr>
          <w:lang w:val="en-US"/>
        </w:rPr>
        <w:t>a litigant or professional</w:t>
      </w:r>
      <w:r w:rsidRPr="005F0C02">
        <w:rPr>
          <w:lang w:val="en-US"/>
        </w:rPr>
        <w:t>.</w:t>
      </w:r>
    </w:p>
    <w:p w14:paraId="3331BB21" w14:textId="77777777" w:rsidR="00A02ACB" w:rsidRPr="005F0C02" w:rsidRDefault="005F0C02" w:rsidP="00466276">
      <w:pPr>
        <w:pStyle w:val="parrafos"/>
        <w:numPr>
          <w:ilvl w:val="0"/>
          <w:numId w:val="0"/>
        </w:numPr>
        <w:ind w:left="720" w:right="720"/>
        <w:rPr>
          <w:lang w:val="en-US"/>
        </w:rPr>
      </w:pPr>
      <w:r w:rsidRPr="005F0C02">
        <w:rPr>
          <w:lang w:val="en-US"/>
        </w:rPr>
        <w:t xml:space="preserve">With the same brief, the </w:t>
      </w:r>
      <w:r w:rsidR="00E565AF">
        <w:rPr>
          <w:lang w:val="en-US"/>
        </w:rPr>
        <w:t>complainant</w:t>
      </w:r>
      <w:r w:rsidRPr="005F0C02">
        <w:rPr>
          <w:lang w:val="en-US"/>
        </w:rPr>
        <w:t xml:space="preserve"> </w:t>
      </w:r>
      <w:r w:rsidR="00400426">
        <w:rPr>
          <w:lang w:val="en-US"/>
        </w:rPr>
        <w:t>shall</w:t>
      </w:r>
      <w:r w:rsidR="00A02ACB" w:rsidRPr="005F0C02">
        <w:rPr>
          <w:lang w:val="en-US"/>
        </w:rPr>
        <w:t>:</w:t>
      </w:r>
    </w:p>
    <w:p w14:paraId="15E4B6EF" w14:textId="77777777" w:rsidR="00A02ACB" w:rsidRPr="005F0C02" w:rsidRDefault="00A02ACB" w:rsidP="00466276">
      <w:pPr>
        <w:pStyle w:val="parrafos"/>
        <w:numPr>
          <w:ilvl w:val="0"/>
          <w:numId w:val="0"/>
        </w:numPr>
        <w:ind w:left="720" w:right="720"/>
        <w:rPr>
          <w:lang w:val="en-US"/>
        </w:rPr>
      </w:pPr>
      <w:r w:rsidRPr="005F0C02">
        <w:rPr>
          <w:lang w:val="en-US"/>
        </w:rPr>
        <w:t xml:space="preserve">a) </w:t>
      </w:r>
      <w:r w:rsidR="005F0C02" w:rsidRPr="005F0C02">
        <w:rPr>
          <w:lang w:val="en-US"/>
        </w:rPr>
        <w:t xml:space="preserve">attach all documents related to the charge within his or her power, or indicate where these </w:t>
      </w:r>
      <w:r w:rsidR="00D66C7E">
        <w:rPr>
          <w:lang w:val="en-US"/>
        </w:rPr>
        <w:t>may</w:t>
      </w:r>
      <w:r w:rsidR="005F0C02" w:rsidRPr="005F0C02">
        <w:rPr>
          <w:lang w:val="en-US"/>
        </w:rPr>
        <w:t xml:space="preserve"> be found</w:t>
      </w:r>
      <w:r w:rsidRPr="005F0C02">
        <w:rPr>
          <w:lang w:val="en-US"/>
        </w:rPr>
        <w:t xml:space="preserve">; </w:t>
      </w:r>
    </w:p>
    <w:p w14:paraId="024AAF6B" w14:textId="77777777" w:rsidR="00A02ACB" w:rsidRPr="00096516" w:rsidRDefault="00A02ACB" w:rsidP="00466276">
      <w:pPr>
        <w:pStyle w:val="parrafos"/>
        <w:numPr>
          <w:ilvl w:val="0"/>
          <w:numId w:val="0"/>
        </w:numPr>
        <w:ind w:left="720" w:right="720"/>
        <w:rPr>
          <w:lang w:val="en-US"/>
        </w:rPr>
      </w:pPr>
      <w:r w:rsidRPr="00096516">
        <w:rPr>
          <w:lang w:val="en-US"/>
        </w:rPr>
        <w:lastRenderedPageBreak/>
        <w:t xml:space="preserve">b) </w:t>
      </w:r>
      <w:r w:rsidR="00096516" w:rsidRPr="00096516">
        <w:rPr>
          <w:lang w:val="en-US"/>
        </w:rPr>
        <w:t xml:space="preserve">offer evidence that supports the claim and request the necessary measures for </w:t>
      </w:r>
      <w:r w:rsidR="00D66C7E">
        <w:rPr>
          <w:lang w:val="en-US"/>
        </w:rPr>
        <w:t xml:space="preserve">the </w:t>
      </w:r>
      <w:r w:rsidR="00096516">
        <w:rPr>
          <w:lang w:val="en-US"/>
        </w:rPr>
        <w:t>evidence to be produced</w:t>
      </w:r>
      <w:r w:rsidRPr="00096516">
        <w:rPr>
          <w:lang w:val="en-US"/>
        </w:rPr>
        <w:t>;</w:t>
      </w:r>
      <w:r w:rsidR="0071630D" w:rsidRPr="00096516">
        <w:rPr>
          <w:lang w:val="en-US"/>
        </w:rPr>
        <w:t xml:space="preserve"> </w:t>
      </w:r>
      <w:r w:rsidR="00096516">
        <w:rPr>
          <w:lang w:val="en-US"/>
        </w:rPr>
        <w:t>and</w:t>
      </w:r>
    </w:p>
    <w:p w14:paraId="06383F04" w14:textId="77777777" w:rsidR="00A02ACB" w:rsidRPr="00096516" w:rsidRDefault="00A02ACB" w:rsidP="00466276">
      <w:pPr>
        <w:pStyle w:val="parrafos"/>
        <w:numPr>
          <w:ilvl w:val="0"/>
          <w:numId w:val="0"/>
        </w:numPr>
        <w:ind w:left="720" w:right="720"/>
        <w:rPr>
          <w:lang w:val="en-US"/>
        </w:rPr>
      </w:pPr>
      <w:r w:rsidRPr="00096516">
        <w:rPr>
          <w:lang w:val="en-US"/>
        </w:rPr>
        <w:t xml:space="preserve">c) </w:t>
      </w:r>
      <w:r w:rsidR="00096516" w:rsidRPr="00096516">
        <w:rPr>
          <w:lang w:val="en-US"/>
        </w:rPr>
        <w:t xml:space="preserve">attach a copy </w:t>
      </w:r>
      <w:r w:rsidR="00096516">
        <w:rPr>
          <w:lang w:val="en-US"/>
        </w:rPr>
        <w:t>for notification to the other party</w:t>
      </w:r>
      <w:r w:rsidRPr="00096516">
        <w:rPr>
          <w:lang w:val="en-US"/>
        </w:rPr>
        <w:t>.</w:t>
      </w:r>
    </w:p>
    <w:p w14:paraId="36D63733" w14:textId="77777777" w:rsidR="00A02ACB" w:rsidRPr="00096516" w:rsidRDefault="00A02ACB" w:rsidP="00A02ACB">
      <w:pPr>
        <w:pStyle w:val="parrafos"/>
        <w:numPr>
          <w:ilvl w:val="0"/>
          <w:numId w:val="0"/>
        </w:numPr>
        <w:rPr>
          <w:lang w:val="en-US"/>
        </w:rPr>
      </w:pPr>
    </w:p>
    <w:p w14:paraId="53107995" w14:textId="77777777" w:rsidR="00A02ACB" w:rsidRPr="00766381" w:rsidRDefault="00364D29" w:rsidP="00A02ACB">
      <w:pPr>
        <w:pStyle w:val="parrafos"/>
      </w:pPr>
      <w:r w:rsidRPr="00364D29">
        <w:t>Article</w:t>
      </w:r>
      <w:r w:rsidR="00A02ACB" w:rsidRPr="00364D29">
        <w:t xml:space="preserve"> 21 indica</w:t>
      </w:r>
      <w:r w:rsidRPr="00364D29">
        <w:t xml:space="preserve">tes </w:t>
      </w:r>
      <w:r w:rsidR="00400426">
        <w:t>the following</w:t>
      </w:r>
      <w:r w:rsidR="00A02ACB" w:rsidRPr="00766381">
        <w:t>:</w:t>
      </w:r>
    </w:p>
    <w:p w14:paraId="3A15206C" w14:textId="77777777" w:rsidR="00A02ACB" w:rsidRPr="00766381" w:rsidRDefault="00A02ACB" w:rsidP="00A02ACB">
      <w:pPr>
        <w:pStyle w:val="parrafos"/>
        <w:numPr>
          <w:ilvl w:val="0"/>
          <w:numId w:val="0"/>
        </w:numPr>
      </w:pPr>
    </w:p>
    <w:p w14:paraId="57899A29" w14:textId="77777777" w:rsidR="00A02ACB" w:rsidRPr="00434D66" w:rsidRDefault="00152A34" w:rsidP="00466276">
      <w:pPr>
        <w:pStyle w:val="parrafos"/>
        <w:numPr>
          <w:ilvl w:val="0"/>
          <w:numId w:val="0"/>
        </w:numPr>
        <w:ind w:left="720" w:right="720"/>
        <w:rPr>
          <w:lang w:val="en-US"/>
        </w:rPr>
      </w:pPr>
      <w:r>
        <w:rPr>
          <w:lang w:val="en-US"/>
        </w:rPr>
        <w:t>P</w:t>
      </w:r>
      <w:r w:rsidR="00364D29" w:rsidRPr="00434D66">
        <w:rPr>
          <w:lang w:val="en-US"/>
        </w:rPr>
        <w:t>roceedings</w:t>
      </w:r>
      <w:r w:rsidR="00A02ACB" w:rsidRPr="00434D66">
        <w:rPr>
          <w:lang w:val="en-US"/>
        </w:rPr>
        <w:t xml:space="preserve"> </w:t>
      </w:r>
      <w:r>
        <w:rPr>
          <w:lang w:val="en-US"/>
        </w:rPr>
        <w:t xml:space="preserve">to determine liability </w:t>
      </w:r>
      <w:r w:rsidR="00364D29" w:rsidRPr="00434D66">
        <w:rPr>
          <w:lang w:val="en-US"/>
        </w:rPr>
        <w:t>shall be governed by the provisions of this law and</w:t>
      </w:r>
      <w:r w:rsidR="00434D66" w:rsidRPr="00434D66">
        <w:rPr>
          <w:lang w:val="en-US"/>
        </w:rPr>
        <w:t>,</w:t>
      </w:r>
      <w:r w:rsidR="00364D29" w:rsidRPr="00434D66">
        <w:rPr>
          <w:lang w:val="en-US"/>
        </w:rPr>
        <w:t xml:space="preserve"> </w:t>
      </w:r>
      <w:r w:rsidR="00434D66">
        <w:rPr>
          <w:lang w:val="en-US"/>
        </w:rPr>
        <w:t xml:space="preserve">in </w:t>
      </w:r>
      <w:r w:rsidR="00364D29" w:rsidRPr="00434D66">
        <w:rPr>
          <w:lang w:val="en-US"/>
        </w:rPr>
        <w:t>substituti</w:t>
      </w:r>
      <w:r w:rsidR="00434D66">
        <w:rPr>
          <w:lang w:val="en-US"/>
        </w:rPr>
        <w:t>on</w:t>
      </w:r>
      <w:r w:rsidR="00434D66" w:rsidRPr="00434D66">
        <w:rPr>
          <w:lang w:val="en-US"/>
        </w:rPr>
        <w:t>,</w:t>
      </w:r>
      <w:r w:rsidR="00364D29" w:rsidRPr="00434D66">
        <w:rPr>
          <w:lang w:val="en-US"/>
        </w:rPr>
        <w:t xml:space="preserve"> by the provisions of the Civil Procedural Code and supplement</w:t>
      </w:r>
      <w:r w:rsidR="00434D66" w:rsidRPr="00434D66">
        <w:rPr>
          <w:lang w:val="en-US"/>
        </w:rPr>
        <w:t>ary laws, where applicable.</w:t>
      </w:r>
      <w:r w:rsidR="00A02ACB" w:rsidRPr="00434D66">
        <w:rPr>
          <w:lang w:val="en-US"/>
        </w:rPr>
        <w:t xml:space="preserve"> </w:t>
      </w:r>
      <w:r w:rsidR="00434D66" w:rsidRPr="00434D66">
        <w:rPr>
          <w:lang w:val="en-US"/>
        </w:rPr>
        <w:t>During substantiation of the proceedings, however, the following provisions</w:t>
      </w:r>
      <w:r w:rsidR="00434D66">
        <w:rPr>
          <w:lang w:val="en-US"/>
        </w:rPr>
        <w:t xml:space="preserve"> </w:t>
      </w:r>
      <w:r w:rsidR="00D66C7E">
        <w:rPr>
          <w:lang w:val="en-US"/>
        </w:rPr>
        <w:t>must</w:t>
      </w:r>
      <w:r w:rsidR="00434D66">
        <w:rPr>
          <w:lang w:val="en-US"/>
        </w:rPr>
        <w:t xml:space="preserve"> be observed</w:t>
      </w:r>
      <w:r w:rsidR="00A02ACB" w:rsidRPr="00434D66">
        <w:rPr>
          <w:lang w:val="en-US"/>
        </w:rPr>
        <w:t>:</w:t>
      </w:r>
    </w:p>
    <w:p w14:paraId="54EC094F" w14:textId="77777777" w:rsidR="00A02ACB" w:rsidRPr="00733505" w:rsidRDefault="00A02ACB" w:rsidP="00466276">
      <w:pPr>
        <w:pStyle w:val="parrafos"/>
        <w:numPr>
          <w:ilvl w:val="0"/>
          <w:numId w:val="0"/>
        </w:numPr>
        <w:ind w:left="720" w:right="720"/>
        <w:rPr>
          <w:lang w:val="en-US"/>
        </w:rPr>
      </w:pPr>
      <w:r w:rsidRPr="00733505">
        <w:rPr>
          <w:lang w:val="en-US"/>
        </w:rPr>
        <w:t xml:space="preserve">a) </w:t>
      </w:r>
      <w:r w:rsidR="00434D66" w:rsidRPr="00733505">
        <w:rPr>
          <w:lang w:val="en-US"/>
        </w:rPr>
        <w:t xml:space="preserve">no issue introduced in the proceedings </w:t>
      </w:r>
      <w:r w:rsidR="005210D4">
        <w:rPr>
          <w:lang w:val="en-US"/>
        </w:rPr>
        <w:t xml:space="preserve">to determine liability </w:t>
      </w:r>
      <w:r w:rsidR="00434D66" w:rsidRPr="00733505">
        <w:rPr>
          <w:lang w:val="en-US"/>
        </w:rPr>
        <w:t xml:space="preserve">has been </w:t>
      </w:r>
      <w:r w:rsidR="00733505">
        <w:rPr>
          <w:lang w:val="en-US"/>
        </w:rPr>
        <w:t>the subject of a previous ruling</w:t>
      </w:r>
      <w:r w:rsidR="00434D66" w:rsidRPr="00733505">
        <w:rPr>
          <w:lang w:val="en-US"/>
        </w:rPr>
        <w:t xml:space="preserve">, </w:t>
      </w:r>
      <w:r w:rsidR="00733505">
        <w:rPr>
          <w:lang w:val="en-US"/>
        </w:rPr>
        <w:t>with the exception of</w:t>
      </w:r>
      <w:r w:rsidR="00434D66" w:rsidRPr="00733505">
        <w:rPr>
          <w:lang w:val="en-US"/>
        </w:rPr>
        <w:t xml:space="preserve"> reasoned challenges</w:t>
      </w:r>
      <w:r w:rsidRPr="00733505">
        <w:rPr>
          <w:lang w:val="en-US"/>
        </w:rPr>
        <w:t>;</w:t>
      </w:r>
    </w:p>
    <w:p w14:paraId="7E2E038C" w14:textId="77777777" w:rsidR="00A02ACB" w:rsidRPr="00733505" w:rsidRDefault="00A02ACB" w:rsidP="00466276">
      <w:pPr>
        <w:pStyle w:val="parrafos"/>
        <w:numPr>
          <w:ilvl w:val="0"/>
          <w:numId w:val="0"/>
        </w:numPr>
        <w:ind w:left="720" w:right="720"/>
        <w:rPr>
          <w:lang w:val="en-US"/>
        </w:rPr>
      </w:pPr>
      <w:r w:rsidRPr="00733505">
        <w:rPr>
          <w:lang w:val="en-US"/>
        </w:rPr>
        <w:t xml:space="preserve">b) </w:t>
      </w:r>
      <w:r w:rsidR="00733505" w:rsidRPr="00733505">
        <w:rPr>
          <w:lang w:val="en-US"/>
        </w:rPr>
        <w:t xml:space="preserve">all means of evidence established in the Civil Procedural Law shall </w:t>
      </w:r>
      <w:r w:rsidR="00733505">
        <w:rPr>
          <w:lang w:val="en-US"/>
        </w:rPr>
        <w:t>be admitted</w:t>
      </w:r>
      <w:r w:rsidRPr="00733505">
        <w:rPr>
          <w:lang w:val="en-US"/>
        </w:rPr>
        <w:t>;</w:t>
      </w:r>
    </w:p>
    <w:p w14:paraId="464B089F" w14:textId="77777777" w:rsidR="00A02ACB" w:rsidRPr="00733505" w:rsidRDefault="00A02ACB" w:rsidP="00466276">
      <w:pPr>
        <w:pStyle w:val="parrafos"/>
        <w:numPr>
          <w:ilvl w:val="0"/>
          <w:numId w:val="0"/>
        </w:numPr>
        <w:ind w:left="720" w:right="720"/>
        <w:rPr>
          <w:lang w:val="en-US"/>
        </w:rPr>
      </w:pPr>
      <w:r w:rsidRPr="00733505">
        <w:rPr>
          <w:lang w:val="en-US"/>
        </w:rPr>
        <w:t xml:space="preserve">c) </w:t>
      </w:r>
      <w:r w:rsidR="00733505" w:rsidRPr="00733505">
        <w:rPr>
          <w:lang w:val="en-US"/>
        </w:rPr>
        <w:t>all time periods are final for the parties</w:t>
      </w:r>
      <w:r w:rsidRPr="00733505">
        <w:rPr>
          <w:lang w:val="en-US"/>
        </w:rPr>
        <w:t>;</w:t>
      </w:r>
    </w:p>
    <w:p w14:paraId="479691DB" w14:textId="77777777" w:rsidR="00A02ACB" w:rsidRPr="00DB0EAC" w:rsidRDefault="00A02ACB" w:rsidP="00466276">
      <w:pPr>
        <w:pStyle w:val="parrafos"/>
        <w:numPr>
          <w:ilvl w:val="0"/>
          <w:numId w:val="0"/>
        </w:numPr>
        <w:ind w:left="720" w:right="720"/>
        <w:rPr>
          <w:lang w:val="en-US"/>
        </w:rPr>
      </w:pPr>
      <w:r w:rsidRPr="00DB0EAC">
        <w:rPr>
          <w:lang w:val="en-US"/>
        </w:rPr>
        <w:t xml:space="preserve">d) </w:t>
      </w:r>
      <w:r w:rsidR="00400426">
        <w:rPr>
          <w:lang w:val="en-US"/>
        </w:rPr>
        <w:t xml:space="preserve">in the </w:t>
      </w:r>
      <w:r w:rsidR="00400426" w:rsidRPr="00400426">
        <w:rPr>
          <w:lang w:val="en-US"/>
        </w:rPr>
        <w:t>case of</w:t>
      </w:r>
      <w:r w:rsidR="00DB0EAC" w:rsidRPr="00400426">
        <w:rPr>
          <w:lang w:val="en-US"/>
        </w:rPr>
        <w:t xml:space="preserve"> </w:t>
      </w:r>
      <w:r w:rsidR="00400426" w:rsidRPr="00400426">
        <w:rPr>
          <w:lang w:val="en-US"/>
        </w:rPr>
        <w:t>hearings</w:t>
      </w:r>
      <w:r w:rsidR="00DB0EAC" w:rsidRPr="00400426">
        <w:rPr>
          <w:lang w:val="en-US"/>
        </w:rPr>
        <w:t xml:space="preserve"> and notifications </w:t>
      </w:r>
      <w:r w:rsidR="0043503C" w:rsidRPr="00400426">
        <w:rPr>
          <w:lang w:val="en-US"/>
        </w:rPr>
        <w:t>for which</w:t>
      </w:r>
      <w:r w:rsidR="0043503C" w:rsidRPr="00DB0EAC">
        <w:rPr>
          <w:lang w:val="en-US"/>
        </w:rPr>
        <w:t xml:space="preserve"> no time period has been determined</w:t>
      </w:r>
      <w:r w:rsidR="00DB0EAC">
        <w:rPr>
          <w:lang w:val="en-US"/>
        </w:rPr>
        <w:t>, the time period shall be three business days</w:t>
      </w:r>
      <w:r w:rsidRPr="00DB0EAC">
        <w:rPr>
          <w:lang w:val="en-US"/>
        </w:rPr>
        <w:t>;</w:t>
      </w:r>
    </w:p>
    <w:p w14:paraId="76664D15" w14:textId="77777777" w:rsidR="00A02ACB" w:rsidRPr="00DB0EAC" w:rsidRDefault="00A02ACB" w:rsidP="00466276">
      <w:pPr>
        <w:pStyle w:val="parrafos"/>
        <w:numPr>
          <w:ilvl w:val="0"/>
          <w:numId w:val="0"/>
        </w:numPr>
        <w:ind w:left="720" w:right="720"/>
        <w:rPr>
          <w:lang w:val="en-US"/>
        </w:rPr>
      </w:pPr>
      <w:r w:rsidRPr="00DB0EAC">
        <w:rPr>
          <w:lang w:val="en-US"/>
        </w:rPr>
        <w:t xml:space="preserve">e) </w:t>
      </w:r>
      <w:r w:rsidR="00DB0EAC" w:rsidRPr="00DB0EAC">
        <w:rPr>
          <w:lang w:val="en-US"/>
        </w:rPr>
        <w:t>under no circumstances shall</w:t>
      </w:r>
      <w:r w:rsidRPr="00DB0EAC">
        <w:rPr>
          <w:lang w:val="en-US"/>
        </w:rPr>
        <w:t xml:space="preserve"> </w:t>
      </w:r>
      <w:r w:rsidR="00DB0EAC" w:rsidRPr="00DB0EAC">
        <w:rPr>
          <w:lang w:val="en-US"/>
        </w:rPr>
        <w:t>records be withdrawn by the parties</w:t>
      </w:r>
      <w:r w:rsidRPr="00DB0EAC">
        <w:rPr>
          <w:lang w:val="en-US"/>
        </w:rPr>
        <w:t>;</w:t>
      </w:r>
    </w:p>
    <w:p w14:paraId="4DA80641" w14:textId="77777777" w:rsidR="00A02ACB" w:rsidRPr="00E36DE7" w:rsidRDefault="00A02ACB" w:rsidP="00466276">
      <w:pPr>
        <w:pStyle w:val="parrafos"/>
        <w:numPr>
          <w:ilvl w:val="0"/>
          <w:numId w:val="0"/>
        </w:numPr>
        <w:ind w:left="720" w:right="720"/>
        <w:rPr>
          <w:lang w:val="en-US"/>
        </w:rPr>
      </w:pPr>
      <w:r w:rsidRPr="00DB0EAC">
        <w:rPr>
          <w:lang w:val="en-US"/>
        </w:rPr>
        <w:t xml:space="preserve">f) </w:t>
      </w:r>
      <w:r w:rsidR="00DB0EAC" w:rsidRPr="00DB0EAC">
        <w:rPr>
          <w:lang w:val="en-US"/>
        </w:rPr>
        <w:t>any final judgments, resolutions, and orders that the Jury may decree cannot be appeal</w:t>
      </w:r>
      <w:r w:rsidR="00DB0EAC">
        <w:rPr>
          <w:lang w:val="en-US"/>
        </w:rPr>
        <w:t>ed</w:t>
      </w:r>
      <w:r w:rsidR="00DB0EAC" w:rsidRPr="00DB0EAC">
        <w:rPr>
          <w:lang w:val="en-US"/>
        </w:rPr>
        <w:t xml:space="preserve"> to any other body, </w:t>
      </w:r>
      <w:r w:rsidR="00DB0EAC">
        <w:rPr>
          <w:lang w:val="en-US"/>
        </w:rPr>
        <w:t xml:space="preserve">save for that which is established in Article </w:t>
      </w:r>
      <w:r w:rsidRPr="00DB0EAC">
        <w:rPr>
          <w:lang w:val="en-US"/>
        </w:rPr>
        <w:t>33.</w:t>
      </w:r>
      <w:r w:rsidR="00E36DE7">
        <w:rPr>
          <w:lang w:val="en-US"/>
        </w:rPr>
        <w:t xml:space="preserve"> </w:t>
      </w:r>
      <w:r w:rsidR="00E36DE7" w:rsidRPr="00E36DE7">
        <w:rPr>
          <w:lang w:val="en-US"/>
        </w:rPr>
        <w:t>Petitions for clarification and reversal may be admitted, and the Jury shall rule on them by the fifth day</w:t>
      </w:r>
      <w:r w:rsidR="00E36DE7">
        <w:rPr>
          <w:lang w:val="en-US"/>
        </w:rPr>
        <w:t>, by means of a reasoned decision</w:t>
      </w:r>
      <w:r w:rsidRPr="00E36DE7">
        <w:rPr>
          <w:lang w:val="en-US"/>
        </w:rPr>
        <w:t>;</w:t>
      </w:r>
    </w:p>
    <w:p w14:paraId="4204CD8B" w14:textId="77777777" w:rsidR="00A02ACB" w:rsidRPr="00E36DE7" w:rsidRDefault="00A02ACB" w:rsidP="00466276">
      <w:pPr>
        <w:pStyle w:val="parrafos"/>
        <w:numPr>
          <w:ilvl w:val="0"/>
          <w:numId w:val="0"/>
        </w:numPr>
        <w:ind w:left="720" w:right="720"/>
        <w:rPr>
          <w:lang w:val="en-US"/>
        </w:rPr>
      </w:pPr>
      <w:r w:rsidRPr="00E36DE7">
        <w:rPr>
          <w:lang w:val="en-US"/>
        </w:rPr>
        <w:t xml:space="preserve">g) </w:t>
      </w:r>
      <w:r w:rsidR="00E36DE7" w:rsidRPr="00E36DE7">
        <w:rPr>
          <w:lang w:val="en-US"/>
        </w:rPr>
        <w:t>any charges and appeals brought in the public hearing of the proceeding shall be resolv</w:t>
      </w:r>
      <w:r w:rsidR="00E36DE7">
        <w:rPr>
          <w:lang w:val="en-US"/>
        </w:rPr>
        <w:t>ed during that hearing</w:t>
      </w:r>
      <w:r w:rsidRPr="00E36DE7">
        <w:rPr>
          <w:lang w:val="en-US"/>
        </w:rPr>
        <w:t>;</w:t>
      </w:r>
    </w:p>
    <w:p w14:paraId="4D4E36D8" w14:textId="77777777" w:rsidR="00A02ACB" w:rsidRPr="00E36DE7" w:rsidRDefault="00A02ACB" w:rsidP="00466276">
      <w:pPr>
        <w:pStyle w:val="parrafos"/>
        <w:numPr>
          <w:ilvl w:val="0"/>
          <w:numId w:val="0"/>
        </w:numPr>
        <w:ind w:left="720" w:right="720"/>
        <w:rPr>
          <w:lang w:val="en-US"/>
        </w:rPr>
      </w:pPr>
      <w:r w:rsidRPr="00E36DE7">
        <w:rPr>
          <w:lang w:val="en-US"/>
        </w:rPr>
        <w:t xml:space="preserve">h) </w:t>
      </w:r>
      <w:r w:rsidR="00E36DE7" w:rsidRPr="00E36DE7">
        <w:rPr>
          <w:lang w:val="en-US"/>
        </w:rPr>
        <w:t xml:space="preserve">the Jury shall have the authority to move the </w:t>
      </w:r>
      <w:r w:rsidR="00A727DA">
        <w:rPr>
          <w:lang w:val="en-US"/>
        </w:rPr>
        <w:t>proceeding</w:t>
      </w:r>
      <w:r w:rsidR="00E36DE7" w:rsidRPr="00E36DE7">
        <w:rPr>
          <w:lang w:val="en-US"/>
        </w:rPr>
        <w:t xml:space="preserve"> forward and</w:t>
      </w:r>
      <w:r w:rsidRPr="00E36DE7">
        <w:rPr>
          <w:lang w:val="en-US"/>
        </w:rPr>
        <w:t xml:space="preserve"> </w:t>
      </w:r>
      <w:r w:rsidR="00E36DE7" w:rsidRPr="00E36DE7">
        <w:rPr>
          <w:lang w:val="en-US"/>
        </w:rPr>
        <w:t xml:space="preserve">determine at any stage of the case the procedural steps that may be necessary </w:t>
      </w:r>
      <w:r w:rsidR="00E36DE7">
        <w:rPr>
          <w:lang w:val="en-US"/>
        </w:rPr>
        <w:t>to shed light on the facts</w:t>
      </w:r>
      <w:r w:rsidRPr="00E36DE7">
        <w:rPr>
          <w:lang w:val="en-US"/>
        </w:rPr>
        <w:t>;</w:t>
      </w:r>
    </w:p>
    <w:p w14:paraId="4C9AE525" w14:textId="77777777" w:rsidR="00A02ACB" w:rsidRPr="00E36DE7" w:rsidRDefault="00A02ACB" w:rsidP="00466276">
      <w:pPr>
        <w:pStyle w:val="parrafos"/>
        <w:numPr>
          <w:ilvl w:val="0"/>
          <w:numId w:val="0"/>
        </w:numPr>
        <w:ind w:left="720" w:right="720"/>
        <w:rPr>
          <w:lang w:val="en-US"/>
        </w:rPr>
      </w:pPr>
      <w:r w:rsidRPr="00E36DE7">
        <w:rPr>
          <w:lang w:val="en-US"/>
        </w:rPr>
        <w:t xml:space="preserve">i) </w:t>
      </w:r>
      <w:r w:rsidR="00E36DE7" w:rsidRPr="00E36DE7">
        <w:rPr>
          <w:lang w:val="en-US"/>
        </w:rPr>
        <w:t>the substantiation hearing shall be oral and record</w:t>
      </w:r>
      <w:r w:rsidR="00E36DE7">
        <w:rPr>
          <w:lang w:val="en-US"/>
        </w:rPr>
        <w:t>ed on</w:t>
      </w:r>
      <w:r w:rsidR="00E36DE7" w:rsidRPr="00E36DE7">
        <w:rPr>
          <w:lang w:val="en-US"/>
        </w:rPr>
        <w:t xml:space="preserve"> tape</w:t>
      </w:r>
      <w:r w:rsidRPr="00E36DE7">
        <w:rPr>
          <w:lang w:val="en-US"/>
        </w:rPr>
        <w:t>;</w:t>
      </w:r>
    </w:p>
    <w:p w14:paraId="6D558CC3" w14:textId="77777777" w:rsidR="00A02ACB" w:rsidRPr="00E36DE7" w:rsidRDefault="00A02ACB" w:rsidP="00466276">
      <w:pPr>
        <w:pStyle w:val="parrafos"/>
        <w:numPr>
          <w:ilvl w:val="0"/>
          <w:numId w:val="0"/>
        </w:numPr>
        <w:ind w:left="720" w:right="720"/>
        <w:rPr>
          <w:lang w:val="en-US"/>
        </w:rPr>
      </w:pPr>
      <w:r w:rsidRPr="00E36DE7">
        <w:rPr>
          <w:lang w:val="en-US"/>
        </w:rPr>
        <w:t xml:space="preserve">j) </w:t>
      </w:r>
      <w:r w:rsidR="00E36DE7" w:rsidRPr="00E36DE7">
        <w:rPr>
          <w:lang w:val="en-US"/>
        </w:rPr>
        <w:t xml:space="preserve">these shall subsequently be entered into the record and added </w:t>
      </w:r>
      <w:r w:rsidR="00E36DE7">
        <w:rPr>
          <w:lang w:val="en-US"/>
        </w:rPr>
        <w:t>to the case file</w:t>
      </w:r>
      <w:r w:rsidRPr="00E36DE7">
        <w:rPr>
          <w:lang w:val="en-US"/>
        </w:rPr>
        <w:t xml:space="preserve">; </w:t>
      </w:r>
    </w:p>
    <w:p w14:paraId="06060A42" w14:textId="77777777" w:rsidR="00A02ACB" w:rsidRPr="00A727DA" w:rsidRDefault="00A02ACB" w:rsidP="00466276">
      <w:pPr>
        <w:pStyle w:val="parrafos"/>
        <w:numPr>
          <w:ilvl w:val="0"/>
          <w:numId w:val="0"/>
        </w:numPr>
        <w:ind w:left="720" w:right="720"/>
        <w:rPr>
          <w:lang w:val="en-US"/>
        </w:rPr>
      </w:pPr>
      <w:r w:rsidRPr="00A727DA">
        <w:rPr>
          <w:lang w:val="en-US"/>
        </w:rPr>
        <w:t xml:space="preserve">k) </w:t>
      </w:r>
      <w:r w:rsidR="00A727DA" w:rsidRPr="00A727DA">
        <w:rPr>
          <w:lang w:val="en-US"/>
        </w:rPr>
        <w:t xml:space="preserve">the </w:t>
      </w:r>
      <w:r w:rsidR="00A727DA">
        <w:rPr>
          <w:lang w:val="en-US"/>
        </w:rPr>
        <w:t xml:space="preserve">proceedings </w:t>
      </w:r>
      <w:r w:rsidR="00152A34">
        <w:rPr>
          <w:lang w:val="en-US"/>
        </w:rPr>
        <w:t xml:space="preserve">to determine </w:t>
      </w:r>
      <w:r w:rsidR="00A727DA" w:rsidRPr="00A727DA">
        <w:rPr>
          <w:lang w:val="en-US"/>
        </w:rPr>
        <w:t>liability</w:t>
      </w:r>
      <w:r w:rsidR="00152A34">
        <w:rPr>
          <w:lang w:val="en-US"/>
        </w:rPr>
        <w:t xml:space="preserve"> </w:t>
      </w:r>
      <w:r w:rsidR="00A727DA" w:rsidRPr="00A727DA">
        <w:rPr>
          <w:lang w:val="en-US"/>
        </w:rPr>
        <w:t>are exempt from</w:t>
      </w:r>
      <w:r w:rsidR="00152A34">
        <w:rPr>
          <w:lang w:val="en-US"/>
        </w:rPr>
        <w:t xml:space="preserve"> </w:t>
      </w:r>
      <w:r w:rsidR="00A727DA">
        <w:rPr>
          <w:lang w:val="en-US"/>
        </w:rPr>
        <w:t>any type of</w:t>
      </w:r>
      <w:r w:rsidRPr="00A727DA">
        <w:rPr>
          <w:lang w:val="en-US"/>
        </w:rPr>
        <w:t xml:space="preserve"> </w:t>
      </w:r>
      <w:r w:rsidR="00A727DA">
        <w:rPr>
          <w:lang w:val="en-US"/>
        </w:rPr>
        <w:t>tax payment;</w:t>
      </w:r>
      <w:r w:rsidR="0071630D" w:rsidRPr="00A727DA">
        <w:rPr>
          <w:lang w:val="en-US"/>
        </w:rPr>
        <w:t xml:space="preserve"> </w:t>
      </w:r>
    </w:p>
    <w:p w14:paraId="30C42B5E" w14:textId="77777777" w:rsidR="00A02ACB" w:rsidRPr="00152A34" w:rsidRDefault="00A02ACB" w:rsidP="00466276">
      <w:pPr>
        <w:pStyle w:val="parrafos"/>
        <w:numPr>
          <w:ilvl w:val="0"/>
          <w:numId w:val="0"/>
        </w:numPr>
        <w:ind w:left="720" w:right="720"/>
        <w:rPr>
          <w:lang w:val="en-US"/>
        </w:rPr>
      </w:pPr>
      <w:r w:rsidRPr="00152A34">
        <w:rPr>
          <w:lang w:val="en-US"/>
        </w:rPr>
        <w:t xml:space="preserve">l) </w:t>
      </w:r>
      <w:r w:rsidR="00A727DA" w:rsidRPr="00152A34">
        <w:rPr>
          <w:lang w:val="en-US"/>
        </w:rPr>
        <w:t>the proce</w:t>
      </w:r>
      <w:r w:rsidR="00152A34" w:rsidRPr="00152A34">
        <w:rPr>
          <w:lang w:val="en-US"/>
        </w:rPr>
        <w:t xml:space="preserve">eding shall move forward at the request of </w:t>
      </w:r>
      <w:r w:rsidR="00152A34">
        <w:rPr>
          <w:lang w:val="en-US"/>
        </w:rPr>
        <w:t xml:space="preserve">a party or of the Jury’s own accord. </w:t>
      </w:r>
    </w:p>
    <w:p w14:paraId="70C08120" w14:textId="77777777" w:rsidR="00A02ACB" w:rsidRPr="00152A34" w:rsidRDefault="00A02ACB" w:rsidP="00A02ACB">
      <w:pPr>
        <w:pStyle w:val="parrafos"/>
        <w:numPr>
          <w:ilvl w:val="0"/>
          <w:numId w:val="0"/>
        </w:numPr>
        <w:rPr>
          <w:lang w:val="en-US"/>
        </w:rPr>
      </w:pPr>
    </w:p>
    <w:p w14:paraId="24268982" w14:textId="77777777" w:rsidR="00AB26DF" w:rsidRPr="00766381" w:rsidRDefault="003E1D70" w:rsidP="00AB26DF">
      <w:pPr>
        <w:pStyle w:val="parrafos"/>
      </w:pPr>
      <w:r>
        <w:t>Article</w:t>
      </w:r>
      <w:r w:rsidR="00AB26DF" w:rsidRPr="00766381">
        <w:t xml:space="preserve"> 31 </w:t>
      </w:r>
      <w:r>
        <w:t xml:space="preserve">stipulates </w:t>
      </w:r>
      <w:r w:rsidR="00A74E36">
        <w:rPr>
          <w:lang w:val="en-US"/>
        </w:rPr>
        <w:t>the following</w:t>
      </w:r>
      <w:r w:rsidR="00AB26DF" w:rsidRPr="00766381">
        <w:t>:</w:t>
      </w:r>
    </w:p>
    <w:p w14:paraId="757614D1" w14:textId="77777777" w:rsidR="00AB26DF" w:rsidRPr="00766381" w:rsidRDefault="00AB26DF" w:rsidP="00AB26DF">
      <w:pPr>
        <w:pStyle w:val="parrafos"/>
        <w:numPr>
          <w:ilvl w:val="0"/>
          <w:numId w:val="0"/>
        </w:numPr>
      </w:pPr>
    </w:p>
    <w:p w14:paraId="4E0998E6" w14:textId="77777777" w:rsidR="00AB26DF" w:rsidRPr="003E1D70" w:rsidRDefault="003E1D70" w:rsidP="00466276">
      <w:pPr>
        <w:pStyle w:val="parrafos"/>
        <w:numPr>
          <w:ilvl w:val="0"/>
          <w:numId w:val="0"/>
        </w:numPr>
        <w:ind w:left="720" w:right="720"/>
        <w:rPr>
          <w:lang w:val="en-US"/>
        </w:rPr>
      </w:pPr>
      <w:r w:rsidRPr="003E1D70">
        <w:rPr>
          <w:lang w:val="en-US"/>
        </w:rPr>
        <w:t>The Jury shall render a final judgment within a period of 30 days from the time the procedural decisions are enforceable and within 180 days from the start of the proceeding</w:t>
      </w:r>
      <w:r w:rsidR="00AB26DF" w:rsidRPr="003E1D70">
        <w:rPr>
          <w:lang w:val="en-US"/>
        </w:rPr>
        <w:t>.</w:t>
      </w:r>
    </w:p>
    <w:p w14:paraId="613B9CE0" w14:textId="77777777" w:rsidR="00AB26DF" w:rsidRPr="003E1D70" w:rsidRDefault="003E1D70" w:rsidP="00466276">
      <w:pPr>
        <w:pStyle w:val="parrafos"/>
        <w:numPr>
          <w:ilvl w:val="0"/>
          <w:numId w:val="0"/>
        </w:numPr>
        <w:ind w:left="720" w:right="720"/>
        <w:rPr>
          <w:lang w:val="en-US"/>
        </w:rPr>
      </w:pPr>
      <w:r w:rsidRPr="003E1D70">
        <w:rPr>
          <w:lang w:val="en-US"/>
        </w:rPr>
        <w:t>The Jury’s decision may consist of only removal or acquittal of the accused.</w:t>
      </w:r>
    </w:p>
    <w:p w14:paraId="46FE17BD" w14:textId="77777777" w:rsidR="00AB26DF" w:rsidRPr="003E1D70" w:rsidRDefault="003E1D70" w:rsidP="00466276">
      <w:pPr>
        <w:pStyle w:val="parrafos"/>
        <w:numPr>
          <w:ilvl w:val="0"/>
          <w:numId w:val="0"/>
        </w:numPr>
        <w:ind w:left="720" w:right="720"/>
        <w:rPr>
          <w:lang w:val="en-US"/>
        </w:rPr>
      </w:pPr>
      <w:r w:rsidRPr="003E1D70">
        <w:rPr>
          <w:lang w:val="en-US"/>
        </w:rPr>
        <w:t>In the case of removal, said decision shall be communicated to the Chambers of Congress, the Supre</w:t>
      </w:r>
      <w:r>
        <w:rPr>
          <w:lang w:val="en-US"/>
        </w:rPr>
        <w:t>me Court of Justice, and the Council of Magistrates.</w:t>
      </w:r>
    </w:p>
    <w:p w14:paraId="1CE189C0" w14:textId="77777777" w:rsidR="00AB26DF" w:rsidRPr="003E1D70" w:rsidRDefault="003E1D70" w:rsidP="00466276">
      <w:pPr>
        <w:pStyle w:val="parrafos"/>
        <w:numPr>
          <w:ilvl w:val="0"/>
          <w:numId w:val="0"/>
        </w:numPr>
        <w:ind w:left="720" w:right="720"/>
        <w:rPr>
          <w:lang w:val="en-US"/>
        </w:rPr>
      </w:pPr>
      <w:r w:rsidRPr="003E1D70">
        <w:rPr>
          <w:lang w:val="en-US"/>
        </w:rPr>
        <w:t xml:space="preserve">The Jury shall decide on </w:t>
      </w:r>
      <w:r w:rsidRPr="005210D4">
        <w:rPr>
          <w:lang w:val="en-US"/>
        </w:rPr>
        <w:t>the costs of</w:t>
      </w:r>
      <w:r w:rsidRPr="003E1D70">
        <w:rPr>
          <w:lang w:val="en-US"/>
        </w:rPr>
        <w:t xml:space="preserve"> th</w:t>
      </w:r>
      <w:r>
        <w:rPr>
          <w:lang w:val="en-US"/>
        </w:rPr>
        <w:t>e proceeding.</w:t>
      </w:r>
    </w:p>
    <w:p w14:paraId="136E474C" w14:textId="77777777" w:rsidR="00507BC3" w:rsidRPr="003E1D70" w:rsidRDefault="00507BC3" w:rsidP="00507BC3">
      <w:pPr>
        <w:pStyle w:val="ListParagraph"/>
        <w:rPr>
          <w:lang w:val="en-US"/>
        </w:rPr>
      </w:pPr>
    </w:p>
    <w:p w14:paraId="08B1D919" w14:textId="77777777" w:rsidR="00507BC3" w:rsidRPr="00766381" w:rsidRDefault="003E1D70" w:rsidP="00AB26DF">
      <w:pPr>
        <w:pStyle w:val="parrafos"/>
      </w:pPr>
      <w:r>
        <w:t>Article</w:t>
      </w:r>
      <w:r w:rsidR="00AB26DF" w:rsidRPr="00766381">
        <w:t xml:space="preserve"> 33 </w:t>
      </w:r>
      <w:r>
        <w:t>provides that</w:t>
      </w:r>
      <w:r w:rsidR="00AB26DF" w:rsidRPr="00766381">
        <w:t>:</w:t>
      </w:r>
    </w:p>
    <w:p w14:paraId="29E2472F" w14:textId="77777777" w:rsidR="00AB26DF" w:rsidRPr="00766381" w:rsidRDefault="00AB26DF" w:rsidP="00AB26DF">
      <w:pPr>
        <w:pStyle w:val="parrafos"/>
        <w:numPr>
          <w:ilvl w:val="0"/>
          <w:numId w:val="0"/>
        </w:numPr>
      </w:pPr>
    </w:p>
    <w:p w14:paraId="68D1AB44" w14:textId="77777777" w:rsidR="00CB2F4C" w:rsidRPr="003E1D70" w:rsidRDefault="003E1D70" w:rsidP="00874A6B">
      <w:pPr>
        <w:pStyle w:val="parrafos"/>
        <w:numPr>
          <w:ilvl w:val="0"/>
          <w:numId w:val="0"/>
        </w:numPr>
        <w:ind w:left="720" w:right="720"/>
        <w:rPr>
          <w:lang w:val="en-US"/>
        </w:rPr>
      </w:pPr>
      <w:r w:rsidRPr="003E1D70">
        <w:rPr>
          <w:lang w:val="en-US"/>
        </w:rPr>
        <w:t xml:space="preserve">In addition to an appeal for reversal and clarification against the final verdict of the Jury, an action of unconstitutionality may also be brought, which shall be decided on by the Court sitting </w:t>
      </w:r>
      <w:r w:rsidRPr="003E1D70">
        <w:rPr>
          <w:i/>
          <w:iCs/>
          <w:lang w:val="en-US"/>
        </w:rPr>
        <w:t>en banc</w:t>
      </w:r>
      <w:r w:rsidR="00AB26DF" w:rsidRPr="003E1D70">
        <w:rPr>
          <w:lang w:val="en-US"/>
        </w:rPr>
        <w:t>.</w:t>
      </w:r>
    </w:p>
    <w:p w14:paraId="4EA43DB3" w14:textId="77777777" w:rsidR="004D195F" w:rsidRPr="00872B99" w:rsidRDefault="00CB2F4C" w:rsidP="00351BA6">
      <w:pPr>
        <w:pStyle w:val="Heading2"/>
        <w:rPr>
          <w:lang w:val="en-US"/>
        </w:rPr>
      </w:pPr>
      <w:bookmarkStart w:id="9" w:name="_Toc42595064"/>
      <w:r w:rsidRPr="00872B99">
        <w:rPr>
          <w:bCs/>
          <w:iCs/>
          <w:lang w:val="en-US"/>
        </w:rPr>
        <w:t xml:space="preserve">B. </w:t>
      </w:r>
      <w:r w:rsidRPr="00872B99">
        <w:rPr>
          <w:bCs/>
          <w:iCs/>
          <w:lang w:val="en-US"/>
        </w:rPr>
        <w:tab/>
      </w:r>
      <w:bookmarkEnd w:id="9"/>
      <w:r w:rsidR="00F217E1" w:rsidRPr="00872B99">
        <w:rPr>
          <w:lang w:val="en-US"/>
        </w:rPr>
        <w:t>Facts of the case</w:t>
      </w:r>
    </w:p>
    <w:p w14:paraId="0DDFC862" w14:textId="77777777" w:rsidR="00E94F44" w:rsidRPr="00872B99" w:rsidRDefault="00E94F44" w:rsidP="00914740">
      <w:pPr>
        <w:tabs>
          <w:tab w:val="left" w:pos="360"/>
        </w:tabs>
        <w:rPr>
          <w:sz w:val="20"/>
          <w:szCs w:val="20"/>
        </w:rPr>
      </w:pPr>
    </w:p>
    <w:p w14:paraId="5D170E99" w14:textId="77777777" w:rsidR="00CB2F4C" w:rsidRPr="00F217E1" w:rsidRDefault="00AF48C1" w:rsidP="00AF48C1">
      <w:pPr>
        <w:pStyle w:val="Heading3"/>
        <w:numPr>
          <w:ilvl w:val="0"/>
          <w:numId w:val="0"/>
        </w:numPr>
      </w:pPr>
      <w:bookmarkStart w:id="10" w:name="_Toc42595065"/>
      <w:r w:rsidRPr="00F217E1">
        <w:t xml:space="preserve">1. </w:t>
      </w:r>
      <w:r w:rsidR="00500F83" w:rsidRPr="00F217E1">
        <w:t>Alejandro Nissen Pessolani</w:t>
      </w:r>
      <w:r w:rsidR="00500F83">
        <w:t>’s</w:t>
      </w:r>
      <w:r w:rsidR="00F217E1" w:rsidRPr="00F217E1">
        <w:t xml:space="preserve"> appointment and th</w:t>
      </w:r>
      <w:r w:rsidR="00F217E1">
        <w:t>e investigations undertaken</w:t>
      </w:r>
      <w:bookmarkEnd w:id="10"/>
      <w:r w:rsidR="00F217E1">
        <w:t xml:space="preserve"> </w:t>
      </w:r>
    </w:p>
    <w:p w14:paraId="5897E9DC" w14:textId="77777777" w:rsidR="00351BA6" w:rsidRPr="00F217E1" w:rsidRDefault="00351BA6" w:rsidP="00914740">
      <w:pPr>
        <w:tabs>
          <w:tab w:val="left" w:pos="360"/>
        </w:tabs>
      </w:pPr>
    </w:p>
    <w:p w14:paraId="56F37470" w14:textId="77777777" w:rsidR="00351BA6" w:rsidRPr="00F217E1" w:rsidRDefault="00F217E1" w:rsidP="00351BA6">
      <w:pPr>
        <w:pStyle w:val="parrafos"/>
        <w:rPr>
          <w:lang w:val="en-US"/>
        </w:rPr>
      </w:pPr>
      <w:r w:rsidRPr="00F217E1">
        <w:rPr>
          <w:lang w:val="en-US"/>
        </w:rPr>
        <w:t xml:space="preserve">The petitioner indicated that Mr. </w:t>
      </w:r>
      <w:r w:rsidR="004B424A" w:rsidRPr="00F217E1">
        <w:rPr>
          <w:lang w:val="en-US"/>
        </w:rPr>
        <w:t xml:space="preserve"> </w:t>
      </w:r>
      <w:r w:rsidRPr="00F217E1">
        <w:rPr>
          <w:lang w:val="en-US"/>
        </w:rPr>
        <w:t xml:space="preserve">Nissen Pessolani was </w:t>
      </w:r>
      <w:r w:rsidR="00096E23">
        <w:rPr>
          <w:lang w:val="en-US"/>
        </w:rPr>
        <w:t>designated</w:t>
      </w:r>
      <w:r w:rsidRPr="00F217E1">
        <w:rPr>
          <w:lang w:val="en-US"/>
        </w:rPr>
        <w:t xml:space="preserve"> Criminal Prosecutor of the Public Prosecutor’s Office by the Council of Magistrates, by mean</w:t>
      </w:r>
      <w:r>
        <w:rPr>
          <w:lang w:val="en-US"/>
        </w:rPr>
        <w:t xml:space="preserve">s of Certified Document No. </w:t>
      </w:r>
      <w:r w:rsidR="004B424A" w:rsidRPr="00F217E1">
        <w:rPr>
          <w:lang w:val="en-US"/>
        </w:rPr>
        <w:t xml:space="preserve">700 </w:t>
      </w:r>
      <w:r>
        <w:rPr>
          <w:lang w:val="en-US"/>
        </w:rPr>
        <w:t xml:space="preserve">of November </w:t>
      </w:r>
      <w:r w:rsidR="004B424A" w:rsidRPr="00F217E1">
        <w:rPr>
          <w:lang w:val="en-US"/>
        </w:rPr>
        <w:t>4</w:t>
      </w:r>
      <w:r>
        <w:rPr>
          <w:lang w:val="en-US"/>
        </w:rPr>
        <w:t xml:space="preserve">, </w:t>
      </w:r>
      <w:r w:rsidR="004B424A" w:rsidRPr="00F217E1">
        <w:rPr>
          <w:lang w:val="en-US"/>
        </w:rPr>
        <w:t>1999</w:t>
      </w:r>
      <w:r>
        <w:rPr>
          <w:lang w:val="en-US"/>
        </w:rPr>
        <w:t>.</w:t>
      </w:r>
      <w:r w:rsidR="00F714D3" w:rsidRPr="00766381">
        <w:rPr>
          <w:rStyle w:val="FootnoteReference"/>
          <w:lang w:val="es-BO"/>
        </w:rPr>
        <w:footnoteReference w:id="3"/>
      </w:r>
      <w:r w:rsidR="00F714D3" w:rsidRPr="00F217E1">
        <w:rPr>
          <w:lang w:val="en-US"/>
        </w:rPr>
        <w:t xml:space="preserve">  </w:t>
      </w:r>
    </w:p>
    <w:p w14:paraId="54C6CC85" w14:textId="77777777" w:rsidR="00CC61DF" w:rsidRPr="00F217E1" w:rsidRDefault="00CC61DF" w:rsidP="005C474F">
      <w:pPr>
        <w:pStyle w:val="parrafos"/>
        <w:numPr>
          <w:ilvl w:val="0"/>
          <w:numId w:val="0"/>
        </w:numPr>
        <w:rPr>
          <w:lang w:val="en-US"/>
        </w:rPr>
      </w:pPr>
    </w:p>
    <w:p w14:paraId="69A0F05E" w14:textId="77777777" w:rsidR="00CC61DF" w:rsidRPr="00FD2394" w:rsidRDefault="00746703" w:rsidP="00351BA6">
      <w:pPr>
        <w:pStyle w:val="parrafos"/>
        <w:rPr>
          <w:lang w:val="en-US"/>
        </w:rPr>
      </w:pPr>
      <w:r w:rsidRPr="00FD2394">
        <w:rPr>
          <w:lang w:val="en-US"/>
        </w:rPr>
        <w:lastRenderedPageBreak/>
        <w:t xml:space="preserve">The alleged victim indicated that </w:t>
      </w:r>
      <w:r w:rsidR="00096E23">
        <w:rPr>
          <w:lang w:val="en-US"/>
        </w:rPr>
        <w:t>as part of</w:t>
      </w:r>
      <w:r w:rsidRPr="00FD2394">
        <w:rPr>
          <w:lang w:val="en-US"/>
        </w:rPr>
        <w:t xml:space="preserve"> his duties, he </w:t>
      </w:r>
      <w:r w:rsidR="00FD2394" w:rsidRPr="00FD2394">
        <w:rPr>
          <w:lang w:val="en-US"/>
        </w:rPr>
        <w:t xml:space="preserve">was investigating cases </w:t>
      </w:r>
      <w:r w:rsidR="00096E23">
        <w:rPr>
          <w:lang w:val="en-US"/>
        </w:rPr>
        <w:t>involving</w:t>
      </w:r>
      <w:r w:rsidR="00FD2394" w:rsidRPr="00FD2394">
        <w:rPr>
          <w:lang w:val="en-US"/>
        </w:rPr>
        <w:t xml:space="preserve"> acts of corruption, for example the case of a BMW automobile that was stolen in Brazil and later acquired by the then-President of Paraguay; the investigation of the former head of the General Customs Office and other high-level officials for illicit enrichment; and other cases related to luxury vehicles that were </w:t>
      </w:r>
      <w:r w:rsidR="00096E23">
        <w:rPr>
          <w:lang w:val="en-US"/>
        </w:rPr>
        <w:t xml:space="preserve">being </w:t>
      </w:r>
      <w:r w:rsidR="00FD2394" w:rsidRPr="00FD2394">
        <w:rPr>
          <w:lang w:val="en-US"/>
        </w:rPr>
        <w:t>stolen in Brazil and later registered under the name of</w:t>
      </w:r>
      <w:r w:rsidR="00FD2394">
        <w:rPr>
          <w:lang w:val="en-US"/>
        </w:rPr>
        <w:t xml:space="preserve"> authorities or relatives of Paraguayan politicians.</w:t>
      </w:r>
      <w:r w:rsidR="000A6AE3" w:rsidRPr="00766381">
        <w:rPr>
          <w:rStyle w:val="FootnoteReference"/>
          <w:lang w:val="es-BO"/>
        </w:rPr>
        <w:footnoteReference w:id="4"/>
      </w:r>
      <w:r w:rsidR="00D005D5" w:rsidRPr="00FD2394">
        <w:rPr>
          <w:lang w:val="en-US"/>
        </w:rPr>
        <w:t xml:space="preserve">   </w:t>
      </w:r>
    </w:p>
    <w:p w14:paraId="5E322F1F" w14:textId="77777777" w:rsidR="00351BA6" w:rsidRPr="00FD2394" w:rsidRDefault="00351BA6" w:rsidP="00914740">
      <w:pPr>
        <w:tabs>
          <w:tab w:val="left" w:pos="360"/>
        </w:tabs>
      </w:pPr>
    </w:p>
    <w:p w14:paraId="4646A475" w14:textId="77777777" w:rsidR="00351BA6" w:rsidRPr="007B3BF7" w:rsidRDefault="004F6DEF" w:rsidP="00AF48C1">
      <w:pPr>
        <w:pStyle w:val="Heading3"/>
        <w:numPr>
          <w:ilvl w:val="0"/>
          <w:numId w:val="0"/>
        </w:numPr>
        <w:rPr>
          <w:color w:val="FF0000"/>
        </w:rPr>
      </w:pPr>
      <w:bookmarkStart w:id="11" w:name="_Toc42595066"/>
      <w:r w:rsidRPr="007B3BF7">
        <w:t>2.</w:t>
      </w:r>
      <w:r w:rsidR="00AF48C1" w:rsidRPr="007B3BF7">
        <w:t xml:space="preserve"> </w:t>
      </w:r>
      <w:r w:rsidR="008E0900">
        <w:t>F</w:t>
      </w:r>
      <w:r w:rsidR="007B3BF7" w:rsidRPr="007B3BF7">
        <w:t xml:space="preserve">irst disciplinary </w:t>
      </w:r>
      <w:r w:rsidR="00AC3139">
        <w:t>case</w:t>
      </w:r>
      <w:r w:rsidR="007B3BF7" w:rsidRPr="007B3BF7">
        <w:t xml:space="preserve"> </w:t>
      </w:r>
      <w:r w:rsidR="008B011D">
        <w:t xml:space="preserve">brought </w:t>
      </w:r>
      <w:r w:rsidR="007B3BF7" w:rsidRPr="007B3BF7">
        <w:t>against the alleged victim</w:t>
      </w:r>
      <w:bookmarkEnd w:id="11"/>
      <w:r w:rsidR="007B3BF7" w:rsidRPr="007B3BF7">
        <w:t xml:space="preserve"> </w:t>
      </w:r>
    </w:p>
    <w:p w14:paraId="1F20016F" w14:textId="77777777" w:rsidR="00CB2F4C" w:rsidRPr="007B3BF7" w:rsidRDefault="00CB2F4C" w:rsidP="00914740">
      <w:pPr>
        <w:tabs>
          <w:tab w:val="left" w:pos="360"/>
        </w:tabs>
        <w:rPr>
          <w:color w:val="FF0000"/>
          <w:sz w:val="20"/>
          <w:szCs w:val="20"/>
        </w:rPr>
      </w:pPr>
    </w:p>
    <w:p w14:paraId="29E3CC81" w14:textId="77777777" w:rsidR="008437AB" w:rsidRPr="00234739" w:rsidRDefault="007B3BF7" w:rsidP="008437AB">
      <w:pPr>
        <w:pStyle w:val="parrafos"/>
        <w:rPr>
          <w:color w:val="auto"/>
          <w:lang w:val="en-US"/>
        </w:rPr>
      </w:pPr>
      <w:r w:rsidRPr="00234739">
        <w:rPr>
          <w:color w:val="auto"/>
          <w:bdr w:val="none" w:sz="0" w:space="0" w:color="auto"/>
          <w:lang w:val="en-US"/>
        </w:rPr>
        <w:t>On March</w:t>
      </w:r>
      <w:r w:rsidR="004F6DEF" w:rsidRPr="00234739">
        <w:rPr>
          <w:color w:val="auto"/>
          <w:bdr w:val="none" w:sz="0" w:space="0" w:color="auto"/>
          <w:lang w:val="en-US"/>
        </w:rPr>
        <w:t xml:space="preserve"> 12</w:t>
      </w:r>
      <w:r w:rsidRPr="00234739">
        <w:rPr>
          <w:color w:val="auto"/>
          <w:bdr w:val="none" w:sz="0" w:space="0" w:color="auto"/>
          <w:lang w:val="en-US"/>
        </w:rPr>
        <w:t xml:space="preserve">, </w:t>
      </w:r>
      <w:r w:rsidR="004F6DEF" w:rsidRPr="00234739">
        <w:rPr>
          <w:color w:val="auto"/>
          <w:bdr w:val="none" w:sz="0" w:space="0" w:color="auto"/>
          <w:lang w:val="en-US"/>
        </w:rPr>
        <w:t>2002, Cri</w:t>
      </w:r>
      <w:r w:rsidR="00C8793C" w:rsidRPr="00234739">
        <w:rPr>
          <w:color w:val="auto"/>
          <w:bdr w:val="none" w:sz="0" w:space="0" w:color="auto"/>
          <w:lang w:val="en-US"/>
        </w:rPr>
        <w:t>s</w:t>
      </w:r>
      <w:r w:rsidR="004F6DEF" w:rsidRPr="00234739">
        <w:rPr>
          <w:color w:val="auto"/>
          <w:bdr w:val="none" w:sz="0" w:space="0" w:color="auto"/>
          <w:lang w:val="en-US"/>
        </w:rPr>
        <w:t xml:space="preserve">tian Paolo Ortiz </w:t>
      </w:r>
      <w:r w:rsidRPr="00234739">
        <w:rPr>
          <w:color w:val="auto"/>
          <w:bdr w:val="none" w:sz="0" w:space="0" w:color="auto"/>
          <w:lang w:val="en-US"/>
        </w:rPr>
        <w:t xml:space="preserve">lodged a complaint with the Prosecutor General’s Office against the alleged victim for poor performance of duties, </w:t>
      </w:r>
      <w:r w:rsidR="00234739" w:rsidRPr="00234739">
        <w:rPr>
          <w:color w:val="auto"/>
          <w:bdr w:val="none" w:sz="0" w:space="0" w:color="auto"/>
          <w:lang w:val="en-US"/>
        </w:rPr>
        <w:t xml:space="preserve">citing grounds established in Articles </w:t>
      </w:r>
      <w:r w:rsidR="003762DC" w:rsidRPr="00234739">
        <w:rPr>
          <w:color w:val="auto"/>
          <w:bdr w:val="none" w:sz="0" w:space="0" w:color="auto"/>
          <w:lang w:val="en-US"/>
        </w:rPr>
        <w:t xml:space="preserve">12 </w:t>
      </w:r>
      <w:r w:rsidR="00234739">
        <w:rPr>
          <w:color w:val="auto"/>
          <w:bdr w:val="none" w:sz="0" w:space="0" w:color="auto"/>
          <w:lang w:val="en-US"/>
        </w:rPr>
        <w:t>and</w:t>
      </w:r>
      <w:r w:rsidR="003762DC" w:rsidRPr="00234739">
        <w:rPr>
          <w:color w:val="auto"/>
          <w:bdr w:val="none" w:sz="0" w:space="0" w:color="auto"/>
          <w:lang w:val="en-US"/>
        </w:rPr>
        <w:t xml:space="preserve"> 14</w:t>
      </w:r>
      <w:r w:rsidR="00234739">
        <w:rPr>
          <w:color w:val="auto"/>
          <w:bdr w:val="none" w:sz="0" w:space="0" w:color="auto"/>
          <w:lang w:val="en-US"/>
        </w:rPr>
        <w:t xml:space="preserve">, subparagraphs </w:t>
      </w:r>
      <w:r w:rsidR="008C679C">
        <w:rPr>
          <w:color w:val="auto"/>
          <w:bdr w:val="none" w:sz="0" w:space="0" w:color="auto"/>
          <w:lang w:val="en-US"/>
        </w:rPr>
        <w:t>(</w:t>
      </w:r>
      <w:r w:rsidR="003762DC" w:rsidRPr="00234739">
        <w:rPr>
          <w:color w:val="auto"/>
          <w:bdr w:val="none" w:sz="0" w:space="0" w:color="auto"/>
          <w:lang w:val="en-US"/>
        </w:rPr>
        <w:t>b</w:t>
      </w:r>
      <w:r w:rsidR="008C679C">
        <w:rPr>
          <w:color w:val="auto"/>
          <w:bdr w:val="none" w:sz="0" w:space="0" w:color="auto"/>
          <w:lang w:val="en-US"/>
        </w:rPr>
        <w:t>)</w:t>
      </w:r>
      <w:r w:rsidR="003762DC" w:rsidRPr="00234739">
        <w:rPr>
          <w:color w:val="auto"/>
          <w:bdr w:val="none" w:sz="0" w:space="0" w:color="auto"/>
          <w:lang w:val="en-US"/>
        </w:rPr>
        <w:t xml:space="preserve">, </w:t>
      </w:r>
      <w:r w:rsidR="008C679C">
        <w:rPr>
          <w:color w:val="auto"/>
          <w:bdr w:val="none" w:sz="0" w:space="0" w:color="auto"/>
          <w:lang w:val="en-US"/>
        </w:rPr>
        <w:t>(</w:t>
      </w:r>
      <w:r w:rsidR="003762DC" w:rsidRPr="00234739">
        <w:rPr>
          <w:color w:val="auto"/>
          <w:bdr w:val="none" w:sz="0" w:space="0" w:color="auto"/>
          <w:lang w:val="en-US"/>
        </w:rPr>
        <w:t>g</w:t>
      </w:r>
      <w:r w:rsidR="008C679C">
        <w:rPr>
          <w:color w:val="auto"/>
          <w:bdr w:val="none" w:sz="0" w:space="0" w:color="auto"/>
          <w:lang w:val="en-US"/>
        </w:rPr>
        <w:t>)</w:t>
      </w:r>
      <w:r w:rsidR="003762DC" w:rsidRPr="00234739">
        <w:rPr>
          <w:color w:val="auto"/>
          <w:bdr w:val="none" w:sz="0" w:space="0" w:color="auto"/>
          <w:lang w:val="en-US"/>
        </w:rPr>
        <w:t xml:space="preserve">, </w:t>
      </w:r>
      <w:r w:rsidR="008C679C">
        <w:rPr>
          <w:color w:val="auto"/>
          <w:bdr w:val="none" w:sz="0" w:space="0" w:color="auto"/>
          <w:lang w:val="en-US"/>
        </w:rPr>
        <w:t>(</w:t>
      </w:r>
      <w:r w:rsidR="003762DC" w:rsidRPr="00234739">
        <w:rPr>
          <w:color w:val="auto"/>
          <w:bdr w:val="none" w:sz="0" w:space="0" w:color="auto"/>
          <w:lang w:val="en-US"/>
        </w:rPr>
        <w:t>n</w:t>
      </w:r>
      <w:r w:rsidR="008C679C">
        <w:rPr>
          <w:color w:val="auto"/>
          <w:bdr w:val="none" w:sz="0" w:space="0" w:color="auto"/>
          <w:lang w:val="en-US"/>
        </w:rPr>
        <w:t>)</w:t>
      </w:r>
      <w:r w:rsidR="00234739">
        <w:rPr>
          <w:color w:val="auto"/>
          <w:bdr w:val="none" w:sz="0" w:space="0" w:color="auto"/>
          <w:lang w:val="en-US"/>
        </w:rPr>
        <w:t xml:space="preserve">, and </w:t>
      </w:r>
      <w:r w:rsidR="008C679C">
        <w:rPr>
          <w:color w:val="auto"/>
          <w:bdr w:val="none" w:sz="0" w:space="0" w:color="auto"/>
          <w:lang w:val="en-US"/>
        </w:rPr>
        <w:t>(</w:t>
      </w:r>
      <w:r w:rsidR="003762DC" w:rsidRPr="00234739">
        <w:rPr>
          <w:color w:val="auto"/>
          <w:bdr w:val="none" w:sz="0" w:space="0" w:color="auto"/>
          <w:lang w:val="en-US"/>
        </w:rPr>
        <w:t>p</w:t>
      </w:r>
      <w:r w:rsidR="008C679C">
        <w:rPr>
          <w:color w:val="auto"/>
          <w:bdr w:val="none" w:sz="0" w:space="0" w:color="auto"/>
          <w:lang w:val="en-US"/>
        </w:rPr>
        <w:t>)</w:t>
      </w:r>
      <w:r w:rsidR="00234739">
        <w:rPr>
          <w:color w:val="auto"/>
          <w:bdr w:val="none" w:sz="0" w:space="0" w:color="auto"/>
          <w:lang w:val="en-US"/>
        </w:rPr>
        <w:t xml:space="preserve">, of Law No. </w:t>
      </w:r>
      <w:r w:rsidR="008437AB" w:rsidRPr="00234739">
        <w:rPr>
          <w:color w:val="auto"/>
          <w:bdr w:val="none" w:sz="0" w:space="0" w:color="auto"/>
          <w:lang w:val="en-US"/>
        </w:rPr>
        <w:t>1084</w:t>
      </w:r>
      <w:r w:rsidR="00234739">
        <w:rPr>
          <w:color w:val="auto"/>
          <w:bdr w:val="none" w:sz="0" w:space="0" w:color="auto"/>
          <w:lang w:val="en-US"/>
        </w:rPr>
        <w:t>, the contents of which were transcribed in paragraphs.</w:t>
      </w:r>
      <w:r w:rsidR="00E0001C" w:rsidRPr="00766381">
        <w:rPr>
          <w:rStyle w:val="FootnoteReference"/>
          <w:color w:val="auto"/>
          <w:bdr w:val="none" w:sz="0" w:space="0" w:color="auto"/>
        </w:rPr>
        <w:footnoteReference w:id="5"/>
      </w:r>
    </w:p>
    <w:p w14:paraId="232927CA" w14:textId="77777777" w:rsidR="004E692B" w:rsidRPr="00234739" w:rsidRDefault="004E692B" w:rsidP="004E692B">
      <w:pPr>
        <w:pStyle w:val="parrafos"/>
        <w:numPr>
          <w:ilvl w:val="0"/>
          <w:numId w:val="0"/>
        </w:numPr>
        <w:rPr>
          <w:color w:val="auto"/>
          <w:lang w:val="en-US"/>
        </w:rPr>
      </w:pPr>
    </w:p>
    <w:p w14:paraId="7CE82953" w14:textId="77777777" w:rsidR="004E692B" w:rsidRPr="00234739" w:rsidRDefault="00234739" w:rsidP="008437AB">
      <w:pPr>
        <w:pStyle w:val="parrafos"/>
        <w:rPr>
          <w:color w:val="auto"/>
          <w:lang w:val="en-US"/>
        </w:rPr>
      </w:pPr>
      <w:r w:rsidRPr="00234739">
        <w:rPr>
          <w:color w:val="auto"/>
          <w:lang w:val="en-US"/>
        </w:rPr>
        <w:t>Specifically, the complaint indicated that</w:t>
      </w:r>
      <w:r w:rsidR="004E692B" w:rsidRPr="00234739">
        <w:rPr>
          <w:color w:val="auto"/>
          <w:lang w:val="en-US"/>
        </w:rPr>
        <w:t>:</w:t>
      </w:r>
    </w:p>
    <w:p w14:paraId="71865726" w14:textId="77777777" w:rsidR="004E692B" w:rsidRPr="00234739" w:rsidRDefault="004E692B" w:rsidP="004E692B">
      <w:pPr>
        <w:pStyle w:val="ListParagraph"/>
        <w:rPr>
          <w:color w:val="auto"/>
          <w:lang w:val="en-US"/>
        </w:rPr>
      </w:pPr>
    </w:p>
    <w:p w14:paraId="49CA52B4" w14:textId="77777777" w:rsidR="004E692B" w:rsidRPr="00234739" w:rsidRDefault="00234739" w:rsidP="00C8793C">
      <w:pPr>
        <w:pStyle w:val="parrafos"/>
        <w:numPr>
          <w:ilvl w:val="0"/>
          <w:numId w:val="0"/>
        </w:numPr>
        <w:ind w:left="720" w:right="720"/>
        <w:rPr>
          <w:color w:val="auto"/>
          <w:lang w:val="en-US"/>
        </w:rPr>
      </w:pPr>
      <w:r w:rsidRPr="00234739">
        <w:rPr>
          <w:color w:val="auto"/>
          <w:lang w:val="en-US"/>
        </w:rPr>
        <w:t xml:space="preserve">The prosecutor has carried out his investigation in Case </w:t>
      </w:r>
      <w:r w:rsidR="004E692B" w:rsidRPr="00234739">
        <w:rPr>
          <w:color w:val="auto"/>
          <w:lang w:val="en-US"/>
        </w:rPr>
        <w:t xml:space="preserve">9936 </w:t>
      </w:r>
      <w:r w:rsidRPr="00234739">
        <w:rPr>
          <w:color w:val="auto"/>
          <w:lang w:val="en-US"/>
        </w:rPr>
        <w:t>by means of acts that border on criminal illegality, by offering benefits related to</w:t>
      </w:r>
      <w:r>
        <w:rPr>
          <w:color w:val="auto"/>
          <w:lang w:val="en-US"/>
        </w:rPr>
        <w:t xml:space="preserve"> procedures </w:t>
      </w:r>
      <w:r w:rsidRPr="00234739">
        <w:rPr>
          <w:color w:val="auto"/>
          <w:lang w:val="en-US"/>
        </w:rPr>
        <w:t xml:space="preserve">(abbreviated proceedings, suspension of the case) and/or </w:t>
      </w:r>
      <w:r>
        <w:rPr>
          <w:color w:val="auto"/>
          <w:lang w:val="en-US"/>
        </w:rPr>
        <w:t>penalties</w:t>
      </w:r>
      <w:r w:rsidR="004E692B" w:rsidRPr="00234739">
        <w:rPr>
          <w:color w:val="auto"/>
          <w:lang w:val="en-US"/>
        </w:rPr>
        <w:t xml:space="preserve"> (</w:t>
      </w:r>
      <w:r>
        <w:rPr>
          <w:color w:val="auto"/>
          <w:lang w:val="en-US"/>
        </w:rPr>
        <w:t>lighter punishment</w:t>
      </w:r>
      <w:r w:rsidR="004E692B" w:rsidRPr="00234739">
        <w:rPr>
          <w:color w:val="auto"/>
          <w:lang w:val="en-US"/>
        </w:rPr>
        <w:t xml:space="preserve">) </w:t>
      </w:r>
      <w:r>
        <w:rPr>
          <w:color w:val="auto"/>
          <w:lang w:val="en-US"/>
        </w:rPr>
        <w:t>in exchange for some statement that would involve third parties, without regard for whether it is true….</w:t>
      </w:r>
    </w:p>
    <w:p w14:paraId="71D38DA4" w14:textId="77777777" w:rsidR="004E692B" w:rsidRPr="00234739" w:rsidRDefault="004E692B" w:rsidP="00C8793C">
      <w:pPr>
        <w:pStyle w:val="parrafos"/>
        <w:numPr>
          <w:ilvl w:val="0"/>
          <w:numId w:val="0"/>
        </w:numPr>
        <w:ind w:left="720" w:right="720"/>
        <w:rPr>
          <w:color w:val="auto"/>
          <w:lang w:val="en-US"/>
        </w:rPr>
      </w:pPr>
    </w:p>
    <w:p w14:paraId="5BEDCD01" w14:textId="77777777" w:rsidR="008657C9" w:rsidRPr="00D340C4" w:rsidRDefault="00234739" w:rsidP="00C8793C">
      <w:pPr>
        <w:pStyle w:val="parrafos"/>
        <w:numPr>
          <w:ilvl w:val="0"/>
          <w:numId w:val="0"/>
        </w:numPr>
        <w:ind w:left="720" w:right="720"/>
        <w:rPr>
          <w:color w:val="auto"/>
          <w:lang w:val="en-US"/>
        </w:rPr>
      </w:pPr>
      <w:r w:rsidRPr="00D340C4">
        <w:rPr>
          <w:color w:val="auto"/>
          <w:lang w:val="en-US"/>
        </w:rPr>
        <w:t xml:space="preserve">That in </w:t>
      </w:r>
      <w:r w:rsidR="003B5EDB">
        <w:rPr>
          <w:color w:val="auto"/>
          <w:lang w:val="en-US"/>
        </w:rPr>
        <w:t>the steps he took,</w:t>
      </w:r>
      <w:r w:rsidRPr="00D340C4">
        <w:rPr>
          <w:color w:val="auto"/>
          <w:lang w:val="en-US"/>
        </w:rPr>
        <w:t xml:space="preserve"> Prosecutor </w:t>
      </w:r>
      <w:r w:rsidR="004E692B" w:rsidRPr="00D340C4">
        <w:rPr>
          <w:color w:val="auto"/>
          <w:lang w:val="en-US"/>
        </w:rPr>
        <w:t xml:space="preserve">Nissen </w:t>
      </w:r>
      <w:r w:rsidRPr="00D340C4">
        <w:rPr>
          <w:color w:val="auto"/>
          <w:lang w:val="en-US"/>
        </w:rPr>
        <w:t xml:space="preserve">never </w:t>
      </w:r>
      <w:r w:rsidR="004E692B" w:rsidRPr="00D340C4">
        <w:rPr>
          <w:color w:val="auto"/>
          <w:lang w:val="en-US"/>
        </w:rPr>
        <w:t>investig</w:t>
      </w:r>
      <w:r w:rsidRPr="00D340C4">
        <w:rPr>
          <w:color w:val="auto"/>
          <w:lang w:val="en-US"/>
        </w:rPr>
        <w:t>ated exculpatory facts</w:t>
      </w:r>
      <w:r w:rsidR="003B5EDB">
        <w:rPr>
          <w:color w:val="auto"/>
          <w:lang w:val="en-US"/>
        </w:rPr>
        <w:t>;</w:t>
      </w:r>
      <w:r w:rsidRPr="00D340C4">
        <w:rPr>
          <w:color w:val="auto"/>
          <w:lang w:val="en-US"/>
        </w:rPr>
        <w:t xml:space="preserve"> despite having the obligation</w:t>
      </w:r>
      <w:r w:rsidR="003B5EDB">
        <w:rPr>
          <w:color w:val="auto"/>
          <w:lang w:val="en-US"/>
        </w:rPr>
        <w:t xml:space="preserve"> under this circumstance</w:t>
      </w:r>
      <w:r w:rsidR="00D340C4" w:rsidRPr="00D340C4">
        <w:rPr>
          <w:color w:val="auto"/>
          <w:lang w:val="en-US"/>
        </w:rPr>
        <w:t xml:space="preserve">, he shows such a serious lack of objectivity that in </w:t>
      </w:r>
      <w:r w:rsidR="003B5EDB">
        <w:rPr>
          <w:color w:val="auto"/>
          <w:lang w:val="en-US"/>
        </w:rPr>
        <w:t>reference</w:t>
      </w:r>
      <w:r w:rsidR="00D340C4" w:rsidRPr="00D340C4">
        <w:rPr>
          <w:color w:val="auto"/>
          <w:lang w:val="en-US"/>
        </w:rPr>
        <w:t xml:space="preserve"> to the accused he </w:t>
      </w:r>
      <w:r w:rsidR="003B5EDB">
        <w:rPr>
          <w:color w:val="auto"/>
          <w:lang w:val="en-US"/>
        </w:rPr>
        <w:t>refers to</w:t>
      </w:r>
      <w:r w:rsidR="00D340C4" w:rsidRPr="00D340C4">
        <w:rPr>
          <w:color w:val="auto"/>
          <w:lang w:val="en-US"/>
        </w:rPr>
        <w:t xml:space="preserve">…persons who have swindled the country (Notice of detention of the accused </w:t>
      </w:r>
      <w:r w:rsidR="008657C9" w:rsidRPr="00D340C4">
        <w:rPr>
          <w:color w:val="auto"/>
          <w:lang w:val="en-US"/>
        </w:rPr>
        <w:t xml:space="preserve">Lucio Sánchez, </w:t>
      </w:r>
      <w:r w:rsidR="00D340C4">
        <w:rPr>
          <w:color w:val="auto"/>
          <w:lang w:val="en-US"/>
        </w:rPr>
        <w:t xml:space="preserve">request for precautionary measure, Order No. </w:t>
      </w:r>
      <w:r w:rsidR="008657C9" w:rsidRPr="00D340C4">
        <w:rPr>
          <w:color w:val="auto"/>
          <w:lang w:val="en-US"/>
        </w:rPr>
        <w:t xml:space="preserve">23 </w:t>
      </w:r>
      <w:r w:rsidR="00D340C4">
        <w:rPr>
          <w:color w:val="auto"/>
          <w:lang w:val="en-US"/>
        </w:rPr>
        <w:t xml:space="preserve">of February </w:t>
      </w:r>
      <w:r w:rsidR="008657C9" w:rsidRPr="00D340C4">
        <w:rPr>
          <w:color w:val="auto"/>
          <w:lang w:val="en-US"/>
        </w:rPr>
        <w:t>7</w:t>
      </w:r>
      <w:r w:rsidR="00D340C4">
        <w:rPr>
          <w:color w:val="auto"/>
          <w:lang w:val="en-US"/>
        </w:rPr>
        <w:t>,</w:t>
      </w:r>
      <w:r w:rsidR="008657C9" w:rsidRPr="00D340C4">
        <w:rPr>
          <w:color w:val="auto"/>
          <w:lang w:val="en-US"/>
        </w:rPr>
        <w:t xml:space="preserve"> 2002</w:t>
      </w:r>
      <w:r w:rsidR="00D340C4">
        <w:rPr>
          <w:color w:val="auto"/>
          <w:lang w:val="en-US"/>
        </w:rPr>
        <w:t>)…</w:t>
      </w:r>
      <w:r w:rsidR="003B5EDB">
        <w:rPr>
          <w:color w:val="auto"/>
          <w:lang w:val="en-US"/>
        </w:rPr>
        <w:t>.</w:t>
      </w:r>
      <w:r w:rsidR="00D340C4">
        <w:rPr>
          <w:color w:val="auto"/>
          <w:lang w:val="en-US"/>
        </w:rPr>
        <w:t xml:space="preserve"> </w:t>
      </w:r>
    </w:p>
    <w:p w14:paraId="4CDE8617" w14:textId="77777777" w:rsidR="008657C9" w:rsidRPr="00D340C4" w:rsidRDefault="008657C9" w:rsidP="00C8793C">
      <w:pPr>
        <w:pStyle w:val="parrafos"/>
        <w:numPr>
          <w:ilvl w:val="0"/>
          <w:numId w:val="0"/>
        </w:numPr>
        <w:ind w:left="720" w:right="720"/>
        <w:rPr>
          <w:color w:val="auto"/>
          <w:lang w:val="en-US"/>
        </w:rPr>
      </w:pPr>
    </w:p>
    <w:p w14:paraId="0FCAFB52" w14:textId="77777777" w:rsidR="004E692B" w:rsidRPr="00574840" w:rsidRDefault="00574840" w:rsidP="00C8793C">
      <w:pPr>
        <w:pStyle w:val="parrafos"/>
        <w:numPr>
          <w:ilvl w:val="0"/>
          <w:numId w:val="0"/>
        </w:numPr>
        <w:ind w:left="720" w:right="720"/>
        <w:rPr>
          <w:color w:val="auto"/>
          <w:lang w:val="en-US"/>
        </w:rPr>
      </w:pPr>
      <w:r w:rsidRPr="00574840">
        <w:rPr>
          <w:color w:val="auto"/>
          <w:lang w:val="en-US"/>
        </w:rPr>
        <w:t xml:space="preserve">The </w:t>
      </w:r>
      <w:r>
        <w:rPr>
          <w:color w:val="auto"/>
          <w:lang w:val="en-US"/>
        </w:rPr>
        <w:t xml:space="preserve">use of acts of intimidation </w:t>
      </w:r>
      <w:r w:rsidRPr="00574840">
        <w:rPr>
          <w:color w:val="auto"/>
          <w:lang w:val="en-US"/>
        </w:rPr>
        <w:t xml:space="preserve">such as the threat of </w:t>
      </w:r>
      <w:r>
        <w:rPr>
          <w:color w:val="auto"/>
          <w:lang w:val="en-US"/>
        </w:rPr>
        <w:t>higher</w:t>
      </w:r>
      <w:r w:rsidRPr="00574840">
        <w:rPr>
          <w:color w:val="auto"/>
          <w:lang w:val="en-US"/>
        </w:rPr>
        <w:t xml:space="preserve"> penalties for not </w:t>
      </w:r>
      <w:r w:rsidR="003B5EDB">
        <w:rPr>
          <w:color w:val="auto"/>
          <w:lang w:val="en-US"/>
        </w:rPr>
        <w:t>cooperating</w:t>
      </w:r>
      <w:r w:rsidRPr="00574840">
        <w:rPr>
          <w:color w:val="auto"/>
          <w:lang w:val="en-US"/>
        </w:rPr>
        <w:t xml:space="preserve"> with him also represents a lack of objectivit</w:t>
      </w:r>
      <w:r>
        <w:rPr>
          <w:color w:val="auto"/>
          <w:lang w:val="en-US"/>
        </w:rPr>
        <w:t xml:space="preserve">y…. </w:t>
      </w:r>
    </w:p>
    <w:p w14:paraId="79183FE5" w14:textId="77777777" w:rsidR="00625A4F" w:rsidRPr="00574840" w:rsidRDefault="00625A4F" w:rsidP="00C8793C">
      <w:pPr>
        <w:pStyle w:val="parrafos"/>
        <w:numPr>
          <w:ilvl w:val="0"/>
          <w:numId w:val="0"/>
        </w:numPr>
        <w:ind w:left="720" w:right="720"/>
        <w:rPr>
          <w:color w:val="auto"/>
          <w:lang w:val="en-US"/>
        </w:rPr>
      </w:pPr>
      <w:r w:rsidRPr="00574840">
        <w:rPr>
          <w:color w:val="auto"/>
          <w:lang w:val="en-US"/>
        </w:rPr>
        <w:t xml:space="preserve"> </w:t>
      </w:r>
    </w:p>
    <w:p w14:paraId="32581C7E" w14:textId="77777777" w:rsidR="00625A4F" w:rsidRPr="00872B99" w:rsidRDefault="00574840" w:rsidP="00C8793C">
      <w:pPr>
        <w:pStyle w:val="parrafos"/>
        <w:numPr>
          <w:ilvl w:val="0"/>
          <w:numId w:val="0"/>
        </w:numPr>
        <w:ind w:left="720" w:right="720"/>
        <w:rPr>
          <w:color w:val="auto"/>
          <w:lang w:val="en-US"/>
        </w:rPr>
      </w:pPr>
      <w:r w:rsidRPr="00574840">
        <w:rPr>
          <w:color w:val="auto"/>
          <w:lang w:val="en-US"/>
        </w:rPr>
        <w:t>He applies the money laundering law where it</w:t>
      </w:r>
      <w:r>
        <w:rPr>
          <w:color w:val="auto"/>
          <w:lang w:val="en-US"/>
        </w:rPr>
        <w:t xml:space="preserve"> is not appropriate. This can be noted in the “collaborations.” </w:t>
      </w:r>
      <w:r w:rsidRPr="00574840">
        <w:rPr>
          <w:color w:val="auto"/>
          <w:lang w:val="en-US"/>
        </w:rPr>
        <w:t>In the abbreviated proceeding and at th</w:t>
      </w:r>
      <w:r>
        <w:rPr>
          <w:color w:val="auto"/>
          <w:lang w:val="en-US"/>
        </w:rPr>
        <w:t xml:space="preserve">e </w:t>
      </w:r>
      <w:r w:rsidR="003B5EDB">
        <w:rPr>
          <w:color w:val="auto"/>
          <w:lang w:val="en-US"/>
        </w:rPr>
        <w:t>start</w:t>
      </w:r>
      <w:r>
        <w:rPr>
          <w:color w:val="auto"/>
          <w:lang w:val="en-US"/>
        </w:rPr>
        <w:t xml:space="preserve"> of the </w:t>
      </w:r>
      <w:r w:rsidR="003B5EDB">
        <w:rPr>
          <w:color w:val="auto"/>
          <w:lang w:val="en-US"/>
        </w:rPr>
        <w:t>statements</w:t>
      </w:r>
      <w:r>
        <w:rPr>
          <w:color w:val="auto"/>
          <w:lang w:val="en-US"/>
        </w:rPr>
        <w:t xml:space="preserve">, which constitutes </w:t>
      </w:r>
      <w:r w:rsidR="001D60A3">
        <w:rPr>
          <w:color w:val="auto"/>
          <w:lang w:val="en-US"/>
        </w:rPr>
        <w:t>recurring</w:t>
      </w:r>
      <w:r>
        <w:rPr>
          <w:color w:val="auto"/>
          <w:lang w:val="en-US"/>
        </w:rPr>
        <w:t xml:space="preserve"> ignorance in the application of laws….</w:t>
      </w:r>
      <w:r w:rsidR="00625A4F" w:rsidRPr="00574840">
        <w:rPr>
          <w:color w:val="auto"/>
          <w:lang w:val="en-US"/>
        </w:rPr>
        <w:t xml:space="preserve"> </w:t>
      </w:r>
    </w:p>
    <w:p w14:paraId="7949E19D" w14:textId="77777777" w:rsidR="00427B5B" w:rsidRPr="00872B99" w:rsidRDefault="00427B5B" w:rsidP="00C8793C">
      <w:pPr>
        <w:pStyle w:val="parrafos"/>
        <w:numPr>
          <w:ilvl w:val="0"/>
          <w:numId w:val="0"/>
        </w:numPr>
        <w:ind w:left="720" w:right="720"/>
        <w:rPr>
          <w:color w:val="auto"/>
          <w:lang w:val="en-US"/>
        </w:rPr>
      </w:pPr>
    </w:p>
    <w:p w14:paraId="22614E0E" w14:textId="77777777" w:rsidR="00625A4F" w:rsidRPr="00415547" w:rsidRDefault="00574840" w:rsidP="00C8793C">
      <w:pPr>
        <w:pStyle w:val="parrafos"/>
        <w:numPr>
          <w:ilvl w:val="0"/>
          <w:numId w:val="0"/>
        </w:numPr>
        <w:ind w:left="720" w:right="720"/>
        <w:rPr>
          <w:color w:val="auto"/>
          <w:lang w:val="en-US"/>
        </w:rPr>
      </w:pPr>
      <w:r w:rsidRPr="00415547">
        <w:rPr>
          <w:color w:val="auto"/>
          <w:lang w:val="en-US"/>
        </w:rPr>
        <w:t xml:space="preserve">The </w:t>
      </w:r>
      <w:r w:rsidR="001D60A3">
        <w:rPr>
          <w:color w:val="auto"/>
          <w:lang w:val="en-US"/>
        </w:rPr>
        <w:t>information</w:t>
      </w:r>
      <w:r w:rsidRPr="00415547">
        <w:rPr>
          <w:color w:val="auto"/>
          <w:lang w:val="en-US"/>
        </w:rPr>
        <w:t xml:space="preserve"> and statements </w:t>
      </w:r>
      <w:r w:rsidR="001D60A3">
        <w:rPr>
          <w:color w:val="auto"/>
          <w:lang w:val="en-US"/>
        </w:rPr>
        <w:t>provided</w:t>
      </w:r>
      <w:r w:rsidRPr="00415547">
        <w:rPr>
          <w:color w:val="auto"/>
          <w:lang w:val="en-US"/>
        </w:rPr>
        <w:t xml:space="preserve"> by Prosecutor </w:t>
      </w:r>
      <w:r w:rsidR="00625A4F" w:rsidRPr="00415547">
        <w:rPr>
          <w:color w:val="auto"/>
          <w:lang w:val="en-US"/>
        </w:rPr>
        <w:t>Alejandro Nissen</w:t>
      </w:r>
      <w:r w:rsidRPr="00415547">
        <w:rPr>
          <w:color w:val="auto"/>
          <w:lang w:val="en-US"/>
        </w:rPr>
        <w:t xml:space="preserve"> with regard to Cases </w:t>
      </w:r>
      <w:r w:rsidR="00625A4F" w:rsidRPr="00415547">
        <w:rPr>
          <w:color w:val="auto"/>
          <w:lang w:val="en-US"/>
        </w:rPr>
        <w:t xml:space="preserve">9936 </w:t>
      </w:r>
      <w:r w:rsidRPr="00415547">
        <w:rPr>
          <w:color w:val="auto"/>
          <w:lang w:val="en-US"/>
        </w:rPr>
        <w:t>and</w:t>
      </w:r>
      <w:r w:rsidR="00625A4F" w:rsidRPr="00415547">
        <w:rPr>
          <w:color w:val="auto"/>
          <w:lang w:val="en-US"/>
        </w:rPr>
        <w:t xml:space="preserve"> 1534 </w:t>
      </w:r>
      <w:r w:rsidRPr="00415547">
        <w:rPr>
          <w:color w:val="auto"/>
          <w:lang w:val="en-US"/>
        </w:rPr>
        <w:t>are innumerable</w:t>
      </w:r>
      <w:r w:rsidR="001D60A3">
        <w:rPr>
          <w:color w:val="auto"/>
          <w:lang w:val="en-US"/>
        </w:rPr>
        <w:t>;</w:t>
      </w:r>
      <w:r w:rsidRPr="00415547">
        <w:rPr>
          <w:color w:val="auto"/>
          <w:lang w:val="en-US"/>
        </w:rPr>
        <w:t xml:space="preserve"> </w:t>
      </w:r>
      <w:r w:rsidR="001D60A3">
        <w:rPr>
          <w:color w:val="auto"/>
          <w:lang w:val="en-US"/>
        </w:rPr>
        <w:t>the particulars</w:t>
      </w:r>
      <w:r w:rsidR="00415547" w:rsidRPr="00415547">
        <w:rPr>
          <w:color w:val="auto"/>
          <w:lang w:val="en-US"/>
        </w:rPr>
        <w:t xml:space="preserve"> can be corroborated simply by requesting</w:t>
      </w:r>
      <w:r w:rsidRPr="00415547">
        <w:rPr>
          <w:color w:val="auto"/>
          <w:lang w:val="en-US"/>
        </w:rPr>
        <w:t xml:space="preserve"> newspaper</w:t>
      </w:r>
      <w:r w:rsidR="004F5618">
        <w:rPr>
          <w:color w:val="auto"/>
          <w:lang w:val="en-US"/>
        </w:rPr>
        <w:t xml:space="preserve"> edition</w:t>
      </w:r>
      <w:r w:rsidRPr="00415547">
        <w:rPr>
          <w:color w:val="auto"/>
          <w:lang w:val="en-US"/>
        </w:rPr>
        <w:t xml:space="preserve">s and tapes from </w:t>
      </w:r>
      <w:r w:rsidR="00415547" w:rsidRPr="00415547">
        <w:rPr>
          <w:color w:val="auto"/>
          <w:lang w:val="en-US"/>
        </w:rPr>
        <w:t>television stations, in all cases the information affects the honor, the reputation</w:t>
      </w:r>
      <w:r w:rsidR="00415547">
        <w:rPr>
          <w:color w:val="auto"/>
          <w:lang w:val="en-US"/>
        </w:rPr>
        <w:t>,</w:t>
      </w:r>
      <w:r w:rsidR="00415547" w:rsidRPr="00415547">
        <w:rPr>
          <w:color w:val="auto"/>
          <w:lang w:val="en-US"/>
        </w:rPr>
        <w:t xml:space="preserve"> the presumption of innocence both of me personally, as well as the others who are accused….</w:t>
      </w:r>
      <w:r w:rsidR="00427B5B" w:rsidRPr="00415547">
        <w:rPr>
          <w:color w:val="auto"/>
          <w:lang w:val="en-US"/>
        </w:rPr>
        <w:t>”</w:t>
      </w:r>
      <w:r w:rsidR="00F923A6" w:rsidRPr="00766381">
        <w:rPr>
          <w:rStyle w:val="FootnoteReference"/>
          <w:color w:val="auto"/>
          <w:lang w:val="es-ES_tradnl"/>
        </w:rPr>
        <w:footnoteReference w:id="6"/>
      </w:r>
    </w:p>
    <w:p w14:paraId="09FC390B" w14:textId="77777777" w:rsidR="00427B5B" w:rsidRPr="00415547" w:rsidRDefault="00427B5B" w:rsidP="008437AB">
      <w:pPr>
        <w:pStyle w:val="parrafos"/>
        <w:numPr>
          <w:ilvl w:val="0"/>
          <w:numId w:val="0"/>
        </w:numPr>
        <w:rPr>
          <w:color w:val="auto"/>
          <w:lang w:val="en-US"/>
        </w:rPr>
      </w:pPr>
    </w:p>
    <w:p w14:paraId="2C251930" w14:textId="77777777" w:rsidR="001B4A50" w:rsidRPr="00415547" w:rsidRDefault="00415547" w:rsidP="00A02ACB">
      <w:pPr>
        <w:pStyle w:val="parrafos"/>
        <w:rPr>
          <w:color w:val="auto"/>
          <w:lang w:val="en-US"/>
        </w:rPr>
      </w:pPr>
      <w:r w:rsidRPr="00415547">
        <w:rPr>
          <w:color w:val="auto"/>
          <w:bdr w:val="none" w:sz="0" w:space="0" w:color="auto"/>
          <w:lang w:val="en-US"/>
        </w:rPr>
        <w:t xml:space="preserve">As the records in the case file indicate, the Jury for the Prosecution that signed the </w:t>
      </w:r>
      <w:r w:rsidR="006F0A3C">
        <w:rPr>
          <w:color w:val="auto"/>
          <w:bdr w:val="none" w:sz="0" w:space="0" w:color="auto"/>
          <w:lang w:val="en-US"/>
        </w:rPr>
        <w:t>sanction</w:t>
      </w:r>
      <w:r w:rsidRPr="00415547">
        <w:rPr>
          <w:color w:val="auto"/>
          <w:bdr w:val="none" w:sz="0" w:space="0" w:color="auto"/>
          <w:lang w:val="en-US"/>
        </w:rPr>
        <w:t xml:space="preserve"> decision was made up of </w:t>
      </w:r>
      <w:r>
        <w:rPr>
          <w:color w:val="auto"/>
          <w:bdr w:val="none" w:sz="0" w:space="0" w:color="auto"/>
          <w:lang w:val="en-US"/>
        </w:rPr>
        <w:t xml:space="preserve">associate justices </w:t>
      </w:r>
      <w:r w:rsidR="00702385" w:rsidRPr="00415547">
        <w:rPr>
          <w:color w:val="auto"/>
          <w:bdr w:val="none" w:sz="0" w:space="0" w:color="auto"/>
          <w:lang w:val="en-US"/>
        </w:rPr>
        <w:t>Marcelino Gauto Bejarano, Luis Caballero</w:t>
      </w:r>
      <w:r w:rsidR="003A5DB9" w:rsidRPr="00415547">
        <w:rPr>
          <w:color w:val="auto"/>
          <w:bdr w:val="none" w:sz="0" w:space="0" w:color="auto"/>
          <w:lang w:val="en-US"/>
        </w:rPr>
        <w:t xml:space="preserve"> </w:t>
      </w:r>
      <w:r w:rsidR="00702385" w:rsidRPr="00415547">
        <w:rPr>
          <w:color w:val="auto"/>
          <w:bdr w:val="none" w:sz="0" w:space="0" w:color="auto"/>
          <w:lang w:val="en-US"/>
        </w:rPr>
        <w:t>Krauer, Esteban Samaniego Aleman, Francisco José de Vargas, Luis Mendoza Correa</w:t>
      </w:r>
      <w:r>
        <w:rPr>
          <w:color w:val="auto"/>
          <w:bdr w:val="none" w:sz="0" w:space="0" w:color="auto"/>
          <w:lang w:val="en-US"/>
        </w:rPr>
        <w:t xml:space="preserve">, and </w:t>
      </w:r>
      <w:r w:rsidR="001B4A50" w:rsidRPr="00415547">
        <w:rPr>
          <w:color w:val="auto"/>
          <w:bdr w:val="none" w:sz="0" w:space="0" w:color="auto"/>
          <w:lang w:val="en-US"/>
        </w:rPr>
        <w:t>Antonio Fretes</w:t>
      </w:r>
      <w:r>
        <w:rPr>
          <w:color w:val="auto"/>
          <w:bdr w:val="none" w:sz="0" w:space="0" w:color="auto"/>
          <w:lang w:val="en-US"/>
        </w:rPr>
        <w:t>.</w:t>
      </w:r>
      <w:r w:rsidR="001B4A50" w:rsidRPr="00766381">
        <w:rPr>
          <w:rStyle w:val="FootnoteReference"/>
          <w:color w:val="auto"/>
          <w:bdr w:val="none" w:sz="0" w:space="0" w:color="auto"/>
        </w:rPr>
        <w:footnoteReference w:id="7"/>
      </w:r>
      <w:r w:rsidR="00702385" w:rsidRPr="00415547">
        <w:rPr>
          <w:color w:val="auto"/>
          <w:bdr w:val="none" w:sz="0" w:space="0" w:color="auto"/>
          <w:lang w:val="en-US"/>
        </w:rPr>
        <w:t xml:space="preserve"> </w:t>
      </w:r>
    </w:p>
    <w:p w14:paraId="26441723" w14:textId="77777777" w:rsidR="001B4A50" w:rsidRPr="00415547" w:rsidRDefault="001B4A50" w:rsidP="001B4A50">
      <w:pPr>
        <w:pStyle w:val="ListParagraph"/>
        <w:rPr>
          <w:color w:val="auto"/>
          <w:bdr w:val="none" w:sz="0" w:space="0" w:color="auto"/>
          <w:lang w:val="en-US"/>
        </w:rPr>
      </w:pPr>
    </w:p>
    <w:p w14:paraId="1D38653F" w14:textId="77777777" w:rsidR="001B4A50" w:rsidRPr="00872B99" w:rsidRDefault="00872B99" w:rsidP="00A02ACB">
      <w:pPr>
        <w:pStyle w:val="parrafos"/>
        <w:rPr>
          <w:color w:val="auto"/>
          <w:lang w:val="en-US"/>
        </w:rPr>
      </w:pPr>
      <w:r w:rsidRPr="00872B99">
        <w:rPr>
          <w:color w:val="auto"/>
          <w:lang w:val="en-US"/>
        </w:rPr>
        <w:t>The Commission notes that it does not have the documentation related to the case pursued against the alleged</w:t>
      </w:r>
      <w:r>
        <w:rPr>
          <w:color w:val="auto"/>
          <w:lang w:val="en-US"/>
        </w:rPr>
        <w:t xml:space="preserve"> victim. </w:t>
      </w:r>
      <w:r w:rsidRPr="00872B99">
        <w:rPr>
          <w:color w:val="auto"/>
          <w:lang w:val="en-US"/>
        </w:rPr>
        <w:t xml:space="preserve">The decision of April </w:t>
      </w:r>
      <w:r w:rsidR="002E5D94" w:rsidRPr="00872B99">
        <w:rPr>
          <w:color w:val="auto"/>
          <w:lang w:val="en-US"/>
        </w:rPr>
        <w:t>7</w:t>
      </w:r>
      <w:r w:rsidRPr="00872B99">
        <w:rPr>
          <w:color w:val="auto"/>
          <w:lang w:val="en-US"/>
        </w:rPr>
        <w:t xml:space="preserve">, </w:t>
      </w:r>
      <w:r w:rsidR="002E5D94" w:rsidRPr="00872B99">
        <w:rPr>
          <w:color w:val="auto"/>
          <w:lang w:val="en-US"/>
        </w:rPr>
        <w:t xml:space="preserve">2003, </w:t>
      </w:r>
      <w:r w:rsidRPr="00872B99">
        <w:rPr>
          <w:color w:val="auto"/>
          <w:lang w:val="en-US"/>
        </w:rPr>
        <w:t xml:space="preserve">refers to some of the steps taken, statements provided, </w:t>
      </w:r>
      <w:r w:rsidR="0090396A">
        <w:rPr>
          <w:color w:val="auto"/>
          <w:lang w:val="en-US"/>
        </w:rPr>
        <w:t xml:space="preserve">and </w:t>
      </w:r>
      <w:r w:rsidRPr="00872B99">
        <w:rPr>
          <w:color w:val="auto"/>
          <w:lang w:val="en-US"/>
        </w:rPr>
        <w:t>documents and evidence submitted by the al</w:t>
      </w:r>
      <w:r>
        <w:rPr>
          <w:color w:val="auto"/>
          <w:lang w:val="en-US"/>
        </w:rPr>
        <w:t xml:space="preserve">leged victim prior to the ruling being issued. </w:t>
      </w:r>
    </w:p>
    <w:p w14:paraId="1790D8F6" w14:textId="77777777" w:rsidR="001B4A50" w:rsidRPr="00872B99" w:rsidRDefault="001B4A50" w:rsidP="001B4A50">
      <w:pPr>
        <w:pStyle w:val="ListParagraph"/>
        <w:rPr>
          <w:color w:val="auto"/>
          <w:bdr w:val="none" w:sz="0" w:space="0" w:color="auto"/>
          <w:lang w:val="en-US"/>
        </w:rPr>
      </w:pPr>
    </w:p>
    <w:p w14:paraId="2AE01C40" w14:textId="77777777" w:rsidR="002E5D94" w:rsidRPr="00D2301D" w:rsidRDefault="00872B99" w:rsidP="00A02ACB">
      <w:pPr>
        <w:pStyle w:val="parrafos"/>
        <w:rPr>
          <w:color w:val="auto"/>
          <w:lang w:val="en-US"/>
        </w:rPr>
      </w:pPr>
      <w:r w:rsidRPr="00D2301D">
        <w:rPr>
          <w:color w:val="auto"/>
          <w:bdr w:val="none" w:sz="0" w:space="0" w:color="auto"/>
          <w:lang w:val="en-US"/>
        </w:rPr>
        <w:t xml:space="preserve">On April </w:t>
      </w:r>
      <w:r w:rsidR="001B4A50" w:rsidRPr="00D2301D">
        <w:rPr>
          <w:color w:val="auto"/>
          <w:bdr w:val="none" w:sz="0" w:space="0" w:color="auto"/>
          <w:lang w:val="en-US"/>
        </w:rPr>
        <w:t>7</w:t>
      </w:r>
      <w:r w:rsidRPr="00D2301D">
        <w:rPr>
          <w:color w:val="auto"/>
          <w:bdr w:val="none" w:sz="0" w:space="0" w:color="auto"/>
          <w:lang w:val="en-US"/>
        </w:rPr>
        <w:t xml:space="preserve">, </w:t>
      </w:r>
      <w:r w:rsidR="001B4A50" w:rsidRPr="00D2301D">
        <w:rPr>
          <w:color w:val="auto"/>
          <w:bdr w:val="none" w:sz="0" w:space="0" w:color="auto"/>
          <w:lang w:val="en-US"/>
        </w:rPr>
        <w:t>2003</w:t>
      </w:r>
      <w:r w:rsidRPr="00D2301D">
        <w:rPr>
          <w:color w:val="auto"/>
          <w:bdr w:val="none" w:sz="0" w:space="0" w:color="auto"/>
          <w:lang w:val="en-US"/>
        </w:rPr>
        <w:t xml:space="preserve">, the </w:t>
      </w:r>
      <w:r w:rsidR="001B4A50" w:rsidRPr="00D2301D">
        <w:rPr>
          <w:color w:val="auto"/>
          <w:bdr w:val="none" w:sz="0" w:space="0" w:color="auto"/>
          <w:lang w:val="en-US"/>
        </w:rPr>
        <w:t xml:space="preserve">JEM </w:t>
      </w:r>
      <w:r w:rsidRPr="00D2301D">
        <w:rPr>
          <w:color w:val="auto"/>
          <w:bdr w:val="none" w:sz="0" w:space="0" w:color="auto"/>
          <w:lang w:val="en-US"/>
        </w:rPr>
        <w:t>determined that the</w:t>
      </w:r>
      <w:r w:rsidR="0090396A">
        <w:rPr>
          <w:color w:val="auto"/>
          <w:bdr w:val="none" w:sz="0" w:space="0" w:color="auto"/>
          <w:lang w:val="en-US"/>
        </w:rPr>
        <w:t xml:space="preserve"> grounds</w:t>
      </w:r>
      <w:r w:rsidRPr="00D2301D">
        <w:rPr>
          <w:color w:val="auto"/>
          <w:bdr w:val="none" w:sz="0" w:space="0" w:color="auto"/>
          <w:lang w:val="en-US"/>
        </w:rPr>
        <w:t xml:space="preserve"> </w:t>
      </w:r>
      <w:r w:rsidR="00D2301D" w:rsidRPr="00D2301D">
        <w:rPr>
          <w:color w:val="auto"/>
          <w:bdr w:val="none" w:sz="0" w:space="0" w:color="auto"/>
          <w:lang w:val="en-US"/>
        </w:rPr>
        <w:t>laid out in subparagraphs</w:t>
      </w:r>
      <w:r w:rsidR="001B4A50" w:rsidRPr="00D2301D">
        <w:rPr>
          <w:color w:val="auto"/>
          <w:bdr w:val="none" w:sz="0" w:space="0" w:color="auto"/>
          <w:lang w:val="en-US"/>
        </w:rPr>
        <w:t xml:space="preserve"> </w:t>
      </w:r>
      <w:r w:rsidR="008C679C">
        <w:rPr>
          <w:color w:val="auto"/>
          <w:bdr w:val="none" w:sz="0" w:space="0" w:color="auto"/>
          <w:lang w:val="en-US"/>
        </w:rPr>
        <w:t>(</w:t>
      </w:r>
      <w:r w:rsidR="001B4A50" w:rsidRPr="00D2301D">
        <w:rPr>
          <w:color w:val="auto"/>
          <w:bdr w:val="none" w:sz="0" w:space="0" w:color="auto"/>
          <w:lang w:val="en-US"/>
        </w:rPr>
        <w:t>b</w:t>
      </w:r>
      <w:r w:rsidR="008C679C">
        <w:rPr>
          <w:color w:val="auto"/>
          <w:bdr w:val="none" w:sz="0" w:space="0" w:color="auto"/>
          <w:lang w:val="en-US"/>
        </w:rPr>
        <w:t>)</w:t>
      </w:r>
      <w:r w:rsidR="001B4A50" w:rsidRPr="00D2301D">
        <w:rPr>
          <w:color w:val="auto"/>
          <w:bdr w:val="none" w:sz="0" w:space="0" w:color="auto"/>
          <w:lang w:val="en-US"/>
        </w:rPr>
        <w:t xml:space="preserve">, </w:t>
      </w:r>
      <w:r w:rsidR="008C679C">
        <w:rPr>
          <w:color w:val="auto"/>
          <w:bdr w:val="none" w:sz="0" w:space="0" w:color="auto"/>
          <w:lang w:val="en-US"/>
        </w:rPr>
        <w:t>(</w:t>
      </w:r>
      <w:r w:rsidR="001B4A50" w:rsidRPr="00D2301D">
        <w:rPr>
          <w:color w:val="auto"/>
          <w:bdr w:val="none" w:sz="0" w:space="0" w:color="auto"/>
          <w:lang w:val="en-US"/>
        </w:rPr>
        <w:t>g</w:t>
      </w:r>
      <w:r w:rsidR="008C679C">
        <w:rPr>
          <w:color w:val="auto"/>
          <w:bdr w:val="none" w:sz="0" w:space="0" w:color="auto"/>
          <w:lang w:val="en-US"/>
        </w:rPr>
        <w:t>)</w:t>
      </w:r>
      <w:r w:rsidR="00D2301D" w:rsidRPr="00D2301D">
        <w:rPr>
          <w:color w:val="auto"/>
          <w:bdr w:val="none" w:sz="0" w:space="0" w:color="auto"/>
          <w:lang w:val="en-US"/>
        </w:rPr>
        <w:t>,</w:t>
      </w:r>
      <w:r w:rsidR="001B4A50" w:rsidRPr="00D2301D">
        <w:rPr>
          <w:color w:val="auto"/>
          <w:bdr w:val="none" w:sz="0" w:space="0" w:color="auto"/>
          <w:lang w:val="en-US"/>
        </w:rPr>
        <w:t xml:space="preserve"> </w:t>
      </w:r>
      <w:r w:rsidR="008C679C">
        <w:rPr>
          <w:color w:val="auto"/>
          <w:bdr w:val="none" w:sz="0" w:space="0" w:color="auto"/>
          <w:lang w:val="en-US"/>
        </w:rPr>
        <w:t>(</w:t>
      </w:r>
      <w:r w:rsidR="001B4A50" w:rsidRPr="00D2301D">
        <w:rPr>
          <w:color w:val="auto"/>
          <w:bdr w:val="none" w:sz="0" w:space="0" w:color="auto"/>
          <w:lang w:val="en-US"/>
        </w:rPr>
        <w:t>y</w:t>
      </w:r>
      <w:r w:rsidR="008C679C">
        <w:rPr>
          <w:color w:val="auto"/>
          <w:bdr w:val="none" w:sz="0" w:space="0" w:color="auto"/>
          <w:lang w:val="en-US"/>
        </w:rPr>
        <w:t>)</w:t>
      </w:r>
      <w:r w:rsidR="00D2301D" w:rsidRPr="00D2301D">
        <w:rPr>
          <w:color w:val="auto"/>
          <w:bdr w:val="none" w:sz="0" w:space="0" w:color="auto"/>
          <w:lang w:val="en-US"/>
        </w:rPr>
        <w:t>,</w:t>
      </w:r>
      <w:r w:rsidR="001B4A50" w:rsidRPr="00D2301D">
        <w:rPr>
          <w:color w:val="auto"/>
          <w:bdr w:val="none" w:sz="0" w:space="0" w:color="auto"/>
          <w:lang w:val="en-US"/>
        </w:rPr>
        <w:t xml:space="preserve"> </w:t>
      </w:r>
      <w:r w:rsidR="00D2301D" w:rsidRPr="00D2301D">
        <w:rPr>
          <w:color w:val="auto"/>
          <w:bdr w:val="none" w:sz="0" w:space="0" w:color="auto"/>
          <w:lang w:val="en-US"/>
        </w:rPr>
        <w:t xml:space="preserve">and </w:t>
      </w:r>
      <w:r w:rsidR="008C679C">
        <w:rPr>
          <w:color w:val="auto"/>
          <w:bdr w:val="none" w:sz="0" w:space="0" w:color="auto"/>
          <w:lang w:val="en-US"/>
        </w:rPr>
        <w:t>(</w:t>
      </w:r>
      <w:r w:rsidR="001B4A50" w:rsidRPr="00D2301D">
        <w:rPr>
          <w:color w:val="auto"/>
          <w:bdr w:val="none" w:sz="0" w:space="0" w:color="auto"/>
          <w:lang w:val="en-US"/>
        </w:rPr>
        <w:t>n</w:t>
      </w:r>
      <w:r w:rsidR="008C679C">
        <w:rPr>
          <w:color w:val="auto"/>
          <w:bdr w:val="none" w:sz="0" w:space="0" w:color="auto"/>
          <w:lang w:val="en-US"/>
        </w:rPr>
        <w:t>)</w:t>
      </w:r>
      <w:r w:rsidR="001B4A50" w:rsidRPr="00D2301D">
        <w:rPr>
          <w:color w:val="auto"/>
          <w:bdr w:val="none" w:sz="0" w:space="0" w:color="auto"/>
          <w:lang w:val="en-US"/>
        </w:rPr>
        <w:t xml:space="preserve"> </w:t>
      </w:r>
      <w:r w:rsidR="00D2301D" w:rsidRPr="00D2301D">
        <w:rPr>
          <w:color w:val="auto"/>
          <w:bdr w:val="none" w:sz="0" w:space="0" w:color="auto"/>
          <w:lang w:val="en-US"/>
        </w:rPr>
        <w:t xml:space="preserve">of Article </w:t>
      </w:r>
      <w:r w:rsidR="001B4A50" w:rsidRPr="00D2301D">
        <w:rPr>
          <w:color w:val="auto"/>
          <w:bdr w:val="none" w:sz="0" w:space="0" w:color="auto"/>
          <w:lang w:val="en-US"/>
        </w:rPr>
        <w:t xml:space="preserve">14 </w:t>
      </w:r>
      <w:r w:rsidR="00D2301D" w:rsidRPr="00D2301D">
        <w:rPr>
          <w:color w:val="auto"/>
          <w:bdr w:val="none" w:sz="0" w:space="0" w:color="auto"/>
          <w:lang w:val="en-US"/>
        </w:rPr>
        <w:t>of Law No.</w:t>
      </w:r>
      <w:r w:rsidR="001B4A50" w:rsidRPr="00D2301D">
        <w:rPr>
          <w:color w:val="auto"/>
          <w:bdr w:val="none" w:sz="0" w:space="0" w:color="auto"/>
          <w:lang w:val="en-US"/>
        </w:rPr>
        <w:t xml:space="preserve"> </w:t>
      </w:r>
      <w:r w:rsidR="003762DC" w:rsidRPr="00D2301D">
        <w:rPr>
          <w:color w:val="auto"/>
          <w:bdr w:val="none" w:sz="0" w:space="0" w:color="auto"/>
          <w:lang w:val="en-US"/>
        </w:rPr>
        <w:t>1084</w:t>
      </w:r>
      <w:r w:rsidR="0090396A">
        <w:rPr>
          <w:color w:val="auto"/>
          <w:bdr w:val="none" w:sz="0" w:space="0" w:color="auto"/>
          <w:lang w:val="en-US"/>
        </w:rPr>
        <w:t xml:space="preserve"> apply to the alleged victim</w:t>
      </w:r>
      <w:r w:rsidR="00D2301D">
        <w:rPr>
          <w:color w:val="auto"/>
          <w:bdr w:val="none" w:sz="0" w:space="0" w:color="auto"/>
          <w:lang w:val="en-US"/>
        </w:rPr>
        <w:t xml:space="preserve">. These </w:t>
      </w:r>
      <w:r w:rsidR="00D2301D" w:rsidRPr="00D2301D">
        <w:rPr>
          <w:color w:val="auto"/>
          <w:bdr w:val="none" w:sz="0" w:space="0" w:color="auto"/>
          <w:lang w:val="en-US"/>
        </w:rPr>
        <w:t>referred, respectively, to “</w:t>
      </w:r>
      <w:r w:rsidR="00D2301D" w:rsidRPr="00D2301D">
        <w:rPr>
          <w:bdr w:val="none" w:sz="0" w:space="0" w:color="auto"/>
          <w:lang w:val="en-US"/>
        </w:rPr>
        <w:t>repeated and serious noncompliance with the obligations established in the National Constitution, Procedural Codes, and other laws on the exercise of their duties”;</w:t>
      </w:r>
      <w:r w:rsidR="00D2301D" w:rsidRPr="00D2301D">
        <w:rPr>
          <w:color w:val="auto"/>
          <w:bdr w:val="none" w:sz="0" w:space="0" w:color="auto"/>
          <w:lang w:val="en-US"/>
        </w:rPr>
        <w:t xml:space="preserve"> “</w:t>
      </w:r>
      <w:r w:rsidR="00D15833">
        <w:rPr>
          <w:bdr w:val="none" w:sz="0" w:space="0" w:color="auto"/>
          <w:lang w:val="en-US"/>
        </w:rPr>
        <w:t>demonstration of</w:t>
      </w:r>
      <w:r w:rsidR="00D2301D" w:rsidRPr="00D2301D">
        <w:rPr>
          <w:bdr w:val="none" w:sz="0" w:space="0" w:color="auto"/>
          <w:lang w:val="en-US"/>
        </w:rPr>
        <w:t xml:space="preserve"> a clear-cut bias or ignorance of the law in trials, manifested </w:t>
      </w:r>
      <w:r w:rsidR="00D2301D" w:rsidRPr="00D2301D">
        <w:rPr>
          <w:bdr w:val="none" w:sz="0" w:space="0" w:color="auto"/>
          <w:lang w:val="en-US"/>
        </w:rPr>
        <w:lastRenderedPageBreak/>
        <w:t>through repeated acts</w:t>
      </w:r>
      <w:r w:rsidR="00D2301D" w:rsidRPr="00D2301D">
        <w:rPr>
          <w:color w:val="auto"/>
          <w:bdr w:val="none" w:sz="0" w:space="0" w:color="auto"/>
          <w:lang w:val="en-US"/>
        </w:rPr>
        <w:t xml:space="preserve">”; </w:t>
      </w:r>
      <w:r w:rsidR="00D2301D">
        <w:rPr>
          <w:color w:val="auto"/>
          <w:bdr w:val="none" w:sz="0" w:space="0" w:color="auto"/>
          <w:lang w:val="en-US"/>
        </w:rPr>
        <w:t>and “</w:t>
      </w:r>
      <w:bookmarkStart w:id="12" w:name="_Hlk52715192"/>
      <w:r w:rsidR="00D15833">
        <w:rPr>
          <w:color w:val="auto"/>
          <w:bdr w:val="none" w:sz="0" w:space="0" w:color="auto"/>
          <w:lang w:val="en-US"/>
        </w:rPr>
        <w:t>[</w:t>
      </w:r>
      <w:r w:rsidR="00D2301D" w:rsidRPr="00AD204C">
        <w:rPr>
          <w:bdr w:val="none" w:sz="0" w:space="0" w:color="auto"/>
          <w:lang w:val="en-US"/>
        </w:rPr>
        <w:t>giv</w:t>
      </w:r>
      <w:r w:rsidR="00D15833">
        <w:rPr>
          <w:bdr w:val="none" w:sz="0" w:space="0" w:color="auto"/>
          <w:lang w:val="en-US"/>
        </w:rPr>
        <w:t>ing]</w:t>
      </w:r>
      <w:r w:rsidR="00D2301D" w:rsidRPr="00AD204C">
        <w:rPr>
          <w:bdr w:val="none" w:sz="0" w:space="0" w:color="auto"/>
          <w:lang w:val="en-US"/>
        </w:rPr>
        <w:t xml:space="preserve"> information or </w:t>
      </w:r>
      <w:r w:rsidR="00D15833">
        <w:rPr>
          <w:bdr w:val="none" w:sz="0" w:space="0" w:color="auto"/>
          <w:lang w:val="en-US"/>
        </w:rPr>
        <w:t>[</w:t>
      </w:r>
      <w:r w:rsidR="00D2301D" w:rsidRPr="00AD204C">
        <w:rPr>
          <w:bdr w:val="none" w:sz="0" w:space="0" w:color="auto"/>
          <w:lang w:val="en-US"/>
        </w:rPr>
        <w:t>issu</w:t>
      </w:r>
      <w:r w:rsidR="00D15833">
        <w:rPr>
          <w:bdr w:val="none" w:sz="0" w:space="0" w:color="auto"/>
          <w:lang w:val="en-US"/>
        </w:rPr>
        <w:t>ing]</w:t>
      </w:r>
      <w:r w:rsidR="00D2301D" w:rsidRPr="00AD204C">
        <w:rPr>
          <w:bdr w:val="none" w:sz="0" w:space="0" w:color="auto"/>
          <w:lang w:val="en-US"/>
        </w:rPr>
        <w:t xml:space="preserve"> </w:t>
      </w:r>
      <w:r w:rsidR="000B3213">
        <w:rPr>
          <w:bdr w:val="none" w:sz="0" w:space="0" w:color="auto"/>
          <w:lang w:val="en-US"/>
        </w:rPr>
        <w:t>statements</w:t>
      </w:r>
      <w:r w:rsidR="00D2301D" w:rsidRPr="00AD204C">
        <w:rPr>
          <w:bdr w:val="none" w:sz="0" w:space="0" w:color="auto"/>
          <w:lang w:val="en-US"/>
        </w:rPr>
        <w:t xml:space="preserve"> or comments to</w:t>
      </w:r>
      <w:r w:rsidR="00D15833">
        <w:rPr>
          <w:bdr w:val="none" w:sz="0" w:space="0" w:color="auto"/>
          <w:lang w:val="en-US"/>
        </w:rPr>
        <w:t>…</w:t>
      </w:r>
      <w:r w:rsidR="00D2301D" w:rsidRPr="00AD204C">
        <w:rPr>
          <w:bdr w:val="none" w:sz="0" w:space="0" w:color="auto"/>
          <w:lang w:val="en-US"/>
        </w:rPr>
        <w:t xml:space="preserve"> third parties about the trials they are handling, when the</w:t>
      </w:r>
      <w:r w:rsidR="00901FC2">
        <w:rPr>
          <w:bdr w:val="none" w:sz="0" w:space="0" w:color="auto"/>
          <w:lang w:val="en-US"/>
        </w:rPr>
        <w:t>y</w:t>
      </w:r>
      <w:r w:rsidR="00D2301D" w:rsidRPr="00AD204C">
        <w:rPr>
          <w:bdr w:val="none" w:sz="0" w:space="0" w:color="auto"/>
          <w:lang w:val="en-US"/>
        </w:rPr>
        <w:t xml:space="preserve"> might affect their processing</w:t>
      </w:r>
      <w:r w:rsidR="00901FC2">
        <w:rPr>
          <w:bdr w:val="none" w:sz="0" w:space="0" w:color="auto"/>
          <w:lang w:val="en-US"/>
        </w:rPr>
        <w:t>,</w:t>
      </w:r>
      <w:r w:rsidR="00D2301D" w:rsidRPr="00AD204C">
        <w:rPr>
          <w:bdr w:val="none" w:sz="0" w:space="0" w:color="auto"/>
          <w:lang w:val="en-US"/>
        </w:rPr>
        <w:t xml:space="preserve"> or affect the honor or reputation or the presumption of innocence established in the National Constituti</w:t>
      </w:r>
      <w:r w:rsidR="00D2301D">
        <w:rPr>
          <w:bdr w:val="none" w:sz="0" w:space="0" w:color="auto"/>
          <w:lang w:val="en-US"/>
        </w:rPr>
        <w:t xml:space="preserve">on; or </w:t>
      </w:r>
      <w:r w:rsidR="00901FC2">
        <w:rPr>
          <w:bdr w:val="none" w:sz="0" w:space="0" w:color="auto"/>
          <w:lang w:val="en-US"/>
        </w:rPr>
        <w:t>[sustaining] polemics</w:t>
      </w:r>
      <w:r w:rsidR="00D2301D">
        <w:rPr>
          <w:bdr w:val="none" w:sz="0" w:space="0" w:color="auto"/>
          <w:lang w:val="en-US"/>
        </w:rPr>
        <w:t xml:space="preserve"> about ongoing trials</w:t>
      </w:r>
      <w:bookmarkEnd w:id="12"/>
      <w:r w:rsidR="00D2301D">
        <w:rPr>
          <w:bdr w:val="none" w:sz="0" w:space="0" w:color="auto"/>
          <w:lang w:val="en-US"/>
        </w:rPr>
        <w:t>.”</w:t>
      </w:r>
      <w:r w:rsidR="00D2301D" w:rsidRPr="00D2301D">
        <w:rPr>
          <w:color w:val="auto"/>
          <w:bdr w:val="none" w:sz="0" w:space="0" w:color="auto"/>
          <w:lang w:val="en-US"/>
        </w:rPr>
        <w:t xml:space="preserve"> </w:t>
      </w:r>
      <w:r w:rsidR="00D2301D">
        <w:rPr>
          <w:color w:val="auto"/>
          <w:bdr w:val="none" w:sz="0" w:space="0" w:color="auto"/>
          <w:lang w:val="en-US"/>
        </w:rPr>
        <w:t>The JEM</w:t>
      </w:r>
      <w:r w:rsidR="00E576E3" w:rsidRPr="00D2301D">
        <w:rPr>
          <w:color w:val="auto"/>
          <w:bdr w:val="none" w:sz="0" w:space="0" w:color="auto"/>
          <w:lang w:val="en-US"/>
        </w:rPr>
        <w:t xml:space="preserve"> </w:t>
      </w:r>
      <w:r w:rsidR="00D2301D" w:rsidRPr="00D2301D">
        <w:rPr>
          <w:color w:val="auto"/>
          <w:bdr w:val="none" w:sz="0" w:space="0" w:color="auto"/>
          <w:lang w:val="en-US"/>
        </w:rPr>
        <w:t>thus decided</w:t>
      </w:r>
      <w:r w:rsidR="001B4A50" w:rsidRPr="00D2301D">
        <w:rPr>
          <w:color w:val="auto"/>
          <w:bdr w:val="none" w:sz="0" w:space="0" w:color="auto"/>
          <w:lang w:val="en-US"/>
        </w:rPr>
        <w:t>:</w:t>
      </w:r>
      <w:r w:rsidR="008437AB" w:rsidRPr="00D2301D">
        <w:rPr>
          <w:color w:val="auto"/>
          <w:bdr w:val="none" w:sz="0" w:space="0" w:color="auto"/>
          <w:lang w:val="en-US"/>
        </w:rPr>
        <w:t xml:space="preserve"> </w:t>
      </w:r>
    </w:p>
    <w:p w14:paraId="72A896A4" w14:textId="77777777" w:rsidR="00CB2F4C" w:rsidRPr="00D2301D" w:rsidRDefault="00E0001C" w:rsidP="002E5D94">
      <w:pPr>
        <w:pStyle w:val="parrafos"/>
        <w:numPr>
          <w:ilvl w:val="0"/>
          <w:numId w:val="0"/>
        </w:numPr>
        <w:rPr>
          <w:color w:val="auto"/>
          <w:lang w:val="en-US"/>
        </w:rPr>
      </w:pPr>
      <w:r w:rsidRPr="00D2301D">
        <w:rPr>
          <w:color w:val="auto"/>
          <w:bdr w:val="none" w:sz="0" w:space="0" w:color="auto"/>
          <w:lang w:val="en-US"/>
        </w:rPr>
        <w:t xml:space="preserve"> </w:t>
      </w:r>
    </w:p>
    <w:p w14:paraId="48A81826" w14:textId="77777777" w:rsidR="003762DC" w:rsidRPr="00D2301D" w:rsidRDefault="00E576E3" w:rsidP="00AF48C1">
      <w:pPr>
        <w:ind w:left="720" w:right="720"/>
        <w:jc w:val="both"/>
        <w:rPr>
          <w:rFonts w:ascii="Cambria" w:hAnsi="Cambria"/>
          <w:sz w:val="20"/>
          <w:szCs w:val="20"/>
        </w:rPr>
      </w:pPr>
      <w:r w:rsidRPr="00D2301D">
        <w:rPr>
          <w:rFonts w:ascii="Cambria" w:hAnsi="Cambria"/>
          <w:sz w:val="20"/>
          <w:szCs w:val="20"/>
        </w:rPr>
        <w:t xml:space="preserve">1. </w:t>
      </w:r>
      <w:r w:rsidR="00D2301D" w:rsidRPr="00D2301D">
        <w:rPr>
          <w:rFonts w:ascii="Cambria" w:hAnsi="Cambria"/>
          <w:sz w:val="20"/>
          <w:szCs w:val="20"/>
        </w:rPr>
        <w:t>TO REMOVE</w:t>
      </w:r>
      <w:r w:rsidRPr="00D2301D">
        <w:rPr>
          <w:rFonts w:ascii="Cambria" w:hAnsi="Cambria"/>
          <w:sz w:val="20"/>
          <w:szCs w:val="20"/>
        </w:rPr>
        <w:t xml:space="preserve"> </w:t>
      </w:r>
      <w:r w:rsidR="00D2301D" w:rsidRPr="00D2301D">
        <w:rPr>
          <w:rFonts w:ascii="Cambria" w:hAnsi="Cambria"/>
          <w:sz w:val="20"/>
          <w:szCs w:val="20"/>
        </w:rPr>
        <w:t>lawyer</w:t>
      </w:r>
      <w:r w:rsidRPr="00D2301D">
        <w:rPr>
          <w:rFonts w:ascii="Cambria" w:hAnsi="Cambria"/>
          <w:sz w:val="20"/>
          <w:szCs w:val="20"/>
        </w:rPr>
        <w:t xml:space="preserve"> ALEJANDRO NISSEN PESSOLANI </w:t>
      </w:r>
      <w:r w:rsidR="00D2301D" w:rsidRPr="00D2301D">
        <w:rPr>
          <w:rFonts w:ascii="Cambria" w:hAnsi="Cambria"/>
          <w:sz w:val="20"/>
          <w:szCs w:val="20"/>
        </w:rPr>
        <w:t>from the post of criminal prosecutor of the capital of the Republic, for poor perfo</w:t>
      </w:r>
      <w:r w:rsidR="00D2301D">
        <w:rPr>
          <w:rFonts w:ascii="Cambria" w:hAnsi="Cambria"/>
          <w:sz w:val="20"/>
          <w:szCs w:val="20"/>
        </w:rPr>
        <w:t>rmance of his duties</w:t>
      </w:r>
      <w:r w:rsidR="000B3213">
        <w:rPr>
          <w:rFonts w:ascii="Cambria" w:hAnsi="Cambria"/>
          <w:sz w:val="20"/>
          <w:szCs w:val="20"/>
        </w:rPr>
        <w:t>….</w:t>
      </w:r>
    </w:p>
    <w:p w14:paraId="73B34C55" w14:textId="77777777" w:rsidR="00E576E3" w:rsidRPr="008D07D2" w:rsidRDefault="002E5D94" w:rsidP="00AF48C1">
      <w:pPr>
        <w:ind w:left="720" w:right="720"/>
        <w:jc w:val="both"/>
        <w:rPr>
          <w:rFonts w:ascii="Cambria" w:hAnsi="Cambria"/>
          <w:sz w:val="20"/>
          <w:szCs w:val="20"/>
        </w:rPr>
      </w:pPr>
      <w:r w:rsidRPr="00D2301D">
        <w:rPr>
          <w:rFonts w:ascii="Cambria" w:hAnsi="Cambria"/>
          <w:sz w:val="20"/>
          <w:szCs w:val="20"/>
        </w:rPr>
        <w:t xml:space="preserve"> </w:t>
      </w:r>
      <w:r w:rsidR="00E576E3" w:rsidRPr="008D07D2">
        <w:rPr>
          <w:rFonts w:ascii="Cambria" w:hAnsi="Cambria"/>
          <w:sz w:val="20"/>
          <w:szCs w:val="20"/>
        </w:rPr>
        <w:t xml:space="preserve">2. </w:t>
      </w:r>
      <w:r w:rsidR="00D2301D" w:rsidRPr="008D07D2">
        <w:rPr>
          <w:rFonts w:ascii="Cambria" w:hAnsi="Cambria"/>
          <w:sz w:val="20"/>
          <w:szCs w:val="20"/>
        </w:rPr>
        <w:t>COMMUNICATE</w:t>
      </w:r>
      <w:r w:rsidR="00E576E3" w:rsidRPr="008D07D2">
        <w:rPr>
          <w:rFonts w:ascii="Cambria" w:hAnsi="Cambria"/>
          <w:sz w:val="20"/>
          <w:szCs w:val="20"/>
        </w:rPr>
        <w:t xml:space="preserve"> </w:t>
      </w:r>
      <w:r w:rsidR="008D07D2" w:rsidRPr="008D07D2">
        <w:rPr>
          <w:rFonts w:ascii="Cambria" w:hAnsi="Cambria"/>
          <w:sz w:val="20"/>
          <w:szCs w:val="20"/>
        </w:rPr>
        <w:t>to the Chambers of Congress, the Supreme Court of Justice, and the Council of Magistra</w:t>
      </w:r>
      <w:r w:rsidR="008D07D2">
        <w:rPr>
          <w:rFonts w:ascii="Cambria" w:hAnsi="Cambria"/>
          <w:sz w:val="20"/>
          <w:szCs w:val="20"/>
        </w:rPr>
        <w:t>tes.</w:t>
      </w:r>
    </w:p>
    <w:p w14:paraId="4084539D" w14:textId="77777777" w:rsidR="00E576E3" w:rsidRPr="00953FCD" w:rsidRDefault="002E5D94" w:rsidP="004B09ED">
      <w:pPr>
        <w:ind w:left="720" w:right="720"/>
        <w:jc w:val="both"/>
        <w:rPr>
          <w:rFonts w:ascii="Cambria" w:hAnsi="Cambria"/>
          <w:sz w:val="20"/>
          <w:szCs w:val="20"/>
        </w:rPr>
      </w:pPr>
      <w:r w:rsidRPr="00953FCD">
        <w:rPr>
          <w:rFonts w:ascii="Cambria" w:hAnsi="Cambria"/>
          <w:sz w:val="20"/>
          <w:szCs w:val="20"/>
        </w:rPr>
        <w:t xml:space="preserve"> </w:t>
      </w:r>
      <w:r w:rsidR="00E576E3" w:rsidRPr="008D07D2">
        <w:rPr>
          <w:rFonts w:ascii="Cambria" w:hAnsi="Cambria"/>
          <w:sz w:val="20"/>
          <w:szCs w:val="20"/>
        </w:rPr>
        <w:t>3. IMPO</w:t>
      </w:r>
      <w:r w:rsidR="008D07D2" w:rsidRPr="008D07D2">
        <w:rPr>
          <w:rFonts w:ascii="Cambria" w:hAnsi="Cambria"/>
          <w:sz w:val="20"/>
          <w:szCs w:val="20"/>
        </w:rPr>
        <w:t>SE</w:t>
      </w:r>
      <w:r w:rsidR="00E576E3" w:rsidRPr="008D07D2">
        <w:rPr>
          <w:rFonts w:ascii="Cambria" w:hAnsi="Cambria"/>
          <w:sz w:val="20"/>
          <w:szCs w:val="20"/>
        </w:rPr>
        <w:t xml:space="preserve"> costs </w:t>
      </w:r>
      <w:r w:rsidR="008D07D2" w:rsidRPr="008D07D2">
        <w:rPr>
          <w:rFonts w:ascii="Cambria" w:hAnsi="Cambria"/>
          <w:sz w:val="20"/>
          <w:szCs w:val="20"/>
        </w:rPr>
        <w:t>on the losing party</w:t>
      </w:r>
      <w:r w:rsidR="00E576E3" w:rsidRPr="008D07D2">
        <w:rPr>
          <w:rFonts w:ascii="Cambria" w:hAnsi="Cambria"/>
          <w:sz w:val="20"/>
          <w:szCs w:val="20"/>
        </w:rPr>
        <w:t>…</w:t>
      </w:r>
      <w:r w:rsidR="008D07D2">
        <w:rPr>
          <w:rFonts w:ascii="Cambria" w:hAnsi="Cambria"/>
          <w:sz w:val="20"/>
          <w:szCs w:val="20"/>
        </w:rPr>
        <w:t>.</w:t>
      </w:r>
      <w:r w:rsidR="00AF48C1" w:rsidRPr="00766381">
        <w:rPr>
          <w:rStyle w:val="FootnoteReference"/>
          <w:rFonts w:ascii="Cambria" w:hAnsi="Cambria"/>
          <w:sz w:val="20"/>
          <w:szCs w:val="20"/>
        </w:rPr>
        <w:footnoteReference w:id="8"/>
      </w:r>
    </w:p>
    <w:p w14:paraId="2F8875E5" w14:textId="77777777" w:rsidR="003762DC" w:rsidRPr="00953FCD" w:rsidRDefault="003762DC" w:rsidP="004B09ED">
      <w:pPr>
        <w:ind w:right="720"/>
        <w:jc w:val="both"/>
      </w:pPr>
    </w:p>
    <w:p w14:paraId="211F8D16" w14:textId="77777777" w:rsidR="002E5D94" w:rsidRPr="008D07D2" w:rsidRDefault="008D07D2" w:rsidP="002E5D94">
      <w:pPr>
        <w:pStyle w:val="parrafos"/>
        <w:rPr>
          <w:lang w:val="en-US"/>
        </w:rPr>
      </w:pPr>
      <w:r w:rsidRPr="008D07D2">
        <w:rPr>
          <w:lang w:val="en-US"/>
        </w:rPr>
        <w:t>The judgment indicated the following</w:t>
      </w:r>
      <w:r w:rsidR="00AF0F9D" w:rsidRPr="008D07D2">
        <w:rPr>
          <w:lang w:val="en-US"/>
        </w:rPr>
        <w:t xml:space="preserve">: </w:t>
      </w:r>
    </w:p>
    <w:p w14:paraId="527455FD" w14:textId="77777777" w:rsidR="00252902" w:rsidRPr="008D07D2" w:rsidRDefault="00252902" w:rsidP="00252902">
      <w:pPr>
        <w:pStyle w:val="parrafos"/>
        <w:numPr>
          <w:ilvl w:val="0"/>
          <w:numId w:val="0"/>
        </w:numPr>
        <w:rPr>
          <w:lang w:val="en-US"/>
        </w:rPr>
      </w:pPr>
    </w:p>
    <w:p w14:paraId="5413B24F" w14:textId="77777777" w:rsidR="00252902" w:rsidRPr="007330D4" w:rsidRDefault="00252902" w:rsidP="00290AE3">
      <w:pPr>
        <w:pStyle w:val="parrafos"/>
        <w:numPr>
          <w:ilvl w:val="0"/>
          <w:numId w:val="0"/>
        </w:numPr>
        <w:ind w:left="720" w:right="720"/>
        <w:rPr>
          <w:lang w:val="en-US"/>
        </w:rPr>
      </w:pPr>
      <w:r w:rsidRPr="0028739B">
        <w:rPr>
          <w:lang w:val="en-US"/>
        </w:rPr>
        <w:t>…</w:t>
      </w:r>
      <w:r w:rsidR="00884D5E" w:rsidRPr="0028739B">
        <w:rPr>
          <w:lang w:val="en-US"/>
        </w:rPr>
        <w:t xml:space="preserve">By his sole decision, the accused </w:t>
      </w:r>
      <w:r w:rsidR="0028739B">
        <w:rPr>
          <w:lang w:val="en-US"/>
        </w:rPr>
        <w:t xml:space="preserve">took it upon </w:t>
      </w:r>
      <w:r w:rsidR="00884D5E" w:rsidRPr="0028739B">
        <w:rPr>
          <w:lang w:val="en-US"/>
        </w:rPr>
        <w:t xml:space="preserve">himself </w:t>
      </w:r>
      <w:r w:rsidR="0028739B">
        <w:rPr>
          <w:lang w:val="en-US"/>
        </w:rPr>
        <w:t xml:space="preserve">to </w:t>
      </w:r>
      <w:r w:rsidR="00884D5E" w:rsidRPr="0028739B">
        <w:rPr>
          <w:lang w:val="en-US"/>
        </w:rPr>
        <w:t xml:space="preserve">continue intervening in Case No. </w:t>
      </w:r>
      <w:r w:rsidRPr="0028739B">
        <w:rPr>
          <w:lang w:val="en-US"/>
        </w:rPr>
        <w:t xml:space="preserve">9936, </w:t>
      </w:r>
      <w:r w:rsidR="0028739B" w:rsidRPr="0028739B">
        <w:rPr>
          <w:lang w:val="en-US"/>
        </w:rPr>
        <w:t xml:space="preserve">failing to heed Resolution No. </w:t>
      </w:r>
      <w:r w:rsidRPr="0028739B">
        <w:rPr>
          <w:lang w:val="en-US"/>
        </w:rPr>
        <w:t>68</w:t>
      </w:r>
      <w:r w:rsidR="0028739B" w:rsidRPr="0028739B">
        <w:rPr>
          <w:lang w:val="en-US"/>
        </w:rPr>
        <w:t xml:space="preserve">, </w:t>
      </w:r>
      <w:r w:rsidR="00EE7A92">
        <w:rPr>
          <w:lang w:val="en-US"/>
        </w:rPr>
        <w:t>issued</w:t>
      </w:r>
      <w:r w:rsidR="0028739B" w:rsidRPr="0028739B">
        <w:rPr>
          <w:lang w:val="en-US"/>
        </w:rPr>
        <w:t xml:space="preserve"> on February </w:t>
      </w:r>
      <w:r w:rsidRPr="0028739B">
        <w:rPr>
          <w:lang w:val="en-US"/>
        </w:rPr>
        <w:t>2</w:t>
      </w:r>
      <w:r w:rsidR="0028739B" w:rsidRPr="0028739B">
        <w:rPr>
          <w:lang w:val="en-US"/>
        </w:rPr>
        <w:t xml:space="preserve">, </w:t>
      </w:r>
      <w:r w:rsidRPr="0028739B">
        <w:rPr>
          <w:lang w:val="en-US"/>
        </w:rPr>
        <w:t>2001</w:t>
      </w:r>
      <w:r w:rsidR="0028739B" w:rsidRPr="0028739B">
        <w:rPr>
          <w:lang w:val="en-US"/>
        </w:rPr>
        <w:t xml:space="preserve">, by the Office of the Prosecutor General of the State, which ordered </w:t>
      </w:r>
      <w:r w:rsidR="0028739B">
        <w:rPr>
          <w:lang w:val="en-US"/>
        </w:rPr>
        <w:t>the distribution of</w:t>
      </w:r>
      <w:r w:rsidR="0028739B" w:rsidRPr="0028739B">
        <w:rPr>
          <w:lang w:val="en-US"/>
        </w:rPr>
        <w:t xml:space="preserve"> cases by</w:t>
      </w:r>
      <w:r w:rsidR="0028739B">
        <w:rPr>
          <w:lang w:val="en-US"/>
        </w:rPr>
        <w:t xml:space="preserve"> rotation and assigned </w:t>
      </w:r>
      <w:r w:rsidR="00EE7A92">
        <w:rPr>
          <w:lang w:val="en-US"/>
        </w:rPr>
        <w:t xml:space="preserve">cases </w:t>
      </w:r>
      <w:r w:rsidR="0028739B">
        <w:rPr>
          <w:lang w:val="en-US"/>
        </w:rPr>
        <w:t xml:space="preserve">to each prosecutorial unit for 30-day periods. </w:t>
      </w:r>
      <w:r w:rsidR="0028739B" w:rsidRPr="007330D4">
        <w:rPr>
          <w:lang w:val="en-US"/>
        </w:rPr>
        <w:t xml:space="preserve">This Jury thus finds that the accused has directly and inexcusably </w:t>
      </w:r>
      <w:r w:rsidR="007330D4" w:rsidRPr="007330D4">
        <w:rPr>
          <w:lang w:val="en-US"/>
        </w:rPr>
        <w:t xml:space="preserve">met the grounds </w:t>
      </w:r>
      <w:r w:rsidR="00EE7A92">
        <w:rPr>
          <w:lang w:val="en-US"/>
        </w:rPr>
        <w:t xml:space="preserve">for removal </w:t>
      </w:r>
      <w:r w:rsidR="007330D4" w:rsidRPr="007330D4">
        <w:rPr>
          <w:lang w:val="en-US"/>
        </w:rPr>
        <w:t xml:space="preserve">established in Article 14, subparagraph </w:t>
      </w:r>
      <w:r w:rsidR="008C679C">
        <w:rPr>
          <w:lang w:val="en-US"/>
        </w:rPr>
        <w:t>(</w:t>
      </w:r>
      <w:r w:rsidR="007330D4" w:rsidRPr="007330D4">
        <w:rPr>
          <w:lang w:val="en-US"/>
        </w:rPr>
        <w:t>b</w:t>
      </w:r>
      <w:r w:rsidR="008C679C">
        <w:rPr>
          <w:lang w:val="en-US"/>
        </w:rPr>
        <w:t>)</w:t>
      </w:r>
      <w:r w:rsidR="007330D4" w:rsidRPr="007330D4">
        <w:rPr>
          <w:lang w:val="en-US"/>
        </w:rPr>
        <w:t xml:space="preserve">, of Law No. </w:t>
      </w:r>
      <w:r w:rsidRPr="007330D4">
        <w:rPr>
          <w:lang w:val="en-US"/>
        </w:rPr>
        <w:t xml:space="preserve">1.084/97, </w:t>
      </w:r>
      <w:r w:rsidR="007330D4" w:rsidRPr="007330D4">
        <w:rPr>
          <w:lang w:val="en-US"/>
        </w:rPr>
        <w:t xml:space="preserve">as his continued and repeated intervention in Case No. </w:t>
      </w:r>
      <w:r w:rsidRPr="007330D4">
        <w:rPr>
          <w:lang w:val="en-US"/>
        </w:rPr>
        <w:t xml:space="preserve">9936 </w:t>
      </w:r>
      <w:r w:rsidR="007330D4">
        <w:rPr>
          <w:lang w:val="en-US"/>
        </w:rPr>
        <w:t>means that he engaged in “</w:t>
      </w:r>
      <w:r w:rsidR="007330D4" w:rsidRPr="00D2301D">
        <w:rPr>
          <w:bdr w:val="none" w:sz="0" w:space="0" w:color="auto"/>
          <w:lang w:val="en-US"/>
        </w:rPr>
        <w:t xml:space="preserve">repeated and serious noncompliance with the obligations established in the National Constitution, Procedural Codes, and other laws on the exercise of </w:t>
      </w:r>
      <w:r w:rsidR="007330D4">
        <w:rPr>
          <w:bdr w:val="none" w:sz="0" w:space="0" w:color="auto"/>
          <w:lang w:val="en-US"/>
        </w:rPr>
        <w:t>[his]</w:t>
      </w:r>
      <w:r w:rsidR="007330D4" w:rsidRPr="00D2301D">
        <w:rPr>
          <w:bdr w:val="none" w:sz="0" w:space="0" w:color="auto"/>
          <w:lang w:val="en-US"/>
        </w:rPr>
        <w:t xml:space="preserve"> duties</w:t>
      </w:r>
      <w:r w:rsidR="00F923A6" w:rsidRPr="007330D4">
        <w:rPr>
          <w:lang w:val="en-US"/>
        </w:rPr>
        <w:t>…</w:t>
      </w:r>
      <w:r w:rsidR="003879E0">
        <w:rPr>
          <w:lang w:val="en-US"/>
        </w:rPr>
        <w:t>.</w:t>
      </w:r>
    </w:p>
    <w:p w14:paraId="12AC7404" w14:textId="77777777" w:rsidR="00252902" w:rsidRPr="007330D4" w:rsidRDefault="00252902" w:rsidP="00290AE3">
      <w:pPr>
        <w:pStyle w:val="parrafos"/>
        <w:numPr>
          <w:ilvl w:val="0"/>
          <w:numId w:val="0"/>
        </w:numPr>
        <w:ind w:left="720" w:right="720"/>
        <w:rPr>
          <w:lang w:val="en-US"/>
        </w:rPr>
      </w:pPr>
    </w:p>
    <w:p w14:paraId="7CEB85D5" w14:textId="77777777" w:rsidR="00252902" w:rsidRPr="00FC4ED3" w:rsidRDefault="00AF60F7" w:rsidP="00290AE3">
      <w:pPr>
        <w:pStyle w:val="parrafos"/>
        <w:numPr>
          <w:ilvl w:val="0"/>
          <w:numId w:val="0"/>
        </w:numPr>
        <w:ind w:left="720" w:right="720"/>
        <w:rPr>
          <w:lang w:val="en-US"/>
        </w:rPr>
      </w:pPr>
      <w:r w:rsidRPr="00716C6F">
        <w:rPr>
          <w:lang w:val="en-US"/>
        </w:rPr>
        <w:t>…</w:t>
      </w:r>
      <w:r w:rsidR="00716C6F" w:rsidRPr="00716C6F">
        <w:rPr>
          <w:lang w:val="en-US"/>
        </w:rPr>
        <w:t xml:space="preserve">That is has been possible to establish, based on the statements made by all the witnesses for the prosecution and the defense, that in fact the accused—throughout the course of the investigation </w:t>
      </w:r>
      <w:r w:rsidR="000C651A">
        <w:rPr>
          <w:lang w:val="en-US"/>
        </w:rPr>
        <w:t>he was handling</w:t>
      </w:r>
      <w:r w:rsidR="00716C6F" w:rsidRPr="00716C6F">
        <w:rPr>
          <w:lang w:val="en-US"/>
        </w:rPr>
        <w:t>—has provided information and made comments and statements to the press and third parties that went beyond the sensitive parameters of criminal investigation in its preliminary stage</w:t>
      </w:r>
      <w:r w:rsidR="00252902" w:rsidRPr="00716C6F">
        <w:rPr>
          <w:lang w:val="en-US"/>
        </w:rPr>
        <w:t xml:space="preserve">, </w:t>
      </w:r>
      <w:r w:rsidR="00716C6F">
        <w:rPr>
          <w:lang w:val="en-US"/>
        </w:rPr>
        <w:t>thus affecting the honor, the reputation, or the presumption of innocence guaranteed to all citizens</w:t>
      </w:r>
      <w:r w:rsidR="00252902" w:rsidRPr="00716C6F">
        <w:rPr>
          <w:lang w:val="en-US"/>
        </w:rPr>
        <w:t>…</w:t>
      </w:r>
      <w:r w:rsidR="00716C6F">
        <w:rPr>
          <w:lang w:val="en-US"/>
        </w:rPr>
        <w:t>.</w:t>
      </w:r>
      <w:r w:rsidR="00252902" w:rsidRPr="00716C6F">
        <w:rPr>
          <w:lang w:val="en-US"/>
        </w:rPr>
        <w:t xml:space="preserve"> </w:t>
      </w:r>
      <w:r w:rsidR="00716C6F" w:rsidRPr="002C25BB">
        <w:rPr>
          <w:lang w:val="en-US"/>
        </w:rPr>
        <w:t xml:space="preserve">In addition, with the newspaper </w:t>
      </w:r>
      <w:r w:rsidR="004F5618">
        <w:rPr>
          <w:lang w:val="en-US"/>
        </w:rPr>
        <w:t>editions</w:t>
      </w:r>
      <w:r w:rsidR="00716C6F" w:rsidRPr="002C25BB">
        <w:rPr>
          <w:lang w:val="en-US"/>
        </w:rPr>
        <w:t xml:space="preserve">, </w:t>
      </w:r>
      <w:r w:rsidR="008C679C">
        <w:rPr>
          <w:lang w:val="en-US"/>
        </w:rPr>
        <w:t>magnetic tapes (</w:t>
      </w:r>
      <w:r w:rsidR="00252902" w:rsidRPr="002C25BB">
        <w:rPr>
          <w:lang w:val="en-US"/>
        </w:rPr>
        <w:t>cassettes</w:t>
      </w:r>
      <w:r w:rsidR="008C679C">
        <w:rPr>
          <w:lang w:val="en-US"/>
        </w:rPr>
        <w:t>)</w:t>
      </w:r>
      <w:r w:rsidR="00716C6F" w:rsidRPr="002C25BB">
        <w:rPr>
          <w:lang w:val="en-US"/>
        </w:rPr>
        <w:t xml:space="preserve">, and </w:t>
      </w:r>
      <w:r w:rsidR="008C679C">
        <w:rPr>
          <w:lang w:val="en-US"/>
        </w:rPr>
        <w:t>audiovisual tapes (</w:t>
      </w:r>
      <w:r w:rsidR="00252902" w:rsidRPr="002C25BB">
        <w:rPr>
          <w:lang w:val="en-US"/>
        </w:rPr>
        <w:t>videocassette</w:t>
      </w:r>
      <w:r w:rsidR="00716C6F" w:rsidRPr="002C25BB">
        <w:rPr>
          <w:lang w:val="en-US"/>
        </w:rPr>
        <w:t>s</w:t>
      </w:r>
      <w:r w:rsidR="008C679C">
        <w:rPr>
          <w:lang w:val="en-US"/>
        </w:rPr>
        <w:t>)</w:t>
      </w:r>
      <w:r w:rsidR="00716C6F" w:rsidRPr="002C25BB">
        <w:rPr>
          <w:lang w:val="en-US"/>
        </w:rPr>
        <w:t xml:space="preserve"> sent to this jury by </w:t>
      </w:r>
      <w:r w:rsidR="003879E0">
        <w:rPr>
          <w:lang w:val="en-US"/>
        </w:rPr>
        <w:t>various</w:t>
      </w:r>
      <w:r w:rsidR="00716C6F" w:rsidRPr="002C25BB">
        <w:rPr>
          <w:lang w:val="en-US"/>
        </w:rPr>
        <w:t xml:space="preserve"> </w:t>
      </w:r>
      <w:r w:rsidR="002C25BB" w:rsidRPr="002C25BB">
        <w:rPr>
          <w:lang w:val="en-US"/>
        </w:rPr>
        <w:t xml:space="preserve">written and oral media </w:t>
      </w:r>
      <w:r w:rsidR="00716C6F" w:rsidRPr="002C25BB">
        <w:rPr>
          <w:lang w:val="en-US"/>
        </w:rPr>
        <w:t>outlets,</w:t>
      </w:r>
      <w:r w:rsidR="002C25BB" w:rsidRPr="002C25BB">
        <w:rPr>
          <w:lang w:val="en-US"/>
        </w:rPr>
        <w:t xml:space="preserve"> </w:t>
      </w:r>
      <w:r w:rsidR="000C651A">
        <w:rPr>
          <w:lang w:val="en-US"/>
        </w:rPr>
        <w:t xml:space="preserve">it </w:t>
      </w:r>
      <w:r w:rsidR="00A169A8">
        <w:rPr>
          <w:lang w:val="en-US"/>
        </w:rPr>
        <w:t>is possible to verify</w:t>
      </w:r>
      <w:r w:rsidR="000C651A">
        <w:rPr>
          <w:lang w:val="en-US"/>
        </w:rPr>
        <w:t xml:space="preserve"> that the accused is dangerously prone to revealing to the public the preliminary steps he is taking in the cases </w:t>
      </w:r>
      <w:r w:rsidR="008C679C">
        <w:rPr>
          <w:lang w:val="en-US"/>
        </w:rPr>
        <w:t>he is responsible for investigating</w:t>
      </w:r>
      <w:r w:rsidR="00252902" w:rsidRPr="002C25BB">
        <w:rPr>
          <w:lang w:val="en-US"/>
        </w:rPr>
        <w:t xml:space="preserve">. </w:t>
      </w:r>
      <w:bookmarkStart w:id="13" w:name="_Hlk52815744"/>
      <w:r w:rsidR="00150796" w:rsidRPr="00192D76">
        <w:rPr>
          <w:lang w:val="en-US"/>
        </w:rPr>
        <w:t>It</w:t>
      </w:r>
      <w:r w:rsidR="000C651A" w:rsidRPr="00192D76">
        <w:rPr>
          <w:lang w:val="en-US"/>
        </w:rPr>
        <w:t xml:space="preserve"> is alarming</w:t>
      </w:r>
      <w:r w:rsidR="00150796" w:rsidRPr="00192D76">
        <w:rPr>
          <w:lang w:val="en-US"/>
        </w:rPr>
        <w:t>,</w:t>
      </w:r>
      <w:r w:rsidR="000C651A" w:rsidRPr="00192D76">
        <w:rPr>
          <w:lang w:val="en-US"/>
        </w:rPr>
        <w:t xml:space="preserve"> from this representative of</w:t>
      </w:r>
      <w:r w:rsidR="00BE2956" w:rsidRPr="00192D76">
        <w:rPr>
          <w:lang w:val="en-US"/>
        </w:rPr>
        <w:t xml:space="preserve"> the public prosecution</w:t>
      </w:r>
      <w:r w:rsidR="00150796" w:rsidRPr="00192D76">
        <w:rPr>
          <w:lang w:val="en-US"/>
        </w:rPr>
        <w:t xml:space="preserve">, that this seems to </w:t>
      </w:r>
      <w:r w:rsidR="000C651A" w:rsidRPr="00192D76">
        <w:rPr>
          <w:lang w:val="en-US"/>
        </w:rPr>
        <w:t>be evident and repeated</w:t>
      </w:r>
      <w:r w:rsidR="00192D76" w:rsidRPr="00192D76">
        <w:rPr>
          <w:lang w:val="en-US"/>
        </w:rPr>
        <w:t>,</w:t>
      </w:r>
      <w:r w:rsidR="000C651A" w:rsidRPr="00192D76">
        <w:rPr>
          <w:lang w:val="en-US"/>
        </w:rPr>
        <w:t xml:space="preserve"> and </w:t>
      </w:r>
      <w:r w:rsidR="00192D76" w:rsidRPr="00192D76">
        <w:rPr>
          <w:lang w:val="en-US"/>
        </w:rPr>
        <w:t xml:space="preserve">it </w:t>
      </w:r>
      <w:r w:rsidR="000C651A" w:rsidRPr="00192D76">
        <w:rPr>
          <w:lang w:val="en-US"/>
        </w:rPr>
        <w:t>amounts to an undue tendency to go</w:t>
      </w:r>
      <w:r w:rsidR="00A24FA9" w:rsidRPr="00192D76">
        <w:rPr>
          <w:lang w:val="en-US"/>
        </w:rPr>
        <w:t xml:space="preserve"> beyond and preempt procedural steps that are planned or have been taken, publicizing procedures of an exceptional nature </w:t>
      </w:r>
      <w:r w:rsidR="00192D76" w:rsidRPr="00192D76">
        <w:rPr>
          <w:lang w:val="en-US"/>
        </w:rPr>
        <w:t>that may have been ordered or are b</w:t>
      </w:r>
      <w:r w:rsidR="00192D76">
        <w:rPr>
          <w:lang w:val="en-US"/>
        </w:rPr>
        <w:t xml:space="preserve">eing planned, </w:t>
      </w:r>
      <w:r w:rsidR="00A24FA9" w:rsidRPr="00192D76">
        <w:rPr>
          <w:lang w:val="en-US"/>
        </w:rPr>
        <w:t>such as searches, surrenders, or technical expertise</w:t>
      </w:r>
      <w:r w:rsidR="00192D76">
        <w:rPr>
          <w:lang w:val="en-US"/>
        </w:rPr>
        <w:t xml:space="preserve">; testimony he has received or expects to receive; the content of documents </w:t>
      </w:r>
      <w:r w:rsidR="00FC4ED3">
        <w:rPr>
          <w:lang w:val="en-US"/>
        </w:rPr>
        <w:t>placed in his care</w:t>
      </w:r>
      <w:r w:rsidR="00192D76">
        <w:rPr>
          <w:lang w:val="en-US"/>
        </w:rPr>
        <w:t>, etc</w:t>
      </w:r>
      <w:r w:rsidR="00252902" w:rsidRPr="00192D76">
        <w:rPr>
          <w:lang w:val="en-US"/>
        </w:rPr>
        <w:t xml:space="preserve">. </w:t>
      </w:r>
      <w:r w:rsidR="00FC4ED3" w:rsidRPr="00FC4ED3">
        <w:rPr>
          <w:lang w:val="en-US"/>
        </w:rPr>
        <w:t>He has unreservedly informed the public about such matters, through the mass media</w:t>
      </w:r>
      <w:bookmarkEnd w:id="13"/>
      <w:r w:rsidR="00FC4ED3" w:rsidRPr="00FC4ED3">
        <w:rPr>
          <w:lang w:val="en-US"/>
        </w:rPr>
        <w:t>…</w:t>
      </w:r>
      <w:r w:rsidR="00FC4ED3">
        <w:rPr>
          <w:lang w:val="en-US"/>
        </w:rPr>
        <w:t>.</w:t>
      </w:r>
      <w:r w:rsidR="00FC4ED3" w:rsidRPr="00FC4ED3">
        <w:rPr>
          <w:lang w:val="en-US"/>
        </w:rPr>
        <w:t xml:space="preserve"> This jury thus concludes that the accused Criminal Prosecutor has met the grounds for removal established in Article </w:t>
      </w:r>
      <w:r w:rsidR="00252902" w:rsidRPr="00FC4ED3">
        <w:rPr>
          <w:lang w:val="en-US"/>
        </w:rPr>
        <w:t xml:space="preserve">14 </w:t>
      </w:r>
      <w:r w:rsidR="00FC4ED3">
        <w:rPr>
          <w:lang w:val="en-US"/>
        </w:rPr>
        <w:t>subparagraph</w:t>
      </w:r>
      <w:r w:rsidR="00252902" w:rsidRPr="00FC4ED3">
        <w:rPr>
          <w:lang w:val="en-US"/>
        </w:rPr>
        <w:t xml:space="preserve"> </w:t>
      </w:r>
      <w:r w:rsidR="00FC4ED3">
        <w:rPr>
          <w:lang w:val="en-US"/>
        </w:rPr>
        <w:t>(</w:t>
      </w:r>
      <w:r w:rsidR="00252902" w:rsidRPr="00FC4ED3">
        <w:rPr>
          <w:lang w:val="en-US"/>
        </w:rPr>
        <w:t xml:space="preserve">n) </w:t>
      </w:r>
      <w:r w:rsidR="00FC4ED3">
        <w:rPr>
          <w:lang w:val="en-US"/>
        </w:rPr>
        <w:t xml:space="preserve">of Law No. </w:t>
      </w:r>
      <w:r w:rsidR="00252902" w:rsidRPr="00FC4ED3">
        <w:rPr>
          <w:lang w:val="en-US"/>
        </w:rPr>
        <w:t>1.084/97</w:t>
      </w:r>
      <w:r w:rsidR="004D607E">
        <w:rPr>
          <w:lang w:val="en-US"/>
        </w:rPr>
        <w:t>.</w:t>
      </w:r>
      <w:r w:rsidR="00290AE3" w:rsidRPr="00766381">
        <w:rPr>
          <w:rStyle w:val="FootnoteReference"/>
        </w:rPr>
        <w:footnoteReference w:id="9"/>
      </w:r>
      <w:r w:rsidR="00252902" w:rsidRPr="00FC4ED3">
        <w:rPr>
          <w:lang w:val="en-US"/>
        </w:rPr>
        <w:t xml:space="preserve"> </w:t>
      </w:r>
    </w:p>
    <w:p w14:paraId="727A280C" w14:textId="77777777" w:rsidR="00290AE3" w:rsidRPr="00FC4ED3" w:rsidRDefault="00290AE3" w:rsidP="00252902">
      <w:pPr>
        <w:pStyle w:val="parrafos"/>
        <w:numPr>
          <w:ilvl w:val="0"/>
          <w:numId w:val="0"/>
        </w:numPr>
        <w:rPr>
          <w:lang w:val="en-US"/>
        </w:rPr>
      </w:pPr>
    </w:p>
    <w:p w14:paraId="535F554F" w14:textId="77777777" w:rsidR="00290AE3" w:rsidRPr="000C651A" w:rsidRDefault="000C651A" w:rsidP="00290AE3">
      <w:pPr>
        <w:pStyle w:val="parrafos"/>
        <w:rPr>
          <w:lang w:val="en-US"/>
        </w:rPr>
      </w:pPr>
      <w:r w:rsidRPr="000C651A">
        <w:rPr>
          <w:lang w:val="en-US"/>
        </w:rPr>
        <w:t>In addition</w:t>
      </w:r>
      <w:r w:rsidR="00290AE3" w:rsidRPr="000C651A">
        <w:rPr>
          <w:lang w:val="en-US"/>
        </w:rPr>
        <w:t xml:space="preserve">, </w:t>
      </w:r>
      <w:r w:rsidRPr="000C651A">
        <w:rPr>
          <w:lang w:val="en-US"/>
        </w:rPr>
        <w:t>the Jury for the Prosecution of Magistrates determine</w:t>
      </w:r>
      <w:r w:rsidR="004F4C86">
        <w:rPr>
          <w:lang w:val="en-US"/>
        </w:rPr>
        <w:t>d</w:t>
      </w:r>
      <w:r w:rsidRPr="000C651A">
        <w:rPr>
          <w:lang w:val="en-US"/>
        </w:rPr>
        <w:t xml:space="preserve"> the foll</w:t>
      </w:r>
      <w:r>
        <w:rPr>
          <w:lang w:val="en-US"/>
        </w:rPr>
        <w:t>owing</w:t>
      </w:r>
      <w:r w:rsidR="00290AE3" w:rsidRPr="000C651A">
        <w:rPr>
          <w:lang w:val="en-US"/>
        </w:rPr>
        <w:t>:</w:t>
      </w:r>
    </w:p>
    <w:p w14:paraId="0B58A8C5" w14:textId="77777777" w:rsidR="00252902" w:rsidRPr="000C651A" w:rsidRDefault="00252902" w:rsidP="00252902">
      <w:pPr>
        <w:pStyle w:val="parrafos"/>
        <w:numPr>
          <w:ilvl w:val="0"/>
          <w:numId w:val="0"/>
        </w:numPr>
        <w:rPr>
          <w:lang w:val="en-US"/>
        </w:rPr>
      </w:pPr>
    </w:p>
    <w:p w14:paraId="634F44B6" w14:textId="77777777" w:rsidR="00BF4FE8" w:rsidRPr="0020542B" w:rsidRDefault="000C651A" w:rsidP="00BF4FE8">
      <w:pPr>
        <w:pStyle w:val="parrafos"/>
        <w:numPr>
          <w:ilvl w:val="0"/>
          <w:numId w:val="0"/>
        </w:numPr>
        <w:ind w:left="720" w:right="720"/>
        <w:rPr>
          <w:lang w:val="en-US"/>
        </w:rPr>
      </w:pPr>
      <w:r w:rsidRPr="000C651A">
        <w:rPr>
          <w:lang w:val="en-US"/>
        </w:rPr>
        <w:t xml:space="preserve">That for each of the arguments </w:t>
      </w:r>
      <w:r w:rsidR="004F4C86">
        <w:rPr>
          <w:lang w:val="en-US"/>
        </w:rPr>
        <w:t>raised above</w:t>
      </w:r>
      <w:r w:rsidRPr="000C651A">
        <w:rPr>
          <w:lang w:val="en-US"/>
        </w:rPr>
        <w:t>, this Jury believes that the grounds for removal are c</w:t>
      </w:r>
      <w:r>
        <w:rPr>
          <w:lang w:val="en-US"/>
        </w:rPr>
        <w:t xml:space="preserve">learly demonstrated at trial. </w:t>
      </w:r>
      <w:r w:rsidRPr="00324393">
        <w:rPr>
          <w:lang w:val="en-US"/>
        </w:rPr>
        <w:t xml:space="preserve">But we should </w:t>
      </w:r>
      <w:r w:rsidR="00B70E91">
        <w:rPr>
          <w:lang w:val="en-US"/>
        </w:rPr>
        <w:t>direct our attention to</w:t>
      </w:r>
      <w:r w:rsidR="00324393" w:rsidRPr="00324393">
        <w:rPr>
          <w:lang w:val="en-US"/>
        </w:rPr>
        <w:t xml:space="preserve"> some “</w:t>
      </w:r>
      <w:r w:rsidR="00B70E91" w:rsidRPr="00B70E91">
        <w:rPr>
          <w:lang w:val="en-US"/>
        </w:rPr>
        <w:t xml:space="preserve">procedural </w:t>
      </w:r>
      <w:r w:rsidR="00324393" w:rsidRPr="00B70E91">
        <w:rPr>
          <w:lang w:val="en-US"/>
        </w:rPr>
        <w:t>steps taken by</w:t>
      </w:r>
      <w:r w:rsidR="00324393" w:rsidRPr="00324393">
        <w:rPr>
          <w:lang w:val="en-US"/>
        </w:rPr>
        <w:t xml:space="preserve"> the accused” </w:t>
      </w:r>
      <w:r w:rsidR="00B70E91">
        <w:rPr>
          <w:lang w:val="en-US"/>
        </w:rPr>
        <w:t>during</w:t>
      </w:r>
      <w:r w:rsidR="00324393" w:rsidRPr="00324393">
        <w:rPr>
          <w:lang w:val="en-US"/>
        </w:rPr>
        <w:t xml:space="preserve"> this </w:t>
      </w:r>
      <w:r w:rsidR="00B70E91">
        <w:rPr>
          <w:lang w:val="en-US"/>
        </w:rPr>
        <w:t>very</w:t>
      </w:r>
      <w:r w:rsidR="00324393" w:rsidRPr="00324393">
        <w:rPr>
          <w:lang w:val="en-US"/>
        </w:rPr>
        <w:t xml:space="preserve"> proceeding </w:t>
      </w:r>
      <w:r w:rsidR="008A3CB5">
        <w:rPr>
          <w:lang w:val="en-US"/>
        </w:rPr>
        <w:t>that also</w:t>
      </w:r>
      <w:r w:rsidR="00324393">
        <w:rPr>
          <w:lang w:val="en-US"/>
        </w:rPr>
        <w:t xml:space="preserve"> constitute grounds for removal. </w:t>
      </w:r>
      <w:r w:rsidR="00324393" w:rsidRPr="00324393">
        <w:rPr>
          <w:lang w:val="en-US"/>
        </w:rPr>
        <w:t>To that end, we refer to pages</w:t>
      </w:r>
      <w:r w:rsidR="00252902" w:rsidRPr="00324393">
        <w:rPr>
          <w:lang w:val="en-US"/>
        </w:rPr>
        <w:t xml:space="preserve"> 76 </w:t>
      </w:r>
      <w:r w:rsidR="00324393" w:rsidRPr="00324393">
        <w:rPr>
          <w:lang w:val="en-US"/>
        </w:rPr>
        <w:t>to</w:t>
      </w:r>
      <w:r w:rsidR="00252902" w:rsidRPr="00324393">
        <w:rPr>
          <w:lang w:val="en-US"/>
        </w:rPr>
        <w:t xml:space="preserve"> 81 </w:t>
      </w:r>
      <w:r w:rsidR="00324393" w:rsidRPr="00324393">
        <w:rPr>
          <w:lang w:val="en-US"/>
        </w:rPr>
        <w:t>of th</w:t>
      </w:r>
      <w:r w:rsidR="00324393">
        <w:rPr>
          <w:lang w:val="en-US"/>
        </w:rPr>
        <w:t xml:space="preserve">e record, where an expert opinion has been added, prepared by </w:t>
      </w:r>
      <w:r w:rsidR="00252902" w:rsidRPr="00324393">
        <w:rPr>
          <w:lang w:val="en-US"/>
        </w:rPr>
        <w:t xml:space="preserve">Miguel Angel Lemir, </w:t>
      </w:r>
      <w:r w:rsidR="00324393">
        <w:rPr>
          <w:lang w:val="en-US"/>
        </w:rPr>
        <w:t>Expert of the Public Prosecutor’s Office</w:t>
      </w:r>
      <w:r w:rsidR="00B70E91">
        <w:rPr>
          <w:lang w:val="en-US"/>
        </w:rPr>
        <w:t>….</w:t>
      </w:r>
      <w:r w:rsidR="00324393" w:rsidRPr="00324393">
        <w:rPr>
          <w:lang w:val="en-US"/>
        </w:rPr>
        <w:t xml:space="preserve"> Expert Lemir was ordered to perform this task by Criminal Prosecutor </w:t>
      </w:r>
      <w:r w:rsidR="00290AE3" w:rsidRPr="00324393">
        <w:rPr>
          <w:lang w:val="en-US"/>
        </w:rPr>
        <w:t>Nissen…</w:t>
      </w:r>
      <w:r w:rsidR="00324393" w:rsidRPr="00324393">
        <w:rPr>
          <w:lang w:val="en-US"/>
        </w:rPr>
        <w:t>in fact</w:t>
      </w:r>
      <w:r w:rsidR="00252902" w:rsidRPr="00324393">
        <w:rPr>
          <w:lang w:val="en-US"/>
        </w:rPr>
        <w:t xml:space="preserve">, </w:t>
      </w:r>
      <w:r w:rsidR="00324393" w:rsidRPr="00324393">
        <w:rPr>
          <w:lang w:val="en-US"/>
        </w:rPr>
        <w:t>the accus</w:t>
      </w:r>
      <w:r w:rsidR="00252902" w:rsidRPr="00324393">
        <w:rPr>
          <w:lang w:val="en-US"/>
        </w:rPr>
        <w:t>e</w:t>
      </w:r>
      <w:r w:rsidR="00324393" w:rsidRPr="00324393">
        <w:rPr>
          <w:lang w:val="en-US"/>
        </w:rPr>
        <w:t xml:space="preserve">d </w:t>
      </w:r>
      <w:r w:rsidR="00B70E91">
        <w:rPr>
          <w:lang w:val="en-US"/>
        </w:rPr>
        <w:t>was able</w:t>
      </w:r>
      <w:r w:rsidR="00324393" w:rsidRPr="00324393">
        <w:rPr>
          <w:lang w:val="en-US"/>
        </w:rPr>
        <w:t xml:space="preserve"> to obtain a photocopy of a document presented by his accuser to this Jury and, understanding that the signat</w:t>
      </w:r>
      <w:r w:rsidR="00324393">
        <w:rPr>
          <w:lang w:val="en-US"/>
        </w:rPr>
        <w:t xml:space="preserve">ure included on that document is </w:t>
      </w:r>
      <w:r w:rsidR="006F0A3C">
        <w:rPr>
          <w:lang w:val="en-US"/>
        </w:rPr>
        <w:t>not authenticated</w:t>
      </w:r>
      <w:r w:rsidR="00324393">
        <w:rPr>
          <w:lang w:val="en-US"/>
        </w:rPr>
        <w:t xml:space="preserve">, </w:t>
      </w:r>
      <w:r w:rsidR="00252902" w:rsidRPr="00324393">
        <w:rPr>
          <w:lang w:val="en-US"/>
        </w:rPr>
        <w:t xml:space="preserve">per se, </w:t>
      </w:r>
      <w:r w:rsidR="00324393">
        <w:rPr>
          <w:lang w:val="en-US"/>
        </w:rPr>
        <w:t xml:space="preserve">he </w:t>
      </w:r>
      <w:r w:rsidR="0020542B">
        <w:rPr>
          <w:lang w:val="en-US"/>
        </w:rPr>
        <w:t xml:space="preserve">availed himself </w:t>
      </w:r>
      <w:r w:rsidR="0020542B">
        <w:rPr>
          <w:lang w:val="en-US"/>
        </w:rPr>
        <w:lastRenderedPageBreak/>
        <w:t>of</w:t>
      </w:r>
      <w:r w:rsidR="00324393">
        <w:rPr>
          <w:lang w:val="en-US"/>
        </w:rPr>
        <w:t xml:space="preserve"> an Expert from the </w:t>
      </w:r>
      <w:r w:rsidR="0020542B">
        <w:rPr>
          <w:lang w:val="en-US"/>
        </w:rPr>
        <w:t>Public Prosecutor’s Office</w:t>
      </w:r>
      <w:r w:rsidR="0020542B" w:rsidRPr="00324393">
        <w:rPr>
          <w:lang w:val="en-US"/>
        </w:rPr>
        <w:t xml:space="preserve"> </w:t>
      </w:r>
      <w:r w:rsidR="0020542B">
        <w:rPr>
          <w:lang w:val="en-US"/>
        </w:rPr>
        <w:t xml:space="preserve">and ordered him to </w:t>
      </w:r>
      <w:r w:rsidR="006638F3">
        <w:rPr>
          <w:lang w:val="en-US"/>
        </w:rPr>
        <w:t>perform</w:t>
      </w:r>
      <w:r w:rsidR="0020542B">
        <w:rPr>
          <w:lang w:val="en-US"/>
        </w:rPr>
        <w:t xml:space="preserve"> that task. At no time did the accused report that situation to this Jury, which by law </w:t>
      </w:r>
      <w:r w:rsidR="006638F3">
        <w:rPr>
          <w:lang w:val="en-US"/>
        </w:rPr>
        <w:t xml:space="preserve">is in charge of </w:t>
      </w:r>
      <w:r w:rsidR="0020542B">
        <w:rPr>
          <w:lang w:val="en-US"/>
        </w:rPr>
        <w:t>his prosecution</w:t>
      </w:r>
      <w:r w:rsidR="00252902" w:rsidRPr="00324393">
        <w:rPr>
          <w:lang w:val="en-US"/>
        </w:rPr>
        <w:t>.</w:t>
      </w:r>
      <w:r w:rsidR="00252902" w:rsidRPr="0020542B">
        <w:rPr>
          <w:lang w:val="en-US"/>
        </w:rPr>
        <w:t xml:space="preserve"> </w:t>
      </w:r>
      <w:r w:rsidR="0020542B" w:rsidRPr="0020542B">
        <w:rPr>
          <w:lang w:val="en-US"/>
        </w:rPr>
        <w:t xml:space="preserve">What is very serious is that </w:t>
      </w:r>
      <w:r w:rsidR="00252902" w:rsidRPr="0020542B">
        <w:rPr>
          <w:lang w:val="en-US"/>
        </w:rPr>
        <w:t>Alejandro Nissen Pessolani</w:t>
      </w:r>
      <w:r w:rsidR="0020542B" w:rsidRPr="0020542B">
        <w:rPr>
          <w:lang w:val="en-US"/>
        </w:rPr>
        <w:t xml:space="preserve"> never reported his suspicion about his accuser’s signature to “this Jury”; much less did he request that experts be appointed to</w:t>
      </w:r>
      <w:r w:rsidR="0020542B">
        <w:rPr>
          <w:lang w:val="en-US"/>
        </w:rPr>
        <w:t xml:space="preserve"> determine whether or not the document was authentic.</w:t>
      </w:r>
      <w:r w:rsidR="0020542B" w:rsidRPr="0020542B">
        <w:rPr>
          <w:lang w:val="en-US"/>
        </w:rPr>
        <w:t xml:space="preserve"> </w:t>
      </w:r>
      <w:r w:rsidR="00252902" w:rsidRPr="0020542B">
        <w:rPr>
          <w:lang w:val="en-US"/>
        </w:rPr>
        <w:t xml:space="preserve"> </w:t>
      </w:r>
    </w:p>
    <w:p w14:paraId="730BEE54" w14:textId="77777777" w:rsidR="00BF4FE8" w:rsidRPr="0020542B" w:rsidRDefault="00BF4FE8" w:rsidP="00BF4FE8">
      <w:pPr>
        <w:pStyle w:val="parrafos"/>
        <w:numPr>
          <w:ilvl w:val="0"/>
          <w:numId w:val="0"/>
        </w:numPr>
        <w:ind w:left="720" w:right="720"/>
        <w:rPr>
          <w:lang w:val="en-US"/>
        </w:rPr>
      </w:pPr>
    </w:p>
    <w:p w14:paraId="2BC30228" w14:textId="77777777" w:rsidR="00252902" w:rsidRPr="00505C62" w:rsidRDefault="00B762E6" w:rsidP="00BF4FE8">
      <w:pPr>
        <w:pStyle w:val="parrafos"/>
        <w:numPr>
          <w:ilvl w:val="0"/>
          <w:numId w:val="0"/>
        </w:numPr>
        <w:ind w:left="720" w:right="720"/>
        <w:rPr>
          <w:lang w:val="en-US"/>
        </w:rPr>
      </w:pPr>
      <w:r w:rsidRPr="00B762E6">
        <w:rPr>
          <w:lang w:val="en-US"/>
        </w:rPr>
        <w:t xml:space="preserve">Likewise, that by </w:t>
      </w:r>
      <w:r w:rsidR="005C74CC">
        <w:rPr>
          <w:lang w:val="en-US"/>
        </w:rPr>
        <w:t>“</w:t>
      </w:r>
      <w:r w:rsidRPr="00B762E6">
        <w:rPr>
          <w:lang w:val="en-US"/>
        </w:rPr>
        <w:t>ordering</w:t>
      </w:r>
      <w:r w:rsidR="005C74CC">
        <w:rPr>
          <w:lang w:val="en-US"/>
        </w:rPr>
        <w:t>”</w:t>
      </w:r>
      <w:r w:rsidRPr="00B762E6">
        <w:rPr>
          <w:lang w:val="en-US"/>
        </w:rPr>
        <w:t xml:space="preserve"> an expert from the Public Prosecutor’s Office to </w:t>
      </w:r>
      <w:r w:rsidR="006638F3">
        <w:rPr>
          <w:lang w:val="en-US"/>
        </w:rPr>
        <w:t xml:space="preserve">perform his </w:t>
      </w:r>
      <w:r w:rsidRPr="00B762E6">
        <w:rPr>
          <w:lang w:val="en-US"/>
        </w:rPr>
        <w:t xml:space="preserve">task in the context of </w:t>
      </w:r>
      <w:r w:rsidR="005C74CC">
        <w:rPr>
          <w:lang w:val="en-US"/>
        </w:rPr>
        <w:t>“</w:t>
      </w:r>
      <w:r w:rsidRPr="00B762E6">
        <w:rPr>
          <w:lang w:val="en-US"/>
        </w:rPr>
        <w:t>a proceeding before this Jury,</w:t>
      </w:r>
      <w:r w:rsidR="005C74CC">
        <w:rPr>
          <w:lang w:val="en-US"/>
        </w:rPr>
        <w:t>”</w:t>
      </w:r>
      <w:r w:rsidRPr="00B762E6">
        <w:rPr>
          <w:lang w:val="en-US"/>
        </w:rPr>
        <w:t xml:space="preserve"> the accused has arrogated to himself powers th</w:t>
      </w:r>
      <w:r>
        <w:rPr>
          <w:lang w:val="en-US"/>
        </w:rPr>
        <w:t>at belong solely to the Jury for the Prosecution of Magistrates</w:t>
      </w:r>
      <w:r w:rsidR="00BF4FE8" w:rsidRPr="00B762E6">
        <w:rPr>
          <w:lang w:val="en-US"/>
        </w:rPr>
        <w:t xml:space="preserve">. </w:t>
      </w:r>
      <w:r w:rsidR="00505C62" w:rsidRPr="00505C62">
        <w:rPr>
          <w:lang w:val="en-US"/>
        </w:rPr>
        <w:t xml:space="preserve">He has proceeded to order an expert opinion outside a preexisting criminal investigation </w:t>
      </w:r>
      <w:r w:rsidR="006638F3">
        <w:rPr>
          <w:lang w:val="en-US"/>
        </w:rPr>
        <w:t>for which he is</w:t>
      </w:r>
      <w:r w:rsidR="00505C62">
        <w:rPr>
          <w:lang w:val="en-US"/>
        </w:rPr>
        <w:t xml:space="preserve"> responsib</w:t>
      </w:r>
      <w:r w:rsidR="006638F3">
        <w:rPr>
          <w:lang w:val="en-US"/>
        </w:rPr>
        <w:t>le</w:t>
      </w:r>
      <w:r w:rsidR="00505C62">
        <w:rPr>
          <w:lang w:val="en-US"/>
        </w:rPr>
        <w:t xml:space="preserve">. </w:t>
      </w:r>
      <w:r w:rsidR="00505C62" w:rsidRPr="00505C62">
        <w:rPr>
          <w:lang w:val="en-US"/>
        </w:rPr>
        <w:t>His unawareness of or noncompliance with the law lead</w:t>
      </w:r>
      <w:r w:rsidR="006F0A3C">
        <w:rPr>
          <w:lang w:val="en-US"/>
        </w:rPr>
        <w:t>s</w:t>
      </w:r>
      <w:r w:rsidR="00505C62" w:rsidRPr="00505C62">
        <w:rPr>
          <w:lang w:val="en-US"/>
        </w:rPr>
        <w:t xml:space="preserve"> us to conclude that the accused, by his own voluntary and spontaneous actions, has met the grounds for removal established in Article </w:t>
      </w:r>
      <w:r w:rsidR="00BF4FE8" w:rsidRPr="00505C62">
        <w:rPr>
          <w:lang w:val="en-US"/>
        </w:rPr>
        <w:t>14</w:t>
      </w:r>
      <w:r w:rsidR="00505C62">
        <w:rPr>
          <w:lang w:val="en-US"/>
        </w:rPr>
        <w:t xml:space="preserve">, subparagraph </w:t>
      </w:r>
      <w:r w:rsidR="008C679C">
        <w:rPr>
          <w:lang w:val="en-US"/>
        </w:rPr>
        <w:t>(</w:t>
      </w:r>
      <w:r w:rsidR="00BF4FE8" w:rsidRPr="00505C62">
        <w:rPr>
          <w:lang w:val="en-US"/>
        </w:rPr>
        <w:t>g</w:t>
      </w:r>
      <w:r w:rsidR="008C679C">
        <w:rPr>
          <w:lang w:val="en-US"/>
        </w:rPr>
        <w:t>)</w:t>
      </w:r>
      <w:r w:rsidR="00505C62">
        <w:rPr>
          <w:lang w:val="en-US"/>
        </w:rPr>
        <w:t xml:space="preserve">, of Law No. </w:t>
      </w:r>
      <w:r w:rsidR="00BF4FE8" w:rsidRPr="00505C62">
        <w:rPr>
          <w:lang w:val="en-US"/>
        </w:rPr>
        <w:t>1.084/97 …</w:t>
      </w:r>
      <w:r w:rsidR="00505C62">
        <w:rPr>
          <w:lang w:val="en-US"/>
        </w:rPr>
        <w:t>.</w:t>
      </w:r>
      <w:r w:rsidR="00290AE3" w:rsidRPr="00766381">
        <w:rPr>
          <w:rStyle w:val="FootnoteReference"/>
        </w:rPr>
        <w:footnoteReference w:id="10"/>
      </w:r>
      <w:r w:rsidR="00252902" w:rsidRPr="00505C62">
        <w:rPr>
          <w:lang w:val="en-US"/>
        </w:rPr>
        <w:t xml:space="preserve"> </w:t>
      </w:r>
    </w:p>
    <w:p w14:paraId="733672E6" w14:textId="77777777" w:rsidR="00E40BF1" w:rsidRPr="00505C62" w:rsidRDefault="00E40BF1" w:rsidP="00E40BF1">
      <w:pPr>
        <w:pStyle w:val="parrafos"/>
        <w:numPr>
          <w:ilvl w:val="0"/>
          <w:numId w:val="0"/>
        </w:numPr>
        <w:ind w:right="720"/>
        <w:rPr>
          <w:lang w:val="en-US"/>
        </w:rPr>
      </w:pPr>
    </w:p>
    <w:p w14:paraId="0AE2CE81" w14:textId="77777777" w:rsidR="00252902" w:rsidRPr="00BA136F" w:rsidRDefault="00CF6BD4" w:rsidP="00E40BF1">
      <w:pPr>
        <w:pStyle w:val="parrafos"/>
        <w:rPr>
          <w:lang w:val="en-US"/>
        </w:rPr>
      </w:pPr>
      <w:r w:rsidRPr="004165A8">
        <w:rPr>
          <w:lang w:val="en-US"/>
        </w:rPr>
        <w:t xml:space="preserve">The alleged victim filed a petition for clarification of the </w:t>
      </w:r>
      <w:r w:rsidR="004165A8">
        <w:rPr>
          <w:lang w:val="en-US"/>
        </w:rPr>
        <w:t>sanction</w:t>
      </w:r>
      <w:r w:rsidR="004165A8" w:rsidRPr="004165A8">
        <w:rPr>
          <w:lang w:val="en-US"/>
        </w:rPr>
        <w:t xml:space="preserve"> decision.</w:t>
      </w:r>
      <w:r w:rsidR="004165A8">
        <w:rPr>
          <w:lang w:val="en-US"/>
        </w:rPr>
        <w:t xml:space="preserve"> </w:t>
      </w:r>
      <w:r w:rsidR="004165A8" w:rsidRPr="00BA136F">
        <w:rPr>
          <w:lang w:val="en-US"/>
        </w:rPr>
        <w:t>The Commission does not have</w:t>
      </w:r>
      <w:r w:rsidR="00BA136F" w:rsidRPr="00BA136F">
        <w:rPr>
          <w:lang w:val="en-US"/>
        </w:rPr>
        <w:t xml:space="preserve"> any</w:t>
      </w:r>
      <w:r w:rsidR="00E40BF1" w:rsidRPr="00BA136F">
        <w:rPr>
          <w:lang w:val="en-US"/>
        </w:rPr>
        <w:t xml:space="preserve"> </w:t>
      </w:r>
      <w:r w:rsidR="004165A8" w:rsidRPr="00BA136F">
        <w:rPr>
          <w:lang w:val="en-US"/>
        </w:rPr>
        <w:t xml:space="preserve">information about that petition. </w:t>
      </w:r>
      <w:r w:rsidR="00E40BF1" w:rsidRPr="00BA136F">
        <w:rPr>
          <w:lang w:val="en-US"/>
        </w:rPr>
        <w:t xml:space="preserve"> </w:t>
      </w:r>
    </w:p>
    <w:p w14:paraId="3A18E289" w14:textId="77777777" w:rsidR="00E40BF1" w:rsidRPr="00BA136F" w:rsidRDefault="00E40BF1" w:rsidP="00E40BF1">
      <w:pPr>
        <w:pStyle w:val="parrafos"/>
        <w:numPr>
          <w:ilvl w:val="0"/>
          <w:numId w:val="0"/>
        </w:numPr>
        <w:rPr>
          <w:lang w:val="en-US"/>
        </w:rPr>
      </w:pPr>
    </w:p>
    <w:p w14:paraId="67B77A08" w14:textId="77777777" w:rsidR="00E40BF1" w:rsidRPr="004165A8" w:rsidRDefault="004165A8" w:rsidP="00E40BF1">
      <w:pPr>
        <w:pStyle w:val="parrafos"/>
        <w:rPr>
          <w:lang w:val="en-US"/>
        </w:rPr>
      </w:pPr>
      <w:r w:rsidRPr="004165A8">
        <w:rPr>
          <w:lang w:val="en-US"/>
        </w:rPr>
        <w:t>On April</w:t>
      </w:r>
      <w:r w:rsidR="00E40BF1" w:rsidRPr="004165A8">
        <w:rPr>
          <w:lang w:val="en-US"/>
        </w:rPr>
        <w:t xml:space="preserve"> 22</w:t>
      </w:r>
      <w:r w:rsidRPr="004165A8">
        <w:rPr>
          <w:lang w:val="en-US"/>
        </w:rPr>
        <w:t xml:space="preserve">, </w:t>
      </w:r>
      <w:r w:rsidR="00E40BF1" w:rsidRPr="004165A8">
        <w:rPr>
          <w:lang w:val="en-US"/>
        </w:rPr>
        <w:t xml:space="preserve">2003, </w:t>
      </w:r>
      <w:r w:rsidRPr="004165A8">
        <w:rPr>
          <w:lang w:val="en-US"/>
        </w:rPr>
        <w:t>the</w:t>
      </w:r>
      <w:r w:rsidR="00E40BF1" w:rsidRPr="004165A8">
        <w:rPr>
          <w:lang w:val="en-US"/>
        </w:rPr>
        <w:t xml:space="preserve"> JEM </w:t>
      </w:r>
      <w:r w:rsidRPr="004165A8">
        <w:rPr>
          <w:lang w:val="en-US"/>
        </w:rPr>
        <w:t xml:space="preserve">decided not to grant the petition for clarification, finding that “the preconditions required for allowing </w:t>
      </w:r>
      <w:r w:rsidR="00466446">
        <w:rPr>
          <w:lang w:val="en-US"/>
        </w:rPr>
        <w:t>the</w:t>
      </w:r>
      <w:r w:rsidRPr="004165A8">
        <w:rPr>
          <w:lang w:val="en-US"/>
        </w:rPr>
        <w:t xml:space="preserve"> appeal did not exist, given that the </w:t>
      </w:r>
      <w:r w:rsidR="00466446">
        <w:rPr>
          <w:lang w:val="en-US"/>
        </w:rPr>
        <w:t>appellant</w:t>
      </w:r>
      <w:r w:rsidRPr="004165A8">
        <w:rPr>
          <w:lang w:val="en-US"/>
        </w:rPr>
        <w:t xml:space="preserve"> </w:t>
      </w:r>
      <w:r w:rsidR="00466446">
        <w:rPr>
          <w:lang w:val="en-US"/>
        </w:rPr>
        <w:t>was requesting</w:t>
      </w:r>
      <w:r w:rsidRPr="004165A8">
        <w:rPr>
          <w:lang w:val="en-US"/>
        </w:rPr>
        <w:t xml:space="preserve"> clarification of matters that were clearly </w:t>
      </w:r>
      <w:r w:rsidR="00097C22">
        <w:rPr>
          <w:lang w:val="en-US"/>
        </w:rPr>
        <w:t>laid out</w:t>
      </w:r>
      <w:r w:rsidRPr="004165A8">
        <w:rPr>
          <w:lang w:val="en-US"/>
        </w:rPr>
        <w:t xml:space="preserve"> in Article 31 of Law No.</w:t>
      </w:r>
      <w:r w:rsidR="00E40BF1" w:rsidRPr="004165A8">
        <w:rPr>
          <w:lang w:val="en-US"/>
        </w:rPr>
        <w:t xml:space="preserve"> 1084</w:t>
      </w:r>
      <w:r w:rsidRPr="004165A8">
        <w:rPr>
          <w:lang w:val="en-US"/>
        </w:rPr>
        <w:t>.</w:t>
      </w:r>
      <w:r w:rsidR="00E40BF1" w:rsidRPr="004165A8">
        <w:rPr>
          <w:lang w:val="en-US"/>
        </w:rPr>
        <w:t>”</w:t>
      </w:r>
      <w:r w:rsidR="00E40BF1" w:rsidRPr="00766381">
        <w:rPr>
          <w:rStyle w:val="FootnoteReference"/>
        </w:rPr>
        <w:footnoteReference w:id="11"/>
      </w:r>
    </w:p>
    <w:p w14:paraId="04D18410" w14:textId="77777777" w:rsidR="00AE7270" w:rsidRPr="004165A8" w:rsidRDefault="00AE7270" w:rsidP="00AE7270">
      <w:pPr>
        <w:pStyle w:val="parrafos"/>
        <w:numPr>
          <w:ilvl w:val="0"/>
          <w:numId w:val="0"/>
        </w:numPr>
        <w:rPr>
          <w:lang w:val="en-US"/>
        </w:rPr>
      </w:pPr>
    </w:p>
    <w:p w14:paraId="74C416A7" w14:textId="77777777" w:rsidR="002B6FA5" w:rsidRPr="008B011D" w:rsidRDefault="00AF48C1" w:rsidP="00AF48C1">
      <w:pPr>
        <w:pStyle w:val="Heading3"/>
        <w:numPr>
          <w:ilvl w:val="0"/>
          <w:numId w:val="0"/>
        </w:numPr>
      </w:pPr>
      <w:bookmarkStart w:id="14" w:name="_Toc42595067"/>
      <w:r w:rsidRPr="008B011D">
        <w:t>3</w:t>
      </w:r>
      <w:r w:rsidR="005F567A" w:rsidRPr="008B011D">
        <w:t xml:space="preserve">. </w:t>
      </w:r>
      <w:r w:rsidR="008E0900">
        <w:t>S</w:t>
      </w:r>
      <w:r w:rsidR="008B011D" w:rsidRPr="008B011D">
        <w:t>econd complaint filed against the alleged victim</w:t>
      </w:r>
      <w:bookmarkEnd w:id="14"/>
      <w:r w:rsidR="008B011D" w:rsidRPr="008B011D">
        <w:t xml:space="preserve"> </w:t>
      </w:r>
    </w:p>
    <w:p w14:paraId="21A5F164" w14:textId="77777777" w:rsidR="002B6FA5" w:rsidRPr="008B011D" w:rsidRDefault="002B6FA5" w:rsidP="00252902">
      <w:pPr>
        <w:pStyle w:val="parrafos"/>
        <w:numPr>
          <w:ilvl w:val="0"/>
          <w:numId w:val="0"/>
        </w:numPr>
        <w:rPr>
          <w:lang w:val="en-US"/>
        </w:rPr>
      </w:pPr>
    </w:p>
    <w:p w14:paraId="762A5261" w14:textId="77777777" w:rsidR="00F55FFC" w:rsidRPr="00FE3B6E" w:rsidRDefault="00FE3B6E" w:rsidP="00F55FFC">
      <w:pPr>
        <w:pStyle w:val="parrafos"/>
        <w:rPr>
          <w:lang w:val="en-US"/>
        </w:rPr>
      </w:pPr>
      <w:r w:rsidRPr="00FE3B6E">
        <w:rPr>
          <w:lang w:val="en-US"/>
        </w:rPr>
        <w:t>On April</w:t>
      </w:r>
      <w:r w:rsidR="002B6FA5" w:rsidRPr="00FE3B6E">
        <w:rPr>
          <w:lang w:val="en-US"/>
        </w:rPr>
        <w:t xml:space="preserve"> </w:t>
      </w:r>
      <w:r w:rsidR="00A76AA3" w:rsidRPr="00FE3B6E">
        <w:rPr>
          <w:lang w:val="en-US"/>
        </w:rPr>
        <w:t>4</w:t>
      </w:r>
      <w:r w:rsidRPr="00FE3B6E">
        <w:rPr>
          <w:lang w:val="en-US"/>
        </w:rPr>
        <w:t xml:space="preserve">, </w:t>
      </w:r>
      <w:r w:rsidR="00A76AA3" w:rsidRPr="00FE3B6E">
        <w:rPr>
          <w:lang w:val="en-US"/>
        </w:rPr>
        <w:t xml:space="preserve">2003, </w:t>
      </w:r>
      <w:r w:rsidRPr="00FE3B6E">
        <w:rPr>
          <w:lang w:val="en-US"/>
        </w:rPr>
        <w:t>Mr.</w:t>
      </w:r>
      <w:r w:rsidR="00A76AA3" w:rsidRPr="00FE3B6E">
        <w:rPr>
          <w:lang w:val="en-US"/>
        </w:rPr>
        <w:t xml:space="preserve"> Luis Humberto Arévalo</w:t>
      </w:r>
      <w:r w:rsidRPr="00FE3B6E">
        <w:rPr>
          <w:lang w:val="en-US"/>
        </w:rPr>
        <w:t xml:space="preserve">, representing </w:t>
      </w:r>
      <w:r w:rsidR="00A76AA3" w:rsidRPr="00FE3B6E">
        <w:rPr>
          <w:lang w:val="en-US"/>
        </w:rPr>
        <w:t xml:space="preserve">Silverio Dure Velázquez </w:t>
      </w:r>
      <w:r w:rsidRPr="00FE3B6E">
        <w:rPr>
          <w:lang w:val="en-US"/>
        </w:rPr>
        <w:t>and</w:t>
      </w:r>
      <w:r w:rsidR="00A76AA3" w:rsidRPr="00FE3B6E">
        <w:rPr>
          <w:lang w:val="en-US"/>
        </w:rPr>
        <w:t xml:space="preserve"> Matilde Melgarejo de Dure, </w:t>
      </w:r>
      <w:r w:rsidRPr="00FE3B6E">
        <w:rPr>
          <w:lang w:val="en-US"/>
        </w:rPr>
        <w:t xml:space="preserve">filed a complaint against the alleged victim for poor performance of duties in Case No. </w:t>
      </w:r>
      <w:r w:rsidR="00F55FFC" w:rsidRPr="00FE3B6E">
        <w:rPr>
          <w:lang w:val="en-US"/>
        </w:rPr>
        <w:t xml:space="preserve">14069, </w:t>
      </w:r>
      <w:r w:rsidRPr="00FE3B6E">
        <w:rPr>
          <w:lang w:val="en-US"/>
        </w:rPr>
        <w:t>a</w:t>
      </w:r>
      <w:r>
        <w:rPr>
          <w:lang w:val="en-US"/>
        </w:rPr>
        <w:t xml:space="preserve">lleging the grounds established in subparagraphs </w:t>
      </w:r>
      <w:r w:rsidR="008C679C">
        <w:rPr>
          <w:lang w:val="en-US"/>
        </w:rPr>
        <w:t>(</w:t>
      </w:r>
      <w:r w:rsidR="00F55FFC" w:rsidRPr="00FE3B6E">
        <w:rPr>
          <w:lang w:val="en-US"/>
        </w:rPr>
        <w:t>b</w:t>
      </w:r>
      <w:r w:rsidR="008C679C">
        <w:rPr>
          <w:lang w:val="en-US"/>
        </w:rPr>
        <w:t>)</w:t>
      </w:r>
      <w:r w:rsidR="00F55FFC" w:rsidRPr="00FE3B6E">
        <w:rPr>
          <w:lang w:val="en-US"/>
        </w:rPr>
        <w:t xml:space="preserve">, </w:t>
      </w:r>
      <w:r w:rsidR="008C679C">
        <w:rPr>
          <w:lang w:val="en-US"/>
        </w:rPr>
        <w:t>(</w:t>
      </w:r>
      <w:r w:rsidR="00F55FFC" w:rsidRPr="00FE3B6E">
        <w:rPr>
          <w:lang w:val="en-US"/>
        </w:rPr>
        <w:t>c</w:t>
      </w:r>
      <w:r w:rsidR="008C679C">
        <w:rPr>
          <w:lang w:val="en-US"/>
        </w:rPr>
        <w:t>)</w:t>
      </w:r>
      <w:r w:rsidR="00F55FFC" w:rsidRPr="00FE3B6E">
        <w:rPr>
          <w:lang w:val="en-US"/>
        </w:rPr>
        <w:t xml:space="preserve">, </w:t>
      </w:r>
      <w:r w:rsidR="008C679C">
        <w:rPr>
          <w:lang w:val="en-US"/>
        </w:rPr>
        <w:t>(</w:t>
      </w:r>
      <w:r w:rsidR="00F55FFC" w:rsidRPr="00FE3B6E">
        <w:rPr>
          <w:lang w:val="en-US"/>
        </w:rPr>
        <w:t>g</w:t>
      </w:r>
      <w:r w:rsidR="008C679C">
        <w:rPr>
          <w:lang w:val="en-US"/>
        </w:rPr>
        <w:t>)</w:t>
      </w:r>
      <w:r>
        <w:rPr>
          <w:lang w:val="en-US"/>
        </w:rPr>
        <w:t>, and</w:t>
      </w:r>
      <w:r w:rsidR="00F55FFC" w:rsidRPr="00FE3B6E">
        <w:rPr>
          <w:lang w:val="en-US"/>
        </w:rPr>
        <w:t xml:space="preserve"> </w:t>
      </w:r>
      <w:r w:rsidR="008C679C">
        <w:rPr>
          <w:lang w:val="en-US"/>
        </w:rPr>
        <w:t>(</w:t>
      </w:r>
      <w:r w:rsidR="00F55FFC" w:rsidRPr="00FE3B6E">
        <w:rPr>
          <w:lang w:val="en-US"/>
        </w:rPr>
        <w:t>n</w:t>
      </w:r>
      <w:r w:rsidR="008C679C">
        <w:rPr>
          <w:lang w:val="en-US"/>
        </w:rPr>
        <w:t>)</w:t>
      </w:r>
      <w:r w:rsidR="00F55FFC" w:rsidRPr="00FE3B6E">
        <w:rPr>
          <w:lang w:val="en-US"/>
        </w:rPr>
        <w:t xml:space="preserve"> </w:t>
      </w:r>
      <w:r>
        <w:rPr>
          <w:lang w:val="en-US"/>
        </w:rPr>
        <w:t xml:space="preserve">of Article </w:t>
      </w:r>
      <w:r w:rsidR="00F55FFC" w:rsidRPr="00FE3B6E">
        <w:rPr>
          <w:lang w:val="en-US"/>
        </w:rPr>
        <w:t xml:space="preserve">14 </w:t>
      </w:r>
      <w:r>
        <w:rPr>
          <w:lang w:val="en-US"/>
        </w:rPr>
        <w:t xml:space="preserve">of Law No. </w:t>
      </w:r>
      <w:r w:rsidR="00F55FFC" w:rsidRPr="00FE3B6E">
        <w:rPr>
          <w:lang w:val="en-US"/>
        </w:rPr>
        <w:t>1084</w:t>
      </w:r>
      <w:r>
        <w:rPr>
          <w:lang w:val="en-US"/>
        </w:rPr>
        <w:t>.</w:t>
      </w:r>
      <w:r w:rsidR="00F55FFC" w:rsidRPr="00766381">
        <w:rPr>
          <w:rStyle w:val="FootnoteReference"/>
        </w:rPr>
        <w:footnoteReference w:id="12"/>
      </w:r>
    </w:p>
    <w:p w14:paraId="50A75743" w14:textId="77777777" w:rsidR="00F55FFC" w:rsidRPr="00FE3B6E" w:rsidRDefault="00F55FFC" w:rsidP="00F55FFC">
      <w:pPr>
        <w:pStyle w:val="parrafos"/>
        <w:numPr>
          <w:ilvl w:val="0"/>
          <w:numId w:val="0"/>
        </w:numPr>
        <w:rPr>
          <w:lang w:val="en-US"/>
        </w:rPr>
      </w:pPr>
    </w:p>
    <w:p w14:paraId="3ECB8147" w14:textId="77777777" w:rsidR="00F55FFC" w:rsidRPr="00953FCD" w:rsidRDefault="00D57666" w:rsidP="00F55FFC">
      <w:pPr>
        <w:pStyle w:val="parrafos"/>
        <w:rPr>
          <w:lang w:val="en-US"/>
        </w:rPr>
      </w:pPr>
      <w:r w:rsidRPr="00953FCD">
        <w:rPr>
          <w:lang w:val="en-US"/>
        </w:rPr>
        <w:t>On April</w:t>
      </w:r>
      <w:r w:rsidR="002A5F5B" w:rsidRPr="00953FCD">
        <w:rPr>
          <w:lang w:val="en-US"/>
        </w:rPr>
        <w:t xml:space="preserve"> 29</w:t>
      </w:r>
      <w:r w:rsidRPr="00953FCD">
        <w:rPr>
          <w:lang w:val="en-US"/>
        </w:rPr>
        <w:t xml:space="preserve">, </w:t>
      </w:r>
      <w:r w:rsidR="002A5F5B" w:rsidRPr="00953FCD">
        <w:rPr>
          <w:lang w:val="en-US"/>
        </w:rPr>
        <w:t xml:space="preserve">2004, </w:t>
      </w:r>
      <w:r w:rsidRPr="00953FCD">
        <w:rPr>
          <w:lang w:val="en-US"/>
        </w:rPr>
        <w:t xml:space="preserve">the </w:t>
      </w:r>
      <w:r w:rsidR="002A5F5B" w:rsidRPr="00953FCD">
        <w:rPr>
          <w:lang w:val="en-US"/>
        </w:rPr>
        <w:t xml:space="preserve">JEM </w:t>
      </w:r>
      <w:r w:rsidRPr="00953FCD">
        <w:rPr>
          <w:lang w:val="en-US"/>
        </w:rPr>
        <w:t xml:space="preserve">decided to </w:t>
      </w:r>
      <w:r w:rsidR="004F2310" w:rsidRPr="00953FCD">
        <w:rPr>
          <w:lang w:val="en-US"/>
        </w:rPr>
        <w:t>acquit the alleged victim, stating that “the existence of devious conduct or prohibited or erroneous action had not been determined” in the case in question.</w:t>
      </w:r>
      <w:r w:rsidR="002A5F5B" w:rsidRPr="00766381">
        <w:rPr>
          <w:rStyle w:val="FootnoteReference"/>
        </w:rPr>
        <w:footnoteReference w:id="13"/>
      </w:r>
    </w:p>
    <w:p w14:paraId="202B55C4" w14:textId="77777777" w:rsidR="002A5F5B" w:rsidRPr="00953FCD" w:rsidRDefault="002A5F5B" w:rsidP="002A5F5B">
      <w:pPr>
        <w:pStyle w:val="ListParagraph"/>
        <w:rPr>
          <w:lang w:val="en-US"/>
        </w:rPr>
      </w:pPr>
    </w:p>
    <w:p w14:paraId="3985F2EE" w14:textId="77777777" w:rsidR="00BA136F" w:rsidRPr="00BA136F" w:rsidRDefault="00BA136F" w:rsidP="00BA136F">
      <w:pPr>
        <w:pStyle w:val="parrafos"/>
        <w:rPr>
          <w:lang w:val="en-US"/>
        </w:rPr>
      </w:pPr>
      <w:r w:rsidRPr="00BA136F">
        <w:rPr>
          <w:lang w:val="en-US"/>
        </w:rPr>
        <w:t>The all</w:t>
      </w:r>
      <w:r>
        <w:rPr>
          <w:lang w:val="en-US"/>
        </w:rPr>
        <w:t>e</w:t>
      </w:r>
      <w:r w:rsidRPr="00BA136F">
        <w:rPr>
          <w:lang w:val="en-US"/>
        </w:rPr>
        <w:t xml:space="preserve">ged victim brought a petition for clarification of the judgment of April </w:t>
      </w:r>
      <w:r w:rsidR="002A5F5B" w:rsidRPr="00BA136F">
        <w:rPr>
          <w:lang w:val="en-US"/>
        </w:rPr>
        <w:t>29</w:t>
      </w:r>
      <w:r w:rsidRPr="00BA136F">
        <w:rPr>
          <w:lang w:val="en-US"/>
        </w:rPr>
        <w:t xml:space="preserve">, </w:t>
      </w:r>
      <w:r w:rsidR="002A5F5B" w:rsidRPr="00BA136F">
        <w:rPr>
          <w:lang w:val="en-US"/>
        </w:rPr>
        <w:t xml:space="preserve">2004. </w:t>
      </w:r>
      <w:r w:rsidRPr="00BA136F">
        <w:rPr>
          <w:lang w:val="en-US"/>
        </w:rPr>
        <w:t xml:space="preserve">The Commission does not have any information about that petition. </w:t>
      </w:r>
    </w:p>
    <w:p w14:paraId="62C56D2D" w14:textId="77777777" w:rsidR="00BA136F" w:rsidRPr="00BA136F" w:rsidRDefault="00BA136F" w:rsidP="00BA136F">
      <w:pPr>
        <w:pStyle w:val="parrafos"/>
        <w:numPr>
          <w:ilvl w:val="0"/>
          <w:numId w:val="0"/>
        </w:numPr>
        <w:rPr>
          <w:lang w:val="en-US"/>
        </w:rPr>
      </w:pPr>
    </w:p>
    <w:p w14:paraId="4AFA3396" w14:textId="77777777" w:rsidR="002A5F5B" w:rsidRPr="005B3FDA" w:rsidRDefault="00BA136F" w:rsidP="00F55FFC">
      <w:pPr>
        <w:pStyle w:val="parrafos"/>
        <w:rPr>
          <w:lang w:val="es-CO"/>
        </w:rPr>
      </w:pPr>
      <w:r w:rsidRPr="005B3FDA">
        <w:rPr>
          <w:lang w:val="en-US"/>
        </w:rPr>
        <w:t>On May</w:t>
      </w:r>
      <w:r w:rsidR="002A5F5B" w:rsidRPr="005B3FDA">
        <w:rPr>
          <w:lang w:val="en-US"/>
        </w:rPr>
        <w:t xml:space="preserve"> 13</w:t>
      </w:r>
      <w:r w:rsidRPr="005B3FDA">
        <w:rPr>
          <w:lang w:val="en-US"/>
        </w:rPr>
        <w:t xml:space="preserve">, </w:t>
      </w:r>
      <w:r w:rsidR="002A5F5B" w:rsidRPr="005B3FDA">
        <w:rPr>
          <w:lang w:val="en-US"/>
        </w:rPr>
        <w:t xml:space="preserve">2004, </w:t>
      </w:r>
      <w:r w:rsidRPr="005B3FDA">
        <w:rPr>
          <w:lang w:val="en-US"/>
        </w:rPr>
        <w:t>the</w:t>
      </w:r>
      <w:r w:rsidR="002A5F5B" w:rsidRPr="005B3FDA">
        <w:rPr>
          <w:lang w:val="en-US"/>
        </w:rPr>
        <w:t xml:space="preserve"> JEM </w:t>
      </w:r>
      <w:r w:rsidRPr="005B3FDA">
        <w:rPr>
          <w:lang w:val="en-US"/>
        </w:rPr>
        <w:t xml:space="preserve">ruled on the petition for clarification and indicated that </w:t>
      </w:r>
      <w:r w:rsidR="005B3FDA" w:rsidRPr="005B3FDA">
        <w:rPr>
          <w:lang w:val="en-US"/>
        </w:rPr>
        <w:t>the facts in pl</w:t>
      </w:r>
      <w:r w:rsidR="005B3FDA">
        <w:rPr>
          <w:lang w:val="en-US"/>
        </w:rPr>
        <w:t xml:space="preserve">ace clearly showed that </w:t>
      </w:r>
      <w:r w:rsidR="005B3FDA" w:rsidRPr="005B3FDA">
        <w:rPr>
          <w:lang w:val="en-US"/>
        </w:rPr>
        <w:t xml:space="preserve">each party </w:t>
      </w:r>
      <w:r w:rsidR="005B3FDA" w:rsidRPr="0034108B">
        <w:rPr>
          <w:lang w:val="en-US"/>
        </w:rPr>
        <w:t xml:space="preserve">should bear its own costs. </w:t>
      </w:r>
      <w:r w:rsidR="005B3FDA" w:rsidRPr="0034108B">
        <w:rPr>
          <w:lang w:val="es-CO"/>
        </w:rPr>
        <w:t>It</w:t>
      </w:r>
      <w:r w:rsidR="005B3FDA">
        <w:rPr>
          <w:lang w:val="es-CO"/>
        </w:rPr>
        <w:t xml:space="preserve"> thus decided:</w:t>
      </w:r>
    </w:p>
    <w:p w14:paraId="7B99CBF8" w14:textId="77777777" w:rsidR="005F567A" w:rsidRPr="005B3FDA" w:rsidRDefault="005F567A" w:rsidP="005F567A">
      <w:pPr>
        <w:pStyle w:val="ListParagraph"/>
        <w:rPr>
          <w:lang w:val="es-CO"/>
        </w:rPr>
      </w:pPr>
    </w:p>
    <w:p w14:paraId="5632D810" w14:textId="77777777" w:rsidR="005F567A" w:rsidRPr="005B3FDA" w:rsidRDefault="005F567A" w:rsidP="005F567A">
      <w:pPr>
        <w:pStyle w:val="parrafos"/>
        <w:numPr>
          <w:ilvl w:val="0"/>
          <w:numId w:val="0"/>
        </w:numPr>
        <w:ind w:left="720" w:right="720"/>
        <w:rPr>
          <w:lang w:val="en-US"/>
        </w:rPr>
      </w:pPr>
      <w:r w:rsidRPr="005B3FDA">
        <w:rPr>
          <w:lang w:val="en-US"/>
        </w:rPr>
        <w:t xml:space="preserve">1) </w:t>
      </w:r>
      <w:r w:rsidR="005B3FDA" w:rsidRPr="005B3FDA">
        <w:rPr>
          <w:lang w:val="en-US"/>
        </w:rPr>
        <w:t xml:space="preserve">TO GRANT the petition for clarification presented by Lawyer </w:t>
      </w:r>
      <w:r w:rsidRPr="005B3FDA">
        <w:rPr>
          <w:lang w:val="en-US"/>
        </w:rPr>
        <w:t xml:space="preserve">Alejandro Nissen Pessolani, </w:t>
      </w:r>
      <w:r w:rsidR="005B3FDA" w:rsidRPr="005B3FDA">
        <w:rPr>
          <w:lang w:val="en-US"/>
        </w:rPr>
        <w:t xml:space="preserve">Criminal Prosecutor in the Capital, and as a result, </w:t>
      </w:r>
      <w:r w:rsidR="005B3FDA">
        <w:rPr>
          <w:lang w:val="en-US"/>
        </w:rPr>
        <w:t xml:space="preserve">order </w:t>
      </w:r>
      <w:r w:rsidR="00652E0C" w:rsidRPr="00652E0C">
        <w:rPr>
          <w:lang w:val="en-US"/>
        </w:rPr>
        <w:t>that</w:t>
      </w:r>
      <w:r w:rsidR="005B3FDA" w:rsidRPr="00652E0C">
        <w:rPr>
          <w:lang w:val="en-US"/>
        </w:rPr>
        <w:t xml:space="preserve"> </w:t>
      </w:r>
      <w:r w:rsidRPr="00652E0C">
        <w:rPr>
          <w:lang w:val="en-US"/>
        </w:rPr>
        <w:t>S.D. N</w:t>
      </w:r>
      <w:r w:rsidR="00BC1AF0">
        <w:rPr>
          <w:lang w:val="en-US"/>
        </w:rPr>
        <w:t xml:space="preserve">o. </w:t>
      </w:r>
      <w:r w:rsidRPr="005B3FDA">
        <w:rPr>
          <w:lang w:val="en-US"/>
        </w:rPr>
        <w:t xml:space="preserve">11/04 </w:t>
      </w:r>
      <w:r w:rsidR="005B3FDA" w:rsidRPr="005B3FDA">
        <w:rPr>
          <w:lang w:val="en-US"/>
        </w:rPr>
        <w:t>of April</w:t>
      </w:r>
      <w:r w:rsidRPr="005B3FDA">
        <w:rPr>
          <w:lang w:val="en-US"/>
        </w:rPr>
        <w:t xml:space="preserve"> 29</w:t>
      </w:r>
      <w:r w:rsidR="005B3FDA" w:rsidRPr="005B3FDA">
        <w:rPr>
          <w:lang w:val="en-US"/>
        </w:rPr>
        <w:t xml:space="preserve">, </w:t>
      </w:r>
      <w:r w:rsidRPr="005B3FDA">
        <w:rPr>
          <w:lang w:val="en-US"/>
        </w:rPr>
        <w:t>2004,</w:t>
      </w:r>
      <w:r w:rsidR="00652E0C">
        <w:rPr>
          <w:lang w:val="en-US"/>
        </w:rPr>
        <w:t xml:space="preserve"> be amended,</w:t>
      </w:r>
      <w:r w:rsidRPr="005B3FDA">
        <w:rPr>
          <w:lang w:val="en-US"/>
        </w:rPr>
        <w:t xml:space="preserve"> </w:t>
      </w:r>
      <w:r w:rsidR="005B3FDA" w:rsidRPr="005B3FDA">
        <w:rPr>
          <w:lang w:val="en-US"/>
        </w:rPr>
        <w:t>in</w:t>
      </w:r>
      <w:r w:rsidR="005B3FDA">
        <w:rPr>
          <w:lang w:val="en-US"/>
        </w:rPr>
        <w:t xml:space="preserve"> the sense that each party should bear its own costs</w:t>
      </w:r>
      <w:r w:rsidRPr="005B3FDA">
        <w:rPr>
          <w:lang w:val="en-US"/>
        </w:rPr>
        <w:t>.</w:t>
      </w:r>
    </w:p>
    <w:p w14:paraId="7797B819" w14:textId="77777777" w:rsidR="005F567A" w:rsidRPr="005B3FDA" w:rsidRDefault="005F567A" w:rsidP="005F567A">
      <w:pPr>
        <w:pStyle w:val="parrafos"/>
        <w:numPr>
          <w:ilvl w:val="0"/>
          <w:numId w:val="0"/>
        </w:numPr>
        <w:ind w:left="720" w:right="720"/>
        <w:rPr>
          <w:lang w:val="en-US"/>
        </w:rPr>
      </w:pPr>
      <w:r w:rsidRPr="005B3FDA">
        <w:rPr>
          <w:lang w:val="en-US"/>
        </w:rPr>
        <w:t>2)</w:t>
      </w:r>
      <w:r w:rsidR="0018078B" w:rsidRPr="005B3FDA">
        <w:rPr>
          <w:lang w:val="en-US"/>
        </w:rPr>
        <w:t xml:space="preserve"> </w:t>
      </w:r>
      <w:r w:rsidR="005B3FDA" w:rsidRPr="005B3FDA">
        <w:rPr>
          <w:lang w:val="en-US"/>
        </w:rPr>
        <w:t>MAKE A NOTE</w:t>
      </w:r>
      <w:r w:rsidR="005B3FDA">
        <w:rPr>
          <w:lang w:val="en-US"/>
        </w:rPr>
        <w:t xml:space="preserve"> OF</w:t>
      </w:r>
      <w:r w:rsidRPr="005B3FDA">
        <w:rPr>
          <w:lang w:val="en-US"/>
        </w:rPr>
        <w:t xml:space="preserve">, </w:t>
      </w:r>
      <w:r w:rsidR="005B3FDA" w:rsidRPr="005B3FDA">
        <w:rPr>
          <w:lang w:val="en-US"/>
        </w:rPr>
        <w:t>record, and</w:t>
      </w:r>
      <w:r w:rsidRPr="005B3FDA">
        <w:rPr>
          <w:lang w:val="en-US"/>
        </w:rPr>
        <w:t xml:space="preserve"> </w:t>
      </w:r>
      <w:r w:rsidR="005B3FDA">
        <w:rPr>
          <w:lang w:val="en-US"/>
        </w:rPr>
        <w:t>communicate [the decision]</w:t>
      </w:r>
      <w:r w:rsidRPr="005B3FDA">
        <w:rPr>
          <w:lang w:val="en-US"/>
        </w:rPr>
        <w:t>.</w:t>
      </w:r>
      <w:r w:rsidRPr="00766381">
        <w:rPr>
          <w:rStyle w:val="FootnoteReference"/>
          <w:lang w:val="es-ES"/>
        </w:rPr>
        <w:footnoteReference w:id="14"/>
      </w:r>
    </w:p>
    <w:p w14:paraId="127E9291" w14:textId="77777777" w:rsidR="005F567A" w:rsidRPr="005B3FDA" w:rsidRDefault="005F567A" w:rsidP="005F567A">
      <w:pPr>
        <w:pStyle w:val="parrafos"/>
        <w:numPr>
          <w:ilvl w:val="0"/>
          <w:numId w:val="0"/>
        </w:numPr>
        <w:ind w:right="720"/>
        <w:rPr>
          <w:lang w:val="en-US"/>
        </w:rPr>
      </w:pPr>
    </w:p>
    <w:p w14:paraId="1CC98557" w14:textId="77777777" w:rsidR="005F567A" w:rsidRPr="005B3FDA" w:rsidRDefault="00AF48C1" w:rsidP="00AF48C1">
      <w:pPr>
        <w:pStyle w:val="Heading3"/>
        <w:numPr>
          <w:ilvl w:val="0"/>
          <w:numId w:val="0"/>
        </w:numPr>
      </w:pPr>
      <w:bookmarkStart w:id="15" w:name="_Toc42595068"/>
      <w:r w:rsidRPr="005B3FDA">
        <w:t>4</w:t>
      </w:r>
      <w:r w:rsidR="005F567A" w:rsidRPr="005B3FDA">
        <w:t xml:space="preserve">. </w:t>
      </w:r>
      <w:r w:rsidR="008E0900">
        <w:t>A</w:t>
      </w:r>
      <w:r w:rsidR="005B3FDA" w:rsidRPr="005B3FDA">
        <w:t xml:space="preserve">ction of unconstitutionality </w:t>
      </w:r>
      <w:r w:rsidR="00BC1AF0">
        <w:t>brought</w:t>
      </w:r>
      <w:r w:rsidR="005B3FDA" w:rsidRPr="005B3FDA">
        <w:t xml:space="preserve"> by the alleged victim</w:t>
      </w:r>
      <w:bookmarkEnd w:id="15"/>
    </w:p>
    <w:p w14:paraId="7A0D2B13" w14:textId="77777777" w:rsidR="005F567A" w:rsidRPr="005B3FDA" w:rsidRDefault="005F567A" w:rsidP="005F567A">
      <w:pPr>
        <w:pStyle w:val="parrafos"/>
        <w:numPr>
          <w:ilvl w:val="0"/>
          <w:numId w:val="0"/>
        </w:numPr>
        <w:ind w:right="720"/>
        <w:rPr>
          <w:lang w:val="en-US"/>
        </w:rPr>
      </w:pPr>
    </w:p>
    <w:p w14:paraId="663A7B40" w14:textId="77777777" w:rsidR="00874DA0" w:rsidRPr="00FC39EB" w:rsidRDefault="00D10F99" w:rsidP="00D31F19">
      <w:pPr>
        <w:pStyle w:val="parrafos"/>
        <w:rPr>
          <w:lang w:val="en-US"/>
        </w:rPr>
      </w:pPr>
      <w:r w:rsidRPr="00D10F99">
        <w:rPr>
          <w:lang w:val="en-US"/>
        </w:rPr>
        <w:t>On April</w:t>
      </w:r>
      <w:r w:rsidR="00252902" w:rsidRPr="00D10F99">
        <w:rPr>
          <w:lang w:val="en-US"/>
        </w:rPr>
        <w:t xml:space="preserve"> 22</w:t>
      </w:r>
      <w:r w:rsidRPr="00D10F99">
        <w:rPr>
          <w:lang w:val="en-US"/>
        </w:rPr>
        <w:t xml:space="preserve">, </w:t>
      </w:r>
      <w:r w:rsidR="00252902" w:rsidRPr="00D10F99">
        <w:rPr>
          <w:lang w:val="en-US"/>
        </w:rPr>
        <w:t>2003</w:t>
      </w:r>
      <w:r w:rsidR="00AF60F7" w:rsidRPr="00D10F99">
        <w:rPr>
          <w:lang w:val="en-US"/>
        </w:rPr>
        <w:t>,</w:t>
      </w:r>
      <w:r w:rsidR="00252902" w:rsidRPr="00D10F99">
        <w:rPr>
          <w:lang w:val="en-US"/>
        </w:rPr>
        <w:t xml:space="preserve"> </w:t>
      </w:r>
      <w:r w:rsidRPr="00D10F99">
        <w:rPr>
          <w:lang w:val="en-US"/>
        </w:rPr>
        <w:t xml:space="preserve">the alleged victim </w:t>
      </w:r>
      <w:r w:rsidR="00BC1AF0">
        <w:rPr>
          <w:lang w:val="en-US"/>
        </w:rPr>
        <w:t>brought</w:t>
      </w:r>
      <w:r w:rsidRPr="00D10F99">
        <w:rPr>
          <w:lang w:val="en-US"/>
        </w:rPr>
        <w:t xml:space="preserve"> an action of unconstitutionality against Judgment </w:t>
      </w:r>
      <w:r w:rsidR="001B4226" w:rsidRPr="00D10F99">
        <w:rPr>
          <w:lang w:val="en-US"/>
        </w:rPr>
        <w:t xml:space="preserve">S.D. </w:t>
      </w:r>
      <w:r w:rsidR="00AF60F7" w:rsidRPr="00D10F99">
        <w:rPr>
          <w:lang w:val="en-US"/>
        </w:rPr>
        <w:t>N</w:t>
      </w:r>
      <w:r w:rsidRPr="00D10F99">
        <w:rPr>
          <w:lang w:val="en-US"/>
        </w:rPr>
        <w:t xml:space="preserve">o. </w:t>
      </w:r>
      <w:r w:rsidR="00252902" w:rsidRPr="00D10F99">
        <w:rPr>
          <w:lang w:val="en-US"/>
        </w:rPr>
        <w:t xml:space="preserve">02/03 </w:t>
      </w:r>
      <w:r w:rsidRPr="00D10F99">
        <w:rPr>
          <w:lang w:val="en-US"/>
        </w:rPr>
        <w:t>of April</w:t>
      </w:r>
      <w:r w:rsidR="00252902" w:rsidRPr="00D10F99">
        <w:rPr>
          <w:lang w:val="en-US"/>
        </w:rPr>
        <w:t xml:space="preserve"> 7</w:t>
      </w:r>
      <w:r w:rsidRPr="00D10F99">
        <w:rPr>
          <w:lang w:val="en-US"/>
        </w:rPr>
        <w:t xml:space="preserve">, </w:t>
      </w:r>
      <w:r w:rsidR="00252902" w:rsidRPr="00D10F99">
        <w:rPr>
          <w:lang w:val="en-US"/>
        </w:rPr>
        <w:t xml:space="preserve">2003, </w:t>
      </w:r>
      <w:r>
        <w:rPr>
          <w:lang w:val="en-US"/>
        </w:rPr>
        <w:t xml:space="preserve">alleging that it violated various due process guarantees, the right to work, and the right to </w:t>
      </w:r>
      <w:r w:rsidR="0034108B">
        <w:rPr>
          <w:lang w:val="en-US"/>
        </w:rPr>
        <w:t>employment security</w:t>
      </w:r>
      <w:r>
        <w:rPr>
          <w:lang w:val="en-US"/>
        </w:rPr>
        <w:t>.</w:t>
      </w:r>
      <w:r w:rsidR="00874DA0" w:rsidRPr="00766381">
        <w:rPr>
          <w:rStyle w:val="FootnoteReference"/>
        </w:rPr>
        <w:footnoteReference w:id="15"/>
      </w:r>
      <w:r w:rsidR="00252902" w:rsidRPr="00D10F99">
        <w:rPr>
          <w:lang w:val="en-US"/>
        </w:rPr>
        <w:t xml:space="preserve"> </w:t>
      </w:r>
      <w:r w:rsidRPr="00D10F99">
        <w:rPr>
          <w:lang w:val="en-US"/>
        </w:rPr>
        <w:t xml:space="preserve">In that respect, he indicated that he was convicted for something different than what </w:t>
      </w:r>
      <w:r w:rsidRPr="00D10F99">
        <w:rPr>
          <w:lang w:val="en-US"/>
        </w:rPr>
        <w:lastRenderedPageBreak/>
        <w:t xml:space="preserve">he had been accused of, and that the </w:t>
      </w:r>
      <w:r w:rsidR="00606744" w:rsidRPr="00D10F99">
        <w:rPr>
          <w:lang w:val="en-US"/>
        </w:rPr>
        <w:t xml:space="preserve">JEM </w:t>
      </w:r>
      <w:r w:rsidR="00BC1AF0">
        <w:rPr>
          <w:lang w:val="en-US"/>
        </w:rPr>
        <w:t xml:space="preserve">had </w:t>
      </w:r>
      <w:r>
        <w:rPr>
          <w:lang w:val="en-US"/>
        </w:rPr>
        <w:t>ruled on a matter tha</w:t>
      </w:r>
      <w:r w:rsidR="006177B8">
        <w:rPr>
          <w:lang w:val="en-US"/>
        </w:rPr>
        <w:t>t</w:t>
      </w:r>
      <w:r>
        <w:rPr>
          <w:lang w:val="en-US"/>
        </w:rPr>
        <w:t xml:space="preserve"> had not been raised in the initial complaint, overstepping its judicial authority.</w:t>
      </w:r>
      <w:r w:rsidR="00874DA0" w:rsidRPr="00766381">
        <w:rPr>
          <w:rStyle w:val="FootnoteReference"/>
        </w:rPr>
        <w:footnoteReference w:id="16"/>
      </w:r>
      <w:r w:rsidR="00606744" w:rsidRPr="00D10F99">
        <w:rPr>
          <w:lang w:val="en-US"/>
        </w:rPr>
        <w:t xml:space="preserve"> </w:t>
      </w:r>
      <w:r w:rsidRPr="00D10F99">
        <w:rPr>
          <w:lang w:val="en-US"/>
        </w:rPr>
        <w:t xml:space="preserve">He also indicated that the conduct related to the use of the money laundering law, which </w:t>
      </w:r>
      <w:r w:rsidR="00BC1AF0">
        <w:rPr>
          <w:lang w:val="en-US"/>
        </w:rPr>
        <w:t>he</w:t>
      </w:r>
      <w:r w:rsidRPr="00D10F99">
        <w:rPr>
          <w:lang w:val="en-US"/>
        </w:rPr>
        <w:t xml:space="preserve"> addressed in his defense, was not analyzed in </w:t>
      </w:r>
      <w:r>
        <w:rPr>
          <w:lang w:val="en-US"/>
        </w:rPr>
        <w:t xml:space="preserve">the </w:t>
      </w:r>
      <w:r w:rsidR="006177B8">
        <w:rPr>
          <w:lang w:val="en-US"/>
        </w:rPr>
        <w:t xml:space="preserve">sanction </w:t>
      </w:r>
      <w:r w:rsidR="002D4BA9">
        <w:rPr>
          <w:lang w:val="en-US"/>
        </w:rPr>
        <w:t>decision</w:t>
      </w:r>
      <w:r>
        <w:rPr>
          <w:lang w:val="en-US"/>
        </w:rPr>
        <w:t>.</w:t>
      </w:r>
      <w:r w:rsidR="00992B4D" w:rsidRPr="00766381">
        <w:rPr>
          <w:rStyle w:val="FootnoteReference"/>
        </w:rPr>
        <w:footnoteReference w:id="17"/>
      </w:r>
      <w:r w:rsidR="001116E4" w:rsidRPr="00D10F99">
        <w:rPr>
          <w:lang w:val="en-US"/>
        </w:rPr>
        <w:t xml:space="preserve"> </w:t>
      </w:r>
      <w:r w:rsidR="00FC39EB" w:rsidRPr="00FC39EB">
        <w:rPr>
          <w:lang w:val="en-US"/>
        </w:rPr>
        <w:t xml:space="preserve">He also </w:t>
      </w:r>
      <w:r w:rsidR="002D4BA9">
        <w:rPr>
          <w:lang w:val="en-US"/>
        </w:rPr>
        <w:t>stated</w:t>
      </w:r>
      <w:r w:rsidR="00FC39EB" w:rsidRPr="00FC39EB">
        <w:rPr>
          <w:lang w:val="en-US"/>
        </w:rPr>
        <w:t xml:space="preserve"> that his right </w:t>
      </w:r>
      <w:r w:rsidR="00BC1AF0">
        <w:rPr>
          <w:lang w:val="en-US"/>
        </w:rPr>
        <w:t>to a</w:t>
      </w:r>
      <w:r w:rsidR="00FC39EB" w:rsidRPr="00FC39EB">
        <w:rPr>
          <w:lang w:val="en-US"/>
        </w:rPr>
        <w:t xml:space="preserve"> defense was violated, </w:t>
      </w:r>
      <w:r w:rsidR="00BC1AF0">
        <w:rPr>
          <w:lang w:val="en-US"/>
        </w:rPr>
        <w:t>given</w:t>
      </w:r>
      <w:r w:rsidR="00FC39EB" w:rsidRPr="00FC39EB">
        <w:rPr>
          <w:lang w:val="en-US"/>
        </w:rPr>
        <w:t xml:space="preserve"> </w:t>
      </w:r>
      <w:r w:rsidR="00BC1AF0">
        <w:rPr>
          <w:lang w:val="en-US"/>
        </w:rPr>
        <w:t>that</w:t>
      </w:r>
      <w:r w:rsidR="00FC39EB" w:rsidRPr="00FC39EB">
        <w:rPr>
          <w:lang w:val="en-US"/>
        </w:rPr>
        <w:t xml:space="preserve"> the jury, in analyzing the conduct </w:t>
      </w:r>
      <w:r w:rsidR="002D4BA9" w:rsidRPr="00FC39EB">
        <w:rPr>
          <w:lang w:val="en-US"/>
        </w:rPr>
        <w:t>laid out</w:t>
      </w:r>
      <w:r w:rsidR="002D4BA9">
        <w:rPr>
          <w:lang w:val="en-US"/>
        </w:rPr>
        <w:t xml:space="preserve"> by the accused,</w:t>
      </w:r>
      <w:r w:rsidR="00FC39EB" w:rsidRPr="00FC39EB">
        <w:rPr>
          <w:lang w:val="en-US"/>
        </w:rPr>
        <w:t xml:space="preserve"> concluded that </w:t>
      </w:r>
      <w:r w:rsidR="002D4BA9">
        <w:rPr>
          <w:lang w:val="en-US"/>
        </w:rPr>
        <w:t>his behavior</w:t>
      </w:r>
      <w:r w:rsidR="00FC39EB">
        <w:rPr>
          <w:lang w:val="en-US"/>
        </w:rPr>
        <w:t xml:space="preserve"> constituted poor performance.</w:t>
      </w:r>
      <w:r w:rsidR="00992B4D" w:rsidRPr="00766381">
        <w:rPr>
          <w:rStyle w:val="FootnoteReference"/>
        </w:rPr>
        <w:footnoteReference w:id="18"/>
      </w:r>
      <w:r w:rsidR="00AB2A78" w:rsidRPr="00FC39EB">
        <w:rPr>
          <w:lang w:val="en-US"/>
        </w:rPr>
        <w:t xml:space="preserve"> </w:t>
      </w:r>
      <w:r w:rsidR="00FC39EB" w:rsidRPr="00FC39EB">
        <w:rPr>
          <w:lang w:val="en-US"/>
        </w:rPr>
        <w:t xml:space="preserve">He also argued that the </w:t>
      </w:r>
      <w:r w:rsidR="00AB2A78" w:rsidRPr="00FC39EB">
        <w:rPr>
          <w:lang w:val="en-US"/>
        </w:rPr>
        <w:t xml:space="preserve">JEM </w:t>
      </w:r>
      <w:r w:rsidR="00FC39EB" w:rsidRPr="00FC39EB">
        <w:rPr>
          <w:lang w:val="en-US"/>
        </w:rPr>
        <w:t xml:space="preserve">did not evaluate the facts, </w:t>
      </w:r>
      <w:r w:rsidR="00BC1AF0">
        <w:rPr>
          <w:lang w:val="en-US"/>
        </w:rPr>
        <w:t xml:space="preserve">either of </w:t>
      </w:r>
      <w:r w:rsidR="00FC39EB" w:rsidRPr="00FC39EB">
        <w:rPr>
          <w:lang w:val="en-US"/>
        </w:rPr>
        <w:t xml:space="preserve">the right </w:t>
      </w:r>
      <w:r w:rsidR="00BC1AF0">
        <w:rPr>
          <w:lang w:val="en-US"/>
        </w:rPr>
        <w:t xml:space="preserve">being </w:t>
      </w:r>
      <w:r w:rsidR="00FC39EB" w:rsidRPr="00FC39EB">
        <w:rPr>
          <w:lang w:val="en-US"/>
        </w:rPr>
        <w:t xml:space="preserve">invoked or the evidence </w:t>
      </w:r>
      <w:r w:rsidR="00BC1AF0">
        <w:rPr>
          <w:lang w:val="en-US"/>
        </w:rPr>
        <w:t xml:space="preserve">being </w:t>
      </w:r>
      <w:r w:rsidR="00FC39EB" w:rsidRPr="00FC39EB">
        <w:rPr>
          <w:lang w:val="en-US"/>
        </w:rPr>
        <w:t xml:space="preserve">offered, “as the comments attributed to him were not specified, nor were the media outlets </w:t>
      </w:r>
      <w:r w:rsidR="00FC39EB">
        <w:rPr>
          <w:lang w:val="en-US"/>
        </w:rPr>
        <w:t>in which these comments were allegedly disseminated.</w:t>
      </w:r>
      <w:r w:rsidR="00D31F19" w:rsidRPr="00FC39EB">
        <w:rPr>
          <w:lang w:val="en-US"/>
        </w:rPr>
        <w:t>”</w:t>
      </w:r>
      <w:r w:rsidR="00992B4D" w:rsidRPr="00766381">
        <w:rPr>
          <w:rStyle w:val="FootnoteReference"/>
        </w:rPr>
        <w:footnoteReference w:id="19"/>
      </w:r>
      <w:r w:rsidR="00D31F19" w:rsidRPr="00FC39EB">
        <w:rPr>
          <w:lang w:val="en-US"/>
        </w:rPr>
        <w:t xml:space="preserve"> </w:t>
      </w:r>
    </w:p>
    <w:p w14:paraId="6C97301F" w14:textId="77777777" w:rsidR="00953EAC" w:rsidRPr="00FC39EB" w:rsidRDefault="00953EAC" w:rsidP="00953EAC">
      <w:pPr>
        <w:pStyle w:val="parrafos"/>
        <w:numPr>
          <w:ilvl w:val="0"/>
          <w:numId w:val="0"/>
        </w:numPr>
        <w:rPr>
          <w:lang w:val="en-US"/>
        </w:rPr>
      </w:pPr>
    </w:p>
    <w:p w14:paraId="7F1E0859" w14:textId="77777777" w:rsidR="00953EAC" w:rsidRPr="0083215A" w:rsidRDefault="00301CEA" w:rsidP="00D31F19">
      <w:pPr>
        <w:pStyle w:val="parrafos"/>
        <w:rPr>
          <w:lang w:val="en-US"/>
        </w:rPr>
      </w:pPr>
      <w:r w:rsidRPr="00301CEA">
        <w:rPr>
          <w:lang w:val="en-US"/>
        </w:rPr>
        <w:t xml:space="preserve">Along the same lines, he reported that on April </w:t>
      </w:r>
      <w:r w:rsidR="00FF0E64" w:rsidRPr="00301CEA">
        <w:rPr>
          <w:lang w:val="en-US"/>
        </w:rPr>
        <w:t>26</w:t>
      </w:r>
      <w:r w:rsidRPr="00301CEA">
        <w:rPr>
          <w:lang w:val="en-US"/>
        </w:rPr>
        <w:t xml:space="preserve">, </w:t>
      </w:r>
      <w:r w:rsidR="00FF0E64" w:rsidRPr="00301CEA">
        <w:rPr>
          <w:lang w:val="en-US"/>
        </w:rPr>
        <w:t xml:space="preserve">2002, </w:t>
      </w:r>
      <w:r w:rsidRPr="00301CEA">
        <w:rPr>
          <w:lang w:val="en-US"/>
        </w:rPr>
        <w:t xml:space="preserve">the President of the </w:t>
      </w:r>
      <w:r w:rsidR="00FF0E64" w:rsidRPr="00301CEA">
        <w:rPr>
          <w:lang w:val="en-US"/>
        </w:rPr>
        <w:t xml:space="preserve">JEM </w:t>
      </w:r>
      <w:r w:rsidRPr="00301CEA">
        <w:rPr>
          <w:lang w:val="en-US"/>
        </w:rPr>
        <w:t xml:space="preserve">requested that the Office of the Prosecutor General of the State send a certified copy of Resolution No. </w:t>
      </w:r>
      <w:r w:rsidR="00FF0E64" w:rsidRPr="00301CEA">
        <w:rPr>
          <w:lang w:val="en-US"/>
        </w:rPr>
        <w:t xml:space="preserve">68, </w:t>
      </w:r>
      <w:r>
        <w:rPr>
          <w:lang w:val="en-US"/>
        </w:rPr>
        <w:t xml:space="preserve">contravening the disciplinary proceeding to his detriment and </w:t>
      </w:r>
      <w:r w:rsidR="0083215A">
        <w:rPr>
          <w:lang w:val="en-US"/>
        </w:rPr>
        <w:t>going beyond the initial complaint that had been filed, since that resolution was later used to determine poor performance of duties.</w:t>
      </w:r>
      <w:r w:rsidR="00FF0E64" w:rsidRPr="00766381">
        <w:rPr>
          <w:rStyle w:val="FootnoteReference"/>
        </w:rPr>
        <w:footnoteReference w:id="20"/>
      </w:r>
      <w:r w:rsidR="00FF0E64" w:rsidRPr="00301CEA">
        <w:rPr>
          <w:lang w:val="en-US"/>
        </w:rPr>
        <w:t xml:space="preserve"> </w:t>
      </w:r>
      <w:r w:rsidR="0083215A" w:rsidRPr="0083215A">
        <w:rPr>
          <w:lang w:val="en-US"/>
        </w:rPr>
        <w:t xml:space="preserve">In addition, he stated that the proceeding </w:t>
      </w:r>
      <w:r w:rsidR="0083215A">
        <w:rPr>
          <w:lang w:val="en-US"/>
        </w:rPr>
        <w:t xml:space="preserve">exceeded </w:t>
      </w:r>
      <w:r w:rsidR="0083215A" w:rsidRPr="0083215A">
        <w:rPr>
          <w:lang w:val="en-US"/>
        </w:rPr>
        <w:t xml:space="preserve">the 180-day period provided for in Article </w:t>
      </w:r>
      <w:r w:rsidR="00FF0E64" w:rsidRPr="0083215A">
        <w:rPr>
          <w:lang w:val="en-US"/>
        </w:rPr>
        <w:t xml:space="preserve">31 </w:t>
      </w:r>
      <w:r w:rsidR="0083215A" w:rsidRPr="0083215A">
        <w:rPr>
          <w:lang w:val="en-US"/>
        </w:rPr>
        <w:t xml:space="preserve">of Law No. </w:t>
      </w:r>
      <w:r w:rsidR="00FF0E64" w:rsidRPr="0083215A">
        <w:rPr>
          <w:lang w:val="en-US"/>
        </w:rPr>
        <w:t xml:space="preserve">1084, </w:t>
      </w:r>
      <w:r w:rsidR="0083215A" w:rsidRPr="0083215A">
        <w:rPr>
          <w:lang w:val="en-US"/>
        </w:rPr>
        <w:t xml:space="preserve">as the case </w:t>
      </w:r>
      <w:r w:rsidR="0083215A">
        <w:rPr>
          <w:lang w:val="en-US"/>
        </w:rPr>
        <w:t>began</w:t>
      </w:r>
      <w:r w:rsidR="0083215A" w:rsidRPr="0083215A">
        <w:rPr>
          <w:lang w:val="en-US"/>
        </w:rPr>
        <w:t xml:space="preserve"> on</w:t>
      </w:r>
      <w:r w:rsidR="0083215A">
        <w:rPr>
          <w:lang w:val="en-US"/>
        </w:rPr>
        <w:t xml:space="preserve"> March </w:t>
      </w:r>
      <w:r w:rsidR="00FF0E64" w:rsidRPr="0083215A">
        <w:rPr>
          <w:lang w:val="en-US"/>
        </w:rPr>
        <w:t>18</w:t>
      </w:r>
      <w:r w:rsidR="0083215A">
        <w:rPr>
          <w:lang w:val="en-US"/>
        </w:rPr>
        <w:t xml:space="preserve">, </w:t>
      </w:r>
      <w:r w:rsidR="00FF0E64" w:rsidRPr="0083215A">
        <w:rPr>
          <w:lang w:val="en-US"/>
        </w:rPr>
        <w:t>2002</w:t>
      </w:r>
      <w:r w:rsidR="0083215A">
        <w:rPr>
          <w:lang w:val="en-US"/>
        </w:rPr>
        <w:t xml:space="preserve">, and ended on April </w:t>
      </w:r>
      <w:r w:rsidR="006641CE" w:rsidRPr="0083215A">
        <w:rPr>
          <w:lang w:val="en-US"/>
        </w:rPr>
        <w:t>7</w:t>
      </w:r>
      <w:r w:rsidR="0083215A">
        <w:rPr>
          <w:lang w:val="en-US"/>
        </w:rPr>
        <w:t xml:space="preserve">, </w:t>
      </w:r>
      <w:r w:rsidR="006641CE" w:rsidRPr="0083215A">
        <w:rPr>
          <w:lang w:val="en-US"/>
        </w:rPr>
        <w:t>2003</w:t>
      </w:r>
      <w:r w:rsidR="0083215A">
        <w:rPr>
          <w:lang w:val="en-US"/>
        </w:rPr>
        <w:t>—in other words, it lasted for</w:t>
      </w:r>
      <w:r w:rsidR="006641CE" w:rsidRPr="0083215A">
        <w:rPr>
          <w:lang w:val="en-US"/>
        </w:rPr>
        <w:t xml:space="preserve"> 384 </w:t>
      </w:r>
      <w:r w:rsidR="0083215A">
        <w:rPr>
          <w:lang w:val="en-US"/>
        </w:rPr>
        <w:t xml:space="preserve">days—and that the summary phase took </w:t>
      </w:r>
      <w:r w:rsidR="006641CE" w:rsidRPr="0083215A">
        <w:rPr>
          <w:lang w:val="en-US"/>
        </w:rPr>
        <w:t xml:space="preserve">173 </w:t>
      </w:r>
      <w:r w:rsidR="0083215A">
        <w:rPr>
          <w:lang w:val="en-US"/>
        </w:rPr>
        <w:t>days.</w:t>
      </w:r>
      <w:r w:rsidR="006641CE" w:rsidRPr="00766381">
        <w:rPr>
          <w:rStyle w:val="FootnoteReference"/>
        </w:rPr>
        <w:footnoteReference w:id="21"/>
      </w:r>
      <w:r w:rsidR="00FF0E64" w:rsidRPr="0083215A">
        <w:rPr>
          <w:lang w:val="en-US"/>
        </w:rPr>
        <w:t xml:space="preserve"> </w:t>
      </w:r>
    </w:p>
    <w:p w14:paraId="3E333E89" w14:textId="77777777" w:rsidR="00874DA0" w:rsidRPr="0083215A" w:rsidRDefault="00874DA0" w:rsidP="00874DA0">
      <w:pPr>
        <w:pStyle w:val="parrafos"/>
        <w:numPr>
          <w:ilvl w:val="0"/>
          <w:numId w:val="0"/>
        </w:numPr>
        <w:rPr>
          <w:lang w:val="en-US"/>
        </w:rPr>
      </w:pPr>
    </w:p>
    <w:p w14:paraId="4EF2DF84" w14:textId="77777777" w:rsidR="00D31F19" w:rsidRPr="00E778BB" w:rsidRDefault="00911BEF" w:rsidP="00D31F19">
      <w:pPr>
        <w:pStyle w:val="parrafos"/>
        <w:rPr>
          <w:lang w:val="en-US"/>
        </w:rPr>
      </w:pPr>
      <w:r w:rsidRPr="00911BEF">
        <w:rPr>
          <w:lang w:val="en-US"/>
        </w:rPr>
        <w:t xml:space="preserve">On another matter, he reported that months before </w:t>
      </w:r>
      <w:r w:rsidR="00372536">
        <w:rPr>
          <w:lang w:val="en-US"/>
        </w:rPr>
        <w:t>his removal</w:t>
      </w:r>
      <w:r w:rsidRPr="00911BEF">
        <w:rPr>
          <w:lang w:val="en-US"/>
        </w:rPr>
        <w:t xml:space="preserve">, he was able to obtain the draft disciplinary judgment that had been drawn up in the Public Prosecutor’s Office, and so on October </w:t>
      </w:r>
      <w:r w:rsidR="001B4226" w:rsidRPr="00911BEF">
        <w:rPr>
          <w:lang w:val="en-US"/>
        </w:rPr>
        <w:t>30</w:t>
      </w:r>
      <w:r>
        <w:rPr>
          <w:lang w:val="en-US"/>
        </w:rPr>
        <w:t xml:space="preserve">, </w:t>
      </w:r>
      <w:r w:rsidR="001B4226" w:rsidRPr="00911BEF">
        <w:rPr>
          <w:lang w:val="en-US"/>
        </w:rPr>
        <w:t>2002</w:t>
      </w:r>
      <w:r>
        <w:rPr>
          <w:lang w:val="en-US"/>
        </w:rPr>
        <w:t>, he proceeded to give that document to a notary</w:t>
      </w:r>
      <w:r w:rsidR="001B4226" w:rsidRPr="00911BEF">
        <w:rPr>
          <w:lang w:val="en-US"/>
        </w:rPr>
        <w:t xml:space="preserve"> </w:t>
      </w:r>
      <w:r>
        <w:rPr>
          <w:lang w:val="en-US"/>
        </w:rPr>
        <w:t xml:space="preserve">public; later, he verified that the draft </w:t>
      </w:r>
      <w:r w:rsidR="00CB7355">
        <w:rPr>
          <w:lang w:val="en-US"/>
        </w:rPr>
        <w:t>was the same as</w:t>
      </w:r>
      <w:r>
        <w:rPr>
          <w:lang w:val="en-US"/>
        </w:rPr>
        <w:t xml:space="preserve"> Judgment </w:t>
      </w:r>
      <w:r w:rsidR="001B4226" w:rsidRPr="00911BEF">
        <w:rPr>
          <w:lang w:val="en-US"/>
        </w:rPr>
        <w:t>S.D. N</w:t>
      </w:r>
      <w:r>
        <w:rPr>
          <w:lang w:val="en-US"/>
        </w:rPr>
        <w:t xml:space="preserve">o. </w:t>
      </w:r>
      <w:r w:rsidR="001B4226" w:rsidRPr="00911BEF">
        <w:rPr>
          <w:lang w:val="en-US"/>
        </w:rPr>
        <w:t xml:space="preserve">02/03 </w:t>
      </w:r>
      <w:r>
        <w:rPr>
          <w:lang w:val="en-US"/>
        </w:rPr>
        <w:t xml:space="preserve">of April </w:t>
      </w:r>
      <w:r w:rsidR="001B4226" w:rsidRPr="00911BEF">
        <w:rPr>
          <w:lang w:val="en-US"/>
        </w:rPr>
        <w:t>7</w:t>
      </w:r>
      <w:r>
        <w:rPr>
          <w:lang w:val="en-US"/>
        </w:rPr>
        <w:t xml:space="preserve">, </w:t>
      </w:r>
      <w:r w:rsidR="001B4226" w:rsidRPr="00911BEF">
        <w:rPr>
          <w:lang w:val="en-US"/>
        </w:rPr>
        <w:t>2003</w:t>
      </w:r>
      <w:r>
        <w:rPr>
          <w:lang w:val="en-US"/>
        </w:rPr>
        <w:t xml:space="preserve">, issued by the </w:t>
      </w:r>
      <w:r w:rsidR="001B4226" w:rsidRPr="00911BEF">
        <w:rPr>
          <w:lang w:val="en-US"/>
        </w:rPr>
        <w:t>JEM</w:t>
      </w:r>
      <w:r>
        <w:rPr>
          <w:lang w:val="en-US"/>
        </w:rPr>
        <w:t>.</w:t>
      </w:r>
      <w:r w:rsidR="00625247" w:rsidRPr="00766381">
        <w:rPr>
          <w:rStyle w:val="FootnoteReference"/>
        </w:rPr>
        <w:footnoteReference w:id="22"/>
      </w:r>
      <w:r w:rsidR="00625247" w:rsidRPr="00911BEF">
        <w:rPr>
          <w:lang w:val="en-US"/>
        </w:rPr>
        <w:t xml:space="preserve"> </w:t>
      </w:r>
      <w:r w:rsidRPr="00E778BB">
        <w:rPr>
          <w:lang w:val="en-US"/>
        </w:rPr>
        <w:t xml:space="preserve">Finally, he indicated that he did not have independent, impartial judges, and to that effect he attached press reports that </w:t>
      </w:r>
      <w:r w:rsidR="00E778BB" w:rsidRPr="00E778BB">
        <w:rPr>
          <w:lang w:val="en-US"/>
        </w:rPr>
        <w:t>showed conversations allegedly held</w:t>
      </w:r>
      <w:r w:rsidR="00E778BB">
        <w:rPr>
          <w:lang w:val="en-US"/>
        </w:rPr>
        <w:t xml:space="preserve"> between </w:t>
      </w:r>
      <w:r w:rsidR="00E778BB" w:rsidRPr="00E778BB">
        <w:rPr>
          <w:lang w:val="en-US"/>
        </w:rPr>
        <w:t xml:space="preserve">the President of the </w:t>
      </w:r>
      <w:r w:rsidR="00E778BB">
        <w:rPr>
          <w:lang w:val="en-US"/>
        </w:rPr>
        <w:t>JEM and a representative of the executive branch about his termination.</w:t>
      </w:r>
      <w:r w:rsidR="00625247" w:rsidRPr="00766381">
        <w:rPr>
          <w:rStyle w:val="FootnoteReference"/>
        </w:rPr>
        <w:footnoteReference w:id="23"/>
      </w:r>
    </w:p>
    <w:p w14:paraId="5675AB4F" w14:textId="77777777" w:rsidR="00992B4D" w:rsidRPr="00E778BB" w:rsidRDefault="00992B4D" w:rsidP="00992B4D">
      <w:pPr>
        <w:pStyle w:val="ListParagraph"/>
        <w:rPr>
          <w:lang w:val="en-US"/>
        </w:rPr>
      </w:pPr>
    </w:p>
    <w:p w14:paraId="7B39E62A" w14:textId="77777777" w:rsidR="00992B4D" w:rsidRPr="008D3940" w:rsidRDefault="008D3940" w:rsidP="00A02ACB">
      <w:pPr>
        <w:pStyle w:val="parrafos"/>
        <w:rPr>
          <w:lang w:val="en-US"/>
        </w:rPr>
      </w:pPr>
      <w:r w:rsidRPr="008D3940">
        <w:rPr>
          <w:lang w:val="en-US"/>
        </w:rPr>
        <w:t>On April</w:t>
      </w:r>
      <w:r w:rsidR="00D31F19" w:rsidRPr="008D3940">
        <w:rPr>
          <w:lang w:val="en-US"/>
        </w:rPr>
        <w:t xml:space="preserve"> </w:t>
      </w:r>
      <w:r w:rsidR="00C7723F" w:rsidRPr="008D3940">
        <w:rPr>
          <w:lang w:val="en-US"/>
        </w:rPr>
        <w:t>25</w:t>
      </w:r>
      <w:r w:rsidRPr="008D3940">
        <w:rPr>
          <w:lang w:val="en-US"/>
        </w:rPr>
        <w:t xml:space="preserve">, </w:t>
      </w:r>
      <w:r w:rsidR="00C7723F" w:rsidRPr="008D3940">
        <w:rPr>
          <w:lang w:val="en-US"/>
        </w:rPr>
        <w:t xml:space="preserve">2003, </w:t>
      </w:r>
      <w:r w:rsidRPr="008D3940">
        <w:rPr>
          <w:lang w:val="en-US"/>
        </w:rPr>
        <w:t>Mr.</w:t>
      </w:r>
      <w:r w:rsidR="00C7723F" w:rsidRPr="008D3940">
        <w:rPr>
          <w:lang w:val="en-US"/>
        </w:rPr>
        <w:t xml:space="preserve"> Nissen Pessolani </w:t>
      </w:r>
      <w:r w:rsidR="00652E0C">
        <w:rPr>
          <w:lang w:val="en-US"/>
        </w:rPr>
        <w:t>amended</w:t>
      </w:r>
      <w:r w:rsidRPr="008D3940">
        <w:rPr>
          <w:lang w:val="en-US"/>
        </w:rPr>
        <w:t xml:space="preserve"> his action of unconstitutionality challenging </w:t>
      </w:r>
      <w:r>
        <w:rPr>
          <w:lang w:val="en-US"/>
        </w:rPr>
        <w:t xml:space="preserve">JEM </w:t>
      </w:r>
      <w:r w:rsidRPr="008D3940">
        <w:rPr>
          <w:lang w:val="en-US"/>
        </w:rPr>
        <w:t xml:space="preserve">Judgment </w:t>
      </w:r>
      <w:r w:rsidR="00C7723F" w:rsidRPr="008D3940">
        <w:rPr>
          <w:lang w:val="en-US"/>
        </w:rPr>
        <w:t>S.D. N</w:t>
      </w:r>
      <w:r w:rsidRPr="008D3940">
        <w:rPr>
          <w:lang w:val="en-US"/>
        </w:rPr>
        <w:t xml:space="preserve">o. </w:t>
      </w:r>
      <w:r w:rsidR="00C7723F" w:rsidRPr="008D3940">
        <w:rPr>
          <w:lang w:val="en-US"/>
        </w:rPr>
        <w:t xml:space="preserve">03/03 </w:t>
      </w:r>
      <w:r w:rsidRPr="008D3940">
        <w:rPr>
          <w:lang w:val="en-US"/>
        </w:rPr>
        <w:t>of April</w:t>
      </w:r>
      <w:r w:rsidR="00C7723F" w:rsidRPr="008D3940">
        <w:rPr>
          <w:lang w:val="en-US"/>
        </w:rPr>
        <w:t xml:space="preserve"> 22</w:t>
      </w:r>
      <w:r w:rsidRPr="008D3940">
        <w:rPr>
          <w:lang w:val="en-US"/>
        </w:rPr>
        <w:t xml:space="preserve">, </w:t>
      </w:r>
      <w:r w:rsidR="00C7723F" w:rsidRPr="008D3940">
        <w:rPr>
          <w:lang w:val="en-US"/>
        </w:rPr>
        <w:t xml:space="preserve">2003, </w:t>
      </w:r>
      <w:r>
        <w:rPr>
          <w:lang w:val="en-US"/>
        </w:rPr>
        <w:t xml:space="preserve">which ruled against the petition for clarification that he had </w:t>
      </w:r>
      <w:r w:rsidR="00CB7355">
        <w:rPr>
          <w:lang w:val="en-US"/>
        </w:rPr>
        <w:t>filed</w:t>
      </w:r>
      <w:r>
        <w:rPr>
          <w:lang w:val="en-US"/>
        </w:rPr>
        <w:t xml:space="preserve">. </w:t>
      </w:r>
      <w:r w:rsidRPr="008D3940">
        <w:rPr>
          <w:lang w:val="en-US"/>
        </w:rPr>
        <w:t xml:space="preserve">Likewise, on May 4, </w:t>
      </w:r>
      <w:r w:rsidR="00D31F19" w:rsidRPr="008D3940">
        <w:rPr>
          <w:lang w:val="en-US"/>
        </w:rPr>
        <w:t xml:space="preserve">2004, </w:t>
      </w:r>
      <w:r w:rsidRPr="008D3940">
        <w:rPr>
          <w:lang w:val="en-US"/>
        </w:rPr>
        <w:t xml:space="preserve">he filed a new </w:t>
      </w:r>
      <w:r w:rsidR="00652E0C">
        <w:rPr>
          <w:lang w:val="en-US"/>
        </w:rPr>
        <w:t>amendment</w:t>
      </w:r>
      <w:r w:rsidRPr="008D3940">
        <w:rPr>
          <w:lang w:val="en-US"/>
        </w:rPr>
        <w:t xml:space="preserve">, indicating that he had asked the JEM </w:t>
      </w:r>
      <w:r w:rsidR="00CB7355">
        <w:rPr>
          <w:lang w:val="en-US"/>
        </w:rPr>
        <w:t xml:space="preserve">repeatedly </w:t>
      </w:r>
      <w:r w:rsidRPr="008D3940">
        <w:rPr>
          <w:lang w:val="en-US"/>
        </w:rPr>
        <w:t xml:space="preserve">for copies of the news material on which its </w:t>
      </w:r>
      <w:r w:rsidR="006F0A3C">
        <w:rPr>
          <w:lang w:val="en-US"/>
        </w:rPr>
        <w:t>sanction</w:t>
      </w:r>
      <w:r w:rsidRPr="008D3940">
        <w:rPr>
          <w:lang w:val="en-US"/>
        </w:rPr>
        <w:t xml:space="preserve"> decision was based and a report on the relevance of that evidence, but that </w:t>
      </w:r>
      <w:r>
        <w:rPr>
          <w:lang w:val="en-US"/>
        </w:rPr>
        <w:t>these requests were not addressed.</w:t>
      </w:r>
      <w:r w:rsidR="00EF413D" w:rsidRPr="00766381">
        <w:rPr>
          <w:rStyle w:val="FootnoteReference"/>
        </w:rPr>
        <w:footnoteReference w:id="24"/>
      </w:r>
    </w:p>
    <w:p w14:paraId="773FCBBF" w14:textId="77777777" w:rsidR="00992B4D" w:rsidRPr="008D3940" w:rsidRDefault="00992B4D" w:rsidP="00992B4D">
      <w:pPr>
        <w:pStyle w:val="parrafos"/>
        <w:numPr>
          <w:ilvl w:val="0"/>
          <w:numId w:val="0"/>
        </w:numPr>
        <w:rPr>
          <w:lang w:val="en-US"/>
        </w:rPr>
      </w:pPr>
    </w:p>
    <w:p w14:paraId="65784D34" w14:textId="77777777" w:rsidR="00992B4D" w:rsidRPr="00F5452E" w:rsidRDefault="00F5452E" w:rsidP="00D31F19">
      <w:pPr>
        <w:pStyle w:val="parrafos"/>
        <w:rPr>
          <w:lang w:val="en-US"/>
        </w:rPr>
      </w:pPr>
      <w:r w:rsidRPr="00F5452E">
        <w:rPr>
          <w:lang w:val="en-US"/>
        </w:rPr>
        <w:t>On June</w:t>
      </w:r>
      <w:r w:rsidR="00D31F19" w:rsidRPr="00F5452E">
        <w:rPr>
          <w:lang w:val="en-US"/>
        </w:rPr>
        <w:t xml:space="preserve"> 16</w:t>
      </w:r>
      <w:r w:rsidRPr="00F5452E">
        <w:rPr>
          <w:lang w:val="en-US"/>
        </w:rPr>
        <w:t xml:space="preserve">, </w:t>
      </w:r>
      <w:r w:rsidR="00D31F19" w:rsidRPr="00F5452E">
        <w:rPr>
          <w:lang w:val="en-US"/>
        </w:rPr>
        <w:t>2004</w:t>
      </w:r>
      <w:r w:rsidR="003D3E67" w:rsidRPr="00F5452E">
        <w:rPr>
          <w:lang w:val="en-US"/>
        </w:rPr>
        <w:t xml:space="preserve">, </w:t>
      </w:r>
      <w:r w:rsidRPr="00F5452E">
        <w:rPr>
          <w:lang w:val="en-US"/>
        </w:rPr>
        <w:t>the Supreme Court rejected the action of unconstitutionality, arguin</w:t>
      </w:r>
      <w:r>
        <w:rPr>
          <w:lang w:val="en-US"/>
        </w:rPr>
        <w:t>g that</w:t>
      </w:r>
      <w:r w:rsidR="003D3E67" w:rsidRPr="00F5452E">
        <w:rPr>
          <w:lang w:val="en-US"/>
        </w:rPr>
        <w:t xml:space="preserve">: </w:t>
      </w:r>
    </w:p>
    <w:p w14:paraId="5336B69B" w14:textId="77777777" w:rsidR="00992B4D" w:rsidRPr="00F5452E" w:rsidRDefault="00992B4D" w:rsidP="00992B4D">
      <w:pPr>
        <w:pStyle w:val="ListParagraph"/>
        <w:rPr>
          <w:lang w:val="en-US"/>
        </w:rPr>
      </w:pPr>
    </w:p>
    <w:p w14:paraId="750835AB" w14:textId="77777777" w:rsidR="003D3E67" w:rsidRPr="00310EEC" w:rsidRDefault="00992B4D" w:rsidP="00992B4D">
      <w:pPr>
        <w:pStyle w:val="parrafos"/>
        <w:numPr>
          <w:ilvl w:val="0"/>
          <w:numId w:val="0"/>
        </w:numPr>
        <w:ind w:left="720" w:right="720"/>
        <w:rPr>
          <w:lang w:val="en-US"/>
        </w:rPr>
      </w:pPr>
      <w:r w:rsidRPr="00E14105">
        <w:rPr>
          <w:lang w:val="en-US"/>
        </w:rPr>
        <w:t>…</w:t>
      </w:r>
      <w:r w:rsidR="00E14105" w:rsidRPr="00E14105">
        <w:rPr>
          <w:lang w:val="en-US"/>
        </w:rPr>
        <w:t xml:space="preserve">the records having been analyzed, especially the judgments </w:t>
      </w:r>
      <w:r w:rsidR="002A14BB">
        <w:rPr>
          <w:lang w:val="en-US"/>
        </w:rPr>
        <w:t>being challenged</w:t>
      </w:r>
      <w:r w:rsidR="00E14105" w:rsidRPr="00E14105">
        <w:rPr>
          <w:lang w:val="en-US"/>
        </w:rPr>
        <w:t xml:space="preserve"> as uncons</w:t>
      </w:r>
      <w:r w:rsidR="00E14105">
        <w:rPr>
          <w:lang w:val="en-US"/>
        </w:rPr>
        <w:t>t</w:t>
      </w:r>
      <w:r w:rsidR="00E14105" w:rsidRPr="00E14105">
        <w:rPr>
          <w:lang w:val="en-US"/>
        </w:rPr>
        <w:t>itutional, no violation whatsoever</w:t>
      </w:r>
      <w:r w:rsidR="003D3E67" w:rsidRPr="00E14105">
        <w:rPr>
          <w:lang w:val="en-US"/>
        </w:rPr>
        <w:t xml:space="preserve"> </w:t>
      </w:r>
      <w:r w:rsidR="00E14105" w:rsidRPr="00E14105">
        <w:rPr>
          <w:lang w:val="en-US"/>
        </w:rPr>
        <w:t xml:space="preserve">of a constitutional or a legal nature can be seen. </w:t>
      </w:r>
      <w:r w:rsidR="00E14105" w:rsidRPr="00310EEC">
        <w:rPr>
          <w:lang w:val="en-US"/>
        </w:rPr>
        <w:t xml:space="preserve">In </w:t>
      </w:r>
      <w:r w:rsidR="00C8171E">
        <w:rPr>
          <w:lang w:val="en-US"/>
        </w:rPr>
        <w:t xml:space="preserve">point of </w:t>
      </w:r>
      <w:r w:rsidR="00E14105" w:rsidRPr="00310EEC">
        <w:rPr>
          <w:lang w:val="en-US"/>
        </w:rPr>
        <w:t xml:space="preserve">fact, with regard to the alleged violation of the right </w:t>
      </w:r>
      <w:r w:rsidR="00424182">
        <w:rPr>
          <w:lang w:val="en-US"/>
        </w:rPr>
        <w:t>to a</w:t>
      </w:r>
      <w:r w:rsidR="00E14105" w:rsidRPr="00310EEC">
        <w:rPr>
          <w:lang w:val="en-US"/>
        </w:rPr>
        <w:t xml:space="preserve"> defense</w:t>
      </w:r>
      <w:r w:rsidR="00310EEC" w:rsidRPr="00310EEC">
        <w:rPr>
          <w:lang w:val="en-US"/>
        </w:rPr>
        <w:t xml:space="preserve"> at trial, the members of the Jury for the Prosecution of Magistrates made an objective assessment of the evidence provided </w:t>
      </w:r>
      <w:r w:rsidR="00310EEC">
        <w:rPr>
          <w:lang w:val="en-US"/>
        </w:rPr>
        <w:t>both by the accuser and the accused.</w:t>
      </w:r>
      <w:r w:rsidR="003D3E67" w:rsidRPr="00310EEC">
        <w:rPr>
          <w:lang w:val="en-US"/>
        </w:rPr>
        <w:t xml:space="preserve"> </w:t>
      </w:r>
    </w:p>
    <w:p w14:paraId="56FFC766" w14:textId="77777777" w:rsidR="00992B4D" w:rsidRPr="00310EEC" w:rsidRDefault="00992B4D" w:rsidP="00992B4D">
      <w:pPr>
        <w:pStyle w:val="parrafos"/>
        <w:numPr>
          <w:ilvl w:val="0"/>
          <w:numId w:val="0"/>
        </w:numPr>
        <w:ind w:left="720" w:right="720"/>
        <w:rPr>
          <w:lang w:val="en-US"/>
        </w:rPr>
      </w:pPr>
    </w:p>
    <w:p w14:paraId="2D916BA6" w14:textId="77777777" w:rsidR="003D3E67" w:rsidRPr="00184975" w:rsidRDefault="003D3E67" w:rsidP="00992B4D">
      <w:pPr>
        <w:pStyle w:val="parrafos"/>
        <w:numPr>
          <w:ilvl w:val="0"/>
          <w:numId w:val="0"/>
        </w:numPr>
        <w:ind w:left="720" w:right="720"/>
        <w:rPr>
          <w:lang w:val="en-US"/>
        </w:rPr>
      </w:pPr>
      <w:r w:rsidRPr="00184975">
        <w:rPr>
          <w:lang w:val="en-US"/>
        </w:rPr>
        <w:t>…</w:t>
      </w:r>
      <w:r w:rsidR="00184975" w:rsidRPr="00184975">
        <w:rPr>
          <w:lang w:val="en-US"/>
        </w:rPr>
        <w:t xml:space="preserve">In terms of the principle of consistency, </w:t>
      </w:r>
      <w:r w:rsidR="00C8171E">
        <w:rPr>
          <w:lang w:val="en-US"/>
        </w:rPr>
        <w:t>although</w:t>
      </w:r>
      <w:r w:rsidR="00184975" w:rsidRPr="00184975">
        <w:rPr>
          <w:lang w:val="en-US"/>
        </w:rPr>
        <w:t xml:space="preserve"> it is true that the initial document of complaint did not indicate directly that the accused, by intervening in Case No. </w:t>
      </w:r>
      <w:r w:rsidRPr="00184975">
        <w:rPr>
          <w:lang w:val="en-US"/>
        </w:rPr>
        <w:t>9936,</w:t>
      </w:r>
      <w:r w:rsidR="00184975" w:rsidRPr="00184975">
        <w:rPr>
          <w:lang w:val="en-US"/>
        </w:rPr>
        <w:t xml:space="preserve"> was infringing on Resolution No. </w:t>
      </w:r>
      <w:r w:rsidRPr="00184975">
        <w:rPr>
          <w:lang w:val="en-US"/>
        </w:rPr>
        <w:t xml:space="preserve">68 </w:t>
      </w:r>
      <w:r w:rsidR="00184975" w:rsidRPr="00184975">
        <w:rPr>
          <w:lang w:val="en-US"/>
        </w:rPr>
        <w:t>issued by the Office of the Prosecutor General of the State, t</w:t>
      </w:r>
      <w:r w:rsidR="00184975">
        <w:rPr>
          <w:lang w:val="en-US"/>
        </w:rPr>
        <w:t xml:space="preserve">he record shows that the Jury for the Prosecution of Magistrates acted in accordance with the </w:t>
      </w:r>
      <w:r w:rsidR="00184975">
        <w:rPr>
          <w:lang w:val="en-US"/>
        </w:rPr>
        <w:lastRenderedPageBreak/>
        <w:t xml:space="preserve">provisions governing the process, specifically Article </w:t>
      </w:r>
      <w:r w:rsidRPr="00184975">
        <w:rPr>
          <w:lang w:val="en-US"/>
        </w:rPr>
        <w:t>21</w:t>
      </w:r>
      <w:r w:rsidR="00184975">
        <w:rPr>
          <w:lang w:val="en-US"/>
        </w:rPr>
        <w:t xml:space="preserve">, subparagraph </w:t>
      </w:r>
      <w:r w:rsidR="008C679C">
        <w:rPr>
          <w:lang w:val="en-US"/>
        </w:rPr>
        <w:t>(</w:t>
      </w:r>
      <w:r w:rsidRPr="00184975">
        <w:rPr>
          <w:lang w:val="en-US"/>
        </w:rPr>
        <w:t>h</w:t>
      </w:r>
      <w:r w:rsidR="008C679C">
        <w:rPr>
          <w:lang w:val="en-US"/>
        </w:rPr>
        <w:t>)</w:t>
      </w:r>
      <w:r w:rsidR="00184975">
        <w:rPr>
          <w:lang w:val="en-US"/>
        </w:rPr>
        <w:t>, which gives it the authority to order, at any stage in the proceedings, any procedural steps that may be necessary to shed light on the facts.</w:t>
      </w:r>
    </w:p>
    <w:p w14:paraId="3EDB7FBE" w14:textId="77777777" w:rsidR="00992B4D" w:rsidRPr="00184975" w:rsidRDefault="00992B4D" w:rsidP="00992B4D">
      <w:pPr>
        <w:pStyle w:val="parrafos"/>
        <w:numPr>
          <w:ilvl w:val="0"/>
          <w:numId w:val="0"/>
        </w:numPr>
        <w:ind w:left="720" w:right="720"/>
        <w:rPr>
          <w:lang w:val="en-US"/>
        </w:rPr>
      </w:pPr>
    </w:p>
    <w:p w14:paraId="05C07DF5" w14:textId="77777777" w:rsidR="00E94F44" w:rsidRPr="002A14BB" w:rsidRDefault="003D3E67" w:rsidP="00AE7270">
      <w:pPr>
        <w:pStyle w:val="parrafos"/>
        <w:numPr>
          <w:ilvl w:val="0"/>
          <w:numId w:val="0"/>
        </w:numPr>
        <w:ind w:left="720" w:right="720"/>
        <w:rPr>
          <w:lang w:val="en-US"/>
        </w:rPr>
      </w:pPr>
      <w:r w:rsidRPr="002A14BB">
        <w:rPr>
          <w:lang w:val="en-US"/>
        </w:rPr>
        <w:t>…</w:t>
      </w:r>
      <w:r w:rsidR="002A14BB" w:rsidRPr="002A14BB">
        <w:rPr>
          <w:lang w:val="en-US"/>
        </w:rPr>
        <w:t>With regard to the</w:t>
      </w:r>
      <w:r w:rsidRPr="002A14BB">
        <w:rPr>
          <w:lang w:val="en-US"/>
        </w:rPr>
        <w:t xml:space="preserve"> </w:t>
      </w:r>
      <w:r w:rsidR="002A14BB" w:rsidRPr="002A14BB">
        <w:rPr>
          <w:lang w:val="en-US"/>
        </w:rPr>
        <w:t xml:space="preserve">assessment of the evidence done by the magistrates judging the case, it </w:t>
      </w:r>
      <w:r w:rsidR="000B2B09">
        <w:rPr>
          <w:lang w:val="en-US"/>
        </w:rPr>
        <w:t>should be noted</w:t>
      </w:r>
      <w:r w:rsidR="002A14BB" w:rsidRPr="002A14BB">
        <w:rPr>
          <w:lang w:val="en-US"/>
        </w:rPr>
        <w:t xml:space="preserve"> that the resolution being challenged shows clearly that they analyzed and </w:t>
      </w:r>
      <w:r w:rsidR="000B2B09">
        <w:rPr>
          <w:lang w:val="en-US"/>
        </w:rPr>
        <w:t>evaluated</w:t>
      </w:r>
      <w:r w:rsidR="002A14BB" w:rsidRPr="002A14BB">
        <w:rPr>
          <w:lang w:val="en-US"/>
        </w:rPr>
        <w:t xml:space="preserve">, </w:t>
      </w:r>
      <w:r w:rsidR="007D6DC9">
        <w:rPr>
          <w:lang w:val="en-US"/>
        </w:rPr>
        <w:t xml:space="preserve">in accordance with </w:t>
      </w:r>
      <w:r w:rsidR="002A14BB" w:rsidRPr="002A14BB">
        <w:rPr>
          <w:lang w:val="en-US"/>
        </w:rPr>
        <w:t>th</w:t>
      </w:r>
      <w:r w:rsidR="002A14BB">
        <w:rPr>
          <w:lang w:val="en-US"/>
        </w:rPr>
        <w:t>e principle of sound judgment,</w:t>
      </w:r>
      <w:r w:rsidRPr="002A14BB">
        <w:rPr>
          <w:lang w:val="en-US"/>
        </w:rPr>
        <w:t xml:space="preserve"> </w:t>
      </w:r>
      <w:r w:rsidR="007D6DC9">
        <w:rPr>
          <w:lang w:val="en-US"/>
        </w:rPr>
        <w:t xml:space="preserve">the various </w:t>
      </w:r>
      <w:r w:rsidR="002F079D">
        <w:rPr>
          <w:lang w:val="en-US"/>
        </w:rPr>
        <w:t>wit</w:t>
      </w:r>
      <w:r w:rsidR="00756682">
        <w:rPr>
          <w:lang w:val="en-US"/>
        </w:rPr>
        <w:t>ness statements provided in the records to reach the conclusions at which they arrived</w:t>
      </w:r>
      <w:r w:rsidR="00992B4D" w:rsidRPr="002A14BB">
        <w:rPr>
          <w:lang w:val="en-US"/>
        </w:rPr>
        <w:t>.</w:t>
      </w:r>
      <w:r w:rsidR="00992B4D" w:rsidRPr="00766381">
        <w:rPr>
          <w:rStyle w:val="FootnoteReference"/>
        </w:rPr>
        <w:footnoteReference w:id="25"/>
      </w:r>
      <w:r w:rsidRPr="002A14BB">
        <w:rPr>
          <w:lang w:val="en-US"/>
        </w:rPr>
        <w:t xml:space="preserve"> </w:t>
      </w:r>
    </w:p>
    <w:p w14:paraId="44ACE2FD" w14:textId="77777777" w:rsidR="004D2720" w:rsidRPr="002A14BB" w:rsidRDefault="004D2720" w:rsidP="00914740">
      <w:pPr>
        <w:tabs>
          <w:tab w:val="left" w:pos="360"/>
        </w:tabs>
        <w:ind w:left="720"/>
      </w:pPr>
    </w:p>
    <w:p w14:paraId="378CEC96" w14:textId="77777777" w:rsidR="00D12193" w:rsidRPr="00ED1632" w:rsidRDefault="00621862" w:rsidP="00AF48C1">
      <w:pPr>
        <w:pStyle w:val="Heading1"/>
      </w:pPr>
      <w:r w:rsidRPr="00ED1632">
        <w:t>ANALYSIS OF LAW</w:t>
      </w:r>
    </w:p>
    <w:p w14:paraId="345D06D1" w14:textId="77777777" w:rsidR="00874191" w:rsidRPr="00621862" w:rsidRDefault="00C07342" w:rsidP="00AF48C1">
      <w:pPr>
        <w:pStyle w:val="Heading2"/>
        <w:rPr>
          <w:lang w:val="en-US"/>
        </w:rPr>
      </w:pPr>
      <w:bookmarkStart w:id="16" w:name="_Toc484439859"/>
      <w:bookmarkStart w:id="17" w:name="_Toc42595070"/>
      <w:r w:rsidRPr="00621862">
        <w:rPr>
          <w:lang w:val="en-US"/>
        </w:rPr>
        <w:t>1</w:t>
      </w:r>
      <w:r w:rsidR="00874191" w:rsidRPr="00621862">
        <w:rPr>
          <w:lang w:val="en-US"/>
        </w:rPr>
        <w:t xml:space="preserve">. </w:t>
      </w:r>
      <w:r w:rsidR="00621862" w:rsidRPr="00621862">
        <w:rPr>
          <w:lang w:val="en-US"/>
        </w:rPr>
        <w:t xml:space="preserve">General considerations </w:t>
      </w:r>
      <w:r w:rsidR="00ED1632">
        <w:rPr>
          <w:lang w:val="en-US"/>
        </w:rPr>
        <w:t>on</w:t>
      </w:r>
      <w:r w:rsidR="00621862" w:rsidRPr="00621862">
        <w:rPr>
          <w:lang w:val="en-US"/>
        </w:rPr>
        <w:t xml:space="preserve"> applicable guarantees and the principle of judicial independence</w:t>
      </w:r>
      <w:bookmarkEnd w:id="16"/>
      <w:bookmarkEnd w:id="17"/>
    </w:p>
    <w:p w14:paraId="6FDB4EF9" w14:textId="77777777" w:rsidR="00BE5FAF" w:rsidRPr="00621862" w:rsidRDefault="00BE5FAF" w:rsidP="00BE5FAF"/>
    <w:p w14:paraId="4B71987F" w14:textId="77777777" w:rsidR="00874191" w:rsidRPr="00CE2C07" w:rsidRDefault="00876157" w:rsidP="00BB5FA9">
      <w:pPr>
        <w:pStyle w:val="parrafos"/>
        <w:rPr>
          <w:lang w:val="en-US"/>
        </w:rPr>
      </w:pPr>
      <w:r w:rsidRPr="00876157">
        <w:rPr>
          <w:lang w:val="en-US" w:eastAsia="es-ES"/>
        </w:rPr>
        <w:t xml:space="preserve">Both the Inter-American Commission and the Inter-American Court have repeatedly </w:t>
      </w:r>
      <w:r w:rsidR="00380856">
        <w:rPr>
          <w:lang w:val="en-US" w:eastAsia="es-ES"/>
        </w:rPr>
        <w:t>held</w:t>
      </w:r>
      <w:r w:rsidRPr="00876157">
        <w:rPr>
          <w:lang w:val="en-US" w:eastAsia="es-ES"/>
        </w:rPr>
        <w:t xml:space="preserve"> that, in general, the guarantees established in Article </w:t>
      </w:r>
      <w:r w:rsidR="00874191" w:rsidRPr="00876157">
        <w:rPr>
          <w:lang w:val="en-US" w:eastAsia="es-ES"/>
        </w:rPr>
        <w:t xml:space="preserve">8 </w:t>
      </w:r>
      <w:r>
        <w:rPr>
          <w:lang w:val="en-US" w:eastAsia="es-ES"/>
        </w:rPr>
        <w:t xml:space="preserve">of the American Convention are not limited to criminal proceedings but apply to proceedings </w:t>
      </w:r>
      <w:r w:rsidR="00953FCD">
        <w:rPr>
          <w:lang w:val="en-US" w:eastAsia="es-ES"/>
        </w:rPr>
        <w:t>of any other nature.</w:t>
      </w:r>
      <w:r w:rsidR="00874191" w:rsidRPr="00766381">
        <w:rPr>
          <w:vertAlign w:val="superscript"/>
          <w:lang w:eastAsia="es-ES"/>
        </w:rPr>
        <w:footnoteReference w:id="26"/>
      </w:r>
      <w:r w:rsidR="00BB5FA9" w:rsidRPr="00876157">
        <w:rPr>
          <w:lang w:val="en-US" w:eastAsia="es-ES"/>
        </w:rPr>
        <w:t xml:space="preserve"> </w:t>
      </w:r>
      <w:r w:rsidR="00582095">
        <w:rPr>
          <w:lang w:val="en-US" w:eastAsia="es-ES"/>
        </w:rPr>
        <w:t>I</w:t>
      </w:r>
      <w:r w:rsidR="00953FCD" w:rsidRPr="00953FCD">
        <w:rPr>
          <w:rFonts w:ascii="Cambria" w:hAnsi="Cambria"/>
          <w:lang w:val="en-US" w:eastAsia="es-ES"/>
        </w:rPr>
        <w:t xml:space="preserve">n the case of </w:t>
      </w:r>
      <w:r w:rsidR="00134505">
        <w:rPr>
          <w:rFonts w:ascii="Cambria" w:hAnsi="Cambria"/>
          <w:lang w:val="en-US" w:eastAsia="es-ES"/>
        </w:rPr>
        <w:t>sanction</w:t>
      </w:r>
      <w:r w:rsidR="00953FCD" w:rsidRPr="00953FCD">
        <w:rPr>
          <w:rFonts w:ascii="Cambria" w:hAnsi="Cambria"/>
          <w:lang w:val="en-US" w:eastAsia="es-ES"/>
        </w:rPr>
        <w:t xml:space="preserve"> proceedings</w:t>
      </w:r>
      <w:r w:rsidR="00582095">
        <w:rPr>
          <w:rFonts w:ascii="Cambria" w:hAnsi="Cambria"/>
          <w:lang w:val="en-US" w:eastAsia="es-ES"/>
        </w:rPr>
        <w:t xml:space="preserve"> specifically</w:t>
      </w:r>
      <w:r w:rsidR="00953FCD" w:rsidRPr="00953FCD">
        <w:rPr>
          <w:rFonts w:ascii="Cambria" w:hAnsi="Cambria"/>
          <w:lang w:val="en-US" w:eastAsia="es-ES"/>
        </w:rPr>
        <w:t>, both bodies of the human rights system have indicated that the guarantees established in Article 8(2) of the American Convention</w:t>
      </w:r>
      <w:r w:rsidR="00F82552">
        <w:rPr>
          <w:rFonts w:ascii="Cambria" w:hAnsi="Cambria"/>
          <w:lang w:val="en-US" w:eastAsia="es-ES"/>
        </w:rPr>
        <w:t xml:space="preserve"> apply analogously</w:t>
      </w:r>
      <w:r w:rsidR="00953FCD" w:rsidRPr="00953FCD">
        <w:rPr>
          <w:rFonts w:ascii="Cambria" w:hAnsi="Cambria"/>
          <w:lang w:val="en-US" w:eastAsia="es-ES"/>
        </w:rPr>
        <w:t>,</w:t>
      </w:r>
      <w:r w:rsidR="00874191" w:rsidRPr="00766381">
        <w:rPr>
          <w:vertAlign w:val="superscript"/>
          <w:lang w:eastAsia="es-ES"/>
        </w:rPr>
        <w:footnoteReference w:id="27"/>
      </w:r>
      <w:r w:rsidR="00874191" w:rsidRPr="00953FCD">
        <w:rPr>
          <w:rFonts w:ascii="Cambria" w:hAnsi="Cambria"/>
          <w:lang w:val="en-US" w:eastAsia="es-ES"/>
        </w:rPr>
        <w:t xml:space="preserve"> </w:t>
      </w:r>
      <w:r w:rsidR="00F82552">
        <w:rPr>
          <w:rFonts w:ascii="Cambria" w:hAnsi="Cambria"/>
          <w:lang w:val="en-US" w:eastAsia="es-ES"/>
        </w:rPr>
        <w:t>as does</w:t>
      </w:r>
      <w:r w:rsidR="00953FCD">
        <w:rPr>
          <w:rFonts w:ascii="Cambria" w:hAnsi="Cambria"/>
          <w:lang w:val="en-US" w:eastAsia="es-ES"/>
        </w:rPr>
        <w:t xml:space="preserve"> the principle </w:t>
      </w:r>
      <w:r w:rsidR="00CE2C07">
        <w:rPr>
          <w:rFonts w:ascii="Cambria" w:hAnsi="Cambria"/>
          <w:lang w:val="en-US" w:eastAsia="es-ES"/>
        </w:rPr>
        <w:t xml:space="preserve">of </w:t>
      </w:r>
      <w:r w:rsidR="00A512ED">
        <w:rPr>
          <w:rFonts w:ascii="Cambria" w:hAnsi="Cambria"/>
          <w:lang w:val="en-US" w:eastAsia="es-ES"/>
        </w:rPr>
        <w:t>legality</w:t>
      </w:r>
      <w:r w:rsidR="00CE2C07">
        <w:rPr>
          <w:rFonts w:ascii="Cambria" w:hAnsi="Cambria"/>
          <w:lang w:val="en-US" w:eastAsia="es-ES"/>
        </w:rPr>
        <w:t xml:space="preserve"> </w:t>
      </w:r>
      <w:r w:rsidR="005F5047">
        <w:rPr>
          <w:rFonts w:ascii="Cambria" w:hAnsi="Cambria"/>
          <w:lang w:val="en-US" w:eastAsia="es-ES"/>
        </w:rPr>
        <w:t xml:space="preserve">and freedom from ex post facto laws </w:t>
      </w:r>
      <w:r w:rsidR="00CE2C07">
        <w:rPr>
          <w:rFonts w:ascii="Cambria" w:hAnsi="Cambria"/>
          <w:lang w:val="en-US" w:eastAsia="es-ES"/>
        </w:rPr>
        <w:t xml:space="preserve">established in Article </w:t>
      </w:r>
      <w:r w:rsidR="00874191" w:rsidRPr="00953FCD">
        <w:rPr>
          <w:rFonts w:ascii="Cambria" w:hAnsi="Cambria"/>
          <w:lang w:val="en-US" w:eastAsia="es-ES"/>
        </w:rPr>
        <w:t xml:space="preserve">9 </w:t>
      </w:r>
      <w:r w:rsidR="00CE2C07">
        <w:rPr>
          <w:rFonts w:ascii="Cambria" w:hAnsi="Cambria"/>
          <w:lang w:val="en-US" w:eastAsia="es-ES"/>
        </w:rPr>
        <w:t>of the same instrument.</w:t>
      </w:r>
      <w:r w:rsidR="00874191" w:rsidRPr="00766381">
        <w:rPr>
          <w:vertAlign w:val="superscript"/>
          <w:lang w:eastAsia="es-ES"/>
        </w:rPr>
        <w:footnoteReference w:id="28"/>
      </w:r>
      <w:r w:rsidR="00874191" w:rsidRPr="00953FCD">
        <w:rPr>
          <w:rFonts w:ascii="Cambria" w:hAnsi="Cambria"/>
          <w:lang w:val="en-US" w:eastAsia="es-ES"/>
        </w:rPr>
        <w:t xml:space="preserve"> </w:t>
      </w:r>
      <w:r w:rsidR="00CE2C07" w:rsidRPr="00CE2C07">
        <w:rPr>
          <w:rFonts w:ascii="Cambria" w:hAnsi="Cambria"/>
          <w:lang w:val="en-US" w:eastAsia="es-ES"/>
        </w:rPr>
        <w:t xml:space="preserve">In terms of other proceedings in which rights or interests may be </w:t>
      </w:r>
      <w:r w:rsidR="005F5047">
        <w:rPr>
          <w:rFonts w:ascii="Cambria" w:hAnsi="Cambria"/>
          <w:lang w:val="en-US" w:eastAsia="es-ES"/>
        </w:rPr>
        <w:t>addressed</w:t>
      </w:r>
      <w:r w:rsidR="00CE2C07" w:rsidRPr="00CE2C07">
        <w:rPr>
          <w:rFonts w:ascii="Cambria" w:hAnsi="Cambria"/>
          <w:lang w:val="en-US" w:eastAsia="es-ES"/>
        </w:rPr>
        <w:t xml:space="preserve">, the “due guarantees” established in Article </w:t>
      </w:r>
      <w:r w:rsidR="00874191" w:rsidRPr="00CE2C07">
        <w:rPr>
          <w:rFonts w:ascii="Cambria" w:hAnsi="Cambria"/>
          <w:lang w:val="en-US" w:eastAsia="es-ES"/>
        </w:rPr>
        <w:t>8</w:t>
      </w:r>
      <w:r w:rsidR="00CE2C07">
        <w:rPr>
          <w:rFonts w:ascii="Cambria" w:hAnsi="Cambria"/>
          <w:lang w:val="en-US" w:eastAsia="es-ES"/>
        </w:rPr>
        <w:t>(</w:t>
      </w:r>
      <w:r w:rsidR="00874191" w:rsidRPr="00CE2C07">
        <w:rPr>
          <w:rFonts w:ascii="Cambria" w:hAnsi="Cambria"/>
          <w:lang w:val="en-US" w:eastAsia="es-ES"/>
        </w:rPr>
        <w:t>1</w:t>
      </w:r>
      <w:r w:rsidR="00CE2C07">
        <w:rPr>
          <w:rFonts w:ascii="Cambria" w:hAnsi="Cambria"/>
          <w:lang w:val="en-US" w:eastAsia="es-ES"/>
        </w:rPr>
        <w:t xml:space="preserve">) of the American Convention apply, including the right to </w:t>
      </w:r>
      <w:r w:rsidR="00CE2C07" w:rsidRPr="00FF358A">
        <w:rPr>
          <w:rFonts w:ascii="Cambria" w:hAnsi="Cambria"/>
          <w:lang w:val="en-US" w:eastAsia="es-ES"/>
        </w:rPr>
        <w:t xml:space="preserve">sufficient </w:t>
      </w:r>
      <w:r w:rsidR="00B71297">
        <w:rPr>
          <w:rFonts w:ascii="Cambria" w:hAnsi="Cambria"/>
          <w:lang w:val="en-US" w:eastAsia="es-ES"/>
        </w:rPr>
        <w:t>grounds</w:t>
      </w:r>
      <w:r w:rsidR="005F5047">
        <w:rPr>
          <w:rFonts w:ascii="Cambria" w:hAnsi="Cambria"/>
          <w:lang w:val="en-US" w:eastAsia="es-ES"/>
        </w:rPr>
        <w:t xml:space="preserve"> for decisions</w:t>
      </w:r>
      <w:r w:rsidR="00CE2C07">
        <w:rPr>
          <w:rFonts w:ascii="Cambria" w:hAnsi="Cambria"/>
          <w:lang w:val="en-US" w:eastAsia="es-ES"/>
        </w:rPr>
        <w:t>.</w:t>
      </w:r>
      <w:r w:rsidR="00874191" w:rsidRPr="00766381">
        <w:rPr>
          <w:vertAlign w:val="superscript"/>
          <w:lang w:eastAsia="es-ES"/>
        </w:rPr>
        <w:footnoteReference w:id="29"/>
      </w:r>
      <w:r w:rsidR="00874191" w:rsidRPr="00CE2C07">
        <w:rPr>
          <w:rFonts w:ascii="Cambria" w:hAnsi="Cambria"/>
          <w:lang w:val="en-US" w:eastAsia="es-ES"/>
        </w:rPr>
        <w:t xml:space="preserve"> </w:t>
      </w:r>
      <w:r w:rsidR="00CE2C07" w:rsidRPr="00CE2C07">
        <w:rPr>
          <w:rFonts w:ascii="Cambria" w:hAnsi="Cambria"/>
          <w:lang w:val="en-US" w:eastAsia="es-ES"/>
        </w:rPr>
        <w:t xml:space="preserve">The determination of what are the “due guarantees” in a specific proceeding to determine </w:t>
      </w:r>
      <w:r w:rsidR="00F82552">
        <w:rPr>
          <w:rFonts w:ascii="Cambria" w:hAnsi="Cambria"/>
          <w:lang w:val="en-US" w:eastAsia="es-ES"/>
        </w:rPr>
        <w:t xml:space="preserve">a person’s </w:t>
      </w:r>
      <w:r w:rsidR="00CE2C07" w:rsidRPr="00CE2C07">
        <w:rPr>
          <w:rFonts w:ascii="Cambria" w:hAnsi="Cambria"/>
          <w:lang w:val="en-US" w:eastAsia="es-ES"/>
        </w:rPr>
        <w:t xml:space="preserve">rights should be </w:t>
      </w:r>
      <w:r w:rsidR="00F82552">
        <w:rPr>
          <w:rFonts w:ascii="Cambria" w:hAnsi="Cambria"/>
          <w:lang w:val="en-US" w:eastAsia="es-ES"/>
        </w:rPr>
        <w:t xml:space="preserve">made in accordance with </w:t>
      </w:r>
      <w:r w:rsidR="00CE2C07" w:rsidRPr="00CE2C07">
        <w:rPr>
          <w:rFonts w:ascii="Cambria" w:hAnsi="Cambria"/>
          <w:lang w:val="en-US" w:eastAsia="es-ES"/>
        </w:rPr>
        <w:t>the nature of the process and the legal rights at</w:t>
      </w:r>
      <w:r w:rsidR="00CE2C07">
        <w:rPr>
          <w:rFonts w:ascii="Cambria" w:hAnsi="Cambria"/>
          <w:lang w:val="en-US" w:eastAsia="es-ES"/>
        </w:rPr>
        <w:t xml:space="preserve"> play.</w:t>
      </w:r>
      <w:r w:rsidR="00874191" w:rsidRPr="00766381">
        <w:rPr>
          <w:vertAlign w:val="superscript"/>
          <w:lang w:val="es-ES" w:eastAsia="es-ES"/>
        </w:rPr>
        <w:footnoteReference w:id="30"/>
      </w:r>
    </w:p>
    <w:p w14:paraId="5FF42BA8" w14:textId="77777777" w:rsidR="00874191" w:rsidRPr="00CE2C07" w:rsidRDefault="00874191" w:rsidP="00874191">
      <w:pPr>
        <w:pStyle w:val="parrafos"/>
        <w:numPr>
          <w:ilvl w:val="0"/>
          <w:numId w:val="0"/>
        </w:numPr>
        <w:rPr>
          <w:lang w:val="en-US"/>
        </w:rPr>
      </w:pPr>
    </w:p>
    <w:p w14:paraId="353BBEF9" w14:textId="77777777" w:rsidR="00874191" w:rsidRPr="00CE2C07" w:rsidRDefault="00F82552" w:rsidP="00874191">
      <w:pPr>
        <w:pStyle w:val="parrafos"/>
        <w:rPr>
          <w:lang w:val="en-US"/>
        </w:rPr>
      </w:pPr>
      <w:r>
        <w:rPr>
          <w:rFonts w:ascii="Cambria" w:hAnsi="Cambria"/>
          <w:lang w:val="en-US" w:eastAsia="es-ES"/>
        </w:rPr>
        <w:t>Accordingly</w:t>
      </w:r>
      <w:r w:rsidR="00CE2C07" w:rsidRPr="00CE2C07">
        <w:rPr>
          <w:rFonts w:ascii="Cambria" w:hAnsi="Cambria"/>
          <w:lang w:val="en-US" w:eastAsia="es-ES"/>
        </w:rPr>
        <w:t>, to determine what guarantees the State has the obligation to grant in the case at hand, it is necessary to refer to th</w:t>
      </w:r>
      <w:r w:rsidR="00CE2C07">
        <w:rPr>
          <w:rFonts w:ascii="Cambria" w:hAnsi="Cambria"/>
          <w:lang w:val="en-US" w:eastAsia="es-ES"/>
        </w:rPr>
        <w:t>e nature of the proceeding in question.</w:t>
      </w:r>
    </w:p>
    <w:p w14:paraId="501A225C" w14:textId="77777777" w:rsidR="00874191" w:rsidRPr="00CE2C07" w:rsidRDefault="00874191" w:rsidP="00874191">
      <w:pPr>
        <w:pStyle w:val="parrafos"/>
        <w:numPr>
          <w:ilvl w:val="0"/>
          <w:numId w:val="0"/>
        </w:numPr>
        <w:rPr>
          <w:lang w:val="en-US"/>
        </w:rPr>
      </w:pPr>
    </w:p>
    <w:p w14:paraId="15A4FD57" w14:textId="77777777" w:rsidR="00874191" w:rsidRPr="00CE2C07" w:rsidRDefault="00CE2C07" w:rsidP="00874191">
      <w:pPr>
        <w:pStyle w:val="parrafos"/>
        <w:rPr>
          <w:lang w:val="en-US"/>
        </w:rPr>
      </w:pPr>
      <w:r w:rsidRPr="00CE2C07">
        <w:rPr>
          <w:rFonts w:ascii="Cambria" w:hAnsi="Cambria"/>
          <w:lang w:val="en-US" w:eastAsia="es-ES"/>
        </w:rPr>
        <w:t>This case involves a proceeding held before the Jury for the Prosecution of Magistrates, which concluded with the decision to remove the alleged victim from his post</w:t>
      </w:r>
      <w:r>
        <w:rPr>
          <w:rFonts w:ascii="Cambria" w:hAnsi="Cambria"/>
          <w:lang w:val="en-US" w:eastAsia="es-ES"/>
        </w:rPr>
        <w:t xml:space="preserve"> as Prosecutor. </w:t>
      </w:r>
      <w:r w:rsidRPr="00CE2C07">
        <w:rPr>
          <w:rFonts w:ascii="Cambria" w:hAnsi="Cambria"/>
          <w:lang w:val="en-US" w:eastAsia="es-ES"/>
        </w:rPr>
        <w:t xml:space="preserve">In this regard, the Commission </w:t>
      </w:r>
      <w:r w:rsidR="00F82552">
        <w:rPr>
          <w:rFonts w:ascii="Cambria" w:hAnsi="Cambria"/>
          <w:lang w:val="en-US" w:eastAsia="es-ES"/>
        </w:rPr>
        <w:t>considers</w:t>
      </w:r>
      <w:r w:rsidRPr="00CE2C07">
        <w:rPr>
          <w:rFonts w:ascii="Cambria" w:hAnsi="Cambria"/>
          <w:lang w:val="en-US" w:eastAsia="es-ES"/>
        </w:rPr>
        <w:t xml:space="preserve"> that this was a sanction proceeding that involved the punitive power of the State, and that therefor</w:t>
      </w:r>
      <w:r>
        <w:rPr>
          <w:rFonts w:ascii="Cambria" w:hAnsi="Cambria"/>
          <w:lang w:val="en-US" w:eastAsia="es-ES"/>
        </w:rPr>
        <w:t>e</w:t>
      </w:r>
      <w:r w:rsidRPr="00CE2C07">
        <w:rPr>
          <w:rFonts w:ascii="Cambria" w:hAnsi="Cambria"/>
          <w:lang w:val="en-US" w:eastAsia="es-ES"/>
        </w:rPr>
        <w:t xml:space="preserve"> </w:t>
      </w:r>
      <w:r>
        <w:rPr>
          <w:rFonts w:ascii="Cambria" w:hAnsi="Cambria"/>
          <w:lang w:val="en-US" w:eastAsia="es-ES"/>
        </w:rPr>
        <w:t>the applicable guarantees include those that apply analogously to a criminal proceeding</w:t>
      </w:r>
      <w:r w:rsidR="00EF64CD">
        <w:rPr>
          <w:rFonts w:ascii="Cambria" w:hAnsi="Cambria"/>
          <w:lang w:val="en-US" w:eastAsia="es-ES"/>
        </w:rPr>
        <w:t>. S</w:t>
      </w:r>
      <w:r>
        <w:rPr>
          <w:rFonts w:ascii="Cambria" w:hAnsi="Cambria"/>
          <w:lang w:val="en-US" w:eastAsia="es-ES"/>
        </w:rPr>
        <w:t>pecifically</w:t>
      </w:r>
      <w:r w:rsidRPr="00CE2C07">
        <w:rPr>
          <w:rFonts w:ascii="Cambria" w:hAnsi="Cambria"/>
          <w:lang w:val="en-US" w:eastAsia="es-ES"/>
        </w:rPr>
        <w:t>, for the purpose of analyzing this c</w:t>
      </w:r>
      <w:r>
        <w:rPr>
          <w:rFonts w:ascii="Cambria" w:hAnsi="Cambria"/>
          <w:lang w:val="en-US" w:eastAsia="es-ES"/>
        </w:rPr>
        <w:t xml:space="preserve">ase, the relevant guarantees are those established in Articles </w:t>
      </w:r>
      <w:r w:rsidR="00BD0A89" w:rsidRPr="00CE2C07">
        <w:rPr>
          <w:rFonts w:ascii="Cambria" w:hAnsi="Cambria"/>
          <w:lang w:val="en-US" w:eastAsia="es-ES"/>
        </w:rPr>
        <w:t>8</w:t>
      </w:r>
      <w:r>
        <w:rPr>
          <w:rFonts w:ascii="Cambria" w:hAnsi="Cambria"/>
          <w:lang w:val="en-US" w:eastAsia="es-ES"/>
        </w:rPr>
        <w:t>(</w:t>
      </w:r>
      <w:r w:rsidR="00BD0A89" w:rsidRPr="00CE2C07">
        <w:rPr>
          <w:rFonts w:ascii="Cambria" w:hAnsi="Cambria"/>
          <w:lang w:val="en-US" w:eastAsia="es-ES"/>
        </w:rPr>
        <w:t>1</w:t>
      </w:r>
      <w:r>
        <w:rPr>
          <w:rFonts w:ascii="Cambria" w:hAnsi="Cambria"/>
          <w:lang w:val="en-US" w:eastAsia="es-ES"/>
        </w:rPr>
        <w:t>)</w:t>
      </w:r>
      <w:r w:rsidR="00BD0A89" w:rsidRPr="00CE2C07">
        <w:rPr>
          <w:rFonts w:ascii="Cambria" w:hAnsi="Cambria"/>
          <w:lang w:val="en-US" w:eastAsia="es-ES"/>
        </w:rPr>
        <w:t>, 8</w:t>
      </w:r>
      <w:r>
        <w:rPr>
          <w:rFonts w:ascii="Cambria" w:hAnsi="Cambria"/>
          <w:lang w:val="en-US" w:eastAsia="es-ES"/>
        </w:rPr>
        <w:t>(</w:t>
      </w:r>
      <w:r w:rsidR="00BD0A89" w:rsidRPr="00CE2C07">
        <w:rPr>
          <w:rFonts w:ascii="Cambria" w:hAnsi="Cambria"/>
          <w:lang w:val="en-US" w:eastAsia="es-ES"/>
        </w:rPr>
        <w:t>2</w:t>
      </w:r>
      <w:r>
        <w:rPr>
          <w:rFonts w:ascii="Cambria" w:hAnsi="Cambria"/>
          <w:lang w:val="en-US" w:eastAsia="es-ES"/>
        </w:rPr>
        <w:t xml:space="preserve">), and </w:t>
      </w:r>
      <w:r w:rsidR="00BD0A89" w:rsidRPr="00CE2C07">
        <w:rPr>
          <w:rFonts w:ascii="Cambria" w:hAnsi="Cambria"/>
          <w:lang w:val="en-US" w:eastAsia="es-ES"/>
        </w:rPr>
        <w:t xml:space="preserve">9 </w:t>
      </w:r>
      <w:r>
        <w:rPr>
          <w:rFonts w:ascii="Cambria" w:hAnsi="Cambria"/>
          <w:lang w:val="en-US" w:eastAsia="es-ES"/>
        </w:rPr>
        <w:t>of the American Convention</w:t>
      </w:r>
      <w:r w:rsidR="00BD0A89" w:rsidRPr="00CE2C07">
        <w:rPr>
          <w:rFonts w:ascii="Cambria" w:hAnsi="Cambria"/>
          <w:lang w:val="en-US" w:eastAsia="es-ES"/>
        </w:rPr>
        <w:t>.</w:t>
      </w:r>
    </w:p>
    <w:p w14:paraId="7597A4E1" w14:textId="77777777" w:rsidR="00874191" w:rsidRPr="00CE2C07" w:rsidRDefault="00874191" w:rsidP="00914740">
      <w:pPr>
        <w:tabs>
          <w:tab w:val="left" w:pos="360"/>
        </w:tabs>
        <w:suppressAutoHyphens/>
        <w:rPr>
          <w:rFonts w:asciiTheme="majorHAnsi" w:hAnsiTheme="majorHAnsi"/>
          <w:b/>
          <w:sz w:val="20"/>
          <w:szCs w:val="20"/>
        </w:rPr>
      </w:pPr>
    </w:p>
    <w:p w14:paraId="559D475E" w14:textId="77777777" w:rsidR="00310A6D" w:rsidRPr="00213016" w:rsidRDefault="00605EB3" w:rsidP="00310A6D">
      <w:pPr>
        <w:pStyle w:val="parrafos"/>
        <w:rPr>
          <w:lang w:val="en-US"/>
        </w:rPr>
      </w:pPr>
      <w:r w:rsidRPr="00213016">
        <w:rPr>
          <w:lang w:val="en-US"/>
        </w:rPr>
        <w:t xml:space="preserve">In addition to the punitive </w:t>
      </w:r>
      <w:r w:rsidR="00EF64CD">
        <w:rPr>
          <w:lang w:val="en-US"/>
        </w:rPr>
        <w:t>aspect</w:t>
      </w:r>
      <w:r w:rsidRPr="00213016">
        <w:rPr>
          <w:lang w:val="en-US"/>
        </w:rPr>
        <w:t xml:space="preserve">, it is relevant to </w:t>
      </w:r>
      <w:r w:rsidR="00213016" w:rsidRPr="00213016">
        <w:rPr>
          <w:lang w:val="en-US"/>
        </w:rPr>
        <w:t xml:space="preserve">lay out some general considerations about reinforced guarantees in </w:t>
      </w:r>
      <w:r w:rsidR="00EF64CD">
        <w:rPr>
          <w:lang w:val="en-US"/>
        </w:rPr>
        <w:t>cases involving the dismissal of</w:t>
      </w:r>
      <w:r w:rsidR="00213016">
        <w:rPr>
          <w:lang w:val="en-US"/>
        </w:rPr>
        <w:t xml:space="preserve"> prosecutors</w:t>
      </w:r>
      <w:r w:rsidR="00310A6D" w:rsidRPr="00213016">
        <w:rPr>
          <w:lang w:val="en-US"/>
        </w:rPr>
        <w:t xml:space="preserve">. </w:t>
      </w:r>
    </w:p>
    <w:p w14:paraId="0DC7D644" w14:textId="77777777" w:rsidR="00310A6D" w:rsidRPr="00213016" w:rsidRDefault="00310A6D" w:rsidP="00310A6D">
      <w:pPr>
        <w:pStyle w:val="parrafos"/>
        <w:numPr>
          <w:ilvl w:val="0"/>
          <w:numId w:val="0"/>
        </w:numPr>
        <w:rPr>
          <w:lang w:val="en-US"/>
        </w:rPr>
      </w:pPr>
    </w:p>
    <w:p w14:paraId="46739E82" w14:textId="77777777" w:rsidR="00D460F3" w:rsidRPr="002F5504" w:rsidRDefault="007C1AA4" w:rsidP="00310A6D">
      <w:pPr>
        <w:pStyle w:val="parrafos"/>
        <w:rPr>
          <w:lang w:val="en-US"/>
        </w:rPr>
      </w:pPr>
      <w:r w:rsidRPr="007C1AA4">
        <w:rPr>
          <w:lang w:val="en-US"/>
        </w:rPr>
        <w:t xml:space="preserve">The principle of </w:t>
      </w:r>
      <w:r w:rsidR="00BD3614">
        <w:rPr>
          <w:lang w:val="en-US"/>
        </w:rPr>
        <w:t xml:space="preserve">the </w:t>
      </w:r>
      <w:r w:rsidRPr="007C1AA4">
        <w:rPr>
          <w:lang w:val="en-US"/>
        </w:rPr>
        <w:t>independence of justice</w:t>
      </w:r>
      <w:r w:rsidR="00BD3614">
        <w:rPr>
          <w:lang w:val="en-US"/>
        </w:rPr>
        <w:t xml:space="preserve"> </w:t>
      </w:r>
      <w:r w:rsidRPr="007C1AA4">
        <w:rPr>
          <w:lang w:val="en-US"/>
        </w:rPr>
        <w:t xml:space="preserve">operators is an </w:t>
      </w:r>
      <w:r w:rsidR="00BD3614">
        <w:rPr>
          <w:lang w:val="en-US"/>
        </w:rPr>
        <w:t>essential</w:t>
      </w:r>
      <w:r w:rsidRPr="007C1AA4">
        <w:rPr>
          <w:lang w:val="en-US"/>
        </w:rPr>
        <w:t xml:space="preserve"> requirement </w:t>
      </w:r>
      <w:r w:rsidR="00BD3614">
        <w:rPr>
          <w:lang w:val="en-US"/>
        </w:rPr>
        <w:t>in</w:t>
      </w:r>
      <w:r w:rsidRPr="007C1AA4">
        <w:rPr>
          <w:lang w:val="en-US"/>
        </w:rPr>
        <w:t xml:space="preserve"> a democratic system and a </w:t>
      </w:r>
      <w:r w:rsidR="00BD3614">
        <w:rPr>
          <w:lang w:val="en-US"/>
        </w:rPr>
        <w:t xml:space="preserve">condition </w:t>
      </w:r>
      <w:r w:rsidR="00BD3614" w:rsidRPr="00BD3614">
        <w:rPr>
          <w:i/>
          <w:iCs/>
          <w:lang w:val="en-US"/>
        </w:rPr>
        <w:t>sine qua non</w:t>
      </w:r>
      <w:r w:rsidR="00BD3614">
        <w:rPr>
          <w:lang w:val="en-US"/>
        </w:rPr>
        <w:t xml:space="preserve"> </w:t>
      </w:r>
      <w:r w:rsidRPr="007C1AA4">
        <w:rPr>
          <w:lang w:val="en-US"/>
        </w:rPr>
        <w:t xml:space="preserve">for the </w:t>
      </w:r>
      <w:r w:rsidR="008F5252">
        <w:rPr>
          <w:lang w:val="en-US"/>
        </w:rPr>
        <w:t xml:space="preserve"> </w:t>
      </w:r>
      <w:r w:rsidRPr="007C1AA4">
        <w:rPr>
          <w:lang w:val="en-US"/>
        </w:rPr>
        <w:t>protection of human righ</w:t>
      </w:r>
      <w:r>
        <w:rPr>
          <w:lang w:val="en-US"/>
        </w:rPr>
        <w:t>ts.</w:t>
      </w:r>
      <w:r w:rsidR="00310A6D" w:rsidRPr="00766381">
        <w:rPr>
          <w:rStyle w:val="FootnoteReference"/>
        </w:rPr>
        <w:footnoteReference w:id="31"/>
      </w:r>
      <w:r w:rsidR="00310A6D" w:rsidRPr="007C1AA4">
        <w:rPr>
          <w:lang w:val="en-US"/>
        </w:rPr>
        <w:t xml:space="preserve"> </w:t>
      </w:r>
      <w:r w:rsidRPr="00FF358A">
        <w:rPr>
          <w:lang w:val="en-US"/>
        </w:rPr>
        <w:t xml:space="preserve">It is enshrined as one of the </w:t>
      </w:r>
      <w:r w:rsidR="006F504E" w:rsidRPr="00FF358A">
        <w:rPr>
          <w:lang w:val="en-US"/>
        </w:rPr>
        <w:t xml:space="preserve">due process </w:t>
      </w:r>
      <w:r w:rsidRPr="00FF358A">
        <w:rPr>
          <w:lang w:val="en-US"/>
        </w:rPr>
        <w:lastRenderedPageBreak/>
        <w:t xml:space="preserve">guarantees protected by Article </w:t>
      </w:r>
      <w:r w:rsidR="00310A6D" w:rsidRPr="00FF358A">
        <w:rPr>
          <w:lang w:val="en-US"/>
        </w:rPr>
        <w:t>8</w:t>
      </w:r>
      <w:r w:rsidRPr="00FF358A">
        <w:rPr>
          <w:lang w:val="en-US"/>
        </w:rPr>
        <w:t>(</w:t>
      </w:r>
      <w:r w:rsidR="00310A6D" w:rsidRPr="00FF358A">
        <w:rPr>
          <w:lang w:val="en-US"/>
        </w:rPr>
        <w:t>1</w:t>
      </w:r>
      <w:r w:rsidRPr="00FF358A">
        <w:rPr>
          <w:lang w:val="en-US"/>
        </w:rPr>
        <w:t xml:space="preserve">) of the American Convention; </w:t>
      </w:r>
      <w:r w:rsidR="0035448F" w:rsidRPr="00FF358A">
        <w:rPr>
          <w:lang w:val="en-US"/>
        </w:rPr>
        <w:t>that principle</w:t>
      </w:r>
      <w:r w:rsidR="001B7B7B">
        <w:rPr>
          <w:lang w:val="en-US"/>
        </w:rPr>
        <w:t>,</w:t>
      </w:r>
      <w:r w:rsidR="00310A6D" w:rsidRPr="00FF358A">
        <w:rPr>
          <w:lang w:val="en-US"/>
        </w:rPr>
        <w:t xml:space="preserve"> </w:t>
      </w:r>
      <w:r w:rsidR="00FF358A" w:rsidRPr="00FF358A">
        <w:rPr>
          <w:lang w:val="en-US"/>
        </w:rPr>
        <w:t>in turn</w:t>
      </w:r>
      <w:r w:rsidR="001B7B7B">
        <w:rPr>
          <w:lang w:val="en-US"/>
        </w:rPr>
        <w:t>,</w:t>
      </w:r>
      <w:r w:rsidR="00FF358A" w:rsidRPr="00FF358A">
        <w:rPr>
          <w:lang w:val="en-US"/>
        </w:rPr>
        <w:t xml:space="preserve"> gives rise to “r</w:t>
      </w:r>
      <w:r w:rsidR="00FF358A">
        <w:rPr>
          <w:lang w:val="en-US"/>
        </w:rPr>
        <w:t>einforced” guarantees</w:t>
      </w:r>
      <w:r w:rsidR="00E2041B" w:rsidRPr="00766381">
        <w:rPr>
          <w:rStyle w:val="FootnoteReference"/>
        </w:rPr>
        <w:footnoteReference w:id="32"/>
      </w:r>
      <w:r w:rsidR="00310A6D" w:rsidRPr="00FF358A">
        <w:rPr>
          <w:lang w:val="en-US"/>
        </w:rPr>
        <w:t xml:space="preserve"> </w:t>
      </w:r>
      <w:r w:rsidR="00FF358A">
        <w:rPr>
          <w:lang w:val="en-US"/>
        </w:rPr>
        <w:t xml:space="preserve">which the States must provide judges to ensure their </w:t>
      </w:r>
      <w:r w:rsidR="00FF358A" w:rsidRPr="003A0857">
        <w:rPr>
          <w:lang w:val="en-US"/>
        </w:rPr>
        <w:t>independence.</w:t>
      </w:r>
      <w:r w:rsidR="00E2041B" w:rsidRPr="003A0857">
        <w:rPr>
          <w:rStyle w:val="FootnoteReference"/>
        </w:rPr>
        <w:footnoteReference w:id="33"/>
      </w:r>
      <w:r w:rsidR="00310A6D" w:rsidRPr="003A0857">
        <w:rPr>
          <w:lang w:val="en-US"/>
        </w:rPr>
        <w:t xml:space="preserve"> </w:t>
      </w:r>
      <w:r w:rsidR="003A0857" w:rsidRPr="002F5504">
        <w:rPr>
          <w:lang w:val="en-US"/>
        </w:rPr>
        <w:t>The bodies of the inter-American system have interpreted the principle of independence in the sense of incorporating the following guarantees</w:t>
      </w:r>
      <w:r w:rsidR="002F5504" w:rsidRPr="002F5504">
        <w:rPr>
          <w:lang w:val="en-US"/>
        </w:rPr>
        <w:t>: a</w:t>
      </w:r>
      <w:r w:rsidR="002F5504">
        <w:rPr>
          <w:lang w:val="en-US"/>
        </w:rPr>
        <w:t xml:space="preserve"> proper</w:t>
      </w:r>
      <w:r w:rsidR="002F5504" w:rsidRPr="002F5504">
        <w:rPr>
          <w:lang w:val="en-US"/>
        </w:rPr>
        <w:t xml:space="preserve"> appointment process, tenure in th</w:t>
      </w:r>
      <w:r w:rsidR="002F5504">
        <w:rPr>
          <w:lang w:val="en-US"/>
        </w:rPr>
        <w:t xml:space="preserve">e position, and </w:t>
      </w:r>
      <w:r w:rsidR="00B72232">
        <w:rPr>
          <w:lang w:val="en-US"/>
        </w:rPr>
        <w:t>a</w:t>
      </w:r>
      <w:r w:rsidR="002F5504">
        <w:rPr>
          <w:lang w:val="en-US"/>
        </w:rPr>
        <w:t xml:space="preserve"> guarantee against external pressures.</w:t>
      </w:r>
      <w:r w:rsidR="00E2041B" w:rsidRPr="00766381">
        <w:rPr>
          <w:rStyle w:val="FootnoteReference"/>
        </w:rPr>
        <w:footnoteReference w:id="34"/>
      </w:r>
      <w:r w:rsidR="00310A6D" w:rsidRPr="002F5504">
        <w:rPr>
          <w:lang w:val="en-US"/>
        </w:rPr>
        <w:t xml:space="preserve"> </w:t>
      </w:r>
    </w:p>
    <w:p w14:paraId="5C94B6B8" w14:textId="77777777" w:rsidR="00D460F3" w:rsidRPr="002F5504" w:rsidRDefault="00D460F3" w:rsidP="00D460F3">
      <w:pPr>
        <w:pStyle w:val="ListParagraph"/>
        <w:rPr>
          <w:lang w:val="en-US"/>
        </w:rPr>
      </w:pPr>
    </w:p>
    <w:p w14:paraId="50329459" w14:textId="77777777" w:rsidR="00AD4470" w:rsidRPr="00C069CE" w:rsidRDefault="002F5504" w:rsidP="00310A6D">
      <w:pPr>
        <w:pStyle w:val="parrafos"/>
        <w:rPr>
          <w:lang w:val="en-US"/>
        </w:rPr>
      </w:pPr>
      <w:r w:rsidRPr="00C069CE">
        <w:rPr>
          <w:rFonts w:ascii="Cambria" w:hAnsi="Cambria"/>
          <w:lang w:val="en-US"/>
        </w:rPr>
        <w:t xml:space="preserve">The Commission reiterates that States should ensure that all persons who exercise duties as justice operators, including prosecutors, have reinforced guarantees of tenure, understanding that, with the exception of serious disciplinary </w:t>
      </w:r>
      <w:r w:rsidR="00C069CE" w:rsidRPr="00C069CE">
        <w:rPr>
          <w:rFonts w:ascii="Cambria" w:hAnsi="Cambria"/>
          <w:lang w:val="en-US"/>
        </w:rPr>
        <w:t>offenses,</w:t>
      </w:r>
      <w:r w:rsidR="00D460F3" w:rsidRPr="00C069CE">
        <w:rPr>
          <w:lang w:val="en-US"/>
        </w:rPr>
        <w:t xml:space="preserve"> </w:t>
      </w:r>
      <w:r w:rsidR="008B1DC5">
        <w:rPr>
          <w:lang w:val="en-US"/>
        </w:rPr>
        <w:t>employment security</w:t>
      </w:r>
      <w:r w:rsidRPr="00C069CE">
        <w:rPr>
          <w:lang w:val="en-US"/>
        </w:rPr>
        <w:t xml:space="preserve"> </w:t>
      </w:r>
      <w:r w:rsidR="00C069CE" w:rsidRPr="00C069CE">
        <w:rPr>
          <w:lang w:val="en-US"/>
        </w:rPr>
        <w:t xml:space="preserve">should be respected in line with the </w:t>
      </w:r>
      <w:r w:rsidR="00785D00">
        <w:rPr>
          <w:lang w:val="en-US"/>
        </w:rPr>
        <w:t xml:space="preserve">time </w:t>
      </w:r>
      <w:r w:rsidR="00C069CE" w:rsidRPr="00C069CE">
        <w:rPr>
          <w:lang w:val="en-US"/>
        </w:rPr>
        <w:t xml:space="preserve">period or conditions established in the </w:t>
      </w:r>
      <w:r w:rsidR="00C069CE">
        <w:rPr>
          <w:lang w:val="en-US"/>
        </w:rPr>
        <w:t>appointment.</w:t>
      </w:r>
      <w:r w:rsidR="00D460F3" w:rsidRPr="00C069CE">
        <w:rPr>
          <w:lang w:val="en-US"/>
        </w:rPr>
        <w:t xml:space="preserve"> </w:t>
      </w:r>
    </w:p>
    <w:p w14:paraId="3F71FC90" w14:textId="77777777" w:rsidR="00E2041B" w:rsidRPr="00C069CE" w:rsidRDefault="00E2041B" w:rsidP="00E2041B">
      <w:pPr>
        <w:pStyle w:val="parrafos"/>
        <w:numPr>
          <w:ilvl w:val="0"/>
          <w:numId w:val="0"/>
        </w:numPr>
        <w:rPr>
          <w:lang w:val="en-US"/>
        </w:rPr>
      </w:pPr>
    </w:p>
    <w:p w14:paraId="12F2FF2D" w14:textId="77777777" w:rsidR="00874191" w:rsidRPr="00C069CE" w:rsidRDefault="00C069CE" w:rsidP="00787E82">
      <w:pPr>
        <w:pStyle w:val="parrafos"/>
        <w:suppressAutoHyphens/>
        <w:rPr>
          <w:b/>
          <w:lang w:val="en-US"/>
        </w:rPr>
      </w:pPr>
      <w:r w:rsidRPr="00C069CE">
        <w:rPr>
          <w:rFonts w:ascii="Cambria" w:hAnsi="Cambria"/>
          <w:lang w:val="en-US"/>
        </w:rPr>
        <w:t>In view of the parties’ positions and the facts that have been established, and taking these general considerations into account, the Commission will undertake a legal analysis in the following order:</w:t>
      </w:r>
      <w:r w:rsidR="00FD61AB" w:rsidRPr="00C069CE">
        <w:rPr>
          <w:rFonts w:ascii="Cambria" w:hAnsi="Cambria"/>
          <w:lang w:val="en-US"/>
        </w:rPr>
        <w:t xml:space="preserve"> i) </w:t>
      </w:r>
      <w:r w:rsidRPr="00C069CE">
        <w:rPr>
          <w:rFonts w:ascii="Cambria" w:hAnsi="Cambria"/>
          <w:lang w:val="en-US"/>
        </w:rPr>
        <w:t xml:space="preserve">the right to a competent, independent, and impartial tribunal </w:t>
      </w:r>
      <w:r w:rsidR="00FD61AB" w:rsidRPr="00C069CE">
        <w:rPr>
          <w:rFonts w:ascii="Cambria" w:hAnsi="Cambria"/>
          <w:lang w:val="en-US"/>
        </w:rPr>
        <w:t>(</w:t>
      </w:r>
      <w:r w:rsidRPr="00C069CE">
        <w:rPr>
          <w:rFonts w:ascii="Cambria" w:hAnsi="Cambria"/>
          <w:lang w:val="en-US"/>
        </w:rPr>
        <w:t>Article</w:t>
      </w:r>
      <w:r w:rsidR="00FD61AB" w:rsidRPr="00C069CE">
        <w:rPr>
          <w:rFonts w:ascii="Cambria" w:hAnsi="Cambria"/>
          <w:lang w:val="en-US"/>
        </w:rPr>
        <w:t xml:space="preserve"> 8</w:t>
      </w:r>
      <w:r w:rsidRPr="00C069CE">
        <w:rPr>
          <w:rFonts w:ascii="Cambria" w:hAnsi="Cambria"/>
          <w:lang w:val="en-US"/>
        </w:rPr>
        <w:t>(</w:t>
      </w:r>
      <w:r w:rsidR="00FD61AB" w:rsidRPr="00C069CE">
        <w:rPr>
          <w:rFonts w:ascii="Cambria" w:hAnsi="Cambria"/>
          <w:lang w:val="en-US"/>
        </w:rPr>
        <w:t>1</w:t>
      </w:r>
      <w:r w:rsidRPr="00C069CE">
        <w:rPr>
          <w:rFonts w:ascii="Cambria" w:hAnsi="Cambria"/>
          <w:lang w:val="en-US"/>
        </w:rPr>
        <w:t>) of the Convention</w:t>
      </w:r>
      <w:r w:rsidR="00FD61AB" w:rsidRPr="00C069CE">
        <w:rPr>
          <w:rFonts w:ascii="Cambria" w:hAnsi="Cambria"/>
          <w:lang w:val="en-US"/>
        </w:rPr>
        <w:t xml:space="preserve">); ii) </w:t>
      </w:r>
      <w:r w:rsidRPr="00C069CE">
        <w:rPr>
          <w:rFonts w:ascii="Cambria" w:hAnsi="Cambria"/>
          <w:lang w:val="en-US"/>
        </w:rPr>
        <w:t xml:space="preserve">the right of defense and the principle </w:t>
      </w:r>
      <w:r w:rsidRPr="00785D00">
        <w:rPr>
          <w:rFonts w:ascii="Cambria" w:hAnsi="Cambria"/>
          <w:lang w:val="en-US"/>
        </w:rPr>
        <w:t>of consistency</w:t>
      </w:r>
      <w:r w:rsidRPr="00C069CE">
        <w:rPr>
          <w:rFonts w:ascii="Cambria" w:hAnsi="Cambria"/>
          <w:lang w:val="en-US"/>
        </w:rPr>
        <w:t xml:space="preserve"> </w:t>
      </w:r>
      <w:r w:rsidR="006E1025" w:rsidRPr="00C069CE">
        <w:rPr>
          <w:rFonts w:ascii="Cambria" w:hAnsi="Cambria"/>
          <w:lang w:val="en-US"/>
        </w:rPr>
        <w:t>(</w:t>
      </w:r>
      <w:r w:rsidRPr="00C069CE">
        <w:rPr>
          <w:rFonts w:ascii="Cambria" w:hAnsi="Cambria"/>
          <w:lang w:val="en-US"/>
        </w:rPr>
        <w:t>Article 8(</w:t>
      </w:r>
      <w:r>
        <w:rPr>
          <w:rFonts w:ascii="Cambria" w:hAnsi="Cambria"/>
          <w:lang w:val="en-US"/>
        </w:rPr>
        <w:t>2</w:t>
      </w:r>
      <w:r w:rsidRPr="00C069CE">
        <w:rPr>
          <w:rFonts w:ascii="Cambria" w:hAnsi="Cambria"/>
          <w:lang w:val="en-US"/>
        </w:rPr>
        <w:t>)</w:t>
      </w:r>
      <w:r>
        <w:rPr>
          <w:rFonts w:ascii="Cambria" w:hAnsi="Cambria"/>
          <w:lang w:val="en-US"/>
        </w:rPr>
        <w:t>(c)</w:t>
      </w:r>
      <w:r w:rsidRPr="00C069CE">
        <w:rPr>
          <w:rFonts w:ascii="Cambria" w:hAnsi="Cambria"/>
          <w:lang w:val="en-US"/>
        </w:rPr>
        <w:t xml:space="preserve"> </w:t>
      </w:r>
      <w:r>
        <w:rPr>
          <w:rFonts w:ascii="Cambria" w:hAnsi="Cambria"/>
          <w:lang w:val="en-US"/>
        </w:rPr>
        <w:t xml:space="preserve">and (f) </w:t>
      </w:r>
      <w:r w:rsidRPr="00C069CE">
        <w:rPr>
          <w:rFonts w:ascii="Cambria" w:hAnsi="Cambria"/>
          <w:lang w:val="en-US"/>
        </w:rPr>
        <w:t>of the Convention</w:t>
      </w:r>
      <w:r w:rsidR="00FD61AB" w:rsidRPr="00C069CE">
        <w:rPr>
          <w:rFonts w:ascii="Cambria" w:hAnsi="Cambria"/>
          <w:lang w:val="en-US"/>
        </w:rPr>
        <w:t xml:space="preserve">); iii) </w:t>
      </w:r>
      <w:r>
        <w:rPr>
          <w:rFonts w:ascii="Cambria" w:hAnsi="Cambria"/>
          <w:lang w:val="en-US"/>
        </w:rPr>
        <w:t xml:space="preserve">the right to </w:t>
      </w:r>
      <w:r w:rsidR="00DE3975">
        <w:rPr>
          <w:rFonts w:ascii="Cambria" w:hAnsi="Cambria"/>
          <w:lang w:val="en-US"/>
        </w:rPr>
        <w:t xml:space="preserve">duly reasoned decisions, the principle of </w:t>
      </w:r>
      <w:r w:rsidR="00811866">
        <w:rPr>
          <w:rFonts w:ascii="Cambria" w:hAnsi="Cambria"/>
          <w:lang w:val="en-US"/>
        </w:rPr>
        <w:t>legality</w:t>
      </w:r>
      <w:r w:rsidR="00DE3975">
        <w:rPr>
          <w:rFonts w:ascii="Cambria" w:hAnsi="Cambria"/>
          <w:lang w:val="en-US"/>
        </w:rPr>
        <w:t xml:space="preserve">, and the right to freedom of expression </w:t>
      </w:r>
      <w:r w:rsidR="00FD61AB" w:rsidRPr="00C069CE">
        <w:rPr>
          <w:rFonts w:ascii="Cambria" w:hAnsi="Cambria"/>
          <w:lang w:val="en-US"/>
        </w:rPr>
        <w:t>(</w:t>
      </w:r>
      <w:r w:rsidR="00DE3975">
        <w:rPr>
          <w:rFonts w:ascii="Cambria" w:hAnsi="Cambria"/>
          <w:lang w:val="en-US"/>
        </w:rPr>
        <w:t>Articles</w:t>
      </w:r>
      <w:r w:rsidR="00FD61AB" w:rsidRPr="00C069CE">
        <w:rPr>
          <w:rFonts w:ascii="Cambria" w:hAnsi="Cambria"/>
          <w:lang w:val="en-US"/>
        </w:rPr>
        <w:t xml:space="preserve"> 8</w:t>
      </w:r>
      <w:r w:rsidR="00DE3975">
        <w:rPr>
          <w:rFonts w:ascii="Cambria" w:hAnsi="Cambria"/>
          <w:lang w:val="en-US"/>
        </w:rPr>
        <w:t>(</w:t>
      </w:r>
      <w:r w:rsidR="00FD61AB" w:rsidRPr="00C069CE">
        <w:rPr>
          <w:rFonts w:ascii="Cambria" w:hAnsi="Cambria"/>
          <w:lang w:val="en-US"/>
        </w:rPr>
        <w:t>1</w:t>
      </w:r>
      <w:r w:rsidR="00DE3975">
        <w:rPr>
          <w:rFonts w:ascii="Cambria" w:hAnsi="Cambria"/>
          <w:lang w:val="en-US"/>
        </w:rPr>
        <w:t>)</w:t>
      </w:r>
      <w:r w:rsidR="00FD61AB" w:rsidRPr="00C069CE">
        <w:rPr>
          <w:rFonts w:ascii="Cambria" w:hAnsi="Cambria"/>
          <w:lang w:val="en-US"/>
        </w:rPr>
        <w:t>, 9</w:t>
      </w:r>
      <w:r w:rsidR="00DE3975">
        <w:rPr>
          <w:rFonts w:ascii="Cambria" w:hAnsi="Cambria"/>
          <w:lang w:val="en-US"/>
        </w:rPr>
        <w:t xml:space="preserve">, and </w:t>
      </w:r>
      <w:r w:rsidR="00FD61AB" w:rsidRPr="00C069CE">
        <w:rPr>
          <w:rFonts w:ascii="Cambria" w:hAnsi="Cambria"/>
          <w:lang w:val="en-US"/>
        </w:rPr>
        <w:t xml:space="preserve">13 </w:t>
      </w:r>
      <w:r w:rsidR="00DE3975">
        <w:rPr>
          <w:rFonts w:ascii="Cambria" w:hAnsi="Cambria"/>
          <w:lang w:val="en-US"/>
        </w:rPr>
        <w:t>of the Convention</w:t>
      </w:r>
      <w:r w:rsidR="00FD61AB" w:rsidRPr="00C069CE">
        <w:rPr>
          <w:rFonts w:ascii="Cambria" w:hAnsi="Cambria"/>
          <w:lang w:val="en-US"/>
        </w:rPr>
        <w:t xml:space="preserve">); iv) </w:t>
      </w:r>
      <w:r w:rsidR="00DE3975">
        <w:rPr>
          <w:rFonts w:ascii="Cambria" w:hAnsi="Cambria"/>
          <w:lang w:val="en-US"/>
        </w:rPr>
        <w:t xml:space="preserve">the right to appeal </w:t>
      </w:r>
      <w:r w:rsidR="00811866">
        <w:rPr>
          <w:rFonts w:ascii="Cambria" w:hAnsi="Cambria"/>
          <w:lang w:val="en-US"/>
        </w:rPr>
        <w:t>the</w:t>
      </w:r>
      <w:r w:rsidR="00DE3975">
        <w:rPr>
          <w:rFonts w:ascii="Cambria" w:hAnsi="Cambria"/>
          <w:lang w:val="en-US"/>
        </w:rPr>
        <w:t xml:space="preserve"> judgment </w:t>
      </w:r>
      <w:r w:rsidR="004F0EAC">
        <w:rPr>
          <w:rFonts w:ascii="Cambria" w:hAnsi="Cambria"/>
          <w:lang w:val="en-US"/>
        </w:rPr>
        <w:t xml:space="preserve">to a higher court </w:t>
      </w:r>
      <w:r w:rsidR="00DE3975">
        <w:rPr>
          <w:rFonts w:ascii="Cambria" w:hAnsi="Cambria"/>
          <w:lang w:val="en-US"/>
        </w:rPr>
        <w:t>and the right to judicial protection</w:t>
      </w:r>
      <w:r w:rsidR="00FD61AB" w:rsidRPr="00C069CE">
        <w:rPr>
          <w:rFonts w:ascii="Cambria" w:hAnsi="Cambria"/>
          <w:lang w:val="en-US"/>
        </w:rPr>
        <w:t xml:space="preserve"> (</w:t>
      </w:r>
      <w:r w:rsidR="00DE3975">
        <w:rPr>
          <w:rFonts w:ascii="Cambria" w:hAnsi="Cambria"/>
          <w:lang w:val="en-US"/>
        </w:rPr>
        <w:t>Article</w:t>
      </w:r>
      <w:r w:rsidR="00FD61AB" w:rsidRPr="00C069CE">
        <w:rPr>
          <w:rFonts w:ascii="Cambria" w:hAnsi="Cambria"/>
          <w:lang w:val="en-US"/>
        </w:rPr>
        <w:t>s 8</w:t>
      </w:r>
      <w:r w:rsidR="00DE3975">
        <w:rPr>
          <w:rFonts w:ascii="Cambria" w:hAnsi="Cambria"/>
          <w:lang w:val="en-US"/>
        </w:rPr>
        <w:t>(</w:t>
      </w:r>
      <w:r w:rsidR="00FD61AB" w:rsidRPr="00C069CE">
        <w:rPr>
          <w:rFonts w:ascii="Cambria" w:hAnsi="Cambria"/>
          <w:lang w:val="en-US"/>
        </w:rPr>
        <w:t>2</w:t>
      </w:r>
      <w:r w:rsidR="00DE3975">
        <w:rPr>
          <w:rFonts w:ascii="Cambria" w:hAnsi="Cambria"/>
          <w:lang w:val="en-US"/>
        </w:rPr>
        <w:t>)(</w:t>
      </w:r>
      <w:r w:rsidR="00FD61AB" w:rsidRPr="00C069CE">
        <w:rPr>
          <w:rFonts w:ascii="Cambria" w:hAnsi="Cambria"/>
          <w:lang w:val="en-US"/>
        </w:rPr>
        <w:t xml:space="preserve">h) </w:t>
      </w:r>
      <w:r w:rsidR="00DE3975">
        <w:rPr>
          <w:rFonts w:ascii="Cambria" w:hAnsi="Cambria"/>
          <w:lang w:val="en-US"/>
        </w:rPr>
        <w:t>and</w:t>
      </w:r>
      <w:r w:rsidR="00FD61AB" w:rsidRPr="00C069CE">
        <w:rPr>
          <w:rFonts w:ascii="Cambria" w:hAnsi="Cambria"/>
          <w:lang w:val="en-US"/>
        </w:rPr>
        <w:t xml:space="preserve"> 25 </w:t>
      </w:r>
      <w:r w:rsidR="00DE3975">
        <w:rPr>
          <w:rFonts w:ascii="Cambria" w:hAnsi="Cambria"/>
          <w:lang w:val="en-US"/>
        </w:rPr>
        <w:t>of the Convention</w:t>
      </w:r>
      <w:r w:rsidR="00FD61AB" w:rsidRPr="00C069CE">
        <w:rPr>
          <w:rFonts w:ascii="Cambria" w:hAnsi="Cambria"/>
          <w:lang w:val="en-US"/>
        </w:rPr>
        <w:t>)</w:t>
      </w:r>
      <w:r w:rsidR="00DE3975">
        <w:rPr>
          <w:rFonts w:ascii="Cambria" w:hAnsi="Cambria"/>
          <w:lang w:val="en-US"/>
        </w:rPr>
        <w:t>; and</w:t>
      </w:r>
      <w:r w:rsidR="00FD61AB" w:rsidRPr="00C069CE">
        <w:rPr>
          <w:rFonts w:ascii="Cambria" w:hAnsi="Cambria"/>
          <w:lang w:val="en-US"/>
        </w:rPr>
        <w:t xml:space="preserve"> v) </w:t>
      </w:r>
      <w:r w:rsidR="00DE3975" w:rsidRPr="009256CD">
        <w:rPr>
          <w:rFonts w:ascii="Cambria" w:hAnsi="Cambria"/>
          <w:lang w:val="en-US"/>
        </w:rPr>
        <w:t>the right to participate in government</w:t>
      </w:r>
      <w:r w:rsidR="00FD61AB" w:rsidRPr="00C069CE">
        <w:rPr>
          <w:rFonts w:ascii="Cambria" w:hAnsi="Cambria"/>
          <w:lang w:val="en-US"/>
        </w:rPr>
        <w:t xml:space="preserve"> (Art</w:t>
      </w:r>
      <w:r w:rsidR="00DE3975">
        <w:rPr>
          <w:rFonts w:ascii="Cambria" w:hAnsi="Cambria"/>
          <w:lang w:val="en-US"/>
        </w:rPr>
        <w:t>icle</w:t>
      </w:r>
      <w:r w:rsidR="00FD61AB" w:rsidRPr="00C069CE">
        <w:rPr>
          <w:rFonts w:ascii="Cambria" w:hAnsi="Cambria"/>
          <w:lang w:val="en-US"/>
        </w:rPr>
        <w:t xml:space="preserve"> 23 </w:t>
      </w:r>
      <w:r w:rsidR="00DE3975">
        <w:rPr>
          <w:rFonts w:ascii="Cambria" w:hAnsi="Cambria"/>
          <w:lang w:val="en-US"/>
        </w:rPr>
        <w:t>of the Convention</w:t>
      </w:r>
      <w:r w:rsidR="00FD61AB" w:rsidRPr="00C069CE">
        <w:rPr>
          <w:rFonts w:ascii="Cambria" w:hAnsi="Cambria"/>
          <w:lang w:val="en-US"/>
        </w:rPr>
        <w:t>).</w:t>
      </w:r>
    </w:p>
    <w:p w14:paraId="0F34132E" w14:textId="77777777" w:rsidR="00874191" w:rsidRPr="001F6009" w:rsidRDefault="00C07342" w:rsidP="00AF48C1">
      <w:pPr>
        <w:pStyle w:val="Heading2"/>
        <w:rPr>
          <w:lang w:val="en-US"/>
        </w:rPr>
      </w:pPr>
      <w:bookmarkStart w:id="18" w:name="_Toc42595071"/>
      <w:r w:rsidRPr="001F6009">
        <w:rPr>
          <w:lang w:val="en-US"/>
        </w:rPr>
        <w:t xml:space="preserve">2. </w:t>
      </w:r>
      <w:r w:rsidR="001F6009" w:rsidRPr="001F6009">
        <w:rPr>
          <w:lang w:val="en-US"/>
        </w:rPr>
        <w:t>The right to a competent, independent, and impartial tribunal</w:t>
      </w:r>
      <w:r w:rsidRPr="001F6009">
        <w:rPr>
          <w:rStyle w:val="FootnoteReference"/>
          <w:rFonts w:asciiTheme="majorHAnsi" w:hAnsiTheme="majorHAnsi"/>
          <w:b w:val="0"/>
        </w:rPr>
        <w:footnoteReference w:id="35"/>
      </w:r>
      <w:bookmarkEnd w:id="18"/>
    </w:p>
    <w:p w14:paraId="5BD0772B" w14:textId="77777777" w:rsidR="00C07342" w:rsidRPr="001F6009" w:rsidRDefault="00C07342" w:rsidP="00914740">
      <w:pPr>
        <w:tabs>
          <w:tab w:val="left" w:pos="360"/>
        </w:tabs>
        <w:suppressAutoHyphens/>
        <w:rPr>
          <w:rFonts w:asciiTheme="majorHAnsi" w:hAnsiTheme="majorHAnsi"/>
          <w:b/>
          <w:sz w:val="20"/>
          <w:szCs w:val="20"/>
        </w:rPr>
      </w:pPr>
    </w:p>
    <w:p w14:paraId="677893F2" w14:textId="77777777" w:rsidR="00EB28E6" w:rsidRPr="007637EA" w:rsidRDefault="00DE3975" w:rsidP="00EB28E6">
      <w:pPr>
        <w:pStyle w:val="parrafos"/>
        <w:rPr>
          <w:i/>
          <w:lang w:val="en-US"/>
        </w:rPr>
      </w:pPr>
      <w:r w:rsidRPr="00154511">
        <w:rPr>
          <w:lang w:val="en-US"/>
        </w:rPr>
        <w:t>Article</w:t>
      </w:r>
      <w:r w:rsidR="00815204" w:rsidRPr="00154511">
        <w:rPr>
          <w:lang w:val="en-US"/>
        </w:rPr>
        <w:t xml:space="preserve"> 8</w:t>
      </w:r>
      <w:r w:rsidR="00154511" w:rsidRPr="00154511">
        <w:rPr>
          <w:lang w:val="en-US"/>
        </w:rPr>
        <w:t>(</w:t>
      </w:r>
      <w:r w:rsidR="00815204" w:rsidRPr="00154511">
        <w:rPr>
          <w:lang w:val="en-US"/>
        </w:rPr>
        <w:t>1</w:t>
      </w:r>
      <w:r w:rsidR="00154511" w:rsidRPr="00154511">
        <w:rPr>
          <w:lang w:val="en-US"/>
        </w:rPr>
        <w:t xml:space="preserve">) of the Convention establishes the right to </w:t>
      </w:r>
      <w:r w:rsidR="001F6009">
        <w:rPr>
          <w:lang w:val="en-US"/>
        </w:rPr>
        <w:t>a hearing</w:t>
      </w:r>
      <w:r w:rsidR="00154511" w:rsidRPr="00154511">
        <w:rPr>
          <w:lang w:val="en-US"/>
        </w:rPr>
        <w:t xml:space="preserve"> “by a competent…tribunal…previously established by law.</w:t>
      </w:r>
      <w:r w:rsidR="00A45C71">
        <w:rPr>
          <w:lang w:val="en-US"/>
        </w:rPr>
        <w:t>”</w:t>
      </w:r>
      <w:r w:rsidR="001F6009">
        <w:rPr>
          <w:lang w:val="en-US"/>
        </w:rPr>
        <w:t xml:space="preserve"> </w:t>
      </w:r>
      <w:r w:rsidR="004059A8">
        <w:rPr>
          <w:lang w:val="en-US"/>
        </w:rPr>
        <w:t>Hence</w:t>
      </w:r>
      <w:r w:rsidR="001F6009" w:rsidRPr="001F6009">
        <w:rPr>
          <w:lang w:val="en-US"/>
        </w:rPr>
        <w:t>, “</w:t>
      </w:r>
      <w:r w:rsidR="00B544A7">
        <w:rPr>
          <w:lang w:val="en-US"/>
        </w:rPr>
        <w:t xml:space="preserve">everyone shall </w:t>
      </w:r>
      <w:r w:rsidR="001F6009" w:rsidRPr="001F6009">
        <w:rPr>
          <w:lang w:val="en-US"/>
        </w:rPr>
        <w:t>have the right to be tried</w:t>
      </w:r>
      <w:r w:rsidR="00B544A7">
        <w:rPr>
          <w:lang w:val="en-US"/>
        </w:rPr>
        <w:t xml:space="preserve"> by ordinary courts or</w:t>
      </w:r>
      <w:r w:rsidR="001F6009" w:rsidRPr="001F6009">
        <w:rPr>
          <w:lang w:val="en-US"/>
        </w:rPr>
        <w:t xml:space="preserve"> tribunal</w:t>
      </w:r>
      <w:r w:rsidR="00B544A7">
        <w:rPr>
          <w:lang w:val="en-US"/>
        </w:rPr>
        <w:t>s using established legal procedures.</w:t>
      </w:r>
      <w:r w:rsidR="007637EA">
        <w:rPr>
          <w:lang w:val="en-US"/>
        </w:rPr>
        <w:t xml:space="preserve"> </w:t>
      </w:r>
      <w:r w:rsidR="00B544A7">
        <w:rPr>
          <w:lang w:val="en-US"/>
        </w:rPr>
        <w:t>Tribunals that do not use the duly established procedures of the legal process shall not be created to displace the jurisdiction belonging to the ordinary courts or judicial tribunals</w:t>
      </w:r>
      <w:r w:rsidR="001F6009">
        <w:rPr>
          <w:lang w:val="en-US"/>
        </w:rPr>
        <w:t>.”</w:t>
      </w:r>
      <w:r w:rsidR="00815204" w:rsidRPr="001F6009">
        <w:rPr>
          <w:lang w:val="en-US"/>
        </w:rPr>
        <w:t xml:space="preserve"> </w:t>
      </w:r>
      <w:r w:rsidR="007637EA" w:rsidRPr="007637EA">
        <w:rPr>
          <w:lang w:val="en-US"/>
        </w:rPr>
        <w:t>Th</w:t>
      </w:r>
      <w:r w:rsidR="007637EA">
        <w:rPr>
          <w:lang w:val="en-US"/>
        </w:rPr>
        <w:t xml:space="preserve">e </w:t>
      </w:r>
      <w:r w:rsidR="002165D9">
        <w:rPr>
          <w:lang w:val="en-US"/>
        </w:rPr>
        <w:t>aim</w:t>
      </w:r>
      <w:r w:rsidR="007637EA">
        <w:rPr>
          <w:lang w:val="en-US"/>
        </w:rPr>
        <w:t xml:space="preserve"> here is </w:t>
      </w:r>
      <w:r w:rsidR="007637EA" w:rsidRPr="007637EA">
        <w:rPr>
          <w:lang w:val="en-US"/>
        </w:rPr>
        <w:t xml:space="preserve">to avoid </w:t>
      </w:r>
      <w:r w:rsidR="002165D9">
        <w:rPr>
          <w:lang w:val="en-US"/>
        </w:rPr>
        <w:t>trials</w:t>
      </w:r>
      <w:r w:rsidR="007637EA" w:rsidRPr="007637EA">
        <w:rPr>
          <w:lang w:val="en-US"/>
        </w:rPr>
        <w:t xml:space="preserve"> in special or ad hoc tribunals.</w:t>
      </w:r>
      <w:r w:rsidR="00815204" w:rsidRPr="00766381">
        <w:rPr>
          <w:rStyle w:val="FootnoteReference"/>
          <w:rFonts w:ascii="Cambria" w:hAnsi="Cambria"/>
          <w:lang w:val="es-UY"/>
        </w:rPr>
        <w:footnoteReference w:id="36"/>
      </w:r>
    </w:p>
    <w:p w14:paraId="17D09743" w14:textId="77777777" w:rsidR="00EB28E6" w:rsidRPr="007637EA" w:rsidRDefault="00EB28E6" w:rsidP="00EB28E6">
      <w:pPr>
        <w:pStyle w:val="parrafos"/>
        <w:numPr>
          <w:ilvl w:val="0"/>
          <w:numId w:val="0"/>
        </w:numPr>
        <w:rPr>
          <w:lang w:val="en-US"/>
        </w:rPr>
      </w:pPr>
    </w:p>
    <w:p w14:paraId="3847B1D8" w14:textId="77777777" w:rsidR="00EB28E6" w:rsidRPr="007E1CCF" w:rsidRDefault="001045F8" w:rsidP="004B5D11">
      <w:pPr>
        <w:pStyle w:val="parrafos"/>
        <w:rPr>
          <w:i/>
          <w:lang w:val="en-US"/>
        </w:rPr>
      </w:pPr>
      <w:r w:rsidRPr="001045F8">
        <w:rPr>
          <w:lang w:val="en-US"/>
        </w:rPr>
        <w:t xml:space="preserve">States have the authority to design and organize their internal disciplinary </w:t>
      </w:r>
      <w:r>
        <w:rPr>
          <w:lang w:val="en-US"/>
        </w:rPr>
        <w:t>proceedings</w:t>
      </w:r>
      <w:r w:rsidRPr="001045F8">
        <w:rPr>
          <w:lang w:val="en-US"/>
        </w:rPr>
        <w:t>.</w:t>
      </w:r>
      <w:r>
        <w:rPr>
          <w:lang w:val="en-US"/>
        </w:rPr>
        <w:t xml:space="preserve"> </w:t>
      </w:r>
      <w:r w:rsidRPr="00A55F36">
        <w:rPr>
          <w:lang w:val="en-US"/>
        </w:rPr>
        <w:t>These proceedings should</w:t>
      </w:r>
      <w:r w:rsidR="007D4CE6" w:rsidRPr="00A55F36">
        <w:rPr>
          <w:lang w:val="en-US"/>
        </w:rPr>
        <w:t xml:space="preserve"> adhere to </w:t>
      </w:r>
      <w:r w:rsidR="00981CAB">
        <w:rPr>
          <w:lang w:val="en-US"/>
        </w:rPr>
        <w:t>pre</w:t>
      </w:r>
      <w:r w:rsidR="007D4CE6" w:rsidRPr="00A55F36">
        <w:rPr>
          <w:lang w:val="en-US"/>
        </w:rPr>
        <w:t>established</w:t>
      </w:r>
      <w:r w:rsidR="00A55F36" w:rsidRPr="00A55F36">
        <w:rPr>
          <w:lang w:val="en-US"/>
        </w:rPr>
        <w:t xml:space="preserve"> procedures </w:t>
      </w:r>
      <w:r w:rsidR="00981CAB">
        <w:rPr>
          <w:lang w:val="en-US"/>
        </w:rPr>
        <w:t xml:space="preserve">that </w:t>
      </w:r>
      <w:r w:rsidR="00A031B1">
        <w:rPr>
          <w:lang w:val="en-US"/>
        </w:rPr>
        <w:t>spell out</w:t>
      </w:r>
      <w:r w:rsidR="00A55F36" w:rsidRPr="00A55F36">
        <w:rPr>
          <w:lang w:val="en-US"/>
        </w:rPr>
        <w:t xml:space="preserve"> the authorit</w:t>
      </w:r>
      <w:r w:rsidR="00A55F36">
        <w:rPr>
          <w:lang w:val="en-US"/>
        </w:rPr>
        <w:t>ies and procedural rules</w:t>
      </w:r>
      <w:r w:rsidR="00E1590B">
        <w:rPr>
          <w:lang w:val="en-US"/>
        </w:rPr>
        <w:t xml:space="preserve"> that apply</w:t>
      </w:r>
      <w:r w:rsidR="00A55F36">
        <w:rPr>
          <w:lang w:val="en-US"/>
        </w:rPr>
        <w:t>.</w:t>
      </w:r>
      <w:r w:rsidR="00EB28E6" w:rsidRPr="00766381">
        <w:rPr>
          <w:rStyle w:val="FootnoteReference"/>
          <w:rFonts w:ascii="Cambria" w:hAnsi="Cambria"/>
        </w:rPr>
        <w:footnoteReference w:id="37"/>
      </w:r>
      <w:r w:rsidR="00EB28E6" w:rsidRPr="00981CAB">
        <w:rPr>
          <w:lang w:val="en-US"/>
        </w:rPr>
        <w:t xml:space="preserve"> </w:t>
      </w:r>
      <w:r w:rsidR="00981CAB" w:rsidRPr="00EA57C0">
        <w:rPr>
          <w:lang w:val="en-US"/>
        </w:rPr>
        <w:t xml:space="preserve">This guarantee is met when the disciplinary authority </w:t>
      </w:r>
      <w:r w:rsidR="00EA57C0" w:rsidRPr="00EA57C0">
        <w:rPr>
          <w:lang w:val="en-US"/>
        </w:rPr>
        <w:t>originates in a law established before the proceedings in question</w:t>
      </w:r>
      <w:r w:rsidR="00EB28E6" w:rsidRPr="00766381">
        <w:rPr>
          <w:rStyle w:val="FootnoteReference"/>
          <w:rFonts w:ascii="Cambria" w:hAnsi="Cambria"/>
          <w:lang w:val="es-CO"/>
        </w:rPr>
        <w:footnoteReference w:id="38"/>
      </w:r>
      <w:r w:rsidR="00EB28E6" w:rsidRPr="00EA57C0">
        <w:rPr>
          <w:lang w:val="en-US"/>
        </w:rPr>
        <w:t xml:space="preserve"> </w:t>
      </w:r>
      <w:r w:rsidR="00E1590B">
        <w:rPr>
          <w:lang w:val="en-US"/>
        </w:rPr>
        <w:t xml:space="preserve">and, </w:t>
      </w:r>
      <w:r w:rsidR="007F0EF3">
        <w:rPr>
          <w:lang w:val="en-US"/>
        </w:rPr>
        <w:t>conversely</w:t>
      </w:r>
      <w:r w:rsidR="00E1590B">
        <w:rPr>
          <w:lang w:val="en-US"/>
        </w:rPr>
        <w:t>, th</w:t>
      </w:r>
      <w:r w:rsidR="005275E9">
        <w:rPr>
          <w:lang w:val="en-US"/>
        </w:rPr>
        <w:t>e</w:t>
      </w:r>
      <w:r w:rsidR="00E1590B">
        <w:rPr>
          <w:lang w:val="en-US"/>
        </w:rPr>
        <w:t xml:space="preserve"> </w:t>
      </w:r>
      <w:r w:rsidR="005275E9">
        <w:rPr>
          <w:lang w:val="en-US"/>
        </w:rPr>
        <w:t>standard</w:t>
      </w:r>
      <w:r w:rsidR="00E1590B">
        <w:rPr>
          <w:lang w:val="en-US"/>
        </w:rPr>
        <w:t xml:space="preserve"> is </w:t>
      </w:r>
      <w:r w:rsidR="007E1CCF">
        <w:rPr>
          <w:lang w:val="en-US"/>
        </w:rPr>
        <w:t>breached</w:t>
      </w:r>
      <w:r w:rsidR="00E1590B">
        <w:rPr>
          <w:lang w:val="en-US"/>
        </w:rPr>
        <w:t xml:space="preserve"> when the disciplinary body lacks jurisdiction established by law.</w:t>
      </w:r>
      <w:r w:rsidR="00EB28E6" w:rsidRPr="00766381">
        <w:rPr>
          <w:rStyle w:val="FootnoteReference"/>
          <w:rFonts w:ascii="Cambria" w:hAnsi="Cambria"/>
          <w:lang w:val="es-UY"/>
        </w:rPr>
        <w:footnoteReference w:id="39"/>
      </w:r>
      <w:r w:rsidR="00EB28E6" w:rsidRPr="00EA57C0">
        <w:rPr>
          <w:lang w:val="en-US"/>
        </w:rPr>
        <w:t xml:space="preserve"> </w:t>
      </w:r>
      <w:r w:rsidR="007F0EF3">
        <w:rPr>
          <w:rFonts w:ascii="Cambria" w:hAnsi="Cambria"/>
          <w:lang w:val="en-US"/>
        </w:rPr>
        <w:t>Precisely b</w:t>
      </w:r>
      <w:r w:rsidR="007E1CCF" w:rsidRPr="007E1CCF">
        <w:rPr>
          <w:rFonts w:ascii="Cambria" w:hAnsi="Cambria"/>
          <w:lang w:val="en-US"/>
        </w:rPr>
        <w:t>ecause of the importan</w:t>
      </w:r>
      <w:r w:rsidR="00D74F30">
        <w:rPr>
          <w:rFonts w:ascii="Cambria" w:hAnsi="Cambria"/>
          <w:lang w:val="en-US"/>
        </w:rPr>
        <w:t>t role</w:t>
      </w:r>
      <w:r w:rsidR="007E1CCF" w:rsidRPr="007E1CCF">
        <w:rPr>
          <w:rFonts w:ascii="Cambria" w:hAnsi="Cambria"/>
          <w:lang w:val="en-US"/>
        </w:rPr>
        <w:t xml:space="preserve"> </w:t>
      </w:r>
      <w:r w:rsidR="00D74F30">
        <w:rPr>
          <w:rFonts w:ascii="Cambria" w:hAnsi="Cambria"/>
          <w:lang w:val="en-US"/>
        </w:rPr>
        <w:t>played by</w:t>
      </w:r>
      <w:r w:rsidR="007E1CCF" w:rsidRPr="007E1CCF">
        <w:rPr>
          <w:rFonts w:ascii="Cambria" w:hAnsi="Cambria"/>
          <w:lang w:val="en-US"/>
        </w:rPr>
        <w:t xml:space="preserve"> the bodies responsible for appointments, promotions, and disciplinary measures</w:t>
      </w:r>
      <w:r w:rsidR="007E1CCF">
        <w:rPr>
          <w:rFonts w:ascii="Cambria" w:hAnsi="Cambria"/>
          <w:lang w:val="en-US"/>
        </w:rPr>
        <w:t>,</w:t>
      </w:r>
      <w:r w:rsidR="00EB28E6" w:rsidRPr="007E1CCF">
        <w:rPr>
          <w:rFonts w:ascii="Cambria" w:hAnsi="Cambria"/>
          <w:lang w:val="en-US"/>
        </w:rPr>
        <w:t xml:space="preserve"> </w:t>
      </w:r>
      <w:r w:rsidR="007E1CCF" w:rsidRPr="007E1CCF">
        <w:rPr>
          <w:rFonts w:ascii="Cambria" w:hAnsi="Cambria"/>
          <w:lang w:val="en-US"/>
        </w:rPr>
        <w:t xml:space="preserve">and the objectivity </w:t>
      </w:r>
      <w:r w:rsidR="007F0EF3">
        <w:rPr>
          <w:rFonts w:ascii="Cambria" w:hAnsi="Cambria"/>
          <w:lang w:val="en-US"/>
        </w:rPr>
        <w:t>necessary for them to</w:t>
      </w:r>
      <w:r w:rsidR="007E1CCF" w:rsidRPr="007E1CCF">
        <w:rPr>
          <w:rFonts w:ascii="Cambria" w:hAnsi="Cambria"/>
          <w:lang w:val="en-US"/>
        </w:rPr>
        <w:t xml:space="preserve"> </w:t>
      </w:r>
      <w:r w:rsidR="007F0EF3">
        <w:rPr>
          <w:rFonts w:ascii="Cambria" w:hAnsi="Cambria"/>
          <w:lang w:val="en-US"/>
        </w:rPr>
        <w:t>act</w:t>
      </w:r>
      <w:r w:rsidR="007E1CCF" w:rsidRPr="007E1CCF">
        <w:rPr>
          <w:rFonts w:ascii="Cambria" w:hAnsi="Cambria"/>
          <w:lang w:val="en-US"/>
        </w:rPr>
        <w:t xml:space="preserve">, the Commission has </w:t>
      </w:r>
      <w:r w:rsidR="007E1CCF" w:rsidRPr="007E1CCF">
        <w:rPr>
          <w:rFonts w:ascii="Cambria" w:hAnsi="Cambria"/>
          <w:lang w:val="en-US"/>
        </w:rPr>
        <w:lastRenderedPageBreak/>
        <w:t xml:space="preserve">considered it advisable </w:t>
      </w:r>
      <w:r w:rsidR="007E1CCF">
        <w:rPr>
          <w:rFonts w:ascii="Cambria" w:hAnsi="Cambria"/>
          <w:lang w:val="en-US"/>
        </w:rPr>
        <w:t xml:space="preserve">for States to establish an independent body whose functions include appointments, promotions, and </w:t>
      </w:r>
      <w:r w:rsidR="00D74F30">
        <w:rPr>
          <w:rFonts w:ascii="Cambria" w:hAnsi="Cambria"/>
          <w:lang w:val="en-US"/>
        </w:rPr>
        <w:t>dismissals</w:t>
      </w:r>
      <w:r w:rsidR="007E1CCF">
        <w:rPr>
          <w:rFonts w:ascii="Cambria" w:hAnsi="Cambria"/>
          <w:lang w:val="en-US"/>
        </w:rPr>
        <w:t>.</w:t>
      </w:r>
      <w:r w:rsidR="00EB28E6" w:rsidRPr="00766381">
        <w:rPr>
          <w:rStyle w:val="FootnoteReference"/>
          <w:rFonts w:ascii="Cambria" w:hAnsi="Cambria"/>
          <w:lang w:val="es-CO"/>
        </w:rPr>
        <w:footnoteReference w:id="40"/>
      </w:r>
    </w:p>
    <w:p w14:paraId="317E7067" w14:textId="77777777" w:rsidR="00B47A4F" w:rsidRPr="007E1CCF" w:rsidRDefault="00B47A4F" w:rsidP="00B47A4F">
      <w:pPr>
        <w:pStyle w:val="parrafos"/>
        <w:numPr>
          <w:ilvl w:val="0"/>
          <w:numId w:val="0"/>
        </w:numPr>
        <w:rPr>
          <w:i/>
          <w:lang w:val="en-US"/>
        </w:rPr>
      </w:pPr>
    </w:p>
    <w:p w14:paraId="5AAAFD74" w14:textId="77777777" w:rsidR="00353024" w:rsidRPr="002F4699" w:rsidRDefault="005275E9" w:rsidP="00353024">
      <w:pPr>
        <w:pStyle w:val="parrafos"/>
        <w:rPr>
          <w:lang w:val="en-US"/>
        </w:rPr>
      </w:pPr>
      <w:r w:rsidRPr="00395647">
        <w:rPr>
          <w:rFonts w:ascii="Cambria" w:hAnsi="Cambria"/>
          <w:bCs/>
          <w:lang w:val="en-US"/>
        </w:rPr>
        <w:t>In</w:t>
      </w:r>
      <w:r w:rsidR="007034D3">
        <w:rPr>
          <w:rFonts w:ascii="Cambria" w:hAnsi="Cambria"/>
          <w:bCs/>
          <w:lang w:val="en-US"/>
        </w:rPr>
        <w:t xml:space="preserve"> terms of</w:t>
      </w:r>
      <w:r w:rsidRPr="00395647">
        <w:rPr>
          <w:rFonts w:ascii="Cambria" w:hAnsi="Cambria"/>
          <w:bCs/>
          <w:lang w:val="en-US"/>
        </w:rPr>
        <w:t xml:space="preserve"> disciplinary proceedings carried </w:t>
      </w:r>
      <w:r w:rsidRPr="007034D3">
        <w:rPr>
          <w:rFonts w:ascii="Cambria" w:hAnsi="Cambria"/>
          <w:bCs/>
          <w:lang w:val="en-US"/>
        </w:rPr>
        <w:t>out by legislative bod</w:t>
      </w:r>
      <w:r w:rsidR="007034D3" w:rsidRPr="007034D3">
        <w:rPr>
          <w:rFonts w:ascii="Cambria" w:hAnsi="Cambria"/>
          <w:bCs/>
          <w:lang w:val="en-US"/>
        </w:rPr>
        <w:t>ies</w:t>
      </w:r>
      <w:r w:rsidRPr="007034D3">
        <w:rPr>
          <w:rFonts w:ascii="Cambria" w:hAnsi="Cambria"/>
          <w:bCs/>
          <w:lang w:val="en-US"/>
        </w:rPr>
        <w:t>,</w:t>
      </w:r>
      <w:r w:rsidRPr="00395647">
        <w:rPr>
          <w:rFonts w:ascii="Cambria" w:hAnsi="Cambria"/>
          <w:bCs/>
          <w:lang w:val="en-US"/>
        </w:rPr>
        <w:t xml:space="preserve"> the guarantee of impartiality </w:t>
      </w:r>
      <w:r w:rsidR="00EB28E6" w:rsidRPr="00395647">
        <w:rPr>
          <w:rFonts w:ascii="Cambria" w:hAnsi="Cambria"/>
          <w:lang w:val="en-US"/>
        </w:rPr>
        <w:t>(</w:t>
      </w:r>
      <w:r w:rsidRPr="00395647">
        <w:rPr>
          <w:rFonts w:ascii="Cambria" w:hAnsi="Cambria"/>
          <w:lang w:val="en-US"/>
        </w:rPr>
        <w:t>Article</w:t>
      </w:r>
      <w:r w:rsidR="00EB28E6" w:rsidRPr="00395647">
        <w:rPr>
          <w:rFonts w:ascii="Cambria" w:hAnsi="Cambria"/>
          <w:lang w:val="en-US"/>
        </w:rPr>
        <w:t xml:space="preserve"> 8</w:t>
      </w:r>
      <w:r w:rsidRPr="00395647">
        <w:rPr>
          <w:rFonts w:ascii="Cambria" w:hAnsi="Cambria"/>
          <w:lang w:val="en-US"/>
        </w:rPr>
        <w:t>(</w:t>
      </w:r>
      <w:r w:rsidR="00EB28E6" w:rsidRPr="00395647">
        <w:rPr>
          <w:rFonts w:ascii="Cambria" w:hAnsi="Cambria"/>
          <w:lang w:val="en-US"/>
        </w:rPr>
        <w:t>1</w:t>
      </w:r>
      <w:r w:rsidRPr="00395647">
        <w:rPr>
          <w:rFonts w:ascii="Cambria" w:hAnsi="Cambria"/>
          <w:lang w:val="en-US"/>
        </w:rPr>
        <w:t>)</w:t>
      </w:r>
      <w:r w:rsidR="00EB28E6" w:rsidRPr="00395647">
        <w:rPr>
          <w:rFonts w:ascii="Cambria" w:hAnsi="Cambria"/>
          <w:lang w:val="en-US"/>
        </w:rPr>
        <w:t xml:space="preserve"> </w:t>
      </w:r>
      <w:r w:rsidRPr="00395647">
        <w:rPr>
          <w:rFonts w:ascii="Cambria" w:hAnsi="Cambria"/>
          <w:lang w:val="en-US"/>
        </w:rPr>
        <w:t>of the Convention</w:t>
      </w:r>
      <w:r w:rsidR="00EB28E6" w:rsidRPr="00395647">
        <w:rPr>
          <w:rFonts w:ascii="Cambria" w:hAnsi="Cambria"/>
          <w:lang w:val="en-US"/>
        </w:rPr>
        <w:t xml:space="preserve">) </w:t>
      </w:r>
      <w:r w:rsidRPr="00395647">
        <w:rPr>
          <w:rFonts w:ascii="Cambria" w:hAnsi="Cambria"/>
          <w:lang w:val="en-US"/>
        </w:rPr>
        <w:t xml:space="preserve">continues to </w:t>
      </w:r>
      <w:r w:rsidR="00395647" w:rsidRPr="00395647">
        <w:rPr>
          <w:rFonts w:ascii="Cambria" w:hAnsi="Cambria"/>
          <w:lang w:val="en-US"/>
        </w:rPr>
        <w:t xml:space="preserve">be </w:t>
      </w:r>
      <w:r w:rsidRPr="00395647">
        <w:rPr>
          <w:rFonts w:ascii="Cambria" w:hAnsi="Cambria"/>
          <w:lang w:val="en-US"/>
        </w:rPr>
        <w:t>fully appl</w:t>
      </w:r>
      <w:r w:rsidR="00395647" w:rsidRPr="00395647">
        <w:rPr>
          <w:rFonts w:ascii="Cambria" w:hAnsi="Cambria"/>
          <w:lang w:val="en-US"/>
        </w:rPr>
        <w:t xml:space="preserve">icable, as the </w:t>
      </w:r>
      <w:r w:rsidR="005A33F3">
        <w:rPr>
          <w:rFonts w:ascii="Cambria" w:hAnsi="Cambria"/>
          <w:lang w:val="en-US"/>
        </w:rPr>
        <w:t>crucial</w:t>
      </w:r>
      <w:r w:rsidR="00395647" w:rsidRPr="00395647">
        <w:rPr>
          <w:rFonts w:ascii="Cambria" w:hAnsi="Cambria"/>
          <w:lang w:val="en-US"/>
        </w:rPr>
        <w:t xml:space="preserve"> point in determining the respective guarantees is the </w:t>
      </w:r>
      <w:r w:rsidR="007034D3">
        <w:rPr>
          <w:rFonts w:ascii="Cambria" w:hAnsi="Cambria"/>
          <w:lang w:val="en-US"/>
        </w:rPr>
        <w:t>punitive</w:t>
      </w:r>
      <w:r w:rsidR="00395647" w:rsidRPr="00395647">
        <w:rPr>
          <w:rFonts w:ascii="Cambria" w:hAnsi="Cambria"/>
          <w:lang w:val="en-US"/>
        </w:rPr>
        <w:t xml:space="preserve"> nature of the power</w:t>
      </w:r>
      <w:r w:rsidR="00395647">
        <w:rPr>
          <w:rFonts w:ascii="Cambria" w:hAnsi="Cambria"/>
          <w:lang w:val="en-US"/>
        </w:rPr>
        <w:t xml:space="preserve">s being exercised by the respective authority, all the more so when the severity of the </w:t>
      </w:r>
      <w:r w:rsidR="007034D3">
        <w:rPr>
          <w:rFonts w:ascii="Cambria" w:hAnsi="Cambria"/>
          <w:lang w:val="en-US"/>
        </w:rPr>
        <w:t>punishment</w:t>
      </w:r>
      <w:r w:rsidR="00395647">
        <w:rPr>
          <w:rFonts w:ascii="Cambria" w:hAnsi="Cambria"/>
          <w:lang w:val="en-US"/>
        </w:rPr>
        <w:t xml:space="preserve"> </w:t>
      </w:r>
      <w:r w:rsidR="00DB2AC7">
        <w:rPr>
          <w:rFonts w:ascii="Cambria" w:hAnsi="Cambria"/>
          <w:lang w:val="en-US"/>
        </w:rPr>
        <w:t>calls for</w:t>
      </w:r>
      <w:r w:rsidR="00395647">
        <w:rPr>
          <w:rFonts w:ascii="Cambria" w:hAnsi="Cambria"/>
          <w:lang w:val="en-US"/>
        </w:rPr>
        <w:t xml:space="preserve"> removal from office. </w:t>
      </w:r>
      <w:r w:rsidR="00395647" w:rsidRPr="00395647">
        <w:rPr>
          <w:rFonts w:ascii="Cambria" w:hAnsi="Cambria"/>
          <w:lang w:val="en-US"/>
        </w:rPr>
        <w:t xml:space="preserve">The guarantee of impartiality implies that the members of the </w:t>
      </w:r>
      <w:r w:rsidR="008D1D50">
        <w:rPr>
          <w:rFonts w:ascii="Cambria" w:hAnsi="Cambria"/>
          <w:lang w:val="en-US"/>
        </w:rPr>
        <w:t>Jury for the Prosecution</w:t>
      </w:r>
      <w:r w:rsidR="00395647" w:rsidRPr="00395647">
        <w:rPr>
          <w:rFonts w:ascii="Cambria" w:hAnsi="Cambria"/>
          <w:lang w:val="en-US"/>
        </w:rPr>
        <w:t xml:space="preserve"> “have no direct interest in, a pre-established viewpoint on, or a preference for one of the parties, and that they are n</w:t>
      </w:r>
      <w:r w:rsidR="00395647">
        <w:rPr>
          <w:rFonts w:ascii="Cambria" w:hAnsi="Cambria"/>
          <w:lang w:val="en-US"/>
        </w:rPr>
        <w:t>ot involved in the controversy.</w:t>
      </w:r>
      <w:r w:rsidR="00EB28E6" w:rsidRPr="00395647">
        <w:rPr>
          <w:rFonts w:ascii="Cambria" w:hAnsi="Cambria" w:cs="Calibri"/>
          <w:lang w:val="en-US"/>
        </w:rPr>
        <w:t>”</w:t>
      </w:r>
      <w:r w:rsidR="00EB28E6" w:rsidRPr="00766381">
        <w:rPr>
          <w:rStyle w:val="FootnoteReference"/>
          <w:rFonts w:ascii="Cambria" w:hAnsi="Cambria" w:cs="Calibri"/>
        </w:rPr>
        <w:footnoteReference w:id="41"/>
      </w:r>
      <w:r w:rsidR="00EB28E6" w:rsidRPr="00395647">
        <w:rPr>
          <w:rFonts w:ascii="Cambria" w:hAnsi="Cambria" w:cs="Calibri"/>
          <w:lang w:val="en-US"/>
        </w:rPr>
        <w:t xml:space="preserve"> </w:t>
      </w:r>
      <w:r w:rsidR="00F10CDD" w:rsidRPr="001C1AFB">
        <w:rPr>
          <w:rFonts w:ascii="Cambria" w:hAnsi="Cambria" w:cs="Calibri"/>
          <w:lang w:val="en-US"/>
        </w:rPr>
        <w:t>An assessment of</w:t>
      </w:r>
      <w:r w:rsidR="00DB2AC7" w:rsidRPr="001C1AFB">
        <w:rPr>
          <w:rFonts w:ascii="Cambria" w:hAnsi="Cambria" w:cs="Calibri"/>
          <w:lang w:val="en-US"/>
        </w:rPr>
        <w:t xml:space="preserve"> impartiality</w:t>
      </w:r>
      <w:r w:rsidR="00F10CDD" w:rsidRPr="00F10CDD">
        <w:rPr>
          <w:rFonts w:ascii="Cambria" w:hAnsi="Cambria" w:cs="Calibri"/>
          <w:lang w:val="en-US"/>
        </w:rPr>
        <w:t xml:space="preserve"> must consider</w:t>
      </w:r>
      <w:r w:rsidR="002F4699">
        <w:rPr>
          <w:rFonts w:ascii="Cambria" w:hAnsi="Cambria" w:cs="Calibri"/>
          <w:lang w:val="en-US"/>
        </w:rPr>
        <w:t xml:space="preserve"> </w:t>
      </w:r>
      <w:r w:rsidR="00F10CDD" w:rsidRPr="00F10CDD">
        <w:rPr>
          <w:rFonts w:ascii="Cambria" w:hAnsi="Cambria" w:cs="Calibri"/>
          <w:lang w:val="en-US"/>
        </w:rPr>
        <w:t>the personal conviction and behavior of a particular judge in a given case—</w:t>
      </w:r>
      <w:r w:rsidR="002F4699">
        <w:rPr>
          <w:rFonts w:ascii="Cambria" w:hAnsi="Cambria" w:cs="Calibri"/>
          <w:lang w:val="en-US"/>
        </w:rPr>
        <w:t xml:space="preserve">the </w:t>
      </w:r>
      <w:r w:rsidR="002F4699" w:rsidRPr="00F10CDD">
        <w:rPr>
          <w:rFonts w:ascii="Cambria" w:hAnsi="Cambria" w:cs="Calibri"/>
          <w:lang w:val="en-US"/>
        </w:rPr>
        <w:t xml:space="preserve">subjective </w:t>
      </w:r>
      <w:r w:rsidR="002F4699">
        <w:rPr>
          <w:rFonts w:ascii="Cambria" w:hAnsi="Cambria" w:cs="Calibri"/>
          <w:lang w:val="en-US"/>
        </w:rPr>
        <w:t>approach</w:t>
      </w:r>
      <w:r w:rsidR="00F10CDD" w:rsidRPr="00F10CDD">
        <w:rPr>
          <w:rFonts w:ascii="Cambria" w:hAnsi="Cambria" w:cs="Calibri"/>
          <w:lang w:val="en-US"/>
        </w:rPr>
        <w:t>—</w:t>
      </w:r>
      <w:r w:rsidR="002F4699">
        <w:rPr>
          <w:rFonts w:ascii="Cambria" w:hAnsi="Cambria" w:cs="Calibri"/>
          <w:lang w:val="en-US"/>
        </w:rPr>
        <w:t>as well as</w:t>
      </w:r>
      <w:r w:rsidR="002F4699" w:rsidRPr="00F10CDD">
        <w:rPr>
          <w:rFonts w:ascii="Cambria" w:hAnsi="Cambria" w:cs="Calibri"/>
          <w:lang w:val="en-US"/>
        </w:rPr>
        <w:t>,</w:t>
      </w:r>
      <w:r w:rsidR="002F4699">
        <w:rPr>
          <w:rFonts w:ascii="Cambria" w:hAnsi="Cambria" w:cs="Calibri"/>
          <w:lang w:val="en-US"/>
        </w:rPr>
        <w:t xml:space="preserve"> </w:t>
      </w:r>
      <w:r w:rsidR="002F4699" w:rsidRPr="00F10CDD">
        <w:rPr>
          <w:rFonts w:ascii="Cambria" w:hAnsi="Cambria" w:cs="Calibri"/>
          <w:lang w:val="en-US"/>
        </w:rPr>
        <w:t>from an obje</w:t>
      </w:r>
      <w:r w:rsidR="002F4699">
        <w:rPr>
          <w:rFonts w:ascii="Cambria" w:hAnsi="Cambria" w:cs="Calibri"/>
          <w:lang w:val="en-US"/>
        </w:rPr>
        <w:t>c</w:t>
      </w:r>
      <w:r w:rsidR="002F4699" w:rsidRPr="00F10CDD">
        <w:rPr>
          <w:rFonts w:ascii="Cambria" w:hAnsi="Cambria" w:cs="Calibri"/>
          <w:lang w:val="en-US"/>
        </w:rPr>
        <w:t>tive standpoint</w:t>
      </w:r>
      <w:r w:rsidR="002F4699">
        <w:rPr>
          <w:rFonts w:ascii="Cambria" w:hAnsi="Cambria" w:cs="Calibri"/>
          <w:lang w:val="en-US"/>
        </w:rPr>
        <w:t>,</w:t>
      </w:r>
      <w:r w:rsidR="002F4699" w:rsidRPr="00F10CDD">
        <w:rPr>
          <w:rFonts w:ascii="Cambria" w:hAnsi="Cambria" w:cs="Calibri"/>
          <w:lang w:val="en-US"/>
        </w:rPr>
        <w:t xml:space="preserve"> </w:t>
      </w:r>
      <w:r w:rsidR="00F10CDD" w:rsidRPr="00F10CDD">
        <w:rPr>
          <w:rFonts w:ascii="Cambria" w:hAnsi="Cambria" w:cs="Calibri"/>
          <w:lang w:val="en-US"/>
        </w:rPr>
        <w:t>whether the process afforded sufficient guarantees to e</w:t>
      </w:r>
      <w:r w:rsidR="00F10CDD">
        <w:rPr>
          <w:rFonts w:ascii="Cambria" w:hAnsi="Cambria" w:cs="Calibri"/>
          <w:lang w:val="en-US"/>
        </w:rPr>
        <w:t>xclude any legitimate doubt in this respect.</w:t>
      </w:r>
      <w:r w:rsidR="00EB28E6" w:rsidRPr="00766381">
        <w:rPr>
          <w:rStyle w:val="FootnoteReference"/>
          <w:rFonts w:ascii="Cambria" w:hAnsi="Cambria" w:cs="Calibri"/>
        </w:rPr>
        <w:footnoteReference w:id="42"/>
      </w:r>
      <w:r w:rsidR="00EB28E6" w:rsidRPr="00F10CDD">
        <w:rPr>
          <w:rFonts w:ascii="Cambria" w:hAnsi="Cambria" w:cs="Calibri"/>
          <w:lang w:val="en-US"/>
        </w:rPr>
        <w:t xml:space="preserve"> </w:t>
      </w:r>
      <w:r w:rsidR="002F4699" w:rsidRPr="002F4699">
        <w:rPr>
          <w:rFonts w:ascii="Cambria" w:hAnsi="Cambria" w:cs="Calibri"/>
          <w:lang w:val="en-US"/>
        </w:rPr>
        <w:t>The right to have an impartial</w:t>
      </w:r>
      <w:r w:rsidR="00EB28E6" w:rsidRPr="002F4699">
        <w:rPr>
          <w:rFonts w:ascii="Cambria" w:hAnsi="Cambria" w:cs="Calibri"/>
          <w:lang w:val="en-US"/>
        </w:rPr>
        <w:t xml:space="preserve"> </w:t>
      </w:r>
      <w:r w:rsidR="00AD7370">
        <w:rPr>
          <w:rFonts w:ascii="Cambria" w:hAnsi="Cambria" w:cs="Calibri"/>
          <w:lang w:val="en-US"/>
        </w:rPr>
        <w:t>tribunal</w:t>
      </w:r>
      <w:r w:rsidR="002F4699" w:rsidRPr="002F4699">
        <w:rPr>
          <w:rFonts w:ascii="Cambria" w:hAnsi="Cambria" w:cs="Calibri"/>
          <w:lang w:val="en-US"/>
        </w:rPr>
        <w:t xml:space="preserve"> constitutes a guarantee tha</w:t>
      </w:r>
      <w:r w:rsidR="00AD7370">
        <w:rPr>
          <w:rFonts w:ascii="Cambria" w:hAnsi="Cambria" w:cs="Calibri"/>
          <w:lang w:val="en-US"/>
        </w:rPr>
        <w:t>t</w:t>
      </w:r>
      <w:r w:rsidR="002F4699" w:rsidRPr="002F4699">
        <w:rPr>
          <w:rFonts w:ascii="Cambria" w:hAnsi="Cambria" w:cs="Calibri"/>
          <w:lang w:val="en-US"/>
        </w:rPr>
        <w:t xml:space="preserve"> a decision will be adopted based on reasons provided by the law and not on other criteria outside the legal framework. This is especially relevant when it comes to sanctions and is reinforced when it comes to sanctions of judges, taking into account the principle of judicial independence, as described above. </w:t>
      </w:r>
    </w:p>
    <w:p w14:paraId="6CCA2367" w14:textId="77777777" w:rsidR="00353024" w:rsidRPr="002F4699" w:rsidRDefault="00353024" w:rsidP="00353024">
      <w:pPr>
        <w:pStyle w:val="parrafos"/>
        <w:numPr>
          <w:ilvl w:val="0"/>
          <w:numId w:val="0"/>
        </w:numPr>
        <w:rPr>
          <w:lang w:val="en-US"/>
        </w:rPr>
      </w:pPr>
    </w:p>
    <w:p w14:paraId="21BD2593" w14:textId="77777777" w:rsidR="00733D47" w:rsidRPr="00500D24" w:rsidRDefault="00367DE1" w:rsidP="00E13F4A">
      <w:pPr>
        <w:pStyle w:val="parrafos"/>
        <w:rPr>
          <w:rFonts w:ascii="Cambria" w:hAnsi="Cambria"/>
          <w:lang w:val="en-US"/>
        </w:rPr>
      </w:pPr>
      <w:r>
        <w:rPr>
          <w:lang w:val="en-US"/>
        </w:rPr>
        <w:t>As to</w:t>
      </w:r>
      <w:r w:rsidR="007C35BB" w:rsidRPr="00591FF1">
        <w:rPr>
          <w:lang w:val="en-US"/>
        </w:rPr>
        <w:t xml:space="preserve"> the right </w:t>
      </w:r>
      <w:r w:rsidR="007C35BB" w:rsidRPr="00D03B83">
        <w:rPr>
          <w:lang w:val="en-US"/>
        </w:rPr>
        <w:t xml:space="preserve">to have a competent </w:t>
      </w:r>
      <w:r w:rsidR="00D03B83" w:rsidRPr="00D03B83">
        <w:rPr>
          <w:lang w:val="en-US"/>
        </w:rPr>
        <w:t>tribunal</w:t>
      </w:r>
      <w:r w:rsidR="00353024" w:rsidRPr="00591FF1">
        <w:rPr>
          <w:lang w:val="en-US"/>
        </w:rPr>
        <w:t xml:space="preserve"> </w:t>
      </w:r>
      <w:r w:rsidR="00D03B83">
        <w:rPr>
          <w:lang w:val="en-US"/>
        </w:rPr>
        <w:t xml:space="preserve">previously </w:t>
      </w:r>
      <w:r w:rsidR="007C35BB" w:rsidRPr="00591FF1">
        <w:rPr>
          <w:lang w:val="en-US"/>
        </w:rPr>
        <w:t xml:space="preserve">established by law, the Commission </w:t>
      </w:r>
      <w:r w:rsidR="00AD7370">
        <w:rPr>
          <w:lang w:val="en-US"/>
        </w:rPr>
        <w:t>notes</w:t>
      </w:r>
      <w:r w:rsidR="007C35BB" w:rsidRPr="00591FF1">
        <w:rPr>
          <w:lang w:val="en-US"/>
        </w:rPr>
        <w:t xml:space="preserve"> that </w:t>
      </w:r>
      <w:r w:rsidR="00591FF1" w:rsidRPr="00591FF1">
        <w:rPr>
          <w:lang w:val="en-US"/>
        </w:rPr>
        <w:t xml:space="preserve">the </w:t>
      </w:r>
      <w:r w:rsidR="003340D9">
        <w:rPr>
          <w:lang w:val="en-US"/>
        </w:rPr>
        <w:t xml:space="preserve">section on the </w:t>
      </w:r>
      <w:r w:rsidR="00591FF1" w:rsidRPr="00591FF1">
        <w:rPr>
          <w:lang w:val="en-US"/>
        </w:rPr>
        <w:t xml:space="preserve">facts of the case </w:t>
      </w:r>
      <w:r w:rsidR="003340D9">
        <w:rPr>
          <w:lang w:val="en-US"/>
        </w:rPr>
        <w:t>sets out</w:t>
      </w:r>
      <w:r w:rsidR="00591FF1" w:rsidRPr="00591FF1">
        <w:rPr>
          <w:lang w:val="en-US"/>
        </w:rPr>
        <w:t xml:space="preserve"> the legal framework applicable to the </w:t>
      </w:r>
      <w:r w:rsidR="003340D9">
        <w:rPr>
          <w:lang w:val="en-US"/>
        </w:rPr>
        <w:t>constitution</w:t>
      </w:r>
      <w:r w:rsidR="00591FF1" w:rsidRPr="00591FF1">
        <w:rPr>
          <w:lang w:val="en-US"/>
        </w:rPr>
        <w:t xml:space="preserve"> of th</w:t>
      </w:r>
      <w:r w:rsidR="00591FF1">
        <w:rPr>
          <w:lang w:val="en-US"/>
        </w:rPr>
        <w:t xml:space="preserve">e Jury for the Prosecution of Magistrates. </w:t>
      </w:r>
      <w:r>
        <w:rPr>
          <w:lang w:val="en-US"/>
        </w:rPr>
        <w:t>T</w:t>
      </w:r>
      <w:r w:rsidR="00591FF1" w:rsidRPr="00591FF1">
        <w:rPr>
          <w:lang w:val="en-US"/>
        </w:rPr>
        <w:t xml:space="preserve">he Commission </w:t>
      </w:r>
      <w:r>
        <w:rPr>
          <w:lang w:val="en-US"/>
        </w:rPr>
        <w:t xml:space="preserve">further </w:t>
      </w:r>
      <w:r w:rsidR="00591FF1" w:rsidRPr="00591FF1">
        <w:rPr>
          <w:lang w:val="en-US"/>
        </w:rPr>
        <w:t xml:space="preserve">notes that in </w:t>
      </w:r>
      <w:r w:rsidR="003340D9">
        <w:rPr>
          <w:lang w:val="en-US"/>
        </w:rPr>
        <w:t>the</w:t>
      </w:r>
      <w:r w:rsidR="00591FF1" w:rsidRPr="00591FF1">
        <w:rPr>
          <w:lang w:val="en-US"/>
        </w:rPr>
        <w:t xml:space="preserve"> case</w:t>
      </w:r>
      <w:r w:rsidR="003340D9">
        <w:rPr>
          <w:lang w:val="en-US"/>
        </w:rPr>
        <w:t xml:space="preserve"> at hand</w:t>
      </w:r>
      <w:r w:rsidR="00591FF1" w:rsidRPr="00591FF1">
        <w:rPr>
          <w:lang w:val="en-US"/>
        </w:rPr>
        <w:t xml:space="preserve">, the rules </w:t>
      </w:r>
      <w:r w:rsidR="003340D9">
        <w:rPr>
          <w:lang w:val="en-US"/>
        </w:rPr>
        <w:t>on composition</w:t>
      </w:r>
      <w:r w:rsidR="00500D24" w:rsidRPr="00591FF1">
        <w:rPr>
          <w:lang w:val="en-US"/>
        </w:rPr>
        <w:t xml:space="preserve"> </w:t>
      </w:r>
      <w:r w:rsidR="00591FF1" w:rsidRPr="00591FF1">
        <w:rPr>
          <w:lang w:val="en-US"/>
        </w:rPr>
        <w:t>had been previously established by law, and the steps to elect the President we</w:t>
      </w:r>
      <w:r w:rsidR="00591FF1">
        <w:rPr>
          <w:lang w:val="en-US"/>
        </w:rPr>
        <w:t xml:space="preserve">re clearly described. The Commission observes that </w:t>
      </w:r>
      <w:r w:rsidR="003340D9">
        <w:rPr>
          <w:lang w:val="en-US"/>
        </w:rPr>
        <w:t>the President is designated</w:t>
      </w:r>
      <w:r w:rsidR="00591FF1">
        <w:rPr>
          <w:lang w:val="en-US"/>
        </w:rPr>
        <w:t xml:space="preserve"> by simple majority of the members from the Supreme Court, the Council of Magistrates, </w:t>
      </w:r>
      <w:r>
        <w:rPr>
          <w:lang w:val="en-US"/>
        </w:rPr>
        <w:t>the</w:t>
      </w:r>
      <w:r w:rsidR="00591FF1">
        <w:rPr>
          <w:lang w:val="en-US"/>
        </w:rPr>
        <w:t xml:space="preserve"> Chamber of the Senate, and the Chamber of Deputies, all of whom must be lawyers. </w:t>
      </w:r>
      <w:r w:rsidR="00591FF1" w:rsidRPr="00500D24">
        <w:rPr>
          <w:lang w:val="en-US"/>
        </w:rPr>
        <w:t xml:space="preserve">In this regard, the right to a competent </w:t>
      </w:r>
      <w:r w:rsidR="003340D9">
        <w:rPr>
          <w:lang w:val="en-US"/>
        </w:rPr>
        <w:t>tribunal</w:t>
      </w:r>
      <w:r w:rsidR="00591FF1" w:rsidRPr="00500D24">
        <w:rPr>
          <w:lang w:val="en-US"/>
        </w:rPr>
        <w:t xml:space="preserve"> implies </w:t>
      </w:r>
      <w:r w:rsidR="00500D24" w:rsidRPr="00500D24">
        <w:rPr>
          <w:lang w:val="en-US"/>
        </w:rPr>
        <w:t>that</w:t>
      </w:r>
      <w:r w:rsidR="00591FF1" w:rsidRPr="00500D24">
        <w:rPr>
          <w:lang w:val="en-US"/>
        </w:rPr>
        <w:t xml:space="preserve"> objective rules </w:t>
      </w:r>
      <w:r w:rsidR="003340D9">
        <w:rPr>
          <w:lang w:val="en-US"/>
        </w:rPr>
        <w:t>on</w:t>
      </w:r>
      <w:r w:rsidR="00500D24" w:rsidRPr="00591FF1">
        <w:rPr>
          <w:lang w:val="en-US"/>
        </w:rPr>
        <w:t xml:space="preserve"> </w:t>
      </w:r>
      <w:r w:rsidR="003340D9">
        <w:rPr>
          <w:lang w:val="en-US"/>
        </w:rPr>
        <w:t xml:space="preserve">its composition </w:t>
      </w:r>
      <w:r w:rsidR="00500D24" w:rsidRPr="00500D24">
        <w:rPr>
          <w:lang w:val="en-US"/>
        </w:rPr>
        <w:t>must be in place before</w:t>
      </w:r>
      <w:r w:rsidR="002649F7">
        <w:rPr>
          <w:lang w:val="en-US"/>
        </w:rPr>
        <w:t xml:space="preserve"> the fact</w:t>
      </w:r>
      <w:r w:rsidR="00500D24" w:rsidRPr="00500D24">
        <w:rPr>
          <w:lang w:val="en-US"/>
        </w:rPr>
        <w:t xml:space="preserve"> and must be adhered to in the instant case, something</w:t>
      </w:r>
      <w:r w:rsidR="00500D24">
        <w:rPr>
          <w:lang w:val="en-US"/>
        </w:rPr>
        <w:t xml:space="preserve"> that is not disputed</w:t>
      </w:r>
      <w:r w:rsidR="00733D47" w:rsidRPr="00500D24">
        <w:rPr>
          <w:rFonts w:ascii="Cambria" w:hAnsi="Cambria"/>
          <w:lang w:val="en-US"/>
        </w:rPr>
        <w:t>.</w:t>
      </w:r>
    </w:p>
    <w:p w14:paraId="70573551" w14:textId="77777777" w:rsidR="00353024" w:rsidRPr="00500D24" w:rsidRDefault="00353024" w:rsidP="00733D47">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jc w:val="both"/>
        <w:rPr>
          <w:rFonts w:ascii="Cambria" w:hAnsi="Cambria"/>
          <w:bCs/>
          <w:sz w:val="20"/>
          <w:szCs w:val="20"/>
        </w:rPr>
      </w:pPr>
    </w:p>
    <w:p w14:paraId="5CA5581D" w14:textId="77777777" w:rsidR="00353024" w:rsidRPr="00494152" w:rsidRDefault="00500D24" w:rsidP="00353024">
      <w:pPr>
        <w:pStyle w:val="parrafos"/>
        <w:rPr>
          <w:lang w:val="en-US"/>
        </w:rPr>
      </w:pPr>
      <w:r w:rsidRPr="00500D24">
        <w:rPr>
          <w:rFonts w:ascii="Cambria" w:hAnsi="Cambria"/>
          <w:lang w:val="en-US"/>
        </w:rPr>
        <w:t xml:space="preserve">With regard to the right to an independent </w:t>
      </w:r>
      <w:r w:rsidR="002649F7">
        <w:rPr>
          <w:rFonts w:ascii="Cambria" w:hAnsi="Cambria"/>
          <w:lang w:val="en-US"/>
        </w:rPr>
        <w:t>tribunal</w:t>
      </w:r>
      <w:r w:rsidRPr="00500D24">
        <w:rPr>
          <w:rFonts w:ascii="Cambria" w:hAnsi="Cambria"/>
          <w:lang w:val="en-US"/>
        </w:rPr>
        <w:t>, the Commission observes</w:t>
      </w:r>
      <w:r w:rsidR="002649F7">
        <w:rPr>
          <w:rFonts w:ascii="Cambria" w:hAnsi="Cambria"/>
          <w:lang w:val="en-US"/>
        </w:rPr>
        <w:t xml:space="preserve">, with regard to </w:t>
      </w:r>
      <w:r w:rsidRPr="00500D24">
        <w:rPr>
          <w:rFonts w:ascii="Cambria" w:hAnsi="Cambria"/>
          <w:lang w:val="en-US"/>
        </w:rPr>
        <w:t xml:space="preserve">its characteristics and </w:t>
      </w:r>
      <w:r w:rsidR="002649F7">
        <w:rPr>
          <w:rFonts w:ascii="Cambria" w:hAnsi="Cambria"/>
          <w:lang w:val="en-US"/>
        </w:rPr>
        <w:t>composition</w:t>
      </w:r>
      <w:r w:rsidRPr="00500D24">
        <w:rPr>
          <w:rFonts w:ascii="Cambria" w:hAnsi="Cambria"/>
          <w:lang w:val="en-US"/>
        </w:rPr>
        <w:t xml:space="preserve">, </w:t>
      </w:r>
      <w:r w:rsidR="002649F7">
        <w:rPr>
          <w:rFonts w:ascii="Cambria" w:hAnsi="Cambria"/>
          <w:lang w:val="en-US"/>
        </w:rPr>
        <w:t xml:space="preserve">that </w:t>
      </w:r>
      <w:r w:rsidRPr="00500D24">
        <w:rPr>
          <w:rFonts w:ascii="Cambria" w:hAnsi="Cambria"/>
          <w:lang w:val="en-US"/>
        </w:rPr>
        <w:t>the Jury for the Prosec</w:t>
      </w:r>
      <w:r>
        <w:rPr>
          <w:rFonts w:ascii="Cambria" w:hAnsi="Cambria"/>
          <w:lang w:val="en-US"/>
        </w:rPr>
        <w:t>ut</w:t>
      </w:r>
      <w:r w:rsidRPr="00500D24">
        <w:rPr>
          <w:rFonts w:ascii="Cambria" w:hAnsi="Cambria"/>
          <w:lang w:val="en-US"/>
        </w:rPr>
        <w:t>ion</w:t>
      </w:r>
      <w:r w:rsidR="00C9602F">
        <w:rPr>
          <w:rFonts w:ascii="Cambria" w:hAnsi="Cambria"/>
          <w:lang w:val="en-US"/>
        </w:rPr>
        <w:t xml:space="preserve"> of Magistrates</w:t>
      </w:r>
      <w:r w:rsidRPr="00500D24">
        <w:rPr>
          <w:rFonts w:ascii="Cambria" w:hAnsi="Cambria"/>
          <w:lang w:val="en-US"/>
        </w:rPr>
        <w:t xml:space="preserve"> is made up of</w:t>
      </w:r>
      <w:r>
        <w:rPr>
          <w:rFonts w:ascii="Cambria" w:hAnsi="Cambria"/>
          <w:lang w:val="en-US"/>
        </w:rPr>
        <w:t xml:space="preserve"> eight members, of whom four are Senators or Deputies. </w:t>
      </w:r>
      <w:r w:rsidRPr="00500D24">
        <w:rPr>
          <w:rFonts w:ascii="Cambria" w:hAnsi="Cambria"/>
          <w:lang w:val="en-US"/>
        </w:rPr>
        <w:t xml:space="preserve">The Commission </w:t>
      </w:r>
      <w:r w:rsidR="00B76D55">
        <w:rPr>
          <w:rFonts w:ascii="Cambria" w:hAnsi="Cambria"/>
          <w:lang w:val="en-US"/>
        </w:rPr>
        <w:t xml:space="preserve">considers the legislative branch having a decisive say in punitive </w:t>
      </w:r>
      <w:r>
        <w:rPr>
          <w:rFonts w:ascii="Cambria" w:hAnsi="Cambria"/>
          <w:lang w:val="en-US"/>
        </w:rPr>
        <w:t>proceedings</w:t>
      </w:r>
      <w:r w:rsidRPr="00500D24">
        <w:rPr>
          <w:rFonts w:ascii="Cambria" w:hAnsi="Cambria"/>
          <w:lang w:val="en-US"/>
        </w:rPr>
        <w:t xml:space="preserve"> </w:t>
      </w:r>
      <w:r>
        <w:rPr>
          <w:rFonts w:ascii="Cambria" w:hAnsi="Cambria"/>
          <w:lang w:val="en-US"/>
        </w:rPr>
        <w:t xml:space="preserve">against justice operators </w:t>
      </w:r>
      <w:r w:rsidR="00B76D55">
        <w:rPr>
          <w:rFonts w:ascii="Cambria" w:hAnsi="Cambria"/>
          <w:lang w:val="en-US"/>
        </w:rPr>
        <w:t>to be</w:t>
      </w:r>
      <w:r>
        <w:rPr>
          <w:rFonts w:ascii="Cambria" w:hAnsi="Cambria"/>
          <w:lang w:val="en-US"/>
        </w:rPr>
        <w:t xml:space="preserve"> problematic and</w:t>
      </w:r>
      <w:r w:rsidR="00B76D55">
        <w:rPr>
          <w:rFonts w:ascii="Cambria" w:hAnsi="Cambria"/>
          <w:lang w:val="en-US"/>
        </w:rPr>
        <w:t xml:space="preserve"> to constitute, per se, a source of </w:t>
      </w:r>
      <w:r>
        <w:rPr>
          <w:rFonts w:ascii="Cambria" w:hAnsi="Cambria"/>
          <w:lang w:val="en-US"/>
        </w:rPr>
        <w:t xml:space="preserve">risk </w:t>
      </w:r>
      <w:r w:rsidR="00B76D55">
        <w:rPr>
          <w:rFonts w:ascii="Cambria" w:hAnsi="Cambria"/>
          <w:lang w:val="en-US"/>
        </w:rPr>
        <w:t xml:space="preserve">to </w:t>
      </w:r>
      <w:r>
        <w:rPr>
          <w:rFonts w:ascii="Cambria" w:hAnsi="Cambria"/>
          <w:lang w:val="en-US"/>
        </w:rPr>
        <w:t xml:space="preserve">the independent exercise of </w:t>
      </w:r>
      <w:r w:rsidR="00B76D55">
        <w:rPr>
          <w:rFonts w:ascii="Cambria" w:hAnsi="Cambria"/>
          <w:lang w:val="en-US"/>
        </w:rPr>
        <w:t>such a</w:t>
      </w:r>
      <w:r>
        <w:rPr>
          <w:rFonts w:ascii="Cambria" w:hAnsi="Cambria"/>
          <w:lang w:val="en-US"/>
        </w:rPr>
        <w:t xml:space="preserve"> function, </w:t>
      </w:r>
      <w:r w:rsidR="00B76D55">
        <w:rPr>
          <w:rFonts w:ascii="Cambria" w:hAnsi="Cambria"/>
          <w:lang w:val="en-US"/>
        </w:rPr>
        <w:t xml:space="preserve">since such proceedings do not offer the proper </w:t>
      </w:r>
      <w:r>
        <w:rPr>
          <w:rFonts w:ascii="Cambria" w:hAnsi="Cambria"/>
          <w:lang w:val="en-US"/>
        </w:rPr>
        <w:t>institutional guarantees</w:t>
      </w:r>
      <w:r w:rsidR="00B76D55">
        <w:rPr>
          <w:rFonts w:ascii="Cambria" w:hAnsi="Cambria"/>
          <w:lang w:val="en-US"/>
        </w:rPr>
        <w:t xml:space="preserve"> or suitability</w:t>
      </w:r>
      <w:r>
        <w:rPr>
          <w:rFonts w:ascii="Cambria" w:hAnsi="Cambria"/>
          <w:lang w:val="en-US"/>
        </w:rPr>
        <w:t xml:space="preserve"> </w:t>
      </w:r>
      <w:r w:rsidR="00B76D55">
        <w:rPr>
          <w:rFonts w:ascii="Cambria" w:hAnsi="Cambria"/>
          <w:lang w:val="en-US"/>
        </w:rPr>
        <w:t>that the judiciary would</w:t>
      </w:r>
      <w:r w:rsidR="00353024" w:rsidRPr="00500D24">
        <w:rPr>
          <w:rFonts w:ascii="Cambria" w:hAnsi="Cambria"/>
          <w:lang w:val="en-US"/>
        </w:rPr>
        <w:t>.</w:t>
      </w:r>
      <w:r w:rsidR="002171EA" w:rsidRPr="00766381">
        <w:rPr>
          <w:rStyle w:val="FootnoteReference"/>
          <w:rFonts w:ascii="Cambria" w:hAnsi="Cambria"/>
          <w:lang w:val="es-CO"/>
        </w:rPr>
        <w:footnoteReference w:id="43"/>
      </w:r>
      <w:r w:rsidR="00353024" w:rsidRPr="00B76D55">
        <w:rPr>
          <w:rFonts w:ascii="Cambria" w:hAnsi="Cambria"/>
          <w:lang w:val="en-US"/>
        </w:rPr>
        <w:t xml:space="preserve"> </w:t>
      </w:r>
      <w:r w:rsidR="00B76D55" w:rsidRPr="00A7660A">
        <w:rPr>
          <w:rFonts w:ascii="Cambria" w:hAnsi="Cambria"/>
          <w:lang w:val="en-US"/>
        </w:rPr>
        <w:t xml:space="preserve">However, both the Commission and the Court have </w:t>
      </w:r>
      <w:r w:rsidR="005B7F13">
        <w:rPr>
          <w:rFonts w:ascii="Cambria" w:hAnsi="Cambria"/>
          <w:lang w:val="en-US"/>
        </w:rPr>
        <w:t>taken up</w:t>
      </w:r>
      <w:r w:rsidR="00B76D55" w:rsidRPr="00A7660A">
        <w:rPr>
          <w:rFonts w:ascii="Cambria" w:hAnsi="Cambria"/>
          <w:lang w:val="en-US"/>
        </w:rPr>
        <w:t xml:space="preserve"> cases in which</w:t>
      </w:r>
      <w:r w:rsidR="00A7660A" w:rsidRPr="00A7660A">
        <w:rPr>
          <w:rFonts w:ascii="Cambria" w:hAnsi="Cambria"/>
          <w:lang w:val="en-US"/>
        </w:rPr>
        <w:t xml:space="preserve"> the legislative branch </w:t>
      </w:r>
      <w:r w:rsidR="0040612E">
        <w:rPr>
          <w:rFonts w:ascii="Cambria" w:hAnsi="Cambria"/>
          <w:lang w:val="en-US"/>
        </w:rPr>
        <w:t>has been granted</w:t>
      </w:r>
      <w:r w:rsidR="00A7660A" w:rsidRPr="00A7660A">
        <w:rPr>
          <w:rFonts w:ascii="Cambria" w:hAnsi="Cambria"/>
          <w:lang w:val="en-US"/>
        </w:rPr>
        <w:t xml:space="preserve"> </w:t>
      </w:r>
      <w:r w:rsidR="0040612E">
        <w:rPr>
          <w:rFonts w:ascii="Cambria" w:hAnsi="Cambria"/>
          <w:lang w:val="en-US"/>
        </w:rPr>
        <w:t>substantive</w:t>
      </w:r>
      <w:r w:rsidR="00A7660A" w:rsidRPr="00A7660A">
        <w:rPr>
          <w:rFonts w:ascii="Cambria" w:hAnsi="Cambria"/>
          <w:lang w:val="en-US"/>
        </w:rPr>
        <w:t xml:space="preserve"> </w:t>
      </w:r>
      <w:r w:rsidR="0040612E">
        <w:rPr>
          <w:rFonts w:ascii="Cambria" w:hAnsi="Cambria"/>
          <w:lang w:val="en-US"/>
        </w:rPr>
        <w:t>adjudicatory authority</w:t>
      </w:r>
      <w:r w:rsidR="00A7660A" w:rsidRPr="00A7660A">
        <w:rPr>
          <w:rFonts w:ascii="Cambria" w:hAnsi="Cambria"/>
          <w:lang w:val="en-US"/>
        </w:rPr>
        <w:t xml:space="preserve"> in </w:t>
      </w:r>
      <w:r w:rsidR="0040612E">
        <w:rPr>
          <w:rFonts w:ascii="Cambria" w:hAnsi="Cambria"/>
          <w:lang w:val="en-US"/>
        </w:rPr>
        <w:t>punitive proceedings</w:t>
      </w:r>
      <w:r w:rsidR="00A7660A">
        <w:rPr>
          <w:rFonts w:ascii="Cambria" w:hAnsi="Cambria"/>
          <w:lang w:val="en-US"/>
        </w:rPr>
        <w:t xml:space="preserve"> against judges. </w:t>
      </w:r>
      <w:r w:rsidR="00A7660A" w:rsidRPr="00494152">
        <w:rPr>
          <w:rFonts w:ascii="Cambria" w:hAnsi="Cambria"/>
          <w:lang w:val="en-US"/>
        </w:rPr>
        <w:t xml:space="preserve">In </w:t>
      </w:r>
      <w:r w:rsidR="0040612E">
        <w:rPr>
          <w:rFonts w:ascii="Cambria" w:hAnsi="Cambria"/>
          <w:lang w:val="en-US"/>
        </w:rPr>
        <w:t>those</w:t>
      </w:r>
      <w:r w:rsidR="00A7660A" w:rsidRPr="00494152">
        <w:rPr>
          <w:rFonts w:ascii="Cambria" w:hAnsi="Cambria"/>
          <w:lang w:val="en-US"/>
        </w:rPr>
        <w:t xml:space="preserve"> cases, the analysis </w:t>
      </w:r>
      <w:r w:rsidR="0040612E">
        <w:rPr>
          <w:rFonts w:ascii="Cambria" w:hAnsi="Cambria"/>
          <w:lang w:val="en-US"/>
        </w:rPr>
        <w:t>as to</w:t>
      </w:r>
      <w:r w:rsidR="00A7660A" w:rsidRPr="00494152">
        <w:rPr>
          <w:rFonts w:ascii="Cambria" w:hAnsi="Cambria"/>
          <w:lang w:val="en-US"/>
        </w:rPr>
        <w:t xml:space="preserve"> whether </w:t>
      </w:r>
      <w:r w:rsidR="0040612E">
        <w:rPr>
          <w:rFonts w:ascii="Cambria" w:hAnsi="Cambria"/>
          <w:lang w:val="en-US"/>
        </w:rPr>
        <w:t>or not it</w:t>
      </w:r>
      <w:r w:rsidR="00494152" w:rsidRPr="00494152">
        <w:rPr>
          <w:rFonts w:ascii="Cambria" w:hAnsi="Cambria"/>
          <w:lang w:val="en-US"/>
        </w:rPr>
        <w:t xml:space="preserve"> acted independently</w:t>
      </w:r>
      <w:r w:rsidR="0040612E">
        <w:rPr>
          <w:rFonts w:ascii="Cambria" w:hAnsi="Cambria"/>
          <w:lang w:val="en-US"/>
        </w:rPr>
        <w:t xml:space="preserve"> was</w:t>
      </w:r>
      <w:r w:rsidR="00494152" w:rsidRPr="00494152">
        <w:rPr>
          <w:rFonts w:ascii="Cambria" w:hAnsi="Cambria"/>
          <w:lang w:val="en-US"/>
        </w:rPr>
        <w:t xml:space="preserve"> </w:t>
      </w:r>
      <w:r w:rsidR="0040612E">
        <w:rPr>
          <w:rFonts w:ascii="Cambria" w:hAnsi="Cambria"/>
          <w:lang w:val="en-US"/>
        </w:rPr>
        <w:t xml:space="preserve">conducted </w:t>
      </w:r>
      <w:r w:rsidR="00494152" w:rsidRPr="00494152">
        <w:rPr>
          <w:rFonts w:ascii="Cambria" w:hAnsi="Cambria"/>
          <w:lang w:val="en-US"/>
        </w:rPr>
        <w:t xml:space="preserve">based on the circumstances </w:t>
      </w:r>
      <w:r w:rsidR="0040612E">
        <w:rPr>
          <w:rFonts w:ascii="Cambria" w:hAnsi="Cambria"/>
          <w:lang w:val="en-US"/>
        </w:rPr>
        <w:t>of each specific</w:t>
      </w:r>
      <w:r w:rsidR="00494152" w:rsidRPr="00494152">
        <w:rPr>
          <w:rFonts w:ascii="Cambria" w:hAnsi="Cambria"/>
          <w:lang w:val="en-US"/>
        </w:rPr>
        <w:t xml:space="preserve"> case.</w:t>
      </w:r>
      <w:r w:rsidR="00353024" w:rsidRPr="00766381">
        <w:rPr>
          <w:rStyle w:val="FootnoteReference"/>
          <w:rFonts w:ascii="Cambria" w:hAnsi="Cambria"/>
          <w:lang w:val="es-CO"/>
        </w:rPr>
        <w:footnoteReference w:id="44"/>
      </w:r>
      <w:r w:rsidR="00353024" w:rsidRPr="00494152">
        <w:rPr>
          <w:rFonts w:ascii="Cambria" w:hAnsi="Cambria"/>
          <w:lang w:val="en-US"/>
        </w:rPr>
        <w:t xml:space="preserve"> </w:t>
      </w:r>
      <w:r w:rsidR="00494152" w:rsidRPr="00494152">
        <w:rPr>
          <w:rFonts w:ascii="Cambria" w:hAnsi="Cambria"/>
          <w:lang w:val="en-US"/>
        </w:rPr>
        <w:t xml:space="preserve">Along these lines, the Commission observes that, </w:t>
      </w:r>
      <w:r w:rsidR="0040612E">
        <w:rPr>
          <w:rFonts w:ascii="Cambria" w:hAnsi="Cambria"/>
          <w:lang w:val="en-US"/>
        </w:rPr>
        <w:t>beyond</w:t>
      </w:r>
      <w:r w:rsidR="00494152" w:rsidRPr="00494152">
        <w:rPr>
          <w:rFonts w:ascii="Cambria" w:hAnsi="Cambria"/>
          <w:lang w:val="en-US"/>
        </w:rPr>
        <w:t xml:space="preserve"> the risks already mentioned, the petitioner questioned the independence of the JEM in generic terms, and therefore the Commission lacks sufficient information that would indicate that the members of the JEM were subordinated or dependent upon the parties in the case or whether they lacked</w:t>
      </w:r>
      <w:r w:rsidR="00494152">
        <w:rPr>
          <w:rFonts w:ascii="Cambria" w:hAnsi="Cambria"/>
          <w:lang w:val="en-US"/>
        </w:rPr>
        <w:t xml:space="preserve"> guarantees of tenure that could translate into a lack of independence.</w:t>
      </w:r>
    </w:p>
    <w:p w14:paraId="4E323BC2" w14:textId="77777777" w:rsidR="005D3F0F" w:rsidRPr="00494152" w:rsidRDefault="005D3F0F" w:rsidP="005D3F0F">
      <w:pPr>
        <w:pStyle w:val="parrafos"/>
        <w:numPr>
          <w:ilvl w:val="0"/>
          <w:numId w:val="0"/>
        </w:numPr>
        <w:rPr>
          <w:lang w:val="en-US"/>
        </w:rPr>
      </w:pPr>
    </w:p>
    <w:p w14:paraId="782B588A" w14:textId="77777777" w:rsidR="005D3F0F" w:rsidRPr="00516939" w:rsidRDefault="00B003ED" w:rsidP="005D3F0F">
      <w:pPr>
        <w:pStyle w:val="parrafos"/>
        <w:rPr>
          <w:lang w:val="en-US"/>
        </w:rPr>
      </w:pPr>
      <w:r w:rsidRPr="00B003ED">
        <w:rPr>
          <w:lang w:val="en-US"/>
        </w:rPr>
        <w:t>With regard to the guarantee of impartiality</w:t>
      </w:r>
      <w:r w:rsidR="0040612E">
        <w:rPr>
          <w:lang w:val="en-US"/>
        </w:rPr>
        <w:t xml:space="preserve"> of the court</w:t>
      </w:r>
      <w:r w:rsidRPr="00B003ED">
        <w:rPr>
          <w:lang w:val="en-US"/>
        </w:rPr>
        <w:t xml:space="preserve">, the Commission observes that the petitioner alleged that the President of the </w:t>
      </w:r>
      <w:r w:rsidR="00343904" w:rsidRPr="00B003ED">
        <w:rPr>
          <w:rFonts w:ascii="Cambria" w:hAnsi="Cambria"/>
          <w:lang w:val="en-US"/>
        </w:rPr>
        <w:t xml:space="preserve">JEM, </w:t>
      </w:r>
      <w:r>
        <w:rPr>
          <w:rFonts w:ascii="Cambria" w:hAnsi="Cambria"/>
          <w:lang w:val="en-US"/>
        </w:rPr>
        <w:t xml:space="preserve">as well as other deputies and senators who were members, had an interest in intervening and retaliating because of the corruption cases </w:t>
      </w:r>
      <w:r w:rsidR="0040612E">
        <w:rPr>
          <w:rFonts w:ascii="Cambria" w:hAnsi="Cambria"/>
          <w:lang w:val="en-US"/>
        </w:rPr>
        <w:t>the petitioner</w:t>
      </w:r>
      <w:r>
        <w:rPr>
          <w:rFonts w:ascii="Cambria" w:hAnsi="Cambria"/>
          <w:lang w:val="en-US"/>
        </w:rPr>
        <w:t xml:space="preserve"> had been investigating.  The IACHR notes that the petitioner made this </w:t>
      </w:r>
      <w:r w:rsidR="005B59AA">
        <w:rPr>
          <w:rFonts w:ascii="Cambria" w:hAnsi="Cambria"/>
          <w:lang w:val="en-US"/>
        </w:rPr>
        <w:t>allegation</w:t>
      </w:r>
      <w:r>
        <w:rPr>
          <w:rFonts w:ascii="Cambria" w:hAnsi="Cambria"/>
          <w:lang w:val="en-US"/>
        </w:rPr>
        <w:t xml:space="preserve"> before the Supreme Court, when he </w:t>
      </w:r>
      <w:r w:rsidR="0040612E">
        <w:rPr>
          <w:rFonts w:ascii="Cambria" w:hAnsi="Cambria"/>
          <w:lang w:val="en-US"/>
        </w:rPr>
        <w:t>filed</w:t>
      </w:r>
      <w:r>
        <w:rPr>
          <w:rFonts w:ascii="Cambria" w:hAnsi="Cambria"/>
          <w:lang w:val="en-US"/>
        </w:rPr>
        <w:t xml:space="preserve"> </w:t>
      </w:r>
      <w:r w:rsidR="00EA235C">
        <w:rPr>
          <w:rFonts w:ascii="Cambria" w:hAnsi="Cambria"/>
          <w:lang w:val="en-US"/>
        </w:rPr>
        <w:t>the</w:t>
      </w:r>
      <w:r>
        <w:rPr>
          <w:rFonts w:ascii="Cambria" w:hAnsi="Cambria"/>
          <w:lang w:val="en-US"/>
        </w:rPr>
        <w:t xml:space="preserve"> action of unconstitutionality, but that the Supreme Court did not respond to this </w:t>
      </w:r>
      <w:r w:rsidR="005B59AA">
        <w:rPr>
          <w:rFonts w:ascii="Cambria" w:hAnsi="Cambria"/>
          <w:lang w:val="en-US"/>
        </w:rPr>
        <w:t>claim</w:t>
      </w:r>
      <w:r>
        <w:rPr>
          <w:rFonts w:ascii="Cambria" w:hAnsi="Cambria"/>
          <w:lang w:val="en-US"/>
        </w:rPr>
        <w:t xml:space="preserve">. </w:t>
      </w:r>
      <w:r w:rsidRPr="00B003ED">
        <w:rPr>
          <w:rFonts w:ascii="Cambria" w:hAnsi="Cambria"/>
          <w:lang w:val="en-US"/>
        </w:rPr>
        <w:t xml:space="preserve">Along these same lines, the Commission observes that the alleged victim </w:t>
      </w:r>
      <w:r w:rsidR="00A12684">
        <w:rPr>
          <w:rFonts w:ascii="Cambria" w:hAnsi="Cambria"/>
          <w:lang w:val="en-US"/>
        </w:rPr>
        <w:t>filed a challenge</w:t>
      </w:r>
      <w:r w:rsidRPr="00B003ED">
        <w:rPr>
          <w:rFonts w:ascii="Cambria" w:hAnsi="Cambria"/>
          <w:lang w:val="en-US"/>
        </w:rPr>
        <w:t xml:space="preserve"> against the President of the JEM and other members of the jury, </w:t>
      </w:r>
      <w:r w:rsidR="00A12684">
        <w:rPr>
          <w:rFonts w:ascii="Cambria" w:hAnsi="Cambria"/>
          <w:lang w:val="en-US"/>
        </w:rPr>
        <w:t>alleging</w:t>
      </w:r>
      <w:r w:rsidRPr="00B003ED">
        <w:rPr>
          <w:rFonts w:ascii="Cambria" w:hAnsi="Cambria"/>
          <w:lang w:val="en-US"/>
        </w:rPr>
        <w:t xml:space="preserve"> </w:t>
      </w:r>
      <w:r>
        <w:rPr>
          <w:rFonts w:ascii="Cambria" w:hAnsi="Cambria"/>
          <w:lang w:val="en-US"/>
        </w:rPr>
        <w:t xml:space="preserve">improper actions, but that this </w:t>
      </w:r>
      <w:r w:rsidR="00A12684">
        <w:rPr>
          <w:rFonts w:ascii="Cambria" w:hAnsi="Cambria"/>
          <w:lang w:val="en-US"/>
        </w:rPr>
        <w:t>challenge</w:t>
      </w:r>
      <w:r>
        <w:rPr>
          <w:rFonts w:ascii="Cambria" w:hAnsi="Cambria"/>
          <w:lang w:val="en-US"/>
        </w:rPr>
        <w:t xml:space="preserve"> was rejected by the JEM itself. </w:t>
      </w:r>
      <w:r w:rsidRPr="00B003ED">
        <w:rPr>
          <w:rFonts w:ascii="Cambria" w:hAnsi="Cambria"/>
          <w:lang w:val="en-US"/>
        </w:rPr>
        <w:t xml:space="preserve">The petitioner also indicates that his sanction proceeding </w:t>
      </w:r>
      <w:r w:rsidR="00A12684">
        <w:rPr>
          <w:rFonts w:ascii="Cambria" w:hAnsi="Cambria"/>
          <w:lang w:val="en-US"/>
        </w:rPr>
        <w:t>conclude</w:t>
      </w:r>
      <w:r w:rsidR="00C2231A">
        <w:rPr>
          <w:rFonts w:ascii="Cambria" w:hAnsi="Cambria"/>
          <w:lang w:val="en-US"/>
        </w:rPr>
        <w:t>d</w:t>
      </w:r>
      <w:r w:rsidRPr="00B003ED">
        <w:rPr>
          <w:rFonts w:ascii="Cambria" w:hAnsi="Cambria"/>
          <w:lang w:val="en-US"/>
        </w:rPr>
        <w:t xml:space="preserve"> the same day he lodged </w:t>
      </w:r>
      <w:r w:rsidR="00C2231A">
        <w:rPr>
          <w:rFonts w:ascii="Cambria" w:hAnsi="Cambria"/>
          <w:lang w:val="en-US"/>
        </w:rPr>
        <w:t xml:space="preserve">a </w:t>
      </w:r>
      <w:r w:rsidR="00A12684">
        <w:rPr>
          <w:rFonts w:ascii="Cambria" w:hAnsi="Cambria"/>
          <w:lang w:val="en-US"/>
        </w:rPr>
        <w:t>formal accusation</w:t>
      </w:r>
      <w:r w:rsidR="00D81002" w:rsidRPr="00B003ED">
        <w:rPr>
          <w:lang w:val="en-US"/>
        </w:rPr>
        <w:t xml:space="preserve"> </w:t>
      </w:r>
      <w:r w:rsidRPr="00B003ED">
        <w:rPr>
          <w:lang w:val="en-US"/>
        </w:rPr>
        <w:t xml:space="preserve">against the President of </w:t>
      </w:r>
      <w:r>
        <w:rPr>
          <w:lang w:val="en-US"/>
        </w:rPr>
        <w:t xml:space="preserve">the </w:t>
      </w:r>
      <w:r w:rsidR="00D81002" w:rsidRPr="00B003ED">
        <w:rPr>
          <w:lang w:val="en-US"/>
        </w:rPr>
        <w:t xml:space="preserve">JEM, Oscar González Daher, </w:t>
      </w:r>
      <w:r>
        <w:rPr>
          <w:lang w:val="en-US"/>
        </w:rPr>
        <w:t xml:space="preserve">in the context of a case he was investigating. </w:t>
      </w:r>
      <w:r w:rsidRPr="00516939">
        <w:rPr>
          <w:lang w:val="en-US"/>
        </w:rPr>
        <w:t xml:space="preserve">The </w:t>
      </w:r>
      <w:r w:rsidRPr="00516939">
        <w:rPr>
          <w:lang w:val="en-US"/>
        </w:rPr>
        <w:lastRenderedPageBreak/>
        <w:t>Commission considers that</w:t>
      </w:r>
      <w:r w:rsidR="00516939" w:rsidRPr="00516939">
        <w:rPr>
          <w:lang w:val="en-US"/>
        </w:rPr>
        <w:t xml:space="preserve"> such aspects would be problematic when it</w:t>
      </w:r>
      <w:r w:rsidR="00516939">
        <w:rPr>
          <w:lang w:val="en-US"/>
        </w:rPr>
        <w:t xml:space="preserve"> comes to analyzing the impartiality of the JEM, because they could suggest a situation of retaliation against a prosecutor for investigations he was carrying out against political authorities. </w:t>
      </w:r>
    </w:p>
    <w:p w14:paraId="31F0A8E2" w14:textId="77777777" w:rsidR="005D3F0F" w:rsidRPr="00516939" w:rsidRDefault="005D3F0F" w:rsidP="005D3F0F">
      <w:pPr>
        <w:pStyle w:val="parrafos"/>
        <w:numPr>
          <w:ilvl w:val="0"/>
          <w:numId w:val="0"/>
        </w:numPr>
        <w:rPr>
          <w:lang w:val="en-US"/>
        </w:rPr>
      </w:pPr>
    </w:p>
    <w:p w14:paraId="788BBE97" w14:textId="77777777" w:rsidR="00815204" w:rsidRPr="008D1443" w:rsidRDefault="008D1443" w:rsidP="00787E82">
      <w:pPr>
        <w:pStyle w:val="parrafos"/>
        <w:suppressAutoHyphens/>
        <w:rPr>
          <w:lang w:val="en-US"/>
        </w:rPr>
      </w:pPr>
      <w:r w:rsidRPr="008D1443">
        <w:rPr>
          <w:lang w:val="en-US"/>
        </w:rPr>
        <w:t xml:space="preserve">Despite the foregoing, </w:t>
      </w:r>
      <w:r w:rsidR="00C2231A">
        <w:rPr>
          <w:lang w:val="en-US"/>
        </w:rPr>
        <w:t xml:space="preserve">the case file does not include </w:t>
      </w:r>
      <w:r w:rsidRPr="008D1443">
        <w:rPr>
          <w:lang w:val="en-US"/>
        </w:rPr>
        <w:t xml:space="preserve">either the </w:t>
      </w:r>
      <w:r w:rsidR="00C2231A">
        <w:rPr>
          <w:lang w:val="en-US"/>
        </w:rPr>
        <w:t xml:space="preserve">challenge that was filed </w:t>
      </w:r>
      <w:r w:rsidRPr="008D1443">
        <w:rPr>
          <w:lang w:val="en-US"/>
        </w:rPr>
        <w:t>or the decision on the matter</w:t>
      </w:r>
      <w:r>
        <w:rPr>
          <w:lang w:val="en-US"/>
        </w:rPr>
        <w:t xml:space="preserve">. </w:t>
      </w:r>
      <w:r w:rsidRPr="008D1443">
        <w:rPr>
          <w:lang w:val="en-US"/>
        </w:rPr>
        <w:t xml:space="preserve">The Commission also observes that Judgment </w:t>
      </w:r>
      <w:r w:rsidR="00F64F0A" w:rsidRPr="008D1443">
        <w:rPr>
          <w:lang w:val="en-US"/>
        </w:rPr>
        <w:t xml:space="preserve">S.D. </w:t>
      </w:r>
      <w:r w:rsidRPr="008D1443">
        <w:rPr>
          <w:lang w:val="en-US"/>
        </w:rPr>
        <w:t xml:space="preserve">No. </w:t>
      </w:r>
      <w:r w:rsidR="00F64F0A" w:rsidRPr="008D1443">
        <w:rPr>
          <w:lang w:val="en-US"/>
        </w:rPr>
        <w:t xml:space="preserve">02/03 </w:t>
      </w:r>
      <w:r w:rsidRPr="008D1443">
        <w:rPr>
          <w:lang w:val="en-US"/>
        </w:rPr>
        <w:t xml:space="preserve">of April </w:t>
      </w:r>
      <w:r w:rsidR="00F64F0A" w:rsidRPr="008D1443">
        <w:rPr>
          <w:lang w:val="en-US"/>
        </w:rPr>
        <w:t>7</w:t>
      </w:r>
      <w:r w:rsidRPr="008D1443">
        <w:rPr>
          <w:lang w:val="en-US"/>
        </w:rPr>
        <w:t xml:space="preserve">, </w:t>
      </w:r>
      <w:r w:rsidR="00F64F0A" w:rsidRPr="008D1443">
        <w:rPr>
          <w:lang w:val="en-US"/>
        </w:rPr>
        <w:t xml:space="preserve">2003, </w:t>
      </w:r>
      <w:r w:rsidRPr="008D1443">
        <w:rPr>
          <w:lang w:val="en-US"/>
        </w:rPr>
        <w:t>which determined the all</w:t>
      </w:r>
      <w:r>
        <w:rPr>
          <w:lang w:val="en-US"/>
        </w:rPr>
        <w:t>eged victim</w:t>
      </w:r>
      <w:r w:rsidR="00C2231A">
        <w:rPr>
          <w:lang w:val="en-US"/>
        </w:rPr>
        <w:t>’s dismissal</w:t>
      </w:r>
      <w:r>
        <w:rPr>
          <w:lang w:val="en-US"/>
        </w:rPr>
        <w:t xml:space="preserve">, was not signed by the President of the </w:t>
      </w:r>
      <w:r w:rsidR="00F64F0A" w:rsidRPr="008D1443">
        <w:rPr>
          <w:lang w:val="en-US"/>
        </w:rPr>
        <w:t xml:space="preserve">JEM, Oscar González Daher. </w:t>
      </w:r>
      <w:r w:rsidRPr="008D1443">
        <w:rPr>
          <w:lang w:val="en-US"/>
        </w:rPr>
        <w:t xml:space="preserve">Based on the </w:t>
      </w:r>
      <w:r w:rsidR="006F44E8">
        <w:rPr>
          <w:lang w:val="en-US"/>
        </w:rPr>
        <w:t>above</w:t>
      </w:r>
      <w:r w:rsidRPr="008D1443">
        <w:rPr>
          <w:lang w:val="en-US"/>
        </w:rPr>
        <w:t xml:space="preserve"> considerations, the Commission </w:t>
      </w:r>
      <w:r w:rsidR="00C2231A" w:rsidRPr="008D1443">
        <w:rPr>
          <w:lang w:val="en-US"/>
        </w:rPr>
        <w:t>considers</w:t>
      </w:r>
      <w:r w:rsidRPr="008D1443">
        <w:rPr>
          <w:lang w:val="en-US"/>
        </w:rPr>
        <w:t xml:space="preserve"> that it does not have the elements at hand to </w:t>
      </w:r>
      <w:r w:rsidR="00C2231A">
        <w:rPr>
          <w:lang w:val="en-US"/>
        </w:rPr>
        <w:t>determine</w:t>
      </w:r>
      <w:r>
        <w:rPr>
          <w:lang w:val="en-US"/>
        </w:rPr>
        <w:t xml:space="preserve"> whether there has been a violation of the guarantee of impartiality.</w:t>
      </w:r>
      <w:r w:rsidR="00E13F4A" w:rsidRPr="008D1443">
        <w:rPr>
          <w:lang w:val="en-US"/>
        </w:rPr>
        <w:t xml:space="preserve"> </w:t>
      </w:r>
    </w:p>
    <w:p w14:paraId="241B948D" w14:textId="77777777" w:rsidR="00C07342" w:rsidRPr="00361CA7" w:rsidRDefault="00C07342" w:rsidP="00AF48C1">
      <w:pPr>
        <w:pStyle w:val="Heading2"/>
        <w:rPr>
          <w:lang w:val="en-US"/>
        </w:rPr>
      </w:pPr>
      <w:bookmarkStart w:id="19" w:name="_Toc42595072"/>
      <w:r w:rsidRPr="00361CA7">
        <w:rPr>
          <w:lang w:val="en-US"/>
        </w:rPr>
        <w:t xml:space="preserve">3. </w:t>
      </w:r>
      <w:r w:rsidR="00361CA7" w:rsidRPr="00361CA7">
        <w:rPr>
          <w:lang w:val="en-US"/>
        </w:rPr>
        <w:t>The right of defense and the principle of consistency</w:t>
      </w:r>
      <w:r w:rsidR="00801FCB" w:rsidRPr="00766381">
        <w:rPr>
          <w:rStyle w:val="FootnoteReference"/>
          <w:rFonts w:asciiTheme="majorHAnsi" w:hAnsiTheme="majorHAnsi"/>
          <w:b w:val="0"/>
        </w:rPr>
        <w:footnoteReference w:id="45"/>
      </w:r>
      <w:r w:rsidRPr="00361CA7">
        <w:rPr>
          <w:lang w:val="en-US"/>
        </w:rPr>
        <w:t xml:space="preserve"> </w:t>
      </w:r>
      <w:r w:rsidR="00361CA7">
        <w:rPr>
          <w:lang w:val="en-US"/>
        </w:rPr>
        <w:t>and reasonable time</w:t>
      </w:r>
      <w:r w:rsidR="00CC142C" w:rsidRPr="00766381">
        <w:rPr>
          <w:rStyle w:val="FootnoteReference"/>
          <w:rFonts w:asciiTheme="majorHAnsi" w:hAnsiTheme="majorHAnsi"/>
          <w:b w:val="0"/>
        </w:rPr>
        <w:footnoteReference w:id="46"/>
      </w:r>
      <w:bookmarkEnd w:id="19"/>
    </w:p>
    <w:p w14:paraId="511EBC10" w14:textId="77777777" w:rsidR="00A51F01" w:rsidRPr="00361CA7" w:rsidRDefault="00A51F01" w:rsidP="00914740">
      <w:pPr>
        <w:tabs>
          <w:tab w:val="left" w:pos="360"/>
        </w:tabs>
        <w:suppressAutoHyphens/>
        <w:rPr>
          <w:rFonts w:asciiTheme="majorHAnsi" w:hAnsiTheme="majorHAnsi"/>
          <w:b/>
          <w:sz w:val="20"/>
          <w:szCs w:val="20"/>
        </w:rPr>
      </w:pPr>
    </w:p>
    <w:p w14:paraId="23219FA9" w14:textId="77777777" w:rsidR="00A51F01" w:rsidRPr="00361CA7" w:rsidRDefault="00361CA7" w:rsidP="00A51F01">
      <w:pPr>
        <w:pStyle w:val="parrafos"/>
        <w:rPr>
          <w:lang w:val="en-US"/>
        </w:rPr>
      </w:pPr>
      <w:r w:rsidRPr="00361CA7">
        <w:rPr>
          <w:lang w:val="en-US"/>
        </w:rPr>
        <w:t xml:space="preserve">The Inter-American Court has established that </w:t>
      </w:r>
      <w:r w:rsidR="000F76A6">
        <w:rPr>
          <w:lang w:val="en-US"/>
        </w:rPr>
        <w:t>under</w:t>
      </w:r>
      <w:r w:rsidRPr="00361CA7">
        <w:rPr>
          <w:lang w:val="en-US"/>
        </w:rPr>
        <w:t xml:space="preserve"> Article 8 of the Convention, the right to an adequate defense is a component o</w:t>
      </w:r>
      <w:r w:rsidR="0085532B">
        <w:rPr>
          <w:lang w:val="en-US"/>
        </w:rPr>
        <w:t>f</w:t>
      </w:r>
      <w:r w:rsidRPr="00361CA7">
        <w:rPr>
          <w:lang w:val="en-US"/>
        </w:rPr>
        <w:t xml:space="preserve"> due process, and for this </w:t>
      </w:r>
      <w:r w:rsidR="0085532B">
        <w:rPr>
          <w:lang w:val="en-US"/>
        </w:rPr>
        <w:t xml:space="preserve">right </w:t>
      </w:r>
      <w:r w:rsidRPr="00361CA7">
        <w:rPr>
          <w:lang w:val="en-US"/>
        </w:rPr>
        <w:t xml:space="preserve">to be observed, </w:t>
      </w:r>
      <w:r w:rsidR="00BD2EBF">
        <w:rPr>
          <w:lang w:val="en-US"/>
        </w:rPr>
        <w:t>a defendant</w:t>
      </w:r>
      <w:r w:rsidRPr="00361CA7">
        <w:rPr>
          <w:lang w:val="en-US"/>
        </w:rPr>
        <w:t xml:space="preserve"> must be able to defend </w:t>
      </w:r>
      <w:r w:rsidR="00BD2EBF">
        <w:rPr>
          <w:lang w:val="en-US"/>
        </w:rPr>
        <w:t>his</w:t>
      </w:r>
      <w:r w:rsidRPr="00361CA7">
        <w:rPr>
          <w:lang w:val="en-US"/>
        </w:rPr>
        <w:t xml:space="preserve"> interests or rights effectively and </w:t>
      </w:r>
      <w:r w:rsidR="00BD2EBF">
        <w:rPr>
          <w:lang w:val="en-US"/>
        </w:rPr>
        <w:t>in full</w:t>
      </w:r>
      <w:r w:rsidRPr="00361CA7">
        <w:rPr>
          <w:lang w:val="en-US"/>
        </w:rPr>
        <w:t xml:space="preserve"> procedural </w:t>
      </w:r>
      <w:r w:rsidR="00BD2EBF">
        <w:rPr>
          <w:lang w:val="en-US"/>
        </w:rPr>
        <w:t>equality with other defendants</w:t>
      </w:r>
      <w:r w:rsidR="007978DF" w:rsidRPr="00766381">
        <w:rPr>
          <w:rStyle w:val="FootnoteReference"/>
        </w:rPr>
        <w:footnoteReference w:id="47"/>
      </w:r>
      <w:r w:rsidR="007978DF" w:rsidRPr="00361CA7">
        <w:rPr>
          <w:lang w:val="en-US"/>
        </w:rPr>
        <w:t xml:space="preserve"> </w:t>
      </w:r>
      <w:r>
        <w:rPr>
          <w:lang w:val="en-US"/>
        </w:rPr>
        <w:t xml:space="preserve">and be fully informed of the charges against </w:t>
      </w:r>
      <w:r w:rsidR="00BD2EBF">
        <w:rPr>
          <w:lang w:val="en-US"/>
        </w:rPr>
        <w:t>him</w:t>
      </w:r>
      <w:r>
        <w:rPr>
          <w:lang w:val="en-US"/>
        </w:rPr>
        <w:t>.</w:t>
      </w:r>
      <w:r w:rsidR="007978DF" w:rsidRPr="00766381">
        <w:rPr>
          <w:rStyle w:val="FootnoteReference"/>
        </w:rPr>
        <w:footnoteReference w:id="48"/>
      </w:r>
    </w:p>
    <w:p w14:paraId="5BF6D4CF" w14:textId="77777777" w:rsidR="007978DF" w:rsidRPr="00361CA7" w:rsidRDefault="007978DF" w:rsidP="007978DF">
      <w:pPr>
        <w:pStyle w:val="parrafos"/>
        <w:numPr>
          <w:ilvl w:val="0"/>
          <w:numId w:val="0"/>
        </w:numPr>
        <w:rPr>
          <w:lang w:val="en-US"/>
        </w:rPr>
      </w:pPr>
    </w:p>
    <w:p w14:paraId="274EEECE" w14:textId="77777777" w:rsidR="007978DF" w:rsidRPr="0022662D" w:rsidRDefault="00E101B4" w:rsidP="00A51F01">
      <w:pPr>
        <w:pStyle w:val="parrafos"/>
        <w:rPr>
          <w:lang w:val="en-US"/>
        </w:rPr>
      </w:pPr>
      <w:r w:rsidRPr="00E101B4">
        <w:rPr>
          <w:lang w:val="en-US"/>
        </w:rPr>
        <w:t>When</w:t>
      </w:r>
      <w:r w:rsidR="00361CA7" w:rsidRPr="00E101B4">
        <w:rPr>
          <w:lang w:val="en-US"/>
        </w:rPr>
        <w:t xml:space="preserve"> determining the scope of the guarantees </w:t>
      </w:r>
      <w:r w:rsidR="008E7EA7">
        <w:rPr>
          <w:lang w:val="en-US"/>
        </w:rPr>
        <w:t>contained</w:t>
      </w:r>
      <w:r w:rsidR="00361CA7" w:rsidRPr="00E101B4">
        <w:rPr>
          <w:lang w:val="en-US"/>
        </w:rPr>
        <w:t xml:space="preserve"> in Article 8(2) of the Convention, the Court has indicated that the </w:t>
      </w:r>
      <w:r w:rsidRPr="00E101B4">
        <w:rPr>
          <w:lang w:val="en-US"/>
        </w:rPr>
        <w:t xml:space="preserve">role of the “indictment” must be considered </w:t>
      </w:r>
      <w:r>
        <w:rPr>
          <w:lang w:val="en-US"/>
        </w:rPr>
        <w:t xml:space="preserve">in criminal due process </w:t>
      </w:r>
      <w:r w:rsidR="00735D66" w:rsidRPr="00E101B4">
        <w:rPr>
          <w:lang w:val="en-US"/>
        </w:rPr>
        <w:t xml:space="preserve">vis-à-vis </w:t>
      </w:r>
      <w:r>
        <w:rPr>
          <w:lang w:val="en-US"/>
        </w:rPr>
        <w:t xml:space="preserve">the right to a defense. </w:t>
      </w:r>
      <w:r w:rsidRPr="00E85105">
        <w:rPr>
          <w:lang w:val="en-US"/>
        </w:rPr>
        <w:t xml:space="preserve">The material description of the </w:t>
      </w:r>
      <w:r w:rsidR="00E85105">
        <w:rPr>
          <w:lang w:val="en-US"/>
        </w:rPr>
        <w:t xml:space="preserve">attributed </w:t>
      </w:r>
      <w:r w:rsidRPr="00E85105">
        <w:rPr>
          <w:lang w:val="en-US"/>
        </w:rPr>
        <w:t xml:space="preserve">conduct contains </w:t>
      </w:r>
      <w:r w:rsidR="00E85105" w:rsidRPr="00E85105">
        <w:rPr>
          <w:lang w:val="en-US"/>
        </w:rPr>
        <w:t xml:space="preserve">the factual </w:t>
      </w:r>
      <w:r w:rsidR="00D4170A">
        <w:rPr>
          <w:lang w:val="en-US"/>
        </w:rPr>
        <w:t>information</w:t>
      </w:r>
      <w:r w:rsidR="00E85105" w:rsidRPr="00E85105">
        <w:rPr>
          <w:lang w:val="en-US"/>
        </w:rPr>
        <w:t xml:space="preserve"> included in the indictment, which is the indispensable reference for the exercise of the defense of</w:t>
      </w:r>
      <w:r w:rsidR="00E85105">
        <w:rPr>
          <w:lang w:val="en-US"/>
        </w:rPr>
        <w:t xml:space="preserve"> the accused and the consequent consideration of the judge in the verdict. </w:t>
      </w:r>
      <w:r w:rsidR="00E85105" w:rsidRPr="00E85105">
        <w:rPr>
          <w:lang w:val="en-US"/>
        </w:rPr>
        <w:t>Therefore, the defendant has the right to know, through a clear, detailed, and precise description, the facts he is being charged with</w:t>
      </w:r>
      <w:r w:rsidR="00E85105">
        <w:rPr>
          <w:lang w:val="en-US"/>
        </w:rPr>
        <w:t>.</w:t>
      </w:r>
      <w:r w:rsidR="00735D66" w:rsidRPr="00E85105">
        <w:rPr>
          <w:lang w:val="en-US"/>
        </w:rPr>
        <w:t xml:space="preserve"> </w:t>
      </w:r>
      <w:r w:rsidR="0022662D" w:rsidRPr="0022662D">
        <w:rPr>
          <w:lang w:val="en-US"/>
        </w:rPr>
        <w:t>Their legal classification may be modified during the process by the prosecutor or the judge, without this violating the right to a defense, when the facts themselves remain invariable and the procedural guarantees included in the law for the change to the new classification</w:t>
      </w:r>
      <w:r w:rsidR="00735D66" w:rsidRPr="0022662D">
        <w:rPr>
          <w:lang w:val="en-US"/>
        </w:rPr>
        <w:t xml:space="preserve"> </w:t>
      </w:r>
      <w:r w:rsidR="0022662D" w:rsidRPr="0022662D">
        <w:rPr>
          <w:lang w:val="en-US"/>
        </w:rPr>
        <w:t>are observed.</w:t>
      </w:r>
      <w:r w:rsidR="00735D66" w:rsidRPr="0022662D">
        <w:rPr>
          <w:lang w:val="en-US"/>
        </w:rPr>
        <w:t xml:space="preserve"> </w:t>
      </w:r>
      <w:r w:rsidR="0022662D" w:rsidRPr="0022662D">
        <w:rPr>
          <w:lang w:val="en-US"/>
        </w:rPr>
        <w:t>The so-called “principle of coherence or correlation between the indictment and the conviction” implies that the judgment may fall only upon the facts or circumstances inc</w:t>
      </w:r>
      <w:r w:rsidR="0022662D">
        <w:rPr>
          <w:lang w:val="en-US"/>
        </w:rPr>
        <w:t>luded in the indictment.</w:t>
      </w:r>
      <w:r w:rsidR="00735D66" w:rsidRPr="00766381">
        <w:rPr>
          <w:rStyle w:val="FootnoteReference"/>
        </w:rPr>
        <w:footnoteReference w:id="49"/>
      </w:r>
      <w:r w:rsidR="00735D66" w:rsidRPr="0022662D">
        <w:rPr>
          <w:lang w:val="en-US"/>
        </w:rPr>
        <w:t xml:space="preserve"> </w:t>
      </w:r>
    </w:p>
    <w:p w14:paraId="1A2C1401" w14:textId="77777777" w:rsidR="00735D66" w:rsidRPr="0022662D" w:rsidRDefault="00735D66" w:rsidP="00735D66">
      <w:pPr>
        <w:pStyle w:val="ListParagraph"/>
        <w:rPr>
          <w:lang w:val="en-US"/>
        </w:rPr>
      </w:pPr>
    </w:p>
    <w:p w14:paraId="28082290" w14:textId="77777777" w:rsidR="0030022F" w:rsidRPr="009D05EC" w:rsidRDefault="00E04850" w:rsidP="0030022F">
      <w:pPr>
        <w:pStyle w:val="parrafos"/>
        <w:rPr>
          <w:lang w:val="en-US"/>
        </w:rPr>
      </w:pPr>
      <w:r w:rsidRPr="009D05EC">
        <w:rPr>
          <w:lang w:val="en-US"/>
        </w:rPr>
        <w:t xml:space="preserve">In this regard, the Inter-American Court </w:t>
      </w:r>
      <w:r w:rsidR="000F76A6">
        <w:rPr>
          <w:lang w:val="en-US"/>
        </w:rPr>
        <w:t xml:space="preserve">has </w:t>
      </w:r>
      <w:r w:rsidR="002367D4">
        <w:rPr>
          <w:lang w:val="en-US"/>
        </w:rPr>
        <w:t>held</w:t>
      </w:r>
      <w:r w:rsidRPr="009D05EC">
        <w:rPr>
          <w:lang w:val="en-US"/>
        </w:rPr>
        <w:t xml:space="preserve"> that because the principle of coherence or correlation is an indispensable corollary of the right to a defense, it constitutes a fundamental guarantee of due process</w:t>
      </w:r>
      <w:r w:rsidR="009D05EC" w:rsidRPr="009D05EC">
        <w:rPr>
          <w:lang w:val="en-US"/>
        </w:rPr>
        <w:t xml:space="preserve">, under the obligations laid out in subparagraphs </w:t>
      </w:r>
      <w:r w:rsidR="008C679C">
        <w:rPr>
          <w:lang w:val="en-US"/>
        </w:rPr>
        <w:t>(</w:t>
      </w:r>
      <w:r w:rsidR="009D05EC" w:rsidRPr="009D05EC">
        <w:rPr>
          <w:lang w:val="en-US"/>
        </w:rPr>
        <w:t>b</w:t>
      </w:r>
      <w:r w:rsidR="008C679C">
        <w:rPr>
          <w:lang w:val="en-US"/>
        </w:rPr>
        <w:t>)</w:t>
      </w:r>
      <w:r w:rsidR="009D05EC" w:rsidRPr="009D05EC">
        <w:rPr>
          <w:lang w:val="en-US"/>
        </w:rPr>
        <w:t xml:space="preserve"> and </w:t>
      </w:r>
      <w:r w:rsidR="008C679C">
        <w:rPr>
          <w:lang w:val="en-US"/>
        </w:rPr>
        <w:t>(</w:t>
      </w:r>
      <w:r w:rsidR="009D05EC" w:rsidRPr="009D05EC">
        <w:rPr>
          <w:lang w:val="en-US"/>
        </w:rPr>
        <w:t>c</w:t>
      </w:r>
      <w:r w:rsidR="008C679C">
        <w:rPr>
          <w:lang w:val="en-US"/>
        </w:rPr>
        <w:t>)</w:t>
      </w:r>
      <w:r w:rsidR="009D05EC" w:rsidRPr="009D05EC">
        <w:rPr>
          <w:lang w:val="en-US"/>
        </w:rPr>
        <w:t xml:space="preserve"> of Article 8(2) of the Convent</w:t>
      </w:r>
      <w:r w:rsidR="009D05EC">
        <w:rPr>
          <w:lang w:val="en-US"/>
        </w:rPr>
        <w:t>ion</w:t>
      </w:r>
      <w:r w:rsidR="00735D66" w:rsidRPr="009D05EC">
        <w:rPr>
          <w:lang w:val="en-US"/>
        </w:rPr>
        <w:t>.</w:t>
      </w:r>
    </w:p>
    <w:p w14:paraId="5B22AAA1" w14:textId="77777777" w:rsidR="0030022F" w:rsidRPr="009D05EC" w:rsidRDefault="0030022F" w:rsidP="0030022F">
      <w:pPr>
        <w:pStyle w:val="ListParagraph"/>
        <w:rPr>
          <w:lang w:val="en-US"/>
        </w:rPr>
      </w:pPr>
    </w:p>
    <w:p w14:paraId="5BF8C4CB" w14:textId="77777777" w:rsidR="00801FCB" w:rsidRPr="00EB162A" w:rsidRDefault="00AE4BF3" w:rsidP="0030022F">
      <w:pPr>
        <w:pStyle w:val="parrafos"/>
        <w:rPr>
          <w:lang w:val="en-US"/>
        </w:rPr>
      </w:pPr>
      <w:r>
        <w:rPr>
          <w:lang w:val="en-US"/>
        </w:rPr>
        <w:t>In terms of</w:t>
      </w:r>
      <w:r w:rsidR="002367D4" w:rsidRPr="002367D4">
        <w:rPr>
          <w:lang w:val="en-US"/>
        </w:rPr>
        <w:t xml:space="preserve"> reasonable time, the Inter-American Court has indicated that the right of access to justice implies that the settlement of the dispute should be produced within a reasonable time, because a prolonged delay can constitute, in itself, a violation of</w:t>
      </w:r>
      <w:r w:rsidR="002367D4">
        <w:rPr>
          <w:lang w:val="en-US"/>
        </w:rPr>
        <w:t xml:space="preserve"> the right to a fair trial.</w:t>
      </w:r>
      <w:r w:rsidR="0030022F" w:rsidRPr="00766381">
        <w:rPr>
          <w:rStyle w:val="FootnoteReference"/>
          <w:lang w:val="es-ES"/>
        </w:rPr>
        <w:footnoteReference w:id="50"/>
      </w:r>
      <w:r w:rsidR="0030022F" w:rsidRPr="002367D4">
        <w:rPr>
          <w:lang w:val="en-US"/>
        </w:rPr>
        <w:t xml:space="preserve"> </w:t>
      </w:r>
      <w:r w:rsidR="00EB162A" w:rsidRPr="00EB162A">
        <w:rPr>
          <w:lang w:val="en-US"/>
        </w:rPr>
        <w:t xml:space="preserve">The Court has established that </w:t>
      </w:r>
      <w:r>
        <w:rPr>
          <w:lang w:val="en-US"/>
        </w:rPr>
        <w:t xml:space="preserve"> </w:t>
      </w:r>
      <w:r w:rsidR="00EB162A" w:rsidRPr="00EB162A">
        <w:rPr>
          <w:lang w:val="en-US"/>
        </w:rPr>
        <w:t xml:space="preserve">four elements </w:t>
      </w:r>
      <w:r>
        <w:rPr>
          <w:lang w:val="en-US"/>
        </w:rPr>
        <w:t xml:space="preserve">must be considered </w:t>
      </w:r>
      <w:r w:rsidR="00EB162A" w:rsidRPr="00EB162A">
        <w:rPr>
          <w:lang w:val="en-US"/>
        </w:rPr>
        <w:t xml:space="preserve">to determine whether a </w:t>
      </w:r>
      <w:r w:rsidR="008C1D18">
        <w:rPr>
          <w:lang w:val="en-US"/>
        </w:rPr>
        <w:t>time period</w:t>
      </w:r>
      <w:r w:rsidR="00EB162A" w:rsidRPr="00EB162A">
        <w:rPr>
          <w:lang w:val="en-US"/>
        </w:rPr>
        <w:t xml:space="preserve"> is reasonable:</w:t>
      </w:r>
      <w:r w:rsidR="0030022F" w:rsidRPr="00EB162A">
        <w:rPr>
          <w:lang w:val="en-US"/>
        </w:rPr>
        <w:t xml:space="preserve"> a) </w:t>
      </w:r>
      <w:r w:rsidR="00EB162A" w:rsidRPr="00EB162A">
        <w:rPr>
          <w:lang w:val="en-US"/>
        </w:rPr>
        <w:t>the complexity of the matter,</w:t>
      </w:r>
      <w:r w:rsidR="0030022F" w:rsidRPr="00EB162A">
        <w:rPr>
          <w:lang w:val="en-US"/>
        </w:rPr>
        <w:t xml:space="preserve"> </w:t>
      </w:r>
      <w:r w:rsidR="0030022F" w:rsidRPr="00EB162A">
        <w:rPr>
          <w:lang w:val="en-US"/>
        </w:rPr>
        <w:lastRenderedPageBreak/>
        <w:t xml:space="preserve">b) </w:t>
      </w:r>
      <w:r w:rsidR="00EB162A" w:rsidRPr="00EB162A">
        <w:rPr>
          <w:lang w:val="en-US"/>
        </w:rPr>
        <w:t>the procedural activity of the interested part</w:t>
      </w:r>
      <w:r w:rsidR="00EB162A">
        <w:rPr>
          <w:lang w:val="en-US"/>
        </w:rPr>
        <w:t xml:space="preserve">y, </w:t>
      </w:r>
      <w:r w:rsidR="0030022F" w:rsidRPr="00EB162A">
        <w:rPr>
          <w:lang w:val="en-US"/>
        </w:rPr>
        <w:t xml:space="preserve">c) </w:t>
      </w:r>
      <w:r w:rsidR="00EB162A">
        <w:rPr>
          <w:lang w:val="en-US"/>
        </w:rPr>
        <w:t xml:space="preserve">the conduct of </w:t>
      </w:r>
      <w:r w:rsidR="006F44E8">
        <w:rPr>
          <w:lang w:val="en-US"/>
        </w:rPr>
        <w:t xml:space="preserve">the </w:t>
      </w:r>
      <w:r w:rsidR="00EB162A">
        <w:rPr>
          <w:lang w:val="en-US"/>
        </w:rPr>
        <w:t xml:space="preserve">judicial authorities, and </w:t>
      </w:r>
      <w:r w:rsidR="0030022F" w:rsidRPr="00EB162A">
        <w:rPr>
          <w:lang w:val="en-US"/>
        </w:rPr>
        <w:t xml:space="preserve">d) </w:t>
      </w:r>
      <w:r w:rsidR="00EB162A">
        <w:rPr>
          <w:lang w:val="en-US"/>
        </w:rPr>
        <w:t>the impairment to the legal situation of the person involved in the proceedings.</w:t>
      </w:r>
      <w:r w:rsidR="0030022F" w:rsidRPr="00766381">
        <w:rPr>
          <w:rStyle w:val="FootnoteReference"/>
          <w:lang w:val="es-ES"/>
        </w:rPr>
        <w:footnoteReference w:id="51"/>
      </w:r>
    </w:p>
    <w:p w14:paraId="71A28592" w14:textId="77777777" w:rsidR="0081712A" w:rsidRPr="00EB162A" w:rsidRDefault="0081712A" w:rsidP="0081712A">
      <w:pPr>
        <w:pStyle w:val="ListParagraph"/>
        <w:rPr>
          <w:lang w:val="en-US"/>
        </w:rPr>
      </w:pPr>
    </w:p>
    <w:p w14:paraId="02EB2C7A" w14:textId="77777777" w:rsidR="00EF1FFB" w:rsidRPr="004F5618" w:rsidRDefault="009852E9" w:rsidP="00EF1FFB">
      <w:pPr>
        <w:pStyle w:val="parrafos"/>
        <w:rPr>
          <w:lang w:val="en-US"/>
        </w:rPr>
      </w:pPr>
      <w:r w:rsidRPr="009852E9">
        <w:rPr>
          <w:lang w:val="en-US"/>
        </w:rPr>
        <w:t xml:space="preserve">With regard to the right to a defense and the principle of </w:t>
      </w:r>
      <w:r w:rsidR="00E16C3F">
        <w:rPr>
          <w:lang w:val="en-US"/>
        </w:rPr>
        <w:t>consistency</w:t>
      </w:r>
      <w:r w:rsidRPr="009852E9">
        <w:rPr>
          <w:lang w:val="en-US"/>
        </w:rPr>
        <w:t xml:space="preserve">, the Commission </w:t>
      </w:r>
      <w:r>
        <w:rPr>
          <w:lang w:val="en-US"/>
        </w:rPr>
        <w:t>notes</w:t>
      </w:r>
      <w:r w:rsidRPr="009852E9">
        <w:rPr>
          <w:lang w:val="en-US"/>
        </w:rPr>
        <w:t xml:space="preserve"> that the charge brought against the alleged victim on March 12, 2002, for poor performance of duties </w:t>
      </w:r>
      <w:r>
        <w:rPr>
          <w:lang w:val="en-US"/>
        </w:rPr>
        <w:t>stated</w:t>
      </w:r>
      <w:r w:rsidRPr="009852E9">
        <w:rPr>
          <w:lang w:val="en-US"/>
        </w:rPr>
        <w:t xml:space="preserve"> that in the context of Case No. 9936, </w:t>
      </w:r>
      <w:r w:rsidR="00A126A0">
        <w:rPr>
          <w:lang w:val="en-US"/>
        </w:rPr>
        <w:t xml:space="preserve">he met </w:t>
      </w:r>
      <w:r w:rsidRPr="000F76A6">
        <w:rPr>
          <w:lang w:val="en-US"/>
        </w:rPr>
        <w:t>the grounds established</w:t>
      </w:r>
      <w:r w:rsidRPr="009852E9">
        <w:rPr>
          <w:lang w:val="en-US"/>
        </w:rPr>
        <w:t xml:space="preserve"> in Article 14, subparagraphs </w:t>
      </w:r>
      <w:r w:rsidR="008C679C">
        <w:rPr>
          <w:lang w:val="en-US"/>
        </w:rPr>
        <w:t>(</w:t>
      </w:r>
      <w:r w:rsidRPr="009852E9">
        <w:rPr>
          <w:lang w:val="en-US"/>
        </w:rPr>
        <w:t>b</w:t>
      </w:r>
      <w:r w:rsidR="008C679C">
        <w:rPr>
          <w:lang w:val="en-US"/>
        </w:rPr>
        <w:t>)</w:t>
      </w:r>
      <w:r w:rsidRPr="009852E9">
        <w:rPr>
          <w:lang w:val="en-US"/>
        </w:rPr>
        <w:t xml:space="preserve">, </w:t>
      </w:r>
      <w:r w:rsidR="008C679C">
        <w:rPr>
          <w:lang w:val="en-US"/>
        </w:rPr>
        <w:t>(</w:t>
      </w:r>
      <w:r w:rsidRPr="009852E9">
        <w:rPr>
          <w:lang w:val="en-US"/>
        </w:rPr>
        <w:t>g</w:t>
      </w:r>
      <w:r w:rsidR="008C679C">
        <w:rPr>
          <w:lang w:val="en-US"/>
        </w:rPr>
        <w:t>)</w:t>
      </w:r>
      <w:r w:rsidRPr="009852E9">
        <w:rPr>
          <w:lang w:val="en-US"/>
        </w:rPr>
        <w:t xml:space="preserve">, </w:t>
      </w:r>
      <w:r w:rsidR="008C679C">
        <w:rPr>
          <w:lang w:val="en-US"/>
        </w:rPr>
        <w:t>(</w:t>
      </w:r>
      <w:r w:rsidRPr="009852E9">
        <w:rPr>
          <w:lang w:val="en-US"/>
        </w:rPr>
        <w:t>n</w:t>
      </w:r>
      <w:r w:rsidR="008C679C">
        <w:rPr>
          <w:lang w:val="en-US"/>
        </w:rPr>
        <w:t>)</w:t>
      </w:r>
      <w:r w:rsidRPr="009852E9">
        <w:rPr>
          <w:lang w:val="en-US"/>
        </w:rPr>
        <w:t>, an</w:t>
      </w:r>
      <w:r>
        <w:rPr>
          <w:lang w:val="en-US"/>
        </w:rPr>
        <w:t xml:space="preserve">d </w:t>
      </w:r>
      <w:r w:rsidR="008C679C">
        <w:rPr>
          <w:lang w:val="en-US"/>
        </w:rPr>
        <w:t>(</w:t>
      </w:r>
      <w:r>
        <w:rPr>
          <w:lang w:val="en-US"/>
        </w:rPr>
        <w:t>p</w:t>
      </w:r>
      <w:r w:rsidR="008C679C">
        <w:rPr>
          <w:lang w:val="en-US"/>
        </w:rPr>
        <w:t>)</w:t>
      </w:r>
      <w:r>
        <w:rPr>
          <w:lang w:val="en-US"/>
        </w:rPr>
        <w:t xml:space="preserve"> of Law No.</w:t>
      </w:r>
      <w:r w:rsidR="0081712A" w:rsidRPr="009852E9">
        <w:rPr>
          <w:lang w:val="en-US"/>
        </w:rPr>
        <w:t xml:space="preserve"> </w:t>
      </w:r>
      <w:r w:rsidR="0081712A" w:rsidRPr="00981CAB">
        <w:rPr>
          <w:color w:val="auto"/>
          <w:bdr w:val="none" w:sz="0" w:space="0" w:color="auto"/>
          <w:lang w:val="en-US"/>
        </w:rPr>
        <w:t xml:space="preserve">1084. </w:t>
      </w:r>
      <w:r w:rsidRPr="009852E9">
        <w:rPr>
          <w:color w:val="auto"/>
          <w:bdr w:val="none" w:sz="0" w:space="0" w:color="auto"/>
          <w:lang w:val="en-US"/>
        </w:rPr>
        <w:t xml:space="preserve">The charge indicated, with respect to subparagraph </w:t>
      </w:r>
      <w:r w:rsidR="008C679C">
        <w:rPr>
          <w:color w:val="auto"/>
          <w:bdr w:val="none" w:sz="0" w:space="0" w:color="auto"/>
          <w:lang w:val="en-US"/>
        </w:rPr>
        <w:t>(</w:t>
      </w:r>
      <w:r w:rsidRPr="009852E9">
        <w:rPr>
          <w:color w:val="auto"/>
          <w:bdr w:val="none" w:sz="0" w:space="0" w:color="auto"/>
          <w:lang w:val="en-US"/>
        </w:rPr>
        <w:t>b</w:t>
      </w:r>
      <w:r w:rsidR="008C679C">
        <w:rPr>
          <w:color w:val="auto"/>
          <w:bdr w:val="none" w:sz="0" w:space="0" w:color="auto"/>
          <w:lang w:val="en-US"/>
        </w:rPr>
        <w:t>)</w:t>
      </w:r>
      <w:r w:rsidRPr="009852E9">
        <w:rPr>
          <w:color w:val="auto"/>
          <w:bdr w:val="none" w:sz="0" w:space="0" w:color="auto"/>
          <w:lang w:val="en-US"/>
        </w:rPr>
        <w:t xml:space="preserve">, that Mr. </w:t>
      </w:r>
      <w:r w:rsidR="00F21E4F" w:rsidRPr="009852E9">
        <w:rPr>
          <w:color w:val="auto"/>
          <w:bdr w:val="none" w:sz="0" w:space="0" w:color="auto"/>
          <w:lang w:val="en-US"/>
        </w:rPr>
        <w:t xml:space="preserve">Nissen Pessolani </w:t>
      </w:r>
      <w:r w:rsidR="00E0064B">
        <w:rPr>
          <w:color w:val="auto"/>
          <w:bdr w:val="none" w:sz="0" w:space="0" w:color="auto"/>
          <w:lang w:val="en-US"/>
        </w:rPr>
        <w:t>broke</w:t>
      </w:r>
      <w:r w:rsidRPr="009852E9">
        <w:rPr>
          <w:color w:val="auto"/>
          <w:bdr w:val="none" w:sz="0" w:space="0" w:color="auto"/>
          <w:lang w:val="en-US"/>
        </w:rPr>
        <w:t xml:space="preserve"> procedural rules to take a statement, </w:t>
      </w:r>
      <w:r w:rsidR="00E0064B">
        <w:rPr>
          <w:color w:val="auto"/>
          <w:bdr w:val="none" w:sz="0" w:space="0" w:color="auto"/>
          <w:lang w:val="en-US"/>
        </w:rPr>
        <w:t>failed to</w:t>
      </w:r>
      <w:r w:rsidRPr="009852E9">
        <w:rPr>
          <w:color w:val="auto"/>
          <w:bdr w:val="none" w:sz="0" w:space="0" w:color="auto"/>
          <w:lang w:val="en-US"/>
        </w:rPr>
        <w:t xml:space="preserve"> investigate exculpatory facts, and</w:t>
      </w:r>
      <w:r w:rsidR="00E0064B">
        <w:rPr>
          <w:color w:val="auto"/>
          <w:bdr w:val="none" w:sz="0" w:space="0" w:color="auto"/>
          <w:lang w:val="en-US"/>
        </w:rPr>
        <w:t xml:space="preserve"> </w:t>
      </w:r>
      <w:r w:rsidRPr="009852E9">
        <w:rPr>
          <w:color w:val="auto"/>
          <w:bdr w:val="none" w:sz="0" w:space="0" w:color="auto"/>
          <w:lang w:val="en-US"/>
        </w:rPr>
        <w:t>engaged in acts</w:t>
      </w:r>
      <w:r>
        <w:rPr>
          <w:color w:val="auto"/>
          <w:bdr w:val="none" w:sz="0" w:space="0" w:color="auto"/>
          <w:lang w:val="en-US"/>
        </w:rPr>
        <w:t xml:space="preserve"> of intimidation by threatening higher penalties. </w:t>
      </w:r>
      <w:r w:rsidRPr="004F5618">
        <w:rPr>
          <w:color w:val="auto"/>
          <w:bdr w:val="none" w:sz="0" w:space="0" w:color="auto"/>
          <w:lang w:val="en-US"/>
        </w:rPr>
        <w:t>With regard to subparagraph</w:t>
      </w:r>
      <w:r w:rsidRPr="004F5618">
        <w:rPr>
          <w:color w:val="auto"/>
          <w:lang w:val="en-US"/>
        </w:rPr>
        <w:t xml:space="preserve"> </w:t>
      </w:r>
      <w:r w:rsidR="008C679C">
        <w:rPr>
          <w:color w:val="auto"/>
          <w:lang w:val="en-US"/>
        </w:rPr>
        <w:t>(</w:t>
      </w:r>
      <w:r w:rsidR="00EF1FFB" w:rsidRPr="004F5618">
        <w:rPr>
          <w:color w:val="auto"/>
          <w:lang w:val="en-US"/>
        </w:rPr>
        <w:t>g</w:t>
      </w:r>
      <w:r w:rsidR="008C679C">
        <w:rPr>
          <w:color w:val="auto"/>
          <w:lang w:val="en-US"/>
        </w:rPr>
        <w:t>)</w:t>
      </w:r>
      <w:r w:rsidR="00660C6E" w:rsidRPr="004F5618">
        <w:rPr>
          <w:color w:val="auto"/>
          <w:lang w:val="en-US"/>
        </w:rPr>
        <w:t xml:space="preserve">, </w:t>
      </w:r>
      <w:r w:rsidR="004F5618" w:rsidRPr="004F5618">
        <w:rPr>
          <w:color w:val="auto"/>
          <w:lang w:val="en-US"/>
        </w:rPr>
        <w:t>the accuser stated that the alleged victim applied the mo</w:t>
      </w:r>
      <w:r w:rsidR="004F5618">
        <w:rPr>
          <w:color w:val="auto"/>
          <w:lang w:val="en-US"/>
        </w:rPr>
        <w:t xml:space="preserve">ney laundering law when that was not appropriate. </w:t>
      </w:r>
      <w:r w:rsidR="004F5618" w:rsidRPr="004F5618">
        <w:rPr>
          <w:color w:val="auto"/>
          <w:lang w:val="en-US"/>
        </w:rPr>
        <w:t xml:space="preserve">Regarding subparagraph </w:t>
      </w:r>
      <w:r w:rsidR="008C679C">
        <w:rPr>
          <w:color w:val="auto"/>
          <w:lang w:val="en-US"/>
        </w:rPr>
        <w:t>(</w:t>
      </w:r>
      <w:r w:rsidR="004F5618" w:rsidRPr="004F5618">
        <w:rPr>
          <w:color w:val="auto"/>
          <w:lang w:val="en-US"/>
        </w:rPr>
        <w:t>n</w:t>
      </w:r>
      <w:r w:rsidR="008C679C">
        <w:rPr>
          <w:color w:val="auto"/>
          <w:lang w:val="en-US"/>
        </w:rPr>
        <w:t>)</w:t>
      </w:r>
      <w:r w:rsidR="004F5618" w:rsidRPr="004F5618">
        <w:rPr>
          <w:color w:val="auto"/>
          <w:lang w:val="en-US"/>
        </w:rPr>
        <w:t xml:space="preserve">, the accuser maintained that the information and statements made by Mr. </w:t>
      </w:r>
      <w:r w:rsidR="00EF1FFB" w:rsidRPr="004F5618">
        <w:rPr>
          <w:color w:val="auto"/>
          <w:lang w:val="en-US"/>
        </w:rPr>
        <w:t xml:space="preserve">Nissen </w:t>
      </w:r>
      <w:r w:rsidR="004F5618" w:rsidRPr="004F5618">
        <w:rPr>
          <w:color w:val="auto"/>
          <w:lang w:val="en-US"/>
        </w:rPr>
        <w:t xml:space="preserve">were innumerable and </w:t>
      </w:r>
      <w:r w:rsidR="004F5618">
        <w:rPr>
          <w:color w:val="auto"/>
          <w:lang w:val="en-US"/>
        </w:rPr>
        <w:t xml:space="preserve">that </w:t>
      </w:r>
      <w:r w:rsidR="000F76A6">
        <w:rPr>
          <w:color w:val="auto"/>
          <w:lang w:val="en-US"/>
        </w:rPr>
        <w:t xml:space="preserve">this could be corroborated simply by requesting </w:t>
      </w:r>
      <w:r w:rsidR="004F5618">
        <w:rPr>
          <w:color w:val="auto"/>
          <w:lang w:val="en-US"/>
        </w:rPr>
        <w:t xml:space="preserve">newspaper editions and tapes from television stations. Finally, in terms of subparagraph </w:t>
      </w:r>
      <w:r w:rsidR="008C679C">
        <w:rPr>
          <w:color w:val="auto"/>
          <w:lang w:val="en-US"/>
        </w:rPr>
        <w:t>(</w:t>
      </w:r>
      <w:r w:rsidR="004F5618">
        <w:rPr>
          <w:color w:val="auto"/>
          <w:lang w:val="en-US"/>
        </w:rPr>
        <w:t>p</w:t>
      </w:r>
      <w:r w:rsidR="008C679C">
        <w:rPr>
          <w:color w:val="auto"/>
          <w:lang w:val="en-US"/>
        </w:rPr>
        <w:t>)</w:t>
      </w:r>
      <w:r w:rsidR="004F5618">
        <w:rPr>
          <w:color w:val="auto"/>
          <w:lang w:val="en-US"/>
        </w:rPr>
        <w:t xml:space="preserve">, the accuser specified that the then-prosecutor offered procedural benefits </w:t>
      </w:r>
      <w:r w:rsidR="000F76A6">
        <w:rPr>
          <w:color w:val="auto"/>
          <w:lang w:val="en-US"/>
        </w:rPr>
        <w:t>i</w:t>
      </w:r>
      <w:r w:rsidR="004F5618">
        <w:rPr>
          <w:color w:val="auto"/>
          <w:lang w:val="en-US"/>
        </w:rPr>
        <w:t>n exchange for statements</w:t>
      </w:r>
      <w:r w:rsidR="00EF1FFB" w:rsidRPr="004F5618">
        <w:rPr>
          <w:color w:val="auto"/>
          <w:lang w:val="en-US"/>
        </w:rPr>
        <w:t xml:space="preserve">. </w:t>
      </w:r>
      <w:r w:rsidR="004F5618" w:rsidRPr="004F5618">
        <w:rPr>
          <w:color w:val="auto"/>
          <w:lang w:val="en-US"/>
        </w:rPr>
        <w:t xml:space="preserve">As can be seen in the </w:t>
      </w:r>
      <w:r w:rsidR="000F76A6" w:rsidRPr="004F5618">
        <w:rPr>
          <w:color w:val="auto"/>
          <w:lang w:val="en-US"/>
        </w:rPr>
        <w:t xml:space="preserve">JEM </w:t>
      </w:r>
      <w:r w:rsidR="000F76A6">
        <w:rPr>
          <w:color w:val="auto"/>
          <w:lang w:val="en-US"/>
        </w:rPr>
        <w:t>ruling</w:t>
      </w:r>
      <w:r w:rsidR="004F5618" w:rsidRPr="004F5618">
        <w:rPr>
          <w:color w:val="auto"/>
          <w:lang w:val="en-US"/>
        </w:rPr>
        <w:t xml:space="preserve"> of April 7, 2003, the </w:t>
      </w:r>
      <w:r w:rsidR="004F5618">
        <w:rPr>
          <w:color w:val="auto"/>
          <w:lang w:val="en-US"/>
        </w:rPr>
        <w:t xml:space="preserve">alleged victim </w:t>
      </w:r>
      <w:r w:rsidR="004F5618" w:rsidRPr="008A7DF8">
        <w:rPr>
          <w:color w:val="auto"/>
          <w:lang w:val="en-US"/>
        </w:rPr>
        <w:t xml:space="preserve">answered the </w:t>
      </w:r>
      <w:r w:rsidR="00933683">
        <w:rPr>
          <w:color w:val="auto"/>
          <w:lang w:val="en-US"/>
        </w:rPr>
        <w:t xml:space="preserve">formal charge on April 16, </w:t>
      </w:r>
      <w:r w:rsidR="00933683" w:rsidRPr="004F5618">
        <w:rPr>
          <w:lang w:val="en-US"/>
        </w:rPr>
        <w:t>2002</w:t>
      </w:r>
      <w:r w:rsidR="004F5618">
        <w:rPr>
          <w:color w:val="auto"/>
          <w:lang w:val="en-US"/>
        </w:rPr>
        <w:t xml:space="preserve">, denying each of the </w:t>
      </w:r>
      <w:r w:rsidR="00933683">
        <w:rPr>
          <w:color w:val="auto"/>
          <w:lang w:val="en-US"/>
        </w:rPr>
        <w:t>counts</w:t>
      </w:r>
      <w:r w:rsidR="004F5618">
        <w:rPr>
          <w:color w:val="auto"/>
          <w:lang w:val="en-US"/>
        </w:rPr>
        <w:t xml:space="preserve"> attributed to him</w:t>
      </w:r>
      <w:r w:rsidR="00EF1FFB" w:rsidRPr="004F5618">
        <w:rPr>
          <w:lang w:val="en-US"/>
        </w:rPr>
        <w:t xml:space="preserve">. </w:t>
      </w:r>
      <w:r w:rsidR="004F5618" w:rsidRPr="004F5618">
        <w:rPr>
          <w:lang w:val="en-US"/>
        </w:rPr>
        <w:t xml:space="preserve">The ruling in question determined that the alleged victim </w:t>
      </w:r>
      <w:r w:rsidR="004F5618" w:rsidRPr="00A126A0">
        <w:rPr>
          <w:lang w:val="en-US"/>
        </w:rPr>
        <w:t>met the grounds e</w:t>
      </w:r>
      <w:r w:rsidR="004F5618" w:rsidRPr="004F5618">
        <w:rPr>
          <w:lang w:val="en-US"/>
        </w:rPr>
        <w:t xml:space="preserve">stablished in subparagraphs </w:t>
      </w:r>
      <w:r w:rsidR="008C679C">
        <w:rPr>
          <w:lang w:val="en-US"/>
        </w:rPr>
        <w:t>(</w:t>
      </w:r>
      <w:r w:rsidR="004E2E9C" w:rsidRPr="004F5618">
        <w:rPr>
          <w:color w:val="auto"/>
          <w:bdr w:val="none" w:sz="0" w:space="0" w:color="auto"/>
          <w:lang w:val="en-US"/>
        </w:rPr>
        <w:t>b</w:t>
      </w:r>
      <w:r w:rsidR="008C679C">
        <w:rPr>
          <w:color w:val="auto"/>
          <w:bdr w:val="none" w:sz="0" w:space="0" w:color="auto"/>
          <w:lang w:val="en-US"/>
        </w:rPr>
        <w:t>)</w:t>
      </w:r>
      <w:r w:rsidR="004E2E9C" w:rsidRPr="004F5618">
        <w:rPr>
          <w:color w:val="auto"/>
          <w:bdr w:val="none" w:sz="0" w:space="0" w:color="auto"/>
          <w:lang w:val="en-US"/>
        </w:rPr>
        <w:t xml:space="preserve">, </w:t>
      </w:r>
      <w:r w:rsidR="008C679C">
        <w:rPr>
          <w:color w:val="auto"/>
          <w:bdr w:val="none" w:sz="0" w:space="0" w:color="auto"/>
          <w:lang w:val="en-US"/>
        </w:rPr>
        <w:t>(</w:t>
      </w:r>
      <w:r w:rsidR="004E2E9C" w:rsidRPr="004F5618">
        <w:rPr>
          <w:color w:val="auto"/>
          <w:bdr w:val="none" w:sz="0" w:space="0" w:color="auto"/>
          <w:lang w:val="en-US"/>
        </w:rPr>
        <w:t>g</w:t>
      </w:r>
      <w:r w:rsidR="008C679C">
        <w:rPr>
          <w:color w:val="auto"/>
          <w:bdr w:val="none" w:sz="0" w:space="0" w:color="auto"/>
          <w:lang w:val="en-US"/>
        </w:rPr>
        <w:t>)</w:t>
      </w:r>
      <w:r w:rsidR="004F5618">
        <w:rPr>
          <w:color w:val="auto"/>
          <w:bdr w:val="none" w:sz="0" w:space="0" w:color="auto"/>
          <w:lang w:val="en-US"/>
        </w:rPr>
        <w:t xml:space="preserve">, and </w:t>
      </w:r>
      <w:r w:rsidR="008C679C">
        <w:rPr>
          <w:color w:val="auto"/>
          <w:bdr w:val="none" w:sz="0" w:space="0" w:color="auto"/>
          <w:lang w:val="en-US"/>
        </w:rPr>
        <w:t>(</w:t>
      </w:r>
      <w:r w:rsidR="004E2E9C" w:rsidRPr="004F5618">
        <w:rPr>
          <w:color w:val="auto"/>
          <w:bdr w:val="none" w:sz="0" w:space="0" w:color="auto"/>
          <w:lang w:val="en-US"/>
        </w:rPr>
        <w:t>n</w:t>
      </w:r>
      <w:r w:rsidR="008C679C">
        <w:rPr>
          <w:color w:val="auto"/>
          <w:bdr w:val="none" w:sz="0" w:space="0" w:color="auto"/>
          <w:lang w:val="en-US"/>
        </w:rPr>
        <w:t>)</w:t>
      </w:r>
      <w:r w:rsidR="004E2E9C" w:rsidRPr="004F5618">
        <w:rPr>
          <w:color w:val="auto"/>
          <w:bdr w:val="none" w:sz="0" w:space="0" w:color="auto"/>
          <w:lang w:val="en-US"/>
        </w:rPr>
        <w:t xml:space="preserve"> </w:t>
      </w:r>
      <w:r w:rsidR="004F5618">
        <w:rPr>
          <w:color w:val="auto"/>
          <w:bdr w:val="none" w:sz="0" w:space="0" w:color="auto"/>
          <w:lang w:val="en-US"/>
        </w:rPr>
        <w:t xml:space="preserve">of Article </w:t>
      </w:r>
      <w:r w:rsidR="004E2E9C" w:rsidRPr="004F5618">
        <w:rPr>
          <w:color w:val="auto"/>
          <w:bdr w:val="none" w:sz="0" w:space="0" w:color="auto"/>
          <w:lang w:val="en-US"/>
        </w:rPr>
        <w:t xml:space="preserve">14 </w:t>
      </w:r>
      <w:r w:rsidR="004F5618">
        <w:rPr>
          <w:color w:val="auto"/>
          <w:bdr w:val="none" w:sz="0" w:space="0" w:color="auto"/>
          <w:lang w:val="en-US"/>
        </w:rPr>
        <w:t xml:space="preserve">of Law No. </w:t>
      </w:r>
      <w:r w:rsidR="004E2E9C" w:rsidRPr="004F5618">
        <w:rPr>
          <w:color w:val="auto"/>
          <w:bdr w:val="none" w:sz="0" w:space="0" w:color="auto"/>
          <w:lang w:val="en-US"/>
        </w:rPr>
        <w:t>1084.</w:t>
      </w:r>
    </w:p>
    <w:p w14:paraId="1315F04E" w14:textId="77777777" w:rsidR="00EF1FFB" w:rsidRPr="004F5618" w:rsidRDefault="00EF1FFB" w:rsidP="00EF1FFB">
      <w:pPr>
        <w:pStyle w:val="parrafos"/>
        <w:numPr>
          <w:ilvl w:val="0"/>
          <w:numId w:val="0"/>
        </w:numPr>
        <w:rPr>
          <w:lang w:val="en-US"/>
        </w:rPr>
      </w:pPr>
    </w:p>
    <w:p w14:paraId="4BB0ABB7" w14:textId="77777777" w:rsidR="000C4872" w:rsidRPr="00B76502" w:rsidRDefault="0078222D" w:rsidP="004E2E9C">
      <w:pPr>
        <w:pStyle w:val="parrafos"/>
        <w:rPr>
          <w:lang w:val="en-US"/>
        </w:rPr>
      </w:pPr>
      <w:r w:rsidRPr="0078222D">
        <w:rPr>
          <w:lang w:val="en-US"/>
        </w:rPr>
        <w:t xml:space="preserve">The Commission observes that in its judgment of April 7, </w:t>
      </w:r>
      <w:r w:rsidR="005D492B" w:rsidRPr="0078222D">
        <w:rPr>
          <w:lang w:val="en-US"/>
        </w:rPr>
        <w:t xml:space="preserve">2003, </w:t>
      </w:r>
      <w:r w:rsidRPr="0078222D">
        <w:rPr>
          <w:lang w:val="en-US"/>
        </w:rPr>
        <w:t>the Jury for the Prosecution of Ma</w:t>
      </w:r>
      <w:r>
        <w:rPr>
          <w:lang w:val="en-US"/>
        </w:rPr>
        <w:t xml:space="preserve">gistrates modified the factual basis of the indictment, failing to observe the principle of </w:t>
      </w:r>
      <w:r w:rsidR="00E16C3F">
        <w:rPr>
          <w:lang w:val="en-US"/>
        </w:rPr>
        <w:t>consistency</w:t>
      </w:r>
      <w:r>
        <w:rPr>
          <w:lang w:val="en-US"/>
        </w:rPr>
        <w:t xml:space="preserve">. </w:t>
      </w:r>
      <w:r w:rsidRPr="00B76502">
        <w:rPr>
          <w:lang w:val="en-US"/>
        </w:rPr>
        <w:t xml:space="preserve">Specifically, with regard to the </w:t>
      </w:r>
      <w:r w:rsidR="00A126A0">
        <w:rPr>
          <w:lang w:val="en-US"/>
        </w:rPr>
        <w:t xml:space="preserve">grounds established </w:t>
      </w:r>
      <w:r w:rsidR="00B76502" w:rsidRPr="00B76502">
        <w:rPr>
          <w:lang w:val="en-US"/>
        </w:rPr>
        <w:t xml:space="preserve">in Article 14, subparagraph </w:t>
      </w:r>
      <w:r w:rsidR="008C679C">
        <w:rPr>
          <w:lang w:val="en-US"/>
        </w:rPr>
        <w:t>(</w:t>
      </w:r>
      <w:r w:rsidR="00B76502" w:rsidRPr="00B76502">
        <w:rPr>
          <w:lang w:val="en-US"/>
        </w:rPr>
        <w:t>n</w:t>
      </w:r>
      <w:r w:rsidR="008C679C">
        <w:rPr>
          <w:lang w:val="en-US"/>
        </w:rPr>
        <w:t>)</w:t>
      </w:r>
      <w:r w:rsidR="00B76502" w:rsidRPr="00B76502">
        <w:rPr>
          <w:lang w:val="en-US"/>
        </w:rPr>
        <w:t xml:space="preserve">, the Commission notes that the JEM held that the alleged victim </w:t>
      </w:r>
      <w:r w:rsidR="00B76502" w:rsidRPr="00E21E04">
        <w:rPr>
          <w:lang w:val="en-US"/>
        </w:rPr>
        <w:t>“provided information and made comments and declarations to the press</w:t>
      </w:r>
      <w:r w:rsidR="00B76502">
        <w:rPr>
          <w:lang w:val="en-US"/>
        </w:rPr>
        <w:t>…</w:t>
      </w:r>
      <w:r w:rsidR="00B76502" w:rsidRPr="00E21E04">
        <w:rPr>
          <w:lang w:val="en-US"/>
        </w:rPr>
        <w:t>that went beyond the sensitive parameters of criminal investigation in its preliminary stage</w:t>
      </w:r>
      <w:r w:rsidR="00B76502">
        <w:rPr>
          <w:lang w:val="en-US"/>
        </w:rPr>
        <w:t>” and affected those involved</w:t>
      </w:r>
      <w:r w:rsidR="004E2E9C" w:rsidRPr="00B76502">
        <w:rPr>
          <w:lang w:val="en-US"/>
        </w:rPr>
        <w:t xml:space="preserve">. </w:t>
      </w:r>
      <w:r w:rsidR="00B76502" w:rsidRPr="00B76502">
        <w:rPr>
          <w:lang w:val="en-US"/>
        </w:rPr>
        <w:t xml:space="preserve">However, in analyzing subparagraphs </w:t>
      </w:r>
      <w:r w:rsidR="008C679C">
        <w:rPr>
          <w:lang w:val="en-US"/>
        </w:rPr>
        <w:t>(</w:t>
      </w:r>
      <w:r w:rsidR="004E2E9C" w:rsidRPr="00B76502">
        <w:rPr>
          <w:lang w:val="en-US"/>
        </w:rPr>
        <w:t>b</w:t>
      </w:r>
      <w:r w:rsidR="008C679C">
        <w:rPr>
          <w:lang w:val="en-US"/>
        </w:rPr>
        <w:t>)</w:t>
      </w:r>
      <w:r w:rsidR="004E2E9C" w:rsidRPr="00B76502">
        <w:rPr>
          <w:lang w:val="en-US"/>
        </w:rPr>
        <w:t xml:space="preserve"> </w:t>
      </w:r>
      <w:r w:rsidR="00B76502" w:rsidRPr="00B76502">
        <w:rPr>
          <w:lang w:val="en-US"/>
        </w:rPr>
        <w:t>and</w:t>
      </w:r>
      <w:r w:rsidR="004E2E9C" w:rsidRPr="00B76502">
        <w:rPr>
          <w:lang w:val="en-US"/>
        </w:rPr>
        <w:t xml:space="preserve"> </w:t>
      </w:r>
      <w:r w:rsidR="008C679C">
        <w:rPr>
          <w:lang w:val="en-US"/>
        </w:rPr>
        <w:t>(</w:t>
      </w:r>
      <w:r w:rsidR="004E2E9C" w:rsidRPr="00B76502">
        <w:rPr>
          <w:lang w:val="en-US"/>
        </w:rPr>
        <w:t>g</w:t>
      </w:r>
      <w:r w:rsidR="008C679C">
        <w:rPr>
          <w:lang w:val="en-US"/>
        </w:rPr>
        <w:t>)</w:t>
      </w:r>
      <w:r w:rsidR="004E2E9C" w:rsidRPr="00B76502">
        <w:rPr>
          <w:lang w:val="en-US"/>
        </w:rPr>
        <w:t xml:space="preserve"> </w:t>
      </w:r>
      <w:r w:rsidR="00B76502" w:rsidRPr="00B76502">
        <w:rPr>
          <w:lang w:val="en-US"/>
        </w:rPr>
        <w:t xml:space="preserve">of Article </w:t>
      </w:r>
      <w:r w:rsidR="004E2E9C" w:rsidRPr="00B76502">
        <w:rPr>
          <w:lang w:val="en-US"/>
        </w:rPr>
        <w:t xml:space="preserve">14, </w:t>
      </w:r>
      <w:r w:rsidR="00B76502" w:rsidRPr="00B76502">
        <w:rPr>
          <w:lang w:val="en-US"/>
        </w:rPr>
        <w:t xml:space="preserve">the </w:t>
      </w:r>
      <w:r w:rsidR="004E2E9C" w:rsidRPr="00B76502">
        <w:rPr>
          <w:lang w:val="en-US"/>
        </w:rPr>
        <w:t xml:space="preserve">JEM </w:t>
      </w:r>
      <w:r w:rsidR="00B76502" w:rsidRPr="00B76502">
        <w:rPr>
          <w:lang w:val="en-US"/>
        </w:rPr>
        <w:t xml:space="preserve">added facts that were different than those </w:t>
      </w:r>
      <w:r w:rsidR="005912BA">
        <w:rPr>
          <w:lang w:val="en-US"/>
        </w:rPr>
        <w:t>set forth</w:t>
      </w:r>
      <w:r w:rsidR="00B76502">
        <w:rPr>
          <w:lang w:val="en-US"/>
        </w:rPr>
        <w:t xml:space="preserve"> in the </w:t>
      </w:r>
      <w:r w:rsidR="005306E7">
        <w:rPr>
          <w:lang w:val="en-US"/>
        </w:rPr>
        <w:t>formal charge</w:t>
      </w:r>
      <w:r w:rsidR="00B76502">
        <w:rPr>
          <w:lang w:val="en-US"/>
        </w:rPr>
        <w:t xml:space="preserve">, which in its opinion </w:t>
      </w:r>
      <w:r w:rsidR="00B76502" w:rsidRPr="00A126A0">
        <w:rPr>
          <w:lang w:val="en-US"/>
        </w:rPr>
        <w:t>constituted the grounds</w:t>
      </w:r>
      <w:r w:rsidR="005912BA">
        <w:rPr>
          <w:lang w:val="en-US"/>
        </w:rPr>
        <w:t xml:space="preserve"> mentioned above</w:t>
      </w:r>
      <w:r w:rsidR="00B76502">
        <w:rPr>
          <w:lang w:val="en-US"/>
        </w:rPr>
        <w:t>.</w:t>
      </w:r>
      <w:r w:rsidR="004E2E9C" w:rsidRPr="00B76502">
        <w:rPr>
          <w:lang w:val="en-US"/>
        </w:rPr>
        <w:t xml:space="preserve"> </w:t>
      </w:r>
    </w:p>
    <w:p w14:paraId="53B871FB" w14:textId="77777777" w:rsidR="004E2E9C" w:rsidRPr="00B76502" w:rsidRDefault="004E2E9C" w:rsidP="000C4872">
      <w:pPr>
        <w:pStyle w:val="parrafos"/>
        <w:numPr>
          <w:ilvl w:val="0"/>
          <w:numId w:val="0"/>
        </w:numPr>
        <w:rPr>
          <w:lang w:val="en-US"/>
        </w:rPr>
      </w:pPr>
    </w:p>
    <w:p w14:paraId="65F9969A" w14:textId="77777777" w:rsidR="00914BCD" w:rsidRPr="008C679C" w:rsidRDefault="00AA038A" w:rsidP="00914BCD">
      <w:pPr>
        <w:pStyle w:val="parrafos"/>
        <w:rPr>
          <w:lang w:val="en-US"/>
        </w:rPr>
      </w:pPr>
      <w:r w:rsidRPr="00AA038A">
        <w:rPr>
          <w:lang w:val="en-US"/>
        </w:rPr>
        <w:t xml:space="preserve">First, with respect to subparagraph </w:t>
      </w:r>
      <w:r w:rsidR="008C679C">
        <w:rPr>
          <w:lang w:val="en-US"/>
        </w:rPr>
        <w:t>(</w:t>
      </w:r>
      <w:r w:rsidRPr="00AA038A">
        <w:rPr>
          <w:lang w:val="en-US"/>
        </w:rPr>
        <w:t>b</w:t>
      </w:r>
      <w:r w:rsidR="008C679C">
        <w:rPr>
          <w:lang w:val="en-US"/>
        </w:rPr>
        <w:t>)</w:t>
      </w:r>
      <w:r w:rsidRPr="00AA038A">
        <w:rPr>
          <w:lang w:val="en-US"/>
        </w:rPr>
        <w:t xml:space="preserve">, the JEM maintained that by intervening in Case No. 9936, Mr. </w:t>
      </w:r>
      <w:r w:rsidR="004E2E9C" w:rsidRPr="00AA038A">
        <w:rPr>
          <w:lang w:val="en-US"/>
        </w:rPr>
        <w:t xml:space="preserve">Nissen Pessolani </w:t>
      </w:r>
      <w:r w:rsidRPr="00AA038A">
        <w:rPr>
          <w:lang w:val="en-US"/>
        </w:rPr>
        <w:t xml:space="preserve">failed to comply with Resolution No. </w:t>
      </w:r>
      <w:r w:rsidR="004E2E9C" w:rsidRPr="00AA038A">
        <w:rPr>
          <w:lang w:val="en-US"/>
        </w:rPr>
        <w:t xml:space="preserve">68 </w:t>
      </w:r>
      <w:r w:rsidRPr="00AA038A">
        <w:rPr>
          <w:lang w:val="en-US"/>
        </w:rPr>
        <w:t>o</w:t>
      </w:r>
      <w:r>
        <w:rPr>
          <w:lang w:val="en-US"/>
        </w:rPr>
        <w:t xml:space="preserve">f February </w:t>
      </w:r>
      <w:r w:rsidR="004E2E9C" w:rsidRPr="00AA038A">
        <w:rPr>
          <w:lang w:val="en-US"/>
        </w:rPr>
        <w:t>2</w:t>
      </w:r>
      <w:r>
        <w:rPr>
          <w:lang w:val="en-US"/>
        </w:rPr>
        <w:t xml:space="preserve">, </w:t>
      </w:r>
      <w:r w:rsidR="004E2E9C" w:rsidRPr="00AA038A">
        <w:rPr>
          <w:lang w:val="en-US"/>
        </w:rPr>
        <w:t>2001</w:t>
      </w:r>
      <w:r>
        <w:rPr>
          <w:lang w:val="en-US"/>
        </w:rPr>
        <w:t xml:space="preserve">, issued by the Office of the Prosecutor General of the State, which referred to the distribution of cases on a rotational basis. </w:t>
      </w:r>
      <w:r w:rsidRPr="008C679C">
        <w:rPr>
          <w:lang w:val="en-US"/>
        </w:rPr>
        <w:t xml:space="preserve">That aspect was not included in the initial </w:t>
      </w:r>
      <w:r w:rsidR="005912BA">
        <w:rPr>
          <w:lang w:val="en-US"/>
        </w:rPr>
        <w:t>charg</w:t>
      </w:r>
      <w:r w:rsidR="005912BA" w:rsidRPr="005912BA">
        <w:rPr>
          <w:lang w:val="en-US"/>
        </w:rPr>
        <w:t>e</w:t>
      </w:r>
      <w:r w:rsidRPr="005912BA">
        <w:rPr>
          <w:lang w:val="en-US"/>
        </w:rPr>
        <w:t>.</w:t>
      </w:r>
      <w:r w:rsidRPr="008C679C">
        <w:rPr>
          <w:lang w:val="en-US"/>
        </w:rPr>
        <w:t xml:space="preserve">  </w:t>
      </w:r>
    </w:p>
    <w:p w14:paraId="33138BC8" w14:textId="77777777" w:rsidR="00914BCD" w:rsidRPr="008C679C" w:rsidRDefault="00914BCD" w:rsidP="005C4BD0">
      <w:pPr>
        <w:pStyle w:val="parrafos"/>
        <w:numPr>
          <w:ilvl w:val="0"/>
          <w:numId w:val="0"/>
        </w:numPr>
        <w:rPr>
          <w:lang w:val="en-US"/>
        </w:rPr>
      </w:pPr>
    </w:p>
    <w:p w14:paraId="0FE63879" w14:textId="77777777" w:rsidR="000C4872" w:rsidRPr="00AA038A" w:rsidRDefault="00AA038A" w:rsidP="00914BCD">
      <w:pPr>
        <w:pStyle w:val="parrafos"/>
        <w:rPr>
          <w:lang w:val="en-US"/>
        </w:rPr>
      </w:pPr>
      <w:r w:rsidRPr="00AA038A">
        <w:rPr>
          <w:lang w:val="en-US"/>
        </w:rPr>
        <w:t xml:space="preserve">Second, in ruling on subparagraph </w:t>
      </w:r>
      <w:r w:rsidR="008C679C">
        <w:rPr>
          <w:lang w:val="en-US"/>
        </w:rPr>
        <w:t>(</w:t>
      </w:r>
      <w:r w:rsidRPr="00AA038A">
        <w:rPr>
          <w:lang w:val="en-US"/>
        </w:rPr>
        <w:t>g</w:t>
      </w:r>
      <w:r w:rsidR="008C679C">
        <w:rPr>
          <w:lang w:val="en-US"/>
        </w:rPr>
        <w:t>)</w:t>
      </w:r>
      <w:r w:rsidRPr="00AA038A">
        <w:rPr>
          <w:lang w:val="en-US"/>
        </w:rPr>
        <w:t xml:space="preserve">, the JEM argued that it “should address” some of the steps the alleged victim took in the </w:t>
      </w:r>
      <w:r w:rsidR="00A126A0">
        <w:rPr>
          <w:lang w:val="en-US"/>
        </w:rPr>
        <w:t xml:space="preserve">context of the </w:t>
      </w:r>
      <w:r w:rsidRPr="00AA038A">
        <w:rPr>
          <w:lang w:val="en-US"/>
        </w:rPr>
        <w:t xml:space="preserve">sanction proceeding, which </w:t>
      </w:r>
      <w:r w:rsidR="008A3CB5">
        <w:rPr>
          <w:lang w:val="en-US"/>
        </w:rPr>
        <w:t>also</w:t>
      </w:r>
      <w:r w:rsidRPr="00AA038A">
        <w:rPr>
          <w:lang w:val="en-US"/>
        </w:rPr>
        <w:t xml:space="preserve"> constitute</w:t>
      </w:r>
      <w:r w:rsidR="008A3CB5">
        <w:rPr>
          <w:lang w:val="en-US"/>
        </w:rPr>
        <w:t>d</w:t>
      </w:r>
      <w:r w:rsidRPr="00AA038A">
        <w:rPr>
          <w:lang w:val="en-US"/>
        </w:rPr>
        <w:t xml:space="preserve"> grounds for removal. To that effect, it concluded that Mr. </w:t>
      </w:r>
      <w:r w:rsidR="00D20775" w:rsidRPr="00AA038A">
        <w:rPr>
          <w:lang w:val="en-US"/>
        </w:rPr>
        <w:t>Nissen</w:t>
      </w:r>
      <w:r w:rsidR="00914BCD" w:rsidRPr="00AA038A">
        <w:rPr>
          <w:lang w:val="en-US"/>
        </w:rPr>
        <w:t xml:space="preserve"> </w:t>
      </w:r>
      <w:r w:rsidRPr="00AA038A">
        <w:rPr>
          <w:lang w:val="en-US"/>
        </w:rPr>
        <w:t xml:space="preserve">had arrogated to himself powers that belonged solely to the </w:t>
      </w:r>
      <w:r w:rsidR="00914BCD" w:rsidRPr="00AA038A">
        <w:rPr>
          <w:lang w:val="en-US"/>
        </w:rPr>
        <w:t xml:space="preserve">JEM, </w:t>
      </w:r>
      <w:r w:rsidRPr="00AA038A">
        <w:rPr>
          <w:lang w:val="en-US"/>
        </w:rPr>
        <w:t>for having</w:t>
      </w:r>
      <w:r>
        <w:rPr>
          <w:lang w:val="en-US"/>
        </w:rPr>
        <w:t xml:space="preserve"> included in the case file of the proceedings against him an expert witness statement regarding a document presented by his accuser that allegedly included an unverified signature. </w:t>
      </w:r>
      <w:r w:rsidRPr="00AA038A">
        <w:rPr>
          <w:lang w:val="en-US"/>
        </w:rPr>
        <w:t xml:space="preserve">That </w:t>
      </w:r>
      <w:r w:rsidRPr="0010134C">
        <w:rPr>
          <w:lang w:val="en-US"/>
        </w:rPr>
        <w:t xml:space="preserve">procedural </w:t>
      </w:r>
      <w:r w:rsidR="0010134C" w:rsidRPr="0010134C">
        <w:rPr>
          <w:lang w:val="en-US"/>
        </w:rPr>
        <w:t>ac</w:t>
      </w:r>
      <w:r w:rsidR="0010134C">
        <w:rPr>
          <w:lang w:val="en-US"/>
        </w:rPr>
        <w:t>tion</w:t>
      </w:r>
      <w:r w:rsidRPr="00AA038A">
        <w:rPr>
          <w:lang w:val="en-US"/>
        </w:rPr>
        <w:t xml:space="preserve">, as is evident, is also not covered in the </w:t>
      </w:r>
      <w:r w:rsidR="005912BA">
        <w:rPr>
          <w:lang w:val="en-US"/>
        </w:rPr>
        <w:t>charg</w:t>
      </w:r>
      <w:r w:rsidR="005912BA" w:rsidRPr="005912BA">
        <w:rPr>
          <w:lang w:val="en-US"/>
        </w:rPr>
        <w:t>e</w:t>
      </w:r>
      <w:r w:rsidRPr="00AA038A">
        <w:rPr>
          <w:lang w:val="en-US"/>
        </w:rPr>
        <w:t xml:space="preserve">. </w:t>
      </w:r>
    </w:p>
    <w:p w14:paraId="0E113202" w14:textId="77777777" w:rsidR="005C4BD0" w:rsidRPr="00AA038A" w:rsidRDefault="005C4BD0" w:rsidP="005C4BD0">
      <w:pPr>
        <w:pStyle w:val="parrafos"/>
        <w:numPr>
          <w:ilvl w:val="0"/>
          <w:numId w:val="0"/>
        </w:numPr>
        <w:ind w:left="720" w:right="720"/>
        <w:rPr>
          <w:lang w:val="en-US"/>
        </w:rPr>
      </w:pPr>
    </w:p>
    <w:p w14:paraId="44B8251B" w14:textId="77777777" w:rsidR="005C4BD0" w:rsidRPr="0056173E" w:rsidRDefault="00AA038A" w:rsidP="00F326B0">
      <w:pPr>
        <w:pStyle w:val="parrafos"/>
        <w:rPr>
          <w:lang w:val="en-US"/>
        </w:rPr>
      </w:pPr>
      <w:r w:rsidRPr="008A7B2F">
        <w:rPr>
          <w:lang w:val="en-US"/>
        </w:rPr>
        <w:t xml:space="preserve">The Commission thus observes that if disciplinary bodies can in fact carry out investigations or procedural steps to examine the conduct of those subject to its review, it is necessary to ensure that the right of defense can be exercised, a matter that is especially important when </w:t>
      </w:r>
      <w:r w:rsidR="0010134C">
        <w:rPr>
          <w:lang w:val="en-US"/>
        </w:rPr>
        <w:t>the case</w:t>
      </w:r>
      <w:r w:rsidRPr="008A7B2F">
        <w:rPr>
          <w:lang w:val="en-US"/>
        </w:rPr>
        <w:t xml:space="preserve"> </w:t>
      </w:r>
      <w:r w:rsidR="0010134C">
        <w:rPr>
          <w:lang w:val="en-US"/>
        </w:rPr>
        <w:t>involves</w:t>
      </w:r>
      <w:r w:rsidRPr="008A7B2F">
        <w:rPr>
          <w:lang w:val="en-US"/>
        </w:rPr>
        <w:t xml:space="preserve"> justice operators and when </w:t>
      </w:r>
      <w:r w:rsidR="008A7B2F">
        <w:rPr>
          <w:lang w:val="en-US"/>
        </w:rPr>
        <w:t>the most severe punishment is removal</w:t>
      </w:r>
      <w:r w:rsidR="0010134C">
        <w:rPr>
          <w:lang w:val="en-US"/>
        </w:rPr>
        <w:t xml:space="preserve"> from office</w:t>
      </w:r>
      <w:r w:rsidR="008A7B2F">
        <w:rPr>
          <w:lang w:val="en-US"/>
        </w:rPr>
        <w:t xml:space="preserve">. </w:t>
      </w:r>
      <w:r w:rsidR="008A7B2F" w:rsidRPr="008A7B2F">
        <w:rPr>
          <w:lang w:val="en-US"/>
        </w:rPr>
        <w:t xml:space="preserve">In this specific case, based on what has been laid out, the factual basis established in the </w:t>
      </w:r>
      <w:r w:rsidR="008A7B2F" w:rsidRPr="008A3CB5">
        <w:rPr>
          <w:lang w:val="en-US"/>
        </w:rPr>
        <w:t>formal charge</w:t>
      </w:r>
      <w:r w:rsidR="008A7B2F" w:rsidRPr="008A7B2F">
        <w:rPr>
          <w:lang w:val="en-US"/>
        </w:rPr>
        <w:t xml:space="preserve"> was modified without Mr. </w:t>
      </w:r>
      <w:r w:rsidR="00914BCD" w:rsidRPr="008A7B2F">
        <w:rPr>
          <w:lang w:val="en-US"/>
        </w:rPr>
        <w:t xml:space="preserve">Nissen Pessolani </w:t>
      </w:r>
      <w:r w:rsidR="008A7B2F">
        <w:rPr>
          <w:lang w:val="en-US"/>
        </w:rPr>
        <w:t xml:space="preserve">being able to mount </w:t>
      </w:r>
      <w:r w:rsidR="0056173E">
        <w:rPr>
          <w:lang w:val="en-US"/>
        </w:rPr>
        <w:t>a defense in regard</w:t>
      </w:r>
      <w:r w:rsidR="0010134C">
        <w:rPr>
          <w:lang w:val="en-US"/>
        </w:rPr>
        <w:t xml:space="preserve"> to the matter</w:t>
      </w:r>
      <w:r w:rsidR="0056173E">
        <w:rPr>
          <w:lang w:val="en-US"/>
        </w:rPr>
        <w:t xml:space="preserve">. </w:t>
      </w:r>
      <w:r w:rsidR="0056173E" w:rsidRPr="0056173E">
        <w:rPr>
          <w:lang w:val="en-US"/>
        </w:rPr>
        <w:t>This substantial modification brought with it the po</w:t>
      </w:r>
      <w:r w:rsidR="0056173E">
        <w:rPr>
          <w:lang w:val="en-US"/>
        </w:rPr>
        <w:t>ssibility of imposing</w:t>
      </w:r>
      <w:r w:rsidR="008A3CB5">
        <w:rPr>
          <w:lang w:val="en-US"/>
        </w:rPr>
        <w:t>—</w:t>
      </w:r>
      <w:r w:rsidR="0056173E">
        <w:rPr>
          <w:lang w:val="en-US"/>
        </w:rPr>
        <w:t>as indeed occurred</w:t>
      </w:r>
      <w:r w:rsidR="008A3CB5">
        <w:rPr>
          <w:lang w:val="en-US"/>
        </w:rPr>
        <w:t>—</w:t>
      </w:r>
      <w:r w:rsidR="0056173E">
        <w:rPr>
          <w:lang w:val="en-US"/>
        </w:rPr>
        <w:t xml:space="preserve">the maximum punishment in a proceeding of this type, which is </w:t>
      </w:r>
      <w:r w:rsidR="0010134C">
        <w:rPr>
          <w:lang w:val="en-US"/>
        </w:rPr>
        <w:t>dismissal</w:t>
      </w:r>
      <w:r w:rsidR="0056173E">
        <w:rPr>
          <w:lang w:val="en-US"/>
        </w:rPr>
        <w:t xml:space="preserve">. </w:t>
      </w:r>
    </w:p>
    <w:p w14:paraId="6774675B" w14:textId="77777777" w:rsidR="00FC3F0D" w:rsidRPr="0056173E" w:rsidRDefault="00FC3F0D" w:rsidP="00FC3F0D">
      <w:pPr>
        <w:pStyle w:val="ListParagraph"/>
        <w:rPr>
          <w:lang w:val="en-US"/>
        </w:rPr>
      </w:pPr>
    </w:p>
    <w:p w14:paraId="77ADF322" w14:textId="77777777" w:rsidR="00E81519" w:rsidRPr="004F23DB" w:rsidRDefault="00DE4252" w:rsidP="003310DC">
      <w:pPr>
        <w:pStyle w:val="parrafos"/>
        <w:rPr>
          <w:lang w:val="en-US"/>
        </w:rPr>
      </w:pPr>
      <w:r w:rsidRPr="00DE4252">
        <w:rPr>
          <w:lang w:val="en-US"/>
        </w:rPr>
        <w:t xml:space="preserve">With regard to reasonable time, the Commission notes that Article </w:t>
      </w:r>
      <w:r w:rsidR="00E81519" w:rsidRPr="00DE4252">
        <w:rPr>
          <w:lang w:val="en-US"/>
        </w:rPr>
        <w:t xml:space="preserve">31 </w:t>
      </w:r>
      <w:r w:rsidRPr="00DE4252">
        <w:rPr>
          <w:lang w:val="en-US"/>
        </w:rPr>
        <w:t xml:space="preserve">of Law No. </w:t>
      </w:r>
      <w:r w:rsidR="00E81519" w:rsidRPr="00DE4252">
        <w:rPr>
          <w:lang w:val="en-US"/>
        </w:rPr>
        <w:t xml:space="preserve">1084 </w:t>
      </w:r>
      <w:r w:rsidRPr="00DE4252">
        <w:rPr>
          <w:lang w:val="en-US"/>
        </w:rPr>
        <w:t xml:space="preserve">provides that a final judgment must be </w:t>
      </w:r>
      <w:r w:rsidR="00EA797D">
        <w:rPr>
          <w:lang w:val="en-US"/>
        </w:rPr>
        <w:t>issued</w:t>
      </w:r>
      <w:r>
        <w:rPr>
          <w:lang w:val="en-US"/>
        </w:rPr>
        <w:t xml:space="preserve"> within </w:t>
      </w:r>
      <w:r w:rsidR="00E81519" w:rsidRPr="00DE4252">
        <w:rPr>
          <w:lang w:val="en-US"/>
        </w:rPr>
        <w:t xml:space="preserve">180 </w:t>
      </w:r>
      <w:r>
        <w:rPr>
          <w:lang w:val="en-US"/>
        </w:rPr>
        <w:t xml:space="preserve">days of the proceeding being initiated. </w:t>
      </w:r>
      <w:r w:rsidRPr="00DE4252">
        <w:rPr>
          <w:lang w:val="en-US"/>
        </w:rPr>
        <w:t>The case file shows that the JEM began prosecution of the allege</w:t>
      </w:r>
      <w:r>
        <w:rPr>
          <w:lang w:val="en-US"/>
        </w:rPr>
        <w:t xml:space="preserve">d victim by </w:t>
      </w:r>
      <w:r w:rsidR="00351608">
        <w:rPr>
          <w:lang w:val="en-US"/>
        </w:rPr>
        <w:t>issuing a notification</w:t>
      </w:r>
      <w:r>
        <w:rPr>
          <w:lang w:val="en-US"/>
        </w:rPr>
        <w:t xml:space="preserve"> on March 18, </w:t>
      </w:r>
      <w:r w:rsidR="00E81519" w:rsidRPr="00DE4252">
        <w:rPr>
          <w:lang w:val="en-US"/>
        </w:rPr>
        <w:t xml:space="preserve">2002. </w:t>
      </w:r>
      <w:r w:rsidRPr="00DE4252">
        <w:rPr>
          <w:lang w:val="en-US"/>
        </w:rPr>
        <w:t xml:space="preserve">It is also </w:t>
      </w:r>
      <w:r w:rsidR="00351608">
        <w:rPr>
          <w:lang w:val="en-US"/>
        </w:rPr>
        <w:t>evident</w:t>
      </w:r>
      <w:r w:rsidRPr="00DE4252">
        <w:rPr>
          <w:lang w:val="en-US"/>
        </w:rPr>
        <w:t xml:space="preserve"> that the judgment was issued on April 7, </w:t>
      </w:r>
      <w:r w:rsidR="00193F65" w:rsidRPr="00DE4252">
        <w:rPr>
          <w:lang w:val="en-US"/>
        </w:rPr>
        <w:t xml:space="preserve">2003, </w:t>
      </w:r>
      <w:r>
        <w:rPr>
          <w:lang w:val="en-US"/>
        </w:rPr>
        <w:t xml:space="preserve">in other words, </w:t>
      </w:r>
      <w:r w:rsidR="00193F65" w:rsidRPr="00DE4252">
        <w:rPr>
          <w:lang w:val="en-US"/>
        </w:rPr>
        <w:t xml:space="preserve">384 </w:t>
      </w:r>
      <w:r>
        <w:rPr>
          <w:lang w:val="en-US"/>
        </w:rPr>
        <w:t xml:space="preserve">days after the case was begun. Subsequent to that, the petition of unconstitutionality lodged by the petitioner was ruled on by the Supreme Court on June 16, </w:t>
      </w:r>
      <w:r w:rsidR="00193F65" w:rsidRPr="00DE4252">
        <w:rPr>
          <w:lang w:val="en-US"/>
        </w:rPr>
        <w:t xml:space="preserve">2004. </w:t>
      </w:r>
      <w:r w:rsidR="004F23DB" w:rsidRPr="004F23DB">
        <w:rPr>
          <w:lang w:val="en-US"/>
        </w:rPr>
        <w:t xml:space="preserve">The Commission deems that the JEM’s failure to comply with the legal time frames in which to issue a judgment, in a case that </w:t>
      </w:r>
      <w:r w:rsidR="00351608">
        <w:rPr>
          <w:lang w:val="en-US"/>
        </w:rPr>
        <w:t>was not highly complex</w:t>
      </w:r>
      <w:r w:rsidR="004F23DB" w:rsidRPr="004F23DB">
        <w:rPr>
          <w:lang w:val="en-US"/>
        </w:rPr>
        <w:t>, violates the reasonable time guarantee</w:t>
      </w:r>
      <w:r w:rsidR="00193F65" w:rsidRPr="004F23DB">
        <w:rPr>
          <w:lang w:val="en-US"/>
        </w:rPr>
        <w:t>.</w:t>
      </w:r>
      <w:r w:rsidR="004F23DB" w:rsidRPr="004F23DB">
        <w:rPr>
          <w:lang w:val="en-US"/>
        </w:rPr>
        <w:t xml:space="preserve"> </w:t>
      </w:r>
      <w:r w:rsidR="00193F65" w:rsidRPr="004F23DB">
        <w:rPr>
          <w:lang w:val="en-US"/>
        </w:rPr>
        <w:t xml:space="preserve"> </w:t>
      </w:r>
    </w:p>
    <w:p w14:paraId="675560D3" w14:textId="77777777" w:rsidR="00914BCD" w:rsidRPr="004F23DB" w:rsidRDefault="00914BCD" w:rsidP="00914BCD">
      <w:pPr>
        <w:pStyle w:val="ListParagraph"/>
        <w:rPr>
          <w:lang w:val="en-US"/>
        </w:rPr>
      </w:pPr>
    </w:p>
    <w:p w14:paraId="51707A0F" w14:textId="77777777" w:rsidR="005C4BD0" w:rsidRPr="004F23DB" w:rsidRDefault="004F23DB" w:rsidP="00787E82">
      <w:pPr>
        <w:pStyle w:val="parrafos"/>
        <w:numPr>
          <w:ilvl w:val="0"/>
          <w:numId w:val="0"/>
        </w:numPr>
        <w:rPr>
          <w:lang w:val="en-US"/>
        </w:rPr>
      </w:pPr>
      <w:r w:rsidRPr="004F23DB">
        <w:rPr>
          <w:rFonts w:ascii="Cambria" w:hAnsi="Cambria"/>
          <w:lang w:val="en-US"/>
        </w:rPr>
        <w:lastRenderedPageBreak/>
        <w:t xml:space="preserve">Based on the foregoing considerations, the IACHR considers that the Paraguayan State is responsible for violating the rights established in Article </w:t>
      </w:r>
      <w:r w:rsidR="00FC3F0D" w:rsidRPr="004F23DB">
        <w:rPr>
          <w:lang w:val="en-US"/>
        </w:rPr>
        <w:t>8</w:t>
      </w:r>
      <w:r>
        <w:rPr>
          <w:lang w:val="en-US"/>
        </w:rPr>
        <w:t>(</w:t>
      </w:r>
      <w:r w:rsidR="00FC3F0D" w:rsidRPr="004F23DB">
        <w:rPr>
          <w:lang w:val="en-US"/>
        </w:rPr>
        <w:t>1</w:t>
      </w:r>
      <w:r>
        <w:rPr>
          <w:lang w:val="en-US"/>
        </w:rPr>
        <w:t>) and</w:t>
      </w:r>
      <w:r w:rsidR="00FC3F0D" w:rsidRPr="004F23DB">
        <w:rPr>
          <w:lang w:val="en-US"/>
        </w:rPr>
        <w:t xml:space="preserve"> 8</w:t>
      </w:r>
      <w:r>
        <w:rPr>
          <w:lang w:val="en-US"/>
        </w:rPr>
        <w:t>(</w:t>
      </w:r>
      <w:r w:rsidR="00FC3F0D" w:rsidRPr="004F23DB">
        <w:rPr>
          <w:lang w:val="en-US"/>
        </w:rPr>
        <w:t>2</w:t>
      </w:r>
      <w:r>
        <w:rPr>
          <w:lang w:val="en-US"/>
        </w:rPr>
        <w:t>)(</w:t>
      </w:r>
      <w:r w:rsidR="00FC3F0D" w:rsidRPr="004F23DB">
        <w:rPr>
          <w:lang w:val="en-US"/>
        </w:rPr>
        <w:t xml:space="preserve">b) </w:t>
      </w:r>
      <w:r>
        <w:rPr>
          <w:lang w:val="en-US"/>
        </w:rPr>
        <w:t>and (</w:t>
      </w:r>
      <w:r w:rsidR="00FC3F0D" w:rsidRPr="004F23DB">
        <w:rPr>
          <w:lang w:val="en-US"/>
        </w:rPr>
        <w:t xml:space="preserve">c) </w:t>
      </w:r>
      <w:r>
        <w:rPr>
          <w:lang w:val="en-US"/>
        </w:rPr>
        <w:t>of the American Convention</w:t>
      </w:r>
      <w:r w:rsidR="003470C9">
        <w:rPr>
          <w:lang w:val="en-US"/>
        </w:rPr>
        <w:t>,</w:t>
      </w:r>
      <w:r>
        <w:rPr>
          <w:lang w:val="en-US"/>
        </w:rPr>
        <w:t xml:space="preserve"> in </w:t>
      </w:r>
      <w:r w:rsidR="003470C9">
        <w:rPr>
          <w:lang w:val="en-US"/>
        </w:rPr>
        <w:t>conjunction</w:t>
      </w:r>
      <w:r>
        <w:rPr>
          <w:lang w:val="en-US"/>
        </w:rPr>
        <w:t xml:space="preserve"> with Article 1(1) thereof, to the detriment of </w:t>
      </w:r>
      <w:r w:rsidR="00FC3F0D" w:rsidRPr="004F23DB">
        <w:rPr>
          <w:lang w:val="en-US"/>
        </w:rPr>
        <w:t>Alejandro Nissen Pessolani.</w:t>
      </w:r>
    </w:p>
    <w:p w14:paraId="63077181" w14:textId="77777777" w:rsidR="00801FCB" w:rsidRPr="00891177" w:rsidRDefault="00801FCB" w:rsidP="00AF48C1">
      <w:pPr>
        <w:pStyle w:val="Heading2"/>
        <w:rPr>
          <w:lang w:val="en-US"/>
        </w:rPr>
      </w:pPr>
      <w:bookmarkStart w:id="20" w:name="_Toc42595073"/>
      <w:r w:rsidRPr="00891177">
        <w:rPr>
          <w:lang w:val="en-US"/>
        </w:rPr>
        <w:t xml:space="preserve">4. </w:t>
      </w:r>
      <w:r w:rsidR="00891177" w:rsidRPr="00891177">
        <w:rPr>
          <w:lang w:val="en-US"/>
        </w:rPr>
        <w:t>The right to reasoned decisions,</w:t>
      </w:r>
      <w:r w:rsidRPr="00766381">
        <w:rPr>
          <w:rStyle w:val="FootnoteReference"/>
          <w:rFonts w:asciiTheme="majorHAnsi" w:hAnsiTheme="majorHAnsi"/>
          <w:b w:val="0"/>
        </w:rPr>
        <w:footnoteReference w:id="52"/>
      </w:r>
      <w:r w:rsidRPr="00891177">
        <w:rPr>
          <w:lang w:val="en-US"/>
        </w:rPr>
        <w:t xml:space="preserve"> </w:t>
      </w:r>
      <w:r w:rsidR="00891177" w:rsidRPr="00891177">
        <w:rPr>
          <w:lang w:val="en-US"/>
        </w:rPr>
        <w:t xml:space="preserve">the principle of </w:t>
      </w:r>
      <w:r w:rsidR="00A512ED">
        <w:rPr>
          <w:lang w:val="en-US"/>
        </w:rPr>
        <w:t>legality</w:t>
      </w:r>
      <w:r w:rsidR="00891177">
        <w:rPr>
          <w:lang w:val="en-US"/>
        </w:rPr>
        <w:t>,</w:t>
      </w:r>
      <w:r w:rsidRPr="00766381">
        <w:rPr>
          <w:rStyle w:val="FootnoteReference"/>
          <w:rFonts w:asciiTheme="majorHAnsi" w:hAnsiTheme="majorHAnsi"/>
          <w:b w:val="0"/>
        </w:rPr>
        <w:footnoteReference w:id="53"/>
      </w:r>
      <w:r w:rsidRPr="00891177">
        <w:rPr>
          <w:lang w:val="en-US"/>
        </w:rPr>
        <w:t xml:space="preserve"> </w:t>
      </w:r>
      <w:r w:rsidR="00891177">
        <w:rPr>
          <w:lang w:val="en-US"/>
        </w:rPr>
        <w:t>and the right to freedom of</w:t>
      </w:r>
      <w:r w:rsidR="001C0335">
        <w:rPr>
          <w:lang w:val="en-US"/>
        </w:rPr>
        <w:t xml:space="preserve"> </w:t>
      </w:r>
      <w:r w:rsidR="00891177">
        <w:rPr>
          <w:lang w:val="en-US"/>
        </w:rPr>
        <w:t>expression</w:t>
      </w:r>
      <w:r w:rsidR="00C93B49" w:rsidRPr="00766381">
        <w:rPr>
          <w:rStyle w:val="FootnoteReference"/>
          <w:rFonts w:asciiTheme="majorHAnsi" w:hAnsiTheme="majorHAnsi"/>
          <w:b w:val="0"/>
        </w:rPr>
        <w:footnoteReference w:id="54"/>
      </w:r>
      <w:bookmarkEnd w:id="20"/>
    </w:p>
    <w:p w14:paraId="2F9A5CD2" w14:textId="77777777" w:rsidR="00B01DC2" w:rsidRPr="00891177" w:rsidRDefault="00B01DC2" w:rsidP="00914740">
      <w:pPr>
        <w:tabs>
          <w:tab w:val="left" w:pos="360"/>
        </w:tabs>
        <w:suppressAutoHyphens/>
        <w:rPr>
          <w:rFonts w:asciiTheme="majorHAnsi" w:hAnsiTheme="majorHAnsi"/>
          <w:b/>
          <w:sz w:val="20"/>
          <w:szCs w:val="20"/>
        </w:rPr>
      </w:pPr>
    </w:p>
    <w:p w14:paraId="4FE7C0E6" w14:textId="77777777" w:rsidR="00B01DC2" w:rsidRPr="0097030C" w:rsidRDefault="00A512ED" w:rsidP="00B01DC2">
      <w:pPr>
        <w:pStyle w:val="parrafos"/>
        <w:rPr>
          <w:lang w:val="en-US"/>
        </w:rPr>
      </w:pPr>
      <w:r w:rsidRPr="00FA5A29">
        <w:rPr>
          <w:lang w:val="en-US"/>
        </w:rPr>
        <w:t>The principle of legality</w:t>
      </w:r>
      <w:r w:rsidR="00B01DC2" w:rsidRPr="00FA5A29">
        <w:rPr>
          <w:lang w:val="en-US"/>
        </w:rPr>
        <w:t xml:space="preserve"> </w:t>
      </w:r>
      <w:r w:rsidRPr="00FA5A29">
        <w:rPr>
          <w:lang w:val="en-US"/>
        </w:rPr>
        <w:t xml:space="preserve">recognized in Article </w:t>
      </w:r>
      <w:r w:rsidR="00B01DC2" w:rsidRPr="00FA5A29">
        <w:rPr>
          <w:lang w:val="en-US"/>
        </w:rPr>
        <w:t xml:space="preserve">9 </w:t>
      </w:r>
      <w:r w:rsidRPr="00FA5A29">
        <w:rPr>
          <w:lang w:val="en-US"/>
        </w:rPr>
        <w:t xml:space="preserve">of the Convention governs the actions of State bodies </w:t>
      </w:r>
      <w:r w:rsidR="00C716B6">
        <w:rPr>
          <w:lang w:val="en-US"/>
        </w:rPr>
        <w:t xml:space="preserve">that </w:t>
      </w:r>
      <w:r w:rsidR="00C1437E">
        <w:rPr>
          <w:lang w:val="en-US"/>
        </w:rPr>
        <w:t>arise from</w:t>
      </w:r>
      <w:r w:rsidR="00FA5A29">
        <w:rPr>
          <w:lang w:val="en-US"/>
        </w:rPr>
        <w:t xml:space="preserve"> the exercise of the State’s punitive power.</w:t>
      </w:r>
      <w:r w:rsidR="00B01DC2" w:rsidRPr="00766381">
        <w:rPr>
          <w:vertAlign w:val="superscript"/>
        </w:rPr>
        <w:footnoteReference w:id="55"/>
      </w:r>
      <w:r w:rsidR="00B01DC2" w:rsidRPr="00FA5A29">
        <w:rPr>
          <w:lang w:val="en-US"/>
        </w:rPr>
        <w:t xml:space="preserve"> </w:t>
      </w:r>
      <w:r w:rsidR="00FA5A29" w:rsidRPr="0097030C">
        <w:rPr>
          <w:lang w:val="en-US"/>
        </w:rPr>
        <w:t xml:space="preserve">That principle </w:t>
      </w:r>
      <w:r w:rsidR="00C716B6">
        <w:rPr>
          <w:lang w:val="en-US"/>
        </w:rPr>
        <w:t>applies</w:t>
      </w:r>
      <w:r w:rsidR="00FA5A29" w:rsidRPr="0097030C">
        <w:rPr>
          <w:lang w:val="en-US"/>
        </w:rPr>
        <w:t xml:space="preserve"> to disciplinary proceedings</w:t>
      </w:r>
      <w:r w:rsidR="0097030C" w:rsidRPr="0097030C">
        <w:rPr>
          <w:lang w:val="en-US"/>
        </w:rPr>
        <w:t xml:space="preserve">, which </w:t>
      </w:r>
      <w:r w:rsidR="00FA5A29" w:rsidRPr="0097030C">
        <w:rPr>
          <w:lang w:val="en-US"/>
        </w:rPr>
        <w:t>are “an expression of the punitive powers of the State,”</w:t>
      </w:r>
      <w:r w:rsidR="00B01DC2" w:rsidRPr="0097030C">
        <w:rPr>
          <w:lang w:val="en-US"/>
        </w:rPr>
        <w:t xml:space="preserve"> </w:t>
      </w:r>
      <w:r w:rsidR="00FA5A29" w:rsidRPr="0097030C">
        <w:rPr>
          <w:lang w:val="en-US"/>
        </w:rPr>
        <w:t>as they entail impairment or alteration of</w:t>
      </w:r>
      <w:r w:rsidR="0097030C" w:rsidRPr="0097030C">
        <w:rPr>
          <w:lang w:val="en-US"/>
        </w:rPr>
        <w:t xml:space="preserve"> </w:t>
      </w:r>
      <w:r w:rsidR="0000470E">
        <w:rPr>
          <w:lang w:val="en-US"/>
        </w:rPr>
        <w:t>people’s</w:t>
      </w:r>
      <w:r w:rsidR="0097030C" w:rsidRPr="0097030C">
        <w:rPr>
          <w:lang w:val="en-US"/>
        </w:rPr>
        <w:t xml:space="preserve"> rights as a consequence of a wrongful conduct.</w:t>
      </w:r>
      <w:r w:rsidR="00B01DC2" w:rsidRPr="00766381">
        <w:rPr>
          <w:vertAlign w:val="superscript"/>
        </w:rPr>
        <w:footnoteReference w:id="56"/>
      </w:r>
      <w:r w:rsidR="00B01DC2" w:rsidRPr="0097030C">
        <w:rPr>
          <w:lang w:val="en-US"/>
        </w:rPr>
        <w:t xml:space="preserve"> </w:t>
      </w:r>
    </w:p>
    <w:p w14:paraId="08E024E1" w14:textId="77777777" w:rsidR="00B01DC2" w:rsidRPr="0097030C" w:rsidRDefault="00B01DC2" w:rsidP="00B01DC2">
      <w:pPr>
        <w:pStyle w:val="parrafos"/>
        <w:numPr>
          <w:ilvl w:val="0"/>
          <w:numId w:val="0"/>
        </w:numPr>
        <w:rPr>
          <w:lang w:val="en-US"/>
        </w:rPr>
      </w:pPr>
    </w:p>
    <w:p w14:paraId="19F37FBE" w14:textId="77777777" w:rsidR="00B01DC2" w:rsidRPr="002E7B27" w:rsidRDefault="002E7B27" w:rsidP="005C4BD0">
      <w:pPr>
        <w:pStyle w:val="parrafos"/>
        <w:rPr>
          <w:rFonts w:cs="Verdana"/>
          <w:lang w:val="en-US"/>
        </w:rPr>
      </w:pPr>
      <w:r w:rsidRPr="002E7B27">
        <w:rPr>
          <w:lang w:val="en-US"/>
        </w:rPr>
        <w:t xml:space="preserve">The Commission has indicated that compliance with the principle of legality </w:t>
      </w:r>
      <w:r w:rsidR="0000470E">
        <w:rPr>
          <w:lang w:val="en-US"/>
        </w:rPr>
        <w:t>allows people</w:t>
      </w:r>
      <w:r w:rsidRPr="002E7B27">
        <w:rPr>
          <w:lang w:val="en-US"/>
        </w:rPr>
        <w:t xml:space="preserve"> to effectively determine their conduct in </w:t>
      </w:r>
      <w:r>
        <w:rPr>
          <w:lang w:val="en-US"/>
        </w:rPr>
        <w:t>accordance with the law.</w:t>
      </w:r>
      <w:r w:rsidR="00B01DC2" w:rsidRPr="00766381">
        <w:rPr>
          <w:rStyle w:val="FootnoteReference"/>
          <w:rFonts w:ascii="Cambria" w:hAnsi="Cambria"/>
          <w:lang w:val="es-ES_tradnl"/>
        </w:rPr>
        <w:footnoteReference w:id="57"/>
      </w:r>
      <w:r w:rsidR="00B01DC2" w:rsidRPr="002E7B27">
        <w:rPr>
          <w:lang w:val="en-US"/>
        </w:rPr>
        <w:t xml:space="preserve"> </w:t>
      </w:r>
      <w:r w:rsidRPr="002E7B27">
        <w:rPr>
          <w:lang w:val="en-US"/>
        </w:rPr>
        <w:t>As the IACHR has stated, “</w:t>
      </w:r>
      <w:r>
        <w:rPr>
          <w:lang w:val="en-US"/>
        </w:rPr>
        <w:t>T</w:t>
      </w:r>
      <w:r w:rsidRPr="002E7B27">
        <w:rPr>
          <w:lang w:val="en-US"/>
        </w:rPr>
        <w:t>he principle of legality has a specific role in the definition of crimes; on the one hand, it guarantees individual liberty and safety by preestablishing the behavior that is penalized clearly and unambiguously and, on the other</w:t>
      </w:r>
      <w:r>
        <w:rPr>
          <w:lang w:val="en-US"/>
        </w:rPr>
        <w:t xml:space="preserve"> hand, it pro</w:t>
      </w:r>
      <w:r w:rsidR="001E0A9E">
        <w:rPr>
          <w:lang w:val="en-US"/>
        </w:rPr>
        <w:t>t</w:t>
      </w:r>
      <w:r>
        <w:rPr>
          <w:lang w:val="en-US"/>
        </w:rPr>
        <w:t>ects legal certainty.</w:t>
      </w:r>
      <w:r w:rsidR="00B01DC2" w:rsidRPr="002E7B27">
        <w:rPr>
          <w:lang w:val="en-US"/>
        </w:rPr>
        <w:t>”</w:t>
      </w:r>
      <w:r w:rsidR="00B01DC2" w:rsidRPr="00766381">
        <w:rPr>
          <w:rStyle w:val="FootnoteReference"/>
          <w:rFonts w:ascii="Cambria" w:hAnsi="Cambria"/>
          <w:lang w:val="es-ES_tradnl"/>
        </w:rPr>
        <w:footnoteReference w:id="58"/>
      </w:r>
      <w:r w:rsidR="00B01DC2" w:rsidRPr="002E7B27">
        <w:rPr>
          <w:lang w:val="en-US"/>
        </w:rPr>
        <w:t xml:space="preserve"> </w:t>
      </w:r>
    </w:p>
    <w:p w14:paraId="2D7851C0" w14:textId="77777777" w:rsidR="00B01DC2" w:rsidRPr="002E7B27" w:rsidRDefault="00B01DC2" w:rsidP="00B01DC2">
      <w:pPr>
        <w:pStyle w:val="parrafos"/>
        <w:numPr>
          <w:ilvl w:val="0"/>
          <w:numId w:val="0"/>
        </w:numPr>
        <w:rPr>
          <w:rFonts w:cs="Verdana"/>
          <w:lang w:val="en-US"/>
        </w:rPr>
      </w:pPr>
    </w:p>
    <w:p w14:paraId="7BE4EF4A" w14:textId="77777777" w:rsidR="00B01DC2" w:rsidRPr="00416553" w:rsidRDefault="004E48FA" w:rsidP="00B01DC2">
      <w:pPr>
        <w:pStyle w:val="parrafos"/>
        <w:rPr>
          <w:rFonts w:cs="Verdana"/>
          <w:lang w:val="en-US"/>
        </w:rPr>
      </w:pPr>
      <w:r w:rsidRPr="00CD045E">
        <w:rPr>
          <w:rFonts w:cs="Verdana"/>
          <w:lang w:val="en-US"/>
        </w:rPr>
        <w:t>The precision of a norm establishing</w:t>
      </w:r>
      <w:r w:rsidRPr="00416553">
        <w:rPr>
          <w:rFonts w:cs="Verdana"/>
          <w:lang w:val="en-US"/>
        </w:rPr>
        <w:t xml:space="preserve"> a sanction of a disciplinary natur</w:t>
      </w:r>
      <w:r w:rsidR="00416553">
        <w:rPr>
          <w:rFonts w:cs="Verdana"/>
          <w:lang w:val="en-US"/>
        </w:rPr>
        <w:t>e</w:t>
      </w:r>
      <w:r w:rsidRPr="00416553">
        <w:rPr>
          <w:rFonts w:cs="Verdana"/>
          <w:lang w:val="en-US"/>
        </w:rPr>
        <w:t xml:space="preserve"> may be different from that required </w:t>
      </w:r>
      <w:r w:rsidR="00416553" w:rsidRPr="00416553">
        <w:rPr>
          <w:rFonts w:cs="Verdana"/>
          <w:lang w:val="en-US"/>
        </w:rPr>
        <w:t>in a criminal matter, owing to the nature of the disput</w:t>
      </w:r>
      <w:r w:rsidR="00416553">
        <w:rPr>
          <w:rFonts w:cs="Verdana"/>
          <w:lang w:val="en-US"/>
        </w:rPr>
        <w:t>es that each one is designed to resolve.</w:t>
      </w:r>
      <w:r w:rsidR="00B01DC2" w:rsidRPr="00766381">
        <w:rPr>
          <w:rStyle w:val="FootnoteReference"/>
          <w:rFonts w:ascii="Cambria" w:hAnsi="Cambria"/>
          <w:lang w:val="es-UY"/>
        </w:rPr>
        <w:footnoteReference w:id="59"/>
      </w:r>
      <w:r w:rsidR="00B01DC2" w:rsidRPr="00416553">
        <w:rPr>
          <w:rFonts w:cs="Verdana"/>
          <w:lang w:val="en-US"/>
        </w:rPr>
        <w:t xml:space="preserve"> </w:t>
      </w:r>
      <w:r w:rsidR="00416553" w:rsidRPr="00416553">
        <w:rPr>
          <w:rFonts w:cs="Verdana"/>
          <w:lang w:val="en-US"/>
        </w:rPr>
        <w:t>However, it must be predictable, “either because the punish</w:t>
      </w:r>
      <w:r w:rsidR="00416553">
        <w:rPr>
          <w:rFonts w:cs="Verdana"/>
          <w:lang w:val="en-US"/>
        </w:rPr>
        <w:t>a</w:t>
      </w:r>
      <w:r w:rsidR="00416553" w:rsidRPr="00416553">
        <w:rPr>
          <w:rFonts w:cs="Verdana"/>
          <w:lang w:val="en-US"/>
        </w:rPr>
        <w:t>ble conduct is expressly and clearly established</w:t>
      </w:r>
      <w:r w:rsidR="00DD6FEB">
        <w:rPr>
          <w:rFonts w:cs="Verdana"/>
          <w:lang w:val="en-US"/>
        </w:rPr>
        <w:t xml:space="preserve">, </w:t>
      </w:r>
      <w:r w:rsidR="00416553" w:rsidRPr="00416553">
        <w:rPr>
          <w:rFonts w:cs="Verdana"/>
          <w:lang w:val="en-US"/>
        </w:rPr>
        <w:t xml:space="preserve">precisely, </w:t>
      </w:r>
      <w:r w:rsidR="00DD6FEB">
        <w:rPr>
          <w:rFonts w:cs="Verdana"/>
          <w:lang w:val="en-US"/>
        </w:rPr>
        <w:t>clearly</w:t>
      </w:r>
      <w:r w:rsidR="00416553" w:rsidRPr="00416553">
        <w:rPr>
          <w:rFonts w:cs="Verdana"/>
          <w:lang w:val="en-US"/>
        </w:rPr>
        <w:t xml:space="preserve"> and previously, by law, or because the law delegates its imposition to the judge or to an infra-legal norm, under objective criteria that limit th</w:t>
      </w:r>
      <w:r w:rsidR="00416553">
        <w:rPr>
          <w:rFonts w:cs="Verdana"/>
          <w:lang w:val="en-US"/>
        </w:rPr>
        <w:t>e scope of discretion.”</w:t>
      </w:r>
      <w:r w:rsidR="00B01DC2" w:rsidRPr="00766381">
        <w:rPr>
          <w:rStyle w:val="FootnoteReference"/>
          <w:rFonts w:ascii="Cambria" w:hAnsi="Cambria"/>
          <w:lang w:val="es-UY"/>
        </w:rPr>
        <w:footnoteReference w:id="60"/>
      </w:r>
      <w:r w:rsidR="00B01DC2" w:rsidRPr="00416553">
        <w:rPr>
          <w:rFonts w:cs="Verdana"/>
          <w:lang w:val="en-US"/>
        </w:rPr>
        <w:t xml:space="preserve"> </w:t>
      </w:r>
    </w:p>
    <w:p w14:paraId="18BCE119" w14:textId="77777777" w:rsidR="00B01DC2" w:rsidRPr="00416553" w:rsidRDefault="00B01DC2" w:rsidP="00B01DC2">
      <w:pPr>
        <w:pStyle w:val="parrafos"/>
        <w:numPr>
          <w:ilvl w:val="0"/>
          <w:numId w:val="0"/>
        </w:numPr>
        <w:rPr>
          <w:rFonts w:cs="Verdana"/>
          <w:lang w:val="en-US"/>
        </w:rPr>
      </w:pPr>
    </w:p>
    <w:p w14:paraId="21142F43" w14:textId="77777777" w:rsidR="00B01DC2" w:rsidRPr="0094178B" w:rsidRDefault="00E75EB7" w:rsidP="00B01DC2">
      <w:pPr>
        <w:pStyle w:val="parrafos"/>
        <w:rPr>
          <w:lang w:val="en-US"/>
        </w:rPr>
      </w:pPr>
      <w:r>
        <w:rPr>
          <w:lang w:val="en-US"/>
        </w:rPr>
        <w:t xml:space="preserve">The obligation to </w:t>
      </w:r>
      <w:r w:rsidR="001A4D2B">
        <w:rPr>
          <w:lang w:val="en-US"/>
        </w:rPr>
        <w:t>provide</w:t>
      </w:r>
      <w:r w:rsidR="003F4B76" w:rsidRPr="003F4B76">
        <w:rPr>
          <w:lang w:val="en-US"/>
        </w:rPr>
        <w:t xml:space="preserve"> grounds </w:t>
      </w:r>
      <w:r>
        <w:rPr>
          <w:lang w:val="en-US"/>
        </w:rPr>
        <w:t xml:space="preserve">for decisions </w:t>
      </w:r>
      <w:r w:rsidR="003F4B76" w:rsidRPr="003F4B76">
        <w:rPr>
          <w:lang w:val="en-US"/>
        </w:rPr>
        <w:t xml:space="preserve">translates into the “reasoned justification” that </w:t>
      </w:r>
      <w:r w:rsidR="00E51A59">
        <w:rPr>
          <w:lang w:val="en-US"/>
        </w:rPr>
        <w:t>allows</w:t>
      </w:r>
      <w:r w:rsidR="003F4B76">
        <w:rPr>
          <w:lang w:val="en-US"/>
        </w:rPr>
        <w:t xml:space="preserve"> the judge to reach a conclusion</w:t>
      </w:r>
      <w:r w:rsidR="003F4B76" w:rsidRPr="00B51747">
        <w:rPr>
          <w:lang w:val="en-US"/>
        </w:rPr>
        <w:t>.</w:t>
      </w:r>
      <w:r w:rsidR="00B01DC2" w:rsidRPr="00B51747">
        <w:rPr>
          <w:rStyle w:val="FootnoteReference"/>
          <w:rFonts w:ascii="Cambria" w:hAnsi="Cambria" w:cs="Verdana"/>
          <w:lang w:val="es-UY"/>
        </w:rPr>
        <w:footnoteReference w:id="61"/>
      </w:r>
      <w:r w:rsidR="00B01DC2" w:rsidRPr="00B51747">
        <w:rPr>
          <w:lang w:val="en-US"/>
        </w:rPr>
        <w:t xml:space="preserve"> </w:t>
      </w:r>
      <w:r w:rsidR="003F4B76" w:rsidRPr="00E51A59">
        <w:rPr>
          <w:lang w:val="en-US"/>
        </w:rPr>
        <w:t>Th</w:t>
      </w:r>
      <w:r w:rsidR="00E51A59" w:rsidRPr="00E51A59">
        <w:rPr>
          <w:lang w:val="en-US"/>
        </w:rPr>
        <w:t>at</w:t>
      </w:r>
      <w:r w:rsidR="003F4B76" w:rsidRPr="00E51A59">
        <w:rPr>
          <w:lang w:val="en-US"/>
        </w:rPr>
        <w:t xml:space="preserve"> guarantee is </w:t>
      </w:r>
      <w:r w:rsidR="00E51A59" w:rsidRPr="00E51A59">
        <w:rPr>
          <w:lang w:val="en-US"/>
        </w:rPr>
        <w:t>closely</w:t>
      </w:r>
      <w:r w:rsidR="003F4B76" w:rsidRPr="00E51A59">
        <w:rPr>
          <w:lang w:val="en-US"/>
        </w:rPr>
        <w:t xml:space="preserve"> related to the principle of legality,</w:t>
      </w:r>
      <w:r w:rsidRPr="00E51A59">
        <w:rPr>
          <w:lang w:val="en-US"/>
        </w:rPr>
        <w:t xml:space="preserve"> </w:t>
      </w:r>
      <w:r w:rsidR="00E51A59" w:rsidRPr="00E51A59">
        <w:rPr>
          <w:lang w:val="en-US"/>
        </w:rPr>
        <w:t xml:space="preserve">since on the premise that disciplinary grounds </w:t>
      </w:r>
      <w:r w:rsidR="00E51A59">
        <w:rPr>
          <w:lang w:val="en-US"/>
        </w:rPr>
        <w:t>should</w:t>
      </w:r>
      <w:r w:rsidR="00E51A59" w:rsidRPr="00E51A59">
        <w:rPr>
          <w:lang w:val="en-US"/>
        </w:rPr>
        <w:t xml:space="preserve"> be established in the State’s legal framework</w:t>
      </w:r>
      <w:r w:rsidR="00E51A59">
        <w:rPr>
          <w:lang w:val="en-US"/>
        </w:rPr>
        <w:t>,</w:t>
      </w:r>
      <w:r w:rsidR="00E51A59" w:rsidRPr="00E51A59">
        <w:rPr>
          <w:lang w:val="en-US"/>
        </w:rPr>
        <w:t xml:space="preserve"> in </w:t>
      </w:r>
      <w:r w:rsidR="00E51A59">
        <w:rPr>
          <w:lang w:val="en-US"/>
        </w:rPr>
        <w:t>keeping</w:t>
      </w:r>
      <w:r w:rsidR="00E51A59" w:rsidRPr="00E51A59">
        <w:rPr>
          <w:lang w:val="en-US"/>
        </w:rPr>
        <w:t xml:space="preserve"> with the standards</w:t>
      </w:r>
      <w:r w:rsidR="00E51A59">
        <w:rPr>
          <w:lang w:val="en-US"/>
        </w:rPr>
        <w:t xml:space="preserve"> described above</w:t>
      </w:r>
      <w:r w:rsidR="00E51A59" w:rsidRPr="00E51A59">
        <w:rPr>
          <w:lang w:val="en-US"/>
        </w:rPr>
        <w:t>, the justification for a ruling should disclose “the facts, reasons</w:t>
      </w:r>
      <w:r w:rsidR="00E51A59">
        <w:rPr>
          <w:lang w:val="en-US"/>
        </w:rPr>
        <w:t>, and provisions the authority relied on in reaching its decision.</w:t>
      </w:r>
      <w:r w:rsidR="00B01DC2" w:rsidRPr="00E51A59">
        <w:rPr>
          <w:lang w:val="en-US"/>
        </w:rPr>
        <w:t>”</w:t>
      </w:r>
      <w:r w:rsidR="00B01DC2" w:rsidRPr="00766381">
        <w:rPr>
          <w:vertAlign w:val="superscript"/>
        </w:rPr>
        <w:footnoteReference w:id="62"/>
      </w:r>
      <w:r w:rsidR="00B01DC2" w:rsidRPr="00E51A59">
        <w:rPr>
          <w:lang w:val="en-US"/>
        </w:rPr>
        <w:t xml:space="preserve"> </w:t>
      </w:r>
      <w:r w:rsidR="0094178B" w:rsidRPr="0094178B">
        <w:rPr>
          <w:lang w:val="en-US"/>
        </w:rPr>
        <w:t xml:space="preserve">In that sense, the justification for the punitive decision is what explains how the facts </w:t>
      </w:r>
      <w:r w:rsidR="0094178B">
        <w:rPr>
          <w:lang w:val="en-US"/>
        </w:rPr>
        <w:t>that were the basis of</w:t>
      </w:r>
      <w:r w:rsidR="0094178B" w:rsidRPr="0094178B">
        <w:rPr>
          <w:lang w:val="en-US"/>
        </w:rPr>
        <w:t xml:space="preserve"> the proceeding align with or fall within the scope of</w:t>
      </w:r>
      <w:r w:rsidR="0094178B">
        <w:rPr>
          <w:lang w:val="en-US"/>
        </w:rPr>
        <w:t xml:space="preserve"> the grounds invoked. </w:t>
      </w:r>
      <w:r w:rsidR="0094178B" w:rsidRPr="0094178B">
        <w:rPr>
          <w:lang w:val="en-US"/>
        </w:rPr>
        <w:lastRenderedPageBreak/>
        <w:t>On this point, in</w:t>
      </w:r>
      <w:r w:rsidR="00B01DC2" w:rsidRPr="0094178B">
        <w:rPr>
          <w:lang w:val="en-US"/>
        </w:rPr>
        <w:t xml:space="preserve"> </w:t>
      </w:r>
      <w:r w:rsidR="00B01DC2" w:rsidRPr="0094178B">
        <w:rPr>
          <w:i/>
          <w:lang w:val="en-US"/>
        </w:rPr>
        <w:t xml:space="preserve">De la Cruz Flores v. Perú, </w:t>
      </w:r>
      <w:r w:rsidR="0094178B" w:rsidRPr="0094178B">
        <w:rPr>
          <w:lang w:val="en-US"/>
        </w:rPr>
        <w:t>the Court stressed the need that in all punitive decisions there be a link between the conduct of which the person is accused and th</w:t>
      </w:r>
      <w:r w:rsidR="0094178B">
        <w:rPr>
          <w:lang w:val="en-US"/>
        </w:rPr>
        <w:t>e provision on which the decision is based.</w:t>
      </w:r>
      <w:r w:rsidR="00B01DC2" w:rsidRPr="00766381">
        <w:rPr>
          <w:rStyle w:val="FootnoteReference"/>
          <w:rFonts w:ascii="Cambria" w:hAnsi="Cambria"/>
          <w:lang w:val="es-ES"/>
        </w:rPr>
        <w:footnoteReference w:id="63"/>
      </w:r>
      <w:r w:rsidR="00B01DC2" w:rsidRPr="0094178B">
        <w:rPr>
          <w:lang w:val="en-US"/>
        </w:rPr>
        <w:t xml:space="preserve"> </w:t>
      </w:r>
    </w:p>
    <w:p w14:paraId="1E65D324" w14:textId="77777777" w:rsidR="00B01DC2" w:rsidRPr="0094178B" w:rsidRDefault="00B01DC2" w:rsidP="00B01DC2">
      <w:pPr>
        <w:pStyle w:val="ListParagraph"/>
        <w:rPr>
          <w:rFonts w:cs="Verdana"/>
          <w:sz w:val="20"/>
          <w:szCs w:val="20"/>
          <w:lang w:val="en-US"/>
        </w:rPr>
      </w:pPr>
    </w:p>
    <w:p w14:paraId="4361CF97" w14:textId="77777777" w:rsidR="00FD4FF5" w:rsidRPr="00377DEC" w:rsidRDefault="001B7CAE" w:rsidP="00DD1D53">
      <w:pPr>
        <w:pStyle w:val="parrafos"/>
        <w:rPr>
          <w:rFonts w:ascii="Cambria" w:hAnsi="Cambria" w:cs="Verdana"/>
          <w:lang w:val="en-US"/>
        </w:rPr>
      </w:pPr>
      <w:r w:rsidRPr="001B7CAE">
        <w:rPr>
          <w:rFonts w:ascii="Cambria" w:hAnsi="Cambria" w:cs="Verdana"/>
          <w:lang w:val="en-US"/>
        </w:rPr>
        <w:t xml:space="preserve">In terms of the applicable </w:t>
      </w:r>
      <w:r w:rsidR="00214A53">
        <w:rPr>
          <w:rFonts w:ascii="Cambria" w:hAnsi="Cambria" w:cs="Verdana"/>
          <w:lang w:val="en-US"/>
        </w:rPr>
        <w:t>penalty</w:t>
      </w:r>
      <w:r w:rsidR="00B01DC2" w:rsidRPr="001B7CAE">
        <w:rPr>
          <w:rFonts w:ascii="Cambria" w:hAnsi="Cambria" w:cs="Verdana"/>
          <w:lang w:val="en-US"/>
        </w:rPr>
        <w:t xml:space="preserve">, </w:t>
      </w:r>
      <w:r w:rsidRPr="001B7CAE">
        <w:rPr>
          <w:rFonts w:ascii="Cambria" w:hAnsi="Cambria" w:cs="Verdana"/>
          <w:lang w:val="en-US"/>
        </w:rPr>
        <w:t xml:space="preserve">the “principle of maximum severity” of the punishment of dismissal of a justice operator implies that it is only appropriate for “clearly </w:t>
      </w:r>
      <w:r>
        <w:rPr>
          <w:rFonts w:ascii="Cambria" w:hAnsi="Cambria" w:cs="Verdana"/>
          <w:lang w:val="en-US"/>
        </w:rPr>
        <w:t>punishable”</w:t>
      </w:r>
      <w:r w:rsidRPr="001B7CAE">
        <w:rPr>
          <w:rFonts w:ascii="Cambria" w:hAnsi="Cambria" w:cs="Verdana"/>
          <w:lang w:val="en-US"/>
        </w:rPr>
        <w:t xml:space="preserve"> conduct</w:t>
      </w:r>
      <w:r>
        <w:rPr>
          <w:rFonts w:ascii="Cambria" w:hAnsi="Cambria" w:cs="Verdana"/>
          <w:lang w:val="en-US"/>
        </w:rPr>
        <w:t xml:space="preserve">, “based on the most serious grounds of </w:t>
      </w:r>
      <w:r w:rsidRPr="001B7CAE">
        <w:rPr>
          <w:rFonts w:ascii="Cambria" w:hAnsi="Cambria" w:cs="Verdana"/>
          <w:lang w:val="en-US"/>
        </w:rPr>
        <w:t>misconduct or incompetence.”</w:t>
      </w:r>
      <w:r w:rsidR="00B01DC2" w:rsidRPr="00766381">
        <w:rPr>
          <w:rFonts w:ascii="Cambria" w:hAnsi="Cambria"/>
          <w:vertAlign w:val="superscript"/>
          <w:lang w:val="es-UY"/>
        </w:rPr>
        <w:footnoteReference w:id="64"/>
      </w:r>
      <w:r w:rsidR="00B01DC2" w:rsidRPr="001B7CAE">
        <w:rPr>
          <w:rFonts w:ascii="Cambria" w:hAnsi="Cambria" w:cs="Verdana"/>
          <w:lang w:val="en-US"/>
        </w:rPr>
        <w:t xml:space="preserve"> </w:t>
      </w:r>
      <w:r w:rsidRPr="00C46192">
        <w:rPr>
          <w:rFonts w:ascii="Cambria" w:hAnsi="Cambria" w:cs="Verdana"/>
          <w:lang w:val="en-US"/>
        </w:rPr>
        <w:t>Thus, for example</w:t>
      </w:r>
      <w:r w:rsidR="00C46192" w:rsidRPr="00C46192">
        <w:rPr>
          <w:rFonts w:ascii="Cambria" w:hAnsi="Cambria" w:cs="Verdana"/>
          <w:lang w:val="en-US"/>
        </w:rPr>
        <w:t xml:space="preserve">, the protection of judicial independence requires that the dismissal of judges be </w:t>
      </w:r>
      <w:r w:rsidR="00C46192" w:rsidRPr="00DD6FEB">
        <w:rPr>
          <w:rFonts w:ascii="Cambria" w:hAnsi="Cambria" w:cs="Verdana"/>
          <w:lang w:val="en-US"/>
        </w:rPr>
        <w:t xml:space="preserve">considered </w:t>
      </w:r>
      <w:r w:rsidR="00DD6FEB">
        <w:rPr>
          <w:rFonts w:ascii="Cambria" w:hAnsi="Cambria" w:cs="Verdana"/>
          <w:lang w:val="en-US"/>
        </w:rPr>
        <w:t>the</w:t>
      </w:r>
      <w:r w:rsidR="00C46192" w:rsidRPr="00DD6FEB">
        <w:rPr>
          <w:rFonts w:ascii="Cambria" w:hAnsi="Cambria" w:cs="Verdana"/>
          <w:lang w:val="en-US"/>
        </w:rPr>
        <w:t xml:space="preserve"> last resort in </w:t>
      </w:r>
      <w:r w:rsidR="00C46192" w:rsidRPr="00C46192">
        <w:rPr>
          <w:rFonts w:ascii="Cambria" w:hAnsi="Cambria" w:cs="Verdana"/>
          <w:lang w:val="en-US"/>
        </w:rPr>
        <w:t>judicial disciplin</w:t>
      </w:r>
      <w:r w:rsidR="00DD6FEB">
        <w:rPr>
          <w:rFonts w:ascii="Cambria" w:hAnsi="Cambria" w:cs="Verdana"/>
          <w:lang w:val="en-US"/>
        </w:rPr>
        <w:t>ary matters</w:t>
      </w:r>
      <w:r w:rsidR="00C46192" w:rsidRPr="00C46192">
        <w:rPr>
          <w:rFonts w:ascii="Cambria" w:hAnsi="Cambria" w:cs="Verdana"/>
          <w:lang w:val="en-US"/>
        </w:rPr>
        <w:t>.</w:t>
      </w:r>
      <w:r w:rsidR="00B01DC2" w:rsidRPr="00766381">
        <w:rPr>
          <w:rStyle w:val="FootnoteReference"/>
          <w:rFonts w:ascii="Cambria" w:hAnsi="Cambria" w:cs="Calibri"/>
          <w:lang w:val="es-ES"/>
        </w:rPr>
        <w:footnoteReference w:id="65"/>
      </w:r>
      <w:r w:rsidR="00B01DC2" w:rsidRPr="00C46192">
        <w:rPr>
          <w:rFonts w:ascii="Cambria" w:hAnsi="Cambria"/>
          <w:lang w:val="en-US"/>
        </w:rPr>
        <w:t xml:space="preserve"> </w:t>
      </w:r>
      <w:r w:rsidR="00C46192" w:rsidRPr="00C46192">
        <w:rPr>
          <w:rFonts w:ascii="Cambria" w:hAnsi="Cambria"/>
          <w:lang w:val="en-US"/>
        </w:rPr>
        <w:t xml:space="preserve">In its report “Guarantees for the Independence of Justice Operators,” the IACHR indicated </w:t>
      </w:r>
      <w:r w:rsidR="0000470E">
        <w:rPr>
          <w:rFonts w:ascii="Cambria" w:hAnsi="Cambria"/>
          <w:lang w:val="en-US"/>
        </w:rPr>
        <w:t>the following:</w:t>
      </w:r>
      <w:r w:rsidR="00C46192" w:rsidRPr="00C46192">
        <w:rPr>
          <w:rFonts w:ascii="Cambria" w:hAnsi="Cambria"/>
          <w:lang w:val="en-US"/>
        </w:rPr>
        <w:t xml:space="preserve"> “</w:t>
      </w:r>
      <w:r w:rsidR="0000470E">
        <w:rPr>
          <w:rFonts w:ascii="Cambria" w:hAnsi="Cambria"/>
          <w:lang w:val="en-US"/>
        </w:rPr>
        <w:t>U</w:t>
      </w:r>
      <w:r w:rsidR="00C46192" w:rsidRPr="00C46192">
        <w:rPr>
          <w:rFonts w:ascii="Cambria" w:hAnsi="Cambria"/>
          <w:lang w:val="en-US"/>
        </w:rPr>
        <w:t>nder international law, the penalty of suspension or removal must be applied only in the case of</w:t>
      </w:r>
      <w:r w:rsidR="00C46192">
        <w:rPr>
          <w:rFonts w:ascii="Cambria" w:hAnsi="Cambria"/>
          <w:lang w:val="en-US"/>
        </w:rPr>
        <w:t xml:space="preserve"> the most serious misconduct. </w:t>
      </w:r>
      <w:r w:rsidR="00C46192" w:rsidRPr="001A4C52">
        <w:rPr>
          <w:rFonts w:ascii="Cambria" w:hAnsi="Cambria"/>
          <w:lang w:val="en-US"/>
        </w:rPr>
        <w:t xml:space="preserve">As the Council of Europe recommended with respect to </w:t>
      </w:r>
      <w:r w:rsidR="001A4C52" w:rsidRPr="001A4C52">
        <w:rPr>
          <w:rFonts w:ascii="Cambria" w:hAnsi="Cambria"/>
          <w:lang w:val="en-US"/>
        </w:rPr>
        <w:t>disciplinary offences, the disciplinary measures should become stricter as the seriousness of the offence increases, and can include removal of cases from</w:t>
      </w:r>
      <w:r w:rsidR="001A4C52">
        <w:rPr>
          <w:rFonts w:ascii="Cambria" w:hAnsi="Cambria"/>
          <w:lang w:val="en-US"/>
        </w:rPr>
        <w:t xml:space="preserve"> a judge, assigning the judge other tasks, economic sanctions and suspension.”</w:t>
      </w:r>
      <w:r w:rsidR="00B01DC2" w:rsidRPr="00766381">
        <w:rPr>
          <w:rStyle w:val="FootnoteReference"/>
          <w:rFonts w:ascii="Cambria" w:hAnsi="Cambria"/>
          <w:lang w:val="es-CO"/>
        </w:rPr>
        <w:footnoteReference w:id="66"/>
      </w:r>
      <w:r w:rsidR="00B01DC2" w:rsidRPr="001A4C52">
        <w:rPr>
          <w:rFonts w:ascii="Cambria" w:hAnsi="Cambria"/>
          <w:lang w:val="en-US"/>
        </w:rPr>
        <w:t xml:space="preserve"> </w:t>
      </w:r>
      <w:r w:rsidR="00377DEC" w:rsidRPr="00377DEC">
        <w:rPr>
          <w:rFonts w:ascii="Cambria" w:hAnsi="Cambria"/>
          <w:lang w:val="en-US"/>
        </w:rPr>
        <w:t xml:space="preserve">Moreover, the Court has indicated that the tenure of justice operators implies that dismissal </w:t>
      </w:r>
      <w:r w:rsidR="00DD6FEB">
        <w:rPr>
          <w:rFonts w:ascii="Cambria" w:hAnsi="Cambria"/>
          <w:lang w:val="en-US"/>
        </w:rPr>
        <w:t>is due to</w:t>
      </w:r>
      <w:r w:rsidR="00377DEC" w:rsidRPr="00377DEC">
        <w:rPr>
          <w:rFonts w:ascii="Cambria" w:hAnsi="Cambria"/>
          <w:lang w:val="en-US"/>
        </w:rPr>
        <w:t xml:space="preserve"> very serious conduct, while other sanctions may be used in the case of negligence or </w:t>
      </w:r>
      <w:r w:rsidR="00260BBE">
        <w:rPr>
          <w:rFonts w:ascii="Cambria" w:hAnsi="Cambria"/>
          <w:lang w:val="en-US"/>
        </w:rPr>
        <w:t xml:space="preserve">lack of </w:t>
      </w:r>
      <w:r w:rsidR="00DF77AC">
        <w:rPr>
          <w:rFonts w:ascii="Cambria" w:hAnsi="Cambria"/>
          <w:lang w:val="en-US"/>
        </w:rPr>
        <w:t>capacity</w:t>
      </w:r>
      <w:r w:rsidR="00377DEC" w:rsidRPr="00377DEC">
        <w:rPr>
          <w:rFonts w:ascii="Cambria" w:hAnsi="Cambria"/>
          <w:lang w:val="en-US"/>
        </w:rPr>
        <w:t>.</w:t>
      </w:r>
      <w:r w:rsidR="00B01DC2" w:rsidRPr="00766381">
        <w:rPr>
          <w:rStyle w:val="FootnoteReference"/>
          <w:rFonts w:ascii="Cambria" w:hAnsi="Cambria"/>
          <w:lang w:val="es-CO"/>
        </w:rPr>
        <w:footnoteReference w:id="67"/>
      </w:r>
    </w:p>
    <w:p w14:paraId="1A65A096" w14:textId="77777777" w:rsidR="00FD4FF5" w:rsidRPr="00377DEC" w:rsidRDefault="00FD4FF5" w:rsidP="00FD4FF5">
      <w:pPr>
        <w:pStyle w:val="parrafos"/>
        <w:numPr>
          <w:ilvl w:val="0"/>
          <w:numId w:val="0"/>
        </w:numPr>
        <w:rPr>
          <w:rFonts w:ascii="Cambria" w:hAnsi="Cambria" w:cs="Verdana"/>
          <w:lang w:val="en-US"/>
        </w:rPr>
      </w:pPr>
    </w:p>
    <w:p w14:paraId="47CE4DF8" w14:textId="77777777" w:rsidR="005E5094" w:rsidRPr="006A6E6E" w:rsidRDefault="00B51446" w:rsidP="00DD1D53">
      <w:pPr>
        <w:pStyle w:val="parrafos"/>
        <w:rPr>
          <w:rFonts w:ascii="Cambria" w:hAnsi="Cambria" w:cs="Verdana"/>
          <w:lang w:val="en-US"/>
        </w:rPr>
      </w:pPr>
      <w:r w:rsidRPr="00B51446">
        <w:rPr>
          <w:lang w:val="en-US"/>
        </w:rPr>
        <w:t xml:space="preserve">With </w:t>
      </w:r>
      <w:r w:rsidR="0000470E">
        <w:rPr>
          <w:lang w:val="en-US"/>
        </w:rPr>
        <w:t>respect</w:t>
      </w:r>
      <w:r w:rsidRPr="00B51446">
        <w:rPr>
          <w:lang w:val="en-US"/>
        </w:rPr>
        <w:t xml:space="preserve"> to the right to freedom of expression, inter-American case law has </w:t>
      </w:r>
      <w:r w:rsidR="00C9383A">
        <w:rPr>
          <w:lang w:val="en-US"/>
        </w:rPr>
        <w:t xml:space="preserve">held that </w:t>
      </w:r>
      <w:r w:rsidR="005A2BC8">
        <w:rPr>
          <w:lang w:val="en-US"/>
        </w:rPr>
        <w:t>the entitlement to</w:t>
      </w:r>
      <w:r w:rsidR="00C9383A">
        <w:rPr>
          <w:lang w:val="en-US"/>
        </w:rPr>
        <w:t xml:space="preserve"> th</w:t>
      </w:r>
      <w:r w:rsidR="005A2BC8">
        <w:rPr>
          <w:lang w:val="en-US"/>
        </w:rPr>
        <w:t>is right</w:t>
      </w:r>
      <w:r w:rsidR="00E14EAA">
        <w:rPr>
          <w:lang w:val="en-US"/>
        </w:rPr>
        <w:t xml:space="preserve"> enshrined</w:t>
      </w:r>
      <w:r w:rsidRPr="00B51446">
        <w:rPr>
          <w:lang w:val="en-US"/>
        </w:rPr>
        <w:t xml:space="preserve"> in the American Convention</w:t>
      </w:r>
      <w:r w:rsidR="00E14EAA">
        <w:rPr>
          <w:lang w:val="en-US"/>
        </w:rPr>
        <w:t xml:space="preserve"> cannot be </w:t>
      </w:r>
      <w:r w:rsidR="00C9383A">
        <w:rPr>
          <w:lang w:val="en-US"/>
        </w:rPr>
        <w:t>confined</w:t>
      </w:r>
      <w:r w:rsidRPr="00B51446">
        <w:rPr>
          <w:lang w:val="en-US"/>
        </w:rPr>
        <w:t xml:space="preserve"> to a </w:t>
      </w:r>
      <w:r w:rsidR="00C9383A">
        <w:rPr>
          <w:lang w:val="en-US"/>
        </w:rPr>
        <w:t>specific</w:t>
      </w:r>
      <w:r w:rsidRPr="00B51446">
        <w:rPr>
          <w:lang w:val="en-US"/>
        </w:rPr>
        <w:t xml:space="preserve"> profession or group of </w:t>
      </w:r>
      <w:r w:rsidR="00C9383A">
        <w:rPr>
          <w:lang w:val="en-US"/>
        </w:rPr>
        <w:t>persons</w:t>
      </w:r>
      <w:r w:rsidRPr="00B51446">
        <w:rPr>
          <w:lang w:val="en-US"/>
        </w:rPr>
        <w:t xml:space="preserve">, or to </w:t>
      </w:r>
      <w:r w:rsidR="00C9383A">
        <w:rPr>
          <w:lang w:val="en-US"/>
        </w:rPr>
        <w:t xml:space="preserve">the realm of </w:t>
      </w:r>
      <w:r w:rsidRPr="00B51446">
        <w:rPr>
          <w:lang w:val="en-US"/>
        </w:rPr>
        <w:t xml:space="preserve">freedom of the press. </w:t>
      </w:r>
      <w:r w:rsidRPr="00C9383A">
        <w:rPr>
          <w:lang w:val="en-US"/>
        </w:rPr>
        <w:t xml:space="preserve">This broad perspective includes, of course, prosecutors, who do not </w:t>
      </w:r>
      <w:r w:rsidR="00C9383A" w:rsidRPr="00C9383A">
        <w:rPr>
          <w:lang w:val="en-US"/>
        </w:rPr>
        <w:t>forfeit their basic</w:t>
      </w:r>
      <w:r w:rsidRPr="00C9383A">
        <w:rPr>
          <w:lang w:val="en-US"/>
        </w:rPr>
        <w:t xml:space="preserve"> rights </w:t>
      </w:r>
      <w:r w:rsidR="00E14EAA">
        <w:rPr>
          <w:lang w:val="en-US"/>
        </w:rPr>
        <w:t xml:space="preserve">upon taking </w:t>
      </w:r>
      <w:r w:rsidRPr="00C9383A">
        <w:rPr>
          <w:lang w:val="en-US"/>
        </w:rPr>
        <w:t>office</w:t>
      </w:r>
      <w:r w:rsidR="00C801B4">
        <w:rPr>
          <w:lang w:val="en-US"/>
        </w:rPr>
        <w:t>; instead they enjoy the same freedom of expression that every other person enjoys.</w:t>
      </w:r>
      <w:r w:rsidR="005E5094" w:rsidRPr="00766381">
        <w:rPr>
          <w:rStyle w:val="FootnoteReference"/>
          <w:rFonts w:ascii="Cambria" w:hAnsi="Cambria" w:cs="Verdana"/>
          <w:lang w:val="es-UY"/>
        </w:rPr>
        <w:footnoteReference w:id="68"/>
      </w:r>
      <w:r w:rsidR="005E5094" w:rsidRPr="006A6E6E">
        <w:rPr>
          <w:rFonts w:ascii="Cambria" w:hAnsi="Cambria" w:cs="Verdana"/>
          <w:lang w:val="en-US"/>
        </w:rPr>
        <w:t xml:space="preserve">  </w:t>
      </w:r>
    </w:p>
    <w:p w14:paraId="5091F4C4" w14:textId="77777777" w:rsidR="005E5094" w:rsidRPr="006A6E6E" w:rsidRDefault="005E5094" w:rsidP="005E5094">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Cambria" w:hAnsi="Cambria" w:cs="Verdana"/>
          <w:sz w:val="20"/>
          <w:szCs w:val="20"/>
        </w:rPr>
      </w:pPr>
    </w:p>
    <w:p w14:paraId="0A67DC99" w14:textId="77777777" w:rsidR="003F039B" w:rsidRPr="00E4327D" w:rsidRDefault="00A025DA" w:rsidP="005E5094">
      <w:pPr>
        <w:pStyle w:val="parrafos"/>
        <w:rPr>
          <w:lang w:val="en-US"/>
        </w:rPr>
      </w:pPr>
      <w:r w:rsidRPr="00E4327D">
        <w:rPr>
          <w:lang w:val="en-US"/>
        </w:rPr>
        <w:t>Inter-American case law has also established that the</w:t>
      </w:r>
      <w:r w:rsidR="00E4327D" w:rsidRPr="00E4327D">
        <w:rPr>
          <w:lang w:val="en-US"/>
        </w:rPr>
        <w:t xml:space="preserve"> exercise of this right by public officials has certain connotations and specific characterist</w:t>
      </w:r>
      <w:r w:rsidR="00E4327D">
        <w:rPr>
          <w:lang w:val="en-US"/>
        </w:rPr>
        <w:t>ics.</w:t>
      </w:r>
      <w:r w:rsidR="003F039B" w:rsidRPr="00766381">
        <w:rPr>
          <w:rStyle w:val="FootnoteReference"/>
        </w:rPr>
        <w:footnoteReference w:id="69"/>
      </w:r>
      <w:r w:rsidR="003F039B" w:rsidRPr="00E4327D">
        <w:rPr>
          <w:lang w:val="en-US"/>
        </w:rPr>
        <w:t xml:space="preserve"> </w:t>
      </w:r>
      <w:r w:rsidR="00E4327D" w:rsidRPr="00E4327D">
        <w:rPr>
          <w:lang w:val="en-US"/>
        </w:rPr>
        <w:t xml:space="preserve">The Court has maintained, for example, that the </w:t>
      </w:r>
      <w:r w:rsidR="00A036F3">
        <w:rPr>
          <w:lang w:val="en-US"/>
        </w:rPr>
        <w:t>critical</w:t>
      </w:r>
      <w:r w:rsidR="00E4327D" w:rsidRPr="00E4327D">
        <w:rPr>
          <w:lang w:val="en-US"/>
        </w:rPr>
        <w:t xml:space="preserve"> democratic </w:t>
      </w:r>
      <w:r w:rsidR="00A036F3">
        <w:rPr>
          <w:lang w:val="en-US"/>
        </w:rPr>
        <w:t>role</w:t>
      </w:r>
      <w:r w:rsidR="00E4327D" w:rsidRPr="00E4327D">
        <w:rPr>
          <w:lang w:val="en-US"/>
        </w:rPr>
        <w:t xml:space="preserve"> of freedom of expression demands that, in </w:t>
      </w:r>
      <w:r w:rsidR="00A036F3">
        <w:rPr>
          <w:lang w:val="en-US"/>
        </w:rPr>
        <w:t>certain</w:t>
      </w:r>
      <w:r w:rsidR="00E4327D" w:rsidRPr="00E4327D">
        <w:rPr>
          <w:lang w:val="en-US"/>
        </w:rPr>
        <w:t xml:space="preserve"> cases, public officials make statements on matters of public interest in the performance of their legal duties, especially </w:t>
      </w:r>
      <w:r w:rsidR="00A036F3">
        <w:rPr>
          <w:lang w:val="en-US"/>
        </w:rPr>
        <w:t>concerning</w:t>
      </w:r>
      <w:r w:rsidR="00E4327D" w:rsidRPr="00E4327D">
        <w:rPr>
          <w:lang w:val="en-US"/>
        </w:rPr>
        <w:t xml:space="preserve"> investigations into acts of corruption. In other words, under certain circumstances, the exercise of their freedom of expression is not just a right but a duty.</w:t>
      </w:r>
      <w:r w:rsidR="003F039B" w:rsidRPr="00766381">
        <w:rPr>
          <w:rStyle w:val="FootnoteReference"/>
        </w:rPr>
        <w:footnoteReference w:id="70"/>
      </w:r>
    </w:p>
    <w:p w14:paraId="4D868172" w14:textId="77777777" w:rsidR="00277D10" w:rsidRPr="00E4327D" w:rsidRDefault="00277D10" w:rsidP="00DD1D53"/>
    <w:p w14:paraId="3C20BE2B" w14:textId="77777777" w:rsidR="00277D10" w:rsidRPr="004C4367" w:rsidRDefault="004C4367" w:rsidP="00B01DC2">
      <w:pPr>
        <w:pStyle w:val="parrafos"/>
        <w:rPr>
          <w:lang w:val="en-US"/>
        </w:rPr>
      </w:pPr>
      <w:r w:rsidRPr="004C4367">
        <w:rPr>
          <w:rFonts w:ascii="Cambria" w:hAnsi="Cambria" w:cs="Verdana"/>
          <w:lang w:val="en-US"/>
        </w:rPr>
        <w:t xml:space="preserve">Likewise, since the adoption of Advisory Opinion </w:t>
      </w:r>
      <w:r w:rsidR="009B7A3F" w:rsidRPr="004C4367">
        <w:rPr>
          <w:rFonts w:ascii="Cambria" w:hAnsi="Cambria" w:cs="Verdana"/>
          <w:lang w:val="en-US"/>
        </w:rPr>
        <w:t xml:space="preserve">OC-5/85 </w:t>
      </w:r>
      <w:r w:rsidRPr="004C4367">
        <w:rPr>
          <w:rFonts w:ascii="Cambria" w:hAnsi="Cambria" w:cs="Verdana"/>
          <w:lang w:val="en-US"/>
        </w:rPr>
        <w:t>and repeatedly in case law, the Inter-American Court has indicated that freedom of expression, particularly in matters of publi</w:t>
      </w:r>
      <w:r>
        <w:rPr>
          <w:rFonts w:ascii="Cambria" w:hAnsi="Cambria" w:cs="Verdana"/>
          <w:lang w:val="en-US"/>
        </w:rPr>
        <w:t xml:space="preserve">c interest, “is a cornerstone upon which the very existence of a democratic society rests.” </w:t>
      </w:r>
      <w:r w:rsidRPr="004C4367">
        <w:rPr>
          <w:rFonts w:ascii="Cambria" w:hAnsi="Cambria" w:cs="Verdana"/>
          <w:lang w:val="en-US"/>
        </w:rPr>
        <w:t>The Court has stated, “Without an effective guarantee of freedom of expression the democratic [system] is weakened and there is</w:t>
      </w:r>
      <w:r>
        <w:rPr>
          <w:rFonts w:ascii="Cambria" w:hAnsi="Cambria" w:cs="Verdana"/>
          <w:lang w:val="en-US"/>
        </w:rPr>
        <w:t xml:space="preserve"> a breakdown of pluralism and tolerance; the mechanisms of control and complaint that citizens have may become inoperable and, indeed, a fertile ground is created for authoritarian systems to take root.</w:t>
      </w:r>
      <w:r w:rsidR="00DD2F54" w:rsidRPr="004C4367">
        <w:rPr>
          <w:rFonts w:ascii="Cambria" w:hAnsi="Cambria" w:cs="Verdana"/>
          <w:lang w:val="en-US"/>
        </w:rPr>
        <w:t>”</w:t>
      </w:r>
      <w:r w:rsidR="00DD2F54" w:rsidRPr="00766381">
        <w:rPr>
          <w:rStyle w:val="FootnoteReference"/>
          <w:rFonts w:ascii="Cambria" w:hAnsi="Cambria" w:cs="Verdana"/>
          <w:lang w:val="es-UY"/>
        </w:rPr>
        <w:footnoteReference w:id="71"/>
      </w:r>
    </w:p>
    <w:p w14:paraId="4F2C4399" w14:textId="77777777" w:rsidR="00280DDD" w:rsidRPr="004C4367" w:rsidRDefault="00280DDD" w:rsidP="00DD1D53">
      <w:pPr>
        <w:pStyle w:val="parrafos"/>
        <w:numPr>
          <w:ilvl w:val="0"/>
          <w:numId w:val="0"/>
        </w:numPr>
        <w:rPr>
          <w:lang w:val="en-US"/>
        </w:rPr>
      </w:pPr>
    </w:p>
    <w:p w14:paraId="702A2576" w14:textId="77777777" w:rsidR="00280DDD" w:rsidRPr="00D240BE" w:rsidRDefault="00EB56FF" w:rsidP="005C474F">
      <w:pPr>
        <w:pStyle w:val="parrafos"/>
        <w:rPr>
          <w:lang w:val="en-US"/>
        </w:rPr>
      </w:pPr>
      <w:r w:rsidRPr="003F1C3B">
        <w:rPr>
          <w:lang w:val="en-US"/>
        </w:rPr>
        <w:t xml:space="preserve">One of the </w:t>
      </w:r>
      <w:r w:rsidR="003F1C3B">
        <w:rPr>
          <w:lang w:val="en-US"/>
        </w:rPr>
        <w:t xml:space="preserve">principal functions of </w:t>
      </w:r>
      <w:r w:rsidRPr="00F50AFA">
        <w:rPr>
          <w:lang w:val="en-US"/>
        </w:rPr>
        <w:t xml:space="preserve">freedom of expression is to facilitate and </w:t>
      </w:r>
      <w:r w:rsidR="003F1C3B">
        <w:rPr>
          <w:lang w:val="en-US"/>
        </w:rPr>
        <w:t xml:space="preserve">make it possible for </w:t>
      </w:r>
      <w:r w:rsidRPr="00F50AFA">
        <w:rPr>
          <w:lang w:val="en-US"/>
        </w:rPr>
        <w:t xml:space="preserve">individuals and </w:t>
      </w:r>
      <w:r w:rsidR="003F1C3B">
        <w:rPr>
          <w:lang w:val="en-US"/>
        </w:rPr>
        <w:t xml:space="preserve">social </w:t>
      </w:r>
      <w:r w:rsidR="00F50AFA" w:rsidRPr="00F50AFA">
        <w:rPr>
          <w:lang w:val="en-US"/>
        </w:rPr>
        <w:t xml:space="preserve">actors </w:t>
      </w:r>
      <w:r w:rsidR="003F1C3B">
        <w:rPr>
          <w:lang w:val="en-US"/>
        </w:rPr>
        <w:t xml:space="preserve">of various kinds to exercise social oversight of </w:t>
      </w:r>
      <w:r w:rsidR="00F50AFA" w:rsidRPr="00F50AFA">
        <w:rPr>
          <w:lang w:val="en-US"/>
        </w:rPr>
        <w:t>gov</w:t>
      </w:r>
      <w:r w:rsidR="00F50AFA">
        <w:rPr>
          <w:lang w:val="en-US"/>
        </w:rPr>
        <w:t xml:space="preserve">ernment and other </w:t>
      </w:r>
      <w:r w:rsidR="003F1C3B">
        <w:rPr>
          <w:lang w:val="en-US"/>
        </w:rPr>
        <w:t>powers that be</w:t>
      </w:r>
      <w:r w:rsidR="006C24D7" w:rsidRPr="00F50AFA">
        <w:rPr>
          <w:lang w:val="en-US"/>
        </w:rPr>
        <w:t xml:space="preserve">. </w:t>
      </w:r>
      <w:r w:rsidR="003F1C3B">
        <w:rPr>
          <w:lang w:val="en-US"/>
        </w:rPr>
        <w:t xml:space="preserve">As the IACHR has stated, </w:t>
      </w:r>
      <w:r w:rsidR="00F50AFA" w:rsidRPr="00F50AFA">
        <w:rPr>
          <w:lang w:val="en-US"/>
        </w:rPr>
        <w:t>“freedom of expression is one of the most effective ways to denounce corrup</w:t>
      </w:r>
      <w:r w:rsidR="003F1C3B">
        <w:rPr>
          <w:lang w:val="en-US"/>
        </w:rPr>
        <w:t>t</w:t>
      </w:r>
      <w:r w:rsidR="00F50AFA" w:rsidRPr="00F50AFA">
        <w:rPr>
          <w:lang w:val="en-US"/>
        </w:rPr>
        <w:t>ion,”</w:t>
      </w:r>
      <w:r w:rsidR="006C24D7" w:rsidRPr="00766381">
        <w:rPr>
          <w:rStyle w:val="FootnoteReference"/>
        </w:rPr>
        <w:footnoteReference w:id="72"/>
      </w:r>
      <w:r w:rsidR="006C24D7" w:rsidRPr="00F50AFA">
        <w:rPr>
          <w:lang w:val="en-US"/>
        </w:rPr>
        <w:t xml:space="preserve"> </w:t>
      </w:r>
      <w:r w:rsidR="00F50AFA" w:rsidRPr="00F50AFA">
        <w:rPr>
          <w:lang w:val="en-US"/>
        </w:rPr>
        <w:t xml:space="preserve">and it </w:t>
      </w:r>
      <w:r w:rsidR="003F1C3B">
        <w:rPr>
          <w:lang w:val="en-US"/>
        </w:rPr>
        <w:t>enables</w:t>
      </w:r>
      <w:r w:rsidR="00F50AFA" w:rsidRPr="00F50AFA">
        <w:rPr>
          <w:lang w:val="en-US"/>
        </w:rPr>
        <w:t xml:space="preserve"> citizens to participate </w:t>
      </w:r>
      <w:r w:rsidR="003F1C3B">
        <w:rPr>
          <w:lang w:val="en-US"/>
        </w:rPr>
        <w:t>not only in making decisions that affect them but also in the oversight of government.</w:t>
      </w:r>
      <w:r w:rsidR="006C24D7" w:rsidRPr="00766381">
        <w:rPr>
          <w:rStyle w:val="FootnoteReference"/>
        </w:rPr>
        <w:footnoteReference w:id="73"/>
      </w:r>
      <w:r w:rsidR="006C24D7" w:rsidRPr="00F50AFA">
        <w:rPr>
          <w:lang w:val="en-US"/>
        </w:rPr>
        <w:t xml:space="preserve"> </w:t>
      </w:r>
      <w:r w:rsidR="00D240BE" w:rsidRPr="00D240BE">
        <w:rPr>
          <w:lang w:val="en-US"/>
        </w:rPr>
        <w:t>The</w:t>
      </w:r>
      <w:r w:rsidR="00D240BE">
        <w:rPr>
          <w:lang w:val="en-US"/>
        </w:rPr>
        <w:t xml:space="preserve"> </w:t>
      </w:r>
      <w:r w:rsidR="00D240BE" w:rsidRPr="00D240BE">
        <w:rPr>
          <w:lang w:val="en-US"/>
        </w:rPr>
        <w:t xml:space="preserve">exercise of freedom of expression </w:t>
      </w:r>
      <w:r w:rsidR="00D240BE">
        <w:rPr>
          <w:lang w:val="en-US"/>
        </w:rPr>
        <w:t xml:space="preserve">therefore </w:t>
      </w:r>
      <w:r w:rsidR="00D240BE" w:rsidRPr="00D240BE">
        <w:rPr>
          <w:lang w:val="en-US"/>
        </w:rPr>
        <w:t>plays a fundamental role for investigating and reporting corruption; hence, the State’s duty to create “an environment free from intimidation for the exercise of freedom of expression by those who investigate, report and denounce acts of corruption.”</w:t>
      </w:r>
      <w:r w:rsidR="006C24D7" w:rsidRPr="00766381">
        <w:rPr>
          <w:rStyle w:val="FootnoteReference"/>
        </w:rPr>
        <w:footnoteReference w:id="74"/>
      </w:r>
      <w:r w:rsidR="006C24D7" w:rsidRPr="00D240BE">
        <w:rPr>
          <w:lang w:val="en-US"/>
        </w:rPr>
        <w:t xml:space="preserve"> </w:t>
      </w:r>
    </w:p>
    <w:p w14:paraId="1BEC1AC1" w14:textId="77777777" w:rsidR="00093A2D" w:rsidRPr="00D240BE" w:rsidRDefault="00093A2D" w:rsidP="00DD1D53">
      <w:pPr>
        <w:pStyle w:val="ListParagraph"/>
        <w:rPr>
          <w:lang w:val="en-US"/>
        </w:rPr>
      </w:pPr>
    </w:p>
    <w:p w14:paraId="4BCB0D65" w14:textId="77777777" w:rsidR="00093A2D" w:rsidRPr="002E5677" w:rsidRDefault="00D240BE" w:rsidP="005C474F">
      <w:pPr>
        <w:pStyle w:val="parrafos"/>
        <w:rPr>
          <w:lang w:val="en-US"/>
        </w:rPr>
      </w:pPr>
      <w:r w:rsidRPr="00D240BE">
        <w:rPr>
          <w:lang w:val="en-US"/>
        </w:rPr>
        <w:t xml:space="preserve">The Commission has noted that judicial </w:t>
      </w:r>
      <w:r w:rsidR="006C4E07">
        <w:rPr>
          <w:lang w:val="en-US"/>
        </w:rPr>
        <w:t>officers</w:t>
      </w:r>
      <w:r w:rsidRPr="00D240BE">
        <w:rPr>
          <w:lang w:val="en-US"/>
        </w:rPr>
        <w:t xml:space="preserve"> who conduct such proceedings are attacked by their authorities or their peers with verbal insults and threats, the use of special judicial proceedings (</w:t>
      </w:r>
      <w:r w:rsidRPr="00D240BE">
        <w:rPr>
          <w:i/>
          <w:iCs/>
          <w:lang w:val="en-US"/>
        </w:rPr>
        <w:t>antejuicios</w:t>
      </w:r>
      <w:r w:rsidRPr="00D240BE">
        <w:rPr>
          <w:lang w:val="en-US"/>
        </w:rPr>
        <w:t>), an</w:t>
      </w:r>
      <w:r>
        <w:rPr>
          <w:lang w:val="en-US"/>
        </w:rPr>
        <w:t xml:space="preserve">d the filing of complaints. </w:t>
      </w:r>
      <w:r w:rsidRPr="00917BC4">
        <w:rPr>
          <w:lang w:val="en-US"/>
        </w:rPr>
        <w:t>These acts are used as instruments of control and intimidation as the</w:t>
      </w:r>
      <w:r w:rsidR="006C4E07">
        <w:rPr>
          <w:lang w:val="en-US"/>
        </w:rPr>
        <w:t xml:space="preserve"> judicial officers</w:t>
      </w:r>
      <w:r w:rsidRPr="00917BC4">
        <w:rPr>
          <w:lang w:val="en-US"/>
        </w:rPr>
        <w:t xml:space="preserve"> pursue their work, especially those who participate in high-impact corruption cases or cases in which major economic</w:t>
      </w:r>
      <w:r w:rsidR="00917BC4" w:rsidRPr="00917BC4">
        <w:rPr>
          <w:lang w:val="en-US"/>
        </w:rPr>
        <w:t xml:space="preserve"> interests are at</w:t>
      </w:r>
      <w:r w:rsidR="00917BC4">
        <w:rPr>
          <w:lang w:val="en-US"/>
        </w:rPr>
        <w:t xml:space="preserve"> stake.</w:t>
      </w:r>
      <w:r w:rsidR="00614B46" w:rsidRPr="00766381">
        <w:rPr>
          <w:rStyle w:val="FootnoteReference"/>
        </w:rPr>
        <w:footnoteReference w:id="75"/>
      </w:r>
    </w:p>
    <w:p w14:paraId="47CDA6C5" w14:textId="77777777" w:rsidR="003F039B" w:rsidRPr="002E5677" w:rsidRDefault="003F039B" w:rsidP="003F039B">
      <w:pPr>
        <w:pStyle w:val="ListParagraph"/>
        <w:rPr>
          <w:lang w:val="en-US"/>
        </w:rPr>
      </w:pPr>
    </w:p>
    <w:p w14:paraId="3783AD8E" w14:textId="77777777" w:rsidR="003F039B" w:rsidRPr="00766A89" w:rsidRDefault="002D50D9" w:rsidP="00B01DC2">
      <w:pPr>
        <w:pStyle w:val="parrafos"/>
        <w:rPr>
          <w:lang w:val="en-US"/>
        </w:rPr>
      </w:pPr>
      <w:r w:rsidRPr="00766A89">
        <w:rPr>
          <w:lang w:val="en-US"/>
        </w:rPr>
        <w:t>Along the same lines</w:t>
      </w:r>
      <w:r w:rsidR="00DD2F54" w:rsidRPr="00766A89">
        <w:rPr>
          <w:lang w:val="en-US"/>
        </w:rPr>
        <w:t xml:space="preserve">, </w:t>
      </w:r>
      <w:r w:rsidRPr="00766A89">
        <w:rPr>
          <w:lang w:val="en-US"/>
        </w:rPr>
        <w:t>the IACHR considers that</w:t>
      </w:r>
      <w:r w:rsidR="006C4E07">
        <w:rPr>
          <w:lang w:val="en-US"/>
        </w:rPr>
        <w:t>,</w:t>
      </w:r>
      <w:r w:rsidRPr="00766A89">
        <w:rPr>
          <w:lang w:val="en-US"/>
        </w:rPr>
        <w:t xml:space="preserve"> </w:t>
      </w:r>
      <w:r w:rsidR="00766A89" w:rsidRPr="00766A89">
        <w:rPr>
          <w:lang w:val="en-US"/>
        </w:rPr>
        <w:t>as public offic</w:t>
      </w:r>
      <w:r w:rsidR="00766A89">
        <w:rPr>
          <w:lang w:val="en-US"/>
        </w:rPr>
        <w:t>i</w:t>
      </w:r>
      <w:r w:rsidR="00766A89" w:rsidRPr="00766A89">
        <w:rPr>
          <w:lang w:val="en-US"/>
        </w:rPr>
        <w:t>als,</w:t>
      </w:r>
      <w:r w:rsidR="00766A89">
        <w:rPr>
          <w:lang w:val="en-US"/>
        </w:rPr>
        <w:t xml:space="preserve"> </w:t>
      </w:r>
      <w:r w:rsidRPr="00766A89">
        <w:rPr>
          <w:lang w:val="en-US"/>
        </w:rPr>
        <w:t>judges, prosecutors, and public defenders enjoy a</w:t>
      </w:r>
      <w:r w:rsidR="00766A89" w:rsidRPr="00766A89">
        <w:rPr>
          <w:lang w:val="en-US"/>
        </w:rPr>
        <w:t xml:space="preserve"> </w:t>
      </w:r>
      <w:r w:rsidRPr="00766A89">
        <w:rPr>
          <w:lang w:val="en-US"/>
        </w:rPr>
        <w:t>right to freedom of expression</w:t>
      </w:r>
      <w:r w:rsidR="00766A89" w:rsidRPr="00766A89">
        <w:rPr>
          <w:lang w:val="en-US"/>
        </w:rPr>
        <w:t xml:space="preserve"> that is quite broad, as this right is</w:t>
      </w:r>
      <w:r w:rsidRPr="00766A89">
        <w:rPr>
          <w:lang w:val="en-US"/>
        </w:rPr>
        <w:t xml:space="preserve"> necessary to explain to society, for example, </w:t>
      </w:r>
      <w:r w:rsidR="00766A89" w:rsidRPr="00766A89">
        <w:rPr>
          <w:lang w:val="en-US"/>
        </w:rPr>
        <w:t>certain</w:t>
      </w:r>
      <w:r w:rsidRPr="00766A89">
        <w:rPr>
          <w:lang w:val="en-US"/>
        </w:rPr>
        <w:t xml:space="preserve"> aspects </w:t>
      </w:r>
      <w:r w:rsidR="00766A89" w:rsidRPr="00766A89">
        <w:rPr>
          <w:lang w:val="en-US"/>
        </w:rPr>
        <w:t>of national interest and relevance. Specifically, prosecutors in charge of investigati</w:t>
      </w:r>
      <w:r w:rsidR="00766A89">
        <w:rPr>
          <w:lang w:val="en-US"/>
        </w:rPr>
        <w:t xml:space="preserve">ng </w:t>
      </w:r>
      <w:r w:rsidR="00766A89" w:rsidRPr="00766A89">
        <w:rPr>
          <w:lang w:val="en-US"/>
        </w:rPr>
        <w:t>alleged acts of corruption have the right and the duty to inform society, through the press, about the nature of the investigations they are handling and the implication</w:t>
      </w:r>
      <w:r w:rsidR="006C4E07">
        <w:rPr>
          <w:lang w:val="en-US"/>
        </w:rPr>
        <w:t>s</w:t>
      </w:r>
      <w:r w:rsidR="00766A89" w:rsidRPr="00766A89">
        <w:rPr>
          <w:lang w:val="en-US"/>
        </w:rPr>
        <w:t xml:space="preserve"> these could have for society and the State as a whole. However, this right is subject to special restrictions related to the guarantees that justice operators must provide in the cases assigned to them.</w:t>
      </w:r>
      <w:r w:rsidR="007A0FDF" w:rsidRPr="00766381">
        <w:rPr>
          <w:rStyle w:val="FootnoteReference"/>
        </w:rPr>
        <w:footnoteReference w:id="76"/>
      </w:r>
      <w:r w:rsidR="00766A89" w:rsidRPr="00766A89">
        <w:rPr>
          <w:lang w:val="en-US"/>
        </w:rPr>
        <w:t xml:space="preserve"> </w:t>
      </w:r>
      <w:r w:rsidR="007A0FDF" w:rsidRPr="00766A89">
        <w:rPr>
          <w:lang w:val="en-US"/>
        </w:rPr>
        <w:t xml:space="preserve"> </w:t>
      </w:r>
    </w:p>
    <w:p w14:paraId="51A60032" w14:textId="77777777" w:rsidR="00614B46" w:rsidRPr="00766A89" w:rsidRDefault="00614B46" w:rsidP="00DD1D53">
      <w:pPr>
        <w:pStyle w:val="ListParagraph"/>
        <w:rPr>
          <w:lang w:val="en-US"/>
        </w:rPr>
      </w:pPr>
    </w:p>
    <w:p w14:paraId="68624F4F" w14:textId="77777777" w:rsidR="00614B46" w:rsidRPr="004F2CE5" w:rsidRDefault="00C46684" w:rsidP="005C474F">
      <w:pPr>
        <w:pStyle w:val="parrafos"/>
        <w:rPr>
          <w:lang w:val="en-US"/>
        </w:rPr>
      </w:pPr>
      <w:r w:rsidRPr="004F2CE5">
        <w:rPr>
          <w:lang w:val="en-US"/>
        </w:rPr>
        <w:t>In this context, the Commission has established that States have the obligation</w:t>
      </w:r>
      <w:r w:rsidR="004F2CE5" w:rsidRPr="004F2CE5">
        <w:rPr>
          <w:lang w:val="en-US"/>
        </w:rPr>
        <w:t xml:space="preserve"> to protect justic</w:t>
      </w:r>
      <w:r w:rsidR="006C4E07">
        <w:rPr>
          <w:lang w:val="en-US"/>
        </w:rPr>
        <w:t>e</w:t>
      </w:r>
      <w:r w:rsidR="004F2CE5" w:rsidRPr="004F2CE5">
        <w:rPr>
          <w:lang w:val="en-US"/>
        </w:rPr>
        <w:t xml:space="preserve"> operators and to create adequate conditions for them to be able to carry out their work of investigating and punishing acts of corruption, guarant</w:t>
      </w:r>
      <w:r w:rsidR="004F2CE5">
        <w:rPr>
          <w:lang w:val="en-US"/>
        </w:rPr>
        <w:t>eeing their security.</w:t>
      </w:r>
      <w:r w:rsidR="00614B46" w:rsidRPr="00766381">
        <w:rPr>
          <w:rStyle w:val="FootnoteReference"/>
          <w:lang w:val="es-BO"/>
        </w:rPr>
        <w:footnoteReference w:id="77"/>
      </w:r>
    </w:p>
    <w:p w14:paraId="1E897F0A" w14:textId="77777777" w:rsidR="00BC6CF0" w:rsidRPr="004F2CE5" w:rsidRDefault="00BC6CF0" w:rsidP="00DD1D53">
      <w:pPr>
        <w:pStyle w:val="ListParagraph"/>
        <w:rPr>
          <w:lang w:val="en-US"/>
        </w:rPr>
      </w:pPr>
    </w:p>
    <w:p w14:paraId="1BDB6758" w14:textId="77777777" w:rsidR="00BC6CF0" w:rsidRPr="009852F5" w:rsidRDefault="002E5677">
      <w:pPr>
        <w:pStyle w:val="parrafos"/>
        <w:rPr>
          <w:lang w:val="en-US"/>
        </w:rPr>
      </w:pPr>
      <w:r w:rsidRPr="002F3682">
        <w:rPr>
          <w:lang w:val="en-US"/>
        </w:rPr>
        <w:t xml:space="preserve">The IACHR has also </w:t>
      </w:r>
      <w:r w:rsidR="002F3682">
        <w:rPr>
          <w:lang w:val="en-US"/>
        </w:rPr>
        <w:t>stated</w:t>
      </w:r>
      <w:r w:rsidRPr="002F3682">
        <w:rPr>
          <w:lang w:val="en-US"/>
        </w:rPr>
        <w:t xml:space="preserve"> that the legitimate</w:t>
      </w:r>
      <w:r w:rsidR="00BC6CF0" w:rsidRPr="002F3682">
        <w:rPr>
          <w:lang w:val="en-US"/>
        </w:rPr>
        <w:t xml:space="preserve"> </w:t>
      </w:r>
      <w:r w:rsidRPr="002F3682">
        <w:rPr>
          <w:lang w:val="en-US"/>
        </w:rPr>
        <w:t xml:space="preserve">protection of the principles of independence and impartiality for </w:t>
      </w:r>
      <w:r w:rsidR="008B6374">
        <w:rPr>
          <w:lang w:val="en-US"/>
        </w:rPr>
        <w:t xml:space="preserve">justice operators </w:t>
      </w:r>
      <w:r w:rsidRPr="002F3682">
        <w:rPr>
          <w:lang w:val="en-US"/>
        </w:rPr>
        <w:t xml:space="preserve">cannot be premised on the notion that an authority must remain silent on </w:t>
      </w:r>
      <w:r w:rsidR="002F3682">
        <w:rPr>
          <w:lang w:val="en-US"/>
        </w:rPr>
        <w:t xml:space="preserve">all matters of </w:t>
      </w:r>
      <w:r w:rsidRPr="002F3682">
        <w:rPr>
          <w:lang w:val="en-US"/>
        </w:rPr>
        <w:t xml:space="preserve">public </w:t>
      </w:r>
      <w:r w:rsidR="002F3682">
        <w:rPr>
          <w:lang w:val="en-US"/>
        </w:rPr>
        <w:t xml:space="preserve">relevance. Rather, </w:t>
      </w:r>
      <w:r w:rsidR="00D66364">
        <w:rPr>
          <w:lang w:val="en-US"/>
        </w:rPr>
        <w:t>for prosecutors</w:t>
      </w:r>
      <w:r w:rsidR="00D66364" w:rsidRPr="00735E19">
        <w:rPr>
          <w:lang w:val="en-US"/>
        </w:rPr>
        <w:t xml:space="preserve"> as well</w:t>
      </w:r>
      <w:r w:rsidR="00D66364">
        <w:rPr>
          <w:lang w:val="en-US"/>
        </w:rPr>
        <w:t xml:space="preserve"> as judges, </w:t>
      </w:r>
      <w:r w:rsidRPr="002F3682">
        <w:rPr>
          <w:lang w:val="en-US"/>
        </w:rPr>
        <w:t>any restrictions</w:t>
      </w:r>
      <w:r w:rsidR="00D56B9D">
        <w:rPr>
          <w:lang w:val="en-US"/>
        </w:rPr>
        <w:t xml:space="preserve"> </w:t>
      </w:r>
      <w:r w:rsidRPr="002F3682">
        <w:rPr>
          <w:lang w:val="en-US"/>
        </w:rPr>
        <w:t>must strike a proper balance</w:t>
      </w:r>
      <w:r w:rsidR="00D66364">
        <w:rPr>
          <w:lang w:val="en-US"/>
        </w:rPr>
        <w:t xml:space="preserve"> </w:t>
      </w:r>
      <w:r w:rsidRPr="002F3682">
        <w:rPr>
          <w:lang w:val="en-US"/>
        </w:rPr>
        <w:t xml:space="preserve">between the right </w:t>
      </w:r>
      <w:r w:rsidR="002F3682">
        <w:rPr>
          <w:lang w:val="en-US"/>
        </w:rPr>
        <w:t xml:space="preserve">to expression and the duty to </w:t>
      </w:r>
      <w:r w:rsidR="002F3682" w:rsidRPr="002F3682">
        <w:rPr>
          <w:lang w:val="en-US"/>
        </w:rPr>
        <w:t xml:space="preserve">exercise </w:t>
      </w:r>
      <w:r w:rsidR="00D56B9D">
        <w:rPr>
          <w:lang w:val="en-US"/>
        </w:rPr>
        <w:t xml:space="preserve">the </w:t>
      </w:r>
      <w:r w:rsidR="002F3682" w:rsidRPr="002F3682">
        <w:rPr>
          <w:lang w:val="en-US"/>
        </w:rPr>
        <w:t xml:space="preserve">discretion and prudence necessary </w:t>
      </w:r>
      <w:r w:rsidR="002F3682">
        <w:rPr>
          <w:lang w:val="en-US"/>
        </w:rPr>
        <w:t>to protect the independence and impartiality of their office.</w:t>
      </w:r>
      <w:r w:rsidR="00BC6CF0" w:rsidRPr="00766381">
        <w:rPr>
          <w:rStyle w:val="FootnoteReference"/>
          <w:rFonts w:ascii="Cambria" w:hAnsi="Cambria" w:cs="Verdana"/>
          <w:lang w:val="es-UY"/>
        </w:rPr>
        <w:footnoteReference w:id="78"/>
      </w:r>
      <w:r w:rsidR="00BC6CF0" w:rsidRPr="002F3682">
        <w:rPr>
          <w:lang w:val="en-US"/>
        </w:rPr>
        <w:t xml:space="preserve"> </w:t>
      </w:r>
      <w:r w:rsidR="00735E19" w:rsidRPr="009852F5">
        <w:rPr>
          <w:lang w:val="en-US"/>
        </w:rPr>
        <w:t>In a 2002</w:t>
      </w:r>
      <w:r w:rsidR="00BC6CF0" w:rsidRPr="009852F5">
        <w:rPr>
          <w:lang w:val="en-US"/>
        </w:rPr>
        <w:t xml:space="preserve"> </w:t>
      </w:r>
      <w:r w:rsidR="009852F5" w:rsidRPr="009852F5">
        <w:rPr>
          <w:lang w:val="en-US"/>
        </w:rPr>
        <w:t>joint declaration, the rapporteurs for freedom of expression of the UN, the IACHR, and the OSCE stated that “judges’ right to freedom of expression</w:t>
      </w:r>
      <w:r w:rsidR="00290459">
        <w:rPr>
          <w:lang w:val="en-US"/>
        </w:rPr>
        <w:t xml:space="preserve"> </w:t>
      </w:r>
      <w:r w:rsidR="00290459" w:rsidRPr="009852F5">
        <w:rPr>
          <w:lang w:val="en-US"/>
        </w:rPr>
        <w:t>[also applicable to prosecutors]</w:t>
      </w:r>
      <w:r w:rsidR="009852F5" w:rsidRPr="009852F5">
        <w:rPr>
          <w:lang w:val="en-US"/>
        </w:rPr>
        <w:t>, and to comment on matters of public concern, should be subject only to such narrow and l</w:t>
      </w:r>
      <w:r w:rsidR="009852F5">
        <w:rPr>
          <w:lang w:val="en-US"/>
        </w:rPr>
        <w:t>imited restrictions as are necessary to protect their independence and impartiality.</w:t>
      </w:r>
      <w:r w:rsidR="00BC6CF0" w:rsidRPr="009852F5">
        <w:rPr>
          <w:lang w:val="en-US"/>
        </w:rPr>
        <w:t>”</w:t>
      </w:r>
      <w:r w:rsidR="00BC6CF0" w:rsidRPr="00766381">
        <w:rPr>
          <w:rStyle w:val="FootnoteReference"/>
          <w:rFonts w:ascii="Cambria" w:hAnsi="Cambria" w:cs="Verdana"/>
          <w:lang w:val="es-UY"/>
        </w:rPr>
        <w:footnoteReference w:id="79"/>
      </w:r>
      <w:r w:rsidR="00BC6CF0" w:rsidRPr="009852F5">
        <w:rPr>
          <w:lang w:val="en-US"/>
        </w:rPr>
        <w:t xml:space="preserve"> </w:t>
      </w:r>
    </w:p>
    <w:p w14:paraId="4B186419" w14:textId="77777777" w:rsidR="00DD2F54" w:rsidRPr="009852F5" w:rsidRDefault="00DD2F54" w:rsidP="00DD2F54">
      <w:pPr>
        <w:pStyle w:val="ListParagraph"/>
        <w:rPr>
          <w:lang w:val="en-US"/>
        </w:rPr>
      </w:pPr>
    </w:p>
    <w:p w14:paraId="01C4F7B7" w14:textId="77777777" w:rsidR="00DD2F54" w:rsidRPr="00570F95" w:rsidRDefault="00570F95" w:rsidP="00DD2F54">
      <w:pPr>
        <w:pStyle w:val="parrafos"/>
        <w:rPr>
          <w:lang w:val="en-US"/>
        </w:rPr>
      </w:pPr>
      <w:r w:rsidRPr="00570F95">
        <w:rPr>
          <w:lang w:val="en-US"/>
        </w:rPr>
        <w:t xml:space="preserve">In its case law related to sanctions on judges for exercising the right to freedom of expression, the European Court has taken </w:t>
      </w:r>
      <w:r w:rsidR="00F91006" w:rsidRPr="00570F95">
        <w:rPr>
          <w:lang w:val="en-US"/>
        </w:rPr>
        <w:t xml:space="preserve">the following elements </w:t>
      </w:r>
      <w:r w:rsidRPr="00570F95">
        <w:rPr>
          <w:lang w:val="en-US"/>
        </w:rPr>
        <w:t xml:space="preserve">into account: the office held by the applicant; the content of the statements being </w:t>
      </w:r>
      <w:r w:rsidR="00F91006">
        <w:rPr>
          <w:lang w:val="en-US"/>
        </w:rPr>
        <w:t>challenged</w:t>
      </w:r>
      <w:r w:rsidRPr="00570F95">
        <w:rPr>
          <w:lang w:val="en-US"/>
        </w:rPr>
        <w:t xml:space="preserve">; the </w:t>
      </w:r>
      <w:r w:rsidR="00383A7C">
        <w:rPr>
          <w:lang w:val="en-US"/>
        </w:rPr>
        <w:t>context in</w:t>
      </w:r>
      <w:r w:rsidRPr="00570F95">
        <w:rPr>
          <w:lang w:val="en-US"/>
        </w:rPr>
        <w:t xml:space="preserve"> which</w:t>
      </w:r>
      <w:r>
        <w:rPr>
          <w:lang w:val="en-US"/>
        </w:rPr>
        <w:t xml:space="preserve"> the statements were made; and the nature and </w:t>
      </w:r>
      <w:r w:rsidR="00FD0A5F">
        <w:rPr>
          <w:lang w:val="en-US"/>
        </w:rPr>
        <w:t>severity</w:t>
      </w:r>
      <w:r>
        <w:rPr>
          <w:lang w:val="en-US"/>
        </w:rPr>
        <w:t xml:space="preserve"> of the sanctions imposed</w:t>
      </w:r>
      <w:r w:rsidR="00FD0A5F">
        <w:rPr>
          <w:lang w:val="en-US"/>
        </w:rPr>
        <w:t>.</w:t>
      </w:r>
      <w:r w:rsidR="00DD2F54" w:rsidRPr="00766381">
        <w:rPr>
          <w:rStyle w:val="FootnoteReference"/>
        </w:rPr>
        <w:footnoteReference w:id="80"/>
      </w:r>
      <w:r w:rsidR="00DD2F54" w:rsidRPr="00570F95">
        <w:rPr>
          <w:lang w:val="en-US"/>
        </w:rPr>
        <w:t xml:space="preserve"> </w:t>
      </w:r>
    </w:p>
    <w:p w14:paraId="7C5FD8C8" w14:textId="77777777" w:rsidR="00DD2F54" w:rsidRPr="00570F95" w:rsidRDefault="00DD2F54" w:rsidP="00DD2F54">
      <w:pPr>
        <w:pStyle w:val="ListParagraph"/>
        <w:rPr>
          <w:rFonts w:cs="Verdana"/>
          <w:lang w:val="en-US"/>
        </w:rPr>
      </w:pPr>
    </w:p>
    <w:p w14:paraId="040C5E6F" w14:textId="77777777" w:rsidR="0058056C" w:rsidRPr="00F91006" w:rsidRDefault="00D87A3C" w:rsidP="00CC61DF">
      <w:pPr>
        <w:pStyle w:val="parrafos"/>
        <w:rPr>
          <w:lang w:val="en-US"/>
        </w:rPr>
      </w:pPr>
      <w:r w:rsidRPr="00065208">
        <w:rPr>
          <w:rFonts w:ascii="Cambria" w:hAnsi="Cambria" w:cs="Verdana"/>
          <w:lang w:val="en-US"/>
        </w:rPr>
        <w:t>The case law of the Commission</w:t>
      </w:r>
      <w:r w:rsidRPr="00A73002">
        <w:rPr>
          <w:rFonts w:ascii="Cambria" w:hAnsi="Cambria" w:cs="Verdana"/>
          <w:lang w:val="en-US"/>
        </w:rPr>
        <w:t xml:space="preserve"> and </w:t>
      </w:r>
      <w:r w:rsidR="00A73002">
        <w:rPr>
          <w:rFonts w:ascii="Cambria" w:hAnsi="Cambria" w:cs="Verdana"/>
          <w:lang w:val="en-US"/>
        </w:rPr>
        <w:t xml:space="preserve">the </w:t>
      </w:r>
      <w:r w:rsidR="00A73002" w:rsidRPr="00A73002">
        <w:rPr>
          <w:rFonts w:ascii="Cambria" w:hAnsi="Cambria" w:cs="Verdana"/>
          <w:lang w:val="en-US"/>
        </w:rPr>
        <w:t xml:space="preserve">Inter-American </w:t>
      </w:r>
      <w:r w:rsidRPr="00A73002">
        <w:rPr>
          <w:rFonts w:ascii="Cambria" w:hAnsi="Cambria" w:cs="Verdana"/>
          <w:lang w:val="en-US"/>
        </w:rPr>
        <w:t>Court ha</w:t>
      </w:r>
      <w:r w:rsidR="00F54373" w:rsidRPr="00A73002">
        <w:rPr>
          <w:rFonts w:ascii="Cambria" w:hAnsi="Cambria" w:cs="Verdana"/>
          <w:lang w:val="en-US"/>
        </w:rPr>
        <w:t>s</w:t>
      </w:r>
      <w:r w:rsidRPr="00A73002">
        <w:rPr>
          <w:rFonts w:ascii="Cambria" w:hAnsi="Cambria" w:cs="Verdana"/>
          <w:lang w:val="en-US"/>
        </w:rPr>
        <w:t xml:space="preserve"> indicated that </w:t>
      </w:r>
      <w:r w:rsidR="00A73002">
        <w:rPr>
          <w:rFonts w:ascii="Cambria" w:hAnsi="Cambria" w:cs="Verdana"/>
          <w:lang w:val="en-US"/>
        </w:rPr>
        <w:t>limit</w:t>
      </w:r>
      <w:r w:rsidR="00F00FFB">
        <w:rPr>
          <w:rFonts w:ascii="Cambria" w:hAnsi="Cambria" w:cs="Verdana"/>
          <w:lang w:val="en-US"/>
        </w:rPr>
        <w:t>ation</w:t>
      </w:r>
      <w:r w:rsidR="00A73002">
        <w:rPr>
          <w:rFonts w:ascii="Cambria" w:hAnsi="Cambria" w:cs="Verdana"/>
          <w:lang w:val="en-US"/>
        </w:rPr>
        <w:t>s on</w:t>
      </w:r>
      <w:r w:rsidRPr="00A73002">
        <w:rPr>
          <w:rFonts w:ascii="Cambria" w:hAnsi="Cambria" w:cs="Verdana"/>
          <w:lang w:val="en-US"/>
        </w:rPr>
        <w:t xml:space="preserve"> freedom of expression must be </w:t>
      </w:r>
      <w:r w:rsidR="00F00FFB">
        <w:rPr>
          <w:rFonts w:ascii="Cambria" w:hAnsi="Cambria" w:cs="Verdana"/>
          <w:lang w:val="en-US"/>
        </w:rPr>
        <w:t xml:space="preserve">the </w:t>
      </w:r>
      <w:r w:rsidR="00FB581D" w:rsidRPr="00A73002">
        <w:rPr>
          <w:rFonts w:ascii="Cambria" w:hAnsi="Cambria" w:cs="Verdana"/>
          <w:lang w:val="en-US"/>
        </w:rPr>
        <w:t>exception</w:t>
      </w:r>
      <w:r w:rsidR="00A73002" w:rsidRPr="00A73002">
        <w:rPr>
          <w:rFonts w:ascii="Cambria" w:hAnsi="Cambria" w:cs="Verdana"/>
          <w:lang w:val="en-US"/>
        </w:rPr>
        <w:t>, and to be admissible</w:t>
      </w:r>
      <w:r w:rsidR="00A73002">
        <w:rPr>
          <w:rFonts w:ascii="Cambria" w:hAnsi="Cambria" w:cs="Verdana"/>
          <w:lang w:val="en-US"/>
        </w:rPr>
        <w:t xml:space="preserve">, they </w:t>
      </w:r>
      <w:r w:rsidR="00A73002" w:rsidRPr="00A73002">
        <w:rPr>
          <w:rFonts w:ascii="Cambria" w:hAnsi="Cambria" w:cs="Verdana"/>
          <w:lang w:val="en-US"/>
        </w:rPr>
        <w:t>must meet three basic conditions</w:t>
      </w:r>
      <w:r w:rsidR="00A73002">
        <w:rPr>
          <w:rFonts w:ascii="Cambria" w:hAnsi="Cambria" w:cs="Verdana"/>
          <w:lang w:val="en-US"/>
        </w:rPr>
        <w:t xml:space="preserve"> established in Article 13(2) of the Convention</w:t>
      </w:r>
      <w:r w:rsidR="00A73002" w:rsidRPr="00A73002">
        <w:rPr>
          <w:rFonts w:ascii="Cambria" w:hAnsi="Cambria" w:cs="Verdana"/>
          <w:lang w:val="en-US"/>
        </w:rPr>
        <w:t>:</w:t>
      </w:r>
      <w:r w:rsidR="00A73002">
        <w:rPr>
          <w:rFonts w:ascii="Cambria" w:hAnsi="Cambria" w:cs="Verdana"/>
          <w:lang w:val="en-US"/>
        </w:rPr>
        <w:t xml:space="preserve"> </w:t>
      </w:r>
      <w:r w:rsidR="00DD2F54" w:rsidRPr="00A73002">
        <w:rPr>
          <w:rFonts w:ascii="Cambria" w:hAnsi="Cambria" w:cs="Verdana"/>
          <w:lang w:val="en-US"/>
        </w:rPr>
        <w:t xml:space="preserve">(a) </w:t>
      </w:r>
      <w:r w:rsidR="00A73002">
        <w:rPr>
          <w:rFonts w:ascii="Cambria" w:hAnsi="Cambria" w:cs="Verdana"/>
          <w:lang w:val="en-US"/>
        </w:rPr>
        <w:t>the limit</w:t>
      </w:r>
      <w:r w:rsidR="00F00FFB">
        <w:rPr>
          <w:rFonts w:ascii="Cambria" w:hAnsi="Cambria" w:cs="Verdana"/>
          <w:lang w:val="en-US"/>
        </w:rPr>
        <w:t>ation must have been</w:t>
      </w:r>
      <w:r w:rsidR="00A73002">
        <w:rPr>
          <w:rFonts w:ascii="Cambria" w:hAnsi="Cambria" w:cs="Verdana"/>
          <w:lang w:val="en-US"/>
        </w:rPr>
        <w:t xml:space="preserve"> precisely and clearly </w:t>
      </w:r>
      <w:r w:rsidR="00F00FFB">
        <w:rPr>
          <w:rFonts w:ascii="Cambria" w:hAnsi="Cambria" w:cs="Verdana"/>
          <w:lang w:val="en-US"/>
        </w:rPr>
        <w:t>defined through formal and material law</w:t>
      </w:r>
      <w:r w:rsidR="00A73002">
        <w:rPr>
          <w:rFonts w:ascii="Cambria" w:hAnsi="Cambria" w:cs="Verdana"/>
          <w:lang w:val="en-US"/>
        </w:rPr>
        <w:t xml:space="preserve">. The IACHR has maintained that vague or ambiguous legal provisions that grant </w:t>
      </w:r>
      <w:r w:rsidR="00C5320F">
        <w:rPr>
          <w:rFonts w:ascii="Cambria" w:hAnsi="Cambria" w:cs="Verdana"/>
          <w:lang w:val="en-US"/>
        </w:rPr>
        <w:t>very</w:t>
      </w:r>
      <w:r w:rsidR="00A73002">
        <w:rPr>
          <w:rFonts w:ascii="Cambria" w:hAnsi="Cambria" w:cs="Verdana"/>
          <w:lang w:val="en-US"/>
        </w:rPr>
        <w:t xml:space="preserve"> broad discretionary powers to the authorities are incompatible with the American Convention</w:t>
      </w:r>
      <w:r w:rsidR="00C5320F">
        <w:rPr>
          <w:rFonts w:ascii="Cambria" w:hAnsi="Cambria" w:cs="Verdana"/>
          <w:lang w:val="en-US"/>
        </w:rPr>
        <w:t>, because they can support potential arbitrary acts that are tantamount to prior censorship or that establish disproportionate liabilities for the expression of speech protected by the treaty</w:t>
      </w:r>
      <w:r w:rsidR="00C5320F" w:rsidRPr="00C5320F">
        <w:rPr>
          <w:rFonts w:ascii="Cambria" w:hAnsi="Cambria" w:cs="Verdana"/>
          <w:lang w:val="en-US"/>
        </w:rPr>
        <w:t>.</w:t>
      </w:r>
      <w:r w:rsidR="00DD2F54" w:rsidRPr="00766381">
        <w:rPr>
          <w:rStyle w:val="FootnoteReference"/>
          <w:rFonts w:ascii="Cambria" w:hAnsi="Cambria" w:cs="Verdana"/>
          <w:lang w:val="es-UY"/>
        </w:rPr>
        <w:footnoteReference w:id="81"/>
      </w:r>
      <w:r w:rsidR="009B7A3F" w:rsidRPr="00C5320F">
        <w:rPr>
          <w:rFonts w:ascii="Cambria" w:hAnsi="Cambria" w:cs="Verdana"/>
          <w:lang w:val="en-US"/>
        </w:rPr>
        <w:t xml:space="preserve"> </w:t>
      </w:r>
      <w:r w:rsidR="00F91006" w:rsidRPr="00F91006">
        <w:rPr>
          <w:rFonts w:ascii="Cambria" w:hAnsi="Cambria" w:cs="Verdana"/>
          <w:lang w:val="en-US"/>
        </w:rPr>
        <w:t xml:space="preserve">Also, for subsequent liability that restricts freedom of expression to be legitimate, it is not enough for it to simply be </w:t>
      </w:r>
      <w:r w:rsidR="00F00FFB">
        <w:rPr>
          <w:rFonts w:ascii="Cambria" w:hAnsi="Cambria" w:cs="Verdana"/>
          <w:lang w:val="en-US"/>
        </w:rPr>
        <w:t>spelled out</w:t>
      </w:r>
      <w:r w:rsidR="00F91006" w:rsidRPr="00F91006">
        <w:rPr>
          <w:rFonts w:ascii="Cambria" w:hAnsi="Cambria" w:cs="Verdana"/>
          <w:lang w:val="en-US"/>
        </w:rPr>
        <w:t xml:space="preserve"> clearly and precisely in a law. It must also be determined </w:t>
      </w:r>
      <w:r w:rsidR="00065208">
        <w:rPr>
          <w:rFonts w:ascii="Cambria" w:hAnsi="Cambria" w:cs="Verdana"/>
          <w:lang w:val="en-US"/>
        </w:rPr>
        <w:t>(</w:t>
      </w:r>
      <w:r w:rsidR="00DD2F54" w:rsidRPr="00F91006">
        <w:rPr>
          <w:rFonts w:ascii="Cambria" w:hAnsi="Cambria" w:cs="Verdana"/>
          <w:lang w:val="en-US"/>
        </w:rPr>
        <w:t xml:space="preserve">b) </w:t>
      </w:r>
      <w:r w:rsidR="00F00FFB">
        <w:rPr>
          <w:rFonts w:ascii="Cambria" w:hAnsi="Cambria" w:cs="Verdana"/>
          <w:lang w:val="en-US"/>
        </w:rPr>
        <w:t>whether</w:t>
      </w:r>
      <w:r w:rsidR="00F00FFB" w:rsidRPr="00F91006">
        <w:rPr>
          <w:rFonts w:ascii="Cambria" w:hAnsi="Cambria" w:cs="Verdana"/>
          <w:lang w:val="en-US"/>
        </w:rPr>
        <w:t xml:space="preserve"> </w:t>
      </w:r>
      <w:r w:rsidR="00F91006" w:rsidRPr="00F91006">
        <w:rPr>
          <w:rFonts w:ascii="Cambria" w:hAnsi="Cambria" w:cs="Verdana"/>
          <w:lang w:val="en-US"/>
        </w:rPr>
        <w:t xml:space="preserve">the objective </w:t>
      </w:r>
      <w:r w:rsidR="00F00FFB">
        <w:rPr>
          <w:rFonts w:ascii="Cambria" w:hAnsi="Cambria" w:cs="Verdana"/>
          <w:lang w:val="en-US"/>
        </w:rPr>
        <w:t xml:space="preserve">the limitation </w:t>
      </w:r>
      <w:r w:rsidR="00F91006" w:rsidRPr="00F91006">
        <w:rPr>
          <w:rFonts w:ascii="Cambria" w:hAnsi="Cambria" w:cs="Verdana"/>
          <w:lang w:val="en-US"/>
        </w:rPr>
        <w:t xml:space="preserve">pursues is legitimate and justified by the American Convention and </w:t>
      </w:r>
      <w:r w:rsidR="00065208">
        <w:rPr>
          <w:rFonts w:ascii="Cambria" w:hAnsi="Cambria" w:cs="Verdana"/>
          <w:lang w:val="en-US"/>
        </w:rPr>
        <w:t>(</w:t>
      </w:r>
      <w:r w:rsidR="00DD2F54" w:rsidRPr="00F91006">
        <w:rPr>
          <w:rFonts w:ascii="Cambria" w:hAnsi="Cambria" w:cs="Verdana"/>
          <w:lang w:val="en-US"/>
        </w:rPr>
        <w:t xml:space="preserve">c) </w:t>
      </w:r>
      <w:r w:rsidR="00F00FFB">
        <w:rPr>
          <w:rFonts w:ascii="Cambria" w:hAnsi="Cambria" w:cs="Verdana"/>
          <w:lang w:val="en-US"/>
        </w:rPr>
        <w:t>whether</w:t>
      </w:r>
      <w:r w:rsidR="00F00FFB" w:rsidRPr="00F91006">
        <w:rPr>
          <w:rFonts w:ascii="Cambria" w:hAnsi="Cambria" w:cs="Verdana"/>
          <w:lang w:val="en-US"/>
        </w:rPr>
        <w:t xml:space="preserve"> </w:t>
      </w:r>
      <w:r w:rsidR="00F00FFB">
        <w:rPr>
          <w:rFonts w:ascii="Cambria" w:hAnsi="Cambria" w:cs="Verdana"/>
          <w:lang w:val="en-US"/>
        </w:rPr>
        <w:t>the limitation</w:t>
      </w:r>
      <w:r w:rsidR="00F91006" w:rsidRPr="00F91006">
        <w:rPr>
          <w:rFonts w:ascii="Cambria" w:hAnsi="Cambria" w:cs="Verdana"/>
          <w:lang w:val="en-US"/>
        </w:rPr>
        <w:t xml:space="preserve"> is necessary in a democratic society</w:t>
      </w:r>
      <w:r w:rsidR="00F91006">
        <w:rPr>
          <w:rFonts w:ascii="Cambria" w:hAnsi="Cambria" w:cs="Verdana"/>
          <w:lang w:val="en-US"/>
        </w:rPr>
        <w:t xml:space="preserve">, </w:t>
      </w:r>
      <w:r w:rsidR="00F00FFB">
        <w:rPr>
          <w:rFonts w:ascii="Cambria" w:hAnsi="Cambria" w:cs="Verdana"/>
          <w:lang w:val="en-US"/>
        </w:rPr>
        <w:t>adequate</w:t>
      </w:r>
      <w:r w:rsidR="00F91006">
        <w:rPr>
          <w:rFonts w:ascii="Cambria" w:hAnsi="Cambria" w:cs="Verdana"/>
          <w:lang w:val="en-US"/>
        </w:rPr>
        <w:t xml:space="preserve"> to </w:t>
      </w:r>
      <w:r w:rsidR="00F00FFB">
        <w:rPr>
          <w:rFonts w:ascii="Cambria" w:hAnsi="Cambria" w:cs="Verdana"/>
          <w:lang w:val="en-US"/>
        </w:rPr>
        <w:t>meet</w:t>
      </w:r>
      <w:r w:rsidR="00F91006">
        <w:rPr>
          <w:rFonts w:ascii="Cambria" w:hAnsi="Cambria" w:cs="Verdana"/>
          <w:lang w:val="en-US"/>
        </w:rPr>
        <w:t xml:space="preserve"> the objective</w:t>
      </w:r>
      <w:r w:rsidR="00F00FFB">
        <w:rPr>
          <w:rFonts w:ascii="Cambria" w:hAnsi="Cambria" w:cs="Verdana"/>
          <w:lang w:val="en-US"/>
        </w:rPr>
        <w:t xml:space="preserve"> it pursues</w:t>
      </w:r>
      <w:r w:rsidR="00F91006">
        <w:rPr>
          <w:rFonts w:ascii="Cambria" w:hAnsi="Cambria" w:cs="Verdana"/>
          <w:lang w:val="en-US"/>
        </w:rPr>
        <w:t xml:space="preserve">, and strictly proportional </w:t>
      </w:r>
      <w:r w:rsidR="00F00FFB">
        <w:rPr>
          <w:rFonts w:ascii="Cambria" w:hAnsi="Cambria" w:cs="Verdana"/>
          <w:lang w:val="en-US"/>
        </w:rPr>
        <w:t>to the end being sought.</w:t>
      </w:r>
      <w:r w:rsidR="00DD2F54" w:rsidRPr="00766381">
        <w:rPr>
          <w:rStyle w:val="FootnoteReference"/>
          <w:rFonts w:ascii="Cambria" w:hAnsi="Cambria" w:cs="Verdana"/>
          <w:lang w:val="es-UY"/>
        </w:rPr>
        <w:footnoteReference w:id="82"/>
      </w:r>
      <w:r w:rsidR="0058056C" w:rsidRPr="00F91006">
        <w:rPr>
          <w:rFonts w:ascii="Calibri" w:hAnsi="Calibri"/>
          <w:sz w:val="22"/>
          <w:szCs w:val="22"/>
          <w:lang w:val="en-US"/>
        </w:rPr>
        <w:t xml:space="preserve"> </w:t>
      </w:r>
    </w:p>
    <w:p w14:paraId="698F7069" w14:textId="77777777" w:rsidR="0058056C" w:rsidRPr="00F91006" w:rsidRDefault="0058056C" w:rsidP="00DD1D53">
      <w:pPr>
        <w:pStyle w:val="parrafos"/>
        <w:numPr>
          <w:ilvl w:val="0"/>
          <w:numId w:val="0"/>
        </w:numPr>
        <w:rPr>
          <w:lang w:val="en-US"/>
        </w:rPr>
      </w:pPr>
    </w:p>
    <w:p w14:paraId="3ED84CCD" w14:textId="77777777" w:rsidR="0058056C" w:rsidRPr="00322513" w:rsidRDefault="00D4067F" w:rsidP="00CC61DF">
      <w:pPr>
        <w:pStyle w:val="parrafos"/>
        <w:rPr>
          <w:lang w:val="en-US"/>
        </w:rPr>
      </w:pPr>
      <w:r w:rsidRPr="00D4067F">
        <w:rPr>
          <w:lang w:val="en-US"/>
        </w:rPr>
        <w:t xml:space="preserve">The IACHR maintains that in every case in which a violation of the duty to exercise prudence </w:t>
      </w:r>
      <w:r w:rsidR="000F1D7E">
        <w:rPr>
          <w:lang w:val="en-US"/>
        </w:rPr>
        <w:t>is</w:t>
      </w:r>
      <w:r w:rsidRPr="00D4067F">
        <w:rPr>
          <w:lang w:val="en-US"/>
        </w:rPr>
        <w:t xml:space="preserve"> alleged because of a judge’s or prosecutor’s participation in a matter of public interest, a careful assessment must be done to determine whether the expression of opinion affected the judge’s independen</w:t>
      </w:r>
      <w:r w:rsidR="00663E74">
        <w:rPr>
          <w:lang w:val="en-US"/>
        </w:rPr>
        <w:t>ce</w:t>
      </w:r>
      <w:r w:rsidRPr="00D4067F">
        <w:rPr>
          <w:lang w:val="en-US"/>
        </w:rPr>
        <w:t xml:space="preserve"> and </w:t>
      </w:r>
      <w:r>
        <w:rPr>
          <w:lang w:val="en-US"/>
        </w:rPr>
        <w:t>i</w:t>
      </w:r>
      <w:r w:rsidRPr="00D4067F">
        <w:rPr>
          <w:lang w:val="en-US"/>
        </w:rPr>
        <w:t>mpartiality to such an</w:t>
      </w:r>
      <w:r>
        <w:rPr>
          <w:lang w:val="en-US"/>
        </w:rPr>
        <w:t xml:space="preserve"> extent as to warrant a disciplinary sanction. </w:t>
      </w:r>
      <w:r w:rsidRPr="00322513">
        <w:rPr>
          <w:lang w:val="en-US"/>
        </w:rPr>
        <w:t xml:space="preserve">It is up to the State to prove that the purpose of the limitations imposed is </w:t>
      </w:r>
      <w:r w:rsidR="00A95FB9">
        <w:rPr>
          <w:lang w:val="en-US"/>
        </w:rPr>
        <w:t xml:space="preserve">strictly </w:t>
      </w:r>
      <w:r w:rsidRPr="00322513">
        <w:rPr>
          <w:lang w:val="en-US"/>
        </w:rPr>
        <w:t>to protect these principles</w:t>
      </w:r>
      <w:r w:rsidR="00322513" w:rsidRPr="00322513">
        <w:rPr>
          <w:lang w:val="en-US"/>
        </w:rPr>
        <w:t>, and that the l</w:t>
      </w:r>
      <w:r w:rsidR="00322513">
        <w:rPr>
          <w:lang w:val="en-US"/>
        </w:rPr>
        <w:t xml:space="preserve">imitations have been </w:t>
      </w:r>
      <w:r w:rsidR="009918CC" w:rsidRPr="00322513">
        <w:rPr>
          <w:lang w:val="en-US"/>
        </w:rPr>
        <w:t xml:space="preserve">interpreted narrowly, as they constitute an exception to the general principle whereby freedom of expression is a </w:t>
      </w:r>
      <w:r w:rsidR="008E5F32">
        <w:rPr>
          <w:lang w:val="en-US"/>
        </w:rPr>
        <w:t xml:space="preserve">broad </w:t>
      </w:r>
      <w:r w:rsidR="009918CC" w:rsidRPr="00322513">
        <w:rPr>
          <w:lang w:val="en-US"/>
        </w:rPr>
        <w:t>right guaranteed to every person equally and is especially protected in the case of speech on matters of public interest.</w:t>
      </w:r>
      <w:r w:rsidR="0058056C" w:rsidRPr="00766381">
        <w:rPr>
          <w:rStyle w:val="FootnoteReference"/>
        </w:rPr>
        <w:footnoteReference w:id="83"/>
      </w:r>
    </w:p>
    <w:p w14:paraId="0B073A74" w14:textId="77777777" w:rsidR="003310DC" w:rsidRPr="00322513" w:rsidRDefault="003310DC" w:rsidP="003310DC">
      <w:pPr>
        <w:pStyle w:val="ListParagraph"/>
        <w:rPr>
          <w:lang w:val="en-US"/>
        </w:rPr>
      </w:pPr>
    </w:p>
    <w:p w14:paraId="2F5A2FC9" w14:textId="77777777" w:rsidR="0095756A" w:rsidRPr="00DB207C" w:rsidRDefault="00322513" w:rsidP="00DD2F54">
      <w:pPr>
        <w:pStyle w:val="parrafos"/>
        <w:rPr>
          <w:lang w:val="en-US"/>
        </w:rPr>
      </w:pPr>
      <w:r w:rsidRPr="00322513">
        <w:rPr>
          <w:lang w:val="en-US"/>
        </w:rPr>
        <w:t xml:space="preserve">In the case at hand, the Commission observes that the </w:t>
      </w:r>
      <w:r w:rsidR="0057263E">
        <w:rPr>
          <w:lang w:val="en-US"/>
        </w:rPr>
        <w:t>ruling that dismissed</w:t>
      </w:r>
      <w:r w:rsidRPr="00322513">
        <w:rPr>
          <w:lang w:val="en-US"/>
        </w:rPr>
        <w:t xml:space="preserve"> Mr. </w:t>
      </w:r>
      <w:r w:rsidR="002170E3" w:rsidRPr="00322513">
        <w:rPr>
          <w:lang w:val="en-US"/>
        </w:rPr>
        <w:t xml:space="preserve">Nissen Pessolani </w:t>
      </w:r>
      <w:r w:rsidRPr="00322513">
        <w:rPr>
          <w:lang w:val="en-US"/>
        </w:rPr>
        <w:t>from his position argued that he had “</w:t>
      </w:r>
      <w:r w:rsidRPr="00716C6F">
        <w:rPr>
          <w:lang w:val="en-US"/>
        </w:rPr>
        <w:t xml:space="preserve">provided information and made comments and statements to the press and third parties that went beyond the sensitive parameters of criminal investigation in its preliminary stage, </w:t>
      </w:r>
      <w:r>
        <w:rPr>
          <w:lang w:val="en-US"/>
        </w:rPr>
        <w:t xml:space="preserve">thus affecting the honor, the reputation, or the presumption of innocence guaranteed to all citizens,” and that this conduct constituted the grounds laid out in Article </w:t>
      </w:r>
      <w:r w:rsidR="002170E3" w:rsidRPr="00322513">
        <w:rPr>
          <w:lang w:val="en-US"/>
        </w:rPr>
        <w:t xml:space="preserve">14 </w:t>
      </w:r>
      <w:r>
        <w:rPr>
          <w:lang w:val="en-US"/>
        </w:rPr>
        <w:t>subparagraph (</w:t>
      </w:r>
      <w:r w:rsidR="002170E3" w:rsidRPr="00322513">
        <w:rPr>
          <w:lang w:val="en-US"/>
        </w:rPr>
        <w:t xml:space="preserve">n) </w:t>
      </w:r>
      <w:r>
        <w:rPr>
          <w:lang w:val="en-US"/>
        </w:rPr>
        <w:t xml:space="preserve">of Law No. </w:t>
      </w:r>
      <w:r w:rsidR="002170E3" w:rsidRPr="00322513">
        <w:rPr>
          <w:lang w:val="en-US"/>
        </w:rPr>
        <w:t xml:space="preserve">1084. </w:t>
      </w:r>
      <w:r w:rsidR="004F58D4">
        <w:rPr>
          <w:lang w:val="en-US"/>
        </w:rPr>
        <w:t>In addition</w:t>
      </w:r>
      <w:r w:rsidR="008C679C" w:rsidRPr="00A169A8">
        <w:rPr>
          <w:lang w:val="en-US"/>
        </w:rPr>
        <w:t>, the judgment stated that</w:t>
      </w:r>
      <w:r w:rsidR="00A169A8">
        <w:rPr>
          <w:lang w:val="en-US"/>
        </w:rPr>
        <w:t xml:space="preserve"> </w:t>
      </w:r>
      <w:r w:rsidR="002170E3" w:rsidRPr="00A169A8">
        <w:rPr>
          <w:lang w:val="en-US"/>
        </w:rPr>
        <w:t>“</w:t>
      </w:r>
      <w:r w:rsidR="00A169A8" w:rsidRPr="002C25BB">
        <w:rPr>
          <w:lang w:val="en-US"/>
        </w:rPr>
        <w:t xml:space="preserve">with the newspaper </w:t>
      </w:r>
      <w:r w:rsidR="00A169A8">
        <w:rPr>
          <w:lang w:val="en-US"/>
        </w:rPr>
        <w:t>editions</w:t>
      </w:r>
      <w:r w:rsidR="00A169A8" w:rsidRPr="002C25BB">
        <w:rPr>
          <w:lang w:val="en-US"/>
        </w:rPr>
        <w:t xml:space="preserve">, </w:t>
      </w:r>
      <w:r w:rsidR="00A169A8">
        <w:rPr>
          <w:lang w:val="en-US"/>
        </w:rPr>
        <w:t>magnetic tapes (</w:t>
      </w:r>
      <w:r w:rsidR="00A169A8" w:rsidRPr="002C25BB">
        <w:rPr>
          <w:lang w:val="en-US"/>
        </w:rPr>
        <w:t>cassettes</w:t>
      </w:r>
      <w:r w:rsidR="00A169A8">
        <w:rPr>
          <w:lang w:val="en-US"/>
        </w:rPr>
        <w:t>)</w:t>
      </w:r>
      <w:r w:rsidR="00A169A8" w:rsidRPr="002C25BB">
        <w:rPr>
          <w:lang w:val="en-US"/>
        </w:rPr>
        <w:t xml:space="preserve">, and </w:t>
      </w:r>
      <w:r w:rsidR="00A169A8">
        <w:rPr>
          <w:lang w:val="en-US"/>
        </w:rPr>
        <w:t>audiovisual tapes (</w:t>
      </w:r>
      <w:r w:rsidR="00A169A8" w:rsidRPr="002C25BB">
        <w:rPr>
          <w:lang w:val="en-US"/>
        </w:rPr>
        <w:t>videocassettes</w:t>
      </w:r>
      <w:r w:rsidR="00A169A8">
        <w:rPr>
          <w:lang w:val="en-US"/>
        </w:rPr>
        <w:t>)</w:t>
      </w:r>
      <w:r w:rsidR="00A169A8" w:rsidRPr="002C25BB">
        <w:rPr>
          <w:lang w:val="en-US"/>
        </w:rPr>
        <w:t xml:space="preserve"> sent to this jury by different written and oral media outlets, </w:t>
      </w:r>
      <w:r w:rsidR="00A169A8">
        <w:rPr>
          <w:lang w:val="en-US"/>
        </w:rPr>
        <w:t>it is possible to verify that the accused is dangerously prone to revealing to the public the preliminary steps he is taking in the cases he is responsible for investigating.</w:t>
      </w:r>
      <w:r w:rsidR="0095756A" w:rsidRPr="00A169A8">
        <w:rPr>
          <w:lang w:val="en-US"/>
        </w:rPr>
        <w:t xml:space="preserve">” </w:t>
      </w:r>
      <w:r w:rsidR="00A169A8" w:rsidRPr="00DB207C">
        <w:rPr>
          <w:lang w:val="en-US"/>
        </w:rPr>
        <w:t xml:space="preserve">Finally, </w:t>
      </w:r>
      <w:r w:rsidR="00215AD4" w:rsidRPr="00DB207C">
        <w:rPr>
          <w:lang w:val="en-US"/>
        </w:rPr>
        <w:t>the judgment</w:t>
      </w:r>
      <w:r w:rsidR="00A169A8" w:rsidRPr="00DB207C">
        <w:rPr>
          <w:lang w:val="en-US"/>
        </w:rPr>
        <w:t xml:space="preserve"> </w:t>
      </w:r>
      <w:r w:rsidR="00215AD4" w:rsidRPr="00DB207C">
        <w:rPr>
          <w:lang w:val="en-US"/>
        </w:rPr>
        <w:t xml:space="preserve">found it “alarming” that the alleged victim had “an undue tendency” to </w:t>
      </w:r>
      <w:r w:rsidR="00DB207C" w:rsidRPr="00DB207C">
        <w:rPr>
          <w:lang w:val="en-US"/>
        </w:rPr>
        <w:t>disclose and inform the public through the media about procedural steps, investigations, testimony, and documents.</w:t>
      </w:r>
      <w:r w:rsidR="00DD2F54" w:rsidRPr="00DB207C">
        <w:rPr>
          <w:lang w:val="en-US"/>
        </w:rPr>
        <w:t xml:space="preserve"> </w:t>
      </w:r>
    </w:p>
    <w:p w14:paraId="31E7FBFA" w14:textId="77777777" w:rsidR="004921A8" w:rsidRPr="00DB207C" w:rsidRDefault="004921A8" w:rsidP="004B09ED">
      <w:pPr>
        <w:pStyle w:val="parrafos"/>
        <w:numPr>
          <w:ilvl w:val="0"/>
          <w:numId w:val="0"/>
        </w:numPr>
        <w:rPr>
          <w:lang w:val="en-US"/>
        </w:rPr>
      </w:pPr>
    </w:p>
    <w:p w14:paraId="2BBA6403" w14:textId="77777777" w:rsidR="004921A8" w:rsidRPr="001A4D2B" w:rsidRDefault="00A169A8" w:rsidP="005C474F">
      <w:pPr>
        <w:pStyle w:val="parrafos"/>
        <w:rPr>
          <w:lang w:val="en-US"/>
        </w:rPr>
      </w:pPr>
      <w:r w:rsidRPr="00A169A8">
        <w:rPr>
          <w:lang w:val="en-US"/>
        </w:rPr>
        <w:t xml:space="preserve">The Commission notes that the punitive judgment </w:t>
      </w:r>
      <w:r w:rsidR="00DB207C">
        <w:rPr>
          <w:lang w:val="en-US"/>
        </w:rPr>
        <w:t xml:space="preserve">against the </w:t>
      </w:r>
      <w:r w:rsidR="00DB207C" w:rsidRPr="00A169A8">
        <w:rPr>
          <w:lang w:val="en-US"/>
        </w:rPr>
        <w:t xml:space="preserve">alleged victim </w:t>
      </w:r>
      <w:r w:rsidRPr="00A169A8">
        <w:rPr>
          <w:lang w:val="en-US"/>
        </w:rPr>
        <w:t xml:space="preserve">did not determine, specifically and clearly, the statements </w:t>
      </w:r>
      <w:r w:rsidR="00DB207C">
        <w:rPr>
          <w:lang w:val="en-US"/>
        </w:rPr>
        <w:t>he made;</w:t>
      </w:r>
      <w:r w:rsidRPr="00A169A8">
        <w:rPr>
          <w:lang w:val="en-US"/>
        </w:rPr>
        <w:t xml:space="preserve"> the dates, context, and media outlets to which he made them</w:t>
      </w:r>
      <w:r w:rsidR="00DB207C">
        <w:rPr>
          <w:lang w:val="en-US"/>
        </w:rPr>
        <w:t>;</w:t>
      </w:r>
      <w:r w:rsidRPr="00A169A8">
        <w:rPr>
          <w:lang w:val="en-US"/>
        </w:rPr>
        <w:t xml:space="preserve"> and how these statements allegedly violated the rights of the individuals involved in the investigations being carried out by Mr. </w:t>
      </w:r>
      <w:r w:rsidR="004921A8" w:rsidRPr="00A169A8">
        <w:rPr>
          <w:lang w:val="en-US"/>
        </w:rPr>
        <w:t xml:space="preserve">Nissen Pessolani. </w:t>
      </w:r>
      <w:r w:rsidRPr="001A4D2B">
        <w:rPr>
          <w:lang w:val="en-US"/>
        </w:rPr>
        <w:t xml:space="preserve">This lack of specificity of facts and evidence is incompatible with the duty to </w:t>
      </w:r>
      <w:r w:rsidR="001A4D2B">
        <w:rPr>
          <w:lang w:val="en-US"/>
        </w:rPr>
        <w:t>provide</w:t>
      </w:r>
      <w:r w:rsidRPr="001A4D2B">
        <w:rPr>
          <w:lang w:val="en-US"/>
        </w:rPr>
        <w:t xml:space="preserve"> grounds</w:t>
      </w:r>
      <w:r w:rsidR="00DB207C">
        <w:rPr>
          <w:lang w:val="en-US"/>
        </w:rPr>
        <w:t xml:space="preserve"> for decisions</w:t>
      </w:r>
      <w:r w:rsidRPr="001A4D2B">
        <w:rPr>
          <w:lang w:val="en-US"/>
        </w:rPr>
        <w:t xml:space="preserve">, as it </w:t>
      </w:r>
      <w:r w:rsidR="001A4D2B" w:rsidRPr="001A4D2B">
        <w:rPr>
          <w:lang w:val="en-US"/>
        </w:rPr>
        <w:t>prevents an understanding of</w:t>
      </w:r>
      <w:r w:rsidRPr="001A4D2B">
        <w:rPr>
          <w:lang w:val="en-US"/>
        </w:rPr>
        <w:t xml:space="preserve"> </w:t>
      </w:r>
      <w:r w:rsidR="001A4D2B" w:rsidRPr="001A4D2B">
        <w:rPr>
          <w:lang w:val="en-US"/>
        </w:rPr>
        <w:t>how</w:t>
      </w:r>
      <w:r w:rsidRPr="001A4D2B">
        <w:rPr>
          <w:lang w:val="en-US"/>
        </w:rPr>
        <w:t xml:space="preserve"> the JEM </w:t>
      </w:r>
      <w:r w:rsidR="001A4D2B" w:rsidRPr="001A4D2B">
        <w:rPr>
          <w:lang w:val="en-US"/>
        </w:rPr>
        <w:t>made its assessme</w:t>
      </w:r>
      <w:r w:rsidR="001A4D2B">
        <w:rPr>
          <w:lang w:val="en-US"/>
        </w:rPr>
        <w:t>nt and does not explain the reasons that determined the alleged victim’s dismissal</w:t>
      </w:r>
      <w:r w:rsidR="00183B09">
        <w:rPr>
          <w:lang w:val="en-US"/>
        </w:rPr>
        <w:t xml:space="preserve"> from office</w:t>
      </w:r>
      <w:r w:rsidR="004921A8" w:rsidRPr="001A4D2B">
        <w:rPr>
          <w:rFonts w:ascii="Cambria" w:hAnsi="Cambria" w:cs="Verdana"/>
          <w:lang w:val="en-US"/>
        </w:rPr>
        <w:t>.</w:t>
      </w:r>
    </w:p>
    <w:p w14:paraId="289B97CA" w14:textId="77777777" w:rsidR="004921A8" w:rsidRPr="001A4D2B" w:rsidRDefault="004921A8" w:rsidP="004B09ED">
      <w:pPr>
        <w:pStyle w:val="parrafos"/>
        <w:numPr>
          <w:ilvl w:val="0"/>
          <w:numId w:val="0"/>
        </w:numPr>
        <w:rPr>
          <w:lang w:val="en-US"/>
        </w:rPr>
      </w:pPr>
    </w:p>
    <w:p w14:paraId="741AEBE8" w14:textId="77777777" w:rsidR="004921A8" w:rsidRPr="00183B09" w:rsidRDefault="004F58D4" w:rsidP="004921A8">
      <w:pPr>
        <w:pStyle w:val="parrafos"/>
        <w:rPr>
          <w:lang w:val="en-US"/>
        </w:rPr>
      </w:pPr>
      <w:r>
        <w:rPr>
          <w:lang w:val="en-US"/>
        </w:rPr>
        <w:t>T</w:t>
      </w:r>
      <w:r w:rsidR="001A4D2B" w:rsidRPr="00183B09">
        <w:rPr>
          <w:lang w:val="en-US"/>
        </w:rPr>
        <w:t xml:space="preserve">he Commission will </w:t>
      </w:r>
      <w:r>
        <w:rPr>
          <w:lang w:val="en-US"/>
        </w:rPr>
        <w:t xml:space="preserve">also </w:t>
      </w:r>
      <w:r w:rsidR="001A4D2B" w:rsidRPr="00183B09">
        <w:rPr>
          <w:lang w:val="en-US"/>
        </w:rPr>
        <w:t xml:space="preserve">determine whether the </w:t>
      </w:r>
      <w:r w:rsidR="00183B09" w:rsidRPr="00183B09">
        <w:rPr>
          <w:lang w:val="en-US"/>
        </w:rPr>
        <w:t>penalty of dismissal imposed on Mr.</w:t>
      </w:r>
      <w:r w:rsidR="004921A8" w:rsidRPr="00183B09">
        <w:rPr>
          <w:lang w:val="en-US"/>
        </w:rPr>
        <w:t xml:space="preserve"> Nissen Pessolani </w:t>
      </w:r>
      <w:r w:rsidR="00183B09" w:rsidRPr="00183B09">
        <w:rPr>
          <w:lang w:val="en-US"/>
        </w:rPr>
        <w:t>for exercising the righ</w:t>
      </w:r>
      <w:r w:rsidR="00183B09">
        <w:rPr>
          <w:lang w:val="en-US"/>
        </w:rPr>
        <w:t xml:space="preserve">t to freedom of expression is legitimate under the </w:t>
      </w:r>
      <w:r>
        <w:rPr>
          <w:lang w:val="en-US"/>
        </w:rPr>
        <w:t xml:space="preserve">above-described </w:t>
      </w:r>
      <w:r w:rsidR="00183B09">
        <w:rPr>
          <w:lang w:val="en-US"/>
        </w:rPr>
        <w:t>terms of the American Convention.</w:t>
      </w:r>
    </w:p>
    <w:p w14:paraId="47D92714" w14:textId="77777777" w:rsidR="0095756A" w:rsidRPr="00183B09" w:rsidRDefault="0095756A" w:rsidP="00891B36">
      <w:pPr>
        <w:pStyle w:val="parrafos"/>
        <w:numPr>
          <w:ilvl w:val="0"/>
          <w:numId w:val="0"/>
        </w:numPr>
        <w:rPr>
          <w:lang w:val="en-US"/>
        </w:rPr>
      </w:pPr>
    </w:p>
    <w:p w14:paraId="70BD1795" w14:textId="77777777" w:rsidR="00BE77B4" w:rsidRPr="006A4129" w:rsidRDefault="003A47F2" w:rsidP="002F6661">
      <w:pPr>
        <w:pStyle w:val="parrafos"/>
        <w:rPr>
          <w:lang w:val="en-US"/>
        </w:rPr>
      </w:pPr>
      <w:r w:rsidRPr="00371179">
        <w:rPr>
          <w:lang w:val="en-US"/>
        </w:rPr>
        <w:t xml:space="preserve">The legal provision contained in Article </w:t>
      </w:r>
      <w:r w:rsidR="007F08DB" w:rsidRPr="00371179">
        <w:rPr>
          <w:lang w:val="en-US"/>
        </w:rPr>
        <w:t xml:space="preserve">14 </w:t>
      </w:r>
      <w:r w:rsidRPr="00371179">
        <w:rPr>
          <w:lang w:val="en-US"/>
        </w:rPr>
        <w:t>subparagraph</w:t>
      </w:r>
      <w:r w:rsidR="007F08DB" w:rsidRPr="00371179">
        <w:rPr>
          <w:lang w:val="en-US"/>
        </w:rPr>
        <w:t xml:space="preserve"> </w:t>
      </w:r>
      <w:r w:rsidRPr="00371179">
        <w:rPr>
          <w:lang w:val="en-US"/>
        </w:rPr>
        <w:t>(</w:t>
      </w:r>
      <w:r w:rsidR="007F08DB" w:rsidRPr="00371179">
        <w:rPr>
          <w:lang w:val="en-US"/>
        </w:rPr>
        <w:t xml:space="preserve">n) </w:t>
      </w:r>
      <w:r w:rsidRPr="00371179">
        <w:rPr>
          <w:lang w:val="en-US"/>
        </w:rPr>
        <w:t xml:space="preserve">of Law No. </w:t>
      </w:r>
      <w:r w:rsidR="007F08DB" w:rsidRPr="00371179">
        <w:rPr>
          <w:lang w:val="en-US"/>
        </w:rPr>
        <w:t xml:space="preserve">1084, </w:t>
      </w:r>
      <w:r w:rsidRPr="00371179">
        <w:rPr>
          <w:lang w:val="en-US"/>
        </w:rPr>
        <w:t xml:space="preserve">used to sanction Mr. </w:t>
      </w:r>
      <w:r w:rsidR="00D2309E" w:rsidRPr="00371179">
        <w:rPr>
          <w:lang w:val="en-US"/>
        </w:rPr>
        <w:t xml:space="preserve">Nissen Pessolani, </w:t>
      </w:r>
      <w:r w:rsidRPr="00371179">
        <w:rPr>
          <w:lang w:val="en-US"/>
        </w:rPr>
        <w:t xml:space="preserve">establishes that </w:t>
      </w:r>
      <w:r w:rsidR="00C16A9F">
        <w:rPr>
          <w:lang w:val="en-US"/>
        </w:rPr>
        <w:t xml:space="preserve">a </w:t>
      </w:r>
      <w:r w:rsidRPr="00371179">
        <w:rPr>
          <w:lang w:val="en-US"/>
        </w:rPr>
        <w:t xml:space="preserve">prosecutor </w:t>
      </w:r>
      <w:r w:rsidR="00C16A9F">
        <w:rPr>
          <w:lang w:val="en-US"/>
        </w:rPr>
        <w:t>can</w:t>
      </w:r>
      <w:r w:rsidRPr="00371179">
        <w:rPr>
          <w:lang w:val="en-US"/>
        </w:rPr>
        <w:t xml:space="preserve"> be removed from office for </w:t>
      </w:r>
      <w:r w:rsidR="00371179" w:rsidRPr="00371179">
        <w:rPr>
          <w:lang w:val="en-US"/>
        </w:rPr>
        <w:t>“</w:t>
      </w:r>
      <w:r w:rsidR="008432CB">
        <w:rPr>
          <w:lang w:val="en-US"/>
        </w:rPr>
        <w:t>[</w:t>
      </w:r>
      <w:r w:rsidR="00371179" w:rsidRPr="00AD204C">
        <w:rPr>
          <w:bdr w:val="none" w:sz="0" w:space="0" w:color="auto"/>
          <w:lang w:val="en-US"/>
        </w:rPr>
        <w:t>giving</w:t>
      </w:r>
      <w:r w:rsidR="008432CB">
        <w:rPr>
          <w:bdr w:val="none" w:sz="0" w:space="0" w:color="auto"/>
          <w:lang w:val="en-US"/>
        </w:rPr>
        <w:t>]</w:t>
      </w:r>
      <w:r w:rsidR="00371179" w:rsidRPr="00AD204C">
        <w:rPr>
          <w:bdr w:val="none" w:sz="0" w:space="0" w:color="auto"/>
          <w:lang w:val="en-US"/>
        </w:rPr>
        <w:t xml:space="preserve"> information or </w:t>
      </w:r>
      <w:r w:rsidR="008432CB">
        <w:rPr>
          <w:bdr w:val="none" w:sz="0" w:space="0" w:color="auto"/>
          <w:lang w:val="en-US"/>
        </w:rPr>
        <w:t>[</w:t>
      </w:r>
      <w:r w:rsidR="00371179" w:rsidRPr="00AD204C">
        <w:rPr>
          <w:bdr w:val="none" w:sz="0" w:space="0" w:color="auto"/>
          <w:lang w:val="en-US"/>
        </w:rPr>
        <w:t>issuing</w:t>
      </w:r>
      <w:r w:rsidR="008432CB">
        <w:rPr>
          <w:bdr w:val="none" w:sz="0" w:space="0" w:color="auto"/>
          <w:lang w:val="en-US"/>
        </w:rPr>
        <w:t>]</w:t>
      </w:r>
      <w:r w:rsidR="00371179" w:rsidRPr="00AD204C">
        <w:rPr>
          <w:bdr w:val="none" w:sz="0" w:space="0" w:color="auto"/>
          <w:lang w:val="en-US"/>
        </w:rPr>
        <w:t xml:space="preserve"> </w:t>
      </w:r>
      <w:r w:rsidR="00371179">
        <w:rPr>
          <w:bdr w:val="none" w:sz="0" w:space="0" w:color="auto"/>
          <w:lang w:val="en-US"/>
        </w:rPr>
        <w:t>statements</w:t>
      </w:r>
      <w:r w:rsidR="00371179" w:rsidRPr="00AD204C">
        <w:rPr>
          <w:bdr w:val="none" w:sz="0" w:space="0" w:color="auto"/>
          <w:lang w:val="en-US"/>
        </w:rPr>
        <w:t xml:space="preserve"> or comments to</w:t>
      </w:r>
      <w:r w:rsidR="00954160">
        <w:rPr>
          <w:bdr w:val="none" w:sz="0" w:space="0" w:color="auto"/>
          <w:lang w:val="en-US"/>
        </w:rPr>
        <w:t>…</w:t>
      </w:r>
      <w:r w:rsidR="00371179" w:rsidRPr="00AD204C">
        <w:rPr>
          <w:bdr w:val="none" w:sz="0" w:space="0" w:color="auto"/>
          <w:lang w:val="en-US"/>
        </w:rPr>
        <w:t>third parties about the trials they are handling, when the</w:t>
      </w:r>
      <w:r w:rsidR="008432CB">
        <w:rPr>
          <w:bdr w:val="none" w:sz="0" w:space="0" w:color="auto"/>
          <w:lang w:val="en-US"/>
        </w:rPr>
        <w:t>y</w:t>
      </w:r>
      <w:r w:rsidR="00371179" w:rsidRPr="00AD204C">
        <w:rPr>
          <w:bdr w:val="none" w:sz="0" w:space="0" w:color="auto"/>
          <w:lang w:val="en-US"/>
        </w:rPr>
        <w:t xml:space="preserve"> might affect their processing</w:t>
      </w:r>
      <w:r w:rsidR="00954160">
        <w:rPr>
          <w:bdr w:val="none" w:sz="0" w:space="0" w:color="auto"/>
          <w:lang w:val="en-US"/>
        </w:rPr>
        <w:t>,</w:t>
      </w:r>
      <w:r w:rsidR="00371179" w:rsidRPr="00AD204C">
        <w:rPr>
          <w:bdr w:val="none" w:sz="0" w:space="0" w:color="auto"/>
          <w:lang w:val="en-US"/>
        </w:rPr>
        <w:t xml:space="preserve"> or affect the honor or reputation or the presumption of innocence established in the National </w:t>
      </w:r>
      <w:r w:rsidR="00371179" w:rsidRPr="00AD204C">
        <w:rPr>
          <w:bdr w:val="none" w:sz="0" w:space="0" w:color="auto"/>
          <w:lang w:val="en-US"/>
        </w:rPr>
        <w:lastRenderedPageBreak/>
        <w:t>Constituti</w:t>
      </w:r>
      <w:r w:rsidR="00371179">
        <w:rPr>
          <w:bdr w:val="none" w:sz="0" w:space="0" w:color="auto"/>
          <w:lang w:val="en-US"/>
        </w:rPr>
        <w:t xml:space="preserve">on; or </w:t>
      </w:r>
      <w:r w:rsidR="00954160">
        <w:rPr>
          <w:bdr w:val="none" w:sz="0" w:space="0" w:color="auto"/>
          <w:lang w:val="en-US"/>
        </w:rPr>
        <w:t>[sustaining]</w:t>
      </w:r>
      <w:r w:rsidR="00371179">
        <w:rPr>
          <w:bdr w:val="none" w:sz="0" w:space="0" w:color="auto"/>
          <w:lang w:val="en-US"/>
        </w:rPr>
        <w:t xml:space="preserve"> </w:t>
      </w:r>
      <w:r w:rsidR="00954160">
        <w:rPr>
          <w:bdr w:val="none" w:sz="0" w:space="0" w:color="auto"/>
          <w:lang w:val="en-US"/>
        </w:rPr>
        <w:t>polemics</w:t>
      </w:r>
      <w:r w:rsidR="00371179">
        <w:rPr>
          <w:bdr w:val="none" w:sz="0" w:space="0" w:color="auto"/>
          <w:lang w:val="en-US"/>
        </w:rPr>
        <w:t xml:space="preserve"> about ongoing trials.</w:t>
      </w:r>
      <w:r w:rsidR="00D2309E" w:rsidRPr="00371179">
        <w:rPr>
          <w:lang w:val="en-US"/>
        </w:rPr>
        <w:t>”</w:t>
      </w:r>
      <w:r w:rsidR="007F08DB" w:rsidRPr="00371179">
        <w:rPr>
          <w:lang w:val="en-US"/>
        </w:rPr>
        <w:t xml:space="preserve"> </w:t>
      </w:r>
      <w:r w:rsidR="00371179" w:rsidRPr="006A4129">
        <w:rPr>
          <w:lang w:val="en-US"/>
        </w:rPr>
        <w:t xml:space="preserve">The Commission considers that the way this is worded is excessively vague and ambiguous, </w:t>
      </w:r>
      <w:r w:rsidR="006A4129" w:rsidRPr="006A4129">
        <w:rPr>
          <w:lang w:val="en-US"/>
        </w:rPr>
        <w:t>which runs contrary to th</w:t>
      </w:r>
      <w:r w:rsidR="006A4129">
        <w:rPr>
          <w:lang w:val="en-US"/>
        </w:rPr>
        <w:t xml:space="preserve">e principle of legality. </w:t>
      </w:r>
      <w:r w:rsidR="006A4129" w:rsidRPr="006A4129">
        <w:rPr>
          <w:lang w:val="en-US"/>
        </w:rPr>
        <w:t xml:space="preserve">The legal provision does not establish clear parameters that would </w:t>
      </w:r>
      <w:r w:rsidR="006A4129">
        <w:rPr>
          <w:lang w:val="en-US"/>
        </w:rPr>
        <w:t>explain</w:t>
      </w:r>
      <w:r w:rsidR="006A4129" w:rsidRPr="006A4129">
        <w:rPr>
          <w:lang w:val="en-US"/>
        </w:rPr>
        <w:t xml:space="preserve"> what should be understood concerning the type and content of the information, statements, or comments provided to the press or third parties, or what might be mean</w:t>
      </w:r>
      <w:r w:rsidR="006A4129">
        <w:rPr>
          <w:lang w:val="en-US"/>
        </w:rPr>
        <w:t xml:space="preserve">t by </w:t>
      </w:r>
      <w:r w:rsidR="00D7613E">
        <w:rPr>
          <w:lang w:val="en-US"/>
        </w:rPr>
        <w:t>polemics</w:t>
      </w:r>
      <w:r w:rsidR="006A4129">
        <w:rPr>
          <w:lang w:val="en-US"/>
        </w:rPr>
        <w:t xml:space="preserve"> </w:t>
      </w:r>
      <w:r w:rsidR="00D7613E">
        <w:rPr>
          <w:lang w:val="en-US"/>
        </w:rPr>
        <w:t>about</w:t>
      </w:r>
      <w:r w:rsidR="006A4129">
        <w:rPr>
          <w:lang w:val="en-US"/>
        </w:rPr>
        <w:t xml:space="preserve"> ongoing trials. </w:t>
      </w:r>
      <w:r w:rsidR="006A4129" w:rsidRPr="006A4129">
        <w:rPr>
          <w:lang w:val="en-US"/>
        </w:rPr>
        <w:t xml:space="preserve">In this regard, it has the practical effect of </w:t>
      </w:r>
      <w:r w:rsidR="006A4129">
        <w:rPr>
          <w:lang w:val="en-US"/>
        </w:rPr>
        <w:t>abolishing</w:t>
      </w:r>
      <w:r w:rsidR="006A4129" w:rsidRPr="006A4129">
        <w:rPr>
          <w:lang w:val="en-US"/>
        </w:rPr>
        <w:t xml:space="preserve"> the prosecutor’s right to express opinions about all matters he is investigating.</w:t>
      </w:r>
    </w:p>
    <w:p w14:paraId="213EAFDC" w14:textId="77777777" w:rsidR="00DE122F" w:rsidRPr="006A4129" w:rsidRDefault="00DE122F" w:rsidP="00062550">
      <w:pPr>
        <w:pStyle w:val="ListParagraph"/>
        <w:rPr>
          <w:lang w:val="en-US"/>
        </w:rPr>
      </w:pPr>
    </w:p>
    <w:p w14:paraId="7CED40CB" w14:textId="77777777" w:rsidR="00DE122F" w:rsidRPr="003C0540" w:rsidRDefault="003A47F2" w:rsidP="002F6661">
      <w:pPr>
        <w:pStyle w:val="parrafos"/>
        <w:rPr>
          <w:lang w:val="en-US"/>
        </w:rPr>
      </w:pPr>
      <w:r w:rsidRPr="003C0540">
        <w:rPr>
          <w:lang w:val="en-US"/>
        </w:rPr>
        <w:t xml:space="preserve">The Commission understands that the cited </w:t>
      </w:r>
      <w:r w:rsidR="003C0540" w:rsidRPr="003C0540">
        <w:rPr>
          <w:lang w:val="en-US"/>
        </w:rPr>
        <w:t xml:space="preserve">legal </w:t>
      </w:r>
      <w:r w:rsidRPr="003C0540">
        <w:rPr>
          <w:lang w:val="en-US"/>
        </w:rPr>
        <w:t>provision lacks the level of specificity required for regulations that establish limitations and does</w:t>
      </w:r>
      <w:r w:rsidR="00DE122F" w:rsidRPr="003C0540">
        <w:rPr>
          <w:lang w:val="en-US"/>
        </w:rPr>
        <w:t xml:space="preserve"> </w:t>
      </w:r>
      <w:r w:rsidR="003C0540" w:rsidRPr="003C0540">
        <w:rPr>
          <w:lang w:val="en-US"/>
        </w:rPr>
        <w:t>not make it possible to observe a proper balance between prosecutors’ right to expression and the duty to exercise the discretion and prudence necessary to protect the independence and impartiality of their office</w:t>
      </w:r>
      <w:r w:rsidR="00062550" w:rsidRPr="003C0540">
        <w:rPr>
          <w:lang w:val="en-US"/>
        </w:rPr>
        <w:t>.</w:t>
      </w:r>
      <w:r w:rsidR="003C0540" w:rsidRPr="003C0540">
        <w:rPr>
          <w:lang w:val="en-US"/>
        </w:rPr>
        <w:t xml:space="preserve"> </w:t>
      </w:r>
      <w:r w:rsidR="00062550" w:rsidRPr="003C0540">
        <w:rPr>
          <w:lang w:val="en-US"/>
        </w:rPr>
        <w:t xml:space="preserve"> </w:t>
      </w:r>
    </w:p>
    <w:p w14:paraId="34DB9C97" w14:textId="77777777" w:rsidR="00BE77B4" w:rsidRPr="003C0540" w:rsidRDefault="00BE77B4" w:rsidP="004B09ED">
      <w:pPr>
        <w:pStyle w:val="ListParagraph"/>
        <w:rPr>
          <w:lang w:val="en-US"/>
        </w:rPr>
      </w:pPr>
    </w:p>
    <w:p w14:paraId="6813159C" w14:textId="77777777" w:rsidR="009B49F3" w:rsidRPr="003C0540" w:rsidRDefault="003C0540">
      <w:pPr>
        <w:pStyle w:val="parrafos"/>
        <w:rPr>
          <w:lang w:val="en-US"/>
        </w:rPr>
      </w:pPr>
      <w:r w:rsidRPr="003C0540">
        <w:rPr>
          <w:lang w:val="en-US"/>
        </w:rPr>
        <w:t>The Commission further observes that this prohibition on expression, expressed in broad and general terms, has a direct impact on the work of prosecutors who are handling investigations related to acts of corruption, as well as on the right and the duty to inform society, through the</w:t>
      </w:r>
      <w:r>
        <w:rPr>
          <w:lang w:val="en-US"/>
        </w:rPr>
        <w:t xml:space="preserve"> press, about the nature of the cases they are </w:t>
      </w:r>
      <w:r w:rsidR="008F08E5">
        <w:rPr>
          <w:lang w:val="en-US"/>
        </w:rPr>
        <w:t>handling</w:t>
      </w:r>
      <w:r>
        <w:rPr>
          <w:lang w:val="en-US"/>
        </w:rPr>
        <w:t>.</w:t>
      </w:r>
    </w:p>
    <w:p w14:paraId="3F30E9D3" w14:textId="77777777" w:rsidR="00D2309E" w:rsidRPr="003C0540" w:rsidRDefault="00D2309E" w:rsidP="004B09ED">
      <w:pPr>
        <w:pStyle w:val="ListParagraph"/>
        <w:rPr>
          <w:lang w:val="en-US"/>
        </w:rPr>
      </w:pPr>
    </w:p>
    <w:p w14:paraId="5287098F" w14:textId="77777777" w:rsidR="00D2309E" w:rsidRPr="00FE5FE7" w:rsidRDefault="00FE5FE7">
      <w:pPr>
        <w:pStyle w:val="parrafos"/>
        <w:rPr>
          <w:lang w:val="en-US"/>
        </w:rPr>
      </w:pPr>
      <w:r w:rsidRPr="00FE5FE7">
        <w:rPr>
          <w:lang w:val="en-US"/>
        </w:rPr>
        <w:t xml:space="preserve">Based on the foregoing, the Commission concludes that the ambiguity and </w:t>
      </w:r>
      <w:r w:rsidR="00A75850">
        <w:rPr>
          <w:lang w:val="en-US"/>
        </w:rPr>
        <w:t>broad scope</w:t>
      </w:r>
      <w:r w:rsidRPr="00FE5FE7">
        <w:rPr>
          <w:lang w:val="en-US"/>
        </w:rPr>
        <w:t xml:space="preserve"> of the grounds for removal </w:t>
      </w:r>
      <w:r w:rsidR="001F19E3">
        <w:rPr>
          <w:lang w:val="en-US"/>
        </w:rPr>
        <w:t>contemplated</w:t>
      </w:r>
      <w:r w:rsidRPr="00FE5FE7">
        <w:rPr>
          <w:lang w:val="en-US"/>
        </w:rPr>
        <w:t xml:space="preserve"> in Article </w:t>
      </w:r>
      <w:r w:rsidR="00D2309E" w:rsidRPr="00FE5FE7">
        <w:rPr>
          <w:lang w:val="en-US"/>
        </w:rPr>
        <w:t xml:space="preserve">14 </w:t>
      </w:r>
      <w:r w:rsidRPr="00FE5FE7">
        <w:rPr>
          <w:lang w:val="en-US"/>
        </w:rPr>
        <w:t>subparagraph</w:t>
      </w:r>
      <w:r w:rsidR="00D2309E" w:rsidRPr="00FE5FE7">
        <w:rPr>
          <w:lang w:val="en-US"/>
        </w:rPr>
        <w:t xml:space="preserve"> </w:t>
      </w:r>
      <w:r w:rsidRPr="00FE5FE7">
        <w:rPr>
          <w:lang w:val="en-US"/>
        </w:rPr>
        <w:t>(</w:t>
      </w:r>
      <w:r w:rsidR="00D2309E" w:rsidRPr="00FE5FE7">
        <w:rPr>
          <w:lang w:val="en-US"/>
        </w:rPr>
        <w:t xml:space="preserve">n) </w:t>
      </w:r>
      <w:r w:rsidRPr="00FE5FE7">
        <w:rPr>
          <w:lang w:val="en-US"/>
        </w:rPr>
        <w:t xml:space="preserve">of Law No. </w:t>
      </w:r>
      <w:r w:rsidR="00D2309E" w:rsidRPr="00FE5FE7">
        <w:rPr>
          <w:lang w:val="en-US"/>
        </w:rPr>
        <w:t xml:space="preserve">1084 </w:t>
      </w:r>
      <w:r w:rsidRPr="00FE5FE7">
        <w:rPr>
          <w:lang w:val="en-US"/>
        </w:rPr>
        <w:t>and applied in the case at</w:t>
      </w:r>
      <w:r>
        <w:rPr>
          <w:lang w:val="en-US"/>
        </w:rPr>
        <w:t xml:space="preserve"> hand implies a failure to comply with the requirement of strict legality in the imposition of restrictions o</w:t>
      </w:r>
      <w:r w:rsidR="001F19E3">
        <w:rPr>
          <w:lang w:val="en-US"/>
        </w:rPr>
        <w:t>n</w:t>
      </w:r>
      <w:r>
        <w:rPr>
          <w:lang w:val="en-US"/>
        </w:rPr>
        <w:t xml:space="preserve"> the rights to freedom of expression of Mr. </w:t>
      </w:r>
      <w:r w:rsidR="00D2309E" w:rsidRPr="00FE5FE7">
        <w:rPr>
          <w:lang w:val="en-US"/>
        </w:rPr>
        <w:t xml:space="preserve">Nissen Pessolani </w:t>
      </w:r>
      <w:r>
        <w:rPr>
          <w:lang w:val="en-US"/>
        </w:rPr>
        <w:t>in his capacity as public prosecutor</w:t>
      </w:r>
      <w:r w:rsidR="00D2309E" w:rsidRPr="00FE5FE7">
        <w:rPr>
          <w:lang w:val="en-US"/>
        </w:rPr>
        <w:t xml:space="preserve">. </w:t>
      </w:r>
    </w:p>
    <w:p w14:paraId="21869ED9" w14:textId="77777777" w:rsidR="00051873" w:rsidRPr="00FE5FE7" w:rsidRDefault="00051873" w:rsidP="004B09ED"/>
    <w:p w14:paraId="4488B3E3" w14:textId="77777777" w:rsidR="00BE765A" w:rsidRPr="00811866" w:rsidRDefault="00DF0446" w:rsidP="004B09ED">
      <w:pPr>
        <w:pStyle w:val="parrafos"/>
        <w:rPr>
          <w:lang w:val="en-US"/>
        </w:rPr>
      </w:pPr>
      <w:r w:rsidRPr="00DF0446">
        <w:rPr>
          <w:lang w:val="en-US"/>
        </w:rPr>
        <w:t>Along the same lines</w:t>
      </w:r>
      <w:r w:rsidR="00645365" w:rsidRPr="00DF0446">
        <w:rPr>
          <w:lang w:val="en-US"/>
        </w:rPr>
        <w:t xml:space="preserve">, </w:t>
      </w:r>
      <w:r w:rsidRPr="00DF0446">
        <w:rPr>
          <w:lang w:val="en-US"/>
        </w:rPr>
        <w:t xml:space="preserve">the Commission underscores that the scant </w:t>
      </w:r>
      <w:r w:rsidR="00362DFE">
        <w:rPr>
          <w:lang w:val="en-US"/>
        </w:rPr>
        <w:t xml:space="preserve">legal </w:t>
      </w:r>
      <w:r w:rsidRPr="00DF0446">
        <w:rPr>
          <w:lang w:val="en-US"/>
        </w:rPr>
        <w:t xml:space="preserve">reasoning provided in the </w:t>
      </w:r>
      <w:r w:rsidR="008B1004">
        <w:rPr>
          <w:lang w:val="en-US"/>
        </w:rPr>
        <w:t>sanction</w:t>
      </w:r>
      <w:r w:rsidRPr="00DF0446">
        <w:rPr>
          <w:lang w:val="en-US"/>
        </w:rPr>
        <w:t xml:space="preserve"> decision does not </w:t>
      </w:r>
      <w:r w:rsidR="001F19E3">
        <w:rPr>
          <w:lang w:val="en-US"/>
        </w:rPr>
        <w:t>lay out</w:t>
      </w:r>
      <w:r w:rsidRPr="00DF0446">
        <w:rPr>
          <w:lang w:val="en-US"/>
        </w:rPr>
        <w:t xml:space="preserve"> an argument that would enable verification that the restriction </w:t>
      </w:r>
      <w:r w:rsidR="001F19E3">
        <w:rPr>
          <w:lang w:val="en-US"/>
        </w:rPr>
        <w:t>on</w:t>
      </w:r>
      <w:r w:rsidRPr="00DF0446">
        <w:rPr>
          <w:lang w:val="en-US"/>
        </w:rPr>
        <w:t xml:space="preserve"> freedom of expression was based on a legitimate purpose and that it wa</w:t>
      </w:r>
      <w:r>
        <w:rPr>
          <w:lang w:val="en-US"/>
        </w:rPr>
        <w:t xml:space="preserve">s suitable, necessary, and strictly proportional to the </w:t>
      </w:r>
      <w:r w:rsidR="00A75850">
        <w:rPr>
          <w:lang w:val="en-US"/>
        </w:rPr>
        <w:t>end being sought. The IACHR considers that a sanction brought against a public prosecutor for exercising the right to freedom of expression required the Jury for the Prosecution of Magistrates, at the very least, to provide a thorough analysis of the restriction and sufficient and proper grounds, aspects that are not seen in the disciplinary ruling. Therefore, the Commission considers that an arbitrary restriction to the exercise of free</w:t>
      </w:r>
      <w:r w:rsidR="001F19E3">
        <w:rPr>
          <w:lang w:val="en-US"/>
        </w:rPr>
        <w:t>dom of</w:t>
      </w:r>
      <w:r w:rsidR="00A75850">
        <w:rPr>
          <w:lang w:val="en-US"/>
        </w:rPr>
        <w:t xml:space="preserve"> expression was imposed, through the imposition of </w:t>
      </w:r>
      <w:r w:rsidR="00A75850">
        <w:rPr>
          <w:rFonts w:ascii="Cambria" w:hAnsi="Cambria" w:cs="Verdana"/>
          <w:lang w:val="en-US"/>
        </w:rPr>
        <w:t>a</w:t>
      </w:r>
      <w:r w:rsidR="00A75850" w:rsidRPr="00F91006">
        <w:rPr>
          <w:rFonts w:ascii="Cambria" w:hAnsi="Cambria" w:cs="Verdana"/>
          <w:lang w:val="en-US"/>
        </w:rPr>
        <w:t xml:space="preserve"> subsequent liability</w:t>
      </w:r>
      <w:r w:rsidR="00A75850">
        <w:rPr>
          <w:rFonts w:ascii="Cambria" w:hAnsi="Cambria" w:cs="Verdana"/>
          <w:lang w:val="en-US"/>
        </w:rPr>
        <w:t xml:space="preserve"> that did not comply with the requirements </w:t>
      </w:r>
      <w:r w:rsidR="00D21F68">
        <w:rPr>
          <w:rFonts w:ascii="Cambria" w:hAnsi="Cambria" w:cs="Verdana"/>
          <w:lang w:val="en-US"/>
        </w:rPr>
        <w:t>established in the Convention</w:t>
      </w:r>
      <w:r w:rsidR="00E34C25" w:rsidRPr="00811866">
        <w:rPr>
          <w:rFonts w:ascii="Cambria" w:hAnsi="Cambria"/>
          <w:lang w:val="en-US"/>
        </w:rPr>
        <w:t xml:space="preserve">. </w:t>
      </w:r>
      <w:r w:rsidR="00E34C25" w:rsidRPr="00811866">
        <w:rPr>
          <w:lang w:val="en-US"/>
        </w:rPr>
        <w:t xml:space="preserve"> </w:t>
      </w:r>
    </w:p>
    <w:p w14:paraId="4B69E920" w14:textId="77777777" w:rsidR="004B09ED" w:rsidRPr="00811866" w:rsidRDefault="004B09ED" w:rsidP="004B09ED">
      <w:pPr>
        <w:pStyle w:val="parrafos"/>
        <w:numPr>
          <w:ilvl w:val="0"/>
          <w:numId w:val="0"/>
        </w:numPr>
        <w:rPr>
          <w:lang w:val="en-US"/>
        </w:rPr>
      </w:pPr>
    </w:p>
    <w:p w14:paraId="39214C6A" w14:textId="77777777" w:rsidR="00C93B49" w:rsidRPr="00EE2BA3" w:rsidRDefault="00EE2BA3" w:rsidP="004B09ED">
      <w:pPr>
        <w:pStyle w:val="parrafos"/>
        <w:rPr>
          <w:lang w:val="en-US"/>
        </w:rPr>
      </w:pPr>
      <w:r w:rsidRPr="00EE2BA3">
        <w:rPr>
          <w:rFonts w:ascii="Cambria" w:hAnsi="Cambria"/>
          <w:lang w:val="en-US"/>
        </w:rPr>
        <w:t xml:space="preserve">In light of the foregoing considerations, the IACHR concludes that the Paraguayan State violated the right to reasoned decisions, the principle of legality, and the right to freedom of expression established in Articles 8(1), </w:t>
      </w:r>
      <w:r w:rsidR="00FF086C" w:rsidRPr="00EE2BA3">
        <w:rPr>
          <w:rFonts w:ascii="Cambria" w:hAnsi="Cambria"/>
          <w:lang w:val="en-US"/>
        </w:rPr>
        <w:t>9</w:t>
      </w:r>
      <w:r w:rsidR="009B7A3F" w:rsidRPr="00EE2BA3">
        <w:rPr>
          <w:rFonts w:ascii="Cambria" w:hAnsi="Cambria"/>
          <w:lang w:val="en-US"/>
        </w:rPr>
        <w:t>, 13</w:t>
      </w:r>
      <w:r>
        <w:rPr>
          <w:rFonts w:ascii="Cambria" w:hAnsi="Cambria"/>
          <w:lang w:val="en-US"/>
        </w:rPr>
        <w:t>(</w:t>
      </w:r>
      <w:r w:rsidR="009B7A3F" w:rsidRPr="00EE2BA3">
        <w:rPr>
          <w:rFonts w:ascii="Cambria" w:hAnsi="Cambria"/>
          <w:lang w:val="en-US"/>
        </w:rPr>
        <w:t>1</w:t>
      </w:r>
      <w:r>
        <w:rPr>
          <w:rFonts w:ascii="Cambria" w:hAnsi="Cambria"/>
          <w:lang w:val="en-US"/>
        </w:rPr>
        <w:t xml:space="preserve">), and </w:t>
      </w:r>
      <w:r w:rsidR="00FF086C" w:rsidRPr="00EE2BA3">
        <w:rPr>
          <w:rFonts w:ascii="Cambria" w:hAnsi="Cambria"/>
          <w:lang w:val="en-US"/>
        </w:rPr>
        <w:t>13</w:t>
      </w:r>
      <w:r>
        <w:rPr>
          <w:rFonts w:ascii="Cambria" w:hAnsi="Cambria"/>
          <w:lang w:val="en-US"/>
        </w:rPr>
        <w:t>(</w:t>
      </w:r>
      <w:r w:rsidR="00FF086C" w:rsidRPr="00EE2BA3">
        <w:rPr>
          <w:rFonts w:ascii="Cambria" w:hAnsi="Cambria"/>
          <w:lang w:val="en-US"/>
        </w:rPr>
        <w:t>2</w:t>
      </w:r>
      <w:r>
        <w:rPr>
          <w:rFonts w:ascii="Cambria" w:hAnsi="Cambria"/>
          <w:lang w:val="en-US"/>
        </w:rPr>
        <w:t>) of the American Convention</w:t>
      </w:r>
      <w:r w:rsidR="003470C9">
        <w:rPr>
          <w:rFonts w:ascii="Cambria" w:hAnsi="Cambria"/>
          <w:lang w:val="en-US"/>
        </w:rPr>
        <w:t>,</w:t>
      </w:r>
      <w:r>
        <w:rPr>
          <w:rFonts w:ascii="Cambria" w:hAnsi="Cambria"/>
          <w:lang w:val="en-US"/>
        </w:rPr>
        <w:t xml:space="preserve"> in </w:t>
      </w:r>
      <w:r w:rsidR="003470C9">
        <w:rPr>
          <w:lang w:val="en-US"/>
        </w:rPr>
        <w:t xml:space="preserve">conjunction </w:t>
      </w:r>
      <w:r>
        <w:rPr>
          <w:rFonts w:ascii="Cambria" w:hAnsi="Cambria"/>
          <w:lang w:val="en-US"/>
        </w:rPr>
        <w:t xml:space="preserve">with Article 1(1) thereof, to the detriment of </w:t>
      </w:r>
      <w:r w:rsidR="00FF086C" w:rsidRPr="00EE2BA3">
        <w:rPr>
          <w:rFonts w:ascii="Cambria" w:hAnsi="Cambria"/>
          <w:lang w:val="en-US"/>
        </w:rPr>
        <w:t>Alejandro Nissen Pessolani.</w:t>
      </w:r>
    </w:p>
    <w:p w14:paraId="4D7D458A" w14:textId="77777777" w:rsidR="00C93B49" w:rsidRPr="00811866" w:rsidRDefault="00C93B49" w:rsidP="00AF48C1">
      <w:pPr>
        <w:pStyle w:val="Heading2"/>
        <w:rPr>
          <w:lang w:val="en-US"/>
        </w:rPr>
      </w:pPr>
      <w:bookmarkStart w:id="21" w:name="_Toc42595074"/>
      <w:r w:rsidRPr="00811866">
        <w:rPr>
          <w:lang w:val="en-US"/>
        </w:rPr>
        <w:t xml:space="preserve">5. </w:t>
      </w:r>
      <w:r w:rsidR="00811866" w:rsidRPr="004F0EAC">
        <w:rPr>
          <w:lang w:val="en-US"/>
        </w:rPr>
        <w:t>The right to appeal</w:t>
      </w:r>
      <w:r w:rsidR="00811866" w:rsidRPr="00811866">
        <w:rPr>
          <w:lang w:val="en-US"/>
        </w:rPr>
        <w:t xml:space="preserve"> </w:t>
      </w:r>
      <w:r w:rsidR="00811866">
        <w:rPr>
          <w:lang w:val="en-US"/>
        </w:rPr>
        <w:t>the</w:t>
      </w:r>
      <w:r w:rsidR="00811866" w:rsidRPr="00811866">
        <w:rPr>
          <w:lang w:val="en-US"/>
        </w:rPr>
        <w:t xml:space="preserve"> judgment</w:t>
      </w:r>
      <w:r w:rsidR="004F0EAC">
        <w:rPr>
          <w:lang w:val="en-US"/>
        </w:rPr>
        <w:t xml:space="preserve"> to a higher court</w:t>
      </w:r>
      <w:r w:rsidRPr="00766381">
        <w:rPr>
          <w:rStyle w:val="FootnoteReference"/>
          <w:rFonts w:asciiTheme="majorHAnsi" w:hAnsiTheme="majorHAnsi"/>
          <w:b w:val="0"/>
        </w:rPr>
        <w:footnoteReference w:id="84"/>
      </w:r>
      <w:r w:rsidRPr="00811866">
        <w:rPr>
          <w:lang w:val="en-US"/>
        </w:rPr>
        <w:t xml:space="preserve"> </w:t>
      </w:r>
      <w:r w:rsidR="00811866" w:rsidRPr="00811866">
        <w:rPr>
          <w:lang w:val="en-US"/>
        </w:rPr>
        <w:t>and the r</w:t>
      </w:r>
      <w:r w:rsidR="00811866">
        <w:rPr>
          <w:lang w:val="en-US"/>
        </w:rPr>
        <w:t>ight to judicial protection</w:t>
      </w:r>
      <w:r w:rsidRPr="00766381">
        <w:rPr>
          <w:rStyle w:val="FootnoteReference"/>
          <w:rFonts w:asciiTheme="majorHAnsi" w:hAnsiTheme="majorHAnsi"/>
          <w:b w:val="0"/>
        </w:rPr>
        <w:footnoteReference w:id="85"/>
      </w:r>
      <w:bookmarkEnd w:id="21"/>
    </w:p>
    <w:p w14:paraId="59E1A077" w14:textId="77777777" w:rsidR="004B5D11" w:rsidRPr="00811866" w:rsidRDefault="004B5D11" w:rsidP="004B5D11">
      <w:pPr>
        <w:tabs>
          <w:tab w:val="left" w:pos="360"/>
        </w:tabs>
        <w:suppressAutoHyphens/>
        <w:rPr>
          <w:rFonts w:asciiTheme="majorHAnsi" w:hAnsiTheme="majorHAnsi"/>
          <w:sz w:val="20"/>
          <w:szCs w:val="20"/>
        </w:rPr>
      </w:pPr>
    </w:p>
    <w:p w14:paraId="3FD5CD32" w14:textId="77777777" w:rsidR="00882572" w:rsidRPr="00446AFA" w:rsidRDefault="00E44080" w:rsidP="00B01DC2">
      <w:pPr>
        <w:pStyle w:val="parrafos"/>
        <w:rPr>
          <w:lang w:val="en-US"/>
        </w:rPr>
      </w:pPr>
      <w:r w:rsidRPr="00E44080">
        <w:rPr>
          <w:rFonts w:ascii="Cambria" w:eastAsia="Times New Roman" w:hAnsi="Cambria"/>
          <w:lang w:val="en-US" w:eastAsia="es-ES"/>
        </w:rPr>
        <w:t xml:space="preserve">The right </w:t>
      </w:r>
      <w:r w:rsidR="004F0EAC">
        <w:rPr>
          <w:rFonts w:ascii="Cambria" w:eastAsia="Times New Roman" w:hAnsi="Cambria"/>
          <w:lang w:val="en-US" w:eastAsia="es-ES"/>
        </w:rPr>
        <w:t>of</w:t>
      </w:r>
      <w:r w:rsidRPr="00E44080">
        <w:rPr>
          <w:rFonts w:ascii="Cambria" w:eastAsia="Times New Roman" w:hAnsi="Cambria"/>
          <w:lang w:val="en-US" w:eastAsia="es-ES"/>
        </w:rPr>
        <w:t xml:space="preserve"> appeal</w:t>
      </w:r>
      <w:r w:rsidR="004F0EAC">
        <w:rPr>
          <w:rFonts w:ascii="Cambria" w:eastAsia="Times New Roman" w:hAnsi="Cambria"/>
          <w:lang w:val="en-US" w:eastAsia="es-ES"/>
        </w:rPr>
        <w:t xml:space="preserve"> </w:t>
      </w:r>
      <w:r w:rsidRPr="00E44080">
        <w:rPr>
          <w:rFonts w:ascii="Cambria" w:eastAsia="Times New Roman" w:hAnsi="Cambria"/>
          <w:lang w:val="en-US" w:eastAsia="es-ES"/>
        </w:rPr>
        <w:t xml:space="preserve">is </w:t>
      </w:r>
      <w:r w:rsidR="004F0EAC">
        <w:rPr>
          <w:rFonts w:ascii="Cambria" w:eastAsia="Times New Roman" w:hAnsi="Cambria"/>
          <w:lang w:val="en-US" w:eastAsia="es-ES"/>
        </w:rPr>
        <w:t xml:space="preserve">a </w:t>
      </w:r>
      <w:r w:rsidRPr="00E44080">
        <w:rPr>
          <w:rFonts w:ascii="Cambria" w:eastAsia="Times New Roman" w:hAnsi="Cambria"/>
          <w:lang w:val="en-US" w:eastAsia="es-ES"/>
        </w:rPr>
        <w:t xml:space="preserve">part of due process of law, </w:t>
      </w:r>
      <w:r w:rsidR="004F0EAC">
        <w:rPr>
          <w:rFonts w:ascii="Cambria" w:eastAsia="Times New Roman" w:hAnsi="Cambria"/>
          <w:lang w:val="en-US" w:eastAsia="es-ES"/>
        </w:rPr>
        <w:t>under</w:t>
      </w:r>
      <w:r>
        <w:rPr>
          <w:rFonts w:ascii="Cambria" w:eastAsia="Times New Roman" w:hAnsi="Cambria"/>
          <w:lang w:val="en-US" w:eastAsia="es-ES"/>
        </w:rPr>
        <w:t xml:space="preserve"> Article 8(</w:t>
      </w:r>
      <w:r w:rsidR="00882572" w:rsidRPr="00E44080">
        <w:rPr>
          <w:rFonts w:ascii="Cambria" w:hAnsi="Cambria"/>
          <w:lang w:val="en-US"/>
        </w:rPr>
        <w:t>2</w:t>
      </w:r>
      <w:r>
        <w:rPr>
          <w:rFonts w:ascii="Cambria" w:hAnsi="Cambria"/>
          <w:lang w:val="en-US"/>
        </w:rPr>
        <w:t>)(</w:t>
      </w:r>
      <w:r w:rsidR="00882572" w:rsidRPr="00E44080">
        <w:rPr>
          <w:rFonts w:ascii="Cambria" w:hAnsi="Cambria"/>
          <w:lang w:val="en-US"/>
        </w:rPr>
        <w:t xml:space="preserve">h) </w:t>
      </w:r>
      <w:r>
        <w:rPr>
          <w:rFonts w:ascii="Cambria" w:hAnsi="Cambria"/>
          <w:lang w:val="en-US"/>
        </w:rPr>
        <w:t>of the Convention.</w:t>
      </w:r>
      <w:r w:rsidR="00882572" w:rsidRPr="00766381">
        <w:rPr>
          <w:rStyle w:val="FootnoteReference"/>
          <w:rFonts w:ascii="Cambria" w:hAnsi="Cambria"/>
        </w:rPr>
        <w:footnoteReference w:id="86"/>
      </w:r>
      <w:r w:rsidR="00882572" w:rsidRPr="00E44080">
        <w:rPr>
          <w:rFonts w:ascii="Cambria" w:hAnsi="Cambria"/>
          <w:lang w:val="en-US"/>
        </w:rPr>
        <w:t xml:space="preserve"> </w:t>
      </w:r>
      <w:r w:rsidR="004F0EAC">
        <w:rPr>
          <w:rFonts w:ascii="Cambria" w:hAnsi="Cambria"/>
          <w:lang w:val="en-US"/>
        </w:rPr>
        <w:t>With respect to</w:t>
      </w:r>
      <w:r w:rsidR="00D859E1" w:rsidRPr="00D859E1">
        <w:rPr>
          <w:rFonts w:ascii="Cambria" w:hAnsi="Cambria"/>
          <w:lang w:val="en-US"/>
        </w:rPr>
        <w:t xml:space="preserve"> this guarantee, the United Nations Basic Principles on the Independence of the Judiciary </w:t>
      </w:r>
      <w:r w:rsidR="004F0EAC">
        <w:rPr>
          <w:rFonts w:ascii="Cambria" w:hAnsi="Cambria"/>
          <w:lang w:val="en-US"/>
        </w:rPr>
        <w:t>provide,</w:t>
      </w:r>
      <w:r w:rsidR="004F0EAC" w:rsidRPr="004F0EAC">
        <w:rPr>
          <w:rFonts w:ascii="Cambria" w:hAnsi="Cambria"/>
          <w:lang w:val="en-US"/>
        </w:rPr>
        <w:t xml:space="preserve"> </w:t>
      </w:r>
      <w:r w:rsidR="004F0EAC">
        <w:rPr>
          <w:rFonts w:ascii="Cambria" w:hAnsi="Cambria"/>
          <w:lang w:val="en-US"/>
        </w:rPr>
        <w:t>referring</w:t>
      </w:r>
      <w:r w:rsidR="004F0EAC" w:rsidRPr="00D859E1">
        <w:rPr>
          <w:rFonts w:ascii="Cambria" w:hAnsi="Cambria"/>
          <w:lang w:val="en-US"/>
        </w:rPr>
        <w:t xml:space="preserve"> to judges, </w:t>
      </w:r>
      <w:r w:rsidR="00D859E1" w:rsidRPr="00D859E1">
        <w:rPr>
          <w:rFonts w:ascii="Cambria" w:hAnsi="Cambria"/>
          <w:lang w:val="en-US"/>
        </w:rPr>
        <w:t>that “decisions in disciplinary, suspension or removal proceedings should be subject to an independent review.</w:t>
      </w:r>
      <w:r w:rsidR="00882572" w:rsidRPr="00D859E1">
        <w:rPr>
          <w:rFonts w:ascii="Cambria" w:hAnsi="Cambria"/>
          <w:lang w:val="en-US"/>
        </w:rPr>
        <w:t>”</w:t>
      </w:r>
      <w:r w:rsidR="00882572" w:rsidRPr="00766381">
        <w:rPr>
          <w:rStyle w:val="FootnoteReference"/>
          <w:rFonts w:ascii="Cambria" w:hAnsi="Cambria"/>
          <w:lang w:val="es-ES_tradnl"/>
        </w:rPr>
        <w:footnoteReference w:id="87"/>
      </w:r>
      <w:r w:rsidR="00882572" w:rsidRPr="00D859E1">
        <w:rPr>
          <w:rFonts w:ascii="Cambria" w:hAnsi="Cambria"/>
          <w:lang w:val="en-US"/>
        </w:rPr>
        <w:t xml:space="preserve"> </w:t>
      </w:r>
      <w:r w:rsidR="00B67A8F">
        <w:rPr>
          <w:rFonts w:ascii="Cambria" w:hAnsi="Cambria"/>
          <w:bCs/>
          <w:lang w:val="en-US"/>
        </w:rPr>
        <w:t>The Commission</w:t>
      </w:r>
      <w:r w:rsidR="00563260" w:rsidRPr="00B67A8F">
        <w:rPr>
          <w:rFonts w:ascii="Cambria" w:hAnsi="Cambria"/>
          <w:bCs/>
          <w:lang w:val="en-US"/>
        </w:rPr>
        <w:t xml:space="preserve"> </w:t>
      </w:r>
      <w:r w:rsidR="00D356C5" w:rsidRPr="00B67A8F">
        <w:rPr>
          <w:rFonts w:ascii="Cambria" w:hAnsi="Cambria"/>
          <w:bCs/>
          <w:lang w:val="en-US"/>
        </w:rPr>
        <w:t xml:space="preserve">has found that this </w:t>
      </w:r>
      <w:r w:rsidR="0027180E">
        <w:rPr>
          <w:rFonts w:ascii="Cambria" w:hAnsi="Cambria"/>
          <w:bCs/>
          <w:lang w:val="en-US"/>
        </w:rPr>
        <w:t>matter</w:t>
      </w:r>
      <w:r w:rsidR="00D356C5" w:rsidRPr="00B67A8F">
        <w:rPr>
          <w:rFonts w:ascii="Cambria" w:hAnsi="Cambria"/>
          <w:bCs/>
          <w:lang w:val="en-US"/>
        </w:rPr>
        <w:t xml:space="preserve"> extends to justice operators such as prosecutors, who should have certain </w:t>
      </w:r>
      <w:r w:rsidR="00D356C5" w:rsidRPr="0027180E">
        <w:rPr>
          <w:rFonts w:ascii="Cambria" w:hAnsi="Cambria"/>
          <w:bCs/>
          <w:lang w:val="en-US"/>
        </w:rPr>
        <w:t>guarantees of tenure</w:t>
      </w:r>
      <w:r w:rsidR="00D356C5" w:rsidRPr="00B67A8F">
        <w:rPr>
          <w:rFonts w:ascii="Cambria" w:hAnsi="Cambria"/>
          <w:bCs/>
          <w:lang w:val="en-US"/>
        </w:rPr>
        <w:t xml:space="preserve"> and</w:t>
      </w:r>
      <w:r w:rsidR="00B67A8F">
        <w:rPr>
          <w:rFonts w:ascii="Cambria" w:hAnsi="Cambria"/>
          <w:bCs/>
          <w:lang w:val="en-US"/>
        </w:rPr>
        <w:t xml:space="preserve"> whose </w:t>
      </w:r>
      <w:r w:rsidR="0092053C">
        <w:rPr>
          <w:rFonts w:ascii="Cambria" w:hAnsi="Cambria"/>
          <w:bCs/>
          <w:lang w:val="en-US"/>
        </w:rPr>
        <w:t>review</w:t>
      </w:r>
      <w:r w:rsidR="00B67A8F">
        <w:rPr>
          <w:rFonts w:ascii="Cambria" w:hAnsi="Cambria"/>
          <w:bCs/>
          <w:lang w:val="en-US"/>
        </w:rPr>
        <w:t xml:space="preserve"> of </w:t>
      </w:r>
      <w:r w:rsidR="0027180E">
        <w:rPr>
          <w:rFonts w:ascii="Cambria" w:hAnsi="Cambria"/>
          <w:bCs/>
          <w:lang w:val="en-US"/>
        </w:rPr>
        <w:t xml:space="preserve">a </w:t>
      </w:r>
      <w:r w:rsidR="00B67A8F" w:rsidRPr="0027180E">
        <w:rPr>
          <w:rFonts w:ascii="Cambria" w:hAnsi="Cambria"/>
          <w:bCs/>
          <w:lang w:val="en-US"/>
        </w:rPr>
        <w:t xml:space="preserve">conviction </w:t>
      </w:r>
      <w:r w:rsidR="0027180E">
        <w:rPr>
          <w:rFonts w:ascii="Cambria" w:hAnsi="Cambria"/>
          <w:bCs/>
          <w:lang w:val="en-US"/>
        </w:rPr>
        <w:t>demands</w:t>
      </w:r>
      <w:r w:rsidR="00B67A8F" w:rsidRPr="00B67A8F">
        <w:rPr>
          <w:rFonts w:ascii="Cambria" w:hAnsi="Cambria"/>
          <w:bCs/>
          <w:lang w:val="en-US"/>
        </w:rPr>
        <w:t xml:space="preserve"> the </w:t>
      </w:r>
      <w:r w:rsidR="00D356C5" w:rsidRPr="00B67A8F">
        <w:rPr>
          <w:rFonts w:ascii="Cambria" w:hAnsi="Cambria"/>
          <w:bCs/>
          <w:lang w:val="en-US"/>
        </w:rPr>
        <w:t>possibility of a</w:t>
      </w:r>
      <w:r w:rsidR="00B67A8F" w:rsidRPr="00B67A8F">
        <w:rPr>
          <w:rFonts w:ascii="Cambria" w:hAnsi="Cambria"/>
          <w:bCs/>
          <w:lang w:val="en-US"/>
        </w:rPr>
        <w:t xml:space="preserve"> </w:t>
      </w:r>
      <w:r w:rsidR="0092053C">
        <w:rPr>
          <w:rFonts w:ascii="Cambria" w:hAnsi="Cambria"/>
          <w:bCs/>
          <w:lang w:val="en-US"/>
        </w:rPr>
        <w:t>comprehensive examination</w:t>
      </w:r>
      <w:r w:rsidR="00D356C5" w:rsidRPr="00B67A8F">
        <w:rPr>
          <w:rFonts w:ascii="Cambria" w:hAnsi="Cambria"/>
          <w:bCs/>
          <w:lang w:val="en-US"/>
        </w:rPr>
        <w:t xml:space="preserve"> of the decision being </w:t>
      </w:r>
      <w:r w:rsidR="00B67A8F">
        <w:rPr>
          <w:rFonts w:ascii="Cambria" w:hAnsi="Cambria"/>
          <w:bCs/>
          <w:lang w:val="en-US"/>
        </w:rPr>
        <w:t>appealed</w:t>
      </w:r>
      <w:r w:rsidR="00B67A8F" w:rsidRPr="00B67A8F">
        <w:rPr>
          <w:rFonts w:ascii="Cambria" w:hAnsi="Cambria"/>
          <w:bCs/>
          <w:lang w:val="en-US"/>
        </w:rPr>
        <w:t>,</w:t>
      </w:r>
      <w:r w:rsidR="00882572" w:rsidRPr="00766381">
        <w:rPr>
          <w:rStyle w:val="FootnoteReference"/>
          <w:rFonts w:ascii="Cambria" w:hAnsi="Cambria"/>
        </w:rPr>
        <w:footnoteReference w:id="88"/>
      </w:r>
      <w:r w:rsidR="00B67A8F" w:rsidRPr="00B67A8F">
        <w:rPr>
          <w:rFonts w:ascii="Cambria" w:hAnsi="Cambria"/>
          <w:lang w:val="en-US"/>
        </w:rPr>
        <w:t xml:space="preserve"> </w:t>
      </w:r>
      <w:r w:rsidR="0053535F">
        <w:rPr>
          <w:rFonts w:ascii="Cambria" w:hAnsi="Cambria"/>
          <w:lang w:val="en-US"/>
        </w:rPr>
        <w:t xml:space="preserve">which requires that it be verified by a </w:t>
      </w:r>
      <w:r w:rsidR="0027180E">
        <w:rPr>
          <w:rFonts w:ascii="Cambria" w:hAnsi="Cambria"/>
          <w:lang w:val="en-US"/>
        </w:rPr>
        <w:t xml:space="preserve">higher body that </w:t>
      </w:r>
      <w:r w:rsidR="0053535F">
        <w:rPr>
          <w:rFonts w:ascii="Cambria" w:hAnsi="Cambria"/>
          <w:lang w:val="en-US"/>
        </w:rPr>
        <w:t xml:space="preserve">can analyze </w:t>
      </w:r>
      <w:r w:rsidR="0027180E">
        <w:rPr>
          <w:rFonts w:ascii="Cambria" w:hAnsi="Cambria"/>
          <w:lang w:val="en-US"/>
        </w:rPr>
        <w:t>the issues of</w:t>
      </w:r>
      <w:r w:rsidR="0053535F">
        <w:rPr>
          <w:rFonts w:ascii="Cambria" w:hAnsi="Cambria"/>
          <w:lang w:val="en-US"/>
        </w:rPr>
        <w:t xml:space="preserve"> fact, evidence, and law on which the </w:t>
      </w:r>
      <w:r w:rsidR="0027180E">
        <w:rPr>
          <w:rFonts w:ascii="Cambria" w:hAnsi="Cambria"/>
          <w:lang w:val="en-US"/>
        </w:rPr>
        <w:t>contested</w:t>
      </w:r>
      <w:r w:rsidR="0053535F">
        <w:rPr>
          <w:rFonts w:ascii="Cambria" w:hAnsi="Cambria"/>
          <w:lang w:val="en-US"/>
        </w:rPr>
        <w:t xml:space="preserve"> judgment was </w:t>
      </w:r>
      <w:r w:rsidR="0053535F">
        <w:rPr>
          <w:rFonts w:ascii="Cambria" w:hAnsi="Cambria"/>
          <w:lang w:val="en-US"/>
        </w:rPr>
        <w:lastRenderedPageBreak/>
        <w:t>based.</w:t>
      </w:r>
      <w:r w:rsidR="00882572" w:rsidRPr="00766381">
        <w:rPr>
          <w:rStyle w:val="FootnoteReference"/>
          <w:rFonts w:ascii="Cambria" w:hAnsi="Cambria"/>
        </w:rPr>
        <w:footnoteReference w:id="89"/>
      </w:r>
      <w:r w:rsidR="00882572" w:rsidRPr="00B67A8F">
        <w:rPr>
          <w:rFonts w:ascii="Cambria" w:hAnsi="Cambria"/>
          <w:lang w:val="en-US"/>
        </w:rPr>
        <w:t xml:space="preserve"> </w:t>
      </w:r>
      <w:r w:rsidR="0092053C" w:rsidRPr="0092053C">
        <w:rPr>
          <w:lang w:val="en-US"/>
        </w:rPr>
        <w:t xml:space="preserve">This </w:t>
      </w:r>
      <w:r w:rsidR="0092053C">
        <w:rPr>
          <w:lang w:val="en-US"/>
        </w:rPr>
        <w:t>remedy must</w:t>
      </w:r>
      <w:r w:rsidR="0092053C" w:rsidRPr="0092053C">
        <w:rPr>
          <w:lang w:val="en-US"/>
        </w:rPr>
        <w:t xml:space="preserve"> </w:t>
      </w:r>
      <w:r w:rsidR="0092053C">
        <w:rPr>
          <w:lang w:val="en-US"/>
        </w:rPr>
        <w:t>be guaranteed</w:t>
      </w:r>
      <w:r w:rsidR="0092053C" w:rsidRPr="0092053C">
        <w:rPr>
          <w:lang w:val="en-US"/>
        </w:rPr>
        <w:t xml:space="preserve"> before the judgment becomes </w:t>
      </w:r>
      <w:r w:rsidR="0092053C" w:rsidRPr="0092053C">
        <w:rPr>
          <w:i/>
          <w:iCs/>
          <w:lang w:val="en-US"/>
        </w:rPr>
        <w:t>res judicata</w:t>
      </w:r>
      <w:r w:rsidR="00446AFA">
        <w:rPr>
          <w:lang w:val="en-US"/>
        </w:rPr>
        <w:t>;</w:t>
      </w:r>
      <w:r w:rsidR="0092053C" w:rsidRPr="0092053C">
        <w:rPr>
          <w:lang w:val="en-US"/>
        </w:rPr>
        <w:t xml:space="preserve"> it must be resolved within a reasonable period of time</w:t>
      </w:r>
      <w:r w:rsidR="00882572" w:rsidRPr="0092053C">
        <w:rPr>
          <w:lang w:val="en-US"/>
        </w:rPr>
        <w:t xml:space="preserve">, </w:t>
      </w:r>
      <w:r w:rsidR="00446AFA" w:rsidRPr="0027180E">
        <w:rPr>
          <w:lang w:val="en-US"/>
        </w:rPr>
        <w:t xml:space="preserve">in other words, </w:t>
      </w:r>
      <w:r w:rsidR="0092053C" w:rsidRPr="0027180E">
        <w:rPr>
          <w:lang w:val="en-US"/>
        </w:rPr>
        <w:t>it must be</w:t>
      </w:r>
      <w:r w:rsidR="0092053C">
        <w:rPr>
          <w:lang w:val="en-US"/>
        </w:rPr>
        <w:t xml:space="preserve"> timely</w:t>
      </w:r>
      <w:r w:rsidR="00446AFA">
        <w:rPr>
          <w:lang w:val="en-US"/>
        </w:rPr>
        <w:t>;</w:t>
      </w:r>
      <w:r w:rsidR="0092053C">
        <w:rPr>
          <w:lang w:val="en-US"/>
        </w:rPr>
        <w:t xml:space="preserve"> and </w:t>
      </w:r>
      <w:r w:rsidR="00446AFA">
        <w:rPr>
          <w:lang w:val="en-US"/>
        </w:rPr>
        <w:t xml:space="preserve">it must be </w:t>
      </w:r>
      <w:r w:rsidR="0092053C">
        <w:rPr>
          <w:lang w:val="en-US"/>
        </w:rPr>
        <w:t xml:space="preserve">effective, </w:t>
      </w:r>
      <w:r w:rsidR="00446AFA">
        <w:rPr>
          <w:lang w:val="en-US"/>
        </w:rPr>
        <w:t xml:space="preserve">in other words, it must provide results or responses to the end that it was intended to serve. </w:t>
      </w:r>
      <w:r w:rsidR="00446AFA" w:rsidRPr="00446AFA">
        <w:rPr>
          <w:lang w:val="en-US"/>
        </w:rPr>
        <w:t>More</w:t>
      </w:r>
      <w:r w:rsidR="0078420B">
        <w:rPr>
          <w:lang w:val="en-US"/>
        </w:rPr>
        <w:t>o</w:t>
      </w:r>
      <w:r w:rsidR="00446AFA" w:rsidRPr="00446AFA">
        <w:rPr>
          <w:lang w:val="en-US"/>
        </w:rPr>
        <w:t xml:space="preserve">ver, the remedy must be accessible; </w:t>
      </w:r>
      <w:r w:rsidR="00446AFA">
        <w:rPr>
          <w:lang w:val="en-US"/>
        </w:rPr>
        <w:t xml:space="preserve">hence, </w:t>
      </w:r>
      <w:r w:rsidR="00446AFA" w:rsidRPr="00446AFA">
        <w:rPr>
          <w:lang w:val="en-US"/>
        </w:rPr>
        <w:t xml:space="preserve">the kind of </w:t>
      </w:r>
      <w:r w:rsidR="00446AFA">
        <w:rPr>
          <w:lang w:val="en-US"/>
        </w:rPr>
        <w:t>complex formalities that would render this right illusory must not be required.</w:t>
      </w:r>
      <w:r w:rsidR="00882572" w:rsidRPr="00766381">
        <w:rPr>
          <w:vertAlign w:val="superscript"/>
        </w:rPr>
        <w:footnoteReference w:id="90"/>
      </w:r>
    </w:p>
    <w:p w14:paraId="082DDA73" w14:textId="77777777" w:rsidR="00B01DC2" w:rsidRPr="00446AFA" w:rsidRDefault="00B01DC2" w:rsidP="00B01DC2">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jc w:val="both"/>
        <w:rPr>
          <w:rFonts w:asciiTheme="majorHAnsi" w:hAnsiTheme="majorHAnsi"/>
          <w:sz w:val="20"/>
          <w:szCs w:val="20"/>
        </w:rPr>
      </w:pPr>
    </w:p>
    <w:p w14:paraId="622214BD" w14:textId="77777777" w:rsidR="00B01DC2" w:rsidRPr="00952EA2" w:rsidRDefault="00CC20D1" w:rsidP="00B01DC2">
      <w:pPr>
        <w:pStyle w:val="parrafos"/>
        <w:rPr>
          <w:lang w:val="en-US"/>
        </w:rPr>
      </w:pPr>
      <w:r w:rsidRPr="00CC20D1">
        <w:rPr>
          <w:lang w:val="en-US"/>
        </w:rPr>
        <w:t>The IACHR has maintained that the State has a general obligation to provide effective judicial recourse to persons who claim to be victims of human rights violations (Article</w:t>
      </w:r>
      <w:r w:rsidR="00B01DC2" w:rsidRPr="00CC20D1">
        <w:rPr>
          <w:lang w:val="en-US"/>
        </w:rPr>
        <w:t xml:space="preserve"> 25), </w:t>
      </w:r>
      <w:r w:rsidR="00CF7287">
        <w:rPr>
          <w:lang w:val="en-US"/>
        </w:rPr>
        <w:t xml:space="preserve">and that </w:t>
      </w:r>
      <w:r w:rsidR="003C17AB">
        <w:rPr>
          <w:lang w:val="en-US"/>
        </w:rPr>
        <w:t>remedy</w:t>
      </w:r>
      <w:r w:rsidR="00CF7287">
        <w:rPr>
          <w:lang w:val="en-US"/>
        </w:rPr>
        <w:t xml:space="preserve"> must be substantiated</w:t>
      </w:r>
      <w:r w:rsidR="00B01DC2" w:rsidRPr="00CC20D1">
        <w:rPr>
          <w:lang w:val="en-US"/>
        </w:rPr>
        <w:t xml:space="preserve"> </w:t>
      </w:r>
      <w:r w:rsidR="00CF7287">
        <w:rPr>
          <w:lang w:val="en-US"/>
        </w:rPr>
        <w:t xml:space="preserve">in accordance with the rules of due process of law </w:t>
      </w:r>
      <w:r w:rsidR="00B01DC2" w:rsidRPr="00CC20D1">
        <w:rPr>
          <w:lang w:val="en-US"/>
        </w:rPr>
        <w:t>(</w:t>
      </w:r>
      <w:r w:rsidR="00CF7287">
        <w:rPr>
          <w:lang w:val="en-US"/>
        </w:rPr>
        <w:t>Article</w:t>
      </w:r>
      <w:r w:rsidR="00B01DC2" w:rsidRPr="00CC20D1">
        <w:rPr>
          <w:lang w:val="en-US"/>
        </w:rPr>
        <w:t xml:space="preserve"> 8.1). </w:t>
      </w:r>
      <w:r w:rsidR="00952EA2" w:rsidRPr="00952EA2">
        <w:rPr>
          <w:lang w:val="en-US"/>
        </w:rPr>
        <w:t>For a</w:t>
      </w:r>
      <w:r w:rsidR="00952EA2">
        <w:rPr>
          <w:lang w:val="en-US"/>
        </w:rPr>
        <w:t>n effective</w:t>
      </w:r>
      <w:r w:rsidR="00952EA2" w:rsidRPr="00952EA2">
        <w:rPr>
          <w:lang w:val="en-US"/>
        </w:rPr>
        <w:t xml:space="preserve"> recourse to </w:t>
      </w:r>
      <w:r w:rsidR="00952EA2">
        <w:rPr>
          <w:lang w:val="en-US"/>
        </w:rPr>
        <w:t>exist</w:t>
      </w:r>
      <w:r w:rsidR="00952EA2" w:rsidRPr="00952EA2">
        <w:rPr>
          <w:lang w:val="en-US"/>
        </w:rPr>
        <w:t xml:space="preserve">, it is not enough </w:t>
      </w:r>
      <w:r w:rsidR="00952EA2">
        <w:rPr>
          <w:lang w:val="en-US"/>
        </w:rPr>
        <w:t>for it to be</w:t>
      </w:r>
      <w:r w:rsidR="00952EA2" w:rsidRPr="00952EA2">
        <w:rPr>
          <w:lang w:val="en-US"/>
        </w:rPr>
        <w:t xml:space="preserve"> established </w:t>
      </w:r>
      <w:r w:rsidR="00952EA2">
        <w:rPr>
          <w:lang w:val="en-US"/>
        </w:rPr>
        <w:t>by</w:t>
      </w:r>
      <w:r w:rsidR="00952EA2" w:rsidRPr="00952EA2">
        <w:rPr>
          <w:lang w:val="en-US"/>
        </w:rPr>
        <w:t xml:space="preserve"> law</w:t>
      </w:r>
      <w:r w:rsidR="00952EA2">
        <w:rPr>
          <w:lang w:val="en-US"/>
        </w:rPr>
        <w:t>; rather</w:t>
      </w:r>
      <w:r w:rsidR="00A708E8">
        <w:rPr>
          <w:lang w:val="en-US"/>
        </w:rPr>
        <w:t>,</w:t>
      </w:r>
      <w:r w:rsidR="00952EA2">
        <w:rPr>
          <w:lang w:val="en-US"/>
        </w:rPr>
        <w:t xml:space="preserve"> </w:t>
      </w:r>
      <w:r w:rsidR="00952EA2" w:rsidRPr="00952EA2">
        <w:rPr>
          <w:lang w:val="en-US"/>
        </w:rPr>
        <w:t xml:space="preserve">it </w:t>
      </w:r>
      <w:r w:rsidR="00CB35B1">
        <w:rPr>
          <w:lang w:val="en-US"/>
        </w:rPr>
        <w:t>needs to</w:t>
      </w:r>
      <w:r w:rsidR="00952EA2" w:rsidRPr="00952EA2">
        <w:rPr>
          <w:lang w:val="en-US"/>
        </w:rPr>
        <w:t xml:space="preserve"> be </w:t>
      </w:r>
      <w:r w:rsidR="00952EA2" w:rsidRPr="00CB35B1">
        <w:rPr>
          <w:lang w:val="en-US"/>
        </w:rPr>
        <w:t xml:space="preserve">truly </w:t>
      </w:r>
      <w:r w:rsidR="00777249" w:rsidRPr="00CB35B1">
        <w:rPr>
          <w:lang w:val="en-US"/>
        </w:rPr>
        <w:t>appropriate</w:t>
      </w:r>
      <w:r w:rsidR="00952EA2" w:rsidRPr="00952EA2">
        <w:rPr>
          <w:lang w:val="en-US"/>
        </w:rPr>
        <w:t xml:space="preserve"> </w:t>
      </w:r>
      <w:r w:rsidR="00CB35B1">
        <w:rPr>
          <w:lang w:val="en-US"/>
        </w:rPr>
        <w:t>for</w:t>
      </w:r>
      <w:r w:rsidR="00952EA2" w:rsidRPr="00952EA2">
        <w:rPr>
          <w:lang w:val="en-US"/>
        </w:rPr>
        <w:t xml:space="preserve"> </w:t>
      </w:r>
      <w:r w:rsidR="00777249">
        <w:rPr>
          <w:lang w:val="en-US"/>
        </w:rPr>
        <w:t>establish</w:t>
      </w:r>
      <w:r w:rsidR="00CB35B1">
        <w:rPr>
          <w:lang w:val="en-US"/>
        </w:rPr>
        <w:t>ing</w:t>
      </w:r>
      <w:r w:rsidR="00952EA2" w:rsidRPr="00952EA2">
        <w:rPr>
          <w:lang w:val="en-US"/>
        </w:rPr>
        <w:t xml:space="preserve"> whether there has been a </w:t>
      </w:r>
      <w:r w:rsidR="00CB35B1">
        <w:rPr>
          <w:lang w:val="en-US"/>
        </w:rPr>
        <w:t>human rights</w:t>
      </w:r>
      <w:r w:rsidR="00CB35B1" w:rsidRPr="00952EA2">
        <w:rPr>
          <w:lang w:val="en-US"/>
        </w:rPr>
        <w:t xml:space="preserve"> </w:t>
      </w:r>
      <w:r w:rsidR="00952EA2" w:rsidRPr="00952EA2">
        <w:rPr>
          <w:lang w:val="en-US"/>
        </w:rPr>
        <w:t>violation</w:t>
      </w:r>
      <w:r w:rsidR="00952EA2">
        <w:rPr>
          <w:lang w:val="en-US"/>
        </w:rPr>
        <w:t xml:space="preserve"> and </w:t>
      </w:r>
      <w:r w:rsidR="00CB35B1">
        <w:rPr>
          <w:lang w:val="en-US"/>
        </w:rPr>
        <w:t>for</w:t>
      </w:r>
      <w:r w:rsidR="00777249">
        <w:rPr>
          <w:lang w:val="en-US"/>
        </w:rPr>
        <w:t xml:space="preserve"> </w:t>
      </w:r>
      <w:r w:rsidR="00952EA2">
        <w:rPr>
          <w:lang w:val="en-US"/>
        </w:rPr>
        <w:t>provid</w:t>
      </w:r>
      <w:r w:rsidR="00CB35B1">
        <w:rPr>
          <w:lang w:val="en-US"/>
        </w:rPr>
        <w:t>ing</w:t>
      </w:r>
      <w:r w:rsidR="00952EA2">
        <w:rPr>
          <w:lang w:val="en-US"/>
        </w:rPr>
        <w:t xml:space="preserve"> whatever is necessary to remedy </w:t>
      </w:r>
      <w:r w:rsidR="00CB35B1">
        <w:rPr>
          <w:lang w:val="en-US"/>
        </w:rPr>
        <w:t>this</w:t>
      </w:r>
      <w:r w:rsidR="00952EA2">
        <w:rPr>
          <w:lang w:val="en-US"/>
        </w:rPr>
        <w:t>.</w:t>
      </w:r>
      <w:r w:rsidR="00B01DC2" w:rsidRPr="00766381">
        <w:rPr>
          <w:vertAlign w:val="superscript"/>
        </w:rPr>
        <w:footnoteReference w:id="91"/>
      </w:r>
      <w:r w:rsidR="00B01DC2" w:rsidRPr="00952EA2">
        <w:rPr>
          <w:lang w:val="en-US"/>
        </w:rPr>
        <w:t xml:space="preserve"> </w:t>
      </w:r>
    </w:p>
    <w:p w14:paraId="508281E2" w14:textId="77777777" w:rsidR="00BE2F97" w:rsidRPr="00952EA2" w:rsidRDefault="00BE2F97" w:rsidP="00BE2F97">
      <w:pPr>
        <w:pStyle w:val="ListParagraph"/>
        <w:rPr>
          <w:lang w:val="en-US"/>
        </w:rPr>
      </w:pPr>
    </w:p>
    <w:p w14:paraId="39BD922B" w14:textId="77777777" w:rsidR="00FE339C" w:rsidRPr="000A13AB" w:rsidRDefault="00294AC6" w:rsidP="00F04DC9">
      <w:pPr>
        <w:pStyle w:val="parrafos"/>
        <w:rPr>
          <w:lang w:val="en-US"/>
        </w:rPr>
      </w:pPr>
      <w:r w:rsidRPr="00294AC6">
        <w:rPr>
          <w:rFonts w:ascii="Cambria" w:hAnsi="Cambria"/>
          <w:lang w:val="en-US"/>
        </w:rPr>
        <w:t xml:space="preserve">The IACHR calls to mind that the legal framework applicable to this case establishes, in its Article 21, with regard to final </w:t>
      </w:r>
      <w:r w:rsidR="00DB0EAC">
        <w:rPr>
          <w:rFonts w:ascii="Cambria" w:hAnsi="Cambria"/>
          <w:lang w:val="en-US"/>
        </w:rPr>
        <w:t>judgments</w:t>
      </w:r>
      <w:r w:rsidR="00DB0EAC" w:rsidRPr="00294AC6">
        <w:rPr>
          <w:rFonts w:ascii="Cambria" w:hAnsi="Cambria"/>
          <w:lang w:val="en-US"/>
        </w:rPr>
        <w:t xml:space="preserve"> </w:t>
      </w:r>
      <w:r w:rsidR="00CB35B1">
        <w:rPr>
          <w:rFonts w:ascii="Cambria" w:hAnsi="Cambria"/>
          <w:lang w:val="en-US"/>
        </w:rPr>
        <w:t xml:space="preserve">issued </w:t>
      </w:r>
      <w:r w:rsidRPr="00294AC6">
        <w:rPr>
          <w:rFonts w:ascii="Cambria" w:hAnsi="Cambria"/>
          <w:lang w:val="en-US"/>
        </w:rPr>
        <w:t>by the Jury for the Prosecution of Magistrates, that “</w:t>
      </w:r>
      <w:r>
        <w:rPr>
          <w:rFonts w:ascii="Cambria" w:hAnsi="Cambria"/>
          <w:lang w:val="en-US"/>
        </w:rPr>
        <w:t>any</w:t>
      </w:r>
      <w:r w:rsidRPr="00294AC6">
        <w:rPr>
          <w:rFonts w:ascii="Cambria" w:hAnsi="Cambria"/>
          <w:lang w:val="en-US"/>
        </w:rPr>
        <w:t xml:space="preserve"> final </w:t>
      </w:r>
      <w:r w:rsidR="00DB0EAC">
        <w:rPr>
          <w:rFonts w:ascii="Cambria" w:hAnsi="Cambria"/>
          <w:lang w:val="en-US"/>
        </w:rPr>
        <w:t>judgments</w:t>
      </w:r>
      <w:r w:rsidRPr="00294AC6">
        <w:rPr>
          <w:rFonts w:ascii="Cambria" w:hAnsi="Cambria"/>
          <w:lang w:val="en-US"/>
        </w:rPr>
        <w:t>, resolutions, and orders th</w:t>
      </w:r>
      <w:r>
        <w:rPr>
          <w:rFonts w:ascii="Cambria" w:hAnsi="Cambria"/>
          <w:lang w:val="en-US"/>
        </w:rPr>
        <w:t>at the Jury may decree cannot be appealed to any other body.</w:t>
      </w:r>
      <w:r w:rsidR="00BB3F66" w:rsidRPr="00294AC6">
        <w:rPr>
          <w:rFonts w:ascii="Cambria" w:hAnsi="Cambria"/>
          <w:lang w:val="en-US"/>
        </w:rPr>
        <w:t xml:space="preserve">” </w:t>
      </w:r>
      <w:r w:rsidRPr="003C17AB">
        <w:rPr>
          <w:rFonts w:ascii="Cambria" w:hAnsi="Cambria"/>
          <w:lang w:val="en-US"/>
        </w:rPr>
        <w:t xml:space="preserve">However, a petition for </w:t>
      </w:r>
      <w:r w:rsidR="005210D4">
        <w:rPr>
          <w:rFonts w:ascii="Cambria" w:hAnsi="Cambria"/>
          <w:lang w:val="en-US"/>
        </w:rPr>
        <w:t>reversal</w:t>
      </w:r>
      <w:r w:rsidRPr="003C17AB">
        <w:rPr>
          <w:rFonts w:ascii="Cambria" w:hAnsi="Cambria"/>
          <w:lang w:val="en-US"/>
        </w:rPr>
        <w:t xml:space="preserve"> or clarification may be filed </w:t>
      </w:r>
      <w:r w:rsidR="003C17AB" w:rsidRPr="003C17AB">
        <w:rPr>
          <w:rFonts w:ascii="Cambria" w:hAnsi="Cambria"/>
          <w:lang w:val="en-US"/>
        </w:rPr>
        <w:t xml:space="preserve">before </w:t>
      </w:r>
      <w:r w:rsidR="003C17AB">
        <w:rPr>
          <w:rFonts w:ascii="Cambria" w:hAnsi="Cambria"/>
          <w:lang w:val="en-US"/>
        </w:rPr>
        <w:t xml:space="preserve">the same Jury. </w:t>
      </w:r>
      <w:r w:rsidR="003C17AB" w:rsidRPr="003C17AB">
        <w:rPr>
          <w:rFonts w:ascii="Cambria" w:hAnsi="Cambria"/>
          <w:lang w:val="en-US"/>
        </w:rPr>
        <w:t xml:space="preserve">Only an action of unconstitutionality may be examined by another body; </w:t>
      </w:r>
      <w:r w:rsidR="00CB35B1">
        <w:rPr>
          <w:rFonts w:ascii="Cambria" w:hAnsi="Cambria"/>
          <w:lang w:val="en-US"/>
        </w:rPr>
        <w:t>such an action</w:t>
      </w:r>
      <w:r w:rsidR="003C17AB" w:rsidRPr="003C17AB">
        <w:rPr>
          <w:rFonts w:ascii="Cambria" w:hAnsi="Cambria"/>
          <w:lang w:val="en-US"/>
        </w:rPr>
        <w:t xml:space="preserve"> is resolved by the Supreme Court </w:t>
      </w:r>
      <w:r w:rsidR="003C17AB" w:rsidRPr="003C17AB">
        <w:rPr>
          <w:rFonts w:ascii="Cambria" w:hAnsi="Cambria"/>
          <w:i/>
          <w:iCs/>
          <w:lang w:val="en-US"/>
        </w:rPr>
        <w:t>en banc</w:t>
      </w:r>
      <w:r w:rsidR="003C17AB" w:rsidRPr="003C17AB">
        <w:rPr>
          <w:rFonts w:ascii="Cambria" w:hAnsi="Cambria"/>
          <w:lang w:val="en-US"/>
        </w:rPr>
        <w:t xml:space="preserve">. The Commission observes that by its nature and legal configuration, a petition for </w:t>
      </w:r>
      <w:r w:rsidR="005210D4">
        <w:rPr>
          <w:rFonts w:ascii="Cambria" w:hAnsi="Cambria"/>
          <w:lang w:val="en-US"/>
        </w:rPr>
        <w:t>reversal</w:t>
      </w:r>
      <w:r w:rsidR="005210D4" w:rsidRPr="003C17AB">
        <w:rPr>
          <w:rFonts w:ascii="Cambria" w:hAnsi="Cambria"/>
          <w:lang w:val="en-US"/>
        </w:rPr>
        <w:t xml:space="preserve"> </w:t>
      </w:r>
      <w:r w:rsidR="003C17AB" w:rsidRPr="003C17AB">
        <w:rPr>
          <w:rFonts w:ascii="Cambria" w:hAnsi="Cambria"/>
          <w:lang w:val="en-US"/>
        </w:rPr>
        <w:t xml:space="preserve">and clarification does not allow for a thorough </w:t>
      </w:r>
      <w:r w:rsidR="003C17AB">
        <w:rPr>
          <w:rFonts w:ascii="Cambria" w:hAnsi="Cambria"/>
          <w:lang w:val="en-US"/>
        </w:rPr>
        <w:t>review of the JEM’s decisions, nor it is a</w:t>
      </w:r>
      <w:r w:rsidR="00CB35B1">
        <w:rPr>
          <w:rFonts w:ascii="Cambria" w:hAnsi="Cambria"/>
          <w:lang w:val="en-US"/>
        </w:rPr>
        <w:t>n</w:t>
      </w:r>
      <w:r w:rsidR="003C17AB">
        <w:rPr>
          <w:rFonts w:ascii="Cambria" w:hAnsi="Cambria"/>
          <w:lang w:val="en-US"/>
        </w:rPr>
        <w:t xml:space="preserve"> </w:t>
      </w:r>
      <w:r w:rsidR="00CB35B1">
        <w:rPr>
          <w:rFonts w:ascii="Cambria" w:hAnsi="Cambria"/>
          <w:lang w:val="en-US"/>
        </w:rPr>
        <w:t>appropriate</w:t>
      </w:r>
      <w:r w:rsidR="003C17AB">
        <w:rPr>
          <w:rFonts w:ascii="Cambria" w:hAnsi="Cambria"/>
          <w:lang w:val="en-US"/>
        </w:rPr>
        <w:t xml:space="preserve"> remedy that en</w:t>
      </w:r>
      <w:r w:rsidR="000A13AB">
        <w:rPr>
          <w:rFonts w:ascii="Cambria" w:hAnsi="Cambria"/>
          <w:lang w:val="en-US"/>
        </w:rPr>
        <w:t>s</w:t>
      </w:r>
      <w:r w:rsidR="003C17AB">
        <w:rPr>
          <w:rFonts w:ascii="Cambria" w:hAnsi="Cambria"/>
          <w:lang w:val="en-US"/>
        </w:rPr>
        <w:t xml:space="preserve">ures the right </w:t>
      </w:r>
      <w:r w:rsidR="000A13AB">
        <w:rPr>
          <w:rFonts w:ascii="Cambria" w:hAnsi="Cambria"/>
          <w:lang w:val="en-US"/>
        </w:rPr>
        <w:t xml:space="preserve">for the decision </w:t>
      </w:r>
      <w:r w:rsidR="003C17AB">
        <w:rPr>
          <w:rFonts w:ascii="Cambria" w:hAnsi="Cambria"/>
          <w:lang w:val="en-US"/>
        </w:rPr>
        <w:t xml:space="preserve">to </w:t>
      </w:r>
      <w:r w:rsidR="000A13AB">
        <w:rPr>
          <w:rFonts w:ascii="Cambria" w:hAnsi="Cambria"/>
          <w:lang w:val="en-US"/>
        </w:rPr>
        <w:t xml:space="preserve">be </w:t>
      </w:r>
      <w:r w:rsidR="003C17AB">
        <w:rPr>
          <w:rFonts w:ascii="Cambria" w:hAnsi="Cambria"/>
          <w:lang w:val="en-US"/>
        </w:rPr>
        <w:t>review</w:t>
      </w:r>
      <w:r w:rsidR="000A13AB">
        <w:rPr>
          <w:rFonts w:ascii="Cambria" w:hAnsi="Cambria"/>
          <w:lang w:val="en-US"/>
        </w:rPr>
        <w:t>ed</w:t>
      </w:r>
      <w:r w:rsidR="003C17AB">
        <w:rPr>
          <w:rFonts w:ascii="Cambria" w:hAnsi="Cambria"/>
          <w:lang w:val="en-US"/>
        </w:rPr>
        <w:t xml:space="preserve"> by a higher court</w:t>
      </w:r>
      <w:r w:rsidR="000A13AB">
        <w:rPr>
          <w:rFonts w:ascii="Cambria" w:hAnsi="Cambria"/>
          <w:lang w:val="en-US"/>
        </w:rPr>
        <w:t>.</w:t>
      </w:r>
      <w:r w:rsidR="00FE339C" w:rsidRPr="000A13AB">
        <w:rPr>
          <w:rFonts w:ascii="Cambria" w:hAnsi="Cambria"/>
          <w:lang w:val="en-US"/>
        </w:rPr>
        <w:t xml:space="preserve"> </w:t>
      </w:r>
      <w:r w:rsidR="000A13AB" w:rsidRPr="00097C22">
        <w:rPr>
          <w:rFonts w:ascii="Cambria" w:hAnsi="Cambria"/>
          <w:lang w:val="en-US"/>
        </w:rPr>
        <w:t xml:space="preserve">Nevertheless, the Commission notes that the alleged victim lodged a petition for </w:t>
      </w:r>
      <w:r w:rsidR="005210D4" w:rsidRPr="00097C22">
        <w:rPr>
          <w:rFonts w:ascii="Cambria" w:hAnsi="Cambria"/>
          <w:lang w:val="en-US"/>
        </w:rPr>
        <w:t xml:space="preserve">reversal </w:t>
      </w:r>
      <w:r w:rsidR="000A13AB" w:rsidRPr="00097C22">
        <w:rPr>
          <w:rFonts w:ascii="Cambria" w:hAnsi="Cambria"/>
          <w:lang w:val="en-US"/>
        </w:rPr>
        <w:t xml:space="preserve">and clarification, which was denied on April </w:t>
      </w:r>
      <w:r w:rsidR="00C7723F" w:rsidRPr="00097C22">
        <w:rPr>
          <w:lang w:val="en-US"/>
        </w:rPr>
        <w:t>22</w:t>
      </w:r>
      <w:r w:rsidR="000A13AB" w:rsidRPr="00097C22">
        <w:rPr>
          <w:lang w:val="en-US"/>
        </w:rPr>
        <w:t xml:space="preserve">, </w:t>
      </w:r>
      <w:r w:rsidR="00C7723F" w:rsidRPr="00097C22">
        <w:rPr>
          <w:lang w:val="en-US"/>
        </w:rPr>
        <w:t>2003</w:t>
      </w:r>
      <w:r w:rsidR="000A13AB" w:rsidRPr="00097C22">
        <w:rPr>
          <w:lang w:val="en-US"/>
        </w:rPr>
        <w:t xml:space="preserve">, as the JEM considered that the appellant had requested clarification of matters that were clearly laid out in Article </w:t>
      </w:r>
      <w:r w:rsidR="001322BE" w:rsidRPr="00097C22">
        <w:rPr>
          <w:lang w:val="en-US"/>
        </w:rPr>
        <w:t xml:space="preserve">31 </w:t>
      </w:r>
      <w:r w:rsidR="000A13AB" w:rsidRPr="00097C22">
        <w:rPr>
          <w:lang w:val="en-US"/>
        </w:rPr>
        <w:t xml:space="preserve">of Law No. </w:t>
      </w:r>
      <w:r w:rsidR="001322BE" w:rsidRPr="00097C22">
        <w:rPr>
          <w:lang w:val="en-US"/>
        </w:rPr>
        <w:t>1084</w:t>
      </w:r>
      <w:r w:rsidR="00C7723F" w:rsidRPr="00097C22">
        <w:rPr>
          <w:lang w:val="en-US"/>
        </w:rPr>
        <w:t>.</w:t>
      </w:r>
    </w:p>
    <w:p w14:paraId="389D5802" w14:textId="77777777" w:rsidR="00FE339C" w:rsidRPr="000A13AB" w:rsidRDefault="00FE339C" w:rsidP="00F04DC9"/>
    <w:p w14:paraId="07461D25" w14:textId="77777777" w:rsidR="00FE339C" w:rsidRPr="00D4170A" w:rsidRDefault="00C7723F" w:rsidP="00F04DC9">
      <w:pPr>
        <w:pStyle w:val="parrafos"/>
        <w:rPr>
          <w:lang w:val="en-US"/>
        </w:rPr>
      </w:pPr>
      <w:r w:rsidRPr="000A13AB">
        <w:rPr>
          <w:lang w:val="en-US"/>
        </w:rPr>
        <w:t xml:space="preserve"> </w:t>
      </w:r>
      <w:r w:rsidR="000A13AB" w:rsidRPr="000A13AB">
        <w:rPr>
          <w:lang w:val="en-US"/>
        </w:rPr>
        <w:t xml:space="preserve">In addition, the Commission </w:t>
      </w:r>
      <w:r w:rsidR="00B42F98">
        <w:rPr>
          <w:lang w:val="en-US"/>
        </w:rPr>
        <w:t>notes</w:t>
      </w:r>
      <w:r w:rsidR="000A13AB" w:rsidRPr="000A13AB">
        <w:rPr>
          <w:lang w:val="en-US"/>
        </w:rPr>
        <w:t xml:space="preserve"> that the petitioner filed an action of unconstitutionality with the Supreme Court on</w:t>
      </w:r>
      <w:r w:rsidR="000A13AB">
        <w:rPr>
          <w:lang w:val="en-US"/>
        </w:rPr>
        <w:t xml:space="preserve"> April </w:t>
      </w:r>
      <w:r w:rsidR="001322BE" w:rsidRPr="000A13AB">
        <w:rPr>
          <w:lang w:val="en-US"/>
        </w:rPr>
        <w:t>22</w:t>
      </w:r>
      <w:r w:rsidR="000A13AB">
        <w:rPr>
          <w:lang w:val="en-US"/>
        </w:rPr>
        <w:t xml:space="preserve">, </w:t>
      </w:r>
      <w:r w:rsidR="001322BE" w:rsidRPr="000A13AB">
        <w:rPr>
          <w:lang w:val="en-US"/>
        </w:rPr>
        <w:t>2003</w:t>
      </w:r>
      <w:r w:rsidRPr="000A13AB">
        <w:rPr>
          <w:lang w:val="en-US"/>
        </w:rPr>
        <w:t xml:space="preserve">. </w:t>
      </w:r>
      <w:r w:rsidR="000A13AB" w:rsidRPr="000A13AB">
        <w:rPr>
          <w:lang w:val="en-US"/>
        </w:rPr>
        <w:t xml:space="preserve">This action was rejected on June </w:t>
      </w:r>
      <w:r w:rsidR="001322BE" w:rsidRPr="000A13AB">
        <w:rPr>
          <w:lang w:val="en-US"/>
        </w:rPr>
        <w:t>16</w:t>
      </w:r>
      <w:r w:rsidR="000A13AB" w:rsidRPr="000A13AB">
        <w:rPr>
          <w:lang w:val="en-US"/>
        </w:rPr>
        <w:t xml:space="preserve">, </w:t>
      </w:r>
      <w:r w:rsidR="001322BE" w:rsidRPr="000A13AB">
        <w:rPr>
          <w:lang w:val="en-US"/>
        </w:rPr>
        <w:t>2004</w:t>
      </w:r>
      <w:r w:rsidR="000A13AB" w:rsidRPr="000A13AB">
        <w:rPr>
          <w:lang w:val="en-US"/>
        </w:rPr>
        <w:t xml:space="preserve">, </w:t>
      </w:r>
      <w:r w:rsidR="00B51A9D" w:rsidRPr="000A13AB">
        <w:rPr>
          <w:lang w:val="en-US"/>
        </w:rPr>
        <w:t>essentially</w:t>
      </w:r>
      <w:r w:rsidR="000A13AB" w:rsidRPr="000A13AB">
        <w:rPr>
          <w:lang w:val="en-US"/>
        </w:rPr>
        <w:t xml:space="preserve"> because “no infringement</w:t>
      </w:r>
      <w:r w:rsidR="000A13AB">
        <w:rPr>
          <w:lang w:val="en-US"/>
        </w:rPr>
        <w:t>s</w:t>
      </w:r>
      <w:r w:rsidR="000A13AB" w:rsidRPr="000A13AB">
        <w:rPr>
          <w:lang w:val="en-US"/>
        </w:rPr>
        <w:t xml:space="preserve"> of rights or constitutional guarantees were observed in the judgment being challenged, </w:t>
      </w:r>
      <w:r w:rsidR="000A13AB" w:rsidRPr="00B42F98">
        <w:rPr>
          <w:lang w:val="en-US"/>
        </w:rPr>
        <w:t>nor was there arbitrariness</w:t>
      </w:r>
      <w:r w:rsidR="000A13AB" w:rsidRPr="000A13AB">
        <w:rPr>
          <w:lang w:val="en-US"/>
        </w:rPr>
        <w:t xml:space="preserve"> in</w:t>
      </w:r>
      <w:r w:rsidR="000A13AB">
        <w:rPr>
          <w:lang w:val="en-US"/>
        </w:rPr>
        <w:t xml:space="preserve"> the </w:t>
      </w:r>
      <w:r w:rsidR="00B42F98">
        <w:rPr>
          <w:lang w:val="en-US"/>
        </w:rPr>
        <w:t xml:space="preserve">decision </w:t>
      </w:r>
      <w:r w:rsidR="000A13AB">
        <w:rPr>
          <w:lang w:val="en-US"/>
        </w:rPr>
        <w:t>criteria</w:t>
      </w:r>
      <w:r w:rsidR="00AA0B04">
        <w:rPr>
          <w:lang w:val="en-US"/>
        </w:rPr>
        <w:t xml:space="preserve">.” </w:t>
      </w:r>
      <w:r w:rsidR="00B42F98">
        <w:rPr>
          <w:lang w:val="en-US"/>
        </w:rPr>
        <w:t>W</w:t>
      </w:r>
      <w:r w:rsidR="00AA0B04" w:rsidRPr="00AA0B04">
        <w:rPr>
          <w:lang w:val="en-US"/>
        </w:rPr>
        <w:t>ith regard to this appeal,</w:t>
      </w:r>
      <w:r w:rsidR="00B42F98" w:rsidRPr="00B42F98">
        <w:rPr>
          <w:lang w:val="en-US"/>
        </w:rPr>
        <w:t xml:space="preserve"> </w:t>
      </w:r>
      <w:r w:rsidR="00B42F98">
        <w:rPr>
          <w:lang w:val="en-US"/>
        </w:rPr>
        <w:t>t</w:t>
      </w:r>
      <w:r w:rsidR="00B42F98" w:rsidRPr="00AA0B04">
        <w:rPr>
          <w:lang w:val="en-US"/>
        </w:rPr>
        <w:t xml:space="preserve">he IACHR notes that </w:t>
      </w:r>
      <w:r w:rsidR="00B42F98">
        <w:rPr>
          <w:lang w:val="en-US"/>
        </w:rPr>
        <w:t>although</w:t>
      </w:r>
      <w:r w:rsidR="00AA0B04" w:rsidRPr="00AA0B04">
        <w:rPr>
          <w:lang w:val="en-US"/>
        </w:rPr>
        <w:t xml:space="preserve"> the record does not show that the magistrates who participated in the JEM signed the decision, it is problematic for this appeal to have been resolved by the </w:t>
      </w:r>
      <w:r w:rsidR="00AA0B04">
        <w:rPr>
          <w:lang w:val="en-US"/>
        </w:rPr>
        <w:t xml:space="preserve">full </w:t>
      </w:r>
      <w:r w:rsidR="00AA0B04" w:rsidRPr="00AA0B04">
        <w:rPr>
          <w:lang w:val="en-US"/>
        </w:rPr>
        <w:t>Supreme Court</w:t>
      </w:r>
      <w:r w:rsidR="00AA0B04">
        <w:rPr>
          <w:lang w:val="en-US"/>
        </w:rPr>
        <w:t xml:space="preserve">, which includes two members of the JEM. </w:t>
      </w:r>
      <w:r w:rsidR="00881900">
        <w:rPr>
          <w:lang w:val="en-US"/>
        </w:rPr>
        <w:t>The Commission further observes, b</w:t>
      </w:r>
      <w:r w:rsidR="00AA0B04" w:rsidRPr="003A12FB">
        <w:rPr>
          <w:lang w:val="en-US"/>
        </w:rPr>
        <w:t>ased on the limited legal framework and the content of the June 14, 2004, decision issued by the Supreme Court, that the action of unconstitutionality is a remedy that in principle does not allow for a thorough review or examination of the facts or the evidence with regard to the decision to dismiss the alleged victim</w:t>
      </w:r>
      <w:r w:rsidR="00B51A9D">
        <w:rPr>
          <w:lang w:val="en-US"/>
        </w:rPr>
        <w:t xml:space="preserve">; rather, the scope of its </w:t>
      </w:r>
      <w:r w:rsidR="00B51A9D" w:rsidRPr="00B51A9D">
        <w:rPr>
          <w:lang w:val="en-US"/>
        </w:rPr>
        <w:t xml:space="preserve">competence </w:t>
      </w:r>
      <w:r w:rsidR="00AA0B04" w:rsidRPr="00B51A9D">
        <w:rPr>
          <w:lang w:val="en-US"/>
        </w:rPr>
        <w:t xml:space="preserve">is limited to </w:t>
      </w:r>
      <w:r w:rsidR="003A12FB" w:rsidRPr="00B51A9D">
        <w:rPr>
          <w:lang w:val="en-US"/>
        </w:rPr>
        <w:t>matters of</w:t>
      </w:r>
      <w:r w:rsidR="00AA0B04" w:rsidRPr="00B51A9D">
        <w:rPr>
          <w:lang w:val="en-US"/>
        </w:rPr>
        <w:t xml:space="preserve"> due process</w:t>
      </w:r>
      <w:r w:rsidR="003A12FB" w:rsidRPr="00B51A9D">
        <w:rPr>
          <w:lang w:val="en-US"/>
        </w:rPr>
        <w:t>, without the remedy</w:t>
      </w:r>
      <w:r w:rsidR="00AA0B04" w:rsidRPr="00B51A9D">
        <w:rPr>
          <w:lang w:val="en-US"/>
        </w:rPr>
        <w:t xml:space="preserve"> </w:t>
      </w:r>
      <w:r w:rsidR="003A12FB" w:rsidRPr="00B51A9D">
        <w:rPr>
          <w:lang w:val="en-US"/>
        </w:rPr>
        <w:t>being effective</w:t>
      </w:r>
      <w:r w:rsidR="00881900" w:rsidRPr="00B51A9D">
        <w:rPr>
          <w:lang w:val="en-US"/>
        </w:rPr>
        <w:t xml:space="preserve"> </w:t>
      </w:r>
      <w:r w:rsidR="003A12FB" w:rsidRPr="00B51A9D">
        <w:rPr>
          <w:lang w:val="en-US"/>
        </w:rPr>
        <w:t>to enable protection of the alleged victim’s rights.</w:t>
      </w:r>
      <w:r w:rsidR="003A12FB">
        <w:rPr>
          <w:lang w:val="en-US"/>
        </w:rPr>
        <w:t xml:space="preserve"> </w:t>
      </w:r>
      <w:r w:rsidR="003A12FB" w:rsidRPr="003A12FB">
        <w:rPr>
          <w:lang w:val="en-US"/>
        </w:rPr>
        <w:t xml:space="preserve">As </w:t>
      </w:r>
      <w:r w:rsidR="004C0D1A">
        <w:rPr>
          <w:lang w:val="en-US"/>
        </w:rPr>
        <w:t xml:space="preserve">laid out above, in ruling on this appeal, the Supreme Court found that the principle of consistency was not affected, because the JEM acted in accordance with Article </w:t>
      </w:r>
      <w:r w:rsidR="00FE339C" w:rsidRPr="004C0D1A">
        <w:rPr>
          <w:lang w:val="en-US"/>
        </w:rPr>
        <w:t xml:space="preserve">21 </w:t>
      </w:r>
      <w:r w:rsidR="004C0D1A">
        <w:rPr>
          <w:lang w:val="en-US"/>
        </w:rPr>
        <w:t>subparagraph</w:t>
      </w:r>
      <w:r w:rsidR="00FE339C" w:rsidRPr="004C0D1A">
        <w:rPr>
          <w:lang w:val="en-US"/>
        </w:rPr>
        <w:t xml:space="preserve"> </w:t>
      </w:r>
      <w:r w:rsidR="004C0D1A">
        <w:rPr>
          <w:lang w:val="en-US"/>
        </w:rPr>
        <w:t>(</w:t>
      </w:r>
      <w:r w:rsidR="00FE339C" w:rsidRPr="004C0D1A">
        <w:rPr>
          <w:lang w:val="en-US"/>
        </w:rPr>
        <w:t>h)</w:t>
      </w:r>
      <w:r w:rsidR="004C0D1A">
        <w:rPr>
          <w:lang w:val="en-US"/>
        </w:rPr>
        <w:t xml:space="preserve">, which gives it the authority to order, at any stage in the proceedings, any procedural </w:t>
      </w:r>
      <w:r w:rsidR="004C0D1A" w:rsidRPr="00CF7A8A">
        <w:rPr>
          <w:lang w:val="en-US"/>
        </w:rPr>
        <w:t>steps that may be necessary to shed light on the facts</w:t>
      </w:r>
      <w:r w:rsidR="00FE339C" w:rsidRPr="00CF7A8A">
        <w:rPr>
          <w:lang w:val="en-US"/>
        </w:rPr>
        <w:t xml:space="preserve">. </w:t>
      </w:r>
      <w:r w:rsidR="004C0D1A" w:rsidRPr="00CF7A8A">
        <w:rPr>
          <w:lang w:val="en-US"/>
        </w:rPr>
        <w:t xml:space="preserve">However, as has been explained, without </w:t>
      </w:r>
      <w:r w:rsidR="00D4170A" w:rsidRPr="00CF7A8A">
        <w:rPr>
          <w:lang w:val="en-US"/>
        </w:rPr>
        <w:t xml:space="preserve">being given </w:t>
      </w:r>
      <w:r w:rsidR="00CF7A8A" w:rsidRPr="00CF7A8A">
        <w:rPr>
          <w:lang w:val="en-US"/>
        </w:rPr>
        <w:t>the appropriate</w:t>
      </w:r>
      <w:r w:rsidR="00D4170A" w:rsidRPr="00CF7A8A">
        <w:rPr>
          <w:lang w:val="en-US"/>
        </w:rPr>
        <w:t xml:space="preserve"> </w:t>
      </w:r>
      <w:r w:rsidR="004C0D1A" w:rsidRPr="00CF7A8A">
        <w:rPr>
          <w:lang w:val="en-US"/>
        </w:rPr>
        <w:t xml:space="preserve">opportunity </w:t>
      </w:r>
      <w:r w:rsidR="00D4170A" w:rsidRPr="00CF7A8A">
        <w:rPr>
          <w:lang w:val="en-US"/>
        </w:rPr>
        <w:t xml:space="preserve">and faced with a new factual basis for the charges, Mr. </w:t>
      </w:r>
      <w:r w:rsidR="00FE339C" w:rsidRPr="00CF7A8A">
        <w:rPr>
          <w:lang w:val="en-US"/>
        </w:rPr>
        <w:t xml:space="preserve">Nissen </w:t>
      </w:r>
      <w:r w:rsidR="00D4170A" w:rsidRPr="00CF7A8A">
        <w:rPr>
          <w:lang w:val="en-US"/>
        </w:rPr>
        <w:t>was not able to exercise his right of defense.</w:t>
      </w:r>
      <w:r w:rsidR="00D4170A">
        <w:rPr>
          <w:lang w:val="en-US"/>
        </w:rPr>
        <w:t xml:space="preserve"> </w:t>
      </w:r>
    </w:p>
    <w:p w14:paraId="27D8D4CE" w14:textId="77777777" w:rsidR="00FE339C" w:rsidRPr="00D4170A" w:rsidRDefault="00FE339C" w:rsidP="00CF7A8A"/>
    <w:p w14:paraId="4468BDCD" w14:textId="77777777" w:rsidR="00D94085" w:rsidRPr="003A12FB" w:rsidRDefault="003A12FB" w:rsidP="0089756E">
      <w:pPr>
        <w:pStyle w:val="parrafos"/>
        <w:rPr>
          <w:lang w:val="en-US"/>
        </w:rPr>
      </w:pPr>
      <w:r w:rsidRPr="003A12FB">
        <w:rPr>
          <w:rFonts w:ascii="Cambria" w:hAnsi="Cambria"/>
          <w:lang w:val="en-US"/>
        </w:rPr>
        <w:t xml:space="preserve">Based on the foregoing, and analyzing the totality of the available remedies, the Commission deems that the alleged victim did not have access to a remedy that would allow for a comprehensive review to challenge the decision that ordered his dismissal as a criminal prosecutor, or to an effective judicial recourse, as provided in the American Convention, to ensure protection of the rights he believes were violated. </w:t>
      </w:r>
    </w:p>
    <w:p w14:paraId="01462895" w14:textId="77777777" w:rsidR="00BC532C" w:rsidRPr="003A12FB" w:rsidRDefault="00BC532C" w:rsidP="00BC532C">
      <w:pPr>
        <w:pStyle w:val="ListParagraph"/>
        <w:rPr>
          <w:lang w:val="en-US"/>
        </w:rPr>
      </w:pPr>
    </w:p>
    <w:p w14:paraId="7B8F9E10" w14:textId="77777777" w:rsidR="00B01DC2" w:rsidRPr="003A12FB" w:rsidRDefault="003A12FB" w:rsidP="00787E82">
      <w:pPr>
        <w:pStyle w:val="parrafos"/>
        <w:suppressAutoHyphens/>
        <w:rPr>
          <w:lang w:val="en-US"/>
        </w:rPr>
      </w:pPr>
      <w:r w:rsidRPr="003A12FB">
        <w:rPr>
          <w:lang w:val="en-US"/>
        </w:rPr>
        <w:t xml:space="preserve">The Commission therefore concludes that the Paraguayan State is responsible for violating the rights established in Articles </w:t>
      </w:r>
      <w:r w:rsidR="00BC532C" w:rsidRPr="003A12FB">
        <w:rPr>
          <w:lang w:val="en-US"/>
        </w:rPr>
        <w:t>8</w:t>
      </w:r>
      <w:r w:rsidRPr="003A12FB">
        <w:rPr>
          <w:lang w:val="en-US"/>
        </w:rPr>
        <w:t>(</w:t>
      </w:r>
      <w:r w:rsidR="00BC532C" w:rsidRPr="003A12FB">
        <w:rPr>
          <w:lang w:val="en-US"/>
        </w:rPr>
        <w:t>2</w:t>
      </w:r>
      <w:r w:rsidRPr="003A12FB">
        <w:rPr>
          <w:lang w:val="en-US"/>
        </w:rPr>
        <w:t>)(</w:t>
      </w:r>
      <w:r w:rsidR="00BC532C" w:rsidRPr="003A12FB">
        <w:rPr>
          <w:lang w:val="en-US"/>
        </w:rPr>
        <w:t xml:space="preserve">h) </w:t>
      </w:r>
      <w:r w:rsidRPr="003A12FB">
        <w:rPr>
          <w:lang w:val="en-US"/>
        </w:rPr>
        <w:t>and</w:t>
      </w:r>
      <w:r w:rsidR="00BC532C" w:rsidRPr="003A12FB">
        <w:rPr>
          <w:lang w:val="en-US"/>
        </w:rPr>
        <w:t xml:space="preserve"> 25</w:t>
      </w:r>
      <w:r>
        <w:rPr>
          <w:lang w:val="en-US"/>
        </w:rPr>
        <w:t>(</w:t>
      </w:r>
      <w:r w:rsidR="00BC532C" w:rsidRPr="003A12FB">
        <w:rPr>
          <w:lang w:val="en-US"/>
        </w:rPr>
        <w:t>1</w:t>
      </w:r>
      <w:r>
        <w:rPr>
          <w:lang w:val="en-US"/>
        </w:rPr>
        <w:t xml:space="preserve">) of the American Convention, in </w:t>
      </w:r>
      <w:r w:rsidR="003470C9">
        <w:rPr>
          <w:lang w:val="en-US"/>
        </w:rPr>
        <w:t xml:space="preserve">conjunction </w:t>
      </w:r>
      <w:r>
        <w:rPr>
          <w:lang w:val="en-US"/>
        </w:rPr>
        <w:t>with</w:t>
      </w:r>
      <w:r w:rsidR="00BC532C" w:rsidRPr="003A12FB">
        <w:rPr>
          <w:lang w:val="en-US"/>
        </w:rPr>
        <w:t xml:space="preserve"> </w:t>
      </w:r>
      <w:r>
        <w:rPr>
          <w:lang w:val="en-US"/>
        </w:rPr>
        <w:t xml:space="preserve">Articles 1(1) and </w:t>
      </w:r>
      <w:r w:rsidR="00BC532C" w:rsidRPr="003A12FB">
        <w:rPr>
          <w:lang w:val="en-US"/>
        </w:rPr>
        <w:t xml:space="preserve">2 </w:t>
      </w:r>
      <w:r>
        <w:rPr>
          <w:lang w:val="en-US"/>
        </w:rPr>
        <w:t xml:space="preserve">thereof, to the detriment of </w:t>
      </w:r>
      <w:r w:rsidR="00BC532C" w:rsidRPr="003A12FB">
        <w:rPr>
          <w:lang w:val="en-US"/>
        </w:rPr>
        <w:t>Alejandro Nissen Pessolani.</w:t>
      </w:r>
    </w:p>
    <w:p w14:paraId="4FAFC605" w14:textId="77777777" w:rsidR="00C93B49" w:rsidRPr="0051009A" w:rsidRDefault="00C93B49" w:rsidP="00AF48C1">
      <w:pPr>
        <w:pStyle w:val="Heading2"/>
        <w:rPr>
          <w:lang w:val="en-US"/>
        </w:rPr>
      </w:pPr>
      <w:bookmarkStart w:id="22" w:name="_Toc42595075"/>
      <w:r w:rsidRPr="0051009A">
        <w:rPr>
          <w:lang w:val="en-US"/>
        </w:rPr>
        <w:lastRenderedPageBreak/>
        <w:t xml:space="preserve">6. </w:t>
      </w:r>
      <w:r w:rsidR="00E01239" w:rsidRPr="0051009A">
        <w:rPr>
          <w:lang w:val="en-US"/>
        </w:rPr>
        <w:t>Political rights</w:t>
      </w:r>
      <w:r w:rsidRPr="00766381">
        <w:rPr>
          <w:rStyle w:val="FootnoteReference"/>
          <w:rFonts w:asciiTheme="majorHAnsi" w:hAnsiTheme="majorHAnsi"/>
          <w:b w:val="0"/>
        </w:rPr>
        <w:footnoteReference w:id="92"/>
      </w:r>
      <w:bookmarkEnd w:id="22"/>
    </w:p>
    <w:p w14:paraId="254C9D16" w14:textId="77777777" w:rsidR="00874191" w:rsidRPr="0051009A" w:rsidRDefault="00874191" w:rsidP="00914740">
      <w:pPr>
        <w:tabs>
          <w:tab w:val="left" w:pos="360"/>
        </w:tabs>
        <w:suppressAutoHyphens/>
        <w:rPr>
          <w:rFonts w:asciiTheme="majorHAnsi" w:hAnsiTheme="majorHAnsi"/>
          <w:b/>
          <w:sz w:val="20"/>
          <w:szCs w:val="20"/>
        </w:rPr>
      </w:pPr>
    </w:p>
    <w:p w14:paraId="073324B8" w14:textId="77777777" w:rsidR="00AF48C1" w:rsidRPr="0051009A" w:rsidRDefault="00E32052" w:rsidP="00AF48C1">
      <w:pPr>
        <w:pStyle w:val="parrafos"/>
        <w:numPr>
          <w:ilvl w:val="0"/>
          <w:numId w:val="0"/>
        </w:numPr>
        <w:rPr>
          <w:rFonts w:eastAsia="Times New Roman"/>
          <w:lang w:val="en-US"/>
        </w:rPr>
      </w:pPr>
      <w:r>
        <w:rPr>
          <w:lang w:val="en-US"/>
        </w:rPr>
        <w:t>113</w:t>
      </w:r>
      <w:r w:rsidR="00AF48C1" w:rsidRPr="0051009A">
        <w:rPr>
          <w:lang w:val="en-US"/>
        </w:rPr>
        <w:t xml:space="preserve">. </w:t>
      </w:r>
      <w:r w:rsidR="00E01239" w:rsidRPr="00E01239">
        <w:rPr>
          <w:lang w:val="en-US"/>
        </w:rPr>
        <w:t>Article</w:t>
      </w:r>
      <w:r w:rsidR="00BD04E6" w:rsidRPr="00E01239">
        <w:rPr>
          <w:lang w:val="en-US"/>
        </w:rPr>
        <w:t xml:space="preserve"> 23</w:t>
      </w:r>
      <w:r w:rsidR="00E01239" w:rsidRPr="00E01239">
        <w:rPr>
          <w:lang w:val="en-US"/>
        </w:rPr>
        <w:t>(</w:t>
      </w:r>
      <w:r w:rsidR="00BD04E6" w:rsidRPr="00E01239">
        <w:rPr>
          <w:lang w:val="en-US"/>
        </w:rPr>
        <w:t>1</w:t>
      </w:r>
      <w:r w:rsidR="00E01239" w:rsidRPr="00E01239">
        <w:rPr>
          <w:lang w:val="en-US"/>
        </w:rPr>
        <w:t>)(</w:t>
      </w:r>
      <w:r w:rsidR="00BD04E6" w:rsidRPr="00E01239">
        <w:rPr>
          <w:lang w:val="en-US"/>
        </w:rPr>
        <w:t>c</w:t>
      </w:r>
      <w:r w:rsidR="00E01239" w:rsidRPr="00E01239">
        <w:rPr>
          <w:lang w:val="en-US"/>
        </w:rPr>
        <w:t>)</w:t>
      </w:r>
      <w:r w:rsidR="00BD04E6" w:rsidRPr="00E01239">
        <w:rPr>
          <w:lang w:val="en-US"/>
        </w:rPr>
        <w:t xml:space="preserve"> </w:t>
      </w:r>
      <w:r w:rsidR="00E01239" w:rsidRPr="00E01239">
        <w:rPr>
          <w:lang w:val="en-US"/>
        </w:rPr>
        <w:t xml:space="preserve">establishes the right to have access to public </w:t>
      </w:r>
      <w:r w:rsidR="00F43754">
        <w:rPr>
          <w:lang w:val="en-US"/>
        </w:rPr>
        <w:t>service</w:t>
      </w:r>
      <w:r w:rsidR="00E01239" w:rsidRPr="00E01239">
        <w:rPr>
          <w:lang w:val="en-US"/>
        </w:rPr>
        <w:t xml:space="preserve"> “under general conditions of equality.” </w:t>
      </w:r>
      <w:r w:rsidR="00E01239" w:rsidRPr="000A1D4B">
        <w:rPr>
          <w:lang w:val="en-US"/>
        </w:rPr>
        <w:t xml:space="preserve">The Court has interpreted </w:t>
      </w:r>
      <w:r w:rsidR="00F43754">
        <w:rPr>
          <w:lang w:val="en-US"/>
        </w:rPr>
        <w:t>that</w:t>
      </w:r>
      <w:r w:rsidR="00E01239" w:rsidRPr="000A1D4B">
        <w:rPr>
          <w:lang w:val="en-US"/>
        </w:rPr>
        <w:t xml:space="preserve"> article to mean that </w:t>
      </w:r>
      <w:r w:rsidR="00FA1159">
        <w:rPr>
          <w:lang w:val="en-US"/>
        </w:rPr>
        <w:t xml:space="preserve">when a judge’s tenure is arbitrarily impaired, the </w:t>
      </w:r>
      <w:r w:rsidR="00E01239" w:rsidRPr="000A1D4B">
        <w:rPr>
          <w:lang w:val="en-US"/>
        </w:rPr>
        <w:t>right to judicial independence</w:t>
      </w:r>
      <w:r w:rsidR="00CF5DB2">
        <w:rPr>
          <w:lang w:val="en-US"/>
        </w:rPr>
        <w:t xml:space="preserve"> is violated, as is the right of access to public service and tenure, </w:t>
      </w:r>
      <w:r w:rsidR="00E01239" w:rsidRPr="000A1D4B">
        <w:rPr>
          <w:lang w:val="en-US"/>
        </w:rPr>
        <w:t>under general conditions of equality</w:t>
      </w:r>
      <w:r w:rsidR="00CF5DB2">
        <w:rPr>
          <w:lang w:val="en-US"/>
        </w:rPr>
        <w:t xml:space="preserve">, </w:t>
      </w:r>
      <w:r w:rsidR="000A1D4B" w:rsidRPr="000A1D4B">
        <w:rPr>
          <w:lang w:val="en-US"/>
        </w:rPr>
        <w:t xml:space="preserve">established in Article </w:t>
      </w:r>
      <w:r w:rsidR="00BD04E6" w:rsidRPr="000A1D4B">
        <w:rPr>
          <w:rFonts w:eastAsia="Times New Roman"/>
          <w:lang w:val="en-US"/>
        </w:rPr>
        <w:t>23</w:t>
      </w:r>
      <w:r w:rsidR="000A1D4B" w:rsidRPr="000A1D4B">
        <w:rPr>
          <w:rFonts w:eastAsia="Times New Roman"/>
          <w:lang w:val="en-US"/>
        </w:rPr>
        <w:t>(</w:t>
      </w:r>
      <w:r w:rsidR="00BD04E6" w:rsidRPr="000A1D4B">
        <w:rPr>
          <w:rFonts w:eastAsia="Times New Roman"/>
          <w:lang w:val="en-US"/>
        </w:rPr>
        <w:t>1</w:t>
      </w:r>
      <w:r w:rsidR="000A1D4B">
        <w:rPr>
          <w:rFonts w:eastAsia="Times New Roman"/>
          <w:lang w:val="en-US"/>
        </w:rPr>
        <w:t>)(</w:t>
      </w:r>
      <w:r w:rsidR="00BD04E6" w:rsidRPr="000A1D4B">
        <w:rPr>
          <w:rFonts w:eastAsia="Times New Roman"/>
          <w:lang w:val="en-US"/>
        </w:rPr>
        <w:t>c</w:t>
      </w:r>
      <w:r w:rsidR="000A1D4B">
        <w:rPr>
          <w:rFonts w:eastAsia="Times New Roman"/>
          <w:lang w:val="en-US"/>
        </w:rPr>
        <w:t>).</w:t>
      </w:r>
      <w:r w:rsidR="00BD04E6" w:rsidRPr="00766381">
        <w:rPr>
          <w:rStyle w:val="FootnoteReference"/>
          <w:lang w:val="es-CO"/>
        </w:rPr>
        <w:footnoteReference w:id="93"/>
      </w:r>
      <w:r w:rsidR="00AF48C1" w:rsidRPr="000A1D4B">
        <w:rPr>
          <w:rFonts w:ascii="Cambria" w:hAnsi="Cambria"/>
          <w:bCs/>
          <w:lang w:val="en-US"/>
        </w:rPr>
        <w:t xml:space="preserve"> </w:t>
      </w:r>
      <w:r w:rsidR="000A1D4B" w:rsidRPr="000A1D4B">
        <w:rPr>
          <w:rFonts w:ascii="Cambria" w:hAnsi="Cambria"/>
          <w:bCs/>
          <w:lang w:val="en-US"/>
        </w:rPr>
        <w:t xml:space="preserve">The Commission has </w:t>
      </w:r>
      <w:r w:rsidR="00F43754">
        <w:rPr>
          <w:rFonts w:ascii="Cambria" w:hAnsi="Cambria"/>
          <w:bCs/>
          <w:lang w:val="en-US"/>
        </w:rPr>
        <w:t>held</w:t>
      </w:r>
      <w:r w:rsidR="000A1D4B" w:rsidRPr="000A1D4B">
        <w:rPr>
          <w:rFonts w:ascii="Cambria" w:hAnsi="Cambria"/>
          <w:bCs/>
          <w:lang w:val="en-US"/>
        </w:rPr>
        <w:t xml:space="preserve"> that th</w:t>
      </w:r>
      <w:r w:rsidR="00F43754">
        <w:rPr>
          <w:rFonts w:ascii="Cambria" w:hAnsi="Cambria"/>
          <w:bCs/>
          <w:lang w:val="en-US"/>
        </w:rPr>
        <w:t>is</w:t>
      </w:r>
      <w:r w:rsidR="000A1D4B" w:rsidRPr="000A1D4B">
        <w:rPr>
          <w:rFonts w:ascii="Cambria" w:hAnsi="Cambria"/>
          <w:bCs/>
          <w:lang w:val="en-US"/>
        </w:rPr>
        <w:t xml:space="preserve"> standard </w:t>
      </w:r>
      <w:r w:rsidR="003C2CEF">
        <w:rPr>
          <w:rFonts w:ascii="Cambria" w:hAnsi="Cambria"/>
          <w:bCs/>
          <w:lang w:val="en-US"/>
        </w:rPr>
        <w:t>also applies</w:t>
      </w:r>
      <w:r w:rsidR="000A1D4B" w:rsidRPr="000A1D4B">
        <w:rPr>
          <w:rFonts w:ascii="Cambria" w:hAnsi="Cambria"/>
          <w:bCs/>
          <w:lang w:val="en-US"/>
        </w:rPr>
        <w:t xml:space="preserve"> to prosecutor</w:t>
      </w:r>
      <w:r w:rsidR="000A1D4B">
        <w:rPr>
          <w:rFonts w:ascii="Cambria" w:hAnsi="Cambria"/>
          <w:bCs/>
          <w:lang w:val="en-US"/>
        </w:rPr>
        <w:t>s</w:t>
      </w:r>
      <w:r w:rsidR="000A1D4B" w:rsidRPr="000A1D4B">
        <w:rPr>
          <w:rFonts w:ascii="Cambria" w:hAnsi="Cambria"/>
          <w:bCs/>
          <w:lang w:val="en-US"/>
        </w:rPr>
        <w:t xml:space="preserve">, as the </w:t>
      </w:r>
      <w:r w:rsidR="00B166A5">
        <w:rPr>
          <w:rFonts w:ascii="Cambria" w:hAnsi="Cambria"/>
          <w:bCs/>
          <w:lang w:val="en-US"/>
        </w:rPr>
        <w:t xml:space="preserve">increased </w:t>
      </w:r>
      <w:r w:rsidR="00F43754">
        <w:rPr>
          <w:rFonts w:ascii="Cambria" w:hAnsi="Cambria"/>
          <w:bCs/>
          <w:lang w:val="en-US"/>
        </w:rPr>
        <w:t>tenure protections</w:t>
      </w:r>
      <w:r w:rsidR="00B166A5">
        <w:rPr>
          <w:rFonts w:ascii="Cambria" w:hAnsi="Cambria"/>
          <w:bCs/>
          <w:lang w:val="en-US"/>
        </w:rPr>
        <w:t xml:space="preserve"> </w:t>
      </w:r>
      <w:r w:rsidR="000A1D4B" w:rsidRPr="000A1D4B">
        <w:rPr>
          <w:rFonts w:ascii="Cambria" w:hAnsi="Cambria"/>
          <w:bCs/>
          <w:lang w:val="en-US"/>
        </w:rPr>
        <w:t>for judges are also applicable and should protect prosecutors</w:t>
      </w:r>
      <w:r w:rsidR="00186627">
        <w:rPr>
          <w:rFonts w:ascii="Cambria" w:hAnsi="Cambria"/>
          <w:bCs/>
          <w:lang w:val="en-US"/>
        </w:rPr>
        <w:t>,</w:t>
      </w:r>
      <w:r w:rsidR="000A1D4B" w:rsidRPr="000A1D4B">
        <w:rPr>
          <w:rFonts w:ascii="Cambria" w:hAnsi="Cambria"/>
          <w:bCs/>
          <w:lang w:val="en-US"/>
        </w:rPr>
        <w:t xml:space="preserve"> to </w:t>
      </w:r>
      <w:r w:rsidR="00186627">
        <w:rPr>
          <w:rFonts w:ascii="Cambria" w:hAnsi="Cambria"/>
          <w:bCs/>
          <w:lang w:val="en-US"/>
        </w:rPr>
        <w:t xml:space="preserve">guarantee their independence in performing </w:t>
      </w:r>
      <w:r w:rsidR="00CF5DB2">
        <w:rPr>
          <w:rFonts w:ascii="Cambria" w:hAnsi="Cambria"/>
          <w:bCs/>
          <w:lang w:val="en-US"/>
        </w:rPr>
        <w:t>the duties</w:t>
      </w:r>
      <w:r w:rsidR="000A1D4B">
        <w:rPr>
          <w:rFonts w:ascii="Cambria" w:hAnsi="Cambria"/>
          <w:bCs/>
          <w:lang w:val="en-US"/>
        </w:rPr>
        <w:t xml:space="preserve"> </w:t>
      </w:r>
      <w:r w:rsidR="00CF5DB2">
        <w:rPr>
          <w:rFonts w:ascii="Cambria" w:hAnsi="Cambria"/>
          <w:bCs/>
          <w:lang w:val="en-US"/>
        </w:rPr>
        <w:t>of their office</w:t>
      </w:r>
      <w:r w:rsidR="000A1D4B">
        <w:rPr>
          <w:rFonts w:ascii="Cambria" w:hAnsi="Cambria"/>
          <w:bCs/>
          <w:lang w:val="en-US"/>
        </w:rPr>
        <w:t>.</w:t>
      </w:r>
      <w:r w:rsidR="00084D0D" w:rsidRPr="00766381">
        <w:rPr>
          <w:rStyle w:val="FootnoteReference"/>
          <w:rFonts w:ascii="Cambria" w:hAnsi="Cambria"/>
          <w:bCs/>
          <w:lang w:val="es-CO"/>
        </w:rPr>
        <w:footnoteReference w:id="94"/>
      </w:r>
    </w:p>
    <w:p w14:paraId="50146482" w14:textId="77777777" w:rsidR="00AF48C1" w:rsidRPr="0051009A" w:rsidRDefault="00AF48C1" w:rsidP="00AF48C1">
      <w:pPr>
        <w:pStyle w:val="parrafos"/>
        <w:numPr>
          <w:ilvl w:val="0"/>
          <w:numId w:val="0"/>
        </w:numPr>
        <w:rPr>
          <w:lang w:val="en-US"/>
        </w:rPr>
      </w:pPr>
    </w:p>
    <w:p w14:paraId="3960BBE0" w14:textId="77777777" w:rsidR="00874191" w:rsidRPr="003C2CEF" w:rsidRDefault="00E32052" w:rsidP="00AF48C1">
      <w:pPr>
        <w:pStyle w:val="parrafos"/>
        <w:numPr>
          <w:ilvl w:val="0"/>
          <w:numId w:val="0"/>
        </w:numPr>
        <w:rPr>
          <w:rFonts w:eastAsia="Times New Roman"/>
          <w:lang w:val="en-US"/>
        </w:rPr>
      </w:pPr>
      <w:r>
        <w:rPr>
          <w:lang w:val="en-US"/>
        </w:rPr>
        <w:t>114</w:t>
      </w:r>
      <w:r w:rsidR="00AF48C1" w:rsidRPr="003C2CEF">
        <w:rPr>
          <w:lang w:val="en-US"/>
        </w:rPr>
        <w:t xml:space="preserve">. </w:t>
      </w:r>
      <w:r w:rsidR="003C2CEF" w:rsidRPr="003C2CEF">
        <w:rPr>
          <w:lang w:val="en-US"/>
        </w:rPr>
        <w:t>The case at hand</w:t>
      </w:r>
      <w:r w:rsidR="00BD04E6" w:rsidRPr="003C2CEF">
        <w:rPr>
          <w:lang w:val="en-US"/>
        </w:rPr>
        <w:t xml:space="preserve"> ha</w:t>
      </w:r>
      <w:r w:rsidR="003C2CEF" w:rsidRPr="003C2CEF">
        <w:rPr>
          <w:lang w:val="en-US"/>
        </w:rPr>
        <w:t xml:space="preserve">s established that Mr. </w:t>
      </w:r>
      <w:r w:rsidR="00BD04E6" w:rsidRPr="003C2CEF">
        <w:rPr>
          <w:lang w:val="en-US"/>
        </w:rPr>
        <w:t xml:space="preserve">Nissen Pessolani </w:t>
      </w:r>
      <w:r w:rsidR="003C2CEF" w:rsidRPr="003C2CEF">
        <w:rPr>
          <w:lang w:val="en-US"/>
        </w:rPr>
        <w:t xml:space="preserve">was separated from his </w:t>
      </w:r>
      <w:r w:rsidR="00F43754">
        <w:rPr>
          <w:lang w:val="en-US"/>
        </w:rPr>
        <w:t>post</w:t>
      </w:r>
      <w:r w:rsidR="003C2CEF" w:rsidRPr="003C2CEF">
        <w:rPr>
          <w:lang w:val="en-US"/>
        </w:rPr>
        <w:t xml:space="preserve"> as public prosecutor in a proceeding in which there were violations both to due process and to the principle of legality, in the terms described throughout this report on the merits of the c</w:t>
      </w:r>
      <w:r w:rsidR="003C2CEF">
        <w:rPr>
          <w:lang w:val="en-US"/>
        </w:rPr>
        <w:t xml:space="preserve">ase. It was also established that the disciplinary process was carried out in a manner that is incompatible with the right to freedom of expression. Under such circumstances, and </w:t>
      </w:r>
      <w:r w:rsidR="0002214F">
        <w:rPr>
          <w:lang w:val="en-US"/>
        </w:rPr>
        <w:t>pursuant</w:t>
      </w:r>
      <w:r w:rsidR="003C2CEF">
        <w:rPr>
          <w:lang w:val="en-US"/>
        </w:rPr>
        <w:t xml:space="preserve"> the criteria mentioned in the previous paragraph, the Commission considers that the State also violated Article </w:t>
      </w:r>
      <w:r w:rsidR="00BD04E6" w:rsidRPr="003C2CEF">
        <w:rPr>
          <w:lang w:val="en-US"/>
        </w:rPr>
        <w:t>23</w:t>
      </w:r>
      <w:r w:rsidR="003C2CEF">
        <w:rPr>
          <w:lang w:val="en-US"/>
        </w:rPr>
        <w:t>(</w:t>
      </w:r>
      <w:r w:rsidR="00BD04E6" w:rsidRPr="003C2CEF">
        <w:rPr>
          <w:lang w:val="en-US"/>
        </w:rPr>
        <w:t>1</w:t>
      </w:r>
      <w:r w:rsidR="003C2CEF">
        <w:rPr>
          <w:lang w:val="en-US"/>
        </w:rPr>
        <w:t>)(</w:t>
      </w:r>
      <w:r w:rsidR="00BD04E6" w:rsidRPr="003C2CEF">
        <w:rPr>
          <w:lang w:val="en-US"/>
        </w:rPr>
        <w:t xml:space="preserve">c) </w:t>
      </w:r>
      <w:r w:rsidR="003C2CEF">
        <w:rPr>
          <w:lang w:val="en-US"/>
        </w:rPr>
        <w:t xml:space="preserve">of the American Convention, in </w:t>
      </w:r>
      <w:r w:rsidR="003470C9">
        <w:rPr>
          <w:lang w:val="en-US"/>
        </w:rPr>
        <w:t xml:space="preserve">conjunction </w:t>
      </w:r>
      <w:r w:rsidR="003C2CEF">
        <w:rPr>
          <w:lang w:val="en-US"/>
        </w:rPr>
        <w:t xml:space="preserve">with Article </w:t>
      </w:r>
      <w:r w:rsidR="00BD04E6" w:rsidRPr="003C2CEF">
        <w:rPr>
          <w:lang w:val="en-US"/>
        </w:rPr>
        <w:t>1</w:t>
      </w:r>
      <w:r w:rsidR="003C2CEF">
        <w:rPr>
          <w:lang w:val="en-US"/>
        </w:rPr>
        <w:t>(</w:t>
      </w:r>
      <w:r w:rsidR="00BD04E6" w:rsidRPr="003C2CEF">
        <w:rPr>
          <w:lang w:val="en-US"/>
        </w:rPr>
        <w:t>1</w:t>
      </w:r>
      <w:r w:rsidR="003C2CEF">
        <w:rPr>
          <w:lang w:val="en-US"/>
        </w:rPr>
        <w:t xml:space="preserve">) thereof, to the detriment of Mr. </w:t>
      </w:r>
      <w:r w:rsidR="00BD04E6" w:rsidRPr="003C2CEF">
        <w:rPr>
          <w:lang w:val="en-US"/>
        </w:rPr>
        <w:t>Alejandro Nissen Pessolani.</w:t>
      </w:r>
    </w:p>
    <w:p w14:paraId="4F144263" w14:textId="77777777" w:rsidR="0006565A" w:rsidRPr="003C2CEF" w:rsidRDefault="0006565A" w:rsidP="00516EE3">
      <w:pPr>
        <w:pStyle w:val="parrafos"/>
        <w:numPr>
          <w:ilvl w:val="0"/>
          <w:numId w:val="0"/>
        </w:numPr>
        <w:rPr>
          <w:lang w:val="en-US"/>
        </w:rPr>
      </w:pPr>
    </w:p>
    <w:p w14:paraId="5743AAC7" w14:textId="77777777" w:rsidR="00D12193" w:rsidRPr="00C71D22" w:rsidRDefault="00D12193" w:rsidP="00AF48C1">
      <w:pPr>
        <w:pStyle w:val="Heading1"/>
        <w:rPr>
          <w:lang w:val="en-US"/>
        </w:rPr>
      </w:pPr>
      <w:bookmarkStart w:id="23" w:name="_Toc42595076"/>
      <w:r w:rsidRPr="00C71D22">
        <w:rPr>
          <w:lang w:val="en-US"/>
        </w:rPr>
        <w:t>CONCLUSION</w:t>
      </w:r>
      <w:r w:rsidR="00C71D22" w:rsidRPr="00C71D22">
        <w:rPr>
          <w:lang w:val="en-US"/>
        </w:rPr>
        <w:t>S AND RECOMMENDATIONS</w:t>
      </w:r>
      <w:bookmarkEnd w:id="23"/>
      <w:r w:rsidRPr="00C71D22">
        <w:rPr>
          <w:lang w:val="en-US"/>
        </w:rPr>
        <w:t xml:space="preserve"> </w:t>
      </w:r>
    </w:p>
    <w:p w14:paraId="59FB73D3" w14:textId="77777777" w:rsidR="00D12193" w:rsidRPr="00C71D22" w:rsidRDefault="00D12193" w:rsidP="00914740">
      <w:pPr>
        <w:tabs>
          <w:tab w:val="left" w:pos="360"/>
        </w:tabs>
        <w:suppressAutoHyphens/>
        <w:rPr>
          <w:rFonts w:asciiTheme="majorHAnsi" w:hAnsiTheme="majorHAnsi"/>
          <w:b/>
          <w:sz w:val="20"/>
          <w:szCs w:val="20"/>
        </w:rPr>
      </w:pPr>
    </w:p>
    <w:p w14:paraId="1E975632" w14:textId="77777777" w:rsidR="00006896" w:rsidRPr="00C71D22" w:rsidRDefault="00E32052" w:rsidP="00AF48C1">
      <w:pPr>
        <w:pStyle w:val="parrafos"/>
        <w:numPr>
          <w:ilvl w:val="0"/>
          <w:numId w:val="0"/>
        </w:numPr>
        <w:rPr>
          <w:lang w:val="en-US"/>
        </w:rPr>
      </w:pPr>
      <w:r>
        <w:rPr>
          <w:lang w:val="en-US"/>
        </w:rPr>
        <w:t>115</w:t>
      </w:r>
      <w:r w:rsidR="00AF48C1" w:rsidRPr="00C71D22">
        <w:rPr>
          <w:lang w:val="en-US"/>
        </w:rPr>
        <w:t xml:space="preserve">. </w:t>
      </w:r>
      <w:r w:rsidR="00C71D22" w:rsidRPr="00C71D22">
        <w:rPr>
          <w:lang w:val="en-US"/>
        </w:rPr>
        <w:t xml:space="preserve">Based on the determinations of fact and of law, the Inter-American Commission concluded that the State is responsible for violating the rights to a fair trial, principle of legality, freedom of expression, and judicial protection, established in Articles </w:t>
      </w:r>
      <w:r w:rsidR="00BC532C" w:rsidRPr="00C71D22">
        <w:rPr>
          <w:lang w:val="en-US"/>
        </w:rPr>
        <w:t>8</w:t>
      </w:r>
      <w:r w:rsidR="00C71D22">
        <w:rPr>
          <w:lang w:val="en-US"/>
        </w:rPr>
        <w:t>(</w:t>
      </w:r>
      <w:r w:rsidR="00BC532C" w:rsidRPr="00C71D22">
        <w:rPr>
          <w:lang w:val="en-US"/>
        </w:rPr>
        <w:t>1</w:t>
      </w:r>
      <w:r w:rsidR="00C71D22">
        <w:rPr>
          <w:lang w:val="en-US"/>
        </w:rPr>
        <w:t>)</w:t>
      </w:r>
      <w:r w:rsidR="00BC532C" w:rsidRPr="00C71D22">
        <w:rPr>
          <w:lang w:val="en-US"/>
        </w:rPr>
        <w:t>, 8</w:t>
      </w:r>
      <w:r w:rsidR="00C71D22">
        <w:rPr>
          <w:lang w:val="en-US"/>
        </w:rPr>
        <w:t>(</w:t>
      </w:r>
      <w:r w:rsidR="00BC532C" w:rsidRPr="00C71D22">
        <w:rPr>
          <w:lang w:val="en-US"/>
        </w:rPr>
        <w:t>2</w:t>
      </w:r>
      <w:r w:rsidR="00C71D22">
        <w:rPr>
          <w:lang w:val="en-US"/>
        </w:rPr>
        <w:t>)(</w:t>
      </w:r>
      <w:r w:rsidR="00BC532C" w:rsidRPr="00C71D22">
        <w:rPr>
          <w:lang w:val="en-US"/>
        </w:rPr>
        <w:t>b), 8</w:t>
      </w:r>
      <w:r w:rsidR="00C71D22">
        <w:rPr>
          <w:lang w:val="en-US"/>
        </w:rPr>
        <w:t>(</w:t>
      </w:r>
      <w:r w:rsidR="00BC532C" w:rsidRPr="00C71D22">
        <w:rPr>
          <w:lang w:val="en-US"/>
        </w:rPr>
        <w:t>2</w:t>
      </w:r>
      <w:r w:rsidR="00C71D22">
        <w:rPr>
          <w:lang w:val="en-US"/>
        </w:rPr>
        <w:t>)(</w:t>
      </w:r>
      <w:r w:rsidR="00BC532C" w:rsidRPr="00C71D22">
        <w:rPr>
          <w:lang w:val="en-US"/>
        </w:rPr>
        <w:t>c), 8</w:t>
      </w:r>
      <w:r w:rsidR="00C71D22">
        <w:rPr>
          <w:lang w:val="en-US"/>
        </w:rPr>
        <w:t>(</w:t>
      </w:r>
      <w:r w:rsidR="00BC532C" w:rsidRPr="00C71D22">
        <w:rPr>
          <w:lang w:val="en-US"/>
        </w:rPr>
        <w:t>2</w:t>
      </w:r>
      <w:r w:rsidR="00C71D22">
        <w:rPr>
          <w:lang w:val="en-US"/>
        </w:rPr>
        <w:t>)(</w:t>
      </w:r>
      <w:r w:rsidR="00BC532C" w:rsidRPr="00C71D22">
        <w:rPr>
          <w:lang w:val="en-US"/>
        </w:rPr>
        <w:t>h)</w:t>
      </w:r>
      <w:r w:rsidR="00C71D22">
        <w:rPr>
          <w:lang w:val="en-US"/>
        </w:rPr>
        <w:t>,</w:t>
      </w:r>
      <w:r w:rsidR="00BC532C" w:rsidRPr="00C71D22">
        <w:rPr>
          <w:lang w:val="en-US"/>
        </w:rPr>
        <w:t xml:space="preserve"> 9, 13</w:t>
      </w:r>
      <w:r w:rsidR="00C71D22">
        <w:rPr>
          <w:lang w:val="en-US"/>
        </w:rPr>
        <w:t>(</w:t>
      </w:r>
      <w:r w:rsidR="00BC532C" w:rsidRPr="00C71D22">
        <w:rPr>
          <w:lang w:val="en-US"/>
        </w:rPr>
        <w:t>1</w:t>
      </w:r>
      <w:r w:rsidR="00C71D22">
        <w:rPr>
          <w:lang w:val="en-US"/>
        </w:rPr>
        <w:t>)</w:t>
      </w:r>
      <w:r w:rsidR="00BC532C" w:rsidRPr="00C71D22">
        <w:rPr>
          <w:lang w:val="en-US"/>
        </w:rPr>
        <w:t>,</w:t>
      </w:r>
      <w:r w:rsidR="00044714" w:rsidRPr="00C71D22">
        <w:rPr>
          <w:lang w:val="en-US"/>
        </w:rPr>
        <w:t xml:space="preserve"> 13</w:t>
      </w:r>
      <w:r w:rsidR="00C71D22">
        <w:rPr>
          <w:lang w:val="en-US"/>
        </w:rPr>
        <w:t>(</w:t>
      </w:r>
      <w:r w:rsidR="00044714" w:rsidRPr="00C71D22">
        <w:rPr>
          <w:lang w:val="en-US"/>
        </w:rPr>
        <w:t>2</w:t>
      </w:r>
      <w:r w:rsidR="00C71D22">
        <w:rPr>
          <w:lang w:val="en-US"/>
        </w:rPr>
        <w:t>)</w:t>
      </w:r>
      <w:r w:rsidR="00044714" w:rsidRPr="00C71D22">
        <w:rPr>
          <w:lang w:val="en-US"/>
        </w:rPr>
        <w:t>,</w:t>
      </w:r>
      <w:r w:rsidR="00BC532C" w:rsidRPr="00C71D22">
        <w:rPr>
          <w:lang w:val="en-US"/>
        </w:rPr>
        <w:t xml:space="preserve"> 23</w:t>
      </w:r>
      <w:r w:rsidR="00C71D22">
        <w:rPr>
          <w:lang w:val="en-US"/>
        </w:rPr>
        <w:t>(</w:t>
      </w:r>
      <w:r w:rsidR="00BC532C" w:rsidRPr="00C71D22">
        <w:rPr>
          <w:lang w:val="en-US"/>
        </w:rPr>
        <w:t>1</w:t>
      </w:r>
      <w:r w:rsidR="00C71D22">
        <w:rPr>
          <w:lang w:val="en-US"/>
        </w:rPr>
        <w:t>)(</w:t>
      </w:r>
      <w:r w:rsidR="00BC532C" w:rsidRPr="00C71D22">
        <w:rPr>
          <w:lang w:val="en-US"/>
        </w:rPr>
        <w:t>c)</w:t>
      </w:r>
      <w:r w:rsidR="00C71D22">
        <w:rPr>
          <w:lang w:val="en-US"/>
        </w:rPr>
        <w:t xml:space="preserve">, and </w:t>
      </w:r>
      <w:r w:rsidR="00BC532C" w:rsidRPr="00C71D22">
        <w:rPr>
          <w:lang w:val="en-US"/>
        </w:rPr>
        <w:t>25</w:t>
      </w:r>
      <w:r w:rsidR="00C71D22">
        <w:rPr>
          <w:lang w:val="en-US"/>
        </w:rPr>
        <w:t>(</w:t>
      </w:r>
      <w:r w:rsidR="00BC532C" w:rsidRPr="00C71D22">
        <w:rPr>
          <w:lang w:val="en-US"/>
        </w:rPr>
        <w:t>1</w:t>
      </w:r>
      <w:r w:rsidR="00C71D22">
        <w:rPr>
          <w:lang w:val="en-US"/>
        </w:rPr>
        <w:t xml:space="preserve">) of the American Convention on Human Rights, in </w:t>
      </w:r>
      <w:r w:rsidR="003470C9">
        <w:rPr>
          <w:lang w:val="en-US"/>
        </w:rPr>
        <w:t xml:space="preserve">conjunction </w:t>
      </w:r>
      <w:r w:rsidR="00C71D22">
        <w:rPr>
          <w:lang w:val="en-US"/>
        </w:rPr>
        <w:t xml:space="preserve">with the obligations established in Articles </w:t>
      </w:r>
      <w:r w:rsidR="00BC532C" w:rsidRPr="00C71D22">
        <w:rPr>
          <w:lang w:val="en-US"/>
        </w:rPr>
        <w:t>1</w:t>
      </w:r>
      <w:r w:rsidR="00C71D22">
        <w:rPr>
          <w:lang w:val="en-US"/>
        </w:rPr>
        <w:t>(</w:t>
      </w:r>
      <w:r w:rsidR="00BC532C" w:rsidRPr="00C71D22">
        <w:rPr>
          <w:lang w:val="en-US"/>
        </w:rPr>
        <w:t>1</w:t>
      </w:r>
      <w:r w:rsidR="00C71D22">
        <w:rPr>
          <w:lang w:val="en-US"/>
        </w:rPr>
        <w:t xml:space="preserve">) and </w:t>
      </w:r>
      <w:r w:rsidR="00BC532C" w:rsidRPr="00C71D22">
        <w:rPr>
          <w:lang w:val="en-US"/>
        </w:rPr>
        <w:t xml:space="preserve">2 </w:t>
      </w:r>
      <w:r w:rsidR="00C71D22">
        <w:rPr>
          <w:lang w:val="en-US"/>
        </w:rPr>
        <w:t xml:space="preserve">thereof, to the detriment of </w:t>
      </w:r>
      <w:r w:rsidR="00BC532C" w:rsidRPr="00C71D22">
        <w:rPr>
          <w:lang w:val="en-US"/>
        </w:rPr>
        <w:t>Alejandro Nissen Pessolani.</w:t>
      </w:r>
    </w:p>
    <w:p w14:paraId="2ED28F43" w14:textId="77777777" w:rsidR="00BC532C" w:rsidRPr="00C71D22" w:rsidRDefault="00BC532C" w:rsidP="00BC532C">
      <w:pPr>
        <w:pStyle w:val="parrafos"/>
        <w:numPr>
          <w:ilvl w:val="0"/>
          <w:numId w:val="0"/>
        </w:numPr>
        <w:rPr>
          <w:lang w:val="en-US"/>
        </w:rPr>
      </w:pPr>
    </w:p>
    <w:p w14:paraId="5ECEC1AC" w14:textId="77777777" w:rsidR="00BC532C" w:rsidRPr="00A55F36" w:rsidRDefault="00E32052" w:rsidP="00AF48C1">
      <w:pPr>
        <w:pStyle w:val="parrafos"/>
        <w:numPr>
          <w:ilvl w:val="0"/>
          <w:numId w:val="0"/>
        </w:numPr>
        <w:rPr>
          <w:lang w:val="en-US"/>
        </w:rPr>
      </w:pPr>
      <w:r>
        <w:rPr>
          <w:lang w:val="en-US"/>
        </w:rPr>
        <w:t>116</w:t>
      </w:r>
      <w:r w:rsidR="00AF48C1" w:rsidRPr="00A55F36">
        <w:rPr>
          <w:lang w:val="en-US"/>
        </w:rPr>
        <w:t xml:space="preserve">. </w:t>
      </w:r>
      <w:r w:rsidR="00A55F36" w:rsidRPr="00A55F36">
        <w:rPr>
          <w:lang w:val="en-US"/>
        </w:rPr>
        <w:t>Based on the analysis and conclusions in this report</w:t>
      </w:r>
      <w:r w:rsidR="00A55F36">
        <w:rPr>
          <w:lang w:val="en-US"/>
        </w:rPr>
        <w:t>,</w:t>
      </w:r>
    </w:p>
    <w:p w14:paraId="3CE8D680" w14:textId="77777777" w:rsidR="00BC532C" w:rsidRPr="00A55F36" w:rsidRDefault="00BC532C" w:rsidP="00914740">
      <w:pPr>
        <w:tabs>
          <w:tab w:val="left" w:pos="360"/>
        </w:tabs>
        <w:suppressAutoHyphens/>
        <w:jc w:val="both"/>
        <w:rPr>
          <w:rFonts w:asciiTheme="majorHAnsi" w:hAnsiTheme="majorHAnsi"/>
          <w:sz w:val="20"/>
          <w:szCs w:val="20"/>
        </w:rPr>
      </w:pPr>
    </w:p>
    <w:p w14:paraId="4B79BF5F" w14:textId="77777777" w:rsidR="00006896" w:rsidRPr="00DF0CAF" w:rsidRDefault="00DF0CAF" w:rsidP="00914740">
      <w:pPr>
        <w:tabs>
          <w:tab w:val="left" w:pos="360"/>
        </w:tabs>
        <w:jc w:val="both"/>
        <w:rPr>
          <w:rFonts w:ascii="Cambria" w:hAnsi="Cambria"/>
          <w:b/>
          <w:sz w:val="20"/>
          <w:szCs w:val="20"/>
        </w:rPr>
      </w:pPr>
      <w:r w:rsidRPr="00DF0CAF">
        <w:rPr>
          <w:rFonts w:ascii="Cambria" w:hAnsi="Cambria"/>
          <w:b/>
          <w:sz w:val="20"/>
          <w:szCs w:val="20"/>
        </w:rPr>
        <w:t>THE INTER-AMERICAN COMMISSION ON HUMAN RIGHTS RECOMMENDS THAT</w:t>
      </w:r>
      <w:r w:rsidR="00A512ED">
        <w:rPr>
          <w:rFonts w:ascii="Cambria" w:hAnsi="Cambria"/>
          <w:b/>
          <w:sz w:val="20"/>
          <w:szCs w:val="20"/>
        </w:rPr>
        <w:t xml:space="preserve"> </w:t>
      </w:r>
      <w:r w:rsidRPr="00DF0CAF">
        <w:rPr>
          <w:rFonts w:ascii="Cambria" w:hAnsi="Cambria"/>
          <w:b/>
          <w:sz w:val="20"/>
          <w:szCs w:val="20"/>
        </w:rPr>
        <w:t xml:space="preserve">THE STATE OF PARAGUAY </w:t>
      </w:r>
    </w:p>
    <w:p w14:paraId="18AF754F" w14:textId="77777777" w:rsidR="00006896" w:rsidRPr="00DF0CAF" w:rsidRDefault="00006896" w:rsidP="00914740">
      <w:pPr>
        <w:tabs>
          <w:tab w:val="left" w:pos="360"/>
        </w:tabs>
        <w:ind w:firstLine="720"/>
        <w:jc w:val="both"/>
        <w:rPr>
          <w:rFonts w:ascii="Cambria" w:hAnsi="Cambria"/>
          <w:b/>
          <w:sz w:val="20"/>
          <w:szCs w:val="20"/>
        </w:rPr>
      </w:pPr>
    </w:p>
    <w:p w14:paraId="1E340A5A" w14:textId="77777777" w:rsidR="00BC532C" w:rsidRPr="00DF0CAF" w:rsidRDefault="00006896" w:rsidP="00E2789B">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right="0" w:firstLine="720"/>
        <w:rPr>
          <w:spacing w:val="-2"/>
          <w:sz w:val="20"/>
          <w:szCs w:val="20"/>
          <w:lang w:val="en-US"/>
        </w:rPr>
      </w:pPr>
      <w:r w:rsidRPr="00DF0CAF">
        <w:rPr>
          <w:rFonts w:ascii="Helvetica" w:eastAsia="Times New Roman" w:hAnsi="Helvetica"/>
          <w:color w:val="666666"/>
          <w:sz w:val="15"/>
          <w:szCs w:val="15"/>
          <w:bdr w:val="none" w:sz="0" w:space="0" w:color="auto"/>
          <w:lang w:val="en-US"/>
        </w:rPr>
        <w:t> </w:t>
      </w:r>
      <w:r w:rsidR="00DF0CAF" w:rsidRPr="00DF0CAF">
        <w:rPr>
          <w:spacing w:val="-2"/>
          <w:sz w:val="20"/>
          <w:szCs w:val="20"/>
          <w:lang w:val="en-US"/>
        </w:rPr>
        <w:t>Reinstate</w:t>
      </w:r>
      <w:r w:rsidR="00BC532C" w:rsidRPr="00DF0CAF">
        <w:rPr>
          <w:spacing w:val="-2"/>
          <w:sz w:val="20"/>
          <w:szCs w:val="20"/>
          <w:lang w:val="en-US"/>
        </w:rPr>
        <w:t xml:space="preserve"> </w:t>
      </w:r>
      <w:r w:rsidR="00DF0CAF" w:rsidRPr="00DF0CAF">
        <w:rPr>
          <w:spacing w:val="-2"/>
          <w:sz w:val="20"/>
          <w:szCs w:val="20"/>
          <w:lang w:val="en-US"/>
        </w:rPr>
        <w:t xml:space="preserve">the victim </w:t>
      </w:r>
      <w:r w:rsidR="003C12D4">
        <w:rPr>
          <w:spacing w:val="-2"/>
          <w:sz w:val="20"/>
          <w:szCs w:val="20"/>
          <w:lang w:val="en-US"/>
        </w:rPr>
        <w:t>to</w:t>
      </w:r>
      <w:r w:rsidR="00DF0CAF" w:rsidRPr="00DF0CAF">
        <w:rPr>
          <w:spacing w:val="-2"/>
          <w:sz w:val="20"/>
          <w:szCs w:val="20"/>
          <w:lang w:val="en-US"/>
        </w:rPr>
        <w:t xml:space="preserve"> a </w:t>
      </w:r>
      <w:r w:rsidR="003C12D4">
        <w:rPr>
          <w:spacing w:val="-2"/>
          <w:sz w:val="20"/>
          <w:szCs w:val="20"/>
          <w:lang w:val="en-US"/>
        </w:rPr>
        <w:t>position</w:t>
      </w:r>
      <w:r w:rsidR="00DF0CAF" w:rsidRPr="00DF0CAF">
        <w:rPr>
          <w:spacing w:val="-2"/>
          <w:sz w:val="20"/>
          <w:szCs w:val="20"/>
          <w:lang w:val="en-US"/>
        </w:rPr>
        <w:t xml:space="preserve"> </w:t>
      </w:r>
      <w:r w:rsidR="00494E32" w:rsidRPr="00DF0CAF">
        <w:rPr>
          <w:spacing w:val="-2"/>
          <w:sz w:val="20"/>
          <w:szCs w:val="20"/>
          <w:lang w:val="en-US"/>
        </w:rPr>
        <w:t xml:space="preserve">similar </w:t>
      </w:r>
      <w:r w:rsidR="00DF0CAF" w:rsidRPr="00DF0CAF">
        <w:rPr>
          <w:spacing w:val="-2"/>
          <w:sz w:val="20"/>
          <w:szCs w:val="20"/>
          <w:lang w:val="en-US"/>
        </w:rPr>
        <w:t xml:space="preserve">to </w:t>
      </w:r>
      <w:r w:rsidR="00494E32">
        <w:rPr>
          <w:spacing w:val="-2"/>
          <w:sz w:val="20"/>
          <w:szCs w:val="20"/>
          <w:lang w:val="en-US"/>
        </w:rPr>
        <w:t>the one he</w:t>
      </w:r>
      <w:r w:rsidR="00DF0CAF" w:rsidRPr="00DF0CAF">
        <w:rPr>
          <w:spacing w:val="-2"/>
          <w:sz w:val="20"/>
          <w:szCs w:val="20"/>
          <w:lang w:val="en-US"/>
        </w:rPr>
        <w:t xml:space="preserve"> held</w:t>
      </w:r>
      <w:r w:rsidR="009E56FB">
        <w:rPr>
          <w:spacing w:val="-2"/>
          <w:sz w:val="20"/>
          <w:szCs w:val="20"/>
          <w:lang w:val="en-US"/>
        </w:rPr>
        <w:t xml:space="preserve"> before</w:t>
      </w:r>
      <w:r w:rsidR="00DF0CAF" w:rsidRPr="00DF0CAF">
        <w:rPr>
          <w:spacing w:val="-2"/>
          <w:sz w:val="20"/>
          <w:szCs w:val="20"/>
          <w:lang w:val="en-US"/>
        </w:rPr>
        <w:t xml:space="preserve">, with the same remuneration, </w:t>
      </w:r>
      <w:r w:rsidR="009E56FB">
        <w:rPr>
          <w:spacing w:val="-2"/>
          <w:sz w:val="20"/>
          <w:szCs w:val="20"/>
          <w:lang w:val="en-US"/>
        </w:rPr>
        <w:t>fringe</w:t>
      </w:r>
      <w:r w:rsidR="00DF0CAF" w:rsidRPr="00DF0CAF">
        <w:rPr>
          <w:spacing w:val="-2"/>
          <w:sz w:val="20"/>
          <w:szCs w:val="20"/>
          <w:lang w:val="en-US"/>
        </w:rPr>
        <w:t xml:space="preserve"> benefits, and equivalent rank to wh</w:t>
      </w:r>
      <w:r w:rsidR="00BC532C" w:rsidRPr="00DF0CAF">
        <w:rPr>
          <w:spacing w:val="-2"/>
          <w:sz w:val="20"/>
          <w:szCs w:val="20"/>
          <w:lang w:val="en-US"/>
        </w:rPr>
        <w:t>a</w:t>
      </w:r>
      <w:r w:rsidR="00DF0CAF" w:rsidRPr="00DF0CAF">
        <w:rPr>
          <w:spacing w:val="-2"/>
          <w:sz w:val="20"/>
          <w:szCs w:val="20"/>
          <w:lang w:val="en-US"/>
        </w:rPr>
        <w:t>t he would be entitled today if</w:t>
      </w:r>
      <w:r w:rsidR="00DF0CAF">
        <w:rPr>
          <w:spacing w:val="-2"/>
          <w:sz w:val="20"/>
          <w:szCs w:val="20"/>
          <w:lang w:val="en-US"/>
        </w:rPr>
        <w:t xml:space="preserve"> he had not been terminated. </w:t>
      </w:r>
      <w:r w:rsidR="00DF0CAF" w:rsidRPr="00DF0CAF">
        <w:rPr>
          <w:spacing w:val="-2"/>
          <w:sz w:val="20"/>
          <w:szCs w:val="20"/>
          <w:lang w:val="en-US"/>
        </w:rPr>
        <w:t>If this is not the victim’s wish, or if there are objective reasons that would keep him from being reinstated, the State should pay</w:t>
      </w:r>
      <w:r w:rsidR="00DF0CAF">
        <w:rPr>
          <w:spacing w:val="-2"/>
          <w:sz w:val="20"/>
          <w:szCs w:val="20"/>
          <w:lang w:val="en-US"/>
        </w:rPr>
        <w:t xml:space="preserve"> compensation for </w:t>
      </w:r>
      <w:r w:rsidR="00476E1C">
        <w:rPr>
          <w:spacing w:val="-2"/>
          <w:sz w:val="20"/>
          <w:szCs w:val="20"/>
          <w:lang w:val="en-US"/>
        </w:rPr>
        <w:t>this</w:t>
      </w:r>
      <w:r w:rsidR="00DF0CAF">
        <w:rPr>
          <w:spacing w:val="-2"/>
          <w:sz w:val="20"/>
          <w:szCs w:val="20"/>
          <w:lang w:val="en-US"/>
        </w:rPr>
        <w:t xml:space="preserve"> </w:t>
      </w:r>
      <w:r w:rsidR="009E56FB">
        <w:rPr>
          <w:spacing w:val="-2"/>
          <w:sz w:val="20"/>
          <w:szCs w:val="20"/>
          <w:lang w:val="en-US"/>
        </w:rPr>
        <w:t>reason</w:t>
      </w:r>
      <w:r w:rsidR="00DF0CAF">
        <w:rPr>
          <w:spacing w:val="-2"/>
          <w:sz w:val="20"/>
          <w:szCs w:val="20"/>
          <w:lang w:val="en-US"/>
        </w:rPr>
        <w:t xml:space="preserve">, independent of </w:t>
      </w:r>
      <w:r w:rsidR="00476E1C">
        <w:rPr>
          <w:spacing w:val="-2"/>
          <w:sz w:val="20"/>
          <w:szCs w:val="20"/>
          <w:lang w:val="en-US"/>
        </w:rPr>
        <w:t xml:space="preserve">the </w:t>
      </w:r>
      <w:r w:rsidR="00DF0CAF">
        <w:rPr>
          <w:spacing w:val="-2"/>
          <w:sz w:val="20"/>
          <w:szCs w:val="20"/>
          <w:lang w:val="en-US"/>
        </w:rPr>
        <w:t xml:space="preserve">reparations </w:t>
      </w:r>
      <w:r w:rsidR="009E56FB" w:rsidRPr="009E56FB">
        <w:rPr>
          <w:spacing w:val="-2"/>
          <w:sz w:val="20"/>
          <w:szCs w:val="20"/>
          <w:lang w:val="en-US"/>
        </w:rPr>
        <w:t>for</w:t>
      </w:r>
      <w:r w:rsidR="00DF0CAF" w:rsidRPr="009E56FB">
        <w:rPr>
          <w:spacing w:val="-2"/>
          <w:sz w:val="20"/>
          <w:szCs w:val="20"/>
          <w:lang w:val="en-US"/>
        </w:rPr>
        <w:t xml:space="preserve"> material and moral harm included</w:t>
      </w:r>
      <w:r w:rsidR="00DF0CAF">
        <w:rPr>
          <w:spacing w:val="-2"/>
          <w:sz w:val="20"/>
          <w:szCs w:val="20"/>
          <w:lang w:val="en-US"/>
        </w:rPr>
        <w:t xml:space="preserve"> in the second recommendation. </w:t>
      </w:r>
      <w:r w:rsidR="00BC532C" w:rsidRPr="00DF0CAF">
        <w:rPr>
          <w:spacing w:val="-2"/>
          <w:sz w:val="20"/>
          <w:szCs w:val="20"/>
          <w:lang w:val="en-US"/>
        </w:rPr>
        <w:t xml:space="preserve"> </w:t>
      </w:r>
    </w:p>
    <w:p w14:paraId="4D7DF071" w14:textId="77777777" w:rsidR="00BC532C" w:rsidRPr="00DF0CAF" w:rsidRDefault="00BC532C" w:rsidP="00BC532C">
      <w:pPr>
        <w:rPr>
          <w:spacing w:val="-2"/>
          <w:sz w:val="20"/>
          <w:szCs w:val="20"/>
        </w:rPr>
      </w:pPr>
    </w:p>
    <w:p w14:paraId="737DFF68" w14:textId="77777777" w:rsidR="00BC532C" w:rsidRPr="00950695" w:rsidRDefault="00DF0CAF" w:rsidP="00E2789B">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right="0" w:firstLine="720"/>
        <w:rPr>
          <w:spacing w:val="-2"/>
          <w:sz w:val="20"/>
          <w:szCs w:val="20"/>
          <w:lang w:val="en-US"/>
        </w:rPr>
      </w:pPr>
      <w:r w:rsidRPr="007F08E9">
        <w:rPr>
          <w:spacing w:val="-2"/>
          <w:sz w:val="20"/>
          <w:szCs w:val="20"/>
          <w:lang w:val="en-US"/>
        </w:rPr>
        <w:t xml:space="preserve">Provide full reparation for the consequences of the violations laid out in this report, including </w:t>
      </w:r>
      <w:r w:rsidR="007F08E9" w:rsidRPr="007F08E9">
        <w:rPr>
          <w:spacing w:val="-2"/>
          <w:sz w:val="20"/>
          <w:szCs w:val="20"/>
          <w:lang w:val="en-US"/>
        </w:rPr>
        <w:t xml:space="preserve">both </w:t>
      </w:r>
      <w:r w:rsidR="00950695" w:rsidRPr="00950695">
        <w:rPr>
          <w:spacing w:val="-2"/>
          <w:sz w:val="20"/>
          <w:szCs w:val="20"/>
          <w:lang w:val="en-US"/>
        </w:rPr>
        <w:t>material</w:t>
      </w:r>
      <w:r w:rsidR="007F08E9" w:rsidRPr="00950695">
        <w:rPr>
          <w:spacing w:val="-2"/>
          <w:sz w:val="20"/>
          <w:szCs w:val="20"/>
          <w:lang w:val="en-US"/>
        </w:rPr>
        <w:t xml:space="preserve"> and non</w:t>
      </w:r>
      <w:r w:rsidR="00476E1C" w:rsidRPr="00950695">
        <w:rPr>
          <w:spacing w:val="-2"/>
          <w:sz w:val="20"/>
          <w:szCs w:val="20"/>
          <w:lang w:val="en-US"/>
        </w:rPr>
        <w:t>-</w:t>
      </w:r>
      <w:r w:rsidR="007F08E9" w:rsidRPr="00950695">
        <w:rPr>
          <w:spacing w:val="-2"/>
          <w:sz w:val="20"/>
          <w:szCs w:val="20"/>
          <w:lang w:val="en-US"/>
        </w:rPr>
        <w:t>m</w:t>
      </w:r>
      <w:r w:rsidR="00950695" w:rsidRPr="00950695">
        <w:rPr>
          <w:spacing w:val="-2"/>
          <w:sz w:val="20"/>
          <w:szCs w:val="20"/>
          <w:lang w:val="en-US"/>
        </w:rPr>
        <w:t>aterial</w:t>
      </w:r>
      <w:r w:rsidR="007F08E9" w:rsidRPr="00950695">
        <w:rPr>
          <w:spacing w:val="-2"/>
          <w:sz w:val="20"/>
          <w:szCs w:val="20"/>
          <w:lang w:val="en-US"/>
        </w:rPr>
        <w:t xml:space="preserve"> </w:t>
      </w:r>
      <w:r w:rsidR="00950695">
        <w:rPr>
          <w:spacing w:val="-2"/>
          <w:sz w:val="20"/>
          <w:szCs w:val="20"/>
          <w:lang w:val="en-US"/>
        </w:rPr>
        <w:t>harm</w:t>
      </w:r>
      <w:r w:rsidR="00BC532C" w:rsidRPr="00950695">
        <w:rPr>
          <w:spacing w:val="-2"/>
          <w:sz w:val="20"/>
          <w:szCs w:val="20"/>
          <w:lang w:val="en-US"/>
        </w:rPr>
        <w:t xml:space="preserve">. </w:t>
      </w:r>
    </w:p>
    <w:p w14:paraId="43BC2940" w14:textId="77777777" w:rsidR="00BC532C" w:rsidRPr="007F08E9" w:rsidRDefault="00BC532C" w:rsidP="00BC532C">
      <w:pPr>
        <w:pStyle w:val="ListParagraph"/>
        <w:rPr>
          <w:spacing w:val="-2"/>
          <w:sz w:val="20"/>
          <w:szCs w:val="20"/>
          <w:lang w:val="en-US"/>
        </w:rPr>
      </w:pPr>
    </w:p>
    <w:p w14:paraId="24874874" w14:textId="77777777" w:rsidR="009917C6" w:rsidRPr="007F08E9" w:rsidRDefault="007F08E9" w:rsidP="005722D9">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right="0" w:firstLine="720"/>
        <w:rPr>
          <w:rFonts w:asciiTheme="majorHAnsi" w:hAnsiTheme="majorHAnsi"/>
          <w:sz w:val="20"/>
          <w:szCs w:val="20"/>
          <w:lang w:val="en-US"/>
        </w:rPr>
      </w:pPr>
      <w:r w:rsidRPr="007F08E9">
        <w:rPr>
          <w:rFonts w:asciiTheme="majorHAnsi" w:hAnsiTheme="majorHAnsi"/>
          <w:sz w:val="20"/>
          <w:szCs w:val="20"/>
          <w:lang w:val="en-US"/>
        </w:rPr>
        <w:t xml:space="preserve">Within the Jury for the Prosecution of Magistrates, </w:t>
      </w:r>
      <w:r w:rsidR="00950695">
        <w:rPr>
          <w:rFonts w:asciiTheme="majorHAnsi" w:hAnsiTheme="majorHAnsi"/>
          <w:sz w:val="20"/>
          <w:szCs w:val="20"/>
          <w:lang w:val="en-US"/>
        </w:rPr>
        <w:t>provide</w:t>
      </w:r>
      <w:r w:rsidRPr="007F08E9">
        <w:rPr>
          <w:rFonts w:asciiTheme="majorHAnsi" w:hAnsiTheme="majorHAnsi"/>
          <w:sz w:val="20"/>
          <w:szCs w:val="20"/>
          <w:lang w:val="en-US"/>
        </w:rPr>
        <w:t xml:space="preserve"> </w:t>
      </w:r>
      <w:r w:rsidR="00476E1C">
        <w:rPr>
          <w:rFonts w:asciiTheme="majorHAnsi" w:hAnsiTheme="majorHAnsi"/>
          <w:sz w:val="20"/>
          <w:szCs w:val="20"/>
          <w:lang w:val="en-US"/>
        </w:rPr>
        <w:t xml:space="preserve">any </w:t>
      </w:r>
      <w:r w:rsidRPr="007F08E9">
        <w:rPr>
          <w:rFonts w:asciiTheme="majorHAnsi" w:hAnsiTheme="majorHAnsi"/>
          <w:sz w:val="20"/>
          <w:szCs w:val="20"/>
          <w:lang w:val="en-US"/>
        </w:rPr>
        <w:t xml:space="preserve">training </w:t>
      </w:r>
      <w:r w:rsidR="00476E1C">
        <w:rPr>
          <w:rFonts w:asciiTheme="majorHAnsi" w:hAnsiTheme="majorHAnsi"/>
          <w:sz w:val="20"/>
          <w:szCs w:val="20"/>
          <w:lang w:val="en-US"/>
        </w:rPr>
        <w:t>related to</w:t>
      </w:r>
      <w:r w:rsidRPr="007F08E9">
        <w:rPr>
          <w:rFonts w:asciiTheme="majorHAnsi" w:hAnsiTheme="majorHAnsi"/>
          <w:sz w:val="20"/>
          <w:szCs w:val="20"/>
          <w:lang w:val="en-US"/>
        </w:rPr>
        <w:t xml:space="preserve"> the right of defense, the principle of </w:t>
      </w:r>
      <w:r w:rsidR="00A512ED">
        <w:rPr>
          <w:rFonts w:asciiTheme="majorHAnsi" w:hAnsiTheme="majorHAnsi"/>
          <w:sz w:val="20"/>
          <w:szCs w:val="20"/>
          <w:lang w:val="en-US"/>
        </w:rPr>
        <w:t>legality</w:t>
      </w:r>
      <w:r w:rsidRPr="007F08E9">
        <w:rPr>
          <w:rFonts w:asciiTheme="majorHAnsi" w:hAnsiTheme="majorHAnsi"/>
          <w:sz w:val="20"/>
          <w:szCs w:val="20"/>
          <w:lang w:val="en-US"/>
        </w:rPr>
        <w:t xml:space="preserve">, and freedom of expression that may be relevant in the exercise of its disciplinary role, </w:t>
      </w:r>
      <w:r w:rsidR="00950695">
        <w:rPr>
          <w:rFonts w:asciiTheme="majorHAnsi" w:hAnsiTheme="majorHAnsi"/>
          <w:sz w:val="20"/>
          <w:szCs w:val="20"/>
          <w:lang w:val="en-US"/>
        </w:rPr>
        <w:t>along the lines</w:t>
      </w:r>
      <w:r w:rsidRPr="007F08E9">
        <w:rPr>
          <w:rFonts w:asciiTheme="majorHAnsi" w:hAnsiTheme="majorHAnsi"/>
          <w:sz w:val="20"/>
          <w:szCs w:val="20"/>
          <w:lang w:val="en-US"/>
        </w:rPr>
        <w:t xml:space="preserve"> st</w:t>
      </w:r>
      <w:r>
        <w:rPr>
          <w:rFonts w:asciiTheme="majorHAnsi" w:hAnsiTheme="majorHAnsi"/>
          <w:sz w:val="20"/>
          <w:szCs w:val="20"/>
          <w:lang w:val="en-US"/>
        </w:rPr>
        <w:t>ated in this report</w:t>
      </w:r>
      <w:r w:rsidR="00476E1C">
        <w:rPr>
          <w:rFonts w:asciiTheme="majorHAnsi" w:hAnsiTheme="majorHAnsi"/>
          <w:sz w:val="20"/>
          <w:szCs w:val="20"/>
          <w:lang w:val="en-US"/>
        </w:rPr>
        <w:t>.</w:t>
      </w:r>
      <w:r>
        <w:rPr>
          <w:rFonts w:asciiTheme="majorHAnsi" w:hAnsiTheme="majorHAnsi"/>
          <w:sz w:val="20"/>
          <w:szCs w:val="20"/>
          <w:lang w:val="en-US"/>
        </w:rPr>
        <w:t xml:space="preserve"> </w:t>
      </w:r>
    </w:p>
    <w:p w14:paraId="74F35990" w14:textId="77777777" w:rsidR="009917C6" w:rsidRPr="007F08E9" w:rsidRDefault="009917C6" w:rsidP="009917C6">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rPr>
          <w:rFonts w:asciiTheme="majorHAnsi" w:hAnsiTheme="majorHAnsi"/>
          <w:sz w:val="20"/>
          <w:szCs w:val="20"/>
        </w:rPr>
      </w:pPr>
    </w:p>
    <w:p w14:paraId="36BFD7D5" w14:textId="77777777" w:rsidR="00FF086C" w:rsidRPr="007F08E9" w:rsidRDefault="007F08E9" w:rsidP="00E2789B">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right="0" w:firstLine="720"/>
        <w:rPr>
          <w:spacing w:val="-2"/>
          <w:sz w:val="20"/>
          <w:szCs w:val="20"/>
          <w:lang w:val="en-US"/>
        </w:rPr>
      </w:pPr>
      <w:r w:rsidRPr="007F08E9">
        <w:rPr>
          <w:rFonts w:asciiTheme="majorHAnsi" w:hAnsiTheme="majorHAnsi"/>
          <w:sz w:val="20"/>
          <w:szCs w:val="20"/>
          <w:lang w:val="en-US"/>
        </w:rPr>
        <w:t>Adopt any legislative, administrative, or other type</w:t>
      </w:r>
      <w:r w:rsidR="00950695">
        <w:rPr>
          <w:rFonts w:asciiTheme="majorHAnsi" w:hAnsiTheme="majorHAnsi"/>
          <w:sz w:val="20"/>
          <w:szCs w:val="20"/>
          <w:lang w:val="en-US"/>
        </w:rPr>
        <w:t>s</w:t>
      </w:r>
      <w:r w:rsidRPr="007F08E9">
        <w:rPr>
          <w:rFonts w:asciiTheme="majorHAnsi" w:hAnsiTheme="majorHAnsi"/>
          <w:sz w:val="20"/>
          <w:szCs w:val="20"/>
          <w:lang w:val="en-US"/>
        </w:rPr>
        <w:t xml:space="preserve"> of measures that may be necessary to ensure that disciplinary proceedings against public prosecutors are compatible with due process standards for justice system operators.</w:t>
      </w:r>
      <w:r>
        <w:rPr>
          <w:rFonts w:asciiTheme="majorHAnsi" w:hAnsiTheme="majorHAnsi"/>
          <w:sz w:val="20"/>
          <w:szCs w:val="20"/>
          <w:lang w:val="en-US"/>
        </w:rPr>
        <w:t xml:space="preserve"> </w:t>
      </w:r>
      <w:r w:rsidRPr="007F08E9">
        <w:rPr>
          <w:rFonts w:asciiTheme="majorHAnsi" w:hAnsiTheme="majorHAnsi"/>
          <w:sz w:val="20"/>
          <w:szCs w:val="20"/>
          <w:lang w:val="en-US"/>
        </w:rPr>
        <w:t xml:space="preserve">Specifically, </w:t>
      </w:r>
      <w:r w:rsidR="00950695">
        <w:rPr>
          <w:rFonts w:asciiTheme="majorHAnsi" w:hAnsiTheme="majorHAnsi"/>
          <w:sz w:val="20"/>
          <w:szCs w:val="20"/>
          <w:lang w:val="en-US"/>
        </w:rPr>
        <w:t xml:space="preserve">any </w:t>
      </w:r>
      <w:r w:rsidRPr="007F08E9">
        <w:rPr>
          <w:rFonts w:asciiTheme="majorHAnsi" w:hAnsiTheme="majorHAnsi"/>
          <w:sz w:val="20"/>
          <w:szCs w:val="20"/>
          <w:lang w:val="en-US"/>
        </w:rPr>
        <w:t xml:space="preserve">necessary measures should be taken </w:t>
      </w:r>
      <w:r w:rsidR="00950695">
        <w:rPr>
          <w:rFonts w:asciiTheme="majorHAnsi" w:hAnsiTheme="majorHAnsi"/>
          <w:sz w:val="20"/>
          <w:szCs w:val="20"/>
          <w:lang w:val="en-US"/>
        </w:rPr>
        <w:t>so</w:t>
      </w:r>
      <w:r w:rsidRPr="007F08E9">
        <w:rPr>
          <w:rFonts w:asciiTheme="majorHAnsi" w:hAnsiTheme="majorHAnsi"/>
          <w:sz w:val="20"/>
          <w:szCs w:val="20"/>
          <w:lang w:val="en-US"/>
        </w:rPr>
        <w:t xml:space="preserve"> that proceedings </w:t>
      </w:r>
      <w:r w:rsidR="00950695">
        <w:rPr>
          <w:rFonts w:asciiTheme="majorHAnsi" w:hAnsiTheme="majorHAnsi"/>
          <w:sz w:val="20"/>
          <w:szCs w:val="20"/>
          <w:lang w:val="en-US"/>
        </w:rPr>
        <w:t xml:space="preserve">can </w:t>
      </w:r>
      <w:r w:rsidRPr="007F08E9">
        <w:rPr>
          <w:rFonts w:asciiTheme="majorHAnsi" w:hAnsiTheme="majorHAnsi"/>
          <w:sz w:val="20"/>
          <w:szCs w:val="20"/>
          <w:lang w:val="en-US"/>
        </w:rPr>
        <w:t xml:space="preserve">guarantee the right to appeal </w:t>
      </w:r>
      <w:r w:rsidR="00950695">
        <w:rPr>
          <w:rFonts w:asciiTheme="majorHAnsi" w:hAnsiTheme="majorHAnsi"/>
          <w:sz w:val="20"/>
          <w:szCs w:val="20"/>
          <w:lang w:val="en-US"/>
        </w:rPr>
        <w:t>sanction decisions</w:t>
      </w:r>
      <w:r w:rsidRPr="007F08E9">
        <w:rPr>
          <w:rFonts w:asciiTheme="majorHAnsi" w:hAnsiTheme="majorHAnsi"/>
          <w:sz w:val="20"/>
          <w:szCs w:val="20"/>
          <w:lang w:val="en-US"/>
        </w:rPr>
        <w:t xml:space="preserve"> and ensure judicial protection</w:t>
      </w:r>
      <w:r w:rsidR="009917C6" w:rsidRPr="007F08E9">
        <w:rPr>
          <w:rFonts w:asciiTheme="majorHAnsi" w:hAnsiTheme="majorHAnsi"/>
          <w:sz w:val="20"/>
          <w:szCs w:val="20"/>
          <w:lang w:val="en-US"/>
        </w:rPr>
        <w:t>.</w:t>
      </w:r>
      <w:r w:rsidRPr="007F08E9">
        <w:rPr>
          <w:rFonts w:asciiTheme="majorHAnsi" w:hAnsiTheme="majorHAnsi"/>
          <w:sz w:val="20"/>
          <w:szCs w:val="20"/>
          <w:lang w:val="en-US"/>
        </w:rPr>
        <w:t xml:space="preserve"> </w:t>
      </w:r>
    </w:p>
    <w:p w14:paraId="78C7DD38" w14:textId="77777777" w:rsidR="00006896" w:rsidRPr="007F08E9" w:rsidRDefault="00006896" w:rsidP="00BC532C">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ascii="Cambria" w:hAnsi="Cambria"/>
          <w:color w:val="548DD4" w:themeColor="text2" w:themeTint="99"/>
          <w:sz w:val="20"/>
          <w:szCs w:val="20"/>
        </w:rPr>
      </w:pPr>
    </w:p>
    <w:sectPr w:rsidR="00006896" w:rsidRPr="007F08E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135CD" w14:textId="77777777" w:rsidR="007253DD" w:rsidRDefault="007253DD">
      <w:r>
        <w:separator/>
      </w:r>
    </w:p>
  </w:endnote>
  <w:endnote w:type="continuationSeparator" w:id="0">
    <w:p w14:paraId="53CAC488" w14:textId="77777777" w:rsidR="007253DD" w:rsidRDefault="00725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Open Sans">
    <w:altName w:val="Times New Roman"/>
    <w:charset w:val="00"/>
    <w:family w:val="swiss"/>
    <w:pitch w:val="variable"/>
    <w:sig w:usb0="E00002EF" w:usb1="4000205B" w:usb2="00000028" w:usb3="00000000" w:csb0="0000019F" w:csb1="00000000"/>
  </w:font>
  <w:font w:name="Calibri-Italic">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5294112"/>
      <w:docPartObj>
        <w:docPartGallery w:val="Page Numbers (Bottom of Page)"/>
        <w:docPartUnique/>
      </w:docPartObj>
    </w:sdtPr>
    <w:sdtEndPr>
      <w:rPr>
        <w:noProof/>
        <w:sz w:val="16"/>
        <w:szCs w:val="22"/>
      </w:rPr>
    </w:sdtEndPr>
    <w:sdtContent>
      <w:p w14:paraId="1775A94C" w14:textId="77777777" w:rsidR="00E10F82" w:rsidRPr="00934A2C" w:rsidRDefault="00E10F82">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E32052">
          <w:rPr>
            <w:noProof/>
            <w:sz w:val="16"/>
            <w:szCs w:val="22"/>
          </w:rPr>
          <w:t>19</w:t>
        </w:r>
        <w:r w:rsidRPr="00934A2C">
          <w:rPr>
            <w:noProof/>
            <w:sz w:val="16"/>
            <w:szCs w:val="22"/>
          </w:rPr>
          <w:fldChar w:fldCharType="end"/>
        </w:r>
      </w:p>
    </w:sdtContent>
  </w:sdt>
  <w:p w14:paraId="17EC89A6" w14:textId="77777777" w:rsidR="00E10F82" w:rsidRDefault="00E10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1165C" w14:textId="77777777" w:rsidR="00E10F82" w:rsidRPr="00934A2C" w:rsidRDefault="00E10F82">
    <w:pPr>
      <w:pStyle w:val="Footer"/>
      <w:jc w:val="center"/>
      <w:rPr>
        <w:sz w:val="16"/>
        <w:szCs w:val="22"/>
      </w:rPr>
    </w:pPr>
  </w:p>
  <w:p w14:paraId="31D38CBB" w14:textId="77777777" w:rsidR="00E10F82" w:rsidRDefault="00E10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AB75C" w14:textId="77777777" w:rsidR="007253DD" w:rsidRPr="000F35ED" w:rsidRDefault="007253D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4BB700E" w14:textId="77777777" w:rsidR="007253DD" w:rsidRPr="000F35ED" w:rsidRDefault="007253DD" w:rsidP="000F35ED">
      <w:pPr>
        <w:rPr>
          <w:rFonts w:asciiTheme="majorHAnsi" w:hAnsiTheme="majorHAnsi"/>
          <w:sz w:val="16"/>
          <w:szCs w:val="16"/>
        </w:rPr>
      </w:pPr>
      <w:r w:rsidRPr="000F35ED">
        <w:rPr>
          <w:rFonts w:asciiTheme="majorHAnsi" w:hAnsiTheme="majorHAnsi"/>
          <w:sz w:val="16"/>
          <w:szCs w:val="16"/>
        </w:rPr>
        <w:separator/>
      </w:r>
    </w:p>
    <w:p w14:paraId="25C68568" w14:textId="77777777" w:rsidR="007253DD" w:rsidRPr="000F35ED" w:rsidRDefault="007253D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1C877909" w14:textId="77777777" w:rsidR="007253DD" w:rsidRPr="000F35ED" w:rsidRDefault="007253D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6C1D8D77" w14:textId="77777777" w:rsidR="00E10F82" w:rsidRPr="00575054" w:rsidRDefault="00E10F82">
      <w:pPr>
        <w:pStyle w:val="FootnoteText"/>
        <w:rPr>
          <w:color w:val="FF0000"/>
        </w:rPr>
      </w:pPr>
      <w:r w:rsidRPr="00CF0808">
        <w:rPr>
          <w:rStyle w:val="FootnoteReference"/>
          <w:color w:val="auto"/>
        </w:rPr>
        <w:footnoteRef/>
      </w:r>
      <w:r w:rsidRPr="005D126A">
        <w:rPr>
          <w:color w:val="auto"/>
        </w:rPr>
        <w:t xml:space="preserve"> IACHR. Report No. 60/14</w:t>
      </w:r>
      <w:r>
        <w:rPr>
          <w:color w:val="auto"/>
        </w:rPr>
        <w:t>,</w:t>
      </w:r>
      <w:r w:rsidRPr="005D126A">
        <w:rPr>
          <w:color w:val="auto"/>
        </w:rPr>
        <w:t xml:space="preserve"> Petition 1415-04</w:t>
      </w:r>
      <w:r>
        <w:rPr>
          <w:color w:val="auto"/>
        </w:rPr>
        <w:t>,</w:t>
      </w:r>
      <w:r w:rsidRPr="005D126A">
        <w:rPr>
          <w:color w:val="auto"/>
        </w:rPr>
        <w:t xml:space="preserve"> Admissibility</w:t>
      </w:r>
      <w:r>
        <w:rPr>
          <w:color w:val="auto"/>
        </w:rPr>
        <w:t>,</w:t>
      </w:r>
      <w:r w:rsidRPr="005D126A">
        <w:rPr>
          <w:color w:val="auto"/>
        </w:rPr>
        <w:t xml:space="preserve"> </w:t>
      </w:r>
      <w:r w:rsidRPr="00CA713B">
        <w:rPr>
          <w:color w:val="auto"/>
          <w:lang w:val="pt-BR"/>
        </w:rPr>
        <w:t>Alejandro Nissen Pessolani</w:t>
      </w:r>
      <w:r>
        <w:rPr>
          <w:color w:val="auto"/>
          <w:lang w:val="pt-BR"/>
        </w:rPr>
        <w:t>,</w:t>
      </w:r>
      <w:r w:rsidRPr="00CA713B">
        <w:rPr>
          <w:color w:val="auto"/>
          <w:lang w:val="pt-BR"/>
        </w:rPr>
        <w:t xml:space="preserve"> Paraguay</w:t>
      </w:r>
      <w:r>
        <w:rPr>
          <w:color w:val="auto"/>
          <w:lang w:val="pt-BR"/>
        </w:rPr>
        <w:t xml:space="preserve">, July </w:t>
      </w:r>
      <w:r w:rsidRPr="00CA713B">
        <w:rPr>
          <w:color w:val="auto"/>
          <w:lang w:val="pt-BR"/>
        </w:rPr>
        <w:t>24</w:t>
      </w:r>
      <w:r>
        <w:rPr>
          <w:color w:val="auto"/>
          <w:lang w:val="pt-BR"/>
        </w:rPr>
        <w:t>,</w:t>
      </w:r>
      <w:r w:rsidRPr="00CA713B">
        <w:rPr>
          <w:color w:val="auto"/>
          <w:lang w:val="pt-BR"/>
        </w:rPr>
        <w:t xml:space="preserve"> 2014. </w:t>
      </w:r>
      <w:r>
        <w:rPr>
          <w:color w:val="auto"/>
          <w:lang w:val="pt-BR"/>
        </w:rPr>
        <w:t>The Commission declared the petition to be admissible with regard to Articles</w:t>
      </w:r>
      <w:r w:rsidRPr="00575054">
        <w:rPr>
          <w:color w:val="auto"/>
          <w:lang w:val="pt-BR"/>
        </w:rPr>
        <w:t xml:space="preserve"> 2, 8, 9, and 25 of the </w:t>
      </w:r>
      <w:r>
        <w:rPr>
          <w:color w:val="auto"/>
          <w:lang w:val="pt-BR"/>
        </w:rPr>
        <w:t xml:space="preserve">American Convention, in conjunction with Article </w:t>
      </w:r>
      <w:r w:rsidRPr="00575054">
        <w:rPr>
          <w:color w:val="auto"/>
          <w:lang w:val="pt-BR"/>
        </w:rPr>
        <w:t>1</w:t>
      </w:r>
      <w:r>
        <w:rPr>
          <w:color w:val="auto"/>
          <w:lang w:val="pt-BR"/>
        </w:rPr>
        <w:t>(</w:t>
      </w:r>
      <w:r w:rsidRPr="00575054">
        <w:rPr>
          <w:color w:val="auto"/>
          <w:lang w:val="pt-BR"/>
        </w:rPr>
        <w:t>1</w:t>
      </w:r>
      <w:r>
        <w:rPr>
          <w:color w:val="auto"/>
          <w:lang w:val="pt-BR"/>
        </w:rPr>
        <w:t>) thereof. The Commission also found the petition inadmissible with respect to Article 10 of the American Convention.</w:t>
      </w:r>
      <w:r w:rsidRPr="00575054">
        <w:rPr>
          <w:color w:val="auto"/>
        </w:rPr>
        <w:t xml:space="preserve"> </w:t>
      </w:r>
    </w:p>
  </w:footnote>
  <w:footnote w:id="3">
    <w:p w14:paraId="44C8FFF9" w14:textId="77777777" w:rsidR="00E10F82" w:rsidRPr="00F217E1" w:rsidRDefault="00E10F82">
      <w:pPr>
        <w:pStyle w:val="FootnoteText"/>
      </w:pPr>
      <w:r>
        <w:rPr>
          <w:rStyle w:val="FootnoteReference"/>
        </w:rPr>
        <w:footnoteRef/>
      </w:r>
      <w:r w:rsidRPr="00F217E1">
        <w:t xml:space="preserve"> Annex xx</w:t>
      </w:r>
      <w:r>
        <w:t>,</w:t>
      </w:r>
      <w:r w:rsidRPr="00F217E1">
        <w:t xml:space="preserve"> Initial petition of December 27, 2004.</w:t>
      </w:r>
    </w:p>
  </w:footnote>
  <w:footnote w:id="4">
    <w:p w14:paraId="6E10C31A" w14:textId="77777777" w:rsidR="00E10F82" w:rsidRPr="00FD2394" w:rsidRDefault="00E10F82">
      <w:pPr>
        <w:pStyle w:val="FootnoteText"/>
      </w:pPr>
      <w:r>
        <w:rPr>
          <w:rStyle w:val="FootnoteReference"/>
        </w:rPr>
        <w:footnoteRef/>
      </w:r>
      <w:r w:rsidRPr="00872B99">
        <w:t xml:space="preserve"> Annex xx</w:t>
      </w:r>
      <w:r>
        <w:t>,</w:t>
      </w:r>
      <w:r w:rsidRPr="00872B99">
        <w:t xml:space="preserve"> Press reports: Diario Color ABC, March 31, 2003; Diario Noticias Judiciales, April 13, 2003; Diario Color ABC, April 8, 2004</w:t>
      </w:r>
      <w:r>
        <w:t>,</w:t>
      </w:r>
      <w:r w:rsidRPr="00872B99">
        <w:t xml:space="preserve"> </w:t>
      </w:r>
      <w:r>
        <w:t>Attached</w:t>
      </w:r>
      <w:r w:rsidRPr="00FD2394">
        <w:t xml:space="preserve"> to the initial petition of December 27</w:t>
      </w:r>
      <w:r>
        <w:t xml:space="preserve">, </w:t>
      </w:r>
      <w:r w:rsidRPr="00FD2394">
        <w:t>2004.</w:t>
      </w:r>
    </w:p>
  </w:footnote>
  <w:footnote w:id="5">
    <w:p w14:paraId="1419BFDF" w14:textId="77777777" w:rsidR="00E10F82" w:rsidRPr="00601504" w:rsidRDefault="00E10F82">
      <w:pPr>
        <w:pStyle w:val="FootnoteText"/>
      </w:pPr>
      <w:r>
        <w:rPr>
          <w:rStyle w:val="FootnoteReference"/>
        </w:rPr>
        <w:footnoteRef/>
      </w:r>
      <w:r w:rsidRPr="00601504">
        <w:t xml:space="preserve"> Annex xx</w:t>
      </w:r>
      <w:r>
        <w:t>,</w:t>
      </w:r>
      <w:r w:rsidRPr="00601504">
        <w:t xml:space="preserve"> Complaint against Mr. Alejandro Nissen Pessolani, March 12, 2002</w:t>
      </w:r>
      <w:r>
        <w:t>,</w:t>
      </w:r>
      <w:r w:rsidRPr="00601504">
        <w:t xml:space="preserve"> </w:t>
      </w:r>
      <w:r>
        <w:t>Attached</w:t>
      </w:r>
      <w:r w:rsidRPr="00FD2394">
        <w:t xml:space="preserve"> to the initial petition of December 27</w:t>
      </w:r>
      <w:r>
        <w:t xml:space="preserve">, </w:t>
      </w:r>
      <w:r w:rsidRPr="00FD2394">
        <w:t>2004</w:t>
      </w:r>
      <w:r w:rsidRPr="00601504">
        <w:t>.</w:t>
      </w:r>
    </w:p>
  </w:footnote>
  <w:footnote w:id="6">
    <w:p w14:paraId="3AE29891" w14:textId="77777777" w:rsidR="00E10F82" w:rsidRPr="00601504" w:rsidRDefault="00E10F82">
      <w:pPr>
        <w:pStyle w:val="FootnoteText"/>
      </w:pPr>
      <w:r>
        <w:rPr>
          <w:rStyle w:val="FootnoteReference"/>
        </w:rPr>
        <w:footnoteRef/>
      </w:r>
      <w:r w:rsidRPr="00601504">
        <w:t xml:space="preserve"> Annex xx</w:t>
      </w:r>
      <w:r>
        <w:t>,</w:t>
      </w:r>
      <w:r w:rsidRPr="00601504">
        <w:t xml:space="preserve"> Complaint against Mr. Alejandro Nissen Pessolani, March 12, 2002</w:t>
      </w:r>
      <w:r>
        <w:t>,</w:t>
      </w:r>
      <w:r w:rsidRPr="00601504">
        <w:t xml:space="preserve"> </w:t>
      </w:r>
      <w:r>
        <w:t>Attached</w:t>
      </w:r>
      <w:r w:rsidRPr="00FD2394">
        <w:t xml:space="preserve"> to the initial petition of December 27</w:t>
      </w:r>
      <w:r>
        <w:t xml:space="preserve">, </w:t>
      </w:r>
      <w:r w:rsidRPr="00FD2394">
        <w:t>2004</w:t>
      </w:r>
      <w:r w:rsidRPr="00601504">
        <w:t>.</w:t>
      </w:r>
    </w:p>
  </w:footnote>
  <w:footnote w:id="7">
    <w:p w14:paraId="2203C240" w14:textId="77777777" w:rsidR="00E10F82" w:rsidRPr="00C374B4" w:rsidRDefault="00E10F82">
      <w:pPr>
        <w:pStyle w:val="FootnoteText"/>
      </w:pPr>
      <w:r>
        <w:rPr>
          <w:rStyle w:val="FootnoteReference"/>
        </w:rPr>
        <w:footnoteRef/>
      </w:r>
      <w:r w:rsidRPr="00601504">
        <w:t xml:space="preserve"> Annex xx</w:t>
      </w:r>
      <w:r>
        <w:t>,</w:t>
      </w:r>
      <w:r w:rsidRPr="00601504">
        <w:t xml:space="preserve"> Jury for the Prosecution, Resolution of </w:t>
      </w:r>
      <w:r>
        <w:t xml:space="preserve">April </w:t>
      </w:r>
      <w:r w:rsidRPr="00601504">
        <w:t>7</w:t>
      </w:r>
      <w:r>
        <w:t xml:space="preserve">, </w:t>
      </w:r>
      <w:r w:rsidRPr="00601504">
        <w:t>2003</w:t>
      </w:r>
      <w:r>
        <w:t>,</w:t>
      </w:r>
      <w:r w:rsidRPr="00601504">
        <w:t xml:space="preserve"> </w:t>
      </w:r>
      <w:r>
        <w:t>Attached</w:t>
      </w:r>
      <w:r w:rsidRPr="00FD2394">
        <w:t xml:space="preserve"> </w:t>
      </w:r>
      <w:r w:rsidRPr="00C374B4">
        <w:t>to the initial petition of December 27, 2004.</w:t>
      </w:r>
    </w:p>
  </w:footnote>
  <w:footnote w:id="8">
    <w:p w14:paraId="053FE759" w14:textId="77777777" w:rsidR="00E10F82" w:rsidRPr="00C374B4" w:rsidRDefault="00E10F82">
      <w:pPr>
        <w:pStyle w:val="FootnoteText"/>
      </w:pPr>
      <w:r>
        <w:rPr>
          <w:rStyle w:val="FootnoteReference"/>
        </w:rPr>
        <w:footnoteRef/>
      </w:r>
      <w:r w:rsidRPr="00C374B4">
        <w:t xml:space="preserve"> </w:t>
      </w:r>
      <w:r w:rsidRPr="00601504">
        <w:t>Annex xx</w:t>
      </w:r>
      <w:r>
        <w:t>,</w:t>
      </w:r>
      <w:r w:rsidRPr="00601504">
        <w:t xml:space="preserve"> Jury for the Prosecution,</w:t>
      </w:r>
      <w:r w:rsidRPr="00C374B4">
        <w:t xml:space="preserve"> </w:t>
      </w:r>
      <w:r>
        <w:t>Judgment</w:t>
      </w:r>
      <w:r w:rsidRPr="00C374B4">
        <w:t xml:space="preserve"> S.D. N°02/03 </w:t>
      </w:r>
      <w:r>
        <w:t xml:space="preserve">of April </w:t>
      </w:r>
      <w:r w:rsidRPr="00C374B4">
        <w:t>7</w:t>
      </w:r>
      <w:r>
        <w:t xml:space="preserve">, </w:t>
      </w:r>
      <w:r w:rsidRPr="00C374B4">
        <w:t>2003</w:t>
      </w:r>
      <w:r>
        <w:t>, Attached</w:t>
      </w:r>
      <w:r w:rsidRPr="00FD2394">
        <w:t xml:space="preserve"> to the initial petition of December 27</w:t>
      </w:r>
      <w:r>
        <w:t xml:space="preserve">, </w:t>
      </w:r>
      <w:r w:rsidRPr="00FD2394">
        <w:t>2004</w:t>
      </w:r>
      <w:r w:rsidRPr="00C374B4">
        <w:t>.</w:t>
      </w:r>
    </w:p>
  </w:footnote>
  <w:footnote w:id="9">
    <w:p w14:paraId="7F9AE97D" w14:textId="77777777" w:rsidR="00E10F82" w:rsidRPr="00C374B4" w:rsidRDefault="00E10F82">
      <w:pPr>
        <w:pStyle w:val="FootnoteText"/>
      </w:pPr>
      <w:r>
        <w:rPr>
          <w:rStyle w:val="FootnoteReference"/>
        </w:rPr>
        <w:footnoteRef/>
      </w:r>
      <w:r w:rsidRPr="00C374B4">
        <w:t xml:space="preserve"> </w:t>
      </w:r>
      <w:r w:rsidRPr="00601504">
        <w:t>Annex xx</w:t>
      </w:r>
      <w:r>
        <w:t>,</w:t>
      </w:r>
      <w:r w:rsidRPr="00601504">
        <w:t xml:space="preserve"> Jury for the Prosecution,</w:t>
      </w:r>
      <w:r w:rsidRPr="00C374B4">
        <w:t xml:space="preserve"> </w:t>
      </w:r>
      <w:r>
        <w:t>Judgment</w:t>
      </w:r>
      <w:r w:rsidRPr="00C374B4">
        <w:t xml:space="preserve"> S.D. N°02/03 </w:t>
      </w:r>
      <w:r>
        <w:t xml:space="preserve">of April </w:t>
      </w:r>
      <w:r w:rsidRPr="00C374B4">
        <w:t>7</w:t>
      </w:r>
      <w:r>
        <w:t xml:space="preserve">, </w:t>
      </w:r>
      <w:r w:rsidRPr="00C374B4">
        <w:t>2003</w:t>
      </w:r>
      <w:r>
        <w:t>, Attached</w:t>
      </w:r>
      <w:r w:rsidRPr="00FD2394">
        <w:t xml:space="preserve"> to the initial petition of December 27</w:t>
      </w:r>
      <w:r>
        <w:t xml:space="preserve">, </w:t>
      </w:r>
      <w:r w:rsidRPr="00FD2394">
        <w:t>2004</w:t>
      </w:r>
      <w:r w:rsidRPr="00C374B4">
        <w:t>.</w:t>
      </w:r>
    </w:p>
  </w:footnote>
  <w:footnote w:id="10">
    <w:p w14:paraId="74FC6E65" w14:textId="77777777" w:rsidR="00E10F82" w:rsidRPr="00C374B4" w:rsidRDefault="00E10F82">
      <w:pPr>
        <w:pStyle w:val="FootnoteText"/>
      </w:pPr>
      <w:r>
        <w:rPr>
          <w:rStyle w:val="FootnoteReference"/>
        </w:rPr>
        <w:footnoteRef/>
      </w:r>
      <w:r w:rsidRPr="00C374B4">
        <w:t xml:space="preserve"> </w:t>
      </w:r>
      <w:r w:rsidRPr="00601504">
        <w:t>Annex xx</w:t>
      </w:r>
      <w:r>
        <w:t>,</w:t>
      </w:r>
      <w:r w:rsidRPr="00601504">
        <w:t xml:space="preserve"> Jury for the Prosecution,</w:t>
      </w:r>
      <w:r w:rsidRPr="00C374B4">
        <w:t xml:space="preserve"> </w:t>
      </w:r>
      <w:r>
        <w:t>Judgment</w:t>
      </w:r>
      <w:r w:rsidRPr="00C374B4">
        <w:t xml:space="preserve"> S.D. N</w:t>
      </w:r>
      <w:r>
        <w:t xml:space="preserve">o. </w:t>
      </w:r>
      <w:r w:rsidRPr="00C374B4">
        <w:t xml:space="preserve">02/03 </w:t>
      </w:r>
      <w:r>
        <w:t xml:space="preserve">of April </w:t>
      </w:r>
      <w:r w:rsidRPr="00C374B4">
        <w:t>7</w:t>
      </w:r>
      <w:r>
        <w:t xml:space="preserve">, </w:t>
      </w:r>
      <w:r w:rsidRPr="00C374B4">
        <w:t>2003</w:t>
      </w:r>
      <w:r>
        <w:t>, Attached</w:t>
      </w:r>
      <w:r w:rsidRPr="00FD2394">
        <w:t xml:space="preserve"> to the initial petition of December 27</w:t>
      </w:r>
      <w:r>
        <w:t xml:space="preserve">, </w:t>
      </w:r>
      <w:r w:rsidRPr="00FD2394">
        <w:t>2004</w:t>
      </w:r>
      <w:r w:rsidRPr="00C374B4">
        <w:t>.</w:t>
      </w:r>
    </w:p>
  </w:footnote>
  <w:footnote w:id="11">
    <w:p w14:paraId="132420FD" w14:textId="77777777" w:rsidR="00E10F82" w:rsidRPr="00C374B4" w:rsidRDefault="00E10F82">
      <w:pPr>
        <w:pStyle w:val="FootnoteText"/>
      </w:pPr>
      <w:r>
        <w:rPr>
          <w:rStyle w:val="FootnoteReference"/>
        </w:rPr>
        <w:footnoteRef/>
      </w:r>
      <w:r w:rsidRPr="00C374B4">
        <w:t xml:space="preserve"> </w:t>
      </w:r>
      <w:r w:rsidRPr="00601504">
        <w:t>Annex xx</w:t>
      </w:r>
      <w:r>
        <w:t>,</w:t>
      </w:r>
      <w:r w:rsidRPr="00601504">
        <w:t xml:space="preserve"> Jury for the Prosecution,</w:t>
      </w:r>
      <w:r w:rsidRPr="00C374B4">
        <w:t xml:space="preserve"> </w:t>
      </w:r>
      <w:r>
        <w:t>Judgment</w:t>
      </w:r>
      <w:r w:rsidRPr="00C374B4">
        <w:t xml:space="preserve"> S.D. N</w:t>
      </w:r>
      <w:r>
        <w:t xml:space="preserve">o. </w:t>
      </w:r>
      <w:r w:rsidRPr="00C374B4">
        <w:t xml:space="preserve">03/03 </w:t>
      </w:r>
      <w:r>
        <w:t>of April</w:t>
      </w:r>
      <w:r w:rsidRPr="00C374B4">
        <w:t xml:space="preserve"> 22</w:t>
      </w:r>
      <w:r>
        <w:t xml:space="preserve">, </w:t>
      </w:r>
      <w:r w:rsidRPr="00C374B4">
        <w:t>2003</w:t>
      </w:r>
      <w:r>
        <w:t>,</w:t>
      </w:r>
      <w:r w:rsidRPr="00C374B4">
        <w:t xml:space="preserve"> </w:t>
      </w:r>
      <w:r>
        <w:t>Attached</w:t>
      </w:r>
      <w:r w:rsidRPr="00FD2394">
        <w:t xml:space="preserve"> </w:t>
      </w:r>
      <w:r>
        <w:t>to the State’s brief of October 11,</w:t>
      </w:r>
      <w:r w:rsidRPr="00C374B4">
        <w:t xml:space="preserve"> 2006. </w:t>
      </w:r>
    </w:p>
  </w:footnote>
  <w:footnote w:id="12">
    <w:p w14:paraId="6C124CF8" w14:textId="77777777" w:rsidR="00E10F82" w:rsidRPr="00791A37" w:rsidRDefault="00E10F82">
      <w:pPr>
        <w:pStyle w:val="FootnoteText"/>
      </w:pPr>
      <w:r>
        <w:rPr>
          <w:rStyle w:val="FootnoteReference"/>
        </w:rPr>
        <w:footnoteRef/>
      </w:r>
      <w:r w:rsidRPr="00791A37">
        <w:t xml:space="preserve"> Annex xx, Complaint of April 4, 2003, presented to the </w:t>
      </w:r>
      <w:r w:rsidRPr="00601504">
        <w:t>Jury for the Prosecution</w:t>
      </w:r>
      <w:r>
        <w:t xml:space="preserve"> of Magistrates, Attached</w:t>
      </w:r>
      <w:r w:rsidRPr="00FD2394">
        <w:t xml:space="preserve"> to the initial petition of December 27</w:t>
      </w:r>
      <w:r>
        <w:t xml:space="preserve">, </w:t>
      </w:r>
      <w:r w:rsidRPr="00FD2394">
        <w:t>2004</w:t>
      </w:r>
      <w:r w:rsidRPr="00791A37">
        <w:t xml:space="preserve">. </w:t>
      </w:r>
    </w:p>
  </w:footnote>
  <w:footnote w:id="13">
    <w:p w14:paraId="151FB5BD" w14:textId="77777777" w:rsidR="00E10F82" w:rsidRPr="00791A37" w:rsidRDefault="00E10F82">
      <w:pPr>
        <w:pStyle w:val="FootnoteText"/>
      </w:pPr>
      <w:r>
        <w:rPr>
          <w:rStyle w:val="FootnoteReference"/>
        </w:rPr>
        <w:footnoteRef/>
      </w:r>
      <w:r w:rsidRPr="00791A37">
        <w:t xml:space="preserve"> Annex xx, </w:t>
      </w:r>
      <w:r w:rsidRPr="00601504">
        <w:t>Jury for the Prosecution</w:t>
      </w:r>
      <w:r>
        <w:t xml:space="preserve"> of Magistrates</w:t>
      </w:r>
      <w:r w:rsidRPr="00791A37">
        <w:t xml:space="preserve">, </w:t>
      </w:r>
      <w:r>
        <w:t>Judgment</w:t>
      </w:r>
      <w:r w:rsidRPr="00791A37">
        <w:t xml:space="preserve"> S.D. N</w:t>
      </w:r>
      <w:r>
        <w:t xml:space="preserve">o. </w:t>
      </w:r>
      <w:r w:rsidRPr="00791A37">
        <w:t xml:space="preserve">11/04 </w:t>
      </w:r>
      <w:r>
        <w:t xml:space="preserve">of April 29, </w:t>
      </w:r>
      <w:r w:rsidRPr="00791A37">
        <w:t>2004</w:t>
      </w:r>
      <w:r>
        <w:t>,</w:t>
      </w:r>
      <w:r w:rsidRPr="00791A37">
        <w:t xml:space="preserve"> </w:t>
      </w:r>
      <w:r>
        <w:t>Attached</w:t>
      </w:r>
      <w:r w:rsidRPr="00FD2394">
        <w:t xml:space="preserve"> </w:t>
      </w:r>
      <w:r w:rsidRPr="00791A37">
        <w:t xml:space="preserve">to the initial petition of December 27, 2004. </w:t>
      </w:r>
    </w:p>
  </w:footnote>
  <w:footnote w:id="14">
    <w:p w14:paraId="7C8BE002" w14:textId="77777777" w:rsidR="00E10F82" w:rsidRPr="00791A37" w:rsidRDefault="00E10F82">
      <w:pPr>
        <w:pStyle w:val="FootnoteText"/>
      </w:pPr>
      <w:r>
        <w:rPr>
          <w:rStyle w:val="FootnoteReference"/>
        </w:rPr>
        <w:footnoteRef/>
      </w:r>
      <w:r w:rsidRPr="00791A37">
        <w:t xml:space="preserve"> Annex xx, </w:t>
      </w:r>
      <w:r w:rsidRPr="00601504">
        <w:t>Jury for the Prosecution</w:t>
      </w:r>
      <w:r>
        <w:t xml:space="preserve"> of Magistrates</w:t>
      </w:r>
      <w:r w:rsidRPr="00791A37">
        <w:t xml:space="preserve">, </w:t>
      </w:r>
      <w:r>
        <w:t>Judgment</w:t>
      </w:r>
      <w:r w:rsidRPr="00791A37">
        <w:t xml:space="preserve"> S.D. N</w:t>
      </w:r>
      <w:r>
        <w:t xml:space="preserve">o. </w:t>
      </w:r>
      <w:r w:rsidRPr="00791A37">
        <w:t xml:space="preserve">13/04 </w:t>
      </w:r>
      <w:r>
        <w:t xml:space="preserve">of May 13, </w:t>
      </w:r>
      <w:r w:rsidRPr="00791A37">
        <w:t>2004</w:t>
      </w:r>
      <w:r>
        <w:t>, Attached</w:t>
      </w:r>
      <w:r w:rsidRPr="00FD2394">
        <w:t xml:space="preserve"> to the initial petition of </w:t>
      </w:r>
      <w:r w:rsidRPr="00342933">
        <w:t>December</w:t>
      </w:r>
      <w:r w:rsidRPr="00FD2394">
        <w:t xml:space="preserve"> 27</w:t>
      </w:r>
      <w:r>
        <w:t xml:space="preserve">, </w:t>
      </w:r>
      <w:r w:rsidRPr="00FD2394">
        <w:t>2004</w:t>
      </w:r>
      <w:r w:rsidRPr="00791A37">
        <w:t>.</w:t>
      </w:r>
    </w:p>
  </w:footnote>
  <w:footnote w:id="15">
    <w:p w14:paraId="1D1DB074" w14:textId="77777777" w:rsidR="00E10F82" w:rsidRPr="00637756" w:rsidRDefault="00E10F82">
      <w:pPr>
        <w:pStyle w:val="FootnoteText"/>
      </w:pPr>
      <w:r>
        <w:rPr>
          <w:rStyle w:val="FootnoteReference"/>
        </w:rPr>
        <w:footnoteRef/>
      </w:r>
      <w:r w:rsidRPr="00637756">
        <w:t xml:space="preserve"> Annex xx, </w:t>
      </w:r>
      <w:r>
        <w:t>A</w:t>
      </w:r>
      <w:r w:rsidRPr="00637756">
        <w:t xml:space="preserve">ction of </w:t>
      </w:r>
      <w:r>
        <w:t xml:space="preserve">unconstitutionality brought before the Supreme Court, April 22, </w:t>
      </w:r>
      <w:r w:rsidRPr="00637756">
        <w:t>2003</w:t>
      </w:r>
      <w:r>
        <w:t>,</w:t>
      </w:r>
      <w:r w:rsidRPr="00637756">
        <w:t xml:space="preserve"> </w:t>
      </w:r>
      <w:r>
        <w:t>Attached</w:t>
      </w:r>
      <w:r w:rsidRPr="00FD2394">
        <w:t xml:space="preserve"> to the initial petition of December 27</w:t>
      </w:r>
      <w:r>
        <w:t xml:space="preserve">, </w:t>
      </w:r>
      <w:r w:rsidRPr="00FD2394">
        <w:t>2004</w:t>
      </w:r>
      <w:r w:rsidRPr="00637756">
        <w:t>.</w:t>
      </w:r>
    </w:p>
  </w:footnote>
  <w:footnote w:id="16">
    <w:p w14:paraId="17071235" w14:textId="77777777" w:rsidR="00E10F82" w:rsidRPr="00652E0C" w:rsidRDefault="00E10F82">
      <w:pPr>
        <w:pStyle w:val="FootnoteText"/>
      </w:pPr>
      <w:r>
        <w:rPr>
          <w:rStyle w:val="FootnoteReference"/>
        </w:rPr>
        <w:footnoteRef/>
      </w:r>
      <w:r w:rsidRPr="00652E0C">
        <w:t xml:space="preserve"> </w:t>
      </w:r>
      <w:r w:rsidRPr="00637756">
        <w:t xml:space="preserve">Annex xx, </w:t>
      </w:r>
      <w:r>
        <w:t>A</w:t>
      </w:r>
      <w:r w:rsidRPr="00637756">
        <w:t xml:space="preserve">ction of </w:t>
      </w:r>
      <w:r>
        <w:t xml:space="preserve">unconstitutionality brought before the Supreme Court, April 22, </w:t>
      </w:r>
      <w:r w:rsidRPr="00637756">
        <w:t>2003</w:t>
      </w:r>
      <w:r>
        <w:t>,</w:t>
      </w:r>
      <w:r w:rsidRPr="00637756">
        <w:t xml:space="preserve"> </w:t>
      </w:r>
      <w:r>
        <w:t>Attached</w:t>
      </w:r>
      <w:r w:rsidRPr="00FD2394">
        <w:t xml:space="preserve"> to the initial petition of December 27</w:t>
      </w:r>
      <w:r>
        <w:t xml:space="preserve">, </w:t>
      </w:r>
      <w:r w:rsidRPr="00FD2394">
        <w:t>2004</w:t>
      </w:r>
      <w:r w:rsidRPr="00652E0C">
        <w:t>.</w:t>
      </w:r>
    </w:p>
  </w:footnote>
  <w:footnote w:id="17">
    <w:p w14:paraId="05523A59" w14:textId="77777777" w:rsidR="00E10F82" w:rsidRPr="00652E0C" w:rsidRDefault="00E10F82">
      <w:pPr>
        <w:pStyle w:val="FootnoteText"/>
      </w:pPr>
      <w:r>
        <w:rPr>
          <w:rStyle w:val="FootnoteReference"/>
        </w:rPr>
        <w:footnoteRef/>
      </w:r>
      <w:r w:rsidRPr="00652E0C">
        <w:t xml:space="preserve"> </w:t>
      </w:r>
      <w:r w:rsidRPr="00637756">
        <w:t xml:space="preserve">Annex xx, </w:t>
      </w:r>
      <w:r>
        <w:t>A</w:t>
      </w:r>
      <w:r w:rsidRPr="00637756">
        <w:t xml:space="preserve">ction of </w:t>
      </w:r>
      <w:r>
        <w:t xml:space="preserve">unconstitutionality brought before the Supreme Court, April 22, </w:t>
      </w:r>
      <w:r w:rsidRPr="00637756">
        <w:t>2003</w:t>
      </w:r>
      <w:r>
        <w:t>,</w:t>
      </w:r>
      <w:r w:rsidRPr="00637756">
        <w:t xml:space="preserve"> </w:t>
      </w:r>
      <w:r>
        <w:t>Attached</w:t>
      </w:r>
      <w:r w:rsidRPr="00FD2394">
        <w:t xml:space="preserve"> to the initial petition of December 27</w:t>
      </w:r>
      <w:r>
        <w:t xml:space="preserve">, </w:t>
      </w:r>
      <w:r w:rsidRPr="00FD2394">
        <w:t>2004</w:t>
      </w:r>
      <w:r w:rsidRPr="00652E0C">
        <w:t>.</w:t>
      </w:r>
    </w:p>
  </w:footnote>
  <w:footnote w:id="18">
    <w:p w14:paraId="3E95198F" w14:textId="77777777" w:rsidR="00E10F82" w:rsidRPr="00652E0C" w:rsidRDefault="00E10F82">
      <w:pPr>
        <w:pStyle w:val="FootnoteText"/>
      </w:pPr>
      <w:r>
        <w:rPr>
          <w:rStyle w:val="FootnoteReference"/>
        </w:rPr>
        <w:footnoteRef/>
      </w:r>
      <w:r w:rsidRPr="00652E0C">
        <w:t xml:space="preserve"> </w:t>
      </w:r>
      <w:r w:rsidRPr="00637756">
        <w:t xml:space="preserve">Annex xx, </w:t>
      </w:r>
      <w:r>
        <w:t>A</w:t>
      </w:r>
      <w:r w:rsidRPr="00637756">
        <w:t xml:space="preserve">ction of </w:t>
      </w:r>
      <w:r>
        <w:t xml:space="preserve">unconstitutionality brought before the Supreme Court, April 22, </w:t>
      </w:r>
      <w:r w:rsidRPr="00637756">
        <w:t>2003</w:t>
      </w:r>
      <w:r>
        <w:t>,</w:t>
      </w:r>
      <w:r w:rsidRPr="00637756">
        <w:t xml:space="preserve"> </w:t>
      </w:r>
      <w:r>
        <w:t>Attached</w:t>
      </w:r>
      <w:r w:rsidRPr="00FD2394">
        <w:t xml:space="preserve"> to the initial petition of December 27</w:t>
      </w:r>
      <w:r>
        <w:t xml:space="preserve">, </w:t>
      </w:r>
      <w:r w:rsidRPr="00FD2394">
        <w:t>2004</w:t>
      </w:r>
      <w:r w:rsidRPr="00652E0C">
        <w:t>.</w:t>
      </w:r>
    </w:p>
  </w:footnote>
  <w:footnote w:id="19">
    <w:p w14:paraId="790269BF" w14:textId="77777777" w:rsidR="00E10F82" w:rsidRPr="00652E0C" w:rsidRDefault="00E10F82">
      <w:pPr>
        <w:pStyle w:val="FootnoteText"/>
      </w:pPr>
      <w:r>
        <w:rPr>
          <w:rStyle w:val="FootnoteReference"/>
        </w:rPr>
        <w:footnoteRef/>
      </w:r>
      <w:r w:rsidRPr="00652E0C">
        <w:t xml:space="preserve"> </w:t>
      </w:r>
      <w:r w:rsidRPr="00637756">
        <w:t xml:space="preserve">Annex xx, </w:t>
      </w:r>
      <w:r>
        <w:t>A</w:t>
      </w:r>
      <w:r w:rsidRPr="00637756">
        <w:t xml:space="preserve">ction of </w:t>
      </w:r>
      <w:r>
        <w:t xml:space="preserve">unconstitutionality brought before the Supreme Court, April 22, </w:t>
      </w:r>
      <w:r w:rsidRPr="00637756">
        <w:t>2003</w:t>
      </w:r>
      <w:r>
        <w:t>,</w:t>
      </w:r>
      <w:r w:rsidRPr="00637756">
        <w:t xml:space="preserve"> </w:t>
      </w:r>
      <w:r>
        <w:t>Attached</w:t>
      </w:r>
      <w:r w:rsidRPr="00FD2394">
        <w:t xml:space="preserve"> to the initial petition of December 27</w:t>
      </w:r>
      <w:r>
        <w:t xml:space="preserve">, </w:t>
      </w:r>
      <w:r w:rsidRPr="00FD2394">
        <w:t>2004</w:t>
      </w:r>
      <w:r w:rsidRPr="00652E0C">
        <w:t>.</w:t>
      </w:r>
    </w:p>
  </w:footnote>
  <w:footnote w:id="20">
    <w:p w14:paraId="6C9FCCAE" w14:textId="77777777" w:rsidR="00E10F82" w:rsidRPr="00652E0C" w:rsidRDefault="00E10F82">
      <w:pPr>
        <w:pStyle w:val="FootnoteText"/>
      </w:pPr>
      <w:r>
        <w:rPr>
          <w:rStyle w:val="FootnoteReference"/>
        </w:rPr>
        <w:footnoteRef/>
      </w:r>
      <w:r w:rsidRPr="00652E0C">
        <w:t xml:space="preserve"> </w:t>
      </w:r>
      <w:r w:rsidRPr="00637756">
        <w:t xml:space="preserve">Annex xx, </w:t>
      </w:r>
      <w:r>
        <w:t>A</w:t>
      </w:r>
      <w:r w:rsidRPr="00637756">
        <w:t xml:space="preserve">ction of </w:t>
      </w:r>
      <w:r>
        <w:t xml:space="preserve">unconstitutionality brought before the Supreme Court, April 22, </w:t>
      </w:r>
      <w:r w:rsidRPr="00637756">
        <w:t>2003</w:t>
      </w:r>
      <w:r>
        <w:t>,</w:t>
      </w:r>
      <w:r w:rsidRPr="00637756">
        <w:t xml:space="preserve"> </w:t>
      </w:r>
      <w:r>
        <w:t>Attached</w:t>
      </w:r>
      <w:r w:rsidRPr="00FD2394">
        <w:t xml:space="preserve"> to the initial petition of December 27</w:t>
      </w:r>
      <w:r>
        <w:t xml:space="preserve">, </w:t>
      </w:r>
      <w:r w:rsidRPr="00FD2394">
        <w:t>2004</w:t>
      </w:r>
      <w:r w:rsidRPr="00652E0C">
        <w:t>.</w:t>
      </w:r>
    </w:p>
  </w:footnote>
  <w:footnote w:id="21">
    <w:p w14:paraId="497C18A3" w14:textId="77777777" w:rsidR="00E10F82" w:rsidRPr="00652E0C" w:rsidRDefault="00E10F82">
      <w:pPr>
        <w:pStyle w:val="FootnoteText"/>
      </w:pPr>
      <w:r>
        <w:rPr>
          <w:rStyle w:val="FootnoteReference"/>
        </w:rPr>
        <w:footnoteRef/>
      </w:r>
      <w:r w:rsidRPr="00652E0C">
        <w:t xml:space="preserve"> </w:t>
      </w:r>
      <w:r w:rsidRPr="00637756">
        <w:t xml:space="preserve">Annex xx, </w:t>
      </w:r>
      <w:r>
        <w:t>A</w:t>
      </w:r>
      <w:r w:rsidRPr="00637756">
        <w:t xml:space="preserve">ction of </w:t>
      </w:r>
      <w:r>
        <w:t xml:space="preserve">unconstitutionality brought before the Supreme Court, April 22, </w:t>
      </w:r>
      <w:r w:rsidRPr="00637756">
        <w:t>2003</w:t>
      </w:r>
      <w:r>
        <w:t>,</w:t>
      </w:r>
      <w:r w:rsidRPr="00637756">
        <w:t xml:space="preserve"> </w:t>
      </w:r>
      <w:r>
        <w:t>Attached</w:t>
      </w:r>
      <w:r w:rsidRPr="00FD2394">
        <w:t xml:space="preserve"> to the initial petition of December 27</w:t>
      </w:r>
      <w:r>
        <w:t xml:space="preserve">, </w:t>
      </w:r>
      <w:r w:rsidRPr="00FD2394">
        <w:t>2004</w:t>
      </w:r>
      <w:r w:rsidRPr="00652E0C">
        <w:t>.</w:t>
      </w:r>
    </w:p>
  </w:footnote>
  <w:footnote w:id="22">
    <w:p w14:paraId="38C9EE92" w14:textId="77777777" w:rsidR="00E10F82" w:rsidRPr="00652E0C" w:rsidRDefault="00E10F82">
      <w:pPr>
        <w:pStyle w:val="FootnoteText"/>
      </w:pPr>
      <w:r>
        <w:rPr>
          <w:rStyle w:val="FootnoteReference"/>
        </w:rPr>
        <w:footnoteRef/>
      </w:r>
      <w:r w:rsidRPr="00652E0C">
        <w:t xml:space="preserve"> </w:t>
      </w:r>
      <w:r w:rsidRPr="00637756">
        <w:t xml:space="preserve">Annex xx, </w:t>
      </w:r>
      <w:r>
        <w:t>A</w:t>
      </w:r>
      <w:r w:rsidRPr="00637756">
        <w:t xml:space="preserve">ction of </w:t>
      </w:r>
      <w:r>
        <w:t xml:space="preserve">unconstitutionality brought before the Supreme Court, April 22, </w:t>
      </w:r>
      <w:r w:rsidRPr="00637756">
        <w:t>2003</w:t>
      </w:r>
      <w:r>
        <w:t>,</w:t>
      </w:r>
      <w:r w:rsidRPr="00637756">
        <w:t xml:space="preserve"> </w:t>
      </w:r>
      <w:r>
        <w:t>Attached</w:t>
      </w:r>
      <w:r w:rsidRPr="00FD2394">
        <w:t xml:space="preserve"> to the initial petition of December 27</w:t>
      </w:r>
      <w:r>
        <w:t xml:space="preserve">, </w:t>
      </w:r>
      <w:r w:rsidRPr="00FD2394">
        <w:t>2004</w:t>
      </w:r>
      <w:r w:rsidRPr="00652E0C">
        <w:t>.</w:t>
      </w:r>
    </w:p>
  </w:footnote>
  <w:footnote w:id="23">
    <w:p w14:paraId="35D22A36" w14:textId="77777777" w:rsidR="00E10F82" w:rsidRPr="00652E0C" w:rsidRDefault="00E10F82">
      <w:pPr>
        <w:pStyle w:val="FootnoteText"/>
      </w:pPr>
      <w:r>
        <w:rPr>
          <w:rStyle w:val="FootnoteReference"/>
        </w:rPr>
        <w:footnoteRef/>
      </w:r>
      <w:r w:rsidRPr="00652E0C">
        <w:t xml:space="preserve"> </w:t>
      </w:r>
      <w:r w:rsidRPr="00637756">
        <w:t xml:space="preserve">Annex xx, </w:t>
      </w:r>
      <w:r>
        <w:t>A</w:t>
      </w:r>
      <w:r w:rsidRPr="00637756">
        <w:t xml:space="preserve">ction of </w:t>
      </w:r>
      <w:r>
        <w:t xml:space="preserve">unconstitutionality brought before the Supreme Court, April 22, </w:t>
      </w:r>
      <w:r w:rsidRPr="00637756">
        <w:t>2003</w:t>
      </w:r>
      <w:r>
        <w:t>,</w:t>
      </w:r>
      <w:r w:rsidRPr="00637756">
        <w:t xml:space="preserve"> </w:t>
      </w:r>
      <w:r>
        <w:t>Attached</w:t>
      </w:r>
      <w:r w:rsidRPr="00FD2394">
        <w:t xml:space="preserve"> to the initial petition of December 27</w:t>
      </w:r>
      <w:r>
        <w:t xml:space="preserve">, </w:t>
      </w:r>
      <w:r w:rsidRPr="00FD2394">
        <w:t>2004</w:t>
      </w:r>
      <w:r w:rsidRPr="00652E0C">
        <w:t>.</w:t>
      </w:r>
    </w:p>
  </w:footnote>
  <w:footnote w:id="24">
    <w:p w14:paraId="5AAA24EB" w14:textId="77777777" w:rsidR="00E10F82" w:rsidRPr="002F5457" w:rsidRDefault="00E10F82">
      <w:pPr>
        <w:pStyle w:val="FootnoteText"/>
      </w:pPr>
      <w:r>
        <w:rPr>
          <w:rStyle w:val="FootnoteReference"/>
        </w:rPr>
        <w:footnoteRef/>
      </w:r>
      <w:r w:rsidRPr="00652E0C">
        <w:t xml:space="preserve"> Annex xx, Brief to amend the action of unconstitutionality brought before the Supreme Court, M</w:t>
      </w:r>
      <w:r>
        <w:t xml:space="preserve">ay </w:t>
      </w:r>
      <w:r w:rsidRPr="00652E0C">
        <w:t>4</w:t>
      </w:r>
      <w:r>
        <w:t xml:space="preserve">, </w:t>
      </w:r>
      <w:r w:rsidRPr="00652E0C">
        <w:t>2004</w:t>
      </w:r>
      <w:r>
        <w:t>,</w:t>
      </w:r>
      <w:r w:rsidRPr="00652E0C">
        <w:t xml:space="preserve"> </w:t>
      </w:r>
      <w:r>
        <w:t>Attached</w:t>
      </w:r>
      <w:r w:rsidRPr="00FD2394">
        <w:t xml:space="preserve"> </w:t>
      </w:r>
      <w:r w:rsidRPr="002F5457">
        <w:t>to the initial petition of December 27, 2004.</w:t>
      </w:r>
    </w:p>
  </w:footnote>
  <w:footnote w:id="25">
    <w:p w14:paraId="4C573A44" w14:textId="77777777" w:rsidR="00E10F82" w:rsidRPr="0077436B" w:rsidRDefault="00E10F82">
      <w:pPr>
        <w:pStyle w:val="FootnoteText"/>
      </w:pPr>
      <w:r>
        <w:rPr>
          <w:rStyle w:val="FootnoteReference"/>
        </w:rPr>
        <w:footnoteRef/>
      </w:r>
      <w:r w:rsidRPr="001A5087">
        <w:t xml:space="preserve"> Annex xx, Supreme Court, Agreement and Judgment No. 915 of Ju</w:t>
      </w:r>
      <w:r>
        <w:t>ne</w:t>
      </w:r>
      <w:r w:rsidRPr="001A5087">
        <w:t xml:space="preserve"> 16</w:t>
      </w:r>
      <w:r>
        <w:t xml:space="preserve">, </w:t>
      </w:r>
      <w:r w:rsidRPr="001A5087">
        <w:t>2004</w:t>
      </w:r>
      <w:r>
        <w:t>, Attached</w:t>
      </w:r>
      <w:r w:rsidRPr="00FD2394">
        <w:t xml:space="preserve"> to the initial petition of December 27</w:t>
      </w:r>
      <w:r>
        <w:t xml:space="preserve">, </w:t>
      </w:r>
      <w:r w:rsidRPr="00FD2394">
        <w:t>2004</w:t>
      </w:r>
      <w:r w:rsidRPr="001A5087">
        <w:t>.</w:t>
      </w:r>
      <w:r w:rsidRPr="0077436B">
        <w:t xml:space="preserve"> </w:t>
      </w:r>
    </w:p>
  </w:footnote>
  <w:footnote w:id="26">
    <w:p w14:paraId="496315F3" w14:textId="77777777" w:rsidR="00E10F82" w:rsidRPr="001F6009" w:rsidRDefault="00E10F82" w:rsidP="00874191">
      <w:pPr>
        <w:pStyle w:val="FootnoteText"/>
        <w:rPr>
          <w:rFonts w:ascii="Cambria" w:hAnsi="Cambria"/>
        </w:rPr>
      </w:pPr>
      <w:r w:rsidRPr="001E3078">
        <w:rPr>
          <w:rStyle w:val="FootnoteReference"/>
          <w:rFonts w:ascii="Cambria" w:hAnsi="Cambria"/>
        </w:rPr>
        <w:footnoteRef/>
      </w:r>
      <w:r w:rsidRPr="00ED1632">
        <w:rPr>
          <w:rFonts w:ascii="Cambria" w:hAnsi="Cambria"/>
        </w:rPr>
        <w:t xml:space="preserve"> IACHR, Report No. 65/11, Case 12.600, Merits, Hugo Quintana Coello et al., “Justices of the Supreme Court,” Ecuador, March 31, 2011, para. </w:t>
      </w:r>
      <w:r w:rsidRPr="001F6009">
        <w:rPr>
          <w:rFonts w:ascii="Cambria" w:hAnsi="Cambria"/>
        </w:rPr>
        <w:t xml:space="preserve">102.  </w:t>
      </w:r>
    </w:p>
  </w:footnote>
  <w:footnote w:id="27">
    <w:p w14:paraId="794DDD8C" w14:textId="77777777" w:rsidR="00E10F82" w:rsidRPr="001F6009" w:rsidRDefault="00E10F82" w:rsidP="00310A6D">
      <w:pPr>
        <w:pStyle w:val="FootnoteText"/>
        <w:rPr>
          <w:rFonts w:ascii="Cambria" w:hAnsi="Cambria"/>
        </w:rPr>
      </w:pPr>
      <w:r w:rsidRPr="007C2372">
        <w:rPr>
          <w:rStyle w:val="FootnoteReference"/>
          <w:rFonts w:ascii="Cambria" w:hAnsi="Cambria"/>
        </w:rPr>
        <w:footnoteRef/>
      </w:r>
      <w:r w:rsidRPr="00CF6FEB">
        <w:rPr>
          <w:rFonts w:ascii="Cambria" w:hAnsi="Cambria"/>
        </w:rPr>
        <w:t xml:space="preserve"> I/A Court H.R., </w:t>
      </w:r>
      <w:r w:rsidRPr="00CF6FEB">
        <w:rPr>
          <w:rFonts w:ascii="Cambria" w:hAnsi="Cambria"/>
          <w:i/>
          <w:iCs/>
        </w:rPr>
        <w:t>Case of Baena-Ricardo et al. v.  Panama</w:t>
      </w:r>
      <w:r>
        <w:rPr>
          <w:rFonts w:ascii="Cambria" w:hAnsi="Cambria"/>
        </w:rPr>
        <w:t xml:space="preserve">, Merits, Reparations, and Costs, Judgment of February 2, </w:t>
      </w:r>
      <w:r w:rsidRPr="00CF6FEB">
        <w:rPr>
          <w:rFonts w:ascii="Cambria" w:hAnsi="Cambria"/>
        </w:rPr>
        <w:t>Serie</w:t>
      </w:r>
      <w:r>
        <w:rPr>
          <w:rFonts w:ascii="Cambria" w:hAnsi="Cambria"/>
        </w:rPr>
        <w:t>s</w:t>
      </w:r>
      <w:r w:rsidRPr="00CF6FEB">
        <w:rPr>
          <w:rFonts w:ascii="Cambria" w:hAnsi="Cambria"/>
        </w:rPr>
        <w:t xml:space="preserve"> C. No. 72, </w:t>
      </w:r>
      <w:r>
        <w:rPr>
          <w:rFonts w:ascii="Cambria" w:hAnsi="Cambria"/>
        </w:rPr>
        <w:t>paras</w:t>
      </w:r>
      <w:r w:rsidRPr="00CF6FEB">
        <w:rPr>
          <w:rFonts w:ascii="Cambria" w:hAnsi="Cambria"/>
        </w:rPr>
        <w:t xml:space="preserve">. </w:t>
      </w:r>
      <w:r w:rsidRPr="001F6009">
        <w:rPr>
          <w:rFonts w:ascii="Cambria" w:hAnsi="Cambria"/>
        </w:rPr>
        <w:t xml:space="preserve">126-127. </w:t>
      </w:r>
      <w:r w:rsidRPr="00CF6FEB">
        <w:rPr>
          <w:rFonts w:ascii="Cambria" w:hAnsi="Cambria"/>
        </w:rPr>
        <w:t xml:space="preserve">See also: IACHR, </w:t>
      </w:r>
      <w:r w:rsidRPr="0077436B">
        <w:rPr>
          <w:rFonts w:ascii="Cambria" w:hAnsi="Cambria"/>
        </w:rPr>
        <w:t>Access to Justice as a Guarantee of Economic, Social, and Cultural Rights. A Review of the Standards Adopted by the Inter-American System of Human Rights</w:t>
      </w:r>
      <w:r>
        <w:rPr>
          <w:rFonts w:ascii="Cambria" w:hAnsi="Cambria"/>
        </w:rPr>
        <w:t>,</w:t>
      </w:r>
      <w:r w:rsidRPr="0061380A">
        <w:rPr>
          <w:rFonts w:ascii="Cambria" w:hAnsi="Cambria"/>
        </w:rPr>
        <w:t xml:space="preserve"> OEA/Ser.L/V/II.129</w:t>
      </w:r>
      <w:r>
        <w:rPr>
          <w:rFonts w:ascii="Cambria" w:hAnsi="Cambria"/>
        </w:rPr>
        <w:t>, September</w:t>
      </w:r>
      <w:r w:rsidRPr="0061380A">
        <w:rPr>
          <w:rFonts w:ascii="Cambria" w:hAnsi="Cambria"/>
        </w:rPr>
        <w:t xml:space="preserve"> 7</w:t>
      </w:r>
      <w:r>
        <w:rPr>
          <w:rFonts w:ascii="Cambria" w:hAnsi="Cambria"/>
        </w:rPr>
        <w:t>,</w:t>
      </w:r>
      <w:r w:rsidRPr="0061380A">
        <w:rPr>
          <w:rFonts w:ascii="Cambria" w:hAnsi="Cambria"/>
        </w:rPr>
        <w:t xml:space="preserve"> 2007, </w:t>
      </w:r>
      <w:r>
        <w:rPr>
          <w:rFonts w:ascii="Cambria" w:hAnsi="Cambria"/>
        </w:rPr>
        <w:t>paras</w:t>
      </w:r>
      <w:r w:rsidRPr="0061380A">
        <w:rPr>
          <w:rFonts w:ascii="Cambria" w:hAnsi="Cambria"/>
        </w:rPr>
        <w:t xml:space="preserve">. </w:t>
      </w:r>
      <w:r w:rsidRPr="001F6009">
        <w:rPr>
          <w:rFonts w:ascii="Cambria" w:hAnsi="Cambria"/>
        </w:rPr>
        <w:t>98-123; and Case No. 12.828, Report 112/12, Marcel Granier et al., Venezuela, Merits, November 9, 2012, para. 188.</w:t>
      </w:r>
    </w:p>
  </w:footnote>
  <w:footnote w:id="28">
    <w:p w14:paraId="3B392EA2" w14:textId="77777777" w:rsidR="00E10F82" w:rsidRPr="001F6009" w:rsidRDefault="00E10F82" w:rsidP="00310A6D">
      <w:pPr>
        <w:pStyle w:val="FootnoteText"/>
        <w:rPr>
          <w:rFonts w:ascii="Cambria" w:hAnsi="Cambria"/>
        </w:rPr>
      </w:pPr>
      <w:r w:rsidRPr="001E3078">
        <w:rPr>
          <w:rStyle w:val="FootnoteReference"/>
          <w:rFonts w:ascii="Cambria" w:hAnsi="Cambria"/>
        </w:rPr>
        <w:footnoteRef/>
      </w:r>
      <w:r w:rsidRPr="0061380A">
        <w:rPr>
          <w:rFonts w:ascii="Cambria" w:hAnsi="Cambria"/>
        </w:rPr>
        <w:t xml:space="preserve"> </w:t>
      </w:r>
      <w:r w:rsidRPr="00CF6FEB">
        <w:rPr>
          <w:rFonts w:ascii="Cambria" w:hAnsi="Cambria"/>
        </w:rPr>
        <w:t xml:space="preserve">I/A Court H.R., </w:t>
      </w:r>
      <w:r w:rsidRPr="00CF6FEB">
        <w:rPr>
          <w:rFonts w:ascii="Cambria" w:hAnsi="Cambria"/>
          <w:i/>
          <w:iCs/>
        </w:rPr>
        <w:t>Case of Baena-Ricardo et al. v.  Panama</w:t>
      </w:r>
      <w:r>
        <w:rPr>
          <w:rFonts w:ascii="Cambria" w:hAnsi="Cambria"/>
        </w:rPr>
        <w:t xml:space="preserve">, Merits, Reparations, and Costs, Judgment of February 2, </w:t>
      </w:r>
      <w:r w:rsidRPr="00CF6FEB">
        <w:rPr>
          <w:rFonts w:ascii="Cambria" w:hAnsi="Cambria"/>
        </w:rPr>
        <w:t>Serie</w:t>
      </w:r>
      <w:r>
        <w:rPr>
          <w:rFonts w:ascii="Cambria" w:hAnsi="Cambria"/>
        </w:rPr>
        <w:t>s</w:t>
      </w:r>
      <w:r w:rsidRPr="00CF6FEB">
        <w:rPr>
          <w:rFonts w:ascii="Cambria" w:hAnsi="Cambria"/>
        </w:rPr>
        <w:t xml:space="preserve"> C. No. 72, </w:t>
      </w:r>
      <w:r>
        <w:rPr>
          <w:rFonts w:ascii="Cambria" w:hAnsi="Cambria"/>
        </w:rPr>
        <w:t>para</w:t>
      </w:r>
      <w:r w:rsidRPr="0061380A">
        <w:rPr>
          <w:rFonts w:ascii="Cambria" w:hAnsi="Cambria"/>
        </w:rPr>
        <w:t xml:space="preserve">. </w:t>
      </w:r>
      <w:r w:rsidRPr="001F6009">
        <w:rPr>
          <w:rFonts w:ascii="Cambria" w:hAnsi="Cambria"/>
        </w:rPr>
        <w:t xml:space="preserve">106. </w:t>
      </w:r>
    </w:p>
  </w:footnote>
  <w:footnote w:id="29">
    <w:p w14:paraId="1BBED08D" w14:textId="77777777" w:rsidR="00E10F82" w:rsidRPr="001F6009" w:rsidRDefault="00E10F82" w:rsidP="00310A6D">
      <w:pPr>
        <w:pStyle w:val="FootnoteText"/>
        <w:rPr>
          <w:rFonts w:ascii="Cambria" w:hAnsi="Cambria"/>
        </w:rPr>
      </w:pPr>
      <w:r w:rsidRPr="001E3078">
        <w:rPr>
          <w:rStyle w:val="FootnoteReference"/>
          <w:rFonts w:ascii="Cambria" w:hAnsi="Cambria"/>
        </w:rPr>
        <w:footnoteRef/>
      </w:r>
      <w:r w:rsidRPr="001F6009">
        <w:rPr>
          <w:rFonts w:ascii="Cambria" w:hAnsi="Cambria"/>
        </w:rPr>
        <w:t xml:space="preserve"> IACHR, Report No. 43/15, Case 12.632, Merits (Publication), Adriana Beatriz Gallo, Ana María Careaga</w:t>
      </w:r>
      <w:r>
        <w:rPr>
          <w:rFonts w:ascii="Cambria" w:hAnsi="Cambria"/>
        </w:rPr>
        <w:t>,</w:t>
      </w:r>
      <w:r w:rsidRPr="001F6009">
        <w:rPr>
          <w:rFonts w:ascii="Cambria" w:hAnsi="Cambria"/>
        </w:rPr>
        <w:t xml:space="preserve"> and Silvia Maluf de Christin, Argentina, July 28, 2015, para. </w:t>
      </w:r>
      <w:r w:rsidRPr="006F504E">
        <w:rPr>
          <w:rFonts w:ascii="Cambria" w:hAnsi="Cambria"/>
        </w:rPr>
        <w:t xml:space="preserve">136; I/A Court H.R, </w:t>
      </w:r>
      <w:r w:rsidRPr="006F504E">
        <w:rPr>
          <w:rFonts w:ascii="Cambria" w:hAnsi="Cambria"/>
          <w:i/>
          <w:iCs/>
        </w:rPr>
        <w:t>Case of Barbani Duarte et al. v. Uruguay</w:t>
      </w:r>
      <w:r w:rsidRPr="006F504E">
        <w:rPr>
          <w:rFonts w:ascii="Cambria" w:hAnsi="Cambria"/>
        </w:rPr>
        <w:t>, Merits, Reparations</w:t>
      </w:r>
      <w:r>
        <w:rPr>
          <w:rFonts w:ascii="Cambria" w:hAnsi="Cambria"/>
        </w:rPr>
        <w:t>,</w:t>
      </w:r>
      <w:r w:rsidRPr="006F504E">
        <w:rPr>
          <w:rFonts w:ascii="Cambria" w:hAnsi="Cambria"/>
        </w:rPr>
        <w:t xml:space="preserve"> and Costs</w:t>
      </w:r>
      <w:r>
        <w:rPr>
          <w:rFonts w:ascii="Cambria" w:hAnsi="Cambria"/>
        </w:rPr>
        <w:t xml:space="preserve">, Judgment of October </w:t>
      </w:r>
      <w:r w:rsidRPr="006F504E">
        <w:rPr>
          <w:rFonts w:ascii="Cambria" w:hAnsi="Cambria"/>
        </w:rPr>
        <w:t>13</w:t>
      </w:r>
      <w:r>
        <w:rPr>
          <w:rFonts w:ascii="Cambria" w:hAnsi="Cambria"/>
        </w:rPr>
        <w:t>,</w:t>
      </w:r>
      <w:r w:rsidRPr="006F504E">
        <w:rPr>
          <w:rFonts w:ascii="Cambria" w:hAnsi="Cambria"/>
        </w:rPr>
        <w:t xml:space="preserve"> 2011</w:t>
      </w:r>
      <w:r>
        <w:rPr>
          <w:rFonts w:ascii="Cambria" w:hAnsi="Cambria"/>
        </w:rPr>
        <w:t>,</w:t>
      </w:r>
      <w:r w:rsidRPr="006F504E">
        <w:rPr>
          <w:rFonts w:ascii="Cambria" w:hAnsi="Cambria"/>
        </w:rPr>
        <w:t xml:space="preserve"> Serie</w:t>
      </w:r>
      <w:r>
        <w:rPr>
          <w:rFonts w:ascii="Cambria" w:hAnsi="Cambria"/>
        </w:rPr>
        <w:t>s</w:t>
      </w:r>
      <w:r w:rsidRPr="006F504E">
        <w:rPr>
          <w:rFonts w:ascii="Cambria" w:hAnsi="Cambria"/>
        </w:rPr>
        <w:t xml:space="preserve"> C. No. 234, p</w:t>
      </w:r>
      <w:r>
        <w:rPr>
          <w:rFonts w:ascii="Cambria" w:hAnsi="Cambria"/>
        </w:rPr>
        <w:t>ara</w:t>
      </w:r>
      <w:r w:rsidRPr="006F504E">
        <w:rPr>
          <w:rFonts w:ascii="Cambria" w:hAnsi="Cambria"/>
        </w:rPr>
        <w:t xml:space="preserve">. 118; and </w:t>
      </w:r>
      <w:hyperlink r:id="rId1" w:history="1">
        <w:r w:rsidRPr="006F504E">
          <w:rPr>
            <w:rStyle w:val="Hyperlink"/>
            <w:rFonts w:ascii="Cambria" w:hAnsi="Cambria" w:cs="Arial"/>
            <w:i/>
            <w:iCs/>
            <w:color w:val="auto"/>
            <w:u w:val="none"/>
            <w:shd w:val="clear" w:color="auto" w:fill="FFFFFF"/>
          </w:rPr>
          <w:t>Case of Claude Reyes et al. v. Chile</w:t>
        </w:r>
        <w:r w:rsidRPr="006F504E">
          <w:rPr>
            <w:rStyle w:val="Hyperlink"/>
            <w:rFonts w:ascii="Cambria" w:hAnsi="Cambria" w:cs="Arial"/>
            <w:color w:val="auto"/>
            <w:u w:val="none"/>
            <w:shd w:val="clear" w:color="auto" w:fill="FFFFFF"/>
          </w:rPr>
          <w:t xml:space="preserve">, </w:t>
        </w:r>
        <w:r w:rsidRPr="006F504E">
          <w:rPr>
            <w:rFonts w:ascii="Cambria" w:hAnsi="Cambria"/>
          </w:rPr>
          <w:t>Merits, Reparations</w:t>
        </w:r>
        <w:r>
          <w:rPr>
            <w:rFonts w:ascii="Cambria" w:hAnsi="Cambria"/>
          </w:rPr>
          <w:t>,</w:t>
        </w:r>
        <w:r w:rsidRPr="006F504E">
          <w:rPr>
            <w:rFonts w:ascii="Cambria" w:hAnsi="Cambria"/>
          </w:rPr>
          <w:t xml:space="preserve"> and Costs</w:t>
        </w:r>
        <w:r>
          <w:rPr>
            <w:rStyle w:val="Hyperlink"/>
            <w:rFonts w:ascii="Cambria" w:hAnsi="Cambria" w:cs="Arial"/>
            <w:color w:val="auto"/>
            <w:u w:val="none"/>
            <w:shd w:val="clear" w:color="auto" w:fill="FFFFFF"/>
          </w:rPr>
          <w:t>, Judgment of September</w:t>
        </w:r>
        <w:r w:rsidRPr="006F504E">
          <w:rPr>
            <w:rStyle w:val="Hyperlink"/>
            <w:rFonts w:ascii="Cambria" w:hAnsi="Cambria" w:cs="Arial"/>
            <w:color w:val="auto"/>
            <w:u w:val="none"/>
            <w:shd w:val="clear" w:color="auto" w:fill="FFFFFF"/>
          </w:rPr>
          <w:t xml:space="preserve"> 19</w:t>
        </w:r>
        <w:r>
          <w:rPr>
            <w:rStyle w:val="Hyperlink"/>
            <w:rFonts w:ascii="Cambria" w:hAnsi="Cambria" w:cs="Arial"/>
            <w:color w:val="auto"/>
            <w:u w:val="none"/>
            <w:shd w:val="clear" w:color="auto" w:fill="FFFFFF"/>
          </w:rPr>
          <w:t>,</w:t>
        </w:r>
        <w:r w:rsidRPr="006F504E">
          <w:rPr>
            <w:rStyle w:val="Hyperlink"/>
            <w:rFonts w:ascii="Cambria" w:hAnsi="Cambria" w:cs="Arial"/>
            <w:color w:val="auto"/>
            <w:u w:val="none"/>
            <w:shd w:val="clear" w:color="auto" w:fill="FFFFFF"/>
          </w:rPr>
          <w:t xml:space="preserve"> 2006</w:t>
        </w:r>
        <w:r>
          <w:rPr>
            <w:rStyle w:val="Hyperlink"/>
            <w:rFonts w:ascii="Cambria" w:hAnsi="Cambria" w:cs="Arial"/>
            <w:color w:val="auto"/>
            <w:u w:val="none"/>
            <w:shd w:val="clear" w:color="auto" w:fill="FFFFFF"/>
          </w:rPr>
          <w:t>,</w:t>
        </w:r>
        <w:r w:rsidRPr="006F504E">
          <w:rPr>
            <w:rStyle w:val="Hyperlink"/>
            <w:rFonts w:ascii="Cambria" w:hAnsi="Cambria" w:cs="Arial"/>
            <w:color w:val="auto"/>
            <w:u w:val="none"/>
            <w:shd w:val="clear" w:color="auto" w:fill="FFFFFF"/>
          </w:rPr>
          <w:t xml:space="preserve"> Series C No. 151</w:t>
        </w:r>
      </w:hyperlink>
      <w:r w:rsidRPr="006F504E">
        <w:rPr>
          <w:rFonts w:ascii="Cambria" w:hAnsi="Cambria"/>
        </w:rPr>
        <w:t xml:space="preserve">, </w:t>
      </w:r>
      <w:r>
        <w:rPr>
          <w:rFonts w:ascii="Cambria" w:hAnsi="Cambria"/>
        </w:rPr>
        <w:t>para</w:t>
      </w:r>
      <w:r w:rsidRPr="006F504E">
        <w:rPr>
          <w:rFonts w:ascii="Cambria" w:hAnsi="Cambria"/>
        </w:rPr>
        <w:t xml:space="preserve">. </w:t>
      </w:r>
      <w:r w:rsidRPr="001F6009">
        <w:rPr>
          <w:rFonts w:ascii="Cambria" w:hAnsi="Cambria"/>
        </w:rPr>
        <w:t>118.</w:t>
      </w:r>
    </w:p>
  </w:footnote>
  <w:footnote w:id="30">
    <w:p w14:paraId="02536095" w14:textId="77777777" w:rsidR="00E10F82" w:rsidRPr="00380856" w:rsidRDefault="00E10F82" w:rsidP="00310A6D">
      <w:pPr>
        <w:pStyle w:val="FootnoteText"/>
        <w:rPr>
          <w:rFonts w:ascii="Cambria" w:hAnsi="Cambria"/>
        </w:rPr>
      </w:pPr>
      <w:r w:rsidRPr="007C2372">
        <w:rPr>
          <w:rStyle w:val="FootnoteReference"/>
          <w:rFonts w:ascii="Cambria" w:hAnsi="Cambria"/>
        </w:rPr>
        <w:footnoteRef/>
      </w:r>
      <w:r w:rsidRPr="006F504E">
        <w:rPr>
          <w:rFonts w:ascii="Cambria" w:hAnsi="Cambria"/>
        </w:rPr>
        <w:t xml:space="preserve"> I/A Court H.R, </w:t>
      </w:r>
      <w:r w:rsidRPr="006F504E">
        <w:rPr>
          <w:rFonts w:ascii="Cambria" w:hAnsi="Cambria"/>
          <w:i/>
          <w:iCs/>
        </w:rPr>
        <w:t>Case of Barbani Duarte et al. v. Uruguay</w:t>
      </w:r>
      <w:r w:rsidRPr="006F504E">
        <w:rPr>
          <w:rFonts w:ascii="Cambria" w:hAnsi="Cambria"/>
        </w:rPr>
        <w:t>, Merits, Reparations</w:t>
      </w:r>
      <w:r>
        <w:rPr>
          <w:rFonts w:ascii="Cambria" w:hAnsi="Cambria"/>
        </w:rPr>
        <w:t>,</w:t>
      </w:r>
      <w:r w:rsidRPr="006F504E">
        <w:rPr>
          <w:rFonts w:ascii="Cambria" w:hAnsi="Cambria"/>
        </w:rPr>
        <w:t xml:space="preserve"> and Costs</w:t>
      </w:r>
      <w:r>
        <w:rPr>
          <w:rFonts w:ascii="Cambria" w:hAnsi="Cambria"/>
        </w:rPr>
        <w:t xml:space="preserve">, Judgment of October </w:t>
      </w:r>
      <w:r w:rsidRPr="006F504E">
        <w:rPr>
          <w:rFonts w:ascii="Cambria" w:hAnsi="Cambria"/>
        </w:rPr>
        <w:t>13</w:t>
      </w:r>
      <w:r>
        <w:rPr>
          <w:rFonts w:ascii="Cambria" w:hAnsi="Cambria"/>
        </w:rPr>
        <w:t>,</w:t>
      </w:r>
      <w:r w:rsidRPr="006F504E">
        <w:rPr>
          <w:rFonts w:ascii="Cambria" w:hAnsi="Cambria"/>
        </w:rPr>
        <w:t xml:space="preserve"> 2011</w:t>
      </w:r>
      <w:r>
        <w:rPr>
          <w:rFonts w:ascii="Cambria" w:hAnsi="Cambria"/>
        </w:rPr>
        <w:t>,</w:t>
      </w:r>
      <w:r w:rsidRPr="006F504E">
        <w:rPr>
          <w:rFonts w:ascii="Cambria" w:hAnsi="Cambria"/>
        </w:rPr>
        <w:t xml:space="preserve"> Serie</w:t>
      </w:r>
      <w:r>
        <w:rPr>
          <w:rFonts w:ascii="Cambria" w:hAnsi="Cambria"/>
        </w:rPr>
        <w:t>s</w:t>
      </w:r>
      <w:r w:rsidRPr="006F504E">
        <w:rPr>
          <w:rFonts w:ascii="Cambria" w:hAnsi="Cambria"/>
        </w:rPr>
        <w:t xml:space="preserve"> C. No. 234, p</w:t>
      </w:r>
      <w:r>
        <w:rPr>
          <w:rFonts w:ascii="Cambria" w:hAnsi="Cambria"/>
        </w:rPr>
        <w:t>aras</w:t>
      </w:r>
      <w:r w:rsidRPr="006F504E">
        <w:rPr>
          <w:rFonts w:ascii="Cambria" w:hAnsi="Cambria"/>
        </w:rPr>
        <w:t>. 118</w:t>
      </w:r>
      <w:r w:rsidRPr="00380856">
        <w:rPr>
          <w:rFonts w:ascii="Cambria" w:hAnsi="Cambria"/>
        </w:rPr>
        <w:t>-119.</w:t>
      </w:r>
    </w:p>
  </w:footnote>
  <w:footnote w:id="31">
    <w:p w14:paraId="53ACDFD0" w14:textId="77777777" w:rsidR="00E10F82" w:rsidRPr="00F50AFA" w:rsidRDefault="00E10F82">
      <w:pPr>
        <w:pStyle w:val="FootnoteText"/>
      </w:pPr>
      <w:r>
        <w:rPr>
          <w:rStyle w:val="FootnoteReference"/>
        </w:rPr>
        <w:footnoteRef/>
      </w:r>
      <w:r w:rsidRPr="00BD3614">
        <w:t xml:space="preserve"> </w:t>
      </w:r>
      <w:r w:rsidRPr="00BD3614">
        <w:rPr>
          <w:rFonts w:ascii="Cambria" w:hAnsi="Cambria"/>
        </w:rPr>
        <w:t>IACHR, Report on the Merits 12.816, Report No. 103/13, November 5,</w:t>
      </w:r>
      <w:r>
        <w:rPr>
          <w:rFonts w:ascii="Cambria" w:hAnsi="Cambria"/>
        </w:rPr>
        <w:t xml:space="preserve"> </w:t>
      </w:r>
      <w:r w:rsidRPr="00BD3614">
        <w:rPr>
          <w:rFonts w:ascii="Cambria" w:hAnsi="Cambria"/>
        </w:rPr>
        <w:t xml:space="preserve">2013, </w:t>
      </w:r>
      <w:r>
        <w:rPr>
          <w:rFonts w:ascii="Cambria" w:hAnsi="Cambria"/>
        </w:rPr>
        <w:t>para</w:t>
      </w:r>
      <w:r w:rsidRPr="00BD3614">
        <w:rPr>
          <w:rFonts w:ascii="Cambria" w:hAnsi="Cambria"/>
        </w:rPr>
        <w:t>. 112</w:t>
      </w:r>
      <w:r>
        <w:rPr>
          <w:rFonts w:ascii="Cambria" w:hAnsi="Cambria"/>
        </w:rPr>
        <w:t>,</w:t>
      </w:r>
      <w:r w:rsidRPr="00BD3614">
        <w:rPr>
          <w:rFonts w:ascii="Cambria" w:hAnsi="Cambria"/>
        </w:rPr>
        <w:t xml:space="preserve"> </w:t>
      </w:r>
      <w:r>
        <w:rPr>
          <w:rFonts w:ascii="Cambria" w:hAnsi="Cambria"/>
        </w:rPr>
        <w:t>c</w:t>
      </w:r>
      <w:r w:rsidRPr="00BD3614">
        <w:rPr>
          <w:rFonts w:ascii="Cambria" w:hAnsi="Cambria"/>
        </w:rPr>
        <w:t>iting United Nations</w:t>
      </w:r>
      <w:r>
        <w:rPr>
          <w:rFonts w:ascii="Cambria" w:hAnsi="Cambria"/>
        </w:rPr>
        <w:t>,</w:t>
      </w:r>
      <w:r w:rsidRPr="00BD3614">
        <w:rPr>
          <w:rFonts w:ascii="Cambria" w:hAnsi="Cambria"/>
        </w:rPr>
        <w:t xml:space="preserve"> Human Rights Committee</w:t>
      </w:r>
      <w:r>
        <w:rPr>
          <w:rFonts w:ascii="Cambria" w:hAnsi="Cambria"/>
        </w:rPr>
        <w:t>,</w:t>
      </w:r>
      <w:r w:rsidRPr="00BD3614">
        <w:rPr>
          <w:rFonts w:ascii="Cambria" w:hAnsi="Cambria"/>
        </w:rPr>
        <w:t xml:space="preserve"> </w:t>
      </w:r>
      <w:r w:rsidRPr="00CF6FEB">
        <w:rPr>
          <w:rFonts w:ascii="Cambria" w:hAnsi="Cambria"/>
        </w:rPr>
        <w:t xml:space="preserve">General Comment </w:t>
      </w:r>
      <w:r w:rsidRPr="00CF6FEB">
        <w:rPr>
          <w:rFonts w:ascii="Cambria" w:eastAsia="Times New Roman" w:hAnsi="Cambria"/>
        </w:rPr>
        <w:t xml:space="preserve">No. 32, CCPR/C/GC/32, August 23, 2007, para.19. </w:t>
      </w:r>
      <w:r w:rsidRPr="00387EED">
        <w:rPr>
          <w:rFonts w:ascii="Cambria" w:eastAsia="Times New Roman" w:hAnsi="Cambria"/>
        </w:rPr>
        <w:t xml:space="preserve">Along these lines, </w:t>
      </w:r>
      <w:r w:rsidRPr="00342933">
        <w:rPr>
          <w:rFonts w:ascii="Cambria" w:eastAsia="Times New Roman" w:hAnsi="Cambria"/>
        </w:rPr>
        <w:t>see I/A Court H.R.,</w:t>
      </w:r>
      <w:r w:rsidRPr="00387EED">
        <w:rPr>
          <w:rFonts w:ascii="Cambria" w:eastAsia="Times New Roman" w:hAnsi="Cambria"/>
        </w:rPr>
        <w:t xml:space="preserve"> </w:t>
      </w:r>
      <w:r w:rsidRPr="00264528">
        <w:rPr>
          <w:rFonts w:ascii="Cambria" w:eastAsia="Times New Roman" w:hAnsi="Cambria"/>
          <w:i/>
          <w:iCs/>
        </w:rPr>
        <w:t>Habeas corpus in Emergency</w:t>
      </w:r>
      <w:r>
        <w:rPr>
          <w:rFonts w:ascii="Cambria" w:eastAsia="Times New Roman" w:hAnsi="Cambria"/>
        </w:rPr>
        <w:t xml:space="preserve"> </w:t>
      </w:r>
      <w:r w:rsidRPr="00264528">
        <w:rPr>
          <w:rFonts w:ascii="Cambria" w:eastAsia="Times New Roman" w:hAnsi="Cambria"/>
          <w:i/>
          <w:iCs/>
        </w:rPr>
        <w:t>Situations (Arts. 27(2), 25(1) and 7(6) American Convention on Human Rights)</w:t>
      </w:r>
      <w:r>
        <w:rPr>
          <w:rFonts w:ascii="Cambria" w:eastAsia="Times New Roman" w:hAnsi="Cambria"/>
        </w:rPr>
        <w:t xml:space="preserve">, Advisory Opinion </w:t>
      </w:r>
      <w:r w:rsidRPr="00387EED">
        <w:rPr>
          <w:rFonts w:ascii="Cambria" w:eastAsia="Times New Roman" w:hAnsi="Cambria"/>
        </w:rPr>
        <w:t xml:space="preserve">OC-8/87 </w:t>
      </w:r>
      <w:r>
        <w:rPr>
          <w:rFonts w:ascii="Cambria" w:eastAsia="Times New Roman" w:hAnsi="Cambria"/>
        </w:rPr>
        <w:t xml:space="preserve">of January </w:t>
      </w:r>
      <w:r w:rsidRPr="00387EED">
        <w:rPr>
          <w:rFonts w:ascii="Cambria" w:eastAsia="Times New Roman" w:hAnsi="Cambria"/>
        </w:rPr>
        <w:t>30</w:t>
      </w:r>
      <w:r>
        <w:rPr>
          <w:rFonts w:ascii="Cambria" w:eastAsia="Times New Roman" w:hAnsi="Cambria"/>
        </w:rPr>
        <w:t xml:space="preserve">, </w:t>
      </w:r>
      <w:r w:rsidRPr="00387EED">
        <w:rPr>
          <w:rFonts w:ascii="Cambria" w:eastAsia="Times New Roman" w:hAnsi="Cambria"/>
        </w:rPr>
        <w:t>1987</w:t>
      </w:r>
      <w:r>
        <w:rPr>
          <w:rFonts w:ascii="Cambria" w:eastAsia="Times New Roman" w:hAnsi="Cambria"/>
        </w:rPr>
        <w:t>,</w:t>
      </w:r>
      <w:r w:rsidRPr="00387EED">
        <w:rPr>
          <w:rFonts w:ascii="Cambria" w:eastAsia="Times New Roman" w:hAnsi="Cambria"/>
        </w:rPr>
        <w:t xml:space="preserve"> Serie</w:t>
      </w:r>
      <w:r>
        <w:rPr>
          <w:rFonts w:ascii="Cambria" w:eastAsia="Times New Roman" w:hAnsi="Cambria"/>
        </w:rPr>
        <w:t>s</w:t>
      </w:r>
      <w:r w:rsidRPr="00387EED">
        <w:rPr>
          <w:rFonts w:ascii="Cambria" w:eastAsia="Times New Roman" w:hAnsi="Cambria"/>
        </w:rPr>
        <w:t xml:space="preserve"> A No. 8, p</w:t>
      </w:r>
      <w:r>
        <w:rPr>
          <w:rFonts w:ascii="Cambria" w:eastAsia="Times New Roman" w:hAnsi="Cambria"/>
        </w:rPr>
        <w:t>ara</w:t>
      </w:r>
      <w:r w:rsidRPr="00387EED">
        <w:rPr>
          <w:rFonts w:ascii="Cambria" w:eastAsia="Times New Roman" w:hAnsi="Cambria"/>
        </w:rPr>
        <w:t xml:space="preserve">. </w:t>
      </w:r>
      <w:r w:rsidRPr="002165D9">
        <w:rPr>
          <w:rFonts w:ascii="Cambria" w:eastAsia="Times New Roman" w:hAnsi="Cambria"/>
        </w:rPr>
        <w:t>30.</w:t>
      </w:r>
      <w:r w:rsidRPr="002165D9">
        <w:rPr>
          <w:rFonts w:ascii="Cambria" w:hAnsi="Cambria"/>
        </w:rPr>
        <w:t xml:space="preserve"> See </w:t>
      </w:r>
      <w:r w:rsidRPr="00342933">
        <w:rPr>
          <w:rFonts w:ascii="Cambria" w:hAnsi="Cambria"/>
        </w:rPr>
        <w:t>also IACHR, Democracy and Human Rights in Venezuela, Chapter III, Independence and Separation of Public Powers, December 30, 2009, para. 180.</w:t>
      </w:r>
    </w:p>
  </w:footnote>
  <w:footnote w:id="32">
    <w:p w14:paraId="2A13046F" w14:textId="77777777" w:rsidR="00E10F82" w:rsidRPr="001F6009" w:rsidRDefault="00E10F82">
      <w:pPr>
        <w:pStyle w:val="FootnoteText"/>
      </w:pPr>
      <w:r w:rsidRPr="00A165D0">
        <w:rPr>
          <w:rStyle w:val="FootnoteReference"/>
        </w:rPr>
        <w:footnoteRef/>
      </w:r>
      <w:r w:rsidRPr="00A165D0">
        <w:t xml:space="preserve"> </w:t>
      </w:r>
      <w:r w:rsidRPr="00A165D0">
        <w:rPr>
          <w:rFonts w:ascii="Cambria" w:hAnsi="Cambria"/>
        </w:rPr>
        <w:t xml:space="preserve">I/A Court H.R., </w:t>
      </w:r>
      <w:r w:rsidRPr="00A165D0">
        <w:rPr>
          <w:rFonts w:ascii="Cambria" w:hAnsi="Cambria"/>
          <w:i/>
          <w:iCs/>
        </w:rPr>
        <w:t>Case of Reverón Trujillo v. Venezuela</w:t>
      </w:r>
      <w:r w:rsidRPr="00A165D0">
        <w:rPr>
          <w:rFonts w:ascii="Cambria" w:hAnsi="Cambria"/>
        </w:rPr>
        <w:t xml:space="preserve">, Preliminary Objection, Merits, Reparations, and Costs, Judgment of June 30, 2009, Series C No. 197, para. </w:t>
      </w:r>
      <w:r w:rsidRPr="00981CAB">
        <w:rPr>
          <w:rFonts w:ascii="Cambria" w:hAnsi="Cambria"/>
        </w:rPr>
        <w:t xml:space="preserve">67; </w:t>
      </w:r>
      <w:r w:rsidRPr="002165D9">
        <w:rPr>
          <w:rFonts w:ascii="Cambria" w:hAnsi="Cambria"/>
        </w:rPr>
        <w:t xml:space="preserve">IACHR, Democracy and Human Rights in Venezuela, </w:t>
      </w:r>
      <w:r>
        <w:rPr>
          <w:rFonts w:ascii="Cambria" w:hAnsi="Cambria"/>
        </w:rPr>
        <w:t xml:space="preserve">Chapter </w:t>
      </w:r>
      <w:r w:rsidRPr="002165D9">
        <w:rPr>
          <w:rFonts w:ascii="Cambria" w:hAnsi="Cambria"/>
        </w:rPr>
        <w:t>III, Independence an</w:t>
      </w:r>
      <w:r>
        <w:rPr>
          <w:rFonts w:ascii="Cambria" w:hAnsi="Cambria"/>
        </w:rPr>
        <w:t>d Separation of Public Powers, December 30, 2009, para.</w:t>
      </w:r>
      <w:r w:rsidRPr="002E3D27">
        <w:rPr>
          <w:rFonts w:ascii="Cambria" w:hAnsi="Cambria"/>
        </w:rPr>
        <w:t xml:space="preserve"> 85;</w:t>
      </w:r>
      <w:r w:rsidRPr="00A165D0">
        <w:rPr>
          <w:rFonts w:ascii="Cambria" w:hAnsi="Cambria"/>
        </w:rPr>
        <w:t xml:space="preserve"> IACHR, Second Report on the Situation of Human Rights Defenders in the Americas, December 31, 2011, para. </w:t>
      </w:r>
      <w:r w:rsidRPr="001F6009">
        <w:rPr>
          <w:rFonts w:ascii="Cambria" w:hAnsi="Cambria"/>
        </w:rPr>
        <w:t>359.</w:t>
      </w:r>
    </w:p>
  </w:footnote>
  <w:footnote w:id="33">
    <w:p w14:paraId="369DE6F3" w14:textId="77777777" w:rsidR="00E10F82" w:rsidRPr="001F6009" w:rsidRDefault="00E10F82">
      <w:pPr>
        <w:pStyle w:val="FootnoteText"/>
      </w:pPr>
      <w:r>
        <w:rPr>
          <w:rStyle w:val="FootnoteReference"/>
        </w:rPr>
        <w:footnoteRef/>
      </w:r>
      <w:r w:rsidRPr="00410886">
        <w:t xml:space="preserve"> </w:t>
      </w:r>
      <w:r w:rsidRPr="00410886">
        <w:rPr>
          <w:rFonts w:ascii="Cambria" w:hAnsi="Cambria"/>
        </w:rPr>
        <w:t>Thus, for example, the Inter-American Court has indicated</w:t>
      </w:r>
      <w:r>
        <w:rPr>
          <w:rFonts w:ascii="Cambria" w:hAnsi="Cambria"/>
        </w:rPr>
        <w:t xml:space="preserve"> that </w:t>
      </w:r>
      <w:r w:rsidRPr="00410886">
        <w:rPr>
          <w:rFonts w:ascii="Cambria" w:hAnsi="Cambria"/>
        </w:rPr>
        <w:t>the State’s obligations to parties before the courts</w:t>
      </w:r>
      <w:r>
        <w:rPr>
          <w:rFonts w:ascii="Cambria" w:hAnsi="Cambria"/>
        </w:rPr>
        <w:t xml:space="preserve"> give rise,</w:t>
      </w:r>
      <w:r w:rsidRPr="00410886">
        <w:rPr>
          <w:rFonts w:ascii="Cambria" w:hAnsi="Cambria"/>
        </w:rPr>
        <w:t xml:space="preserve"> </w:t>
      </w:r>
      <w:r>
        <w:rPr>
          <w:rFonts w:ascii="Cambria" w:hAnsi="Cambria"/>
        </w:rPr>
        <w:t xml:space="preserve">in turn, to </w:t>
      </w:r>
      <w:r w:rsidRPr="00410886">
        <w:rPr>
          <w:rFonts w:ascii="Cambria" w:hAnsi="Cambria"/>
        </w:rPr>
        <w:t xml:space="preserve">“rights for the judges”; among </w:t>
      </w:r>
      <w:r>
        <w:rPr>
          <w:rFonts w:ascii="Cambria" w:hAnsi="Cambria"/>
        </w:rPr>
        <w:t>other things</w:t>
      </w:r>
      <w:r w:rsidRPr="00410886">
        <w:rPr>
          <w:rFonts w:ascii="Cambria" w:hAnsi="Cambria"/>
        </w:rPr>
        <w:t>, the Court has noted that “the guarantee that they will not be subject to a discretional removal implies that the disciplinary and punishing processes of judges must necessarily respect the guarantees of</w:t>
      </w:r>
      <w:r>
        <w:rPr>
          <w:rFonts w:ascii="Cambria" w:hAnsi="Cambria"/>
        </w:rPr>
        <w:t>…</w:t>
      </w:r>
      <w:r w:rsidRPr="00410886">
        <w:rPr>
          <w:rFonts w:ascii="Cambria" w:hAnsi="Cambria"/>
        </w:rPr>
        <w:t xml:space="preserve">due process and shall offer those affected an effective remedy.” </w:t>
      </w:r>
      <w:r w:rsidRPr="00342933">
        <w:rPr>
          <w:rFonts w:ascii="Cambria" w:hAnsi="Cambria"/>
        </w:rPr>
        <w:t xml:space="preserve">I/A Court H.R., </w:t>
      </w:r>
      <w:r w:rsidRPr="00342933">
        <w:rPr>
          <w:rFonts w:ascii="Cambria" w:hAnsi="Cambria"/>
          <w:i/>
          <w:iCs/>
        </w:rPr>
        <w:t>Case of Reverón Trujillo v. Venezuela</w:t>
      </w:r>
      <w:r w:rsidRPr="00342933">
        <w:rPr>
          <w:rFonts w:ascii="Cambria" w:hAnsi="Cambria"/>
        </w:rPr>
        <w:t>, Preliminary Objection, Merits, Reparations, and Costs, Judgment of June 30, 2009, Series C No. 197, para. 147.</w:t>
      </w:r>
    </w:p>
  </w:footnote>
  <w:footnote w:id="34">
    <w:p w14:paraId="62B1BCD6" w14:textId="77777777" w:rsidR="00E10F82" w:rsidRPr="001F6009" w:rsidRDefault="00E10F82">
      <w:pPr>
        <w:pStyle w:val="FootnoteText"/>
      </w:pPr>
      <w:r>
        <w:rPr>
          <w:rStyle w:val="FootnoteReference"/>
        </w:rPr>
        <w:footnoteRef/>
      </w:r>
      <w:r w:rsidRPr="002F5504">
        <w:t xml:space="preserve"> </w:t>
      </w:r>
      <w:r w:rsidRPr="002F5504">
        <w:rPr>
          <w:rFonts w:ascii="Cambria" w:hAnsi="Cambria"/>
        </w:rPr>
        <w:t xml:space="preserve">IACHR, </w:t>
      </w:r>
      <w:r w:rsidRPr="007D115F">
        <w:rPr>
          <w:rFonts w:ascii="Cambria" w:hAnsi="Cambria"/>
          <w:color w:val="auto"/>
        </w:rPr>
        <w:t>OEA/Ser.L/V/II.Doc.</w:t>
      </w:r>
      <w:r>
        <w:rPr>
          <w:rFonts w:ascii="Cambria" w:hAnsi="Cambria"/>
          <w:color w:val="auto"/>
        </w:rPr>
        <w:t xml:space="preserve"> </w:t>
      </w:r>
      <w:r w:rsidRPr="007D115F">
        <w:rPr>
          <w:rFonts w:ascii="Cambria" w:hAnsi="Cambria"/>
          <w:color w:val="auto"/>
        </w:rPr>
        <w:t>44,</w:t>
      </w:r>
      <w:r>
        <w:rPr>
          <w:rFonts w:ascii="Cambria" w:hAnsi="Cambria"/>
          <w:color w:val="auto"/>
        </w:rPr>
        <w:t xml:space="preserve"> </w:t>
      </w:r>
      <w:r w:rsidRPr="002F5504">
        <w:rPr>
          <w:rFonts w:ascii="Cambria" w:hAnsi="Cambria"/>
        </w:rPr>
        <w:t xml:space="preserve">Guarantees for the Independence of Justice Operators: Towards Strengthening Access to Justice and the Rule of </w:t>
      </w:r>
      <w:r>
        <w:rPr>
          <w:rFonts w:ascii="Cambria" w:hAnsi="Cambria"/>
        </w:rPr>
        <w:t xml:space="preserve">Law in the Americas, December </w:t>
      </w:r>
      <w:r w:rsidRPr="002F5504">
        <w:rPr>
          <w:rFonts w:ascii="Cambria" w:hAnsi="Cambria"/>
        </w:rPr>
        <w:t>5</w:t>
      </w:r>
      <w:r>
        <w:rPr>
          <w:rFonts w:ascii="Cambria" w:hAnsi="Cambria"/>
        </w:rPr>
        <w:t xml:space="preserve">, </w:t>
      </w:r>
      <w:r w:rsidRPr="002F5504">
        <w:rPr>
          <w:rFonts w:ascii="Cambria" w:hAnsi="Cambria"/>
        </w:rPr>
        <w:t xml:space="preserve">2013, </w:t>
      </w:r>
      <w:r>
        <w:rPr>
          <w:rFonts w:ascii="Cambria" w:hAnsi="Cambria"/>
        </w:rPr>
        <w:t>para</w:t>
      </w:r>
      <w:r w:rsidRPr="002F5504">
        <w:rPr>
          <w:rFonts w:ascii="Cambria" w:hAnsi="Cambria"/>
        </w:rPr>
        <w:t xml:space="preserve">s. </w:t>
      </w:r>
      <w:r w:rsidRPr="00EA57C0">
        <w:rPr>
          <w:rFonts w:ascii="Cambria" w:hAnsi="Cambria"/>
        </w:rPr>
        <w:t xml:space="preserve">56, 109, and 184; I/A Court H.R., </w:t>
      </w:r>
      <w:r w:rsidRPr="00EA57C0">
        <w:rPr>
          <w:rFonts w:ascii="Cambria" w:hAnsi="Cambria"/>
          <w:bCs/>
          <w:i/>
          <w:iCs/>
          <w:color w:val="auto"/>
        </w:rPr>
        <w:t xml:space="preserve">Case of </w:t>
      </w:r>
      <w:r w:rsidRPr="00EA57C0">
        <w:rPr>
          <w:rFonts w:ascii="Cambria" w:eastAsia="Times New Roman" w:hAnsi="Cambria"/>
          <w:bCs/>
          <w:i/>
          <w:iCs/>
          <w:shd w:val="clear" w:color="auto" w:fill="FFFFFF"/>
        </w:rPr>
        <w:t>López Lone et al. v. Honduras</w:t>
      </w:r>
      <w:r w:rsidRPr="00EA57C0">
        <w:rPr>
          <w:rFonts w:ascii="Cambria" w:eastAsia="Times New Roman" w:hAnsi="Cambria"/>
          <w:bCs/>
          <w:shd w:val="clear" w:color="auto" w:fill="FFFFFF"/>
        </w:rPr>
        <w:t>, Preliminary Object</w:t>
      </w:r>
      <w:r>
        <w:rPr>
          <w:rFonts w:ascii="Cambria" w:eastAsia="Times New Roman" w:hAnsi="Cambria"/>
          <w:bCs/>
          <w:shd w:val="clear" w:color="auto" w:fill="FFFFFF"/>
        </w:rPr>
        <w:t xml:space="preserve">ion, Merits, Reparations, and Costs, Judgment of October 5, </w:t>
      </w:r>
      <w:r w:rsidRPr="00EA57C0">
        <w:rPr>
          <w:rFonts w:ascii="Cambria" w:eastAsia="Times New Roman" w:hAnsi="Cambria"/>
          <w:bCs/>
          <w:shd w:val="clear" w:color="auto" w:fill="FFFFFF"/>
        </w:rPr>
        <w:t>2015</w:t>
      </w:r>
      <w:r>
        <w:rPr>
          <w:rFonts w:ascii="Cambria" w:eastAsia="Times New Roman" w:hAnsi="Cambria"/>
          <w:bCs/>
          <w:shd w:val="clear" w:color="auto" w:fill="FFFFFF"/>
        </w:rPr>
        <w:t xml:space="preserve">, </w:t>
      </w:r>
      <w:r w:rsidRPr="001F6009">
        <w:rPr>
          <w:rFonts w:ascii="Cambria" w:eastAsia="Times New Roman" w:hAnsi="Cambria"/>
          <w:bCs/>
          <w:shd w:val="clear" w:color="auto" w:fill="FFFFFF"/>
        </w:rPr>
        <w:t>Serie</w:t>
      </w:r>
      <w:r>
        <w:rPr>
          <w:rFonts w:ascii="Cambria" w:eastAsia="Times New Roman" w:hAnsi="Cambria"/>
          <w:bCs/>
          <w:shd w:val="clear" w:color="auto" w:fill="FFFFFF"/>
        </w:rPr>
        <w:t>s</w:t>
      </w:r>
      <w:r w:rsidRPr="001F6009">
        <w:rPr>
          <w:rFonts w:ascii="Cambria" w:eastAsia="Times New Roman" w:hAnsi="Cambria"/>
          <w:bCs/>
          <w:shd w:val="clear" w:color="auto" w:fill="FFFFFF"/>
        </w:rPr>
        <w:t xml:space="preserve"> C No. 302, </w:t>
      </w:r>
      <w:r>
        <w:rPr>
          <w:rFonts w:ascii="Cambria" w:eastAsia="Times New Roman" w:hAnsi="Cambria"/>
          <w:bCs/>
          <w:shd w:val="clear" w:color="auto" w:fill="FFFFFF"/>
        </w:rPr>
        <w:t>para</w:t>
      </w:r>
      <w:r w:rsidRPr="001F6009">
        <w:rPr>
          <w:rFonts w:ascii="Cambria" w:eastAsia="Times New Roman" w:hAnsi="Cambria"/>
          <w:bCs/>
          <w:shd w:val="clear" w:color="auto" w:fill="FFFFFF"/>
        </w:rPr>
        <w:t>. 191.</w:t>
      </w:r>
    </w:p>
  </w:footnote>
  <w:footnote w:id="35">
    <w:p w14:paraId="57A63F4C" w14:textId="77777777" w:rsidR="00E10F82" w:rsidRPr="00154511" w:rsidRDefault="00E10F82">
      <w:pPr>
        <w:pStyle w:val="FootnoteText"/>
      </w:pPr>
      <w:r>
        <w:rPr>
          <w:rStyle w:val="FootnoteReference"/>
        </w:rPr>
        <w:footnoteRef/>
      </w:r>
      <w:r w:rsidRPr="00154511">
        <w:t xml:space="preserve"> Article 8(1) of the Convention establishes the following: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p>
  </w:footnote>
  <w:footnote w:id="36">
    <w:p w14:paraId="1FD7337C" w14:textId="77777777" w:rsidR="00E10F82" w:rsidRPr="00F50AFA" w:rsidRDefault="00E10F82" w:rsidP="007978DF">
      <w:pPr>
        <w:pStyle w:val="FootnoteText"/>
        <w:rPr>
          <w:rStyle w:val="FootnoteReference"/>
          <w:rFonts w:ascii="Cambria" w:hAnsi="Cambria"/>
          <w:color w:val="auto"/>
        </w:rPr>
      </w:pPr>
      <w:r w:rsidRPr="00277115">
        <w:rPr>
          <w:rStyle w:val="FootnoteReference"/>
          <w:rFonts w:ascii="Cambria" w:hAnsi="Cambria"/>
          <w:color w:val="auto"/>
        </w:rPr>
        <w:footnoteRef/>
      </w:r>
      <w:r w:rsidRPr="00CA713B">
        <w:rPr>
          <w:rStyle w:val="FootnoteReference"/>
          <w:rFonts w:ascii="Cambria" w:hAnsi="Cambria"/>
          <w:color w:val="auto"/>
          <w:lang w:val="pt-BR"/>
        </w:rPr>
        <w:t xml:space="preserve"> </w:t>
      </w:r>
      <w:r w:rsidRPr="00A165D0">
        <w:rPr>
          <w:rFonts w:ascii="Cambria" w:hAnsi="Cambria"/>
        </w:rPr>
        <w:t xml:space="preserve">I/A Court H.R., </w:t>
      </w:r>
      <w:r w:rsidRPr="00A165D0">
        <w:rPr>
          <w:rFonts w:ascii="Cambria" w:hAnsi="Cambria"/>
          <w:i/>
          <w:iCs/>
        </w:rPr>
        <w:t xml:space="preserve">Case of </w:t>
      </w:r>
      <w:r w:rsidRPr="00785D00">
        <w:rPr>
          <w:rFonts w:ascii="Cambria" w:hAnsi="Cambria"/>
          <w:i/>
          <w:iCs/>
          <w:noProof/>
          <w:color w:val="auto"/>
          <w:lang w:val="pt-BR"/>
        </w:rPr>
        <w:t xml:space="preserve">Barreto Leiva </w:t>
      </w:r>
      <w:r>
        <w:rPr>
          <w:rFonts w:ascii="Cambria" w:hAnsi="Cambria"/>
          <w:i/>
          <w:iCs/>
          <w:noProof/>
          <w:color w:val="auto"/>
          <w:lang w:val="pt-BR"/>
        </w:rPr>
        <w:t>v</w:t>
      </w:r>
      <w:r w:rsidRPr="00785D00">
        <w:rPr>
          <w:rFonts w:ascii="Cambria" w:hAnsi="Cambria"/>
          <w:i/>
          <w:iCs/>
          <w:noProof/>
          <w:color w:val="auto"/>
          <w:lang w:val="pt-BR"/>
        </w:rPr>
        <w:t xml:space="preserve">. </w:t>
      </w:r>
      <w:r w:rsidRPr="00785D00">
        <w:rPr>
          <w:rFonts w:ascii="Cambria" w:hAnsi="Cambria"/>
          <w:i/>
          <w:iCs/>
          <w:noProof/>
          <w:color w:val="auto"/>
        </w:rPr>
        <w:t>Venezuela</w:t>
      </w:r>
      <w:r w:rsidRPr="00785D00">
        <w:rPr>
          <w:rFonts w:ascii="Cambria" w:hAnsi="Cambria"/>
          <w:noProof/>
          <w:color w:val="auto"/>
        </w:rPr>
        <w:t xml:space="preserve">. </w:t>
      </w:r>
      <w:r>
        <w:rPr>
          <w:rFonts w:ascii="Cambria" w:hAnsi="Cambria"/>
          <w:noProof/>
          <w:color w:val="auto"/>
        </w:rPr>
        <w:t xml:space="preserve">Merits, Reparations, and Costs, Judgment of November 17, </w:t>
      </w:r>
      <w:r w:rsidRPr="00F50AFA">
        <w:rPr>
          <w:rFonts w:ascii="Cambria" w:hAnsi="Cambria"/>
          <w:noProof/>
          <w:color w:val="auto"/>
        </w:rPr>
        <w:t>2009</w:t>
      </w:r>
      <w:r>
        <w:rPr>
          <w:rFonts w:ascii="Cambria" w:hAnsi="Cambria"/>
          <w:noProof/>
          <w:color w:val="auto"/>
        </w:rPr>
        <w:t>,</w:t>
      </w:r>
      <w:r w:rsidRPr="00F50AFA">
        <w:rPr>
          <w:rFonts w:ascii="Cambria" w:hAnsi="Cambria"/>
          <w:noProof/>
          <w:color w:val="auto"/>
        </w:rPr>
        <w:t xml:space="preserve"> Serie</w:t>
      </w:r>
      <w:r>
        <w:rPr>
          <w:rFonts w:ascii="Cambria" w:hAnsi="Cambria"/>
          <w:noProof/>
          <w:color w:val="auto"/>
        </w:rPr>
        <w:t>s</w:t>
      </w:r>
      <w:r w:rsidRPr="00F50AFA">
        <w:rPr>
          <w:rFonts w:ascii="Cambria" w:hAnsi="Cambria"/>
          <w:noProof/>
          <w:color w:val="auto"/>
        </w:rPr>
        <w:t xml:space="preserve"> C No. 206, </w:t>
      </w:r>
      <w:r>
        <w:rPr>
          <w:rFonts w:ascii="Cambria" w:hAnsi="Cambria"/>
          <w:noProof/>
          <w:color w:val="auto"/>
        </w:rPr>
        <w:t>para</w:t>
      </w:r>
      <w:r w:rsidRPr="00F50AFA">
        <w:rPr>
          <w:rFonts w:ascii="Cambria" w:hAnsi="Cambria"/>
          <w:noProof/>
          <w:color w:val="auto"/>
        </w:rPr>
        <w:t>. 75.</w:t>
      </w:r>
    </w:p>
  </w:footnote>
  <w:footnote w:id="37">
    <w:p w14:paraId="1DDECC9A" w14:textId="77777777" w:rsidR="00E10F82" w:rsidRPr="00F50AFA" w:rsidRDefault="00E10F82" w:rsidP="007978DF">
      <w:pPr>
        <w:pStyle w:val="FootnoteText"/>
        <w:rPr>
          <w:rFonts w:ascii="Cambria" w:hAnsi="Cambria"/>
          <w:color w:val="auto"/>
        </w:rPr>
      </w:pPr>
      <w:r w:rsidRPr="00277115">
        <w:rPr>
          <w:rStyle w:val="FootnoteReference"/>
          <w:rFonts w:ascii="Cambria" w:hAnsi="Cambria"/>
          <w:color w:val="auto"/>
        </w:rPr>
        <w:footnoteRef/>
      </w:r>
      <w:r w:rsidRPr="00A165D0">
        <w:rPr>
          <w:rFonts w:ascii="Cambria" w:hAnsi="Cambria"/>
          <w:color w:val="auto"/>
        </w:rPr>
        <w:t xml:space="preserve"> </w:t>
      </w:r>
      <w:r w:rsidRPr="002F5504">
        <w:rPr>
          <w:rFonts w:ascii="Cambria" w:hAnsi="Cambria"/>
        </w:rPr>
        <w:t xml:space="preserve">IACHR, Guarantees for the Independence of Justice Operators: Towards Strengthening Access to Justice and the Rule of </w:t>
      </w:r>
      <w:r>
        <w:rPr>
          <w:rFonts w:ascii="Cambria" w:hAnsi="Cambria"/>
        </w:rPr>
        <w:t xml:space="preserve">Law in the Americas, December </w:t>
      </w:r>
      <w:r w:rsidRPr="002F5504">
        <w:rPr>
          <w:rFonts w:ascii="Cambria" w:hAnsi="Cambria"/>
        </w:rPr>
        <w:t>5</w:t>
      </w:r>
      <w:r>
        <w:rPr>
          <w:rFonts w:ascii="Cambria" w:hAnsi="Cambria"/>
        </w:rPr>
        <w:t xml:space="preserve">, </w:t>
      </w:r>
      <w:r w:rsidRPr="002F5504">
        <w:rPr>
          <w:rFonts w:ascii="Cambria" w:hAnsi="Cambria"/>
        </w:rPr>
        <w:t xml:space="preserve">2013, </w:t>
      </w:r>
      <w:r>
        <w:rPr>
          <w:rFonts w:ascii="Cambria" w:hAnsi="Cambria"/>
        </w:rPr>
        <w:t>para</w:t>
      </w:r>
      <w:r w:rsidRPr="00342933">
        <w:rPr>
          <w:rFonts w:ascii="Cambria" w:hAnsi="Cambria"/>
        </w:rPr>
        <w:t>.</w:t>
      </w:r>
      <w:r w:rsidRPr="00342933">
        <w:rPr>
          <w:rFonts w:ascii="Cambria" w:hAnsi="Cambria"/>
          <w:color w:val="auto"/>
        </w:rPr>
        <w:t xml:space="preserve"> 196.</w:t>
      </w:r>
    </w:p>
  </w:footnote>
  <w:footnote w:id="38">
    <w:p w14:paraId="075BFE66" w14:textId="77777777" w:rsidR="00E10F82" w:rsidRPr="00981CAB" w:rsidRDefault="00E10F82" w:rsidP="007978DF">
      <w:pPr>
        <w:pStyle w:val="FootnoteText"/>
        <w:rPr>
          <w:rFonts w:ascii="Cambria" w:hAnsi="Cambria"/>
          <w:color w:val="auto"/>
        </w:rPr>
      </w:pPr>
      <w:r w:rsidRPr="00277115">
        <w:rPr>
          <w:rStyle w:val="FootnoteReference"/>
          <w:rFonts w:ascii="Cambria" w:hAnsi="Cambria"/>
          <w:color w:val="auto"/>
        </w:rPr>
        <w:footnoteRef/>
      </w:r>
      <w:r w:rsidRPr="00981CAB">
        <w:rPr>
          <w:rFonts w:ascii="Cambria" w:hAnsi="Cambria"/>
          <w:color w:val="auto"/>
        </w:rPr>
        <w:t xml:space="preserve"> </w:t>
      </w:r>
      <w:r w:rsidRPr="00981CAB">
        <w:rPr>
          <w:rFonts w:ascii="Cambria" w:hAnsi="Cambria"/>
        </w:rPr>
        <w:t xml:space="preserve">I/A Court H.R., </w:t>
      </w:r>
      <w:r w:rsidRPr="00EA57C0">
        <w:rPr>
          <w:rFonts w:ascii="Cambria" w:hAnsi="Cambria"/>
          <w:bCs/>
          <w:i/>
          <w:iCs/>
          <w:color w:val="auto"/>
        </w:rPr>
        <w:t>Case of Apitz Barbera et al. (“First Court of Administrative Disputes”) v. Venezuela</w:t>
      </w:r>
      <w:r w:rsidRPr="00981CAB">
        <w:rPr>
          <w:rFonts w:ascii="Cambria" w:hAnsi="Cambria"/>
          <w:bCs/>
          <w:color w:val="auto"/>
        </w:rPr>
        <w:t>, Preliminary Objection, Merits, Reparation</w:t>
      </w:r>
      <w:r>
        <w:rPr>
          <w:rFonts w:ascii="Cambria" w:hAnsi="Cambria"/>
          <w:bCs/>
          <w:color w:val="auto"/>
        </w:rPr>
        <w:t>s</w:t>
      </w:r>
      <w:r w:rsidRPr="00981CAB">
        <w:rPr>
          <w:rFonts w:ascii="Cambria" w:hAnsi="Cambria"/>
          <w:bCs/>
          <w:color w:val="auto"/>
        </w:rPr>
        <w:t>, and Costs, Judgment of</w:t>
      </w:r>
      <w:r>
        <w:rPr>
          <w:rFonts w:ascii="Cambria" w:hAnsi="Cambria"/>
          <w:bCs/>
          <w:color w:val="auto"/>
        </w:rPr>
        <w:t xml:space="preserve"> August </w:t>
      </w:r>
      <w:r w:rsidRPr="00981CAB">
        <w:rPr>
          <w:rFonts w:ascii="Cambria" w:hAnsi="Cambria"/>
          <w:color w:val="auto"/>
        </w:rPr>
        <w:t>5,</w:t>
      </w:r>
      <w:r>
        <w:rPr>
          <w:rFonts w:ascii="Cambria" w:hAnsi="Cambria"/>
          <w:color w:val="auto"/>
        </w:rPr>
        <w:t xml:space="preserve"> </w:t>
      </w:r>
      <w:r w:rsidRPr="00981CAB">
        <w:rPr>
          <w:rFonts w:ascii="Cambria" w:hAnsi="Cambria"/>
          <w:color w:val="auto"/>
        </w:rPr>
        <w:t>2008. Serie</w:t>
      </w:r>
      <w:r>
        <w:rPr>
          <w:rFonts w:ascii="Cambria" w:hAnsi="Cambria"/>
          <w:color w:val="auto"/>
        </w:rPr>
        <w:t>s</w:t>
      </w:r>
      <w:r w:rsidRPr="00981CAB">
        <w:rPr>
          <w:rFonts w:ascii="Cambria" w:hAnsi="Cambria"/>
          <w:color w:val="auto"/>
        </w:rPr>
        <w:t xml:space="preserve"> C No 182, </w:t>
      </w:r>
      <w:r>
        <w:rPr>
          <w:rFonts w:ascii="Cambria" w:hAnsi="Cambria"/>
          <w:color w:val="auto"/>
        </w:rPr>
        <w:t>para</w:t>
      </w:r>
      <w:r w:rsidRPr="00981CAB">
        <w:rPr>
          <w:rFonts w:ascii="Cambria" w:hAnsi="Cambria"/>
          <w:color w:val="auto"/>
        </w:rPr>
        <w:t>. 53.</w:t>
      </w:r>
    </w:p>
  </w:footnote>
  <w:footnote w:id="39">
    <w:p w14:paraId="6F3B4959" w14:textId="77777777" w:rsidR="00E10F82" w:rsidRPr="00B72232" w:rsidRDefault="00E10F82" w:rsidP="007978DF">
      <w:pPr>
        <w:pStyle w:val="FootnoteText"/>
        <w:rPr>
          <w:rFonts w:ascii="Cambria" w:hAnsi="Cambria"/>
          <w:color w:val="auto"/>
        </w:rPr>
      </w:pPr>
      <w:r w:rsidRPr="00277115">
        <w:rPr>
          <w:rStyle w:val="FootnoteReference"/>
          <w:rFonts w:ascii="Cambria" w:hAnsi="Cambria"/>
          <w:color w:val="auto"/>
        </w:rPr>
        <w:footnoteRef/>
      </w:r>
      <w:r w:rsidRPr="00B72232">
        <w:rPr>
          <w:rFonts w:ascii="Cambria" w:hAnsi="Cambria"/>
          <w:color w:val="auto"/>
        </w:rPr>
        <w:t xml:space="preserve"> </w:t>
      </w:r>
      <w:r w:rsidRPr="00EA57C0">
        <w:rPr>
          <w:rFonts w:ascii="Cambria" w:hAnsi="Cambria"/>
        </w:rPr>
        <w:t xml:space="preserve">I/A Court H.R., </w:t>
      </w:r>
      <w:r w:rsidRPr="00EA57C0">
        <w:rPr>
          <w:rFonts w:ascii="Cambria" w:hAnsi="Cambria"/>
          <w:bCs/>
          <w:i/>
          <w:iCs/>
          <w:color w:val="auto"/>
        </w:rPr>
        <w:t xml:space="preserve">Case of </w:t>
      </w:r>
      <w:r w:rsidRPr="00EA57C0">
        <w:rPr>
          <w:rFonts w:ascii="Cambria" w:eastAsia="Times New Roman" w:hAnsi="Cambria"/>
          <w:bCs/>
          <w:i/>
          <w:iCs/>
          <w:shd w:val="clear" w:color="auto" w:fill="FFFFFF"/>
        </w:rPr>
        <w:t>López Lone et al. v. Honduras</w:t>
      </w:r>
      <w:r w:rsidRPr="00EA57C0">
        <w:rPr>
          <w:rFonts w:ascii="Cambria" w:eastAsia="Times New Roman" w:hAnsi="Cambria"/>
          <w:bCs/>
          <w:shd w:val="clear" w:color="auto" w:fill="FFFFFF"/>
        </w:rPr>
        <w:t>, Preliminary Object</w:t>
      </w:r>
      <w:r>
        <w:rPr>
          <w:rFonts w:ascii="Cambria" w:eastAsia="Times New Roman" w:hAnsi="Cambria"/>
          <w:bCs/>
          <w:shd w:val="clear" w:color="auto" w:fill="FFFFFF"/>
        </w:rPr>
        <w:t xml:space="preserve">ion, Merits, Reparations, and Costs, Judgment of October 5, </w:t>
      </w:r>
      <w:r w:rsidRPr="00EA57C0">
        <w:rPr>
          <w:rFonts w:ascii="Cambria" w:eastAsia="Times New Roman" w:hAnsi="Cambria"/>
          <w:bCs/>
          <w:shd w:val="clear" w:color="auto" w:fill="FFFFFF"/>
        </w:rPr>
        <w:t>2015</w:t>
      </w:r>
      <w:r>
        <w:rPr>
          <w:rFonts w:ascii="Cambria" w:eastAsia="Times New Roman" w:hAnsi="Cambria"/>
          <w:bCs/>
          <w:shd w:val="clear" w:color="auto" w:fill="FFFFFF"/>
        </w:rPr>
        <w:t xml:space="preserve">, </w:t>
      </w:r>
      <w:r w:rsidRPr="001F6009">
        <w:rPr>
          <w:rFonts w:ascii="Cambria" w:eastAsia="Times New Roman" w:hAnsi="Cambria"/>
          <w:bCs/>
          <w:shd w:val="clear" w:color="auto" w:fill="FFFFFF"/>
        </w:rPr>
        <w:t>Serie</w:t>
      </w:r>
      <w:r>
        <w:rPr>
          <w:rFonts w:ascii="Cambria" w:eastAsia="Times New Roman" w:hAnsi="Cambria"/>
          <w:bCs/>
          <w:shd w:val="clear" w:color="auto" w:fill="FFFFFF"/>
        </w:rPr>
        <w:t>s</w:t>
      </w:r>
      <w:r w:rsidRPr="001F6009">
        <w:rPr>
          <w:rFonts w:ascii="Cambria" w:eastAsia="Times New Roman" w:hAnsi="Cambria"/>
          <w:bCs/>
          <w:shd w:val="clear" w:color="auto" w:fill="FFFFFF"/>
        </w:rPr>
        <w:t xml:space="preserve"> C No. 302, </w:t>
      </w:r>
      <w:r>
        <w:rPr>
          <w:rFonts w:ascii="Cambria" w:eastAsia="Times New Roman" w:hAnsi="Cambria"/>
          <w:bCs/>
          <w:shd w:val="clear" w:color="auto" w:fill="FFFFFF"/>
        </w:rPr>
        <w:t>para</w:t>
      </w:r>
      <w:r w:rsidRPr="00B72232">
        <w:rPr>
          <w:rFonts w:ascii="Cambria" w:hAnsi="Cambria"/>
          <w:color w:val="auto"/>
        </w:rPr>
        <w:t>. 221.</w:t>
      </w:r>
    </w:p>
  </w:footnote>
  <w:footnote w:id="40">
    <w:p w14:paraId="5079C14F" w14:textId="77777777" w:rsidR="00E10F82" w:rsidRPr="00CA713B" w:rsidRDefault="00E10F82" w:rsidP="00CC142C">
      <w:pPr>
        <w:autoSpaceDE w:val="0"/>
        <w:autoSpaceDN w:val="0"/>
        <w:adjustRightInd w:val="0"/>
        <w:jc w:val="both"/>
        <w:rPr>
          <w:rFonts w:ascii="Cambria" w:hAnsi="Cambria" w:cs="Calibri-Italic"/>
          <w:iCs/>
          <w:sz w:val="16"/>
          <w:szCs w:val="16"/>
          <w:lang w:val="pt-BR"/>
        </w:rPr>
      </w:pPr>
      <w:r w:rsidRPr="001E3078">
        <w:rPr>
          <w:rStyle w:val="FootnoteReference"/>
          <w:rFonts w:ascii="Cambria" w:hAnsi="Cambria"/>
          <w:sz w:val="16"/>
          <w:szCs w:val="16"/>
        </w:rPr>
        <w:footnoteRef/>
      </w:r>
      <w:r w:rsidRPr="00A165D0">
        <w:rPr>
          <w:rFonts w:ascii="Cambria" w:hAnsi="Cambria"/>
          <w:sz w:val="16"/>
          <w:szCs w:val="16"/>
        </w:rPr>
        <w:t xml:space="preserve"> IACHR, Second Report on the Situation of Human Rights Defenders in the Americas, para. </w:t>
      </w:r>
      <w:r w:rsidRPr="008F527E">
        <w:rPr>
          <w:rFonts w:ascii="Cambria" w:hAnsi="Cambria" w:cs="Calibri"/>
          <w:sz w:val="16"/>
          <w:szCs w:val="16"/>
          <w:lang w:val="pt-BR"/>
        </w:rPr>
        <w:t>375</w:t>
      </w:r>
      <w:r w:rsidRPr="00CA713B">
        <w:rPr>
          <w:rFonts w:ascii="Cambria" w:hAnsi="Cambria" w:cs="Calibri"/>
          <w:sz w:val="16"/>
          <w:szCs w:val="16"/>
          <w:lang w:val="pt-BR"/>
        </w:rPr>
        <w:t>.</w:t>
      </w:r>
    </w:p>
  </w:footnote>
  <w:footnote w:id="41">
    <w:p w14:paraId="69F9D5C7" w14:textId="77777777" w:rsidR="00E10F82" w:rsidRPr="00F50AFA" w:rsidRDefault="00E10F82" w:rsidP="00A51F01">
      <w:pPr>
        <w:pStyle w:val="FootnoteText"/>
        <w:rPr>
          <w:rFonts w:ascii="Cambria" w:hAnsi="Cambria"/>
        </w:rPr>
      </w:pPr>
      <w:r w:rsidRPr="001E3078">
        <w:rPr>
          <w:rStyle w:val="FootnoteReference"/>
          <w:rFonts w:ascii="Cambria" w:hAnsi="Cambria"/>
        </w:rPr>
        <w:footnoteRef/>
      </w:r>
      <w:r w:rsidRPr="001E3078">
        <w:rPr>
          <w:rFonts w:ascii="Cambria" w:hAnsi="Cambria"/>
          <w:lang w:val="pt-BR"/>
        </w:rPr>
        <w:t xml:space="preserve"> </w:t>
      </w:r>
      <w:r>
        <w:rPr>
          <w:rFonts w:ascii="Cambria" w:hAnsi="Cambria"/>
          <w:lang w:val="pt-BR"/>
        </w:rPr>
        <w:t>I/A Court H.R</w:t>
      </w:r>
      <w:r w:rsidRPr="001E3078">
        <w:rPr>
          <w:rFonts w:ascii="Cambria" w:hAnsi="Cambria"/>
          <w:lang w:val="pt-BR"/>
        </w:rPr>
        <w:t>.</w:t>
      </w:r>
      <w:r>
        <w:rPr>
          <w:rFonts w:ascii="Cambria" w:hAnsi="Cambria"/>
          <w:lang w:val="pt-BR"/>
        </w:rPr>
        <w:t xml:space="preserve">, </w:t>
      </w:r>
      <w:r w:rsidRPr="005275E9">
        <w:rPr>
          <w:rFonts w:ascii="Cambria" w:hAnsi="Cambria"/>
          <w:i/>
          <w:iCs/>
          <w:lang w:val="pt-BR"/>
        </w:rPr>
        <w:t>Case of Palamara Iribarne v. Chile</w:t>
      </w:r>
      <w:r>
        <w:rPr>
          <w:rFonts w:ascii="Cambria" w:hAnsi="Cambria"/>
          <w:lang w:val="pt-BR"/>
        </w:rPr>
        <w:t xml:space="preserve">, Merits, Reparations, and Costs, Judgment of November </w:t>
      </w:r>
      <w:r w:rsidRPr="00CA713B">
        <w:rPr>
          <w:rFonts w:ascii="Cambria" w:hAnsi="Cambria"/>
          <w:lang w:val="pt-BR"/>
        </w:rPr>
        <w:t>22</w:t>
      </w:r>
      <w:r>
        <w:rPr>
          <w:rFonts w:ascii="Cambria" w:hAnsi="Cambria"/>
          <w:lang w:val="pt-BR"/>
        </w:rPr>
        <w:t xml:space="preserve">, </w:t>
      </w:r>
      <w:r w:rsidRPr="005275E9">
        <w:rPr>
          <w:rFonts w:ascii="Cambria" w:hAnsi="Cambria"/>
        </w:rPr>
        <w:t>Serie</w:t>
      </w:r>
      <w:r>
        <w:rPr>
          <w:rFonts w:ascii="Cambria" w:hAnsi="Cambria"/>
        </w:rPr>
        <w:t>s</w:t>
      </w:r>
      <w:r w:rsidRPr="005275E9">
        <w:rPr>
          <w:rFonts w:ascii="Cambria" w:hAnsi="Cambria"/>
        </w:rPr>
        <w:t xml:space="preserve"> C No. 135, </w:t>
      </w:r>
      <w:r>
        <w:rPr>
          <w:rFonts w:ascii="Cambria" w:hAnsi="Cambria"/>
        </w:rPr>
        <w:t>para</w:t>
      </w:r>
      <w:r w:rsidRPr="005275E9">
        <w:rPr>
          <w:rFonts w:ascii="Cambria" w:hAnsi="Cambria"/>
        </w:rPr>
        <w:t xml:space="preserve">. </w:t>
      </w:r>
      <w:r w:rsidRPr="00F50AFA">
        <w:rPr>
          <w:rFonts w:ascii="Cambria" w:hAnsi="Cambria"/>
        </w:rPr>
        <w:t>146.</w:t>
      </w:r>
    </w:p>
  </w:footnote>
  <w:footnote w:id="42">
    <w:p w14:paraId="308B2A94" w14:textId="77777777" w:rsidR="00E10F82" w:rsidRPr="0051009A" w:rsidRDefault="00E10F82" w:rsidP="00A51F01">
      <w:pPr>
        <w:jc w:val="both"/>
        <w:rPr>
          <w:rFonts w:ascii="Cambria" w:hAnsi="Cambria"/>
          <w:sz w:val="16"/>
          <w:szCs w:val="16"/>
        </w:rPr>
      </w:pPr>
      <w:r w:rsidRPr="001E3078">
        <w:rPr>
          <w:rStyle w:val="FootnoteReference"/>
          <w:rFonts w:ascii="Cambria" w:hAnsi="Cambria"/>
          <w:sz w:val="16"/>
          <w:szCs w:val="16"/>
        </w:rPr>
        <w:footnoteRef/>
      </w:r>
      <w:r w:rsidRPr="00DB2AC7">
        <w:rPr>
          <w:rFonts w:ascii="Cambria" w:hAnsi="Cambria"/>
          <w:sz w:val="16"/>
          <w:szCs w:val="16"/>
        </w:rPr>
        <w:t xml:space="preserve"> See </w:t>
      </w:r>
      <w:r w:rsidRPr="008F527E">
        <w:rPr>
          <w:rFonts w:ascii="Cambria" w:hAnsi="Cambria"/>
          <w:sz w:val="16"/>
          <w:szCs w:val="16"/>
        </w:rPr>
        <w:t>European Court of Human Rights,</w:t>
      </w:r>
      <w:r>
        <w:rPr>
          <w:rFonts w:ascii="Cambria" w:hAnsi="Cambria"/>
          <w:sz w:val="16"/>
          <w:szCs w:val="16"/>
        </w:rPr>
        <w:t xml:space="preserve"> </w:t>
      </w:r>
      <w:r w:rsidRPr="00B56AB2">
        <w:rPr>
          <w:rFonts w:ascii="Cambria" w:hAnsi="Cambria"/>
          <w:i/>
          <w:iCs/>
          <w:sz w:val="16"/>
          <w:szCs w:val="16"/>
        </w:rPr>
        <w:t>Case of Thomann v. Switzerland</w:t>
      </w:r>
      <w:r w:rsidRPr="00DB2AC7">
        <w:rPr>
          <w:rFonts w:ascii="Cambria" w:hAnsi="Cambria"/>
          <w:sz w:val="16"/>
          <w:szCs w:val="16"/>
        </w:rPr>
        <w:t>, Judgment of June 10, 1996, Reports of J</w:t>
      </w:r>
      <w:r>
        <w:rPr>
          <w:rFonts w:ascii="Cambria" w:hAnsi="Cambria"/>
          <w:sz w:val="16"/>
          <w:szCs w:val="16"/>
        </w:rPr>
        <w:t>udgments and Decisions</w:t>
      </w:r>
      <w:r w:rsidRPr="00DB2AC7">
        <w:rPr>
          <w:rFonts w:ascii="Cambria" w:hAnsi="Cambria"/>
          <w:sz w:val="16"/>
          <w:szCs w:val="16"/>
        </w:rPr>
        <w:t xml:space="preserve"> 1996-III, p. 815,</w:t>
      </w:r>
      <w:r>
        <w:rPr>
          <w:rFonts w:ascii="Cambria" w:hAnsi="Cambria"/>
          <w:sz w:val="16"/>
          <w:szCs w:val="16"/>
        </w:rPr>
        <w:t xml:space="preserve"> para. </w:t>
      </w:r>
      <w:r w:rsidRPr="0051009A">
        <w:rPr>
          <w:rFonts w:ascii="Cambria" w:hAnsi="Cambria"/>
          <w:sz w:val="16"/>
          <w:szCs w:val="16"/>
        </w:rPr>
        <w:t>30.</w:t>
      </w:r>
    </w:p>
  </w:footnote>
  <w:footnote w:id="43">
    <w:p w14:paraId="65ED5032" w14:textId="77777777" w:rsidR="00E10F82" w:rsidRPr="00F50AFA" w:rsidRDefault="00E10F82">
      <w:pPr>
        <w:pStyle w:val="FootnoteText"/>
      </w:pPr>
      <w:r>
        <w:rPr>
          <w:rStyle w:val="FootnoteReference"/>
        </w:rPr>
        <w:footnoteRef/>
      </w:r>
      <w:r w:rsidRPr="0051009A">
        <w:t xml:space="preserve"> IACHR, Report No. 72/17, Case 13.019, Merits, Eduardo Rico, Argentina, July 5, 2017, para. </w:t>
      </w:r>
      <w:r w:rsidRPr="008F527E">
        <w:t>100</w:t>
      </w:r>
      <w:r w:rsidRPr="00F50AFA">
        <w:t>.</w:t>
      </w:r>
    </w:p>
  </w:footnote>
  <w:footnote w:id="44">
    <w:p w14:paraId="5C2A8599" w14:textId="77777777" w:rsidR="00E10F82" w:rsidRPr="00E83F63" w:rsidRDefault="00E10F82" w:rsidP="00CC142C">
      <w:pPr>
        <w:pStyle w:val="FootnoteText"/>
        <w:rPr>
          <w:rFonts w:ascii="Cambria" w:hAnsi="Cambria"/>
        </w:rPr>
      </w:pPr>
      <w:r w:rsidRPr="001E3078">
        <w:rPr>
          <w:rStyle w:val="FootnoteReference"/>
          <w:rFonts w:ascii="Cambria" w:hAnsi="Cambria"/>
        </w:rPr>
        <w:footnoteRef/>
      </w:r>
      <w:r w:rsidRPr="00B76D55">
        <w:rPr>
          <w:rFonts w:ascii="Cambria" w:hAnsi="Cambria"/>
        </w:rPr>
        <w:t xml:space="preserve"> See, for example, </w:t>
      </w:r>
      <w:r w:rsidRPr="00B76D55">
        <w:rPr>
          <w:rFonts w:ascii="Cambria" w:hAnsi="Cambria"/>
          <w:i/>
          <w:iCs/>
        </w:rPr>
        <w:t>Case of the Constitutional Tribunal (Camba Campos et al.) v. Ecuador</w:t>
      </w:r>
      <w:r>
        <w:rPr>
          <w:rFonts w:ascii="Cambria" w:hAnsi="Cambria"/>
        </w:rPr>
        <w:t>,</w:t>
      </w:r>
      <w:r w:rsidRPr="00B76D55">
        <w:rPr>
          <w:rFonts w:ascii="Cambria" w:hAnsi="Cambria"/>
        </w:rPr>
        <w:t xml:space="preserve"> and</w:t>
      </w:r>
      <w:r>
        <w:rPr>
          <w:rFonts w:ascii="Cambria" w:hAnsi="Cambria"/>
        </w:rPr>
        <w:t xml:space="preserve"> </w:t>
      </w:r>
      <w:r w:rsidRPr="008E7EA7">
        <w:rPr>
          <w:rFonts w:ascii="Cambria" w:hAnsi="Cambria"/>
          <w:i/>
          <w:iCs/>
        </w:rPr>
        <w:t>Case of the Constitutional Court v. Peru</w:t>
      </w:r>
      <w:r>
        <w:rPr>
          <w:rFonts w:ascii="Cambria" w:hAnsi="Cambria"/>
        </w:rPr>
        <w:t>, both of which were taken up by the Commission and subsequently by the Inter-American Court.</w:t>
      </w:r>
    </w:p>
  </w:footnote>
  <w:footnote w:id="45">
    <w:p w14:paraId="66542CF3" w14:textId="77777777" w:rsidR="00E10F82" w:rsidRPr="0035448F" w:rsidRDefault="00E10F82">
      <w:pPr>
        <w:pStyle w:val="FootnoteText"/>
      </w:pPr>
      <w:r>
        <w:rPr>
          <w:rStyle w:val="FootnoteReference"/>
        </w:rPr>
        <w:footnoteRef/>
      </w:r>
      <w:r w:rsidRPr="0035448F">
        <w:t xml:space="preserve"> </w:t>
      </w:r>
      <w:r w:rsidRPr="0035448F">
        <w:rPr>
          <w:rFonts w:ascii="Cambria" w:eastAsia="Times New Roman" w:hAnsi="Cambria"/>
        </w:rPr>
        <w:t xml:space="preserve">Article 8(2) of the Convention establishes, in its pertinent sections: </w:t>
      </w:r>
      <w:r>
        <w:rPr>
          <w:rFonts w:ascii="Cambria" w:eastAsia="Times New Roman" w:hAnsi="Cambria"/>
        </w:rPr>
        <w:t>“</w:t>
      </w:r>
      <w:r w:rsidRPr="0035448F">
        <w:rPr>
          <w:rFonts w:ascii="Cambria" w:eastAsia="Times New Roman" w:hAnsi="Cambria"/>
        </w:rPr>
        <w:t>Every person accused of a criminal offense has the right to be presumed innocent so long as his guilt has not been proven accord</w:t>
      </w:r>
      <w:r>
        <w:rPr>
          <w:rFonts w:ascii="Cambria" w:eastAsia="Times New Roman" w:hAnsi="Cambria"/>
        </w:rPr>
        <w:t xml:space="preserve">ing to law. </w:t>
      </w:r>
      <w:r w:rsidRPr="0035448F">
        <w:rPr>
          <w:rFonts w:ascii="Cambria" w:eastAsia="Times New Roman" w:hAnsi="Cambria"/>
        </w:rPr>
        <w:t xml:space="preserve">During the proceedings, every person is entitled, with full equality, to the following minimum guarantees: …b. prior notification in detail to the accused of the charges against him; </w:t>
      </w:r>
      <w:r w:rsidRPr="0035448F">
        <w:rPr>
          <w:rFonts w:ascii="Cambria" w:hAnsi="Cambria" w:cs="Verdana"/>
          <w:lang w:bidi="en-US"/>
        </w:rPr>
        <w:t xml:space="preserve">c. adequate time and means for the preparation of his defense; d. the right of the accused to </w:t>
      </w:r>
      <w:r>
        <w:rPr>
          <w:rFonts w:ascii="Cambria" w:hAnsi="Cambria" w:cs="Verdana"/>
          <w:lang w:bidi="en-US"/>
        </w:rPr>
        <w:t>defend himself personally or to be assisted by legal counsel of his own choosing, and to communicate freely and privately with his counsel</w:t>
      </w:r>
      <w:r w:rsidRPr="0035448F">
        <w:rPr>
          <w:rFonts w:ascii="Cambria" w:hAnsi="Cambria" w:cs="Verdana"/>
          <w:lang w:bidi="en-US"/>
        </w:rPr>
        <w:t xml:space="preserve">; </w:t>
      </w:r>
      <w:r>
        <w:rPr>
          <w:rFonts w:ascii="Cambria" w:hAnsi="Cambria" w:cs="Verdana"/>
          <w:lang w:bidi="en-US"/>
        </w:rPr>
        <w:t>…</w:t>
      </w:r>
      <w:r w:rsidRPr="0035448F">
        <w:rPr>
          <w:rFonts w:ascii="Cambria" w:eastAsia="Times New Roman" w:hAnsi="Cambria"/>
        </w:rPr>
        <w:t xml:space="preserve">f. </w:t>
      </w:r>
      <w:r>
        <w:rPr>
          <w:rFonts w:ascii="Cambria" w:eastAsia="Times New Roman" w:hAnsi="Cambria"/>
        </w:rPr>
        <w:t>the right of the defense to examine witnesses present in the court and to obtain the appearance, as witnesses, of experts or other persons who may throw light on the facts</w:t>
      </w:r>
      <w:r w:rsidRPr="0035448F">
        <w:rPr>
          <w:rFonts w:ascii="Cambria" w:eastAsia="Times New Roman" w:hAnsi="Cambria"/>
        </w:rPr>
        <w:t>.</w:t>
      </w:r>
      <w:r>
        <w:rPr>
          <w:rFonts w:ascii="Cambria" w:eastAsia="Times New Roman" w:hAnsi="Cambria"/>
        </w:rPr>
        <w:t>”</w:t>
      </w:r>
    </w:p>
  </w:footnote>
  <w:footnote w:id="46">
    <w:p w14:paraId="464D5579" w14:textId="77777777" w:rsidR="00E10F82" w:rsidRPr="0035448F" w:rsidRDefault="00E10F82">
      <w:pPr>
        <w:pStyle w:val="FootnoteText"/>
      </w:pPr>
      <w:r>
        <w:rPr>
          <w:rStyle w:val="FootnoteReference"/>
        </w:rPr>
        <w:footnoteRef/>
      </w:r>
      <w:r w:rsidRPr="0035448F">
        <w:t xml:space="preserve"> Article 8(1) of the Convention establishes that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w:t>
      </w:r>
      <w:r>
        <w:t>ther nature.”</w:t>
      </w:r>
    </w:p>
  </w:footnote>
  <w:footnote w:id="47">
    <w:p w14:paraId="1FD4CBB7" w14:textId="77777777" w:rsidR="00E10F82" w:rsidRPr="00981CAB" w:rsidRDefault="00E10F82">
      <w:pPr>
        <w:pStyle w:val="FootnoteText"/>
      </w:pPr>
      <w:r>
        <w:rPr>
          <w:rStyle w:val="FootnoteReference"/>
        </w:rPr>
        <w:footnoteRef/>
      </w:r>
      <w:r w:rsidRPr="00361CA7">
        <w:t xml:space="preserve"> I/A Court H.R., </w:t>
      </w:r>
      <w:r w:rsidRPr="008E7EA7">
        <w:rPr>
          <w:i/>
          <w:iCs/>
        </w:rPr>
        <w:t>Juridical Condition and Rights of Undocumented Migrants</w:t>
      </w:r>
      <w:r>
        <w:t>, Advisory Opinion</w:t>
      </w:r>
      <w:r w:rsidRPr="00361CA7">
        <w:t xml:space="preserve"> OC-18/03 </w:t>
      </w:r>
      <w:r>
        <w:t xml:space="preserve">of September </w:t>
      </w:r>
      <w:r w:rsidRPr="00361CA7">
        <w:t>17</w:t>
      </w:r>
      <w:r>
        <w:t>,</w:t>
      </w:r>
      <w:r w:rsidRPr="00361CA7">
        <w:t xml:space="preserve"> 2003</w:t>
      </w:r>
      <w:r>
        <w:t>,</w:t>
      </w:r>
      <w:r w:rsidRPr="00361CA7">
        <w:t xml:space="preserve"> </w:t>
      </w:r>
      <w:r w:rsidRPr="00BD2EBF">
        <w:t>Series A No. 18, para</w:t>
      </w:r>
      <w:r w:rsidRPr="008F527E">
        <w:t>. 121.</w:t>
      </w:r>
    </w:p>
  </w:footnote>
  <w:footnote w:id="48">
    <w:p w14:paraId="4197ED45" w14:textId="77777777" w:rsidR="00E10F82" w:rsidRPr="00981CAB" w:rsidRDefault="00E10F82">
      <w:pPr>
        <w:pStyle w:val="FootnoteText"/>
      </w:pPr>
      <w:r>
        <w:rPr>
          <w:rStyle w:val="FootnoteReference"/>
        </w:rPr>
        <w:footnoteRef/>
      </w:r>
      <w:r w:rsidRPr="00A165D0">
        <w:t xml:space="preserve"> </w:t>
      </w:r>
      <w:r w:rsidRPr="002F5504">
        <w:rPr>
          <w:rFonts w:ascii="Cambria" w:hAnsi="Cambria"/>
        </w:rPr>
        <w:t xml:space="preserve">IACHR, Guarantees for the Independence of Justice Operators: Towards Strengthening Access to Justice and the Rule of </w:t>
      </w:r>
      <w:r>
        <w:rPr>
          <w:rFonts w:ascii="Cambria" w:hAnsi="Cambria"/>
        </w:rPr>
        <w:t xml:space="preserve">Law in the Americas, December </w:t>
      </w:r>
      <w:r w:rsidRPr="002F5504">
        <w:rPr>
          <w:rFonts w:ascii="Cambria" w:hAnsi="Cambria"/>
        </w:rPr>
        <w:t>5</w:t>
      </w:r>
      <w:r>
        <w:rPr>
          <w:rFonts w:ascii="Cambria" w:hAnsi="Cambria"/>
        </w:rPr>
        <w:t xml:space="preserve">, </w:t>
      </w:r>
      <w:r w:rsidRPr="002F5504">
        <w:rPr>
          <w:rFonts w:ascii="Cambria" w:hAnsi="Cambria"/>
        </w:rPr>
        <w:t xml:space="preserve">2013, </w:t>
      </w:r>
      <w:r>
        <w:rPr>
          <w:rFonts w:ascii="Cambria" w:hAnsi="Cambria"/>
        </w:rPr>
        <w:t>para</w:t>
      </w:r>
      <w:r w:rsidRPr="00A165D0">
        <w:rPr>
          <w:rFonts w:ascii="Cambria" w:hAnsi="Cambria"/>
        </w:rPr>
        <w:t xml:space="preserve">. </w:t>
      </w:r>
      <w:r w:rsidRPr="00981CAB">
        <w:rPr>
          <w:rFonts w:ascii="Cambria" w:hAnsi="Cambria"/>
        </w:rPr>
        <w:t>219.</w:t>
      </w:r>
    </w:p>
  </w:footnote>
  <w:footnote w:id="49">
    <w:p w14:paraId="7C7635F9" w14:textId="77777777" w:rsidR="00E10F82" w:rsidRPr="00981CAB" w:rsidRDefault="00E10F82">
      <w:pPr>
        <w:pStyle w:val="FootnoteText"/>
      </w:pPr>
      <w:r>
        <w:rPr>
          <w:rStyle w:val="FootnoteReference"/>
        </w:rPr>
        <w:footnoteRef/>
      </w:r>
      <w:r w:rsidRPr="009917C6">
        <w:rPr>
          <w:lang w:val="pt-BR"/>
        </w:rPr>
        <w:t xml:space="preserve"> </w:t>
      </w:r>
      <w:r w:rsidRPr="00A165D0">
        <w:rPr>
          <w:rFonts w:ascii="Cambria" w:hAnsi="Cambria"/>
        </w:rPr>
        <w:t xml:space="preserve">I/A Court H.R., </w:t>
      </w:r>
      <w:r w:rsidRPr="00827B71">
        <w:rPr>
          <w:i/>
          <w:iCs/>
          <w:lang w:val="pt-BR"/>
        </w:rPr>
        <w:t>Case of Fermín Ramírez v. Guatemala</w:t>
      </w:r>
      <w:r>
        <w:rPr>
          <w:lang w:val="pt-BR"/>
        </w:rPr>
        <w:t>, Merits, Reparations, and Costs, Judgment of June</w:t>
      </w:r>
      <w:r w:rsidRPr="00E04850">
        <w:t xml:space="preserve"> 20</w:t>
      </w:r>
      <w:r>
        <w:t xml:space="preserve">, </w:t>
      </w:r>
      <w:r w:rsidRPr="00E04850">
        <w:t>2005</w:t>
      </w:r>
      <w:r>
        <w:t>,</w:t>
      </w:r>
      <w:r w:rsidRPr="00E04850">
        <w:t xml:space="preserve"> Series C No. 126, </w:t>
      </w:r>
      <w:r>
        <w:t>para</w:t>
      </w:r>
      <w:r w:rsidRPr="00E04850">
        <w:t xml:space="preserve">. </w:t>
      </w:r>
      <w:r w:rsidRPr="00981CAB">
        <w:t>67.</w:t>
      </w:r>
    </w:p>
  </w:footnote>
  <w:footnote w:id="50">
    <w:p w14:paraId="5E017D5A" w14:textId="77777777" w:rsidR="00E10F82" w:rsidRPr="004418F3" w:rsidRDefault="00E10F82">
      <w:pPr>
        <w:pStyle w:val="FootnoteText"/>
      </w:pPr>
      <w:r>
        <w:rPr>
          <w:rStyle w:val="FootnoteReference"/>
        </w:rPr>
        <w:footnoteRef/>
      </w:r>
      <w:r w:rsidRPr="009917C6">
        <w:rPr>
          <w:lang w:val="pt-BR"/>
        </w:rPr>
        <w:t xml:space="preserve"> </w:t>
      </w:r>
      <w:r w:rsidRPr="00827B71">
        <w:rPr>
          <w:rFonts w:ascii="Cambria" w:hAnsi="Cambria"/>
        </w:rPr>
        <w:t>I/A Court H.R.,</w:t>
      </w:r>
      <w:r w:rsidRPr="009917C6">
        <w:rPr>
          <w:lang w:val="pt-BR"/>
        </w:rPr>
        <w:t xml:space="preserve"> </w:t>
      </w:r>
      <w:r w:rsidRPr="00827B71">
        <w:rPr>
          <w:i/>
          <w:lang w:val="pt-BR"/>
        </w:rPr>
        <w:t xml:space="preserve">Case of Heliodoro Portugal v. </w:t>
      </w:r>
      <w:r w:rsidRPr="00827B71">
        <w:rPr>
          <w:i/>
        </w:rPr>
        <w:t>Panama</w:t>
      </w:r>
      <w:r>
        <w:rPr>
          <w:iCs/>
        </w:rPr>
        <w:t xml:space="preserve">, Preliminary Objections, Merits, Reparations, and Costs, Judgment of August 12, </w:t>
      </w:r>
      <w:r w:rsidRPr="00827B71">
        <w:t xml:space="preserve">2008. </w:t>
      </w:r>
      <w:r w:rsidRPr="004418F3">
        <w:t xml:space="preserve">Series C No. 186, para. 148, </w:t>
      </w:r>
      <w:r w:rsidRPr="00AE4BF3">
        <w:t xml:space="preserve">and </w:t>
      </w:r>
      <w:r w:rsidRPr="00AE4BF3">
        <w:rPr>
          <w:i/>
        </w:rPr>
        <w:t>Case of Salvador Chiriboga v. Ecuador</w:t>
      </w:r>
      <w:r w:rsidRPr="00AE4BF3">
        <w:rPr>
          <w:iCs/>
        </w:rPr>
        <w:t xml:space="preserve">, </w:t>
      </w:r>
      <w:r w:rsidRPr="008F527E">
        <w:rPr>
          <w:iCs/>
        </w:rPr>
        <w:t>Preliminary Objection and Merits, Judgment of May 6, 2008</w:t>
      </w:r>
      <w:r w:rsidRPr="008F527E">
        <w:t>, Series C No. 179</w:t>
      </w:r>
      <w:r w:rsidRPr="008F527E">
        <w:rPr>
          <w:iCs/>
        </w:rPr>
        <w:t>, p</w:t>
      </w:r>
      <w:r w:rsidRPr="008F527E">
        <w:t>ara. 59.</w:t>
      </w:r>
      <w:r w:rsidRPr="004418F3">
        <w:t xml:space="preserve">  </w:t>
      </w:r>
    </w:p>
  </w:footnote>
  <w:footnote w:id="51">
    <w:p w14:paraId="7A32D51C" w14:textId="77777777" w:rsidR="00E10F82" w:rsidRPr="000B5072" w:rsidRDefault="00E10F82">
      <w:pPr>
        <w:pStyle w:val="FootnoteText"/>
      </w:pPr>
      <w:r w:rsidRPr="0081712A">
        <w:rPr>
          <w:rStyle w:val="FootnoteReference"/>
        </w:rPr>
        <w:footnoteRef/>
      </w:r>
      <w:r w:rsidRPr="008C1D18">
        <w:t xml:space="preserve"> IACHR, Report No. 75/15, Case 12.923, Merits, Rocío San Miguel Sosa and Others, Venezuela, October 28, 2015, para. </w:t>
      </w:r>
      <w:r w:rsidRPr="000B5072">
        <w:t xml:space="preserve">200; </w:t>
      </w:r>
      <w:r w:rsidRPr="00A165D0">
        <w:rPr>
          <w:rFonts w:ascii="Cambria" w:hAnsi="Cambria"/>
        </w:rPr>
        <w:t>I/A Court H.R.</w:t>
      </w:r>
      <w:r w:rsidRPr="000B5072">
        <w:t xml:space="preserve">, </w:t>
      </w:r>
      <w:r w:rsidRPr="00351608">
        <w:rPr>
          <w:i/>
          <w:iCs/>
        </w:rPr>
        <w:t>Case of Kawas Fernández v. Honduras</w:t>
      </w:r>
      <w:r w:rsidRPr="000B5072">
        <w:t>, Merits, Reparations, and Costs, Judgment of April 3,</w:t>
      </w:r>
      <w:r>
        <w:t xml:space="preserve"> </w:t>
      </w:r>
      <w:r w:rsidRPr="000B5072">
        <w:t>2009, Serie</w:t>
      </w:r>
      <w:r>
        <w:t>s</w:t>
      </w:r>
      <w:r w:rsidRPr="000B5072">
        <w:t xml:space="preserve"> C No. 196, p</w:t>
      </w:r>
      <w:r>
        <w:t>ara</w:t>
      </w:r>
      <w:r w:rsidRPr="000B5072">
        <w:t>.</w:t>
      </w:r>
      <w:r>
        <w:t xml:space="preserve"> </w:t>
      </w:r>
      <w:r w:rsidRPr="000B5072">
        <w:t>112.</w:t>
      </w:r>
    </w:p>
  </w:footnote>
  <w:footnote w:id="52">
    <w:p w14:paraId="0B269733" w14:textId="77777777" w:rsidR="00E10F82" w:rsidRPr="00B34E2F" w:rsidRDefault="00E10F82">
      <w:pPr>
        <w:pStyle w:val="FootnoteText"/>
      </w:pPr>
      <w:r>
        <w:rPr>
          <w:rStyle w:val="FootnoteReference"/>
        </w:rPr>
        <w:footnoteRef/>
      </w:r>
      <w:r w:rsidRPr="00B34E2F">
        <w:t xml:space="preserve"> </w:t>
      </w:r>
      <w:r w:rsidRPr="00154511">
        <w:t>Article 8(1) of the Convention establishes the following: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w:t>
      </w:r>
    </w:p>
  </w:footnote>
  <w:footnote w:id="53">
    <w:p w14:paraId="62833519" w14:textId="77777777" w:rsidR="00E10F82" w:rsidRPr="00B34E2F" w:rsidRDefault="00E10F82">
      <w:pPr>
        <w:pStyle w:val="FootnoteText"/>
      </w:pPr>
      <w:r>
        <w:rPr>
          <w:rStyle w:val="FootnoteReference"/>
        </w:rPr>
        <w:footnoteRef/>
      </w:r>
      <w:r w:rsidRPr="00B34E2F">
        <w:t xml:space="preserve"> </w:t>
      </w:r>
      <w:r w:rsidRPr="00B34E2F">
        <w:rPr>
          <w:rFonts w:ascii="Cambria" w:hAnsi="Cambria"/>
        </w:rPr>
        <w:t xml:space="preserve">Article 9 of the </w:t>
      </w:r>
      <w:r w:rsidRPr="00B34E2F">
        <w:t xml:space="preserve">Convention establishes the following: “No one shall be convicted of any act or omission that did not constitute a criminal offense, </w:t>
      </w:r>
      <w:r>
        <w:t xml:space="preserve">under the applicable law, </w:t>
      </w:r>
      <w:r w:rsidRPr="00B34E2F">
        <w:t>at</w:t>
      </w:r>
      <w:r>
        <w:t xml:space="preserve"> the time it was committed. </w:t>
      </w:r>
      <w:r w:rsidRPr="00B34E2F">
        <w:t>A heavier penalty shall not be imposed than the one that was applicable at the time the criminal offense was committed. If subsequent to the commission of the offense the law provides for the imposition of a lighter punishment, the guilty person shall benefit th</w:t>
      </w:r>
      <w:r>
        <w:t>erefrom.”</w:t>
      </w:r>
      <w:r>
        <w:rPr>
          <w:rFonts w:ascii="Cambria" w:hAnsi="Cambria"/>
        </w:rPr>
        <w:t xml:space="preserve"> </w:t>
      </w:r>
    </w:p>
  </w:footnote>
  <w:footnote w:id="54">
    <w:p w14:paraId="5E98FB6A" w14:textId="77777777" w:rsidR="00E10F82" w:rsidRPr="00456ADC" w:rsidRDefault="00E10F82">
      <w:pPr>
        <w:pStyle w:val="FootnoteText"/>
      </w:pPr>
      <w:r>
        <w:rPr>
          <w:rStyle w:val="FootnoteReference"/>
        </w:rPr>
        <w:footnoteRef/>
      </w:r>
      <w:r w:rsidRPr="00456ADC">
        <w:t xml:space="preserve"> Article 13 of the Convention establishes: “1. Everyone has the right to freedom of thought </w:t>
      </w:r>
      <w:r>
        <w:t xml:space="preserve">and expression. </w:t>
      </w:r>
      <w:r w:rsidRPr="00456ADC">
        <w:t>This right includes freedom to seek, receive, and impart i</w:t>
      </w:r>
      <w:r>
        <w:t>nformation and ideas of all kinds, regardless of frontiers, either orally, in writing, in print, in the form of art, or through any other medium of one’s choice.”</w:t>
      </w:r>
    </w:p>
  </w:footnote>
  <w:footnote w:id="55">
    <w:p w14:paraId="2DF1EA99" w14:textId="77777777" w:rsidR="00E10F82" w:rsidRPr="00B72232" w:rsidRDefault="00E10F82" w:rsidP="00B01DC2">
      <w:pPr>
        <w:jc w:val="both"/>
        <w:rPr>
          <w:rFonts w:ascii="Cambria" w:hAnsi="Cambria"/>
          <w:sz w:val="16"/>
          <w:szCs w:val="16"/>
        </w:rPr>
      </w:pPr>
      <w:r w:rsidRPr="001E3078">
        <w:rPr>
          <w:rStyle w:val="FootnoteReference"/>
          <w:rFonts w:ascii="Cambria" w:hAnsi="Cambria"/>
          <w:sz w:val="16"/>
          <w:szCs w:val="16"/>
        </w:rPr>
        <w:footnoteRef/>
      </w:r>
      <w:r w:rsidRPr="00534CD8">
        <w:rPr>
          <w:rFonts w:ascii="Cambria" w:hAnsi="Cambria"/>
          <w:sz w:val="16"/>
          <w:szCs w:val="16"/>
        </w:rPr>
        <w:t xml:space="preserve"> IACHR, Criminalization of the Work of Human Rights Defenders, OEA/Ser.L/V/Doc.49/15, </w:t>
      </w:r>
      <w:r>
        <w:rPr>
          <w:rFonts w:ascii="Cambria" w:hAnsi="Cambria"/>
          <w:sz w:val="16"/>
          <w:szCs w:val="16"/>
        </w:rPr>
        <w:t xml:space="preserve">December </w:t>
      </w:r>
      <w:r w:rsidRPr="00534CD8">
        <w:rPr>
          <w:rFonts w:ascii="Cambria" w:hAnsi="Cambria"/>
          <w:sz w:val="16"/>
          <w:szCs w:val="16"/>
        </w:rPr>
        <w:t>31</w:t>
      </w:r>
      <w:r>
        <w:rPr>
          <w:rFonts w:ascii="Cambria" w:hAnsi="Cambria"/>
          <w:sz w:val="16"/>
          <w:szCs w:val="16"/>
        </w:rPr>
        <w:t xml:space="preserve">, </w:t>
      </w:r>
      <w:r w:rsidRPr="00534CD8">
        <w:rPr>
          <w:rFonts w:ascii="Cambria" w:hAnsi="Cambria"/>
          <w:sz w:val="16"/>
          <w:szCs w:val="16"/>
        </w:rPr>
        <w:t xml:space="preserve">2015, </w:t>
      </w:r>
      <w:r>
        <w:rPr>
          <w:rFonts w:ascii="Cambria" w:hAnsi="Cambria"/>
          <w:sz w:val="16"/>
          <w:szCs w:val="16"/>
        </w:rPr>
        <w:t>para</w:t>
      </w:r>
      <w:r w:rsidRPr="00534CD8">
        <w:rPr>
          <w:rFonts w:ascii="Cambria" w:hAnsi="Cambria"/>
          <w:sz w:val="16"/>
          <w:szCs w:val="16"/>
        </w:rPr>
        <w:t xml:space="preserve">. </w:t>
      </w:r>
      <w:r w:rsidRPr="00B72232">
        <w:rPr>
          <w:rFonts w:ascii="Cambria" w:hAnsi="Cambria"/>
          <w:sz w:val="16"/>
          <w:szCs w:val="16"/>
        </w:rPr>
        <w:t>253.</w:t>
      </w:r>
    </w:p>
  </w:footnote>
  <w:footnote w:id="56">
    <w:p w14:paraId="34C1C84C" w14:textId="77777777" w:rsidR="00E10F82" w:rsidRPr="00B42F98" w:rsidRDefault="00E10F82" w:rsidP="00B01DC2">
      <w:pPr>
        <w:pStyle w:val="FootnoteText"/>
        <w:tabs>
          <w:tab w:val="num" w:pos="0"/>
        </w:tabs>
        <w:rPr>
          <w:rFonts w:ascii="Cambria" w:hAnsi="Cambria"/>
        </w:rPr>
      </w:pPr>
      <w:r w:rsidRPr="001E3078">
        <w:rPr>
          <w:rStyle w:val="FootnoteReference"/>
          <w:rFonts w:ascii="Cambria" w:hAnsi="Cambria"/>
        </w:rPr>
        <w:footnoteRef/>
      </w:r>
      <w:r w:rsidRPr="00B72232">
        <w:rPr>
          <w:rFonts w:ascii="Cambria" w:hAnsi="Cambria"/>
        </w:rPr>
        <w:t xml:space="preserve"> </w:t>
      </w:r>
      <w:r w:rsidRPr="00EA57C0">
        <w:rPr>
          <w:rFonts w:ascii="Cambria" w:hAnsi="Cambria"/>
        </w:rPr>
        <w:t xml:space="preserve">I/A Court H.R., </w:t>
      </w:r>
      <w:r w:rsidRPr="00EA57C0">
        <w:rPr>
          <w:rFonts w:ascii="Cambria" w:hAnsi="Cambria"/>
          <w:bCs/>
          <w:i/>
          <w:iCs/>
          <w:color w:val="auto"/>
        </w:rPr>
        <w:t xml:space="preserve">Case of </w:t>
      </w:r>
      <w:r w:rsidRPr="00EA57C0">
        <w:rPr>
          <w:rFonts w:ascii="Cambria" w:eastAsia="Times New Roman" w:hAnsi="Cambria"/>
          <w:bCs/>
          <w:i/>
          <w:iCs/>
          <w:shd w:val="clear" w:color="auto" w:fill="FFFFFF"/>
        </w:rPr>
        <w:t>López Lone et al. v. Honduras</w:t>
      </w:r>
      <w:r w:rsidRPr="00EA57C0">
        <w:rPr>
          <w:rFonts w:ascii="Cambria" w:eastAsia="Times New Roman" w:hAnsi="Cambria"/>
          <w:bCs/>
          <w:shd w:val="clear" w:color="auto" w:fill="FFFFFF"/>
        </w:rPr>
        <w:t>, Preliminary Object</w:t>
      </w:r>
      <w:r>
        <w:rPr>
          <w:rFonts w:ascii="Cambria" w:eastAsia="Times New Roman" w:hAnsi="Cambria"/>
          <w:bCs/>
          <w:shd w:val="clear" w:color="auto" w:fill="FFFFFF"/>
        </w:rPr>
        <w:t xml:space="preserve">ion, Merits, Reparations, and Costs, Judgment of October 5, </w:t>
      </w:r>
      <w:r w:rsidRPr="00EA57C0">
        <w:rPr>
          <w:rFonts w:ascii="Cambria" w:eastAsia="Times New Roman" w:hAnsi="Cambria"/>
          <w:bCs/>
          <w:shd w:val="clear" w:color="auto" w:fill="FFFFFF"/>
        </w:rPr>
        <w:t>2015</w:t>
      </w:r>
      <w:r>
        <w:rPr>
          <w:rFonts w:ascii="Cambria" w:eastAsia="Times New Roman" w:hAnsi="Cambria"/>
          <w:bCs/>
          <w:shd w:val="clear" w:color="auto" w:fill="FFFFFF"/>
        </w:rPr>
        <w:t xml:space="preserve">, </w:t>
      </w:r>
      <w:r w:rsidRPr="001F6009">
        <w:rPr>
          <w:rFonts w:ascii="Cambria" w:eastAsia="Times New Roman" w:hAnsi="Cambria"/>
          <w:bCs/>
          <w:shd w:val="clear" w:color="auto" w:fill="FFFFFF"/>
        </w:rPr>
        <w:t>Serie</w:t>
      </w:r>
      <w:r>
        <w:rPr>
          <w:rFonts w:ascii="Cambria" w:eastAsia="Times New Roman" w:hAnsi="Cambria"/>
          <w:bCs/>
          <w:shd w:val="clear" w:color="auto" w:fill="FFFFFF"/>
        </w:rPr>
        <w:t>s</w:t>
      </w:r>
      <w:r w:rsidRPr="001F6009">
        <w:rPr>
          <w:rFonts w:ascii="Cambria" w:eastAsia="Times New Roman" w:hAnsi="Cambria"/>
          <w:bCs/>
          <w:shd w:val="clear" w:color="auto" w:fill="FFFFFF"/>
        </w:rPr>
        <w:t xml:space="preserve"> C No. 302, </w:t>
      </w:r>
      <w:r>
        <w:rPr>
          <w:rFonts w:ascii="Cambria" w:eastAsia="Times New Roman" w:hAnsi="Cambria"/>
          <w:bCs/>
          <w:shd w:val="clear" w:color="auto" w:fill="FFFFFF"/>
        </w:rPr>
        <w:t>para.</w:t>
      </w:r>
      <w:r w:rsidRPr="00B72232">
        <w:rPr>
          <w:rFonts w:ascii="Cambria" w:hAnsi="Cambria"/>
        </w:rPr>
        <w:t xml:space="preserve"> 257</w:t>
      </w:r>
      <w:r>
        <w:rPr>
          <w:rFonts w:ascii="Cambria" w:hAnsi="Cambria"/>
        </w:rPr>
        <w:t xml:space="preserve">; </w:t>
      </w:r>
      <w:r w:rsidRPr="00416553">
        <w:rPr>
          <w:rFonts w:ascii="Cambria" w:hAnsi="Cambria"/>
          <w:i/>
          <w:iCs/>
        </w:rPr>
        <w:t>Case of Maldonado Ordoñez v. Guatemala</w:t>
      </w:r>
      <w:r>
        <w:rPr>
          <w:rFonts w:ascii="Cambria" w:hAnsi="Cambria"/>
        </w:rPr>
        <w:t xml:space="preserve">, Preliminary Objection, Merits, Reparations, and Costs, Judgment of May </w:t>
      </w:r>
      <w:r w:rsidRPr="00416553">
        <w:rPr>
          <w:rFonts w:ascii="Cambria" w:hAnsi="Cambria"/>
        </w:rPr>
        <w:t>3</w:t>
      </w:r>
      <w:r>
        <w:rPr>
          <w:rFonts w:ascii="Cambria" w:hAnsi="Cambria"/>
        </w:rPr>
        <w:t xml:space="preserve">, </w:t>
      </w:r>
      <w:r w:rsidRPr="00416553">
        <w:rPr>
          <w:rFonts w:ascii="Cambria" w:hAnsi="Cambria"/>
        </w:rPr>
        <w:t>2016</w:t>
      </w:r>
      <w:r>
        <w:rPr>
          <w:rFonts w:ascii="Cambria" w:hAnsi="Cambria"/>
        </w:rPr>
        <w:t>,</w:t>
      </w:r>
      <w:r w:rsidRPr="00416553">
        <w:rPr>
          <w:rFonts w:ascii="Cambria" w:hAnsi="Cambria"/>
        </w:rPr>
        <w:t xml:space="preserve"> </w:t>
      </w:r>
      <w:r w:rsidRPr="001F6009">
        <w:rPr>
          <w:rFonts w:ascii="Cambria" w:hAnsi="Cambria"/>
        </w:rPr>
        <w:t>Serie</w:t>
      </w:r>
      <w:r>
        <w:rPr>
          <w:rFonts w:ascii="Cambria" w:hAnsi="Cambria"/>
        </w:rPr>
        <w:t>s</w:t>
      </w:r>
      <w:r w:rsidRPr="001F6009">
        <w:rPr>
          <w:rFonts w:ascii="Cambria" w:hAnsi="Cambria"/>
        </w:rPr>
        <w:t xml:space="preserve"> C No. 311, </w:t>
      </w:r>
      <w:r>
        <w:rPr>
          <w:rFonts w:ascii="Cambria" w:hAnsi="Cambria"/>
        </w:rPr>
        <w:t>para</w:t>
      </w:r>
      <w:r w:rsidRPr="001F6009">
        <w:rPr>
          <w:rFonts w:ascii="Cambria" w:hAnsi="Cambria"/>
        </w:rPr>
        <w:t xml:space="preserve">. </w:t>
      </w:r>
      <w:r w:rsidRPr="000E1192">
        <w:rPr>
          <w:rFonts w:ascii="Cambria" w:hAnsi="Cambria"/>
        </w:rPr>
        <w:t>89</w:t>
      </w:r>
      <w:r>
        <w:rPr>
          <w:rFonts w:ascii="Cambria" w:hAnsi="Cambria"/>
        </w:rPr>
        <w:t xml:space="preserve">; and </w:t>
      </w:r>
      <w:r w:rsidRPr="00CF6FEB">
        <w:rPr>
          <w:rFonts w:ascii="Cambria" w:hAnsi="Cambria"/>
          <w:i/>
          <w:iCs/>
        </w:rPr>
        <w:t>Case of Baena-Ricardo et al. v.  Panama</w:t>
      </w:r>
      <w:r>
        <w:rPr>
          <w:rFonts w:ascii="Cambria" w:hAnsi="Cambria"/>
        </w:rPr>
        <w:t xml:space="preserve">, Merits, Reparations, and Costs, Judgment of February 2, 2001, </w:t>
      </w:r>
      <w:r w:rsidRPr="00CF6FEB">
        <w:rPr>
          <w:rFonts w:ascii="Cambria" w:hAnsi="Cambria"/>
        </w:rPr>
        <w:t xml:space="preserve">Serie C. No. 72, </w:t>
      </w:r>
      <w:r>
        <w:rPr>
          <w:rFonts w:ascii="Cambria" w:hAnsi="Cambria"/>
        </w:rPr>
        <w:t>paras</w:t>
      </w:r>
      <w:r w:rsidRPr="000E1192">
        <w:rPr>
          <w:rFonts w:ascii="Cambria" w:hAnsi="Cambria"/>
        </w:rPr>
        <w:t xml:space="preserve">. </w:t>
      </w:r>
      <w:r w:rsidRPr="00B42F98">
        <w:rPr>
          <w:rFonts w:ascii="Cambria" w:hAnsi="Cambria"/>
        </w:rPr>
        <w:t>106 and 108.</w:t>
      </w:r>
    </w:p>
  </w:footnote>
  <w:footnote w:id="57">
    <w:p w14:paraId="092DE7DA" w14:textId="77777777" w:rsidR="00E10F82" w:rsidRPr="00F50AFA" w:rsidRDefault="00E10F82" w:rsidP="005E5552">
      <w:pPr>
        <w:pStyle w:val="FootnoteText"/>
        <w:rPr>
          <w:rFonts w:ascii="Cambria" w:hAnsi="Cambria"/>
        </w:rPr>
      </w:pPr>
      <w:r w:rsidRPr="001E3078">
        <w:rPr>
          <w:rStyle w:val="FootnoteReference"/>
          <w:rFonts w:ascii="Cambria" w:hAnsi="Cambria"/>
        </w:rPr>
        <w:footnoteRef/>
      </w:r>
      <w:r w:rsidRPr="00B51747">
        <w:rPr>
          <w:rFonts w:ascii="Cambria" w:hAnsi="Cambria"/>
        </w:rPr>
        <w:t xml:space="preserve"> IACHR, Report on Terrorism and Human Rights, OEA/SER.L/V/II.116, Doc. 5 rev. 1 corr., </w:t>
      </w:r>
      <w:r>
        <w:rPr>
          <w:rFonts w:ascii="Cambria" w:hAnsi="Cambria"/>
        </w:rPr>
        <w:t xml:space="preserve">October </w:t>
      </w:r>
      <w:r w:rsidRPr="00B51747">
        <w:rPr>
          <w:rFonts w:ascii="Cambria" w:hAnsi="Cambria"/>
        </w:rPr>
        <w:t>22</w:t>
      </w:r>
      <w:r>
        <w:rPr>
          <w:rFonts w:ascii="Cambria" w:hAnsi="Cambria"/>
        </w:rPr>
        <w:t xml:space="preserve">, </w:t>
      </w:r>
      <w:r w:rsidRPr="00B51747">
        <w:rPr>
          <w:rFonts w:ascii="Cambria" w:hAnsi="Cambria"/>
        </w:rPr>
        <w:t xml:space="preserve">2002, </w:t>
      </w:r>
      <w:r>
        <w:rPr>
          <w:rFonts w:ascii="Cambria" w:hAnsi="Cambria"/>
        </w:rPr>
        <w:t>para</w:t>
      </w:r>
      <w:r w:rsidRPr="00B51747">
        <w:rPr>
          <w:rFonts w:ascii="Cambria" w:hAnsi="Cambria"/>
        </w:rPr>
        <w:t xml:space="preserve">. </w:t>
      </w:r>
      <w:r w:rsidRPr="00F50AFA">
        <w:rPr>
          <w:rFonts w:ascii="Cambria" w:hAnsi="Cambria"/>
        </w:rPr>
        <w:t xml:space="preserve">225, </w:t>
      </w:r>
      <w:r>
        <w:rPr>
          <w:rFonts w:ascii="Cambria" w:hAnsi="Cambria"/>
        </w:rPr>
        <w:t xml:space="preserve">and Executive Summary, para. </w:t>
      </w:r>
      <w:r w:rsidRPr="00F50AFA">
        <w:rPr>
          <w:rFonts w:ascii="Cambria" w:hAnsi="Cambria"/>
        </w:rPr>
        <w:t>17.</w:t>
      </w:r>
    </w:p>
  </w:footnote>
  <w:footnote w:id="58">
    <w:p w14:paraId="41243A50" w14:textId="77777777" w:rsidR="00E10F82" w:rsidRPr="00B72232" w:rsidRDefault="00E10F82" w:rsidP="005E5552">
      <w:pPr>
        <w:pStyle w:val="FootnoteText"/>
        <w:rPr>
          <w:rFonts w:ascii="Cambria" w:hAnsi="Cambria"/>
        </w:rPr>
      </w:pPr>
      <w:r w:rsidRPr="001E3078">
        <w:rPr>
          <w:rStyle w:val="FootnoteReference"/>
          <w:rFonts w:ascii="Cambria" w:hAnsi="Cambria"/>
        </w:rPr>
        <w:footnoteRef/>
      </w:r>
      <w:r w:rsidRPr="00ED48C4">
        <w:rPr>
          <w:rFonts w:ascii="Cambria" w:hAnsi="Cambria"/>
        </w:rPr>
        <w:t xml:space="preserve"> IACHR, Application and submissions to the Inter-American Court of Human Rights in the </w:t>
      </w:r>
      <w:r w:rsidRPr="00ED48C4">
        <w:rPr>
          <w:rFonts w:ascii="Cambria" w:hAnsi="Cambria"/>
          <w:i/>
          <w:iCs/>
        </w:rPr>
        <w:t>Case of De la Cruz Flores v. Peru</w:t>
      </w:r>
      <w:r w:rsidRPr="00ED48C4">
        <w:rPr>
          <w:rFonts w:ascii="Cambria" w:hAnsi="Cambria"/>
        </w:rPr>
        <w:t xml:space="preserve">; referred to in: I/A Court H.R., </w:t>
      </w:r>
      <w:r w:rsidRPr="00ED48C4">
        <w:rPr>
          <w:rFonts w:ascii="Cambria" w:hAnsi="Cambria"/>
          <w:i/>
          <w:iCs/>
        </w:rPr>
        <w:t>Case of De la Cruz Flores v. Peru</w:t>
      </w:r>
      <w:r w:rsidRPr="00ED48C4">
        <w:rPr>
          <w:rFonts w:ascii="Cambria" w:hAnsi="Cambria"/>
        </w:rPr>
        <w:t>, Judgm</w:t>
      </w:r>
      <w:r>
        <w:rPr>
          <w:rFonts w:ascii="Cambria" w:hAnsi="Cambria"/>
        </w:rPr>
        <w:t xml:space="preserve">ent of November </w:t>
      </w:r>
      <w:r w:rsidRPr="00ED48C4">
        <w:rPr>
          <w:rFonts w:ascii="Cambria" w:hAnsi="Cambria"/>
        </w:rPr>
        <w:t>18</w:t>
      </w:r>
      <w:r>
        <w:rPr>
          <w:rFonts w:ascii="Cambria" w:hAnsi="Cambria"/>
        </w:rPr>
        <w:t xml:space="preserve">, </w:t>
      </w:r>
      <w:r w:rsidRPr="00ED48C4">
        <w:rPr>
          <w:rFonts w:ascii="Cambria" w:hAnsi="Cambria"/>
        </w:rPr>
        <w:t>2004</w:t>
      </w:r>
      <w:r>
        <w:rPr>
          <w:rFonts w:ascii="Cambria" w:hAnsi="Cambria"/>
        </w:rPr>
        <w:t>, Merits, Reparations, and Costs</w:t>
      </w:r>
      <w:r w:rsidRPr="00ED48C4">
        <w:rPr>
          <w:rFonts w:ascii="Cambria" w:hAnsi="Cambria"/>
        </w:rPr>
        <w:t>, Serie</w:t>
      </w:r>
      <w:r>
        <w:rPr>
          <w:rFonts w:ascii="Cambria" w:hAnsi="Cambria"/>
        </w:rPr>
        <w:t>s</w:t>
      </w:r>
      <w:r w:rsidRPr="00ED48C4">
        <w:rPr>
          <w:rFonts w:ascii="Cambria" w:hAnsi="Cambria"/>
        </w:rPr>
        <w:t xml:space="preserve"> C. No. 115, p</w:t>
      </w:r>
      <w:r>
        <w:rPr>
          <w:rFonts w:ascii="Cambria" w:hAnsi="Cambria"/>
        </w:rPr>
        <w:t>ara</w:t>
      </w:r>
      <w:r w:rsidRPr="00ED48C4">
        <w:rPr>
          <w:rFonts w:ascii="Cambria" w:hAnsi="Cambria"/>
        </w:rPr>
        <w:t xml:space="preserve">. </w:t>
      </w:r>
      <w:r w:rsidRPr="00B72232">
        <w:rPr>
          <w:rFonts w:ascii="Cambria" w:hAnsi="Cambria"/>
        </w:rPr>
        <w:t>74.</w:t>
      </w:r>
    </w:p>
  </w:footnote>
  <w:footnote w:id="59">
    <w:p w14:paraId="25DDD7AC" w14:textId="77777777" w:rsidR="00E10F82" w:rsidRPr="00B72232" w:rsidRDefault="00E10F82" w:rsidP="005E5552">
      <w:pPr>
        <w:pStyle w:val="FootnoteText"/>
        <w:rPr>
          <w:rFonts w:ascii="Cambria" w:hAnsi="Cambria"/>
        </w:rPr>
      </w:pPr>
      <w:r w:rsidRPr="001E3078">
        <w:rPr>
          <w:rStyle w:val="FootnoteReference"/>
          <w:rFonts w:ascii="Cambria" w:hAnsi="Cambria"/>
        </w:rPr>
        <w:footnoteRef/>
      </w:r>
      <w:r w:rsidRPr="00B72232">
        <w:rPr>
          <w:rFonts w:ascii="Cambria" w:hAnsi="Cambria"/>
        </w:rPr>
        <w:t xml:space="preserve"> </w:t>
      </w:r>
      <w:r w:rsidRPr="00EA57C0">
        <w:rPr>
          <w:rFonts w:ascii="Cambria" w:hAnsi="Cambria"/>
        </w:rPr>
        <w:t xml:space="preserve">I/A Court H.R., </w:t>
      </w:r>
      <w:r w:rsidRPr="00EA57C0">
        <w:rPr>
          <w:rFonts w:ascii="Cambria" w:hAnsi="Cambria"/>
          <w:bCs/>
          <w:i/>
          <w:iCs/>
          <w:color w:val="auto"/>
        </w:rPr>
        <w:t xml:space="preserve">Case of </w:t>
      </w:r>
      <w:r w:rsidRPr="00EA57C0">
        <w:rPr>
          <w:rFonts w:ascii="Cambria" w:eastAsia="Times New Roman" w:hAnsi="Cambria"/>
          <w:bCs/>
          <w:i/>
          <w:iCs/>
          <w:shd w:val="clear" w:color="auto" w:fill="FFFFFF"/>
        </w:rPr>
        <w:t>López Lone et al. v. Honduras</w:t>
      </w:r>
      <w:r w:rsidRPr="00EA57C0">
        <w:rPr>
          <w:rFonts w:ascii="Cambria" w:eastAsia="Times New Roman" w:hAnsi="Cambria"/>
          <w:bCs/>
          <w:shd w:val="clear" w:color="auto" w:fill="FFFFFF"/>
        </w:rPr>
        <w:t>, Preliminary Object</w:t>
      </w:r>
      <w:r>
        <w:rPr>
          <w:rFonts w:ascii="Cambria" w:eastAsia="Times New Roman" w:hAnsi="Cambria"/>
          <w:bCs/>
          <w:shd w:val="clear" w:color="auto" w:fill="FFFFFF"/>
        </w:rPr>
        <w:t xml:space="preserve">ion, Merits, Reparations, and Costs, Judgment of October 5, </w:t>
      </w:r>
      <w:r w:rsidRPr="00EA57C0">
        <w:rPr>
          <w:rFonts w:ascii="Cambria" w:eastAsia="Times New Roman" w:hAnsi="Cambria"/>
          <w:bCs/>
          <w:shd w:val="clear" w:color="auto" w:fill="FFFFFF"/>
        </w:rPr>
        <w:t>2015</w:t>
      </w:r>
      <w:r>
        <w:rPr>
          <w:rFonts w:ascii="Cambria" w:eastAsia="Times New Roman" w:hAnsi="Cambria"/>
          <w:bCs/>
          <w:shd w:val="clear" w:color="auto" w:fill="FFFFFF"/>
        </w:rPr>
        <w:t xml:space="preserve">, </w:t>
      </w:r>
      <w:r w:rsidRPr="001F6009">
        <w:rPr>
          <w:rFonts w:ascii="Cambria" w:eastAsia="Times New Roman" w:hAnsi="Cambria"/>
          <w:bCs/>
          <w:shd w:val="clear" w:color="auto" w:fill="FFFFFF"/>
        </w:rPr>
        <w:t>Serie</w:t>
      </w:r>
      <w:r>
        <w:rPr>
          <w:rFonts w:ascii="Cambria" w:eastAsia="Times New Roman" w:hAnsi="Cambria"/>
          <w:bCs/>
          <w:shd w:val="clear" w:color="auto" w:fill="FFFFFF"/>
        </w:rPr>
        <w:t>s</w:t>
      </w:r>
      <w:r w:rsidRPr="001F6009">
        <w:rPr>
          <w:rFonts w:ascii="Cambria" w:eastAsia="Times New Roman" w:hAnsi="Cambria"/>
          <w:bCs/>
          <w:shd w:val="clear" w:color="auto" w:fill="FFFFFF"/>
        </w:rPr>
        <w:t xml:space="preserve"> C No. 302, </w:t>
      </w:r>
      <w:r>
        <w:rPr>
          <w:rFonts w:ascii="Cambria" w:eastAsia="Times New Roman" w:hAnsi="Cambria"/>
          <w:bCs/>
          <w:shd w:val="clear" w:color="auto" w:fill="FFFFFF"/>
        </w:rPr>
        <w:t>para</w:t>
      </w:r>
      <w:r w:rsidRPr="00B72232">
        <w:rPr>
          <w:rFonts w:ascii="Cambria" w:hAnsi="Cambria"/>
        </w:rPr>
        <w:t>. 257.</w:t>
      </w:r>
    </w:p>
  </w:footnote>
  <w:footnote w:id="60">
    <w:p w14:paraId="4AA79556" w14:textId="77777777" w:rsidR="00E10F82" w:rsidRPr="00B72232" w:rsidRDefault="00E10F82" w:rsidP="005E5552">
      <w:pPr>
        <w:pStyle w:val="FootnoteText"/>
        <w:rPr>
          <w:rFonts w:ascii="Cambria" w:hAnsi="Cambria"/>
        </w:rPr>
      </w:pPr>
      <w:r w:rsidRPr="001E3078">
        <w:rPr>
          <w:rStyle w:val="FootnoteReference"/>
          <w:rFonts w:ascii="Cambria" w:hAnsi="Cambria"/>
        </w:rPr>
        <w:footnoteRef/>
      </w:r>
      <w:r w:rsidRPr="00B72232">
        <w:rPr>
          <w:rFonts w:ascii="Cambria" w:hAnsi="Cambria"/>
        </w:rPr>
        <w:t xml:space="preserve"> </w:t>
      </w:r>
      <w:r w:rsidRPr="00EA57C0">
        <w:rPr>
          <w:rFonts w:ascii="Cambria" w:hAnsi="Cambria"/>
        </w:rPr>
        <w:t xml:space="preserve">I/A Court H.R., </w:t>
      </w:r>
      <w:r w:rsidRPr="00EA57C0">
        <w:rPr>
          <w:rFonts w:ascii="Cambria" w:hAnsi="Cambria"/>
          <w:bCs/>
          <w:i/>
          <w:iCs/>
          <w:color w:val="auto"/>
        </w:rPr>
        <w:t xml:space="preserve">Case of </w:t>
      </w:r>
      <w:r w:rsidRPr="00EA57C0">
        <w:rPr>
          <w:rFonts w:ascii="Cambria" w:eastAsia="Times New Roman" w:hAnsi="Cambria"/>
          <w:bCs/>
          <w:i/>
          <w:iCs/>
          <w:shd w:val="clear" w:color="auto" w:fill="FFFFFF"/>
        </w:rPr>
        <w:t>López Lone et al. v. Honduras</w:t>
      </w:r>
      <w:r w:rsidRPr="00EA57C0">
        <w:rPr>
          <w:rFonts w:ascii="Cambria" w:eastAsia="Times New Roman" w:hAnsi="Cambria"/>
          <w:bCs/>
          <w:shd w:val="clear" w:color="auto" w:fill="FFFFFF"/>
        </w:rPr>
        <w:t>, Preliminary Object</w:t>
      </w:r>
      <w:r>
        <w:rPr>
          <w:rFonts w:ascii="Cambria" w:eastAsia="Times New Roman" w:hAnsi="Cambria"/>
          <w:bCs/>
          <w:shd w:val="clear" w:color="auto" w:fill="FFFFFF"/>
        </w:rPr>
        <w:t xml:space="preserve">ion, Merits, Reparations, and Costs, Judgment of October 5, </w:t>
      </w:r>
      <w:r w:rsidRPr="00EA57C0">
        <w:rPr>
          <w:rFonts w:ascii="Cambria" w:eastAsia="Times New Roman" w:hAnsi="Cambria"/>
          <w:bCs/>
          <w:shd w:val="clear" w:color="auto" w:fill="FFFFFF"/>
        </w:rPr>
        <w:t>2015</w:t>
      </w:r>
      <w:r>
        <w:rPr>
          <w:rFonts w:ascii="Cambria" w:eastAsia="Times New Roman" w:hAnsi="Cambria"/>
          <w:bCs/>
          <w:shd w:val="clear" w:color="auto" w:fill="FFFFFF"/>
        </w:rPr>
        <w:t xml:space="preserve">, </w:t>
      </w:r>
      <w:r w:rsidRPr="001F6009">
        <w:rPr>
          <w:rFonts w:ascii="Cambria" w:eastAsia="Times New Roman" w:hAnsi="Cambria"/>
          <w:bCs/>
          <w:shd w:val="clear" w:color="auto" w:fill="FFFFFF"/>
        </w:rPr>
        <w:t>Serie</w:t>
      </w:r>
      <w:r>
        <w:rPr>
          <w:rFonts w:ascii="Cambria" w:eastAsia="Times New Roman" w:hAnsi="Cambria"/>
          <w:bCs/>
          <w:shd w:val="clear" w:color="auto" w:fill="FFFFFF"/>
        </w:rPr>
        <w:t>s</w:t>
      </w:r>
      <w:r w:rsidRPr="001F6009">
        <w:rPr>
          <w:rFonts w:ascii="Cambria" w:eastAsia="Times New Roman" w:hAnsi="Cambria"/>
          <w:bCs/>
          <w:shd w:val="clear" w:color="auto" w:fill="FFFFFF"/>
        </w:rPr>
        <w:t xml:space="preserve"> C No. 302, </w:t>
      </w:r>
      <w:r>
        <w:rPr>
          <w:rFonts w:ascii="Cambria" w:eastAsia="Times New Roman" w:hAnsi="Cambria"/>
          <w:bCs/>
          <w:shd w:val="clear" w:color="auto" w:fill="FFFFFF"/>
        </w:rPr>
        <w:t>para</w:t>
      </w:r>
      <w:r w:rsidRPr="00B72232">
        <w:rPr>
          <w:rFonts w:ascii="Cambria" w:hAnsi="Cambria"/>
        </w:rPr>
        <w:t>. 259.</w:t>
      </w:r>
    </w:p>
  </w:footnote>
  <w:footnote w:id="61">
    <w:p w14:paraId="1A18D265" w14:textId="77777777" w:rsidR="00E10F82" w:rsidRPr="0051009A" w:rsidRDefault="00E10F82" w:rsidP="005E5552">
      <w:pPr>
        <w:pStyle w:val="FootnoteText"/>
        <w:rPr>
          <w:rFonts w:ascii="Cambria" w:hAnsi="Cambria"/>
        </w:rPr>
      </w:pPr>
      <w:r w:rsidRPr="001E3078">
        <w:rPr>
          <w:rStyle w:val="FootnoteReference"/>
          <w:rFonts w:ascii="Cambria" w:hAnsi="Cambria"/>
        </w:rPr>
        <w:footnoteRef/>
      </w:r>
      <w:r w:rsidRPr="009917C6">
        <w:rPr>
          <w:rFonts w:ascii="Cambria" w:hAnsi="Cambria"/>
          <w:lang w:val="pt-BR"/>
        </w:rPr>
        <w:t xml:space="preserve"> </w:t>
      </w:r>
      <w:r>
        <w:rPr>
          <w:rFonts w:ascii="Cambria" w:hAnsi="Cambria"/>
          <w:noProof/>
          <w:lang w:val="pt-BR"/>
        </w:rPr>
        <w:t xml:space="preserve">I/A Court H.R., </w:t>
      </w:r>
      <w:r w:rsidRPr="00416553">
        <w:rPr>
          <w:rFonts w:ascii="Cambria" w:hAnsi="Cambria"/>
          <w:i/>
          <w:iCs/>
        </w:rPr>
        <w:t>Case of Maldonado Ordoñez v. Guatemala</w:t>
      </w:r>
      <w:r>
        <w:rPr>
          <w:rFonts w:ascii="Cambria" w:hAnsi="Cambria"/>
        </w:rPr>
        <w:t xml:space="preserve">, Preliminary Objection, Merits, Reparations, and Costs, Judgment of May </w:t>
      </w:r>
      <w:r w:rsidRPr="00416553">
        <w:rPr>
          <w:rFonts w:ascii="Cambria" w:hAnsi="Cambria"/>
        </w:rPr>
        <w:t>3</w:t>
      </w:r>
      <w:r>
        <w:rPr>
          <w:rFonts w:ascii="Cambria" w:hAnsi="Cambria"/>
        </w:rPr>
        <w:t xml:space="preserve">, </w:t>
      </w:r>
      <w:r w:rsidRPr="00416553">
        <w:rPr>
          <w:rFonts w:ascii="Cambria" w:hAnsi="Cambria"/>
        </w:rPr>
        <w:t>2016</w:t>
      </w:r>
      <w:r>
        <w:rPr>
          <w:rFonts w:ascii="Cambria" w:hAnsi="Cambria"/>
        </w:rPr>
        <w:t>,</w:t>
      </w:r>
      <w:r w:rsidRPr="00416553">
        <w:rPr>
          <w:rFonts w:ascii="Cambria" w:hAnsi="Cambria"/>
        </w:rPr>
        <w:t xml:space="preserve"> </w:t>
      </w:r>
      <w:r w:rsidRPr="001F6009">
        <w:rPr>
          <w:rFonts w:ascii="Cambria" w:hAnsi="Cambria"/>
        </w:rPr>
        <w:t>Serie</w:t>
      </w:r>
      <w:r>
        <w:rPr>
          <w:rFonts w:ascii="Cambria" w:hAnsi="Cambria"/>
        </w:rPr>
        <w:t>s</w:t>
      </w:r>
      <w:r w:rsidRPr="001F6009">
        <w:rPr>
          <w:rFonts w:ascii="Cambria" w:hAnsi="Cambria"/>
        </w:rPr>
        <w:t xml:space="preserve"> C No. 311, </w:t>
      </w:r>
      <w:r>
        <w:rPr>
          <w:rFonts w:ascii="Cambria" w:hAnsi="Cambria"/>
        </w:rPr>
        <w:t>para</w:t>
      </w:r>
      <w:r w:rsidRPr="001F6009">
        <w:rPr>
          <w:rFonts w:ascii="Cambria" w:hAnsi="Cambria"/>
        </w:rPr>
        <w:t>.</w:t>
      </w:r>
      <w:r>
        <w:rPr>
          <w:rFonts w:ascii="Cambria" w:hAnsi="Cambria"/>
          <w:noProof/>
          <w:lang w:val="pt-BR"/>
        </w:rPr>
        <w:t xml:space="preserve"> </w:t>
      </w:r>
      <w:r w:rsidRPr="0051009A">
        <w:rPr>
          <w:rFonts w:ascii="Cambria" w:hAnsi="Cambria"/>
          <w:noProof/>
        </w:rPr>
        <w:t>87.</w:t>
      </w:r>
    </w:p>
  </w:footnote>
  <w:footnote w:id="62">
    <w:p w14:paraId="454C317A" w14:textId="77777777" w:rsidR="00E10F82" w:rsidRPr="00B42F98" w:rsidRDefault="00E10F82" w:rsidP="005E5552">
      <w:pPr>
        <w:pStyle w:val="FootnoteText"/>
        <w:rPr>
          <w:rFonts w:ascii="Cambria" w:hAnsi="Cambria"/>
        </w:rPr>
      </w:pPr>
      <w:r w:rsidRPr="001E3078">
        <w:rPr>
          <w:rStyle w:val="FootnoteReference"/>
          <w:rFonts w:ascii="Cambria" w:hAnsi="Cambria"/>
        </w:rPr>
        <w:footnoteRef/>
      </w:r>
      <w:r w:rsidRPr="001D2231">
        <w:rPr>
          <w:rFonts w:ascii="Cambria" w:hAnsi="Cambria"/>
        </w:rPr>
        <w:t xml:space="preserve"> IACHR, Report No. 103/13, Case 12.816, Report on the Merits, Adán Guillermo Lopez Lone et</w:t>
      </w:r>
      <w:r>
        <w:rPr>
          <w:rFonts w:ascii="Cambria" w:hAnsi="Cambria"/>
        </w:rPr>
        <w:t xml:space="preserve"> al.</w:t>
      </w:r>
      <w:r w:rsidRPr="001D2231">
        <w:rPr>
          <w:rFonts w:ascii="Cambria" w:hAnsi="Cambria"/>
        </w:rPr>
        <w:t xml:space="preserve">, Honduras, </w:t>
      </w:r>
      <w:r w:rsidRPr="008F527E">
        <w:rPr>
          <w:rFonts w:ascii="Cambria" w:hAnsi="Cambria"/>
        </w:rPr>
        <w:t>OEA/Ser.L/V/II.149, Doc. 27, November 5, 2013</w:t>
      </w:r>
      <w:r w:rsidRPr="006A6E6E">
        <w:rPr>
          <w:rFonts w:ascii="Cambria" w:hAnsi="Cambria"/>
        </w:rPr>
        <w:t>,</w:t>
      </w:r>
      <w:r>
        <w:rPr>
          <w:rFonts w:ascii="Cambria" w:hAnsi="Cambria"/>
        </w:rPr>
        <w:t xml:space="preserve"> para</w:t>
      </w:r>
      <w:r w:rsidRPr="001D2231">
        <w:rPr>
          <w:rFonts w:ascii="Cambria" w:hAnsi="Cambria"/>
        </w:rPr>
        <w:t>.</w:t>
      </w:r>
      <w:r>
        <w:rPr>
          <w:rFonts w:ascii="Cambria" w:hAnsi="Cambria"/>
        </w:rPr>
        <w:t xml:space="preserve"> </w:t>
      </w:r>
      <w:r w:rsidRPr="00B42F98">
        <w:rPr>
          <w:rFonts w:ascii="Cambria" w:hAnsi="Cambria"/>
        </w:rPr>
        <w:t>145.</w:t>
      </w:r>
    </w:p>
  </w:footnote>
  <w:footnote w:id="63">
    <w:p w14:paraId="1712E56C" w14:textId="77777777" w:rsidR="00E10F82" w:rsidRPr="00B42F98" w:rsidRDefault="00E10F82" w:rsidP="005E5552">
      <w:pPr>
        <w:pStyle w:val="FootnoteText"/>
        <w:rPr>
          <w:rFonts w:ascii="Cambria" w:hAnsi="Cambria"/>
        </w:rPr>
      </w:pPr>
      <w:r w:rsidRPr="001E3078">
        <w:rPr>
          <w:rStyle w:val="FootnoteReference"/>
          <w:rFonts w:ascii="Cambria" w:hAnsi="Cambria"/>
        </w:rPr>
        <w:footnoteRef/>
      </w:r>
      <w:r w:rsidRPr="00D45EF0">
        <w:rPr>
          <w:rFonts w:ascii="Cambria" w:hAnsi="Cambria"/>
        </w:rPr>
        <w:t xml:space="preserve"> </w:t>
      </w:r>
      <w:r w:rsidRPr="00ED48C4">
        <w:rPr>
          <w:rFonts w:ascii="Cambria" w:hAnsi="Cambria"/>
        </w:rPr>
        <w:t xml:space="preserve">I/A Court H.R., </w:t>
      </w:r>
      <w:r w:rsidRPr="00ED48C4">
        <w:rPr>
          <w:rFonts w:ascii="Cambria" w:hAnsi="Cambria"/>
          <w:i/>
          <w:iCs/>
        </w:rPr>
        <w:t>Case of De la Cruz Flores v. Peru</w:t>
      </w:r>
      <w:r w:rsidRPr="00ED48C4">
        <w:rPr>
          <w:rFonts w:ascii="Cambria" w:hAnsi="Cambria"/>
        </w:rPr>
        <w:t xml:space="preserve">, </w:t>
      </w:r>
      <w:r>
        <w:rPr>
          <w:rFonts w:ascii="Cambria" w:hAnsi="Cambria"/>
        </w:rPr>
        <w:t xml:space="preserve">Merits, Reparations, and Costs, </w:t>
      </w:r>
      <w:r w:rsidRPr="00ED48C4">
        <w:rPr>
          <w:rFonts w:ascii="Cambria" w:hAnsi="Cambria"/>
        </w:rPr>
        <w:t>Judgm</w:t>
      </w:r>
      <w:r>
        <w:rPr>
          <w:rFonts w:ascii="Cambria" w:hAnsi="Cambria"/>
        </w:rPr>
        <w:t xml:space="preserve">ent of November </w:t>
      </w:r>
      <w:r w:rsidRPr="00ED48C4">
        <w:rPr>
          <w:rFonts w:ascii="Cambria" w:hAnsi="Cambria"/>
        </w:rPr>
        <w:t>18</w:t>
      </w:r>
      <w:r>
        <w:rPr>
          <w:rFonts w:ascii="Cambria" w:hAnsi="Cambria"/>
        </w:rPr>
        <w:t xml:space="preserve">, </w:t>
      </w:r>
      <w:r w:rsidRPr="00ED48C4">
        <w:rPr>
          <w:rFonts w:ascii="Cambria" w:hAnsi="Cambria"/>
        </w:rPr>
        <w:t>2004</w:t>
      </w:r>
      <w:r>
        <w:rPr>
          <w:rFonts w:ascii="Cambria" w:hAnsi="Cambria"/>
        </w:rPr>
        <w:t xml:space="preserve">, </w:t>
      </w:r>
      <w:r w:rsidRPr="00ED48C4">
        <w:rPr>
          <w:rFonts w:ascii="Cambria" w:hAnsi="Cambria"/>
        </w:rPr>
        <w:t>Serie</w:t>
      </w:r>
      <w:r>
        <w:rPr>
          <w:rFonts w:ascii="Cambria" w:hAnsi="Cambria"/>
        </w:rPr>
        <w:t>s</w:t>
      </w:r>
      <w:r w:rsidRPr="00ED48C4">
        <w:rPr>
          <w:rFonts w:ascii="Cambria" w:hAnsi="Cambria"/>
        </w:rPr>
        <w:t xml:space="preserve"> C. No. 115, p</w:t>
      </w:r>
      <w:r>
        <w:rPr>
          <w:rFonts w:ascii="Cambria" w:hAnsi="Cambria"/>
        </w:rPr>
        <w:t>ara</w:t>
      </w:r>
      <w:r w:rsidRPr="00D45EF0">
        <w:rPr>
          <w:rFonts w:ascii="Cambria" w:hAnsi="Cambria"/>
        </w:rPr>
        <w:t xml:space="preserve">. </w:t>
      </w:r>
      <w:r w:rsidRPr="00B42F98">
        <w:rPr>
          <w:rFonts w:ascii="Cambria" w:hAnsi="Cambria"/>
        </w:rPr>
        <w:t>84.</w:t>
      </w:r>
    </w:p>
  </w:footnote>
  <w:footnote w:id="64">
    <w:p w14:paraId="4AF81A61" w14:textId="77777777" w:rsidR="00E10F82" w:rsidRPr="00B72232" w:rsidRDefault="00E10F82" w:rsidP="00B01DC2">
      <w:pPr>
        <w:pStyle w:val="FootnoteText"/>
        <w:rPr>
          <w:rFonts w:ascii="Cambria" w:hAnsi="Cambria"/>
        </w:rPr>
      </w:pPr>
      <w:r w:rsidRPr="001E3078">
        <w:rPr>
          <w:rStyle w:val="FootnoteReference"/>
          <w:rFonts w:ascii="Cambria" w:hAnsi="Cambria"/>
        </w:rPr>
        <w:footnoteRef/>
      </w:r>
      <w:r w:rsidRPr="00B42F98">
        <w:rPr>
          <w:rFonts w:ascii="Cambria" w:hAnsi="Cambria"/>
        </w:rPr>
        <w:t xml:space="preserve"> I/A Court H.R., </w:t>
      </w:r>
      <w:r w:rsidRPr="00B42F98">
        <w:rPr>
          <w:rFonts w:ascii="Cambria" w:hAnsi="Cambria"/>
          <w:bCs/>
          <w:i/>
          <w:iCs/>
          <w:color w:val="auto"/>
        </w:rPr>
        <w:t xml:space="preserve">Case of </w:t>
      </w:r>
      <w:r w:rsidRPr="00B42F98">
        <w:rPr>
          <w:rFonts w:ascii="Cambria" w:eastAsia="Times New Roman" w:hAnsi="Cambria"/>
          <w:bCs/>
          <w:i/>
          <w:iCs/>
          <w:shd w:val="clear" w:color="auto" w:fill="FFFFFF"/>
        </w:rPr>
        <w:t>López Lone et al. v. Honduras</w:t>
      </w:r>
      <w:r w:rsidRPr="00B42F98">
        <w:rPr>
          <w:rFonts w:ascii="Cambria" w:eastAsia="Times New Roman" w:hAnsi="Cambria"/>
          <w:bCs/>
          <w:shd w:val="clear" w:color="auto" w:fill="FFFFFF"/>
        </w:rPr>
        <w:t>, Preliminary Objection, Merits, Reparations, and Costs, Judgment of October 5, 2015, Series C No. 302, para</w:t>
      </w:r>
      <w:r w:rsidRPr="00B42F98">
        <w:rPr>
          <w:rFonts w:ascii="Cambria" w:hAnsi="Cambria"/>
        </w:rPr>
        <w:t xml:space="preserve">. </w:t>
      </w:r>
      <w:r w:rsidRPr="00B72232">
        <w:rPr>
          <w:rFonts w:ascii="Cambria" w:hAnsi="Cambria"/>
        </w:rPr>
        <w:t>259.</w:t>
      </w:r>
    </w:p>
  </w:footnote>
  <w:footnote w:id="65">
    <w:p w14:paraId="2B18D348" w14:textId="77777777" w:rsidR="00E10F82" w:rsidRPr="007E17B7" w:rsidRDefault="00E10F82" w:rsidP="00B01DC2">
      <w:pPr>
        <w:pStyle w:val="FootnoteText"/>
        <w:rPr>
          <w:rFonts w:ascii="Cambria" w:hAnsi="Cambria"/>
        </w:rPr>
      </w:pPr>
      <w:r w:rsidRPr="001E3078">
        <w:rPr>
          <w:rStyle w:val="FootnoteReference"/>
          <w:rFonts w:ascii="Cambria" w:hAnsi="Cambria"/>
        </w:rPr>
        <w:footnoteRef/>
      </w:r>
      <w:r w:rsidRPr="00B72232">
        <w:rPr>
          <w:rFonts w:ascii="Cambria" w:hAnsi="Cambria"/>
          <w:b/>
        </w:rPr>
        <w:t xml:space="preserve"> </w:t>
      </w:r>
      <w:r w:rsidRPr="00EA57C0">
        <w:rPr>
          <w:rFonts w:ascii="Cambria" w:hAnsi="Cambria"/>
        </w:rPr>
        <w:t xml:space="preserve">I/A Court H.R., </w:t>
      </w:r>
      <w:r w:rsidRPr="00EA57C0">
        <w:rPr>
          <w:rFonts w:ascii="Cambria" w:hAnsi="Cambria"/>
          <w:bCs/>
          <w:i/>
          <w:iCs/>
          <w:color w:val="auto"/>
        </w:rPr>
        <w:t xml:space="preserve">Case of </w:t>
      </w:r>
      <w:r w:rsidRPr="00EA57C0">
        <w:rPr>
          <w:rFonts w:ascii="Cambria" w:eastAsia="Times New Roman" w:hAnsi="Cambria"/>
          <w:bCs/>
          <w:i/>
          <w:iCs/>
          <w:shd w:val="clear" w:color="auto" w:fill="FFFFFF"/>
        </w:rPr>
        <w:t>López Lone et al. v. Honduras</w:t>
      </w:r>
      <w:r w:rsidRPr="00EA57C0">
        <w:rPr>
          <w:rFonts w:ascii="Cambria" w:eastAsia="Times New Roman" w:hAnsi="Cambria"/>
          <w:bCs/>
          <w:shd w:val="clear" w:color="auto" w:fill="FFFFFF"/>
        </w:rPr>
        <w:t>, Preliminary Object</w:t>
      </w:r>
      <w:r>
        <w:rPr>
          <w:rFonts w:ascii="Cambria" w:eastAsia="Times New Roman" w:hAnsi="Cambria"/>
          <w:bCs/>
          <w:shd w:val="clear" w:color="auto" w:fill="FFFFFF"/>
        </w:rPr>
        <w:t xml:space="preserve">ion, Merits, Reparations, and Costs, Judgment of October 5, </w:t>
      </w:r>
      <w:r w:rsidRPr="00EA57C0">
        <w:rPr>
          <w:rFonts w:ascii="Cambria" w:eastAsia="Times New Roman" w:hAnsi="Cambria"/>
          <w:bCs/>
          <w:shd w:val="clear" w:color="auto" w:fill="FFFFFF"/>
        </w:rPr>
        <w:t>2015</w:t>
      </w:r>
      <w:r>
        <w:rPr>
          <w:rFonts w:ascii="Cambria" w:eastAsia="Times New Roman" w:hAnsi="Cambria"/>
          <w:bCs/>
          <w:shd w:val="clear" w:color="auto" w:fill="FFFFFF"/>
        </w:rPr>
        <w:t xml:space="preserve">, </w:t>
      </w:r>
      <w:r w:rsidRPr="001F6009">
        <w:rPr>
          <w:rFonts w:ascii="Cambria" w:eastAsia="Times New Roman" w:hAnsi="Cambria"/>
          <w:bCs/>
          <w:shd w:val="clear" w:color="auto" w:fill="FFFFFF"/>
        </w:rPr>
        <w:t>Serie</w:t>
      </w:r>
      <w:r>
        <w:rPr>
          <w:rFonts w:ascii="Cambria" w:eastAsia="Times New Roman" w:hAnsi="Cambria"/>
          <w:bCs/>
          <w:shd w:val="clear" w:color="auto" w:fill="FFFFFF"/>
        </w:rPr>
        <w:t>s</w:t>
      </w:r>
      <w:r w:rsidRPr="001F6009">
        <w:rPr>
          <w:rFonts w:ascii="Cambria" w:eastAsia="Times New Roman" w:hAnsi="Cambria"/>
          <w:bCs/>
          <w:shd w:val="clear" w:color="auto" w:fill="FFFFFF"/>
        </w:rPr>
        <w:t xml:space="preserve"> C No. 302, </w:t>
      </w:r>
      <w:r>
        <w:rPr>
          <w:rFonts w:ascii="Cambria" w:eastAsia="Times New Roman" w:hAnsi="Cambria"/>
          <w:bCs/>
          <w:shd w:val="clear" w:color="auto" w:fill="FFFFFF"/>
        </w:rPr>
        <w:t>para</w:t>
      </w:r>
      <w:r w:rsidRPr="00B72232">
        <w:rPr>
          <w:rStyle w:val="Strong"/>
          <w:rFonts w:ascii="Cambria" w:hAnsi="Cambria"/>
          <w:b w:val="0"/>
          <w:shd w:val="clear" w:color="auto" w:fill="FFFFFF"/>
        </w:rPr>
        <w:t xml:space="preserve">. </w:t>
      </w:r>
      <w:r w:rsidRPr="00B42F98">
        <w:rPr>
          <w:rStyle w:val="Strong"/>
          <w:rFonts w:ascii="Cambria" w:hAnsi="Cambria"/>
          <w:b w:val="0"/>
          <w:shd w:val="clear" w:color="auto" w:fill="FFFFFF"/>
        </w:rPr>
        <w:t xml:space="preserve">259; IACHR, Report No. 38/16, Case 12.768, Merits, Omar Francisco Canales Ciliezar, Honduras, August 31, 2016, para. </w:t>
      </w:r>
      <w:r w:rsidRPr="00A036F3">
        <w:rPr>
          <w:rStyle w:val="Strong"/>
          <w:rFonts w:ascii="Cambria" w:hAnsi="Cambria"/>
          <w:b w:val="0"/>
          <w:shd w:val="clear" w:color="auto" w:fill="FFFFFF"/>
        </w:rPr>
        <w:t xml:space="preserve">71 and ff. </w:t>
      </w:r>
      <w:r w:rsidRPr="00A165D0">
        <w:rPr>
          <w:rStyle w:val="Strong"/>
          <w:rFonts w:ascii="Cambria" w:hAnsi="Cambria"/>
          <w:b w:val="0"/>
          <w:shd w:val="clear" w:color="auto" w:fill="FFFFFF"/>
        </w:rPr>
        <w:t xml:space="preserve">See also </w:t>
      </w:r>
      <w:r w:rsidRPr="002F5504">
        <w:rPr>
          <w:rFonts w:ascii="Cambria" w:hAnsi="Cambria"/>
        </w:rPr>
        <w:t xml:space="preserve">IACHR, Guarantees for the Independence of Justice Operators: Towards Strengthening Access to Justice and the Rule of </w:t>
      </w:r>
      <w:r>
        <w:rPr>
          <w:rFonts w:ascii="Cambria" w:hAnsi="Cambria"/>
        </w:rPr>
        <w:t xml:space="preserve">Law in the Americas, December </w:t>
      </w:r>
      <w:r w:rsidRPr="002F5504">
        <w:rPr>
          <w:rFonts w:ascii="Cambria" w:hAnsi="Cambria"/>
        </w:rPr>
        <w:t>5</w:t>
      </w:r>
      <w:r>
        <w:rPr>
          <w:rFonts w:ascii="Cambria" w:hAnsi="Cambria"/>
        </w:rPr>
        <w:t xml:space="preserve">, </w:t>
      </w:r>
      <w:r w:rsidRPr="002F5504">
        <w:rPr>
          <w:rFonts w:ascii="Cambria" w:hAnsi="Cambria"/>
        </w:rPr>
        <w:t xml:space="preserve">2013, </w:t>
      </w:r>
      <w:r>
        <w:rPr>
          <w:rFonts w:ascii="Cambria" w:hAnsi="Cambria"/>
        </w:rPr>
        <w:t>para.</w:t>
      </w:r>
      <w:r w:rsidRPr="00A165D0">
        <w:rPr>
          <w:rStyle w:val="Strong"/>
          <w:rFonts w:ascii="Cambria" w:hAnsi="Cambria"/>
          <w:b w:val="0"/>
          <w:shd w:val="clear" w:color="auto" w:fill="FFFFFF"/>
        </w:rPr>
        <w:t xml:space="preserve"> </w:t>
      </w:r>
      <w:r w:rsidRPr="007E17B7">
        <w:rPr>
          <w:rStyle w:val="Strong"/>
          <w:rFonts w:ascii="Cambria" w:hAnsi="Cambria"/>
          <w:b w:val="0"/>
          <w:shd w:val="clear" w:color="auto" w:fill="FFFFFF"/>
        </w:rPr>
        <w:t>211. In that report, the IACHR held that “laws that establish administrative disciplinary measures such as dismissal must be subjected to th</w:t>
      </w:r>
      <w:r>
        <w:rPr>
          <w:rStyle w:val="Strong"/>
          <w:rFonts w:ascii="Cambria" w:hAnsi="Cambria"/>
          <w:b w:val="0"/>
          <w:shd w:val="clear" w:color="auto" w:fill="FFFFFF"/>
        </w:rPr>
        <w:t xml:space="preserve">e strictest test of legality. </w:t>
      </w:r>
      <w:r w:rsidRPr="007E17B7">
        <w:rPr>
          <w:rStyle w:val="Strong"/>
          <w:rFonts w:ascii="Cambria" w:hAnsi="Cambria"/>
          <w:b w:val="0"/>
          <w:shd w:val="clear" w:color="auto" w:fill="FFFFFF"/>
        </w:rPr>
        <w:t>Such laws not only provide for extremely serious penalties and curtail the exercise of rights, but also create an exception to th</w:t>
      </w:r>
      <w:r>
        <w:rPr>
          <w:rStyle w:val="Strong"/>
          <w:rFonts w:ascii="Cambria" w:hAnsi="Cambria"/>
          <w:b w:val="0"/>
          <w:shd w:val="clear" w:color="auto" w:fill="FFFFFF"/>
        </w:rPr>
        <w:t>e principle of judicial stability and can compromise the principles of judicial independence and autonomy.”</w:t>
      </w:r>
      <w:r w:rsidRPr="007E17B7">
        <w:rPr>
          <w:rStyle w:val="Strong"/>
          <w:rFonts w:ascii="Cambria" w:hAnsi="Cambria"/>
          <w:b w:val="0"/>
          <w:shd w:val="clear" w:color="auto" w:fill="FFFFFF"/>
        </w:rPr>
        <w:t xml:space="preserve"> </w:t>
      </w:r>
    </w:p>
  </w:footnote>
  <w:footnote w:id="66">
    <w:p w14:paraId="726E350A" w14:textId="77777777" w:rsidR="00E10F82" w:rsidRPr="00A165D0" w:rsidRDefault="00E10F82" w:rsidP="00B01DC2">
      <w:pPr>
        <w:pStyle w:val="FootnoteText"/>
        <w:rPr>
          <w:rFonts w:ascii="Cambria" w:hAnsi="Cambria"/>
        </w:rPr>
      </w:pPr>
      <w:r w:rsidRPr="00B01DC2">
        <w:rPr>
          <w:rStyle w:val="FootnoteReference"/>
          <w:rFonts w:ascii="Cambria" w:hAnsi="Cambria"/>
        </w:rPr>
        <w:footnoteRef/>
      </w:r>
      <w:r w:rsidRPr="00A165D0">
        <w:rPr>
          <w:rFonts w:ascii="Cambria" w:hAnsi="Cambria"/>
        </w:rPr>
        <w:t xml:space="preserve"> </w:t>
      </w:r>
      <w:r w:rsidRPr="002F5504">
        <w:rPr>
          <w:rFonts w:ascii="Cambria" w:hAnsi="Cambria"/>
        </w:rPr>
        <w:t>IACHR, Guarantees</w:t>
      </w:r>
      <w:r>
        <w:rPr>
          <w:rFonts w:ascii="Cambria" w:hAnsi="Cambria"/>
        </w:rPr>
        <w:t xml:space="preserve"> </w:t>
      </w:r>
      <w:r w:rsidRPr="002F5504">
        <w:rPr>
          <w:rFonts w:ascii="Cambria" w:hAnsi="Cambria"/>
        </w:rPr>
        <w:t xml:space="preserve">for the Independence of Justice Operators: Towards Strengthening Access to Justice and the Rule of </w:t>
      </w:r>
      <w:r>
        <w:rPr>
          <w:rFonts w:ascii="Cambria" w:hAnsi="Cambria"/>
        </w:rPr>
        <w:t xml:space="preserve">Law in the Americas, December </w:t>
      </w:r>
      <w:r w:rsidRPr="002F5504">
        <w:rPr>
          <w:rFonts w:ascii="Cambria" w:hAnsi="Cambria"/>
        </w:rPr>
        <w:t>5</w:t>
      </w:r>
      <w:r>
        <w:rPr>
          <w:rFonts w:ascii="Cambria" w:hAnsi="Cambria"/>
        </w:rPr>
        <w:t xml:space="preserve">, </w:t>
      </w:r>
      <w:r w:rsidRPr="002F5504">
        <w:rPr>
          <w:rFonts w:ascii="Cambria" w:hAnsi="Cambria"/>
        </w:rPr>
        <w:t xml:space="preserve">2013, </w:t>
      </w:r>
      <w:r>
        <w:rPr>
          <w:rFonts w:ascii="Cambria" w:hAnsi="Cambria"/>
        </w:rPr>
        <w:t>para.</w:t>
      </w:r>
      <w:r>
        <w:rPr>
          <w:rStyle w:val="Strong"/>
          <w:rFonts w:ascii="Cambria" w:hAnsi="Cambria"/>
          <w:b w:val="0"/>
          <w:shd w:val="clear" w:color="auto" w:fill="FFFFFF"/>
        </w:rPr>
        <w:t xml:space="preserve"> </w:t>
      </w:r>
      <w:r w:rsidRPr="008B6374">
        <w:rPr>
          <w:rStyle w:val="Strong"/>
          <w:rFonts w:ascii="Cambria" w:hAnsi="Cambria"/>
          <w:b w:val="0"/>
          <w:shd w:val="clear" w:color="auto" w:fill="FFFFFF"/>
        </w:rPr>
        <w:t>217.</w:t>
      </w:r>
    </w:p>
  </w:footnote>
  <w:footnote w:id="67">
    <w:p w14:paraId="08F5B034" w14:textId="77777777" w:rsidR="00E10F82" w:rsidRPr="00B72232" w:rsidRDefault="00E10F82" w:rsidP="00B01DC2">
      <w:pPr>
        <w:pStyle w:val="FootnoteText"/>
        <w:rPr>
          <w:rFonts w:ascii="Cambria" w:hAnsi="Cambria"/>
        </w:rPr>
      </w:pPr>
      <w:r w:rsidRPr="001E3078">
        <w:rPr>
          <w:rStyle w:val="FootnoteReference"/>
          <w:rFonts w:ascii="Cambria" w:hAnsi="Cambria"/>
        </w:rPr>
        <w:footnoteRef/>
      </w:r>
      <w:r w:rsidRPr="00B72232">
        <w:rPr>
          <w:rFonts w:ascii="Cambria" w:hAnsi="Cambria"/>
        </w:rPr>
        <w:t xml:space="preserve"> </w:t>
      </w:r>
      <w:r w:rsidRPr="00EA57C0">
        <w:rPr>
          <w:rFonts w:ascii="Cambria" w:hAnsi="Cambria"/>
        </w:rPr>
        <w:t xml:space="preserve">I/A Court H.R., </w:t>
      </w:r>
      <w:r w:rsidRPr="00EA57C0">
        <w:rPr>
          <w:rFonts w:ascii="Cambria" w:hAnsi="Cambria"/>
          <w:bCs/>
          <w:i/>
          <w:iCs/>
          <w:color w:val="auto"/>
        </w:rPr>
        <w:t xml:space="preserve">Case of </w:t>
      </w:r>
      <w:r w:rsidRPr="00EA57C0">
        <w:rPr>
          <w:rFonts w:ascii="Cambria" w:eastAsia="Times New Roman" w:hAnsi="Cambria"/>
          <w:bCs/>
          <w:i/>
          <w:iCs/>
          <w:shd w:val="clear" w:color="auto" w:fill="FFFFFF"/>
        </w:rPr>
        <w:t>López Lone et al. v. Honduras</w:t>
      </w:r>
      <w:r w:rsidRPr="00EA57C0">
        <w:rPr>
          <w:rFonts w:ascii="Cambria" w:eastAsia="Times New Roman" w:hAnsi="Cambria"/>
          <w:bCs/>
          <w:shd w:val="clear" w:color="auto" w:fill="FFFFFF"/>
        </w:rPr>
        <w:t>, Preliminary Object</w:t>
      </w:r>
      <w:r>
        <w:rPr>
          <w:rFonts w:ascii="Cambria" w:eastAsia="Times New Roman" w:hAnsi="Cambria"/>
          <w:bCs/>
          <w:shd w:val="clear" w:color="auto" w:fill="FFFFFF"/>
        </w:rPr>
        <w:t xml:space="preserve">ion, Merits, Reparations, and Costs, Judgment of October 5, </w:t>
      </w:r>
      <w:r w:rsidRPr="00EA57C0">
        <w:rPr>
          <w:rFonts w:ascii="Cambria" w:eastAsia="Times New Roman" w:hAnsi="Cambria"/>
          <w:bCs/>
          <w:shd w:val="clear" w:color="auto" w:fill="FFFFFF"/>
        </w:rPr>
        <w:t>2015</w:t>
      </w:r>
      <w:r>
        <w:rPr>
          <w:rFonts w:ascii="Cambria" w:eastAsia="Times New Roman" w:hAnsi="Cambria"/>
          <w:bCs/>
          <w:shd w:val="clear" w:color="auto" w:fill="FFFFFF"/>
        </w:rPr>
        <w:t xml:space="preserve">, </w:t>
      </w:r>
      <w:r w:rsidRPr="001F6009">
        <w:rPr>
          <w:rFonts w:ascii="Cambria" w:eastAsia="Times New Roman" w:hAnsi="Cambria"/>
          <w:bCs/>
          <w:shd w:val="clear" w:color="auto" w:fill="FFFFFF"/>
        </w:rPr>
        <w:t>Serie</w:t>
      </w:r>
      <w:r>
        <w:rPr>
          <w:rFonts w:ascii="Cambria" w:eastAsia="Times New Roman" w:hAnsi="Cambria"/>
          <w:bCs/>
          <w:shd w:val="clear" w:color="auto" w:fill="FFFFFF"/>
        </w:rPr>
        <w:t>s</w:t>
      </w:r>
      <w:r w:rsidRPr="001F6009">
        <w:rPr>
          <w:rFonts w:ascii="Cambria" w:eastAsia="Times New Roman" w:hAnsi="Cambria"/>
          <w:bCs/>
          <w:shd w:val="clear" w:color="auto" w:fill="FFFFFF"/>
        </w:rPr>
        <w:t xml:space="preserve"> C No. 302, </w:t>
      </w:r>
      <w:r>
        <w:rPr>
          <w:rFonts w:ascii="Cambria" w:eastAsia="Times New Roman" w:hAnsi="Cambria"/>
          <w:bCs/>
          <w:shd w:val="clear" w:color="auto" w:fill="FFFFFF"/>
        </w:rPr>
        <w:t>para</w:t>
      </w:r>
      <w:r w:rsidRPr="00B72232">
        <w:rPr>
          <w:rFonts w:ascii="Cambria" w:hAnsi="Cambria"/>
        </w:rPr>
        <w:t>.</w:t>
      </w:r>
      <w:r>
        <w:rPr>
          <w:rFonts w:ascii="Cambria" w:hAnsi="Cambria"/>
        </w:rPr>
        <w:t xml:space="preserve"> </w:t>
      </w:r>
      <w:r w:rsidRPr="00B72232">
        <w:rPr>
          <w:rFonts w:ascii="Cambria" w:hAnsi="Cambria"/>
        </w:rPr>
        <w:t>199.</w:t>
      </w:r>
    </w:p>
  </w:footnote>
  <w:footnote w:id="68">
    <w:p w14:paraId="54758033" w14:textId="77777777" w:rsidR="00E10F82" w:rsidRPr="009E3381" w:rsidRDefault="00E10F82" w:rsidP="00DD1D53">
      <w:pPr>
        <w:pStyle w:val="FootnoteText"/>
        <w:rPr>
          <w:rFonts w:ascii="Cambria" w:hAnsi="Cambria"/>
        </w:rPr>
      </w:pPr>
      <w:r w:rsidRPr="00910616">
        <w:rPr>
          <w:rStyle w:val="FootnoteReference"/>
          <w:rFonts w:ascii="Cambria" w:hAnsi="Cambria"/>
        </w:rPr>
        <w:footnoteRef/>
      </w:r>
      <w:r w:rsidRPr="006A6E6E">
        <w:rPr>
          <w:rFonts w:ascii="Cambria" w:hAnsi="Cambria"/>
        </w:rPr>
        <w:t xml:space="preserve"> IACHR, Report No. 103/13, Case 12.816, Report on the Merits, Adán Guillermo López Lone et</w:t>
      </w:r>
      <w:r>
        <w:rPr>
          <w:rFonts w:ascii="Cambria" w:hAnsi="Cambria"/>
        </w:rPr>
        <w:t xml:space="preserve"> al.</w:t>
      </w:r>
      <w:r w:rsidRPr="006A6E6E">
        <w:rPr>
          <w:rFonts w:ascii="Cambria" w:hAnsi="Cambria"/>
        </w:rPr>
        <w:t>, Honduras, OEA/Ser.L/V/II.149, Doc.</w:t>
      </w:r>
      <w:r>
        <w:rPr>
          <w:rFonts w:ascii="Cambria" w:hAnsi="Cambria"/>
        </w:rPr>
        <w:t xml:space="preserve"> </w:t>
      </w:r>
      <w:r w:rsidRPr="006A6E6E">
        <w:rPr>
          <w:rFonts w:ascii="Cambria" w:hAnsi="Cambria"/>
        </w:rPr>
        <w:t xml:space="preserve">27, </w:t>
      </w:r>
      <w:r>
        <w:rPr>
          <w:rFonts w:ascii="Cambria" w:hAnsi="Cambria"/>
        </w:rPr>
        <w:t xml:space="preserve">November </w:t>
      </w:r>
      <w:r w:rsidRPr="006A6E6E">
        <w:rPr>
          <w:rFonts w:ascii="Cambria" w:hAnsi="Cambria"/>
        </w:rPr>
        <w:t>5</w:t>
      </w:r>
      <w:r>
        <w:rPr>
          <w:rFonts w:ascii="Cambria" w:hAnsi="Cambria"/>
        </w:rPr>
        <w:t>,</w:t>
      </w:r>
      <w:r w:rsidRPr="006A6E6E">
        <w:rPr>
          <w:rFonts w:ascii="Cambria" w:hAnsi="Cambria"/>
        </w:rPr>
        <w:t xml:space="preserve"> 2013, </w:t>
      </w:r>
      <w:r>
        <w:rPr>
          <w:rFonts w:ascii="Cambria" w:hAnsi="Cambria"/>
        </w:rPr>
        <w:t>para</w:t>
      </w:r>
      <w:r w:rsidRPr="006A6E6E">
        <w:rPr>
          <w:rFonts w:ascii="Cambria" w:hAnsi="Cambria"/>
        </w:rPr>
        <w:t>. 201</w:t>
      </w:r>
      <w:r>
        <w:rPr>
          <w:rFonts w:ascii="Cambria" w:hAnsi="Cambria"/>
        </w:rPr>
        <w:t>;</w:t>
      </w:r>
      <w:r w:rsidRPr="006A6E6E">
        <w:rPr>
          <w:rFonts w:ascii="Cambria" w:hAnsi="Cambria"/>
        </w:rPr>
        <w:t xml:space="preserve"> IACHR, Report No. 21/18, Case 12.955, Merits, Daniel Urrutia Laubreaux, Chile, February 24, 2018</w:t>
      </w:r>
      <w:r>
        <w:rPr>
          <w:rFonts w:ascii="Cambria" w:hAnsi="Cambria"/>
        </w:rPr>
        <w:t xml:space="preserve">, para. </w:t>
      </w:r>
      <w:r w:rsidRPr="009E3381">
        <w:rPr>
          <w:rFonts w:ascii="Cambria" w:hAnsi="Cambria"/>
        </w:rPr>
        <w:t>84.</w:t>
      </w:r>
    </w:p>
  </w:footnote>
  <w:footnote w:id="69">
    <w:p w14:paraId="3AC3FF0B" w14:textId="77777777" w:rsidR="00E10F82" w:rsidRPr="00B42F98" w:rsidRDefault="00E10F82">
      <w:pPr>
        <w:pStyle w:val="FootnoteText"/>
      </w:pPr>
      <w:r>
        <w:rPr>
          <w:rStyle w:val="FootnoteReference"/>
        </w:rPr>
        <w:footnoteRef/>
      </w:r>
      <w:r w:rsidRPr="009E3381">
        <w:t xml:space="preserve"> IACHR, </w:t>
      </w:r>
      <w:r w:rsidRPr="008B6374">
        <w:t>Annual Report 2009</w:t>
      </w:r>
      <w:r>
        <w:t xml:space="preserve">, </w:t>
      </w:r>
      <w:r w:rsidRPr="009E3381">
        <w:t>Report of the Special Rapporteur for Freedom of Express</w:t>
      </w:r>
      <w:r>
        <w:t xml:space="preserve">ion, </w:t>
      </w:r>
      <w:r w:rsidRPr="009E3381">
        <w:t>OEA/Ser.L/V/II</w:t>
      </w:r>
      <w:r>
        <w:t xml:space="preserve"> </w:t>
      </w:r>
      <w:r w:rsidRPr="009E3381">
        <w:t xml:space="preserve">Doc. 51, </w:t>
      </w:r>
      <w:r>
        <w:t xml:space="preserve">December </w:t>
      </w:r>
      <w:r w:rsidRPr="009E3381">
        <w:t>30</w:t>
      </w:r>
      <w:r>
        <w:t xml:space="preserve">, </w:t>
      </w:r>
      <w:r w:rsidRPr="009E3381">
        <w:t xml:space="preserve">2009, </w:t>
      </w:r>
      <w:r>
        <w:t>Chapter</w:t>
      </w:r>
      <w:r w:rsidRPr="009E3381">
        <w:t xml:space="preserve"> </w:t>
      </w:r>
      <w:r w:rsidRPr="00C5320F">
        <w:t xml:space="preserve">III, para. </w:t>
      </w:r>
      <w:r w:rsidRPr="00B42F98">
        <w:t>202 and ff.</w:t>
      </w:r>
    </w:p>
  </w:footnote>
  <w:footnote w:id="70">
    <w:p w14:paraId="0C1C0CA9" w14:textId="77777777" w:rsidR="00E10F82" w:rsidRPr="00F50AFA" w:rsidRDefault="00E10F82">
      <w:pPr>
        <w:pStyle w:val="FootnoteText"/>
      </w:pPr>
      <w:r>
        <w:rPr>
          <w:rStyle w:val="FootnoteReference"/>
        </w:rPr>
        <w:footnoteRef/>
      </w:r>
      <w:r w:rsidRPr="00F15CD6">
        <w:t xml:space="preserve"> </w:t>
      </w:r>
      <w:r w:rsidRPr="00EA57C0">
        <w:rPr>
          <w:rFonts w:ascii="Cambria" w:hAnsi="Cambria"/>
        </w:rPr>
        <w:t xml:space="preserve">I/A Court H.R., </w:t>
      </w:r>
      <w:r w:rsidRPr="00F15CD6">
        <w:rPr>
          <w:rFonts w:ascii="Cambria" w:hAnsi="Cambria"/>
          <w:i/>
          <w:iCs/>
        </w:rPr>
        <w:t xml:space="preserve">Case of </w:t>
      </w:r>
      <w:r w:rsidRPr="00F15CD6">
        <w:rPr>
          <w:i/>
          <w:iCs/>
        </w:rPr>
        <w:t>Ríos et al. v. Venezuela</w:t>
      </w:r>
      <w:r>
        <w:t>,</w:t>
      </w:r>
      <w:r w:rsidRPr="00F15CD6">
        <w:t xml:space="preserve"> </w:t>
      </w:r>
      <w:r w:rsidRPr="00F15CD6">
        <w:rPr>
          <w:rFonts w:ascii="Cambria" w:eastAsia="Times New Roman" w:hAnsi="Cambria"/>
          <w:bCs/>
          <w:shd w:val="clear" w:color="auto" w:fill="FFFFFF"/>
        </w:rPr>
        <w:t>Preliminary Objections</w:t>
      </w:r>
      <w:r w:rsidRPr="00F15CD6">
        <w:t xml:space="preserve">, </w:t>
      </w:r>
      <w:r>
        <w:rPr>
          <w:rFonts w:ascii="Cambria" w:eastAsia="Times New Roman" w:hAnsi="Cambria"/>
          <w:bCs/>
          <w:shd w:val="clear" w:color="auto" w:fill="FFFFFF"/>
        </w:rPr>
        <w:t>Merits, Reparations, and Costs</w:t>
      </w:r>
      <w:r>
        <w:t>,</w:t>
      </w:r>
      <w:r w:rsidRPr="00F15CD6">
        <w:t xml:space="preserve"> Judgment of January 28, 2009</w:t>
      </w:r>
      <w:r>
        <w:t>,</w:t>
      </w:r>
      <w:r w:rsidRPr="00F15CD6">
        <w:t xml:space="preserve"> Series C No. 194, para. 139; </w:t>
      </w:r>
      <w:r w:rsidRPr="00F15CD6">
        <w:rPr>
          <w:rFonts w:ascii="Cambria" w:hAnsi="Cambria"/>
          <w:i/>
          <w:iCs/>
        </w:rPr>
        <w:t>Case of</w:t>
      </w:r>
      <w:r w:rsidRPr="00F15CD6">
        <w:rPr>
          <w:i/>
          <w:iCs/>
        </w:rPr>
        <w:t xml:space="preserve"> Perozo et al. v. Venezuela</w:t>
      </w:r>
      <w:r w:rsidRPr="00F15CD6">
        <w:t xml:space="preserve">. </w:t>
      </w:r>
      <w:r w:rsidRPr="00F15CD6">
        <w:rPr>
          <w:rFonts w:ascii="Cambria" w:eastAsia="Times New Roman" w:hAnsi="Cambria"/>
          <w:bCs/>
          <w:shd w:val="clear" w:color="auto" w:fill="FFFFFF"/>
        </w:rPr>
        <w:t>Preliminary Objections</w:t>
      </w:r>
      <w:r w:rsidRPr="00F15CD6">
        <w:t xml:space="preserve">, </w:t>
      </w:r>
      <w:r>
        <w:rPr>
          <w:rFonts w:ascii="Cambria" w:eastAsia="Times New Roman" w:hAnsi="Cambria"/>
          <w:bCs/>
          <w:shd w:val="clear" w:color="auto" w:fill="FFFFFF"/>
        </w:rPr>
        <w:t>Merits, Reparations, and Costs</w:t>
      </w:r>
      <w:r>
        <w:t>,</w:t>
      </w:r>
      <w:r w:rsidRPr="00F15CD6">
        <w:t xml:space="preserve"> Judgment of January 28, 2009</w:t>
      </w:r>
      <w:r>
        <w:t>,</w:t>
      </w:r>
      <w:r w:rsidRPr="00F50AFA">
        <w:t xml:space="preserve"> Serie C No. 195, p</w:t>
      </w:r>
      <w:r>
        <w:t>ara</w:t>
      </w:r>
      <w:r w:rsidRPr="00F50AFA">
        <w:t>. 151.</w:t>
      </w:r>
    </w:p>
  </w:footnote>
  <w:footnote w:id="71">
    <w:p w14:paraId="2B1E63B2" w14:textId="77777777" w:rsidR="00E10F82" w:rsidRPr="002E5677" w:rsidRDefault="00E10F82" w:rsidP="00DD1D53">
      <w:pPr>
        <w:tabs>
          <w:tab w:val="left" w:pos="1800"/>
        </w:tabs>
        <w:jc w:val="both"/>
        <w:rPr>
          <w:rFonts w:ascii="Cambria" w:hAnsi="Cambria"/>
        </w:rPr>
      </w:pPr>
      <w:r w:rsidRPr="00DD1D53">
        <w:rPr>
          <w:rStyle w:val="FootnoteReference"/>
          <w:rFonts w:ascii="Cambria" w:hAnsi="Cambria"/>
          <w:sz w:val="16"/>
          <w:szCs w:val="16"/>
        </w:rPr>
        <w:footnoteRef/>
      </w:r>
      <w:r w:rsidRPr="0071548C">
        <w:rPr>
          <w:sz w:val="16"/>
          <w:szCs w:val="16"/>
        </w:rPr>
        <w:t xml:space="preserve"> </w:t>
      </w:r>
      <w:r w:rsidRPr="0071548C">
        <w:rPr>
          <w:rFonts w:ascii="Cambria" w:hAnsi="Cambria"/>
          <w:sz w:val="16"/>
          <w:szCs w:val="16"/>
        </w:rPr>
        <w:t xml:space="preserve">I/A Court H.R., </w:t>
      </w:r>
      <w:r w:rsidRPr="0071548C">
        <w:rPr>
          <w:rFonts w:ascii="Cambria" w:hAnsi="Cambria"/>
          <w:i/>
          <w:sz w:val="16"/>
          <w:szCs w:val="16"/>
        </w:rPr>
        <w:t xml:space="preserve">Compulsory Membership in an Association Prescribed by Law for the Practice of Journalism (Arts. 13 </w:t>
      </w:r>
      <w:r>
        <w:rPr>
          <w:rFonts w:ascii="Cambria" w:hAnsi="Cambria"/>
          <w:i/>
          <w:sz w:val="16"/>
          <w:szCs w:val="16"/>
        </w:rPr>
        <w:t>and</w:t>
      </w:r>
      <w:r w:rsidRPr="0071548C">
        <w:rPr>
          <w:rFonts w:ascii="Cambria" w:hAnsi="Cambria"/>
          <w:i/>
          <w:sz w:val="16"/>
          <w:szCs w:val="16"/>
        </w:rPr>
        <w:t xml:space="preserve"> 29</w:t>
      </w:r>
      <w:r>
        <w:rPr>
          <w:rFonts w:ascii="Cambria" w:hAnsi="Cambria"/>
          <w:i/>
          <w:sz w:val="16"/>
          <w:szCs w:val="16"/>
        </w:rPr>
        <w:t>, American Convention on Human Rights</w:t>
      </w:r>
      <w:r w:rsidRPr="0071548C">
        <w:rPr>
          <w:rFonts w:ascii="Cambria" w:hAnsi="Cambria"/>
          <w:i/>
          <w:sz w:val="16"/>
          <w:szCs w:val="16"/>
        </w:rPr>
        <w:t>)</w:t>
      </w:r>
      <w:r>
        <w:rPr>
          <w:rFonts w:ascii="Cambria" w:hAnsi="Cambria"/>
          <w:i/>
          <w:sz w:val="16"/>
          <w:szCs w:val="16"/>
        </w:rPr>
        <w:t xml:space="preserve">, </w:t>
      </w:r>
      <w:r w:rsidRPr="005A2BC8">
        <w:rPr>
          <w:rFonts w:ascii="Cambria" w:hAnsi="Cambria"/>
          <w:iCs/>
          <w:sz w:val="16"/>
          <w:szCs w:val="16"/>
        </w:rPr>
        <w:t>Advisory Opinion</w:t>
      </w:r>
      <w:r>
        <w:rPr>
          <w:rFonts w:ascii="Cambria" w:hAnsi="Cambria"/>
          <w:sz w:val="16"/>
          <w:szCs w:val="16"/>
        </w:rPr>
        <w:t xml:space="preserve"> </w:t>
      </w:r>
      <w:r w:rsidRPr="0071548C">
        <w:rPr>
          <w:rFonts w:ascii="Cambria" w:hAnsi="Cambria"/>
          <w:sz w:val="16"/>
          <w:szCs w:val="16"/>
        </w:rPr>
        <w:t xml:space="preserve">OC-5/85 </w:t>
      </w:r>
      <w:r>
        <w:rPr>
          <w:rFonts w:ascii="Cambria" w:hAnsi="Cambria"/>
          <w:sz w:val="16"/>
          <w:szCs w:val="16"/>
        </w:rPr>
        <w:t xml:space="preserve">of November </w:t>
      </w:r>
      <w:r w:rsidRPr="0071548C">
        <w:rPr>
          <w:rFonts w:ascii="Cambria" w:hAnsi="Cambria"/>
          <w:sz w:val="16"/>
          <w:szCs w:val="16"/>
        </w:rPr>
        <w:t>13</w:t>
      </w:r>
      <w:r>
        <w:rPr>
          <w:rFonts w:ascii="Cambria" w:hAnsi="Cambria"/>
          <w:sz w:val="16"/>
          <w:szCs w:val="16"/>
        </w:rPr>
        <w:t xml:space="preserve">, </w:t>
      </w:r>
      <w:r w:rsidRPr="0071548C">
        <w:rPr>
          <w:rFonts w:ascii="Cambria" w:hAnsi="Cambria"/>
          <w:sz w:val="16"/>
          <w:szCs w:val="16"/>
        </w:rPr>
        <w:t>1985</w:t>
      </w:r>
      <w:r>
        <w:rPr>
          <w:rFonts w:ascii="Cambria" w:hAnsi="Cambria"/>
          <w:sz w:val="16"/>
          <w:szCs w:val="16"/>
        </w:rPr>
        <w:t>,</w:t>
      </w:r>
      <w:r w:rsidRPr="0071548C">
        <w:rPr>
          <w:rFonts w:ascii="Cambria" w:hAnsi="Cambria"/>
          <w:sz w:val="16"/>
          <w:szCs w:val="16"/>
        </w:rPr>
        <w:t xml:space="preserve"> Serie</w:t>
      </w:r>
      <w:r>
        <w:rPr>
          <w:rFonts w:ascii="Cambria" w:hAnsi="Cambria"/>
          <w:sz w:val="16"/>
          <w:szCs w:val="16"/>
        </w:rPr>
        <w:t>s</w:t>
      </w:r>
      <w:r w:rsidRPr="0071548C">
        <w:rPr>
          <w:rFonts w:ascii="Cambria" w:hAnsi="Cambria"/>
          <w:sz w:val="16"/>
          <w:szCs w:val="16"/>
        </w:rPr>
        <w:t xml:space="preserve"> A No. 5.</w:t>
      </w:r>
      <w:r>
        <w:rPr>
          <w:rFonts w:ascii="Cambria" w:hAnsi="Cambria"/>
          <w:sz w:val="16"/>
          <w:szCs w:val="16"/>
        </w:rPr>
        <w:t xml:space="preserve">, para </w:t>
      </w:r>
      <w:r w:rsidRPr="00B72232">
        <w:rPr>
          <w:rFonts w:ascii="Cambria" w:hAnsi="Cambria"/>
          <w:sz w:val="16"/>
          <w:szCs w:val="16"/>
        </w:rPr>
        <w:t xml:space="preserve">70; </w:t>
      </w:r>
      <w:r w:rsidRPr="00B72232">
        <w:rPr>
          <w:rFonts w:ascii="Cambria" w:hAnsi="Cambria"/>
          <w:bCs/>
          <w:i/>
          <w:iCs/>
          <w:sz w:val="16"/>
          <w:szCs w:val="16"/>
        </w:rPr>
        <w:t xml:space="preserve">Case of </w:t>
      </w:r>
      <w:r w:rsidRPr="00B72232">
        <w:rPr>
          <w:rFonts w:ascii="Cambria" w:eastAsia="Times New Roman" w:hAnsi="Cambria"/>
          <w:bCs/>
          <w:i/>
          <w:iCs/>
          <w:sz w:val="16"/>
          <w:szCs w:val="16"/>
          <w:shd w:val="clear" w:color="auto" w:fill="FFFFFF"/>
        </w:rPr>
        <w:t>López Lone et al. v. Honduras</w:t>
      </w:r>
      <w:r w:rsidRPr="00B72232">
        <w:rPr>
          <w:rFonts w:ascii="Cambria" w:eastAsia="Times New Roman" w:hAnsi="Cambria"/>
          <w:bCs/>
          <w:sz w:val="16"/>
          <w:szCs w:val="16"/>
          <w:shd w:val="clear" w:color="auto" w:fill="FFFFFF"/>
        </w:rPr>
        <w:t>, Preliminary Objection, Merits, Reparations, and Costs, Judgment of October 5, 2015, Series C No. 302, para</w:t>
      </w:r>
      <w:r w:rsidRPr="00B72232">
        <w:rPr>
          <w:rFonts w:ascii="Cambria" w:hAnsi="Cambria"/>
          <w:sz w:val="16"/>
          <w:szCs w:val="16"/>
        </w:rPr>
        <w:t xml:space="preserve">. </w:t>
      </w:r>
      <w:r w:rsidRPr="00680391">
        <w:rPr>
          <w:rFonts w:ascii="Cambria" w:hAnsi="Cambria"/>
          <w:sz w:val="16"/>
          <w:szCs w:val="16"/>
        </w:rPr>
        <w:t xml:space="preserve">165; and </w:t>
      </w:r>
      <w:r w:rsidRPr="00680391">
        <w:rPr>
          <w:rFonts w:ascii="Cambria" w:hAnsi="Cambria"/>
          <w:i/>
          <w:iCs/>
          <w:sz w:val="16"/>
          <w:szCs w:val="16"/>
        </w:rPr>
        <w:t xml:space="preserve">Case of </w:t>
      </w:r>
      <w:r w:rsidRPr="00680391">
        <w:rPr>
          <w:rFonts w:ascii="Cambria" w:hAnsi="Cambria"/>
          <w:i/>
          <w:sz w:val="16"/>
          <w:szCs w:val="16"/>
        </w:rPr>
        <w:t xml:space="preserve">Carvajal Carvajal et al. v. Colombia, </w:t>
      </w:r>
      <w:r w:rsidRPr="00680391">
        <w:rPr>
          <w:rFonts w:ascii="Cambria" w:hAnsi="Cambria"/>
          <w:sz w:val="16"/>
          <w:szCs w:val="16"/>
        </w:rPr>
        <w:t>Merits, Reparations, and Costs,</w:t>
      </w:r>
      <w:r>
        <w:rPr>
          <w:rFonts w:ascii="Cambria" w:hAnsi="Cambria"/>
          <w:sz w:val="16"/>
          <w:szCs w:val="16"/>
        </w:rPr>
        <w:t xml:space="preserve"> Judgment of March </w:t>
      </w:r>
      <w:r w:rsidRPr="00680391">
        <w:rPr>
          <w:rFonts w:ascii="Cambria" w:hAnsi="Cambria"/>
          <w:sz w:val="16"/>
          <w:szCs w:val="16"/>
        </w:rPr>
        <w:t>13,</w:t>
      </w:r>
      <w:r>
        <w:rPr>
          <w:rFonts w:ascii="Cambria" w:hAnsi="Cambria"/>
          <w:sz w:val="16"/>
          <w:szCs w:val="16"/>
        </w:rPr>
        <w:t xml:space="preserve"> </w:t>
      </w:r>
      <w:r w:rsidRPr="00680391">
        <w:rPr>
          <w:rFonts w:ascii="Cambria" w:hAnsi="Cambria"/>
          <w:sz w:val="16"/>
          <w:szCs w:val="16"/>
        </w:rPr>
        <w:t>2018</w:t>
      </w:r>
      <w:r>
        <w:rPr>
          <w:rFonts w:ascii="Cambria" w:hAnsi="Cambria"/>
          <w:sz w:val="16"/>
          <w:szCs w:val="16"/>
        </w:rPr>
        <w:t>,</w:t>
      </w:r>
      <w:r w:rsidRPr="00680391">
        <w:rPr>
          <w:rFonts w:ascii="Cambria" w:hAnsi="Cambria"/>
          <w:sz w:val="16"/>
          <w:szCs w:val="16"/>
        </w:rPr>
        <w:t xml:space="preserve"> Serie</w:t>
      </w:r>
      <w:r>
        <w:rPr>
          <w:rFonts w:ascii="Cambria" w:hAnsi="Cambria"/>
          <w:sz w:val="16"/>
          <w:szCs w:val="16"/>
        </w:rPr>
        <w:t>s</w:t>
      </w:r>
      <w:r w:rsidRPr="00680391">
        <w:rPr>
          <w:rFonts w:ascii="Cambria" w:hAnsi="Cambria"/>
          <w:sz w:val="16"/>
          <w:szCs w:val="16"/>
        </w:rPr>
        <w:t xml:space="preserve"> C No. 352</w:t>
      </w:r>
      <w:r>
        <w:rPr>
          <w:rFonts w:ascii="Cambria" w:hAnsi="Cambria"/>
          <w:sz w:val="16"/>
          <w:szCs w:val="16"/>
        </w:rPr>
        <w:t>, para.</w:t>
      </w:r>
      <w:r w:rsidRPr="00680391">
        <w:rPr>
          <w:rFonts w:ascii="Cambria" w:hAnsi="Cambria"/>
          <w:sz w:val="16"/>
          <w:szCs w:val="16"/>
        </w:rPr>
        <w:t xml:space="preserve"> </w:t>
      </w:r>
      <w:r w:rsidRPr="002E5677">
        <w:rPr>
          <w:rFonts w:ascii="Cambria" w:hAnsi="Cambria"/>
          <w:sz w:val="16"/>
          <w:szCs w:val="16"/>
        </w:rPr>
        <w:t>174.</w:t>
      </w:r>
    </w:p>
  </w:footnote>
  <w:footnote w:id="72">
    <w:p w14:paraId="47E37543" w14:textId="77777777" w:rsidR="00E10F82" w:rsidRPr="002E5677" w:rsidRDefault="00E10F82" w:rsidP="006C24D7">
      <w:pPr>
        <w:pStyle w:val="FootnoteText"/>
      </w:pPr>
      <w:r>
        <w:rPr>
          <w:rStyle w:val="FootnoteReference"/>
        </w:rPr>
        <w:footnoteRef/>
      </w:r>
      <w:r w:rsidRPr="00E73213">
        <w:t xml:space="preserve"> IACHR, Annual Report</w:t>
      </w:r>
      <w:r>
        <w:t xml:space="preserve"> </w:t>
      </w:r>
      <w:r w:rsidRPr="00E73213">
        <w:t>2008, Report of the Offic</w:t>
      </w:r>
      <w:r>
        <w:t xml:space="preserve">e of the </w:t>
      </w:r>
      <w:r w:rsidRPr="00E73213">
        <w:t>Special Rapporteur</w:t>
      </w:r>
      <w:r>
        <w:t xml:space="preserve"> for Freedom of Expression, Chapter III, </w:t>
      </w:r>
      <w:r w:rsidRPr="00E73213">
        <w:t>OEA/Ser.L/V/II.134 Doc. 5 rev. 1.</w:t>
      </w:r>
      <w:r>
        <w:t>, February</w:t>
      </w:r>
      <w:r w:rsidRPr="00E73213">
        <w:t xml:space="preserve"> 25,</w:t>
      </w:r>
      <w:r>
        <w:t xml:space="preserve"> </w:t>
      </w:r>
      <w:r w:rsidRPr="00E73213">
        <w:t>2009</w:t>
      </w:r>
      <w:r>
        <w:t>, para</w:t>
      </w:r>
      <w:r w:rsidRPr="000F762B">
        <w:t xml:space="preserve">. </w:t>
      </w:r>
      <w:r w:rsidRPr="002E5677">
        <w:t>34.</w:t>
      </w:r>
    </w:p>
  </w:footnote>
  <w:footnote w:id="73">
    <w:p w14:paraId="7C165DC2" w14:textId="77777777" w:rsidR="00E10F82" w:rsidRPr="002E5677" w:rsidRDefault="00E10F82" w:rsidP="006C24D7">
      <w:pPr>
        <w:pStyle w:val="FootnoteText"/>
      </w:pPr>
      <w:r>
        <w:rPr>
          <w:rStyle w:val="FootnoteReference"/>
        </w:rPr>
        <w:footnoteRef/>
      </w:r>
      <w:r w:rsidRPr="000F762B">
        <w:t xml:space="preserve"> IACHR, Office of the Special Rapporteur for Freedom of Expression, A Hemispheric Agenda for the Defense of </w:t>
      </w:r>
      <w:r>
        <w:t xml:space="preserve">Freedom of Expression, </w:t>
      </w:r>
      <w:r w:rsidRPr="000F762B">
        <w:t>OEA/Ser.L/v/II/CIDH/RELE/INF.4/09</w:t>
      </w:r>
      <w:r>
        <w:t>,</w:t>
      </w:r>
      <w:r w:rsidRPr="000F762B">
        <w:t xml:space="preserve"> </w:t>
      </w:r>
      <w:r>
        <w:t>February</w:t>
      </w:r>
      <w:r w:rsidRPr="00E73213">
        <w:t xml:space="preserve"> 25,</w:t>
      </w:r>
      <w:r>
        <w:t xml:space="preserve"> </w:t>
      </w:r>
      <w:r w:rsidRPr="00E73213">
        <w:t>2009</w:t>
      </w:r>
      <w:r>
        <w:t>, para</w:t>
      </w:r>
      <w:r w:rsidRPr="000F762B">
        <w:t xml:space="preserve">. </w:t>
      </w:r>
      <w:r w:rsidRPr="002E5677">
        <w:t>54.</w:t>
      </w:r>
    </w:p>
  </w:footnote>
  <w:footnote w:id="74">
    <w:p w14:paraId="0117D431" w14:textId="77777777" w:rsidR="00E10F82" w:rsidRPr="002D50D9" w:rsidRDefault="00E10F82" w:rsidP="006C24D7">
      <w:pPr>
        <w:pStyle w:val="FootnoteText"/>
      </w:pPr>
      <w:r>
        <w:rPr>
          <w:rStyle w:val="FootnoteReference"/>
        </w:rPr>
        <w:footnoteRef/>
      </w:r>
      <w:r w:rsidRPr="000F762B">
        <w:t xml:space="preserve"> IACHR, Corruption and Human Rights: Inter-American Standards,</w:t>
      </w:r>
      <w:r>
        <w:t xml:space="preserve"> </w:t>
      </w:r>
      <w:r w:rsidRPr="000F762B">
        <w:t>OEA/Ser.L/V/II.</w:t>
      </w:r>
      <w:r>
        <w:t>, December</w:t>
      </w:r>
      <w:r w:rsidRPr="000F762B">
        <w:t xml:space="preserve"> 6</w:t>
      </w:r>
      <w:r>
        <w:t xml:space="preserve">, </w:t>
      </w:r>
      <w:r w:rsidRPr="000F762B">
        <w:t>2019</w:t>
      </w:r>
      <w:r>
        <w:t xml:space="preserve">, para. </w:t>
      </w:r>
      <w:r w:rsidRPr="002D50D9">
        <w:t>185.</w:t>
      </w:r>
    </w:p>
  </w:footnote>
  <w:footnote w:id="75">
    <w:p w14:paraId="0A3400E5" w14:textId="77777777" w:rsidR="00E10F82" w:rsidRPr="00981CAB" w:rsidRDefault="00E10F82">
      <w:pPr>
        <w:pStyle w:val="FootnoteText"/>
      </w:pPr>
      <w:r>
        <w:rPr>
          <w:rStyle w:val="FootnoteReference"/>
        </w:rPr>
        <w:footnoteRef/>
      </w:r>
      <w:r w:rsidRPr="002D50D9">
        <w:t xml:space="preserve"> </w:t>
      </w:r>
      <w:r w:rsidRPr="000F762B">
        <w:t>IACHR, Corruption and Human Rights: Inter-American Standards,</w:t>
      </w:r>
      <w:r>
        <w:t xml:space="preserve"> </w:t>
      </w:r>
      <w:r w:rsidRPr="000F762B">
        <w:t>OEA/Ser.L/V/II.</w:t>
      </w:r>
      <w:r>
        <w:t>, December</w:t>
      </w:r>
      <w:r w:rsidRPr="000F762B">
        <w:t xml:space="preserve"> 6</w:t>
      </w:r>
      <w:r>
        <w:t xml:space="preserve">, </w:t>
      </w:r>
      <w:r w:rsidRPr="000F762B">
        <w:t>2019</w:t>
      </w:r>
      <w:r>
        <w:t xml:space="preserve">, para. </w:t>
      </w:r>
      <w:r w:rsidRPr="00981CAB">
        <w:t>403.</w:t>
      </w:r>
    </w:p>
  </w:footnote>
  <w:footnote w:id="76">
    <w:p w14:paraId="0813014D" w14:textId="77777777" w:rsidR="00E10F82" w:rsidRPr="002E5677" w:rsidRDefault="00E10F82">
      <w:pPr>
        <w:pStyle w:val="FootnoteText"/>
      </w:pPr>
      <w:r w:rsidRPr="005E5094">
        <w:rPr>
          <w:rStyle w:val="FootnoteReference"/>
        </w:rPr>
        <w:footnoteRef/>
      </w:r>
      <w:r w:rsidRPr="00A165D0">
        <w:t xml:space="preserve"> </w:t>
      </w:r>
      <w:r w:rsidRPr="002F5504">
        <w:rPr>
          <w:rFonts w:ascii="Cambria" w:hAnsi="Cambria"/>
        </w:rPr>
        <w:t xml:space="preserve">IACHR, Guarantees for the Independence of Justice Operators: Towards Strengthening Access to Justice and the Rule of </w:t>
      </w:r>
      <w:r>
        <w:rPr>
          <w:rFonts w:ascii="Cambria" w:hAnsi="Cambria"/>
        </w:rPr>
        <w:t xml:space="preserve">Law in the Americas, December </w:t>
      </w:r>
      <w:r w:rsidRPr="002F5504">
        <w:rPr>
          <w:rFonts w:ascii="Cambria" w:hAnsi="Cambria"/>
        </w:rPr>
        <w:t>5</w:t>
      </w:r>
      <w:r>
        <w:rPr>
          <w:rFonts w:ascii="Cambria" w:hAnsi="Cambria"/>
        </w:rPr>
        <w:t xml:space="preserve">, </w:t>
      </w:r>
      <w:r w:rsidRPr="002F5504">
        <w:rPr>
          <w:rFonts w:ascii="Cambria" w:hAnsi="Cambria"/>
        </w:rPr>
        <w:t xml:space="preserve">2013, </w:t>
      </w:r>
      <w:r>
        <w:rPr>
          <w:rFonts w:ascii="Cambria" w:hAnsi="Cambria"/>
        </w:rPr>
        <w:t>para</w:t>
      </w:r>
      <w:r w:rsidRPr="00A165D0">
        <w:rPr>
          <w:rStyle w:val="Strong"/>
          <w:rFonts w:ascii="Cambria" w:hAnsi="Cambria"/>
          <w:b w:val="0"/>
          <w:shd w:val="clear" w:color="auto" w:fill="FFFFFF"/>
        </w:rPr>
        <w:t xml:space="preserve">. </w:t>
      </w:r>
      <w:r w:rsidRPr="002E5677">
        <w:rPr>
          <w:rStyle w:val="Strong"/>
          <w:rFonts w:ascii="Cambria" w:hAnsi="Cambria"/>
          <w:b w:val="0"/>
          <w:shd w:val="clear" w:color="auto" w:fill="FFFFFF"/>
        </w:rPr>
        <w:t>172.</w:t>
      </w:r>
    </w:p>
  </w:footnote>
  <w:footnote w:id="77">
    <w:p w14:paraId="5C25971D" w14:textId="77777777" w:rsidR="00E10F82" w:rsidRPr="00F50AFA" w:rsidRDefault="00E10F82">
      <w:pPr>
        <w:pStyle w:val="FootnoteText"/>
      </w:pPr>
      <w:r>
        <w:rPr>
          <w:rStyle w:val="FootnoteReference"/>
        </w:rPr>
        <w:footnoteRef/>
      </w:r>
      <w:r w:rsidRPr="002D50D9">
        <w:t xml:space="preserve"> </w:t>
      </w:r>
      <w:r w:rsidRPr="000F762B">
        <w:t>IACHR, Corruption and Human Rights: Inter-American Standards,</w:t>
      </w:r>
      <w:r>
        <w:t xml:space="preserve"> </w:t>
      </w:r>
      <w:r w:rsidRPr="000F762B">
        <w:t>OEA/Ser.L/V/II.</w:t>
      </w:r>
      <w:r>
        <w:t>, December</w:t>
      </w:r>
      <w:r w:rsidRPr="000F762B">
        <w:t xml:space="preserve"> 6</w:t>
      </w:r>
      <w:r>
        <w:t xml:space="preserve">, </w:t>
      </w:r>
      <w:r w:rsidRPr="000F762B">
        <w:t>2019</w:t>
      </w:r>
      <w:r>
        <w:t xml:space="preserve">, para. </w:t>
      </w:r>
      <w:r w:rsidRPr="00F50AFA">
        <w:t>408.</w:t>
      </w:r>
    </w:p>
  </w:footnote>
  <w:footnote w:id="78">
    <w:p w14:paraId="29231535" w14:textId="77777777" w:rsidR="00E10F82" w:rsidRPr="0051009A" w:rsidRDefault="00E10F82" w:rsidP="00DD1D53">
      <w:pPr>
        <w:pStyle w:val="FootnoteText"/>
        <w:rPr>
          <w:rFonts w:ascii="Cambria" w:hAnsi="Cambria"/>
        </w:rPr>
      </w:pPr>
      <w:r w:rsidRPr="009012AD">
        <w:rPr>
          <w:rStyle w:val="FootnoteReference"/>
          <w:rFonts w:ascii="Cambria" w:hAnsi="Cambria"/>
        </w:rPr>
        <w:footnoteRef/>
      </w:r>
      <w:r w:rsidRPr="00B72232">
        <w:rPr>
          <w:rFonts w:ascii="Cambria" w:hAnsi="Cambria"/>
        </w:rPr>
        <w:t xml:space="preserve"> </w:t>
      </w:r>
      <w:r w:rsidRPr="00EA57C0">
        <w:rPr>
          <w:rFonts w:ascii="Cambria" w:hAnsi="Cambria"/>
        </w:rPr>
        <w:t xml:space="preserve">I/A Court H.R., </w:t>
      </w:r>
      <w:r w:rsidRPr="00EA57C0">
        <w:rPr>
          <w:rFonts w:ascii="Cambria" w:hAnsi="Cambria"/>
          <w:bCs/>
          <w:i/>
          <w:iCs/>
          <w:color w:val="auto"/>
        </w:rPr>
        <w:t xml:space="preserve">Case of </w:t>
      </w:r>
      <w:r w:rsidRPr="00EA57C0">
        <w:rPr>
          <w:rFonts w:ascii="Cambria" w:eastAsia="Times New Roman" w:hAnsi="Cambria"/>
          <w:bCs/>
          <w:i/>
          <w:iCs/>
          <w:shd w:val="clear" w:color="auto" w:fill="FFFFFF"/>
        </w:rPr>
        <w:t>López Lone et al. v. Honduras</w:t>
      </w:r>
      <w:r w:rsidRPr="00EA57C0">
        <w:rPr>
          <w:rFonts w:ascii="Cambria" w:eastAsia="Times New Roman" w:hAnsi="Cambria"/>
          <w:bCs/>
          <w:shd w:val="clear" w:color="auto" w:fill="FFFFFF"/>
        </w:rPr>
        <w:t>, Preliminary Object</w:t>
      </w:r>
      <w:r>
        <w:rPr>
          <w:rFonts w:ascii="Cambria" w:eastAsia="Times New Roman" w:hAnsi="Cambria"/>
          <w:bCs/>
          <w:shd w:val="clear" w:color="auto" w:fill="FFFFFF"/>
        </w:rPr>
        <w:t xml:space="preserve">ion, Merits, Reparations, and Costs, Judgment of October 5, </w:t>
      </w:r>
      <w:r w:rsidRPr="00EA57C0">
        <w:rPr>
          <w:rFonts w:ascii="Cambria" w:eastAsia="Times New Roman" w:hAnsi="Cambria"/>
          <w:bCs/>
          <w:shd w:val="clear" w:color="auto" w:fill="FFFFFF"/>
        </w:rPr>
        <w:t>2015</w:t>
      </w:r>
      <w:r>
        <w:rPr>
          <w:rFonts w:ascii="Cambria" w:eastAsia="Times New Roman" w:hAnsi="Cambria"/>
          <w:bCs/>
          <w:shd w:val="clear" w:color="auto" w:fill="FFFFFF"/>
        </w:rPr>
        <w:t xml:space="preserve">, </w:t>
      </w:r>
      <w:r w:rsidRPr="001F6009">
        <w:rPr>
          <w:rFonts w:ascii="Cambria" w:eastAsia="Times New Roman" w:hAnsi="Cambria"/>
          <w:bCs/>
          <w:shd w:val="clear" w:color="auto" w:fill="FFFFFF"/>
        </w:rPr>
        <w:t>Serie</w:t>
      </w:r>
      <w:r>
        <w:rPr>
          <w:rFonts w:ascii="Cambria" w:eastAsia="Times New Roman" w:hAnsi="Cambria"/>
          <w:bCs/>
          <w:shd w:val="clear" w:color="auto" w:fill="FFFFFF"/>
        </w:rPr>
        <w:t>s</w:t>
      </w:r>
      <w:r w:rsidRPr="001F6009">
        <w:rPr>
          <w:rFonts w:ascii="Cambria" w:eastAsia="Times New Roman" w:hAnsi="Cambria"/>
          <w:bCs/>
          <w:shd w:val="clear" w:color="auto" w:fill="FFFFFF"/>
        </w:rPr>
        <w:t xml:space="preserve"> C No. 302, </w:t>
      </w:r>
      <w:r>
        <w:rPr>
          <w:rFonts w:ascii="Cambria" w:eastAsia="Times New Roman" w:hAnsi="Cambria"/>
          <w:bCs/>
          <w:shd w:val="clear" w:color="auto" w:fill="FFFFFF"/>
        </w:rPr>
        <w:t>paras</w:t>
      </w:r>
      <w:r w:rsidRPr="00B72232">
        <w:rPr>
          <w:rFonts w:ascii="Cambria" w:hAnsi="Cambria"/>
        </w:rPr>
        <w:t xml:space="preserve">. </w:t>
      </w:r>
      <w:r w:rsidRPr="00E472D7">
        <w:rPr>
          <w:rFonts w:ascii="Cambria" w:hAnsi="Cambria"/>
        </w:rPr>
        <w:t xml:space="preserve">157 and 163. </w:t>
      </w:r>
      <w:r w:rsidRPr="006A6E6E">
        <w:rPr>
          <w:rFonts w:ascii="Cambria" w:hAnsi="Cambria"/>
        </w:rPr>
        <w:t>IACHR, Report No. 21/18, Case 12.955, Merits, Daniel Urrutia Laubreaux, Chile, February 24, 2018</w:t>
      </w:r>
      <w:r>
        <w:rPr>
          <w:rFonts w:ascii="Cambria" w:hAnsi="Cambria"/>
        </w:rPr>
        <w:t>, para</w:t>
      </w:r>
      <w:r w:rsidRPr="0051009A">
        <w:rPr>
          <w:rFonts w:ascii="Cambria" w:hAnsi="Cambria"/>
        </w:rPr>
        <w:t>. 88.</w:t>
      </w:r>
    </w:p>
  </w:footnote>
  <w:footnote w:id="79">
    <w:p w14:paraId="41F14FFF" w14:textId="77777777" w:rsidR="00E10F82" w:rsidRPr="009852F5" w:rsidRDefault="00A56611" w:rsidP="00DD1D53">
      <w:pPr>
        <w:pStyle w:val="FootnoteText"/>
        <w:rPr>
          <w:rFonts w:ascii="Cambria" w:hAnsi="Cambria"/>
        </w:rPr>
      </w:pPr>
      <w:hyperlink r:id="rId2" w:history="1">
        <w:r w:rsidR="00E10F82" w:rsidRPr="009852F5">
          <w:rPr>
            <w:rStyle w:val="Hyperlink"/>
            <w:rFonts w:ascii="Cambria" w:hAnsi="Cambria"/>
            <w:u w:val="none"/>
            <w:vertAlign w:val="superscript"/>
          </w:rPr>
          <w:footnoteRef/>
        </w:r>
        <w:r w:rsidR="00E10F82" w:rsidRPr="009852F5">
          <w:rPr>
            <w:rStyle w:val="Hyperlink"/>
            <w:rFonts w:ascii="Cambria" w:hAnsi="Cambria"/>
            <w:u w:val="none"/>
          </w:rPr>
          <w:t xml:space="preserve"> Joint Declaration by the UN Special Rapporteur on Freedom of Opinion and Expression, the OSCE Representative on Freedom of the Me</w:t>
        </w:r>
        <w:r w:rsidR="00E10F82">
          <w:rPr>
            <w:rStyle w:val="Hyperlink"/>
            <w:rFonts w:ascii="Cambria" w:hAnsi="Cambria"/>
            <w:u w:val="none"/>
          </w:rPr>
          <w:t>di</w:t>
        </w:r>
        <w:r w:rsidR="00E10F82" w:rsidRPr="009852F5">
          <w:rPr>
            <w:rStyle w:val="Hyperlink"/>
            <w:rFonts w:ascii="Cambria" w:hAnsi="Cambria"/>
            <w:u w:val="none"/>
          </w:rPr>
          <w:t xml:space="preserve">a, and the OAS Special Rapporteur </w:t>
        </w:r>
        <w:r w:rsidR="00E10F82">
          <w:rPr>
            <w:rStyle w:val="Hyperlink"/>
            <w:rFonts w:ascii="Cambria" w:hAnsi="Cambria"/>
            <w:u w:val="none"/>
          </w:rPr>
          <w:t>for</w:t>
        </w:r>
        <w:r w:rsidR="00E10F82" w:rsidRPr="009852F5">
          <w:rPr>
            <w:rStyle w:val="Hyperlink"/>
            <w:rFonts w:ascii="Cambria" w:hAnsi="Cambria"/>
            <w:u w:val="none"/>
          </w:rPr>
          <w:t xml:space="preserve"> Freedom of Expression, </w:t>
        </w:r>
      </w:hyperlink>
      <w:r w:rsidR="00E10F82" w:rsidRPr="009852F5">
        <w:rPr>
          <w:rFonts w:ascii="Cambria" w:hAnsi="Cambria"/>
        </w:rPr>
        <w:t xml:space="preserve">2002. </w:t>
      </w:r>
    </w:p>
  </w:footnote>
  <w:footnote w:id="80">
    <w:p w14:paraId="6196B6E3" w14:textId="77777777" w:rsidR="00E10F82" w:rsidRPr="00383A7C" w:rsidRDefault="00E10F82">
      <w:pPr>
        <w:pStyle w:val="FootnoteText"/>
      </w:pPr>
      <w:r>
        <w:rPr>
          <w:rStyle w:val="FootnoteReference"/>
        </w:rPr>
        <w:footnoteRef/>
      </w:r>
      <w:r w:rsidRPr="00FD0A5F">
        <w:t xml:space="preserve"> </w:t>
      </w:r>
      <w:r w:rsidRPr="00FD0A5F">
        <w:rPr>
          <w:rFonts w:ascii="Cambria" w:hAnsi="Cambria"/>
        </w:rPr>
        <w:t xml:space="preserve">European Court of Human Rights, </w:t>
      </w:r>
      <w:r w:rsidRPr="00FD0A5F">
        <w:rPr>
          <w:rFonts w:ascii="Cambria" w:hAnsi="Cambria"/>
          <w:i/>
          <w:iCs/>
        </w:rPr>
        <w:t>Case of Baka v. Hungary</w:t>
      </w:r>
      <w:r w:rsidRPr="00FD0A5F">
        <w:rPr>
          <w:rFonts w:ascii="Cambria" w:hAnsi="Cambria"/>
        </w:rPr>
        <w:t>, Application no 20261</w:t>
      </w:r>
      <w:r w:rsidRPr="00E32052">
        <w:rPr>
          <w:rFonts w:ascii="Cambria" w:hAnsi="Cambria"/>
        </w:rPr>
        <w:t xml:space="preserve">/12, judgment of June 23, 2016, para. 159; see also European Court of Human Rights, </w:t>
      </w:r>
      <w:r w:rsidRPr="00E32052">
        <w:rPr>
          <w:rFonts w:ascii="Cambria" w:hAnsi="Cambria"/>
          <w:i/>
          <w:iCs/>
        </w:rPr>
        <w:t>Case of Wille v. Liechtenstein</w:t>
      </w:r>
      <w:r w:rsidRPr="00E32052">
        <w:rPr>
          <w:rFonts w:ascii="Cambria" w:hAnsi="Cambria"/>
        </w:rPr>
        <w:t>, judgment of October 28, 1999, para. 63.</w:t>
      </w:r>
    </w:p>
  </w:footnote>
  <w:footnote w:id="81">
    <w:p w14:paraId="6DF306B7" w14:textId="77777777" w:rsidR="00E10F82" w:rsidRPr="00C5320F" w:rsidRDefault="00E10F82" w:rsidP="00E34C25">
      <w:pPr>
        <w:pStyle w:val="FootnoteText"/>
        <w:rPr>
          <w:rFonts w:ascii="Cambria" w:hAnsi="Cambria"/>
        </w:rPr>
      </w:pPr>
      <w:r w:rsidRPr="00910616">
        <w:rPr>
          <w:rStyle w:val="FootnoteReference"/>
          <w:rFonts w:ascii="Cambria" w:hAnsi="Cambria"/>
        </w:rPr>
        <w:footnoteRef/>
      </w:r>
      <w:r w:rsidRPr="00C5320F">
        <w:rPr>
          <w:rFonts w:ascii="Cambria" w:hAnsi="Cambria"/>
        </w:rPr>
        <w:t xml:space="preserve"> IACHR, </w:t>
      </w:r>
      <w:r>
        <w:rPr>
          <w:rFonts w:ascii="Cambria" w:hAnsi="Cambria"/>
        </w:rPr>
        <w:t xml:space="preserve">Annual Report </w:t>
      </w:r>
      <w:r w:rsidRPr="00C5320F">
        <w:rPr>
          <w:rFonts w:ascii="Cambria" w:hAnsi="Cambria"/>
        </w:rPr>
        <w:t>2009</w:t>
      </w:r>
      <w:r>
        <w:rPr>
          <w:rFonts w:ascii="Cambria" w:hAnsi="Cambria"/>
        </w:rPr>
        <w:t>,</w:t>
      </w:r>
      <w:r w:rsidRPr="00C5320F">
        <w:rPr>
          <w:rFonts w:ascii="Cambria" w:hAnsi="Cambria"/>
        </w:rPr>
        <w:t xml:space="preserve"> Report of the Special Rapporteur for Freedom of Expression, OEA/Ser.L/V/II.Doc. 51, </w:t>
      </w:r>
      <w:r>
        <w:rPr>
          <w:rFonts w:ascii="Cambria" w:hAnsi="Cambria"/>
        </w:rPr>
        <w:t xml:space="preserve">December </w:t>
      </w:r>
      <w:r w:rsidRPr="00C5320F">
        <w:rPr>
          <w:rFonts w:ascii="Cambria" w:hAnsi="Cambria"/>
        </w:rPr>
        <w:t>30</w:t>
      </w:r>
      <w:r>
        <w:rPr>
          <w:rFonts w:ascii="Cambria" w:hAnsi="Cambria"/>
        </w:rPr>
        <w:t>,</w:t>
      </w:r>
      <w:r w:rsidRPr="00C5320F">
        <w:rPr>
          <w:rFonts w:ascii="Cambria" w:hAnsi="Cambria"/>
        </w:rPr>
        <w:t xml:space="preserve"> </w:t>
      </w:r>
      <w:r>
        <w:rPr>
          <w:rFonts w:ascii="Cambria" w:hAnsi="Cambria"/>
        </w:rPr>
        <w:t>2009, Chapter</w:t>
      </w:r>
      <w:r w:rsidRPr="00C5320F">
        <w:rPr>
          <w:rFonts w:ascii="Cambria" w:hAnsi="Cambria"/>
        </w:rPr>
        <w:t xml:space="preserve"> III, </w:t>
      </w:r>
      <w:r>
        <w:rPr>
          <w:rFonts w:ascii="Cambria" w:hAnsi="Cambria"/>
        </w:rPr>
        <w:t>para</w:t>
      </w:r>
      <w:r w:rsidRPr="00C5320F">
        <w:rPr>
          <w:rFonts w:ascii="Cambria" w:hAnsi="Cambria"/>
        </w:rPr>
        <w:t xml:space="preserve">. 71.  </w:t>
      </w:r>
    </w:p>
  </w:footnote>
  <w:footnote w:id="82">
    <w:p w14:paraId="1F559C09" w14:textId="77777777" w:rsidR="00E10F82" w:rsidRPr="0051009A" w:rsidRDefault="00E10F82" w:rsidP="00E34C25">
      <w:pPr>
        <w:pStyle w:val="FootnoteText"/>
        <w:rPr>
          <w:rFonts w:ascii="Cambria" w:hAnsi="Cambria"/>
        </w:rPr>
      </w:pPr>
      <w:r w:rsidRPr="00910616">
        <w:rPr>
          <w:rStyle w:val="FootnoteReference"/>
          <w:rFonts w:ascii="Cambria" w:hAnsi="Cambria"/>
        </w:rPr>
        <w:footnoteRef/>
      </w:r>
      <w:r w:rsidRPr="001D2231">
        <w:rPr>
          <w:rFonts w:ascii="Cambria" w:hAnsi="Cambria"/>
        </w:rPr>
        <w:t xml:space="preserve"> IACHR, Report No. 103/13, Case 12.816, Report on the Merits, Adán Guillermo Lopez Lone et</w:t>
      </w:r>
      <w:r>
        <w:rPr>
          <w:rFonts w:ascii="Cambria" w:hAnsi="Cambria"/>
        </w:rPr>
        <w:t xml:space="preserve"> al.</w:t>
      </w:r>
      <w:r w:rsidRPr="001D2231">
        <w:rPr>
          <w:rFonts w:ascii="Cambria" w:hAnsi="Cambria"/>
        </w:rPr>
        <w:t xml:space="preserve">, Honduras, </w:t>
      </w:r>
      <w:r w:rsidRPr="00E32052">
        <w:rPr>
          <w:rFonts w:ascii="Cambria" w:hAnsi="Cambria"/>
        </w:rPr>
        <w:t>OEA/Ser.L/V/II.149, Doc. 27, November 5, 2013, para. 203.</w:t>
      </w:r>
      <w:r w:rsidRPr="0051009A">
        <w:rPr>
          <w:rFonts w:ascii="Cambria" w:hAnsi="Cambria"/>
        </w:rPr>
        <w:t xml:space="preserve">  </w:t>
      </w:r>
    </w:p>
  </w:footnote>
  <w:footnote w:id="83">
    <w:p w14:paraId="324FBAFF" w14:textId="77777777" w:rsidR="00E10F82" w:rsidRPr="0051009A" w:rsidRDefault="00E10F82" w:rsidP="00DD1D53">
      <w:pPr>
        <w:tabs>
          <w:tab w:val="num" w:pos="0"/>
        </w:tabs>
        <w:spacing w:after="120"/>
        <w:jc w:val="both"/>
        <w:rPr>
          <w:rFonts w:asciiTheme="majorHAnsi" w:hAnsiTheme="majorHAnsi"/>
          <w:sz w:val="16"/>
          <w:szCs w:val="16"/>
        </w:rPr>
      </w:pPr>
      <w:r w:rsidRPr="00DD1D53">
        <w:rPr>
          <w:rStyle w:val="FootnoteReference"/>
          <w:rFonts w:asciiTheme="majorHAnsi" w:hAnsiTheme="majorHAnsi"/>
          <w:sz w:val="16"/>
          <w:szCs w:val="16"/>
        </w:rPr>
        <w:footnoteRef/>
      </w:r>
      <w:r w:rsidRPr="00183B09">
        <w:rPr>
          <w:rFonts w:asciiTheme="majorHAnsi" w:hAnsiTheme="majorHAnsi"/>
          <w:i/>
          <w:sz w:val="16"/>
          <w:szCs w:val="16"/>
        </w:rPr>
        <w:t xml:space="preserve"> Mutatis mutandi</w:t>
      </w:r>
      <w:r w:rsidRPr="00183B09">
        <w:rPr>
          <w:rFonts w:asciiTheme="majorHAnsi" w:hAnsiTheme="majorHAnsi"/>
          <w:sz w:val="16"/>
          <w:szCs w:val="16"/>
        </w:rPr>
        <w:t xml:space="preserve">, IACHR, </w:t>
      </w:r>
      <w:r w:rsidRPr="00183B09">
        <w:rPr>
          <w:rFonts w:ascii="Cambria" w:hAnsi="Cambria"/>
          <w:sz w:val="16"/>
          <w:szCs w:val="16"/>
        </w:rPr>
        <w:t>Report No. 103/13, Case 12.816, Report on the Merits, Adán Guillermo López Lone et al., Honduras, OEA/Ser.L/V/II.149, Doc. 27, November 5, 2013, para</w:t>
      </w:r>
      <w:r w:rsidRPr="00183B09">
        <w:rPr>
          <w:rFonts w:asciiTheme="majorHAnsi" w:hAnsiTheme="majorHAnsi"/>
          <w:sz w:val="16"/>
          <w:szCs w:val="16"/>
        </w:rPr>
        <w:t xml:space="preserve">. </w:t>
      </w:r>
      <w:r w:rsidRPr="0051009A">
        <w:rPr>
          <w:rFonts w:asciiTheme="majorHAnsi" w:hAnsiTheme="majorHAnsi"/>
          <w:sz w:val="16"/>
          <w:szCs w:val="16"/>
        </w:rPr>
        <w:t>214.</w:t>
      </w:r>
    </w:p>
  </w:footnote>
  <w:footnote w:id="84">
    <w:p w14:paraId="37C5852E" w14:textId="77777777" w:rsidR="00E10F82" w:rsidRPr="00811866" w:rsidRDefault="00E10F82">
      <w:pPr>
        <w:pStyle w:val="FootnoteText"/>
      </w:pPr>
      <w:r>
        <w:rPr>
          <w:rStyle w:val="FootnoteReference"/>
        </w:rPr>
        <w:footnoteRef/>
      </w:r>
      <w:r w:rsidRPr="00811866">
        <w:t xml:space="preserve"> Article 8(2)(h</w:t>
      </w:r>
      <w:r w:rsidRPr="00E32052">
        <w:t>) of the American Convention establishes</w:t>
      </w:r>
      <w:r w:rsidRPr="00811866">
        <w:t xml:space="preserve"> “the right to appeal the judgment to a higher court.” </w:t>
      </w:r>
    </w:p>
  </w:footnote>
  <w:footnote w:id="85">
    <w:p w14:paraId="2F93068F" w14:textId="77777777" w:rsidR="00E10F82" w:rsidRPr="00811866" w:rsidRDefault="00E10F82">
      <w:pPr>
        <w:pStyle w:val="FootnoteText"/>
      </w:pPr>
      <w:r>
        <w:rPr>
          <w:rStyle w:val="FootnoteReference"/>
        </w:rPr>
        <w:footnoteRef/>
      </w:r>
      <w:r w:rsidRPr="00811866">
        <w:t xml:space="preserve"> Article 25(1) of the Convention provides the following: </w:t>
      </w:r>
      <w:r>
        <w:t>“</w:t>
      </w:r>
      <w:r w:rsidRPr="00811866">
        <w:rPr>
          <w:rFonts w:eastAsia="Times New Roman"/>
        </w:rPr>
        <w:t>Everyone has the right to simple and prompt recourse, or any other effective recourse, to a competent court or tribunal for protection against acts that violate his fundamental rights recognized by the constitution or laws of the state concerned or by this Convention, even though such v</w:t>
      </w:r>
      <w:r>
        <w:rPr>
          <w:rFonts w:eastAsia="Times New Roman"/>
        </w:rPr>
        <w:t>iolation may have been committed by persons acting in the course of their official duties.”</w:t>
      </w:r>
    </w:p>
  </w:footnote>
  <w:footnote w:id="86">
    <w:p w14:paraId="366F756A" w14:textId="77777777" w:rsidR="00E10F82" w:rsidRPr="00E32052" w:rsidRDefault="00E10F82" w:rsidP="00CC142C">
      <w:pPr>
        <w:pStyle w:val="FootnoteText"/>
        <w:rPr>
          <w:rFonts w:ascii="Cambria" w:hAnsi="Cambria"/>
        </w:rPr>
      </w:pPr>
      <w:r w:rsidRPr="001E3078">
        <w:rPr>
          <w:rStyle w:val="FootnoteReference"/>
          <w:rFonts w:ascii="Cambria" w:hAnsi="Cambria"/>
        </w:rPr>
        <w:footnoteRef/>
      </w:r>
      <w:r w:rsidRPr="001E3078">
        <w:rPr>
          <w:rFonts w:ascii="Cambria" w:hAnsi="Cambria"/>
          <w:lang w:val="pt-BR"/>
        </w:rPr>
        <w:t xml:space="preserve"> </w:t>
      </w:r>
      <w:r>
        <w:rPr>
          <w:rFonts w:ascii="Cambria" w:hAnsi="Cambria"/>
          <w:lang w:val="pt-BR"/>
        </w:rPr>
        <w:t xml:space="preserve">I/A Court H.R., </w:t>
      </w:r>
      <w:r w:rsidRPr="00F3061E">
        <w:rPr>
          <w:rFonts w:ascii="Cambria" w:hAnsi="Cambria"/>
          <w:i/>
          <w:iCs/>
          <w:lang w:val="pt-BR"/>
        </w:rPr>
        <w:t xml:space="preserve">Case of Herrera Ulloa v. </w:t>
      </w:r>
      <w:r w:rsidRPr="00F3061E">
        <w:rPr>
          <w:rFonts w:ascii="Cambria" w:hAnsi="Cambria"/>
          <w:i/>
          <w:iCs/>
        </w:rPr>
        <w:t>Costa Rica</w:t>
      </w:r>
      <w:r>
        <w:rPr>
          <w:rFonts w:ascii="Cambria" w:hAnsi="Cambria"/>
        </w:rPr>
        <w:t>,</w:t>
      </w:r>
      <w:r w:rsidRPr="001237DE">
        <w:rPr>
          <w:rFonts w:ascii="Cambria" w:hAnsi="Cambria"/>
        </w:rPr>
        <w:t xml:space="preserve"> Preliminary Objections, Merits, Reparations</w:t>
      </w:r>
      <w:r>
        <w:rPr>
          <w:rFonts w:ascii="Cambria" w:hAnsi="Cambria"/>
        </w:rPr>
        <w:t>, and Costs</w:t>
      </w:r>
      <w:r w:rsidRPr="001237DE">
        <w:rPr>
          <w:rFonts w:ascii="Cambria" w:hAnsi="Cambria"/>
        </w:rPr>
        <w:t>, Judgment of</w:t>
      </w:r>
      <w:r>
        <w:rPr>
          <w:rFonts w:ascii="Cambria" w:hAnsi="Cambria"/>
        </w:rPr>
        <w:t xml:space="preserve"> July</w:t>
      </w:r>
      <w:r w:rsidRPr="001237DE">
        <w:rPr>
          <w:rFonts w:ascii="Cambria" w:hAnsi="Cambria"/>
        </w:rPr>
        <w:t xml:space="preserve"> 2</w:t>
      </w:r>
      <w:r>
        <w:rPr>
          <w:rFonts w:ascii="Cambria" w:hAnsi="Cambria"/>
        </w:rPr>
        <w:t xml:space="preserve">, </w:t>
      </w:r>
      <w:r w:rsidRPr="001237DE">
        <w:rPr>
          <w:rFonts w:ascii="Cambria" w:hAnsi="Cambria"/>
        </w:rPr>
        <w:t>2004</w:t>
      </w:r>
      <w:r>
        <w:rPr>
          <w:rFonts w:ascii="Cambria" w:hAnsi="Cambria"/>
        </w:rPr>
        <w:t>,</w:t>
      </w:r>
      <w:r w:rsidRPr="001237DE">
        <w:rPr>
          <w:rFonts w:ascii="Cambria" w:hAnsi="Cambria"/>
        </w:rPr>
        <w:t xml:space="preserve"> Series </w:t>
      </w:r>
      <w:r w:rsidRPr="00E32052">
        <w:rPr>
          <w:rFonts w:ascii="Cambria" w:hAnsi="Cambria"/>
        </w:rPr>
        <w:t>C No. 107, para. 158.</w:t>
      </w:r>
    </w:p>
  </w:footnote>
  <w:footnote w:id="87">
    <w:p w14:paraId="6CF838B3" w14:textId="77777777" w:rsidR="00E10F82" w:rsidRPr="00E32052" w:rsidRDefault="00E10F82" w:rsidP="00CC142C">
      <w:pPr>
        <w:pStyle w:val="FootnoteText"/>
        <w:rPr>
          <w:rFonts w:ascii="Cambria" w:hAnsi="Cambria"/>
        </w:rPr>
      </w:pPr>
      <w:r w:rsidRPr="00E32052">
        <w:rPr>
          <w:rStyle w:val="FootnoteReference"/>
          <w:rFonts w:ascii="Cambria" w:hAnsi="Cambria"/>
        </w:rPr>
        <w:footnoteRef/>
      </w:r>
      <w:r w:rsidRPr="00E32052">
        <w:rPr>
          <w:rFonts w:ascii="Cambria" w:hAnsi="Cambria"/>
        </w:rPr>
        <w:t xml:space="preserve"> United Nations, Office of the High Commissioner for Human Rights, Basic Principles on the Independence of the Judiciary, Principle 20.</w:t>
      </w:r>
    </w:p>
  </w:footnote>
  <w:footnote w:id="88">
    <w:p w14:paraId="09A41907" w14:textId="77777777" w:rsidR="00E10F82" w:rsidRPr="0051009A" w:rsidRDefault="00E10F82" w:rsidP="00CC142C">
      <w:pPr>
        <w:pStyle w:val="FootnoteText"/>
        <w:rPr>
          <w:rFonts w:ascii="Cambria" w:hAnsi="Cambria"/>
        </w:rPr>
      </w:pPr>
      <w:r w:rsidRPr="00E32052">
        <w:rPr>
          <w:rStyle w:val="FootnoteReference"/>
          <w:rFonts w:ascii="Cambria" w:hAnsi="Cambria"/>
        </w:rPr>
        <w:footnoteRef/>
      </w:r>
      <w:r w:rsidRPr="00E32052">
        <w:rPr>
          <w:rFonts w:ascii="Cambria" w:hAnsi="Cambria"/>
          <w:lang w:val="pt-BR"/>
        </w:rPr>
        <w:t xml:space="preserve"> I/A Court H.R., </w:t>
      </w:r>
      <w:r w:rsidRPr="00E32052">
        <w:rPr>
          <w:rFonts w:ascii="Cambria" w:hAnsi="Cambria"/>
          <w:i/>
          <w:iCs/>
          <w:lang w:val="pt-BR"/>
        </w:rPr>
        <w:t xml:space="preserve">Case of Herrera Ulloa v. </w:t>
      </w:r>
      <w:r w:rsidRPr="00E32052">
        <w:rPr>
          <w:rFonts w:ascii="Cambria" w:hAnsi="Cambria"/>
          <w:i/>
          <w:iCs/>
        </w:rPr>
        <w:t>Costa Rica</w:t>
      </w:r>
      <w:r w:rsidRPr="00E32052">
        <w:rPr>
          <w:rFonts w:ascii="Cambria" w:hAnsi="Cambria"/>
        </w:rPr>
        <w:t>, Preliminary Objections, Merits</w:t>
      </w:r>
      <w:r w:rsidRPr="001237DE">
        <w:rPr>
          <w:rFonts w:ascii="Cambria" w:hAnsi="Cambria"/>
        </w:rPr>
        <w:t>, Reparations</w:t>
      </w:r>
      <w:r>
        <w:rPr>
          <w:rFonts w:ascii="Cambria" w:hAnsi="Cambria"/>
        </w:rPr>
        <w:t>, and Costs</w:t>
      </w:r>
      <w:r w:rsidRPr="001237DE">
        <w:rPr>
          <w:rFonts w:ascii="Cambria" w:hAnsi="Cambria"/>
        </w:rPr>
        <w:t>, Judgment of</w:t>
      </w:r>
      <w:r>
        <w:rPr>
          <w:rFonts w:ascii="Cambria" w:hAnsi="Cambria"/>
        </w:rPr>
        <w:t xml:space="preserve"> July</w:t>
      </w:r>
      <w:r w:rsidRPr="001237DE">
        <w:rPr>
          <w:rFonts w:ascii="Cambria" w:hAnsi="Cambria"/>
        </w:rPr>
        <w:t xml:space="preserve"> 2</w:t>
      </w:r>
      <w:r>
        <w:rPr>
          <w:rFonts w:ascii="Cambria" w:hAnsi="Cambria"/>
        </w:rPr>
        <w:t xml:space="preserve">, </w:t>
      </w:r>
      <w:r w:rsidRPr="001237DE">
        <w:rPr>
          <w:rFonts w:ascii="Cambria" w:hAnsi="Cambria"/>
        </w:rPr>
        <w:t>2004</w:t>
      </w:r>
      <w:r>
        <w:rPr>
          <w:rFonts w:ascii="Cambria" w:hAnsi="Cambria"/>
        </w:rPr>
        <w:t>,</w:t>
      </w:r>
      <w:r w:rsidRPr="001237DE">
        <w:rPr>
          <w:rFonts w:ascii="Cambria" w:hAnsi="Cambria"/>
        </w:rPr>
        <w:t xml:space="preserve"> Series C No. 107, </w:t>
      </w:r>
      <w:r>
        <w:rPr>
          <w:rFonts w:ascii="Cambria" w:hAnsi="Cambria"/>
        </w:rPr>
        <w:t>para</w:t>
      </w:r>
      <w:r w:rsidRPr="001237DE">
        <w:rPr>
          <w:rFonts w:ascii="Cambria" w:hAnsi="Cambria"/>
        </w:rPr>
        <w:t xml:space="preserve">. </w:t>
      </w:r>
      <w:r w:rsidRPr="0051009A">
        <w:rPr>
          <w:rFonts w:ascii="Cambria" w:hAnsi="Cambria"/>
        </w:rPr>
        <w:t>165.</w:t>
      </w:r>
      <w:r w:rsidRPr="0051009A">
        <w:rPr>
          <w:rFonts w:ascii="Cambria" w:hAnsi="Cambria"/>
        </w:rPr>
        <w:tab/>
      </w:r>
    </w:p>
  </w:footnote>
  <w:footnote w:id="89">
    <w:p w14:paraId="7760C787" w14:textId="77777777" w:rsidR="00E10F82" w:rsidRPr="0051009A" w:rsidRDefault="00E10F82" w:rsidP="00CC142C">
      <w:pPr>
        <w:jc w:val="both"/>
        <w:rPr>
          <w:rFonts w:ascii="Cambria" w:hAnsi="Cambria"/>
          <w:sz w:val="16"/>
          <w:szCs w:val="16"/>
        </w:rPr>
      </w:pPr>
      <w:r w:rsidRPr="001E3078">
        <w:rPr>
          <w:rStyle w:val="FootnoteReference"/>
          <w:rFonts w:ascii="Cambria" w:hAnsi="Cambria"/>
          <w:sz w:val="16"/>
          <w:szCs w:val="16"/>
        </w:rPr>
        <w:footnoteRef/>
      </w:r>
      <w:r w:rsidRPr="001237DE">
        <w:rPr>
          <w:rFonts w:ascii="Cambria" w:hAnsi="Cambria"/>
          <w:sz w:val="16"/>
          <w:szCs w:val="16"/>
        </w:rPr>
        <w:t xml:space="preserve"> I/A Court H.R., </w:t>
      </w:r>
      <w:r w:rsidRPr="001237DE">
        <w:rPr>
          <w:rFonts w:ascii="Cambria" w:hAnsi="Cambria"/>
          <w:i/>
          <w:iCs/>
          <w:sz w:val="16"/>
          <w:szCs w:val="16"/>
        </w:rPr>
        <w:t>Case of Mendoza et al. v. Argentina</w:t>
      </w:r>
      <w:r>
        <w:rPr>
          <w:rFonts w:ascii="Cambria" w:hAnsi="Cambria"/>
          <w:sz w:val="16"/>
          <w:szCs w:val="16"/>
        </w:rPr>
        <w:t>,</w:t>
      </w:r>
      <w:r w:rsidRPr="001237DE">
        <w:rPr>
          <w:rFonts w:ascii="Cambria" w:hAnsi="Cambria"/>
          <w:sz w:val="16"/>
          <w:szCs w:val="16"/>
        </w:rPr>
        <w:t xml:space="preserve"> Preliminary Objections, Merits, and Reparations, Judgment of May</w:t>
      </w:r>
      <w:r>
        <w:rPr>
          <w:rFonts w:ascii="Cambria" w:hAnsi="Cambria"/>
          <w:sz w:val="16"/>
          <w:szCs w:val="16"/>
        </w:rPr>
        <w:t xml:space="preserve"> 14, 2013, </w:t>
      </w:r>
      <w:r w:rsidRPr="001237DE">
        <w:rPr>
          <w:rFonts w:ascii="Cambria" w:hAnsi="Cambria"/>
          <w:sz w:val="16"/>
          <w:szCs w:val="16"/>
        </w:rPr>
        <w:t>Serie</w:t>
      </w:r>
      <w:r>
        <w:rPr>
          <w:rFonts w:ascii="Cambria" w:hAnsi="Cambria"/>
          <w:sz w:val="16"/>
          <w:szCs w:val="16"/>
        </w:rPr>
        <w:t>s</w:t>
      </w:r>
      <w:r w:rsidRPr="001237DE">
        <w:rPr>
          <w:rFonts w:ascii="Cambria" w:hAnsi="Cambria"/>
          <w:sz w:val="16"/>
          <w:szCs w:val="16"/>
        </w:rPr>
        <w:t xml:space="preserve"> C. No. 260, </w:t>
      </w:r>
      <w:r>
        <w:rPr>
          <w:rFonts w:ascii="Cambria" w:hAnsi="Cambria"/>
          <w:sz w:val="16"/>
          <w:szCs w:val="16"/>
        </w:rPr>
        <w:t>para</w:t>
      </w:r>
      <w:r w:rsidRPr="001237DE">
        <w:rPr>
          <w:rFonts w:ascii="Cambria" w:hAnsi="Cambria"/>
          <w:sz w:val="16"/>
          <w:szCs w:val="16"/>
        </w:rPr>
        <w:t xml:space="preserve">. </w:t>
      </w:r>
      <w:r w:rsidRPr="0051009A">
        <w:rPr>
          <w:rFonts w:ascii="Cambria" w:hAnsi="Cambria"/>
          <w:sz w:val="16"/>
          <w:szCs w:val="16"/>
        </w:rPr>
        <w:t>245.</w:t>
      </w:r>
      <w:r w:rsidRPr="0051009A">
        <w:rPr>
          <w:rFonts w:ascii="Cambria" w:hAnsi="Cambria"/>
          <w:sz w:val="16"/>
          <w:szCs w:val="16"/>
        </w:rPr>
        <w:tab/>
        <w:t xml:space="preserve"> </w:t>
      </w:r>
    </w:p>
  </w:footnote>
  <w:footnote w:id="90">
    <w:p w14:paraId="56D389C4" w14:textId="77777777" w:rsidR="00E10F82" w:rsidRPr="00E32052" w:rsidRDefault="00E10F82" w:rsidP="00882572">
      <w:pPr>
        <w:pStyle w:val="FootnoteText"/>
      </w:pPr>
      <w:r w:rsidRPr="00E32052">
        <w:rPr>
          <w:rStyle w:val="FootnoteReference"/>
        </w:rPr>
        <w:footnoteRef/>
      </w:r>
      <w:r w:rsidRPr="00E32052">
        <w:t xml:space="preserve"> IACHR, Report No. 33/14, Case 12.820, Manfred Amrhein et al., Costa Rica, April 4, 2014, para.186 and ff.</w:t>
      </w:r>
    </w:p>
  </w:footnote>
  <w:footnote w:id="91">
    <w:p w14:paraId="0C590AA2" w14:textId="77777777" w:rsidR="00E10F82" w:rsidRPr="0051009A" w:rsidRDefault="00E10F82" w:rsidP="00B01DC2">
      <w:pPr>
        <w:tabs>
          <w:tab w:val="left" w:pos="180"/>
          <w:tab w:val="left" w:pos="900"/>
          <w:tab w:val="left" w:pos="1080"/>
        </w:tabs>
        <w:jc w:val="both"/>
        <w:rPr>
          <w:rFonts w:asciiTheme="majorHAnsi" w:hAnsiTheme="majorHAnsi"/>
          <w:sz w:val="16"/>
          <w:szCs w:val="16"/>
        </w:rPr>
      </w:pPr>
      <w:r w:rsidRPr="00E32052">
        <w:rPr>
          <w:rStyle w:val="FootnoteReference"/>
          <w:rFonts w:asciiTheme="majorHAnsi" w:hAnsiTheme="majorHAnsi"/>
          <w:sz w:val="16"/>
          <w:szCs w:val="16"/>
        </w:rPr>
        <w:footnoteRef/>
      </w:r>
      <w:r w:rsidRPr="00E32052">
        <w:rPr>
          <w:rFonts w:asciiTheme="majorHAnsi" w:hAnsiTheme="majorHAnsi"/>
          <w:color w:val="000000"/>
          <w:sz w:val="16"/>
          <w:szCs w:val="16"/>
        </w:rPr>
        <w:t xml:space="preserve">I/A Court H.R., </w:t>
      </w:r>
      <w:r w:rsidRPr="00E32052">
        <w:rPr>
          <w:rFonts w:asciiTheme="majorHAnsi" w:hAnsiTheme="majorHAnsi"/>
          <w:i/>
          <w:iCs/>
          <w:color w:val="000000"/>
          <w:sz w:val="16"/>
          <w:szCs w:val="16"/>
        </w:rPr>
        <w:t>Case of the Dismissed Congressional Employees</w:t>
      </w:r>
      <w:r w:rsidRPr="00E32052">
        <w:rPr>
          <w:rFonts w:asciiTheme="majorHAnsi" w:hAnsiTheme="majorHAnsi"/>
          <w:bCs/>
          <w:i/>
          <w:iCs/>
          <w:color w:val="000000"/>
          <w:sz w:val="16"/>
          <w:szCs w:val="16"/>
        </w:rPr>
        <w:t xml:space="preserve"> (Aguado Alfaro et al) v. Peru</w:t>
      </w:r>
      <w:r w:rsidRPr="00E32052">
        <w:rPr>
          <w:rFonts w:asciiTheme="majorHAnsi" w:hAnsiTheme="majorHAnsi"/>
          <w:bCs/>
          <w:color w:val="000000"/>
          <w:sz w:val="16"/>
          <w:szCs w:val="16"/>
        </w:rPr>
        <w:t>, Preliminary Objections, Merits, Reparations, and Costs, Judgment of November</w:t>
      </w:r>
      <w:r w:rsidRPr="00E32052">
        <w:rPr>
          <w:rFonts w:asciiTheme="majorHAnsi" w:hAnsiTheme="majorHAnsi"/>
          <w:color w:val="000000"/>
          <w:sz w:val="16"/>
          <w:szCs w:val="16"/>
        </w:rPr>
        <w:t xml:space="preserve"> 24, 2006, Series C No. 158, para. 125; </w:t>
      </w:r>
      <w:r w:rsidRPr="00E32052">
        <w:rPr>
          <w:rFonts w:asciiTheme="majorHAnsi" w:hAnsiTheme="majorHAnsi"/>
          <w:bCs/>
          <w:i/>
          <w:iCs/>
          <w:color w:val="000000"/>
          <w:sz w:val="16"/>
          <w:szCs w:val="16"/>
        </w:rPr>
        <w:t>Case of the Yakye Axa Indigenous Community v. Paraguay</w:t>
      </w:r>
      <w:r w:rsidRPr="00E32052">
        <w:rPr>
          <w:rFonts w:asciiTheme="majorHAnsi" w:hAnsiTheme="majorHAnsi"/>
          <w:bCs/>
          <w:color w:val="000000"/>
          <w:sz w:val="16"/>
          <w:szCs w:val="16"/>
        </w:rPr>
        <w:t xml:space="preserve">, Judgment of June 17, </w:t>
      </w:r>
      <w:r w:rsidRPr="00E32052">
        <w:rPr>
          <w:rFonts w:asciiTheme="majorHAnsi" w:hAnsiTheme="majorHAnsi"/>
          <w:color w:val="000000"/>
          <w:sz w:val="16"/>
          <w:szCs w:val="16"/>
        </w:rPr>
        <w:t>2005, Series C No. 125</w:t>
      </w:r>
      <w:r w:rsidRPr="00E32052">
        <w:rPr>
          <w:rFonts w:asciiTheme="majorHAnsi" w:hAnsiTheme="majorHAnsi"/>
          <w:sz w:val="16"/>
          <w:szCs w:val="16"/>
        </w:rPr>
        <w:t xml:space="preserve">, para.  61; </w:t>
      </w:r>
      <w:r w:rsidRPr="00E32052">
        <w:rPr>
          <w:rFonts w:asciiTheme="majorHAnsi" w:hAnsiTheme="majorHAnsi"/>
          <w:i/>
          <w:iCs/>
          <w:color w:val="000000"/>
          <w:sz w:val="16"/>
          <w:szCs w:val="16"/>
        </w:rPr>
        <w:t>Case of the</w:t>
      </w:r>
      <w:r w:rsidRPr="00E32052">
        <w:rPr>
          <w:rFonts w:asciiTheme="majorHAnsi" w:hAnsiTheme="majorHAnsi"/>
          <w:bCs/>
          <w:i/>
          <w:iCs/>
          <w:color w:val="000000"/>
          <w:sz w:val="16"/>
          <w:szCs w:val="16"/>
        </w:rPr>
        <w:t xml:space="preserve"> "Five Pensioners" v. Peru</w:t>
      </w:r>
      <w:r w:rsidRPr="00E32052">
        <w:rPr>
          <w:rFonts w:asciiTheme="majorHAnsi" w:hAnsiTheme="majorHAnsi"/>
          <w:bCs/>
          <w:color w:val="000000"/>
          <w:sz w:val="16"/>
          <w:szCs w:val="16"/>
        </w:rPr>
        <w:t>, Judgment</w:t>
      </w:r>
      <w:r w:rsidRPr="002D74FF">
        <w:rPr>
          <w:rFonts w:asciiTheme="majorHAnsi" w:hAnsiTheme="majorHAnsi"/>
          <w:bCs/>
          <w:color w:val="000000"/>
          <w:sz w:val="16"/>
          <w:szCs w:val="16"/>
        </w:rPr>
        <w:t xml:space="preserve"> of February</w:t>
      </w:r>
      <w:r>
        <w:rPr>
          <w:rFonts w:asciiTheme="majorHAnsi" w:hAnsiTheme="majorHAnsi"/>
          <w:bCs/>
          <w:color w:val="000000"/>
          <w:sz w:val="16"/>
          <w:szCs w:val="16"/>
        </w:rPr>
        <w:t xml:space="preserve"> </w:t>
      </w:r>
      <w:r w:rsidRPr="002D74FF">
        <w:rPr>
          <w:rFonts w:asciiTheme="majorHAnsi" w:hAnsiTheme="majorHAnsi"/>
          <w:color w:val="000000"/>
          <w:sz w:val="16"/>
          <w:szCs w:val="16"/>
        </w:rPr>
        <w:t>28</w:t>
      </w:r>
      <w:r>
        <w:rPr>
          <w:rFonts w:asciiTheme="majorHAnsi" w:hAnsiTheme="majorHAnsi"/>
          <w:color w:val="000000"/>
          <w:sz w:val="16"/>
          <w:szCs w:val="16"/>
        </w:rPr>
        <w:t xml:space="preserve">, </w:t>
      </w:r>
      <w:r w:rsidRPr="002D74FF">
        <w:rPr>
          <w:rFonts w:asciiTheme="majorHAnsi" w:hAnsiTheme="majorHAnsi"/>
          <w:color w:val="000000"/>
          <w:sz w:val="16"/>
          <w:szCs w:val="16"/>
        </w:rPr>
        <w:t xml:space="preserve">2003. </w:t>
      </w:r>
      <w:r w:rsidRPr="0051009A">
        <w:rPr>
          <w:rFonts w:asciiTheme="majorHAnsi" w:hAnsiTheme="majorHAnsi"/>
          <w:color w:val="000000"/>
          <w:sz w:val="16"/>
          <w:szCs w:val="16"/>
        </w:rPr>
        <w:t>Serie</w:t>
      </w:r>
      <w:r>
        <w:rPr>
          <w:rFonts w:asciiTheme="majorHAnsi" w:hAnsiTheme="majorHAnsi"/>
          <w:color w:val="000000"/>
          <w:sz w:val="16"/>
          <w:szCs w:val="16"/>
        </w:rPr>
        <w:t>s</w:t>
      </w:r>
      <w:r w:rsidRPr="0051009A">
        <w:rPr>
          <w:rFonts w:asciiTheme="majorHAnsi" w:hAnsiTheme="majorHAnsi"/>
          <w:color w:val="000000"/>
          <w:sz w:val="16"/>
          <w:szCs w:val="16"/>
        </w:rPr>
        <w:t xml:space="preserve"> C No. 98</w:t>
      </w:r>
      <w:r w:rsidRPr="0051009A">
        <w:rPr>
          <w:rFonts w:asciiTheme="majorHAnsi" w:hAnsiTheme="majorHAnsi"/>
          <w:sz w:val="16"/>
          <w:szCs w:val="16"/>
        </w:rPr>
        <w:t>, para. 136.</w:t>
      </w:r>
    </w:p>
  </w:footnote>
  <w:footnote w:id="92">
    <w:p w14:paraId="4EF9A7F1" w14:textId="77777777" w:rsidR="00E10F82" w:rsidRPr="008E4033" w:rsidRDefault="00E10F82">
      <w:pPr>
        <w:pStyle w:val="FootnoteText"/>
      </w:pPr>
      <w:r>
        <w:rPr>
          <w:rStyle w:val="FootnoteReference"/>
        </w:rPr>
        <w:footnoteRef/>
      </w:r>
      <w:r w:rsidRPr="008E4033">
        <w:t xml:space="preserve"> Article 23 of the American Convention establishes the following, in its pertinent sections: “1. Every citizen shall enjoy the following rights and opportunities: …c. </w:t>
      </w:r>
      <w:r w:rsidRPr="008E4033">
        <w:rPr>
          <w:rFonts w:eastAsia="Times New Roman"/>
        </w:rPr>
        <w:t>to hav</w:t>
      </w:r>
      <w:r>
        <w:rPr>
          <w:rFonts w:eastAsia="Times New Roman"/>
        </w:rPr>
        <w:t>e access, under general conditions of equality, to the public service of his country</w:t>
      </w:r>
      <w:r w:rsidRPr="008E4033">
        <w:rPr>
          <w:rFonts w:eastAsia="Times New Roman"/>
        </w:rPr>
        <w:t xml:space="preserve">. </w:t>
      </w:r>
      <w:r w:rsidRPr="008E4033">
        <w:t xml:space="preserve">2. </w:t>
      </w:r>
      <w:r w:rsidRPr="008E4033">
        <w:rPr>
          <w:rFonts w:eastAsia="Times New Roman"/>
        </w:rPr>
        <w:t>The law may regulate the exercise of the rights and opportunities referred to in the preceding paragraph only on the basis of age, nationality, residence, language, education, civil and mental capacity</w:t>
      </w:r>
      <w:r>
        <w:rPr>
          <w:rFonts w:eastAsia="Times New Roman"/>
        </w:rPr>
        <w:t>, or sentencing by a competent court in criminal proceedings.”</w:t>
      </w:r>
    </w:p>
  </w:footnote>
  <w:footnote w:id="93">
    <w:p w14:paraId="5AACA024" w14:textId="77777777" w:rsidR="00E10F82" w:rsidRPr="00F50AFA" w:rsidRDefault="00E10F82" w:rsidP="00BD04E6">
      <w:pPr>
        <w:jc w:val="both"/>
        <w:rPr>
          <w:rFonts w:asciiTheme="majorHAnsi" w:hAnsiTheme="majorHAnsi"/>
          <w:sz w:val="16"/>
          <w:szCs w:val="16"/>
          <w:lang w:val="es-CO"/>
        </w:rPr>
      </w:pPr>
      <w:r w:rsidRPr="00BE6681">
        <w:rPr>
          <w:rStyle w:val="FootnoteReference"/>
          <w:rFonts w:asciiTheme="majorHAnsi" w:hAnsiTheme="majorHAnsi"/>
          <w:sz w:val="16"/>
          <w:szCs w:val="16"/>
        </w:rPr>
        <w:footnoteRef/>
      </w:r>
      <w:r w:rsidRPr="0051009A">
        <w:rPr>
          <w:rFonts w:asciiTheme="majorHAnsi" w:hAnsiTheme="majorHAnsi"/>
          <w:sz w:val="16"/>
          <w:szCs w:val="16"/>
        </w:rPr>
        <w:t xml:space="preserve"> IACHR, Report No. 72/17, Case 13.019, Merits, Eduardo Rico, Argentina, July 5, 2017, para. </w:t>
      </w:r>
      <w:r w:rsidRPr="0034062B">
        <w:rPr>
          <w:rFonts w:asciiTheme="majorHAnsi" w:hAnsiTheme="majorHAnsi"/>
          <w:sz w:val="16"/>
          <w:szCs w:val="16"/>
        </w:rPr>
        <w:t xml:space="preserve">124; I/A Court H.R., </w:t>
      </w:r>
      <w:r w:rsidRPr="0034062B">
        <w:rPr>
          <w:rFonts w:asciiTheme="majorHAnsi" w:hAnsiTheme="majorHAnsi"/>
          <w:bCs/>
          <w:i/>
          <w:iCs/>
          <w:sz w:val="16"/>
          <w:szCs w:val="16"/>
        </w:rPr>
        <w:t xml:space="preserve">Case of </w:t>
      </w:r>
      <w:r w:rsidRPr="0034062B">
        <w:rPr>
          <w:rFonts w:asciiTheme="majorHAnsi" w:eastAsia="Times New Roman" w:hAnsiTheme="majorHAnsi"/>
          <w:bCs/>
          <w:i/>
          <w:iCs/>
          <w:sz w:val="16"/>
          <w:szCs w:val="16"/>
          <w:shd w:val="clear" w:color="auto" w:fill="FFFFFF"/>
        </w:rPr>
        <w:t>López</w:t>
      </w:r>
      <w:r w:rsidRPr="00B72232">
        <w:rPr>
          <w:rFonts w:ascii="Cambria" w:eastAsia="Times New Roman" w:hAnsi="Cambria"/>
          <w:bCs/>
          <w:i/>
          <w:iCs/>
          <w:sz w:val="16"/>
          <w:szCs w:val="16"/>
          <w:shd w:val="clear" w:color="auto" w:fill="FFFFFF"/>
        </w:rPr>
        <w:t xml:space="preserve"> Lone et al. v. Honduras</w:t>
      </w:r>
      <w:r w:rsidRPr="00B72232">
        <w:rPr>
          <w:rFonts w:ascii="Cambria" w:eastAsia="Times New Roman" w:hAnsi="Cambria"/>
          <w:bCs/>
          <w:sz w:val="16"/>
          <w:szCs w:val="16"/>
          <w:shd w:val="clear" w:color="auto" w:fill="FFFFFF"/>
        </w:rPr>
        <w:t>, Preliminary Objection, Merits, Reparations, and Costs, Judgment of October 5, 2015, Series C No. 302, para</w:t>
      </w:r>
      <w:r w:rsidRPr="00B72232">
        <w:rPr>
          <w:rFonts w:asciiTheme="majorHAnsi" w:eastAsia="Times New Roman" w:hAnsiTheme="majorHAnsi"/>
          <w:bCs/>
          <w:sz w:val="16"/>
          <w:szCs w:val="16"/>
          <w:shd w:val="clear" w:color="auto" w:fill="FFFFFF"/>
        </w:rPr>
        <w:t xml:space="preserve">. </w:t>
      </w:r>
      <w:r w:rsidRPr="00F50AFA">
        <w:rPr>
          <w:rFonts w:asciiTheme="majorHAnsi" w:eastAsia="Times New Roman" w:hAnsiTheme="majorHAnsi"/>
          <w:bCs/>
          <w:sz w:val="16"/>
          <w:szCs w:val="16"/>
          <w:shd w:val="clear" w:color="auto" w:fill="FFFFFF"/>
          <w:lang w:val="es-CO"/>
        </w:rPr>
        <w:t>192.</w:t>
      </w:r>
    </w:p>
  </w:footnote>
  <w:footnote w:id="94">
    <w:p w14:paraId="2B886BE2" w14:textId="77777777" w:rsidR="00E10F82" w:rsidRPr="00084D0D" w:rsidRDefault="00E10F82">
      <w:pPr>
        <w:pStyle w:val="FootnoteText"/>
        <w:rPr>
          <w:lang w:val="es-BO"/>
        </w:rPr>
      </w:pPr>
      <w:r>
        <w:rPr>
          <w:rStyle w:val="FootnoteReference"/>
        </w:rPr>
        <w:footnoteRef/>
      </w:r>
      <w:r w:rsidRPr="0034062B">
        <w:rPr>
          <w:lang w:val="es-CO"/>
        </w:rPr>
        <w:t xml:space="preserve"> IACHR, Report No. 116/18, Case 12.975, Merits, </w:t>
      </w:r>
      <w:r w:rsidRPr="00084D0D">
        <w:rPr>
          <w:lang w:val="es-MX"/>
        </w:rPr>
        <w:t>Julio Casa Nina</w:t>
      </w:r>
      <w:r>
        <w:rPr>
          <w:lang w:val="es-MX"/>
        </w:rPr>
        <w:t>, Peru, October 5, 2018, para.</w:t>
      </w:r>
      <w:r>
        <w:rPr>
          <w:lang w:val="es-BO"/>
        </w:rPr>
        <w:t xml:space="preserve"> 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AD68" w14:textId="77777777" w:rsidR="00E10F82" w:rsidRDefault="00E10F82" w:rsidP="00A02ACB">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08043631" w14:textId="77777777" w:rsidR="00E10F82" w:rsidRDefault="00E10F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6339D" w14:textId="77777777" w:rsidR="00E10F82" w:rsidRDefault="00E10F82" w:rsidP="00A50FCF">
    <w:pPr>
      <w:pStyle w:val="Header"/>
      <w:tabs>
        <w:tab w:val="clear" w:pos="4320"/>
        <w:tab w:val="clear" w:pos="8640"/>
      </w:tabs>
      <w:jc w:val="center"/>
      <w:rPr>
        <w:sz w:val="22"/>
        <w:szCs w:val="22"/>
      </w:rPr>
    </w:pPr>
    <w:r>
      <w:rPr>
        <w:noProof/>
        <w:sz w:val="22"/>
        <w:szCs w:val="22"/>
      </w:rPr>
      <w:drawing>
        <wp:inline distT="0" distB="0" distL="0" distR="0" wp14:anchorId="2BD6E25A" wp14:editId="6DB6684A">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7AB6CCD2" w14:textId="77777777" w:rsidR="00E10F82" w:rsidRPr="00EC7D62" w:rsidRDefault="00A56611" w:rsidP="00A50FCF">
    <w:pPr>
      <w:pStyle w:val="Header"/>
      <w:tabs>
        <w:tab w:val="clear" w:pos="4320"/>
        <w:tab w:val="clear" w:pos="8640"/>
      </w:tabs>
      <w:jc w:val="center"/>
      <w:rPr>
        <w:sz w:val="22"/>
        <w:szCs w:val="22"/>
      </w:rPr>
    </w:pPr>
    <w:r>
      <w:rPr>
        <w:sz w:val="22"/>
        <w:szCs w:val="22"/>
      </w:rPr>
      <w:pict w14:anchorId="09CBD7AC">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6C5B1D"/>
    <w:multiLevelType w:val="hybridMultilevel"/>
    <w:tmpl w:val="ABF2DEFC"/>
    <w:lvl w:ilvl="0" w:tplc="90CC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8"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1"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3"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1"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72A0BA1"/>
    <w:multiLevelType w:val="hybridMultilevel"/>
    <w:tmpl w:val="5AE44D4C"/>
    <w:lvl w:ilvl="0" w:tplc="D4880C5E">
      <w:start w:val="1"/>
      <w:numFmt w:val="upperRoman"/>
      <w:pStyle w:val="Heading1"/>
      <w:lvlText w:val="%1."/>
      <w:lvlJc w:val="left"/>
      <w:pPr>
        <w:ind w:left="720" w:hanging="72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0"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C3360A6"/>
    <w:multiLevelType w:val="multilevel"/>
    <w:tmpl w:val="B3CE7A6E"/>
    <w:lvl w:ilvl="0">
      <w:start w:val="1"/>
      <w:numFmt w:val="decimal"/>
      <w:pStyle w:val="Heading3"/>
      <w:lvlText w:val="%1."/>
      <w:lvlJc w:val="left"/>
      <w:pPr>
        <w:ind w:left="720" w:hanging="360"/>
      </w:pPr>
      <w:rPr>
        <w:rFonts w:ascii="Cambria" w:hAnsi="Cambria" w:hint="default"/>
        <w:b/>
        <w:color w:val="auto"/>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5D7D4B9D"/>
    <w:multiLevelType w:val="hybridMultilevel"/>
    <w:tmpl w:val="5192CA0A"/>
    <w:lvl w:ilvl="0" w:tplc="7A929BB8">
      <w:start w:val="1"/>
      <w:numFmt w:val="decimal"/>
      <w:pStyle w:val="parrafos"/>
      <w:lvlText w:val="%1."/>
      <w:lvlJc w:val="left"/>
      <w:pPr>
        <w:ind w:left="720" w:hanging="360"/>
      </w:pPr>
      <w:rPr>
        <w:rFonts w:ascii="Cambria" w:hAnsi="Cambria" w:hint="default"/>
        <w:b w:val="0"/>
        <w:i w:val="0"/>
        <w:sz w:val="20"/>
        <w:szCs w:val="20"/>
        <w:lang w:val="es-V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5146B17"/>
    <w:multiLevelType w:val="hybridMultilevel"/>
    <w:tmpl w:val="98D23910"/>
    <w:lvl w:ilvl="0" w:tplc="A79A8BDA">
      <w:start w:val="1"/>
      <w:numFmt w:val="decimal"/>
      <w:lvlText w:val="%1."/>
      <w:lvlJc w:val="left"/>
      <w:pPr>
        <w:tabs>
          <w:tab w:val="num" w:pos="2160"/>
        </w:tabs>
        <w:ind w:left="2160" w:hanging="1440"/>
      </w:pPr>
      <w:rPr>
        <w:rFonts w:ascii="Calibri" w:hAnsi="Calibri" w:hint="default"/>
        <w:b w:val="0"/>
        <w:i w:val="0"/>
        <w:sz w:val="22"/>
        <w:szCs w:val="20"/>
        <w:lang w:val="es-ES"/>
      </w:rPr>
    </w:lvl>
    <w:lvl w:ilvl="1" w:tplc="04090019">
      <w:start w:val="6"/>
      <w:numFmt w:val="upperRoman"/>
      <w:lvlText w:val="%2."/>
      <w:lvlJc w:val="left"/>
      <w:pPr>
        <w:tabs>
          <w:tab w:val="num" w:pos="2160"/>
        </w:tabs>
        <w:ind w:left="2160" w:hanging="720"/>
      </w:pPr>
      <w:rPr>
        <w:rFonts w:hint="default"/>
      </w:rPr>
    </w:lvl>
    <w:lvl w:ilvl="2" w:tplc="0409001B">
      <w:start w:val="1"/>
      <w:numFmt w:val="upperLetter"/>
      <w:lvlText w:val="%3."/>
      <w:lvlJc w:val="left"/>
      <w:pPr>
        <w:tabs>
          <w:tab w:val="num" w:pos="3060"/>
        </w:tabs>
        <w:ind w:left="3060" w:hanging="720"/>
      </w:pPr>
      <w:rPr>
        <w:rFonts w:hint="default"/>
      </w:rPr>
    </w:lvl>
    <w:lvl w:ilvl="3" w:tplc="1BC6FDD6">
      <w:start w:val="1"/>
      <w:numFmt w:val="lowerRoman"/>
      <w:lvlText w:val="%4."/>
      <w:lvlJc w:val="left"/>
      <w:pPr>
        <w:tabs>
          <w:tab w:val="num" w:pos="3600"/>
        </w:tabs>
        <w:ind w:left="3600" w:hanging="720"/>
      </w:pPr>
      <w:rPr>
        <w:rFonts w:cs="Times New Roman" w:hint="default"/>
      </w:rPr>
    </w:lvl>
    <w:lvl w:ilvl="4" w:tplc="C350752E">
      <w:start w:val="1"/>
      <w:numFmt w:val="lowerRoman"/>
      <w:lvlText w:val="%5)"/>
      <w:lvlJc w:val="left"/>
      <w:pPr>
        <w:tabs>
          <w:tab w:val="num" w:pos="4320"/>
        </w:tabs>
        <w:ind w:left="4320" w:hanging="720"/>
      </w:pPr>
      <w:rPr>
        <w:rFonts w:hint="default"/>
      </w:rPr>
    </w:lvl>
    <w:lvl w:ilvl="5" w:tplc="D396B2D4">
      <w:start w:val="1"/>
      <w:numFmt w:val="lowerLetter"/>
      <w:lvlText w:val="%6."/>
      <w:lvlJc w:val="left"/>
      <w:pPr>
        <w:tabs>
          <w:tab w:val="num" w:pos="4860"/>
        </w:tabs>
        <w:ind w:left="4860" w:hanging="360"/>
      </w:pPr>
      <w:rPr>
        <w:rFonts w:hint="default"/>
      </w:rPr>
    </w:lvl>
    <w:lvl w:ilvl="6" w:tplc="0409000F">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4"/>
  </w:num>
  <w:num w:numId="2">
    <w:abstractNumId w:val="5"/>
  </w:num>
  <w:num w:numId="3">
    <w:abstractNumId w:val="52"/>
  </w:num>
  <w:num w:numId="4">
    <w:abstractNumId w:val="20"/>
  </w:num>
  <w:num w:numId="5">
    <w:abstractNumId w:val="47"/>
  </w:num>
  <w:num w:numId="6">
    <w:abstractNumId w:val="26"/>
  </w:num>
  <w:num w:numId="7">
    <w:abstractNumId w:val="6"/>
  </w:num>
  <w:num w:numId="8">
    <w:abstractNumId w:val="16"/>
  </w:num>
  <w:num w:numId="9">
    <w:abstractNumId w:val="40"/>
  </w:num>
  <w:num w:numId="10">
    <w:abstractNumId w:val="0"/>
  </w:num>
  <w:num w:numId="11">
    <w:abstractNumId w:val="35"/>
  </w:num>
  <w:num w:numId="12">
    <w:abstractNumId w:val="36"/>
  </w:num>
  <w:num w:numId="13">
    <w:abstractNumId w:val="41"/>
  </w:num>
  <w:num w:numId="14">
    <w:abstractNumId w:val="1"/>
  </w:num>
  <w:num w:numId="15">
    <w:abstractNumId w:val="2"/>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14"/>
  </w:num>
  <w:num w:numId="24">
    <w:abstractNumId w:val="15"/>
  </w:num>
  <w:num w:numId="25">
    <w:abstractNumId w:val="17"/>
  </w:num>
  <w:num w:numId="26">
    <w:abstractNumId w:val="18"/>
  </w:num>
  <w:num w:numId="27">
    <w:abstractNumId w:val="21"/>
  </w:num>
  <w:num w:numId="28">
    <w:abstractNumId w:val="22"/>
  </w:num>
  <w:num w:numId="29">
    <w:abstractNumId w:val="23"/>
  </w:num>
  <w:num w:numId="30">
    <w:abstractNumId w:val="25"/>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7"/>
  </w:num>
  <w:num w:numId="40">
    <w:abstractNumId w:val="38"/>
  </w:num>
  <w:num w:numId="41">
    <w:abstractNumId w:val="45"/>
  </w:num>
  <w:num w:numId="42">
    <w:abstractNumId w:val="48"/>
  </w:num>
  <w:num w:numId="43">
    <w:abstractNumId w:val="49"/>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9"/>
  </w:num>
  <w:num w:numId="52">
    <w:abstractNumId w:val="39"/>
  </w:num>
  <w:num w:numId="53">
    <w:abstractNumId w:val="42"/>
  </w:num>
  <w:num w:numId="54">
    <w:abstractNumId w:val="24"/>
  </w:num>
  <w:num w:numId="55">
    <w:abstractNumId w:val="44"/>
  </w:num>
  <w:num w:numId="56">
    <w:abstractNumId w:val="43"/>
  </w:num>
  <w:num w:numId="57">
    <w:abstractNumId w:val="3"/>
  </w:num>
  <w:num w:numId="58">
    <w:abstractNumId w:val="44"/>
    <w:lvlOverride w:ilvl="0">
      <w:startOverride w:val="1"/>
    </w:lvlOverride>
  </w:num>
  <w:num w:numId="59">
    <w:abstractNumId w:val="44"/>
    <w:lvlOverride w:ilvl="0">
      <w:startOverride w:val="1"/>
    </w:lvlOverride>
  </w:num>
  <w:num w:numId="60">
    <w:abstractNumId w:val="44"/>
    <w:lvlOverride w:ilvl="0">
      <w:startOverride w:val="1"/>
    </w:lvlOverride>
  </w:num>
  <w:num w:numId="61">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4098"/>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470E"/>
    <w:rsid w:val="000054D4"/>
    <w:rsid w:val="00006896"/>
    <w:rsid w:val="00006E1F"/>
    <w:rsid w:val="000070D7"/>
    <w:rsid w:val="000158FD"/>
    <w:rsid w:val="0001788C"/>
    <w:rsid w:val="000220D5"/>
    <w:rsid w:val="0002214F"/>
    <w:rsid w:val="00027A6B"/>
    <w:rsid w:val="00027C02"/>
    <w:rsid w:val="00032214"/>
    <w:rsid w:val="00036C4E"/>
    <w:rsid w:val="00040C3A"/>
    <w:rsid w:val="00041CE8"/>
    <w:rsid w:val="00041E30"/>
    <w:rsid w:val="00044112"/>
    <w:rsid w:val="00044714"/>
    <w:rsid w:val="00046691"/>
    <w:rsid w:val="00046ABB"/>
    <w:rsid w:val="00051873"/>
    <w:rsid w:val="00054BE4"/>
    <w:rsid w:val="00056B7C"/>
    <w:rsid w:val="00062550"/>
    <w:rsid w:val="00065208"/>
    <w:rsid w:val="0006565A"/>
    <w:rsid w:val="00067A5D"/>
    <w:rsid w:val="00070712"/>
    <w:rsid w:val="000716C5"/>
    <w:rsid w:val="0007407E"/>
    <w:rsid w:val="00074507"/>
    <w:rsid w:val="000750D9"/>
    <w:rsid w:val="00075E23"/>
    <w:rsid w:val="00080188"/>
    <w:rsid w:val="00084D0D"/>
    <w:rsid w:val="0008768F"/>
    <w:rsid w:val="0009344A"/>
    <w:rsid w:val="00093A2D"/>
    <w:rsid w:val="00095227"/>
    <w:rsid w:val="00096401"/>
    <w:rsid w:val="00096516"/>
    <w:rsid w:val="000967DD"/>
    <w:rsid w:val="00096E23"/>
    <w:rsid w:val="00097C22"/>
    <w:rsid w:val="000A13AB"/>
    <w:rsid w:val="000A1D4B"/>
    <w:rsid w:val="000A392E"/>
    <w:rsid w:val="000A39E4"/>
    <w:rsid w:val="000A575F"/>
    <w:rsid w:val="000A576A"/>
    <w:rsid w:val="000A6AE3"/>
    <w:rsid w:val="000B2B09"/>
    <w:rsid w:val="000B3213"/>
    <w:rsid w:val="000B5072"/>
    <w:rsid w:val="000B7F13"/>
    <w:rsid w:val="000C0DC3"/>
    <w:rsid w:val="000C0FC5"/>
    <w:rsid w:val="000C4872"/>
    <w:rsid w:val="000C48C7"/>
    <w:rsid w:val="000C651A"/>
    <w:rsid w:val="000D02E6"/>
    <w:rsid w:val="000D10DB"/>
    <w:rsid w:val="000D2978"/>
    <w:rsid w:val="000D3E0A"/>
    <w:rsid w:val="000D5E6E"/>
    <w:rsid w:val="000E0C8F"/>
    <w:rsid w:val="000E1192"/>
    <w:rsid w:val="000E2E89"/>
    <w:rsid w:val="000E5EB5"/>
    <w:rsid w:val="000F1D7E"/>
    <w:rsid w:val="000F35ED"/>
    <w:rsid w:val="000F63AA"/>
    <w:rsid w:val="000F762B"/>
    <w:rsid w:val="000F76A6"/>
    <w:rsid w:val="0010134C"/>
    <w:rsid w:val="001045F8"/>
    <w:rsid w:val="00107131"/>
    <w:rsid w:val="0010736F"/>
    <w:rsid w:val="00107E65"/>
    <w:rsid w:val="001116E4"/>
    <w:rsid w:val="00113F73"/>
    <w:rsid w:val="00120F3A"/>
    <w:rsid w:val="00121CC2"/>
    <w:rsid w:val="001237DE"/>
    <w:rsid w:val="001322BE"/>
    <w:rsid w:val="00133EE5"/>
    <w:rsid w:val="00134505"/>
    <w:rsid w:val="00150796"/>
    <w:rsid w:val="00152A34"/>
    <w:rsid w:val="00154511"/>
    <w:rsid w:val="00156ECD"/>
    <w:rsid w:val="00161D34"/>
    <w:rsid w:val="00166189"/>
    <w:rsid w:val="00166FCA"/>
    <w:rsid w:val="00167A34"/>
    <w:rsid w:val="00171F9E"/>
    <w:rsid w:val="001724E1"/>
    <w:rsid w:val="001768EE"/>
    <w:rsid w:val="0018078B"/>
    <w:rsid w:val="00181F34"/>
    <w:rsid w:val="00183B09"/>
    <w:rsid w:val="00184975"/>
    <w:rsid w:val="00186627"/>
    <w:rsid w:val="00186DB1"/>
    <w:rsid w:val="00192D76"/>
    <w:rsid w:val="00193800"/>
    <w:rsid w:val="00193F65"/>
    <w:rsid w:val="00196349"/>
    <w:rsid w:val="001A3824"/>
    <w:rsid w:val="001A4C52"/>
    <w:rsid w:val="001A4D23"/>
    <w:rsid w:val="001A4D2B"/>
    <w:rsid w:val="001A5087"/>
    <w:rsid w:val="001A7870"/>
    <w:rsid w:val="001A7EB2"/>
    <w:rsid w:val="001B1EBB"/>
    <w:rsid w:val="001B389A"/>
    <w:rsid w:val="001B4226"/>
    <w:rsid w:val="001B4A50"/>
    <w:rsid w:val="001B629D"/>
    <w:rsid w:val="001B62CA"/>
    <w:rsid w:val="001B7B7B"/>
    <w:rsid w:val="001B7CAE"/>
    <w:rsid w:val="001C0335"/>
    <w:rsid w:val="001C103F"/>
    <w:rsid w:val="001C1AFB"/>
    <w:rsid w:val="001C1B41"/>
    <w:rsid w:val="001C4415"/>
    <w:rsid w:val="001C4760"/>
    <w:rsid w:val="001D18C7"/>
    <w:rsid w:val="001D2231"/>
    <w:rsid w:val="001D334F"/>
    <w:rsid w:val="001D60A3"/>
    <w:rsid w:val="001D65EF"/>
    <w:rsid w:val="001E0A9E"/>
    <w:rsid w:val="001E15B6"/>
    <w:rsid w:val="001E39D0"/>
    <w:rsid w:val="001E3D51"/>
    <w:rsid w:val="001F19E3"/>
    <w:rsid w:val="001F555A"/>
    <w:rsid w:val="001F6009"/>
    <w:rsid w:val="00202589"/>
    <w:rsid w:val="00204B61"/>
    <w:rsid w:val="0020542B"/>
    <w:rsid w:val="00213016"/>
    <w:rsid w:val="00214A53"/>
    <w:rsid w:val="00214B95"/>
    <w:rsid w:val="00215AD4"/>
    <w:rsid w:val="002165D9"/>
    <w:rsid w:val="002170E3"/>
    <w:rsid w:val="002171EA"/>
    <w:rsid w:val="00221C61"/>
    <w:rsid w:val="00222538"/>
    <w:rsid w:val="0022273F"/>
    <w:rsid w:val="002250A3"/>
    <w:rsid w:val="0022662D"/>
    <w:rsid w:val="00234739"/>
    <w:rsid w:val="00235217"/>
    <w:rsid w:val="002367D4"/>
    <w:rsid w:val="0024165E"/>
    <w:rsid w:val="00246D1F"/>
    <w:rsid w:val="00247403"/>
    <w:rsid w:val="00247542"/>
    <w:rsid w:val="00252902"/>
    <w:rsid w:val="00260BBE"/>
    <w:rsid w:val="00261A07"/>
    <w:rsid w:val="00261DCC"/>
    <w:rsid w:val="00264528"/>
    <w:rsid w:val="002649F7"/>
    <w:rsid w:val="00266B61"/>
    <w:rsid w:val="0026712A"/>
    <w:rsid w:val="002704DB"/>
    <w:rsid w:val="0027180E"/>
    <w:rsid w:val="00275A98"/>
    <w:rsid w:val="00276DF8"/>
    <w:rsid w:val="00277D10"/>
    <w:rsid w:val="00277EF9"/>
    <w:rsid w:val="00280B27"/>
    <w:rsid w:val="00280DDD"/>
    <w:rsid w:val="002827DD"/>
    <w:rsid w:val="00283BB0"/>
    <w:rsid w:val="00287171"/>
    <w:rsid w:val="0028739B"/>
    <w:rsid w:val="002877A9"/>
    <w:rsid w:val="0029041E"/>
    <w:rsid w:val="00290459"/>
    <w:rsid w:val="00290AE3"/>
    <w:rsid w:val="002938EF"/>
    <w:rsid w:val="00294AC6"/>
    <w:rsid w:val="002A0AAE"/>
    <w:rsid w:val="002A14BB"/>
    <w:rsid w:val="002A5820"/>
    <w:rsid w:val="002A5F5B"/>
    <w:rsid w:val="002A7DF7"/>
    <w:rsid w:val="002B29A4"/>
    <w:rsid w:val="002B65F9"/>
    <w:rsid w:val="002B6FA5"/>
    <w:rsid w:val="002C25BB"/>
    <w:rsid w:val="002D2B26"/>
    <w:rsid w:val="002D4BA9"/>
    <w:rsid w:val="002D50D9"/>
    <w:rsid w:val="002D74FF"/>
    <w:rsid w:val="002D7EA2"/>
    <w:rsid w:val="002E187C"/>
    <w:rsid w:val="002E38CB"/>
    <w:rsid w:val="002E3D27"/>
    <w:rsid w:val="002E4AEA"/>
    <w:rsid w:val="002E5677"/>
    <w:rsid w:val="002E5D94"/>
    <w:rsid w:val="002E7B27"/>
    <w:rsid w:val="002F079D"/>
    <w:rsid w:val="002F3682"/>
    <w:rsid w:val="002F4699"/>
    <w:rsid w:val="002F5457"/>
    <w:rsid w:val="002F5504"/>
    <w:rsid w:val="002F6661"/>
    <w:rsid w:val="002F6CEF"/>
    <w:rsid w:val="0030022F"/>
    <w:rsid w:val="00301CEA"/>
    <w:rsid w:val="00302733"/>
    <w:rsid w:val="00303D52"/>
    <w:rsid w:val="00306532"/>
    <w:rsid w:val="003067C5"/>
    <w:rsid w:val="00307ABC"/>
    <w:rsid w:val="00310A6D"/>
    <w:rsid w:val="00310EEC"/>
    <w:rsid w:val="0031160D"/>
    <w:rsid w:val="00314078"/>
    <w:rsid w:val="0031535D"/>
    <w:rsid w:val="00322513"/>
    <w:rsid w:val="00322B86"/>
    <w:rsid w:val="00324393"/>
    <w:rsid w:val="0032742E"/>
    <w:rsid w:val="0033028D"/>
    <w:rsid w:val="003310DC"/>
    <w:rsid w:val="0033169F"/>
    <w:rsid w:val="003340D9"/>
    <w:rsid w:val="00337283"/>
    <w:rsid w:val="00340076"/>
    <w:rsid w:val="0034062B"/>
    <w:rsid w:val="0034108B"/>
    <w:rsid w:val="00342933"/>
    <w:rsid w:val="00343904"/>
    <w:rsid w:val="00344254"/>
    <w:rsid w:val="00345BBA"/>
    <w:rsid w:val="00346C95"/>
    <w:rsid w:val="003470C9"/>
    <w:rsid w:val="0034763C"/>
    <w:rsid w:val="00351608"/>
    <w:rsid w:val="00351BA6"/>
    <w:rsid w:val="00353024"/>
    <w:rsid w:val="0035448F"/>
    <w:rsid w:val="00355EA1"/>
    <w:rsid w:val="00356185"/>
    <w:rsid w:val="00360380"/>
    <w:rsid w:val="00361415"/>
    <w:rsid w:val="00361CA7"/>
    <w:rsid w:val="0036232B"/>
    <w:rsid w:val="00362DFE"/>
    <w:rsid w:val="00364435"/>
    <w:rsid w:val="00364A09"/>
    <w:rsid w:val="00364D29"/>
    <w:rsid w:val="00365872"/>
    <w:rsid w:val="00366296"/>
    <w:rsid w:val="0036795E"/>
    <w:rsid w:val="00367DE1"/>
    <w:rsid w:val="0037109F"/>
    <w:rsid w:val="00371179"/>
    <w:rsid w:val="0037228E"/>
    <w:rsid w:val="00372536"/>
    <w:rsid w:val="0037519E"/>
    <w:rsid w:val="003762DC"/>
    <w:rsid w:val="00376749"/>
    <w:rsid w:val="00377DEC"/>
    <w:rsid w:val="00380856"/>
    <w:rsid w:val="003819A7"/>
    <w:rsid w:val="00382C8C"/>
    <w:rsid w:val="00383990"/>
    <w:rsid w:val="00383A7C"/>
    <w:rsid w:val="00384085"/>
    <w:rsid w:val="00386CF0"/>
    <w:rsid w:val="003879E0"/>
    <w:rsid w:val="00387EED"/>
    <w:rsid w:val="00391A5C"/>
    <w:rsid w:val="003940E7"/>
    <w:rsid w:val="00395647"/>
    <w:rsid w:val="003A0857"/>
    <w:rsid w:val="003A0CBC"/>
    <w:rsid w:val="003A12FB"/>
    <w:rsid w:val="003A16A7"/>
    <w:rsid w:val="003A47F2"/>
    <w:rsid w:val="003A5DB9"/>
    <w:rsid w:val="003B0D60"/>
    <w:rsid w:val="003B1D16"/>
    <w:rsid w:val="003B46B5"/>
    <w:rsid w:val="003B5EDB"/>
    <w:rsid w:val="003B60F2"/>
    <w:rsid w:val="003C053F"/>
    <w:rsid w:val="003C0540"/>
    <w:rsid w:val="003C12D4"/>
    <w:rsid w:val="003C1413"/>
    <w:rsid w:val="003C17AB"/>
    <w:rsid w:val="003C2CEF"/>
    <w:rsid w:val="003C676B"/>
    <w:rsid w:val="003D1624"/>
    <w:rsid w:val="003D3BC2"/>
    <w:rsid w:val="003D3E67"/>
    <w:rsid w:val="003D67C7"/>
    <w:rsid w:val="003D7C03"/>
    <w:rsid w:val="003E02E4"/>
    <w:rsid w:val="003E1D70"/>
    <w:rsid w:val="003E432F"/>
    <w:rsid w:val="003E5336"/>
    <w:rsid w:val="003E6CA1"/>
    <w:rsid w:val="003F039B"/>
    <w:rsid w:val="003F1C3B"/>
    <w:rsid w:val="003F4B76"/>
    <w:rsid w:val="003F5006"/>
    <w:rsid w:val="003F5116"/>
    <w:rsid w:val="003F7F64"/>
    <w:rsid w:val="00400426"/>
    <w:rsid w:val="00401302"/>
    <w:rsid w:val="00403C18"/>
    <w:rsid w:val="004059A8"/>
    <w:rsid w:val="0040612E"/>
    <w:rsid w:val="00410886"/>
    <w:rsid w:val="0041180A"/>
    <w:rsid w:val="00415547"/>
    <w:rsid w:val="004161DE"/>
    <w:rsid w:val="00416553"/>
    <w:rsid w:val="004165A8"/>
    <w:rsid w:val="004165C2"/>
    <w:rsid w:val="00424182"/>
    <w:rsid w:val="00426114"/>
    <w:rsid w:val="00427B5B"/>
    <w:rsid w:val="00434D66"/>
    <w:rsid w:val="00434DA4"/>
    <w:rsid w:val="0043503C"/>
    <w:rsid w:val="00437655"/>
    <w:rsid w:val="004418F3"/>
    <w:rsid w:val="00441ECB"/>
    <w:rsid w:val="00446AFA"/>
    <w:rsid w:val="00446FD6"/>
    <w:rsid w:val="0045130A"/>
    <w:rsid w:val="0045149D"/>
    <w:rsid w:val="00456ADC"/>
    <w:rsid w:val="00464A2A"/>
    <w:rsid w:val="00466276"/>
    <w:rsid w:val="00466446"/>
    <w:rsid w:val="00467B7E"/>
    <w:rsid w:val="00476E1C"/>
    <w:rsid w:val="00477592"/>
    <w:rsid w:val="004828D3"/>
    <w:rsid w:val="00482EC8"/>
    <w:rsid w:val="004837C7"/>
    <w:rsid w:val="00486F1C"/>
    <w:rsid w:val="004921A8"/>
    <w:rsid w:val="00494152"/>
    <w:rsid w:val="0049419D"/>
    <w:rsid w:val="00494E32"/>
    <w:rsid w:val="00497CA0"/>
    <w:rsid w:val="004A0637"/>
    <w:rsid w:val="004A1220"/>
    <w:rsid w:val="004A1FCC"/>
    <w:rsid w:val="004A4CC2"/>
    <w:rsid w:val="004A71C4"/>
    <w:rsid w:val="004B09ED"/>
    <w:rsid w:val="004B424A"/>
    <w:rsid w:val="004B45CC"/>
    <w:rsid w:val="004B5D00"/>
    <w:rsid w:val="004B5D11"/>
    <w:rsid w:val="004C0D1A"/>
    <w:rsid w:val="004C1CB9"/>
    <w:rsid w:val="004C20D2"/>
    <w:rsid w:val="004C4367"/>
    <w:rsid w:val="004C4B62"/>
    <w:rsid w:val="004C54C9"/>
    <w:rsid w:val="004C5BE4"/>
    <w:rsid w:val="004C6BDD"/>
    <w:rsid w:val="004C790D"/>
    <w:rsid w:val="004D195F"/>
    <w:rsid w:val="004D2720"/>
    <w:rsid w:val="004D42F2"/>
    <w:rsid w:val="004D43BA"/>
    <w:rsid w:val="004D6025"/>
    <w:rsid w:val="004D607E"/>
    <w:rsid w:val="004D6618"/>
    <w:rsid w:val="004D7D0F"/>
    <w:rsid w:val="004E2649"/>
    <w:rsid w:val="004E2E9C"/>
    <w:rsid w:val="004E48FA"/>
    <w:rsid w:val="004E692B"/>
    <w:rsid w:val="004F0EAC"/>
    <w:rsid w:val="004F1102"/>
    <w:rsid w:val="004F2310"/>
    <w:rsid w:val="004F23DB"/>
    <w:rsid w:val="004F2CE5"/>
    <w:rsid w:val="004F47A6"/>
    <w:rsid w:val="004F4C86"/>
    <w:rsid w:val="004F5618"/>
    <w:rsid w:val="004F58D4"/>
    <w:rsid w:val="004F627D"/>
    <w:rsid w:val="004F6DEF"/>
    <w:rsid w:val="00500D24"/>
    <w:rsid w:val="00500F83"/>
    <w:rsid w:val="00501399"/>
    <w:rsid w:val="0050463D"/>
    <w:rsid w:val="00505C62"/>
    <w:rsid w:val="0050633D"/>
    <w:rsid w:val="00507BC3"/>
    <w:rsid w:val="00507BC4"/>
    <w:rsid w:val="0051009A"/>
    <w:rsid w:val="005128E4"/>
    <w:rsid w:val="005133DB"/>
    <w:rsid w:val="005166B6"/>
    <w:rsid w:val="00516939"/>
    <w:rsid w:val="00516EE3"/>
    <w:rsid w:val="005210D4"/>
    <w:rsid w:val="00525560"/>
    <w:rsid w:val="00526998"/>
    <w:rsid w:val="005275E9"/>
    <w:rsid w:val="005306E7"/>
    <w:rsid w:val="00534CD8"/>
    <w:rsid w:val="00534DEF"/>
    <w:rsid w:val="0053535F"/>
    <w:rsid w:val="005354F3"/>
    <w:rsid w:val="00536923"/>
    <w:rsid w:val="005430CE"/>
    <w:rsid w:val="00544657"/>
    <w:rsid w:val="00544C49"/>
    <w:rsid w:val="00550C6E"/>
    <w:rsid w:val="005516A1"/>
    <w:rsid w:val="005572EF"/>
    <w:rsid w:val="0056173E"/>
    <w:rsid w:val="00563260"/>
    <w:rsid w:val="00565744"/>
    <w:rsid w:val="00570F95"/>
    <w:rsid w:val="00571340"/>
    <w:rsid w:val="005722D9"/>
    <w:rsid w:val="0057263E"/>
    <w:rsid w:val="0057402A"/>
    <w:rsid w:val="00574840"/>
    <w:rsid w:val="00575054"/>
    <w:rsid w:val="005771D0"/>
    <w:rsid w:val="0058056C"/>
    <w:rsid w:val="00582095"/>
    <w:rsid w:val="005912BA"/>
    <w:rsid w:val="0059191A"/>
    <w:rsid w:val="00591FF1"/>
    <w:rsid w:val="005921FF"/>
    <w:rsid w:val="005937F1"/>
    <w:rsid w:val="00594B31"/>
    <w:rsid w:val="00595C1D"/>
    <w:rsid w:val="005A258C"/>
    <w:rsid w:val="005A2BC8"/>
    <w:rsid w:val="005A33F3"/>
    <w:rsid w:val="005A6D0E"/>
    <w:rsid w:val="005B1DDB"/>
    <w:rsid w:val="005B2258"/>
    <w:rsid w:val="005B2BBE"/>
    <w:rsid w:val="005B3FDA"/>
    <w:rsid w:val="005B52B0"/>
    <w:rsid w:val="005B5828"/>
    <w:rsid w:val="005B59AA"/>
    <w:rsid w:val="005B6806"/>
    <w:rsid w:val="005B7F13"/>
    <w:rsid w:val="005C0CDE"/>
    <w:rsid w:val="005C0F12"/>
    <w:rsid w:val="005C2A5E"/>
    <w:rsid w:val="005C4225"/>
    <w:rsid w:val="005C474F"/>
    <w:rsid w:val="005C4BD0"/>
    <w:rsid w:val="005C4CA5"/>
    <w:rsid w:val="005C74CC"/>
    <w:rsid w:val="005D0DB1"/>
    <w:rsid w:val="005D126A"/>
    <w:rsid w:val="005D185D"/>
    <w:rsid w:val="005D3F0F"/>
    <w:rsid w:val="005D492B"/>
    <w:rsid w:val="005D4F87"/>
    <w:rsid w:val="005E5094"/>
    <w:rsid w:val="005E5552"/>
    <w:rsid w:val="005F0C02"/>
    <w:rsid w:val="005F0DAD"/>
    <w:rsid w:val="005F0F33"/>
    <w:rsid w:val="005F309E"/>
    <w:rsid w:val="005F5047"/>
    <w:rsid w:val="005F567A"/>
    <w:rsid w:val="00600DEB"/>
    <w:rsid w:val="00601504"/>
    <w:rsid w:val="00604C10"/>
    <w:rsid w:val="00605EB3"/>
    <w:rsid w:val="00606744"/>
    <w:rsid w:val="00611321"/>
    <w:rsid w:val="006125C3"/>
    <w:rsid w:val="0061380A"/>
    <w:rsid w:val="00614B46"/>
    <w:rsid w:val="006177B8"/>
    <w:rsid w:val="00621862"/>
    <w:rsid w:val="00625247"/>
    <w:rsid w:val="00625A4F"/>
    <w:rsid w:val="00627C9F"/>
    <w:rsid w:val="006311E9"/>
    <w:rsid w:val="00632354"/>
    <w:rsid w:val="00637756"/>
    <w:rsid w:val="00640C93"/>
    <w:rsid w:val="00642632"/>
    <w:rsid w:val="00642810"/>
    <w:rsid w:val="00645038"/>
    <w:rsid w:val="00645348"/>
    <w:rsid w:val="00645365"/>
    <w:rsid w:val="00647FCE"/>
    <w:rsid w:val="00651CF2"/>
    <w:rsid w:val="00652333"/>
    <w:rsid w:val="00652E0C"/>
    <w:rsid w:val="00655B8E"/>
    <w:rsid w:val="00660C6E"/>
    <w:rsid w:val="006638F3"/>
    <w:rsid w:val="00663DDC"/>
    <w:rsid w:val="00663E74"/>
    <w:rsid w:val="006641CE"/>
    <w:rsid w:val="006667FA"/>
    <w:rsid w:val="00675DA3"/>
    <w:rsid w:val="0068009E"/>
    <w:rsid w:val="00680391"/>
    <w:rsid w:val="00684C4B"/>
    <w:rsid w:val="00690475"/>
    <w:rsid w:val="00692219"/>
    <w:rsid w:val="00696E14"/>
    <w:rsid w:val="00697ABD"/>
    <w:rsid w:val="006A17D2"/>
    <w:rsid w:val="006A3593"/>
    <w:rsid w:val="006A407F"/>
    <w:rsid w:val="006A4129"/>
    <w:rsid w:val="006A4A21"/>
    <w:rsid w:val="006A4B39"/>
    <w:rsid w:val="006A6E6E"/>
    <w:rsid w:val="006A73E6"/>
    <w:rsid w:val="006B2D5C"/>
    <w:rsid w:val="006B2E93"/>
    <w:rsid w:val="006B300D"/>
    <w:rsid w:val="006B43E3"/>
    <w:rsid w:val="006B4D40"/>
    <w:rsid w:val="006C1A20"/>
    <w:rsid w:val="006C24D7"/>
    <w:rsid w:val="006C425C"/>
    <w:rsid w:val="006C4E07"/>
    <w:rsid w:val="006C4EB1"/>
    <w:rsid w:val="006D1766"/>
    <w:rsid w:val="006D2419"/>
    <w:rsid w:val="006D4902"/>
    <w:rsid w:val="006D66C4"/>
    <w:rsid w:val="006E0166"/>
    <w:rsid w:val="006E1025"/>
    <w:rsid w:val="006E7B34"/>
    <w:rsid w:val="006F0A3C"/>
    <w:rsid w:val="006F3BD5"/>
    <w:rsid w:val="006F44E8"/>
    <w:rsid w:val="006F504E"/>
    <w:rsid w:val="006F6BD1"/>
    <w:rsid w:val="0070037D"/>
    <w:rsid w:val="00702385"/>
    <w:rsid w:val="007034D3"/>
    <w:rsid w:val="0070697F"/>
    <w:rsid w:val="0071548C"/>
    <w:rsid w:val="0071630D"/>
    <w:rsid w:val="00716C6F"/>
    <w:rsid w:val="0072199C"/>
    <w:rsid w:val="00722C9F"/>
    <w:rsid w:val="00724D45"/>
    <w:rsid w:val="007253B8"/>
    <w:rsid w:val="007253DD"/>
    <w:rsid w:val="0072619E"/>
    <w:rsid w:val="00727475"/>
    <w:rsid w:val="007330D4"/>
    <w:rsid w:val="00733505"/>
    <w:rsid w:val="00733D47"/>
    <w:rsid w:val="007342BC"/>
    <w:rsid w:val="00735D66"/>
    <w:rsid w:val="00735E19"/>
    <w:rsid w:val="0073631B"/>
    <w:rsid w:val="00736C82"/>
    <w:rsid w:val="0073741F"/>
    <w:rsid w:val="00740190"/>
    <w:rsid w:val="00746703"/>
    <w:rsid w:val="00746E1A"/>
    <w:rsid w:val="00756682"/>
    <w:rsid w:val="007637EA"/>
    <w:rsid w:val="00765FB3"/>
    <w:rsid w:val="00766381"/>
    <w:rsid w:val="0076643F"/>
    <w:rsid w:val="00766A89"/>
    <w:rsid w:val="0077436B"/>
    <w:rsid w:val="00775EC8"/>
    <w:rsid w:val="00777249"/>
    <w:rsid w:val="00777F63"/>
    <w:rsid w:val="0078222D"/>
    <w:rsid w:val="0078420B"/>
    <w:rsid w:val="00785D00"/>
    <w:rsid w:val="00787E82"/>
    <w:rsid w:val="00791A37"/>
    <w:rsid w:val="007978DF"/>
    <w:rsid w:val="007A0FDF"/>
    <w:rsid w:val="007A5817"/>
    <w:rsid w:val="007B3BF7"/>
    <w:rsid w:val="007B60E9"/>
    <w:rsid w:val="007B6CC3"/>
    <w:rsid w:val="007C1AA4"/>
    <w:rsid w:val="007C2372"/>
    <w:rsid w:val="007C3334"/>
    <w:rsid w:val="007C35BB"/>
    <w:rsid w:val="007C49CC"/>
    <w:rsid w:val="007C756A"/>
    <w:rsid w:val="007D115F"/>
    <w:rsid w:val="007D2B98"/>
    <w:rsid w:val="007D356F"/>
    <w:rsid w:val="007D4CE6"/>
    <w:rsid w:val="007D6DC9"/>
    <w:rsid w:val="007E17B7"/>
    <w:rsid w:val="007E1CCF"/>
    <w:rsid w:val="007E21BC"/>
    <w:rsid w:val="007E4D45"/>
    <w:rsid w:val="007F08DB"/>
    <w:rsid w:val="007F08E9"/>
    <w:rsid w:val="007F0EF3"/>
    <w:rsid w:val="007F6A20"/>
    <w:rsid w:val="007F7880"/>
    <w:rsid w:val="007F7E9A"/>
    <w:rsid w:val="00801FCB"/>
    <w:rsid w:val="00802B57"/>
    <w:rsid w:val="008036C5"/>
    <w:rsid w:val="00803F1C"/>
    <w:rsid w:val="0080600E"/>
    <w:rsid w:val="00806871"/>
    <w:rsid w:val="00811866"/>
    <w:rsid w:val="00813005"/>
    <w:rsid w:val="00815021"/>
    <w:rsid w:val="00815204"/>
    <w:rsid w:val="0081712A"/>
    <w:rsid w:val="00817612"/>
    <w:rsid w:val="00817D21"/>
    <w:rsid w:val="008217E6"/>
    <w:rsid w:val="00822667"/>
    <w:rsid w:val="008266A7"/>
    <w:rsid w:val="00827B71"/>
    <w:rsid w:val="00831074"/>
    <w:rsid w:val="0083215A"/>
    <w:rsid w:val="00832189"/>
    <w:rsid w:val="008338A4"/>
    <w:rsid w:val="00835116"/>
    <w:rsid w:val="008374CF"/>
    <w:rsid w:val="00837C45"/>
    <w:rsid w:val="00840697"/>
    <w:rsid w:val="008432CB"/>
    <w:rsid w:val="008435D2"/>
    <w:rsid w:val="008437AB"/>
    <w:rsid w:val="00844080"/>
    <w:rsid w:val="00844730"/>
    <w:rsid w:val="008457C2"/>
    <w:rsid w:val="0085000D"/>
    <w:rsid w:val="0085532B"/>
    <w:rsid w:val="008574AD"/>
    <w:rsid w:val="00857A82"/>
    <w:rsid w:val="00860BE1"/>
    <w:rsid w:val="008649CC"/>
    <w:rsid w:val="00865597"/>
    <w:rsid w:val="008657C9"/>
    <w:rsid w:val="00866404"/>
    <w:rsid w:val="0086680C"/>
    <w:rsid w:val="00872122"/>
    <w:rsid w:val="00872B99"/>
    <w:rsid w:val="00873836"/>
    <w:rsid w:val="00874191"/>
    <w:rsid w:val="00874A6B"/>
    <w:rsid w:val="00874DA0"/>
    <w:rsid w:val="00876157"/>
    <w:rsid w:val="00881900"/>
    <w:rsid w:val="00882572"/>
    <w:rsid w:val="008839BC"/>
    <w:rsid w:val="00884D5E"/>
    <w:rsid w:val="00885737"/>
    <w:rsid w:val="00890650"/>
    <w:rsid w:val="00891177"/>
    <w:rsid w:val="00891B36"/>
    <w:rsid w:val="0089756E"/>
    <w:rsid w:val="008979F5"/>
    <w:rsid w:val="00897E12"/>
    <w:rsid w:val="008A078F"/>
    <w:rsid w:val="008A3CB5"/>
    <w:rsid w:val="008A7B2F"/>
    <w:rsid w:val="008A7DF8"/>
    <w:rsid w:val="008A7E0F"/>
    <w:rsid w:val="008B011D"/>
    <w:rsid w:val="008B1004"/>
    <w:rsid w:val="008B12F5"/>
    <w:rsid w:val="008B1DC5"/>
    <w:rsid w:val="008B6374"/>
    <w:rsid w:val="008B7408"/>
    <w:rsid w:val="008B7560"/>
    <w:rsid w:val="008B79F8"/>
    <w:rsid w:val="008C1D18"/>
    <w:rsid w:val="008C280D"/>
    <w:rsid w:val="008C3098"/>
    <w:rsid w:val="008C4425"/>
    <w:rsid w:val="008C645C"/>
    <w:rsid w:val="008C679C"/>
    <w:rsid w:val="008C7015"/>
    <w:rsid w:val="008D07D2"/>
    <w:rsid w:val="008D1443"/>
    <w:rsid w:val="008D1D50"/>
    <w:rsid w:val="008D3940"/>
    <w:rsid w:val="008D768D"/>
    <w:rsid w:val="008E0900"/>
    <w:rsid w:val="008E2E59"/>
    <w:rsid w:val="008E3759"/>
    <w:rsid w:val="008E4033"/>
    <w:rsid w:val="008E451A"/>
    <w:rsid w:val="008E5F32"/>
    <w:rsid w:val="008E7EA7"/>
    <w:rsid w:val="008F08E5"/>
    <w:rsid w:val="008F1912"/>
    <w:rsid w:val="008F1B28"/>
    <w:rsid w:val="008F1DDA"/>
    <w:rsid w:val="008F5252"/>
    <w:rsid w:val="008F527E"/>
    <w:rsid w:val="008F604B"/>
    <w:rsid w:val="009014A4"/>
    <w:rsid w:val="00901FC2"/>
    <w:rsid w:val="00902087"/>
    <w:rsid w:val="0090270B"/>
    <w:rsid w:val="0090396A"/>
    <w:rsid w:val="009041DC"/>
    <w:rsid w:val="00910791"/>
    <w:rsid w:val="009113FE"/>
    <w:rsid w:val="00911BEF"/>
    <w:rsid w:val="00914740"/>
    <w:rsid w:val="00914BCD"/>
    <w:rsid w:val="00916461"/>
    <w:rsid w:val="00917B5A"/>
    <w:rsid w:val="00917BC4"/>
    <w:rsid w:val="0092053C"/>
    <w:rsid w:val="00920A58"/>
    <w:rsid w:val="00920A8C"/>
    <w:rsid w:val="0092111F"/>
    <w:rsid w:val="009256CD"/>
    <w:rsid w:val="00933683"/>
    <w:rsid w:val="00934A2C"/>
    <w:rsid w:val="0094178B"/>
    <w:rsid w:val="00941C6B"/>
    <w:rsid w:val="0094358B"/>
    <w:rsid w:val="0094623F"/>
    <w:rsid w:val="00950695"/>
    <w:rsid w:val="00951461"/>
    <w:rsid w:val="00951CBC"/>
    <w:rsid w:val="00952EA2"/>
    <w:rsid w:val="00953EAC"/>
    <w:rsid w:val="00953FCD"/>
    <w:rsid w:val="00954160"/>
    <w:rsid w:val="0095756A"/>
    <w:rsid w:val="009609E8"/>
    <w:rsid w:val="00966A38"/>
    <w:rsid w:val="00966AE7"/>
    <w:rsid w:val="0096706E"/>
    <w:rsid w:val="0097030C"/>
    <w:rsid w:val="009736A0"/>
    <w:rsid w:val="00973E51"/>
    <w:rsid w:val="00975C4E"/>
    <w:rsid w:val="009815E6"/>
    <w:rsid w:val="00981CAB"/>
    <w:rsid w:val="00981FBA"/>
    <w:rsid w:val="00982EA2"/>
    <w:rsid w:val="00984DD6"/>
    <w:rsid w:val="009852E9"/>
    <w:rsid w:val="009852F5"/>
    <w:rsid w:val="00990FA8"/>
    <w:rsid w:val="009917C6"/>
    <w:rsid w:val="00991866"/>
    <w:rsid w:val="009918CC"/>
    <w:rsid w:val="0099280E"/>
    <w:rsid w:val="00992B4D"/>
    <w:rsid w:val="00994A55"/>
    <w:rsid w:val="00997BC5"/>
    <w:rsid w:val="009A0BE3"/>
    <w:rsid w:val="009A4D04"/>
    <w:rsid w:val="009A4F41"/>
    <w:rsid w:val="009B381B"/>
    <w:rsid w:val="009B49F3"/>
    <w:rsid w:val="009B60FA"/>
    <w:rsid w:val="009B6161"/>
    <w:rsid w:val="009B7A3F"/>
    <w:rsid w:val="009B7F26"/>
    <w:rsid w:val="009C4EAA"/>
    <w:rsid w:val="009D05EC"/>
    <w:rsid w:val="009D1753"/>
    <w:rsid w:val="009D2755"/>
    <w:rsid w:val="009D3A09"/>
    <w:rsid w:val="009D7611"/>
    <w:rsid w:val="009E0B61"/>
    <w:rsid w:val="009E3381"/>
    <w:rsid w:val="009E53DE"/>
    <w:rsid w:val="009E56FB"/>
    <w:rsid w:val="00A00089"/>
    <w:rsid w:val="00A025DA"/>
    <w:rsid w:val="00A02ACB"/>
    <w:rsid w:val="00A031B1"/>
    <w:rsid w:val="00A036F3"/>
    <w:rsid w:val="00A03A30"/>
    <w:rsid w:val="00A03A90"/>
    <w:rsid w:val="00A049F6"/>
    <w:rsid w:val="00A05807"/>
    <w:rsid w:val="00A12684"/>
    <w:rsid w:val="00A126A0"/>
    <w:rsid w:val="00A165D0"/>
    <w:rsid w:val="00A169A8"/>
    <w:rsid w:val="00A21651"/>
    <w:rsid w:val="00A23EA3"/>
    <w:rsid w:val="00A24FA9"/>
    <w:rsid w:val="00A2598E"/>
    <w:rsid w:val="00A25EBF"/>
    <w:rsid w:val="00A328B3"/>
    <w:rsid w:val="00A32EA9"/>
    <w:rsid w:val="00A33B1E"/>
    <w:rsid w:val="00A45C71"/>
    <w:rsid w:val="00A4746F"/>
    <w:rsid w:val="00A47F90"/>
    <w:rsid w:val="00A50FCF"/>
    <w:rsid w:val="00A512ED"/>
    <w:rsid w:val="00A51F01"/>
    <w:rsid w:val="00A528D1"/>
    <w:rsid w:val="00A55A53"/>
    <w:rsid w:val="00A55F36"/>
    <w:rsid w:val="00A56611"/>
    <w:rsid w:val="00A610CD"/>
    <w:rsid w:val="00A64A08"/>
    <w:rsid w:val="00A66E7F"/>
    <w:rsid w:val="00A708E8"/>
    <w:rsid w:val="00A727DA"/>
    <w:rsid w:val="00A73002"/>
    <w:rsid w:val="00A74E36"/>
    <w:rsid w:val="00A75850"/>
    <w:rsid w:val="00A75E63"/>
    <w:rsid w:val="00A7660A"/>
    <w:rsid w:val="00A76AA3"/>
    <w:rsid w:val="00A814FA"/>
    <w:rsid w:val="00A82DDF"/>
    <w:rsid w:val="00A83300"/>
    <w:rsid w:val="00A87438"/>
    <w:rsid w:val="00A94D9F"/>
    <w:rsid w:val="00A95FB9"/>
    <w:rsid w:val="00AA038A"/>
    <w:rsid w:val="00AA09A2"/>
    <w:rsid w:val="00AA0B04"/>
    <w:rsid w:val="00AA53A2"/>
    <w:rsid w:val="00AA7996"/>
    <w:rsid w:val="00AB26DF"/>
    <w:rsid w:val="00AB2A78"/>
    <w:rsid w:val="00AB33EC"/>
    <w:rsid w:val="00AC19CB"/>
    <w:rsid w:val="00AC3139"/>
    <w:rsid w:val="00AC3CD9"/>
    <w:rsid w:val="00AC55D4"/>
    <w:rsid w:val="00AD16E5"/>
    <w:rsid w:val="00AD204C"/>
    <w:rsid w:val="00AD26B5"/>
    <w:rsid w:val="00AD4470"/>
    <w:rsid w:val="00AD7370"/>
    <w:rsid w:val="00AE4BC2"/>
    <w:rsid w:val="00AE4BF3"/>
    <w:rsid w:val="00AE5488"/>
    <w:rsid w:val="00AE6F91"/>
    <w:rsid w:val="00AE7270"/>
    <w:rsid w:val="00AF0F9D"/>
    <w:rsid w:val="00AF48C1"/>
    <w:rsid w:val="00AF5571"/>
    <w:rsid w:val="00AF60F7"/>
    <w:rsid w:val="00AF6802"/>
    <w:rsid w:val="00AF7988"/>
    <w:rsid w:val="00B003ED"/>
    <w:rsid w:val="00B01DC2"/>
    <w:rsid w:val="00B07184"/>
    <w:rsid w:val="00B07341"/>
    <w:rsid w:val="00B0765D"/>
    <w:rsid w:val="00B07F68"/>
    <w:rsid w:val="00B166A5"/>
    <w:rsid w:val="00B22B1A"/>
    <w:rsid w:val="00B30539"/>
    <w:rsid w:val="00B31285"/>
    <w:rsid w:val="00B314DB"/>
    <w:rsid w:val="00B33DBA"/>
    <w:rsid w:val="00B34CE7"/>
    <w:rsid w:val="00B34E2F"/>
    <w:rsid w:val="00B361F2"/>
    <w:rsid w:val="00B36208"/>
    <w:rsid w:val="00B3718B"/>
    <w:rsid w:val="00B405AB"/>
    <w:rsid w:val="00B42ACA"/>
    <w:rsid w:val="00B42F98"/>
    <w:rsid w:val="00B430C4"/>
    <w:rsid w:val="00B4632A"/>
    <w:rsid w:val="00B47A4F"/>
    <w:rsid w:val="00B5107C"/>
    <w:rsid w:val="00B513B1"/>
    <w:rsid w:val="00B51446"/>
    <w:rsid w:val="00B51747"/>
    <w:rsid w:val="00B51A9D"/>
    <w:rsid w:val="00B530F1"/>
    <w:rsid w:val="00B544A7"/>
    <w:rsid w:val="00B54A0C"/>
    <w:rsid w:val="00B56AB2"/>
    <w:rsid w:val="00B60BFB"/>
    <w:rsid w:val="00B632D6"/>
    <w:rsid w:val="00B67999"/>
    <w:rsid w:val="00B67A8F"/>
    <w:rsid w:val="00B70531"/>
    <w:rsid w:val="00B70E91"/>
    <w:rsid w:val="00B71297"/>
    <w:rsid w:val="00B72232"/>
    <w:rsid w:val="00B762E6"/>
    <w:rsid w:val="00B76502"/>
    <w:rsid w:val="00B76C03"/>
    <w:rsid w:val="00B76D55"/>
    <w:rsid w:val="00B9294F"/>
    <w:rsid w:val="00B95D71"/>
    <w:rsid w:val="00B97129"/>
    <w:rsid w:val="00BA136F"/>
    <w:rsid w:val="00BA276C"/>
    <w:rsid w:val="00BA461E"/>
    <w:rsid w:val="00BA5C16"/>
    <w:rsid w:val="00BB306F"/>
    <w:rsid w:val="00BB30A6"/>
    <w:rsid w:val="00BB3F66"/>
    <w:rsid w:val="00BB5D01"/>
    <w:rsid w:val="00BB5FA9"/>
    <w:rsid w:val="00BC1180"/>
    <w:rsid w:val="00BC1AF0"/>
    <w:rsid w:val="00BC532C"/>
    <w:rsid w:val="00BC6CF0"/>
    <w:rsid w:val="00BD04E6"/>
    <w:rsid w:val="00BD0A89"/>
    <w:rsid w:val="00BD2EBF"/>
    <w:rsid w:val="00BD3614"/>
    <w:rsid w:val="00BD42C0"/>
    <w:rsid w:val="00BD4B89"/>
    <w:rsid w:val="00BE2956"/>
    <w:rsid w:val="00BE2F97"/>
    <w:rsid w:val="00BE5FAF"/>
    <w:rsid w:val="00BE68DC"/>
    <w:rsid w:val="00BE765A"/>
    <w:rsid w:val="00BE77B4"/>
    <w:rsid w:val="00BF02CB"/>
    <w:rsid w:val="00BF11D3"/>
    <w:rsid w:val="00BF1664"/>
    <w:rsid w:val="00BF4FE8"/>
    <w:rsid w:val="00BF6FD8"/>
    <w:rsid w:val="00C03680"/>
    <w:rsid w:val="00C04E87"/>
    <w:rsid w:val="00C054DF"/>
    <w:rsid w:val="00C069CE"/>
    <w:rsid w:val="00C07342"/>
    <w:rsid w:val="00C1437E"/>
    <w:rsid w:val="00C14A21"/>
    <w:rsid w:val="00C16A9F"/>
    <w:rsid w:val="00C20561"/>
    <w:rsid w:val="00C21474"/>
    <w:rsid w:val="00C21762"/>
    <w:rsid w:val="00C2231A"/>
    <w:rsid w:val="00C244CB"/>
    <w:rsid w:val="00C24543"/>
    <w:rsid w:val="00C256A2"/>
    <w:rsid w:val="00C270F3"/>
    <w:rsid w:val="00C3566B"/>
    <w:rsid w:val="00C36424"/>
    <w:rsid w:val="00C374B4"/>
    <w:rsid w:val="00C376DC"/>
    <w:rsid w:val="00C3786E"/>
    <w:rsid w:val="00C40789"/>
    <w:rsid w:val="00C42A04"/>
    <w:rsid w:val="00C46192"/>
    <w:rsid w:val="00C46684"/>
    <w:rsid w:val="00C46EE5"/>
    <w:rsid w:val="00C51515"/>
    <w:rsid w:val="00C5320F"/>
    <w:rsid w:val="00C5660B"/>
    <w:rsid w:val="00C62A75"/>
    <w:rsid w:val="00C6610A"/>
    <w:rsid w:val="00C66B72"/>
    <w:rsid w:val="00C716B6"/>
    <w:rsid w:val="00C71D22"/>
    <w:rsid w:val="00C72217"/>
    <w:rsid w:val="00C75282"/>
    <w:rsid w:val="00C76167"/>
    <w:rsid w:val="00C7723F"/>
    <w:rsid w:val="00C77431"/>
    <w:rsid w:val="00C801B4"/>
    <w:rsid w:val="00C810D8"/>
    <w:rsid w:val="00C8171E"/>
    <w:rsid w:val="00C8793C"/>
    <w:rsid w:val="00C93683"/>
    <w:rsid w:val="00C9383A"/>
    <w:rsid w:val="00C93B49"/>
    <w:rsid w:val="00C94EF2"/>
    <w:rsid w:val="00C9567A"/>
    <w:rsid w:val="00C9602F"/>
    <w:rsid w:val="00C963EE"/>
    <w:rsid w:val="00C96E23"/>
    <w:rsid w:val="00C97129"/>
    <w:rsid w:val="00CA2A56"/>
    <w:rsid w:val="00CA4D7D"/>
    <w:rsid w:val="00CA713B"/>
    <w:rsid w:val="00CB212D"/>
    <w:rsid w:val="00CB2583"/>
    <w:rsid w:val="00CB2660"/>
    <w:rsid w:val="00CB2F4C"/>
    <w:rsid w:val="00CB35B1"/>
    <w:rsid w:val="00CB7355"/>
    <w:rsid w:val="00CC142C"/>
    <w:rsid w:val="00CC20D1"/>
    <w:rsid w:val="00CC456D"/>
    <w:rsid w:val="00CC5E90"/>
    <w:rsid w:val="00CC61DF"/>
    <w:rsid w:val="00CC63CF"/>
    <w:rsid w:val="00CD045E"/>
    <w:rsid w:val="00CD046C"/>
    <w:rsid w:val="00CD54BD"/>
    <w:rsid w:val="00CD6E51"/>
    <w:rsid w:val="00CE076C"/>
    <w:rsid w:val="00CE2C07"/>
    <w:rsid w:val="00CE5199"/>
    <w:rsid w:val="00CE66D5"/>
    <w:rsid w:val="00CE7872"/>
    <w:rsid w:val="00CF0808"/>
    <w:rsid w:val="00CF5DB2"/>
    <w:rsid w:val="00CF637A"/>
    <w:rsid w:val="00CF698C"/>
    <w:rsid w:val="00CF6BD4"/>
    <w:rsid w:val="00CF6FEB"/>
    <w:rsid w:val="00CF7287"/>
    <w:rsid w:val="00CF7A8A"/>
    <w:rsid w:val="00D005D5"/>
    <w:rsid w:val="00D03B83"/>
    <w:rsid w:val="00D059DE"/>
    <w:rsid w:val="00D10F99"/>
    <w:rsid w:val="00D12193"/>
    <w:rsid w:val="00D12E6F"/>
    <w:rsid w:val="00D13FCE"/>
    <w:rsid w:val="00D15833"/>
    <w:rsid w:val="00D20775"/>
    <w:rsid w:val="00D21F68"/>
    <w:rsid w:val="00D22FDE"/>
    <w:rsid w:val="00D2301D"/>
    <w:rsid w:val="00D2309E"/>
    <w:rsid w:val="00D23C56"/>
    <w:rsid w:val="00D240BE"/>
    <w:rsid w:val="00D306D1"/>
    <w:rsid w:val="00D31F19"/>
    <w:rsid w:val="00D340C4"/>
    <w:rsid w:val="00D34786"/>
    <w:rsid w:val="00D356C5"/>
    <w:rsid w:val="00D37BFC"/>
    <w:rsid w:val="00D4067F"/>
    <w:rsid w:val="00D4170A"/>
    <w:rsid w:val="00D41F9A"/>
    <w:rsid w:val="00D44E05"/>
    <w:rsid w:val="00D45EF0"/>
    <w:rsid w:val="00D460F3"/>
    <w:rsid w:val="00D47A8E"/>
    <w:rsid w:val="00D50517"/>
    <w:rsid w:val="00D515D5"/>
    <w:rsid w:val="00D52D14"/>
    <w:rsid w:val="00D53708"/>
    <w:rsid w:val="00D56B9D"/>
    <w:rsid w:val="00D57666"/>
    <w:rsid w:val="00D66364"/>
    <w:rsid w:val="00D66C7E"/>
    <w:rsid w:val="00D712D3"/>
    <w:rsid w:val="00D7134A"/>
    <w:rsid w:val="00D71422"/>
    <w:rsid w:val="00D72DC6"/>
    <w:rsid w:val="00D74F30"/>
    <w:rsid w:val="00D7558D"/>
    <w:rsid w:val="00D7613E"/>
    <w:rsid w:val="00D81002"/>
    <w:rsid w:val="00D81D92"/>
    <w:rsid w:val="00D83D73"/>
    <w:rsid w:val="00D859E1"/>
    <w:rsid w:val="00D87A3C"/>
    <w:rsid w:val="00D94085"/>
    <w:rsid w:val="00D96E66"/>
    <w:rsid w:val="00DA679B"/>
    <w:rsid w:val="00DA7B5F"/>
    <w:rsid w:val="00DB0EAC"/>
    <w:rsid w:val="00DB207C"/>
    <w:rsid w:val="00DB2AC7"/>
    <w:rsid w:val="00DC11E7"/>
    <w:rsid w:val="00DC2138"/>
    <w:rsid w:val="00DC7023"/>
    <w:rsid w:val="00DC769A"/>
    <w:rsid w:val="00DD0CFC"/>
    <w:rsid w:val="00DD1D53"/>
    <w:rsid w:val="00DD2F54"/>
    <w:rsid w:val="00DD3D86"/>
    <w:rsid w:val="00DD6FEB"/>
    <w:rsid w:val="00DD73B9"/>
    <w:rsid w:val="00DE122F"/>
    <w:rsid w:val="00DE3975"/>
    <w:rsid w:val="00DE4252"/>
    <w:rsid w:val="00DE5E42"/>
    <w:rsid w:val="00DF0446"/>
    <w:rsid w:val="00DF0CAF"/>
    <w:rsid w:val="00DF13BA"/>
    <w:rsid w:val="00DF1EC4"/>
    <w:rsid w:val="00DF35BB"/>
    <w:rsid w:val="00DF73A1"/>
    <w:rsid w:val="00DF77AC"/>
    <w:rsid w:val="00E0001C"/>
    <w:rsid w:val="00E0064B"/>
    <w:rsid w:val="00E01239"/>
    <w:rsid w:val="00E0340B"/>
    <w:rsid w:val="00E04850"/>
    <w:rsid w:val="00E04A90"/>
    <w:rsid w:val="00E101B4"/>
    <w:rsid w:val="00E10F82"/>
    <w:rsid w:val="00E13F4A"/>
    <w:rsid w:val="00E14105"/>
    <w:rsid w:val="00E14EAA"/>
    <w:rsid w:val="00E1590B"/>
    <w:rsid w:val="00E16C3F"/>
    <w:rsid w:val="00E2041B"/>
    <w:rsid w:val="00E219C7"/>
    <w:rsid w:val="00E21E04"/>
    <w:rsid w:val="00E25A7C"/>
    <w:rsid w:val="00E2789B"/>
    <w:rsid w:val="00E32052"/>
    <w:rsid w:val="00E34C25"/>
    <w:rsid w:val="00E36DE7"/>
    <w:rsid w:val="00E40BF1"/>
    <w:rsid w:val="00E41912"/>
    <w:rsid w:val="00E43157"/>
    <w:rsid w:val="00E4327D"/>
    <w:rsid w:val="00E434CB"/>
    <w:rsid w:val="00E43703"/>
    <w:rsid w:val="00E44080"/>
    <w:rsid w:val="00E461CE"/>
    <w:rsid w:val="00E472D7"/>
    <w:rsid w:val="00E50E15"/>
    <w:rsid w:val="00E51A59"/>
    <w:rsid w:val="00E5257E"/>
    <w:rsid w:val="00E565AF"/>
    <w:rsid w:val="00E576E3"/>
    <w:rsid w:val="00E64FF6"/>
    <w:rsid w:val="00E71D9F"/>
    <w:rsid w:val="00E720CA"/>
    <w:rsid w:val="00E73213"/>
    <w:rsid w:val="00E75EB7"/>
    <w:rsid w:val="00E778BB"/>
    <w:rsid w:val="00E810C3"/>
    <w:rsid w:val="00E81519"/>
    <w:rsid w:val="00E83F63"/>
    <w:rsid w:val="00E84EB5"/>
    <w:rsid w:val="00E85105"/>
    <w:rsid w:val="00E85662"/>
    <w:rsid w:val="00E86C6C"/>
    <w:rsid w:val="00E8789F"/>
    <w:rsid w:val="00E909AA"/>
    <w:rsid w:val="00E932E0"/>
    <w:rsid w:val="00E94F44"/>
    <w:rsid w:val="00E97B71"/>
    <w:rsid w:val="00EA04F0"/>
    <w:rsid w:val="00EA053D"/>
    <w:rsid w:val="00EA235C"/>
    <w:rsid w:val="00EA3D34"/>
    <w:rsid w:val="00EA3DAE"/>
    <w:rsid w:val="00EA57C0"/>
    <w:rsid w:val="00EA797D"/>
    <w:rsid w:val="00EA7A2B"/>
    <w:rsid w:val="00EB162A"/>
    <w:rsid w:val="00EB28E6"/>
    <w:rsid w:val="00EB454D"/>
    <w:rsid w:val="00EB56FF"/>
    <w:rsid w:val="00ED0C13"/>
    <w:rsid w:val="00ED1632"/>
    <w:rsid w:val="00ED48C4"/>
    <w:rsid w:val="00ED76BE"/>
    <w:rsid w:val="00EE2BA3"/>
    <w:rsid w:val="00EE2F0E"/>
    <w:rsid w:val="00EE7A92"/>
    <w:rsid w:val="00EF1FFB"/>
    <w:rsid w:val="00EF413D"/>
    <w:rsid w:val="00EF619B"/>
    <w:rsid w:val="00EF64CD"/>
    <w:rsid w:val="00F00B55"/>
    <w:rsid w:val="00F00FFB"/>
    <w:rsid w:val="00F02AD1"/>
    <w:rsid w:val="00F04DC9"/>
    <w:rsid w:val="00F10CDD"/>
    <w:rsid w:val="00F13518"/>
    <w:rsid w:val="00F15CD6"/>
    <w:rsid w:val="00F217E1"/>
    <w:rsid w:val="00F21E4F"/>
    <w:rsid w:val="00F23669"/>
    <w:rsid w:val="00F253CC"/>
    <w:rsid w:val="00F3061E"/>
    <w:rsid w:val="00F3161B"/>
    <w:rsid w:val="00F326B0"/>
    <w:rsid w:val="00F37106"/>
    <w:rsid w:val="00F40DD5"/>
    <w:rsid w:val="00F42CD5"/>
    <w:rsid w:val="00F43754"/>
    <w:rsid w:val="00F50AFA"/>
    <w:rsid w:val="00F519CF"/>
    <w:rsid w:val="00F54373"/>
    <w:rsid w:val="00F5452E"/>
    <w:rsid w:val="00F551E4"/>
    <w:rsid w:val="00F55FFC"/>
    <w:rsid w:val="00F56BA5"/>
    <w:rsid w:val="00F60E22"/>
    <w:rsid w:val="00F6246C"/>
    <w:rsid w:val="00F64F0A"/>
    <w:rsid w:val="00F65F29"/>
    <w:rsid w:val="00F714D3"/>
    <w:rsid w:val="00F71AA3"/>
    <w:rsid w:val="00F73104"/>
    <w:rsid w:val="00F738B3"/>
    <w:rsid w:val="00F805FB"/>
    <w:rsid w:val="00F80C0F"/>
    <w:rsid w:val="00F81395"/>
    <w:rsid w:val="00F82552"/>
    <w:rsid w:val="00F902EB"/>
    <w:rsid w:val="00F91006"/>
    <w:rsid w:val="00F917D1"/>
    <w:rsid w:val="00F923A6"/>
    <w:rsid w:val="00F9653B"/>
    <w:rsid w:val="00F9695C"/>
    <w:rsid w:val="00FA1159"/>
    <w:rsid w:val="00FA2EF1"/>
    <w:rsid w:val="00FA5A29"/>
    <w:rsid w:val="00FB1110"/>
    <w:rsid w:val="00FB581D"/>
    <w:rsid w:val="00FB62CF"/>
    <w:rsid w:val="00FC39EB"/>
    <w:rsid w:val="00FC3F0D"/>
    <w:rsid w:val="00FC4ED3"/>
    <w:rsid w:val="00FC6D5C"/>
    <w:rsid w:val="00FD0A5F"/>
    <w:rsid w:val="00FD2394"/>
    <w:rsid w:val="00FD3C3B"/>
    <w:rsid w:val="00FD4FF5"/>
    <w:rsid w:val="00FD5A99"/>
    <w:rsid w:val="00FD60EB"/>
    <w:rsid w:val="00FD61AB"/>
    <w:rsid w:val="00FE07DD"/>
    <w:rsid w:val="00FE0875"/>
    <w:rsid w:val="00FE18B7"/>
    <w:rsid w:val="00FE339C"/>
    <w:rsid w:val="00FE3B6E"/>
    <w:rsid w:val="00FE5FE7"/>
    <w:rsid w:val="00FE6B45"/>
    <w:rsid w:val="00FF086C"/>
    <w:rsid w:val="00FF0E64"/>
    <w:rsid w:val="00FF2E66"/>
    <w:rsid w:val="00FF358A"/>
    <w:rsid w:val="00FF3BCE"/>
    <w:rsid w:val="00FF55F3"/>
    <w:rsid w:val="00FF5851"/>
    <w:rsid w:val="00FF7B79"/>
    <w:rsid w:val="00FF7B9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4E55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ListParagraph"/>
    <w:next w:val="Normal"/>
    <w:link w:val="Heading1Char"/>
    <w:autoRedefine/>
    <w:uiPriority w:val="9"/>
    <w:qFormat/>
    <w:rsid w:val="00AF48C1"/>
    <w:pPr>
      <w:numPr>
        <w:numId w:val="54"/>
      </w:numPr>
      <w:tabs>
        <w:tab w:val="left" w:pos="360"/>
      </w:tabs>
      <w:suppressAutoHyphens/>
      <w:ind w:left="0" w:firstLine="0"/>
      <w:outlineLvl w:val="0"/>
    </w:pPr>
    <w:rPr>
      <w:rFonts w:asciiTheme="majorHAnsi" w:hAnsiTheme="majorHAnsi"/>
      <w:b/>
      <w:sz w:val="20"/>
      <w:szCs w:val="20"/>
      <w:lang w:val="es-ES_tradnl"/>
    </w:rPr>
  </w:style>
  <w:style w:type="paragraph" w:styleId="Heading2">
    <w:name w:val="heading 2"/>
    <w:basedOn w:val="Normal"/>
    <w:next w:val="Normal"/>
    <w:link w:val="Heading2Char"/>
    <w:autoRedefine/>
    <w:qFormat/>
    <w:rsid w:val="00AF48C1"/>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Cambria" w:hAnsi="Cambria"/>
      <w:b/>
      <w:sz w:val="20"/>
      <w:szCs w:val="20"/>
      <w:lang w:val="es-ES_tradnl"/>
    </w:rPr>
  </w:style>
  <w:style w:type="paragraph" w:styleId="Heading3">
    <w:name w:val="heading 3"/>
    <w:basedOn w:val="Normal"/>
    <w:next w:val="Normal"/>
    <w:link w:val="Heading3Char"/>
    <w:qFormat/>
    <w:rsid w:val="00161D34"/>
    <w:pPr>
      <w:keepNext/>
      <w:numPr>
        <w:numId w:val="56"/>
      </w:numPr>
      <w:pBdr>
        <w:top w:val="none" w:sz="0" w:space="0" w:color="auto"/>
        <w:left w:val="none" w:sz="0" w:space="0" w:color="auto"/>
        <w:bottom w:val="none" w:sz="0" w:space="0" w:color="auto"/>
        <w:right w:val="none" w:sz="0" w:space="0" w:color="auto"/>
        <w:between w:val="none" w:sz="0" w:space="0" w:color="auto"/>
        <w:bar w:val="none" w:sz="0" w:color="auto"/>
      </w:pBdr>
      <w:ind w:left="0" w:firstLine="0"/>
      <w:outlineLvl w:val="2"/>
    </w:pPr>
    <w:rPr>
      <w:rFonts w:asciiTheme="majorHAnsi" w:eastAsia="Times New Roman" w:hAnsiTheme="majorHAnsi" w:cs="Arial"/>
      <w:b/>
      <w:bCs/>
      <w:sz w:val="20"/>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Medium Grid 1 - Accent 21,Colorful List - Accent 12,Lista vistosa - Énfasis 11"/>
    <w:link w:val="ListParagraphChar"/>
    <w:autoRedefine/>
    <w:qFormat/>
    <w:rsid w:val="00914740"/>
    <w:pPr>
      <w:ind w:left="360" w:right="360"/>
      <w:jc w:val="both"/>
    </w:pPr>
    <w:rPr>
      <w:rFonts w:ascii="Cambria" w:eastAsia="Cambria" w:hAnsi="Cambria" w:cs="Cambria"/>
      <w:color w:val="000000"/>
      <w:sz w:val="18"/>
      <w:szCs w:val="24"/>
      <w:u w:color="000000"/>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3"/>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sid w:val="00A03A30"/>
    <w:pPr>
      <w:jc w:val="both"/>
    </w:pPr>
    <w:rPr>
      <w:rFonts w:asciiTheme="majorHAnsi" w:eastAsia="Calibri" w:hAnsiTheme="majorHAnsi" w:cs="Calibri"/>
      <w:color w:val="000000"/>
      <w:sz w:val="16"/>
      <w:szCs w:val="16"/>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AF48C1"/>
    <w:rPr>
      <w:rFonts w:asciiTheme="majorHAnsi" w:eastAsia="Cambria" w:hAnsiTheme="majorHAnsi" w:cs="Cambria"/>
      <w:b/>
      <w:color w:val="000000"/>
      <w:u w:color="000000"/>
      <w:lang w:val="es-ES_tradnl"/>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AF48C1"/>
    <w:pPr>
      <w:tabs>
        <w:tab w:val="left" w:pos="1440"/>
        <w:tab w:val="right" w:leader="dot" w:pos="9350"/>
      </w:tabs>
      <w:spacing w:after="100"/>
      <w:ind w:left="720"/>
      <w:jc w:val="both"/>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basedOn w:val="DefaultParagraphFont"/>
    <w:link w:val="FootnotesrefssChar1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A03A30"/>
    <w:rPr>
      <w:rFonts w:asciiTheme="majorHAnsi" w:eastAsia="Calibri" w:hAnsiTheme="majorHAnsi" w:cs="Calibri"/>
      <w:color w:val="000000"/>
      <w:sz w:val="16"/>
      <w:szCs w:val="16"/>
      <w:u w:color="000000"/>
      <w:lang w:val="en-US"/>
    </w:rPr>
  </w:style>
  <w:style w:type="character" w:customStyle="1" w:styleId="Heading2Char">
    <w:name w:val="Heading 2 Char"/>
    <w:basedOn w:val="DefaultParagraphFont"/>
    <w:link w:val="Heading2"/>
    <w:rsid w:val="00AF48C1"/>
    <w:rPr>
      <w:rFonts w:ascii="Cambria" w:hAnsi="Cambria"/>
      <w:b/>
      <w:lang w:val="es-ES_tradnl" w:eastAsia="en-US"/>
    </w:rPr>
  </w:style>
  <w:style w:type="character" w:customStyle="1" w:styleId="Heading3Char">
    <w:name w:val="Heading 3 Char"/>
    <w:basedOn w:val="DefaultParagraphFont"/>
    <w:link w:val="Heading3"/>
    <w:rsid w:val="00161D34"/>
    <w:rPr>
      <w:rFonts w:asciiTheme="majorHAnsi" w:eastAsia="Times New Roman" w:hAnsiTheme="majorHAnsi" w:cs="Arial"/>
      <w:b/>
      <w:bCs/>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9014A4"/>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4D6618"/>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Verdana" w:hAnsi="Verdana"/>
      <w:sz w:val="22"/>
      <w:szCs w:val="20"/>
      <w:bdr w:val="none" w:sz="0" w:space="0" w:color="auto"/>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Medium Grid 1 - Accent 21 Char,Colorful List - Accent 12 Char,Lista vistosa - Énfasis 11 Char"/>
    <w:link w:val="ListParagraph"/>
    <w:locked/>
    <w:rsid w:val="00914740"/>
    <w:rPr>
      <w:rFonts w:ascii="Cambria" w:eastAsia="Cambria" w:hAnsi="Cambria" w:cs="Cambria"/>
      <w:color w:val="000000"/>
      <w:sz w:val="18"/>
      <w:szCs w:val="24"/>
      <w:u w:color="000000"/>
    </w:rPr>
  </w:style>
  <w:style w:type="paragraph" w:styleId="NoSpacing">
    <w:name w:val="No Spacing"/>
    <w:uiPriority w:val="1"/>
    <w:qFormat/>
    <w:rsid w:val="00161D34"/>
    <w:rPr>
      <w:sz w:val="24"/>
      <w:szCs w:val="24"/>
      <w:lang w:val="en-US" w:eastAsia="en-US"/>
    </w:rPr>
  </w:style>
  <w:style w:type="paragraph" w:customStyle="1" w:styleId="parrafos">
    <w:name w:val="parrafos"/>
    <w:basedOn w:val="Normal"/>
    <w:link w:val="parrafosChar"/>
    <w:qFormat/>
    <w:rsid w:val="00914740"/>
    <w:pPr>
      <w:numPr>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0" w:firstLine="0"/>
      <w:jc w:val="both"/>
    </w:pPr>
    <w:rPr>
      <w:rFonts w:asciiTheme="majorHAnsi" w:hAnsiTheme="majorHAnsi"/>
      <w:color w:val="000000" w:themeColor="text1"/>
      <w:sz w:val="20"/>
      <w:szCs w:val="20"/>
      <w:lang w:val="es-VE"/>
    </w:rPr>
  </w:style>
  <w:style w:type="paragraph" w:customStyle="1" w:styleId="citas">
    <w:name w:val="citas"/>
    <w:basedOn w:val="ListParagraph"/>
    <w:link w:val="citasChar"/>
    <w:qFormat/>
    <w:rsid w:val="00914740"/>
  </w:style>
  <w:style w:type="character" w:customStyle="1" w:styleId="parrafosChar">
    <w:name w:val="parrafos Char"/>
    <w:basedOn w:val="DefaultParagraphFont"/>
    <w:link w:val="parrafos"/>
    <w:rsid w:val="00914740"/>
    <w:rPr>
      <w:rFonts w:asciiTheme="majorHAnsi" w:hAnsiTheme="majorHAnsi"/>
      <w:color w:val="000000" w:themeColor="text1"/>
      <w:lang w:val="es-VE" w:eastAsia="en-US"/>
    </w:rPr>
  </w:style>
  <w:style w:type="character" w:customStyle="1" w:styleId="citasChar">
    <w:name w:val="citas Char"/>
    <w:basedOn w:val="ListParagraphChar"/>
    <w:link w:val="citas"/>
    <w:rsid w:val="00914740"/>
    <w:rPr>
      <w:rFonts w:ascii="Cambria" w:eastAsia="Cambria" w:hAnsi="Cambria" w:cs="Cambria"/>
      <w:color w:val="000000"/>
      <w:sz w:val="18"/>
      <w:szCs w:val="24"/>
      <w:u w:color="000000"/>
    </w:rPr>
  </w:style>
  <w:style w:type="paragraph" w:customStyle="1" w:styleId="1">
    <w:name w:val="1"/>
    <w:basedOn w:val="Normal"/>
    <w:rsid w:val="00874191"/>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rFonts w:asciiTheme="minorHAnsi" w:eastAsiaTheme="minorHAnsi" w:hAnsiTheme="minorHAnsi" w:cstheme="minorBidi"/>
      <w:bdr w:val="none" w:sz="0" w:space="0" w:color="auto"/>
      <w:vertAlign w:val="superscript"/>
    </w:rPr>
  </w:style>
  <w:style w:type="character" w:styleId="Strong">
    <w:name w:val="Strong"/>
    <w:uiPriority w:val="22"/>
    <w:qFormat/>
    <w:rsid w:val="00B01DC2"/>
    <w:rPr>
      <w:b/>
      <w:bCs/>
    </w:rPr>
  </w:style>
  <w:style w:type="character" w:customStyle="1" w:styleId="apple-converted-space">
    <w:name w:val="apple-converted-space"/>
    <w:basedOn w:val="DefaultParagraphFont"/>
    <w:rsid w:val="00353024"/>
  </w:style>
  <w:style w:type="paragraph" w:styleId="TOCHeading">
    <w:name w:val="TOC Heading"/>
    <w:basedOn w:val="Heading1"/>
    <w:next w:val="Normal"/>
    <w:uiPriority w:val="39"/>
    <w:unhideWhenUsed/>
    <w:qFormat/>
    <w:rsid w:val="00891B36"/>
    <w:pPr>
      <w:keepNext/>
      <w:keepLines/>
      <w:numPr>
        <w:numId w:val="0"/>
      </w:num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240" w:line="259" w:lineRule="auto"/>
      <w:ind w:right="0"/>
      <w:jc w:val="left"/>
      <w:outlineLvl w:val="9"/>
    </w:pPr>
    <w:rPr>
      <w:rFonts w:eastAsiaTheme="majorEastAsia" w:cstheme="majorBidi"/>
      <w:b w:val="0"/>
      <w:color w:val="365F91" w:themeColor="accent1" w:themeShade="BF"/>
      <w:sz w:val="32"/>
      <w:szCs w:val="32"/>
      <w:bdr w:val="none" w:sz="0" w:space="0" w:color="auto"/>
      <w:lang w:val="en-US" w:eastAsia="en-US"/>
    </w:rPr>
  </w:style>
  <w:style w:type="character" w:styleId="CommentReference">
    <w:name w:val="annotation reference"/>
    <w:basedOn w:val="DefaultParagraphFont"/>
    <w:uiPriority w:val="99"/>
    <w:semiHidden/>
    <w:unhideWhenUsed/>
    <w:rsid w:val="007342BC"/>
    <w:rPr>
      <w:sz w:val="16"/>
      <w:szCs w:val="16"/>
    </w:rPr>
  </w:style>
  <w:style w:type="paragraph" w:styleId="CommentText">
    <w:name w:val="annotation text"/>
    <w:basedOn w:val="Normal"/>
    <w:link w:val="CommentTextChar"/>
    <w:uiPriority w:val="99"/>
    <w:semiHidden/>
    <w:unhideWhenUsed/>
    <w:rsid w:val="007342BC"/>
    <w:rPr>
      <w:sz w:val="20"/>
      <w:szCs w:val="20"/>
    </w:rPr>
  </w:style>
  <w:style w:type="character" w:customStyle="1" w:styleId="CommentTextChar">
    <w:name w:val="Comment Text Char"/>
    <w:basedOn w:val="DefaultParagraphFont"/>
    <w:link w:val="CommentText"/>
    <w:uiPriority w:val="99"/>
    <w:semiHidden/>
    <w:rsid w:val="007342BC"/>
    <w:rPr>
      <w:lang w:val="en-US" w:eastAsia="en-US"/>
    </w:rPr>
  </w:style>
  <w:style w:type="paragraph" w:styleId="CommentSubject">
    <w:name w:val="annotation subject"/>
    <w:basedOn w:val="CommentText"/>
    <w:next w:val="CommentText"/>
    <w:link w:val="CommentSubjectChar"/>
    <w:uiPriority w:val="99"/>
    <w:semiHidden/>
    <w:unhideWhenUsed/>
    <w:rsid w:val="007342BC"/>
    <w:rPr>
      <w:b/>
      <w:bCs/>
    </w:rPr>
  </w:style>
  <w:style w:type="character" w:customStyle="1" w:styleId="CommentSubjectChar">
    <w:name w:val="Comment Subject Char"/>
    <w:basedOn w:val="CommentTextChar"/>
    <w:link w:val="CommentSubject"/>
    <w:uiPriority w:val="99"/>
    <w:semiHidden/>
    <w:rsid w:val="007342BC"/>
    <w:rPr>
      <w:b/>
      <w:bCs/>
      <w:lang w:val="en-US" w:eastAsia="en-US"/>
    </w:rPr>
  </w:style>
  <w:style w:type="character" w:customStyle="1" w:styleId="Mencinsinresolver1">
    <w:name w:val="Mención sin resolver1"/>
    <w:basedOn w:val="DefaultParagraphFont"/>
    <w:uiPriority w:val="99"/>
    <w:semiHidden/>
    <w:unhideWhenUsed/>
    <w:rsid w:val="00383A7C"/>
    <w:rPr>
      <w:color w:val="605E5C"/>
      <w:shd w:val="clear" w:color="auto" w:fill="E1DFDD"/>
    </w:rPr>
  </w:style>
  <w:style w:type="paragraph" w:styleId="Revision">
    <w:name w:val="Revision"/>
    <w:hidden/>
    <w:uiPriority w:val="99"/>
    <w:semiHidden/>
    <w:rsid w:val="00362DF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18924">
      <w:bodyDiv w:val="1"/>
      <w:marLeft w:val="0"/>
      <w:marRight w:val="0"/>
      <w:marTop w:val="0"/>
      <w:marBottom w:val="0"/>
      <w:divBdr>
        <w:top w:val="none" w:sz="0" w:space="0" w:color="auto"/>
        <w:left w:val="none" w:sz="0" w:space="0" w:color="auto"/>
        <w:bottom w:val="none" w:sz="0" w:space="0" w:color="auto"/>
        <w:right w:val="none" w:sz="0" w:space="0" w:color="auto"/>
      </w:divBdr>
    </w:div>
    <w:div w:id="361515335">
      <w:bodyDiv w:val="1"/>
      <w:marLeft w:val="0"/>
      <w:marRight w:val="0"/>
      <w:marTop w:val="0"/>
      <w:marBottom w:val="0"/>
      <w:divBdr>
        <w:top w:val="none" w:sz="0" w:space="0" w:color="auto"/>
        <w:left w:val="none" w:sz="0" w:space="0" w:color="auto"/>
        <w:bottom w:val="none" w:sz="0" w:space="0" w:color="auto"/>
        <w:right w:val="none" w:sz="0" w:space="0" w:color="auto"/>
      </w:divBdr>
    </w:div>
    <w:div w:id="420494184">
      <w:bodyDiv w:val="1"/>
      <w:marLeft w:val="0"/>
      <w:marRight w:val="0"/>
      <w:marTop w:val="0"/>
      <w:marBottom w:val="0"/>
      <w:divBdr>
        <w:top w:val="none" w:sz="0" w:space="0" w:color="auto"/>
        <w:left w:val="none" w:sz="0" w:space="0" w:color="auto"/>
        <w:bottom w:val="none" w:sz="0" w:space="0" w:color="auto"/>
        <w:right w:val="none" w:sz="0" w:space="0" w:color="auto"/>
      </w:divBdr>
    </w:div>
    <w:div w:id="532960235">
      <w:bodyDiv w:val="1"/>
      <w:marLeft w:val="0"/>
      <w:marRight w:val="0"/>
      <w:marTop w:val="0"/>
      <w:marBottom w:val="0"/>
      <w:divBdr>
        <w:top w:val="none" w:sz="0" w:space="0" w:color="auto"/>
        <w:left w:val="none" w:sz="0" w:space="0" w:color="auto"/>
        <w:bottom w:val="none" w:sz="0" w:space="0" w:color="auto"/>
        <w:right w:val="none" w:sz="0" w:space="0" w:color="auto"/>
      </w:divBdr>
    </w:div>
    <w:div w:id="690104400">
      <w:bodyDiv w:val="1"/>
      <w:marLeft w:val="0"/>
      <w:marRight w:val="0"/>
      <w:marTop w:val="0"/>
      <w:marBottom w:val="0"/>
      <w:divBdr>
        <w:top w:val="none" w:sz="0" w:space="0" w:color="auto"/>
        <w:left w:val="none" w:sz="0" w:space="0" w:color="auto"/>
        <w:bottom w:val="none" w:sz="0" w:space="0" w:color="auto"/>
        <w:right w:val="none" w:sz="0" w:space="0" w:color="auto"/>
      </w:divBdr>
    </w:div>
    <w:div w:id="801001336">
      <w:bodyDiv w:val="1"/>
      <w:marLeft w:val="0"/>
      <w:marRight w:val="0"/>
      <w:marTop w:val="0"/>
      <w:marBottom w:val="0"/>
      <w:divBdr>
        <w:top w:val="none" w:sz="0" w:space="0" w:color="auto"/>
        <w:left w:val="none" w:sz="0" w:space="0" w:color="auto"/>
        <w:bottom w:val="none" w:sz="0" w:space="0" w:color="auto"/>
        <w:right w:val="none" w:sz="0" w:space="0" w:color="auto"/>
      </w:divBdr>
    </w:div>
    <w:div w:id="850339525">
      <w:bodyDiv w:val="1"/>
      <w:marLeft w:val="0"/>
      <w:marRight w:val="0"/>
      <w:marTop w:val="0"/>
      <w:marBottom w:val="0"/>
      <w:divBdr>
        <w:top w:val="none" w:sz="0" w:space="0" w:color="auto"/>
        <w:left w:val="none" w:sz="0" w:space="0" w:color="auto"/>
        <w:bottom w:val="none" w:sz="0" w:space="0" w:color="auto"/>
        <w:right w:val="none" w:sz="0" w:space="0" w:color="auto"/>
      </w:divBdr>
    </w:div>
    <w:div w:id="1187983078">
      <w:bodyDiv w:val="1"/>
      <w:marLeft w:val="0"/>
      <w:marRight w:val="0"/>
      <w:marTop w:val="0"/>
      <w:marBottom w:val="0"/>
      <w:divBdr>
        <w:top w:val="none" w:sz="0" w:space="0" w:color="auto"/>
        <w:left w:val="none" w:sz="0" w:space="0" w:color="auto"/>
        <w:bottom w:val="none" w:sz="0" w:space="0" w:color="auto"/>
        <w:right w:val="none" w:sz="0" w:space="0" w:color="auto"/>
      </w:divBdr>
    </w:div>
    <w:div w:id="1266771321">
      <w:bodyDiv w:val="1"/>
      <w:marLeft w:val="0"/>
      <w:marRight w:val="0"/>
      <w:marTop w:val="0"/>
      <w:marBottom w:val="0"/>
      <w:divBdr>
        <w:top w:val="none" w:sz="0" w:space="0" w:color="auto"/>
        <w:left w:val="none" w:sz="0" w:space="0" w:color="auto"/>
        <w:bottom w:val="none" w:sz="0" w:space="0" w:color="auto"/>
        <w:right w:val="none" w:sz="0" w:space="0" w:color="auto"/>
      </w:divBdr>
    </w:div>
    <w:div w:id="1453475791">
      <w:bodyDiv w:val="1"/>
      <w:marLeft w:val="0"/>
      <w:marRight w:val="0"/>
      <w:marTop w:val="0"/>
      <w:marBottom w:val="0"/>
      <w:divBdr>
        <w:top w:val="none" w:sz="0" w:space="0" w:color="auto"/>
        <w:left w:val="none" w:sz="0" w:space="0" w:color="auto"/>
        <w:bottom w:val="none" w:sz="0" w:space="0" w:color="auto"/>
        <w:right w:val="none" w:sz="0" w:space="0" w:color="auto"/>
      </w:divBdr>
    </w:div>
    <w:div w:id="1541281770">
      <w:bodyDiv w:val="1"/>
      <w:marLeft w:val="0"/>
      <w:marRight w:val="0"/>
      <w:marTop w:val="0"/>
      <w:marBottom w:val="0"/>
      <w:divBdr>
        <w:top w:val="none" w:sz="0" w:space="0" w:color="auto"/>
        <w:left w:val="none" w:sz="0" w:space="0" w:color="auto"/>
        <w:bottom w:val="none" w:sz="0" w:space="0" w:color="auto"/>
        <w:right w:val="none" w:sz="0" w:space="0" w:color="auto"/>
      </w:divBdr>
    </w:div>
    <w:div w:id="17322648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28285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oas.org/es/cidh/expresion/showarticle.asp?artID=87&amp;lID=2" TargetMode="External"/><Relationship Id="rId1" Type="http://schemas.openxmlformats.org/officeDocument/2006/relationships/hyperlink" Target="http://joomla.corteidh.or.cr:8080/joomla/es/casos-contenciosos/38-jurisprudencia/738-corte-idh-caso-claude-reyes-y-otros-vs-chile-fondo-reparaciones-y-costas-sentencia-de-19-de-septiembre-de-2006-serie-c-no-15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0D94C-1633-4B5C-82F0-834A2C91E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11993</Words>
  <Characters>68362</Characters>
  <Application>Microsoft Office Word</Application>
  <DocSecurity>0</DocSecurity>
  <Lines>569</Lines>
  <Paragraphs>160</Paragraphs>
  <ScaleCrop>false</ScaleCrop>
  <Company/>
  <LinksUpToDate>false</LinksUpToDate>
  <CharactersWithSpaces>80195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2021-05-19T16:39:00Z</dcterms:created>
  <dcterms:modified xsi:type="dcterms:W3CDTF">2021-05-19T16:39:00Z</dcterms:modified>
</cp:coreProperties>
</file>