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E4B42"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028B289" wp14:editId="64561832">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5EB1BB1" wp14:editId="379233D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B7FFAF" w14:textId="77777777" w:rsidR="007A5DF1" w:rsidRDefault="007A5DF1">
                            <w:r>
                              <w:rPr>
                                <w:noProof/>
                              </w:rPr>
                              <w:drawing>
                                <wp:inline distT="0" distB="0" distL="0" distR="0" wp14:anchorId="4A47C45C" wp14:editId="3E44E18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B1BB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1BB7FFAF" w14:textId="77777777" w:rsidR="007A5DF1" w:rsidRDefault="007A5DF1">
                      <w:r>
                        <w:rPr>
                          <w:noProof/>
                        </w:rPr>
                        <w:drawing>
                          <wp:inline distT="0" distB="0" distL="0" distR="0" wp14:anchorId="4A47C45C" wp14:editId="3E44E18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53A1132"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FB28C6D"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4FC1DC3B"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B2AAAD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EE8A0B2"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D69950C"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687B2AC"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3EDE2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6B3044DF"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5CF200A"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660CF16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994F69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2C515B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DDDCD10"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EDC6199" wp14:editId="67993340">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F1FCA8" w14:textId="77777777" w:rsidR="007A5DF1" w:rsidRPr="004B7EB6" w:rsidRDefault="007A5DF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60/19</w:t>
                            </w:r>
                          </w:p>
                          <w:p w14:paraId="21768709" w14:textId="77777777" w:rsidR="007A5DF1" w:rsidRPr="004B7EB6" w:rsidRDefault="007A5DF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12.744</w:t>
                            </w:r>
                          </w:p>
                          <w:p w14:paraId="5B271B1E" w14:textId="77777777" w:rsidR="007A5DF1" w:rsidRPr="004B7EB6" w:rsidRDefault="007A5DF1"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 ON MERITS</w:t>
                            </w:r>
                          </w:p>
                          <w:p w14:paraId="0648263E" w14:textId="77777777" w:rsidR="007A5DF1" w:rsidRPr="004B7EB6" w:rsidRDefault="007A5DF1" w:rsidP="004B7EB6">
                            <w:pPr>
                              <w:spacing w:line="276" w:lineRule="auto"/>
                              <w:rPr>
                                <w:rFonts w:asciiTheme="majorHAnsi" w:hAnsiTheme="majorHAnsi" w:cs="Arial"/>
                                <w:color w:val="0D0D0D" w:themeColor="text1" w:themeTint="F2"/>
                                <w:szCs w:val="22"/>
                              </w:rPr>
                            </w:pPr>
                          </w:p>
                          <w:p w14:paraId="18EFD1EC" w14:textId="77777777" w:rsidR="007A5DF1" w:rsidRPr="00041CFE" w:rsidRDefault="007A5DF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FREDY MARCELO</w:t>
                            </w:r>
                            <w:r w:rsidRPr="00041CFE">
                              <w:rPr>
                                <w:rFonts w:asciiTheme="majorHAnsi" w:hAnsiTheme="majorHAnsi" w:cs="Arial"/>
                                <w:color w:val="0D0D0D" w:themeColor="text1" w:themeTint="F2"/>
                                <w:szCs w:val="22"/>
                              </w:rPr>
                              <w:t xml:space="preserve"> NUÑEZ NARANJO</w:t>
                            </w:r>
                          </w:p>
                          <w:p w14:paraId="43550375" w14:textId="77777777" w:rsidR="007A5DF1" w:rsidRPr="004B7EB6" w:rsidRDefault="007A5DF1"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C6199"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1FF1FCA8" w14:textId="77777777" w:rsidR="007A5DF1" w:rsidRPr="004B7EB6" w:rsidRDefault="007A5DF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60/19</w:t>
                      </w:r>
                    </w:p>
                    <w:p w14:paraId="21768709" w14:textId="77777777" w:rsidR="007A5DF1" w:rsidRPr="004B7EB6" w:rsidRDefault="007A5DF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12.744</w:t>
                      </w:r>
                    </w:p>
                    <w:p w14:paraId="5B271B1E" w14:textId="77777777" w:rsidR="007A5DF1" w:rsidRPr="004B7EB6" w:rsidRDefault="007A5DF1"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 ON MERITS</w:t>
                      </w:r>
                    </w:p>
                    <w:p w14:paraId="0648263E" w14:textId="77777777" w:rsidR="007A5DF1" w:rsidRPr="004B7EB6" w:rsidRDefault="007A5DF1" w:rsidP="004B7EB6">
                      <w:pPr>
                        <w:spacing w:line="276" w:lineRule="auto"/>
                        <w:rPr>
                          <w:rFonts w:asciiTheme="majorHAnsi" w:hAnsiTheme="majorHAnsi" w:cs="Arial"/>
                          <w:color w:val="0D0D0D" w:themeColor="text1" w:themeTint="F2"/>
                          <w:szCs w:val="22"/>
                        </w:rPr>
                      </w:pPr>
                    </w:p>
                    <w:p w14:paraId="18EFD1EC" w14:textId="77777777" w:rsidR="007A5DF1" w:rsidRPr="00041CFE" w:rsidRDefault="007A5DF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FREDY MARCELO</w:t>
                      </w:r>
                      <w:r w:rsidRPr="00041CFE">
                        <w:rPr>
                          <w:rFonts w:asciiTheme="majorHAnsi" w:hAnsiTheme="majorHAnsi" w:cs="Arial"/>
                          <w:color w:val="0D0D0D" w:themeColor="text1" w:themeTint="F2"/>
                          <w:szCs w:val="22"/>
                        </w:rPr>
                        <w:t xml:space="preserve"> NUÑEZ NARANJO</w:t>
                      </w:r>
                    </w:p>
                    <w:p w14:paraId="43550375" w14:textId="77777777" w:rsidR="007A5DF1" w:rsidRPr="004B7EB6" w:rsidRDefault="007A5DF1"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ECUADOR</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B500413" wp14:editId="47B94756">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C8F79E" w14:textId="77777777" w:rsidR="007A5DF1" w:rsidRPr="00041CFE" w:rsidRDefault="007A5DF1" w:rsidP="000E6604">
                            <w:pPr>
                              <w:jc w:val="right"/>
                              <w:rPr>
                                <w:rFonts w:asciiTheme="minorHAnsi" w:hAnsiTheme="minorHAnsi"/>
                                <w:color w:val="FFFFFF" w:themeColor="background1"/>
                                <w:sz w:val="22"/>
                                <w:lang w:val="pt-BR"/>
                              </w:rPr>
                            </w:pPr>
                            <w:r w:rsidRPr="00041CFE">
                              <w:rPr>
                                <w:rFonts w:asciiTheme="minorHAnsi" w:hAnsiTheme="minorHAnsi"/>
                                <w:color w:val="FFFFFF" w:themeColor="background1"/>
                                <w:sz w:val="22"/>
                                <w:lang w:val="pt-BR"/>
                              </w:rPr>
                              <w:t>OEA/Ser.L/V/II.172</w:t>
                            </w:r>
                          </w:p>
                          <w:p w14:paraId="02D050DA" w14:textId="77777777" w:rsidR="007A5DF1" w:rsidRPr="00041CFE" w:rsidRDefault="007A5DF1" w:rsidP="000E6604">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69</w:t>
                            </w:r>
                          </w:p>
                          <w:p w14:paraId="0CBA769E" w14:textId="77777777" w:rsidR="007A5DF1" w:rsidRPr="004B7EB6" w:rsidRDefault="007A5DF1" w:rsidP="000E6604">
                            <w:pPr>
                              <w:jc w:val="right"/>
                              <w:rPr>
                                <w:rFonts w:asciiTheme="minorHAnsi" w:hAnsiTheme="minorHAnsi"/>
                                <w:color w:val="FFFFFF" w:themeColor="background1"/>
                                <w:sz w:val="22"/>
                              </w:rPr>
                            </w:pPr>
                            <w:r>
                              <w:rPr>
                                <w:rFonts w:asciiTheme="minorHAnsi" w:hAnsiTheme="minorHAnsi"/>
                                <w:color w:val="FFFFFF" w:themeColor="background1"/>
                                <w:sz w:val="22"/>
                              </w:rPr>
                              <w:t>May 4, 2019</w:t>
                            </w:r>
                          </w:p>
                          <w:p w14:paraId="68654073" w14:textId="77777777" w:rsidR="007A5DF1" w:rsidRPr="004B7EB6" w:rsidRDefault="007A5DF1" w:rsidP="000E6604">
                            <w:pPr>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00413"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52C8F79E" w14:textId="77777777" w:rsidR="007A5DF1" w:rsidRPr="00041CFE" w:rsidRDefault="007A5DF1" w:rsidP="000E6604">
                      <w:pPr>
                        <w:jc w:val="right"/>
                        <w:rPr>
                          <w:rFonts w:asciiTheme="minorHAnsi" w:hAnsiTheme="minorHAnsi"/>
                          <w:color w:val="FFFFFF" w:themeColor="background1"/>
                          <w:sz w:val="22"/>
                          <w:lang w:val="pt-BR"/>
                        </w:rPr>
                      </w:pPr>
                      <w:r w:rsidRPr="00041CFE">
                        <w:rPr>
                          <w:rFonts w:asciiTheme="minorHAnsi" w:hAnsiTheme="minorHAnsi"/>
                          <w:color w:val="FFFFFF" w:themeColor="background1"/>
                          <w:sz w:val="22"/>
                          <w:lang w:val="pt-BR"/>
                        </w:rPr>
                        <w:t>OEA/Ser.L/V/II.172</w:t>
                      </w:r>
                    </w:p>
                    <w:p w14:paraId="02D050DA" w14:textId="77777777" w:rsidR="007A5DF1" w:rsidRPr="00041CFE" w:rsidRDefault="007A5DF1" w:rsidP="000E6604">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69</w:t>
                      </w:r>
                    </w:p>
                    <w:p w14:paraId="0CBA769E" w14:textId="77777777" w:rsidR="007A5DF1" w:rsidRPr="004B7EB6" w:rsidRDefault="007A5DF1" w:rsidP="000E6604">
                      <w:pPr>
                        <w:jc w:val="right"/>
                        <w:rPr>
                          <w:rFonts w:asciiTheme="minorHAnsi" w:hAnsiTheme="minorHAnsi"/>
                          <w:color w:val="FFFFFF" w:themeColor="background1"/>
                          <w:sz w:val="22"/>
                        </w:rPr>
                      </w:pPr>
                      <w:r>
                        <w:rPr>
                          <w:rFonts w:asciiTheme="minorHAnsi" w:hAnsiTheme="minorHAnsi"/>
                          <w:color w:val="FFFFFF" w:themeColor="background1"/>
                          <w:sz w:val="22"/>
                        </w:rPr>
                        <w:t>May 4, 2019</w:t>
                      </w:r>
                    </w:p>
                    <w:p w14:paraId="68654073" w14:textId="77777777" w:rsidR="007A5DF1" w:rsidRPr="004B7EB6" w:rsidRDefault="007A5DF1" w:rsidP="000E6604">
                      <w:pPr>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v:textbox>
              </v:shape>
            </w:pict>
          </mc:Fallback>
        </mc:AlternateContent>
      </w:r>
    </w:p>
    <w:p w14:paraId="2110CDA3"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CADA322"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C581CA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B51041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E15FD9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CAEFFD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099E7D1"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5F41C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06B24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96C6DE0"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2FC00BB5"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758DF6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23ED41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F5C9D0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F00E15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FD2CC7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4FA814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93DE29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2AD9C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4F18B1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7215D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0BC0E0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972FC3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B434D8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0023C0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0C6191D"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9F28097" wp14:editId="573BEC3B">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1716BC" w14:textId="77777777" w:rsidR="007A5DF1" w:rsidRPr="003C32BC" w:rsidRDefault="007A5DF1"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w:t>
                            </w:r>
                            <w:r>
                              <w:rPr>
                                <w:rFonts w:asciiTheme="majorHAnsi" w:hAnsiTheme="majorHAnsi"/>
                                <w:color w:val="0D0D0D" w:themeColor="text1" w:themeTint="F2"/>
                                <w:sz w:val="18"/>
                                <w:szCs w:val="20"/>
                              </w:rPr>
                              <w:t>Commission at its session No. 2150</w:t>
                            </w:r>
                            <w:r w:rsidRPr="003C32BC">
                              <w:rPr>
                                <w:rFonts w:asciiTheme="majorHAnsi" w:hAnsiTheme="majorHAnsi"/>
                                <w:color w:val="0D0D0D" w:themeColor="text1" w:themeTint="F2"/>
                                <w:sz w:val="18"/>
                                <w:szCs w:val="20"/>
                              </w:rPr>
                              <w:t xml:space="preserve"> held on </w:t>
                            </w:r>
                            <w:r>
                              <w:rPr>
                                <w:rFonts w:asciiTheme="majorHAnsi" w:hAnsiTheme="majorHAnsi"/>
                                <w:color w:val="0D0D0D" w:themeColor="text1" w:themeTint="F2"/>
                                <w:sz w:val="18"/>
                                <w:szCs w:val="20"/>
                              </w:rPr>
                              <w:t>May 4, 2019</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 xml:space="preserve">172 </w:t>
                            </w:r>
                            <w:r w:rsidRPr="003C32BC">
                              <w:rPr>
                                <w:rFonts w:asciiTheme="majorHAnsi" w:hAnsiTheme="majorHAnsi" w:cs="Univers"/>
                                <w:color w:val="0D0D0D" w:themeColor="text1" w:themeTint="F2"/>
                                <w:sz w:val="18"/>
                                <w:szCs w:val="20"/>
                              </w:rPr>
                              <w:t xml:space="preserve">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28097"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651716BC" w14:textId="77777777" w:rsidR="007A5DF1" w:rsidRPr="003C32BC" w:rsidRDefault="007A5DF1"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w:t>
                      </w:r>
                      <w:r>
                        <w:rPr>
                          <w:rFonts w:asciiTheme="majorHAnsi" w:hAnsiTheme="majorHAnsi"/>
                          <w:color w:val="0D0D0D" w:themeColor="text1" w:themeTint="F2"/>
                          <w:sz w:val="18"/>
                          <w:szCs w:val="20"/>
                        </w:rPr>
                        <w:t>Commission at its session No. 2150</w:t>
                      </w:r>
                      <w:r w:rsidRPr="003C32BC">
                        <w:rPr>
                          <w:rFonts w:asciiTheme="majorHAnsi" w:hAnsiTheme="majorHAnsi"/>
                          <w:color w:val="0D0D0D" w:themeColor="text1" w:themeTint="F2"/>
                          <w:sz w:val="18"/>
                          <w:szCs w:val="20"/>
                        </w:rPr>
                        <w:t xml:space="preserve"> held on </w:t>
                      </w:r>
                      <w:r>
                        <w:rPr>
                          <w:rFonts w:asciiTheme="majorHAnsi" w:hAnsiTheme="majorHAnsi"/>
                          <w:color w:val="0D0D0D" w:themeColor="text1" w:themeTint="F2"/>
                          <w:sz w:val="18"/>
                          <w:szCs w:val="20"/>
                        </w:rPr>
                        <w:t>May 4, 2019</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 xml:space="preserve">172 </w:t>
                      </w:r>
                      <w:r w:rsidRPr="003C32BC">
                        <w:rPr>
                          <w:rFonts w:asciiTheme="majorHAnsi" w:hAnsiTheme="majorHAnsi" w:cs="Univers"/>
                          <w:color w:val="0D0D0D" w:themeColor="text1" w:themeTint="F2"/>
                          <w:sz w:val="18"/>
                          <w:szCs w:val="20"/>
                        </w:rPr>
                        <w:t xml:space="preserve"> Period of Sessions</w:t>
                      </w:r>
                    </w:p>
                  </w:txbxContent>
                </v:textbox>
              </v:shape>
            </w:pict>
          </mc:Fallback>
        </mc:AlternateContent>
      </w:r>
    </w:p>
    <w:p w14:paraId="1ABE19F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9F70DE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DDCD8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921C59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FA66275"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0E2894C" wp14:editId="7DB9F7B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3AAAD6" w14:textId="77777777" w:rsidR="007A5DF1" w:rsidRPr="00EA04B3" w:rsidRDefault="007A5DF1" w:rsidP="00F644E6">
                            <w:pPr>
                              <w:spacing w:line="276" w:lineRule="auto"/>
                              <w:rPr>
                                <w:rFonts w:asciiTheme="majorHAnsi" w:hAnsiTheme="majorHAnsi"/>
                                <w:color w:val="595959" w:themeColor="text1" w:themeTint="A6"/>
                                <w:sz w:val="18"/>
                                <w:lang w:val="pt-BR"/>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Pr>
                                <w:rFonts w:asciiTheme="majorHAnsi" w:hAnsiTheme="majorHAnsi"/>
                                <w:color w:val="595959" w:themeColor="text1" w:themeTint="A6"/>
                                <w:sz w:val="18"/>
                              </w:rPr>
                              <w:t>60/19</w:t>
                            </w:r>
                            <w:r w:rsidRPr="003C32BC">
                              <w:rPr>
                                <w:rFonts w:asciiTheme="majorHAnsi" w:hAnsiTheme="majorHAnsi"/>
                                <w:color w:val="595959" w:themeColor="text1" w:themeTint="A6"/>
                                <w:sz w:val="18"/>
                              </w:rPr>
                              <w:t>, Case</w:t>
                            </w:r>
                            <w:r>
                              <w:rPr>
                                <w:rFonts w:asciiTheme="majorHAnsi" w:hAnsiTheme="majorHAnsi"/>
                                <w:color w:val="595959" w:themeColor="text1" w:themeTint="A6"/>
                                <w:sz w:val="18"/>
                              </w:rPr>
                              <w:t>12.744</w:t>
                            </w:r>
                            <w:r w:rsidRPr="003C32BC">
                              <w:rPr>
                                <w:rFonts w:asciiTheme="majorHAnsi" w:hAnsiTheme="majorHAnsi"/>
                                <w:color w:val="595959" w:themeColor="text1" w:themeTint="A6"/>
                                <w:sz w:val="18"/>
                              </w:rPr>
                              <w:t xml:space="preserve">. Merits. </w:t>
                            </w:r>
                            <w:r w:rsidRPr="00EA04B3">
                              <w:rPr>
                                <w:rFonts w:asciiTheme="majorHAnsi" w:hAnsiTheme="majorHAnsi"/>
                                <w:color w:val="595959" w:themeColor="text1" w:themeTint="A6"/>
                                <w:sz w:val="18"/>
                                <w:lang w:val="pt-BR"/>
                              </w:rPr>
                              <w:t>Fredy Marcelo</w:t>
                            </w:r>
                            <w:r w:rsidRPr="00EA04B3">
                              <w:rPr>
                                <w:rFonts w:asciiTheme="majorHAnsi" w:hAnsiTheme="majorHAnsi"/>
                                <w:color w:val="000000" w:themeColor="text1"/>
                                <w:sz w:val="16"/>
                                <w:szCs w:val="16"/>
                                <w:lang w:val="pt-BR"/>
                              </w:rPr>
                              <w:t xml:space="preserve"> </w:t>
                            </w:r>
                            <w:r w:rsidRPr="00EA04B3">
                              <w:rPr>
                                <w:rFonts w:asciiTheme="majorHAnsi" w:hAnsiTheme="majorHAnsi"/>
                                <w:color w:val="595959" w:themeColor="text1" w:themeTint="A6"/>
                                <w:sz w:val="18"/>
                                <w:lang w:val="pt-BR"/>
                              </w:rPr>
                              <w:t xml:space="preserve">Núñez Naranjo. </w:t>
                            </w:r>
                            <w:r>
                              <w:rPr>
                                <w:rFonts w:asciiTheme="majorHAnsi" w:hAnsiTheme="majorHAnsi"/>
                                <w:color w:val="595959" w:themeColor="text1" w:themeTint="A6"/>
                                <w:sz w:val="18"/>
                                <w:lang w:val="pt-BR"/>
                              </w:rPr>
                              <w:t>Ecuador.</w:t>
                            </w:r>
                            <w:r w:rsidRPr="00EA04B3">
                              <w:rPr>
                                <w:rFonts w:asciiTheme="majorHAnsi" w:hAnsiTheme="majorHAnsi"/>
                                <w:color w:val="595959" w:themeColor="text1" w:themeTint="A6"/>
                                <w:sz w:val="18"/>
                                <w:lang w:val="pt-BR"/>
                              </w:rPr>
                              <w:t xml:space="preserve"> </w:t>
                            </w:r>
                            <w:r>
                              <w:rPr>
                                <w:rFonts w:asciiTheme="majorHAnsi" w:hAnsiTheme="majorHAnsi"/>
                                <w:color w:val="595959" w:themeColor="text1" w:themeTint="A6"/>
                                <w:sz w:val="18"/>
                                <w:lang w:val="pt-BR"/>
                              </w:rPr>
                              <w:t>May 4</w:t>
                            </w:r>
                            <w:r w:rsidRPr="00EA04B3">
                              <w:rPr>
                                <w:rFonts w:asciiTheme="majorHAnsi" w:hAnsiTheme="majorHAnsi"/>
                                <w:color w:val="595959" w:themeColor="text1" w:themeTint="A6"/>
                                <w:sz w:val="18"/>
                                <w:lang w:val="pt-BR"/>
                              </w:rPr>
                              <w: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2894C"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693AAAD6" w14:textId="77777777" w:rsidR="007A5DF1" w:rsidRPr="00EA04B3" w:rsidRDefault="007A5DF1" w:rsidP="00F644E6">
                      <w:pPr>
                        <w:spacing w:line="276" w:lineRule="auto"/>
                        <w:rPr>
                          <w:rFonts w:asciiTheme="majorHAnsi" w:hAnsiTheme="majorHAnsi"/>
                          <w:color w:val="595959" w:themeColor="text1" w:themeTint="A6"/>
                          <w:sz w:val="18"/>
                          <w:lang w:val="pt-BR"/>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Pr>
                          <w:rFonts w:asciiTheme="majorHAnsi" w:hAnsiTheme="majorHAnsi"/>
                          <w:color w:val="595959" w:themeColor="text1" w:themeTint="A6"/>
                          <w:sz w:val="18"/>
                        </w:rPr>
                        <w:t>60/19</w:t>
                      </w:r>
                      <w:r w:rsidRPr="003C32BC">
                        <w:rPr>
                          <w:rFonts w:asciiTheme="majorHAnsi" w:hAnsiTheme="majorHAnsi"/>
                          <w:color w:val="595959" w:themeColor="text1" w:themeTint="A6"/>
                          <w:sz w:val="18"/>
                        </w:rPr>
                        <w:t>, Case</w:t>
                      </w:r>
                      <w:r>
                        <w:rPr>
                          <w:rFonts w:asciiTheme="majorHAnsi" w:hAnsiTheme="majorHAnsi"/>
                          <w:color w:val="595959" w:themeColor="text1" w:themeTint="A6"/>
                          <w:sz w:val="18"/>
                        </w:rPr>
                        <w:t>12.744</w:t>
                      </w:r>
                      <w:r w:rsidRPr="003C32BC">
                        <w:rPr>
                          <w:rFonts w:asciiTheme="majorHAnsi" w:hAnsiTheme="majorHAnsi"/>
                          <w:color w:val="595959" w:themeColor="text1" w:themeTint="A6"/>
                          <w:sz w:val="18"/>
                        </w:rPr>
                        <w:t xml:space="preserve">. Merits. </w:t>
                      </w:r>
                      <w:r w:rsidRPr="00EA04B3">
                        <w:rPr>
                          <w:rFonts w:asciiTheme="majorHAnsi" w:hAnsiTheme="majorHAnsi"/>
                          <w:color w:val="595959" w:themeColor="text1" w:themeTint="A6"/>
                          <w:sz w:val="18"/>
                          <w:lang w:val="pt-BR"/>
                        </w:rPr>
                        <w:t>Fredy Marcelo</w:t>
                      </w:r>
                      <w:r w:rsidRPr="00EA04B3">
                        <w:rPr>
                          <w:rFonts w:asciiTheme="majorHAnsi" w:hAnsiTheme="majorHAnsi"/>
                          <w:color w:val="000000" w:themeColor="text1"/>
                          <w:sz w:val="16"/>
                          <w:szCs w:val="16"/>
                          <w:lang w:val="pt-BR"/>
                        </w:rPr>
                        <w:t xml:space="preserve"> </w:t>
                      </w:r>
                      <w:r w:rsidRPr="00EA04B3">
                        <w:rPr>
                          <w:rFonts w:asciiTheme="majorHAnsi" w:hAnsiTheme="majorHAnsi"/>
                          <w:color w:val="595959" w:themeColor="text1" w:themeTint="A6"/>
                          <w:sz w:val="18"/>
                          <w:lang w:val="pt-BR"/>
                        </w:rPr>
                        <w:t xml:space="preserve">Núñez Naranjo. </w:t>
                      </w:r>
                      <w:r>
                        <w:rPr>
                          <w:rFonts w:asciiTheme="majorHAnsi" w:hAnsiTheme="majorHAnsi"/>
                          <w:color w:val="595959" w:themeColor="text1" w:themeTint="A6"/>
                          <w:sz w:val="18"/>
                          <w:lang w:val="pt-BR"/>
                        </w:rPr>
                        <w:t>Ecuador.</w:t>
                      </w:r>
                      <w:r w:rsidRPr="00EA04B3">
                        <w:rPr>
                          <w:rFonts w:asciiTheme="majorHAnsi" w:hAnsiTheme="majorHAnsi"/>
                          <w:color w:val="595959" w:themeColor="text1" w:themeTint="A6"/>
                          <w:sz w:val="18"/>
                          <w:lang w:val="pt-BR"/>
                        </w:rPr>
                        <w:t xml:space="preserve"> </w:t>
                      </w:r>
                      <w:r>
                        <w:rPr>
                          <w:rFonts w:asciiTheme="majorHAnsi" w:hAnsiTheme="majorHAnsi"/>
                          <w:color w:val="595959" w:themeColor="text1" w:themeTint="A6"/>
                          <w:sz w:val="18"/>
                          <w:lang w:val="pt-BR"/>
                        </w:rPr>
                        <w:t>May 4</w:t>
                      </w:r>
                      <w:r w:rsidRPr="00EA04B3">
                        <w:rPr>
                          <w:rFonts w:asciiTheme="majorHAnsi" w:hAnsiTheme="majorHAnsi"/>
                          <w:color w:val="595959" w:themeColor="text1" w:themeTint="A6"/>
                          <w:sz w:val="18"/>
                          <w:lang w:val="pt-BR"/>
                        </w:rPr>
                        <w:t>, 2019.</w:t>
                      </w:r>
                    </w:p>
                  </w:txbxContent>
                </v:textbox>
              </v:shape>
            </w:pict>
          </mc:Fallback>
        </mc:AlternateContent>
      </w:r>
    </w:p>
    <w:p w14:paraId="5D1C279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C2723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47750E2" w14:textId="77777777" w:rsidR="003C32BC" w:rsidRPr="003C32BC" w:rsidRDefault="003C32BC" w:rsidP="003C32BC">
      <w:pPr>
        <w:tabs>
          <w:tab w:val="center" w:pos="5400"/>
        </w:tabs>
        <w:suppressAutoHyphens/>
        <w:jc w:val="center"/>
        <w:rPr>
          <w:rFonts w:asciiTheme="majorHAnsi" w:hAnsiTheme="majorHAnsi"/>
          <w:sz w:val="18"/>
          <w:szCs w:val="22"/>
        </w:rPr>
      </w:pPr>
    </w:p>
    <w:p w14:paraId="1066AE51"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6261B9F1" wp14:editId="5A2739E0">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F91283" w14:textId="77777777" w:rsidR="007A5DF1" w:rsidRPr="004B7EB6" w:rsidRDefault="007A5DF1"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1B9F1"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AF91283" w14:textId="77777777" w:rsidR="007A5DF1" w:rsidRPr="004B7EB6" w:rsidRDefault="007A5DF1"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DE432B9" wp14:editId="267AAFB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85CAC7" w14:textId="77777777" w:rsidR="007A5DF1" w:rsidRDefault="007A5DF1">
                            <w:r>
                              <w:rPr>
                                <w:noProof/>
                              </w:rPr>
                              <w:drawing>
                                <wp:inline distT="0" distB="0" distL="0" distR="0" wp14:anchorId="738CC54B" wp14:editId="7A79B27F">
                                  <wp:extent cx="1123950" cy="378416"/>
                                  <wp:effectExtent l="0" t="0" r="0" b="3175"/>
                                  <wp:docPr id="27" name="Picture 27"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432B9"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1A85CAC7" w14:textId="77777777" w:rsidR="007A5DF1" w:rsidRDefault="007A5DF1">
                      <w:r>
                        <w:rPr>
                          <w:noProof/>
                        </w:rPr>
                        <w:drawing>
                          <wp:inline distT="0" distB="0" distL="0" distR="0" wp14:anchorId="738CC54B" wp14:editId="7A79B27F">
                            <wp:extent cx="1123950" cy="378416"/>
                            <wp:effectExtent l="0" t="0" r="0" b="3175"/>
                            <wp:docPr id="27" name="Picture 27"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4E3A2674" w14:textId="77777777" w:rsidR="007607C4" w:rsidRDefault="007607C4" w:rsidP="00664D62">
      <w:pPr>
        <w:tabs>
          <w:tab w:val="center" w:pos="5400"/>
        </w:tabs>
        <w:suppressAutoHyphens/>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27E1FF7E" w14:textId="77777777" w:rsidR="007607C4" w:rsidRPr="00FC3EB4" w:rsidRDefault="007607C4" w:rsidP="00145EDC">
      <w:pPr>
        <w:tabs>
          <w:tab w:val="center" w:pos="5400"/>
        </w:tabs>
        <w:suppressAutoHyphens/>
        <w:spacing w:line="276" w:lineRule="auto"/>
        <w:rPr>
          <w:rFonts w:asciiTheme="majorHAnsi" w:hAnsiTheme="majorHAnsi"/>
          <w:sz w:val="20"/>
          <w:szCs w:val="20"/>
        </w:rPr>
      </w:pPr>
    </w:p>
    <w:p w14:paraId="241345F7" w14:textId="77777777" w:rsidR="007607C4" w:rsidRPr="00FC3EB4" w:rsidRDefault="007607C4" w:rsidP="00145EDC">
      <w:pPr>
        <w:tabs>
          <w:tab w:val="center" w:pos="5400"/>
        </w:tabs>
        <w:suppressAutoHyphens/>
        <w:spacing w:line="276" w:lineRule="auto"/>
        <w:rPr>
          <w:rFonts w:asciiTheme="majorHAnsi" w:hAnsiTheme="majorHAnsi"/>
          <w:sz w:val="20"/>
          <w:szCs w:val="20"/>
        </w:rPr>
      </w:pPr>
    </w:p>
    <w:p w14:paraId="126FC942" w14:textId="77777777" w:rsidR="007607C4" w:rsidRPr="00FC3EB4" w:rsidRDefault="007607C4" w:rsidP="00145EDC">
      <w:pPr>
        <w:tabs>
          <w:tab w:val="center" w:pos="5400"/>
        </w:tabs>
        <w:suppressAutoHyphens/>
        <w:spacing w:line="276" w:lineRule="auto"/>
        <w:rPr>
          <w:rFonts w:asciiTheme="majorHAnsi" w:hAnsiTheme="majorHAnsi"/>
          <w:sz w:val="20"/>
          <w:szCs w:val="20"/>
        </w:rPr>
      </w:pPr>
    </w:p>
    <w:p w14:paraId="6588A91D" w14:textId="77777777" w:rsidR="007607C4" w:rsidRPr="00FC3EB4" w:rsidRDefault="007607C4" w:rsidP="00145EDC">
      <w:pPr>
        <w:tabs>
          <w:tab w:val="center" w:pos="5400"/>
        </w:tabs>
        <w:suppressAutoHyphens/>
        <w:spacing w:line="276" w:lineRule="auto"/>
        <w:rPr>
          <w:rFonts w:asciiTheme="majorHAnsi" w:hAnsiTheme="majorHAnsi"/>
          <w:sz w:val="20"/>
          <w:szCs w:val="20"/>
        </w:rPr>
      </w:pPr>
    </w:p>
    <w:sdt>
      <w:sdtPr>
        <w:rPr>
          <w:rFonts w:ascii="Times New Roman" w:eastAsia="Arial Unicode MS" w:hAnsi="Times New Roman" w:cs="Times New Roman"/>
          <w:b w:val="0"/>
          <w:bCs w:val="0"/>
          <w:color w:val="auto"/>
          <w:sz w:val="24"/>
          <w:szCs w:val="24"/>
          <w:bdr w:val="nil"/>
          <w:lang w:eastAsia="en-US"/>
        </w:rPr>
        <w:id w:val="1008337297"/>
        <w:docPartObj>
          <w:docPartGallery w:val="Table of Contents"/>
          <w:docPartUnique/>
        </w:docPartObj>
      </w:sdtPr>
      <w:sdtEndPr>
        <w:rPr>
          <w:noProof/>
        </w:rPr>
      </w:sdtEndPr>
      <w:sdtContent>
        <w:p w14:paraId="46CCA9F5" w14:textId="77777777" w:rsidR="00F91A8D" w:rsidRPr="00664D62" w:rsidRDefault="00F91A8D">
          <w:pPr>
            <w:pStyle w:val="TOCHeading"/>
            <w:rPr>
              <w:sz w:val="20"/>
              <w:szCs w:val="20"/>
            </w:rPr>
          </w:pPr>
        </w:p>
        <w:p w14:paraId="34A0EF7A" w14:textId="6696264E" w:rsidR="00664D62" w:rsidRPr="00664D62" w:rsidRDefault="00F91A8D">
          <w:pPr>
            <w:pStyle w:val="TOC1"/>
            <w:tabs>
              <w:tab w:val="left" w:pos="1440"/>
              <w:tab w:val="right" w:leader="dot" w:pos="9350"/>
            </w:tabs>
            <w:rPr>
              <w:rFonts w:asciiTheme="majorHAnsi" w:eastAsiaTheme="minorEastAsia" w:hAnsiTheme="majorHAnsi" w:cstheme="minorBidi"/>
              <w:noProof/>
              <w:sz w:val="20"/>
              <w:szCs w:val="20"/>
              <w:bdr w:val="none" w:sz="0" w:space="0" w:color="auto"/>
            </w:rPr>
          </w:pPr>
          <w:r w:rsidRPr="00664D62">
            <w:rPr>
              <w:rFonts w:asciiTheme="majorHAnsi" w:hAnsiTheme="majorHAnsi"/>
              <w:sz w:val="20"/>
              <w:szCs w:val="20"/>
            </w:rPr>
            <w:fldChar w:fldCharType="begin"/>
          </w:r>
          <w:r w:rsidRPr="00664D62">
            <w:rPr>
              <w:rFonts w:asciiTheme="majorHAnsi" w:hAnsiTheme="majorHAnsi"/>
              <w:sz w:val="20"/>
              <w:szCs w:val="20"/>
            </w:rPr>
            <w:instrText xml:space="preserve"> TOC \o "1-3" \h \z \u </w:instrText>
          </w:r>
          <w:r w:rsidRPr="00664D62">
            <w:rPr>
              <w:rFonts w:asciiTheme="majorHAnsi" w:hAnsiTheme="majorHAnsi"/>
              <w:sz w:val="20"/>
              <w:szCs w:val="20"/>
            </w:rPr>
            <w:fldChar w:fldCharType="separate"/>
          </w:r>
          <w:hyperlink w:anchor="_Toc5953483" w:history="1">
            <w:r w:rsidR="00664D62" w:rsidRPr="00664D62">
              <w:rPr>
                <w:rStyle w:val="Hyperlink"/>
                <w:rFonts w:asciiTheme="majorHAnsi" w:hAnsiTheme="majorHAnsi"/>
                <w:b/>
                <w:noProof/>
                <w:sz w:val="20"/>
                <w:szCs w:val="20"/>
              </w:rPr>
              <w:t>I.</w:t>
            </w:r>
            <w:r w:rsidR="00664D62" w:rsidRPr="00664D62">
              <w:rPr>
                <w:rFonts w:asciiTheme="majorHAnsi" w:eastAsiaTheme="minorEastAsia" w:hAnsiTheme="majorHAnsi" w:cstheme="minorBidi"/>
                <w:b/>
                <w:noProof/>
                <w:sz w:val="20"/>
                <w:szCs w:val="20"/>
                <w:bdr w:val="none" w:sz="0" w:space="0" w:color="auto"/>
              </w:rPr>
              <w:tab/>
            </w:r>
            <w:r w:rsidR="00664D62" w:rsidRPr="00664D62">
              <w:rPr>
                <w:rStyle w:val="Hyperlink"/>
                <w:rFonts w:asciiTheme="majorHAnsi" w:hAnsiTheme="majorHAnsi"/>
                <w:b/>
                <w:noProof/>
                <w:sz w:val="20"/>
                <w:szCs w:val="20"/>
              </w:rPr>
              <w:t>INTRODUCTION</w:t>
            </w:r>
            <w:r w:rsidR="00664D62" w:rsidRPr="00664D62">
              <w:rPr>
                <w:rFonts w:asciiTheme="majorHAnsi" w:hAnsiTheme="majorHAnsi"/>
                <w:noProof/>
                <w:webHidden/>
                <w:sz w:val="20"/>
                <w:szCs w:val="20"/>
              </w:rPr>
              <w:tab/>
            </w:r>
            <w:r w:rsidR="00664D62" w:rsidRPr="00664D62">
              <w:rPr>
                <w:rFonts w:asciiTheme="majorHAnsi" w:hAnsiTheme="majorHAnsi"/>
                <w:noProof/>
                <w:webHidden/>
                <w:sz w:val="20"/>
                <w:szCs w:val="20"/>
              </w:rPr>
              <w:fldChar w:fldCharType="begin"/>
            </w:r>
            <w:r w:rsidR="00664D62" w:rsidRPr="00664D62">
              <w:rPr>
                <w:rFonts w:asciiTheme="majorHAnsi" w:hAnsiTheme="majorHAnsi"/>
                <w:noProof/>
                <w:webHidden/>
                <w:sz w:val="20"/>
                <w:szCs w:val="20"/>
              </w:rPr>
              <w:instrText xml:space="preserve"> PAGEREF _Toc5953483 \h </w:instrText>
            </w:r>
            <w:r w:rsidR="00664D62" w:rsidRPr="00664D62">
              <w:rPr>
                <w:rFonts w:asciiTheme="majorHAnsi" w:hAnsiTheme="majorHAnsi"/>
                <w:noProof/>
                <w:webHidden/>
                <w:sz w:val="20"/>
                <w:szCs w:val="20"/>
              </w:rPr>
            </w:r>
            <w:r w:rsidR="00664D62" w:rsidRPr="00664D62">
              <w:rPr>
                <w:rFonts w:asciiTheme="majorHAnsi" w:hAnsiTheme="majorHAnsi"/>
                <w:noProof/>
                <w:webHidden/>
                <w:sz w:val="20"/>
                <w:szCs w:val="20"/>
              </w:rPr>
              <w:fldChar w:fldCharType="separate"/>
            </w:r>
            <w:r w:rsidR="00631086">
              <w:rPr>
                <w:rFonts w:asciiTheme="majorHAnsi" w:hAnsiTheme="majorHAnsi"/>
                <w:noProof/>
                <w:webHidden/>
                <w:sz w:val="20"/>
                <w:szCs w:val="20"/>
              </w:rPr>
              <w:t>2</w:t>
            </w:r>
            <w:r w:rsidR="00664D62" w:rsidRPr="00664D62">
              <w:rPr>
                <w:rFonts w:asciiTheme="majorHAnsi" w:hAnsiTheme="majorHAnsi"/>
                <w:noProof/>
                <w:webHidden/>
                <w:sz w:val="20"/>
                <w:szCs w:val="20"/>
              </w:rPr>
              <w:fldChar w:fldCharType="end"/>
            </w:r>
          </w:hyperlink>
        </w:p>
        <w:p w14:paraId="1D0FDC23" w14:textId="680B456C" w:rsidR="00664D62" w:rsidRPr="00664D62" w:rsidRDefault="00631086">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953484" w:history="1">
            <w:r w:rsidR="00664D62" w:rsidRPr="00664D62">
              <w:rPr>
                <w:rStyle w:val="Hyperlink"/>
                <w:rFonts w:asciiTheme="majorHAnsi" w:hAnsiTheme="majorHAnsi"/>
                <w:b/>
                <w:noProof/>
                <w:sz w:val="20"/>
                <w:szCs w:val="20"/>
              </w:rPr>
              <w:t>II.</w:t>
            </w:r>
            <w:r w:rsidR="00664D62" w:rsidRPr="00664D62">
              <w:rPr>
                <w:rFonts w:asciiTheme="majorHAnsi" w:eastAsiaTheme="minorEastAsia" w:hAnsiTheme="majorHAnsi" w:cstheme="minorBidi"/>
                <w:b/>
                <w:noProof/>
                <w:sz w:val="20"/>
                <w:szCs w:val="20"/>
                <w:bdr w:val="none" w:sz="0" w:space="0" w:color="auto"/>
              </w:rPr>
              <w:tab/>
            </w:r>
            <w:r w:rsidR="00664D62" w:rsidRPr="00664D62">
              <w:rPr>
                <w:rStyle w:val="Hyperlink"/>
                <w:rFonts w:asciiTheme="majorHAnsi" w:hAnsiTheme="majorHAnsi"/>
                <w:b/>
                <w:noProof/>
                <w:sz w:val="20"/>
                <w:szCs w:val="20"/>
              </w:rPr>
              <w:t>ALLEGATIONS OF THE PARTIES</w:t>
            </w:r>
            <w:r w:rsidR="00664D62" w:rsidRPr="00664D62">
              <w:rPr>
                <w:rFonts w:asciiTheme="majorHAnsi" w:hAnsiTheme="majorHAnsi"/>
                <w:noProof/>
                <w:webHidden/>
                <w:sz w:val="20"/>
                <w:szCs w:val="20"/>
              </w:rPr>
              <w:tab/>
            </w:r>
            <w:r w:rsidR="00664D62" w:rsidRPr="00664D62">
              <w:rPr>
                <w:rFonts w:asciiTheme="majorHAnsi" w:hAnsiTheme="majorHAnsi"/>
                <w:noProof/>
                <w:webHidden/>
                <w:sz w:val="20"/>
                <w:szCs w:val="20"/>
              </w:rPr>
              <w:fldChar w:fldCharType="begin"/>
            </w:r>
            <w:r w:rsidR="00664D62" w:rsidRPr="00664D62">
              <w:rPr>
                <w:rFonts w:asciiTheme="majorHAnsi" w:hAnsiTheme="majorHAnsi"/>
                <w:noProof/>
                <w:webHidden/>
                <w:sz w:val="20"/>
                <w:szCs w:val="20"/>
              </w:rPr>
              <w:instrText xml:space="preserve"> PAGEREF _Toc5953484 \h </w:instrText>
            </w:r>
            <w:r w:rsidR="00664D62" w:rsidRPr="00664D62">
              <w:rPr>
                <w:rFonts w:asciiTheme="majorHAnsi" w:hAnsiTheme="majorHAnsi"/>
                <w:noProof/>
                <w:webHidden/>
                <w:sz w:val="20"/>
                <w:szCs w:val="20"/>
              </w:rPr>
            </w:r>
            <w:r w:rsidR="00664D62" w:rsidRPr="00664D62">
              <w:rPr>
                <w:rFonts w:asciiTheme="majorHAnsi" w:hAnsiTheme="majorHAnsi"/>
                <w:noProof/>
                <w:webHidden/>
                <w:sz w:val="20"/>
                <w:szCs w:val="20"/>
              </w:rPr>
              <w:fldChar w:fldCharType="separate"/>
            </w:r>
            <w:r>
              <w:rPr>
                <w:rFonts w:asciiTheme="majorHAnsi" w:hAnsiTheme="majorHAnsi"/>
                <w:noProof/>
                <w:webHidden/>
                <w:sz w:val="20"/>
                <w:szCs w:val="20"/>
              </w:rPr>
              <w:t>2</w:t>
            </w:r>
            <w:r w:rsidR="00664D62" w:rsidRPr="00664D62">
              <w:rPr>
                <w:rFonts w:asciiTheme="majorHAnsi" w:hAnsiTheme="majorHAnsi"/>
                <w:noProof/>
                <w:webHidden/>
                <w:sz w:val="20"/>
                <w:szCs w:val="20"/>
              </w:rPr>
              <w:fldChar w:fldCharType="end"/>
            </w:r>
          </w:hyperlink>
        </w:p>
        <w:p w14:paraId="047CE2C4" w14:textId="47031FCA" w:rsidR="00664D62" w:rsidRPr="00664D62" w:rsidRDefault="00631086">
          <w:pPr>
            <w:pStyle w:val="TOC2"/>
            <w:rPr>
              <w:rFonts w:asciiTheme="majorHAnsi" w:eastAsiaTheme="minorEastAsia" w:hAnsiTheme="majorHAnsi" w:cstheme="minorBidi"/>
              <w:noProof/>
              <w:sz w:val="20"/>
              <w:szCs w:val="20"/>
              <w:bdr w:val="none" w:sz="0" w:space="0" w:color="auto"/>
            </w:rPr>
          </w:pPr>
          <w:hyperlink w:anchor="_Toc5953485" w:history="1">
            <w:r w:rsidR="00664D62" w:rsidRPr="00664D62">
              <w:rPr>
                <w:rStyle w:val="Hyperlink"/>
                <w:rFonts w:asciiTheme="majorHAnsi" w:hAnsiTheme="majorHAnsi"/>
                <w:i/>
                <w:noProof/>
                <w:sz w:val="20"/>
                <w:szCs w:val="20"/>
              </w:rPr>
              <w:t>A.</w:t>
            </w:r>
            <w:r w:rsidR="00664D62" w:rsidRPr="00664D62">
              <w:rPr>
                <w:rFonts w:asciiTheme="majorHAnsi" w:eastAsiaTheme="minorEastAsia" w:hAnsiTheme="majorHAnsi" w:cstheme="minorBidi"/>
                <w:noProof/>
                <w:sz w:val="20"/>
                <w:szCs w:val="20"/>
                <w:bdr w:val="none" w:sz="0" w:space="0" w:color="auto"/>
              </w:rPr>
              <w:tab/>
            </w:r>
            <w:r w:rsidR="00664D62" w:rsidRPr="00664D62">
              <w:rPr>
                <w:rStyle w:val="Hyperlink"/>
                <w:rFonts w:asciiTheme="majorHAnsi" w:hAnsiTheme="majorHAnsi"/>
                <w:noProof/>
                <w:sz w:val="20"/>
                <w:szCs w:val="20"/>
              </w:rPr>
              <w:t>Petitioners</w:t>
            </w:r>
            <w:r w:rsidR="00664D62" w:rsidRPr="00664D62">
              <w:rPr>
                <w:rFonts w:asciiTheme="majorHAnsi" w:hAnsiTheme="majorHAnsi"/>
                <w:noProof/>
                <w:webHidden/>
                <w:sz w:val="20"/>
                <w:szCs w:val="20"/>
              </w:rPr>
              <w:tab/>
            </w:r>
            <w:r w:rsidR="00664D62" w:rsidRPr="00664D62">
              <w:rPr>
                <w:rFonts w:asciiTheme="majorHAnsi" w:hAnsiTheme="majorHAnsi"/>
                <w:noProof/>
                <w:webHidden/>
                <w:sz w:val="20"/>
                <w:szCs w:val="20"/>
              </w:rPr>
              <w:fldChar w:fldCharType="begin"/>
            </w:r>
            <w:r w:rsidR="00664D62" w:rsidRPr="00664D62">
              <w:rPr>
                <w:rFonts w:asciiTheme="majorHAnsi" w:hAnsiTheme="majorHAnsi"/>
                <w:noProof/>
                <w:webHidden/>
                <w:sz w:val="20"/>
                <w:szCs w:val="20"/>
              </w:rPr>
              <w:instrText xml:space="preserve"> PAGEREF _Toc5953485 \h </w:instrText>
            </w:r>
            <w:r w:rsidR="00664D62" w:rsidRPr="00664D62">
              <w:rPr>
                <w:rFonts w:asciiTheme="majorHAnsi" w:hAnsiTheme="majorHAnsi"/>
                <w:noProof/>
                <w:webHidden/>
                <w:sz w:val="20"/>
                <w:szCs w:val="20"/>
              </w:rPr>
            </w:r>
            <w:r w:rsidR="00664D62" w:rsidRPr="00664D62">
              <w:rPr>
                <w:rFonts w:asciiTheme="majorHAnsi" w:hAnsiTheme="majorHAnsi"/>
                <w:noProof/>
                <w:webHidden/>
                <w:sz w:val="20"/>
                <w:szCs w:val="20"/>
              </w:rPr>
              <w:fldChar w:fldCharType="separate"/>
            </w:r>
            <w:r>
              <w:rPr>
                <w:rFonts w:asciiTheme="majorHAnsi" w:hAnsiTheme="majorHAnsi"/>
                <w:noProof/>
                <w:webHidden/>
                <w:sz w:val="20"/>
                <w:szCs w:val="20"/>
              </w:rPr>
              <w:t>2</w:t>
            </w:r>
            <w:r w:rsidR="00664D62" w:rsidRPr="00664D62">
              <w:rPr>
                <w:rFonts w:asciiTheme="majorHAnsi" w:hAnsiTheme="majorHAnsi"/>
                <w:noProof/>
                <w:webHidden/>
                <w:sz w:val="20"/>
                <w:szCs w:val="20"/>
              </w:rPr>
              <w:fldChar w:fldCharType="end"/>
            </w:r>
          </w:hyperlink>
        </w:p>
        <w:p w14:paraId="46142795" w14:textId="138FD546" w:rsidR="00664D62" w:rsidRPr="00664D62" w:rsidRDefault="00631086">
          <w:pPr>
            <w:pStyle w:val="TOC2"/>
            <w:rPr>
              <w:rFonts w:asciiTheme="majorHAnsi" w:eastAsiaTheme="minorEastAsia" w:hAnsiTheme="majorHAnsi" w:cstheme="minorBidi"/>
              <w:noProof/>
              <w:sz w:val="20"/>
              <w:szCs w:val="20"/>
              <w:bdr w:val="none" w:sz="0" w:space="0" w:color="auto"/>
            </w:rPr>
          </w:pPr>
          <w:hyperlink w:anchor="_Toc5953486" w:history="1">
            <w:r w:rsidR="00664D62" w:rsidRPr="00664D62">
              <w:rPr>
                <w:rStyle w:val="Hyperlink"/>
                <w:rFonts w:asciiTheme="majorHAnsi" w:hAnsiTheme="majorHAnsi"/>
                <w:i/>
                <w:noProof/>
                <w:sz w:val="20"/>
                <w:szCs w:val="20"/>
              </w:rPr>
              <w:t>B.</w:t>
            </w:r>
            <w:r w:rsidR="00664D62" w:rsidRPr="00664D62">
              <w:rPr>
                <w:rFonts w:asciiTheme="majorHAnsi" w:eastAsiaTheme="minorEastAsia" w:hAnsiTheme="majorHAnsi" w:cstheme="minorBidi"/>
                <w:noProof/>
                <w:sz w:val="20"/>
                <w:szCs w:val="20"/>
                <w:bdr w:val="none" w:sz="0" w:space="0" w:color="auto"/>
              </w:rPr>
              <w:tab/>
            </w:r>
            <w:r w:rsidR="00664D62" w:rsidRPr="00664D62">
              <w:rPr>
                <w:rStyle w:val="Hyperlink"/>
                <w:rFonts w:asciiTheme="majorHAnsi" w:hAnsiTheme="majorHAnsi"/>
                <w:noProof/>
                <w:sz w:val="20"/>
                <w:szCs w:val="20"/>
              </w:rPr>
              <w:t>State</w:t>
            </w:r>
            <w:r w:rsidR="00664D62" w:rsidRPr="00664D62">
              <w:rPr>
                <w:rFonts w:asciiTheme="majorHAnsi" w:hAnsiTheme="majorHAnsi"/>
                <w:noProof/>
                <w:webHidden/>
                <w:sz w:val="20"/>
                <w:szCs w:val="20"/>
              </w:rPr>
              <w:tab/>
            </w:r>
            <w:r w:rsidR="00664D62" w:rsidRPr="00664D62">
              <w:rPr>
                <w:rFonts w:asciiTheme="majorHAnsi" w:hAnsiTheme="majorHAnsi"/>
                <w:noProof/>
                <w:webHidden/>
                <w:sz w:val="20"/>
                <w:szCs w:val="20"/>
              </w:rPr>
              <w:fldChar w:fldCharType="begin"/>
            </w:r>
            <w:r w:rsidR="00664D62" w:rsidRPr="00664D62">
              <w:rPr>
                <w:rFonts w:asciiTheme="majorHAnsi" w:hAnsiTheme="majorHAnsi"/>
                <w:noProof/>
                <w:webHidden/>
                <w:sz w:val="20"/>
                <w:szCs w:val="20"/>
              </w:rPr>
              <w:instrText xml:space="preserve"> PAGEREF _Toc5953486 \h </w:instrText>
            </w:r>
            <w:r w:rsidR="00664D62" w:rsidRPr="00664D62">
              <w:rPr>
                <w:rFonts w:asciiTheme="majorHAnsi" w:hAnsiTheme="majorHAnsi"/>
                <w:noProof/>
                <w:webHidden/>
                <w:sz w:val="20"/>
                <w:szCs w:val="20"/>
              </w:rPr>
            </w:r>
            <w:r w:rsidR="00664D62" w:rsidRPr="00664D62">
              <w:rPr>
                <w:rFonts w:asciiTheme="majorHAnsi" w:hAnsiTheme="majorHAnsi"/>
                <w:noProof/>
                <w:webHidden/>
                <w:sz w:val="20"/>
                <w:szCs w:val="20"/>
              </w:rPr>
              <w:fldChar w:fldCharType="separate"/>
            </w:r>
            <w:r>
              <w:rPr>
                <w:rFonts w:asciiTheme="majorHAnsi" w:hAnsiTheme="majorHAnsi"/>
                <w:noProof/>
                <w:webHidden/>
                <w:sz w:val="20"/>
                <w:szCs w:val="20"/>
              </w:rPr>
              <w:t>3</w:t>
            </w:r>
            <w:r w:rsidR="00664D62" w:rsidRPr="00664D62">
              <w:rPr>
                <w:rFonts w:asciiTheme="majorHAnsi" w:hAnsiTheme="majorHAnsi"/>
                <w:noProof/>
                <w:webHidden/>
                <w:sz w:val="20"/>
                <w:szCs w:val="20"/>
              </w:rPr>
              <w:fldChar w:fldCharType="end"/>
            </w:r>
          </w:hyperlink>
        </w:p>
        <w:p w14:paraId="0E3F69AE" w14:textId="5DB9E29F" w:rsidR="00664D62" w:rsidRPr="00664D62" w:rsidRDefault="00631086">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953487" w:history="1">
            <w:r w:rsidR="00664D62" w:rsidRPr="00664D62">
              <w:rPr>
                <w:rStyle w:val="Hyperlink"/>
                <w:rFonts w:asciiTheme="majorHAnsi" w:hAnsiTheme="majorHAnsi"/>
                <w:b/>
                <w:noProof/>
                <w:sz w:val="20"/>
                <w:szCs w:val="20"/>
              </w:rPr>
              <w:t>III.</w:t>
            </w:r>
            <w:r w:rsidR="00664D62" w:rsidRPr="00664D62">
              <w:rPr>
                <w:rFonts w:asciiTheme="majorHAnsi" w:eastAsiaTheme="minorEastAsia" w:hAnsiTheme="majorHAnsi" w:cstheme="minorBidi"/>
                <w:b/>
                <w:noProof/>
                <w:sz w:val="20"/>
                <w:szCs w:val="20"/>
                <w:bdr w:val="none" w:sz="0" w:space="0" w:color="auto"/>
              </w:rPr>
              <w:tab/>
            </w:r>
            <w:r w:rsidR="00664D62" w:rsidRPr="00664D62">
              <w:rPr>
                <w:rStyle w:val="Hyperlink"/>
                <w:rFonts w:asciiTheme="majorHAnsi" w:hAnsiTheme="majorHAnsi"/>
                <w:b/>
                <w:noProof/>
                <w:sz w:val="20"/>
                <w:szCs w:val="20"/>
              </w:rPr>
              <w:t>FINDINGS OF FACT</w:t>
            </w:r>
            <w:r w:rsidR="00664D62" w:rsidRPr="00664D62">
              <w:rPr>
                <w:rFonts w:asciiTheme="majorHAnsi" w:hAnsiTheme="majorHAnsi"/>
                <w:noProof/>
                <w:webHidden/>
                <w:sz w:val="20"/>
                <w:szCs w:val="20"/>
              </w:rPr>
              <w:tab/>
            </w:r>
            <w:r w:rsidR="00664D62" w:rsidRPr="00664D62">
              <w:rPr>
                <w:rFonts w:asciiTheme="majorHAnsi" w:hAnsiTheme="majorHAnsi"/>
                <w:noProof/>
                <w:webHidden/>
                <w:sz w:val="20"/>
                <w:szCs w:val="20"/>
              </w:rPr>
              <w:fldChar w:fldCharType="begin"/>
            </w:r>
            <w:r w:rsidR="00664D62" w:rsidRPr="00664D62">
              <w:rPr>
                <w:rFonts w:asciiTheme="majorHAnsi" w:hAnsiTheme="majorHAnsi"/>
                <w:noProof/>
                <w:webHidden/>
                <w:sz w:val="20"/>
                <w:szCs w:val="20"/>
              </w:rPr>
              <w:instrText xml:space="preserve"> PAGEREF _Toc5953487 \h </w:instrText>
            </w:r>
            <w:r w:rsidR="00664D62" w:rsidRPr="00664D62">
              <w:rPr>
                <w:rFonts w:asciiTheme="majorHAnsi" w:hAnsiTheme="majorHAnsi"/>
                <w:noProof/>
                <w:webHidden/>
                <w:sz w:val="20"/>
                <w:szCs w:val="20"/>
              </w:rPr>
            </w:r>
            <w:r w:rsidR="00664D62" w:rsidRPr="00664D62">
              <w:rPr>
                <w:rFonts w:asciiTheme="majorHAnsi" w:hAnsiTheme="majorHAnsi"/>
                <w:noProof/>
                <w:webHidden/>
                <w:sz w:val="20"/>
                <w:szCs w:val="20"/>
              </w:rPr>
              <w:fldChar w:fldCharType="separate"/>
            </w:r>
            <w:r>
              <w:rPr>
                <w:rFonts w:asciiTheme="majorHAnsi" w:hAnsiTheme="majorHAnsi"/>
                <w:noProof/>
                <w:webHidden/>
                <w:sz w:val="20"/>
                <w:szCs w:val="20"/>
              </w:rPr>
              <w:t>4</w:t>
            </w:r>
            <w:r w:rsidR="00664D62" w:rsidRPr="00664D62">
              <w:rPr>
                <w:rFonts w:asciiTheme="majorHAnsi" w:hAnsiTheme="majorHAnsi"/>
                <w:noProof/>
                <w:webHidden/>
                <w:sz w:val="20"/>
                <w:szCs w:val="20"/>
              </w:rPr>
              <w:fldChar w:fldCharType="end"/>
            </w:r>
          </w:hyperlink>
        </w:p>
        <w:p w14:paraId="31C5F6ED" w14:textId="5AB4A7D2" w:rsidR="00664D62" w:rsidRPr="00664D62" w:rsidRDefault="00631086">
          <w:pPr>
            <w:pStyle w:val="TOC2"/>
            <w:rPr>
              <w:rFonts w:asciiTheme="majorHAnsi" w:eastAsiaTheme="minorEastAsia" w:hAnsiTheme="majorHAnsi" w:cstheme="minorBidi"/>
              <w:noProof/>
              <w:sz w:val="20"/>
              <w:szCs w:val="20"/>
              <w:bdr w:val="none" w:sz="0" w:space="0" w:color="auto"/>
            </w:rPr>
          </w:pPr>
          <w:hyperlink w:anchor="_Toc5953488" w:history="1">
            <w:r w:rsidR="00664D62" w:rsidRPr="00664D62">
              <w:rPr>
                <w:rStyle w:val="Hyperlink"/>
                <w:rFonts w:asciiTheme="majorHAnsi" w:hAnsiTheme="majorHAnsi"/>
                <w:noProof/>
                <w:sz w:val="20"/>
                <w:szCs w:val="20"/>
              </w:rPr>
              <w:t>A.</w:t>
            </w:r>
            <w:r w:rsidR="00664D62" w:rsidRPr="00664D62">
              <w:rPr>
                <w:rFonts w:asciiTheme="majorHAnsi" w:eastAsiaTheme="minorEastAsia" w:hAnsiTheme="majorHAnsi" w:cstheme="minorBidi"/>
                <w:noProof/>
                <w:sz w:val="20"/>
                <w:szCs w:val="20"/>
                <w:bdr w:val="none" w:sz="0" w:space="0" w:color="auto"/>
              </w:rPr>
              <w:tab/>
            </w:r>
            <w:r w:rsidR="00664D62" w:rsidRPr="00664D62">
              <w:rPr>
                <w:rStyle w:val="Hyperlink"/>
                <w:rFonts w:asciiTheme="majorHAnsi" w:hAnsiTheme="majorHAnsi"/>
                <w:noProof/>
                <w:sz w:val="20"/>
                <w:szCs w:val="20"/>
              </w:rPr>
              <w:t>Background on the Juntas de Defensa del Campesinado (Rural Community Self-Defense Juntas)</w:t>
            </w:r>
            <w:r w:rsidR="00664D62" w:rsidRPr="00664D62">
              <w:rPr>
                <w:rFonts w:asciiTheme="majorHAnsi" w:hAnsiTheme="majorHAnsi"/>
                <w:noProof/>
                <w:webHidden/>
                <w:sz w:val="20"/>
                <w:szCs w:val="20"/>
              </w:rPr>
              <w:tab/>
            </w:r>
            <w:r w:rsidR="00664D62" w:rsidRPr="00664D62">
              <w:rPr>
                <w:rFonts w:asciiTheme="majorHAnsi" w:hAnsiTheme="majorHAnsi"/>
                <w:noProof/>
                <w:webHidden/>
                <w:sz w:val="20"/>
                <w:szCs w:val="20"/>
              </w:rPr>
              <w:fldChar w:fldCharType="begin"/>
            </w:r>
            <w:r w:rsidR="00664D62" w:rsidRPr="00664D62">
              <w:rPr>
                <w:rFonts w:asciiTheme="majorHAnsi" w:hAnsiTheme="majorHAnsi"/>
                <w:noProof/>
                <w:webHidden/>
                <w:sz w:val="20"/>
                <w:szCs w:val="20"/>
              </w:rPr>
              <w:instrText xml:space="preserve"> PAGEREF _Toc5953488 \h </w:instrText>
            </w:r>
            <w:r w:rsidR="00664D62" w:rsidRPr="00664D62">
              <w:rPr>
                <w:rFonts w:asciiTheme="majorHAnsi" w:hAnsiTheme="majorHAnsi"/>
                <w:noProof/>
                <w:webHidden/>
                <w:sz w:val="20"/>
                <w:szCs w:val="20"/>
              </w:rPr>
            </w:r>
            <w:r w:rsidR="00664D62" w:rsidRPr="00664D62">
              <w:rPr>
                <w:rFonts w:asciiTheme="majorHAnsi" w:hAnsiTheme="majorHAnsi"/>
                <w:noProof/>
                <w:webHidden/>
                <w:sz w:val="20"/>
                <w:szCs w:val="20"/>
              </w:rPr>
              <w:fldChar w:fldCharType="separate"/>
            </w:r>
            <w:r>
              <w:rPr>
                <w:rFonts w:asciiTheme="majorHAnsi" w:hAnsiTheme="majorHAnsi"/>
                <w:noProof/>
                <w:webHidden/>
                <w:sz w:val="20"/>
                <w:szCs w:val="20"/>
              </w:rPr>
              <w:t>4</w:t>
            </w:r>
            <w:r w:rsidR="00664D62" w:rsidRPr="00664D62">
              <w:rPr>
                <w:rFonts w:asciiTheme="majorHAnsi" w:hAnsiTheme="majorHAnsi"/>
                <w:noProof/>
                <w:webHidden/>
                <w:sz w:val="20"/>
                <w:szCs w:val="20"/>
              </w:rPr>
              <w:fldChar w:fldCharType="end"/>
            </w:r>
          </w:hyperlink>
        </w:p>
        <w:p w14:paraId="129EBD37" w14:textId="4267BF65" w:rsidR="00664D62" w:rsidRPr="00664D62" w:rsidRDefault="00631086">
          <w:pPr>
            <w:pStyle w:val="TOC2"/>
            <w:rPr>
              <w:rFonts w:asciiTheme="majorHAnsi" w:eastAsiaTheme="minorEastAsia" w:hAnsiTheme="majorHAnsi" w:cstheme="minorBidi"/>
              <w:noProof/>
              <w:sz w:val="20"/>
              <w:szCs w:val="20"/>
              <w:bdr w:val="none" w:sz="0" w:space="0" w:color="auto"/>
            </w:rPr>
          </w:pPr>
          <w:hyperlink w:anchor="_Toc5953489" w:history="1">
            <w:r w:rsidR="00664D62" w:rsidRPr="00664D62">
              <w:rPr>
                <w:rStyle w:val="Hyperlink"/>
                <w:rFonts w:asciiTheme="majorHAnsi" w:hAnsiTheme="majorHAnsi"/>
                <w:noProof/>
                <w:sz w:val="20"/>
                <w:szCs w:val="20"/>
              </w:rPr>
              <w:t>B.</w:t>
            </w:r>
            <w:r w:rsidR="00664D62" w:rsidRPr="00664D62">
              <w:rPr>
                <w:rFonts w:asciiTheme="majorHAnsi" w:eastAsiaTheme="minorEastAsia" w:hAnsiTheme="majorHAnsi" w:cstheme="minorBidi"/>
                <w:noProof/>
                <w:sz w:val="20"/>
                <w:szCs w:val="20"/>
                <w:bdr w:val="none" w:sz="0" w:space="0" w:color="auto"/>
              </w:rPr>
              <w:tab/>
            </w:r>
            <w:r w:rsidR="00664D62" w:rsidRPr="00664D62">
              <w:rPr>
                <w:rStyle w:val="Hyperlink"/>
                <w:rFonts w:asciiTheme="majorHAnsi" w:hAnsiTheme="majorHAnsi"/>
                <w:noProof/>
                <w:sz w:val="20"/>
                <w:szCs w:val="20"/>
              </w:rPr>
              <w:t>About the alleged victim and his family</w:t>
            </w:r>
            <w:r w:rsidR="00664D62" w:rsidRPr="00664D62">
              <w:rPr>
                <w:rFonts w:asciiTheme="majorHAnsi" w:hAnsiTheme="majorHAnsi"/>
                <w:noProof/>
                <w:webHidden/>
                <w:sz w:val="20"/>
                <w:szCs w:val="20"/>
              </w:rPr>
              <w:tab/>
            </w:r>
            <w:r w:rsidR="00664D62" w:rsidRPr="00664D62">
              <w:rPr>
                <w:rFonts w:asciiTheme="majorHAnsi" w:hAnsiTheme="majorHAnsi"/>
                <w:noProof/>
                <w:webHidden/>
                <w:sz w:val="20"/>
                <w:szCs w:val="20"/>
              </w:rPr>
              <w:fldChar w:fldCharType="begin"/>
            </w:r>
            <w:r w:rsidR="00664D62" w:rsidRPr="00664D62">
              <w:rPr>
                <w:rFonts w:asciiTheme="majorHAnsi" w:hAnsiTheme="majorHAnsi"/>
                <w:noProof/>
                <w:webHidden/>
                <w:sz w:val="20"/>
                <w:szCs w:val="20"/>
              </w:rPr>
              <w:instrText xml:space="preserve"> PAGEREF _Toc5953489 \h </w:instrText>
            </w:r>
            <w:r w:rsidR="00664D62" w:rsidRPr="00664D62">
              <w:rPr>
                <w:rFonts w:asciiTheme="majorHAnsi" w:hAnsiTheme="majorHAnsi"/>
                <w:noProof/>
                <w:webHidden/>
                <w:sz w:val="20"/>
                <w:szCs w:val="20"/>
              </w:rPr>
            </w:r>
            <w:r w:rsidR="00664D62" w:rsidRPr="00664D62">
              <w:rPr>
                <w:rFonts w:asciiTheme="majorHAnsi" w:hAnsiTheme="majorHAnsi"/>
                <w:noProof/>
                <w:webHidden/>
                <w:sz w:val="20"/>
                <w:szCs w:val="20"/>
              </w:rPr>
              <w:fldChar w:fldCharType="separate"/>
            </w:r>
            <w:r>
              <w:rPr>
                <w:rFonts w:asciiTheme="majorHAnsi" w:hAnsiTheme="majorHAnsi"/>
                <w:noProof/>
                <w:webHidden/>
                <w:sz w:val="20"/>
                <w:szCs w:val="20"/>
              </w:rPr>
              <w:t>5</w:t>
            </w:r>
            <w:r w:rsidR="00664D62" w:rsidRPr="00664D62">
              <w:rPr>
                <w:rFonts w:asciiTheme="majorHAnsi" w:hAnsiTheme="majorHAnsi"/>
                <w:noProof/>
                <w:webHidden/>
                <w:sz w:val="20"/>
                <w:szCs w:val="20"/>
              </w:rPr>
              <w:fldChar w:fldCharType="end"/>
            </w:r>
          </w:hyperlink>
        </w:p>
        <w:p w14:paraId="6ECD95A9" w14:textId="5A6A9C36" w:rsidR="00664D62" w:rsidRPr="00664D62" w:rsidRDefault="00631086">
          <w:pPr>
            <w:pStyle w:val="TOC2"/>
            <w:rPr>
              <w:rFonts w:asciiTheme="majorHAnsi" w:eastAsiaTheme="minorEastAsia" w:hAnsiTheme="majorHAnsi" w:cstheme="minorBidi"/>
              <w:noProof/>
              <w:sz w:val="20"/>
              <w:szCs w:val="20"/>
              <w:bdr w:val="none" w:sz="0" w:space="0" w:color="auto"/>
            </w:rPr>
          </w:pPr>
          <w:hyperlink w:anchor="_Toc5953490" w:history="1">
            <w:r w:rsidR="00664D62" w:rsidRPr="00664D62">
              <w:rPr>
                <w:rStyle w:val="Hyperlink"/>
                <w:rFonts w:asciiTheme="majorHAnsi" w:hAnsiTheme="majorHAnsi"/>
                <w:noProof/>
                <w:sz w:val="20"/>
                <w:szCs w:val="20"/>
              </w:rPr>
              <w:t>C.</w:t>
            </w:r>
            <w:r w:rsidR="00664D62" w:rsidRPr="00664D62">
              <w:rPr>
                <w:rFonts w:asciiTheme="majorHAnsi" w:eastAsiaTheme="minorEastAsia" w:hAnsiTheme="majorHAnsi" w:cstheme="minorBidi"/>
                <w:noProof/>
                <w:sz w:val="20"/>
                <w:szCs w:val="20"/>
                <w:bdr w:val="none" w:sz="0" w:space="0" w:color="auto"/>
              </w:rPr>
              <w:tab/>
            </w:r>
            <w:r w:rsidR="00664D62" w:rsidRPr="00664D62">
              <w:rPr>
                <w:rStyle w:val="Hyperlink"/>
                <w:rFonts w:asciiTheme="majorHAnsi" w:hAnsiTheme="majorHAnsi"/>
                <w:noProof/>
                <w:sz w:val="20"/>
                <w:szCs w:val="20"/>
              </w:rPr>
              <w:t>Facts of the case</w:t>
            </w:r>
            <w:r w:rsidR="00664D62" w:rsidRPr="00664D62">
              <w:rPr>
                <w:rFonts w:asciiTheme="majorHAnsi" w:hAnsiTheme="majorHAnsi"/>
                <w:noProof/>
                <w:webHidden/>
                <w:sz w:val="20"/>
                <w:szCs w:val="20"/>
              </w:rPr>
              <w:tab/>
            </w:r>
            <w:r w:rsidR="00664D62" w:rsidRPr="00664D62">
              <w:rPr>
                <w:rFonts w:asciiTheme="majorHAnsi" w:hAnsiTheme="majorHAnsi"/>
                <w:noProof/>
                <w:webHidden/>
                <w:sz w:val="20"/>
                <w:szCs w:val="20"/>
              </w:rPr>
              <w:fldChar w:fldCharType="begin"/>
            </w:r>
            <w:r w:rsidR="00664D62" w:rsidRPr="00664D62">
              <w:rPr>
                <w:rFonts w:asciiTheme="majorHAnsi" w:hAnsiTheme="majorHAnsi"/>
                <w:noProof/>
                <w:webHidden/>
                <w:sz w:val="20"/>
                <w:szCs w:val="20"/>
              </w:rPr>
              <w:instrText xml:space="preserve"> PAGEREF _Toc5953490 \h </w:instrText>
            </w:r>
            <w:r w:rsidR="00664D62" w:rsidRPr="00664D62">
              <w:rPr>
                <w:rFonts w:asciiTheme="majorHAnsi" w:hAnsiTheme="majorHAnsi"/>
                <w:noProof/>
                <w:webHidden/>
                <w:sz w:val="20"/>
                <w:szCs w:val="20"/>
              </w:rPr>
            </w:r>
            <w:r w:rsidR="00664D62" w:rsidRPr="00664D62">
              <w:rPr>
                <w:rFonts w:asciiTheme="majorHAnsi" w:hAnsiTheme="majorHAnsi"/>
                <w:noProof/>
                <w:webHidden/>
                <w:sz w:val="20"/>
                <w:szCs w:val="20"/>
              </w:rPr>
              <w:fldChar w:fldCharType="separate"/>
            </w:r>
            <w:r>
              <w:rPr>
                <w:rFonts w:asciiTheme="majorHAnsi" w:hAnsiTheme="majorHAnsi"/>
                <w:noProof/>
                <w:webHidden/>
                <w:sz w:val="20"/>
                <w:szCs w:val="20"/>
              </w:rPr>
              <w:t>5</w:t>
            </w:r>
            <w:r w:rsidR="00664D62" w:rsidRPr="00664D62">
              <w:rPr>
                <w:rFonts w:asciiTheme="majorHAnsi" w:hAnsiTheme="majorHAnsi"/>
                <w:noProof/>
                <w:webHidden/>
                <w:sz w:val="20"/>
                <w:szCs w:val="20"/>
              </w:rPr>
              <w:fldChar w:fldCharType="end"/>
            </w:r>
          </w:hyperlink>
        </w:p>
        <w:p w14:paraId="5FF35473" w14:textId="274601D0" w:rsidR="00664D62" w:rsidRPr="00664D62" w:rsidRDefault="00631086">
          <w:pPr>
            <w:pStyle w:val="TOC2"/>
            <w:rPr>
              <w:rFonts w:asciiTheme="majorHAnsi" w:eastAsiaTheme="minorEastAsia" w:hAnsiTheme="majorHAnsi" w:cstheme="minorBidi"/>
              <w:noProof/>
              <w:sz w:val="20"/>
              <w:szCs w:val="20"/>
              <w:bdr w:val="none" w:sz="0" w:space="0" w:color="auto"/>
            </w:rPr>
          </w:pPr>
          <w:hyperlink w:anchor="_Toc5953491" w:history="1">
            <w:r w:rsidR="00664D62" w:rsidRPr="00664D62">
              <w:rPr>
                <w:rStyle w:val="Hyperlink"/>
                <w:rFonts w:asciiTheme="majorHAnsi" w:hAnsiTheme="majorHAnsi"/>
                <w:noProof/>
                <w:sz w:val="20"/>
                <w:szCs w:val="20"/>
              </w:rPr>
              <w:t>D.</w:t>
            </w:r>
            <w:r w:rsidR="00664D62" w:rsidRPr="00664D62">
              <w:rPr>
                <w:rFonts w:asciiTheme="majorHAnsi" w:eastAsiaTheme="minorEastAsia" w:hAnsiTheme="majorHAnsi" w:cstheme="minorBidi"/>
                <w:noProof/>
                <w:sz w:val="20"/>
                <w:szCs w:val="20"/>
                <w:bdr w:val="none" w:sz="0" w:space="0" w:color="auto"/>
              </w:rPr>
              <w:tab/>
            </w:r>
            <w:r w:rsidR="00664D62" w:rsidRPr="00664D62">
              <w:rPr>
                <w:rStyle w:val="Hyperlink"/>
                <w:rFonts w:asciiTheme="majorHAnsi" w:hAnsiTheme="majorHAnsi"/>
                <w:noProof/>
                <w:sz w:val="20"/>
                <w:szCs w:val="20"/>
              </w:rPr>
              <w:t>Criminal proceedings</w:t>
            </w:r>
            <w:r w:rsidR="00664D62" w:rsidRPr="00664D62">
              <w:rPr>
                <w:rFonts w:asciiTheme="majorHAnsi" w:hAnsiTheme="majorHAnsi"/>
                <w:noProof/>
                <w:webHidden/>
                <w:sz w:val="20"/>
                <w:szCs w:val="20"/>
              </w:rPr>
              <w:tab/>
            </w:r>
            <w:r w:rsidR="00664D62" w:rsidRPr="00664D62">
              <w:rPr>
                <w:rFonts w:asciiTheme="majorHAnsi" w:hAnsiTheme="majorHAnsi"/>
                <w:noProof/>
                <w:webHidden/>
                <w:sz w:val="20"/>
                <w:szCs w:val="20"/>
              </w:rPr>
              <w:fldChar w:fldCharType="begin"/>
            </w:r>
            <w:r w:rsidR="00664D62" w:rsidRPr="00664D62">
              <w:rPr>
                <w:rFonts w:asciiTheme="majorHAnsi" w:hAnsiTheme="majorHAnsi"/>
                <w:noProof/>
                <w:webHidden/>
                <w:sz w:val="20"/>
                <w:szCs w:val="20"/>
              </w:rPr>
              <w:instrText xml:space="preserve"> PAGEREF _Toc5953491 \h </w:instrText>
            </w:r>
            <w:r w:rsidR="00664D62" w:rsidRPr="00664D62">
              <w:rPr>
                <w:rFonts w:asciiTheme="majorHAnsi" w:hAnsiTheme="majorHAnsi"/>
                <w:noProof/>
                <w:webHidden/>
                <w:sz w:val="20"/>
                <w:szCs w:val="20"/>
              </w:rPr>
            </w:r>
            <w:r w:rsidR="00664D62" w:rsidRPr="00664D62">
              <w:rPr>
                <w:rFonts w:asciiTheme="majorHAnsi" w:hAnsiTheme="majorHAnsi"/>
                <w:noProof/>
                <w:webHidden/>
                <w:sz w:val="20"/>
                <w:szCs w:val="20"/>
              </w:rPr>
              <w:fldChar w:fldCharType="separate"/>
            </w:r>
            <w:r>
              <w:rPr>
                <w:rFonts w:asciiTheme="majorHAnsi" w:hAnsiTheme="majorHAnsi"/>
                <w:noProof/>
                <w:webHidden/>
                <w:sz w:val="20"/>
                <w:szCs w:val="20"/>
              </w:rPr>
              <w:t>6</w:t>
            </w:r>
            <w:r w:rsidR="00664D62" w:rsidRPr="00664D62">
              <w:rPr>
                <w:rFonts w:asciiTheme="majorHAnsi" w:hAnsiTheme="majorHAnsi"/>
                <w:noProof/>
                <w:webHidden/>
                <w:sz w:val="20"/>
                <w:szCs w:val="20"/>
              </w:rPr>
              <w:fldChar w:fldCharType="end"/>
            </w:r>
          </w:hyperlink>
        </w:p>
        <w:p w14:paraId="14FBBAE3" w14:textId="425E8B33" w:rsidR="00664D62" w:rsidRPr="00664D62" w:rsidRDefault="00631086">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953492" w:history="1">
            <w:r w:rsidR="00664D62" w:rsidRPr="00664D62">
              <w:rPr>
                <w:rStyle w:val="Hyperlink"/>
                <w:rFonts w:asciiTheme="majorHAnsi" w:hAnsiTheme="majorHAnsi"/>
                <w:b/>
                <w:noProof/>
                <w:sz w:val="20"/>
                <w:szCs w:val="20"/>
              </w:rPr>
              <w:t>IV.</w:t>
            </w:r>
            <w:r w:rsidR="00664D62" w:rsidRPr="00664D62">
              <w:rPr>
                <w:rFonts w:asciiTheme="majorHAnsi" w:eastAsiaTheme="minorEastAsia" w:hAnsiTheme="majorHAnsi" w:cstheme="minorBidi"/>
                <w:b/>
                <w:noProof/>
                <w:sz w:val="20"/>
                <w:szCs w:val="20"/>
                <w:bdr w:val="none" w:sz="0" w:space="0" w:color="auto"/>
              </w:rPr>
              <w:tab/>
            </w:r>
            <w:r w:rsidR="00664D62" w:rsidRPr="00664D62">
              <w:rPr>
                <w:rStyle w:val="Hyperlink"/>
                <w:rFonts w:asciiTheme="majorHAnsi" w:hAnsiTheme="majorHAnsi"/>
                <w:b/>
                <w:noProof/>
                <w:sz w:val="20"/>
                <w:szCs w:val="20"/>
              </w:rPr>
              <w:t>LEGAL ANALYSIS</w:t>
            </w:r>
            <w:r w:rsidR="00664D62" w:rsidRPr="00664D62">
              <w:rPr>
                <w:rFonts w:asciiTheme="majorHAnsi" w:hAnsiTheme="majorHAnsi"/>
                <w:noProof/>
                <w:webHidden/>
                <w:sz w:val="20"/>
                <w:szCs w:val="20"/>
              </w:rPr>
              <w:tab/>
            </w:r>
            <w:r w:rsidR="00664D62" w:rsidRPr="00664D62">
              <w:rPr>
                <w:rFonts w:asciiTheme="majorHAnsi" w:hAnsiTheme="majorHAnsi"/>
                <w:noProof/>
                <w:webHidden/>
                <w:sz w:val="20"/>
                <w:szCs w:val="20"/>
              </w:rPr>
              <w:fldChar w:fldCharType="begin"/>
            </w:r>
            <w:r w:rsidR="00664D62" w:rsidRPr="00664D62">
              <w:rPr>
                <w:rFonts w:asciiTheme="majorHAnsi" w:hAnsiTheme="majorHAnsi"/>
                <w:noProof/>
                <w:webHidden/>
                <w:sz w:val="20"/>
                <w:szCs w:val="20"/>
              </w:rPr>
              <w:instrText xml:space="preserve"> PAGEREF _Toc5953492 \h </w:instrText>
            </w:r>
            <w:r w:rsidR="00664D62" w:rsidRPr="00664D62">
              <w:rPr>
                <w:rFonts w:asciiTheme="majorHAnsi" w:hAnsiTheme="majorHAnsi"/>
                <w:noProof/>
                <w:webHidden/>
                <w:sz w:val="20"/>
                <w:szCs w:val="20"/>
              </w:rPr>
            </w:r>
            <w:r w:rsidR="00664D62" w:rsidRPr="00664D62">
              <w:rPr>
                <w:rFonts w:asciiTheme="majorHAnsi" w:hAnsiTheme="majorHAnsi"/>
                <w:noProof/>
                <w:webHidden/>
                <w:sz w:val="20"/>
                <w:szCs w:val="20"/>
              </w:rPr>
              <w:fldChar w:fldCharType="separate"/>
            </w:r>
            <w:r>
              <w:rPr>
                <w:rFonts w:asciiTheme="majorHAnsi" w:hAnsiTheme="majorHAnsi"/>
                <w:noProof/>
                <w:webHidden/>
                <w:sz w:val="20"/>
                <w:szCs w:val="20"/>
              </w:rPr>
              <w:t>10</w:t>
            </w:r>
            <w:r w:rsidR="00664D62" w:rsidRPr="00664D62">
              <w:rPr>
                <w:rFonts w:asciiTheme="majorHAnsi" w:hAnsiTheme="majorHAnsi"/>
                <w:noProof/>
                <w:webHidden/>
                <w:sz w:val="20"/>
                <w:szCs w:val="20"/>
              </w:rPr>
              <w:fldChar w:fldCharType="end"/>
            </w:r>
          </w:hyperlink>
        </w:p>
        <w:p w14:paraId="183D5AA7" w14:textId="19D0142F" w:rsidR="00664D62" w:rsidRPr="00664D62" w:rsidRDefault="00631086">
          <w:pPr>
            <w:pStyle w:val="TOC2"/>
            <w:rPr>
              <w:rFonts w:asciiTheme="majorHAnsi" w:eastAsiaTheme="minorEastAsia" w:hAnsiTheme="majorHAnsi" w:cstheme="minorBidi"/>
              <w:noProof/>
              <w:sz w:val="20"/>
              <w:szCs w:val="20"/>
              <w:bdr w:val="none" w:sz="0" w:space="0" w:color="auto"/>
            </w:rPr>
          </w:pPr>
          <w:hyperlink w:anchor="_Toc5953493" w:history="1">
            <w:r w:rsidR="00664D62" w:rsidRPr="00664D62">
              <w:rPr>
                <w:rStyle w:val="Hyperlink"/>
                <w:rFonts w:asciiTheme="majorHAnsi" w:hAnsiTheme="majorHAnsi"/>
                <w:noProof/>
                <w:sz w:val="20"/>
                <w:szCs w:val="20"/>
              </w:rPr>
              <w:t>A.</w:t>
            </w:r>
            <w:r w:rsidR="00664D62" w:rsidRPr="00664D62">
              <w:rPr>
                <w:rFonts w:asciiTheme="majorHAnsi" w:eastAsiaTheme="minorEastAsia" w:hAnsiTheme="majorHAnsi" w:cstheme="minorBidi"/>
                <w:noProof/>
                <w:sz w:val="20"/>
                <w:szCs w:val="20"/>
                <w:bdr w:val="none" w:sz="0" w:space="0" w:color="auto"/>
              </w:rPr>
              <w:tab/>
            </w:r>
            <w:r w:rsidR="00664D62" w:rsidRPr="00664D62">
              <w:rPr>
                <w:rStyle w:val="Hyperlink"/>
                <w:rFonts w:asciiTheme="majorHAnsi" w:hAnsiTheme="majorHAnsi"/>
                <w:noProof/>
                <w:sz w:val="20"/>
                <w:szCs w:val="20"/>
              </w:rPr>
              <w:t>Rights to recognition of juridical personality, personal liberty, humane treatment, life, a fair trial and judicial protection (Articles 3, 7, 5, and 4, of the American Convention) in connection with the obligation to respect rights (Article 1.1 of the same instrument); and Article I a)  of the Inter-American Convention on Forced Disappearance of Persons (IACFDP)</w:t>
            </w:r>
            <w:r w:rsidR="00664D62" w:rsidRPr="00664D62">
              <w:rPr>
                <w:rFonts w:asciiTheme="majorHAnsi" w:hAnsiTheme="majorHAnsi"/>
                <w:noProof/>
                <w:webHidden/>
                <w:sz w:val="20"/>
                <w:szCs w:val="20"/>
              </w:rPr>
              <w:tab/>
            </w:r>
            <w:r w:rsidR="00664D62" w:rsidRPr="00664D62">
              <w:rPr>
                <w:rFonts w:asciiTheme="majorHAnsi" w:hAnsiTheme="majorHAnsi"/>
                <w:noProof/>
                <w:webHidden/>
                <w:sz w:val="20"/>
                <w:szCs w:val="20"/>
              </w:rPr>
              <w:fldChar w:fldCharType="begin"/>
            </w:r>
            <w:r w:rsidR="00664D62" w:rsidRPr="00664D62">
              <w:rPr>
                <w:rFonts w:asciiTheme="majorHAnsi" w:hAnsiTheme="majorHAnsi"/>
                <w:noProof/>
                <w:webHidden/>
                <w:sz w:val="20"/>
                <w:szCs w:val="20"/>
              </w:rPr>
              <w:instrText xml:space="preserve"> PAGEREF _Toc5953493 \h </w:instrText>
            </w:r>
            <w:r w:rsidR="00664D62" w:rsidRPr="00664D62">
              <w:rPr>
                <w:rFonts w:asciiTheme="majorHAnsi" w:hAnsiTheme="majorHAnsi"/>
                <w:noProof/>
                <w:webHidden/>
                <w:sz w:val="20"/>
                <w:szCs w:val="20"/>
              </w:rPr>
            </w:r>
            <w:r w:rsidR="00664D62" w:rsidRPr="00664D62">
              <w:rPr>
                <w:rFonts w:asciiTheme="majorHAnsi" w:hAnsiTheme="majorHAnsi"/>
                <w:noProof/>
                <w:webHidden/>
                <w:sz w:val="20"/>
                <w:szCs w:val="20"/>
              </w:rPr>
              <w:fldChar w:fldCharType="separate"/>
            </w:r>
            <w:r>
              <w:rPr>
                <w:rFonts w:asciiTheme="majorHAnsi" w:hAnsiTheme="majorHAnsi"/>
                <w:noProof/>
                <w:webHidden/>
                <w:sz w:val="20"/>
                <w:szCs w:val="20"/>
              </w:rPr>
              <w:t>10</w:t>
            </w:r>
            <w:r w:rsidR="00664D62" w:rsidRPr="00664D62">
              <w:rPr>
                <w:rFonts w:asciiTheme="majorHAnsi" w:hAnsiTheme="majorHAnsi"/>
                <w:noProof/>
                <w:webHidden/>
                <w:sz w:val="20"/>
                <w:szCs w:val="20"/>
              </w:rPr>
              <w:fldChar w:fldCharType="end"/>
            </w:r>
          </w:hyperlink>
        </w:p>
        <w:p w14:paraId="04CB7763" w14:textId="3323792A" w:rsidR="00664D62" w:rsidRPr="00664D62" w:rsidRDefault="00631086">
          <w:pPr>
            <w:pStyle w:val="TOC2"/>
            <w:rPr>
              <w:rFonts w:asciiTheme="majorHAnsi" w:eastAsiaTheme="minorEastAsia" w:hAnsiTheme="majorHAnsi" w:cstheme="minorBidi"/>
              <w:noProof/>
              <w:sz w:val="20"/>
              <w:szCs w:val="20"/>
              <w:bdr w:val="none" w:sz="0" w:space="0" w:color="auto"/>
            </w:rPr>
          </w:pPr>
          <w:hyperlink w:anchor="_Toc5953494" w:history="1">
            <w:r w:rsidR="00664D62" w:rsidRPr="00664D62">
              <w:rPr>
                <w:rStyle w:val="Hyperlink"/>
                <w:rFonts w:asciiTheme="majorHAnsi" w:hAnsiTheme="majorHAnsi"/>
                <w:noProof/>
                <w:sz w:val="20"/>
                <w:szCs w:val="20"/>
              </w:rPr>
              <w:t>B.</w:t>
            </w:r>
            <w:r w:rsidR="00664D62" w:rsidRPr="00664D62">
              <w:rPr>
                <w:rFonts w:asciiTheme="majorHAnsi" w:eastAsiaTheme="minorEastAsia" w:hAnsiTheme="majorHAnsi" w:cstheme="minorBidi"/>
                <w:noProof/>
                <w:sz w:val="20"/>
                <w:szCs w:val="20"/>
                <w:bdr w:val="none" w:sz="0" w:space="0" w:color="auto"/>
              </w:rPr>
              <w:tab/>
            </w:r>
            <w:r w:rsidR="00664D62" w:rsidRPr="00664D62">
              <w:rPr>
                <w:rStyle w:val="Hyperlink"/>
                <w:rFonts w:asciiTheme="majorHAnsi" w:hAnsiTheme="majorHAnsi"/>
                <w:noProof/>
                <w:sz w:val="20"/>
                <w:szCs w:val="20"/>
              </w:rPr>
              <w:t>Right to a fair trial and judicial protection (Articles 8.1 and 25.1 of the American Convention on Human Rights) in connection with the obligation to respect rights and domestic legal effects (Articles 1.1 and 2 of the aforementioned instrument) and Articles I.b and III of the IACFDP</w:t>
            </w:r>
            <w:r w:rsidR="00664D62" w:rsidRPr="00664D62">
              <w:rPr>
                <w:rFonts w:asciiTheme="majorHAnsi" w:hAnsiTheme="majorHAnsi"/>
                <w:noProof/>
                <w:webHidden/>
                <w:sz w:val="20"/>
                <w:szCs w:val="20"/>
              </w:rPr>
              <w:tab/>
            </w:r>
            <w:r w:rsidR="00664D62" w:rsidRPr="00664D62">
              <w:rPr>
                <w:rFonts w:asciiTheme="majorHAnsi" w:hAnsiTheme="majorHAnsi"/>
                <w:noProof/>
                <w:webHidden/>
                <w:sz w:val="20"/>
                <w:szCs w:val="20"/>
              </w:rPr>
              <w:fldChar w:fldCharType="begin"/>
            </w:r>
            <w:r w:rsidR="00664D62" w:rsidRPr="00664D62">
              <w:rPr>
                <w:rFonts w:asciiTheme="majorHAnsi" w:hAnsiTheme="majorHAnsi"/>
                <w:noProof/>
                <w:webHidden/>
                <w:sz w:val="20"/>
                <w:szCs w:val="20"/>
              </w:rPr>
              <w:instrText xml:space="preserve"> PAGEREF _Toc5953494 \h </w:instrText>
            </w:r>
            <w:r w:rsidR="00664D62" w:rsidRPr="00664D62">
              <w:rPr>
                <w:rFonts w:asciiTheme="majorHAnsi" w:hAnsiTheme="majorHAnsi"/>
                <w:noProof/>
                <w:webHidden/>
                <w:sz w:val="20"/>
                <w:szCs w:val="20"/>
              </w:rPr>
            </w:r>
            <w:r w:rsidR="00664D62" w:rsidRPr="00664D62">
              <w:rPr>
                <w:rFonts w:asciiTheme="majorHAnsi" w:hAnsiTheme="majorHAnsi"/>
                <w:noProof/>
                <w:webHidden/>
                <w:sz w:val="20"/>
                <w:szCs w:val="20"/>
              </w:rPr>
              <w:fldChar w:fldCharType="separate"/>
            </w:r>
            <w:r>
              <w:rPr>
                <w:rFonts w:asciiTheme="majorHAnsi" w:hAnsiTheme="majorHAnsi"/>
                <w:noProof/>
                <w:webHidden/>
                <w:sz w:val="20"/>
                <w:szCs w:val="20"/>
              </w:rPr>
              <w:t>13</w:t>
            </w:r>
            <w:r w:rsidR="00664D62" w:rsidRPr="00664D62">
              <w:rPr>
                <w:rFonts w:asciiTheme="majorHAnsi" w:hAnsiTheme="majorHAnsi"/>
                <w:noProof/>
                <w:webHidden/>
                <w:sz w:val="20"/>
                <w:szCs w:val="20"/>
              </w:rPr>
              <w:fldChar w:fldCharType="end"/>
            </w:r>
          </w:hyperlink>
        </w:p>
        <w:p w14:paraId="0CAFC5B8" w14:textId="66CEC175" w:rsidR="00664D62" w:rsidRPr="00664D62" w:rsidRDefault="00631086">
          <w:pPr>
            <w:pStyle w:val="TOC3"/>
            <w:tabs>
              <w:tab w:val="left" w:pos="2160"/>
            </w:tabs>
            <w:rPr>
              <w:rFonts w:asciiTheme="majorHAnsi" w:eastAsiaTheme="minorEastAsia" w:hAnsiTheme="majorHAnsi" w:cstheme="minorBidi"/>
              <w:noProof/>
              <w:sz w:val="20"/>
              <w:szCs w:val="20"/>
              <w:bdr w:val="none" w:sz="0" w:space="0" w:color="auto"/>
            </w:rPr>
          </w:pPr>
          <w:hyperlink w:anchor="_Toc5953495" w:history="1">
            <w:r w:rsidR="00664D62" w:rsidRPr="00664D62">
              <w:rPr>
                <w:rStyle w:val="Hyperlink"/>
                <w:rFonts w:asciiTheme="majorHAnsi" w:eastAsia="Calibri" w:hAnsiTheme="majorHAnsi"/>
                <w:noProof/>
                <w:sz w:val="20"/>
                <w:szCs w:val="20"/>
              </w:rPr>
              <w:t>1.</w:t>
            </w:r>
            <w:r w:rsidR="00664D62" w:rsidRPr="00664D62">
              <w:rPr>
                <w:rFonts w:asciiTheme="majorHAnsi" w:eastAsiaTheme="minorEastAsia" w:hAnsiTheme="majorHAnsi" w:cstheme="minorBidi"/>
                <w:noProof/>
                <w:sz w:val="20"/>
                <w:szCs w:val="20"/>
                <w:bdr w:val="none" w:sz="0" w:space="0" w:color="auto"/>
              </w:rPr>
              <w:tab/>
            </w:r>
            <w:r w:rsidR="00664D62" w:rsidRPr="00664D62">
              <w:rPr>
                <w:rStyle w:val="Hyperlink"/>
                <w:rFonts w:asciiTheme="majorHAnsi" w:eastAsia="Calibri" w:hAnsiTheme="majorHAnsi"/>
                <w:noProof/>
                <w:sz w:val="20"/>
                <w:szCs w:val="20"/>
              </w:rPr>
              <w:t>Diligence in the investigation</w:t>
            </w:r>
            <w:r w:rsidR="00664D62" w:rsidRPr="00664D62">
              <w:rPr>
                <w:rFonts w:asciiTheme="majorHAnsi" w:hAnsiTheme="majorHAnsi"/>
                <w:noProof/>
                <w:webHidden/>
                <w:sz w:val="20"/>
                <w:szCs w:val="20"/>
              </w:rPr>
              <w:tab/>
            </w:r>
            <w:r w:rsidR="00664D62" w:rsidRPr="00664D62">
              <w:rPr>
                <w:rFonts w:asciiTheme="majorHAnsi" w:hAnsiTheme="majorHAnsi"/>
                <w:noProof/>
                <w:webHidden/>
                <w:sz w:val="20"/>
                <w:szCs w:val="20"/>
              </w:rPr>
              <w:fldChar w:fldCharType="begin"/>
            </w:r>
            <w:r w:rsidR="00664D62" w:rsidRPr="00664D62">
              <w:rPr>
                <w:rFonts w:asciiTheme="majorHAnsi" w:hAnsiTheme="majorHAnsi"/>
                <w:noProof/>
                <w:webHidden/>
                <w:sz w:val="20"/>
                <w:szCs w:val="20"/>
              </w:rPr>
              <w:instrText xml:space="preserve"> PAGEREF _Toc5953495 \h </w:instrText>
            </w:r>
            <w:r w:rsidR="00664D62" w:rsidRPr="00664D62">
              <w:rPr>
                <w:rFonts w:asciiTheme="majorHAnsi" w:hAnsiTheme="majorHAnsi"/>
                <w:noProof/>
                <w:webHidden/>
                <w:sz w:val="20"/>
                <w:szCs w:val="20"/>
              </w:rPr>
            </w:r>
            <w:r w:rsidR="00664D62" w:rsidRPr="00664D62">
              <w:rPr>
                <w:rFonts w:asciiTheme="majorHAnsi" w:hAnsiTheme="majorHAnsi"/>
                <w:noProof/>
                <w:webHidden/>
                <w:sz w:val="20"/>
                <w:szCs w:val="20"/>
              </w:rPr>
              <w:fldChar w:fldCharType="separate"/>
            </w:r>
            <w:r>
              <w:rPr>
                <w:rFonts w:asciiTheme="majorHAnsi" w:hAnsiTheme="majorHAnsi"/>
                <w:noProof/>
                <w:webHidden/>
                <w:sz w:val="20"/>
                <w:szCs w:val="20"/>
              </w:rPr>
              <w:t>14</w:t>
            </w:r>
            <w:r w:rsidR="00664D62" w:rsidRPr="00664D62">
              <w:rPr>
                <w:rFonts w:asciiTheme="majorHAnsi" w:hAnsiTheme="majorHAnsi"/>
                <w:noProof/>
                <w:webHidden/>
                <w:sz w:val="20"/>
                <w:szCs w:val="20"/>
              </w:rPr>
              <w:fldChar w:fldCharType="end"/>
            </w:r>
          </w:hyperlink>
        </w:p>
        <w:p w14:paraId="4E40D286" w14:textId="58C3681D" w:rsidR="00664D62" w:rsidRPr="00664D62" w:rsidRDefault="00631086">
          <w:pPr>
            <w:pStyle w:val="TOC3"/>
            <w:tabs>
              <w:tab w:val="left" w:pos="2160"/>
            </w:tabs>
            <w:rPr>
              <w:rFonts w:asciiTheme="majorHAnsi" w:eastAsiaTheme="minorEastAsia" w:hAnsiTheme="majorHAnsi" w:cstheme="minorBidi"/>
              <w:noProof/>
              <w:sz w:val="20"/>
              <w:szCs w:val="20"/>
              <w:bdr w:val="none" w:sz="0" w:space="0" w:color="auto"/>
            </w:rPr>
          </w:pPr>
          <w:hyperlink w:anchor="_Toc5953496" w:history="1">
            <w:r w:rsidR="00664D62" w:rsidRPr="00664D62">
              <w:rPr>
                <w:rStyle w:val="Hyperlink"/>
                <w:rFonts w:asciiTheme="majorHAnsi" w:hAnsiTheme="majorHAnsi"/>
                <w:noProof/>
                <w:sz w:val="20"/>
                <w:szCs w:val="20"/>
              </w:rPr>
              <w:t>2.</w:t>
            </w:r>
            <w:r w:rsidR="00664D62" w:rsidRPr="00664D62">
              <w:rPr>
                <w:rFonts w:asciiTheme="majorHAnsi" w:eastAsiaTheme="minorEastAsia" w:hAnsiTheme="majorHAnsi" w:cstheme="minorBidi"/>
                <w:noProof/>
                <w:sz w:val="20"/>
                <w:szCs w:val="20"/>
                <w:bdr w:val="none" w:sz="0" w:space="0" w:color="auto"/>
              </w:rPr>
              <w:tab/>
            </w:r>
            <w:r w:rsidR="00664D62" w:rsidRPr="00664D62">
              <w:rPr>
                <w:rStyle w:val="Hyperlink"/>
                <w:rFonts w:asciiTheme="majorHAnsi" w:hAnsiTheme="majorHAnsi"/>
                <w:noProof/>
                <w:sz w:val="20"/>
                <w:szCs w:val="20"/>
              </w:rPr>
              <w:t>Reasonable time</w:t>
            </w:r>
            <w:r w:rsidR="00664D62" w:rsidRPr="00664D62">
              <w:rPr>
                <w:rFonts w:asciiTheme="majorHAnsi" w:hAnsiTheme="majorHAnsi"/>
                <w:noProof/>
                <w:webHidden/>
                <w:sz w:val="20"/>
                <w:szCs w:val="20"/>
              </w:rPr>
              <w:tab/>
            </w:r>
            <w:r w:rsidR="00664D62" w:rsidRPr="00664D62">
              <w:rPr>
                <w:rFonts w:asciiTheme="majorHAnsi" w:hAnsiTheme="majorHAnsi"/>
                <w:noProof/>
                <w:webHidden/>
                <w:sz w:val="20"/>
                <w:szCs w:val="20"/>
              </w:rPr>
              <w:fldChar w:fldCharType="begin"/>
            </w:r>
            <w:r w:rsidR="00664D62" w:rsidRPr="00664D62">
              <w:rPr>
                <w:rFonts w:asciiTheme="majorHAnsi" w:hAnsiTheme="majorHAnsi"/>
                <w:noProof/>
                <w:webHidden/>
                <w:sz w:val="20"/>
                <w:szCs w:val="20"/>
              </w:rPr>
              <w:instrText xml:space="preserve"> PAGEREF _Toc5953496 \h </w:instrText>
            </w:r>
            <w:r w:rsidR="00664D62" w:rsidRPr="00664D62">
              <w:rPr>
                <w:rFonts w:asciiTheme="majorHAnsi" w:hAnsiTheme="majorHAnsi"/>
                <w:noProof/>
                <w:webHidden/>
                <w:sz w:val="20"/>
                <w:szCs w:val="20"/>
              </w:rPr>
            </w:r>
            <w:r w:rsidR="00664D62" w:rsidRPr="00664D62">
              <w:rPr>
                <w:rFonts w:asciiTheme="majorHAnsi" w:hAnsiTheme="majorHAnsi"/>
                <w:noProof/>
                <w:webHidden/>
                <w:sz w:val="20"/>
                <w:szCs w:val="20"/>
              </w:rPr>
              <w:fldChar w:fldCharType="separate"/>
            </w:r>
            <w:r>
              <w:rPr>
                <w:rFonts w:asciiTheme="majorHAnsi" w:hAnsiTheme="majorHAnsi"/>
                <w:noProof/>
                <w:webHidden/>
                <w:sz w:val="20"/>
                <w:szCs w:val="20"/>
              </w:rPr>
              <w:t>15</w:t>
            </w:r>
            <w:r w:rsidR="00664D62" w:rsidRPr="00664D62">
              <w:rPr>
                <w:rFonts w:asciiTheme="majorHAnsi" w:hAnsiTheme="majorHAnsi"/>
                <w:noProof/>
                <w:webHidden/>
                <w:sz w:val="20"/>
                <w:szCs w:val="20"/>
              </w:rPr>
              <w:fldChar w:fldCharType="end"/>
            </w:r>
          </w:hyperlink>
        </w:p>
        <w:p w14:paraId="27D93EBD" w14:textId="0F171738" w:rsidR="00664D62" w:rsidRPr="00664D62" w:rsidRDefault="00631086">
          <w:pPr>
            <w:pStyle w:val="TOC2"/>
            <w:rPr>
              <w:rFonts w:asciiTheme="majorHAnsi" w:eastAsiaTheme="minorEastAsia" w:hAnsiTheme="majorHAnsi" w:cstheme="minorBidi"/>
              <w:noProof/>
              <w:sz w:val="20"/>
              <w:szCs w:val="20"/>
              <w:bdr w:val="none" w:sz="0" w:space="0" w:color="auto"/>
            </w:rPr>
          </w:pPr>
          <w:hyperlink w:anchor="_Toc5953497" w:history="1">
            <w:r w:rsidR="00664D62" w:rsidRPr="00664D62">
              <w:rPr>
                <w:rStyle w:val="Hyperlink"/>
                <w:rFonts w:asciiTheme="majorHAnsi" w:hAnsiTheme="majorHAnsi"/>
                <w:noProof/>
                <w:sz w:val="20"/>
                <w:szCs w:val="20"/>
              </w:rPr>
              <w:t>C.</w:t>
            </w:r>
            <w:r w:rsidR="00664D62" w:rsidRPr="00664D62">
              <w:rPr>
                <w:rFonts w:asciiTheme="majorHAnsi" w:eastAsiaTheme="minorEastAsia" w:hAnsiTheme="majorHAnsi" w:cstheme="minorBidi"/>
                <w:noProof/>
                <w:sz w:val="20"/>
                <w:szCs w:val="20"/>
                <w:bdr w:val="none" w:sz="0" w:space="0" w:color="auto"/>
              </w:rPr>
              <w:tab/>
            </w:r>
            <w:r w:rsidR="00664D62" w:rsidRPr="00664D62">
              <w:rPr>
                <w:rStyle w:val="Hyperlink"/>
                <w:rFonts w:asciiTheme="majorHAnsi" w:hAnsiTheme="majorHAnsi"/>
                <w:noProof/>
                <w:sz w:val="20"/>
                <w:szCs w:val="20"/>
              </w:rPr>
              <w:t>Right to humane treatment of next of kin (Article 5 in connection with Article 1.1 of the American Convention)</w:t>
            </w:r>
            <w:r w:rsidR="00664D62" w:rsidRPr="00664D62">
              <w:rPr>
                <w:rFonts w:asciiTheme="majorHAnsi" w:hAnsiTheme="majorHAnsi"/>
                <w:noProof/>
                <w:webHidden/>
                <w:sz w:val="20"/>
                <w:szCs w:val="20"/>
              </w:rPr>
              <w:tab/>
            </w:r>
            <w:r w:rsidR="00664D62" w:rsidRPr="00664D62">
              <w:rPr>
                <w:rFonts w:asciiTheme="majorHAnsi" w:hAnsiTheme="majorHAnsi"/>
                <w:noProof/>
                <w:webHidden/>
                <w:sz w:val="20"/>
                <w:szCs w:val="20"/>
              </w:rPr>
              <w:fldChar w:fldCharType="begin"/>
            </w:r>
            <w:r w:rsidR="00664D62" w:rsidRPr="00664D62">
              <w:rPr>
                <w:rFonts w:asciiTheme="majorHAnsi" w:hAnsiTheme="majorHAnsi"/>
                <w:noProof/>
                <w:webHidden/>
                <w:sz w:val="20"/>
                <w:szCs w:val="20"/>
              </w:rPr>
              <w:instrText xml:space="preserve"> PAGEREF _Toc5953497 \h </w:instrText>
            </w:r>
            <w:r w:rsidR="00664D62" w:rsidRPr="00664D62">
              <w:rPr>
                <w:rFonts w:asciiTheme="majorHAnsi" w:hAnsiTheme="majorHAnsi"/>
                <w:noProof/>
                <w:webHidden/>
                <w:sz w:val="20"/>
                <w:szCs w:val="20"/>
              </w:rPr>
            </w:r>
            <w:r w:rsidR="00664D62" w:rsidRPr="00664D62">
              <w:rPr>
                <w:rFonts w:asciiTheme="majorHAnsi" w:hAnsiTheme="majorHAnsi"/>
                <w:noProof/>
                <w:webHidden/>
                <w:sz w:val="20"/>
                <w:szCs w:val="20"/>
              </w:rPr>
              <w:fldChar w:fldCharType="separate"/>
            </w:r>
            <w:r>
              <w:rPr>
                <w:rFonts w:asciiTheme="majorHAnsi" w:hAnsiTheme="majorHAnsi"/>
                <w:noProof/>
                <w:webHidden/>
                <w:sz w:val="20"/>
                <w:szCs w:val="20"/>
              </w:rPr>
              <w:t>16</w:t>
            </w:r>
            <w:r w:rsidR="00664D62" w:rsidRPr="00664D62">
              <w:rPr>
                <w:rFonts w:asciiTheme="majorHAnsi" w:hAnsiTheme="majorHAnsi"/>
                <w:noProof/>
                <w:webHidden/>
                <w:sz w:val="20"/>
                <w:szCs w:val="20"/>
              </w:rPr>
              <w:fldChar w:fldCharType="end"/>
            </w:r>
          </w:hyperlink>
        </w:p>
        <w:p w14:paraId="5448AD41" w14:textId="1F78C9B1" w:rsidR="00664D62" w:rsidRPr="00664D62" w:rsidRDefault="00631086">
          <w:pPr>
            <w:pStyle w:val="TOC3"/>
            <w:tabs>
              <w:tab w:val="left" w:pos="2160"/>
            </w:tabs>
            <w:rPr>
              <w:rFonts w:asciiTheme="majorHAnsi" w:eastAsiaTheme="minorEastAsia" w:hAnsiTheme="majorHAnsi" w:cstheme="minorBidi"/>
              <w:noProof/>
              <w:sz w:val="20"/>
              <w:szCs w:val="20"/>
              <w:bdr w:val="none" w:sz="0" w:space="0" w:color="auto"/>
            </w:rPr>
          </w:pPr>
          <w:hyperlink w:anchor="_Toc5953498" w:history="1">
            <w:r w:rsidR="00664D62" w:rsidRPr="00664D62">
              <w:rPr>
                <w:rStyle w:val="Hyperlink"/>
                <w:rFonts w:asciiTheme="majorHAnsi" w:hAnsiTheme="majorHAnsi"/>
                <w:noProof/>
                <w:sz w:val="20"/>
                <w:szCs w:val="20"/>
              </w:rPr>
              <w:t>1.</w:t>
            </w:r>
            <w:r w:rsidR="00664D62" w:rsidRPr="00664D62">
              <w:rPr>
                <w:rFonts w:asciiTheme="majorHAnsi" w:eastAsiaTheme="minorEastAsia" w:hAnsiTheme="majorHAnsi" w:cstheme="minorBidi"/>
                <w:noProof/>
                <w:sz w:val="20"/>
                <w:szCs w:val="20"/>
                <w:bdr w:val="none" w:sz="0" w:space="0" w:color="auto"/>
              </w:rPr>
              <w:tab/>
            </w:r>
            <w:r w:rsidR="00664D62" w:rsidRPr="00664D62">
              <w:rPr>
                <w:rStyle w:val="Hyperlink"/>
                <w:rFonts w:asciiTheme="majorHAnsi" w:hAnsiTheme="majorHAnsi"/>
                <w:noProof/>
                <w:sz w:val="20"/>
                <w:szCs w:val="20"/>
              </w:rPr>
              <w:t>Right to humane treatment as a consequence of the forced disappearance</w:t>
            </w:r>
            <w:r w:rsidR="00664D62" w:rsidRPr="00664D62">
              <w:rPr>
                <w:rFonts w:asciiTheme="majorHAnsi" w:hAnsiTheme="majorHAnsi"/>
                <w:noProof/>
                <w:webHidden/>
                <w:sz w:val="20"/>
                <w:szCs w:val="20"/>
              </w:rPr>
              <w:tab/>
            </w:r>
            <w:r w:rsidR="00664D62" w:rsidRPr="00664D62">
              <w:rPr>
                <w:rFonts w:asciiTheme="majorHAnsi" w:hAnsiTheme="majorHAnsi"/>
                <w:noProof/>
                <w:webHidden/>
                <w:sz w:val="20"/>
                <w:szCs w:val="20"/>
              </w:rPr>
              <w:fldChar w:fldCharType="begin"/>
            </w:r>
            <w:r w:rsidR="00664D62" w:rsidRPr="00664D62">
              <w:rPr>
                <w:rFonts w:asciiTheme="majorHAnsi" w:hAnsiTheme="majorHAnsi"/>
                <w:noProof/>
                <w:webHidden/>
                <w:sz w:val="20"/>
                <w:szCs w:val="20"/>
              </w:rPr>
              <w:instrText xml:space="preserve"> PAGEREF _Toc5953498 \h </w:instrText>
            </w:r>
            <w:r w:rsidR="00664D62" w:rsidRPr="00664D62">
              <w:rPr>
                <w:rFonts w:asciiTheme="majorHAnsi" w:hAnsiTheme="majorHAnsi"/>
                <w:noProof/>
                <w:webHidden/>
                <w:sz w:val="20"/>
                <w:szCs w:val="20"/>
              </w:rPr>
            </w:r>
            <w:r w:rsidR="00664D62" w:rsidRPr="00664D62">
              <w:rPr>
                <w:rFonts w:asciiTheme="majorHAnsi" w:hAnsiTheme="majorHAnsi"/>
                <w:noProof/>
                <w:webHidden/>
                <w:sz w:val="20"/>
                <w:szCs w:val="20"/>
              </w:rPr>
              <w:fldChar w:fldCharType="separate"/>
            </w:r>
            <w:r>
              <w:rPr>
                <w:rFonts w:asciiTheme="majorHAnsi" w:hAnsiTheme="majorHAnsi"/>
                <w:noProof/>
                <w:webHidden/>
                <w:sz w:val="20"/>
                <w:szCs w:val="20"/>
              </w:rPr>
              <w:t>16</w:t>
            </w:r>
            <w:r w:rsidR="00664D62" w:rsidRPr="00664D62">
              <w:rPr>
                <w:rFonts w:asciiTheme="majorHAnsi" w:hAnsiTheme="majorHAnsi"/>
                <w:noProof/>
                <w:webHidden/>
                <w:sz w:val="20"/>
                <w:szCs w:val="20"/>
              </w:rPr>
              <w:fldChar w:fldCharType="end"/>
            </w:r>
          </w:hyperlink>
        </w:p>
        <w:p w14:paraId="032B733B" w14:textId="244EE7A4" w:rsidR="00664D62" w:rsidRPr="00664D62" w:rsidRDefault="00631086">
          <w:pPr>
            <w:pStyle w:val="TOC3"/>
            <w:tabs>
              <w:tab w:val="left" w:pos="2160"/>
            </w:tabs>
            <w:rPr>
              <w:rFonts w:asciiTheme="majorHAnsi" w:eastAsiaTheme="minorEastAsia" w:hAnsiTheme="majorHAnsi" w:cstheme="minorBidi"/>
              <w:noProof/>
              <w:sz w:val="20"/>
              <w:szCs w:val="20"/>
              <w:bdr w:val="none" w:sz="0" w:space="0" w:color="auto"/>
            </w:rPr>
          </w:pPr>
          <w:hyperlink w:anchor="_Toc5953499" w:history="1">
            <w:r w:rsidR="00664D62" w:rsidRPr="00664D62">
              <w:rPr>
                <w:rStyle w:val="Hyperlink"/>
                <w:rFonts w:asciiTheme="majorHAnsi" w:hAnsiTheme="majorHAnsi"/>
                <w:noProof/>
                <w:sz w:val="20"/>
                <w:szCs w:val="20"/>
                <w:lang w:val="pt-BR"/>
              </w:rPr>
              <w:t>2.</w:t>
            </w:r>
            <w:r w:rsidR="00664D62" w:rsidRPr="00664D62">
              <w:rPr>
                <w:rFonts w:asciiTheme="majorHAnsi" w:eastAsiaTheme="minorEastAsia" w:hAnsiTheme="majorHAnsi" w:cstheme="minorBidi"/>
                <w:noProof/>
                <w:sz w:val="20"/>
                <w:szCs w:val="20"/>
                <w:bdr w:val="none" w:sz="0" w:space="0" w:color="auto"/>
              </w:rPr>
              <w:tab/>
            </w:r>
            <w:r w:rsidR="00664D62" w:rsidRPr="00664D62">
              <w:rPr>
                <w:rStyle w:val="Hyperlink"/>
                <w:rFonts w:asciiTheme="majorHAnsi" w:hAnsiTheme="majorHAnsi"/>
                <w:noProof/>
                <w:sz w:val="20"/>
                <w:szCs w:val="20"/>
                <w:lang w:val="pt-BR"/>
              </w:rPr>
              <w:t>Facts relating to Gregoria Naranjo y Marcia Núñez</w:t>
            </w:r>
            <w:r w:rsidR="00664D62" w:rsidRPr="00664D62">
              <w:rPr>
                <w:rFonts w:asciiTheme="majorHAnsi" w:hAnsiTheme="majorHAnsi"/>
                <w:noProof/>
                <w:webHidden/>
                <w:sz w:val="20"/>
                <w:szCs w:val="20"/>
              </w:rPr>
              <w:tab/>
            </w:r>
            <w:r w:rsidR="00664D62" w:rsidRPr="00664D62">
              <w:rPr>
                <w:rFonts w:asciiTheme="majorHAnsi" w:hAnsiTheme="majorHAnsi"/>
                <w:noProof/>
                <w:webHidden/>
                <w:sz w:val="20"/>
                <w:szCs w:val="20"/>
              </w:rPr>
              <w:fldChar w:fldCharType="begin"/>
            </w:r>
            <w:r w:rsidR="00664D62" w:rsidRPr="00664D62">
              <w:rPr>
                <w:rFonts w:asciiTheme="majorHAnsi" w:hAnsiTheme="majorHAnsi"/>
                <w:noProof/>
                <w:webHidden/>
                <w:sz w:val="20"/>
                <w:szCs w:val="20"/>
              </w:rPr>
              <w:instrText xml:space="preserve"> PAGEREF _Toc5953499 \h </w:instrText>
            </w:r>
            <w:r w:rsidR="00664D62" w:rsidRPr="00664D62">
              <w:rPr>
                <w:rFonts w:asciiTheme="majorHAnsi" w:hAnsiTheme="majorHAnsi"/>
                <w:noProof/>
                <w:webHidden/>
                <w:sz w:val="20"/>
                <w:szCs w:val="20"/>
              </w:rPr>
            </w:r>
            <w:r w:rsidR="00664D62" w:rsidRPr="00664D62">
              <w:rPr>
                <w:rFonts w:asciiTheme="majorHAnsi" w:hAnsiTheme="majorHAnsi"/>
                <w:noProof/>
                <w:webHidden/>
                <w:sz w:val="20"/>
                <w:szCs w:val="20"/>
              </w:rPr>
              <w:fldChar w:fldCharType="separate"/>
            </w:r>
            <w:r>
              <w:rPr>
                <w:rFonts w:asciiTheme="majorHAnsi" w:hAnsiTheme="majorHAnsi"/>
                <w:noProof/>
                <w:webHidden/>
                <w:sz w:val="20"/>
                <w:szCs w:val="20"/>
              </w:rPr>
              <w:t>17</w:t>
            </w:r>
            <w:r w:rsidR="00664D62" w:rsidRPr="00664D62">
              <w:rPr>
                <w:rFonts w:asciiTheme="majorHAnsi" w:hAnsiTheme="majorHAnsi"/>
                <w:noProof/>
                <w:webHidden/>
                <w:sz w:val="20"/>
                <w:szCs w:val="20"/>
              </w:rPr>
              <w:fldChar w:fldCharType="end"/>
            </w:r>
          </w:hyperlink>
        </w:p>
        <w:p w14:paraId="34F03F07" w14:textId="1BF29124" w:rsidR="00664D62" w:rsidRPr="00664D62" w:rsidRDefault="00631086">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953500" w:history="1">
            <w:r w:rsidR="00664D62" w:rsidRPr="00664D62">
              <w:rPr>
                <w:rStyle w:val="Hyperlink"/>
                <w:rFonts w:asciiTheme="majorHAnsi" w:hAnsiTheme="majorHAnsi"/>
                <w:b/>
                <w:noProof/>
                <w:sz w:val="20"/>
                <w:szCs w:val="20"/>
              </w:rPr>
              <w:t>V.</w:t>
            </w:r>
            <w:r w:rsidR="00664D62" w:rsidRPr="00664D62">
              <w:rPr>
                <w:rFonts w:asciiTheme="majorHAnsi" w:eastAsiaTheme="minorEastAsia" w:hAnsiTheme="majorHAnsi" w:cstheme="minorBidi"/>
                <w:b/>
                <w:noProof/>
                <w:sz w:val="20"/>
                <w:szCs w:val="20"/>
                <w:bdr w:val="none" w:sz="0" w:space="0" w:color="auto"/>
              </w:rPr>
              <w:tab/>
            </w:r>
            <w:r w:rsidR="00664D62" w:rsidRPr="00664D62">
              <w:rPr>
                <w:rStyle w:val="Hyperlink"/>
                <w:rFonts w:asciiTheme="majorHAnsi" w:hAnsiTheme="majorHAnsi"/>
                <w:b/>
                <w:noProof/>
                <w:sz w:val="20"/>
                <w:szCs w:val="20"/>
              </w:rPr>
              <w:t>CONCLUSIONS AND RECOMMENDATIONS</w:t>
            </w:r>
            <w:r w:rsidR="00664D62" w:rsidRPr="00664D62">
              <w:rPr>
                <w:rFonts w:asciiTheme="majorHAnsi" w:hAnsiTheme="majorHAnsi"/>
                <w:noProof/>
                <w:webHidden/>
                <w:sz w:val="20"/>
                <w:szCs w:val="20"/>
              </w:rPr>
              <w:tab/>
            </w:r>
            <w:r w:rsidR="00664D62" w:rsidRPr="00664D62">
              <w:rPr>
                <w:rFonts w:asciiTheme="majorHAnsi" w:hAnsiTheme="majorHAnsi"/>
                <w:noProof/>
                <w:webHidden/>
                <w:sz w:val="20"/>
                <w:szCs w:val="20"/>
              </w:rPr>
              <w:fldChar w:fldCharType="begin"/>
            </w:r>
            <w:r w:rsidR="00664D62" w:rsidRPr="00664D62">
              <w:rPr>
                <w:rFonts w:asciiTheme="majorHAnsi" w:hAnsiTheme="majorHAnsi"/>
                <w:noProof/>
                <w:webHidden/>
                <w:sz w:val="20"/>
                <w:szCs w:val="20"/>
              </w:rPr>
              <w:instrText xml:space="preserve"> PAGEREF _Toc5953500 \h </w:instrText>
            </w:r>
            <w:r w:rsidR="00664D62" w:rsidRPr="00664D62">
              <w:rPr>
                <w:rFonts w:asciiTheme="majorHAnsi" w:hAnsiTheme="majorHAnsi"/>
                <w:noProof/>
                <w:webHidden/>
                <w:sz w:val="20"/>
                <w:szCs w:val="20"/>
              </w:rPr>
            </w:r>
            <w:r w:rsidR="00664D62" w:rsidRPr="00664D62">
              <w:rPr>
                <w:rFonts w:asciiTheme="majorHAnsi" w:hAnsiTheme="majorHAnsi"/>
                <w:noProof/>
                <w:webHidden/>
                <w:sz w:val="20"/>
                <w:szCs w:val="20"/>
              </w:rPr>
              <w:fldChar w:fldCharType="separate"/>
            </w:r>
            <w:r>
              <w:rPr>
                <w:rFonts w:asciiTheme="majorHAnsi" w:hAnsiTheme="majorHAnsi"/>
                <w:noProof/>
                <w:webHidden/>
                <w:sz w:val="20"/>
                <w:szCs w:val="20"/>
              </w:rPr>
              <w:t>17</w:t>
            </w:r>
            <w:r w:rsidR="00664D62" w:rsidRPr="00664D62">
              <w:rPr>
                <w:rFonts w:asciiTheme="majorHAnsi" w:hAnsiTheme="majorHAnsi"/>
                <w:noProof/>
                <w:webHidden/>
                <w:sz w:val="20"/>
                <w:szCs w:val="20"/>
              </w:rPr>
              <w:fldChar w:fldCharType="end"/>
            </w:r>
          </w:hyperlink>
        </w:p>
        <w:p w14:paraId="7FAEC9E8" w14:textId="77777777" w:rsidR="00F91A8D" w:rsidRDefault="00F91A8D">
          <w:r w:rsidRPr="00664D62">
            <w:rPr>
              <w:rFonts w:asciiTheme="majorHAnsi" w:hAnsiTheme="majorHAnsi"/>
              <w:b/>
              <w:bCs/>
              <w:noProof/>
              <w:sz w:val="20"/>
              <w:szCs w:val="20"/>
            </w:rPr>
            <w:fldChar w:fldCharType="end"/>
          </w:r>
        </w:p>
      </w:sdtContent>
    </w:sdt>
    <w:p w14:paraId="6F84BC5E" w14:textId="77777777" w:rsidR="007607C4" w:rsidRPr="00FC3EB4" w:rsidRDefault="007607C4" w:rsidP="00145EDC">
      <w:pPr>
        <w:tabs>
          <w:tab w:val="center" w:pos="5400"/>
        </w:tabs>
        <w:suppressAutoHyphens/>
        <w:spacing w:line="276" w:lineRule="auto"/>
        <w:rPr>
          <w:rFonts w:asciiTheme="majorHAnsi" w:hAnsiTheme="majorHAnsi"/>
          <w:sz w:val="20"/>
          <w:szCs w:val="20"/>
        </w:rPr>
      </w:pPr>
    </w:p>
    <w:p w14:paraId="523B625A" w14:textId="77777777" w:rsidR="007607C4" w:rsidRPr="00FC3EB4" w:rsidRDefault="007607C4" w:rsidP="00145EDC">
      <w:pPr>
        <w:tabs>
          <w:tab w:val="center" w:pos="5400"/>
        </w:tabs>
        <w:suppressAutoHyphens/>
        <w:spacing w:line="276" w:lineRule="auto"/>
        <w:rPr>
          <w:rFonts w:asciiTheme="majorHAnsi" w:hAnsiTheme="majorHAnsi"/>
          <w:sz w:val="20"/>
          <w:szCs w:val="20"/>
        </w:rPr>
      </w:pPr>
    </w:p>
    <w:p w14:paraId="4B38E871" w14:textId="77777777" w:rsidR="007607C4" w:rsidRPr="00FC3EB4" w:rsidRDefault="007607C4" w:rsidP="00145EDC">
      <w:pPr>
        <w:tabs>
          <w:tab w:val="center" w:pos="5400"/>
        </w:tabs>
        <w:suppressAutoHyphens/>
        <w:spacing w:line="276" w:lineRule="auto"/>
        <w:rPr>
          <w:rFonts w:asciiTheme="majorHAnsi" w:hAnsiTheme="majorHAnsi"/>
          <w:sz w:val="20"/>
          <w:szCs w:val="20"/>
        </w:rPr>
      </w:pPr>
    </w:p>
    <w:p w14:paraId="613A1768" w14:textId="77777777" w:rsidR="007607C4" w:rsidRPr="00FC3EB4" w:rsidRDefault="007607C4" w:rsidP="00145EDC">
      <w:pPr>
        <w:tabs>
          <w:tab w:val="center" w:pos="5400"/>
        </w:tabs>
        <w:suppressAutoHyphens/>
        <w:spacing w:line="276" w:lineRule="auto"/>
        <w:rPr>
          <w:rFonts w:asciiTheme="majorHAnsi" w:hAnsiTheme="majorHAnsi"/>
          <w:sz w:val="20"/>
          <w:szCs w:val="20"/>
        </w:rPr>
      </w:pPr>
    </w:p>
    <w:p w14:paraId="0CA0E141" w14:textId="77777777" w:rsidR="00F91A8D" w:rsidRPr="00FC3EB4" w:rsidRDefault="00F91A8D" w:rsidP="00145EDC">
      <w:pPr>
        <w:tabs>
          <w:tab w:val="center" w:pos="5400"/>
        </w:tabs>
        <w:suppressAutoHyphens/>
        <w:spacing w:line="276" w:lineRule="auto"/>
        <w:rPr>
          <w:rFonts w:asciiTheme="majorHAnsi" w:hAnsiTheme="majorHAnsi"/>
          <w:sz w:val="20"/>
          <w:szCs w:val="20"/>
        </w:rPr>
      </w:pPr>
    </w:p>
    <w:p w14:paraId="12EE2061" w14:textId="77777777" w:rsidR="00C55560" w:rsidRDefault="000111A8" w:rsidP="00041CFE">
      <w:pPr>
        <w:tabs>
          <w:tab w:val="left" w:pos="2820"/>
        </w:tabs>
        <w:suppressAutoHyphens/>
        <w:spacing w:line="276" w:lineRule="auto"/>
        <w:rPr>
          <w:rFonts w:asciiTheme="majorHAnsi" w:hAnsiTheme="majorHAnsi"/>
          <w:sz w:val="20"/>
          <w:szCs w:val="20"/>
        </w:rPr>
      </w:pPr>
      <w:r>
        <w:rPr>
          <w:rFonts w:asciiTheme="majorHAnsi" w:hAnsiTheme="majorHAnsi"/>
          <w:sz w:val="20"/>
          <w:szCs w:val="20"/>
        </w:rPr>
        <w:tab/>
      </w:r>
    </w:p>
    <w:p w14:paraId="545CF1B1" w14:textId="77777777" w:rsidR="00664D62" w:rsidRDefault="00664D62" w:rsidP="00041CFE">
      <w:pPr>
        <w:tabs>
          <w:tab w:val="left" w:pos="2820"/>
        </w:tabs>
        <w:suppressAutoHyphens/>
        <w:spacing w:line="276" w:lineRule="auto"/>
        <w:rPr>
          <w:rFonts w:asciiTheme="majorHAnsi" w:hAnsiTheme="majorHAnsi"/>
          <w:sz w:val="20"/>
          <w:szCs w:val="20"/>
        </w:rPr>
      </w:pPr>
    </w:p>
    <w:p w14:paraId="0CB105F2" w14:textId="77777777" w:rsidR="00664D62" w:rsidRDefault="00664D62" w:rsidP="00041CFE">
      <w:pPr>
        <w:tabs>
          <w:tab w:val="left" w:pos="2820"/>
        </w:tabs>
        <w:suppressAutoHyphens/>
        <w:spacing w:line="276" w:lineRule="auto"/>
        <w:rPr>
          <w:rFonts w:asciiTheme="majorHAnsi" w:hAnsiTheme="majorHAnsi"/>
          <w:sz w:val="20"/>
          <w:szCs w:val="20"/>
        </w:rPr>
      </w:pPr>
    </w:p>
    <w:p w14:paraId="7E3DC4F1" w14:textId="77777777" w:rsidR="00664D62" w:rsidRDefault="00664D62" w:rsidP="00041CFE">
      <w:pPr>
        <w:tabs>
          <w:tab w:val="left" w:pos="2820"/>
        </w:tabs>
        <w:suppressAutoHyphens/>
        <w:spacing w:line="276" w:lineRule="auto"/>
        <w:rPr>
          <w:rFonts w:asciiTheme="majorHAnsi" w:hAnsiTheme="majorHAnsi"/>
          <w:sz w:val="20"/>
          <w:szCs w:val="20"/>
        </w:rPr>
      </w:pPr>
    </w:p>
    <w:p w14:paraId="22B93BF3" w14:textId="77777777" w:rsidR="00664D62" w:rsidRDefault="00664D62" w:rsidP="00041CFE">
      <w:pPr>
        <w:tabs>
          <w:tab w:val="left" w:pos="2820"/>
        </w:tabs>
        <w:suppressAutoHyphens/>
        <w:spacing w:line="276" w:lineRule="auto"/>
        <w:rPr>
          <w:rFonts w:asciiTheme="majorHAnsi" w:hAnsiTheme="majorHAnsi"/>
          <w:sz w:val="20"/>
          <w:szCs w:val="20"/>
        </w:rPr>
      </w:pPr>
    </w:p>
    <w:p w14:paraId="373DB06B" w14:textId="77777777" w:rsidR="00041CFE" w:rsidRPr="00310C0B" w:rsidRDefault="00041CFE" w:rsidP="00041CFE">
      <w:pPr>
        <w:tabs>
          <w:tab w:val="center" w:pos="5400"/>
        </w:tabs>
        <w:suppressAutoHyphens/>
        <w:jc w:val="center"/>
        <w:rPr>
          <w:rFonts w:ascii="Cambria" w:hAnsi="Cambria"/>
          <w:b/>
          <w:sz w:val="18"/>
          <w:szCs w:val="20"/>
        </w:rPr>
      </w:pPr>
      <w:r>
        <w:rPr>
          <w:rFonts w:ascii="Cambria" w:hAnsi="Cambria"/>
          <w:b/>
          <w:sz w:val="18"/>
          <w:szCs w:val="20"/>
        </w:rPr>
        <w:lastRenderedPageBreak/>
        <w:t xml:space="preserve">REPORT </w:t>
      </w:r>
      <w:r w:rsidR="00D53D38">
        <w:rPr>
          <w:rFonts w:ascii="Cambria" w:hAnsi="Cambria"/>
          <w:b/>
          <w:sz w:val="18"/>
          <w:szCs w:val="20"/>
        </w:rPr>
        <w:t>No. 60</w:t>
      </w:r>
      <w:r w:rsidRPr="00310C0B">
        <w:rPr>
          <w:rFonts w:ascii="Cambria" w:hAnsi="Cambria"/>
          <w:b/>
          <w:sz w:val="18"/>
          <w:szCs w:val="20"/>
        </w:rPr>
        <w:t>/19</w:t>
      </w:r>
    </w:p>
    <w:p w14:paraId="54A5DC3A" w14:textId="77777777" w:rsidR="00041CFE" w:rsidRPr="00310C0B" w:rsidRDefault="00041CFE" w:rsidP="00041CFE">
      <w:pPr>
        <w:tabs>
          <w:tab w:val="center" w:pos="5400"/>
        </w:tabs>
        <w:suppressAutoHyphens/>
        <w:jc w:val="center"/>
        <w:rPr>
          <w:rFonts w:ascii="Cambria" w:hAnsi="Cambria"/>
          <w:b/>
          <w:sz w:val="18"/>
          <w:szCs w:val="20"/>
        </w:rPr>
      </w:pPr>
      <w:r>
        <w:rPr>
          <w:rFonts w:ascii="Cambria" w:hAnsi="Cambria"/>
          <w:b/>
          <w:sz w:val="18"/>
          <w:szCs w:val="20"/>
        </w:rPr>
        <w:t>CASE</w:t>
      </w:r>
      <w:r w:rsidRPr="00310C0B">
        <w:rPr>
          <w:rFonts w:ascii="Cambria" w:hAnsi="Cambria"/>
          <w:b/>
          <w:sz w:val="18"/>
          <w:szCs w:val="20"/>
        </w:rPr>
        <w:t xml:space="preserve"> 12.744</w:t>
      </w:r>
    </w:p>
    <w:p w14:paraId="79FE715D" w14:textId="77777777" w:rsidR="00041CFE" w:rsidRPr="00310C0B" w:rsidRDefault="00041CFE" w:rsidP="00041CFE">
      <w:pPr>
        <w:tabs>
          <w:tab w:val="center" w:pos="5400"/>
        </w:tabs>
        <w:suppressAutoHyphens/>
        <w:jc w:val="center"/>
        <w:rPr>
          <w:rFonts w:ascii="Cambria" w:hAnsi="Cambria"/>
          <w:sz w:val="18"/>
          <w:szCs w:val="20"/>
        </w:rPr>
      </w:pPr>
      <w:r>
        <w:rPr>
          <w:rFonts w:ascii="Cambria" w:hAnsi="Cambria"/>
          <w:sz w:val="18"/>
          <w:szCs w:val="20"/>
        </w:rPr>
        <w:t>MERITS</w:t>
      </w:r>
    </w:p>
    <w:p w14:paraId="314FE3E3" w14:textId="77777777" w:rsidR="00041CFE" w:rsidRPr="00310C0B" w:rsidRDefault="00041CFE" w:rsidP="00041CFE">
      <w:pPr>
        <w:tabs>
          <w:tab w:val="center" w:pos="5400"/>
        </w:tabs>
        <w:suppressAutoHyphens/>
        <w:jc w:val="center"/>
        <w:rPr>
          <w:rFonts w:ascii="Cambria" w:hAnsi="Cambria"/>
          <w:sz w:val="18"/>
          <w:szCs w:val="20"/>
        </w:rPr>
      </w:pPr>
      <w:r w:rsidRPr="00310C0B">
        <w:rPr>
          <w:rFonts w:ascii="Cambria" w:hAnsi="Cambria"/>
          <w:sz w:val="18"/>
          <w:szCs w:val="20"/>
        </w:rPr>
        <w:t xml:space="preserve">FREDY MARCELO NUÑEZ NARANJO </w:t>
      </w:r>
      <w:r>
        <w:rPr>
          <w:rFonts w:ascii="Cambria" w:hAnsi="Cambria"/>
          <w:sz w:val="18"/>
          <w:szCs w:val="20"/>
        </w:rPr>
        <w:t>ET AL</w:t>
      </w:r>
    </w:p>
    <w:p w14:paraId="60E652E8" w14:textId="77777777" w:rsidR="00041CFE" w:rsidRPr="00310C0B" w:rsidRDefault="00041CFE" w:rsidP="00041CFE">
      <w:pPr>
        <w:tabs>
          <w:tab w:val="center" w:pos="5400"/>
        </w:tabs>
        <w:suppressAutoHyphens/>
        <w:jc w:val="center"/>
        <w:rPr>
          <w:rFonts w:ascii="Cambria" w:hAnsi="Cambria"/>
          <w:sz w:val="18"/>
          <w:szCs w:val="20"/>
        </w:rPr>
      </w:pPr>
      <w:r w:rsidRPr="00310C0B">
        <w:rPr>
          <w:rFonts w:ascii="Cambria" w:hAnsi="Cambria"/>
          <w:sz w:val="18"/>
          <w:szCs w:val="20"/>
        </w:rPr>
        <w:t>ECUADOR</w:t>
      </w:r>
    </w:p>
    <w:p w14:paraId="7F076725" w14:textId="77777777" w:rsidR="00041CFE" w:rsidRPr="00310C0B" w:rsidRDefault="00D53D38" w:rsidP="00041CFE">
      <w:pPr>
        <w:tabs>
          <w:tab w:val="center" w:pos="5400"/>
        </w:tabs>
        <w:suppressAutoHyphens/>
        <w:jc w:val="center"/>
        <w:rPr>
          <w:rFonts w:ascii="Cambria" w:hAnsi="Cambria"/>
          <w:sz w:val="18"/>
          <w:szCs w:val="20"/>
        </w:rPr>
      </w:pPr>
      <w:r>
        <w:rPr>
          <w:rFonts w:ascii="Cambria" w:hAnsi="Cambria"/>
          <w:sz w:val="18"/>
          <w:szCs w:val="20"/>
        </w:rPr>
        <w:t>MAY 4, 2019</w:t>
      </w:r>
      <w:r w:rsidR="00041CFE">
        <w:rPr>
          <w:rFonts w:ascii="Cambria" w:hAnsi="Cambria"/>
          <w:sz w:val="18"/>
          <w:szCs w:val="20"/>
        </w:rPr>
        <w:t xml:space="preserve"> </w:t>
      </w:r>
    </w:p>
    <w:p w14:paraId="5A0CE09D" w14:textId="77777777" w:rsidR="00041CFE" w:rsidRPr="00310C0B" w:rsidRDefault="00041CFE" w:rsidP="00041CFE">
      <w:pPr>
        <w:pStyle w:val="Heading1"/>
        <w:numPr>
          <w:ilvl w:val="0"/>
          <w:numId w:val="63"/>
        </w:numPr>
        <w:ind w:left="0" w:firstLine="0"/>
        <w:jc w:val="both"/>
        <w:rPr>
          <w:rFonts w:ascii="Cambria" w:hAnsi="Cambria"/>
          <w:color w:val="000000" w:themeColor="text1"/>
          <w:sz w:val="20"/>
          <w:szCs w:val="20"/>
        </w:rPr>
      </w:pPr>
      <w:bookmarkStart w:id="0" w:name="_Toc3543633"/>
      <w:bookmarkStart w:id="1" w:name="_Toc5953483"/>
      <w:r>
        <w:rPr>
          <w:rFonts w:ascii="Cambria" w:hAnsi="Cambria"/>
          <w:color w:val="000000" w:themeColor="text1"/>
          <w:sz w:val="20"/>
          <w:szCs w:val="20"/>
        </w:rPr>
        <w:t>INTRODUCTIO</w:t>
      </w:r>
      <w:r w:rsidRPr="00310C0B">
        <w:rPr>
          <w:rFonts w:ascii="Cambria" w:hAnsi="Cambria"/>
          <w:color w:val="000000" w:themeColor="text1"/>
          <w:sz w:val="20"/>
          <w:szCs w:val="20"/>
        </w:rPr>
        <w:t>N</w:t>
      </w:r>
      <w:bookmarkEnd w:id="0"/>
      <w:bookmarkEnd w:id="1"/>
    </w:p>
    <w:p w14:paraId="3B11CFB6" w14:textId="77777777" w:rsidR="00041CFE" w:rsidRPr="00310C0B" w:rsidRDefault="00041CFE" w:rsidP="00041CFE">
      <w:pPr>
        <w:suppressAutoHyphens/>
        <w:ind w:left="360"/>
        <w:jc w:val="both"/>
        <w:rPr>
          <w:rFonts w:ascii="Cambria" w:hAnsi="Cambria"/>
          <w:b/>
          <w:color w:val="000000" w:themeColor="text1"/>
          <w:sz w:val="20"/>
          <w:szCs w:val="20"/>
        </w:rPr>
      </w:pPr>
    </w:p>
    <w:p w14:paraId="355A4971"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eastAsia="Calibri" w:hAnsi="Cambria"/>
          <w:sz w:val="20"/>
          <w:szCs w:val="20"/>
        </w:rPr>
      </w:pPr>
      <w:r>
        <w:rPr>
          <w:rFonts w:ascii="Cambria" w:eastAsia="Calibri" w:hAnsi="Cambria"/>
          <w:sz w:val="20"/>
          <w:szCs w:val="20"/>
        </w:rPr>
        <w:t xml:space="preserve">On December </w:t>
      </w:r>
      <w:r w:rsidRPr="00310C0B">
        <w:rPr>
          <w:rFonts w:ascii="Cambria" w:eastAsia="Calibri" w:hAnsi="Cambria"/>
          <w:sz w:val="20"/>
          <w:szCs w:val="20"/>
        </w:rPr>
        <w:t>1</w:t>
      </w:r>
      <w:r>
        <w:rPr>
          <w:rFonts w:ascii="Cambria" w:eastAsia="Calibri" w:hAnsi="Cambria"/>
          <w:sz w:val="20"/>
          <w:szCs w:val="20"/>
        </w:rPr>
        <w:t>,</w:t>
      </w:r>
      <w:r w:rsidRPr="00310C0B">
        <w:rPr>
          <w:rFonts w:ascii="Cambria" w:eastAsia="Calibri" w:hAnsi="Cambria"/>
          <w:sz w:val="20"/>
          <w:szCs w:val="20"/>
        </w:rPr>
        <w:t xml:space="preserve"> 2003</w:t>
      </w:r>
      <w:r>
        <w:rPr>
          <w:rFonts w:ascii="Cambria" w:eastAsia="Calibri" w:hAnsi="Cambria"/>
          <w:sz w:val="20"/>
          <w:szCs w:val="20"/>
        </w:rPr>
        <w:t xml:space="preserve">, the Inter-American Commission on Human Rights (hereinafter “the Inter-American Commission,” “the Commission” or “the IACHR”) received a petition lodged by </w:t>
      </w:r>
      <w:r w:rsidRPr="00310C0B">
        <w:rPr>
          <w:rFonts w:ascii="Cambria" w:eastAsia="Calibri" w:hAnsi="Cambria"/>
          <w:sz w:val="20"/>
          <w:szCs w:val="20"/>
        </w:rPr>
        <w:t>Sixto Rodríguez Núñez Naranjo, Napoleón</w:t>
      </w:r>
      <w:r>
        <w:rPr>
          <w:rFonts w:ascii="Cambria" w:eastAsia="Calibri" w:hAnsi="Cambria"/>
          <w:sz w:val="20"/>
          <w:szCs w:val="20"/>
        </w:rPr>
        <w:t xml:space="preserve"> Amores and</w:t>
      </w:r>
      <w:r w:rsidRPr="00310C0B">
        <w:rPr>
          <w:rFonts w:ascii="Cambria" w:eastAsia="Calibri" w:hAnsi="Cambria"/>
          <w:sz w:val="20"/>
          <w:szCs w:val="20"/>
        </w:rPr>
        <w:t xml:space="preserve"> José Santana, </w:t>
      </w:r>
      <w:r>
        <w:rPr>
          <w:rFonts w:ascii="Cambria" w:eastAsia="Calibri" w:hAnsi="Cambria"/>
          <w:sz w:val="20"/>
          <w:szCs w:val="20"/>
        </w:rPr>
        <w:t xml:space="preserve">contending international responsibility of the Republic of Ecuador (hereinafter “the State,” “the Ecuadorian State” or “Ecuador”) for the alleged forced disappearance of </w:t>
      </w:r>
      <w:r w:rsidRPr="00310C0B">
        <w:rPr>
          <w:rFonts w:ascii="Cambria" w:eastAsia="Calibri" w:hAnsi="Cambria"/>
          <w:sz w:val="20"/>
          <w:szCs w:val="20"/>
        </w:rPr>
        <w:t>Fredy Marcelo Núñez Naranjo</w:t>
      </w:r>
      <w:r>
        <w:rPr>
          <w:rFonts w:ascii="Cambria" w:eastAsia="Calibri" w:hAnsi="Cambria"/>
          <w:sz w:val="20"/>
          <w:szCs w:val="20"/>
        </w:rPr>
        <w:t xml:space="preserve">. </w:t>
      </w:r>
    </w:p>
    <w:p w14:paraId="63C04319"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eastAsia="Calibri" w:hAnsi="Cambria"/>
          <w:sz w:val="20"/>
          <w:szCs w:val="20"/>
        </w:rPr>
      </w:pPr>
    </w:p>
    <w:p w14:paraId="61DB081F"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eastAsia="Calibri" w:hAnsi="Cambria"/>
          <w:sz w:val="20"/>
          <w:szCs w:val="20"/>
        </w:rPr>
      </w:pPr>
      <w:r>
        <w:rPr>
          <w:rFonts w:asciiTheme="majorHAnsi" w:hAnsiTheme="majorHAnsi"/>
          <w:color w:val="000000" w:themeColor="text1"/>
          <w:sz w:val="20"/>
          <w:szCs w:val="20"/>
        </w:rPr>
        <w:t xml:space="preserve">The Commission approved Report on Admissibility </w:t>
      </w:r>
      <w:r w:rsidRPr="00310C0B">
        <w:rPr>
          <w:rFonts w:asciiTheme="majorHAnsi" w:hAnsiTheme="majorHAnsi"/>
          <w:color w:val="000000" w:themeColor="text1"/>
          <w:sz w:val="20"/>
          <w:szCs w:val="20"/>
        </w:rPr>
        <w:t xml:space="preserve">No. 02/10 </w:t>
      </w:r>
      <w:r>
        <w:rPr>
          <w:rFonts w:asciiTheme="majorHAnsi" w:hAnsiTheme="majorHAnsi"/>
          <w:color w:val="000000" w:themeColor="text1"/>
          <w:sz w:val="20"/>
          <w:szCs w:val="20"/>
        </w:rPr>
        <w:t xml:space="preserve">on March </w:t>
      </w:r>
      <w:r w:rsidRPr="00310C0B">
        <w:rPr>
          <w:rFonts w:asciiTheme="majorHAnsi" w:hAnsiTheme="majorHAnsi"/>
          <w:color w:val="000000" w:themeColor="text1"/>
          <w:sz w:val="20"/>
          <w:szCs w:val="20"/>
        </w:rPr>
        <w:t>15</w:t>
      </w:r>
      <w:r>
        <w:rPr>
          <w:rFonts w:asciiTheme="majorHAnsi" w:hAnsiTheme="majorHAnsi"/>
          <w:color w:val="000000" w:themeColor="text1"/>
          <w:sz w:val="20"/>
          <w:szCs w:val="20"/>
        </w:rPr>
        <w:t>,</w:t>
      </w:r>
      <w:r w:rsidRPr="00310C0B">
        <w:rPr>
          <w:rFonts w:asciiTheme="majorHAnsi" w:hAnsiTheme="majorHAnsi"/>
          <w:color w:val="000000" w:themeColor="text1"/>
          <w:sz w:val="20"/>
          <w:szCs w:val="20"/>
        </w:rPr>
        <w:t xml:space="preserve"> 2010</w:t>
      </w:r>
      <w:r>
        <w:rPr>
          <w:rFonts w:asciiTheme="majorHAnsi" w:hAnsiTheme="majorHAnsi"/>
          <w:color w:val="000000" w:themeColor="text1"/>
          <w:sz w:val="20"/>
          <w:szCs w:val="20"/>
        </w:rPr>
        <w:t>.</w:t>
      </w:r>
      <w:r w:rsidRPr="00310C0B">
        <w:rPr>
          <w:rStyle w:val="FootnoteReference"/>
          <w:rFonts w:asciiTheme="majorHAnsi" w:hAnsiTheme="majorHAnsi"/>
          <w:color w:val="000000" w:themeColor="text1"/>
          <w:sz w:val="20"/>
          <w:szCs w:val="20"/>
        </w:rPr>
        <w:footnoteReference w:id="2"/>
      </w:r>
      <w:r w:rsidRPr="00310C0B">
        <w:rPr>
          <w:rFonts w:asciiTheme="majorHAnsi" w:hAnsiTheme="majorHAnsi"/>
          <w:color w:val="000000" w:themeColor="text1"/>
          <w:sz w:val="20"/>
          <w:szCs w:val="20"/>
        </w:rPr>
        <w:t xml:space="preserve"> </w:t>
      </w:r>
      <w:r>
        <w:rPr>
          <w:rFonts w:asciiTheme="majorHAnsi" w:hAnsiTheme="majorHAnsi"/>
          <w:color w:val="000000" w:themeColor="text1"/>
          <w:sz w:val="20"/>
          <w:szCs w:val="20"/>
        </w:rPr>
        <w:t xml:space="preserve">On March </w:t>
      </w:r>
      <w:r w:rsidRPr="00310C0B">
        <w:rPr>
          <w:rFonts w:asciiTheme="majorHAnsi" w:hAnsiTheme="majorHAnsi"/>
          <w:color w:val="000000" w:themeColor="text1"/>
          <w:sz w:val="20"/>
          <w:szCs w:val="20"/>
        </w:rPr>
        <w:t>30</w:t>
      </w:r>
      <w:r>
        <w:rPr>
          <w:rFonts w:asciiTheme="majorHAnsi" w:hAnsiTheme="majorHAnsi"/>
          <w:color w:val="000000" w:themeColor="text1"/>
          <w:sz w:val="20"/>
          <w:szCs w:val="20"/>
        </w:rPr>
        <w:t>,</w:t>
      </w:r>
      <w:r w:rsidRPr="00310C0B">
        <w:rPr>
          <w:rFonts w:asciiTheme="majorHAnsi" w:hAnsiTheme="majorHAnsi"/>
          <w:color w:val="000000" w:themeColor="text1"/>
          <w:sz w:val="20"/>
          <w:szCs w:val="20"/>
        </w:rPr>
        <w:t xml:space="preserve"> 2010</w:t>
      </w:r>
      <w:r>
        <w:rPr>
          <w:rFonts w:asciiTheme="majorHAnsi" w:hAnsiTheme="majorHAnsi"/>
          <w:color w:val="000000" w:themeColor="text1"/>
          <w:sz w:val="20"/>
          <w:szCs w:val="20"/>
        </w:rPr>
        <w:t xml:space="preserve">, the Commission notified the parties of this report and placed itself at their disposal with a view to reaching a friendly settlement, though this process did not come to fruition. The parties were given the time period provided for under the rules to submit their additional observations on the merits. All information received by the IACHR was properly forwarded to the opposing party. </w:t>
      </w:r>
    </w:p>
    <w:p w14:paraId="2AD378A3"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olor w:val="000000"/>
          <w:sz w:val="20"/>
          <w:szCs w:val="20"/>
        </w:rPr>
      </w:pPr>
    </w:p>
    <w:p w14:paraId="0DC7C3DC" w14:textId="77777777" w:rsidR="00041CFE" w:rsidRPr="00310C0B" w:rsidRDefault="00041CFE" w:rsidP="00041CFE">
      <w:pPr>
        <w:pStyle w:val="Heading1"/>
        <w:numPr>
          <w:ilvl w:val="0"/>
          <w:numId w:val="63"/>
        </w:numPr>
        <w:tabs>
          <w:tab w:val="left" w:pos="720"/>
        </w:tabs>
        <w:spacing w:before="0"/>
        <w:ind w:left="0" w:firstLine="0"/>
        <w:jc w:val="both"/>
        <w:rPr>
          <w:rFonts w:ascii="Cambria" w:hAnsi="Cambria"/>
          <w:color w:val="000000" w:themeColor="text1"/>
          <w:sz w:val="20"/>
          <w:szCs w:val="20"/>
        </w:rPr>
      </w:pPr>
      <w:bookmarkStart w:id="2" w:name="_Toc5953484"/>
      <w:bookmarkStart w:id="3" w:name="_Toc3543634"/>
      <w:r>
        <w:rPr>
          <w:rFonts w:ascii="Cambria" w:hAnsi="Cambria"/>
          <w:color w:val="000000" w:themeColor="text1"/>
          <w:sz w:val="20"/>
          <w:szCs w:val="20"/>
        </w:rPr>
        <w:t>ALLEGATIONS OF THE PARTIES</w:t>
      </w:r>
      <w:bookmarkEnd w:id="2"/>
      <w:r>
        <w:rPr>
          <w:rFonts w:ascii="Cambria" w:hAnsi="Cambria"/>
          <w:color w:val="000000" w:themeColor="text1"/>
          <w:sz w:val="20"/>
          <w:szCs w:val="20"/>
        </w:rPr>
        <w:t xml:space="preserve"> </w:t>
      </w:r>
      <w:bookmarkEnd w:id="3"/>
    </w:p>
    <w:p w14:paraId="43B17CB4" w14:textId="77777777" w:rsidR="00041CFE" w:rsidRPr="00310C0B" w:rsidRDefault="00041CFE" w:rsidP="00041CFE">
      <w:pPr>
        <w:jc w:val="both"/>
        <w:rPr>
          <w:rFonts w:ascii="Cambria" w:hAnsi="Cambria"/>
          <w:color w:val="000000" w:themeColor="text1"/>
          <w:sz w:val="20"/>
          <w:szCs w:val="20"/>
        </w:rPr>
      </w:pPr>
    </w:p>
    <w:p w14:paraId="0B09DE8F" w14:textId="77777777" w:rsidR="00041CFE" w:rsidRPr="00310C0B" w:rsidRDefault="00041CFE" w:rsidP="00041CFE">
      <w:pPr>
        <w:pStyle w:val="Heading2"/>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ind w:left="0" w:firstLine="0"/>
        <w:jc w:val="both"/>
        <w:rPr>
          <w:rFonts w:ascii="Cambria" w:hAnsi="Cambria"/>
          <w:i/>
          <w:color w:val="000000" w:themeColor="text1"/>
          <w:sz w:val="20"/>
          <w:szCs w:val="20"/>
        </w:rPr>
      </w:pPr>
      <w:bookmarkStart w:id="4" w:name="_Toc5953485"/>
      <w:bookmarkStart w:id="5" w:name="_Toc3543635"/>
      <w:r w:rsidRPr="00310C0B">
        <w:rPr>
          <w:rFonts w:ascii="Cambria" w:hAnsi="Cambria"/>
          <w:color w:val="000000" w:themeColor="text1"/>
          <w:sz w:val="20"/>
          <w:szCs w:val="20"/>
        </w:rPr>
        <w:t>P</w:t>
      </w:r>
      <w:r>
        <w:rPr>
          <w:rFonts w:ascii="Cambria" w:hAnsi="Cambria"/>
          <w:color w:val="000000" w:themeColor="text1"/>
          <w:sz w:val="20"/>
          <w:szCs w:val="20"/>
        </w:rPr>
        <w:t>etitioners</w:t>
      </w:r>
      <w:bookmarkEnd w:id="4"/>
      <w:r>
        <w:rPr>
          <w:rFonts w:ascii="Cambria" w:hAnsi="Cambria"/>
          <w:color w:val="000000" w:themeColor="text1"/>
          <w:sz w:val="20"/>
          <w:szCs w:val="20"/>
        </w:rPr>
        <w:t xml:space="preserve"> </w:t>
      </w:r>
      <w:bookmarkEnd w:id="5"/>
    </w:p>
    <w:p w14:paraId="14ABCD46" w14:textId="77777777" w:rsidR="00041CFE" w:rsidRPr="00310C0B" w:rsidRDefault="00041CFE" w:rsidP="00041CFE">
      <w:pPr>
        <w:rPr>
          <w:rFonts w:ascii="Cambria" w:hAnsi="Cambria"/>
          <w:sz w:val="20"/>
          <w:szCs w:val="20"/>
        </w:rPr>
      </w:pPr>
    </w:p>
    <w:p w14:paraId="1DEEA82F"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000000" w:themeColor="text1"/>
          <w:sz w:val="20"/>
          <w:szCs w:val="20"/>
        </w:rPr>
      </w:pPr>
      <w:r>
        <w:rPr>
          <w:rFonts w:ascii="Cambria" w:hAnsi="Cambria"/>
          <w:color w:val="000000" w:themeColor="text1"/>
          <w:sz w:val="20"/>
          <w:szCs w:val="20"/>
        </w:rPr>
        <w:t xml:space="preserve">The petitioners claimed that on July 15, 2001, </w:t>
      </w:r>
      <w:r w:rsidRPr="00310C0B">
        <w:rPr>
          <w:rFonts w:ascii="Cambria" w:hAnsi="Cambria"/>
          <w:color w:val="000000" w:themeColor="text1"/>
          <w:sz w:val="20"/>
          <w:szCs w:val="20"/>
        </w:rPr>
        <w:t xml:space="preserve">Fredy Marcelo Núñez Naranjo </w:t>
      </w:r>
      <w:r>
        <w:rPr>
          <w:rFonts w:ascii="Cambria" w:hAnsi="Cambria"/>
          <w:color w:val="000000" w:themeColor="text1"/>
          <w:sz w:val="20"/>
          <w:szCs w:val="20"/>
        </w:rPr>
        <w:t xml:space="preserve">was together with his family at the “Latinos” Pool Hall, which is owned by his mother and is located in the Province of </w:t>
      </w:r>
      <w:r w:rsidRPr="00310C0B">
        <w:rPr>
          <w:rFonts w:ascii="Cambria" w:hAnsi="Cambria"/>
          <w:color w:val="000000" w:themeColor="text1"/>
          <w:sz w:val="20"/>
          <w:szCs w:val="20"/>
        </w:rPr>
        <w:t xml:space="preserve">Tungurahua, Ecuador, </w:t>
      </w:r>
      <w:r>
        <w:rPr>
          <w:rFonts w:ascii="Cambria" w:hAnsi="Cambria"/>
          <w:color w:val="000000" w:themeColor="text1"/>
          <w:sz w:val="20"/>
          <w:szCs w:val="20"/>
        </w:rPr>
        <w:t xml:space="preserve">when at approximately 5:00 PM several individuals in a state of intoxication entered the premises, including Octavio Morales, and caused physical damage to the property. They asserted that, in response, the alleged victim asked these individuals to pay for the damages they caused. </w:t>
      </w:r>
    </w:p>
    <w:p w14:paraId="67B6DDED"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color w:val="000000" w:themeColor="text1"/>
          <w:sz w:val="20"/>
          <w:szCs w:val="20"/>
        </w:rPr>
      </w:pPr>
    </w:p>
    <w:p w14:paraId="6D6CB88B"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000000" w:themeColor="text1"/>
          <w:sz w:val="20"/>
          <w:szCs w:val="20"/>
        </w:rPr>
      </w:pPr>
      <w:r>
        <w:rPr>
          <w:rFonts w:ascii="Cambria" w:hAnsi="Cambria"/>
          <w:color w:val="000000" w:themeColor="text1"/>
          <w:sz w:val="20"/>
          <w:szCs w:val="20"/>
        </w:rPr>
        <w:t xml:space="preserve">They argued that this demand for payment triggered a confrontation, which brought the police and led to the arrest of </w:t>
      </w:r>
      <w:r w:rsidRPr="00310C0B">
        <w:rPr>
          <w:rFonts w:ascii="Cambria" w:hAnsi="Cambria"/>
          <w:color w:val="000000" w:themeColor="text1"/>
          <w:sz w:val="20"/>
          <w:szCs w:val="20"/>
        </w:rPr>
        <w:t xml:space="preserve">Fredy Núñez </w:t>
      </w:r>
      <w:r>
        <w:rPr>
          <w:rFonts w:ascii="Cambria" w:hAnsi="Cambria"/>
          <w:color w:val="000000" w:themeColor="text1"/>
          <w:sz w:val="20"/>
          <w:szCs w:val="20"/>
        </w:rPr>
        <w:t>and</w:t>
      </w:r>
      <w:r w:rsidRPr="00310C0B">
        <w:rPr>
          <w:rFonts w:ascii="Cambria" w:hAnsi="Cambria"/>
          <w:color w:val="000000" w:themeColor="text1"/>
          <w:sz w:val="20"/>
          <w:szCs w:val="20"/>
        </w:rPr>
        <w:t xml:space="preserve"> Octavio Morales</w:t>
      </w:r>
      <w:r>
        <w:rPr>
          <w:rFonts w:ascii="Cambria" w:hAnsi="Cambria"/>
          <w:color w:val="000000" w:themeColor="text1"/>
          <w:sz w:val="20"/>
          <w:szCs w:val="20"/>
        </w:rPr>
        <w:t>, who were held in custody at the police station jail cells of the Canton (administrative subdivision) of Quero</w:t>
      </w:r>
      <w:r w:rsidRPr="00310C0B">
        <w:rPr>
          <w:rFonts w:ascii="Cambria" w:hAnsi="Cambria"/>
          <w:color w:val="000000" w:themeColor="text1"/>
          <w:sz w:val="20"/>
          <w:szCs w:val="20"/>
        </w:rPr>
        <w:t xml:space="preserve">. </w:t>
      </w:r>
      <w:r>
        <w:rPr>
          <w:rFonts w:ascii="Cambria" w:hAnsi="Cambria"/>
          <w:color w:val="000000" w:themeColor="text1"/>
          <w:sz w:val="20"/>
          <w:szCs w:val="20"/>
        </w:rPr>
        <w:t xml:space="preserve">They recounted that 30 minutes later, approximately 400 people from the Puñachisag Community, members of the </w:t>
      </w:r>
      <w:r w:rsidRPr="0058554D">
        <w:rPr>
          <w:rFonts w:ascii="Cambria" w:hAnsi="Cambria"/>
          <w:i/>
          <w:color w:val="000000" w:themeColor="text1"/>
          <w:sz w:val="20"/>
          <w:szCs w:val="20"/>
        </w:rPr>
        <w:t>Juntas de Defensa del Campesinado</w:t>
      </w:r>
      <w:r>
        <w:rPr>
          <w:rFonts w:ascii="Cambria" w:hAnsi="Cambria"/>
          <w:color w:val="000000" w:themeColor="text1"/>
          <w:sz w:val="20"/>
          <w:szCs w:val="20"/>
        </w:rPr>
        <w:t xml:space="preserve"> (‘Rural Community Self-Defense Juntas’) forced their way into the jail and took away the two prisoners to the Shausi Community, along with Fredy Núñez’s mother and sister, who were looking for their family member at the detention facility. </w:t>
      </w:r>
    </w:p>
    <w:p w14:paraId="7EF09877" w14:textId="77777777" w:rsidR="00041CFE" w:rsidRPr="00310C0B" w:rsidRDefault="00041CFE" w:rsidP="00041CFE">
      <w:pPr>
        <w:pStyle w:val="ListParagraph"/>
        <w:rPr>
          <w:color w:val="000000" w:themeColor="text1"/>
          <w:sz w:val="20"/>
          <w:szCs w:val="20"/>
        </w:rPr>
      </w:pPr>
    </w:p>
    <w:p w14:paraId="6F1603B1"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000000" w:themeColor="text1"/>
          <w:sz w:val="20"/>
          <w:szCs w:val="20"/>
        </w:rPr>
      </w:pPr>
      <w:r>
        <w:rPr>
          <w:rFonts w:ascii="Cambria" w:hAnsi="Cambria"/>
          <w:color w:val="000000" w:themeColor="text1"/>
          <w:sz w:val="20"/>
          <w:szCs w:val="20"/>
        </w:rPr>
        <w:t xml:space="preserve">The petitioners contended that the police went to the Shausi Community and managed to secure the release of the mother and sister, but were unable to secure the release of </w:t>
      </w:r>
      <w:r w:rsidRPr="00310C0B">
        <w:rPr>
          <w:rFonts w:ascii="Cambria" w:hAnsi="Cambria"/>
          <w:color w:val="000000" w:themeColor="text1"/>
          <w:sz w:val="20"/>
          <w:szCs w:val="20"/>
        </w:rPr>
        <w:t xml:space="preserve">Fredy Núñez. </w:t>
      </w:r>
      <w:r>
        <w:rPr>
          <w:rFonts w:ascii="Cambria" w:hAnsi="Cambria"/>
          <w:color w:val="000000" w:themeColor="text1"/>
          <w:sz w:val="20"/>
          <w:szCs w:val="20"/>
        </w:rPr>
        <w:t xml:space="preserve">They claimed that after remaining in the Shausi Community for a few hours, he was put into a vehicle and as of that time his whereabouts have been unknown. </w:t>
      </w:r>
    </w:p>
    <w:p w14:paraId="3A987DE2" w14:textId="77777777" w:rsidR="00041CFE" w:rsidRPr="00310C0B" w:rsidRDefault="00041CFE" w:rsidP="00041CFE">
      <w:pPr>
        <w:pStyle w:val="ListParagraph"/>
        <w:rPr>
          <w:color w:val="000000" w:themeColor="text1"/>
          <w:sz w:val="20"/>
          <w:szCs w:val="20"/>
        </w:rPr>
      </w:pPr>
    </w:p>
    <w:p w14:paraId="07222630"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000000" w:themeColor="text1"/>
          <w:sz w:val="20"/>
          <w:szCs w:val="20"/>
        </w:rPr>
      </w:pPr>
      <w:r>
        <w:rPr>
          <w:rFonts w:ascii="Cambria" w:hAnsi="Cambria"/>
          <w:color w:val="000000" w:themeColor="text1"/>
          <w:sz w:val="20"/>
          <w:szCs w:val="20"/>
        </w:rPr>
        <w:t xml:space="preserve">The petitioners argued that the </w:t>
      </w:r>
      <w:r>
        <w:rPr>
          <w:rFonts w:ascii="Cambria" w:hAnsi="Cambria"/>
          <w:i/>
          <w:color w:val="000000" w:themeColor="text1"/>
          <w:sz w:val="20"/>
          <w:szCs w:val="20"/>
        </w:rPr>
        <w:t>Juntas de Defensa del Campesinado</w:t>
      </w:r>
      <w:r>
        <w:rPr>
          <w:rFonts w:ascii="Cambria" w:hAnsi="Cambria"/>
          <w:color w:val="000000" w:themeColor="text1"/>
          <w:sz w:val="20"/>
          <w:szCs w:val="20"/>
        </w:rPr>
        <w:t xml:space="preserve">, members of which actually perpetrated the disappearance of the alleged victim, were acting under the auspices of the Prosecutor’s Office, because there were close ties between them and the Attorney General of the Nation, and the State itself allowed these juntas to be created and thrive. </w:t>
      </w:r>
    </w:p>
    <w:p w14:paraId="441FC62B" w14:textId="77777777" w:rsidR="00041CFE" w:rsidRPr="00310C0B" w:rsidRDefault="00041CFE" w:rsidP="00041CFE">
      <w:pPr>
        <w:pStyle w:val="ListParagraph"/>
        <w:rPr>
          <w:color w:val="000000" w:themeColor="text1"/>
          <w:sz w:val="20"/>
          <w:szCs w:val="20"/>
        </w:rPr>
      </w:pPr>
    </w:p>
    <w:p w14:paraId="12024B72"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000000" w:themeColor="text1"/>
          <w:sz w:val="20"/>
          <w:szCs w:val="20"/>
        </w:rPr>
      </w:pPr>
      <w:r>
        <w:rPr>
          <w:rFonts w:ascii="Cambria" w:hAnsi="Cambria"/>
          <w:color w:val="000000" w:themeColor="text1"/>
          <w:sz w:val="20"/>
          <w:szCs w:val="20"/>
        </w:rPr>
        <w:lastRenderedPageBreak/>
        <w:t xml:space="preserve">They further alleged that, in the context of the investigations, the State breached its duty to investigate with due diligence. They claimed that even though the State indicted seven individuals for the disappearance of the victim, on December 11, 2002, the Fourth Criminal Court dismissed the case against them all without prejudice. The petitioners noted that, in its decision, the Fourth Criminal Court refused to admit the evidence gathered by the Prosecutor’s Office in the preliminary investigation, on the grounds that this office violated the Organic Law of Public Prosecution, which requires defendants’ legal representatives to participate in evidentiary-gathering proceedings. </w:t>
      </w:r>
    </w:p>
    <w:p w14:paraId="7D15167F" w14:textId="77777777" w:rsidR="00041CFE" w:rsidRPr="00310C0B" w:rsidRDefault="00041CFE" w:rsidP="00041CFE">
      <w:pPr>
        <w:pStyle w:val="ListParagraph"/>
        <w:rPr>
          <w:color w:val="000000" w:themeColor="text1"/>
          <w:sz w:val="20"/>
          <w:szCs w:val="20"/>
        </w:rPr>
      </w:pPr>
    </w:p>
    <w:p w14:paraId="2D0D0E48"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000000" w:themeColor="text1"/>
          <w:sz w:val="20"/>
          <w:szCs w:val="20"/>
        </w:rPr>
      </w:pPr>
      <w:r>
        <w:rPr>
          <w:rFonts w:ascii="Cambria" w:hAnsi="Cambria"/>
          <w:color w:val="000000" w:themeColor="text1"/>
          <w:sz w:val="20"/>
          <w:szCs w:val="20"/>
        </w:rPr>
        <w:t xml:space="preserve">With respect to the search for the whereabouts of the alleged victim, they recounted that on October 18, 2004, the Fourth Criminal Court certified that since the dismissal without prejudice was issued, it had not received any motions to collect evidence from the Prosecutor’s Office. </w:t>
      </w:r>
    </w:p>
    <w:p w14:paraId="68E9BBA4" w14:textId="77777777" w:rsidR="00041CFE" w:rsidRPr="00310C0B" w:rsidRDefault="00041CFE" w:rsidP="00041CFE">
      <w:pPr>
        <w:pStyle w:val="ListParagraph"/>
        <w:rPr>
          <w:color w:val="000000" w:themeColor="text1"/>
          <w:sz w:val="20"/>
          <w:szCs w:val="20"/>
        </w:rPr>
      </w:pPr>
    </w:p>
    <w:p w14:paraId="69D07A76"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000000" w:themeColor="text1"/>
          <w:sz w:val="20"/>
          <w:szCs w:val="20"/>
        </w:rPr>
      </w:pPr>
      <w:r>
        <w:rPr>
          <w:rFonts w:ascii="Cambria" w:hAnsi="Cambria"/>
          <w:color w:val="000000" w:themeColor="text1"/>
          <w:sz w:val="20"/>
          <w:szCs w:val="20"/>
        </w:rPr>
        <w:t xml:space="preserve">As for the law, the petitioners argued that the alleged victim’s </w:t>
      </w:r>
      <w:r>
        <w:rPr>
          <w:rFonts w:ascii="Cambria" w:hAnsi="Cambria"/>
          <w:b/>
          <w:color w:val="000000" w:themeColor="text1"/>
          <w:sz w:val="20"/>
          <w:szCs w:val="20"/>
        </w:rPr>
        <w:t xml:space="preserve">right to life and personal liberty </w:t>
      </w:r>
      <w:r>
        <w:rPr>
          <w:rFonts w:ascii="Cambria" w:hAnsi="Cambria"/>
          <w:color w:val="000000" w:themeColor="text1"/>
          <w:sz w:val="20"/>
          <w:szCs w:val="20"/>
        </w:rPr>
        <w:t xml:space="preserve">have been violated, because more than 17 years have elapsed since Fredy Núñez was abducted from the Police outpost and his whereabouts have remained unknown.  </w:t>
      </w:r>
    </w:p>
    <w:p w14:paraId="7DF6F2AE" w14:textId="77777777" w:rsidR="00041CFE" w:rsidRPr="00310C0B" w:rsidRDefault="00041CFE" w:rsidP="00041CFE">
      <w:pPr>
        <w:pStyle w:val="ListParagraph"/>
        <w:rPr>
          <w:rFonts w:asciiTheme="majorHAnsi" w:hAnsiTheme="majorHAnsi"/>
          <w:color w:val="000000" w:themeColor="text1"/>
          <w:sz w:val="20"/>
          <w:szCs w:val="20"/>
        </w:rPr>
      </w:pPr>
    </w:p>
    <w:p w14:paraId="05C8FA0C"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000000" w:themeColor="text1"/>
          <w:sz w:val="20"/>
          <w:szCs w:val="20"/>
        </w:rPr>
      </w:pPr>
      <w:r>
        <w:rPr>
          <w:rFonts w:asciiTheme="majorHAnsi" w:hAnsiTheme="majorHAnsi"/>
          <w:color w:val="000000" w:themeColor="text1"/>
          <w:sz w:val="20"/>
          <w:szCs w:val="20"/>
        </w:rPr>
        <w:t xml:space="preserve">They also asserted that the </w:t>
      </w:r>
      <w:r>
        <w:rPr>
          <w:rFonts w:asciiTheme="majorHAnsi" w:hAnsiTheme="majorHAnsi"/>
          <w:b/>
          <w:color w:val="000000" w:themeColor="text1"/>
          <w:sz w:val="20"/>
          <w:szCs w:val="20"/>
        </w:rPr>
        <w:t xml:space="preserve">right to recognition of legal personality </w:t>
      </w:r>
      <w:r>
        <w:rPr>
          <w:rFonts w:asciiTheme="majorHAnsi" w:hAnsiTheme="majorHAnsi"/>
          <w:color w:val="000000" w:themeColor="text1"/>
          <w:sz w:val="20"/>
          <w:szCs w:val="20"/>
        </w:rPr>
        <w:t xml:space="preserve">was violated, because the deprivation of liberty of the alleged victim prevented him from exercising his rights. </w:t>
      </w:r>
    </w:p>
    <w:p w14:paraId="0A2D4327" w14:textId="77777777" w:rsidR="00041CFE" w:rsidRPr="00310C0B" w:rsidRDefault="00041CFE" w:rsidP="00041CFE">
      <w:pPr>
        <w:pStyle w:val="ListParagraph"/>
        <w:rPr>
          <w:rFonts w:asciiTheme="majorHAnsi" w:hAnsiTheme="majorHAnsi"/>
          <w:color w:val="000000" w:themeColor="text1"/>
          <w:sz w:val="20"/>
          <w:szCs w:val="20"/>
        </w:rPr>
      </w:pPr>
    </w:p>
    <w:p w14:paraId="0575E9C4"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000000" w:themeColor="text1"/>
          <w:sz w:val="20"/>
          <w:szCs w:val="20"/>
        </w:rPr>
      </w:pPr>
      <w:r>
        <w:rPr>
          <w:rFonts w:asciiTheme="majorHAnsi" w:hAnsiTheme="majorHAnsi"/>
          <w:color w:val="000000" w:themeColor="text1"/>
          <w:sz w:val="20"/>
          <w:szCs w:val="20"/>
        </w:rPr>
        <w:t xml:space="preserve">Lastly, the petitioners argued the violation of the </w:t>
      </w:r>
      <w:r>
        <w:rPr>
          <w:rFonts w:asciiTheme="majorHAnsi" w:hAnsiTheme="majorHAnsi"/>
          <w:b/>
          <w:color w:val="000000" w:themeColor="text1"/>
          <w:sz w:val="20"/>
          <w:szCs w:val="20"/>
        </w:rPr>
        <w:t xml:space="preserve">right to a fair trial and judicial protection, </w:t>
      </w:r>
      <w:r>
        <w:rPr>
          <w:rFonts w:asciiTheme="majorHAnsi" w:hAnsiTheme="majorHAnsi"/>
          <w:color w:val="000000" w:themeColor="text1"/>
          <w:sz w:val="20"/>
          <w:szCs w:val="20"/>
        </w:rPr>
        <w:t>due to the failure to adequately investigate the facts that are the subject of the petition.</w:t>
      </w:r>
      <w:r w:rsidRPr="00310C0B">
        <w:rPr>
          <w:rFonts w:asciiTheme="majorHAnsi" w:hAnsiTheme="majorHAnsi"/>
          <w:color w:val="000000" w:themeColor="text1"/>
          <w:sz w:val="20"/>
          <w:szCs w:val="20"/>
        </w:rPr>
        <w:t xml:space="preserve"> </w:t>
      </w:r>
    </w:p>
    <w:p w14:paraId="1795B955"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rPr>
      </w:pPr>
    </w:p>
    <w:p w14:paraId="65F39D09" w14:textId="77777777" w:rsidR="00041CFE" w:rsidRPr="00310C0B" w:rsidRDefault="00041CFE" w:rsidP="00041CFE">
      <w:pPr>
        <w:pStyle w:val="Heading2"/>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pacing w:before="0"/>
        <w:ind w:left="0" w:firstLine="0"/>
        <w:jc w:val="both"/>
        <w:rPr>
          <w:rFonts w:ascii="Cambria" w:hAnsi="Cambria"/>
          <w:i/>
          <w:color w:val="000000" w:themeColor="text1"/>
          <w:sz w:val="20"/>
          <w:szCs w:val="20"/>
        </w:rPr>
      </w:pPr>
      <w:bookmarkStart w:id="6" w:name="_Toc5953486"/>
      <w:bookmarkStart w:id="7" w:name="_Toc3543636"/>
      <w:r>
        <w:rPr>
          <w:rFonts w:ascii="Cambria" w:hAnsi="Cambria"/>
          <w:color w:val="000000" w:themeColor="text1"/>
          <w:sz w:val="20"/>
          <w:szCs w:val="20"/>
        </w:rPr>
        <w:t>State</w:t>
      </w:r>
      <w:bookmarkEnd w:id="6"/>
      <w:r>
        <w:rPr>
          <w:rFonts w:ascii="Cambria" w:hAnsi="Cambria"/>
          <w:color w:val="000000" w:themeColor="text1"/>
          <w:sz w:val="20"/>
          <w:szCs w:val="20"/>
        </w:rPr>
        <w:t xml:space="preserve"> </w:t>
      </w:r>
      <w:bookmarkEnd w:id="7"/>
    </w:p>
    <w:p w14:paraId="4DDC5416"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p>
    <w:p w14:paraId="1892A676"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color w:val="000000" w:themeColor="text1"/>
          <w:sz w:val="20"/>
          <w:szCs w:val="20"/>
        </w:rPr>
      </w:pPr>
      <w:r>
        <w:rPr>
          <w:rFonts w:asciiTheme="majorHAnsi" w:hAnsiTheme="majorHAnsi"/>
          <w:color w:val="000000" w:themeColor="text1"/>
          <w:sz w:val="20"/>
          <w:szCs w:val="20"/>
        </w:rPr>
        <w:t>The State first denied that the facts are tantamount to a forced disappearance. In this regard, it contended that State’s agents did not remove the alleged victim from the jail where he was being held, and claimed that private actors could be involved in the disappearance of the alleged victim. It noted that there was no involvement of any public official either actively or through tolerance or acquiescence</w:t>
      </w:r>
      <w:r w:rsidRPr="00310C0B">
        <w:rPr>
          <w:rFonts w:asciiTheme="majorHAnsi" w:hAnsiTheme="majorHAnsi"/>
          <w:color w:val="000000" w:themeColor="text1"/>
          <w:sz w:val="20"/>
          <w:szCs w:val="20"/>
        </w:rPr>
        <w:t xml:space="preserve">.  </w:t>
      </w:r>
    </w:p>
    <w:p w14:paraId="4D08C7DF"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color w:val="000000" w:themeColor="text1"/>
          <w:sz w:val="20"/>
          <w:szCs w:val="20"/>
        </w:rPr>
      </w:pPr>
    </w:p>
    <w:p w14:paraId="64E88908"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color w:val="000000" w:themeColor="text1"/>
          <w:sz w:val="20"/>
          <w:szCs w:val="20"/>
        </w:rPr>
      </w:pPr>
      <w:r>
        <w:rPr>
          <w:rFonts w:asciiTheme="majorHAnsi" w:hAnsiTheme="majorHAnsi"/>
          <w:color w:val="000000" w:themeColor="text1"/>
          <w:sz w:val="20"/>
          <w:szCs w:val="20"/>
        </w:rPr>
        <w:t xml:space="preserve">It further contended that the investigation into the acts has been conducted thoroughly and impartially and in keeping with the required due diligence standards. It claimed that, from the very beginning, the family members of the alleged victim were allowed to actively take part in the investigation, the steps of which have been open to them. It recounted that on August 16, 2001, the National Police looked into evidence of threats made by the members of the Puñachisag and Shausi communities against the family members of the alleged victim.   </w:t>
      </w:r>
    </w:p>
    <w:p w14:paraId="47DDDBA3" w14:textId="77777777" w:rsidR="00041CFE" w:rsidRPr="00310C0B" w:rsidRDefault="00041CFE" w:rsidP="00041CFE">
      <w:pPr>
        <w:pStyle w:val="ListParagraph"/>
        <w:rPr>
          <w:rFonts w:asciiTheme="majorHAnsi" w:hAnsiTheme="majorHAnsi"/>
          <w:color w:val="000000" w:themeColor="text1"/>
          <w:sz w:val="20"/>
          <w:szCs w:val="20"/>
        </w:rPr>
      </w:pPr>
    </w:p>
    <w:p w14:paraId="253FCCFD"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color w:val="000000" w:themeColor="text1"/>
          <w:sz w:val="20"/>
          <w:szCs w:val="20"/>
        </w:rPr>
      </w:pPr>
      <w:r>
        <w:rPr>
          <w:rFonts w:asciiTheme="majorHAnsi" w:hAnsiTheme="majorHAnsi"/>
          <w:color w:val="000000" w:themeColor="text1"/>
          <w:sz w:val="20"/>
          <w:szCs w:val="20"/>
        </w:rPr>
        <w:t xml:space="preserve">The State asserted that on November 21, 2001, the Prosecuting Attorney of the Province of </w:t>
      </w:r>
      <w:r w:rsidRPr="00310C0B">
        <w:rPr>
          <w:rFonts w:asciiTheme="majorHAnsi" w:hAnsiTheme="majorHAnsi"/>
          <w:color w:val="000000" w:themeColor="text1"/>
          <w:sz w:val="20"/>
          <w:szCs w:val="20"/>
        </w:rPr>
        <w:t xml:space="preserve">Tungurahua </w:t>
      </w:r>
      <w:r>
        <w:rPr>
          <w:rFonts w:asciiTheme="majorHAnsi" w:hAnsiTheme="majorHAnsi"/>
          <w:color w:val="000000" w:themeColor="text1"/>
          <w:sz w:val="20"/>
          <w:szCs w:val="20"/>
        </w:rPr>
        <w:t xml:space="preserve">ordered the preliminary investigation to be opened; on May 8, 2002, an investigation was opened into the crime of abduction; and on May 10, 2002, an arrest warrant was issued against seven people. </w:t>
      </w:r>
    </w:p>
    <w:p w14:paraId="1BA7D869" w14:textId="77777777" w:rsidR="00041CFE" w:rsidRPr="00310C0B" w:rsidRDefault="00041CFE" w:rsidP="00041CFE">
      <w:pPr>
        <w:pStyle w:val="ListParagraph"/>
        <w:rPr>
          <w:rFonts w:asciiTheme="majorHAnsi" w:hAnsiTheme="majorHAnsi"/>
          <w:color w:val="000000" w:themeColor="text1"/>
          <w:sz w:val="20"/>
          <w:szCs w:val="20"/>
        </w:rPr>
      </w:pPr>
    </w:p>
    <w:p w14:paraId="1125E719"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color w:val="000000" w:themeColor="text1"/>
          <w:sz w:val="20"/>
          <w:szCs w:val="20"/>
        </w:rPr>
      </w:pPr>
      <w:r>
        <w:rPr>
          <w:rFonts w:asciiTheme="majorHAnsi" w:hAnsiTheme="majorHAnsi"/>
          <w:color w:val="000000" w:themeColor="text1"/>
          <w:sz w:val="20"/>
          <w:szCs w:val="20"/>
        </w:rPr>
        <w:t xml:space="preserve">It also claimed that on July 11, 2002, the detained individuals filed a motion for release via </w:t>
      </w:r>
      <w:r>
        <w:rPr>
          <w:rFonts w:asciiTheme="majorHAnsi" w:hAnsiTheme="majorHAnsi"/>
          <w:i/>
          <w:color w:val="000000" w:themeColor="text1"/>
          <w:sz w:val="20"/>
          <w:szCs w:val="20"/>
        </w:rPr>
        <w:t xml:space="preserve">amparo </w:t>
      </w:r>
      <w:r>
        <w:rPr>
          <w:rFonts w:asciiTheme="majorHAnsi" w:hAnsiTheme="majorHAnsi"/>
          <w:color w:val="000000" w:themeColor="text1"/>
          <w:sz w:val="20"/>
          <w:szCs w:val="20"/>
        </w:rPr>
        <w:t>(</w:t>
      </w:r>
      <w:r>
        <w:rPr>
          <w:rFonts w:asciiTheme="majorHAnsi" w:hAnsiTheme="majorHAnsi"/>
          <w:i/>
          <w:color w:val="000000" w:themeColor="text1"/>
          <w:sz w:val="20"/>
          <w:szCs w:val="20"/>
        </w:rPr>
        <w:t xml:space="preserve">amparo de </w:t>
      </w:r>
      <w:r w:rsidRPr="00EC3D23">
        <w:rPr>
          <w:rFonts w:asciiTheme="majorHAnsi" w:hAnsiTheme="majorHAnsi"/>
          <w:i/>
          <w:color w:val="000000" w:themeColor="text1"/>
          <w:sz w:val="20"/>
          <w:szCs w:val="20"/>
        </w:rPr>
        <w:t>libertad</w:t>
      </w:r>
      <w:r>
        <w:rPr>
          <w:rFonts w:asciiTheme="majorHAnsi" w:hAnsiTheme="majorHAnsi"/>
          <w:color w:val="000000" w:themeColor="text1"/>
          <w:sz w:val="20"/>
          <w:szCs w:val="20"/>
        </w:rPr>
        <w:t xml:space="preserve">) </w:t>
      </w:r>
      <w:r w:rsidRPr="00EC3D23">
        <w:rPr>
          <w:rFonts w:asciiTheme="majorHAnsi" w:hAnsiTheme="majorHAnsi"/>
          <w:color w:val="000000" w:themeColor="text1"/>
          <w:sz w:val="20"/>
          <w:szCs w:val="20"/>
        </w:rPr>
        <w:t>with</w:t>
      </w:r>
      <w:r>
        <w:rPr>
          <w:rFonts w:asciiTheme="majorHAnsi" w:hAnsiTheme="majorHAnsi"/>
          <w:color w:val="000000" w:themeColor="text1"/>
          <w:sz w:val="20"/>
          <w:szCs w:val="20"/>
        </w:rPr>
        <w:t xml:space="preserve"> the Superior Court of Justice, which granted their release on the grounds that there was no clear evidence of their participation or of the extent to which they were involved in the crime they were charged with. </w:t>
      </w:r>
    </w:p>
    <w:p w14:paraId="761F7156" w14:textId="77777777" w:rsidR="00041CFE" w:rsidRPr="00310C0B" w:rsidRDefault="00041CFE" w:rsidP="00041CFE">
      <w:pPr>
        <w:pStyle w:val="ListParagraph"/>
        <w:rPr>
          <w:rFonts w:asciiTheme="majorHAnsi" w:hAnsiTheme="majorHAnsi"/>
          <w:color w:val="000000" w:themeColor="text1"/>
          <w:sz w:val="20"/>
          <w:szCs w:val="20"/>
        </w:rPr>
      </w:pPr>
    </w:p>
    <w:p w14:paraId="2F4BE67B"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color w:val="000000" w:themeColor="text1"/>
          <w:sz w:val="20"/>
          <w:szCs w:val="20"/>
        </w:rPr>
      </w:pPr>
      <w:r>
        <w:rPr>
          <w:rFonts w:asciiTheme="majorHAnsi" w:hAnsiTheme="majorHAnsi"/>
          <w:color w:val="000000" w:themeColor="text1"/>
          <w:sz w:val="20"/>
          <w:szCs w:val="20"/>
        </w:rPr>
        <w:t xml:space="preserve">The State asserted that on December 10, 2002, a preliminary hearing was held at the Fourth Criminal Court, which dismissed the case without prejudice. It noted that this decision was not appealed by the petitioners, who had the opportunity to challenge the ruling. </w:t>
      </w:r>
    </w:p>
    <w:p w14:paraId="0DD5C871" w14:textId="77777777" w:rsidR="00041CFE" w:rsidRPr="00310C0B" w:rsidRDefault="00041CFE" w:rsidP="00041CFE">
      <w:pPr>
        <w:pStyle w:val="ListParagraph"/>
        <w:rPr>
          <w:rFonts w:asciiTheme="majorHAnsi" w:hAnsiTheme="majorHAnsi"/>
          <w:color w:val="000000" w:themeColor="text1"/>
          <w:sz w:val="20"/>
          <w:szCs w:val="20"/>
        </w:rPr>
      </w:pPr>
    </w:p>
    <w:p w14:paraId="5D773CAA"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color w:val="000000" w:themeColor="text1"/>
          <w:sz w:val="20"/>
          <w:szCs w:val="20"/>
        </w:rPr>
      </w:pPr>
      <w:r>
        <w:rPr>
          <w:rFonts w:asciiTheme="majorHAnsi" w:hAnsiTheme="majorHAnsi"/>
          <w:color w:val="000000" w:themeColor="text1"/>
          <w:sz w:val="20"/>
          <w:szCs w:val="20"/>
        </w:rPr>
        <w:t xml:space="preserve">Notwithstanding, it noted that on October 15, 2004, the Chief of the Judicial Police reported that the investigations would continue to search for the whereabouts of the alleged victim. Nonetheless, the State did not provide details about any specific investigatory steps.  </w:t>
      </w:r>
    </w:p>
    <w:p w14:paraId="425F26A4" w14:textId="77777777" w:rsidR="00041CFE" w:rsidRPr="00310C0B" w:rsidRDefault="00041CFE" w:rsidP="00041CFE">
      <w:pPr>
        <w:pStyle w:val="ListParagraph"/>
        <w:rPr>
          <w:rFonts w:asciiTheme="majorHAnsi" w:hAnsiTheme="majorHAnsi"/>
          <w:sz w:val="20"/>
          <w:szCs w:val="20"/>
        </w:rPr>
      </w:pPr>
    </w:p>
    <w:p w14:paraId="575A3619"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color w:val="000000" w:themeColor="text1"/>
          <w:sz w:val="20"/>
          <w:szCs w:val="20"/>
        </w:rPr>
      </w:pPr>
      <w:r>
        <w:rPr>
          <w:rFonts w:asciiTheme="majorHAnsi" w:hAnsiTheme="majorHAnsi"/>
          <w:sz w:val="20"/>
          <w:szCs w:val="20"/>
        </w:rPr>
        <w:t xml:space="preserve">As for the law, the State argued that it did not violate </w:t>
      </w:r>
      <w:r>
        <w:rPr>
          <w:rFonts w:asciiTheme="majorHAnsi" w:hAnsiTheme="majorHAnsi"/>
          <w:b/>
          <w:sz w:val="20"/>
          <w:szCs w:val="20"/>
        </w:rPr>
        <w:t xml:space="preserve">the right to recognition of legal personality, to life, to humane treatment </w:t>
      </w:r>
      <w:r>
        <w:rPr>
          <w:rFonts w:asciiTheme="majorHAnsi" w:hAnsiTheme="majorHAnsi"/>
          <w:sz w:val="20"/>
          <w:szCs w:val="20"/>
        </w:rPr>
        <w:t xml:space="preserve">and the </w:t>
      </w:r>
      <w:r>
        <w:rPr>
          <w:rFonts w:asciiTheme="majorHAnsi" w:hAnsiTheme="majorHAnsi"/>
          <w:b/>
          <w:sz w:val="20"/>
          <w:szCs w:val="20"/>
        </w:rPr>
        <w:t>right to personal liberty, as enshrined in the American Convention,</w:t>
      </w:r>
      <w:r>
        <w:rPr>
          <w:rFonts w:asciiTheme="majorHAnsi" w:hAnsiTheme="majorHAnsi"/>
          <w:sz w:val="20"/>
          <w:szCs w:val="20"/>
        </w:rPr>
        <w:t xml:space="preserve"> </w:t>
      </w:r>
      <w:r>
        <w:rPr>
          <w:rFonts w:asciiTheme="majorHAnsi" w:hAnsiTheme="majorHAnsi"/>
          <w:sz w:val="20"/>
          <w:szCs w:val="20"/>
        </w:rPr>
        <w:lastRenderedPageBreak/>
        <w:t xml:space="preserve">nor did it violate Article 1 of the Inter-American Convention on Forced Disappearance and that there is no evidence in the facts to support any acquiescence. </w:t>
      </w:r>
    </w:p>
    <w:p w14:paraId="3ADA32BA" w14:textId="77777777" w:rsidR="00041CFE" w:rsidRPr="00310C0B" w:rsidRDefault="00041CFE" w:rsidP="00041CFE">
      <w:pPr>
        <w:pStyle w:val="ListParagraph"/>
        <w:rPr>
          <w:rFonts w:asciiTheme="majorHAnsi" w:hAnsiTheme="majorHAnsi"/>
          <w:color w:val="000000" w:themeColor="text1"/>
          <w:sz w:val="20"/>
          <w:szCs w:val="20"/>
        </w:rPr>
      </w:pPr>
    </w:p>
    <w:p w14:paraId="5FD8D4A6"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color w:val="000000" w:themeColor="text1"/>
          <w:sz w:val="20"/>
          <w:szCs w:val="20"/>
        </w:rPr>
      </w:pPr>
      <w:r>
        <w:rPr>
          <w:rFonts w:asciiTheme="majorHAnsi" w:hAnsiTheme="majorHAnsi"/>
          <w:color w:val="000000" w:themeColor="text1"/>
          <w:sz w:val="20"/>
          <w:szCs w:val="20"/>
        </w:rPr>
        <w:t xml:space="preserve">With respect to </w:t>
      </w:r>
      <w:r w:rsidRPr="00EB3424">
        <w:rPr>
          <w:rFonts w:asciiTheme="majorHAnsi" w:hAnsiTheme="majorHAnsi"/>
          <w:b/>
          <w:color w:val="000000" w:themeColor="text1"/>
          <w:sz w:val="20"/>
          <w:szCs w:val="20"/>
        </w:rPr>
        <w:t>the</w:t>
      </w:r>
      <w:r>
        <w:rPr>
          <w:rFonts w:asciiTheme="majorHAnsi" w:hAnsiTheme="majorHAnsi"/>
          <w:color w:val="000000" w:themeColor="text1"/>
          <w:sz w:val="20"/>
          <w:szCs w:val="20"/>
        </w:rPr>
        <w:t xml:space="preserve"> </w:t>
      </w:r>
      <w:r>
        <w:rPr>
          <w:rFonts w:asciiTheme="majorHAnsi" w:hAnsiTheme="majorHAnsi"/>
          <w:b/>
          <w:color w:val="000000" w:themeColor="text1"/>
          <w:sz w:val="20"/>
          <w:szCs w:val="20"/>
        </w:rPr>
        <w:t xml:space="preserve">right to a fair trial and judicial protection, </w:t>
      </w:r>
      <w:r>
        <w:rPr>
          <w:rFonts w:asciiTheme="majorHAnsi" w:hAnsiTheme="majorHAnsi"/>
          <w:color w:val="000000" w:themeColor="text1"/>
          <w:sz w:val="20"/>
          <w:szCs w:val="20"/>
        </w:rPr>
        <w:t xml:space="preserve">the State claimed that these rights were not violated, inasmuch as several steps have been taken to investigate those responsible for the crimes; however, it is an obligation of means and not of results. Additionally, it contended, the alleged victims’ family members have widely participated in the process and had remedies available to them to challenge the decisions issued by the judicial bodies. </w:t>
      </w:r>
    </w:p>
    <w:p w14:paraId="1C62BE4C"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olor w:val="000000" w:themeColor="text1"/>
          <w:sz w:val="20"/>
          <w:szCs w:val="20"/>
        </w:rPr>
      </w:pPr>
    </w:p>
    <w:p w14:paraId="132B22DC" w14:textId="77777777" w:rsidR="00041CFE" w:rsidRPr="00310C0B" w:rsidRDefault="00041CFE" w:rsidP="00041CFE">
      <w:pPr>
        <w:pStyle w:val="Heading1"/>
        <w:numPr>
          <w:ilvl w:val="0"/>
          <w:numId w:val="63"/>
        </w:numPr>
        <w:tabs>
          <w:tab w:val="left" w:pos="540"/>
        </w:tabs>
        <w:spacing w:before="0"/>
        <w:ind w:left="0" w:firstLine="0"/>
        <w:jc w:val="both"/>
        <w:rPr>
          <w:rFonts w:ascii="Cambria" w:hAnsi="Cambria"/>
          <w:color w:val="000000" w:themeColor="text1"/>
          <w:sz w:val="20"/>
          <w:szCs w:val="20"/>
        </w:rPr>
      </w:pPr>
      <w:bookmarkStart w:id="8" w:name="_Toc5953487"/>
      <w:bookmarkStart w:id="9" w:name="_Toc3543637"/>
      <w:r>
        <w:rPr>
          <w:rFonts w:ascii="Cambria" w:hAnsi="Cambria"/>
          <w:color w:val="000000" w:themeColor="text1"/>
          <w:sz w:val="20"/>
          <w:szCs w:val="20"/>
        </w:rPr>
        <w:t>FINDINGS OF FACT</w:t>
      </w:r>
      <w:bookmarkEnd w:id="8"/>
      <w:r>
        <w:rPr>
          <w:rFonts w:ascii="Cambria" w:hAnsi="Cambria"/>
          <w:color w:val="000000" w:themeColor="text1"/>
          <w:sz w:val="20"/>
          <w:szCs w:val="20"/>
        </w:rPr>
        <w:t xml:space="preserve"> </w:t>
      </w:r>
      <w:bookmarkEnd w:id="9"/>
    </w:p>
    <w:p w14:paraId="78E4FCB4" w14:textId="77777777" w:rsidR="00041CFE" w:rsidRPr="00310C0B" w:rsidRDefault="00041CFE" w:rsidP="00041CF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Arial"/>
          <w:b/>
          <w:sz w:val="20"/>
          <w:szCs w:val="20"/>
          <w:lang w:val="en-US"/>
        </w:rPr>
      </w:pPr>
    </w:p>
    <w:p w14:paraId="03BF7ABB"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Theme="majorHAnsi" w:hAnsiTheme="majorHAnsi"/>
          <w:color w:val="000000" w:themeColor="text1"/>
          <w:sz w:val="20"/>
          <w:szCs w:val="20"/>
        </w:rPr>
        <w:t>The Commission recalls that in cases of alleged forced disappearance, circumstantial and presumptive evidence is of special importance, because “this type of violation is characterized by the attempt to eliminate any element that would allow the detention, whereabouts, and fate of the victims to be determined.</w:t>
      </w:r>
      <w:r w:rsidRPr="00310C0B">
        <w:rPr>
          <w:rFonts w:ascii="Cambria" w:hAnsi="Cambria"/>
          <w:sz w:val="20"/>
          <w:szCs w:val="20"/>
        </w:rPr>
        <w:t>”</w:t>
      </w:r>
      <w:r w:rsidRPr="00310C0B">
        <w:rPr>
          <w:rFonts w:ascii="Cambria" w:hAnsi="Cambria"/>
          <w:sz w:val="20"/>
          <w:szCs w:val="20"/>
          <w:vertAlign w:val="superscript"/>
        </w:rPr>
        <w:footnoteReference w:id="3"/>
      </w:r>
    </w:p>
    <w:p w14:paraId="63D41CCA" w14:textId="77777777" w:rsidR="00041CFE" w:rsidRPr="00310C0B" w:rsidRDefault="00041CFE" w:rsidP="00041CFE">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5B616ED0" w14:textId="77777777" w:rsidR="00041CFE" w:rsidRPr="00310C0B" w:rsidRDefault="00041CFE" w:rsidP="00041CFE">
      <w:pPr>
        <w:pStyle w:val="Heading2"/>
        <w:keepLines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pacing w:before="0"/>
        <w:ind w:left="0" w:firstLine="0"/>
        <w:jc w:val="both"/>
        <w:rPr>
          <w:rFonts w:ascii="Cambria" w:hAnsi="Cambria"/>
          <w:i/>
          <w:color w:val="000000" w:themeColor="text1"/>
          <w:sz w:val="20"/>
          <w:szCs w:val="20"/>
        </w:rPr>
      </w:pPr>
      <w:bookmarkStart w:id="10" w:name="_Toc3543638"/>
      <w:bookmarkStart w:id="11" w:name="_Toc5953488"/>
      <w:r>
        <w:rPr>
          <w:rFonts w:ascii="Cambria" w:hAnsi="Cambria"/>
          <w:color w:val="000000" w:themeColor="text1"/>
          <w:sz w:val="20"/>
          <w:szCs w:val="20"/>
        </w:rPr>
        <w:t xml:space="preserve">Background on the </w:t>
      </w:r>
      <w:r w:rsidRPr="00B1292F">
        <w:rPr>
          <w:rFonts w:ascii="Cambria" w:hAnsi="Cambria"/>
          <w:color w:val="000000" w:themeColor="text1"/>
          <w:sz w:val="20"/>
          <w:szCs w:val="20"/>
        </w:rPr>
        <w:t>Juntas de Defensa del Campesinado</w:t>
      </w:r>
      <w:bookmarkEnd w:id="10"/>
      <w:r>
        <w:rPr>
          <w:rFonts w:ascii="Cambria" w:hAnsi="Cambria"/>
          <w:color w:val="000000" w:themeColor="text1"/>
          <w:sz w:val="20"/>
          <w:szCs w:val="20"/>
        </w:rPr>
        <w:t xml:space="preserve"> (Rural Community Self-Defense Juntas)</w:t>
      </w:r>
      <w:bookmarkEnd w:id="11"/>
    </w:p>
    <w:p w14:paraId="43E4FDF3"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mbria" w:hAnsi="Cambria"/>
          <w:color w:val="000000" w:themeColor="text1"/>
          <w:sz w:val="20"/>
          <w:szCs w:val="20"/>
        </w:rPr>
      </w:pPr>
    </w:p>
    <w:p w14:paraId="42EF2BB1"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color w:val="000000" w:themeColor="text1"/>
          <w:sz w:val="20"/>
          <w:szCs w:val="20"/>
        </w:rPr>
      </w:pPr>
      <w:r>
        <w:rPr>
          <w:rFonts w:asciiTheme="majorHAnsi" w:hAnsiTheme="majorHAnsi"/>
          <w:color w:val="000000" w:themeColor="text1"/>
          <w:sz w:val="20"/>
          <w:szCs w:val="20"/>
        </w:rPr>
        <w:t xml:space="preserve">The petitioners allege that the disappearance of the alleged victim was perpetrated by members of the </w:t>
      </w:r>
      <w:r w:rsidRPr="00CD4ACE">
        <w:rPr>
          <w:rFonts w:asciiTheme="majorHAnsi" w:hAnsiTheme="majorHAnsi"/>
          <w:color w:val="000000" w:themeColor="text1"/>
          <w:sz w:val="20"/>
          <w:szCs w:val="20"/>
        </w:rPr>
        <w:t>Self-Defense Juntas</w:t>
      </w:r>
      <w:r>
        <w:rPr>
          <w:rFonts w:asciiTheme="majorHAnsi" w:hAnsiTheme="majorHAnsi"/>
          <w:i/>
          <w:color w:val="000000" w:themeColor="text1"/>
          <w:sz w:val="20"/>
          <w:szCs w:val="20"/>
        </w:rPr>
        <w:t xml:space="preserve">. </w:t>
      </w:r>
    </w:p>
    <w:p w14:paraId="6C6C0C06"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color w:val="000000" w:themeColor="text1"/>
          <w:sz w:val="20"/>
          <w:szCs w:val="20"/>
        </w:rPr>
      </w:pPr>
    </w:p>
    <w:p w14:paraId="08164382"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color w:val="000000" w:themeColor="text1"/>
          <w:sz w:val="20"/>
          <w:szCs w:val="20"/>
        </w:rPr>
      </w:pPr>
      <w:r>
        <w:rPr>
          <w:rFonts w:asciiTheme="majorHAnsi" w:hAnsiTheme="majorHAnsi"/>
          <w:color w:val="000000" w:themeColor="text1"/>
          <w:sz w:val="20"/>
          <w:szCs w:val="20"/>
        </w:rPr>
        <w:t xml:space="preserve">According to available information, the </w:t>
      </w:r>
      <w:r>
        <w:rPr>
          <w:rFonts w:asciiTheme="majorHAnsi" w:hAnsiTheme="majorHAnsi"/>
          <w:i/>
          <w:color w:val="000000" w:themeColor="text1"/>
          <w:sz w:val="20"/>
          <w:szCs w:val="20"/>
        </w:rPr>
        <w:t xml:space="preserve">Juntas de Defensa del Campesinado </w:t>
      </w:r>
      <w:r>
        <w:rPr>
          <w:rFonts w:asciiTheme="majorHAnsi" w:hAnsiTheme="majorHAnsi"/>
          <w:color w:val="000000" w:themeColor="text1"/>
          <w:sz w:val="20"/>
          <w:szCs w:val="20"/>
        </w:rPr>
        <w:t>are an informal, parallel justice system,</w:t>
      </w:r>
      <w:r w:rsidRPr="00310C0B">
        <w:rPr>
          <w:rStyle w:val="FootnoteReference"/>
          <w:rFonts w:asciiTheme="majorHAnsi" w:hAnsiTheme="majorHAnsi"/>
          <w:color w:val="000000" w:themeColor="text1"/>
          <w:sz w:val="20"/>
          <w:szCs w:val="20"/>
        </w:rPr>
        <w:footnoteReference w:id="4"/>
      </w:r>
      <w:r w:rsidRPr="00310C0B">
        <w:rPr>
          <w:rFonts w:asciiTheme="majorHAnsi" w:hAnsiTheme="majorHAnsi"/>
          <w:color w:val="000000" w:themeColor="text1"/>
          <w:sz w:val="20"/>
          <w:szCs w:val="20"/>
        </w:rPr>
        <w:t xml:space="preserve"> </w:t>
      </w:r>
      <w:r>
        <w:rPr>
          <w:rFonts w:asciiTheme="majorHAnsi" w:hAnsiTheme="majorHAnsi"/>
          <w:color w:val="000000" w:themeColor="text1"/>
          <w:sz w:val="20"/>
          <w:szCs w:val="20"/>
        </w:rPr>
        <w:t xml:space="preserve">which were created to promote development and prevent cattle rustling and other common crimes. They are organized by parish and have a president for each locality, who is elected by the residents. The juntas belong to a national federation of juntas. The rural community juntas are particularly powerful in the provinces of the mountains of </w:t>
      </w:r>
      <w:r w:rsidRPr="00310C0B">
        <w:rPr>
          <w:rFonts w:asciiTheme="majorHAnsi" w:hAnsiTheme="majorHAnsi"/>
          <w:color w:val="000000" w:themeColor="text1"/>
          <w:sz w:val="20"/>
          <w:szCs w:val="20"/>
        </w:rPr>
        <w:t xml:space="preserve">Cotopaxi, Tungurahua, Chimborazo, Bolívar, </w:t>
      </w:r>
      <w:r>
        <w:rPr>
          <w:rFonts w:asciiTheme="majorHAnsi" w:hAnsiTheme="majorHAnsi"/>
          <w:color w:val="000000" w:themeColor="text1"/>
          <w:sz w:val="20"/>
          <w:szCs w:val="20"/>
        </w:rPr>
        <w:t xml:space="preserve">and in some areas of </w:t>
      </w:r>
      <w:r w:rsidRPr="00310C0B">
        <w:rPr>
          <w:rFonts w:asciiTheme="majorHAnsi" w:hAnsiTheme="majorHAnsi"/>
          <w:color w:val="000000" w:themeColor="text1"/>
          <w:sz w:val="20"/>
          <w:szCs w:val="20"/>
        </w:rPr>
        <w:t>los Ríos</w:t>
      </w:r>
      <w:r>
        <w:rPr>
          <w:rFonts w:asciiTheme="majorHAnsi" w:hAnsiTheme="majorHAnsi"/>
          <w:color w:val="000000" w:themeColor="text1"/>
          <w:sz w:val="20"/>
          <w:szCs w:val="20"/>
        </w:rPr>
        <w:t>.</w:t>
      </w:r>
      <w:r w:rsidRPr="00310C0B">
        <w:rPr>
          <w:rStyle w:val="FootnoteReference"/>
          <w:rFonts w:asciiTheme="majorHAnsi" w:hAnsiTheme="majorHAnsi"/>
          <w:color w:val="000000" w:themeColor="text1"/>
          <w:sz w:val="20"/>
          <w:szCs w:val="20"/>
        </w:rPr>
        <w:footnoteReference w:id="5"/>
      </w:r>
      <w:r w:rsidRPr="00310C0B">
        <w:rPr>
          <w:rFonts w:asciiTheme="majorHAnsi" w:hAnsiTheme="majorHAnsi"/>
          <w:color w:val="000000" w:themeColor="text1"/>
          <w:sz w:val="20"/>
          <w:szCs w:val="20"/>
        </w:rPr>
        <w:t xml:space="preserve"> </w:t>
      </w:r>
    </w:p>
    <w:p w14:paraId="5928997B" w14:textId="77777777" w:rsidR="00041CFE" w:rsidRPr="00310C0B" w:rsidRDefault="00041CFE" w:rsidP="00041CFE">
      <w:pPr>
        <w:pStyle w:val="ListParagraph"/>
        <w:rPr>
          <w:rFonts w:asciiTheme="majorHAnsi" w:hAnsiTheme="majorHAnsi"/>
          <w:color w:val="000000" w:themeColor="text1"/>
          <w:sz w:val="20"/>
          <w:szCs w:val="20"/>
        </w:rPr>
      </w:pPr>
    </w:p>
    <w:p w14:paraId="0594F9ED"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color w:val="000000" w:themeColor="text1"/>
          <w:sz w:val="20"/>
          <w:szCs w:val="20"/>
        </w:rPr>
      </w:pPr>
      <w:r>
        <w:rPr>
          <w:rFonts w:asciiTheme="majorHAnsi" w:hAnsiTheme="majorHAnsi"/>
          <w:color w:val="000000" w:themeColor="text1"/>
          <w:sz w:val="20"/>
          <w:szCs w:val="20"/>
        </w:rPr>
        <w:t xml:space="preserve">National and international bodies have reported gross human rights violations committed by the juntas. </w:t>
      </w:r>
    </w:p>
    <w:p w14:paraId="3F449E56" w14:textId="77777777" w:rsidR="00041CFE" w:rsidRPr="00310C0B" w:rsidRDefault="00041CFE" w:rsidP="00041CFE">
      <w:pPr>
        <w:pStyle w:val="ListParagraph"/>
        <w:rPr>
          <w:rFonts w:asciiTheme="majorHAnsi" w:hAnsiTheme="majorHAnsi"/>
          <w:color w:val="000000" w:themeColor="text1"/>
          <w:sz w:val="20"/>
          <w:szCs w:val="20"/>
        </w:rPr>
      </w:pPr>
    </w:p>
    <w:p w14:paraId="467B2DA5"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color w:val="000000" w:themeColor="text1"/>
          <w:sz w:val="20"/>
          <w:szCs w:val="20"/>
        </w:rPr>
      </w:pPr>
      <w:r>
        <w:rPr>
          <w:rFonts w:asciiTheme="majorHAnsi" w:hAnsiTheme="majorHAnsi"/>
          <w:color w:val="000000" w:themeColor="text1"/>
          <w:sz w:val="20"/>
          <w:szCs w:val="20"/>
        </w:rPr>
        <w:t>I</w:t>
      </w:r>
      <w:r w:rsidRPr="00310C0B">
        <w:rPr>
          <w:rFonts w:asciiTheme="majorHAnsi" w:hAnsiTheme="majorHAnsi"/>
          <w:color w:val="000000" w:themeColor="text1"/>
          <w:sz w:val="20"/>
          <w:szCs w:val="20"/>
        </w:rPr>
        <w:t xml:space="preserve">n 2007, </w:t>
      </w:r>
      <w:r>
        <w:rPr>
          <w:rFonts w:asciiTheme="majorHAnsi" w:hAnsiTheme="majorHAnsi"/>
          <w:color w:val="000000" w:themeColor="text1"/>
          <w:sz w:val="20"/>
          <w:szCs w:val="20"/>
        </w:rPr>
        <w:t xml:space="preserve">the United Nations Working Group on the use of mercenaries as a means of violating human rights and impeding the exercise of the right of peoples to self-determination noted that non-governmental organizations reported to it that the </w:t>
      </w:r>
      <w:r w:rsidRPr="00D15532">
        <w:rPr>
          <w:rFonts w:asciiTheme="majorHAnsi" w:hAnsiTheme="majorHAnsi"/>
          <w:i/>
          <w:color w:val="000000" w:themeColor="text1"/>
          <w:sz w:val="20"/>
          <w:szCs w:val="20"/>
        </w:rPr>
        <w:t>Juntas de Defensa del Campesinado</w:t>
      </w:r>
      <w:r>
        <w:rPr>
          <w:rFonts w:asciiTheme="majorHAnsi" w:hAnsiTheme="majorHAnsi"/>
          <w:color w:val="000000" w:themeColor="text1"/>
          <w:sz w:val="20"/>
          <w:szCs w:val="20"/>
        </w:rPr>
        <w:t xml:space="preserve"> get involved in cases of security, litigation over land and common crime, and that in many of these cases “they apparently assume functions of public authorities, with accusations of abuses, to include violation of the right to privacy, acts of tortures and degrading treatment, homicides and disappearances, as exemplified in the case of Mr. Fredy Núñez, who went missing in </w:t>
      </w:r>
      <w:r w:rsidRPr="00310C0B">
        <w:rPr>
          <w:rFonts w:asciiTheme="majorHAnsi" w:hAnsiTheme="majorHAnsi"/>
          <w:color w:val="000000" w:themeColor="text1"/>
          <w:sz w:val="20"/>
          <w:szCs w:val="20"/>
        </w:rPr>
        <w:t>2001</w:t>
      </w:r>
      <w:r>
        <w:rPr>
          <w:rFonts w:asciiTheme="majorHAnsi" w:hAnsiTheme="majorHAnsi"/>
          <w:color w:val="000000" w:themeColor="text1"/>
          <w:sz w:val="20"/>
          <w:szCs w:val="20"/>
        </w:rPr>
        <w:t>.”</w:t>
      </w:r>
      <w:r w:rsidRPr="00310C0B">
        <w:rPr>
          <w:rStyle w:val="FootnoteReference"/>
          <w:rFonts w:asciiTheme="majorHAnsi" w:hAnsiTheme="majorHAnsi"/>
          <w:color w:val="000000" w:themeColor="text1"/>
          <w:sz w:val="20"/>
          <w:szCs w:val="20"/>
        </w:rPr>
        <w:footnoteReference w:id="6"/>
      </w:r>
      <w:r>
        <w:rPr>
          <w:rFonts w:asciiTheme="majorHAnsi" w:hAnsiTheme="majorHAnsi"/>
          <w:color w:val="000000" w:themeColor="text1"/>
          <w:sz w:val="20"/>
          <w:szCs w:val="20"/>
        </w:rPr>
        <w:t xml:space="preserve"> Therefore, it urges the Ecuadorian State to “ensure that the Juntas de Defensa del Campesinado do not become paramilitary actors.”</w:t>
      </w:r>
      <w:r w:rsidRPr="00310C0B">
        <w:rPr>
          <w:rStyle w:val="FootnoteReference"/>
          <w:rFonts w:asciiTheme="majorHAnsi" w:hAnsiTheme="majorHAnsi"/>
          <w:color w:val="000000" w:themeColor="text1"/>
          <w:sz w:val="20"/>
          <w:szCs w:val="20"/>
        </w:rPr>
        <w:footnoteReference w:id="7"/>
      </w:r>
    </w:p>
    <w:p w14:paraId="7E92FC10" w14:textId="77777777" w:rsidR="00041CFE" w:rsidRPr="00310C0B" w:rsidRDefault="00041CFE" w:rsidP="00041CFE">
      <w:pPr>
        <w:pStyle w:val="ListParagraph"/>
        <w:rPr>
          <w:rFonts w:asciiTheme="majorHAnsi" w:hAnsiTheme="majorHAnsi"/>
          <w:color w:val="000000" w:themeColor="text1"/>
          <w:sz w:val="20"/>
          <w:szCs w:val="20"/>
        </w:rPr>
      </w:pPr>
    </w:p>
    <w:p w14:paraId="67DCEBF2"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color w:val="000000" w:themeColor="text1"/>
          <w:sz w:val="20"/>
          <w:szCs w:val="20"/>
        </w:rPr>
      </w:pPr>
      <w:r>
        <w:rPr>
          <w:rFonts w:asciiTheme="majorHAnsi" w:hAnsiTheme="majorHAnsi"/>
          <w:color w:val="000000" w:themeColor="text1"/>
          <w:sz w:val="20"/>
          <w:szCs w:val="20"/>
        </w:rPr>
        <w:t xml:space="preserve">In </w:t>
      </w:r>
      <w:r w:rsidRPr="00310C0B">
        <w:rPr>
          <w:rFonts w:asciiTheme="majorHAnsi" w:hAnsiTheme="majorHAnsi"/>
          <w:color w:val="000000" w:themeColor="text1"/>
          <w:sz w:val="20"/>
          <w:szCs w:val="20"/>
        </w:rPr>
        <w:t xml:space="preserve">2010, </w:t>
      </w:r>
      <w:r>
        <w:rPr>
          <w:rFonts w:asciiTheme="majorHAnsi" w:hAnsiTheme="majorHAnsi"/>
          <w:color w:val="000000" w:themeColor="text1"/>
          <w:sz w:val="20"/>
          <w:szCs w:val="20"/>
        </w:rPr>
        <w:t>the Committee against Torture voiced concern over the Defense Boards’ active participation in security in rural areas, citing abuses committed by some members of said organizations, including lynching.</w:t>
      </w:r>
      <w:r w:rsidRPr="00310C0B">
        <w:rPr>
          <w:rStyle w:val="FootnoteReference"/>
          <w:rFonts w:asciiTheme="majorHAnsi" w:hAnsiTheme="majorHAnsi"/>
          <w:color w:val="000000" w:themeColor="text1"/>
          <w:sz w:val="20"/>
          <w:szCs w:val="20"/>
        </w:rPr>
        <w:footnoteReference w:id="8"/>
      </w:r>
    </w:p>
    <w:p w14:paraId="21547FC1" w14:textId="77777777" w:rsidR="00041CFE" w:rsidRPr="00310C0B" w:rsidRDefault="00041CFE" w:rsidP="00041CFE">
      <w:pPr>
        <w:pStyle w:val="ListParagraph"/>
        <w:rPr>
          <w:rFonts w:asciiTheme="majorHAnsi" w:hAnsiTheme="majorHAnsi"/>
          <w:color w:val="000000" w:themeColor="text1"/>
          <w:sz w:val="20"/>
          <w:szCs w:val="20"/>
        </w:rPr>
      </w:pPr>
    </w:p>
    <w:p w14:paraId="41B5C49D"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color w:val="000000" w:themeColor="text1"/>
          <w:sz w:val="20"/>
          <w:szCs w:val="20"/>
        </w:rPr>
      </w:pPr>
      <w:r>
        <w:rPr>
          <w:rFonts w:asciiTheme="majorHAnsi" w:hAnsiTheme="majorHAnsi"/>
          <w:color w:val="000000" w:themeColor="text1"/>
          <w:sz w:val="20"/>
          <w:szCs w:val="20"/>
        </w:rPr>
        <w:t>I</w:t>
      </w:r>
      <w:r w:rsidRPr="00310C0B">
        <w:rPr>
          <w:rFonts w:asciiTheme="majorHAnsi" w:hAnsiTheme="majorHAnsi"/>
          <w:color w:val="000000" w:themeColor="text1"/>
          <w:sz w:val="20"/>
          <w:szCs w:val="20"/>
        </w:rPr>
        <w:t xml:space="preserve">n 2015, </w:t>
      </w:r>
      <w:r>
        <w:rPr>
          <w:rFonts w:asciiTheme="majorHAnsi" w:hAnsiTheme="majorHAnsi"/>
          <w:color w:val="000000" w:themeColor="text1"/>
          <w:sz w:val="20"/>
          <w:szCs w:val="20"/>
        </w:rPr>
        <w:t xml:space="preserve">following his Mission to Ecuador, the United Nations Special Rapporteur on extrajudicial, summary or arbitrary executions noted that he received information about threats, abductions, torture or </w:t>
      </w:r>
      <w:r>
        <w:rPr>
          <w:rFonts w:asciiTheme="majorHAnsi" w:hAnsiTheme="majorHAnsi"/>
          <w:color w:val="000000" w:themeColor="text1"/>
          <w:sz w:val="20"/>
          <w:szCs w:val="20"/>
        </w:rPr>
        <w:lastRenderedPageBreak/>
        <w:t>killings of persons at the hands of the self-defense juntas. He said that, according to accounts provided to him, the juntas have been using force to exert control over the criminal justice system and public officials rarely responded effectively to complaints about junta activities, which has been borne out by “officials who were generally unwilling or unable to answer questions about junta abuses, let alone acknowledge the need to investigate them.</w:t>
      </w:r>
      <w:r w:rsidRPr="00310C0B">
        <w:rPr>
          <w:rFonts w:asciiTheme="majorHAnsi" w:hAnsiTheme="majorHAnsi"/>
          <w:color w:val="000000" w:themeColor="text1"/>
          <w:sz w:val="20"/>
          <w:szCs w:val="20"/>
        </w:rPr>
        <w:t>”</w:t>
      </w:r>
      <w:r w:rsidRPr="00310C0B">
        <w:rPr>
          <w:rStyle w:val="FootnoteReference"/>
          <w:rFonts w:asciiTheme="majorHAnsi" w:hAnsiTheme="majorHAnsi"/>
          <w:color w:val="000000" w:themeColor="text1"/>
          <w:sz w:val="20"/>
          <w:szCs w:val="20"/>
        </w:rPr>
        <w:footnoteReference w:id="9"/>
      </w:r>
      <w:r w:rsidRPr="00310C0B">
        <w:rPr>
          <w:rFonts w:asciiTheme="majorHAnsi" w:hAnsiTheme="majorHAnsi"/>
          <w:color w:val="000000" w:themeColor="text1"/>
          <w:sz w:val="20"/>
          <w:szCs w:val="20"/>
        </w:rPr>
        <w:t xml:space="preserve"> </w:t>
      </w:r>
    </w:p>
    <w:p w14:paraId="75448908" w14:textId="77777777" w:rsidR="00041CFE" w:rsidRPr="00310C0B" w:rsidRDefault="00041CFE" w:rsidP="00041CFE">
      <w:pPr>
        <w:pStyle w:val="ListParagraph"/>
        <w:rPr>
          <w:rFonts w:asciiTheme="majorHAnsi" w:hAnsiTheme="majorHAnsi"/>
          <w:color w:val="000000" w:themeColor="text1"/>
          <w:sz w:val="20"/>
          <w:szCs w:val="20"/>
        </w:rPr>
      </w:pPr>
    </w:p>
    <w:p w14:paraId="6149FB7B"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color w:val="000000" w:themeColor="text1"/>
          <w:sz w:val="20"/>
          <w:szCs w:val="20"/>
        </w:rPr>
      </w:pPr>
      <w:r>
        <w:rPr>
          <w:rFonts w:asciiTheme="majorHAnsi" w:hAnsiTheme="majorHAnsi"/>
          <w:color w:val="000000" w:themeColor="text1"/>
          <w:sz w:val="20"/>
          <w:szCs w:val="20"/>
        </w:rPr>
        <w:t xml:space="preserve">Additionally, the Ecuadorian State reported to the Human Rights Committee in 2015 that it received information about complaints against members of the juntas for human rights violations. It further noted that, in many judicial proceedings in </w:t>
      </w:r>
      <w:r w:rsidRPr="00310C0B">
        <w:rPr>
          <w:rFonts w:asciiTheme="majorHAnsi" w:hAnsiTheme="majorHAnsi"/>
          <w:color w:val="000000" w:themeColor="text1"/>
          <w:sz w:val="20"/>
          <w:szCs w:val="20"/>
        </w:rPr>
        <w:t>Tungurahua, Chimbor</w:t>
      </w:r>
      <w:r>
        <w:rPr>
          <w:rFonts w:asciiTheme="majorHAnsi" w:hAnsiTheme="majorHAnsi"/>
          <w:color w:val="000000" w:themeColor="text1"/>
          <w:sz w:val="20"/>
          <w:szCs w:val="20"/>
        </w:rPr>
        <w:t>azo and</w:t>
      </w:r>
      <w:r w:rsidRPr="00310C0B">
        <w:rPr>
          <w:rFonts w:asciiTheme="majorHAnsi" w:hAnsiTheme="majorHAnsi"/>
          <w:color w:val="000000" w:themeColor="text1"/>
          <w:sz w:val="20"/>
          <w:szCs w:val="20"/>
        </w:rPr>
        <w:t xml:space="preserve"> Bolívar</w:t>
      </w:r>
      <w:r>
        <w:rPr>
          <w:rFonts w:asciiTheme="majorHAnsi" w:hAnsiTheme="majorHAnsi"/>
          <w:color w:val="000000" w:themeColor="text1"/>
          <w:sz w:val="20"/>
          <w:szCs w:val="20"/>
        </w:rPr>
        <w:t xml:space="preserve">, that were brought against the junta presidents, the cases have been thrown out or have been dismissed with prejudice, and all cases related to these juntas have unfolded in much the same way.  Therefore, it claimed that it is carrying out measures to strengthen the processes of investigation into these cases, such as: </w:t>
      </w:r>
      <w:r w:rsidRPr="00310C0B">
        <w:rPr>
          <w:rFonts w:asciiTheme="majorHAnsi" w:hAnsiTheme="majorHAnsi"/>
          <w:color w:val="000000" w:themeColor="text1"/>
          <w:sz w:val="20"/>
          <w:szCs w:val="20"/>
        </w:rPr>
        <w:t xml:space="preserve">1) </w:t>
      </w:r>
      <w:r>
        <w:rPr>
          <w:rFonts w:asciiTheme="majorHAnsi" w:hAnsiTheme="majorHAnsi"/>
          <w:color w:val="000000" w:themeColor="text1"/>
          <w:sz w:val="20"/>
          <w:szCs w:val="20"/>
        </w:rPr>
        <w:t xml:space="preserve">implementing indicators to identify future cases related to the Juntas; </w:t>
      </w:r>
      <w:r w:rsidRPr="00310C0B">
        <w:rPr>
          <w:rFonts w:asciiTheme="majorHAnsi" w:hAnsiTheme="majorHAnsi"/>
          <w:color w:val="000000" w:themeColor="text1"/>
          <w:sz w:val="20"/>
          <w:szCs w:val="20"/>
        </w:rPr>
        <w:t xml:space="preserve">2) </w:t>
      </w:r>
      <w:r>
        <w:rPr>
          <w:rFonts w:asciiTheme="majorHAnsi" w:hAnsiTheme="majorHAnsi"/>
          <w:color w:val="000000" w:themeColor="text1"/>
          <w:sz w:val="20"/>
          <w:szCs w:val="20"/>
        </w:rPr>
        <w:t xml:space="preserve">assigning an additional prosecuting attorney to the Office of the Truth Commission to investigate the abuses committed by the juntas; and </w:t>
      </w:r>
      <w:r w:rsidRPr="00310C0B">
        <w:rPr>
          <w:rFonts w:asciiTheme="majorHAnsi" w:hAnsiTheme="majorHAnsi"/>
          <w:color w:val="000000" w:themeColor="text1"/>
          <w:sz w:val="20"/>
          <w:szCs w:val="20"/>
        </w:rPr>
        <w:t xml:space="preserve">3) </w:t>
      </w:r>
      <w:r>
        <w:rPr>
          <w:rFonts w:asciiTheme="majorHAnsi" w:hAnsiTheme="majorHAnsi"/>
          <w:color w:val="000000" w:themeColor="text1"/>
          <w:sz w:val="20"/>
          <w:szCs w:val="20"/>
        </w:rPr>
        <w:t>conducting a study to determine what junta abuse cases can be reopened as gross human rights violations, to prevent impunity.</w:t>
      </w:r>
      <w:r w:rsidRPr="00310C0B">
        <w:rPr>
          <w:rStyle w:val="FootnoteReference"/>
          <w:rFonts w:asciiTheme="majorHAnsi" w:hAnsiTheme="majorHAnsi"/>
          <w:color w:val="000000" w:themeColor="text1"/>
          <w:sz w:val="20"/>
          <w:szCs w:val="20"/>
        </w:rPr>
        <w:footnoteReference w:id="10"/>
      </w:r>
      <w:r w:rsidRPr="00310C0B">
        <w:rPr>
          <w:rFonts w:asciiTheme="majorHAnsi" w:hAnsiTheme="majorHAnsi"/>
          <w:color w:val="000000" w:themeColor="text1"/>
          <w:sz w:val="20"/>
          <w:szCs w:val="20"/>
        </w:rPr>
        <w:t xml:space="preserve"> </w:t>
      </w:r>
    </w:p>
    <w:p w14:paraId="6E417606" w14:textId="77777777" w:rsidR="00041CFE" w:rsidRPr="00310C0B" w:rsidRDefault="00041CFE" w:rsidP="00041CFE">
      <w:pPr>
        <w:rPr>
          <w:rFonts w:ascii="Cambria" w:hAnsi="Cambria"/>
          <w:sz w:val="20"/>
          <w:szCs w:val="20"/>
        </w:rPr>
      </w:pPr>
    </w:p>
    <w:p w14:paraId="6059A3F0" w14:textId="77777777" w:rsidR="00041CFE" w:rsidRPr="00310C0B" w:rsidRDefault="00041CFE" w:rsidP="00041CFE">
      <w:pPr>
        <w:pStyle w:val="Heading2"/>
        <w:keepLines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spacing w:before="0"/>
        <w:ind w:left="0" w:firstLine="0"/>
        <w:jc w:val="both"/>
        <w:rPr>
          <w:rFonts w:ascii="Cambria" w:hAnsi="Cambria"/>
          <w:i/>
          <w:color w:val="000000" w:themeColor="text1"/>
          <w:sz w:val="20"/>
          <w:szCs w:val="20"/>
        </w:rPr>
      </w:pPr>
      <w:bookmarkStart w:id="12" w:name="_Toc5953489"/>
      <w:bookmarkStart w:id="13" w:name="_Toc3543639"/>
      <w:r>
        <w:rPr>
          <w:rFonts w:ascii="Cambria" w:hAnsi="Cambria"/>
          <w:color w:val="000000" w:themeColor="text1"/>
          <w:sz w:val="20"/>
          <w:szCs w:val="20"/>
        </w:rPr>
        <w:t>About the alleged victim and his family</w:t>
      </w:r>
      <w:bookmarkEnd w:id="12"/>
      <w:r>
        <w:rPr>
          <w:rFonts w:ascii="Cambria" w:hAnsi="Cambria"/>
          <w:color w:val="000000" w:themeColor="text1"/>
          <w:sz w:val="20"/>
          <w:szCs w:val="20"/>
        </w:rPr>
        <w:t xml:space="preserve"> </w:t>
      </w:r>
      <w:bookmarkEnd w:id="13"/>
    </w:p>
    <w:p w14:paraId="69F30D6B"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rPr>
      </w:pPr>
    </w:p>
    <w:p w14:paraId="2C56BCE8"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color w:val="000000" w:themeColor="text1"/>
          <w:sz w:val="20"/>
          <w:szCs w:val="20"/>
        </w:rPr>
      </w:pPr>
      <w:r>
        <w:rPr>
          <w:rFonts w:asciiTheme="majorHAnsi" w:hAnsiTheme="majorHAnsi"/>
          <w:color w:val="000000" w:themeColor="text1"/>
          <w:sz w:val="20"/>
          <w:szCs w:val="20"/>
        </w:rPr>
        <w:t>According to information available at the time of the events, Fredy Marcel Núñez Naranjo was 27 years old, he was divorced and a driver by profession. His immediate family consisted of his parents, Sixto Núñez and Maria Gregoria Naranjo, his sisters Marcia Núñez and Silvia Núñez and their respective families.</w:t>
      </w:r>
      <w:r w:rsidRPr="00310C0B">
        <w:rPr>
          <w:rStyle w:val="FootnoteReference"/>
          <w:rFonts w:asciiTheme="majorHAnsi" w:hAnsiTheme="majorHAnsi"/>
          <w:color w:val="000000" w:themeColor="text1"/>
          <w:sz w:val="20"/>
          <w:szCs w:val="20"/>
        </w:rPr>
        <w:footnoteReference w:id="11"/>
      </w:r>
      <w:r w:rsidRPr="00310C0B">
        <w:rPr>
          <w:rFonts w:asciiTheme="majorHAnsi" w:hAnsiTheme="majorHAnsi"/>
          <w:color w:val="000000" w:themeColor="text1"/>
          <w:sz w:val="20"/>
          <w:szCs w:val="20"/>
        </w:rPr>
        <w:t xml:space="preserve"> </w:t>
      </w:r>
    </w:p>
    <w:p w14:paraId="1699CD80"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rPr>
      </w:pPr>
    </w:p>
    <w:p w14:paraId="256D6A57" w14:textId="77777777" w:rsidR="00041CFE" w:rsidRPr="00310C0B" w:rsidRDefault="00041CFE" w:rsidP="00041CFE">
      <w:pPr>
        <w:pStyle w:val="Heading2"/>
        <w:keepLines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spacing w:before="0"/>
        <w:ind w:left="0" w:firstLine="0"/>
        <w:jc w:val="both"/>
        <w:rPr>
          <w:rFonts w:ascii="Cambria" w:hAnsi="Cambria"/>
          <w:i/>
          <w:color w:val="000000" w:themeColor="text1"/>
          <w:sz w:val="20"/>
          <w:szCs w:val="20"/>
        </w:rPr>
      </w:pPr>
      <w:bookmarkStart w:id="14" w:name="_Toc5953490"/>
      <w:bookmarkStart w:id="15" w:name="_Toc3543640"/>
      <w:r>
        <w:rPr>
          <w:rFonts w:ascii="Cambria" w:hAnsi="Cambria"/>
          <w:color w:val="000000" w:themeColor="text1"/>
          <w:sz w:val="20"/>
          <w:szCs w:val="20"/>
        </w:rPr>
        <w:t>Facts of the case</w:t>
      </w:r>
      <w:bookmarkEnd w:id="14"/>
      <w:r>
        <w:rPr>
          <w:rFonts w:ascii="Cambria" w:hAnsi="Cambria"/>
          <w:color w:val="000000" w:themeColor="text1"/>
          <w:sz w:val="20"/>
          <w:szCs w:val="20"/>
        </w:rPr>
        <w:t xml:space="preserve"> </w:t>
      </w:r>
      <w:bookmarkEnd w:id="15"/>
    </w:p>
    <w:p w14:paraId="71953FFA"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rPr>
      </w:pPr>
    </w:p>
    <w:p w14:paraId="05C458C1"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bdr w:val="none" w:sz="0" w:space="0" w:color="auto"/>
        </w:rPr>
      </w:pPr>
      <w:r>
        <w:rPr>
          <w:rFonts w:asciiTheme="majorHAnsi" w:hAnsiTheme="majorHAnsi"/>
          <w:color w:val="000000" w:themeColor="text1"/>
          <w:sz w:val="20"/>
          <w:szCs w:val="20"/>
        </w:rPr>
        <w:t>As reflected in the case file, on July 15, 2001, Mr. Octavio Morales and other individuals, who were in a state of intoxication, entered the “latinos” pool hall, located on Eloy Alfaro and Juan Leon Mera Streets, in the Canton of Quero, intending to consume alcohol, but in response to owner Gregoria Naranjo’s refusal to serve them alcoholic beverages, Morales destroyed the door and window panes of the pool hall, and left the premises.</w:t>
      </w:r>
      <w:r w:rsidRPr="00310C0B">
        <w:rPr>
          <w:rStyle w:val="FootnoteReference"/>
          <w:rFonts w:asciiTheme="majorHAnsi" w:hAnsiTheme="majorHAnsi"/>
          <w:sz w:val="20"/>
          <w:szCs w:val="20"/>
          <w:bdr w:val="none" w:sz="0" w:space="0" w:color="auto"/>
        </w:rPr>
        <w:footnoteReference w:id="12"/>
      </w:r>
      <w:r w:rsidRPr="00310C0B">
        <w:rPr>
          <w:rFonts w:asciiTheme="majorHAnsi" w:hAnsiTheme="majorHAnsi"/>
          <w:sz w:val="20"/>
          <w:szCs w:val="20"/>
          <w:bdr w:val="none" w:sz="0" w:space="0" w:color="auto"/>
        </w:rPr>
        <w:t xml:space="preserve"> </w:t>
      </w:r>
    </w:p>
    <w:p w14:paraId="588D8C33"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bdr w:val="none" w:sz="0" w:space="0" w:color="auto"/>
        </w:rPr>
      </w:pPr>
    </w:p>
    <w:p w14:paraId="4948612F"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bdr w:val="none" w:sz="0" w:space="0" w:color="auto"/>
        </w:rPr>
      </w:pPr>
      <w:r>
        <w:rPr>
          <w:rFonts w:asciiTheme="majorHAnsi" w:hAnsiTheme="majorHAnsi"/>
          <w:sz w:val="20"/>
          <w:szCs w:val="20"/>
          <w:bdr w:val="none" w:sz="0" w:space="0" w:color="auto"/>
        </w:rPr>
        <w:t>Then, Fredy Núñez, the owner’s son, left to get Morales and brought him back into the pool hall, where he proceeded to assault him.</w:t>
      </w:r>
      <w:r w:rsidRPr="00310C0B">
        <w:rPr>
          <w:rStyle w:val="FootnoteReference"/>
          <w:rFonts w:asciiTheme="majorHAnsi" w:hAnsiTheme="majorHAnsi"/>
          <w:sz w:val="20"/>
          <w:szCs w:val="20"/>
          <w:bdr w:val="none" w:sz="0" w:space="0" w:color="auto"/>
        </w:rPr>
        <w:footnoteReference w:id="13"/>
      </w:r>
      <w:r>
        <w:rPr>
          <w:rFonts w:asciiTheme="majorHAnsi" w:hAnsiTheme="majorHAnsi"/>
          <w:sz w:val="20"/>
          <w:szCs w:val="20"/>
          <w:bdr w:val="none" w:sz="0" w:space="0" w:color="auto"/>
        </w:rPr>
        <w:t xml:space="preserve"> </w:t>
      </w:r>
      <w:r w:rsidRPr="00310C0B">
        <w:rPr>
          <w:rFonts w:asciiTheme="majorHAnsi" w:hAnsiTheme="majorHAnsi"/>
          <w:sz w:val="20"/>
          <w:szCs w:val="20"/>
          <w:bdr w:val="none" w:sz="0" w:space="0" w:color="auto"/>
        </w:rPr>
        <w:t xml:space="preserve"> </w:t>
      </w:r>
      <w:r>
        <w:rPr>
          <w:rFonts w:asciiTheme="majorHAnsi" w:hAnsiTheme="majorHAnsi"/>
          <w:sz w:val="20"/>
          <w:szCs w:val="20"/>
          <w:bdr w:val="none" w:sz="0" w:space="0" w:color="auto"/>
        </w:rPr>
        <w:t>In response, the police arrived in the premises and arrested Fredy Núñez, Octavio Morales and Orlando Freire, a friend of Octavio Morales, who demanded they be released, and they were taken to the Jail of the Police Station of the Canton of Quero.</w:t>
      </w:r>
      <w:r w:rsidRPr="00310C0B">
        <w:rPr>
          <w:rStyle w:val="FootnoteReference"/>
          <w:rFonts w:asciiTheme="majorHAnsi" w:hAnsiTheme="majorHAnsi"/>
          <w:sz w:val="20"/>
          <w:szCs w:val="20"/>
          <w:bdr w:val="none" w:sz="0" w:space="0" w:color="auto"/>
        </w:rPr>
        <w:footnoteReference w:id="14"/>
      </w:r>
      <w:r w:rsidRPr="00310C0B">
        <w:rPr>
          <w:rFonts w:asciiTheme="majorHAnsi" w:hAnsiTheme="majorHAnsi"/>
          <w:sz w:val="20"/>
          <w:szCs w:val="20"/>
          <w:bdr w:val="none" w:sz="0" w:space="0" w:color="auto"/>
        </w:rPr>
        <w:t xml:space="preserve"> </w:t>
      </w:r>
    </w:p>
    <w:p w14:paraId="78C52E0C" w14:textId="77777777" w:rsidR="00041CFE" w:rsidRPr="00310C0B" w:rsidRDefault="00041CFE" w:rsidP="00041CFE">
      <w:pPr>
        <w:pStyle w:val="ListParagraph"/>
        <w:rPr>
          <w:rFonts w:asciiTheme="majorHAnsi" w:hAnsiTheme="majorHAnsi"/>
          <w:sz w:val="20"/>
          <w:szCs w:val="20"/>
          <w:bdr w:val="none" w:sz="0" w:space="0" w:color="auto"/>
        </w:rPr>
      </w:pPr>
    </w:p>
    <w:p w14:paraId="3F848ABB"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bdr w:val="none" w:sz="0" w:space="0" w:color="auto"/>
        </w:rPr>
      </w:pPr>
      <w:r>
        <w:rPr>
          <w:rFonts w:asciiTheme="majorHAnsi" w:hAnsiTheme="majorHAnsi"/>
          <w:sz w:val="20"/>
          <w:szCs w:val="20"/>
          <w:bdr w:val="none" w:sz="0" w:space="0" w:color="auto"/>
        </w:rPr>
        <w:t>According to the Police Report, after 30 minutes had elapsed, 400 members of the Puñachisag community showed up at said police station, forced their way inside, released Octavio Morales and Orlando Freire and took as hostages Fredy Núñez, Gregoria Naranjo and Marcia Núñez, his mother and sister respectively.</w:t>
      </w:r>
      <w:r w:rsidRPr="00310C0B">
        <w:rPr>
          <w:rStyle w:val="FootnoteReference"/>
          <w:rFonts w:asciiTheme="majorHAnsi" w:hAnsiTheme="majorHAnsi"/>
          <w:sz w:val="20"/>
          <w:szCs w:val="20"/>
          <w:bdr w:val="none" w:sz="0" w:space="0" w:color="auto"/>
        </w:rPr>
        <w:footnoteReference w:id="15"/>
      </w:r>
      <w:r>
        <w:rPr>
          <w:rFonts w:asciiTheme="majorHAnsi" w:hAnsiTheme="majorHAnsi"/>
          <w:sz w:val="20"/>
          <w:szCs w:val="20"/>
          <w:bdr w:val="none" w:sz="0" w:space="0" w:color="auto"/>
        </w:rPr>
        <w:t xml:space="preserve"> Based on the information in the police report of August 16, 2001, the abduction of the alleged victim was led by </w:t>
      </w:r>
      <w:r w:rsidRPr="00310C0B">
        <w:rPr>
          <w:rFonts w:asciiTheme="majorHAnsi" w:hAnsiTheme="majorHAnsi"/>
          <w:sz w:val="20"/>
          <w:szCs w:val="20"/>
          <w:bdr w:val="none" w:sz="0" w:space="0" w:color="auto"/>
        </w:rPr>
        <w:t>Ángel</w:t>
      </w:r>
      <w:r>
        <w:rPr>
          <w:rFonts w:asciiTheme="majorHAnsi" w:hAnsiTheme="majorHAnsi"/>
          <w:sz w:val="20"/>
          <w:szCs w:val="20"/>
          <w:bdr w:val="none" w:sz="0" w:space="0" w:color="auto"/>
        </w:rPr>
        <w:t xml:space="preserve"> Raúl Bayas Villacres, who served as president of the Coalition of Juntas of the Canton </w:t>
      </w:r>
      <w:r>
        <w:rPr>
          <w:rFonts w:asciiTheme="majorHAnsi" w:hAnsiTheme="majorHAnsi"/>
          <w:sz w:val="20"/>
          <w:szCs w:val="20"/>
          <w:bdr w:val="none" w:sz="0" w:space="0" w:color="auto"/>
        </w:rPr>
        <w:lastRenderedPageBreak/>
        <w:t>of Quero, as well as by other individuals.</w:t>
      </w:r>
      <w:r w:rsidRPr="00310C0B">
        <w:rPr>
          <w:rStyle w:val="FootnoteReference"/>
          <w:rFonts w:asciiTheme="majorHAnsi" w:hAnsiTheme="majorHAnsi"/>
          <w:sz w:val="20"/>
          <w:szCs w:val="20"/>
          <w:bdr w:val="none" w:sz="0" w:space="0" w:color="auto"/>
        </w:rPr>
        <w:footnoteReference w:id="16"/>
      </w:r>
      <w:r>
        <w:rPr>
          <w:rFonts w:asciiTheme="majorHAnsi" w:hAnsiTheme="majorHAnsi"/>
          <w:sz w:val="20"/>
          <w:szCs w:val="20"/>
          <w:bdr w:val="none" w:sz="0" w:space="0" w:color="auto"/>
        </w:rPr>
        <w:t xml:space="preserve"> The Police Report does not provide an account of the measures taken by the security guards of the police station to confront the alleged forced entry of the aforementioned individuals or to prevent detainees under their custody, among other persons, from being abducted. </w:t>
      </w:r>
    </w:p>
    <w:p w14:paraId="5ACAF1E3" w14:textId="77777777" w:rsidR="00041CFE" w:rsidRPr="00310C0B" w:rsidRDefault="00041CFE" w:rsidP="00041CFE">
      <w:pPr>
        <w:pStyle w:val="ListParagraph"/>
        <w:rPr>
          <w:rFonts w:asciiTheme="majorHAnsi" w:hAnsiTheme="majorHAnsi"/>
          <w:sz w:val="20"/>
          <w:szCs w:val="20"/>
          <w:bdr w:val="none" w:sz="0" w:space="0" w:color="auto"/>
        </w:rPr>
      </w:pPr>
    </w:p>
    <w:p w14:paraId="36AE7605"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bdr w:val="none" w:sz="0" w:space="0" w:color="auto"/>
        </w:rPr>
      </w:pPr>
      <w:r>
        <w:rPr>
          <w:rFonts w:asciiTheme="majorHAnsi" w:hAnsiTheme="majorHAnsi"/>
          <w:sz w:val="20"/>
          <w:szCs w:val="20"/>
          <w:bdr w:val="none" w:sz="0" w:space="0" w:color="auto"/>
        </w:rPr>
        <w:t>According to the police report, after being taken hostage, Fredy Núñez, Gregoria Naranjo and</w:t>
      </w:r>
      <w:r w:rsidRPr="00310C0B">
        <w:rPr>
          <w:rFonts w:asciiTheme="majorHAnsi" w:hAnsiTheme="majorHAnsi"/>
          <w:sz w:val="20"/>
          <w:szCs w:val="20"/>
          <w:bdr w:val="none" w:sz="0" w:space="0" w:color="auto"/>
        </w:rPr>
        <w:t xml:space="preserve"> Marcia Núñez </w:t>
      </w:r>
      <w:r>
        <w:rPr>
          <w:rFonts w:asciiTheme="majorHAnsi" w:hAnsiTheme="majorHAnsi"/>
          <w:sz w:val="20"/>
          <w:szCs w:val="20"/>
          <w:bdr w:val="none" w:sz="0" w:space="0" w:color="auto"/>
        </w:rPr>
        <w:t xml:space="preserve">were transferred to the </w:t>
      </w:r>
      <w:r w:rsidRPr="00310C0B">
        <w:rPr>
          <w:rFonts w:asciiTheme="majorHAnsi" w:hAnsiTheme="majorHAnsi"/>
          <w:sz w:val="20"/>
          <w:szCs w:val="20"/>
          <w:bdr w:val="none" w:sz="0" w:space="0" w:color="auto"/>
        </w:rPr>
        <w:t>Puñachisag</w:t>
      </w:r>
      <w:r>
        <w:rPr>
          <w:rFonts w:asciiTheme="majorHAnsi" w:hAnsiTheme="majorHAnsi"/>
          <w:sz w:val="20"/>
          <w:szCs w:val="20"/>
          <w:bdr w:val="none" w:sz="0" w:space="0" w:color="auto"/>
        </w:rPr>
        <w:t xml:space="preserve"> community</w:t>
      </w:r>
      <w:r w:rsidRPr="00310C0B">
        <w:rPr>
          <w:rFonts w:asciiTheme="majorHAnsi" w:hAnsiTheme="majorHAnsi"/>
          <w:sz w:val="20"/>
          <w:szCs w:val="20"/>
          <w:bdr w:val="none" w:sz="0" w:space="0" w:color="auto"/>
        </w:rPr>
        <w:t xml:space="preserve">, </w:t>
      </w:r>
      <w:r>
        <w:rPr>
          <w:rFonts w:asciiTheme="majorHAnsi" w:hAnsiTheme="majorHAnsi"/>
          <w:sz w:val="20"/>
          <w:szCs w:val="20"/>
          <w:bdr w:val="none" w:sz="0" w:space="0" w:color="auto"/>
        </w:rPr>
        <w:t>where they were “flogged.”</w:t>
      </w:r>
      <w:r w:rsidRPr="00310C0B">
        <w:rPr>
          <w:rStyle w:val="FootnoteReference"/>
          <w:rFonts w:asciiTheme="majorHAnsi" w:hAnsiTheme="majorHAnsi"/>
          <w:sz w:val="20"/>
          <w:szCs w:val="20"/>
          <w:bdr w:val="none" w:sz="0" w:space="0" w:color="auto"/>
        </w:rPr>
        <w:footnoteReference w:id="17"/>
      </w:r>
      <w:r>
        <w:rPr>
          <w:rFonts w:asciiTheme="majorHAnsi" w:hAnsiTheme="majorHAnsi"/>
          <w:sz w:val="20"/>
          <w:szCs w:val="20"/>
          <w:bdr w:val="none" w:sz="0" w:space="0" w:color="auto"/>
        </w:rPr>
        <w:t xml:space="preserve"> Based on the statement of Sixto Núñez, who is Fredy Núñez’s father, Fredy, his mother and his sister Marcia were tied up with wire and beaten and pricked with pointed rods.</w:t>
      </w:r>
      <w:r w:rsidRPr="00310C0B">
        <w:rPr>
          <w:rStyle w:val="FootnoteReference"/>
          <w:rFonts w:asciiTheme="majorHAnsi" w:hAnsiTheme="majorHAnsi"/>
          <w:sz w:val="20"/>
          <w:szCs w:val="20"/>
          <w:bdr w:val="none" w:sz="0" w:space="0" w:color="auto"/>
        </w:rPr>
        <w:footnoteReference w:id="18"/>
      </w:r>
      <w:r>
        <w:rPr>
          <w:rFonts w:asciiTheme="majorHAnsi" w:hAnsiTheme="majorHAnsi"/>
          <w:sz w:val="20"/>
          <w:szCs w:val="20"/>
          <w:bdr w:val="none" w:sz="0" w:space="0" w:color="auto"/>
        </w:rPr>
        <w:t xml:space="preserve"> In this regard, a policeman said that the two women “were released after being punished.</w:t>
      </w:r>
      <w:r w:rsidRPr="00310C0B">
        <w:rPr>
          <w:rFonts w:asciiTheme="majorHAnsi" w:hAnsiTheme="majorHAnsi"/>
          <w:sz w:val="20"/>
          <w:szCs w:val="20"/>
          <w:bdr w:val="none" w:sz="0" w:space="0" w:color="auto"/>
        </w:rPr>
        <w:t>”</w:t>
      </w:r>
      <w:r w:rsidRPr="00310C0B">
        <w:rPr>
          <w:rStyle w:val="FootnoteReference"/>
          <w:rFonts w:asciiTheme="majorHAnsi" w:hAnsiTheme="majorHAnsi"/>
          <w:sz w:val="20"/>
          <w:szCs w:val="20"/>
          <w:bdr w:val="none" w:sz="0" w:space="0" w:color="auto"/>
        </w:rPr>
        <w:footnoteReference w:id="19"/>
      </w:r>
      <w:r w:rsidRPr="00310C0B">
        <w:rPr>
          <w:rFonts w:asciiTheme="majorHAnsi" w:hAnsiTheme="majorHAnsi"/>
          <w:sz w:val="20"/>
          <w:szCs w:val="20"/>
          <w:bdr w:val="none" w:sz="0" w:space="0" w:color="auto"/>
        </w:rPr>
        <w:t xml:space="preserve"> </w:t>
      </w:r>
    </w:p>
    <w:p w14:paraId="5DF26E83" w14:textId="77777777" w:rsidR="00041CFE" w:rsidRPr="00310C0B" w:rsidRDefault="00041CFE" w:rsidP="00041CFE">
      <w:pPr>
        <w:pStyle w:val="ListParagraph"/>
        <w:rPr>
          <w:rFonts w:asciiTheme="majorHAnsi" w:hAnsiTheme="majorHAnsi"/>
          <w:sz w:val="20"/>
          <w:szCs w:val="20"/>
          <w:bdr w:val="none" w:sz="0" w:space="0" w:color="auto"/>
        </w:rPr>
      </w:pPr>
    </w:p>
    <w:p w14:paraId="3886897B"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bdr w:val="none" w:sz="0" w:space="0" w:color="auto"/>
        </w:rPr>
      </w:pPr>
      <w:r>
        <w:rPr>
          <w:rFonts w:asciiTheme="majorHAnsi" w:hAnsiTheme="majorHAnsi"/>
          <w:sz w:val="20"/>
          <w:szCs w:val="20"/>
          <w:bdr w:val="none" w:sz="0" w:space="0" w:color="auto"/>
        </w:rPr>
        <w:t xml:space="preserve">Subsequently, the three individuals were driven to the Shausi community. According to the case file, </w:t>
      </w:r>
      <w:r>
        <w:rPr>
          <w:rFonts w:asciiTheme="majorHAnsi" w:hAnsiTheme="majorHAnsi"/>
          <w:sz w:val="20"/>
          <w:szCs w:val="20"/>
        </w:rPr>
        <w:t>Gregoria Naranjo and</w:t>
      </w:r>
      <w:r w:rsidRPr="00310C0B">
        <w:rPr>
          <w:rFonts w:asciiTheme="majorHAnsi" w:hAnsiTheme="majorHAnsi"/>
          <w:sz w:val="20"/>
          <w:szCs w:val="20"/>
        </w:rPr>
        <w:t xml:space="preserve"> </w:t>
      </w:r>
      <w:r w:rsidRPr="00310C0B">
        <w:rPr>
          <w:rFonts w:asciiTheme="majorHAnsi" w:hAnsiTheme="majorHAnsi"/>
          <w:sz w:val="20"/>
          <w:szCs w:val="20"/>
          <w:bdr w:val="none" w:sz="0" w:space="0" w:color="auto"/>
        </w:rPr>
        <w:t xml:space="preserve">Marcia Núñez </w:t>
      </w:r>
      <w:r>
        <w:rPr>
          <w:rFonts w:asciiTheme="majorHAnsi" w:hAnsiTheme="majorHAnsi"/>
          <w:sz w:val="20"/>
          <w:szCs w:val="20"/>
          <w:bdr w:val="none" w:sz="0" w:space="0" w:color="auto"/>
        </w:rPr>
        <w:t>were released in this community.</w:t>
      </w:r>
      <w:r w:rsidRPr="00310C0B">
        <w:rPr>
          <w:rStyle w:val="FootnoteReference"/>
          <w:rFonts w:asciiTheme="majorHAnsi" w:hAnsiTheme="majorHAnsi"/>
          <w:sz w:val="20"/>
          <w:szCs w:val="20"/>
          <w:bdr w:val="none" w:sz="0" w:space="0" w:color="auto"/>
        </w:rPr>
        <w:footnoteReference w:id="20"/>
      </w:r>
      <w:r>
        <w:rPr>
          <w:rFonts w:asciiTheme="majorHAnsi" w:hAnsiTheme="majorHAnsi"/>
          <w:sz w:val="20"/>
          <w:szCs w:val="20"/>
          <w:bdr w:val="none" w:sz="0" w:space="0" w:color="auto"/>
        </w:rPr>
        <w:t xml:space="preserve"> In the words of the Juntas through a communiqué:</w:t>
      </w:r>
    </w:p>
    <w:p w14:paraId="1C55111F" w14:textId="77777777" w:rsidR="00041CFE" w:rsidRPr="00310C0B" w:rsidRDefault="00041CFE" w:rsidP="00041CFE">
      <w:pPr>
        <w:pStyle w:val="ListParagraph"/>
        <w:rPr>
          <w:rFonts w:asciiTheme="majorHAnsi" w:hAnsiTheme="majorHAnsi"/>
          <w:sz w:val="20"/>
          <w:szCs w:val="20"/>
          <w:bdr w:val="none" w:sz="0" w:space="0" w:color="auto"/>
        </w:rPr>
      </w:pPr>
    </w:p>
    <w:p w14:paraId="067E9926"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bdr w:val="none" w:sz="0" w:space="0" w:color="auto"/>
        </w:rPr>
      </w:pPr>
      <w:r w:rsidRPr="00310C0B">
        <w:rPr>
          <w:rFonts w:asciiTheme="majorHAnsi" w:hAnsiTheme="majorHAnsi"/>
          <w:sz w:val="20"/>
          <w:szCs w:val="20"/>
          <w:bdr w:val="none" w:sz="0" w:space="0" w:color="auto"/>
        </w:rPr>
        <w:t xml:space="preserve">(…) </w:t>
      </w:r>
      <w:r>
        <w:rPr>
          <w:rFonts w:asciiTheme="majorHAnsi" w:hAnsiTheme="majorHAnsi"/>
          <w:sz w:val="20"/>
          <w:szCs w:val="20"/>
          <w:bdr w:val="none" w:sz="0" w:space="0" w:color="auto"/>
        </w:rPr>
        <w:t xml:space="preserve">while it is true that the </w:t>
      </w:r>
      <w:r>
        <w:rPr>
          <w:rFonts w:asciiTheme="majorHAnsi" w:hAnsiTheme="majorHAnsi"/>
          <w:i/>
          <w:sz w:val="20"/>
          <w:szCs w:val="20"/>
          <w:bdr w:val="none" w:sz="0" w:space="0" w:color="auto"/>
        </w:rPr>
        <w:t xml:space="preserve">campesinado </w:t>
      </w:r>
      <w:r>
        <w:rPr>
          <w:rFonts w:asciiTheme="majorHAnsi" w:hAnsiTheme="majorHAnsi"/>
          <w:sz w:val="20"/>
          <w:szCs w:val="20"/>
          <w:bdr w:val="none" w:sz="0" w:space="0" w:color="auto"/>
        </w:rPr>
        <w:t>(local residents)</w:t>
      </w:r>
      <w:r>
        <w:rPr>
          <w:rFonts w:asciiTheme="majorHAnsi" w:hAnsiTheme="majorHAnsi"/>
          <w:i/>
          <w:sz w:val="20"/>
          <w:szCs w:val="20"/>
          <w:bdr w:val="none" w:sz="0" w:space="0" w:color="auto"/>
        </w:rPr>
        <w:t xml:space="preserve"> </w:t>
      </w:r>
      <w:r>
        <w:rPr>
          <w:rFonts w:asciiTheme="majorHAnsi" w:hAnsiTheme="majorHAnsi"/>
          <w:sz w:val="20"/>
          <w:szCs w:val="20"/>
          <w:bdr w:val="none" w:sz="0" w:space="0" w:color="auto"/>
        </w:rPr>
        <w:t>[, who are] tired of enduring the abuses, robberies and murders that Fredy Marcelo Núñez Naranjo had been committing jointly with his gang of highway robbers he had been taken to the local community [</w:t>
      </w:r>
      <w:r w:rsidRPr="00983F13">
        <w:rPr>
          <w:rFonts w:asciiTheme="majorHAnsi" w:hAnsiTheme="majorHAnsi"/>
          <w:i/>
          <w:sz w:val="20"/>
          <w:szCs w:val="20"/>
          <w:bdr w:val="none" w:sz="0" w:space="0" w:color="auto"/>
        </w:rPr>
        <w:t>campesinos</w:t>
      </w:r>
      <w:r w:rsidRPr="00983F13">
        <w:rPr>
          <w:rFonts w:asciiTheme="majorHAnsi" w:hAnsiTheme="majorHAnsi"/>
          <w:sz w:val="20"/>
          <w:szCs w:val="20"/>
          <w:bdr w:val="none" w:sz="0" w:space="0" w:color="auto"/>
        </w:rPr>
        <w:t>’</w:t>
      </w:r>
      <w:r>
        <w:rPr>
          <w:rFonts w:asciiTheme="majorHAnsi" w:hAnsiTheme="majorHAnsi"/>
          <w:sz w:val="20"/>
          <w:szCs w:val="20"/>
          <w:bdr w:val="none" w:sz="0" w:space="0" w:color="auto"/>
        </w:rPr>
        <w:t xml:space="preserve">] </w:t>
      </w:r>
      <w:r w:rsidRPr="00983F13">
        <w:rPr>
          <w:rFonts w:asciiTheme="majorHAnsi" w:hAnsiTheme="majorHAnsi"/>
          <w:sz w:val="20"/>
          <w:szCs w:val="20"/>
          <w:bdr w:val="none" w:sz="0" w:space="0" w:color="auto"/>
        </w:rPr>
        <w:t>jail</w:t>
      </w:r>
      <w:r>
        <w:rPr>
          <w:rFonts w:asciiTheme="majorHAnsi" w:hAnsiTheme="majorHAnsi"/>
          <w:sz w:val="20"/>
          <w:szCs w:val="20"/>
          <w:bdr w:val="none" w:sz="0" w:space="0" w:color="auto"/>
        </w:rPr>
        <w:t xml:space="preserve">, and that is when taking advantage of the rustic nature of the jail cell and being the good criminal [that he is] Fredy Marcelo Núñez breaks through the jail security and flees. </w:t>
      </w:r>
      <w:r w:rsidRPr="00310C0B">
        <w:rPr>
          <w:rFonts w:asciiTheme="majorHAnsi" w:hAnsiTheme="majorHAnsi"/>
          <w:sz w:val="20"/>
          <w:szCs w:val="20"/>
          <w:bdr w:val="none" w:sz="0" w:space="0" w:color="auto"/>
        </w:rPr>
        <w:t>(…)</w:t>
      </w:r>
      <w:r w:rsidRPr="00310C0B">
        <w:rPr>
          <w:rStyle w:val="FootnoteReference"/>
          <w:rFonts w:asciiTheme="majorHAnsi" w:hAnsiTheme="majorHAnsi"/>
          <w:sz w:val="20"/>
          <w:szCs w:val="20"/>
          <w:bdr w:val="none" w:sz="0" w:space="0" w:color="auto"/>
        </w:rPr>
        <w:footnoteReference w:id="21"/>
      </w:r>
    </w:p>
    <w:p w14:paraId="41C5F3D6" w14:textId="77777777" w:rsidR="00041CFE" w:rsidRPr="00310C0B" w:rsidRDefault="00041CFE" w:rsidP="00041CFE">
      <w:pPr>
        <w:pStyle w:val="ListParagraph"/>
        <w:rPr>
          <w:rFonts w:asciiTheme="majorHAnsi" w:hAnsiTheme="majorHAnsi"/>
          <w:sz w:val="20"/>
          <w:szCs w:val="20"/>
          <w:bdr w:val="none" w:sz="0" w:space="0" w:color="auto"/>
        </w:rPr>
      </w:pPr>
    </w:p>
    <w:p w14:paraId="622838F3" w14:textId="77777777" w:rsidR="00041CFE" w:rsidRPr="00041CFE"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bdr w:val="none" w:sz="0" w:space="0" w:color="auto"/>
        </w:rPr>
      </w:pPr>
      <w:r>
        <w:rPr>
          <w:rFonts w:asciiTheme="majorHAnsi" w:hAnsiTheme="majorHAnsi"/>
          <w:sz w:val="20"/>
          <w:szCs w:val="20"/>
          <w:bdr w:val="none" w:sz="0" w:space="0" w:color="auto"/>
        </w:rPr>
        <w:t>As for the alleged victim, according to his father’s account, after the women were released, one of the members of the Puñachisag community ordered five hooded men to seize Fredy and they interrogate him, and each answer was followed by beating and, therefore, he was constantly screaming “until it all went silent,” and this was the last that he heard of his son.</w:t>
      </w:r>
      <w:r w:rsidRPr="00310C0B">
        <w:rPr>
          <w:rStyle w:val="FootnoteReference"/>
          <w:rFonts w:asciiTheme="majorHAnsi" w:hAnsiTheme="majorHAnsi"/>
          <w:sz w:val="20"/>
          <w:szCs w:val="20"/>
          <w:bdr w:val="none" w:sz="0" w:space="0" w:color="auto"/>
        </w:rPr>
        <w:footnoteReference w:id="22"/>
      </w:r>
      <w:r>
        <w:rPr>
          <w:rFonts w:asciiTheme="majorHAnsi" w:hAnsiTheme="majorHAnsi"/>
          <w:sz w:val="20"/>
          <w:szCs w:val="20"/>
          <w:bdr w:val="none" w:sz="0" w:space="0" w:color="auto"/>
        </w:rPr>
        <w:t xml:space="preserve"> </w:t>
      </w:r>
      <w:r w:rsidRPr="00310C0B">
        <w:rPr>
          <w:rFonts w:asciiTheme="majorHAnsi" w:hAnsiTheme="majorHAnsi"/>
          <w:sz w:val="20"/>
          <w:szCs w:val="20"/>
          <w:bdr w:val="none" w:sz="0" w:space="0" w:color="auto"/>
        </w:rPr>
        <w:t xml:space="preserve"> </w:t>
      </w:r>
      <w:r>
        <w:rPr>
          <w:rFonts w:asciiTheme="majorHAnsi" w:hAnsiTheme="majorHAnsi"/>
          <w:sz w:val="20"/>
          <w:szCs w:val="20"/>
          <w:bdr w:val="none" w:sz="0" w:space="0" w:color="auto"/>
        </w:rPr>
        <w:t>He said that he has heard that his son “was burned, that water was thrown on him and from that time nobody knows anything more and it has been nine months I hope we find my son alive or dead.”</w:t>
      </w:r>
      <w:r w:rsidRPr="00310C0B">
        <w:rPr>
          <w:rStyle w:val="FootnoteReference"/>
          <w:rFonts w:asciiTheme="majorHAnsi" w:hAnsiTheme="majorHAnsi"/>
          <w:sz w:val="20"/>
          <w:szCs w:val="20"/>
          <w:bdr w:val="none" w:sz="0" w:space="0" w:color="auto"/>
        </w:rPr>
        <w:footnoteReference w:id="23"/>
      </w:r>
      <w:r>
        <w:rPr>
          <w:rFonts w:asciiTheme="majorHAnsi" w:hAnsiTheme="majorHAnsi"/>
          <w:sz w:val="20"/>
          <w:szCs w:val="20"/>
          <w:bdr w:val="none" w:sz="0" w:space="0" w:color="auto"/>
        </w:rPr>
        <w:t xml:space="preserve"> The Police Report states that after the two women were released, the alleged victim was put into a vehicle, which drove off in an unknown direction.</w:t>
      </w:r>
      <w:r w:rsidRPr="00310C0B">
        <w:rPr>
          <w:rStyle w:val="FootnoteReference"/>
          <w:rFonts w:asciiTheme="majorHAnsi" w:hAnsiTheme="majorHAnsi"/>
          <w:sz w:val="20"/>
          <w:szCs w:val="20"/>
          <w:bdr w:val="none" w:sz="0" w:space="0" w:color="auto"/>
        </w:rPr>
        <w:footnoteReference w:id="24"/>
      </w:r>
      <w:r w:rsidRPr="00310C0B">
        <w:rPr>
          <w:rFonts w:asciiTheme="majorHAnsi" w:hAnsiTheme="majorHAnsi"/>
          <w:sz w:val="20"/>
          <w:szCs w:val="20"/>
          <w:bdr w:val="none" w:sz="0" w:space="0" w:color="auto"/>
        </w:rPr>
        <w:t xml:space="preserve"> </w:t>
      </w:r>
    </w:p>
    <w:p w14:paraId="3C1DA4CF"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bdr w:val="none" w:sz="0" w:space="0" w:color="auto"/>
        </w:rPr>
      </w:pPr>
    </w:p>
    <w:p w14:paraId="58486D91" w14:textId="77777777" w:rsidR="00041CFE" w:rsidRPr="00041CFE" w:rsidRDefault="00041CFE" w:rsidP="00041CFE">
      <w:pPr>
        <w:pStyle w:val="Heading2"/>
        <w:keepLines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spacing w:before="0"/>
        <w:ind w:left="0" w:firstLine="0"/>
        <w:jc w:val="both"/>
        <w:rPr>
          <w:rFonts w:ascii="Cambria" w:hAnsi="Cambria"/>
          <w:i/>
          <w:sz w:val="20"/>
          <w:szCs w:val="20"/>
        </w:rPr>
      </w:pPr>
      <w:bookmarkStart w:id="16" w:name="_Toc3543641"/>
      <w:bookmarkStart w:id="17" w:name="_Toc5953491"/>
      <w:r w:rsidRPr="00041CFE">
        <w:rPr>
          <w:rFonts w:ascii="Cambria" w:hAnsi="Cambria"/>
          <w:color w:val="auto"/>
          <w:sz w:val="20"/>
          <w:szCs w:val="20"/>
        </w:rPr>
        <w:t>Criminal proceedings</w:t>
      </w:r>
      <w:bookmarkEnd w:id="16"/>
      <w:bookmarkEnd w:id="17"/>
      <w:r w:rsidRPr="00041CFE">
        <w:rPr>
          <w:rFonts w:ascii="Cambria" w:hAnsi="Cambria"/>
          <w:color w:val="auto"/>
          <w:sz w:val="20"/>
          <w:szCs w:val="20"/>
        </w:rPr>
        <w:t xml:space="preserve"> </w:t>
      </w:r>
    </w:p>
    <w:p w14:paraId="6DA041BE"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38070FB5"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Theme="majorHAnsi" w:hAnsiTheme="majorHAnsi"/>
          <w:sz w:val="20"/>
          <w:szCs w:val="20"/>
        </w:rPr>
        <w:t xml:space="preserve">On July </w:t>
      </w:r>
      <w:r w:rsidRPr="00310C0B">
        <w:rPr>
          <w:rFonts w:ascii="Cambria" w:hAnsi="Cambria"/>
          <w:sz w:val="20"/>
          <w:szCs w:val="20"/>
        </w:rPr>
        <w:t>23</w:t>
      </w:r>
      <w:r>
        <w:rPr>
          <w:rFonts w:ascii="Cambria" w:hAnsi="Cambria"/>
          <w:sz w:val="20"/>
          <w:szCs w:val="20"/>
        </w:rPr>
        <w:t>,</w:t>
      </w:r>
      <w:r w:rsidRPr="00310C0B">
        <w:rPr>
          <w:rFonts w:ascii="Cambria" w:hAnsi="Cambria"/>
          <w:sz w:val="20"/>
          <w:szCs w:val="20"/>
        </w:rPr>
        <w:t xml:space="preserve"> 2001</w:t>
      </w:r>
      <w:r>
        <w:rPr>
          <w:rFonts w:ascii="Cambria" w:hAnsi="Cambria"/>
          <w:sz w:val="20"/>
          <w:szCs w:val="20"/>
        </w:rPr>
        <w:t xml:space="preserve">, the alleged victim’s father filed a complaint for the disappearance of his son with the Judicial Police of </w:t>
      </w:r>
      <w:r w:rsidRPr="00310C0B">
        <w:rPr>
          <w:rFonts w:ascii="Cambria" w:hAnsi="Cambria"/>
          <w:sz w:val="20"/>
          <w:szCs w:val="20"/>
        </w:rPr>
        <w:t>Tungurahua</w:t>
      </w:r>
      <w:r>
        <w:rPr>
          <w:rFonts w:ascii="Cambria" w:hAnsi="Cambria"/>
          <w:sz w:val="20"/>
          <w:szCs w:val="20"/>
        </w:rPr>
        <w:t>.</w:t>
      </w:r>
      <w:r w:rsidRPr="00310C0B">
        <w:rPr>
          <w:rStyle w:val="FootnoteReference"/>
          <w:rFonts w:asciiTheme="majorHAnsi" w:hAnsiTheme="majorHAnsi"/>
          <w:color w:val="000000" w:themeColor="text1"/>
          <w:sz w:val="20"/>
          <w:szCs w:val="20"/>
        </w:rPr>
        <w:footnoteReference w:id="25"/>
      </w:r>
      <w:r w:rsidRPr="00310C0B">
        <w:rPr>
          <w:rFonts w:ascii="Cambria" w:hAnsi="Cambria"/>
          <w:sz w:val="20"/>
          <w:szCs w:val="20"/>
        </w:rPr>
        <w:t xml:space="preserve"> </w:t>
      </w:r>
    </w:p>
    <w:p w14:paraId="01F26BFF"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sz w:val="20"/>
          <w:szCs w:val="20"/>
        </w:rPr>
      </w:pPr>
    </w:p>
    <w:p w14:paraId="4C25D5ED"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Cambria" w:hAnsi="Cambria"/>
          <w:sz w:val="20"/>
          <w:szCs w:val="20"/>
        </w:rPr>
        <w:t xml:space="preserve">On August </w:t>
      </w:r>
      <w:r w:rsidRPr="00310C0B">
        <w:rPr>
          <w:rFonts w:ascii="Cambria" w:hAnsi="Cambria"/>
          <w:sz w:val="20"/>
          <w:szCs w:val="20"/>
        </w:rPr>
        <w:t>13</w:t>
      </w:r>
      <w:r>
        <w:rPr>
          <w:rFonts w:ascii="Cambria" w:hAnsi="Cambria"/>
          <w:sz w:val="20"/>
          <w:szCs w:val="20"/>
        </w:rPr>
        <w:t>,</w:t>
      </w:r>
      <w:r w:rsidRPr="00310C0B">
        <w:rPr>
          <w:rFonts w:ascii="Cambria" w:hAnsi="Cambria"/>
          <w:sz w:val="20"/>
          <w:szCs w:val="20"/>
        </w:rPr>
        <w:t xml:space="preserve"> 2001</w:t>
      </w:r>
      <w:r>
        <w:rPr>
          <w:rFonts w:ascii="Cambria" w:hAnsi="Cambria"/>
          <w:sz w:val="20"/>
          <w:szCs w:val="20"/>
        </w:rPr>
        <w:t>, the Inspector General of the National Police asked for the investigations to be opened and added five police reports written by different police officers</w:t>
      </w:r>
      <w:r w:rsidRPr="005B5BBA">
        <w:rPr>
          <w:rFonts w:ascii="Cambria" w:hAnsi="Cambria"/>
          <w:sz w:val="20"/>
          <w:szCs w:val="20"/>
        </w:rPr>
        <w:t xml:space="preserve"> </w:t>
      </w:r>
      <w:r>
        <w:rPr>
          <w:rFonts w:ascii="Cambria" w:hAnsi="Cambria"/>
          <w:sz w:val="20"/>
          <w:szCs w:val="20"/>
        </w:rPr>
        <w:t xml:space="preserve">to the case file, confirming the arrest </w:t>
      </w:r>
      <w:r>
        <w:rPr>
          <w:rFonts w:ascii="Cambria" w:hAnsi="Cambria"/>
          <w:sz w:val="20"/>
          <w:szCs w:val="20"/>
        </w:rPr>
        <w:lastRenderedPageBreak/>
        <w:t xml:space="preserve">of </w:t>
      </w:r>
      <w:r>
        <w:rPr>
          <w:rFonts w:asciiTheme="majorHAnsi" w:hAnsiTheme="majorHAnsi"/>
          <w:color w:val="000000" w:themeColor="text1"/>
          <w:sz w:val="20"/>
          <w:szCs w:val="20"/>
        </w:rPr>
        <w:t>Fredy Núñez, Octavio Morales and</w:t>
      </w:r>
      <w:r w:rsidRPr="00310C0B">
        <w:rPr>
          <w:rFonts w:asciiTheme="majorHAnsi" w:hAnsiTheme="majorHAnsi"/>
          <w:color w:val="000000" w:themeColor="text1"/>
          <w:sz w:val="20"/>
          <w:szCs w:val="20"/>
        </w:rPr>
        <w:t xml:space="preserve"> Orlando Freire, </w:t>
      </w:r>
      <w:r>
        <w:rPr>
          <w:rFonts w:asciiTheme="majorHAnsi" w:hAnsiTheme="majorHAnsi"/>
          <w:color w:val="000000" w:themeColor="text1"/>
          <w:sz w:val="20"/>
          <w:szCs w:val="20"/>
        </w:rPr>
        <w:t xml:space="preserve">as well as the incidents arising at the facilities of the police station of the Canton of Quero, and the subsequent capture of </w:t>
      </w:r>
      <w:r w:rsidRPr="00310C0B">
        <w:rPr>
          <w:rFonts w:asciiTheme="majorHAnsi" w:hAnsiTheme="majorHAnsi"/>
          <w:color w:val="000000" w:themeColor="text1"/>
          <w:sz w:val="20"/>
          <w:szCs w:val="20"/>
        </w:rPr>
        <w:t xml:space="preserve">Fredy Núñez </w:t>
      </w:r>
      <w:r>
        <w:rPr>
          <w:rFonts w:asciiTheme="majorHAnsi" w:hAnsiTheme="majorHAnsi"/>
          <w:color w:val="000000" w:themeColor="text1"/>
          <w:sz w:val="20"/>
          <w:szCs w:val="20"/>
        </w:rPr>
        <w:t>by those who broke into said premises.</w:t>
      </w:r>
      <w:r w:rsidRPr="00310C0B">
        <w:rPr>
          <w:rStyle w:val="FootnoteReference"/>
          <w:rFonts w:asciiTheme="majorHAnsi" w:hAnsiTheme="majorHAnsi"/>
          <w:color w:val="000000" w:themeColor="text1"/>
          <w:sz w:val="20"/>
          <w:szCs w:val="20"/>
        </w:rPr>
        <w:footnoteReference w:id="26"/>
      </w:r>
      <w:r w:rsidRPr="00310C0B">
        <w:rPr>
          <w:rFonts w:ascii="Cambria" w:hAnsi="Cambria"/>
          <w:sz w:val="20"/>
          <w:szCs w:val="20"/>
        </w:rPr>
        <w:t xml:space="preserve"> </w:t>
      </w:r>
    </w:p>
    <w:p w14:paraId="628CB918" w14:textId="77777777" w:rsidR="00041CFE" w:rsidRPr="00310C0B" w:rsidRDefault="00041CFE" w:rsidP="00041CFE">
      <w:pPr>
        <w:pStyle w:val="ListParagraph"/>
        <w:rPr>
          <w:sz w:val="20"/>
          <w:szCs w:val="20"/>
        </w:rPr>
      </w:pPr>
    </w:p>
    <w:p w14:paraId="4BA5AFF3"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Cambria" w:hAnsi="Cambria"/>
          <w:sz w:val="20"/>
          <w:szCs w:val="20"/>
        </w:rPr>
        <w:t xml:space="preserve">On August </w:t>
      </w:r>
      <w:r w:rsidRPr="00310C0B">
        <w:rPr>
          <w:rFonts w:ascii="Cambria" w:hAnsi="Cambria"/>
          <w:sz w:val="20"/>
          <w:szCs w:val="20"/>
        </w:rPr>
        <w:t>15</w:t>
      </w:r>
      <w:r>
        <w:rPr>
          <w:rFonts w:ascii="Cambria" w:hAnsi="Cambria"/>
          <w:sz w:val="20"/>
          <w:szCs w:val="20"/>
        </w:rPr>
        <w:t>,</w:t>
      </w:r>
      <w:r w:rsidRPr="00310C0B">
        <w:rPr>
          <w:rFonts w:ascii="Cambria" w:hAnsi="Cambria"/>
          <w:sz w:val="20"/>
          <w:szCs w:val="20"/>
        </w:rPr>
        <w:t xml:space="preserve"> 2001</w:t>
      </w:r>
      <w:r>
        <w:rPr>
          <w:rFonts w:ascii="Cambria" w:hAnsi="Cambria"/>
          <w:sz w:val="20"/>
          <w:szCs w:val="20"/>
        </w:rPr>
        <w:t xml:space="preserve">, a statement was given by police officer </w:t>
      </w:r>
      <w:r w:rsidRPr="00310C0B">
        <w:rPr>
          <w:rFonts w:ascii="Cambria" w:hAnsi="Cambria"/>
          <w:sz w:val="20"/>
          <w:szCs w:val="20"/>
        </w:rPr>
        <w:t xml:space="preserve">Marcelo Fabian Velasco Jacome, </w:t>
      </w:r>
      <w:r>
        <w:rPr>
          <w:rFonts w:ascii="Cambria" w:hAnsi="Cambria"/>
          <w:sz w:val="20"/>
          <w:szCs w:val="20"/>
        </w:rPr>
        <w:t xml:space="preserve">who participated in the detention of the alleged victim, and he stated that on July 15, 2001, after the detention, at around 5:00 or 5:30 PM, approximately 400 people arrived in the Station who “broke through the jail security and freed the two members of the Puñachisag Community” (…) and took </w:t>
      </w:r>
      <w:r w:rsidRPr="00310C0B">
        <w:rPr>
          <w:rFonts w:ascii="Cambria" w:hAnsi="Cambria"/>
          <w:sz w:val="20"/>
          <w:szCs w:val="20"/>
        </w:rPr>
        <w:t>Fredy Marcelo Núñez Naranjo</w:t>
      </w:r>
      <w:r>
        <w:rPr>
          <w:rFonts w:ascii="Cambria" w:hAnsi="Cambria"/>
          <w:sz w:val="20"/>
          <w:szCs w:val="20"/>
        </w:rPr>
        <w:t>,  Gregoria Naranjo and</w:t>
      </w:r>
      <w:r w:rsidRPr="00310C0B">
        <w:rPr>
          <w:rFonts w:ascii="Cambria" w:hAnsi="Cambria"/>
          <w:sz w:val="20"/>
          <w:szCs w:val="20"/>
        </w:rPr>
        <w:t xml:space="preserve"> Marcia Núñez</w:t>
      </w:r>
      <w:r>
        <w:rPr>
          <w:rFonts w:ascii="Cambria" w:hAnsi="Cambria"/>
          <w:sz w:val="20"/>
          <w:szCs w:val="20"/>
        </w:rPr>
        <w:t xml:space="preserve"> hostage</w:t>
      </w:r>
      <w:r w:rsidRPr="00310C0B">
        <w:rPr>
          <w:rFonts w:ascii="Cambria" w:hAnsi="Cambria"/>
          <w:sz w:val="20"/>
          <w:szCs w:val="20"/>
        </w:rPr>
        <w:t xml:space="preserve">. </w:t>
      </w:r>
      <w:r>
        <w:rPr>
          <w:rFonts w:ascii="Cambria" w:hAnsi="Cambria"/>
          <w:sz w:val="20"/>
          <w:szCs w:val="20"/>
        </w:rPr>
        <w:t>When he was asked whether the Provincial Commander is aware of what happened to the alleged victim he stated: “the Provincial Commander is aware of this development, likewise, the authorities of this locality have not gotten involved.</w:t>
      </w:r>
      <w:r w:rsidRPr="00310C0B">
        <w:rPr>
          <w:rFonts w:ascii="Cambria" w:hAnsi="Cambria"/>
          <w:sz w:val="20"/>
          <w:szCs w:val="20"/>
        </w:rPr>
        <w:t>”</w:t>
      </w:r>
      <w:r w:rsidRPr="00310C0B">
        <w:rPr>
          <w:rStyle w:val="FootnoteReference"/>
          <w:rFonts w:ascii="Cambria" w:hAnsi="Cambria"/>
          <w:sz w:val="20"/>
          <w:szCs w:val="20"/>
        </w:rPr>
        <w:footnoteReference w:id="27"/>
      </w:r>
      <w:r w:rsidRPr="00310C0B">
        <w:rPr>
          <w:rFonts w:ascii="Cambria" w:hAnsi="Cambria"/>
          <w:sz w:val="20"/>
          <w:szCs w:val="20"/>
        </w:rPr>
        <w:t xml:space="preserve"> </w:t>
      </w:r>
    </w:p>
    <w:p w14:paraId="2E5BDC23" w14:textId="77777777" w:rsidR="00041CFE" w:rsidRPr="00310C0B" w:rsidRDefault="00041CFE" w:rsidP="00041CFE">
      <w:pPr>
        <w:pStyle w:val="ListParagraph"/>
        <w:rPr>
          <w:sz w:val="20"/>
          <w:szCs w:val="20"/>
        </w:rPr>
      </w:pPr>
    </w:p>
    <w:p w14:paraId="151902E9"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Cambria" w:hAnsi="Cambria"/>
          <w:sz w:val="20"/>
          <w:szCs w:val="20"/>
        </w:rPr>
        <w:t xml:space="preserve">On the same date, a statement was given by police officer </w:t>
      </w:r>
      <w:r w:rsidRPr="00310C0B">
        <w:rPr>
          <w:rFonts w:ascii="Cambria" w:hAnsi="Cambria"/>
          <w:sz w:val="20"/>
          <w:szCs w:val="20"/>
        </w:rPr>
        <w:t xml:space="preserve">Luis Amable Paredes Valle, </w:t>
      </w:r>
      <w:r>
        <w:rPr>
          <w:rFonts w:ascii="Cambria" w:hAnsi="Cambria"/>
          <w:sz w:val="20"/>
          <w:szCs w:val="20"/>
        </w:rPr>
        <w:t xml:space="preserve">who state, when asked about the actions taken to investigate the whereabouts of the alleged victim, that “contact has been made with the different authorities of the Canton, in order to ascertain the whereabouts of citizen </w:t>
      </w:r>
      <w:r w:rsidRPr="00310C0B">
        <w:rPr>
          <w:rFonts w:ascii="Cambria" w:hAnsi="Cambria"/>
          <w:sz w:val="20"/>
          <w:szCs w:val="20"/>
        </w:rPr>
        <w:t xml:space="preserve">Fredy Núñez Naranjo, </w:t>
      </w:r>
      <w:r>
        <w:rPr>
          <w:rFonts w:ascii="Cambria" w:hAnsi="Cambria"/>
          <w:sz w:val="20"/>
          <w:szCs w:val="20"/>
        </w:rPr>
        <w:t>without anyone collaborating in this regard.</w:t>
      </w:r>
      <w:r w:rsidRPr="00310C0B">
        <w:rPr>
          <w:rFonts w:ascii="Cambria" w:hAnsi="Cambria"/>
          <w:sz w:val="20"/>
          <w:szCs w:val="20"/>
        </w:rPr>
        <w:t>”</w:t>
      </w:r>
      <w:r w:rsidRPr="00310C0B">
        <w:rPr>
          <w:rStyle w:val="FootnoteReference"/>
          <w:rFonts w:ascii="Cambria" w:hAnsi="Cambria"/>
          <w:sz w:val="20"/>
          <w:szCs w:val="20"/>
        </w:rPr>
        <w:footnoteReference w:id="28"/>
      </w:r>
    </w:p>
    <w:p w14:paraId="7B91501A" w14:textId="77777777" w:rsidR="00041CFE" w:rsidRPr="00310C0B" w:rsidRDefault="00041CFE" w:rsidP="00041CFE">
      <w:pPr>
        <w:pStyle w:val="ListParagraph"/>
        <w:rPr>
          <w:rFonts w:asciiTheme="majorHAnsi" w:hAnsiTheme="majorHAnsi"/>
          <w:color w:val="000000" w:themeColor="text1"/>
          <w:sz w:val="20"/>
          <w:szCs w:val="20"/>
        </w:rPr>
      </w:pPr>
    </w:p>
    <w:p w14:paraId="10BADCC6"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Theme="majorHAnsi" w:hAnsiTheme="majorHAnsi"/>
          <w:color w:val="000000" w:themeColor="text1"/>
          <w:sz w:val="20"/>
          <w:szCs w:val="20"/>
        </w:rPr>
        <w:t xml:space="preserve">On August </w:t>
      </w:r>
      <w:r w:rsidRPr="00310C0B">
        <w:rPr>
          <w:rFonts w:asciiTheme="majorHAnsi" w:hAnsiTheme="majorHAnsi"/>
          <w:color w:val="000000" w:themeColor="text1"/>
          <w:sz w:val="20"/>
          <w:szCs w:val="20"/>
        </w:rPr>
        <w:t>16</w:t>
      </w:r>
      <w:r>
        <w:rPr>
          <w:rFonts w:asciiTheme="majorHAnsi" w:hAnsiTheme="majorHAnsi"/>
          <w:color w:val="000000" w:themeColor="text1"/>
          <w:sz w:val="20"/>
          <w:szCs w:val="20"/>
        </w:rPr>
        <w:t>,</w:t>
      </w:r>
      <w:r w:rsidRPr="00310C0B">
        <w:rPr>
          <w:rFonts w:asciiTheme="majorHAnsi" w:hAnsiTheme="majorHAnsi"/>
          <w:color w:val="000000" w:themeColor="text1"/>
          <w:sz w:val="20"/>
          <w:szCs w:val="20"/>
        </w:rPr>
        <w:t xml:space="preserve"> 2001</w:t>
      </w:r>
      <w:r>
        <w:rPr>
          <w:rFonts w:asciiTheme="majorHAnsi" w:hAnsiTheme="majorHAnsi"/>
          <w:color w:val="000000" w:themeColor="text1"/>
          <w:sz w:val="20"/>
          <w:szCs w:val="20"/>
        </w:rPr>
        <w:t xml:space="preserve">, the National Police of Ecuador released an investigation report establishing that several investigatory steps were taken into the disappearance of </w:t>
      </w:r>
      <w:r w:rsidRPr="00310C0B">
        <w:rPr>
          <w:rFonts w:ascii="Cambria" w:hAnsi="Cambria"/>
          <w:sz w:val="20"/>
          <w:szCs w:val="20"/>
        </w:rPr>
        <w:t xml:space="preserve">Fredy Núñez Naranjo. </w:t>
      </w:r>
      <w:r>
        <w:rPr>
          <w:rFonts w:ascii="Cambria" w:hAnsi="Cambria"/>
          <w:sz w:val="20"/>
          <w:szCs w:val="20"/>
        </w:rPr>
        <w:t>In this report it is noted that the President of the</w:t>
      </w:r>
      <w:r w:rsidRPr="00310C0B">
        <w:rPr>
          <w:rFonts w:ascii="Cambria" w:hAnsi="Cambria"/>
          <w:sz w:val="20"/>
          <w:szCs w:val="20"/>
        </w:rPr>
        <w:t xml:space="preserve"> Juntas</w:t>
      </w:r>
      <w:r>
        <w:rPr>
          <w:rFonts w:ascii="Cambria" w:hAnsi="Cambria"/>
          <w:sz w:val="20"/>
          <w:szCs w:val="20"/>
        </w:rPr>
        <w:t xml:space="preserve"> del Campesinado of</w:t>
      </w:r>
      <w:r w:rsidRPr="00310C0B">
        <w:rPr>
          <w:rFonts w:ascii="Cambria" w:hAnsi="Cambria"/>
          <w:sz w:val="20"/>
          <w:szCs w:val="20"/>
        </w:rPr>
        <w:t xml:space="preserve"> Tungurahua </w:t>
      </w:r>
      <w:r>
        <w:rPr>
          <w:rFonts w:ascii="Cambria" w:hAnsi="Cambria"/>
          <w:sz w:val="20"/>
          <w:szCs w:val="20"/>
        </w:rPr>
        <w:t>mentioned that the alleged victim escaped from the jail of that community on July 15, 2001. It further notes that the Police have been unable to interview the family members of the alleged victim because they have claimed that they cannot give more information for fear of retaliation that could be taken by the Puñachisag and Shaushi community.</w:t>
      </w:r>
      <w:r w:rsidRPr="00310C0B">
        <w:rPr>
          <w:rStyle w:val="FootnoteReference"/>
          <w:rFonts w:ascii="Cambria" w:hAnsi="Cambria"/>
          <w:sz w:val="20"/>
          <w:szCs w:val="20"/>
        </w:rPr>
        <w:footnoteReference w:id="29"/>
      </w:r>
      <w:r w:rsidRPr="00310C0B">
        <w:rPr>
          <w:rFonts w:ascii="Cambria" w:hAnsi="Cambria"/>
          <w:sz w:val="20"/>
          <w:szCs w:val="20"/>
        </w:rPr>
        <w:t xml:space="preserve"> </w:t>
      </w:r>
    </w:p>
    <w:p w14:paraId="6BB45DFC" w14:textId="77777777" w:rsidR="00041CFE" w:rsidRPr="00310C0B" w:rsidRDefault="00041CFE" w:rsidP="00041CFE">
      <w:pPr>
        <w:pStyle w:val="ListParagraph"/>
        <w:rPr>
          <w:sz w:val="20"/>
          <w:szCs w:val="20"/>
        </w:rPr>
      </w:pPr>
    </w:p>
    <w:p w14:paraId="01868662"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Cambria" w:hAnsi="Cambria"/>
          <w:sz w:val="20"/>
          <w:szCs w:val="20"/>
        </w:rPr>
        <w:t xml:space="preserve">In the report, it was noted that at the interview of Mr. </w:t>
      </w:r>
      <w:r w:rsidRPr="00310C0B">
        <w:rPr>
          <w:rFonts w:ascii="Cambria" w:hAnsi="Cambria"/>
          <w:sz w:val="20"/>
          <w:szCs w:val="20"/>
        </w:rPr>
        <w:t>Sixto Rodriguez Núñez Naranjo</w:t>
      </w:r>
      <w:r>
        <w:rPr>
          <w:rFonts w:ascii="Cambria" w:hAnsi="Cambria"/>
          <w:sz w:val="20"/>
          <w:szCs w:val="20"/>
        </w:rPr>
        <w:t xml:space="preserve">, he stated that the Provincial Police Commander told him “to make contact with Police Major Carlos Aguiree, in order to coordinate with Dr. Manuel Gallegos to try to obtain information about the missing person. Dr. Gallegos told him that Fredy Marcel Núñez Naranjo is a member of a gang of felons that have been found to be up to no good in Quero Canton </w:t>
      </w:r>
      <w:r w:rsidRPr="00310C0B">
        <w:rPr>
          <w:rFonts w:ascii="Cambria" w:hAnsi="Cambria"/>
          <w:sz w:val="20"/>
          <w:szCs w:val="20"/>
        </w:rPr>
        <w:t>(…)</w:t>
      </w:r>
      <w:r>
        <w:rPr>
          <w:rFonts w:ascii="Cambria" w:hAnsi="Cambria"/>
          <w:sz w:val="20"/>
          <w:szCs w:val="20"/>
        </w:rPr>
        <w:t>.</w:t>
      </w:r>
      <w:r w:rsidRPr="00310C0B">
        <w:rPr>
          <w:rStyle w:val="FootnoteReference"/>
          <w:rFonts w:ascii="Cambria" w:hAnsi="Cambria"/>
          <w:sz w:val="20"/>
          <w:szCs w:val="20"/>
        </w:rPr>
        <w:footnoteReference w:id="30"/>
      </w:r>
      <w:r>
        <w:rPr>
          <w:rFonts w:ascii="Cambria" w:hAnsi="Cambria"/>
          <w:sz w:val="20"/>
          <w:szCs w:val="20"/>
        </w:rPr>
        <w:t>” In the report, it emphasizes as “pending work” to try to locate the alleged victim.</w:t>
      </w:r>
      <w:r w:rsidRPr="00310C0B">
        <w:rPr>
          <w:rStyle w:val="FootnoteReference"/>
          <w:rFonts w:ascii="Cambria" w:hAnsi="Cambria"/>
          <w:sz w:val="20"/>
          <w:szCs w:val="20"/>
        </w:rPr>
        <w:footnoteReference w:id="31"/>
      </w:r>
    </w:p>
    <w:p w14:paraId="20DE1E91" w14:textId="77777777" w:rsidR="00041CFE" w:rsidRPr="00310C0B" w:rsidRDefault="00041CFE" w:rsidP="00041CFE">
      <w:pPr>
        <w:pStyle w:val="ListParagraph"/>
        <w:rPr>
          <w:rFonts w:asciiTheme="majorHAnsi" w:hAnsiTheme="majorHAnsi"/>
          <w:sz w:val="20"/>
          <w:szCs w:val="20"/>
        </w:rPr>
      </w:pPr>
    </w:p>
    <w:p w14:paraId="044766AA"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Theme="majorHAnsi" w:hAnsiTheme="majorHAnsi"/>
          <w:sz w:val="20"/>
          <w:szCs w:val="20"/>
        </w:rPr>
        <w:t>Lastly, the report reflects that on July 29, 2001, more than 400 local rural residents (</w:t>
      </w:r>
      <w:r>
        <w:rPr>
          <w:rFonts w:asciiTheme="majorHAnsi" w:hAnsiTheme="majorHAnsi"/>
          <w:i/>
          <w:sz w:val="20"/>
          <w:szCs w:val="20"/>
        </w:rPr>
        <w:t>campesinos</w:t>
      </w:r>
      <w:r>
        <w:rPr>
          <w:rFonts w:asciiTheme="majorHAnsi" w:hAnsiTheme="majorHAnsi"/>
          <w:sz w:val="20"/>
          <w:szCs w:val="20"/>
        </w:rPr>
        <w:t>)</w:t>
      </w:r>
      <w:r>
        <w:rPr>
          <w:rFonts w:asciiTheme="majorHAnsi" w:hAnsiTheme="majorHAnsi"/>
          <w:i/>
          <w:sz w:val="20"/>
          <w:szCs w:val="20"/>
        </w:rPr>
        <w:t xml:space="preserve">, </w:t>
      </w:r>
      <w:r>
        <w:rPr>
          <w:rFonts w:asciiTheme="majorHAnsi" w:hAnsiTheme="majorHAnsi"/>
          <w:sz w:val="20"/>
          <w:szCs w:val="20"/>
        </w:rPr>
        <w:t>who belong to the communities of Quero Canton and are members of the Consortium of Rural Community Self-Defense Juntas held a march to demonstrate that they are tired of abuses committed by criminals, and that one of them is Fredy Marcelo Núñez, and they stated that “they are willing to collaborate and support the eight policemen who are detained in the city of Riobamba, to fight crime.</w:t>
      </w:r>
      <w:r w:rsidRPr="00310C0B">
        <w:rPr>
          <w:rFonts w:asciiTheme="majorHAnsi" w:hAnsiTheme="majorHAnsi"/>
          <w:sz w:val="20"/>
          <w:szCs w:val="20"/>
        </w:rPr>
        <w:t>”</w:t>
      </w:r>
      <w:r w:rsidRPr="00310C0B">
        <w:rPr>
          <w:rStyle w:val="FootnoteReference"/>
          <w:rFonts w:asciiTheme="majorHAnsi" w:hAnsiTheme="majorHAnsi"/>
          <w:sz w:val="20"/>
          <w:szCs w:val="20"/>
        </w:rPr>
        <w:footnoteReference w:id="32"/>
      </w:r>
    </w:p>
    <w:p w14:paraId="423A3966" w14:textId="77777777" w:rsidR="00041CFE" w:rsidRPr="00310C0B" w:rsidRDefault="00041CFE" w:rsidP="00041CFE">
      <w:pPr>
        <w:pStyle w:val="ListParagraph"/>
        <w:rPr>
          <w:rFonts w:asciiTheme="majorHAnsi" w:hAnsiTheme="majorHAnsi"/>
          <w:color w:val="000000" w:themeColor="text1"/>
          <w:sz w:val="20"/>
          <w:szCs w:val="20"/>
        </w:rPr>
      </w:pPr>
    </w:p>
    <w:p w14:paraId="4EB8D1A3"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Style w:val="apple-converted-space"/>
          <w:rFonts w:ascii="Cambria" w:hAnsi="Cambria"/>
          <w:sz w:val="20"/>
          <w:szCs w:val="20"/>
        </w:rPr>
      </w:pPr>
      <w:r>
        <w:rPr>
          <w:rFonts w:asciiTheme="majorHAnsi" w:hAnsiTheme="majorHAnsi"/>
          <w:color w:val="000000" w:themeColor="text1"/>
          <w:sz w:val="20"/>
          <w:szCs w:val="20"/>
        </w:rPr>
        <w:t xml:space="preserve">On November </w:t>
      </w:r>
      <w:r w:rsidRPr="00310C0B">
        <w:rPr>
          <w:rFonts w:ascii="Cambria" w:hAnsi="Cambria"/>
          <w:sz w:val="20"/>
          <w:szCs w:val="20"/>
        </w:rPr>
        <w:t>21</w:t>
      </w:r>
      <w:r>
        <w:rPr>
          <w:rFonts w:ascii="Cambria" w:hAnsi="Cambria"/>
          <w:sz w:val="20"/>
          <w:szCs w:val="20"/>
        </w:rPr>
        <w:t>,</w:t>
      </w:r>
      <w:r w:rsidRPr="00310C0B">
        <w:rPr>
          <w:rFonts w:ascii="Cambria" w:hAnsi="Cambria"/>
          <w:sz w:val="20"/>
          <w:szCs w:val="20"/>
        </w:rPr>
        <w:t xml:space="preserve"> 2001</w:t>
      </w:r>
      <w:r>
        <w:rPr>
          <w:rFonts w:ascii="Cambria" w:hAnsi="Cambria"/>
          <w:sz w:val="20"/>
          <w:szCs w:val="20"/>
        </w:rPr>
        <w:t xml:space="preserve">, the alleged victim’s father filed another complaint with the District Prosecutor of </w:t>
      </w:r>
      <w:r w:rsidRPr="00310C0B">
        <w:rPr>
          <w:rFonts w:ascii="Cambria" w:hAnsi="Cambria"/>
          <w:sz w:val="20"/>
          <w:szCs w:val="20"/>
        </w:rPr>
        <w:t xml:space="preserve">Tungurahua </w:t>
      </w:r>
      <w:r>
        <w:rPr>
          <w:rFonts w:ascii="Cambria" w:hAnsi="Cambria"/>
          <w:sz w:val="20"/>
          <w:szCs w:val="20"/>
        </w:rPr>
        <w:t xml:space="preserve">on the grounds that his son’s disappearance was caused by members of the Puñachisag communities, including </w:t>
      </w:r>
      <w:r w:rsidRPr="00310C0B">
        <w:rPr>
          <w:rFonts w:ascii="Cambria" w:hAnsi="Cambria"/>
          <w:sz w:val="20"/>
          <w:szCs w:val="20"/>
        </w:rPr>
        <w:t xml:space="preserve">Macario Raúl Bayas Villacrés </w:t>
      </w:r>
      <w:r>
        <w:rPr>
          <w:rFonts w:ascii="Cambria" w:hAnsi="Cambria"/>
          <w:sz w:val="20"/>
          <w:szCs w:val="20"/>
        </w:rPr>
        <w:t xml:space="preserve">and other individuals and he requested that proper </w:t>
      </w:r>
      <w:r>
        <w:rPr>
          <w:rFonts w:ascii="Cambria" w:hAnsi="Cambria"/>
          <w:sz w:val="20"/>
          <w:szCs w:val="20"/>
        </w:rPr>
        <w:lastRenderedPageBreak/>
        <w:t>investigations be conducted to find the perpetrators, accomplices</w:t>
      </w:r>
      <w:r w:rsidRPr="00310C0B">
        <w:rPr>
          <w:rFonts w:ascii="Cambria" w:hAnsi="Cambria"/>
          <w:bCs/>
          <w:sz w:val="20"/>
          <w:szCs w:val="20"/>
        </w:rPr>
        <w:t>,</w:t>
      </w:r>
      <w:r>
        <w:rPr>
          <w:rFonts w:ascii="Cambria" w:hAnsi="Cambria"/>
          <w:bCs/>
          <w:sz w:val="20"/>
          <w:szCs w:val="20"/>
        </w:rPr>
        <w:t xml:space="preserve"> and accessories.</w:t>
      </w:r>
      <w:r w:rsidRPr="00310C0B">
        <w:rPr>
          <w:rStyle w:val="FootnoteReference"/>
          <w:rFonts w:ascii="Cambria" w:hAnsi="Cambria"/>
          <w:bCs/>
          <w:sz w:val="20"/>
          <w:szCs w:val="20"/>
        </w:rPr>
        <w:footnoteReference w:id="33"/>
      </w:r>
      <w:r>
        <w:rPr>
          <w:rFonts w:ascii="Cambria" w:hAnsi="Cambria"/>
          <w:bCs/>
          <w:sz w:val="20"/>
          <w:szCs w:val="20"/>
        </w:rPr>
        <w:t xml:space="preserve"> He claimed that according to the police report, the alleged victim’s disappearance was in response to bodily harm that he caused to </w:t>
      </w:r>
      <w:r w:rsidRPr="00310C0B">
        <w:rPr>
          <w:rStyle w:val="apple-converted-space"/>
          <w:rFonts w:ascii="Cambria" w:hAnsi="Cambria"/>
          <w:bCs/>
          <w:sz w:val="20"/>
          <w:szCs w:val="20"/>
        </w:rPr>
        <w:t>Octavio Morales</w:t>
      </w:r>
      <w:r>
        <w:rPr>
          <w:rStyle w:val="apple-converted-space"/>
          <w:rFonts w:ascii="Cambria" w:hAnsi="Cambria"/>
          <w:bCs/>
          <w:sz w:val="20"/>
          <w:szCs w:val="20"/>
        </w:rPr>
        <w:t>.</w:t>
      </w:r>
      <w:r w:rsidRPr="00310C0B">
        <w:rPr>
          <w:rStyle w:val="FootnoteReference"/>
          <w:rFonts w:ascii="Cambria" w:hAnsi="Cambria"/>
          <w:bCs/>
          <w:sz w:val="20"/>
          <w:szCs w:val="20"/>
        </w:rPr>
        <w:footnoteReference w:id="34"/>
      </w:r>
      <w:r w:rsidRPr="00310C0B">
        <w:rPr>
          <w:rStyle w:val="apple-converted-space"/>
          <w:rFonts w:ascii="Cambria" w:hAnsi="Cambria"/>
          <w:bCs/>
          <w:sz w:val="20"/>
          <w:szCs w:val="20"/>
        </w:rPr>
        <w:t xml:space="preserve"> </w:t>
      </w:r>
    </w:p>
    <w:p w14:paraId="234F38A0" w14:textId="77777777" w:rsidR="00041CFE" w:rsidRPr="00310C0B" w:rsidRDefault="00041CFE" w:rsidP="00041CFE">
      <w:pPr>
        <w:pStyle w:val="ListParagraph"/>
        <w:rPr>
          <w:rStyle w:val="apple-converted-space"/>
          <w:rFonts w:asciiTheme="majorHAnsi" w:hAnsiTheme="majorHAnsi"/>
          <w:sz w:val="20"/>
          <w:szCs w:val="20"/>
        </w:rPr>
      </w:pPr>
    </w:p>
    <w:p w14:paraId="313C26DF"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Style w:val="apple-converted-space"/>
          <w:rFonts w:asciiTheme="majorHAnsi" w:hAnsiTheme="majorHAnsi"/>
          <w:sz w:val="20"/>
          <w:szCs w:val="20"/>
        </w:rPr>
        <w:t xml:space="preserve">On April </w:t>
      </w:r>
      <w:r w:rsidRPr="00310C0B">
        <w:rPr>
          <w:rStyle w:val="apple-converted-space"/>
          <w:rFonts w:asciiTheme="majorHAnsi" w:hAnsiTheme="majorHAnsi"/>
          <w:sz w:val="20"/>
          <w:szCs w:val="20"/>
        </w:rPr>
        <w:t>26</w:t>
      </w:r>
      <w:r>
        <w:rPr>
          <w:rStyle w:val="apple-converted-space"/>
          <w:rFonts w:asciiTheme="majorHAnsi" w:hAnsiTheme="majorHAnsi"/>
          <w:sz w:val="20"/>
          <w:szCs w:val="20"/>
        </w:rPr>
        <w:t>,</w:t>
      </w:r>
      <w:r w:rsidRPr="00310C0B">
        <w:rPr>
          <w:rStyle w:val="apple-converted-space"/>
          <w:rFonts w:asciiTheme="majorHAnsi" w:hAnsiTheme="majorHAnsi"/>
          <w:sz w:val="20"/>
          <w:szCs w:val="20"/>
        </w:rPr>
        <w:t xml:space="preserve"> 2002</w:t>
      </w:r>
      <w:r>
        <w:rPr>
          <w:rStyle w:val="apple-converted-space"/>
          <w:rFonts w:asciiTheme="majorHAnsi" w:hAnsiTheme="majorHAnsi"/>
          <w:sz w:val="20"/>
          <w:szCs w:val="20"/>
        </w:rPr>
        <w:t>, the facilities where the National Police of Quero Canton operated was inspected, as was the jail where the alleged victim was held; however, no physical damage was found.</w:t>
      </w:r>
      <w:r w:rsidRPr="00310C0B">
        <w:rPr>
          <w:rStyle w:val="FootnoteReference"/>
          <w:rFonts w:ascii="Cambria" w:hAnsi="Cambria"/>
          <w:sz w:val="20"/>
          <w:szCs w:val="20"/>
        </w:rPr>
        <w:footnoteReference w:id="35"/>
      </w:r>
      <w:r w:rsidRPr="00310C0B">
        <w:rPr>
          <w:rFonts w:ascii="Cambria" w:hAnsi="Cambria"/>
          <w:sz w:val="20"/>
          <w:szCs w:val="20"/>
        </w:rPr>
        <w:t xml:space="preserve"> </w:t>
      </w:r>
      <w:r>
        <w:rPr>
          <w:rFonts w:ascii="Cambria" w:hAnsi="Cambria"/>
          <w:sz w:val="20"/>
          <w:szCs w:val="20"/>
        </w:rPr>
        <w:t>It must be noted that this inspection was carried out nine months after the events occurred.</w:t>
      </w:r>
      <w:r w:rsidRPr="00310C0B">
        <w:rPr>
          <w:rStyle w:val="FootnoteReference"/>
          <w:rFonts w:ascii="Cambria" w:hAnsi="Cambria"/>
          <w:sz w:val="20"/>
          <w:szCs w:val="20"/>
        </w:rPr>
        <w:footnoteReference w:id="36"/>
      </w:r>
      <w:r w:rsidRPr="00310C0B">
        <w:rPr>
          <w:rFonts w:ascii="Cambria" w:hAnsi="Cambria"/>
          <w:sz w:val="20"/>
          <w:szCs w:val="20"/>
        </w:rPr>
        <w:t xml:space="preserve"> </w:t>
      </w:r>
    </w:p>
    <w:p w14:paraId="6BABFD32" w14:textId="77777777" w:rsidR="00041CFE" w:rsidRPr="00310C0B" w:rsidRDefault="00041CFE" w:rsidP="00041CFE">
      <w:pPr>
        <w:pStyle w:val="ListParagraph"/>
        <w:rPr>
          <w:rFonts w:asciiTheme="majorHAnsi" w:hAnsiTheme="majorHAnsi"/>
          <w:sz w:val="20"/>
          <w:szCs w:val="20"/>
        </w:rPr>
      </w:pPr>
    </w:p>
    <w:p w14:paraId="401D4C3E"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Style w:val="apple-converted-space"/>
          <w:rFonts w:ascii="Cambria" w:hAnsi="Cambria"/>
          <w:sz w:val="20"/>
          <w:szCs w:val="20"/>
        </w:rPr>
      </w:pPr>
      <w:r>
        <w:rPr>
          <w:rFonts w:asciiTheme="majorHAnsi" w:hAnsiTheme="majorHAnsi"/>
          <w:sz w:val="20"/>
          <w:szCs w:val="20"/>
        </w:rPr>
        <w:t xml:space="preserve">On May </w:t>
      </w:r>
      <w:r w:rsidRPr="00310C0B">
        <w:rPr>
          <w:rFonts w:asciiTheme="majorHAnsi" w:hAnsiTheme="majorHAnsi"/>
          <w:sz w:val="20"/>
          <w:szCs w:val="20"/>
        </w:rPr>
        <w:t>8</w:t>
      </w:r>
      <w:r>
        <w:rPr>
          <w:rFonts w:asciiTheme="majorHAnsi" w:hAnsiTheme="majorHAnsi"/>
          <w:sz w:val="20"/>
          <w:szCs w:val="20"/>
        </w:rPr>
        <w:t>,</w:t>
      </w:r>
      <w:r w:rsidRPr="00310C0B">
        <w:rPr>
          <w:rFonts w:asciiTheme="majorHAnsi" w:hAnsiTheme="majorHAnsi"/>
          <w:sz w:val="20"/>
          <w:szCs w:val="20"/>
        </w:rPr>
        <w:t xml:space="preserve"> 2002</w:t>
      </w:r>
      <w:r>
        <w:rPr>
          <w:rFonts w:asciiTheme="majorHAnsi" w:hAnsiTheme="majorHAnsi"/>
          <w:sz w:val="20"/>
          <w:szCs w:val="20"/>
        </w:rPr>
        <w:t xml:space="preserve"> the Prosecutor of the District of </w:t>
      </w:r>
      <w:r w:rsidRPr="00310C0B">
        <w:rPr>
          <w:rFonts w:asciiTheme="majorHAnsi" w:hAnsiTheme="majorHAnsi"/>
          <w:sz w:val="20"/>
          <w:szCs w:val="20"/>
        </w:rPr>
        <w:t>Tungurahua</w:t>
      </w:r>
      <w:r>
        <w:rPr>
          <w:rFonts w:asciiTheme="majorHAnsi" w:hAnsiTheme="majorHAnsi"/>
          <w:sz w:val="20"/>
          <w:szCs w:val="20"/>
        </w:rPr>
        <w:t xml:space="preserve"> brought formal charges for the crime of abduction against </w:t>
      </w:r>
      <w:r w:rsidRPr="00310C0B">
        <w:rPr>
          <w:rFonts w:ascii="Cambria" w:hAnsi="Cambria"/>
          <w:sz w:val="20"/>
          <w:szCs w:val="20"/>
        </w:rPr>
        <w:t>Luis Adan Segundo Bemos Casa,</w:t>
      </w:r>
      <w:r w:rsidRPr="00310C0B">
        <w:rPr>
          <w:rStyle w:val="apple-converted-space"/>
          <w:rFonts w:ascii="Cambria" w:hAnsi="Cambria"/>
          <w:sz w:val="20"/>
          <w:szCs w:val="20"/>
        </w:rPr>
        <w:t xml:space="preserve"> </w:t>
      </w:r>
      <w:r w:rsidRPr="00310C0B">
        <w:rPr>
          <w:rFonts w:ascii="Cambria" w:hAnsi="Cambria"/>
          <w:sz w:val="20"/>
          <w:szCs w:val="20"/>
        </w:rPr>
        <w:t>Macario Raúl Bayas Villacrés,</w:t>
      </w:r>
      <w:r w:rsidRPr="00310C0B">
        <w:rPr>
          <w:rStyle w:val="apple-converted-space"/>
          <w:rFonts w:ascii="Cambria" w:hAnsi="Cambria"/>
          <w:sz w:val="20"/>
          <w:szCs w:val="20"/>
        </w:rPr>
        <w:t xml:space="preserve"> </w:t>
      </w:r>
      <w:r w:rsidRPr="00310C0B">
        <w:rPr>
          <w:rFonts w:ascii="Cambria" w:hAnsi="Cambria"/>
          <w:sz w:val="20"/>
          <w:szCs w:val="20"/>
        </w:rPr>
        <w:t>Luis Bolívar Tipan Salan,</w:t>
      </w:r>
      <w:r w:rsidRPr="00310C0B">
        <w:rPr>
          <w:rStyle w:val="apple-converted-space"/>
          <w:rFonts w:ascii="Cambria" w:hAnsi="Cambria"/>
          <w:sz w:val="20"/>
          <w:szCs w:val="20"/>
        </w:rPr>
        <w:t> </w:t>
      </w:r>
      <w:r w:rsidRPr="00310C0B">
        <w:rPr>
          <w:rFonts w:ascii="Cambria" w:hAnsi="Cambria"/>
          <w:sz w:val="20"/>
          <w:szCs w:val="20"/>
        </w:rPr>
        <w:t>Holger Adán Bemos Sánchez,</w:t>
      </w:r>
      <w:r w:rsidRPr="00310C0B">
        <w:rPr>
          <w:rStyle w:val="apple-converted-space"/>
          <w:rFonts w:ascii="Cambria" w:hAnsi="Cambria"/>
          <w:sz w:val="20"/>
          <w:szCs w:val="20"/>
        </w:rPr>
        <w:t> </w:t>
      </w:r>
      <w:r w:rsidRPr="00310C0B">
        <w:rPr>
          <w:rFonts w:ascii="Cambria" w:hAnsi="Cambria"/>
          <w:sz w:val="20"/>
          <w:szCs w:val="20"/>
        </w:rPr>
        <w:t>Fausto Aníbal Jerez Llamuca,</w:t>
      </w:r>
      <w:r w:rsidRPr="00310C0B">
        <w:rPr>
          <w:rStyle w:val="apple-converted-space"/>
          <w:rFonts w:ascii="Cambria" w:hAnsi="Cambria"/>
          <w:sz w:val="20"/>
          <w:szCs w:val="20"/>
        </w:rPr>
        <w:t> </w:t>
      </w:r>
      <w:r w:rsidRPr="00310C0B">
        <w:rPr>
          <w:rFonts w:ascii="Cambria" w:hAnsi="Cambria"/>
          <w:sz w:val="20"/>
          <w:szCs w:val="20"/>
        </w:rPr>
        <w:t xml:space="preserve">Edwin Absalón Cevallos Villacres </w:t>
      </w:r>
      <w:r>
        <w:rPr>
          <w:rFonts w:ascii="Cambria" w:hAnsi="Cambria"/>
          <w:sz w:val="20"/>
          <w:szCs w:val="20"/>
        </w:rPr>
        <w:t>and</w:t>
      </w:r>
      <w:r w:rsidRPr="00310C0B">
        <w:rPr>
          <w:rStyle w:val="apple-converted-space"/>
          <w:rFonts w:ascii="Cambria" w:hAnsi="Cambria"/>
          <w:sz w:val="20"/>
          <w:szCs w:val="20"/>
        </w:rPr>
        <w:t> </w:t>
      </w:r>
      <w:r w:rsidRPr="00310C0B">
        <w:rPr>
          <w:rFonts w:ascii="Cambria" w:hAnsi="Cambria"/>
          <w:sz w:val="20"/>
          <w:szCs w:val="20"/>
        </w:rPr>
        <w:t xml:space="preserve">María Umbelina Barreno Sánchez, </w:t>
      </w:r>
      <w:r>
        <w:rPr>
          <w:rFonts w:ascii="Cambria" w:hAnsi="Cambria"/>
          <w:sz w:val="20"/>
          <w:szCs w:val="20"/>
        </w:rPr>
        <w:t xml:space="preserve">and forwarded the case proceedings to the Fourth Criminal Court of </w:t>
      </w:r>
      <w:r w:rsidRPr="00310C0B">
        <w:rPr>
          <w:rFonts w:ascii="Cambria" w:hAnsi="Cambria"/>
          <w:sz w:val="20"/>
          <w:szCs w:val="20"/>
        </w:rPr>
        <w:t xml:space="preserve">Tungurahua </w:t>
      </w:r>
      <w:r>
        <w:rPr>
          <w:rFonts w:ascii="Cambria" w:hAnsi="Cambria"/>
          <w:sz w:val="20"/>
          <w:szCs w:val="20"/>
        </w:rPr>
        <w:t>on the same date.</w:t>
      </w:r>
      <w:r w:rsidRPr="00310C0B">
        <w:rPr>
          <w:rStyle w:val="FootnoteReference"/>
          <w:rFonts w:ascii="Cambria" w:hAnsi="Cambria"/>
          <w:sz w:val="20"/>
          <w:szCs w:val="20"/>
        </w:rPr>
        <w:footnoteReference w:id="37"/>
      </w:r>
    </w:p>
    <w:p w14:paraId="3F02C1B6" w14:textId="77777777" w:rsidR="00041CFE" w:rsidRPr="00310C0B" w:rsidRDefault="00041CFE" w:rsidP="00041CFE">
      <w:pPr>
        <w:pStyle w:val="ListParagraph"/>
        <w:rPr>
          <w:sz w:val="20"/>
          <w:szCs w:val="20"/>
        </w:rPr>
      </w:pPr>
    </w:p>
    <w:p w14:paraId="67CE3F21"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Cambria" w:hAnsi="Cambria"/>
          <w:sz w:val="20"/>
          <w:szCs w:val="20"/>
        </w:rPr>
        <w:t xml:space="preserve">On May </w:t>
      </w:r>
      <w:r w:rsidRPr="00310C0B">
        <w:rPr>
          <w:rFonts w:ascii="Cambria" w:hAnsi="Cambria"/>
          <w:sz w:val="20"/>
          <w:szCs w:val="20"/>
        </w:rPr>
        <w:t>10</w:t>
      </w:r>
      <w:r>
        <w:rPr>
          <w:rFonts w:ascii="Cambria" w:hAnsi="Cambria"/>
          <w:sz w:val="20"/>
          <w:szCs w:val="20"/>
        </w:rPr>
        <w:t>,</w:t>
      </w:r>
      <w:r w:rsidRPr="00310C0B">
        <w:rPr>
          <w:rFonts w:ascii="Cambria" w:hAnsi="Cambria"/>
          <w:sz w:val="20"/>
          <w:szCs w:val="20"/>
        </w:rPr>
        <w:t xml:space="preserve"> 2002</w:t>
      </w:r>
      <w:r>
        <w:rPr>
          <w:rFonts w:ascii="Cambria" w:hAnsi="Cambria"/>
          <w:sz w:val="20"/>
          <w:szCs w:val="20"/>
        </w:rPr>
        <w:t xml:space="preserve">, the Fourth Criminal Court of </w:t>
      </w:r>
      <w:r w:rsidRPr="00310C0B">
        <w:rPr>
          <w:rFonts w:ascii="Cambria" w:hAnsi="Cambria"/>
          <w:sz w:val="20"/>
          <w:szCs w:val="20"/>
        </w:rPr>
        <w:t xml:space="preserve">Tungurahua </w:t>
      </w:r>
      <w:r>
        <w:rPr>
          <w:rFonts w:ascii="Cambria" w:hAnsi="Cambria"/>
          <w:sz w:val="20"/>
          <w:szCs w:val="20"/>
        </w:rPr>
        <w:t>ordered the seven suspects to be held in pre-trial detention, as perpetrators of the crime of abduction and also charged them with the crime of conspiracy to commit civil disruption.</w:t>
      </w:r>
      <w:r w:rsidRPr="00310C0B">
        <w:rPr>
          <w:rStyle w:val="FootnoteReference"/>
          <w:rFonts w:ascii="Cambria" w:hAnsi="Cambria"/>
          <w:sz w:val="20"/>
          <w:szCs w:val="20"/>
        </w:rPr>
        <w:footnoteReference w:id="38"/>
      </w:r>
      <w:r w:rsidRPr="00310C0B">
        <w:rPr>
          <w:rFonts w:ascii="Cambria" w:hAnsi="Cambria"/>
          <w:sz w:val="20"/>
          <w:szCs w:val="20"/>
        </w:rPr>
        <w:t xml:space="preserve"> </w:t>
      </w:r>
    </w:p>
    <w:p w14:paraId="6E58B0EC" w14:textId="77777777" w:rsidR="00041CFE" w:rsidRPr="00310C0B" w:rsidRDefault="00041CFE" w:rsidP="00041CFE">
      <w:pPr>
        <w:pStyle w:val="ListParagraph"/>
        <w:rPr>
          <w:sz w:val="20"/>
          <w:szCs w:val="20"/>
        </w:rPr>
      </w:pPr>
    </w:p>
    <w:p w14:paraId="5B884911"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Cambria" w:hAnsi="Cambria"/>
          <w:sz w:val="20"/>
          <w:szCs w:val="20"/>
        </w:rPr>
        <w:t xml:space="preserve">On June </w:t>
      </w:r>
      <w:r w:rsidRPr="00310C0B">
        <w:rPr>
          <w:rFonts w:ascii="Cambria" w:hAnsi="Cambria"/>
          <w:sz w:val="20"/>
          <w:szCs w:val="20"/>
        </w:rPr>
        <w:t>30</w:t>
      </w:r>
      <w:r>
        <w:rPr>
          <w:rFonts w:ascii="Cambria" w:hAnsi="Cambria"/>
          <w:sz w:val="20"/>
          <w:szCs w:val="20"/>
        </w:rPr>
        <w:t>,</w:t>
      </w:r>
      <w:r w:rsidRPr="00310C0B">
        <w:rPr>
          <w:rFonts w:ascii="Cambria" w:hAnsi="Cambria"/>
          <w:sz w:val="20"/>
          <w:szCs w:val="20"/>
        </w:rPr>
        <w:t xml:space="preserve"> 2002</w:t>
      </w:r>
      <w:r>
        <w:rPr>
          <w:rFonts w:ascii="Cambria" w:hAnsi="Cambria"/>
          <w:sz w:val="20"/>
          <w:szCs w:val="20"/>
        </w:rPr>
        <w:t xml:space="preserve">, the Consortium of Rural Community Self-Defense Juntas of the Canton of Quero requested the Prosecutor of </w:t>
      </w:r>
      <w:r w:rsidRPr="00310C0B">
        <w:rPr>
          <w:rFonts w:ascii="Cambria" w:hAnsi="Cambria"/>
          <w:sz w:val="20"/>
          <w:szCs w:val="20"/>
        </w:rPr>
        <w:t xml:space="preserve">Tungurahua </w:t>
      </w:r>
      <w:r>
        <w:rPr>
          <w:rFonts w:ascii="Cambria" w:hAnsi="Cambria"/>
          <w:sz w:val="20"/>
          <w:szCs w:val="20"/>
        </w:rPr>
        <w:t>to release the defendants being held in custody on the grounds of innocence and stated that because they were tired of putting up with the abuses that the alleged victim had been committing, he was taken to the junta’s jail, he escaped from there and has become a member of the FARC of Colombia. The Juntas Consortium also stated that, “due to the thoughtfulness that you know how to show to this request, [we are] sure that we are not going to have any problem with our request because otherwise the high respect we have for the authorities and the Police, we wouldn’t like to get into problems and worse come to any confrontation.” It also stated: “the only crime that we are committing is making a living and combat (sic in original) in some way the criminal.</w:t>
      </w:r>
      <w:r w:rsidRPr="00310C0B">
        <w:rPr>
          <w:rFonts w:ascii="Cambria" w:hAnsi="Cambria"/>
          <w:sz w:val="20"/>
          <w:szCs w:val="20"/>
        </w:rPr>
        <w:t>”</w:t>
      </w:r>
      <w:r w:rsidRPr="00310C0B">
        <w:rPr>
          <w:rStyle w:val="FootnoteReference"/>
          <w:rFonts w:ascii="Cambria" w:hAnsi="Cambria"/>
          <w:sz w:val="20"/>
          <w:szCs w:val="20"/>
        </w:rPr>
        <w:footnoteReference w:id="39"/>
      </w:r>
      <w:r w:rsidRPr="00310C0B">
        <w:rPr>
          <w:rFonts w:ascii="Cambria" w:hAnsi="Cambria"/>
          <w:sz w:val="20"/>
          <w:szCs w:val="20"/>
        </w:rPr>
        <w:t xml:space="preserve"> </w:t>
      </w:r>
    </w:p>
    <w:p w14:paraId="1667EA6B" w14:textId="77777777" w:rsidR="00041CFE" w:rsidRPr="00310C0B" w:rsidRDefault="00041CFE" w:rsidP="00041CFE">
      <w:pPr>
        <w:pStyle w:val="ListParagraph"/>
        <w:rPr>
          <w:sz w:val="20"/>
          <w:szCs w:val="20"/>
        </w:rPr>
      </w:pPr>
    </w:p>
    <w:p w14:paraId="2B98CB29"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Cambria" w:hAnsi="Cambria"/>
          <w:sz w:val="20"/>
          <w:szCs w:val="20"/>
        </w:rPr>
        <w:t xml:space="preserve">On July </w:t>
      </w:r>
      <w:r w:rsidRPr="00310C0B">
        <w:rPr>
          <w:rFonts w:ascii="Cambria" w:hAnsi="Cambria"/>
          <w:sz w:val="20"/>
          <w:szCs w:val="20"/>
        </w:rPr>
        <w:t>11</w:t>
      </w:r>
      <w:r>
        <w:rPr>
          <w:rFonts w:ascii="Cambria" w:hAnsi="Cambria"/>
          <w:sz w:val="20"/>
          <w:szCs w:val="20"/>
        </w:rPr>
        <w:t>,</w:t>
      </w:r>
      <w:r w:rsidRPr="00310C0B">
        <w:rPr>
          <w:rFonts w:ascii="Cambria" w:hAnsi="Cambria"/>
          <w:sz w:val="20"/>
          <w:szCs w:val="20"/>
        </w:rPr>
        <w:t xml:space="preserve"> 2002</w:t>
      </w:r>
      <w:r>
        <w:rPr>
          <w:rFonts w:ascii="Cambria" w:hAnsi="Cambria"/>
          <w:sz w:val="20"/>
          <w:szCs w:val="20"/>
        </w:rPr>
        <w:t xml:space="preserve"> the defendants filed a motion for release via </w:t>
      </w:r>
      <w:r>
        <w:rPr>
          <w:rFonts w:ascii="Cambria" w:hAnsi="Cambria"/>
          <w:i/>
          <w:sz w:val="20"/>
          <w:szCs w:val="20"/>
        </w:rPr>
        <w:t xml:space="preserve">amparo </w:t>
      </w:r>
      <w:r>
        <w:rPr>
          <w:rFonts w:ascii="Cambria" w:hAnsi="Cambria"/>
          <w:sz w:val="20"/>
          <w:szCs w:val="20"/>
        </w:rPr>
        <w:t xml:space="preserve">against the Fourth Criminal Court Judge of </w:t>
      </w:r>
      <w:r w:rsidRPr="00310C0B">
        <w:rPr>
          <w:rFonts w:ascii="Cambria" w:hAnsi="Cambria"/>
          <w:sz w:val="20"/>
          <w:szCs w:val="20"/>
        </w:rPr>
        <w:t>Tungurahua</w:t>
      </w:r>
      <w:r w:rsidRPr="00310C0B">
        <w:rPr>
          <w:rStyle w:val="FootnoteReference"/>
          <w:rFonts w:ascii="Cambria" w:hAnsi="Cambria"/>
          <w:sz w:val="20"/>
          <w:szCs w:val="20"/>
        </w:rPr>
        <w:footnoteReference w:id="40"/>
      </w:r>
      <w:r w:rsidRPr="00310C0B">
        <w:rPr>
          <w:rFonts w:ascii="Cambria" w:hAnsi="Cambria"/>
          <w:sz w:val="20"/>
          <w:szCs w:val="20"/>
        </w:rPr>
        <w:t xml:space="preserve"> </w:t>
      </w:r>
      <w:r>
        <w:rPr>
          <w:rFonts w:ascii="Cambria" w:hAnsi="Cambria"/>
          <w:sz w:val="20"/>
          <w:szCs w:val="20"/>
        </w:rPr>
        <w:t xml:space="preserve">with the Superior Court of Justice of </w:t>
      </w:r>
      <w:r w:rsidRPr="00310C0B">
        <w:rPr>
          <w:rFonts w:ascii="Cambria" w:hAnsi="Cambria"/>
          <w:sz w:val="20"/>
          <w:szCs w:val="20"/>
        </w:rPr>
        <w:t xml:space="preserve">Tungurahua, </w:t>
      </w:r>
      <w:r>
        <w:rPr>
          <w:rFonts w:ascii="Cambria" w:hAnsi="Cambria"/>
          <w:sz w:val="20"/>
          <w:szCs w:val="20"/>
        </w:rPr>
        <w:t>on the grounds of failure of the Judge to provide reasoning when issuing the arrest warrant, which triggered a due process violation and a lack of legal certainty.</w:t>
      </w:r>
      <w:r w:rsidRPr="00310C0B">
        <w:rPr>
          <w:rStyle w:val="FootnoteReference"/>
          <w:rFonts w:ascii="Cambria" w:hAnsi="Cambria"/>
          <w:sz w:val="20"/>
          <w:szCs w:val="20"/>
        </w:rPr>
        <w:footnoteReference w:id="41"/>
      </w:r>
      <w:r w:rsidRPr="00310C0B">
        <w:rPr>
          <w:rFonts w:ascii="Cambria" w:hAnsi="Cambria"/>
          <w:sz w:val="20"/>
          <w:szCs w:val="20"/>
        </w:rPr>
        <w:t xml:space="preserve"> </w:t>
      </w:r>
    </w:p>
    <w:p w14:paraId="1FB6B7E4" w14:textId="77777777" w:rsidR="00041CFE" w:rsidRPr="00310C0B" w:rsidRDefault="00041CFE" w:rsidP="00041CFE">
      <w:pPr>
        <w:pStyle w:val="ListParagraph"/>
        <w:rPr>
          <w:rFonts w:asciiTheme="majorHAnsi" w:hAnsiTheme="majorHAnsi"/>
          <w:sz w:val="20"/>
          <w:szCs w:val="20"/>
        </w:rPr>
      </w:pPr>
    </w:p>
    <w:p w14:paraId="3FB9710E"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Theme="majorHAnsi" w:hAnsiTheme="majorHAnsi"/>
          <w:sz w:val="20"/>
          <w:szCs w:val="20"/>
        </w:rPr>
        <w:t xml:space="preserve">On July </w:t>
      </w:r>
      <w:r w:rsidRPr="00310C0B">
        <w:rPr>
          <w:rFonts w:asciiTheme="majorHAnsi" w:hAnsiTheme="majorHAnsi"/>
          <w:sz w:val="20"/>
          <w:szCs w:val="20"/>
        </w:rPr>
        <w:t>17</w:t>
      </w:r>
      <w:r>
        <w:rPr>
          <w:rFonts w:asciiTheme="majorHAnsi" w:hAnsiTheme="majorHAnsi"/>
          <w:sz w:val="20"/>
          <w:szCs w:val="20"/>
        </w:rPr>
        <w:t>,</w:t>
      </w:r>
      <w:r w:rsidRPr="00310C0B">
        <w:rPr>
          <w:rFonts w:asciiTheme="majorHAnsi" w:hAnsiTheme="majorHAnsi"/>
          <w:sz w:val="20"/>
          <w:szCs w:val="20"/>
        </w:rPr>
        <w:t xml:space="preserve"> 2002</w:t>
      </w:r>
      <w:r>
        <w:rPr>
          <w:rFonts w:asciiTheme="majorHAnsi" w:hAnsiTheme="majorHAnsi"/>
          <w:sz w:val="20"/>
          <w:szCs w:val="20"/>
        </w:rPr>
        <w:t xml:space="preserve">, the Fourth Criminal Court of </w:t>
      </w:r>
      <w:r w:rsidRPr="00310C0B">
        <w:rPr>
          <w:rFonts w:asciiTheme="majorHAnsi" w:hAnsiTheme="majorHAnsi"/>
          <w:sz w:val="20"/>
          <w:szCs w:val="20"/>
        </w:rPr>
        <w:t xml:space="preserve">Tungurahua </w:t>
      </w:r>
      <w:r>
        <w:rPr>
          <w:rFonts w:asciiTheme="majorHAnsi" w:hAnsiTheme="majorHAnsi"/>
          <w:sz w:val="20"/>
          <w:szCs w:val="20"/>
        </w:rPr>
        <w:t xml:space="preserve">reported to the Superior Court of Justice of </w:t>
      </w:r>
      <w:r w:rsidRPr="00310C0B">
        <w:rPr>
          <w:rFonts w:asciiTheme="majorHAnsi" w:hAnsiTheme="majorHAnsi"/>
          <w:sz w:val="20"/>
          <w:szCs w:val="20"/>
        </w:rPr>
        <w:t>Tungurahua</w:t>
      </w:r>
      <w:r>
        <w:rPr>
          <w:rFonts w:asciiTheme="majorHAnsi" w:hAnsiTheme="majorHAnsi"/>
          <w:sz w:val="20"/>
          <w:szCs w:val="20"/>
        </w:rPr>
        <w:t xml:space="preserve">, that the pre-trial detention decision was based on five pieces of evidence: the complaint against the alleged perpetrators [filed] on behalf of the alleged victim, Octavio Morales’s medical report and photographs proving his [the alleged victim’s] detention as well as the detention of Marcelo </w:t>
      </w:r>
      <w:r w:rsidRPr="00310C0B">
        <w:rPr>
          <w:rFonts w:asciiTheme="majorHAnsi" w:hAnsiTheme="majorHAnsi"/>
          <w:sz w:val="20"/>
          <w:szCs w:val="20"/>
        </w:rPr>
        <w:t xml:space="preserve">Núñez Naranjo </w:t>
      </w:r>
      <w:r>
        <w:rPr>
          <w:rFonts w:asciiTheme="majorHAnsi" w:hAnsiTheme="majorHAnsi"/>
          <w:sz w:val="20"/>
          <w:szCs w:val="20"/>
        </w:rPr>
        <w:t xml:space="preserve">at the police station of the Canton of Quero, the on-site inspection at the Police Station of Quero Canton, the </w:t>
      </w:r>
      <w:r>
        <w:rPr>
          <w:rFonts w:asciiTheme="majorHAnsi" w:hAnsiTheme="majorHAnsi"/>
          <w:sz w:val="20"/>
          <w:szCs w:val="20"/>
        </w:rPr>
        <w:lastRenderedPageBreak/>
        <w:t>police reports making a record of the events, and the complainant’s account. She stated that that was sufficient evidence to issue the measure.</w:t>
      </w:r>
      <w:r w:rsidRPr="00310C0B">
        <w:rPr>
          <w:rStyle w:val="FootnoteReference"/>
          <w:rFonts w:asciiTheme="majorHAnsi" w:hAnsiTheme="majorHAnsi"/>
          <w:sz w:val="20"/>
          <w:szCs w:val="20"/>
        </w:rPr>
        <w:footnoteReference w:id="42"/>
      </w:r>
      <w:r w:rsidRPr="00310C0B">
        <w:rPr>
          <w:rFonts w:asciiTheme="majorHAnsi" w:hAnsiTheme="majorHAnsi"/>
          <w:sz w:val="20"/>
          <w:szCs w:val="20"/>
        </w:rPr>
        <w:t xml:space="preserve"> </w:t>
      </w:r>
    </w:p>
    <w:p w14:paraId="48330E03" w14:textId="77777777" w:rsidR="00041CFE" w:rsidRPr="00310C0B" w:rsidRDefault="00041CFE" w:rsidP="00041CFE">
      <w:pPr>
        <w:pStyle w:val="ListParagraph"/>
        <w:rPr>
          <w:sz w:val="20"/>
          <w:szCs w:val="20"/>
        </w:rPr>
      </w:pPr>
    </w:p>
    <w:p w14:paraId="69AD6074"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Cambria" w:hAnsi="Cambria"/>
          <w:sz w:val="20"/>
          <w:szCs w:val="20"/>
        </w:rPr>
        <w:t xml:space="preserve">On July </w:t>
      </w:r>
      <w:r w:rsidRPr="00310C0B">
        <w:rPr>
          <w:rFonts w:ascii="Cambria" w:hAnsi="Cambria"/>
          <w:sz w:val="20"/>
          <w:szCs w:val="20"/>
        </w:rPr>
        <w:t>31</w:t>
      </w:r>
      <w:r>
        <w:rPr>
          <w:rFonts w:ascii="Cambria" w:hAnsi="Cambria"/>
          <w:sz w:val="20"/>
          <w:szCs w:val="20"/>
        </w:rPr>
        <w:t>,</w:t>
      </w:r>
      <w:r w:rsidRPr="00310C0B">
        <w:rPr>
          <w:rFonts w:ascii="Cambria" w:hAnsi="Cambria"/>
          <w:sz w:val="20"/>
          <w:szCs w:val="20"/>
        </w:rPr>
        <w:t xml:space="preserve"> 2002, </w:t>
      </w:r>
      <w:r>
        <w:rPr>
          <w:rFonts w:ascii="Cambria" w:hAnsi="Cambria"/>
          <w:sz w:val="20"/>
          <w:szCs w:val="20"/>
        </w:rPr>
        <w:t xml:space="preserve">the Second Chamber of the Superior Court of Justice of </w:t>
      </w:r>
      <w:r w:rsidRPr="00310C0B">
        <w:rPr>
          <w:rFonts w:ascii="Cambria" w:hAnsi="Cambria"/>
          <w:sz w:val="20"/>
          <w:szCs w:val="20"/>
        </w:rPr>
        <w:t xml:space="preserve">Tungurahua </w:t>
      </w:r>
      <w:r>
        <w:rPr>
          <w:rFonts w:ascii="Cambria" w:hAnsi="Cambria"/>
          <w:sz w:val="20"/>
          <w:szCs w:val="20"/>
        </w:rPr>
        <w:t xml:space="preserve">granted the motion for release via </w:t>
      </w:r>
      <w:r>
        <w:rPr>
          <w:rFonts w:ascii="Cambria" w:hAnsi="Cambria"/>
          <w:i/>
          <w:sz w:val="20"/>
          <w:szCs w:val="20"/>
        </w:rPr>
        <w:t xml:space="preserve">amparo, </w:t>
      </w:r>
      <w:r>
        <w:rPr>
          <w:rFonts w:ascii="Cambria" w:hAnsi="Cambria"/>
          <w:sz w:val="20"/>
          <w:szCs w:val="20"/>
        </w:rPr>
        <w:t>on the grounds that even though there may be enough evidence to determine that a prosecutable criminal offense was committed, there must be clear and precise evidence to prove that the suspects were the perpetrators or accomplices thereof, inasmuch as it considers the information to be a group of persons rendering it impossible to individually identify the actors.</w:t>
      </w:r>
      <w:r w:rsidRPr="00310C0B">
        <w:rPr>
          <w:rStyle w:val="FootnoteReference"/>
          <w:rFonts w:ascii="Cambria" w:hAnsi="Cambria"/>
          <w:sz w:val="20"/>
          <w:szCs w:val="20"/>
        </w:rPr>
        <w:footnoteReference w:id="43"/>
      </w:r>
      <w:r w:rsidRPr="00310C0B">
        <w:rPr>
          <w:rFonts w:ascii="Cambria" w:hAnsi="Cambria"/>
          <w:sz w:val="20"/>
          <w:szCs w:val="20"/>
        </w:rPr>
        <w:t xml:space="preserve"> </w:t>
      </w:r>
    </w:p>
    <w:p w14:paraId="3B5A3A67" w14:textId="77777777" w:rsidR="00041CFE" w:rsidRPr="00310C0B" w:rsidRDefault="00041CFE" w:rsidP="00041CFE">
      <w:pPr>
        <w:pStyle w:val="ListParagraph"/>
        <w:rPr>
          <w:sz w:val="20"/>
          <w:szCs w:val="20"/>
        </w:rPr>
      </w:pPr>
    </w:p>
    <w:p w14:paraId="0F7F495A"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Cambria" w:hAnsi="Cambria"/>
          <w:sz w:val="20"/>
          <w:szCs w:val="20"/>
        </w:rPr>
        <w:t xml:space="preserve">On December </w:t>
      </w:r>
      <w:r w:rsidRPr="00310C0B">
        <w:rPr>
          <w:rFonts w:ascii="Cambria" w:hAnsi="Cambria"/>
          <w:sz w:val="20"/>
          <w:szCs w:val="20"/>
        </w:rPr>
        <w:t>10</w:t>
      </w:r>
      <w:r>
        <w:rPr>
          <w:rFonts w:ascii="Cambria" w:hAnsi="Cambria"/>
          <w:sz w:val="20"/>
          <w:szCs w:val="20"/>
        </w:rPr>
        <w:t>,</w:t>
      </w:r>
      <w:r w:rsidRPr="00310C0B">
        <w:rPr>
          <w:rFonts w:ascii="Cambria" w:hAnsi="Cambria"/>
          <w:sz w:val="20"/>
          <w:szCs w:val="20"/>
        </w:rPr>
        <w:t xml:space="preserve"> 2002</w:t>
      </w:r>
      <w:r>
        <w:rPr>
          <w:rFonts w:ascii="Cambria" w:hAnsi="Cambria"/>
          <w:sz w:val="20"/>
          <w:szCs w:val="20"/>
        </w:rPr>
        <w:t>, a preliminary hearing was held.</w:t>
      </w:r>
      <w:r w:rsidRPr="00310C0B">
        <w:rPr>
          <w:rStyle w:val="FootnoteReference"/>
          <w:rFonts w:ascii="Cambria" w:hAnsi="Cambria"/>
          <w:sz w:val="20"/>
          <w:szCs w:val="20"/>
        </w:rPr>
        <w:footnoteReference w:id="44"/>
      </w:r>
    </w:p>
    <w:p w14:paraId="212DC38F" w14:textId="77777777" w:rsidR="00041CFE" w:rsidRPr="00310C0B" w:rsidRDefault="00041CFE" w:rsidP="00041CFE">
      <w:pPr>
        <w:pStyle w:val="ListParagraph"/>
        <w:rPr>
          <w:sz w:val="20"/>
          <w:szCs w:val="20"/>
        </w:rPr>
      </w:pPr>
    </w:p>
    <w:p w14:paraId="73B411D3"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Cambria" w:hAnsi="Cambria"/>
          <w:sz w:val="20"/>
          <w:szCs w:val="20"/>
        </w:rPr>
        <w:t xml:space="preserve">On December </w:t>
      </w:r>
      <w:r w:rsidRPr="00310C0B">
        <w:rPr>
          <w:rFonts w:ascii="Cambria" w:hAnsi="Cambria"/>
          <w:sz w:val="20"/>
          <w:szCs w:val="20"/>
        </w:rPr>
        <w:t>11</w:t>
      </w:r>
      <w:r>
        <w:rPr>
          <w:rFonts w:ascii="Cambria" w:hAnsi="Cambria"/>
          <w:sz w:val="20"/>
          <w:szCs w:val="20"/>
        </w:rPr>
        <w:t>,</w:t>
      </w:r>
      <w:r w:rsidRPr="00310C0B">
        <w:rPr>
          <w:rFonts w:ascii="Cambria" w:hAnsi="Cambria"/>
          <w:sz w:val="20"/>
          <w:szCs w:val="20"/>
        </w:rPr>
        <w:t xml:space="preserve"> 2002</w:t>
      </w:r>
      <w:r>
        <w:rPr>
          <w:rFonts w:ascii="Cambria" w:hAnsi="Cambria"/>
          <w:sz w:val="20"/>
          <w:szCs w:val="20"/>
        </w:rPr>
        <w:t xml:space="preserve">, the Fourth Criminal Court Judge of </w:t>
      </w:r>
      <w:r w:rsidRPr="00310C0B">
        <w:rPr>
          <w:rFonts w:ascii="Cambria" w:hAnsi="Cambria"/>
          <w:sz w:val="20"/>
          <w:szCs w:val="20"/>
        </w:rPr>
        <w:t xml:space="preserve">Tungurahua </w:t>
      </w:r>
      <w:r>
        <w:rPr>
          <w:rFonts w:ascii="Cambria" w:hAnsi="Cambria"/>
          <w:sz w:val="20"/>
          <w:szCs w:val="20"/>
        </w:rPr>
        <w:t xml:space="preserve">dismissed the case without prejudice underscoring that the evidence gathered during the initial stage of the investigation did not comply with the Organic Law of Public Prosecution and that no investigatory steps were taken at all during the judicial investigation stage. In this regard, she wrote that: </w:t>
      </w:r>
      <w:bookmarkStart w:id="18" w:name="_Toc519601824"/>
    </w:p>
    <w:p w14:paraId="5E1CB36D" w14:textId="77777777" w:rsidR="00041CFE" w:rsidRPr="00310C0B" w:rsidRDefault="00041CFE" w:rsidP="00041CFE">
      <w:pPr>
        <w:pStyle w:val="ListParagraph"/>
        <w:rPr>
          <w:sz w:val="20"/>
          <w:szCs w:val="20"/>
        </w:rPr>
      </w:pPr>
    </w:p>
    <w:p w14:paraId="0E1C4C78"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sz w:val="20"/>
          <w:szCs w:val="20"/>
        </w:rPr>
      </w:pPr>
      <w:r w:rsidRPr="00310C0B">
        <w:rPr>
          <w:rFonts w:ascii="Cambria" w:hAnsi="Cambria"/>
          <w:sz w:val="20"/>
          <w:szCs w:val="20"/>
        </w:rPr>
        <w:t xml:space="preserve">(…) </w:t>
      </w:r>
      <w:r>
        <w:rPr>
          <w:rFonts w:ascii="Cambria" w:hAnsi="Cambria"/>
          <w:sz w:val="20"/>
          <w:szCs w:val="20"/>
        </w:rPr>
        <w:t xml:space="preserve">the initial investigation stage is at the discretion of the prosecutor, and it is not a “sine qua non” condition to [be able to] open a judicial investigation proceeding, however it must fulfill certain requirements, in this regard Article 26 of the Organic Law of Public Prosecution establishes that the Public Prosecutor’s Office must guarantee the intervention of the suspects’ defense in the initial inquiries and preliminary investigation proceedings for crimes that are prosecutable ex officio, who must be summoned and notified for the purpose of intervention in the taking and gathering of evidence </w:t>
      </w:r>
      <w:r w:rsidRPr="00310C0B">
        <w:rPr>
          <w:rFonts w:ascii="Cambria" w:hAnsi="Cambria"/>
          <w:sz w:val="20"/>
          <w:szCs w:val="20"/>
        </w:rPr>
        <w:t>(…)</w:t>
      </w:r>
    </w:p>
    <w:p w14:paraId="6EAE5256"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p>
    <w:p w14:paraId="309996AB" w14:textId="77777777" w:rsidR="00041CFE"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jc w:val="both"/>
        <w:rPr>
          <w:rFonts w:ascii="Cambria" w:hAnsi="Cambria"/>
          <w:sz w:val="20"/>
          <w:szCs w:val="20"/>
        </w:rPr>
      </w:pPr>
      <w:r w:rsidRPr="00310C0B">
        <w:rPr>
          <w:rFonts w:ascii="Cambria" w:hAnsi="Cambria"/>
          <w:sz w:val="20"/>
          <w:szCs w:val="20"/>
        </w:rPr>
        <w:t xml:space="preserve">(…) </w:t>
      </w:r>
      <w:r>
        <w:rPr>
          <w:rFonts w:ascii="Cambria" w:hAnsi="Cambria"/>
          <w:sz w:val="20"/>
          <w:szCs w:val="20"/>
        </w:rPr>
        <w:t xml:space="preserve">in the instant case there is nothing in the record [to indicate] that the initial inquiry stage has complied with the established citation, consequently all of this evidence would lack evidentiary validity, then in the judicial investigation proceeding state, there does not exist any inculpatory or exculpatory evidence either and, therefore, since there is no evidence to sustain the existence of the crime </w:t>
      </w:r>
      <w:r w:rsidRPr="00310C0B">
        <w:rPr>
          <w:rFonts w:ascii="Cambria" w:hAnsi="Cambria"/>
          <w:sz w:val="20"/>
          <w:szCs w:val="20"/>
        </w:rPr>
        <w:t xml:space="preserve">(…) </w:t>
      </w:r>
      <w:r>
        <w:rPr>
          <w:rFonts w:ascii="Cambria" w:hAnsi="Cambria"/>
          <w:sz w:val="20"/>
          <w:szCs w:val="20"/>
        </w:rPr>
        <w:t>one is unable to speak of any responsibility at all.</w:t>
      </w:r>
      <w:r w:rsidRPr="00310C0B">
        <w:rPr>
          <w:rStyle w:val="FootnoteReference"/>
          <w:rFonts w:ascii="Cambria" w:hAnsi="Cambria"/>
          <w:sz w:val="20"/>
          <w:szCs w:val="20"/>
        </w:rPr>
        <w:footnoteReference w:id="45"/>
      </w:r>
    </w:p>
    <w:p w14:paraId="0F35E77B"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jc w:val="both"/>
        <w:rPr>
          <w:rFonts w:ascii="Cambria" w:hAnsi="Cambria"/>
          <w:sz w:val="20"/>
          <w:szCs w:val="20"/>
        </w:rPr>
      </w:pPr>
      <w:r w:rsidRPr="00310C0B">
        <w:rPr>
          <w:rFonts w:ascii="Cambria" w:hAnsi="Cambria"/>
          <w:sz w:val="20"/>
          <w:szCs w:val="20"/>
        </w:rPr>
        <w:t xml:space="preserve"> </w:t>
      </w:r>
    </w:p>
    <w:p w14:paraId="21FE067E"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Cambria" w:hAnsi="Cambria"/>
          <w:sz w:val="20"/>
          <w:szCs w:val="20"/>
        </w:rPr>
        <w:t xml:space="preserve">On October </w:t>
      </w:r>
      <w:r w:rsidRPr="00310C0B">
        <w:rPr>
          <w:rFonts w:ascii="Cambria" w:hAnsi="Cambria"/>
          <w:sz w:val="20"/>
          <w:szCs w:val="20"/>
        </w:rPr>
        <w:t>15</w:t>
      </w:r>
      <w:r>
        <w:rPr>
          <w:rFonts w:ascii="Cambria" w:hAnsi="Cambria"/>
          <w:sz w:val="20"/>
          <w:szCs w:val="20"/>
        </w:rPr>
        <w:t>,</w:t>
      </w:r>
      <w:r w:rsidRPr="00310C0B">
        <w:rPr>
          <w:rFonts w:ascii="Cambria" w:hAnsi="Cambria"/>
          <w:sz w:val="20"/>
          <w:szCs w:val="20"/>
        </w:rPr>
        <w:t xml:space="preserve"> 2004</w:t>
      </w:r>
      <w:r>
        <w:rPr>
          <w:rFonts w:ascii="Cambria" w:hAnsi="Cambria"/>
          <w:sz w:val="20"/>
          <w:szCs w:val="20"/>
        </w:rPr>
        <w:t>, the chief of police announced: “he is carrying on with the investigations in the instant case, with the purpose of determining the whereabouts of the missing citizen and the result of the investigations will be brought to the attention of the competent authority.</w:t>
      </w:r>
      <w:r w:rsidRPr="00310C0B">
        <w:rPr>
          <w:rFonts w:ascii="Cambria" w:hAnsi="Cambria"/>
          <w:sz w:val="20"/>
          <w:szCs w:val="20"/>
        </w:rPr>
        <w:t>”</w:t>
      </w:r>
      <w:r w:rsidRPr="00310C0B">
        <w:rPr>
          <w:rStyle w:val="FootnoteReference"/>
          <w:rFonts w:ascii="Cambria" w:hAnsi="Cambria"/>
          <w:sz w:val="20"/>
          <w:szCs w:val="20"/>
        </w:rPr>
        <w:footnoteReference w:id="46"/>
      </w:r>
    </w:p>
    <w:p w14:paraId="294BDB14"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sz w:val="20"/>
          <w:szCs w:val="20"/>
        </w:rPr>
      </w:pPr>
    </w:p>
    <w:p w14:paraId="5E2056CB"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Cambria" w:hAnsi="Cambria"/>
          <w:sz w:val="20"/>
          <w:szCs w:val="20"/>
        </w:rPr>
        <w:t xml:space="preserve">On October </w:t>
      </w:r>
      <w:r w:rsidRPr="00310C0B">
        <w:rPr>
          <w:rFonts w:ascii="Cambria" w:hAnsi="Cambria"/>
          <w:sz w:val="20"/>
          <w:szCs w:val="20"/>
        </w:rPr>
        <w:t>18</w:t>
      </w:r>
      <w:r>
        <w:rPr>
          <w:rFonts w:ascii="Cambria" w:hAnsi="Cambria"/>
          <w:sz w:val="20"/>
          <w:szCs w:val="20"/>
        </w:rPr>
        <w:t>,</w:t>
      </w:r>
      <w:r w:rsidRPr="00310C0B">
        <w:rPr>
          <w:rFonts w:ascii="Cambria" w:hAnsi="Cambria"/>
          <w:sz w:val="20"/>
          <w:szCs w:val="20"/>
        </w:rPr>
        <w:t xml:space="preserve"> 2004</w:t>
      </w:r>
      <w:r>
        <w:rPr>
          <w:rFonts w:ascii="Cambria" w:hAnsi="Cambria"/>
          <w:sz w:val="20"/>
          <w:szCs w:val="20"/>
        </w:rPr>
        <w:t xml:space="preserve">, the Fourth Criminal Court of </w:t>
      </w:r>
      <w:r w:rsidRPr="00310C0B">
        <w:rPr>
          <w:rFonts w:ascii="Cambria" w:hAnsi="Cambria"/>
          <w:sz w:val="20"/>
          <w:szCs w:val="20"/>
        </w:rPr>
        <w:t xml:space="preserve">Tungurahua </w:t>
      </w:r>
      <w:r>
        <w:rPr>
          <w:rFonts w:ascii="Cambria" w:hAnsi="Cambria"/>
          <w:sz w:val="20"/>
          <w:szCs w:val="20"/>
        </w:rPr>
        <w:t>wrote that “on the date of December 11, 2002, the Alternate Judge in chambers, issues an order to dismiss the case of the suspects without prejudice, which is executed by operation of law. Since the time that order was issued, no other investigative step has been taken by the Office of the Prosecutor, as of the current date.</w:t>
      </w:r>
      <w:r w:rsidRPr="00310C0B">
        <w:rPr>
          <w:rFonts w:ascii="Cambria" w:hAnsi="Cambria"/>
          <w:sz w:val="20"/>
          <w:szCs w:val="20"/>
        </w:rPr>
        <w:t>”</w:t>
      </w:r>
      <w:r w:rsidRPr="00310C0B">
        <w:rPr>
          <w:rStyle w:val="FootnoteReference"/>
          <w:rFonts w:ascii="Cambria" w:hAnsi="Cambria"/>
          <w:sz w:val="20"/>
          <w:szCs w:val="20"/>
        </w:rPr>
        <w:footnoteReference w:id="47"/>
      </w:r>
      <w:bookmarkStart w:id="19" w:name="_Toc519601827"/>
      <w:bookmarkEnd w:id="18"/>
    </w:p>
    <w:p w14:paraId="19AEA35B" w14:textId="77777777" w:rsidR="00041CFE" w:rsidRPr="00310C0B" w:rsidRDefault="00041CFE" w:rsidP="00041CFE">
      <w:pPr>
        <w:pStyle w:val="ListParagraph"/>
        <w:rPr>
          <w:rFonts w:asciiTheme="majorHAnsi" w:hAnsiTheme="majorHAnsi"/>
          <w:sz w:val="20"/>
          <w:szCs w:val="20"/>
        </w:rPr>
      </w:pPr>
    </w:p>
    <w:p w14:paraId="5BBDAC54"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Theme="majorHAnsi" w:hAnsiTheme="majorHAnsi"/>
          <w:sz w:val="20"/>
          <w:szCs w:val="20"/>
        </w:rPr>
        <w:t>Based on police reports, and testimony,</w:t>
      </w:r>
      <w:r w:rsidRPr="00310C0B">
        <w:rPr>
          <w:rStyle w:val="FootnoteReference"/>
          <w:rFonts w:asciiTheme="majorHAnsi" w:hAnsiTheme="majorHAnsi"/>
          <w:sz w:val="20"/>
          <w:szCs w:val="20"/>
        </w:rPr>
        <w:footnoteReference w:id="48"/>
      </w:r>
      <w:r>
        <w:rPr>
          <w:rFonts w:asciiTheme="majorHAnsi" w:hAnsiTheme="majorHAnsi"/>
          <w:sz w:val="20"/>
          <w:szCs w:val="20"/>
        </w:rPr>
        <w:t xml:space="preserve"> as a consequence of their quest for justice, </w:t>
      </w:r>
      <w:r w:rsidRPr="00310C0B">
        <w:rPr>
          <w:rFonts w:asciiTheme="majorHAnsi" w:hAnsiTheme="majorHAnsi"/>
          <w:sz w:val="20"/>
          <w:szCs w:val="20"/>
          <w:bdr w:val="none" w:sz="0" w:space="0" w:color="auto"/>
        </w:rPr>
        <w:t xml:space="preserve">Gregoria Naranjo </w:t>
      </w:r>
      <w:r>
        <w:rPr>
          <w:rFonts w:asciiTheme="majorHAnsi" w:hAnsiTheme="majorHAnsi"/>
          <w:sz w:val="20"/>
          <w:szCs w:val="20"/>
          <w:bdr w:val="none" w:sz="0" w:space="0" w:color="auto"/>
        </w:rPr>
        <w:t xml:space="preserve">and </w:t>
      </w:r>
      <w:r w:rsidRPr="00310C0B">
        <w:rPr>
          <w:rFonts w:asciiTheme="majorHAnsi" w:hAnsiTheme="majorHAnsi"/>
          <w:sz w:val="20"/>
          <w:szCs w:val="20"/>
          <w:bdr w:val="none" w:sz="0" w:space="0" w:color="auto"/>
        </w:rPr>
        <w:t xml:space="preserve">Sixto Núñez, </w:t>
      </w:r>
      <w:r>
        <w:rPr>
          <w:rFonts w:asciiTheme="majorHAnsi" w:hAnsiTheme="majorHAnsi"/>
          <w:sz w:val="20"/>
          <w:szCs w:val="20"/>
          <w:bdr w:val="none" w:sz="0" w:space="0" w:color="auto"/>
        </w:rPr>
        <w:t xml:space="preserve">parents of the alleged victim, as well as other family members, have been threatened in order to force them to abandon their properties in the Canton of Quero or otherwise their property will be </w:t>
      </w:r>
      <w:r>
        <w:rPr>
          <w:rFonts w:asciiTheme="majorHAnsi" w:hAnsiTheme="majorHAnsi"/>
          <w:sz w:val="20"/>
          <w:szCs w:val="20"/>
          <w:bdr w:val="none" w:sz="0" w:space="0" w:color="auto"/>
        </w:rPr>
        <w:lastRenderedPageBreak/>
        <w:t>burned and their lives will be in jeopardy.</w:t>
      </w:r>
      <w:r w:rsidRPr="00310C0B">
        <w:rPr>
          <w:rStyle w:val="FootnoteReference"/>
          <w:rFonts w:asciiTheme="majorHAnsi" w:hAnsiTheme="majorHAnsi"/>
          <w:sz w:val="20"/>
          <w:szCs w:val="20"/>
          <w:bdr w:val="none" w:sz="0" w:space="0" w:color="auto"/>
        </w:rPr>
        <w:footnoteReference w:id="49"/>
      </w:r>
      <w:r>
        <w:rPr>
          <w:rFonts w:asciiTheme="majorHAnsi" w:hAnsiTheme="majorHAnsi"/>
          <w:sz w:val="20"/>
          <w:szCs w:val="20"/>
          <w:bdr w:val="none" w:sz="0" w:space="0" w:color="auto"/>
        </w:rPr>
        <w:t xml:space="preserve">  In said reports, it is noted that said threats come from members of the Puñachisag community.</w:t>
      </w:r>
      <w:r w:rsidRPr="00310C0B">
        <w:rPr>
          <w:rStyle w:val="FootnoteReference"/>
          <w:rFonts w:asciiTheme="majorHAnsi" w:hAnsiTheme="majorHAnsi"/>
          <w:sz w:val="20"/>
          <w:szCs w:val="20"/>
          <w:bdr w:val="none" w:sz="0" w:space="0" w:color="auto"/>
        </w:rPr>
        <w:footnoteReference w:id="50"/>
      </w:r>
      <w:r>
        <w:rPr>
          <w:rFonts w:asciiTheme="majorHAnsi" w:hAnsiTheme="majorHAnsi"/>
          <w:sz w:val="20"/>
          <w:szCs w:val="20"/>
          <w:bdr w:val="none" w:sz="0" w:space="0" w:color="auto"/>
        </w:rPr>
        <w:t xml:space="preserve"> The record in the case file does not reflect any investigative steps taken by the State to provide protection to the family members of the alleged victim in response to the threats that were reported. </w:t>
      </w:r>
      <w:bookmarkStart w:id="20" w:name="_Toc3543642"/>
    </w:p>
    <w:p w14:paraId="1688FD4B"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rPr>
      </w:pPr>
    </w:p>
    <w:p w14:paraId="2069D381" w14:textId="77777777" w:rsidR="00041CFE" w:rsidRPr="00310C0B" w:rsidRDefault="00041CFE" w:rsidP="00041CFE">
      <w:pPr>
        <w:pStyle w:val="Heading1"/>
        <w:numPr>
          <w:ilvl w:val="0"/>
          <w:numId w:val="63"/>
        </w:numPr>
        <w:spacing w:before="0"/>
        <w:ind w:left="0" w:firstLine="0"/>
        <w:jc w:val="both"/>
        <w:rPr>
          <w:rFonts w:ascii="Cambria" w:hAnsi="Cambria"/>
          <w:color w:val="000000" w:themeColor="text1"/>
          <w:sz w:val="20"/>
          <w:szCs w:val="20"/>
        </w:rPr>
      </w:pPr>
      <w:bookmarkStart w:id="21" w:name="_Toc5953492"/>
      <w:r>
        <w:rPr>
          <w:rFonts w:ascii="Cambria" w:hAnsi="Cambria"/>
          <w:color w:val="000000" w:themeColor="text1"/>
          <w:sz w:val="20"/>
          <w:szCs w:val="20"/>
        </w:rPr>
        <w:t>LEGAL ANALYSIS</w:t>
      </w:r>
      <w:bookmarkEnd w:id="21"/>
      <w:r>
        <w:rPr>
          <w:rFonts w:ascii="Cambria" w:hAnsi="Cambria"/>
          <w:color w:val="000000" w:themeColor="text1"/>
          <w:sz w:val="20"/>
          <w:szCs w:val="20"/>
        </w:rPr>
        <w:t xml:space="preserve"> </w:t>
      </w:r>
      <w:bookmarkEnd w:id="20"/>
    </w:p>
    <w:p w14:paraId="16E3CA9E" w14:textId="77777777" w:rsidR="00041CFE" w:rsidRPr="00310C0B" w:rsidRDefault="00041CFE" w:rsidP="00041CFE">
      <w:pPr>
        <w:pBdr>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highlight w:val="yellow"/>
        </w:rPr>
      </w:pPr>
      <w:bookmarkStart w:id="22" w:name="_Toc423514425"/>
      <w:bookmarkStart w:id="23" w:name="_Toc441166737"/>
      <w:bookmarkStart w:id="24" w:name="_Toc477355361"/>
      <w:bookmarkStart w:id="25" w:name="_Toc519601825"/>
    </w:p>
    <w:p w14:paraId="3BE0BF34" w14:textId="77777777" w:rsidR="00041CFE" w:rsidRPr="00041CFE" w:rsidRDefault="00041CFE" w:rsidP="00041CFE">
      <w:pPr>
        <w:pStyle w:val="Heading2"/>
        <w:keepNext w:val="0"/>
        <w:keepLines w:val="0"/>
        <w:numPr>
          <w:ilvl w:val="0"/>
          <w:numId w:val="66"/>
        </w:numPr>
        <w:spacing w:before="0"/>
        <w:ind w:left="630" w:hanging="540"/>
        <w:jc w:val="both"/>
        <w:rPr>
          <w:rFonts w:ascii="Cambria" w:hAnsi="Cambria"/>
          <w:i/>
          <w:color w:val="auto"/>
          <w:sz w:val="20"/>
          <w:szCs w:val="20"/>
        </w:rPr>
      </w:pPr>
      <w:bookmarkStart w:id="26" w:name="_Toc5953493"/>
      <w:bookmarkStart w:id="27" w:name="_Toc1985289"/>
      <w:bookmarkEnd w:id="22"/>
      <w:bookmarkEnd w:id="23"/>
      <w:bookmarkEnd w:id="24"/>
      <w:bookmarkEnd w:id="25"/>
      <w:r w:rsidRPr="00041CFE">
        <w:rPr>
          <w:rFonts w:ascii="Cambria" w:hAnsi="Cambria"/>
          <w:color w:val="auto"/>
          <w:sz w:val="20"/>
          <w:szCs w:val="20"/>
        </w:rPr>
        <w:t>Rights to recognition of juridical personality, personal liberty, humane treatment, life, a fair trial and judicial protection (Articles 3, 7, 5, and 4, of the American Convention) in connection with the obligation to respect rights (Article 1.1 of the same instrument</w:t>
      </w:r>
      <w:r w:rsidRPr="00041CFE">
        <w:rPr>
          <w:rStyle w:val="FootnoteReference"/>
          <w:rFonts w:ascii="Cambria" w:hAnsi="Cambria"/>
          <w:color w:val="auto"/>
          <w:sz w:val="20"/>
          <w:szCs w:val="20"/>
        </w:rPr>
        <w:footnoteReference w:id="51"/>
      </w:r>
      <w:r w:rsidRPr="00041CFE">
        <w:rPr>
          <w:rFonts w:ascii="Cambria" w:hAnsi="Cambria"/>
          <w:color w:val="auto"/>
          <w:sz w:val="20"/>
          <w:szCs w:val="20"/>
        </w:rPr>
        <w:t xml:space="preserve">); and Article I a) </w:t>
      </w:r>
      <w:r w:rsidRPr="00041CFE">
        <w:rPr>
          <w:rStyle w:val="FootnoteReference"/>
          <w:rFonts w:ascii="Cambria" w:hAnsi="Cambria"/>
          <w:color w:val="auto"/>
          <w:sz w:val="20"/>
          <w:szCs w:val="20"/>
        </w:rPr>
        <w:footnoteReference w:id="52"/>
      </w:r>
      <w:r w:rsidRPr="00041CFE">
        <w:rPr>
          <w:rFonts w:ascii="Cambria" w:hAnsi="Cambria"/>
          <w:color w:val="auto"/>
          <w:sz w:val="20"/>
          <w:szCs w:val="20"/>
        </w:rPr>
        <w:t xml:space="preserve"> of the Inter-American Convention on Forced Disappearance of Persons (IACFDP)</w:t>
      </w:r>
      <w:bookmarkEnd w:id="26"/>
      <w:r w:rsidRPr="00041CFE">
        <w:rPr>
          <w:rFonts w:ascii="Cambria" w:hAnsi="Cambria"/>
          <w:color w:val="auto"/>
          <w:sz w:val="20"/>
          <w:szCs w:val="20"/>
        </w:rPr>
        <w:t xml:space="preserve"> </w:t>
      </w:r>
      <w:bookmarkEnd w:id="27"/>
    </w:p>
    <w:p w14:paraId="38140362" w14:textId="77777777" w:rsidR="00041CFE" w:rsidRPr="00310C0B" w:rsidRDefault="00041CFE" w:rsidP="00041CFE">
      <w:pPr>
        <w:pStyle w:val="p1"/>
        <w:jc w:val="both"/>
        <w:rPr>
          <w:rFonts w:ascii="Cambria" w:hAnsi="Cambria"/>
          <w:sz w:val="20"/>
          <w:szCs w:val="20"/>
        </w:rPr>
      </w:pPr>
    </w:p>
    <w:p w14:paraId="72D2AA1B"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Cambria" w:hAnsi="Cambria"/>
          <w:sz w:val="20"/>
          <w:szCs w:val="20"/>
        </w:rPr>
        <w:t>Based on consistent legal precedent in the Inter-American system, cases of forced disappearance of persons constitute an unlawful act that gives rise to multiple, continuing violations of several rights protected by the American Convention and places the victim in a state of complete defenselessness, which involves other related crimes.</w:t>
      </w:r>
      <w:r w:rsidRPr="00310C0B">
        <w:rPr>
          <w:rFonts w:ascii="Cambria" w:hAnsi="Cambria"/>
          <w:sz w:val="20"/>
          <w:szCs w:val="20"/>
          <w:vertAlign w:val="superscript"/>
        </w:rPr>
        <w:footnoteReference w:id="53"/>
      </w:r>
      <w:r>
        <w:rPr>
          <w:rFonts w:ascii="Cambria" w:hAnsi="Cambria"/>
          <w:sz w:val="20"/>
          <w:szCs w:val="20"/>
        </w:rPr>
        <w:t xml:space="preserve"> </w:t>
      </w:r>
    </w:p>
    <w:p w14:paraId="16D4B00B"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sz w:val="20"/>
          <w:szCs w:val="20"/>
        </w:rPr>
      </w:pPr>
    </w:p>
    <w:p w14:paraId="78724E90"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Cambria" w:hAnsi="Cambria"/>
          <w:sz w:val="20"/>
          <w:szCs w:val="20"/>
        </w:rPr>
        <w:t>Pursuant to its settled case law, the Commission considers forced disappearance to be a complex human rights violation, continuing for as long a time as the whereabouts of the victim or the remains thereof remain unknown. The disappearance as such comes to an end when the victim appears or his or her remains are located,</w:t>
      </w:r>
      <w:r w:rsidRPr="00310C0B">
        <w:rPr>
          <w:rStyle w:val="FootnoteReference"/>
          <w:rFonts w:ascii="Cambria" w:hAnsi="Cambria"/>
          <w:sz w:val="20"/>
          <w:szCs w:val="20"/>
        </w:rPr>
        <w:footnoteReference w:id="54"/>
      </w:r>
      <w:r w:rsidRPr="00310C0B">
        <w:rPr>
          <w:rFonts w:ascii="Cambria" w:hAnsi="Cambria"/>
          <w:sz w:val="20"/>
          <w:szCs w:val="20"/>
        </w:rPr>
        <w:t xml:space="preserve"> </w:t>
      </w:r>
      <w:r>
        <w:rPr>
          <w:rFonts w:ascii="Cambria" w:hAnsi="Cambria"/>
          <w:sz w:val="20"/>
          <w:szCs w:val="20"/>
        </w:rPr>
        <w:t>so that his or her identity may be determined with certainty.</w:t>
      </w:r>
      <w:r w:rsidRPr="00310C0B">
        <w:rPr>
          <w:rFonts w:ascii="Cambria" w:hAnsi="Cambria"/>
          <w:spacing w:val="-2"/>
          <w:sz w:val="20"/>
          <w:szCs w:val="20"/>
          <w:vertAlign w:val="superscript"/>
          <w:lang w:eastAsia="es-CR"/>
        </w:rPr>
        <w:footnoteReference w:id="55"/>
      </w:r>
    </w:p>
    <w:p w14:paraId="543CEFD5" w14:textId="77777777" w:rsidR="00041CFE" w:rsidRPr="00310C0B" w:rsidRDefault="00041CFE" w:rsidP="00041CFE">
      <w:pPr>
        <w:pStyle w:val="ListParagraph"/>
        <w:rPr>
          <w:rFonts w:eastAsia="Times New Roman"/>
          <w:sz w:val="20"/>
          <w:szCs w:val="20"/>
        </w:rPr>
      </w:pPr>
    </w:p>
    <w:p w14:paraId="40C9B298"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Cambria" w:eastAsia="Times New Roman" w:hAnsi="Cambria"/>
          <w:sz w:val="20"/>
          <w:szCs w:val="20"/>
        </w:rPr>
        <w:lastRenderedPageBreak/>
        <w:t>With respect to the violation of rights, forced disappearance violates the right to personal freedom and places the victim in a serious situation of risk of suffering irreparable harm to his or her rights to humane treatment and life. The Court has established that forced disappearance violates the right to humane treatment because “prolonged isolation and being held incommunicado constitute, in themselves, forms of cruel and inhuman treatment.</w:t>
      </w:r>
      <w:r w:rsidRPr="00310C0B">
        <w:rPr>
          <w:rFonts w:ascii="Cambria" w:eastAsia="Times New Roman" w:hAnsi="Cambria"/>
          <w:sz w:val="20"/>
          <w:szCs w:val="20"/>
        </w:rPr>
        <w:t>”</w:t>
      </w:r>
      <w:r w:rsidRPr="00310C0B">
        <w:rPr>
          <w:rFonts w:ascii="Cambria" w:eastAsia="Times New Roman" w:hAnsi="Cambria"/>
          <w:sz w:val="20"/>
          <w:szCs w:val="20"/>
          <w:vertAlign w:val="superscript"/>
        </w:rPr>
        <w:footnoteReference w:id="56"/>
      </w:r>
      <w:r>
        <w:rPr>
          <w:rFonts w:ascii="Cambria" w:eastAsia="Times New Roman" w:hAnsi="Cambria"/>
          <w:sz w:val="20"/>
          <w:szCs w:val="20"/>
        </w:rPr>
        <w:t xml:space="preserve"> The Commission and the Court have established that it is clear that in the case of forced disappearance, the victim’s personal integrity is affected in all its dimensions.</w:t>
      </w:r>
      <w:r w:rsidRPr="00310C0B">
        <w:rPr>
          <w:rStyle w:val="FootnoteReference"/>
          <w:rFonts w:ascii="Cambria" w:hAnsi="Cambria"/>
          <w:sz w:val="20"/>
          <w:szCs w:val="20"/>
        </w:rPr>
        <w:footnoteReference w:id="57"/>
      </w:r>
      <w:r>
        <w:rPr>
          <w:rFonts w:ascii="Cambria" w:hAnsi="Cambria"/>
          <w:sz w:val="20"/>
          <w:szCs w:val="20"/>
        </w:rPr>
        <w:t xml:space="preserve"> Furthermore, the Court has held that even when the acts of torture or deprivation of life of a victim of disappearance cannot be proven in a concrete case, subjecting detainees to agents of the State or private individuals acting with the acquiescence or tolerance thereof, who practice torture and murder with impunity, is itself a breach of the duty to prevent violations of the right to physical integrity and life.</w:t>
      </w:r>
      <w:r w:rsidRPr="00310C0B">
        <w:rPr>
          <w:rFonts w:ascii="Cambria" w:eastAsia="Times New Roman" w:hAnsi="Cambria"/>
          <w:sz w:val="20"/>
          <w:szCs w:val="20"/>
          <w:vertAlign w:val="superscript"/>
        </w:rPr>
        <w:footnoteReference w:id="58"/>
      </w:r>
    </w:p>
    <w:p w14:paraId="14D5407F" w14:textId="77777777" w:rsidR="00041CFE" w:rsidRPr="00310C0B" w:rsidRDefault="00041CFE" w:rsidP="00041CFE">
      <w:pPr>
        <w:pStyle w:val="ListParagraph"/>
        <w:rPr>
          <w:rFonts w:cs="Univers"/>
          <w:sz w:val="20"/>
          <w:szCs w:val="20"/>
        </w:rPr>
      </w:pPr>
    </w:p>
    <w:p w14:paraId="5418025B"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Cambria" w:hAnsi="Cambria" w:cs="Univers"/>
          <w:sz w:val="20"/>
          <w:szCs w:val="20"/>
        </w:rPr>
        <w:t>Pursuant to the legal precedent of both bodies of the Inter-American system, the practice of disappearance has frequently involved the secret execution of those detained, without trial, followed by concealment of the corpse in order to eliminate any material trace of the crime and to ensure absolute impunity, which amounts to a brutal violation of the right to life, as enshrined in Article 4 of the Convention.</w:t>
      </w:r>
      <w:r w:rsidRPr="00310C0B">
        <w:rPr>
          <w:rStyle w:val="FootnoteReference"/>
          <w:rFonts w:ascii="Cambria" w:hAnsi="Cambria"/>
          <w:sz w:val="20"/>
          <w:szCs w:val="20"/>
        </w:rPr>
        <w:footnoteReference w:id="59"/>
      </w:r>
      <w:r w:rsidRPr="00310C0B">
        <w:rPr>
          <w:rFonts w:ascii="Cambria" w:hAnsi="Cambria"/>
          <w:sz w:val="20"/>
          <w:szCs w:val="20"/>
        </w:rPr>
        <w:t xml:space="preserve"> </w:t>
      </w:r>
      <w:r>
        <w:rPr>
          <w:rFonts w:ascii="Cambria" w:hAnsi="Cambria"/>
          <w:sz w:val="20"/>
          <w:szCs w:val="20"/>
        </w:rPr>
        <w:t>Under the case law, it has also been established that the mere fact that a person has been missing for a protracted period of time and in a context of violence creates a reasonable presumption that the person was deprived of his or her life.</w:t>
      </w:r>
      <w:r w:rsidRPr="00310C0B">
        <w:rPr>
          <w:rStyle w:val="FootnoteReference"/>
          <w:rFonts w:ascii="Cambria" w:hAnsi="Cambria"/>
          <w:spacing w:val="-3"/>
          <w:sz w:val="20"/>
          <w:szCs w:val="20"/>
        </w:rPr>
        <w:footnoteReference w:id="60"/>
      </w:r>
      <w:r w:rsidRPr="00310C0B">
        <w:rPr>
          <w:rFonts w:ascii="Cambria" w:hAnsi="Cambria"/>
          <w:sz w:val="20"/>
          <w:szCs w:val="20"/>
        </w:rPr>
        <w:t xml:space="preserve"> </w:t>
      </w:r>
    </w:p>
    <w:p w14:paraId="381F3C12" w14:textId="77777777" w:rsidR="00041CFE" w:rsidRPr="00310C0B" w:rsidRDefault="00041CFE" w:rsidP="00041CFE">
      <w:pPr>
        <w:pStyle w:val="ListParagraph"/>
        <w:rPr>
          <w:sz w:val="20"/>
          <w:szCs w:val="20"/>
        </w:rPr>
      </w:pPr>
    </w:p>
    <w:p w14:paraId="21503E4E"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Cambria" w:hAnsi="Cambria"/>
          <w:sz w:val="20"/>
          <w:szCs w:val="20"/>
        </w:rPr>
        <w:t>Moreover, the Commission has consistently held that, because of the multiple-offending and complex nature of this serious human rights violation, cases of forced disappearance give rise to the specific violation of the right to recognition of juridical personality.</w:t>
      </w:r>
      <w:r w:rsidRPr="00310C0B">
        <w:rPr>
          <w:rStyle w:val="FootnoteReference"/>
          <w:rFonts w:ascii="Cambria" w:hAnsi="Cambria"/>
          <w:sz w:val="20"/>
          <w:szCs w:val="20"/>
          <w:lang w:bidi="te-IN"/>
        </w:rPr>
        <w:footnoteReference w:id="61"/>
      </w:r>
      <w:r w:rsidRPr="00310C0B">
        <w:rPr>
          <w:rFonts w:ascii="Cambria" w:hAnsi="Cambria"/>
          <w:sz w:val="20"/>
          <w:szCs w:val="20"/>
        </w:rPr>
        <w:t xml:space="preserve"> </w:t>
      </w:r>
      <w:r>
        <w:rPr>
          <w:rFonts w:ascii="Cambria" w:hAnsi="Cambria"/>
          <w:sz w:val="20"/>
          <w:szCs w:val="20"/>
        </w:rPr>
        <w:t>The Inter-American Court has also recognized it.</w:t>
      </w:r>
      <w:r w:rsidRPr="00310C0B">
        <w:rPr>
          <w:rFonts w:ascii="Cambria" w:eastAsia="Times New Roman" w:hAnsi="Cambria"/>
          <w:sz w:val="20"/>
          <w:szCs w:val="20"/>
          <w:vertAlign w:val="superscript"/>
        </w:rPr>
        <w:footnoteReference w:id="62"/>
      </w:r>
      <w:r>
        <w:rPr>
          <w:rFonts w:ascii="Cambria" w:hAnsi="Cambria"/>
          <w:sz w:val="20"/>
          <w:szCs w:val="20"/>
        </w:rPr>
        <w:t xml:space="preserve"> This stems from the fact that the victim of the disappearance is unable to continue to enjoy and exercise the rights to which he or she is entitled. Forced disappearance is </w:t>
      </w:r>
      <w:r w:rsidRPr="00310C0B">
        <w:rPr>
          <w:rFonts w:ascii="Cambria" w:eastAsia="Times New Roman" w:hAnsi="Cambria"/>
          <w:sz w:val="20"/>
          <w:szCs w:val="20"/>
        </w:rPr>
        <w:t>“</w:t>
      </w:r>
      <w:r>
        <w:rPr>
          <w:rFonts w:ascii="Cambria" w:eastAsia="Times New Roman" w:hAnsi="Cambria"/>
          <w:sz w:val="20"/>
          <w:szCs w:val="20"/>
        </w:rPr>
        <w:t>not only one of the most serious forms of placing the person outside the protection of the law, but it also entails denying that person’s existence and to place him or her in a kind of limbo or uncertain legal situation before society, and the State.</w:t>
      </w:r>
      <w:r w:rsidRPr="00310C0B">
        <w:rPr>
          <w:rFonts w:ascii="Cambria" w:eastAsia="Times New Roman" w:hAnsi="Cambria" w:cs="Verdana"/>
          <w:sz w:val="20"/>
          <w:szCs w:val="20"/>
        </w:rPr>
        <w:t>”</w:t>
      </w:r>
      <w:r w:rsidRPr="00310C0B">
        <w:rPr>
          <w:rFonts w:ascii="Cambria" w:eastAsia="Times New Roman" w:hAnsi="Cambria" w:cs="Verdana"/>
          <w:sz w:val="20"/>
          <w:szCs w:val="20"/>
          <w:vertAlign w:val="superscript"/>
        </w:rPr>
        <w:footnoteReference w:id="63"/>
      </w:r>
      <w:r w:rsidRPr="00310C0B">
        <w:rPr>
          <w:rFonts w:ascii="Cambria" w:eastAsia="Times New Roman" w:hAnsi="Cambria" w:cs="Verdana"/>
          <w:sz w:val="20"/>
          <w:szCs w:val="20"/>
        </w:rPr>
        <w:t xml:space="preserve"> </w:t>
      </w:r>
      <w:r>
        <w:rPr>
          <w:rFonts w:ascii="Cambria" w:eastAsia="Times New Roman" w:hAnsi="Cambria" w:cs="Verdana"/>
          <w:sz w:val="20"/>
          <w:szCs w:val="20"/>
        </w:rPr>
        <w:t xml:space="preserve">The Commission finds that forced disappearance also involves a violation of the right to a fair trial and judicial protection with respect to the victim of the disappearance, because of the failure to take measures to search for his or her whereabouts through effective investigations and the inability to pursue remedies on his or her own behalf in response to the State’s denial of the fact that he or she is under its custody. </w:t>
      </w:r>
    </w:p>
    <w:p w14:paraId="1E72FFEB"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sz w:val="20"/>
          <w:szCs w:val="20"/>
        </w:rPr>
      </w:pPr>
    </w:p>
    <w:p w14:paraId="3CD09C15"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Cambria" w:eastAsia="Times New Roman" w:hAnsi="Cambria"/>
          <w:sz w:val="20"/>
          <w:szCs w:val="20"/>
          <w:lang w:eastAsia="es-ES"/>
        </w:rPr>
        <w:lastRenderedPageBreak/>
        <w:t xml:space="preserve">The required elements for a case to constitute a forced disappearance are: </w:t>
      </w:r>
      <w:r w:rsidRPr="00310C0B">
        <w:rPr>
          <w:rFonts w:ascii="Cambria" w:eastAsia="Times New Roman" w:hAnsi="Cambria"/>
          <w:sz w:val="20"/>
          <w:szCs w:val="20"/>
        </w:rPr>
        <w:t xml:space="preserve">i) </w:t>
      </w:r>
      <w:r>
        <w:rPr>
          <w:rFonts w:ascii="Cambria" w:eastAsia="Times New Roman" w:hAnsi="Cambria"/>
          <w:sz w:val="20"/>
          <w:szCs w:val="20"/>
        </w:rPr>
        <w:t>deprivation of liberty</w:t>
      </w:r>
      <w:r w:rsidRPr="00310C0B">
        <w:rPr>
          <w:rFonts w:ascii="Cambria" w:eastAsia="Times New Roman" w:hAnsi="Cambria"/>
          <w:sz w:val="20"/>
          <w:szCs w:val="20"/>
        </w:rPr>
        <w:t xml:space="preserve">; ii) </w:t>
      </w:r>
      <w:r>
        <w:rPr>
          <w:rFonts w:ascii="Cambria" w:eastAsia="Times New Roman" w:hAnsi="Cambria"/>
          <w:sz w:val="20"/>
          <w:szCs w:val="20"/>
        </w:rPr>
        <w:t xml:space="preserve">direct involvement of governmental officials or the acquiescence thereof; and </w:t>
      </w:r>
      <w:r w:rsidRPr="00310C0B">
        <w:rPr>
          <w:rFonts w:ascii="Cambria" w:eastAsia="Times New Roman" w:hAnsi="Cambria"/>
          <w:sz w:val="20"/>
          <w:szCs w:val="20"/>
        </w:rPr>
        <w:t xml:space="preserve">iii) </w:t>
      </w:r>
      <w:r>
        <w:rPr>
          <w:rFonts w:ascii="Cambria" w:eastAsia="Times New Roman" w:hAnsi="Cambria"/>
          <w:sz w:val="20"/>
          <w:szCs w:val="20"/>
        </w:rPr>
        <w:t>refusal to acknowledge the deprivation of liberty and to disclose the fate or whereabouts of the missing person.</w:t>
      </w:r>
      <w:r w:rsidRPr="00310C0B">
        <w:rPr>
          <w:rFonts w:ascii="Cambria" w:eastAsia="Times New Roman" w:hAnsi="Cambria"/>
          <w:sz w:val="20"/>
          <w:szCs w:val="20"/>
          <w:vertAlign w:val="superscript"/>
        </w:rPr>
        <w:footnoteReference w:id="64"/>
      </w:r>
    </w:p>
    <w:p w14:paraId="2A00B6EF" w14:textId="77777777" w:rsidR="00041CFE" w:rsidRPr="00310C0B" w:rsidRDefault="00041CFE" w:rsidP="00041CFE">
      <w:pPr>
        <w:pStyle w:val="ListParagraph"/>
        <w:rPr>
          <w:rFonts w:eastAsia="Times New Roman"/>
          <w:sz w:val="20"/>
          <w:szCs w:val="20"/>
        </w:rPr>
      </w:pPr>
    </w:p>
    <w:p w14:paraId="7876B87A"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Cambria" w:eastAsia="Times New Roman" w:hAnsi="Cambria"/>
          <w:sz w:val="20"/>
          <w:szCs w:val="20"/>
          <w:lang w:eastAsia="es-ES"/>
        </w:rPr>
        <w:t xml:space="preserve">Next, the Commission will determine whether what happened to Fredy Marcelo Núñez constituted a forced disappearance. </w:t>
      </w:r>
    </w:p>
    <w:p w14:paraId="7D900F5C" w14:textId="77777777" w:rsidR="00041CFE" w:rsidRPr="00310C0B" w:rsidRDefault="00041CFE" w:rsidP="00041CFE">
      <w:pPr>
        <w:pStyle w:val="ListParagraph"/>
        <w:rPr>
          <w:sz w:val="20"/>
          <w:szCs w:val="20"/>
        </w:rPr>
      </w:pPr>
    </w:p>
    <w:p w14:paraId="1AAA441F"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Cambria" w:hAnsi="Cambria"/>
          <w:sz w:val="20"/>
          <w:szCs w:val="20"/>
        </w:rPr>
        <w:t xml:space="preserve">As for the first element, deprivation of liberty, the Commission notes that there is no dispute regarding the fact that the alleged victim was detained on July 15, 2001 by members of the Police after an incident that ensued at the “Latinos” Pool Hall, located in Quero Canton. Likewise, there is no dispute as to the fact that on that same day the alleged victim was taken from the jail, where he was being held in custody, by some 400 members of the community, taken away to Puñachisag community, then to the Shausi community, where according to accounts, he was beaten and burned; and that he was also put into a vehicle. In any case, as of that point in time, his whereabouts have been unknown. Based on the foregoing, the Commission finds as proven fact that Fredy Núñez was deprived of his liberty. </w:t>
      </w:r>
    </w:p>
    <w:p w14:paraId="11040AF1" w14:textId="77777777" w:rsidR="00041CFE" w:rsidRPr="00310C0B" w:rsidRDefault="00041CFE" w:rsidP="00041CFE">
      <w:pPr>
        <w:pStyle w:val="ListParagraph"/>
        <w:rPr>
          <w:sz w:val="20"/>
          <w:szCs w:val="20"/>
        </w:rPr>
      </w:pPr>
    </w:p>
    <w:p w14:paraId="6324836F"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Cambria" w:hAnsi="Cambria"/>
          <w:sz w:val="20"/>
          <w:szCs w:val="20"/>
        </w:rPr>
        <w:t xml:space="preserve">As to the second element of direct involvement of government agents or the acquiescence thereof, the Commission notes that there is no dispute that members of the Rural Community Self-Defense Juntas took the alleged victim away from the jail. This is not only based on several testimonies and police reports, but was also acknowledged by the Junta itself, as was mentioned in the proven facts section. The Commission points out that there are several pieces of evidence that prove the Juntas were acting with the acquiescence of the State. </w:t>
      </w:r>
    </w:p>
    <w:p w14:paraId="0AD328E5" w14:textId="77777777" w:rsidR="00041CFE" w:rsidRPr="00310C0B" w:rsidRDefault="00041CFE" w:rsidP="00041CFE">
      <w:pPr>
        <w:pStyle w:val="ListParagraph"/>
        <w:rPr>
          <w:sz w:val="20"/>
          <w:szCs w:val="20"/>
        </w:rPr>
      </w:pPr>
    </w:p>
    <w:p w14:paraId="61D49E6C"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Cambria" w:hAnsi="Cambria"/>
          <w:sz w:val="20"/>
          <w:szCs w:val="20"/>
        </w:rPr>
        <w:t>Firstly, the IACHR recalls how national and international agencies have described the context of these events, as was mentioned above, noting that the rural communities self-defense juntas (</w:t>
      </w:r>
      <w:r w:rsidRPr="00940B8C">
        <w:rPr>
          <w:rFonts w:ascii="Cambria" w:hAnsi="Cambria"/>
          <w:i/>
          <w:sz w:val="20"/>
          <w:szCs w:val="20"/>
        </w:rPr>
        <w:t>Juntas de Defensa del Campesinado</w:t>
      </w:r>
      <w:r>
        <w:rPr>
          <w:rFonts w:ascii="Cambria" w:hAnsi="Cambria"/>
          <w:sz w:val="20"/>
          <w:szCs w:val="20"/>
        </w:rPr>
        <w:t xml:space="preserve">) have assumed public authority and accusations of serious human rights violations have been leveled against them. In fact, as a result of this situation, the State has been urged to ensure that these Juntas do not become paramilitary actors. Based on the case file, it is clear that the State was, at the time of the events, fully aware of the operation of the Self-Defense Juntas and of their role in functions that should be performed by public authorities. Nowhere in the case file does the State explain the basis for the legitimacy of the Juntas in performing public functions, nor is there any information about any measures being taken to put an end to this situation. Thus, the Commission finds as proven fact that from the time the disappearance of Fredy Núñez began to unfold, the Self-Defense Juntas were acting with the full knowledge of the State and with the tolerance and acquiescence thereof. </w:t>
      </w:r>
    </w:p>
    <w:p w14:paraId="34CE8F25"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sz w:val="20"/>
          <w:szCs w:val="20"/>
        </w:rPr>
      </w:pPr>
    </w:p>
    <w:p w14:paraId="73564638"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Cambria" w:hAnsi="Cambria"/>
          <w:sz w:val="20"/>
          <w:szCs w:val="20"/>
        </w:rPr>
        <w:t xml:space="preserve">Also based on the context, government officials rarely responded effectively to the complaints of the activities of the juntas. The State also recognized in a report to the Human Rights Committee in 2015 that all judicial proceedings against members of the juntas for human rights violations in </w:t>
      </w:r>
      <w:r w:rsidRPr="00310C0B">
        <w:rPr>
          <w:rFonts w:ascii="Cambria" w:hAnsi="Cambria"/>
          <w:sz w:val="20"/>
          <w:szCs w:val="20"/>
        </w:rPr>
        <w:t xml:space="preserve">Tungurahua, </w:t>
      </w:r>
      <w:r>
        <w:rPr>
          <w:rFonts w:ascii="Cambria" w:hAnsi="Cambria"/>
          <w:sz w:val="20"/>
          <w:szCs w:val="20"/>
        </w:rPr>
        <w:t>Chimborazao and</w:t>
      </w:r>
      <w:r w:rsidRPr="00310C0B">
        <w:rPr>
          <w:rFonts w:ascii="Cambria" w:hAnsi="Cambria"/>
          <w:sz w:val="20"/>
          <w:szCs w:val="20"/>
        </w:rPr>
        <w:t xml:space="preserve"> Bolívar </w:t>
      </w:r>
      <w:r>
        <w:rPr>
          <w:rFonts w:ascii="Cambria" w:hAnsi="Cambria"/>
          <w:sz w:val="20"/>
          <w:szCs w:val="20"/>
        </w:rPr>
        <w:t xml:space="preserve">have concluded with dropped charges or dismissals of the case and, therefore, it claimed it is taking measures to strengthen the investigation processes. This constitutes another piece of evidence to support the conclusion about the acquiescence of the State. </w:t>
      </w:r>
    </w:p>
    <w:p w14:paraId="4FD0D2FF" w14:textId="77777777" w:rsidR="00041CFE" w:rsidRPr="00310C0B" w:rsidRDefault="00041CFE" w:rsidP="00041CFE">
      <w:pPr>
        <w:pStyle w:val="ListParagraph"/>
        <w:rPr>
          <w:sz w:val="20"/>
          <w:szCs w:val="20"/>
        </w:rPr>
      </w:pPr>
    </w:p>
    <w:p w14:paraId="193B55D5" w14:textId="77777777" w:rsidR="00041CFE"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sidRPr="00CC4FEB">
        <w:rPr>
          <w:rFonts w:ascii="Cambria" w:hAnsi="Cambria"/>
          <w:sz w:val="20"/>
          <w:szCs w:val="20"/>
        </w:rPr>
        <w:t xml:space="preserve">As for the third element of the refusal to recognize the detention or to reveal the fate or whereabouts of the alleged victim, the Commission notes that even though the individuals who abducted Fredy Núñez acknowledged that he was taken from the jail, they did not provide any information about his fate or whereabouts, and only stated that he had escaped from the jail facility. Because of its failure to act with diligence, the State allowed the whereabouts of the alleged victim to be concealed. Specifically, the Commission notes that despite the fact that the members of the Juntas acknowledged that after he was taken from the police jail and </w:t>
      </w:r>
      <w:r>
        <w:rPr>
          <w:rFonts w:ascii="Cambria" w:hAnsi="Cambria"/>
          <w:sz w:val="20"/>
          <w:szCs w:val="20"/>
        </w:rPr>
        <w:t xml:space="preserve">transferred </w:t>
      </w:r>
      <w:r w:rsidRPr="00CC4FEB">
        <w:rPr>
          <w:rFonts w:ascii="Cambria" w:hAnsi="Cambria"/>
          <w:sz w:val="20"/>
          <w:szCs w:val="20"/>
        </w:rPr>
        <w:t xml:space="preserve">to a community, the alleged victim was taken to a jail of these Juntas, no investigatory step was taken at this location or at any other one to determine his whereabouts. Additionally, the Commission cites the lack of due diligence, which will be examined in the next section of this report, but </w:t>
      </w:r>
      <w:r w:rsidRPr="00CC4FEB">
        <w:rPr>
          <w:rFonts w:ascii="Cambria" w:hAnsi="Cambria"/>
          <w:sz w:val="20"/>
          <w:szCs w:val="20"/>
        </w:rPr>
        <w:lastRenderedPageBreak/>
        <w:t xml:space="preserve">shows that the process as a whole was not aimed at determining the whereabouts of the alleged victim, but instead aided and abetted the perpetration of a gross human rights violation </w:t>
      </w:r>
      <w:r>
        <w:rPr>
          <w:rFonts w:ascii="Cambria" w:hAnsi="Cambria"/>
          <w:sz w:val="20"/>
          <w:szCs w:val="20"/>
        </w:rPr>
        <w:t xml:space="preserve">committed </w:t>
      </w:r>
      <w:r w:rsidRPr="00CC4FEB">
        <w:rPr>
          <w:rFonts w:ascii="Cambria" w:hAnsi="Cambria"/>
          <w:sz w:val="20"/>
          <w:szCs w:val="20"/>
        </w:rPr>
        <w:t xml:space="preserve">by the Juntas. </w:t>
      </w:r>
    </w:p>
    <w:p w14:paraId="14589403" w14:textId="77777777" w:rsidR="00041CFE" w:rsidRPr="00CC4FE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sz w:val="20"/>
          <w:szCs w:val="20"/>
        </w:rPr>
      </w:pPr>
    </w:p>
    <w:p w14:paraId="25330372"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Cambria" w:hAnsi="Cambria"/>
          <w:sz w:val="20"/>
          <w:szCs w:val="20"/>
        </w:rPr>
        <w:t>Based on the foregoing, the Commission concludes that Fredy Marcelo Nú</w:t>
      </w:r>
      <w:r w:rsidRPr="00310C0B">
        <w:rPr>
          <w:rFonts w:ascii="Cambria" w:hAnsi="Cambria"/>
          <w:sz w:val="20"/>
          <w:szCs w:val="20"/>
        </w:rPr>
        <w:t xml:space="preserve">ñez </w:t>
      </w:r>
      <w:r>
        <w:rPr>
          <w:rFonts w:ascii="Cambria" w:hAnsi="Cambria"/>
          <w:sz w:val="20"/>
          <w:szCs w:val="20"/>
        </w:rPr>
        <w:t>was the victim of forced disappearance as of July 15, 2001 and, therefore, the Ecuadorian State violated to his detriment, the rights set forth in Articles 3, 4.1, 5.1, 5.2 and</w:t>
      </w:r>
      <w:r w:rsidRPr="00310C0B">
        <w:rPr>
          <w:rFonts w:ascii="Cambria" w:hAnsi="Cambria"/>
          <w:sz w:val="20"/>
          <w:szCs w:val="20"/>
        </w:rPr>
        <w:t xml:space="preserve"> 7 </w:t>
      </w:r>
      <w:r>
        <w:rPr>
          <w:rFonts w:ascii="Cambria" w:hAnsi="Cambria"/>
          <w:sz w:val="20"/>
          <w:szCs w:val="20"/>
        </w:rPr>
        <w:t xml:space="preserve">of the American Convention, in connection with Article 1.1 of the same instrument. Likewise, the State violated Article 1.a of the Inter-American Convention on Forced Disappearance of Persons. </w:t>
      </w:r>
    </w:p>
    <w:p w14:paraId="3117E36A" w14:textId="77777777" w:rsidR="00041CFE" w:rsidRPr="00310C0B" w:rsidRDefault="00041CFE" w:rsidP="00041CFE">
      <w:pPr>
        <w:pStyle w:val="p1"/>
        <w:jc w:val="both"/>
        <w:rPr>
          <w:rFonts w:asciiTheme="majorHAnsi" w:hAnsiTheme="majorHAnsi"/>
          <w:sz w:val="18"/>
          <w:szCs w:val="18"/>
        </w:rPr>
      </w:pPr>
    </w:p>
    <w:p w14:paraId="7C7C196B" w14:textId="77777777" w:rsidR="00041CFE" w:rsidRPr="00664D62" w:rsidRDefault="00041CFE" w:rsidP="00041CFE">
      <w:pPr>
        <w:pStyle w:val="Heading2"/>
        <w:keepNext w:val="0"/>
        <w:keepLines w:val="0"/>
        <w:numPr>
          <w:ilvl w:val="0"/>
          <w:numId w:val="66"/>
        </w:numPr>
        <w:spacing w:before="0"/>
        <w:ind w:left="630" w:hanging="630"/>
        <w:jc w:val="both"/>
        <w:rPr>
          <w:rFonts w:ascii="Cambria" w:hAnsi="Cambria"/>
          <w:i/>
          <w:color w:val="auto"/>
          <w:sz w:val="20"/>
          <w:szCs w:val="20"/>
        </w:rPr>
      </w:pPr>
      <w:bookmarkStart w:id="28" w:name="_Toc5953494"/>
      <w:bookmarkStart w:id="29" w:name="_Toc1985290"/>
      <w:bookmarkStart w:id="30" w:name="_Toc3543645"/>
      <w:r w:rsidRPr="00664D62">
        <w:rPr>
          <w:rFonts w:ascii="Cambria" w:hAnsi="Cambria"/>
          <w:color w:val="auto"/>
          <w:sz w:val="20"/>
          <w:szCs w:val="20"/>
        </w:rPr>
        <w:t>Right to a fair trial and judicial protection (Articles 8.1 and 25.1 of the American Convention on Human Rights) in connection with the obligation to respect rights and domestic legal effects (Articles 1.1 and 2 of the aforementioned instrument) and Articles I.b and III</w:t>
      </w:r>
      <w:r w:rsidRPr="00664D62">
        <w:rPr>
          <w:rStyle w:val="FootnoteReference"/>
          <w:rFonts w:ascii="Cambria" w:hAnsi="Cambria"/>
          <w:color w:val="auto"/>
          <w:sz w:val="20"/>
          <w:szCs w:val="20"/>
        </w:rPr>
        <w:footnoteReference w:id="65"/>
      </w:r>
      <w:r w:rsidRPr="00664D62">
        <w:rPr>
          <w:rFonts w:ascii="Cambria" w:hAnsi="Cambria"/>
          <w:color w:val="auto"/>
          <w:sz w:val="20"/>
          <w:szCs w:val="20"/>
        </w:rPr>
        <w:t xml:space="preserve"> of the IACFDP</w:t>
      </w:r>
      <w:bookmarkEnd w:id="28"/>
      <w:r w:rsidRPr="00664D62">
        <w:rPr>
          <w:rFonts w:ascii="Cambria" w:hAnsi="Cambria"/>
          <w:color w:val="auto"/>
          <w:sz w:val="20"/>
          <w:szCs w:val="20"/>
        </w:rPr>
        <w:t xml:space="preserve"> </w:t>
      </w:r>
      <w:bookmarkEnd w:id="29"/>
      <w:bookmarkEnd w:id="30"/>
    </w:p>
    <w:p w14:paraId="3FE81BC0" w14:textId="77777777" w:rsidR="00041CFE" w:rsidRPr="00310C0B" w:rsidRDefault="00041CFE" w:rsidP="00041CFE">
      <w:pPr>
        <w:tabs>
          <w:tab w:val="left" w:pos="1440"/>
        </w:tabs>
        <w:ind w:left="720"/>
        <w:jc w:val="both"/>
        <w:rPr>
          <w:rFonts w:ascii="Cambria" w:hAnsi="Cambria"/>
          <w:sz w:val="20"/>
          <w:szCs w:val="20"/>
        </w:rPr>
      </w:pPr>
    </w:p>
    <w:p w14:paraId="467D7495"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Cambria" w:eastAsia="Times New Roman" w:hAnsi="Cambria"/>
          <w:sz w:val="20"/>
          <w:szCs w:val="20"/>
          <w:lang w:eastAsia="es-ES"/>
        </w:rPr>
        <w:t>Inter-American legal precedent holds that when the disappearance of a person is reported, there is an indivisible link between the state’s response and the protection of the life and integrity of the person who is reported missing. The immediate and exhaustive nature of state’s response is independent of whether or not the case involves a potential disappearance at the hands of private individuals or state agents. The Commission reiterates that when there are reasonable grounds to suspect that a person has been a victim of a disappearance, it is essential for the prosecutorial and judicial authorities to act promptly and immediately and to take the necessary and timely measures aimed at determining the whereabouts of the victim or the location where he may be deprived of liberty.</w:t>
      </w:r>
      <w:r w:rsidRPr="00310C0B">
        <w:rPr>
          <w:rFonts w:ascii="Cambria" w:eastAsia="Times New Roman" w:hAnsi="Cambria"/>
          <w:sz w:val="20"/>
          <w:szCs w:val="20"/>
          <w:vertAlign w:val="superscript"/>
          <w:lang w:eastAsia="es-ES"/>
        </w:rPr>
        <w:footnoteReference w:id="66"/>
      </w:r>
      <w:r w:rsidRPr="00310C0B">
        <w:rPr>
          <w:rFonts w:ascii="Cambria" w:eastAsia="Times New Roman" w:hAnsi="Cambria"/>
          <w:sz w:val="20"/>
          <w:szCs w:val="20"/>
          <w:lang w:eastAsia="es-ES"/>
        </w:rPr>
        <w:t xml:space="preserve"> </w:t>
      </w:r>
    </w:p>
    <w:p w14:paraId="55EE5E2E"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sz w:val="20"/>
          <w:szCs w:val="20"/>
        </w:rPr>
      </w:pPr>
    </w:p>
    <w:p w14:paraId="349FF3B0"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Cambria" w:hAnsi="Cambria"/>
          <w:spacing w:val="-2"/>
          <w:sz w:val="20"/>
          <w:szCs w:val="20"/>
        </w:rPr>
        <w:t>The Court has written that States are obliged, under the American Convention, to provide effective judicial remedies to the victims of human rights violations (Article 25), which must be substantiated in keeping with the rules of due process of the law (Article 8.1), all within the general State obligation to ensure the free and full exercise of the right recognized by the Convention to all persons subject to their jurisdiction (Article 1.1).</w:t>
      </w:r>
      <w:r w:rsidRPr="00310C0B">
        <w:rPr>
          <w:rFonts w:ascii="Cambria" w:hAnsi="Cambria"/>
          <w:spacing w:val="-2"/>
          <w:sz w:val="20"/>
          <w:szCs w:val="20"/>
          <w:vertAlign w:val="superscript"/>
        </w:rPr>
        <w:footnoteReference w:id="67"/>
      </w:r>
    </w:p>
    <w:p w14:paraId="77546CC5" w14:textId="77777777" w:rsidR="00041CFE" w:rsidRPr="00310C0B" w:rsidRDefault="00041CFE" w:rsidP="00041CFE">
      <w:pPr>
        <w:pStyle w:val="ListParagraph"/>
        <w:rPr>
          <w:spacing w:val="-2"/>
          <w:sz w:val="20"/>
          <w:szCs w:val="20"/>
        </w:rPr>
      </w:pPr>
    </w:p>
    <w:p w14:paraId="7CDDA67E"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Cambria" w:hAnsi="Cambria"/>
          <w:spacing w:val="-2"/>
          <w:sz w:val="20"/>
          <w:szCs w:val="20"/>
        </w:rPr>
        <w:t xml:space="preserve">Thus, the Court has held that the duty to investigate means that once the State authorities become aware of the incident, they should open a serious, impartial and effective investigation </w:t>
      </w:r>
      <w:r>
        <w:rPr>
          <w:rFonts w:ascii="Cambria" w:hAnsi="Cambria"/>
          <w:i/>
          <w:spacing w:val="-2"/>
          <w:sz w:val="20"/>
          <w:szCs w:val="20"/>
        </w:rPr>
        <w:t xml:space="preserve">ex officio </w:t>
      </w:r>
      <w:r>
        <w:rPr>
          <w:rFonts w:ascii="Cambria" w:hAnsi="Cambria"/>
          <w:spacing w:val="-2"/>
          <w:sz w:val="20"/>
          <w:szCs w:val="20"/>
        </w:rPr>
        <w:t>and immediately. This investigation should be conducted using all legal means available and be designed to determine the truth and to pursue, arrest, prosecute and potentially punish all perpetrators of the crimes,</w:t>
      </w:r>
      <w:r w:rsidRPr="00310C0B">
        <w:rPr>
          <w:rFonts w:ascii="Cambria" w:hAnsi="Cambria"/>
          <w:spacing w:val="-2"/>
          <w:sz w:val="20"/>
          <w:szCs w:val="20"/>
          <w:vertAlign w:val="superscript"/>
        </w:rPr>
        <w:footnoteReference w:id="68"/>
      </w:r>
      <w:r>
        <w:rPr>
          <w:rFonts w:ascii="Cambria" w:hAnsi="Cambria"/>
          <w:spacing w:val="-2"/>
          <w:sz w:val="20"/>
          <w:szCs w:val="20"/>
        </w:rPr>
        <w:t xml:space="preserve"> especially when State agents are or may be involved.</w:t>
      </w:r>
      <w:r w:rsidRPr="00310C0B">
        <w:rPr>
          <w:rFonts w:ascii="Cambria" w:hAnsi="Cambria"/>
          <w:spacing w:val="-2"/>
          <w:sz w:val="20"/>
          <w:szCs w:val="20"/>
          <w:vertAlign w:val="superscript"/>
        </w:rPr>
        <w:footnoteReference w:id="69"/>
      </w:r>
      <w:r>
        <w:rPr>
          <w:rFonts w:ascii="Cambria" w:hAnsi="Cambria"/>
          <w:spacing w:val="-2"/>
          <w:sz w:val="20"/>
          <w:szCs w:val="20"/>
        </w:rPr>
        <w:t xml:space="preserve"> This duty is an obligation of means and not of results, which should be assumed by the State as its own legal duty and not as a mere formality preordained to be ineffective, or as a mere step taken by private interests, that is contingent upon the initiative of the victim or of his family members or upon their offer </w:t>
      </w:r>
      <w:r>
        <w:rPr>
          <w:rFonts w:ascii="Cambria" w:hAnsi="Cambria"/>
          <w:spacing w:val="-2"/>
          <w:sz w:val="20"/>
          <w:szCs w:val="20"/>
        </w:rPr>
        <w:lastRenderedPageBreak/>
        <w:t>of proof.</w:t>
      </w:r>
      <w:r w:rsidRPr="00310C0B">
        <w:rPr>
          <w:rFonts w:ascii="Cambria" w:hAnsi="Cambria"/>
          <w:spacing w:val="-2"/>
          <w:sz w:val="20"/>
          <w:szCs w:val="20"/>
          <w:vertAlign w:val="superscript"/>
        </w:rPr>
        <w:footnoteReference w:id="70"/>
      </w:r>
      <w:r>
        <w:rPr>
          <w:rFonts w:ascii="Cambria" w:hAnsi="Cambria"/>
          <w:spacing w:val="-2"/>
          <w:sz w:val="20"/>
          <w:szCs w:val="20"/>
        </w:rPr>
        <w:t xml:space="preserve"> </w:t>
      </w:r>
      <w:r w:rsidRPr="00310C0B">
        <w:rPr>
          <w:rFonts w:ascii="Cambria" w:hAnsi="Cambria"/>
          <w:spacing w:val="-2"/>
          <w:sz w:val="20"/>
          <w:szCs w:val="20"/>
        </w:rPr>
        <w:t xml:space="preserve"> </w:t>
      </w:r>
      <w:r>
        <w:rPr>
          <w:rFonts w:ascii="Cambria" w:hAnsi="Cambria"/>
          <w:spacing w:val="-2"/>
          <w:sz w:val="20"/>
          <w:szCs w:val="20"/>
        </w:rPr>
        <w:t>The State’s obligation to investigate must be fulfilled diligently in order to avoid impunity and a repetition of this type of act.</w:t>
      </w:r>
      <w:r w:rsidRPr="00310C0B">
        <w:rPr>
          <w:rFonts w:ascii="Cambria" w:hAnsi="Cambria"/>
          <w:spacing w:val="-2"/>
          <w:sz w:val="20"/>
          <w:szCs w:val="20"/>
          <w:vertAlign w:val="superscript"/>
        </w:rPr>
        <w:footnoteReference w:id="71"/>
      </w:r>
      <w:r w:rsidRPr="00310C0B">
        <w:rPr>
          <w:rFonts w:ascii="Cambria" w:hAnsi="Cambria"/>
          <w:spacing w:val="-2"/>
          <w:sz w:val="20"/>
          <w:szCs w:val="20"/>
        </w:rPr>
        <w:t xml:space="preserve"> </w:t>
      </w:r>
    </w:p>
    <w:p w14:paraId="5E492363" w14:textId="77777777" w:rsidR="00041CFE" w:rsidRPr="00310C0B" w:rsidRDefault="00041CFE" w:rsidP="00041CFE">
      <w:pPr>
        <w:pStyle w:val="ListParagraph"/>
        <w:rPr>
          <w:rFonts w:cs="Arial"/>
          <w:sz w:val="20"/>
          <w:szCs w:val="20"/>
        </w:rPr>
      </w:pPr>
    </w:p>
    <w:p w14:paraId="36DF714B"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Cambria" w:hAnsi="Cambria" w:cs="Arial"/>
          <w:sz w:val="20"/>
          <w:szCs w:val="20"/>
        </w:rPr>
        <w:t>As to due diligence in the course of the investigation, the Inter-American Court has also held that “each act of the State that forms part of the investigative process, as well as the investigation as a whole, should have a specific purpose: the determination of the truth, and the investigation, pursuit, capture, prosecution and, if applicable, punishment of those responsible for the facts.</w:t>
      </w:r>
      <w:r w:rsidRPr="00310C0B">
        <w:rPr>
          <w:rFonts w:ascii="Cambria" w:hAnsi="Cambria" w:cs="Arial"/>
          <w:sz w:val="20"/>
          <w:szCs w:val="20"/>
        </w:rPr>
        <w:t>”</w:t>
      </w:r>
      <w:r w:rsidRPr="00310C0B">
        <w:rPr>
          <w:rStyle w:val="FootnoteReference"/>
          <w:rFonts w:ascii="Cambria" w:hAnsi="Cambria"/>
          <w:sz w:val="20"/>
          <w:szCs w:val="20"/>
        </w:rPr>
        <w:footnoteReference w:id="72"/>
      </w:r>
      <w:r>
        <w:rPr>
          <w:rFonts w:ascii="Cambria" w:hAnsi="Cambria" w:cs="Arial"/>
          <w:sz w:val="20"/>
          <w:szCs w:val="20"/>
        </w:rPr>
        <w:t xml:space="preserve"> </w:t>
      </w:r>
      <w:r w:rsidRPr="00310C0B">
        <w:rPr>
          <w:rFonts w:ascii="Cambria" w:hAnsi="Cambria" w:cs="Arial"/>
          <w:sz w:val="20"/>
          <w:szCs w:val="20"/>
        </w:rPr>
        <w:t xml:space="preserve"> </w:t>
      </w:r>
      <w:r>
        <w:rPr>
          <w:rFonts w:ascii="Cambria" w:hAnsi="Cambria" w:cs="Arial"/>
          <w:sz w:val="20"/>
          <w:szCs w:val="20"/>
        </w:rPr>
        <w:t>In this regard, the State must prove that it has conducted an immediate, thorough, serious and impartial investigation,</w:t>
      </w:r>
      <w:r w:rsidRPr="00310C0B">
        <w:rPr>
          <w:rStyle w:val="FootnoteReference"/>
          <w:rFonts w:ascii="Cambria" w:hAnsi="Cambria"/>
          <w:sz w:val="20"/>
          <w:szCs w:val="20"/>
        </w:rPr>
        <w:footnoteReference w:id="73"/>
      </w:r>
      <w:r>
        <w:rPr>
          <w:rFonts w:ascii="Cambria" w:hAnsi="Cambria"/>
          <w:spacing w:val="-2"/>
          <w:sz w:val="20"/>
          <w:szCs w:val="20"/>
        </w:rPr>
        <w:t xml:space="preserve"> which should be aimed at exploring all possible lines of investigation.</w:t>
      </w:r>
      <w:r w:rsidRPr="00310C0B">
        <w:rPr>
          <w:rStyle w:val="FootnoteReference"/>
          <w:rFonts w:ascii="Cambria" w:hAnsi="Cambria" w:cs="Arial"/>
          <w:sz w:val="20"/>
          <w:szCs w:val="20"/>
        </w:rPr>
        <w:footnoteReference w:id="74"/>
      </w:r>
      <w:r w:rsidRPr="00310C0B">
        <w:rPr>
          <w:rFonts w:ascii="Cambria" w:hAnsi="Cambria"/>
          <w:sz w:val="20"/>
          <w:szCs w:val="20"/>
        </w:rPr>
        <w:t xml:space="preserve"> </w:t>
      </w:r>
      <w:r>
        <w:rPr>
          <w:rFonts w:ascii="Cambria" w:hAnsi="Cambria"/>
          <w:sz w:val="20"/>
          <w:szCs w:val="20"/>
        </w:rPr>
        <w:t>The State may be held liable for not ordering, collecting or evaluating evidence that could have been very important for proper clarification of the facts.</w:t>
      </w:r>
      <w:r w:rsidRPr="00310C0B">
        <w:rPr>
          <w:rStyle w:val="FootnoteReference"/>
          <w:rFonts w:ascii="Cambria" w:hAnsi="Cambria"/>
          <w:sz w:val="20"/>
          <w:szCs w:val="20"/>
        </w:rPr>
        <w:footnoteReference w:id="75"/>
      </w:r>
    </w:p>
    <w:p w14:paraId="350A2C67" w14:textId="77777777" w:rsidR="00041CFE" w:rsidRPr="00310C0B" w:rsidRDefault="00041CFE" w:rsidP="00041CFE">
      <w:pPr>
        <w:pStyle w:val="ListParagraph"/>
        <w:rPr>
          <w:rFonts w:eastAsia="Times New Roman"/>
          <w:sz w:val="20"/>
          <w:szCs w:val="20"/>
        </w:rPr>
      </w:pPr>
    </w:p>
    <w:p w14:paraId="6256434F"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rPr>
      </w:pPr>
      <w:r>
        <w:rPr>
          <w:rFonts w:ascii="Cambria" w:eastAsia="Times New Roman" w:hAnsi="Cambria"/>
          <w:sz w:val="20"/>
          <w:szCs w:val="20"/>
          <w:lang w:eastAsia="es-ES"/>
        </w:rPr>
        <w:t xml:space="preserve">Additionally, Article 8.1 of the American Convention establishes, as one of the elements of due process guarantees, that courts must decide the cases submitted to them within a reasonable time. According to the terms of this provision, the Commission must take into consideration, in light of the specific circumstances of the case, the elements that the bodies of the Inter-American system have taken into account, which are: </w:t>
      </w:r>
      <w:r w:rsidRPr="00310C0B">
        <w:rPr>
          <w:rFonts w:ascii="Cambria" w:eastAsia="Times New Roman" w:hAnsi="Cambria"/>
          <w:sz w:val="20"/>
          <w:szCs w:val="20"/>
          <w:lang w:eastAsia="es-ES"/>
        </w:rPr>
        <w:t xml:space="preserve">i) </w:t>
      </w:r>
      <w:r>
        <w:rPr>
          <w:rFonts w:ascii="Cambria" w:eastAsia="Times New Roman" w:hAnsi="Cambria"/>
          <w:sz w:val="20"/>
          <w:szCs w:val="20"/>
          <w:lang w:eastAsia="es-ES"/>
        </w:rPr>
        <w:t xml:space="preserve">the complexity of the matter; </w:t>
      </w:r>
      <w:r w:rsidRPr="00310C0B">
        <w:rPr>
          <w:rFonts w:ascii="Cambria" w:eastAsia="Times New Roman" w:hAnsi="Cambria"/>
          <w:sz w:val="20"/>
          <w:szCs w:val="20"/>
          <w:lang w:eastAsia="es-ES"/>
        </w:rPr>
        <w:t xml:space="preserve">ii) </w:t>
      </w:r>
      <w:r>
        <w:rPr>
          <w:rFonts w:ascii="Cambria" w:eastAsia="Times New Roman" w:hAnsi="Cambria"/>
          <w:sz w:val="20"/>
          <w:szCs w:val="20"/>
          <w:lang w:eastAsia="es-ES"/>
        </w:rPr>
        <w:t xml:space="preserve">the procedural activity of the interested party; </w:t>
      </w:r>
      <w:r w:rsidRPr="00310C0B">
        <w:rPr>
          <w:rFonts w:ascii="Cambria" w:eastAsia="Times New Roman" w:hAnsi="Cambria"/>
          <w:sz w:val="20"/>
          <w:szCs w:val="20"/>
          <w:lang w:eastAsia="es-ES"/>
        </w:rPr>
        <w:t xml:space="preserve">iii) </w:t>
      </w:r>
      <w:r>
        <w:rPr>
          <w:rFonts w:ascii="Cambria" w:eastAsia="Times New Roman" w:hAnsi="Cambria"/>
          <w:sz w:val="20"/>
          <w:szCs w:val="20"/>
          <w:lang w:eastAsia="es-ES"/>
        </w:rPr>
        <w:t xml:space="preserve">the conduct of the judicial authorities; and </w:t>
      </w:r>
      <w:r w:rsidRPr="00310C0B">
        <w:rPr>
          <w:rFonts w:ascii="Cambria" w:eastAsia="Times New Roman" w:hAnsi="Cambria"/>
          <w:sz w:val="20"/>
          <w:szCs w:val="20"/>
          <w:lang w:eastAsia="es-ES"/>
        </w:rPr>
        <w:t xml:space="preserve">iv) </w:t>
      </w:r>
      <w:r>
        <w:rPr>
          <w:rFonts w:ascii="Cambria" w:eastAsia="Times New Roman" w:hAnsi="Cambria"/>
          <w:sz w:val="20"/>
          <w:szCs w:val="20"/>
          <w:lang w:eastAsia="es-ES"/>
        </w:rPr>
        <w:t>the importance of what is at stake for the party in the case.</w:t>
      </w:r>
      <w:r w:rsidRPr="00310C0B">
        <w:rPr>
          <w:rFonts w:ascii="Cambria" w:eastAsia="Times New Roman" w:hAnsi="Cambria"/>
          <w:sz w:val="20"/>
          <w:szCs w:val="20"/>
          <w:vertAlign w:val="superscript"/>
          <w:lang w:eastAsia="es-ES"/>
        </w:rPr>
        <w:footnoteReference w:id="76"/>
      </w:r>
      <w:r>
        <w:rPr>
          <w:rFonts w:ascii="Cambria" w:eastAsia="Times New Roman" w:hAnsi="Cambria"/>
          <w:sz w:val="20"/>
          <w:szCs w:val="20"/>
          <w:lang w:eastAsia="es-ES"/>
        </w:rPr>
        <w:t xml:space="preserve"> The Inter-American Court has held that a protracted delay may </w:t>
      </w:r>
      <w:r>
        <w:rPr>
          <w:rFonts w:ascii="Cambria" w:eastAsia="Times New Roman" w:hAnsi="Cambria"/>
          <w:i/>
          <w:sz w:val="20"/>
          <w:szCs w:val="20"/>
          <w:lang w:eastAsia="es-ES"/>
        </w:rPr>
        <w:t>per se</w:t>
      </w:r>
      <w:r>
        <w:rPr>
          <w:rFonts w:ascii="Cambria" w:eastAsia="Times New Roman" w:hAnsi="Cambria"/>
          <w:sz w:val="20"/>
          <w:szCs w:val="20"/>
          <w:lang w:eastAsia="es-ES"/>
        </w:rPr>
        <w:t xml:space="preserve"> constitute a violation of the principle of due process</w:t>
      </w:r>
      <w:r w:rsidRPr="00310C0B">
        <w:rPr>
          <w:rFonts w:ascii="Cambria" w:eastAsia="Times New Roman" w:hAnsi="Cambria"/>
          <w:sz w:val="20"/>
          <w:szCs w:val="20"/>
          <w:vertAlign w:val="superscript"/>
          <w:lang w:eastAsia="es-ES"/>
        </w:rPr>
        <w:footnoteReference w:id="77"/>
      </w:r>
      <w:r w:rsidRPr="00310C0B">
        <w:rPr>
          <w:rFonts w:ascii="Cambria" w:eastAsia="Times New Roman" w:hAnsi="Cambria"/>
          <w:sz w:val="20"/>
          <w:szCs w:val="20"/>
          <w:lang w:eastAsia="es-ES"/>
        </w:rPr>
        <w:t xml:space="preserve"> </w:t>
      </w:r>
      <w:r>
        <w:rPr>
          <w:rFonts w:ascii="Cambria" w:eastAsia="Times New Roman" w:hAnsi="Cambria"/>
          <w:sz w:val="20"/>
          <w:szCs w:val="20"/>
          <w:lang w:eastAsia="es-ES"/>
        </w:rPr>
        <w:t>and, therefore, it is for the State to explain and prove why it has required more time than would be reasonable, in principle, to deliver final judgment in a specific case.</w:t>
      </w:r>
      <w:r w:rsidRPr="00310C0B">
        <w:rPr>
          <w:rFonts w:ascii="Cambria" w:eastAsia="Times New Roman" w:hAnsi="Cambria"/>
          <w:sz w:val="20"/>
          <w:szCs w:val="20"/>
          <w:vertAlign w:val="superscript"/>
          <w:lang w:eastAsia="es-ES"/>
        </w:rPr>
        <w:footnoteReference w:id="78"/>
      </w:r>
    </w:p>
    <w:p w14:paraId="22610A03" w14:textId="77777777" w:rsidR="00041CFE" w:rsidRPr="00310C0B" w:rsidRDefault="00041CFE" w:rsidP="00041CFE">
      <w:pPr>
        <w:pStyle w:val="Heading3"/>
        <w:numPr>
          <w:ilvl w:val="0"/>
          <w:numId w:val="68"/>
        </w:numPr>
        <w:spacing w:line="240" w:lineRule="auto"/>
        <w:ind w:left="630" w:hanging="630"/>
        <w:rPr>
          <w:rFonts w:eastAsia="Calibri"/>
          <w:sz w:val="20"/>
          <w:szCs w:val="20"/>
        </w:rPr>
      </w:pPr>
      <w:bookmarkStart w:id="31" w:name="_Toc5953495"/>
      <w:bookmarkStart w:id="32" w:name="_Toc1985291"/>
      <w:bookmarkStart w:id="33" w:name="_Toc3543646"/>
      <w:r>
        <w:rPr>
          <w:rFonts w:eastAsia="Calibri"/>
          <w:sz w:val="20"/>
          <w:szCs w:val="20"/>
        </w:rPr>
        <w:t>Diligence in the investigation</w:t>
      </w:r>
      <w:bookmarkEnd w:id="31"/>
      <w:r>
        <w:rPr>
          <w:rFonts w:eastAsia="Calibri"/>
          <w:sz w:val="20"/>
          <w:szCs w:val="20"/>
        </w:rPr>
        <w:t xml:space="preserve"> </w:t>
      </w:r>
      <w:bookmarkEnd w:id="32"/>
      <w:bookmarkEnd w:id="33"/>
    </w:p>
    <w:p w14:paraId="7FC9E689" w14:textId="77777777" w:rsidR="00041CFE" w:rsidRPr="00310C0B" w:rsidRDefault="00041CFE" w:rsidP="00041CFE"/>
    <w:p w14:paraId="7F9E009D"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eastAsia="Calibri" w:hAnsi="Cambria"/>
          <w:sz w:val="20"/>
          <w:szCs w:val="20"/>
        </w:rPr>
      </w:pPr>
      <w:r>
        <w:rPr>
          <w:rFonts w:ascii="Cambria" w:eastAsia="Times New Roman" w:hAnsi="Cambria"/>
          <w:sz w:val="20"/>
          <w:szCs w:val="20"/>
          <w:lang w:eastAsia="es-ES"/>
        </w:rPr>
        <w:t xml:space="preserve">The Commission recalls that in the instant case, the alleged victim was abducted from the jail where he was being held in custody on July 15, 2001. Furthermore, the family members filed at least two complaints about his disappearance. </w:t>
      </w:r>
    </w:p>
    <w:p w14:paraId="6B8A8822"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eastAsia="Calibri" w:hAnsi="Cambria"/>
          <w:sz w:val="20"/>
          <w:szCs w:val="20"/>
        </w:rPr>
      </w:pPr>
    </w:p>
    <w:p w14:paraId="3C957F5B" w14:textId="77777777" w:rsidR="00041CFE" w:rsidRPr="00080347" w:rsidRDefault="00041CFE" w:rsidP="00080347">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eastAsia="Calibri" w:hAnsi="Cambria"/>
          <w:sz w:val="20"/>
          <w:szCs w:val="20"/>
        </w:rPr>
      </w:pPr>
      <w:r>
        <w:rPr>
          <w:rFonts w:ascii="Cambria" w:eastAsia="Calibri" w:hAnsi="Cambria"/>
          <w:sz w:val="20"/>
          <w:szCs w:val="20"/>
        </w:rPr>
        <w:t>The IACHR first notes that said facts did not trigger any immediate search to determine the whereabouts of the alleged victim or any investigation, even though there was evidence that a forced disappearance may have been afoot, thus requiring an expeditious and thorough response without delay as soon as authorities became aware of the situation. In the first police report on the incidents, which was issued one month after the events took place, “trying to locate the alleged victim” is identified as a pending task. Likewise, as the case file reflects, the criminal investigation was opened more than one month after the incidents, in August</w:t>
      </w:r>
      <w:r w:rsidRPr="00310C0B">
        <w:rPr>
          <w:rFonts w:ascii="Cambria" w:eastAsia="Calibri" w:hAnsi="Cambria"/>
          <w:sz w:val="20"/>
          <w:szCs w:val="20"/>
        </w:rPr>
        <w:t xml:space="preserve"> 2001, </w:t>
      </w:r>
      <w:r>
        <w:rPr>
          <w:rFonts w:ascii="Cambria" w:eastAsia="Calibri" w:hAnsi="Cambria"/>
          <w:sz w:val="20"/>
          <w:szCs w:val="20"/>
        </w:rPr>
        <w:t xml:space="preserve">at the request of the Inspector General of the Police. </w:t>
      </w:r>
    </w:p>
    <w:p w14:paraId="4E439B67"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eastAsia="Calibri" w:hAnsi="Cambria"/>
          <w:sz w:val="20"/>
          <w:szCs w:val="20"/>
        </w:rPr>
      </w:pPr>
      <w:r>
        <w:rPr>
          <w:rFonts w:ascii="Cambria" w:eastAsia="Calibri" w:hAnsi="Cambria"/>
          <w:sz w:val="20"/>
          <w:szCs w:val="20"/>
        </w:rPr>
        <w:lastRenderedPageBreak/>
        <w:t xml:space="preserve">The IACHR further notes that the State failed to take even the most minimal investigative steps to locate the whereabouts of the alleged victim and identify those responsible. In particular: </w:t>
      </w:r>
    </w:p>
    <w:p w14:paraId="12AD93FD"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720"/>
        <w:jc w:val="both"/>
        <w:rPr>
          <w:rFonts w:ascii="Cambria" w:eastAsia="Calibri" w:hAnsi="Cambria"/>
          <w:sz w:val="20"/>
          <w:szCs w:val="20"/>
        </w:rPr>
      </w:pPr>
    </w:p>
    <w:p w14:paraId="28131506"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720"/>
        <w:jc w:val="both"/>
        <w:rPr>
          <w:rFonts w:ascii="Cambria" w:eastAsia="Calibri" w:hAnsi="Cambria"/>
          <w:sz w:val="20"/>
          <w:szCs w:val="20"/>
        </w:rPr>
      </w:pPr>
      <w:r w:rsidRPr="00310C0B">
        <w:rPr>
          <w:rFonts w:ascii="Cambria" w:eastAsia="Calibri" w:hAnsi="Cambria"/>
          <w:sz w:val="20"/>
          <w:szCs w:val="20"/>
        </w:rPr>
        <w:t>-</w:t>
      </w:r>
      <w:r>
        <w:rPr>
          <w:rFonts w:ascii="Cambria" w:eastAsia="Calibri" w:hAnsi="Cambria"/>
          <w:sz w:val="20"/>
          <w:szCs w:val="20"/>
        </w:rPr>
        <w:t xml:space="preserve">There is not a single record of any search to determine the whereabouts of the alleged victim. </w:t>
      </w:r>
    </w:p>
    <w:p w14:paraId="7F1A3EEC"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720"/>
        <w:jc w:val="both"/>
        <w:rPr>
          <w:rFonts w:ascii="Cambria" w:eastAsia="Calibri" w:hAnsi="Cambria"/>
          <w:sz w:val="20"/>
          <w:szCs w:val="20"/>
        </w:rPr>
      </w:pPr>
      <w:r w:rsidRPr="00310C0B">
        <w:rPr>
          <w:rFonts w:ascii="Cambria" w:eastAsia="Calibri" w:hAnsi="Cambria"/>
          <w:sz w:val="20"/>
          <w:szCs w:val="20"/>
        </w:rPr>
        <w:t>-</w:t>
      </w:r>
      <w:r>
        <w:rPr>
          <w:rFonts w:ascii="Cambria" w:eastAsia="Calibri" w:hAnsi="Cambria"/>
          <w:sz w:val="20"/>
          <w:szCs w:val="20"/>
        </w:rPr>
        <w:t xml:space="preserve">The on-site inspection to the jail, from where the alleged victim was taken, was conducted nine months after the events and, therefore, no physical damage was found nor was it possible to determine the use of force at the time he was taken away from the jail. </w:t>
      </w:r>
    </w:p>
    <w:p w14:paraId="2CECE955"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720"/>
        <w:jc w:val="both"/>
        <w:rPr>
          <w:rFonts w:ascii="Cambria" w:eastAsia="Calibri" w:hAnsi="Cambria"/>
          <w:sz w:val="20"/>
          <w:szCs w:val="20"/>
        </w:rPr>
      </w:pPr>
      <w:r w:rsidRPr="00310C0B">
        <w:rPr>
          <w:rFonts w:ascii="Cambria" w:eastAsia="Calibri" w:hAnsi="Cambria"/>
          <w:sz w:val="20"/>
          <w:szCs w:val="20"/>
        </w:rPr>
        <w:t>-</w:t>
      </w:r>
      <w:r>
        <w:rPr>
          <w:rFonts w:ascii="Cambria" w:eastAsia="Calibri" w:hAnsi="Cambria"/>
          <w:sz w:val="20"/>
          <w:szCs w:val="20"/>
        </w:rPr>
        <w:t xml:space="preserve">There is no record that the State conducted an inspection of the Jail of the rural community self-defense juntas, even though the Juntas Consortium reported that the alleged victim was taken to that location, but that he escaped by force from it. </w:t>
      </w:r>
    </w:p>
    <w:p w14:paraId="17C036A0"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720"/>
        <w:jc w:val="both"/>
        <w:rPr>
          <w:rFonts w:ascii="Cambria" w:eastAsia="Calibri" w:hAnsi="Cambria"/>
          <w:sz w:val="20"/>
          <w:szCs w:val="20"/>
        </w:rPr>
      </w:pPr>
      <w:r w:rsidRPr="00310C0B">
        <w:rPr>
          <w:rFonts w:ascii="Cambria" w:eastAsia="Calibri" w:hAnsi="Cambria"/>
          <w:sz w:val="20"/>
          <w:szCs w:val="20"/>
        </w:rPr>
        <w:t>-</w:t>
      </w:r>
      <w:r>
        <w:rPr>
          <w:rFonts w:ascii="Cambria" w:eastAsia="Calibri" w:hAnsi="Cambria"/>
          <w:sz w:val="20"/>
          <w:szCs w:val="20"/>
        </w:rPr>
        <w:t xml:space="preserve">There is no record that, because of the preceding fact, the members of the Juntas have been criminally prosecuted, even though they explicitly acknowledged taking Mr. Núñez and detaining him in a jail. </w:t>
      </w:r>
    </w:p>
    <w:p w14:paraId="43FC5C4F"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720"/>
        <w:jc w:val="both"/>
        <w:rPr>
          <w:rFonts w:ascii="Cambria" w:eastAsia="Calibri" w:hAnsi="Cambria"/>
          <w:sz w:val="20"/>
          <w:szCs w:val="20"/>
        </w:rPr>
      </w:pPr>
    </w:p>
    <w:p w14:paraId="436E27C7"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eastAsia="Calibri" w:hAnsi="Cambria"/>
          <w:sz w:val="20"/>
          <w:szCs w:val="20"/>
        </w:rPr>
      </w:pPr>
      <w:r>
        <w:rPr>
          <w:rFonts w:ascii="Cambria" w:eastAsia="Calibri" w:hAnsi="Cambria"/>
          <w:sz w:val="20"/>
          <w:szCs w:val="20"/>
        </w:rPr>
        <w:t xml:space="preserve">Additionally, the Commission notes the clear lack of due diligence in the decision to dismiss the case with prejudice. As was explained in that ruling, the evidence gathered during the initial inquiry did not meet the legal requirements under the Organic Law of Public Prosecution, because there is no record that the defendants were summoned to intervene in evidence collection. This failure, which triggered the suppression of the evidence, is fully attributable to the State. Additionally, beyond the fact that this situation is clear, no measure has been ordered to cure the aforementioned failures and reconduct the process, so the facts could be elucidated and those responsible, punished. It also takes note that no evidence was introduced during the preliminary investigation stage. </w:t>
      </w:r>
    </w:p>
    <w:p w14:paraId="73F8D867"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eastAsia="Calibri" w:hAnsi="Cambria"/>
          <w:sz w:val="20"/>
          <w:szCs w:val="20"/>
        </w:rPr>
      </w:pPr>
    </w:p>
    <w:p w14:paraId="2C92E2D4"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eastAsia="Calibri" w:hAnsi="Cambria"/>
          <w:sz w:val="20"/>
          <w:szCs w:val="20"/>
        </w:rPr>
      </w:pPr>
      <w:r>
        <w:rPr>
          <w:rFonts w:ascii="Cambria" w:eastAsia="Calibri" w:hAnsi="Cambria"/>
          <w:sz w:val="20"/>
          <w:szCs w:val="20"/>
        </w:rPr>
        <w:t xml:space="preserve">Finally, the IACHR notes that despite the information of October 15, 2004, from the Chief of Police that the investigations are carrying on to determine the whereabouts of the alleged victim, on October 18, 2004, the Fourth Criminal Court reported that as of the time the dismissal without prejudice was issued, no evidence has been received from the prosecutor’s office. This shows that no procedure was followed to overturn the decision to dismiss the case, despite the omissions established above. </w:t>
      </w:r>
    </w:p>
    <w:p w14:paraId="1A1498CA" w14:textId="77777777" w:rsidR="00041CFE" w:rsidRPr="00310C0B" w:rsidRDefault="00041CFE" w:rsidP="00041CFE">
      <w:pPr>
        <w:pStyle w:val="ListParagraph"/>
        <w:rPr>
          <w:rFonts w:eastAsia="Calibri"/>
          <w:sz w:val="20"/>
          <w:szCs w:val="20"/>
        </w:rPr>
      </w:pPr>
    </w:p>
    <w:p w14:paraId="23363296"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eastAsia="Calibri" w:hAnsi="Cambria"/>
          <w:sz w:val="20"/>
          <w:szCs w:val="20"/>
        </w:rPr>
      </w:pPr>
      <w:r>
        <w:rPr>
          <w:rFonts w:ascii="Cambria" w:eastAsia="Calibri" w:hAnsi="Cambria"/>
          <w:sz w:val="20"/>
          <w:szCs w:val="20"/>
        </w:rPr>
        <w:t xml:space="preserve">All of the foregoing evidence, taken as a whole, leads to the conclusion that the State has not investigated the facts of the instant case with due diligence, in violation of the rights set forth in Articles 8.1 and 25.1 of the American Convention in connection with Articles 1.1 of the same instrument, as well as Article I.b of the Inter-American Convention on Forced Disappearance of Persons, to the detriment of </w:t>
      </w:r>
      <w:r w:rsidRPr="00310C0B">
        <w:rPr>
          <w:rFonts w:ascii="Cambria" w:eastAsia="Calibri" w:hAnsi="Cambria"/>
          <w:sz w:val="20"/>
          <w:szCs w:val="20"/>
        </w:rPr>
        <w:t xml:space="preserve">Fredy Marcelo Núñez, </w:t>
      </w:r>
      <w:r>
        <w:rPr>
          <w:rFonts w:ascii="Cambria" w:eastAsia="Calibri" w:hAnsi="Cambria"/>
          <w:sz w:val="20"/>
          <w:szCs w:val="20"/>
        </w:rPr>
        <w:t>as well as his family members.</w:t>
      </w:r>
      <w:r w:rsidRPr="00310C0B">
        <w:rPr>
          <w:rFonts w:ascii="Cambria" w:eastAsia="Calibri" w:hAnsi="Cambria"/>
          <w:sz w:val="20"/>
          <w:szCs w:val="20"/>
        </w:rPr>
        <w:t xml:space="preserve"> </w:t>
      </w:r>
    </w:p>
    <w:p w14:paraId="713F569E" w14:textId="77777777" w:rsidR="00041CFE" w:rsidRPr="00310C0B" w:rsidRDefault="00041CFE" w:rsidP="00041CFE">
      <w:pPr>
        <w:pStyle w:val="Heading3"/>
        <w:numPr>
          <w:ilvl w:val="0"/>
          <w:numId w:val="68"/>
        </w:numPr>
        <w:spacing w:line="240" w:lineRule="auto"/>
        <w:ind w:left="630" w:hanging="540"/>
        <w:rPr>
          <w:rFonts w:eastAsia="Arial Unicode MS"/>
          <w:b w:val="0"/>
          <w:sz w:val="20"/>
          <w:szCs w:val="20"/>
        </w:rPr>
      </w:pPr>
      <w:bookmarkStart w:id="34" w:name="_Toc5953496"/>
      <w:bookmarkStart w:id="35" w:name="_Toc1985292"/>
      <w:bookmarkStart w:id="36" w:name="_Toc3543647"/>
      <w:r>
        <w:rPr>
          <w:sz w:val="20"/>
          <w:szCs w:val="20"/>
        </w:rPr>
        <w:t>Reasonable time</w:t>
      </w:r>
      <w:bookmarkEnd w:id="34"/>
      <w:r>
        <w:rPr>
          <w:sz w:val="20"/>
          <w:szCs w:val="20"/>
        </w:rPr>
        <w:t xml:space="preserve"> </w:t>
      </w:r>
      <w:bookmarkEnd w:id="35"/>
      <w:bookmarkEnd w:id="36"/>
    </w:p>
    <w:p w14:paraId="25EAD918"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sz w:val="20"/>
          <w:szCs w:val="20"/>
        </w:rPr>
      </w:pPr>
    </w:p>
    <w:p w14:paraId="3D974490"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eastAsia="Calibri"/>
          <w:sz w:val="20"/>
          <w:szCs w:val="20"/>
        </w:rPr>
      </w:pPr>
      <w:r>
        <w:rPr>
          <w:rFonts w:ascii="Cambria" w:eastAsia="Calibri" w:hAnsi="Cambria"/>
          <w:sz w:val="20"/>
          <w:szCs w:val="20"/>
        </w:rPr>
        <w:t xml:space="preserve">The Commission will examine hereunder whether the State fulfilled its duty to conduct an investigation into the facts of the instant case within a reasonable time, taking into account the evidence laid out above. </w:t>
      </w:r>
    </w:p>
    <w:p w14:paraId="6F2E0FCB"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eastAsia="Calibri"/>
          <w:sz w:val="20"/>
          <w:szCs w:val="20"/>
        </w:rPr>
      </w:pPr>
    </w:p>
    <w:p w14:paraId="5520C386"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eastAsia="Calibri"/>
          <w:sz w:val="20"/>
          <w:szCs w:val="20"/>
        </w:rPr>
      </w:pPr>
      <w:r>
        <w:rPr>
          <w:rFonts w:ascii="Cambria" w:eastAsia="Calibri" w:hAnsi="Cambria"/>
          <w:sz w:val="20"/>
          <w:szCs w:val="20"/>
        </w:rPr>
        <w:t>The IACHR takes note that 17 years have elapsed since the time the State became aware of the facts, as a result of the abduction from the jail where the alleged victim was being held in custody</w:t>
      </w:r>
      <w:r w:rsidRPr="00310C0B">
        <w:rPr>
          <w:rFonts w:ascii="Cambria" w:eastAsia="Calibri" w:hAnsi="Cambria"/>
          <w:sz w:val="20"/>
          <w:szCs w:val="20"/>
        </w:rPr>
        <w:t xml:space="preserve">. </w:t>
      </w:r>
    </w:p>
    <w:p w14:paraId="64F9D15B" w14:textId="77777777" w:rsidR="00041CFE" w:rsidRPr="00310C0B" w:rsidRDefault="00041CFE" w:rsidP="00041CFE">
      <w:pPr>
        <w:pStyle w:val="ListParagraph"/>
        <w:rPr>
          <w:rFonts w:eastAsia="Calibri"/>
          <w:sz w:val="20"/>
          <w:szCs w:val="20"/>
        </w:rPr>
      </w:pPr>
    </w:p>
    <w:p w14:paraId="5EE17C8E"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eastAsia="Calibri"/>
          <w:sz w:val="20"/>
          <w:szCs w:val="20"/>
        </w:rPr>
      </w:pPr>
      <w:r>
        <w:rPr>
          <w:rFonts w:ascii="Cambria" w:eastAsia="Calibri" w:hAnsi="Cambria"/>
          <w:sz w:val="20"/>
          <w:szCs w:val="20"/>
        </w:rPr>
        <w:t xml:space="preserve">As for the first element, the case can be viewed </w:t>
      </w:r>
      <w:r w:rsidRPr="00337A32">
        <w:rPr>
          <w:rFonts w:ascii="Cambria" w:eastAsia="Calibri" w:hAnsi="Cambria"/>
          <w:i/>
          <w:sz w:val="20"/>
          <w:szCs w:val="20"/>
        </w:rPr>
        <w:t>prima facie</w:t>
      </w:r>
      <w:r>
        <w:rPr>
          <w:rFonts w:ascii="Cambria" w:eastAsia="Calibri" w:hAnsi="Cambria"/>
          <w:sz w:val="20"/>
          <w:szCs w:val="20"/>
        </w:rPr>
        <w:t xml:space="preserve"> as complex, taking into account the context of the facts and the number of individuals involved. Nonetheless, the Commission recalls that even in cases that may be considered as complex due to their very nature, the State concerned is required to specifically explain how the complexity has affected the investigations. The Commission finds that this was not done in the instant case. The Commission does not believe that the complexity has been the reason why those responsible for the crimes have not been identified, the facts have not been clarified or the respective punishments have not been imposed, as of the present date. </w:t>
      </w:r>
      <w:r>
        <w:rPr>
          <w:rFonts w:ascii="Cambria" w:hAnsi="Cambria"/>
          <w:sz w:val="20"/>
          <w:szCs w:val="20"/>
        </w:rPr>
        <w:t xml:space="preserve">On the contrary, as was explained in the previous section, the investigation has not been conducted with due diligence or geared toward ascertaining the truth about what happened.  Even though evidence of who may have been the perpetrators of the crimes was introduced in the case proceedings, the cases of these individuals have not been properly followed up. </w:t>
      </w:r>
    </w:p>
    <w:p w14:paraId="0B742E07" w14:textId="77777777" w:rsidR="00041CFE" w:rsidRPr="00310C0B" w:rsidRDefault="00041CFE" w:rsidP="00041CFE">
      <w:pPr>
        <w:pStyle w:val="ListParagraph"/>
        <w:rPr>
          <w:sz w:val="20"/>
          <w:szCs w:val="20"/>
        </w:rPr>
      </w:pPr>
    </w:p>
    <w:p w14:paraId="03167F3D"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eastAsia="Calibri"/>
          <w:sz w:val="20"/>
          <w:szCs w:val="20"/>
        </w:rPr>
      </w:pPr>
      <w:r>
        <w:rPr>
          <w:rFonts w:ascii="Cambria" w:hAnsi="Cambria"/>
          <w:sz w:val="20"/>
          <w:szCs w:val="20"/>
        </w:rPr>
        <w:lastRenderedPageBreak/>
        <w:t xml:space="preserve">With respect to the second element of the procedural activity of the interested party, the Commission notes that the family of the alleged victim reported the crimes more than once to the pertinent State authorities and, as such, it was incumbent upon the State to properly move the investigations forward. </w:t>
      </w:r>
    </w:p>
    <w:p w14:paraId="111BFF96" w14:textId="77777777" w:rsidR="00041CFE" w:rsidRPr="00310C0B" w:rsidRDefault="00041CFE" w:rsidP="00041CFE">
      <w:pPr>
        <w:pStyle w:val="ListParagraph"/>
        <w:rPr>
          <w:sz w:val="20"/>
          <w:szCs w:val="20"/>
        </w:rPr>
      </w:pPr>
    </w:p>
    <w:p w14:paraId="7A28C85A"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eastAsia="Calibri"/>
          <w:sz w:val="20"/>
          <w:szCs w:val="20"/>
        </w:rPr>
      </w:pPr>
      <w:r>
        <w:rPr>
          <w:rFonts w:ascii="Cambria" w:hAnsi="Cambria"/>
          <w:sz w:val="20"/>
          <w:szCs w:val="20"/>
        </w:rPr>
        <w:t xml:space="preserve">As for the conduct of State authorities, the Commission reiterates the failure to act described in the section on due diligence. The Commission notes periods of inactivity of the State for which no adequate cause was given, in the immediate aftermath of the disappearance, as well as in the context of the investigation, in addition to the sparse investigative steps taken to determine the whereabouts of the alleged victim, and identify, try and punish those responsible for the crimes. </w:t>
      </w:r>
    </w:p>
    <w:p w14:paraId="099B11A5" w14:textId="77777777" w:rsidR="00041CFE" w:rsidRPr="00310C0B" w:rsidRDefault="00041CFE" w:rsidP="00041CFE">
      <w:pPr>
        <w:pStyle w:val="ListParagraph"/>
        <w:rPr>
          <w:sz w:val="20"/>
          <w:szCs w:val="20"/>
        </w:rPr>
      </w:pPr>
    </w:p>
    <w:p w14:paraId="1D009E9E"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eastAsia="Calibri"/>
          <w:sz w:val="20"/>
          <w:szCs w:val="20"/>
        </w:rPr>
      </w:pPr>
      <w:r>
        <w:rPr>
          <w:rFonts w:ascii="Cambria" w:hAnsi="Cambria"/>
          <w:sz w:val="20"/>
          <w:szCs w:val="20"/>
        </w:rPr>
        <w:t xml:space="preserve">Based on the foregoing considerations, the Commission concludes that the State has breached its duty to investigate the facts of the instant case within a reasonable time, in violation of the rights established in Articles 8.1 and 25.1 of the American Convention in connection with Article 1.1 of the same instrument, and Article I.b. of the Inter-American Convention on the Forced Disappearance of Persons to the detriment of </w:t>
      </w:r>
      <w:r w:rsidRPr="00310C0B">
        <w:rPr>
          <w:rFonts w:ascii="Cambria" w:eastAsia="Calibri" w:hAnsi="Cambria"/>
          <w:sz w:val="20"/>
          <w:szCs w:val="20"/>
        </w:rPr>
        <w:t xml:space="preserve">Fredy Marcelo Núñez </w:t>
      </w:r>
      <w:r>
        <w:rPr>
          <w:rFonts w:ascii="Cambria" w:eastAsia="Calibri" w:hAnsi="Cambria"/>
          <w:sz w:val="20"/>
          <w:szCs w:val="20"/>
        </w:rPr>
        <w:t>and his family.</w:t>
      </w:r>
      <w:r w:rsidRPr="00310C0B">
        <w:rPr>
          <w:rFonts w:ascii="Cambria" w:eastAsia="Calibri" w:hAnsi="Cambria"/>
          <w:sz w:val="20"/>
          <w:szCs w:val="20"/>
        </w:rPr>
        <w:t xml:space="preserve"> </w:t>
      </w:r>
    </w:p>
    <w:p w14:paraId="3BD1C54D" w14:textId="77777777" w:rsidR="00041CFE" w:rsidRPr="00310C0B" w:rsidRDefault="00041CFE" w:rsidP="00041CFE">
      <w:pPr>
        <w:pStyle w:val="p1"/>
        <w:ind w:left="720"/>
        <w:jc w:val="both"/>
        <w:rPr>
          <w:rFonts w:asciiTheme="majorHAnsi" w:hAnsiTheme="majorHAnsi"/>
          <w:sz w:val="18"/>
          <w:szCs w:val="18"/>
        </w:rPr>
      </w:pPr>
    </w:p>
    <w:p w14:paraId="798AF3C2" w14:textId="77777777" w:rsidR="00041CFE" w:rsidRPr="00664D62" w:rsidRDefault="00041CFE" w:rsidP="00041CFE">
      <w:pPr>
        <w:pStyle w:val="Heading2"/>
        <w:keepNext w:val="0"/>
        <w:keepLines w:val="0"/>
        <w:numPr>
          <w:ilvl w:val="0"/>
          <w:numId w:val="66"/>
        </w:numPr>
        <w:tabs>
          <w:tab w:val="left" w:pos="630"/>
        </w:tabs>
        <w:spacing w:before="0"/>
        <w:ind w:left="0" w:firstLine="0"/>
        <w:jc w:val="both"/>
        <w:rPr>
          <w:rFonts w:ascii="Cambria" w:hAnsi="Cambria"/>
          <w:i/>
          <w:color w:val="auto"/>
          <w:sz w:val="20"/>
          <w:szCs w:val="20"/>
        </w:rPr>
      </w:pPr>
      <w:bookmarkStart w:id="37" w:name="_Toc423514427"/>
      <w:bookmarkStart w:id="38" w:name="_Toc441166739"/>
      <w:bookmarkStart w:id="39" w:name="_Toc477355363"/>
      <w:bookmarkStart w:id="40" w:name="_Toc519601831"/>
      <w:bookmarkStart w:id="41" w:name="_Toc1985293"/>
      <w:bookmarkStart w:id="42" w:name="_Toc3543648"/>
      <w:bookmarkStart w:id="43" w:name="_Toc5953497"/>
      <w:r w:rsidRPr="00664D62">
        <w:rPr>
          <w:rFonts w:ascii="Cambria" w:hAnsi="Cambria"/>
          <w:color w:val="auto"/>
          <w:sz w:val="20"/>
          <w:szCs w:val="20"/>
        </w:rPr>
        <w:t>Right to humane treatment of next of kin (Article 5 in connection with Article 1.1 of the American Convention)</w:t>
      </w:r>
      <w:bookmarkEnd w:id="37"/>
      <w:bookmarkEnd w:id="38"/>
      <w:bookmarkEnd w:id="39"/>
      <w:bookmarkEnd w:id="40"/>
      <w:bookmarkEnd w:id="41"/>
      <w:bookmarkEnd w:id="42"/>
      <w:bookmarkEnd w:id="43"/>
    </w:p>
    <w:p w14:paraId="62B6630B" w14:textId="77777777" w:rsidR="00041CFE" w:rsidRPr="00041CFE" w:rsidRDefault="00041CFE" w:rsidP="00041CFE">
      <w:pPr>
        <w:pStyle w:val="Heading3"/>
        <w:numPr>
          <w:ilvl w:val="1"/>
          <w:numId w:val="62"/>
        </w:numPr>
        <w:spacing w:line="240" w:lineRule="auto"/>
        <w:ind w:left="630" w:hanging="630"/>
        <w:rPr>
          <w:rFonts w:asciiTheme="majorHAnsi" w:hAnsiTheme="majorHAnsi"/>
          <w:sz w:val="20"/>
          <w:szCs w:val="20"/>
          <w:lang w:val="en-US"/>
        </w:rPr>
      </w:pPr>
      <w:bookmarkStart w:id="44" w:name="_Toc5953498"/>
      <w:bookmarkStart w:id="45" w:name="_Toc3543649"/>
      <w:r w:rsidRPr="00041CFE">
        <w:rPr>
          <w:rFonts w:asciiTheme="majorHAnsi" w:hAnsiTheme="majorHAnsi"/>
          <w:sz w:val="20"/>
          <w:szCs w:val="20"/>
          <w:lang w:val="en-US"/>
        </w:rPr>
        <w:t>Right to humane treatment as a consequence of the forced disappearance</w:t>
      </w:r>
      <w:bookmarkEnd w:id="44"/>
      <w:r w:rsidRPr="00041CFE">
        <w:rPr>
          <w:rFonts w:asciiTheme="majorHAnsi" w:hAnsiTheme="majorHAnsi"/>
          <w:sz w:val="20"/>
          <w:szCs w:val="20"/>
          <w:lang w:val="en-US"/>
        </w:rPr>
        <w:t xml:space="preserve"> </w:t>
      </w:r>
      <w:bookmarkEnd w:id="45"/>
    </w:p>
    <w:p w14:paraId="0A0289B8" w14:textId="77777777" w:rsidR="00041CFE" w:rsidRPr="00310C0B" w:rsidRDefault="00041CFE" w:rsidP="00041CFE"/>
    <w:p w14:paraId="1E6A20D4"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eastAsia="Times New Roman" w:hAnsi="Cambria"/>
          <w:sz w:val="20"/>
          <w:szCs w:val="20"/>
          <w:lang w:eastAsia="es-ES"/>
        </w:rPr>
      </w:pPr>
      <w:r>
        <w:rPr>
          <w:rFonts w:ascii="Cambria" w:eastAsia="Times New Roman" w:hAnsi="Cambria"/>
          <w:sz w:val="20"/>
          <w:szCs w:val="20"/>
          <w:lang w:eastAsia="es-ES"/>
        </w:rPr>
        <w:t>The right to humane treatment, enshrined in Article 5.1 of the American Convention, establishes that “every person has the right to have his physical, mental, and moral integrity respected.” The Commission and the Court have held that the family members of victims of certain human rights violations can, in turn, be considered as victims.</w:t>
      </w:r>
      <w:r w:rsidRPr="00310C0B">
        <w:rPr>
          <w:rFonts w:ascii="Cambria" w:hAnsi="Cambria"/>
          <w:bCs/>
          <w:sz w:val="20"/>
          <w:szCs w:val="20"/>
          <w:vertAlign w:val="superscript"/>
        </w:rPr>
        <w:footnoteReference w:id="79"/>
      </w:r>
      <w:r>
        <w:rPr>
          <w:rFonts w:ascii="Cambria" w:hAnsi="Cambria"/>
          <w:sz w:val="20"/>
          <w:szCs w:val="20"/>
        </w:rPr>
        <w:t xml:space="preserve"> In this regard, the Court has found that the right to mental and moral integrity of the next of kin of victims can be violated as a consequence of the additional suffering they have endured and the subsequent acts or omissions of the State authorities in relation to the facts.</w:t>
      </w:r>
      <w:r w:rsidRPr="00310C0B">
        <w:rPr>
          <w:rStyle w:val="FootnoteReference"/>
          <w:rFonts w:ascii="Cambria" w:hAnsi="Cambria"/>
          <w:sz w:val="20"/>
          <w:szCs w:val="20"/>
        </w:rPr>
        <w:footnoteReference w:id="80"/>
      </w:r>
    </w:p>
    <w:p w14:paraId="687A1558"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eastAsia="Times New Roman" w:hAnsi="Cambria"/>
          <w:sz w:val="20"/>
          <w:szCs w:val="20"/>
          <w:lang w:eastAsia="es-ES"/>
        </w:rPr>
      </w:pPr>
    </w:p>
    <w:p w14:paraId="2E91B0E1"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eastAsia="Times New Roman" w:hAnsi="Cambria"/>
          <w:sz w:val="20"/>
          <w:szCs w:val="20"/>
          <w:lang w:eastAsia="es-ES"/>
        </w:rPr>
      </w:pPr>
      <w:r>
        <w:rPr>
          <w:rFonts w:ascii="Cambria" w:hAnsi="Cambria"/>
          <w:sz w:val="20"/>
          <w:szCs w:val="20"/>
        </w:rPr>
        <w:t>The Commission notes that, pursuant to the legal precedents of the Court, “in cases involving the forced disappearance of persons, it can be understood that the violation of the right to mental and moral integrity of the victims’ next of kin is a direct result, precisely, of this phenomenon, which causes them severe anguish owing to the act itself, which is increased, among other factors, by the constant refusal of the State authorities to provide information on the whereabouts of the victim or to open an effective investigation to clarify what occurred.</w:t>
      </w:r>
      <w:r w:rsidRPr="00310C0B">
        <w:rPr>
          <w:rFonts w:ascii="Cambria" w:hAnsi="Cambria" w:cs="Verdana"/>
          <w:sz w:val="20"/>
          <w:szCs w:val="20"/>
        </w:rPr>
        <w:t>”</w:t>
      </w:r>
      <w:r w:rsidRPr="00310C0B">
        <w:rPr>
          <w:rFonts w:ascii="Cambria" w:hAnsi="Cambria" w:cs="Verdana"/>
          <w:sz w:val="20"/>
          <w:szCs w:val="20"/>
          <w:vertAlign w:val="superscript"/>
        </w:rPr>
        <w:footnoteReference w:id="81"/>
      </w:r>
    </w:p>
    <w:p w14:paraId="263B6E66"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eastAsia="Times New Roman" w:hAnsi="Cambria"/>
          <w:sz w:val="20"/>
          <w:szCs w:val="20"/>
          <w:lang w:eastAsia="es-ES"/>
        </w:rPr>
      </w:pPr>
    </w:p>
    <w:p w14:paraId="5106FD8B"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eastAsia="Times New Roman" w:hAnsi="Cambria"/>
          <w:sz w:val="20"/>
          <w:szCs w:val="20"/>
          <w:lang w:eastAsia="es-ES"/>
        </w:rPr>
      </w:pPr>
      <w:r>
        <w:rPr>
          <w:rFonts w:ascii="Cambria" w:eastAsia="Cambria" w:hAnsi="Cambria" w:cs="Verdana"/>
          <w:color w:val="000000"/>
          <w:sz w:val="20"/>
          <w:szCs w:val="20"/>
          <w:u w:color="000000"/>
          <w:lang w:eastAsia="es-ES"/>
        </w:rPr>
        <w:t xml:space="preserve">In the instant case, the Commission finds that the mere fact of the forced disappearance of the victim has given rise to a deep feeling of grief, anguish and uncertainty in his next of kin, which has been growing deeper because of the violations found in the previous section, including the protracted quest for justice, and the failure to elucidate what happened to their loved one. </w:t>
      </w:r>
    </w:p>
    <w:p w14:paraId="1439AA12" w14:textId="77777777" w:rsidR="00041CFE" w:rsidRPr="00310C0B" w:rsidRDefault="00041CFE" w:rsidP="00041CFE">
      <w:pPr>
        <w:pStyle w:val="ListParagraph"/>
        <w:rPr>
          <w:rFonts w:cs="Verdana"/>
          <w:sz w:val="20"/>
          <w:szCs w:val="20"/>
        </w:rPr>
      </w:pPr>
    </w:p>
    <w:p w14:paraId="033E2F96"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eastAsia="Times New Roman" w:hAnsi="Cambria"/>
          <w:sz w:val="20"/>
          <w:szCs w:val="20"/>
          <w:lang w:eastAsia="es-ES"/>
        </w:rPr>
      </w:pPr>
      <w:r>
        <w:rPr>
          <w:rFonts w:ascii="Cambria" w:eastAsia="Cambria" w:hAnsi="Cambria" w:cs="Verdana"/>
          <w:color w:val="000000"/>
          <w:sz w:val="20"/>
          <w:szCs w:val="20"/>
          <w:u w:color="000000"/>
          <w:lang w:eastAsia="es-ES"/>
        </w:rPr>
        <w:t>Additionally, the Commission takes note that based on the police reports and testimonial evidence, as a result of their quest for justice, the parents of the alleged victim, Gregoria Naranjo and</w:t>
      </w:r>
      <w:r w:rsidRPr="00310C0B">
        <w:rPr>
          <w:rFonts w:ascii="Cambria" w:eastAsia="Cambria" w:hAnsi="Cambria" w:cs="Verdana"/>
          <w:color w:val="000000"/>
          <w:sz w:val="20"/>
          <w:szCs w:val="20"/>
          <w:u w:color="000000"/>
          <w:lang w:eastAsia="es-ES"/>
        </w:rPr>
        <w:t xml:space="preserve"> Sixto Núñez, </w:t>
      </w:r>
      <w:r>
        <w:rPr>
          <w:rFonts w:ascii="Cambria" w:eastAsia="Cambria" w:hAnsi="Cambria" w:cs="Verdana"/>
          <w:color w:val="000000"/>
          <w:sz w:val="20"/>
          <w:szCs w:val="20"/>
          <w:u w:color="000000"/>
          <w:lang w:eastAsia="es-ES"/>
        </w:rPr>
        <w:t>have been threatened in order to force them to abandon their properties or that their belongings will be set ablaze and their lives will be in jeopardy. Notwithstanding, there is no record of any investigative step taken by the State to provide them with protection</w:t>
      </w:r>
      <w:r w:rsidRPr="00310C0B">
        <w:rPr>
          <w:rFonts w:ascii="Cambria" w:eastAsia="Cambria" w:hAnsi="Cambria" w:cs="Verdana"/>
          <w:color w:val="000000"/>
          <w:sz w:val="20"/>
          <w:szCs w:val="20"/>
          <w:u w:color="000000"/>
          <w:lang w:eastAsia="es-ES"/>
        </w:rPr>
        <w:t xml:space="preserve">. </w:t>
      </w:r>
    </w:p>
    <w:p w14:paraId="03B44611" w14:textId="77777777" w:rsidR="00041CFE" w:rsidRPr="00310C0B" w:rsidRDefault="00041CFE" w:rsidP="00041CFE">
      <w:pPr>
        <w:pStyle w:val="ListParagraph"/>
        <w:rPr>
          <w:rFonts w:cs="Verdana"/>
          <w:sz w:val="20"/>
          <w:szCs w:val="20"/>
        </w:rPr>
      </w:pPr>
    </w:p>
    <w:p w14:paraId="35F0B2FA"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eastAsia="Times New Roman" w:hAnsi="Cambria"/>
          <w:sz w:val="20"/>
          <w:szCs w:val="20"/>
          <w:lang w:eastAsia="es-ES"/>
        </w:rPr>
      </w:pPr>
      <w:r>
        <w:rPr>
          <w:rFonts w:ascii="Cambria" w:hAnsi="Cambria" w:cs="Verdana"/>
          <w:sz w:val="20"/>
          <w:szCs w:val="20"/>
        </w:rPr>
        <w:lastRenderedPageBreak/>
        <w:t>Based on the foregoing considerations, the Commission concludes that the State is responsible for the violation of the right to mental and moral integrity, as established in Article 5.1 of the American Convention in connection with the obligations set forth in Article 1.1 of the same instrument, to the detriment of the family members of Fredy Marcelo Núñez Naranjo, who are identified in the instant report.</w:t>
      </w:r>
    </w:p>
    <w:p w14:paraId="6E0EDF26" w14:textId="77777777" w:rsidR="00041CFE" w:rsidRPr="00041CFE" w:rsidRDefault="00041CFE" w:rsidP="00041CFE">
      <w:pPr>
        <w:pStyle w:val="Heading3"/>
        <w:numPr>
          <w:ilvl w:val="0"/>
          <w:numId w:val="69"/>
        </w:numPr>
        <w:spacing w:line="240" w:lineRule="auto"/>
        <w:ind w:left="630" w:hanging="630"/>
        <w:rPr>
          <w:rFonts w:asciiTheme="majorHAnsi" w:hAnsiTheme="majorHAnsi"/>
          <w:sz w:val="20"/>
          <w:szCs w:val="20"/>
          <w:lang w:val="pt-BR"/>
        </w:rPr>
      </w:pPr>
      <w:bookmarkStart w:id="46" w:name="_Toc3543650"/>
      <w:bookmarkStart w:id="47" w:name="_Toc5953499"/>
      <w:r w:rsidRPr="00041CFE">
        <w:rPr>
          <w:rFonts w:asciiTheme="majorHAnsi" w:hAnsiTheme="majorHAnsi"/>
          <w:sz w:val="20"/>
          <w:szCs w:val="20"/>
          <w:lang w:val="pt-BR"/>
        </w:rPr>
        <w:t>Facts relating to Gregoria Naranjo y Marcia Núñez</w:t>
      </w:r>
      <w:bookmarkEnd w:id="46"/>
      <w:bookmarkEnd w:id="47"/>
    </w:p>
    <w:p w14:paraId="4B93AA84" w14:textId="77777777" w:rsidR="00041CFE" w:rsidRPr="00041CFE"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eastAsia="Times New Roman" w:hAnsi="Cambria"/>
          <w:sz w:val="20"/>
          <w:szCs w:val="20"/>
          <w:lang w:val="pt-BR" w:eastAsia="es-ES"/>
        </w:rPr>
      </w:pPr>
    </w:p>
    <w:p w14:paraId="7B017193"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Pr>
          <w:rFonts w:asciiTheme="majorHAnsi" w:hAnsiTheme="majorHAnsi"/>
          <w:sz w:val="20"/>
          <w:szCs w:val="20"/>
        </w:rPr>
        <w:t>The Commission recalls that on July 15, 2001 when the alleged victim was abducted from the jail, where he was deprived of his liberty, he was taken together with his mother Gregoria Naranjo and his sister Marcia Núñez to the Puñachisag Community where, according to information appearing in the alleged victim’s own father’s testimony, the police report of August 16, 2001 and the prosecutorial initial inquiry, the three of these persons were subjected to “flogging” and mistreatment. Notwithstanding, there is no record of the State ever conducting an investigation to identify those responsible for this mistreatment</w:t>
      </w:r>
      <w:r w:rsidRPr="00310C0B">
        <w:rPr>
          <w:rFonts w:asciiTheme="majorHAnsi" w:hAnsiTheme="majorHAnsi"/>
          <w:sz w:val="20"/>
          <w:szCs w:val="20"/>
        </w:rPr>
        <w:t xml:space="preserve">. </w:t>
      </w:r>
    </w:p>
    <w:p w14:paraId="016F1CA0"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1EA9E24B"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Pr>
          <w:rFonts w:asciiTheme="majorHAnsi" w:hAnsiTheme="majorHAnsi"/>
          <w:sz w:val="20"/>
          <w:szCs w:val="20"/>
        </w:rPr>
        <w:t xml:space="preserve">On this score, the Commission recalls that when there is a complaint or reasonable grounds to believe that an act of torture has been committed, it is the State’s obligation to open </w:t>
      </w:r>
      <w:r>
        <w:rPr>
          <w:rFonts w:asciiTheme="majorHAnsi" w:hAnsiTheme="majorHAnsi"/>
          <w:i/>
          <w:sz w:val="20"/>
          <w:szCs w:val="20"/>
        </w:rPr>
        <w:t xml:space="preserve">ex officio </w:t>
      </w:r>
      <w:r>
        <w:rPr>
          <w:rFonts w:asciiTheme="majorHAnsi" w:hAnsiTheme="majorHAnsi"/>
          <w:sz w:val="20"/>
          <w:szCs w:val="20"/>
        </w:rPr>
        <w:t>and immediately an effective investigation to make it possible to identify, prosecute and punish those responsible, pursuant to the general obligation to ensure to all persons under its jurisdiction the human rights enshrined in the Convention, as established in Article 1.1 thereof, in conjunction with the right to humane treatment.</w:t>
      </w:r>
      <w:r w:rsidRPr="00310C0B">
        <w:rPr>
          <w:rFonts w:ascii="Cambria" w:eastAsia="Times New Roman" w:hAnsi="Cambria"/>
          <w:sz w:val="20"/>
          <w:szCs w:val="20"/>
          <w:vertAlign w:val="superscript"/>
        </w:rPr>
        <w:footnoteReference w:id="82"/>
      </w:r>
    </w:p>
    <w:p w14:paraId="765B2B9D" w14:textId="77777777" w:rsidR="00041CFE" w:rsidRPr="00310C0B" w:rsidRDefault="00041CFE" w:rsidP="00041CFE">
      <w:pPr>
        <w:pStyle w:val="ListParagraph"/>
        <w:rPr>
          <w:rFonts w:cs="Verdana"/>
          <w:sz w:val="20"/>
          <w:szCs w:val="20"/>
        </w:rPr>
      </w:pPr>
    </w:p>
    <w:p w14:paraId="22A51F9C"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Pr>
          <w:rFonts w:ascii="Cambria" w:hAnsi="Cambria" w:cs="Verdana"/>
          <w:sz w:val="20"/>
          <w:szCs w:val="20"/>
        </w:rPr>
        <w:t>Based on the foregoing considerations, the Commission concludes that the State is responsible for the violation of the right to a fair trial and judicial protection, as established in Articles 8.1 and 25.1 of the American Convention in connection with the right to humane treatment, as set forth in Article 5.1, as well as the obligations established in Article 1.1 of the same instrument, to the detriment of Gregoria Naranjo and</w:t>
      </w:r>
      <w:r w:rsidRPr="00310C0B">
        <w:rPr>
          <w:rFonts w:ascii="Cambria" w:hAnsi="Cambria" w:cs="Verdana"/>
          <w:sz w:val="20"/>
          <w:szCs w:val="20"/>
        </w:rPr>
        <w:t xml:space="preserve"> Marcia Núñez. </w:t>
      </w:r>
    </w:p>
    <w:p w14:paraId="33BA5F64"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0FEA5041" w14:textId="77777777" w:rsidR="00041CFE" w:rsidRPr="00310C0B" w:rsidRDefault="00041CFE" w:rsidP="00041CFE">
      <w:pPr>
        <w:pStyle w:val="Heading1"/>
        <w:numPr>
          <w:ilvl w:val="0"/>
          <w:numId w:val="63"/>
        </w:numPr>
        <w:tabs>
          <w:tab w:val="left" w:pos="0"/>
          <w:tab w:val="left" w:pos="540"/>
        </w:tabs>
        <w:spacing w:before="0"/>
        <w:ind w:left="0" w:firstLine="0"/>
        <w:jc w:val="both"/>
        <w:rPr>
          <w:rFonts w:ascii="Cambria" w:hAnsi="Cambria"/>
          <w:color w:val="auto"/>
          <w:sz w:val="20"/>
          <w:szCs w:val="20"/>
        </w:rPr>
      </w:pPr>
      <w:bookmarkStart w:id="48" w:name="_Toc5953500"/>
      <w:bookmarkStart w:id="49" w:name="_Toc519601832"/>
      <w:bookmarkStart w:id="50" w:name="_Toc1985294"/>
      <w:bookmarkStart w:id="51" w:name="_Toc3543651"/>
      <w:r>
        <w:rPr>
          <w:rFonts w:ascii="Cambria" w:hAnsi="Cambria"/>
          <w:color w:val="000000" w:themeColor="text1"/>
          <w:sz w:val="20"/>
          <w:szCs w:val="20"/>
        </w:rPr>
        <w:t>CONCLUSION</w:t>
      </w:r>
      <w:r w:rsidRPr="00310C0B">
        <w:rPr>
          <w:rFonts w:ascii="Cambria" w:hAnsi="Cambria"/>
          <w:color w:val="000000" w:themeColor="text1"/>
          <w:sz w:val="20"/>
          <w:szCs w:val="20"/>
        </w:rPr>
        <w:t>S</w:t>
      </w:r>
      <w:r>
        <w:rPr>
          <w:rFonts w:ascii="Cambria" w:hAnsi="Cambria"/>
          <w:color w:val="auto"/>
          <w:sz w:val="20"/>
          <w:szCs w:val="20"/>
        </w:rPr>
        <w:t xml:space="preserve"> AND RECOMMENDATIONS</w:t>
      </w:r>
      <w:bookmarkEnd w:id="48"/>
      <w:r>
        <w:rPr>
          <w:rFonts w:ascii="Cambria" w:hAnsi="Cambria"/>
          <w:color w:val="auto"/>
          <w:sz w:val="20"/>
          <w:szCs w:val="20"/>
        </w:rPr>
        <w:t xml:space="preserve"> </w:t>
      </w:r>
      <w:bookmarkEnd w:id="49"/>
      <w:bookmarkEnd w:id="50"/>
      <w:bookmarkEnd w:id="51"/>
    </w:p>
    <w:p w14:paraId="2B1587AF" w14:textId="77777777" w:rsidR="00041CFE" w:rsidRPr="00310C0B" w:rsidRDefault="00041CFE" w:rsidP="00041CFE">
      <w:pPr>
        <w:suppressAutoHyphens/>
        <w:rPr>
          <w:rFonts w:ascii="Cambria" w:hAnsi="Cambria"/>
          <w:b/>
          <w:sz w:val="20"/>
          <w:szCs w:val="20"/>
        </w:rPr>
      </w:pPr>
    </w:p>
    <w:p w14:paraId="740315A5" w14:textId="77777777" w:rsidR="00041CFE" w:rsidRPr="00310C0B" w:rsidRDefault="00041CFE" w:rsidP="00041CF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s="Verdana"/>
          <w:sz w:val="20"/>
          <w:szCs w:val="20"/>
        </w:rPr>
      </w:pPr>
      <w:r>
        <w:rPr>
          <w:rFonts w:ascii="Cambria" w:hAnsi="Cambria" w:cs="Verdana"/>
          <w:sz w:val="20"/>
          <w:szCs w:val="20"/>
        </w:rPr>
        <w:t xml:space="preserve">The Commission concludes that the Ecuadorian State is responsible for the violation of the right to recognition of juridical personality, life, humane treatment, personal liberty, a fair trial, and judicial protection enshrined in Articles </w:t>
      </w:r>
      <w:r w:rsidRPr="00310C0B">
        <w:rPr>
          <w:rFonts w:ascii="Cambria" w:hAnsi="Cambria" w:cs="Verdana"/>
          <w:sz w:val="20"/>
          <w:szCs w:val="20"/>
        </w:rPr>
        <w:t>3, 4.1, 5.1, 5.2, 7,</w:t>
      </w:r>
      <w:r>
        <w:rPr>
          <w:rFonts w:ascii="Cambria" w:hAnsi="Cambria" w:cs="Verdana"/>
          <w:sz w:val="20"/>
          <w:szCs w:val="20"/>
        </w:rPr>
        <w:t xml:space="preserve"> 8.1 and</w:t>
      </w:r>
      <w:r w:rsidRPr="00310C0B">
        <w:rPr>
          <w:rFonts w:ascii="Cambria" w:hAnsi="Cambria" w:cs="Verdana"/>
          <w:sz w:val="20"/>
          <w:szCs w:val="20"/>
        </w:rPr>
        <w:t xml:space="preserve"> 25.1 </w:t>
      </w:r>
      <w:r>
        <w:rPr>
          <w:rFonts w:ascii="Cambria" w:hAnsi="Cambria" w:cs="Verdana"/>
          <w:sz w:val="20"/>
          <w:szCs w:val="20"/>
        </w:rPr>
        <w:t>of the American Convention</w:t>
      </w:r>
      <w:r w:rsidRPr="00310C0B">
        <w:rPr>
          <w:rFonts w:ascii="Cambria" w:hAnsi="Cambria" w:cs="Verdana"/>
          <w:sz w:val="20"/>
          <w:szCs w:val="20"/>
        </w:rPr>
        <w:t>,</w:t>
      </w:r>
      <w:r>
        <w:rPr>
          <w:rFonts w:ascii="Cambria" w:hAnsi="Cambria" w:cs="Verdana"/>
          <w:sz w:val="20"/>
          <w:szCs w:val="20"/>
        </w:rPr>
        <w:t xml:space="preserve"> in connection with Article 1.1 of the same instrument, as well as Articles I.a) and</w:t>
      </w:r>
      <w:r w:rsidRPr="00310C0B">
        <w:rPr>
          <w:rFonts w:ascii="Cambria" w:hAnsi="Cambria" w:cs="Verdana"/>
          <w:sz w:val="20"/>
          <w:szCs w:val="20"/>
        </w:rPr>
        <w:t xml:space="preserve"> I.b) </w:t>
      </w:r>
      <w:r>
        <w:rPr>
          <w:rFonts w:ascii="Cambria" w:hAnsi="Cambria" w:cs="Verdana"/>
          <w:sz w:val="20"/>
          <w:szCs w:val="20"/>
        </w:rPr>
        <w:t xml:space="preserve">of the Inter-American Convention on the Forced Disappearance of Persons, to the detriment of the individuals named throughout the instant report. </w:t>
      </w:r>
    </w:p>
    <w:p w14:paraId="35624950" w14:textId="77777777" w:rsidR="00041CFE" w:rsidRPr="00310C0B" w:rsidRDefault="00041CFE" w:rsidP="00041CFE">
      <w:pPr>
        <w:suppressAutoHyphens/>
        <w:jc w:val="both"/>
        <w:rPr>
          <w:rFonts w:ascii="Cambria" w:hAnsi="Cambria"/>
          <w:sz w:val="20"/>
          <w:szCs w:val="20"/>
        </w:rPr>
      </w:pPr>
    </w:p>
    <w:p w14:paraId="16A34AF8" w14:textId="77777777" w:rsidR="00041CFE" w:rsidRPr="00310C0B" w:rsidRDefault="00041CFE" w:rsidP="00041CFE">
      <w:pPr>
        <w:jc w:val="both"/>
        <w:rPr>
          <w:rFonts w:ascii="Cambria" w:hAnsi="Cambria"/>
          <w:b/>
          <w:sz w:val="20"/>
          <w:szCs w:val="20"/>
        </w:rPr>
      </w:pPr>
      <w:r>
        <w:rPr>
          <w:rFonts w:ascii="Cambria" w:hAnsi="Cambria"/>
          <w:b/>
          <w:sz w:val="20"/>
          <w:szCs w:val="20"/>
        </w:rPr>
        <w:t xml:space="preserve">THE INTER-AMERICAN COMMISSION ON HUMAN RIGHTS, RECOMMENDS THE ECUADORIAN STATE: </w:t>
      </w:r>
    </w:p>
    <w:p w14:paraId="117FDBD2" w14:textId="77777777" w:rsidR="00041CFE" w:rsidRPr="00310C0B" w:rsidRDefault="00041CFE" w:rsidP="00041CFE">
      <w:pPr>
        <w:pBdr>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highlight w:val="yellow"/>
        </w:rPr>
      </w:pPr>
    </w:p>
    <w:p w14:paraId="7120C4F4" w14:textId="77777777" w:rsidR="00041CFE" w:rsidRPr="00310C0B" w:rsidRDefault="00041CFE" w:rsidP="00041CFE">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630"/>
        </w:tabs>
        <w:ind w:left="0" w:firstLine="0"/>
        <w:jc w:val="both"/>
        <w:rPr>
          <w:rFonts w:ascii="Cambria" w:hAnsi="Cambria"/>
          <w:sz w:val="20"/>
          <w:szCs w:val="20"/>
        </w:rPr>
      </w:pPr>
      <w:r>
        <w:rPr>
          <w:rFonts w:ascii="Cambria" w:hAnsi="Cambria"/>
          <w:sz w:val="20"/>
          <w:szCs w:val="20"/>
        </w:rPr>
        <w:t xml:space="preserve">Conduct a thorough, impartial and effective investigation into the whereabouts of </w:t>
      </w:r>
      <w:r w:rsidRPr="00310C0B">
        <w:rPr>
          <w:rFonts w:ascii="Cambria" w:hAnsi="Cambria" w:cs="Verdana"/>
          <w:sz w:val="20"/>
          <w:szCs w:val="20"/>
        </w:rPr>
        <w:t>Fred</w:t>
      </w:r>
      <w:r>
        <w:rPr>
          <w:rFonts w:ascii="Cambria" w:hAnsi="Cambria" w:cs="Verdana"/>
          <w:sz w:val="20"/>
          <w:szCs w:val="20"/>
        </w:rPr>
        <w:t>y Marcelo Nú</w:t>
      </w:r>
      <w:r w:rsidRPr="00310C0B">
        <w:rPr>
          <w:rFonts w:ascii="Cambria" w:hAnsi="Cambria" w:cs="Verdana"/>
          <w:sz w:val="20"/>
          <w:szCs w:val="20"/>
        </w:rPr>
        <w:t>ñez</w:t>
      </w:r>
      <w:r w:rsidRPr="00310C0B">
        <w:rPr>
          <w:rFonts w:ascii="Cambria" w:eastAsia="Times New Roman" w:hAnsi="Cambria"/>
          <w:sz w:val="20"/>
          <w:szCs w:val="20"/>
          <w:lang w:eastAsia="es-ES"/>
        </w:rPr>
        <w:t xml:space="preserve"> </w:t>
      </w:r>
      <w:r>
        <w:rPr>
          <w:rFonts w:ascii="Cambria" w:eastAsia="Times New Roman" w:hAnsi="Cambria"/>
          <w:sz w:val="20"/>
          <w:szCs w:val="20"/>
          <w:lang w:eastAsia="es-ES"/>
        </w:rPr>
        <w:t xml:space="preserve">and, if applicable, take the necessary measures to identify and hand over his remains to his family in keeping with their wishes. </w:t>
      </w:r>
    </w:p>
    <w:p w14:paraId="1130B14A" w14:textId="77777777" w:rsidR="00041CFE" w:rsidRPr="00310C0B" w:rsidRDefault="00041CFE" w:rsidP="00041C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140E260C" w14:textId="77777777" w:rsidR="00041CFE" w:rsidRPr="00310C0B" w:rsidRDefault="00041CFE" w:rsidP="00041CFE">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0" w:firstLine="0"/>
        <w:jc w:val="both"/>
        <w:rPr>
          <w:rFonts w:ascii="Cambria" w:hAnsi="Cambria"/>
          <w:sz w:val="20"/>
          <w:szCs w:val="20"/>
        </w:rPr>
      </w:pPr>
      <w:r>
        <w:rPr>
          <w:rFonts w:ascii="Cambria" w:hAnsi="Cambria"/>
          <w:sz w:val="20"/>
          <w:szCs w:val="20"/>
        </w:rPr>
        <w:t xml:space="preserve">Conduct a diligent and effective investigation into the bodily harm endured by </w:t>
      </w:r>
      <w:r>
        <w:rPr>
          <w:rFonts w:asciiTheme="majorHAnsi" w:hAnsiTheme="majorHAnsi"/>
          <w:sz w:val="20"/>
          <w:szCs w:val="20"/>
        </w:rPr>
        <w:t>Gregoria Naranjo and Marcia Núñez, within a reasonable time in order to thoroughly clarify the crimes, identify the perpetrators and impose punishment, when applicable.</w:t>
      </w:r>
      <w:r w:rsidRPr="00310C0B">
        <w:rPr>
          <w:rFonts w:asciiTheme="majorHAnsi" w:hAnsiTheme="majorHAnsi"/>
          <w:sz w:val="20"/>
          <w:szCs w:val="20"/>
        </w:rPr>
        <w:t xml:space="preserve"> </w:t>
      </w:r>
    </w:p>
    <w:p w14:paraId="7DD65CBE" w14:textId="77777777" w:rsidR="00041CFE" w:rsidRPr="00310C0B" w:rsidRDefault="00041CFE" w:rsidP="00041CFE">
      <w:pPr>
        <w:tabs>
          <w:tab w:val="left" w:pos="630"/>
        </w:tabs>
        <w:jc w:val="both"/>
        <w:rPr>
          <w:rFonts w:ascii="Cambria" w:hAnsi="Cambria"/>
          <w:sz w:val="20"/>
          <w:szCs w:val="20"/>
        </w:rPr>
      </w:pPr>
    </w:p>
    <w:p w14:paraId="23B0E2AE" w14:textId="77777777" w:rsidR="00041CFE" w:rsidRPr="00310C0B" w:rsidRDefault="00041CFE" w:rsidP="00041CFE">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0" w:firstLine="0"/>
        <w:jc w:val="both"/>
        <w:rPr>
          <w:rFonts w:ascii="Cambria" w:hAnsi="Cambria"/>
          <w:sz w:val="20"/>
          <w:szCs w:val="20"/>
        </w:rPr>
      </w:pPr>
      <w:r>
        <w:rPr>
          <w:rFonts w:ascii="Cambria" w:hAnsi="Cambria"/>
          <w:sz w:val="20"/>
          <w:szCs w:val="20"/>
        </w:rPr>
        <w:t xml:space="preserve">Carry out domestic proceedings relating to the human rights violations declared in the instant report and conduct the appropriate proceedings for the crime of the forced disappearance of </w:t>
      </w:r>
      <w:r w:rsidRPr="00310C0B">
        <w:rPr>
          <w:rFonts w:ascii="Cambria" w:hAnsi="Cambria" w:cs="Verdana"/>
          <w:sz w:val="20"/>
          <w:szCs w:val="20"/>
        </w:rPr>
        <w:t>Fre</w:t>
      </w:r>
      <w:r>
        <w:rPr>
          <w:rFonts w:ascii="Cambria" w:hAnsi="Cambria" w:cs="Verdana"/>
          <w:sz w:val="20"/>
          <w:szCs w:val="20"/>
        </w:rPr>
        <w:t>dy Marcelo Nú</w:t>
      </w:r>
      <w:r w:rsidRPr="00310C0B">
        <w:rPr>
          <w:rFonts w:ascii="Cambria" w:hAnsi="Cambria" w:cs="Verdana"/>
          <w:sz w:val="20"/>
          <w:szCs w:val="20"/>
        </w:rPr>
        <w:t>ñez</w:t>
      </w:r>
      <w:r w:rsidRPr="00310C0B">
        <w:rPr>
          <w:rFonts w:ascii="Cambria" w:hAnsi="Cambria"/>
          <w:sz w:val="20"/>
          <w:szCs w:val="20"/>
        </w:rPr>
        <w:t xml:space="preserve">, </w:t>
      </w:r>
      <w:r>
        <w:rPr>
          <w:rFonts w:ascii="Cambria" w:hAnsi="Cambria"/>
          <w:sz w:val="20"/>
          <w:szCs w:val="20"/>
        </w:rPr>
        <w:t>impartially, effectively and within a reasonable time</w:t>
      </w:r>
      <w:r w:rsidRPr="00310C0B">
        <w:rPr>
          <w:rFonts w:ascii="Cambria" w:hAnsi="Cambria"/>
          <w:sz w:val="20"/>
          <w:szCs w:val="20"/>
        </w:rPr>
        <w:t>,</w:t>
      </w:r>
      <w:r>
        <w:rPr>
          <w:rFonts w:ascii="Cambria" w:hAnsi="Cambria"/>
          <w:sz w:val="20"/>
          <w:szCs w:val="20"/>
        </w:rPr>
        <w:t xml:space="preserve"> in order to clarify the crimes thoroughly, identify all persons responsible and impose punishment, as appropriate. </w:t>
      </w:r>
    </w:p>
    <w:p w14:paraId="53F4F837" w14:textId="77777777" w:rsidR="00041CFE" w:rsidRPr="00310C0B" w:rsidRDefault="00041CFE" w:rsidP="00041CFE">
      <w:pPr>
        <w:tabs>
          <w:tab w:val="left" w:pos="630"/>
        </w:tabs>
        <w:jc w:val="both"/>
        <w:rPr>
          <w:rFonts w:ascii="Cambria" w:hAnsi="Cambria"/>
          <w:sz w:val="20"/>
          <w:szCs w:val="20"/>
        </w:rPr>
      </w:pPr>
    </w:p>
    <w:p w14:paraId="77E328FF" w14:textId="77777777" w:rsidR="00041CFE" w:rsidRPr="00310C0B" w:rsidRDefault="00041CFE" w:rsidP="00041CFE">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0" w:firstLine="0"/>
        <w:jc w:val="both"/>
        <w:rPr>
          <w:rFonts w:ascii="Cambria" w:hAnsi="Cambria"/>
          <w:sz w:val="20"/>
          <w:szCs w:val="20"/>
        </w:rPr>
      </w:pPr>
      <w:r>
        <w:rPr>
          <w:rFonts w:ascii="Cambria" w:hAnsi="Cambria"/>
          <w:sz w:val="20"/>
          <w:szCs w:val="20"/>
        </w:rPr>
        <w:t xml:space="preserve">Make adequate reparation for the human rights violations found in the instant report addressing both the material and moral aspects, including fair compensation, determining and disseminating the historical truth of the facts, and implementing an adequate assistance program for the family, in consultation with the members thereof. </w:t>
      </w:r>
    </w:p>
    <w:p w14:paraId="60A8C8BA" w14:textId="77777777" w:rsidR="00041CFE" w:rsidRPr="00310C0B" w:rsidRDefault="00041CFE" w:rsidP="00041CFE">
      <w:pPr>
        <w:tabs>
          <w:tab w:val="left" w:pos="630"/>
        </w:tabs>
        <w:rPr>
          <w:sz w:val="20"/>
          <w:szCs w:val="20"/>
        </w:rPr>
      </w:pPr>
    </w:p>
    <w:p w14:paraId="46297EC8" w14:textId="77777777" w:rsidR="00041CFE" w:rsidRPr="00310C0B" w:rsidRDefault="00041CFE" w:rsidP="00041CFE">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630"/>
          <w:tab w:val="num" w:pos="720"/>
          <w:tab w:val="left" w:pos="1134"/>
        </w:tabs>
        <w:suppressAutoHyphens/>
        <w:ind w:left="0" w:firstLine="0"/>
        <w:jc w:val="both"/>
        <w:rPr>
          <w:rFonts w:ascii="Cambria" w:hAnsi="Cambria"/>
          <w:sz w:val="20"/>
          <w:szCs w:val="20"/>
        </w:rPr>
      </w:pPr>
      <w:r>
        <w:rPr>
          <w:rFonts w:ascii="Cambria" w:hAnsi="Cambria"/>
          <w:sz w:val="20"/>
          <w:szCs w:val="20"/>
        </w:rPr>
        <w:t>Adopt the necessary measures of non-repetition to prevent similar events from occurring in the future. The measures of non-repetition in the instant case should include legislative, administrative or other types of measures aimed at eliminating the Rural Community Self-Defense Juntas (</w:t>
      </w:r>
      <w:r>
        <w:rPr>
          <w:rFonts w:ascii="Cambria" w:hAnsi="Cambria"/>
          <w:i/>
          <w:sz w:val="20"/>
          <w:szCs w:val="20"/>
        </w:rPr>
        <w:t>Juntas de Defensa del Campesinado</w:t>
      </w:r>
      <w:r>
        <w:rPr>
          <w:rFonts w:ascii="Cambria" w:hAnsi="Cambria"/>
          <w:sz w:val="20"/>
          <w:szCs w:val="20"/>
        </w:rPr>
        <w:t xml:space="preserve">) as entities that exercise public functions. Also, to adopt necessary measures so that investigations into forced disappearances of persons in Ecuador, including criminal investigations and judicial proceedings, as well as processes for the search of the remains of missing persons, meet the standards described in the instant report. </w:t>
      </w:r>
    </w:p>
    <w:p w14:paraId="40F1981F" w14:textId="77777777" w:rsidR="00041CFE" w:rsidRPr="00310C0B" w:rsidRDefault="00041CFE" w:rsidP="00041CFE">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highlight w:val="yellow"/>
        </w:rPr>
      </w:pPr>
    </w:p>
    <w:p w14:paraId="0F65B275" w14:textId="77777777" w:rsidR="00041CFE" w:rsidRPr="00310C0B" w:rsidRDefault="00041CFE" w:rsidP="00041CFE">
      <w:pPr>
        <w:pStyle w:val="p1"/>
        <w:ind w:left="720"/>
        <w:jc w:val="both"/>
        <w:rPr>
          <w:rFonts w:asciiTheme="majorHAnsi" w:hAnsiTheme="majorHAnsi"/>
          <w:sz w:val="18"/>
          <w:szCs w:val="18"/>
        </w:rPr>
      </w:pPr>
    </w:p>
    <w:bookmarkEnd w:id="19"/>
    <w:p w14:paraId="4B7BFA23" w14:textId="77777777" w:rsidR="00041CFE" w:rsidRPr="00310C0B" w:rsidRDefault="00041CFE" w:rsidP="00041CFE">
      <w:pPr>
        <w:rPr>
          <w:rFonts w:asciiTheme="majorHAnsi" w:hAnsiTheme="majorHAnsi"/>
          <w:sz w:val="18"/>
          <w:szCs w:val="18"/>
        </w:rPr>
      </w:pPr>
    </w:p>
    <w:p w14:paraId="6E37DD10" w14:textId="77777777" w:rsidR="00041CFE" w:rsidRPr="00145EDC" w:rsidRDefault="00041CFE" w:rsidP="00145EDC">
      <w:pPr>
        <w:tabs>
          <w:tab w:val="center" w:pos="5400"/>
        </w:tabs>
        <w:suppressAutoHyphens/>
        <w:spacing w:line="276" w:lineRule="auto"/>
        <w:rPr>
          <w:rFonts w:asciiTheme="majorHAnsi" w:hAnsiTheme="majorHAnsi"/>
          <w:sz w:val="20"/>
          <w:szCs w:val="20"/>
        </w:rPr>
      </w:pPr>
    </w:p>
    <w:sectPr w:rsidR="00041CFE" w:rsidRPr="00145EDC" w:rsidSect="00F91A8D">
      <w:footerReference w:type="first" r:id="rId17"/>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200F5" w14:textId="77777777" w:rsidR="007A5DF1" w:rsidRDefault="007A5DF1" w:rsidP="00036A8A">
      <w:r>
        <w:separator/>
      </w:r>
    </w:p>
  </w:endnote>
  <w:endnote w:type="continuationSeparator" w:id="0">
    <w:p w14:paraId="37D955AB" w14:textId="77777777" w:rsidR="007A5DF1" w:rsidRDefault="007A5DF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49ED8279" w14:textId="77777777" w:rsidR="007A5DF1" w:rsidRPr="006311DA" w:rsidRDefault="007A5DF1">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080347">
          <w:rPr>
            <w:noProof/>
            <w:sz w:val="16"/>
          </w:rPr>
          <w:t>18</w:t>
        </w:r>
        <w:r w:rsidRPr="006311DA">
          <w:rPr>
            <w:noProof/>
            <w:sz w:val="16"/>
          </w:rPr>
          <w:fldChar w:fldCharType="end"/>
        </w:r>
      </w:p>
    </w:sdtContent>
  </w:sdt>
  <w:p w14:paraId="37B341DC" w14:textId="77777777" w:rsidR="007A5DF1" w:rsidRDefault="007A5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FE71" w14:textId="77777777" w:rsidR="007A5DF1" w:rsidRDefault="007A5DF1">
    <w:pPr>
      <w:pStyle w:val="Footer"/>
      <w:jc w:val="center"/>
    </w:pPr>
  </w:p>
  <w:p w14:paraId="68D71961" w14:textId="77777777" w:rsidR="007A5DF1" w:rsidRDefault="007A5D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A95" w14:textId="77777777" w:rsidR="007A5DF1" w:rsidRDefault="007A5DF1">
    <w:pPr>
      <w:pStyle w:val="Footer"/>
      <w:jc w:val="center"/>
    </w:pPr>
  </w:p>
  <w:p w14:paraId="29AA8271" w14:textId="77777777" w:rsidR="007A5DF1" w:rsidRDefault="007A5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9E0D" w14:textId="77777777" w:rsidR="007A5DF1" w:rsidRPr="00036A8A" w:rsidRDefault="007A5DF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01888BF" w14:textId="77777777" w:rsidR="007A5DF1" w:rsidRPr="00036A8A" w:rsidRDefault="007A5DF1" w:rsidP="00036A8A">
      <w:pPr>
        <w:rPr>
          <w:rFonts w:asciiTheme="majorHAnsi" w:hAnsiTheme="majorHAnsi"/>
          <w:sz w:val="16"/>
          <w:szCs w:val="16"/>
        </w:rPr>
      </w:pPr>
      <w:r w:rsidRPr="00036A8A">
        <w:rPr>
          <w:rFonts w:asciiTheme="majorHAnsi" w:hAnsiTheme="majorHAnsi"/>
          <w:sz w:val="16"/>
          <w:szCs w:val="16"/>
        </w:rPr>
        <w:separator/>
      </w:r>
    </w:p>
    <w:p w14:paraId="1842B9D1" w14:textId="77777777" w:rsidR="007A5DF1" w:rsidRPr="00036A8A" w:rsidRDefault="007A5DF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5A37A2EC" w14:textId="77777777" w:rsidR="007A5DF1" w:rsidRPr="0093441A" w:rsidRDefault="007A5DF1"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D3E3674"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IACHR, Report No. 02/10, Petition P1011-03, Admissibility Fredy Marcelo Núñez Naranjo et al, Ecuador, March 15, 2010, pars. 6-42. In this report, the IACHR found the petition admissible as to potential violation of the rights enshrined in Articles 1(1), 3, 4, 5, 7, 8(1) and 25 of the American Convention and Article 1 of the Inter-American Convention on Forced Disappearance of Persons. </w:t>
      </w:r>
    </w:p>
  </w:footnote>
  <w:footnote w:id="3">
    <w:p w14:paraId="46BBCF7D" w14:textId="77777777" w:rsidR="007A5DF1" w:rsidRPr="005404B2" w:rsidRDefault="007A5DF1" w:rsidP="00041CFE">
      <w:pPr>
        <w:pStyle w:val="FootnoteText"/>
        <w:spacing w:after="120"/>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w:t>
      </w:r>
      <w:hyperlink r:id="rId1" w:history="1">
        <w:r>
          <w:rPr>
            <w:rStyle w:val="Hyperlink"/>
            <w:rFonts w:asciiTheme="majorHAnsi" w:hAnsiTheme="majorHAnsi"/>
            <w:color w:val="000000" w:themeColor="text1"/>
            <w:sz w:val="16"/>
            <w:szCs w:val="16"/>
            <w:u w:val="none"/>
          </w:rPr>
          <w:t>I/A Court of H.R.</w:t>
        </w:r>
        <w:r>
          <w:rPr>
            <w:rStyle w:val="Hyperlink"/>
            <w:rFonts w:asciiTheme="majorHAnsi" w:hAnsiTheme="majorHAnsi"/>
            <w:iCs/>
            <w:color w:val="000000" w:themeColor="text1"/>
            <w:sz w:val="16"/>
            <w:szCs w:val="16"/>
            <w:u w:val="none"/>
          </w:rPr>
          <w:t xml:space="preserve"> Case of González Medina and</w:t>
        </w:r>
        <w:r w:rsidRPr="005404B2">
          <w:rPr>
            <w:rStyle w:val="Hyperlink"/>
            <w:rFonts w:asciiTheme="majorHAnsi" w:hAnsiTheme="majorHAnsi"/>
            <w:iCs/>
            <w:color w:val="000000" w:themeColor="text1"/>
            <w:sz w:val="16"/>
            <w:szCs w:val="16"/>
            <w:u w:val="none"/>
          </w:rPr>
          <w:t xml:space="preserve"> </w:t>
        </w:r>
        <w:r>
          <w:rPr>
            <w:rStyle w:val="Hyperlink"/>
            <w:rFonts w:asciiTheme="majorHAnsi" w:hAnsiTheme="majorHAnsi"/>
            <w:iCs/>
            <w:color w:val="000000" w:themeColor="text1"/>
            <w:sz w:val="16"/>
            <w:szCs w:val="16"/>
            <w:u w:val="none"/>
          </w:rPr>
          <w:t>Family v. Dominican Republic</w:t>
        </w:r>
        <w:r w:rsidRPr="005404B2">
          <w:rPr>
            <w:rStyle w:val="Hyperlink"/>
            <w:rFonts w:asciiTheme="majorHAnsi" w:hAnsiTheme="majorHAnsi"/>
            <w:iCs/>
            <w:color w:val="000000" w:themeColor="text1"/>
            <w:sz w:val="16"/>
            <w:szCs w:val="16"/>
            <w:u w:val="none"/>
          </w:rPr>
          <w:t>.</w:t>
        </w:r>
        <w:r>
          <w:rPr>
            <w:rStyle w:val="Hyperlink"/>
            <w:rFonts w:asciiTheme="majorHAnsi" w:hAnsiTheme="majorHAnsi"/>
            <w:iCs/>
            <w:color w:val="000000" w:themeColor="text1"/>
            <w:sz w:val="16"/>
            <w:szCs w:val="16"/>
            <w:u w:val="none"/>
          </w:rPr>
          <w:t xml:space="preserve"> Preliminary Objections, Merits, Reparations and Costs. Judgment of February</w:t>
        </w:r>
        <w:r w:rsidRPr="005404B2">
          <w:rPr>
            <w:rStyle w:val="Hyperlink"/>
            <w:rFonts w:asciiTheme="majorHAnsi" w:hAnsiTheme="majorHAnsi"/>
            <w:color w:val="000000" w:themeColor="text1"/>
            <w:sz w:val="16"/>
            <w:szCs w:val="16"/>
            <w:u w:val="none"/>
          </w:rPr>
          <w:t xml:space="preserve"> 27</w:t>
        </w:r>
        <w:r>
          <w:rPr>
            <w:rStyle w:val="Hyperlink"/>
            <w:rFonts w:asciiTheme="majorHAnsi" w:hAnsiTheme="majorHAnsi"/>
            <w:color w:val="000000" w:themeColor="text1"/>
            <w:sz w:val="16"/>
            <w:szCs w:val="16"/>
            <w:u w:val="none"/>
          </w:rPr>
          <w:t>,</w:t>
        </w:r>
        <w:r w:rsidRPr="005404B2">
          <w:rPr>
            <w:rStyle w:val="Hyperlink"/>
            <w:rFonts w:asciiTheme="majorHAnsi" w:hAnsiTheme="majorHAnsi"/>
            <w:color w:val="000000" w:themeColor="text1"/>
            <w:sz w:val="16"/>
            <w:szCs w:val="16"/>
            <w:u w:val="none"/>
          </w:rPr>
          <w:t xml:space="preserve"> 2012 Serie</w:t>
        </w:r>
        <w:r>
          <w:rPr>
            <w:rStyle w:val="Hyperlink"/>
            <w:rFonts w:asciiTheme="majorHAnsi" w:hAnsiTheme="majorHAnsi"/>
            <w:color w:val="000000" w:themeColor="text1"/>
            <w:sz w:val="16"/>
            <w:szCs w:val="16"/>
            <w:u w:val="none"/>
          </w:rPr>
          <w:t>s</w:t>
        </w:r>
        <w:r w:rsidRPr="005404B2">
          <w:rPr>
            <w:rStyle w:val="Hyperlink"/>
            <w:rFonts w:asciiTheme="majorHAnsi" w:hAnsiTheme="majorHAnsi"/>
            <w:color w:val="000000" w:themeColor="text1"/>
            <w:sz w:val="16"/>
            <w:szCs w:val="16"/>
            <w:u w:val="none"/>
          </w:rPr>
          <w:t xml:space="preserve"> C No. 240</w:t>
        </w:r>
      </w:hyperlink>
      <w:r>
        <w:rPr>
          <w:rFonts w:asciiTheme="majorHAnsi" w:hAnsiTheme="majorHAnsi"/>
          <w:color w:val="000000" w:themeColor="text1"/>
          <w:sz w:val="16"/>
          <w:szCs w:val="16"/>
        </w:rPr>
        <w:t>, pa</w:t>
      </w:r>
      <w:r w:rsidRPr="005404B2">
        <w:rPr>
          <w:rFonts w:asciiTheme="majorHAnsi" w:hAnsiTheme="majorHAnsi"/>
          <w:color w:val="000000" w:themeColor="text1"/>
          <w:sz w:val="16"/>
          <w:szCs w:val="16"/>
        </w:rPr>
        <w:t>r. 134.</w:t>
      </w:r>
    </w:p>
  </w:footnote>
  <w:footnote w:id="4">
    <w:p w14:paraId="2E13D5F6"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Human Rights Committee, Review of reports submitted by the States Parties under Article 40 of the Covenant, pursuant to the optional reporting procedures, Ecuador, August 6, 2015, CCPR/C/ECU/6, pa</w:t>
      </w:r>
      <w:r w:rsidRPr="005404B2">
        <w:rPr>
          <w:rFonts w:asciiTheme="majorHAnsi" w:hAnsiTheme="majorHAnsi"/>
          <w:color w:val="000000" w:themeColor="text1"/>
          <w:sz w:val="16"/>
          <w:szCs w:val="16"/>
        </w:rPr>
        <w:t>r. 164.</w:t>
      </w:r>
    </w:p>
  </w:footnote>
  <w:footnote w:id="5">
    <w:p w14:paraId="4A041941"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Pr>
          <w:rFonts w:asciiTheme="majorHAnsi" w:hAnsiTheme="majorHAnsi"/>
          <w:color w:val="000000" w:themeColor="text1"/>
          <w:sz w:val="16"/>
          <w:szCs w:val="16"/>
        </w:rPr>
        <w:t xml:space="preserve"> Report of the Special Rapporteur on extrajudicial, summary or arbitrary executions, </w:t>
      </w:r>
      <w:r w:rsidRPr="005404B2">
        <w:rPr>
          <w:rFonts w:asciiTheme="majorHAnsi" w:hAnsiTheme="majorHAnsi"/>
          <w:color w:val="000000" w:themeColor="text1"/>
          <w:sz w:val="16"/>
          <w:szCs w:val="16"/>
        </w:rPr>
        <w:t xml:space="preserve">Philip Alston, A/HRC/17/28/Add.2, </w:t>
      </w:r>
      <w:r>
        <w:rPr>
          <w:rFonts w:asciiTheme="majorHAnsi" w:hAnsiTheme="majorHAnsi"/>
          <w:color w:val="000000" w:themeColor="text1"/>
          <w:sz w:val="16"/>
          <w:szCs w:val="16"/>
        </w:rPr>
        <w:t>May 9,</w:t>
      </w:r>
      <w:r w:rsidRPr="005404B2">
        <w:rPr>
          <w:rFonts w:asciiTheme="majorHAnsi" w:hAnsiTheme="majorHAnsi"/>
          <w:color w:val="000000" w:themeColor="text1"/>
          <w:sz w:val="16"/>
          <w:szCs w:val="16"/>
        </w:rPr>
        <w:t xml:space="preserve"> 2011.</w:t>
      </w:r>
    </w:p>
  </w:footnote>
  <w:footnote w:id="6">
    <w:p w14:paraId="1A49B91E"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Human Rights Council</w:t>
      </w:r>
      <w:r w:rsidRPr="005404B2">
        <w:rPr>
          <w:rFonts w:asciiTheme="majorHAnsi" w:hAnsiTheme="majorHAnsi"/>
          <w:color w:val="000000" w:themeColor="text1"/>
          <w:sz w:val="16"/>
          <w:szCs w:val="16"/>
        </w:rPr>
        <w:t>,</w:t>
      </w:r>
      <w:r>
        <w:rPr>
          <w:rFonts w:asciiTheme="majorHAnsi" w:hAnsiTheme="majorHAnsi"/>
          <w:color w:val="000000" w:themeColor="text1"/>
          <w:sz w:val="16"/>
          <w:szCs w:val="16"/>
        </w:rPr>
        <w:t xml:space="preserve"> Report of the Working Group on the use of mercenaries as a means of violating human rights and impeding the exercise of the right of peoples to self-determination, February 7, 2007, A/HRC/4/42/Add.2, Pa</w:t>
      </w:r>
      <w:r w:rsidRPr="005404B2">
        <w:rPr>
          <w:rFonts w:asciiTheme="majorHAnsi" w:hAnsiTheme="majorHAnsi"/>
          <w:color w:val="000000" w:themeColor="text1"/>
          <w:sz w:val="16"/>
          <w:szCs w:val="16"/>
        </w:rPr>
        <w:t xml:space="preserve">r.25. </w:t>
      </w:r>
    </w:p>
  </w:footnote>
  <w:footnote w:id="7">
    <w:p w14:paraId="194F79F6"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Pr>
          <w:rFonts w:asciiTheme="majorHAnsi" w:hAnsiTheme="majorHAnsi"/>
          <w:color w:val="000000" w:themeColor="text1"/>
          <w:sz w:val="16"/>
          <w:szCs w:val="16"/>
        </w:rPr>
        <w:t xml:space="preserve">Human Rights Council, Report of the Working Group on the use of mercenaries as a means of violating human rights and impeding the exercise of the right of peoples to self-determination, February </w:t>
      </w:r>
      <w:r w:rsidRPr="005404B2">
        <w:rPr>
          <w:rFonts w:asciiTheme="majorHAnsi" w:hAnsiTheme="majorHAnsi"/>
          <w:color w:val="000000" w:themeColor="text1"/>
          <w:sz w:val="16"/>
          <w:szCs w:val="16"/>
        </w:rPr>
        <w:t>7</w:t>
      </w:r>
      <w:r>
        <w:rPr>
          <w:rFonts w:asciiTheme="majorHAnsi" w:hAnsiTheme="majorHAnsi"/>
          <w:color w:val="000000" w:themeColor="text1"/>
          <w:sz w:val="16"/>
          <w:szCs w:val="16"/>
        </w:rPr>
        <w:t>, 2007, A/HRC/4/42/Add.2, Pa</w:t>
      </w:r>
      <w:r w:rsidRPr="005404B2">
        <w:rPr>
          <w:rFonts w:asciiTheme="majorHAnsi" w:hAnsiTheme="majorHAnsi"/>
          <w:color w:val="000000" w:themeColor="text1"/>
          <w:sz w:val="16"/>
          <w:szCs w:val="16"/>
        </w:rPr>
        <w:t>r.53 e).</w:t>
      </w:r>
    </w:p>
  </w:footnote>
  <w:footnote w:id="8">
    <w:p w14:paraId="19067F7A"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C</w:t>
      </w:r>
      <w:r>
        <w:rPr>
          <w:rFonts w:asciiTheme="majorHAnsi" w:hAnsiTheme="majorHAnsi"/>
          <w:color w:val="000000" w:themeColor="text1"/>
          <w:sz w:val="16"/>
          <w:szCs w:val="16"/>
        </w:rPr>
        <w:t>ommittee against Torture, Review of reports submitted by the States Parties under Article 19 of the Convention, Concluding Observations of the Committee against Torture, December 7, 2010, pa</w:t>
      </w:r>
      <w:r w:rsidRPr="005404B2">
        <w:rPr>
          <w:rFonts w:asciiTheme="majorHAnsi" w:hAnsiTheme="majorHAnsi"/>
          <w:color w:val="000000" w:themeColor="text1"/>
          <w:sz w:val="16"/>
          <w:szCs w:val="16"/>
        </w:rPr>
        <w:t>r.19, CAT/C/ECU/CO/4-6.</w:t>
      </w:r>
    </w:p>
  </w:footnote>
  <w:footnote w:id="9">
    <w:p w14:paraId="29552C23"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Pr>
          <w:rFonts w:asciiTheme="majorHAnsi" w:hAnsiTheme="majorHAnsi"/>
          <w:color w:val="000000" w:themeColor="text1"/>
          <w:sz w:val="16"/>
          <w:szCs w:val="16"/>
        </w:rPr>
        <w:t xml:space="preserve"> Report of the Special Rapporteur on extrajudicial, summary or arbitrary executions, Philip Alston</w:t>
      </w:r>
      <w:r w:rsidRPr="005404B2">
        <w:rPr>
          <w:rFonts w:asciiTheme="majorHAnsi" w:hAnsiTheme="majorHAnsi"/>
          <w:color w:val="000000" w:themeColor="text1"/>
          <w:sz w:val="16"/>
          <w:szCs w:val="16"/>
        </w:rPr>
        <w:t xml:space="preserve">, A/HRC/17/28/Add.2, </w:t>
      </w:r>
      <w:r>
        <w:rPr>
          <w:rFonts w:asciiTheme="majorHAnsi" w:hAnsiTheme="majorHAnsi"/>
          <w:color w:val="000000" w:themeColor="text1"/>
          <w:sz w:val="16"/>
          <w:szCs w:val="16"/>
        </w:rPr>
        <w:t xml:space="preserve">May </w:t>
      </w:r>
      <w:r w:rsidRPr="005404B2">
        <w:rPr>
          <w:rFonts w:asciiTheme="majorHAnsi" w:hAnsiTheme="majorHAnsi"/>
          <w:color w:val="000000" w:themeColor="text1"/>
          <w:sz w:val="16"/>
          <w:szCs w:val="16"/>
        </w:rPr>
        <w:t>9</w:t>
      </w:r>
      <w:r>
        <w:rPr>
          <w:rFonts w:asciiTheme="majorHAnsi" w:hAnsiTheme="majorHAnsi"/>
          <w:color w:val="000000" w:themeColor="text1"/>
          <w:sz w:val="16"/>
          <w:szCs w:val="16"/>
        </w:rPr>
        <w:t>, 2011, Par</w:t>
      </w:r>
      <w:r w:rsidRPr="005404B2">
        <w:rPr>
          <w:rFonts w:asciiTheme="majorHAnsi" w:hAnsiTheme="majorHAnsi"/>
          <w:color w:val="000000" w:themeColor="text1"/>
          <w:sz w:val="16"/>
          <w:szCs w:val="16"/>
        </w:rPr>
        <w:t>s. 44, 46, 50-51.</w:t>
      </w:r>
    </w:p>
  </w:footnote>
  <w:footnote w:id="10">
    <w:p w14:paraId="438AF2C3"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Human Rights Committee. Review of reports submitted by States Parties under Article 40 of the Covenant, pursuant to the optional reporting procedure, </w:t>
      </w:r>
      <w:r w:rsidRPr="005404B2">
        <w:rPr>
          <w:rFonts w:asciiTheme="majorHAnsi" w:hAnsiTheme="majorHAnsi"/>
          <w:color w:val="000000" w:themeColor="text1"/>
          <w:sz w:val="16"/>
          <w:szCs w:val="16"/>
        </w:rPr>
        <w:t xml:space="preserve">Ecuador, </w:t>
      </w:r>
      <w:r>
        <w:rPr>
          <w:rFonts w:asciiTheme="majorHAnsi" w:hAnsiTheme="majorHAnsi"/>
          <w:color w:val="000000" w:themeColor="text1"/>
          <w:sz w:val="16"/>
          <w:szCs w:val="16"/>
        </w:rPr>
        <w:t xml:space="preserve">August </w:t>
      </w:r>
      <w:r w:rsidRPr="005404B2">
        <w:rPr>
          <w:rFonts w:asciiTheme="majorHAnsi" w:hAnsiTheme="majorHAnsi"/>
          <w:color w:val="000000" w:themeColor="text1"/>
          <w:sz w:val="16"/>
          <w:szCs w:val="16"/>
        </w:rPr>
        <w:t>6</w:t>
      </w:r>
      <w:r>
        <w:rPr>
          <w:rFonts w:asciiTheme="majorHAnsi" w:hAnsiTheme="majorHAnsi"/>
          <w:color w:val="000000" w:themeColor="text1"/>
          <w:sz w:val="16"/>
          <w:szCs w:val="16"/>
        </w:rPr>
        <w:t>, 2015, CCPR/C/ECU/6, pa</w:t>
      </w:r>
      <w:r w:rsidRPr="005404B2">
        <w:rPr>
          <w:rFonts w:asciiTheme="majorHAnsi" w:hAnsiTheme="majorHAnsi"/>
          <w:color w:val="000000" w:themeColor="text1"/>
          <w:sz w:val="16"/>
          <w:szCs w:val="16"/>
        </w:rPr>
        <w:t>r. 166.</w:t>
      </w:r>
    </w:p>
  </w:footnote>
  <w:footnote w:id="11">
    <w:p w14:paraId="448FF795"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An</w:t>
      </w:r>
      <w:r>
        <w:rPr>
          <w:rFonts w:asciiTheme="majorHAnsi" w:hAnsiTheme="majorHAnsi"/>
          <w:color w:val="000000" w:themeColor="text1"/>
          <w:sz w:val="16"/>
          <w:szCs w:val="16"/>
        </w:rPr>
        <w:t>nex 1</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Private complaint of </w:t>
      </w:r>
      <w:r w:rsidRPr="005404B2">
        <w:rPr>
          <w:rFonts w:asciiTheme="majorHAnsi" w:hAnsiTheme="majorHAnsi"/>
          <w:color w:val="000000" w:themeColor="text1"/>
          <w:sz w:val="16"/>
          <w:szCs w:val="16"/>
        </w:rPr>
        <w:t xml:space="preserve">Sixto Núñez Naranjo </w:t>
      </w:r>
      <w:r>
        <w:rPr>
          <w:rFonts w:asciiTheme="majorHAnsi" w:hAnsiTheme="majorHAnsi"/>
          <w:color w:val="000000" w:themeColor="text1"/>
          <w:sz w:val="16"/>
          <w:szCs w:val="16"/>
        </w:rPr>
        <w:t>filed with the judge of the Fourth Criminal Court, May</w:t>
      </w:r>
      <w:r w:rsidRPr="005404B2">
        <w:rPr>
          <w:rFonts w:asciiTheme="majorHAnsi" w:hAnsiTheme="majorHAnsi"/>
          <w:color w:val="000000" w:themeColor="text1"/>
          <w:sz w:val="16"/>
          <w:szCs w:val="16"/>
        </w:rPr>
        <w:t xml:space="preserve"> 23</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2002. An</w:t>
      </w:r>
      <w:r>
        <w:rPr>
          <w:rFonts w:asciiTheme="majorHAnsi" w:hAnsiTheme="majorHAnsi"/>
          <w:color w:val="000000" w:themeColor="text1"/>
          <w:sz w:val="16"/>
          <w:szCs w:val="16"/>
        </w:rPr>
        <w:t>nex</w:t>
      </w:r>
      <w:r w:rsidRPr="005404B2">
        <w:rPr>
          <w:rFonts w:asciiTheme="majorHAnsi" w:hAnsiTheme="majorHAnsi"/>
          <w:color w:val="000000" w:themeColor="text1"/>
          <w:sz w:val="16"/>
          <w:szCs w:val="16"/>
        </w:rPr>
        <w:t xml:space="preserve"> 3</w:t>
      </w:r>
      <w:r>
        <w:rPr>
          <w:rFonts w:asciiTheme="majorHAnsi" w:hAnsiTheme="majorHAnsi"/>
          <w:color w:val="000000" w:themeColor="text1"/>
          <w:sz w:val="16"/>
          <w:szCs w:val="16"/>
        </w:rPr>
        <w:t xml:space="preserve"> to petitioners’ observations of December 1, 2003. </w:t>
      </w:r>
      <w:r w:rsidRPr="005404B2">
        <w:rPr>
          <w:rFonts w:asciiTheme="majorHAnsi" w:hAnsiTheme="majorHAnsi"/>
          <w:color w:val="000000" w:themeColor="text1"/>
          <w:sz w:val="16"/>
          <w:szCs w:val="16"/>
        </w:rPr>
        <w:t xml:space="preserve"> </w:t>
      </w:r>
    </w:p>
  </w:footnote>
  <w:footnote w:id="12">
    <w:p w14:paraId="6219F9AD"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An</w:t>
      </w:r>
      <w:r>
        <w:rPr>
          <w:rFonts w:asciiTheme="majorHAnsi" w:hAnsiTheme="majorHAnsi"/>
          <w:color w:val="000000" w:themeColor="text1"/>
          <w:sz w:val="16"/>
          <w:szCs w:val="16"/>
        </w:rPr>
        <w:t>nex 2</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Official Letter </w:t>
      </w:r>
      <w:r w:rsidRPr="005404B2">
        <w:rPr>
          <w:rFonts w:asciiTheme="majorHAnsi" w:hAnsiTheme="majorHAnsi"/>
          <w:color w:val="000000" w:themeColor="text1"/>
          <w:sz w:val="16"/>
          <w:szCs w:val="16"/>
        </w:rPr>
        <w:t xml:space="preserve">No. 2070–PJT-CP9-2001 </w:t>
      </w:r>
      <w:r>
        <w:rPr>
          <w:rFonts w:asciiTheme="majorHAnsi" w:hAnsiTheme="majorHAnsi"/>
          <w:color w:val="000000" w:themeColor="text1"/>
          <w:sz w:val="16"/>
          <w:szCs w:val="16"/>
        </w:rPr>
        <w:t xml:space="preserve">from the Chief of the Judicial Police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to the Prosecutor of </w:t>
      </w:r>
      <w:r w:rsidRPr="005404B2">
        <w:rPr>
          <w:rFonts w:asciiTheme="majorHAnsi" w:hAnsiTheme="majorHAnsi"/>
          <w:color w:val="000000" w:themeColor="text1"/>
          <w:sz w:val="16"/>
          <w:szCs w:val="16"/>
        </w:rPr>
        <w:t>Tungurahua</w:t>
      </w:r>
      <w:r>
        <w:rPr>
          <w:rFonts w:asciiTheme="majorHAnsi" w:hAnsiTheme="majorHAnsi"/>
          <w:color w:val="000000" w:themeColor="text1"/>
          <w:sz w:val="16"/>
          <w:szCs w:val="16"/>
        </w:rPr>
        <w:t xml:space="preserve">, containing Police Report </w:t>
      </w:r>
      <w:r w:rsidRPr="005404B2">
        <w:rPr>
          <w:rFonts w:asciiTheme="majorHAnsi" w:hAnsiTheme="majorHAnsi"/>
          <w:color w:val="000000" w:themeColor="text1"/>
          <w:sz w:val="16"/>
          <w:szCs w:val="16"/>
        </w:rPr>
        <w:t xml:space="preserve">no. 1123-PJT-CP9-2001, </w:t>
      </w:r>
      <w:r>
        <w:rPr>
          <w:rFonts w:asciiTheme="majorHAnsi" w:hAnsiTheme="majorHAnsi"/>
          <w:color w:val="000000" w:themeColor="text1"/>
          <w:sz w:val="16"/>
          <w:szCs w:val="16"/>
        </w:rPr>
        <w:t xml:space="preserve">August </w:t>
      </w:r>
      <w:r w:rsidRPr="005404B2">
        <w:rPr>
          <w:rFonts w:asciiTheme="majorHAnsi" w:hAnsiTheme="majorHAnsi"/>
          <w:color w:val="000000" w:themeColor="text1"/>
          <w:sz w:val="16"/>
          <w:szCs w:val="16"/>
        </w:rPr>
        <w:t>17</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2001. A</w:t>
      </w:r>
      <w:r>
        <w:rPr>
          <w:rFonts w:asciiTheme="majorHAnsi" w:hAnsiTheme="majorHAnsi"/>
          <w:color w:val="000000" w:themeColor="text1"/>
          <w:sz w:val="16"/>
          <w:szCs w:val="16"/>
        </w:rPr>
        <w:t xml:space="preserve">nnex to petitioners’ observations of December </w:t>
      </w:r>
      <w:r w:rsidRPr="005404B2">
        <w:rPr>
          <w:rFonts w:asciiTheme="majorHAnsi" w:hAnsiTheme="majorHAnsi"/>
          <w:color w:val="000000" w:themeColor="text1"/>
          <w:sz w:val="16"/>
          <w:szCs w:val="16"/>
        </w:rPr>
        <w:t>1</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2003.</w:t>
      </w:r>
    </w:p>
  </w:footnote>
  <w:footnote w:id="13">
    <w:p w14:paraId="198C46EE"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An</w:t>
      </w:r>
      <w:r>
        <w:rPr>
          <w:rFonts w:asciiTheme="majorHAnsi" w:hAnsiTheme="majorHAnsi"/>
          <w:color w:val="000000" w:themeColor="text1"/>
          <w:sz w:val="16"/>
          <w:szCs w:val="16"/>
        </w:rPr>
        <w:t>nex 3</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Police Report </w:t>
      </w:r>
      <w:r w:rsidRPr="005404B2">
        <w:rPr>
          <w:rFonts w:asciiTheme="majorHAnsi" w:hAnsiTheme="majorHAnsi"/>
          <w:color w:val="000000" w:themeColor="text1"/>
          <w:sz w:val="16"/>
          <w:szCs w:val="16"/>
        </w:rPr>
        <w:t xml:space="preserve">no. 1123-PJT-CP9-2001, </w:t>
      </w:r>
      <w:r>
        <w:rPr>
          <w:rFonts w:asciiTheme="majorHAnsi" w:hAnsiTheme="majorHAnsi"/>
          <w:color w:val="000000" w:themeColor="text1"/>
          <w:sz w:val="16"/>
          <w:szCs w:val="16"/>
        </w:rPr>
        <w:t xml:space="preserve">August </w:t>
      </w:r>
      <w:r w:rsidRPr="005404B2">
        <w:rPr>
          <w:rFonts w:asciiTheme="majorHAnsi" w:hAnsiTheme="majorHAnsi"/>
          <w:color w:val="000000" w:themeColor="text1"/>
          <w:sz w:val="16"/>
          <w:szCs w:val="16"/>
        </w:rPr>
        <w:t>16</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2001, </w:t>
      </w:r>
      <w:r>
        <w:rPr>
          <w:rFonts w:asciiTheme="majorHAnsi" w:hAnsiTheme="majorHAnsi"/>
          <w:color w:val="000000" w:themeColor="text1"/>
          <w:sz w:val="16"/>
          <w:szCs w:val="16"/>
        </w:rPr>
        <w:t xml:space="preserve">consisting of the order dismissing the case without prejudice, issued by the Judge of the Fourth Criminal Court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December </w:t>
      </w:r>
      <w:r w:rsidRPr="005404B2">
        <w:rPr>
          <w:rFonts w:asciiTheme="majorHAnsi" w:hAnsiTheme="majorHAnsi"/>
          <w:color w:val="000000" w:themeColor="text1"/>
          <w:sz w:val="16"/>
          <w:szCs w:val="16"/>
        </w:rPr>
        <w:t>11</w:t>
      </w:r>
      <w:r>
        <w:rPr>
          <w:rFonts w:asciiTheme="majorHAnsi" w:hAnsiTheme="majorHAnsi"/>
          <w:color w:val="000000" w:themeColor="text1"/>
          <w:sz w:val="16"/>
          <w:szCs w:val="16"/>
        </w:rPr>
        <w:t xml:space="preserve">, </w:t>
      </w:r>
      <w:r w:rsidRPr="005404B2">
        <w:rPr>
          <w:rFonts w:asciiTheme="majorHAnsi" w:hAnsiTheme="majorHAnsi"/>
          <w:color w:val="000000" w:themeColor="text1"/>
          <w:sz w:val="16"/>
          <w:szCs w:val="16"/>
        </w:rPr>
        <w:t>2002. A</w:t>
      </w:r>
      <w:r>
        <w:rPr>
          <w:rFonts w:asciiTheme="majorHAnsi" w:hAnsiTheme="majorHAnsi"/>
          <w:color w:val="000000" w:themeColor="text1"/>
          <w:sz w:val="16"/>
          <w:szCs w:val="16"/>
        </w:rPr>
        <w:t>nnex to State’s observations of June 31, 2005.</w:t>
      </w:r>
    </w:p>
  </w:footnote>
  <w:footnote w:id="14">
    <w:p w14:paraId="3589CD36"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An</w:t>
      </w:r>
      <w:r>
        <w:rPr>
          <w:rFonts w:asciiTheme="majorHAnsi" w:hAnsiTheme="majorHAnsi"/>
          <w:color w:val="000000" w:themeColor="text1"/>
          <w:sz w:val="16"/>
          <w:szCs w:val="16"/>
        </w:rPr>
        <w:t>nex 2</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Official Letter </w:t>
      </w:r>
      <w:r w:rsidRPr="005404B2">
        <w:rPr>
          <w:rFonts w:asciiTheme="majorHAnsi" w:hAnsiTheme="majorHAnsi"/>
          <w:color w:val="000000" w:themeColor="text1"/>
          <w:sz w:val="16"/>
          <w:szCs w:val="16"/>
        </w:rPr>
        <w:t xml:space="preserve">No. 2070–PJT-CP9-2001 </w:t>
      </w:r>
      <w:r>
        <w:rPr>
          <w:rFonts w:asciiTheme="majorHAnsi" w:hAnsiTheme="majorHAnsi"/>
          <w:color w:val="000000" w:themeColor="text1"/>
          <w:sz w:val="16"/>
          <w:szCs w:val="16"/>
        </w:rPr>
        <w:t xml:space="preserve">from the Chief of the Judicial Police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to the Prosecutor of </w:t>
      </w:r>
      <w:r w:rsidRPr="005404B2">
        <w:rPr>
          <w:rFonts w:asciiTheme="majorHAnsi" w:hAnsiTheme="majorHAnsi"/>
          <w:color w:val="000000" w:themeColor="text1"/>
          <w:sz w:val="16"/>
          <w:szCs w:val="16"/>
        </w:rPr>
        <w:t>Tungurahua</w:t>
      </w:r>
      <w:r>
        <w:rPr>
          <w:rFonts w:asciiTheme="majorHAnsi" w:hAnsiTheme="majorHAnsi"/>
          <w:color w:val="000000" w:themeColor="text1"/>
          <w:sz w:val="16"/>
          <w:szCs w:val="16"/>
        </w:rPr>
        <w:t xml:space="preserve">, containing Police Report </w:t>
      </w:r>
      <w:r w:rsidRPr="005404B2">
        <w:rPr>
          <w:rFonts w:asciiTheme="majorHAnsi" w:hAnsiTheme="majorHAnsi"/>
          <w:color w:val="000000" w:themeColor="text1"/>
          <w:sz w:val="16"/>
          <w:szCs w:val="16"/>
        </w:rPr>
        <w:t xml:space="preserve">no. 1123-PJT-CP9-2001, </w:t>
      </w:r>
      <w:r>
        <w:rPr>
          <w:rFonts w:asciiTheme="majorHAnsi" w:hAnsiTheme="majorHAnsi"/>
          <w:color w:val="000000" w:themeColor="text1"/>
          <w:sz w:val="16"/>
          <w:szCs w:val="16"/>
        </w:rPr>
        <w:t xml:space="preserve">August </w:t>
      </w:r>
      <w:r w:rsidRPr="005404B2">
        <w:rPr>
          <w:rFonts w:asciiTheme="majorHAnsi" w:hAnsiTheme="majorHAnsi"/>
          <w:color w:val="000000" w:themeColor="text1"/>
          <w:sz w:val="16"/>
          <w:szCs w:val="16"/>
        </w:rPr>
        <w:t>17</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2001. An</w:t>
      </w:r>
      <w:r>
        <w:rPr>
          <w:rFonts w:asciiTheme="majorHAnsi" w:hAnsiTheme="majorHAnsi"/>
          <w:color w:val="000000" w:themeColor="text1"/>
          <w:sz w:val="16"/>
          <w:szCs w:val="16"/>
        </w:rPr>
        <w:t xml:space="preserve">nex to petitioners’ observations of December 1, 2003. </w:t>
      </w:r>
      <w:r w:rsidRPr="005404B2">
        <w:rPr>
          <w:rFonts w:asciiTheme="majorHAnsi" w:hAnsiTheme="majorHAnsi"/>
          <w:color w:val="000000" w:themeColor="text1"/>
          <w:sz w:val="16"/>
          <w:szCs w:val="16"/>
        </w:rPr>
        <w:t xml:space="preserve"> </w:t>
      </w:r>
    </w:p>
  </w:footnote>
  <w:footnote w:id="15">
    <w:p w14:paraId="029265AA" w14:textId="77777777" w:rsidR="007A5DF1" w:rsidRPr="005404B2" w:rsidRDefault="007A5DF1" w:rsidP="00041CFE">
      <w:pPr>
        <w:pStyle w:val="p1"/>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An</w:t>
      </w:r>
      <w:r>
        <w:rPr>
          <w:rFonts w:asciiTheme="majorHAnsi" w:hAnsiTheme="majorHAnsi"/>
          <w:color w:val="000000" w:themeColor="text1"/>
          <w:sz w:val="16"/>
          <w:szCs w:val="16"/>
        </w:rPr>
        <w:t>nex 4.</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Report issued by the Technical Judicial Police of </w:t>
      </w:r>
      <w:r w:rsidRPr="005404B2">
        <w:rPr>
          <w:rFonts w:asciiTheme="majorHAnsi" w:hAnsiTheme="majorHAnsi"/>
          <w:color w:val="000000" w:themeColor="text1"/>
          <w:sz w:val="16"/>
          <w:szCs w:val="16"/>
        </w:rPr>
        <w:t xml:space="preserve">Tungurahua (No. 1123-PJT-CP9-2001), </w:t>
      </w:r>
      <w:r>
        <w:rPr>
          <w:rFonts w:asciiTheme="majorHAnsi" w:hAnsiTheme="majorHAnsi"/>
          <w:color w:val="000000" w:themeColor="text1"/>
          <w:sz w:val="16"/>
          <w:szCs w:val="16"/>
        </w:rPr>
        <w:t xml:space="preserve">consisting of the prosecutorial charging document </w:t>
      </w:r>
      <w:r w:rsidRPr="005404B2">
        <w:rPr>
          <w:rFonts w:asciiTheme="majorHAnsi" w:hAnsiTheme="majorHAnsi"/>
          <w:color w:val="000000" w:themeColor="text1"/>
          <w:sz w:val="16"/>
          <w:szCs w:val="16"/>
        </w:rPr>
        <w:t xml:space="preserve">(no. 53-2002), </w:t>
      </w:r>
      <w:r>
        <w:rPr>
          <w:rFonts w:asciiTheme="majorHAnsi" w:hAnsiTheme="majorHAnsi"/>
          <w:color w:val="000000" w:themeColor="text1"/>
          <w:sz w:val="16"/>
          <w:szCs w:val="16"/>
        </w:rPr>
        <w:t xml:space="preserve">brought by the Prosecuting Attorney of the District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May </w:t>
      </w:r>
      <w:r w:rsidRPr="005404B2">
        <w:rPr>
          <w:rFonts w:asciiTheme="majorHAnsi" w:hAnsiTheme="majorHAnsi"/>
          <w:color w:val="000000" w:themeColor="text1"/>
          <w:sz w:val="16"/>
          <w:szCs w:val="16"/>
        </w:rPr>
        <w:t>8</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2002. An</w:t>
      </w:r>
      <w:r>
        <w:rPr>
          <w:rFonts w:asciiTheme="majorHAnsi" w:hAnsiTheme="majorHAnsi"/>
          <w:color w:val="000000" w:themeColor="text1"/>
          <w:sz w:val="16"/>
          <w:szCs w:val="16"/>
        </w:rPr>
        <w:t xml:space="preserve">nex to State’s observations of June 31, 2005. </w:t>
      </w:r>
      <w:r w:rsidRPr="005404B2">
        <w:rPr>
          <w:rFonts w:asciiTheme="majorHAnsi" w:hAnsiTheme="majorHAnsi"/>
          <w:color w:val="000000" w:themeColor="text1"/>
          <w:sz w:val="16"/>
          <w:szCs w:val="16"/>
        </w:rPr>
        <w:t xml:space="preserve"> </w:t>
      </w:r>
    </w:p>
  </w:footnote>
  <w:footnote w:id="16">
    <w:p w14:paraId="4552E474" w14:textId="77777777" w:rsidR="007A5DF1" w:rsidRPr="005404B2" w:rsidRDefault="007A5DF1" w:rsidP="00041CFE">
      <w:pPr>
        <w:pStyle w:val="p1"/>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An</w:t>
      </w:r>
      <w:r>
        <w:rPr>
          <w:rFonts w:asciiTheme="majorHAnsi" w:hAnsiTheme="majorHAnsi"/>
          <w:color w:val="000000" w:themeColor="text1"/>
          <w:sz w:val="16"/>
          <w:szCs w:val="16"/>
        </w:rPr>
        <w:t>nex 5</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Addendum to technical police investigation report </w:t>
      </w:r>
      <w:r w:rsidRPr="005404B2">
        <w:rPr>
          <w:rFonts w:asciiTheme="majorHAnsi" w:hAnsiTheme="majorHAnsi"/>
          <w:color w:val="000000" w:themeColor="text1"/>
          <w:sz w:val="16"/>
          <w:szCs w:val="16"/>
        </w:rPr>
        <w:t xml:space="preserve">no. 1376-CP9-2001, </w:t>
      </w:r>
      <w:r>
        <w:rPr>
          <w:rFonts w:asciiTheme="majorHAnsi" w:hAnsiTheme="majorHAnsi"/>
          <w:color w:val="000000" w:themeColor="text1"/>
          <w:sz w:val="16"/>
          <w:szCs w:val="16"/>
        </w:rPr>
        <w:t xml:space="preserve">consisting of the prosecutorial charging document </w:t>
      </w:r>
      <w:r w:rsidRPr="005404B2">
        <w:rPr>
          <w:rFonts w:asciiTheme="majorHAnsi" w:hAnsiTheme="majorHAnsi"/>
          <w:color w:val="000000" w:themeColor="text1"/>
          <w:sz w:val="16"/>
          <w:szCs w:val="16"/>
        </w:rPr>
        <w:t xml:space="preserve">(no. 53-2002), </w:t>
      </w:r>
      <w:r>
        <w:rPr>
          <w:rFonts w:asciiTheme="majorHAnsi" w:hAnsiTheme="majorHAnsi"/>
          <w:color w:val="000000" w:themeColor="text1"/>
          <w:sz w:val="16"/>
          <w:szCs w:val="16"/>
        </w:rPr>
        <w:t xml:space="preserve">issued by the Prosecuting Attorney of the District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May </w:t>
      </w:r>
      <w:r w:rsidRPr="005404B2">
        <w:rPr>
          <w:rFonts w:asciiTheme="majorHAnsi" w:hAnsiTheme="majorHAnsi"/>
          <w:color w:val="000000" w:themeColor="text1"/>
          <w:sz w:val="16"/>
          <w:szCs w:val="16"/>
        </w:rPr>
        <w:t>8</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2002. An</w:t>
      </w:r>
      <w:r>
        <w:rPr>
          <w:rFonts w:asciiTheme="majorHAnsi" w:hAnsiTheme="majorHAnsi"/>
          <w:color w:val="000000" w:themeColor="text1"/>
          <w:sz w:val="16"/>
          <w:szCs w:val="16"/>
        </w:rPr>
        <w:t xml:space="preserve">nex to State’s observations of June 31, </w:t>
      </w:r>
      <w:r w:rsidRPr="005404B2">
        <w:rPr>
          <w:rFonts w:asciiTheme="majorHAnsi" w:hAnsiTheme="majorHAnsi"/>
          <w:color w:val="000000" w:themeColor="text1"/>
          <w:sz w:val="16"/>
          <w:szCs w:val="16"/>
        </w:rPr>
        <w:t>2005.</w:t>
      </w:r>
    </w:p>
  </w:footnote>
  <w:footnote w:id="17">
    <w:p w14:paraId="18130ABD"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An</w:t>
      </w:r>
      <w:r>
        <w:rPr>
          <w:rFonts w:asciiTheme="majorHAnsi" w:hAnsiTheme="majorHAnsi"/>
          <w:color w:val="000000" w:themeColor="text1"/>
          <w:sz w:val="16"/>
          <w:szCs w:val="16"/>
        </w:rPr>
        <w:t xml:space="preserve">nex 3. Report </w:t>
      </w:r>
      <w:r w:rsidRPr="005404B2">
        <w:rPr>
          <w:rFonts w:asciiTheme="majorHAnsi" w:hAnsiTheme="majorHAnsi"/>
          <w:color w:val="000000" w:themeColor="text1"/>
          <w:sz w:val="16"/>
          <w:szCs w:val="16"/>
        </w:rPr>
        <w:t xml:space="preserve">1123-PJT-CP9-2001, </w:t>
      </w:r>
      <w:r>
        <w:rPr>
          <w:rFonts w:asciiTheme="majorHAnsi" w:hAnsiTheme="majorHAnsi"/>
          <w:color w:val="000000" w:themeColor="text1"/>
          <w:sz w:val="16"/>
          <w:szCs w:val="16"/>
        </w:rPr>
        <w:t xml:space="preserve">August </w:t>
      </w:r>
      <w:r w:rsidRPr="005404B2">
        <w:rPr>
          <w:rFonts w:asciiTheme="majorHAnsi" w:hAnsiTheme="majorHAnsi"/>
          <w:color w:val="000000" w:themeColor="text1"/>
          <w:sz w:val="16"/>
          <w:szCs w:val="16"/>
        </w:rPr>
        <w:t>16</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2001, </w:t>
      </w:r>
      <w:r>
        <w:rPr>
          <w:rFonts w:asciiTheme="majorHAnsi" w:hAnsiTheme="majorHAnsi"/>
          <w:color w:val="000000" w:themeColor="text1"/>
          <w:sz w:val="16"/>
          <w:szCs w:val="16"/>
        </w:rPr>
        <w:t xml:space="preserve">consisting of official letter </w:t>
      </w:r>
      <w:r w:rsidRPr="005404B2">
        <w:rPr>
          <w:rFonts w:asciiTheme="majorHAnsi" w:hAnsiTheme="majorHAnsi"/>
          <w:color w:val="000000" w:themeColor="text1"/>
          <w:sz w:val="16"/>
          <w:szCs w:val="16"/>
        </w:rPr>
        <w:t xml:space="preserve">2070-PJT-CP9-2001 </w:t>
      </w:r>
      <w:r>
        <w:rPr>
          <w:rFonts w:asciiTheme="majorHAnsi" w:hAnsiTheme="majorHAnsi"/>
          <w:color w:val="000000" w:themeColor="text1"/>
          <w:sz w:val="16"/>
          <w:szCs w:val="16"/>
        </w:rPr>
        <w:t xml:space="preserve">written by the Chief of the Judicial Police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to the District Prosecutor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August </w:t>
      </w:r>
      <w:r w:rsidRPr="005404B2">
        <w:rPr>
          <w:rFonts w:asciiTheme="majorHAnsi" w:hAnsiTheme="majorHAnsi"/>
          <w:color w:val="000000" w:themeColor="text1"/>
          <w:sz w:val="16"/>
          <w:szCs w:val="16"/>
        </w:rPr>
        <w:t>17</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2001. An</w:t>
      </w:r>
      <w:r>
        <w:rPr>
          <w:rFonts w:asciiTheme="majorHAnsi" w:hAnsiTheme="majorHAnsi"/>
          <w:color w:val="000000" w:themeColor="text1"/>
          <w:sz w:val="16"/>
          <w:szCs w:val="16"/>
        </w:rPr>
        <w:t>nex</w:t>
      </w:r>
      <w:r w:rsidRPr="005404B2">
        <w:rPr>
          <w:rFonts w:asciiTheme="majorHAnsi" w:hAnsiTheme="majorHAnsi"/>
          <w:color w:val="000000" w:themeColor="text1"/>
          <w:sz w:val="16"/>
          <w:szCs w:val="16"/>
        </w:rPr>
        <w:t xml:space="preserve"> 3</w:t>
      </w:r>
      <w:r>
        <w:rPr>
          <w:rFonts w:asciiTheme="majorHAnsi" w:hAnsiTheme="majorHAnsi"/>
          <w:color w:val="000000" w:themeColor="text1"/>
          <w:sz w:val="16"/>
          <w:szCs w:val="16"/>
        </w:rPr>
        <w:t xml:space="preserve"> to petitioners’ observations of December 1, 2001. </w:t>
      </w:r>
    </w:p>
  </w:footnote>
  <w:footnote w:id="18">
    <w:p w14:paraId="2D8FC1EA"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An</w:t>
      </w:r>
      <w:r>
        <w:rPr>
          <w:rFonts w:asciiTheme="majorHAnsi" w:hAnsiTheme="majorHAnsi"/>
          <w:color w:val="000000" w:themeColor="text1"/>
          <w:sz w:val="16"/>
          <w:szCs w:val="16"/>
        </w:rPr>
        <w:t xml:space="preserve">nex 6. Account given by </w:t>
      </w:r>
      <w:r w:rsidRPr="005404B2">
        <w:rPr>
          <w:rFonts w:asciiTheme="majorHAnsi" w:hAnsiTheme="majorHAnsi"/>
          <w:color w:val="000000" w:themeColor="text1"/>
          <w:sz w:val="16"/>
          <w:szCs w:val="16"/>
        </w:rPr>
        <w:t xml:space="preserve">Sixto Núñez </w:t>
      </w:r>
      <w:r>
        <w:rPr>
          <w:rFonts w:asciiTheme="majorHAnsi" w:hAnsiTheme="majorHAnsi"/>
          <w:color w:val="000000" w:themeColor="text1"/>
          <w:sz w:val="16"/>
          <w:szCs w:val="16"/>
        </w:rPr>
        <w:t xml:space="preserve">on April </w:t>
      </w:r>
      <w:r w:rsidRPr="005404B2">
        <w:rPr>
          <w:rFonts w:asciiTheme="majorHAnsi" w:hAnsiTheme="majorHAnsi"/>
          <w:color w:val="000000" w:themeColor="text1"/>
          <w:sz w:val="16"/>
          <w:szCs w:val="16"/>
        </w:rPr>
        <w:t>29</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2002, </w:t>
      </w:r>
      <w:r>
        <w:rPr>
          <w:rFonts w:asciiTheme="majorHAnsi" w:hAnsiTheme="majorHAnsi"/>
          <w:color w:val="000000" w:themeColor="text1"/>
          <w:sz w:val="16"/>
          <w:szCs w:val="16"/>
        </w:rPr>
        <w:t xml:space="preserve">at the Opening of the preliminary investigation conducted by the Prosecuting Attorney on November 21, 2001. </w:t>
      </w:r>
      <w:r w:rsidRPr="005404B2">
        <w:rPr>
          <w:rFonts w:asciiTheme="majorHAnsi" w:hAnsiTheme="majorHAnsi"/>
          <w:color w:val="000000" w:themeColor="text1"/>
          <w:sz w:val="16"/>
          <w:szCs w:val="16"/>
        </w:rPr>
        <w:t>An</w:t>
      </w:r>
      <w:r>
        <w:rPr>
          <w:rFonts w:asciiTheme="majorHAnsi" w:hAnsiTheme="majorHAnsi"/>
          <w:color w:val="000000" w:themeColor="text1"/>
          <w:sz w:val="16"/>
          <w:szCs w:val="16"/>
        </w:rPr>
        <w:t>nex</w:t>
      </w:r>
      <w:r w:rsidRPr="005404B2">
        <w:rPr>
          <w:rFonts w:asciiTheme="majorHAnsi" w:hAnsiTheme="majorHAnsi"/>
          <w:color w:val="000000" w:themeColor="text1"/>
          <w:sz w:val="16"/>
          <w:szCs w:val="16"/>
        </w:rPr>
        <w:t xml:space="preserve"> 3 </w:t>
      </w:r>
      <w:r>
        <w:rPr>
          <w:rFonts w:asciiTheme="majorHAnsi" w:hAnsiTheme="majorHAnsi"/>
          <w:color w:val="000000" w:themeColor="text1"/>
          <w:sz w:val="16"/>
          <w:szCs w:val="16"/>
        </w:rPr>
        <w:t xml:space="preserve">to petitioners’ observations of December 1, 2003. </w:t>
      </w:r>
    </w:p>
    <w:p w14:paraId="7F0EEBE5" w14:textId="77777777" w:rsidR="007A5DF1" w:rsidRPr="005404B2" w:rsidRDefault="007A5DF1" w:rsidP="00041CFE">
      <w:pPr>
        <w:pStyle w:val="FootnoteText"/>
        <w:jc w:val="both"/>
        <w:rPr>
          <w:rFonts w:asciiTheme="majorHAnsi" w:hAnsiTheme="majorHAnsi"/>
          <w:color w:val="000000" w:themeColor="text1"/>
          <w:sz w:val="16"/>
          <w:szCs w:val="16"/>
        </w:rPr>
      </w:pPr>
      <w:r>
        <w:rPr>
          <w:rFonts w:asciiTheme="majorHAnsi" w:hAnsiTheme="majorHAnsi"/>
          <w:color w:val="000000" w:themeColor="text1"/>
          <w:sz w:val="16"/>
          <w:szCs w:val="16"/>
        </w:rPr>
        <w:t xml:space="preserve">Complaint filed by </w:t>
      </w:r>
      <w:r w:rsidRPr="005404B2">
        <w:rPr>
          <w:rFonts w:asciiTheme="majorHAnsi" w:hAnsiTheme="majorHAnsi"/>
          <w:color w:val="000000" w:themeColor="text1"/>
          <w:sz w:val="16"/>
          <w:szCs w:val="16"/>
        </w:rPr>
        <w:t xml:space="preserve">Sixto Núñez </w:t>
      </w:r>
      <w:r>
        <w:rPr>
          <w:rFonts w:asciiTheme="majorHAnsi" w:hAnsiTheme="majorHAnsi"/>
          <w:color w:val="000000" w:themeColor="text1"/>
          <w:sz w:val="16"/>
          <w:szCs w:val="16"/>
        </w:rPr>
        <w:t xml:space="preserve">with the District Prosecutor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consisting of the order to dismiss without prejudice issued by the Judge of the Fourth Criminal Court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December </w:t>
      </w:r>
      <w:r w:rsidRPr="005404B2">
        <w:rPr>
          <w:rFonts w:asciiTheme="majorHAnsi" w:hAnsiTheme="majorHAnsi"/>
          <w:color w:val="000000" w:themeColor="text1"/>
          <w:sz w:val="16"/>
          <w:szCs w:val="16"/>
        </w:rPr>
        <w:t>11</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2002. An</w:t>
      </w:r>
      <w:r>
        <w:rPr>
          <w:rFonts w:asciiTheme="majorHAnsi" w:hAnsiTheme="majorHAnsi"/>
          <w:color w:val="000000" w:themeColor="text1"/>
          <w:sz w:val="16"/>
          <w:szCs w:val="16"/>
        </w:rPr>
        <w:t xml:space="preserve">nex to State’s observations of June </w:t>
      </w:r>
      <w:r w:rsidRPr="005404B2">
        <w:rPr>
          <w:rFonts w:asciiTheme="majorHAnsi" w:hAnsiTheme="majorHAnsi"/>
          <w:color w:val="000000" w:themeColor="text1"/>
          <w:sz w:val="16"/>
          <w:szCs w:val="16"/>
        </w:rPr>
        <w:t>31</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2005.</w:t>
      </w:r>
    </w:p>
  </w:footnote>
  <w:footnote w:id="19">
    <w:p w14:paraId="7A7CB1BD" w14:textId="77777777" w:rsidR="007A5DF1" w:rsidRPr="005404B2" w:rsidRDefault="007A5DF1" w:rsidP="00041CFE">
      <w:pPr>
        <w:pStyle w:val="FootnoteText"/>
        <w:rPr>
          <w:rFonts w:asciiTheme="majorHAnsi" w:hAnsiTheme="majorHAnsi"/>
          <w:sz w:val="16"/>
          <w:szCs w:val="16"/>
        </w:rPr>
      </w:pPr>
      <w:r w:rsidRPr="005404B2">
        <w:rPr>
          <w:rStyle w:val="FootnoteReference"/>
          <w:rFonts w:asciiTheme="majorHAnsi" w:hAnsiTheme="majorHAnsi"/>
          <w:sz w:val="16"/>
          <w:szCs w:val="16"/>
        </w:rPr>
        <w:footnoteRef/>
      </w:r>
      <w:r w:rsidRPr="005404B2">
        <w:rPr>
          <w:rFonts w:asciiTheme="majorHAnsi" w:hAnsiTheme="majorHAnsi"/>
          <w:sz w:val="16"/>
          <w:szCs w:val="16"/>
        </w:rPr>
        <w:t xml:space="preserve"> An</w:t>
      </w:r>
      <w:r>
        <w:rPr>
          <w:rFonts w:asciiTheme="majorHAnsi" w:hAnsiTheme="majorHAnsi"/>
          <w:sz w:val="16"/>
          <w:szCs w:val="16"/>
        </w:rPr>
        <w:t>nex 7</w:t>
      </w:r>
      <w:r w:rsidRPr="005404B2">
        <w:rPr>
          <w:rFonts w:asciiTheme="majorHAnsi" w:hAnsiTheme="majorHAnsi"/>
          <w:sz w:val="16"/>
          <w:szCs w:val="16"/>
        </w:rPr>
        <w:t xml:space="preserve">. </w:t>
      </w:r>
      <w:r>
        <w:rPr>
          <w:rFonts w:asciiTheme="majorHAnsi" w:hAnsiTheme="majorHAnsi"/>
          <w:sz w:val="16"/>
          <w:szCs w:val="16"/>
        </w:rPr>
        <w:t xml:space="preserve">Testimonial statement of </w:t>
      </w:r>
      <w:r w:rsidRPr="005404B2">
        <w:rPr>
          <w:rFonts w:asciiTheme="majorHAnsi" w:hAnsiTheme="majorHAnsi"/>
          <w:sz w:val="16"/>
          <w:szCs w:val="16"/>
        </w:rPr>
        <w:t>Marcelo Velasco. An</w:t>
      </w:r>
      <w:r>
        <w:rPr>
          <w:rFonts w:asciiTheme="majorHAnsi" w:hAnsiTheme="majorHAnsi"/>
          <w:sz w:val="16"/>
          <w:szCs w:val="16"/>
        </w:rPr>
        <w:t>nex</w:t>
      </w:r>
      <w:r w:rsidRPr="005404B2">
        <w:rPr>
          <w:rFonts w:asciiTheme="majorHAnsi" w:hAnsiTheme="majorHAnsi"/>
          <w:sz w:val="16"/>
          <w:szCs w:val="16"/>
        </w:rPr>
        <w:t xml:space="preserve"> 3 </w:t>
      </w:r>
      <w:r>
        <w:rPr>
          <w:rFonts w:asciiTheme="majorHAnsi" w:hAnsiTheme="majorHAnsi"/>
          <w:sz w:val="16"/>
          <w:szCs w:val="16"/>
        </w:rPr>
        <w:t xml:space="preserve">of petitioners’ observations of December 1, 2003. </w:t>
      </w:r>
    </w:p>
  </w:footnote>
  <w:footnote w:id="20">
    <w:p w14:paraId="1CBBA21D"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An</w:t>
      </w:r>
      <w:r>
        <w:rPr>
          <w:rFonts w:asciiTheme="majorHAnsi" w:hAnsiTheme="majorHAnsi"/>
          <w:color w:val="000000" w:themeColor="text1"/>
          <w:sz w:val="16"/>
          <w:szCs w:val="16"/>
        </w:rPr>
        <w:t>nex 8</w:t>
      </w:r>
      <w:r w:rsidRPr="005404B2">
        <w:rPr>
          <w:rFonts w:asciiTheme="majorHAnsi" w:hAnsiTheme="majorHAnsi"/>
          <w:color w:val="000000" w:themeColor="text1"/>
          <w:sz w:val="16"/>
          <w:szCs w:val="16"/>
        </w:rPr>
        <w:t>. Of</w:t>
      </w:r>
      <w:r>
        <w:rPr>
          <w:rFonts w:asciiTheme="majorHAnsi" w:hAnsiTheme="majorHAnsi"/>
          <w:color w:val="000000" w:themeColor="text1"/>
          <w:sz w:val="16"/>
          <w:szCs w:val="16"/>
        </w:rPr>
        <w:t xml:space="preserve">ficial Letter </w:t>
      </w:r>
      <w:r w:rsidRPr="005404B2">
        <w:rPr>
          <w:rFonts w:asciiTheme="majorHAnsi" w:hAnsiTheme="majorHAnsi"/>
          <w:color w:val="000000" w:themeColor="text1"/>
          <w:sz w:val="16"/>
          <w:szCs w:val="16"/>
        </w:rPr>
        <w:t xml:space="preserve">No. 2780–PJT-CP9-2001 </w:t>
      </w:r>
      <w:r>
        <w:rPr>
          <w:rFonts w:asciiTheme="majorHAnsi" w:hAnsiTheme="majorHAnsi"/>
          <w:color w:val="000000" w:themeColor="text1"/>
          <w:sz w:val="16"/>
          <w:szCs w:val="16"/>
        </w:rPr>
        <w:t xml:space="preserve">of the Chief of the Judicial Police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to the Prosecutor of </w:t>
      </w:r>
      <w:r w:rsidRPr="005404B2">
        <w:rPr>
          <w:rFonts w:asciiTheme="majorHAnsi" w:hAnsiTheme="majorHAnsi"/>
          <w:color w:val="000000" w:themeColor="text1"/>
          <w:sz w:val="16"/>
          <w:szCs w:val="16"/>
        </w:rPr>
        <w:t>Tungurahua</w:t>
      </w:r>
      <w:r>
        <w:rPr>
          <w:rFonts w:asciiTheme="majorHAnsi" w:hAnsiTheme="majorHAnsi"/>
          <w:color w:val="000000" w:themeColor="text1"/>
          <w:sz w:val="16"/>
          <w:szCs w:val="16"/>
        </w:rPr>
        <w:t xml:space="preserve"> containing Police Report</w:t>
      </w:r>
      <w:r w:rsidRPr="005404B2">
        <w:rPr>
          <w:rFonts w:asciiTheme="majorHAnsi" w:hAnsiTheme="majorHAnsi"/>
          <w:color w:val="000000" w:themeColor="text1"/>
          <w:sz w:val="16"/>
          <w:szCs w:val="16"/>
        </w:rPr>
        <w:t xml:space="preserve"> no. 1123-PJT-CP9-2001, </w:t>
      </w:r>
      <w:r>
        <w:rPr>
          <w:rFonts w:asciiTheme="majorHAnsi" w:hAnsiTheme="majorHAnsi"/>
          <w:color w:val="000000" w:themeColor="text1"/>
          <w:sz w:val="16"/>
          <w:szCs w:val="16"/>
        </w:rPr>
        <w:t xml:space="preserve">October </w:t>
      </w:r>
      <w:r w:rsidRPr="005404B2">
        <w:rPr>
          <w:rFonts w:asciiTheme="majorHAnsi" w:hAnsiTheme="majorHAnsi"/>
          <w:color w:val="000000" w:themeColor="text1"/>
          <w:sz w:val="16"/>
          <w:szCs w:val="16"/>
        </w:rPr>
        <w:t>19</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2001. A</w:t>
      </w:r>
      <w:r>
        <w:rPr>
          <w:rFonts w:asciiTheme="majorHAnsi" w:hAnsiTheme="majorHAnsi"/>
          <w:color w:val="000000" w:themeColor="text1"/>
          <w:sz w:val="16"/>
          <w:szCs w:val="16"/>
        </w:rPr>
        <w:t xml:space="preserve">nnex to petitioners’ observations of December </w:t>
      </w:r>
      <w:r w:rsidRPr="005404B2">
        <w:rPr>
          <w:rFonts w:asciiTheme="majorHAnsi" w:hAnsiTheme="majorHAnsi"/>
          <w:color w:val="000000" w:themeColor="text1"/>
          <w:sz w:val="16"/>
          <w:szCs w:val="16"/>
        </w:rPr>
        <w:t>1</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2003.</w:t>
      </w:r>
    </w:p>
  </w:footnote>
  <w:footnote w:id="21">
    <w:p w14:paraId="6546EF26"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An</w:t>
      </w:r>
      <w:r>
        <w:rPr>
          <w:rFonts w:asciiTheme="majorHAnsi" w:hAnsiTheme="majorHAnsi"/>
          <w:color w:val="000000" w:themeColor="text1"/>
          <w:sz w:val="16"/>
          <w:szCs w:val="16"/>
        </w:rPr>
        <w:t>nex 9</w:t>
      </w:r>
      <w:r w:rsidRPr="005404B2">
        <w:rPr>
          <w:rFonts w:asciiTheme="majorHAnsi" w:hAnsiTheme="majorHAnsi"/>
          <w:color w:val="000000" w:themeColor="text1"/>
          <w:sz w:val="16"/>
          <w:szCs w:val="16"/>
        </w:rPr>
        <w:t>. Of</w:t>
      </w:r>
      <w:r>
        <w:rPr>
          <w:rFonts w:asciiTheme="majorHAnsi" w:hAnsiTheme="majorHAnsi"/>
          <w:color w:val="000000" w:themeColor="text1"/>
          <w:sz w:val="16"/>
          <w:szCs w:val="16"/>
        </w:rPr>
        <w:t>ficial Letter from the Coalition of Juntas (</w:t>
      </w:r>
      <w:r w:rsidRPr="005404B2">
        <w:rPr>
          <w:rFonts w:asciiTheme="majorHAnsi" w:hAnsiTheme="majorHAnsi"/>
          <w:color w:val="000000" w:themeColor="text1"/>
          <w:sz w:val="16"/>
          <w:szCs w:val="16"/>
        </w:rPr>
        <w:t>Central de Juntas del Campesinado</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No. 88CJDCQ-2002 </w:t>
      </w:r>
      <w:r>
        <w:rPr>
          <w:rFonts w:asciiTheme="majorHAnsi" w:hAnsiTheme="majorHAnsi"/>
          <w:color w:val="000000" w:themeColor="text1"/>
          <w:sz w:val="16"/>
          <w:szCs w:val="16"/>
        </w:rPr>
        <w:t xml:space="preserve">to the Prosecutor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June </w:t>
      </w:r>
      <w:r w:rsidRPr="005404B2">
        <w:rPr>
          <w:rFonts w:asciiTheme="majorHAnsi" w:hAnsiTheme="majorHAnsi"/>
          <w:color w:val="000000" w:themeColor="text1"/>
          <w:sz w:val="16"/>
          <w:szCs w:val="16"/>
        </w:rPr>
        <w:t>30</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2002. An</w:t>
      </w:r>
      <w:r>
        <w:rPr>
          <w:rFonts w:asciiTheme="majorHAnsi" w:hAnsiTheme="majorHAnsi"/>
          <w:color w:val="000000" w:themeColor="text1"/>
          <w:sz w:val="16"/>
          <w:szCs w:val="16"/>
        </w:rPr>
        <w:t xml:space="preserve">nex to petitioners’ observations of December </w:t>
      </w:r>
      <w:r w:rsidRPr="005404B2">
        <w:rPr>
          <w:rFonts w:asciiTheme="majorHAnsi" w:hAnsiTheme="majorHAnsi"/>
          <w:color w:val="000000" w:themeColor="text1"/>
          <w:sz w:val="16"/>
          <w:szCs w:val="16"/>
        </w:rPr>
        <w:t>1</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2003.</w:t>
      </w:r>
    </w:p>
  </w:footnote>
  <w:footnote w:id="22">
    <w:p w14:paraId="6D5182FB"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An</w:t>
      </w:r>
      <w:r>
        <w:rPr>
          <w:rFonts w:asciiTheme="majorHAnsi" w:hAnsiTheme="majorHAnsi"/>
          <w:color w:val="000000" w:themeColor="text1"/>
          <w:sz w:val="16"/>
          <w:szCs w:val="16"/>
        </w:rPr>
        <w:t>nex 10</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Complaint filed by </w:t>
      </w:r>
      <w:r w:rsidRPr="005404B2">
        <w:rPr>
          <w:rFonts w:asciiTheme="majorHAnsi" w:hAnsiTheme="majorHAnsi"/>
          <w:color w:val="000000" w:themeColor="text1"/>
          <w:sz w:val="16"/>
          <w:szCs w:val="16"/>
        </w:rPr>
        <w:t xml:space="preserve">Sixto Núñez, </w:t>
      </w:r>
      <w:r>
        <w:rPr>
          <w:rFonts w:asciiTheme="majorHAnsi" w:hAnsiTheme="majorHAnsi"/>
          <w:color w:val="000000" w:themeColor="text1"/>
          <w:sz w:val="16"/>
          <w:szCs w:val="16"/>
        </w:rPr>
        <w:t xml:space="preserve">consisting of the order to dismiss without prejudice, issued by the Judge of the Fourth Criminal Court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December </w:t>
      </w:r>
      <w:r w:rsidRPr="005404B2">
        <w:rPr>
          <w:rFonts w:asciiTheme="majorHAnsi" w:hAnsiTheme="majorHAnsi"/>
          <w:color w:val="000000" w:themeColor="text1"/>
          <w:sz w:val="16"/>
          <w:szCs w:val="16"/>
        </w:rPr>
        <w:t>11</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2002. An</w:t>
      </w:r>
      <w:r>
        <w:rPr>
          <w:rFonts w:asciiTheme="majorHAnsi" w:hAnsiTheme="majorHAnsi"/>
          <w:color w:val="000000" w:themeColor="text1"/>
          <w:sz w:val="16"/>
          <w:szCs w:val="16"/>
        </w:rPr>
        <w:t xml:space="preserve">nex to State’s observations of June </w:t>
      </w:r>
      <w:r w:rsidRPr="005404B2">
        <w:rPr>
          <w:rFonts w:asciiTheme="majorHAnsi" w:hAnsiTheme="majorHAnsi"/>
          <w:color w:val="000000" w:themeColor="text1"/>
          <w:sz w:val="16"/>
          <w:szCs w:val="16"/>
        </w:rPr>
        <w:t>31</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2005.</w:t>
      </w:r>
    </w:p>
  </w:footnote>
  <w:footnote w:id="23">
    <w:p w14:paraId="6B1AD2E3"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An</w:t>
      </w:r>
      <w:r>
        <w:rPr>
          <w:rFonts w:asciiTheme="majorHAnsi" w:hAnsiTheme="majorHAnsi"/>
          <w:color w:val="000000" w:themeColor="text1"/>
          <w:sz w:val="16"/>
          <w:szCs w:val="16"/>
        </w:rPr>
        <w:t>nex 6</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Account given by </w:t>
      </w:r>
      <w:r w:rsidRPr="005404B2">
        <w:rPr>
          <w:rFonts w:asciiTheme="majorHAnsi" w:hAnsiTheme="majorHAnsi"/>
          <w:color w:val="000000" w:themeColor="text1"/>
          <w:sz w:val="16"/>
          <w:szCs w:val="16"/>
        </w:rPr>
        <w:t xml:space="preserve">Sixto Núñez </w:t>
      </w:r>
      <w:r>
        <w:rPr>
          <w:rFonts w:asciiTheme="majorHAnsi" w:hAnsiTheme="majorHAnsi"/>
          <w:color w:val="000000" w:themeColor="text1"/>
          <w:sz w:val="16"/>
          <w:szCs w:val="16"/>
        </w:rPr>
        <w:t xml:space="preserve">on April </w:t>
      </w:r>
      <w:r w:rsidRPr="005404B2">
        <w:rPr>
          <w:rFonts w:asciiTheme="majorHAnsi" w:hAnsiTheme="majorHAnsi"/>
          <w:color w:val="000000" w:themeColor="text1"/>
          <w:sz w:val="16"/>
          <w:szCs w:val="16"/>
        </w:rPr>
        <w:t>29</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2002, </w:t>
      </w:r>
      <w:r>
        <w:rPr>
          <w:rFonts w:asciiTheme="majorHAnsi" w:hAnsiTheme="majorHAnsi"/>
          <w:color w:val="000000" w:themeColor="text1"/>
          <w:sz w:val="16"/>
          <w:szCs w:val="16"/>
        </w:rPr>
        <w:t xml:space="preserve">within the Opening of the Preliminary Investigation by the Prosecutor on November </w:t>
      </w:r>
      <w:r w:rsidRPr="005404B2">
        <w:rPr>
          <w:rFonts w:asciiTheme="majorHAnsi" w:hAnsiTheme="majorHAnsi"/>
          <w:color w:val="000000" w:themeColor="text1"/>
          <w:sz w:val="16"/>
          <w:szCs w:val="16"/>
        </w:rPr>
        <w:t>21</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2001. An</w:t>
      </w:r>
      <w:r>
        <w:rPr>
          <w:rFonts w:asciiTheme="majorHAnsi" w:hAnsiTheme="majorHAnsi"/>
          <w:color w:val="000000" w:themeColor="text1"/>
          <w:sz w:val="16"/>
          <w:szCs w:val="16"/>
        </w:rPr>
        <w:t>nex</w:t>
      </w:r>
      <w:r w:rsidRPr="005404B2">
        <w:rPr>
          <w:rFonts w:asciiTheme="majorHAnsi" w:hAnsiTheme="majorHAnsi"/>
          <w:color w:val="000000" w:themeColor="text1"/>
          <w:sz w:val="16"/>
          <w:szCs w:val="16"/>
        </w:rPr>
        <w:t xml:space="preserve"> 3 </w:t>
      </w:r>
      <w:r>
        <w:rPr>
          <w:rFonts w:asciiTheme="majorHAnsi" w:hAnsiTheme="majorHAnsi"/>
          <w:color w:val="000000" w:themeColor="text1"/>
          <w:sz w:val="16"/>
          <w:szCs w:val="16"/>
        </w:rPr>
        <w:t xml:space="preserve">to petitioners’ observations of December </w:t>
      </w:r>
      <w:r w:rsidRPr="005404B2">
        <w:rPr>
          <w:rFonts w:asciiTheme="majorHAnsi" w:hAnsiTheme="majorHAnsi"/>
          <w:color w:val="000000" w:themeColor="text1"/>
          <w:sz w:val="16"/>
          <w:szCs w:val="16"/>
        </w:rPr>
        <w:t>1</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2003. </w:t>
      </w:r>
    </w:p>
  </w:footnote>
  <w:footnote w:id="24">
    <w:p w14:paraId="7F194A78"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An</w:t>
      </w:r>
      <w:r>
        <w:rPr>
          <w:rFonts w:asciiTheme="majorHAnsi" w:hAnsiTheme="majorHAnsi"/>
          <w:color w:val="000000" w:themeColor="text1"/>
          <w:sz w:val="16"/>
          <w:szCs w:val="16"/>
        </w:rPr>
        <w:t>nex 4.</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Report </w:t>
      </w:r>
      <w:r w:rsidRPr="005404B2">
        <w:rPr>
          <w:rFonts w:asciiTheme="majorHAnsi" w:hAnsiTheme="majorHAnsi"/>
          <w:color w:val="000000" w:themeColor="text1"/>
          <w:sz w:val="16"/>
          <w:szCs w:val="16"/>
        </w:rPr>
        <w:t xml:space="preserve">1123-PJT-CP9-2001, </w:t>
      </w:r>
      <w:r>
        <w:rPr>
          <w:rFonts w:asciiTheme="majorHAnsi" w:hAnsiTheme="majorHAnsi"/>
          <w:color w:val="000000" w:themeColor="text1"/>
          <w:sz w:val="16"/>
          <w:szCs w:val="16"/>
        </w:rPr>
        <w:t xml:space="preserve">August </w:t>
      </w:r>
      <w:r w:rsidRPr="005404B2">
        <w:rPr>
          <w:rFonts w:asciiTheme="majorHAnsi" w:hAnsiTheme="majorHAnsi"/>
          <w:color w:val="000000" w:themeColor="text1"/>
          <w:sz w:val="16"/>
          <w:szCs w:val="16"/>
        </w:rPr>
        <w:t>16</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2001, </w:t>
      </w:r>
      <w:r>
        <w:rPr>
          <w:rFonts w:asciiTheme="majorHAnsi" w:hAnsiTheme="majorHAnsi"/>
          <w:color w:val="000000" w:themeColor="text1"/>
          <w:sz w:val="16"/>
          <w:szCs w:val="16"/>
        </w:rPr>
        <w:t xml:space="preserve">which appears in Official Letter 2070-PJT-CP9-2001, written by the Chief of the Judicial Police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to the District Prosecutor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August </w:t>
      </w:r>
      <w:r w:rsidRPr="005404B2">
        <w:rPr>
          <w:rFonts w:asciiTheme="majorHAnsi" w:hAnsiTheme="majorHAnsi"/>
          <w:color w:val="000000" w:themeColor="text1"/>
          <w:sz w:val="16"/>
          <w:szCs w:val="16"/>
        </w:rPr>
        <w:t>17</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2001. An</w:t>
      </w:r>
      <w:r>
        <w:rPr>
          <w:rFonts w:asciiTheme="majorHAnsi" w:hAnsiTheme="majorHAnsi"/>
          <w:color w:val="000000" w:themeColor="text1"/>
          <w:sz w:val="16"/>
          <w:szCs w:val="16"/>
        </w:rPr>
        <w:t>nex</w:t>
      </w:r>
      <w:r w:rsidRPr="005404B2">
        <w:rPr>
          <w:rFonts w:asciiTheme="majorHAnsi" w:hAnsiTheme="majorHAnsi"/>
          <w:color w:val="000000" w:themeColor="text1"/>
          <w:sz w:val="16"/>
          <w:szCs w:val="16"/>
        </w:rPr>
        <w:t xml:space="preserve"> 3 </w:t>
      </w:r>
      <w:r>
        <w:rPr>
          <w:rFonts w:asciiTheme="majorHAnsi" w:hAnsiTheme="majorHAnsi"/>
          <w:color w:val="000000" w:themeColor="text1"/>
          <w:sz w:val="16"/>
          <w:szCs w:val="16"/>
        </w:rPr>
        <w:t xml:space="preserve">to petitioners’ observations of December </w:t>
      </w:r>
      <w:r w:rsidRPr="005404B2">
        <w:rPr>
          <w:rFonts w:asciiTheme="majorHAnsi" w:hAnsiTheme="majorHAnsi"/>
          <w:color w:val="000000" w:themeColor="text1"/>
          <w:sz w:val="16"/>
          <w:szCs w:val="16"/>
        </w:rPr>
        <w:t>1</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2003.</w:t>
      </w:r>
    </w:p>
  </w:footnote>
  <w:footnote w:id="25">
    <w:p w14:paraId="084ACF1D"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An</w:t>
      </w:r>
      <w:r>
        <w:rPr>
          <w:rFonts w:asciiTheme="majorHAnsi" w:hAnsiTheme="majorHAnsi"/>
          <w:color w:val="000000" w:themeColor="text1"/>
          <w:sz w:val="16"/>
          <w:szCs w:val="16"/>
        </w:rPr>
        <w:t>nex 2</w:t>
      </w:r>
      <w:r w:rsidRPr="005404B2">
        <w:rPr>
          <w:rFonts w:asciiTheme="majorHAnsi" w:hAnsiTheme="majorHAnsi"/>
          <w:color w:val="000000" w:themeColor="text1"/>
          <w:sz w:val="16"/>
          <w:szCs w:val="16"/>
        </w:rPr>
        <w:t>. Of</w:t>
      </w:r>
      <w:r>
        <w:rPr>
          <w:rFonts w:asciiTheme="majorHAnsi" w:hAnsiTheme="majorHAnsi"/>
          <w:color w:val="000000" w:themeColor="text1"/>
          <w:sz w:val="16"/>
          <w:szCs w:val="16"/>
        </w:rPr>
        <w:t xml:space="preserve">ficial Letter </w:t>
      </w:r>
      <w:r w:rsidRPr="005404B2">
        <w:rPr>
          <w:rFonts w:asciiTheme="majorHAnsi" w:hAnsiTheme="majorHAnsi"/>
          <w:color w:val="000000" w:themeColor="text1"/>
          <w:sz w:val="16"/>
          <w:szCs w:val="16"/>
        </w:rPr>
        <w:t xml:space="preserve">No. 2070–PJT-CP9-2001 </w:t>
      </w:r>
      <w:r>
        <w:rPr>
          <w:rFonts w:asciiTheme="majorHAnsi" w:hAnsiTheme="majorHAnsi"/>
          <w:color w:val="000000" w:themeColor="text1"/>
          <w:sz w:val="16"/>
          <w:szCs w:val="16"/>
        </w:rPr>
        <w:t xml:space="preserve">from the Chief of the Judicial Police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to the Prosecutor of </w:t>
      </w:r>
      <w:r w:rsidRPr="005404B2">
        <w:rPr>
          <w:rFonts w:asciiTheme="majorHAnsi" w:hAnsiTheme="majorHAnsi"/>
          <w:color w:val="000000" w:themeColor="text1"/>
          <w:sz w:val="16"/>
          <w:szCs w:val="16"/>
        </w:rPr>
        <w:t>Tungurahua</w:t>
      </w:r>
      <w:r>
        <w:rPr>
          <w:rFonts w:asciiTheme="majorHAnsi" w:hAnsiTheme="majorHAnsi"/>
          <w:color w:val="000000" w:themeColor="text1"/>
          <w:sz w:val="16"/>
          <w:szCs w:val="16"/>
        </w:rPr>
        <w:t xml:space="preserve">, containing Police Report </w:t>
      </w:r>
      <w:r w:rsidRPr="005404B2">
        <w:rPr>
          <w:rFonts w:asciiTheme="majorHAnsi" w:hAnsiTheme="majorHAnsi"/>
          <w:color w:val="000000" w:themeColor="text1"/>
          <w:sz w:val="16"/>
          <w:szCs w:val="16"/>
        </w:rPr>
        <w:t xml:space="preserve">no. 1123-PJT-CP9-2001, </w:t>
      </w:r>
      <w:r>
        <w:rPr>
          <w:rFonts w:asciiTheme="majorHAnsi" w:hAnsiTheme="majorHAnsi"/>
          <w:color w:val="000000" w:themeColor="text1"/>
          <w:sz w:val="16"/>
          <w:szCs w:val="16"/>
        </w:rPr>
        <w:t xml:space="preserve">August </w:t>
      </w:r>
      <w:r w:rsidRPr="005404B2">
        <w:rPr>
          <w:rFonts w:asciiTheme="majorHAnsi" w:hAnsiTheme="majorHAnsi"/>
          <w:color w:val="000000" w:themeColor="text1"/>
          <w:sz w:val="16"/>
          <w:szCs w:val="16"/>
        </w:rPr>
        <w:t>17</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2001. An</w:t>
      </w:r>
      <w:r>
        <w:rPr>
          <w:rFonts w:asciiTheme="majorHAnsi" w:hAnsiTheme="majorHAnsi"/>
          <w:color w:val="000000" w:themeColor="text1"/>
          <w:sz w:val="16"/>
          <w:szCs w:val="16"/>
        </w:rPr>
        <w:t xml:space="preserve">nex to petitioners’ observations of December </w:t>
      </w:r>
      <w:r w:rsidRPr="005404B2">
        <w:rPr>
          <w:rFonts w:asciiTheme="majorHAnsi" w:hAnsiTheme="majorHAnsi"/>
          <w:color w:val="000000" w:themeColor="text1"/>
          <w:sz w:val="16"/>
          <w:szCs w:val="16"/>
        </w:rPr>
        <w:t>1</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2003.</w:t>
      </w:r>
    </w:p>
  </w:footnote>
  <w:footnote w:id="26">
    <w:p w14:paraId="38F84634"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An</w:t>
      </w:r>
      <w:r>
        <w:rPr>
          <w:rFonts w:asciiTheme="majorHAnsi" w:hAnsiTheme="majorHAnsi"/>
          <w:color w:val="000000" w:themeColor="text1"/>
          <w:sz w:val="16"/>
          <w:szCs w:val="16"/>
        </w:rPr>
        <w:t>nex 2</w:t>
      </w:r>
      <w:r w:rsidRPr="005404B2">
        <w:rPr>
          <w:rFonts w:asciiTheme="majorHAnsi" w:hAnsiTheme="majorHAnsi"/>
          <w:color w:val="000000" w:themeColor="text1"/>
          <w:sz w:val="16"/>
          <w:szCs w:val="16"/>
        </w:rPr>
        <w:t>. Of</w:t>
      </w:r>
      <w:r>
        <w:rPr>
          <w:rFonts w:asciiTheme="majorHAnsi" w:hAnsiTheme="majorHAnsi"/>
          <w:color w:val="000000" w:themeColor="text1"/>
          <w:sz w:val="16"/>
          <w:szCs w:val="16"/>
        </w:rPr>
        <w:t xml:space="preserve">ficial Letter </w:t>
      </w:r>
      <w:r w:rsidRPr="005404B2">
        <w:rPr>
          <w:rFonts w:asciiTheme="majorHAnsi" w:hAnsiTheme="majorHAnsi"/>
          <w:color w:val="000000" w:themeColor="text1"/>
          <w:sz w:val="16"/>
          <w:szCs w:val="16"/>
        </w:rPr>
        <w:t xml:space="preserve">No. 2070–PJT-CP9-2001 </w:t>
      </w:r>
      <w:r>
        <w:rPr>
          <w:rFonts w:asciiTheme="majorHAnsi" w:hAnsiTheme="majorHAnsi"/>
          <w:color w:val="000000" w:themeColor="text1"/>
          <w:sz w:val="16"/>
          <w:szCs w:val="16"/>
        </w:rPr>
        <w:t xml:space="preserve">from the Chief of the Judicial Police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to the Prosecutor of </w:t>
      </w:r>
      <w:r w:rsidRPr="005404B2">
        <w:rPr>
          <w:rFonts w:asciiTheme="majorHAnsi" w:hAnsiTheme="majorHAnsi"/>
          <w:color w:val="000000" w:themeColor="text1"/>
          <w:sz w:val="16"/>
          <w:szCs w:val="16"/>
        </w:rPr>
        <w:t>Tungurahua</w:t>
      </w:r>
      <w:r>
        <w:rPr>
          <w:rFonts w:asciiTheme="majorHAnsi" w:hAnsiTheme="majorHAnsi"/>
          <w:color w:val="000000" w:themeColor="text1"/>
          <w:sz w:val="16"/>
          <w:szCs w:val="16"/>
        </w:rPr>
        <w:t xml:space="preserve">, containing Police Report </w:t>
      </w:r>
      <w:r w:rsidRPr="005404B2">
        <w:rPr>
          <w:rFonts w:asciiTheme="majorHAnsi" w:hAnsiTheme="majorHAnsi"/>
          <w:color w:val="000000" w:themeColor="text1"/>
          <w:sz w:val="16"/>
          <w:szCs w:val="16"/>
        </w:rPr>
        <w:t xml:space="preserve">no. 1123-PJT-CP9-2001, </w:t>
      </w:r>
      <w:r>
        <w:rPr>
          <w:rFonts w:asciiTheme="majorHAnsi" w:hAnsiTheme="majorHAnsi"/>
          <w:color w:val="000000" w:themeColor="text1"/>
          <w:sz w:val="16"/>
          <w:szCs w:val="16"/>
        </w:rPr>
        <w:t xml:space="preserve">August </w:t>
      </w:r>
      <w:r w:rsidRPr="005404B2">
        <w:rPr>
          <w:rFonts w:asciiTheme="majorHAnsi" w:hAnsiTheme="majorHAnsi"/>
          <w:color w:val="000000" w:themeColor="text1"/>
          <w:sz w:val="16"/>
          <w:szCs w:val="16"/>
        </w:rPr>
        <w:t>17</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2001. An</w:t>
      </w:r>
      <w:r>
        <w:rPr>
          <w:rFonts w:asciiTheme="majorHAnsi" w:hAnsiTheme="majorHAnsi"/>
          <w:color w:val="000000" w:themeColor="text1"/>
          <w:sz w:val="16"/>
          <w:szCs w:val="16"/>
        </w:rPr>
        <w:t xml:space="preserve">nex to petitioners’ observations of December </w:t>
      </w:r>
      <w:r w:rsidRPr="005404B2">
        <w:rPr>
          <w:rFonts w:asciiTheme="majorHAnsi" w:hAnsiTheme="majorHAnsi"/>
          <w:color w:val="000000" w:themeColor="text1"/>
          <w:sz w:val="16"/>
          <w:szCs w:val="16"/>
        </w:rPr>
        <w:t>1</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2003.</w:t>
      </w:r>
      <w:r>
        <w:rPr>
          <w:rFonts w:asciiTheme="majorHAnsi" w:hAnsiTheme="majorHAnsi"/>
          <w:color w:val="000000" w:themeColor="text1"/>
          <w:sz w:val="16"/>
          <w:szCs w:val="16"/>
        </w:rPr>
        <w:t xml:space="preserve"> </w:t>
      </w:r>
    </w:p>
  </w:footnote>
  <w:footnote w:id="27">
    <w:p w14:paraId="27AA1B59"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Annex 2. Police Report </w:t>
      </w:r>
      <w:r w:rsidRPr="005404B2">
        <w:rPr>
          <w:rFonts w:asciiTheme="majorHAnsi" w:hAnsiTheme="majorHAnsi"/>
          <w:color w:val="000000" w:themeColor="text1"/>
          <w:sz w:val="16"/>
          <w:szCs w:val="16"/>
        </w:rPr>
        <w:t xml:space="preserve">no. 1123-PJT-CP9-2001, </w:t>
      </w:r>
      <w:r>
        <w:rPr>
          <w:rFonts w:asciiTheme="majorHAnsi" w:hAnsiTheme="majorHAnsi"/>
          <w:color w:val="000000" w:themeColor="text1"/>
          <w:sz w:val="16"/>
          <w:szCs w:val="16"/>
        </w:rPr>
        <w:t xml:space="preserve">August </w:t>
      </w:r>
      <w:r w:rsidRPr="005404B2">
        <w:rPr>
          <w:rFonts w:asciiTheme="majorHAnsi" w:hAnsiTheme="majorHAnsi"/>
          <w:color w:val="000000" w:themeColor="text1"/>
          <w:sz w:val="16"/>
          <w:szCs w:val="16"/>
        </w:rPr>
        <w:t>17</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2001. A</w:t>
      </w:r>
      <w:r>
        <w:rPr>
          <w:rFonts w:asciiTheme="majorHAnsi" w:hAnsiTheme="majorHAnsi"/>
          <w:color w:val="000000" w:themeColor="text1"/>
          <w:sz w:val="16"/>
          <w:szCs w:val="16"/>
        </w:rPr>
        <w:t xml:space="preserve">nnex to petitioners’ observations of December </w:t>
      </w:r>
      <w:r w:rsidRPr="005404B2">
        <w:rPr>
          <w:rFonts w:asciiTheme="majorHAnsi" w:hAnsiTheme="majorHAnsi"/>
          <w:color w:val="000000" w:themeColor="text1"/>
          <w:sz w:val="16"/>
          <w:szCs w:val="16"/>
        </w:rPr>
        <w:t>1</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2003.</w:t>
      </w:r>
    </w:p>
  </w:footnote>
  <w:footnote w:id="28">
    <w:p w14:paraId="43E7F2BC"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An</w:t>
      </w:r>
      <w:r>
        <w:rPr>
          <w:rFonts w:asciiTheme="majorHAnsi" w:hAnsiTheme="majorHAnsi"/>
          <w:color w:val="000000" w:themeColor="text1"/>
          <w:sz w:val="16"/>
          <w:szCs w:val="16"/>
        </w:rPr>
        <w:t>nex 2</w:t>
      </w:r>
      <w:r w:rsidRPr="005404B2">
        <w:rPr>
          <w:rFonts w:asciiTheme="majorHAnsi" w:hAnsiTheme="majorHAnsi"/>
          <w:color w:val="000000" w:themeColor="text1"/>
          <w:sz w:val="16"/>
          <w:szCs w:val="16"/>
        </w:rPr>
        <w:t>. Of</w:t>
      </w:r>
      <w:r>
        <w:rPr>
          <w:rFonts w:asciiTheme="majorHAnsi" w:hAnsiTheme="majorHAnsi"/>
          <w:color w:val="000000" w:themeColor="text1"/>
          <w:sz w:val="16"/>
          <w:szCs w:val="16"/>
        </w:rPr>
        <w:t xml:space="preserve">ficial Letter </w:t>
      </w:r>
      <w:r w:rsidRPr="005404B2">
        <w:rPr>
          <w:rFonts w:asciiTheme="majorHAnsi" w:hAnsiTheme="majorHAnsi"/>
          <w:color w:val="000000" w:themeColor="text1"/>
          <w:sz w:val="16"/>
          <w:szCs w:val="16"/>
        </w:rPr>
        <w:t xml:space="preserve">No. 2070–PJT-CP9-2001 </w:t>
      </w:r>
      <w:r>
        <w:rPr>
          <w:rFonts w:asciiTheme="majorHAnsi" w:hAnsiTheme="majorHAnsi"/>
          <w:color w:val="000000" w:themeColor="text1"/>
          <w:sz w:val="16"/>
          <w:szCs w:val="16"/>
        </w:rPr>
        <w:t xml:space="preserve">from the Chief of the Judicial Police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to the Prosecutor of </w:t>
      </w:r>
      <w:r w:rsidRPr="005404B2">
        <w:rPr>
          <w:rFonts w:asciiTheme="majorHAnsi" w:hAnsiTheme="majorHAnsi"/>
          <w:color w:val="000000" w:themeColor="text1"/>
          <w:sz w:val="16"/>
          <w:szCs w:val="16"/>
        </w:rPr>
        <w:t>Tungurahua</w:t>
      </w:r>
      <w:r>
        <w:rPr>
          <w:rFonts w:asciiTheme="majorHAnsi" w:hAnsiTheme="majorHAnsi"/>
          <w:color w:val="000000" w:themeColor="text1"/>
          <w:sz w:val="16"/>
          <w:szCs w:val="16"/>
        </w:rPr>
        <w:t xml:space="preserve">, containing Police Report </w:t>
      </w:r>
      <w:r w:rsidRPr="005404B2">
        <w:rPr>
          <w:rFonts w:asciiTheme="majorHAnsi" w:hAnsiTheme="majorHAnsi"/>
          <w:color w:val="000000" w:themeColor="text1"/>
          <w:sz w:val="16"/>
          <w:szCs w:val="16"/>
        </w:rPr>
        <w:t xml:space="preserve">no. 1123-PJT-CP9-2001, </w:t>
      </w:r>
      <w:r>
        <w:rPr>
          <w:rFonts w:asciiTheme="majorHAnsi" w:hAnsiTheme="majorHAnsi"/>
          <w:color w:val="000000" w:themeColor="text1"/>
          <w:sz w:val="16"/>
          <w:szCs w:val="16"/>
        </w:rPr>
        <w:t xml:space="preserve">August </w:t>
      </w:r>
      <w:r w:rsidRPr="005404B2">
        <w:rPr>
          <w:rFonts w:asciiTheme="majorHAnsi" w:hAnsiTheme="majorHAnsi"/>
          <w:color w:val="000000" w:themeColor="text1"/>
          <w:sz w:val="16"/>
          <w:szCs w:val="16"/>
        </w:rPr>
        <w:t>17</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2001. An</w:t>
      </w:r>
      <w:r>
        <w:rPr>
          <w:rFonts w:asciiTheme="majorHAnsi" w:hAnsiTheme="majorHAnsi"/>
          <w:color w:val="000000" w:themeColor="text1"/>
          <w:sz w:val="16"/>
          <w:szCs w:val="16"/>
        </w:rPr>
        <w:t xml:space="preserve">nex to petitioners’ observations of December </w:t>
      </w:r>
      <w:r w:rsidRPr="005404B2">
        <w:rPr>
          <w:rFonts w:asciiTheme="majorHAnsi" w:hAnsiTheme="majorHAnsi"/>
          <w:color w:val="000000" w:themeColor="text1"/>
          <w:sz w:val="16"/>
          <w:szCs w:val="16"/>
        </w:rPr>
        <w:t>1</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2003.</w:t>
      </w:r>
      <w:r>
        <w:rPr>
          <w:rFonts w:asciiTheme="majorHAnsi" w:hAnsiTheme="majorHAnsi"/>
          <w:color w:val="000000" w:themeColor="text1"/>
          <w:sz w:val="16"/>
          <w:szCs w:val="16"/>
        </w:rPr>
        <w:t xml:space="preserve"> </w:t>
      </w:r>
    </w:p>
  </w:footnote>
  <w:footnote w:id="29">
    <w:p w14:paraId="3457E220"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An</w:t>
      </w:r>
      <w:r>
        <w:rPr>
          <w:rFonts w:asciiTheme="majorHAnsi" w:hAnsiTheme="majorHAnsi"/>
          <w:color w:val="000000" w:themeColor="text1"/>
          <w:sz w:val="16"/>
          <w:szCs w:val="16"/>
        </w:rPr>
        <w:t>nex 2</w:t>
      </w:r>
      <w:r w:rsidRPr="005404B2">
        <w:rPr>
          <w:rFonts w:asciiTheme="majorHAnsi" w:hAnsiTheme="majorHAnsi"/>
          <w:color w:val="000000" w:themeColor="text1"/>
          <w:sz w:val="16"/>
          <w:szCs w:val="16"/>
        </w:rPr>
        <w:t>. Of</w:t>
      </w:r>
      <w:r>
        <w:rPr>
          <w:rFonts w:asciiTheme="majorHAnsi" w:hAnsiTheme="majorHAnsi"/>
          <w:color w:val="000000" w:themeColor="text1"/>
          <w:sz w:val="16"/>
          <w:szCs w:val="16"/>
        </w:rPr>
        <w:t xml:space="preserve">ficial Letter </w:t>
      </w:r>
      <w:r w:rsidRPr="005404B2">
        <w:rPr>
          <w:rFonts w:asciiTheme="majorHAnsi" w:hAnsiTheme="majorHAnsi"/>
          <w:color w:val="000000" w:themeColor="text1"/>
          <w:sz w:val="16"/>
          <w:szCs w:val="16"/>
        </w:rPr>
        <w:t xml:space="preserve">No. 2070–PJT-CP9-2001 </w:t>
      </w:r>
      <w:r>
        <w:rPr>
          <w:rFonts w:asciiTheme="majorHAnsi" w:hAnsiTheme="majorHAnsi"/>
          <w:color w:val="000000" w:themeColor="text1"/>
          <w:sz w:val="16"/>
          <w:szCs w:val="16"/>
        </w:rPr>
        <w:t xml:space="preserve">from the Chief of the Judicial Police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to the Prosecutor of </w:t>
      </w:r>
      <w:r w:rsidRPr="005404B2">
        <w:rPr>
          <w:rFonts w:asciiTheme="majorHAnsi" w:hAnsiTheme="majorHAnsi"/>
          <w:color w:val="000000" w:themeColor="text1"/>
          <w:sz w:val="16"/>
          <w:szCs w:val="16"/>
        </w:rPr>
        <w:t>Tungurahua</w:t>
      </w:r>
      <w:r>
        <w:rPr>
          <w:rFonts w:asciiTheme="majorHAnsi" w:hAnsiTheme="majorHAnsi"/>
          <w:color w:val="000000" w:themeColor="text1"/>
          <w:sz w:val="16"/>
          <w:szCs w:val="16"/>
        </w:rPr>
        <w:t xml:space="preserve">, containing Police Report </w:t>
      </w:r>
      <w:r w:rsidRPr="005404B2">
        <w:rPr>
          <w:rFonts w:asciiTheme="majorHAnsi" w:hAnsiTheme="majorHAnsi"/>
          <w:color w:val="000000" w:themeColor="text1"/>
          <w:sz w:val="16"/>
          <w:szCs w:val="16"/>
        </w:rPr>
        <w:t xml:space="preserve">no. 1123-PJT-CP9-2001, </w:t>
      </w:r>
      <w:r>
        <w:rPr>
          <w:rFonts w:asciiTheme="majorHAnsi" w:hAnsiTheme="majorHAnsi"/>
          <w:color w:val="000000" w:themeColor="text1"/>
          <w:sz w:val="16"/>
          <w:szCs w:val="16"/>
        </w:rPr>
        <w:t xml:space="preserve">August </w:t>
      </w:r>
      <w:r w:rsidRPr="005404B2">
        <w:rPr>
          <w:rFonts w:asciiTheme="majorHAnsi" w:hAnsiTheme="majorHAnsi"/>
          <w:color w:val="000000" w:themeColor="text1"/>
          <w:sz w:val="16"/>
          <w:szCs w:val="16"/>
        </w:rPr>
        <w:t>17</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2001. An</w:t>
      </w:r>
      <w:r>
        <w:rPr>
          <w:rFonts w:asciiTheme="majorHAnsi" w:hAnsiTheme="majorHAnsi"/>
          <w:color w:val="000000" w:themeColor="text1"/>
          <w:sz w:val="16"/>
          <w:szCs w:val="16"/>
        </w:rPr>
        <w:t xml:space="preserve">nex to petitioners’ observations of December </w:t>
      </w:r>
      <w:r w:rsidRPr="005404B2">
        <w:rPr>
          <w:rFonts w:asciiTheme="majorHAnsi" w:hAnsiTheme="majorHAnsi"/>
          <w:color w:val="000000" w:themeColor="text1"/>
          <w:sz w:val="16"/>
          <w:szCs w:val="16"/>
        </w:rPr>
        <w:t>1</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2003.</w:t>
      </w:r>
      <w:r>
        <w:rPr>
          <w:rFonts w:asciiTheme="majorHAnsi" w:hAnsiTheme="majorHAnsi"/>
          <w:color w:val="000000" w:themeColor="text1"/>
          <w:sz w:val="16"/>
          <w:szCs w:val="16"/>
        </w:rPr>
        <w:t xml:space="preserve"> </w:t>
      </w:r>
    </w:p>
  </w:footnote>
  <w:footnote w:id="30">
    <w:p w14:paraId="2A8AB892"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An</w:t>
      </w:r>
      <w:r>
        <w:rPr>
          <w:rFonts w:asciiTheme="majorHAnsi" w:hAnsiTheme="majorHAnsi"/>
          <w:color w:val="000000" w:themeColor="text1"/>
          <w:sz w:val="16"/>
          <w:szCs w:val="16"/>
        </w:rPr>
        <w:t>nex 2</w:t>
      </w:r>
      <w:r w:rsidRPr="005404B2">
        <w:rPr>
          <w:rFonts w:asciiTheme="majorHAnsi" w:hAnsiTheme="majorHAnsi"/>
          <w:color w:val="000000" w:themeColor="text1"/>
          <w:sz w:val="16"/>
          <w:szCs w:val="16"/>
        </w:rPr>
        <w:t>. Of</w:t>
      </w:r>
      <w:r>
        <w:rPr>
          <w:rFonts w:asciiTheme="majorHAnsi" w:hAnsiTheme="majorHAnsi"/>
          <w:color w:val="000000" w:themeColor="text1"/>
          <w:sz w:val="16"/>
          <w:szCs w:val="16"/>
        </w:rPr>
        <w:t xml:space="preserve">ficial Letter </w:t>
      </w:r>
      <w:r w:rsidRPr="005404B2">
        <w:rPr>
          <w:rFonts w:asciiTheme="majorHAnsi" w:hAnsiTheme="majorHAnsi"/>
          <w:color w:val="000000" w:themeColor="text1"/>
          <w:sz w:val="16"/>
          <w:szCs w:val="16"/>
        </w:rPr>
        <w:t xml:space="preserve">No. 2070–PJT-CP9-2001 </w:t>
      </w:r>
      <w:r>
        <w:rPr>
          <w:rFonts w:asciiTheme="majorHAnsi" w:hAnsiTheme="majorHAnsi"/>
          <w:color w:val="000000" w:themeColor="text1"/>
          <w:sz w:val="16"/>
          <w:szCs w:val="16"/>
        </w:rPr>
        <w:t xml:space="preserve">from the Chief of the Judicial Police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to the Prosecutor of </w:t>
      </w:r>
      <w:r w:rsidRPr="005404B2">
        <w:rPr>
          <w:rFonts w:asciiTheme="majorHAnsi" w:hAnsiTheme="majorHAnsi"/>
          <w:color w:val="000000" w:themeColor="text1"/>
          <w:sz w:val="16"/>
          <w:szCs w:val="16"/>
        </w:rPr>
        <w:t>Tungurahua</w:t>
      </w:r>
      <w:r>
        <w:rPr>
          <w:rFonts w:asciiTheme="majorHAnsi" w:hAnsiTheme="majorHAnsi"/>
          <w:color w:val="000000" w:themeColor="text1"/>
          <w:sz w:val="16"/>
          <w:szCs w:val="16"/>
        </w:rPr>
        <w:t xml:space="preserve">, containing Police Report </w:t>
      </w:r>
      <w:r w:rsidRPr="005404B2">
        <w:rPr>
          <w:rFonts w:asciiTheme="majorHAnsi" w:hAnsiTheme="majorHAnsi"/>
          <w:color w:val="000000" w:themeColor="text1"/>
          <w:sz w:val="16"/>
          <w:szCs w:val="16"/>
        </w:rPr>
        <w:t xml:space="preserve">no. 1123-PJT-CP9-2001, </w:t>
      </w:r>
      <w:r>
        <w:rPr>
          <w:rFonts w:asciiTheme="majorHAnsi" w:hAnsiTheme="majorHAnsi"/>
          <w:color w:val="000000" w:themeColor="text1"/>
          <w:sz w:val="16"/>
          <w:szCs w:val="16"/>
        </w:rPr>
        <w:t xml:space="preserve">August </w:t>
      </w:r>
      <w:r w:rsidRPr="005404B2">
        <w:rPr>
          <w:rFonts w:asciiTheme="majorHAnsi" w:hAnsiTheme="majorHAnsi"/>
          <w:color w:val="000000" w:themeColor="text1"/>
          <w:sz w:val="16"/>
          <w:szCs w:val="16"/>
        </w:rPr>
        <w:t>17</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2001. An</w:t>
      </w:r>
      <w:r>
        <w:rPr>
          <w:rFonts w:asciiTheme="majorHAnsi" w:hAnsiTheme="majorHAnsi"/>
          <w:color w:val="000000" w:themeColor="text1"/>
          <w:sz w:val="16"/>
          <w:szCs w:val="16"/>
        </w:rPr>
        <w:t xml:space="preserve">nex to petitioners’ observations of December </w:t>
      </w:r>
      <w:r w:rsidRPr="005404B2">
        <w:rPr>
          <w:rFonts w:asciiTheme="majorHAnsi" w:hAnsiTheme="majorHAnsi"/>
          <w:color w:val="000000" w:themeColor="text1"/>
          <w:sz w:val="16"/>
          <w:szCs w:val="16"/>
        </w:rPr>
        <w:t>1</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2003.</w:t>
      </w:r>
      <w:r>
        <w:rPr>
          <w:rFonts w:asciiTheme="majorHAnsi" w:hAnsiTheme="majorHAnsi"/>
          <w:color w:val="000000" w:themeColor="text1"/>
          <w:sz w:val="16"/>
          <w:szCs w:val="16"/>
        </w:rPr>
        <w:t xml:space="preserve"> </w:t>
      </w:r>
    </w:p>
  </w:footnote>
  <w:footnote w:id="31">
    <w:p w14:paraId="26D795CD"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An</w:t>
      </w:r>
      <w:r>
        <w:rPr>
          <w:rFonts w:asciiTheme="majorHAnsi" w:hAnsiTheme="majorHAnsi"/>
          <w:color w:val="000000" w:themeColor="text1"/>
          <w:sz w:val="16"/>
          <w:szCs w:val="16"/>
        </w:rPr>
        <w:t>nex 2</w:t>
      </w:r>
      <w:r w:rsidRPr="005404B2">
        <w:rPr>
          <w:rFonts w:asciiTheme="majorHAnsi" w:hAnsiTheme="majorHAnsi"/>
          <w:color w:val="000000" w:themeColor="text1"/>
          <w:sz w:val="16"/>
          <w:szCs w:val="16"/>
        </w:rPr>
        <w:t>. Of</w:t>
      </w:r>
      <w:r>
        <w:rPr>
          <w:rFonts w:asciiTheme="majorHAnsi" w:hAnsiTheme="majorHAnsi"/>
          <w:color w:val="000000" w:themeColor="text1"/>
          <w:sz w:val="16"/>
          <w:szCs w:val="16"/>
        </w:rPr>
        <w:t xml:space="preserve">ficial Letter </w:t>
      </w:r>
      <w:r w:rsidRPr="005404B2">
        <w:rPr>
          <w:rFonts w:asciiTheme="majorHAnsi" w:hAnsiTheme="majorHAnsi"/>
          <w:color w:val="000000" w:themeColor="text1"/>
          <w:sz w:val="16"/>
          <w:szCs w:val="16"/>
        </w:rPr>
        <w:t xml:space="preserve">No. 2070–PJT-CP9-2001 </w:t>
      </w:r>
      <w:r>
        <w:rPr>
          <w:rFonts w:asciiTheme="majorHAnsi" w:hAnsiTheme="majorHAnsi"/>
          <w:color w:val="000000" w:themeColor="text1"/>
          <w:sz w:val="16"/>
          <w:szCs w:val="16"/>
        </w:rPr>
        <w:t xml:space="preserve">from the Chief of the Judicial Police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to the Prosecutor of </w:t>
      </w:r>
      <w:r w:rsidRPr="005404B2">
        <w:rPr>
          <w:rFonts w:asciiTheme="majorHAnsi" w:hAnsiTheme="majorHAnsi"/>
          <w:color w:val="000000" w:themeColor="text1"/>
          <w:sz w:val="16"/>
          <w:szCs w:val="16"/>
        </w:rPr>
        <w:t>Tungurahua</w:t>
      </w:r>
      <w:r>
        <w:rPr>
          <w:rFonts w:asciiTheme="majorHAnsi" w:hAnsiTheme="majorHAnsi"/>
          <w:color w:val="000000" w:themeColor="text1"/>
          <w:sz w:val="16"/>
          <w:szCs w:val="16"/>
        </w:rPr>
        <w:t xml:space="preserve">, containing Police Report </w:t>
      </w:r>
      <w:r w:rsidRPr="005404B2">
        <w:rPr>
          <w:rFonts w:asciiTheme="majorHAnsi" w:hAnsiTheme="majorHAnsi"/>
          <w:color w:val="000000" w:themeColor="text1"/>
          <w:sz w:val="16"/>
          <w:szCs w:val="16"/>
        </w:rPr>
        <w:t xml:space="preserve">no. 1123-PJT-CP9-2001, </w:t>
      </w:r>
      <w:r>
        <w:rPr>
          <w:rFonts w:asciiTheme="majorHAnsi" w:hAnsiTheme="majorHAnsi"/>
          <w:color w:val="000000" w:themeColor="text1"/>
          <w:sz w:val="16"/>
          <w:szCs w:val="16"/>
        </w:rPr>
        <w:t xml:space="preserve">August </w:t>
      </w:r>
      <w:r w:rsidRPr="005404B2">
        <w:rPr>
          <w:rFonts w:asciiTheme="majorHAnsi" w:hAnsiTheme="majorHAnsi"/>
          <w:color w:val="000000" w:themeColor="text1"/>
          <w:sz w:val="16"/>
          <w:szCs w:val="16"/>
        </w:rPr>
        <w:t>17</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2001. An</w:t>
      </w:r>
      <w:r>
        <w:rPr>
          <w:rFonts w:asciiTheme="majorHAnsi" w:hAnsiTheme="majorHAnsi"/>
          <w:color w:val="000000" w:themeColor="text1"/>
          <w:sz w:val="16"/>
          <w:szCs w:val="16"/>
        </w:rPr>
        <w:t xml:space="preserve">nex to petitioners’ observations of December </w:t>
      </w:r>
      <w:r w:rsidRPr="005404B2">
        <w:rPr>
          <w:rFonts w:asciiTheme="majorHAnsi" w:hAnsiTheme="majorHAnsi"/>
          <w:color w:val="000000" w:themeColor="text1"/>
          <w:sz w:val="16"/>
          <w:szCs w:val="16"/>
        </w:rPr>
        <w:t>1</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2003.</w:t>
      </w:r>
      <w:r>
        <w:rPr>
          <w:rFonts w:asciiTheme="majorHAnsi" w:hAnsiTheme="majorHAnsi"/>
          <w:color w:val="000000" w:themeColor="text1"/>
          <w:sz w:val="16"/>
          <w:szCs w:val="16"/>
        </w:rPr>
        <w:t xml:space="preserve"> </w:t>
      </w:r>
    </w:p>
  </w:footnote>
  <w:footnote w:id="32">
    <w:p w14:paraId="379AAE5E"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An</w:t>
      </w:r>
      <w:r>
        <w:rPr>
          <w:rFonts w:asciiTheme="majorHAnsi" w:hAnsiTheme="majorHAnsi"/>
          <w:color w:val="000000" w:themeColor="text1"/>
          <w:sz w:val="16"/>
          <w:szCs w:val="16"/>
        </w:rPr>
        <w:t>nex 2</w:t>
      </w:r>
      <w:r w:rsidRPr="005404B2">
        <w:rPr>
          <w:rFonts w:asciiTheme="majorHAnsi" w:hAnsiTheme="majorHAnsi"/>
          <w:color w:val="000000" w:themeColor="text1"/>
          <w:sz w:val="16"/>
          <w:szCs w:val="16"/>
        </w:rPr>
        <w:t>. Of</w:t>
      </w:r>
      <w:r>
        <w:rPr>
          <w:rFonts w:asciiTheme="majorHAnsi" w:hAnsiTheme="majorHAnsi"/>
          <w:color w:val="000000" w:themeColor="text1"/>
          <w:sz w:val="16"/>
          <w:szCs w:val="16"/>
        </w:rPr>
        <w:t xml:space="preserve">ficial Letter </w:t>
      </w:r>
      <w:r w:rsidRPr="005404B2">
        <w:rPr>
          <w:rFonts w:asciiTheme="majorHAnsi" w:hAnsiTheme="majorHAnsi"/>
          <w:color w:val="000000" w:themeColor="text1"/>
          <w:sz w:val="16"/>
          <w:szCs w:val="16"/>
        </w:rPr>
        <w:t xml:space="preserve">No. 2070–PJT-CP9-2001 </w:t>
      </w:r>
      <w:r>
        <w:rPr>
          <w:rFonts w:asciiTheme="majorHAnsi" w:hAnsiTheme="majorHAnsi"/>
          <w:color w:val="000000" w:themeColor="text1"/>
          <w:sz w:val="16"/>
          <w:szCs w:val="16"/>
        </w:rPr>
        <w:t xml:space="preserve">from the Chief of the Judicial Police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to the Prosecutor of </w:t>
      </w:r>
      <w:r w:rsidRPr="005404B2">
        <w:rPr>
          <w:rFonts w:asciiTheme="majorHAnsi" w:hAnsiTheme="majorHAnsi"/>
          <w:color w:val="000000" w:themeColor="text1"/>
          <w:sz w:val="16"/>
          <w:szCs w:val="16"/>
        </w:rPr>
        <w:t>Tungurahua</w:t>
      </w:r>
      <w:r>
        <w:rPr>
          <w:rFonts w:asciiTheme="majorHAnsi" w:hAnsiTheme="majorHAnsi"/>
          <w:color w:val="000000" w:themeColor="text1"/>
          <w:sz w:val="16"/>
          <w:szCs w:val="16"/>
        </w:rPr>
        <w:t xml:space="preserve">, containing Police Report </w:t>
      </w:r>
      <w:r w:rsidRPr="005404B2">
        <w:rPr>
          <w:rFonts w:asciiTheme="majorHAnsi" w:hAnsiTheme="majorHAnsi"/>
          <w:color w:val="000000" w:themeColor="text1"/>
          <w:sz w:val="16"/>
          <w:szCs w:val="16"/>
        </w:rPr>
        <w:t xml:space="preserve">no. 1123-PJT-CP9-2001, </w:t>
      </w:r>
      <w:r>
        <w:rPr>
          <w:rFonts w:asciiTheme="majorHAnsi" w:hAnsiTheme="majorHAnsi"/>
          <w:color w:val="000000" w:themeColor="text1"/>
          <w:sz w:val="16"/>
          <w:szCs w:val="16"/>
        </w:rPr>
        <w:t xml:space="preserve">August </w:t>
      </w:r>
      <w:r w:rsidRPr="005404B2">
        <w:rPr>
          <w:rFonts w:asciiTheme="majorHAnsi" w:hAnsiTheme="majorHAnsi"/>
          <w:color w:val="000000" w:themeColor="text1"/>
          <w:sz w:val="16"/>
          <w:szCs w:val="16"/>
        </w:rPr>
        <w:t>17</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2001. An</w:t>
      </w:r>
      <w:r>
        <w:rPr>
          <w:rFonts w:asciiTheme="majorHAnsi" w:hAnsiTheme="majorHAnsi"/>
          <w:color w:val="000000" w:themeColor="text1"/>
          <w:sz w:val="16"/>
          <w:szCs w:val="16"/>
        </w:rPr>
        <w:t xml:space="preserve">nex to petitioners’ observations of December </w:t>
      </w:r>
      <w:r w:rsidRPr="005404B2">
        <w:rPr>
          <w:rFonts w:asciiTheme="majorHAnsi" w:hAnsiTheme="majorHAnsi"/>
          <w:color w:val="000000" w:themeColor="text1"/>
          <w:sz w:val="16"/>
          <w:szCs w:val="16"/>
        </w:rPr>
        <w:t>1</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2003.</w:t>
      </w:r>
      <w:r>
        <w:rPr>
          <w:rFonts w:asciiTheme="majorHAnsi" w:hAnsiTheme="majorHAnsi"/>
          <w:color w:val="000000" w:themeColor="text1"/>
          <w:sz w:val="16"/>
          <w:szCs w:val="16"/>
        </w:rPr>
        <w:t xml:space="preserve"> </w:t>
      </w:r>
    </w:p>
  </w:footnote>
  <w:footnote w:id="33">
    <w:p w14:paraId="44201E45"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Pr>
          <w:rFonts w:asciiTheme="majorHAnsi" w:hAnsiTheme="majorHAnsi"/>
          <w:color w:val="000000" w:themeColor="text1"/>
          <w:sz w:val="16"/>
          <w:szCs w:val="16"/>
        </w:rPr>
        <w:t xml:space="preserve"> Annex 10</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Complaint filed by </w:t>
      </w:r>
      <w:r w:rsidRPr="005404B2">
        <w:rPr>
          <w:rFonts w:asciiTheme="majorHAnsi" w:hAnsiTheme="majorHAnsi"/>
          <w:color w:val="000000" w:themeColor="text1"/>
          <w:sz w:val="16"/>
          <w:szCs w:val="16"/>
        </w:rPr>
        <w:t xml:space="preserve">Sixto Núñez </w:t>
      </w:r>
      <w:r>
        <w:rPr>
          <w:rFonts w:asciiTheme="majorHAnsi" w:hAnsiTheme="majorHAnsi"/>
          <w:color w:val="000000" w:themeColor="text1"/>
          <w:sz w:val="16"/>
          <w:szCs w:val="16"/>
        </w:rPr>
        <w:t xml:space="preserve">with the District Prosecutor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consisting of the order to dismiss without prejudice, issued by the Judge of the Fourth Criminal Court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December </w:t>
      </w:r>
      <w:r w:rsidRPr="005404B2">
        <w:rPr>
          <w:rFonts w:asciiTheme="majorHAnsi" w:hAnsiTheme="majorHAnsi"/>
          <w:color w:val="000000" w:themeColor="text1"/>
          <w:sz w:val="16"/>
          <w:szCs w:val="16"/>
        </w:rPr>
        <w:t>11</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2002. An</w:t>
      </w:r>
      <w:r>
        <w:rPr>
          <w:rFonts w:asciiTheme="majorHAnsi" w:hAnsiTheme="majorHAnsi"/>
          <w:color w:val="000000" w:themeColor="text1"/>
          <w:sz w:val="16"/>
          <w:szCs w:val="16"/>
        </w:rPr>
        <w:t xml:space="preserve">nex to State’s observations of June </w:t>
      </w:r>
      <w:r w:rsidRPr="005404B2">
        <w:rPr>
          <w:rFonts w:asciiTheme="majorHAnsi" w:hAnsiTheme="majorHAnsi"/>
          <w:color w:val="000000" w:themeColor="text1"/>
          <w:sz w:val="16"/>
          <w:szCs w:val="16"/>
        </w:rPr>
        <w:t>31</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2005.</w:t>
      </w:r>
      <w:r>
        <w:rPr>
          <w:rFonts w:asciiTheme="majorHAnsi" w:hAnsiTheme="majorHAnsi"/>
          <w:color w:val="000000" w:themeColor="text1"/>
          <w:sz w:val="16"/>
          <w:szCs w:val="16"/>
        </w:rPr>
        <w:t xml:space="preserve"> </w:t>
      </w:r>
    </w:p>
  </w:footnote>
  <w:footnote w:id="34">
    <w:p w14:paraId="1F3619E8"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An</w:t>
      </w:r>
      <w:r>
        <w:rPr>
          <w:rFonts w:asciiTheme="majorHAnsi" w:hAnsiTheme="majorHAnsi"/>
          <w:color w:val="000000" w:themeColor="text1"/>
          <w:sz w:val="16"/>
          <w:szCs w:val="16"/>
        </w:rPr>
        <w:t>nex 2</w:t>
      </w:r>
      <w:r w:rsidRPr="005404B2">
        <w:rPr>
          <w:rFonts w:asciiTheme="majorHAnsi" w:hAnsiTheme="majorHAnsi"/>
          <w:color w:val="000000" w:themeColor="text1"/>
          <w:sz w:val="16"/>
          <w:szCs w:val="16"/>
        </w:rPr>
        <w:t>. O</w:t>
      </w:r>
      <w:r>
        <w:rPr>
          <w:rFonts w:asciiTheme="majorHAnsi" w:hAnsiTheme="majorHAnsi"/>
          <w:color w:val="000000" w:themeColor="text1"/>
          <w:sz w:val="16"/>
          <w:szCs w:val="16"/>
        </w:rPr>
        <w:t xml:space="preserve">fficial Letter </w:t>
      </w:r>
      <w:r w:rsidRPr="005404B2">
        <w:rPr>
          <w:rFonts w:asciiTheme="majorHAnsi" w:hAnsiTheme="majorHAnsi"/>
          <w:color w:val="000000" w:themeColor="text1"/>
          <w:sz w:val="16"/>
          <w:szCs w:val="16"/>
        </w:rPr>
        <w:t xml:space="preserve">No. 2070–PJT-CP9-2001 </w:t>
      </w:r>
      <w:r>
        <w:rPr>
          <w:rFonts w:asciiTheme="majorHAnsi" w:hAnsiTheme="majorHAnsi"/>
          <w:color w:val="000000" w:themeColor="text1"/>
          <w:sz w:val="16"/>
          <w:szCs w:val="16"/>
        </w:rPr>
        <w:t xml:space="preserve">from the Judicial Police Chief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to the Prosecutor of </w:t>
      </w:r>
      <w:r w:rsidRPr="005404B2">
        <w:rPr>
          <w:rFonts w:asciiTheme="majorHAnsi" w:hAnsiTheme="majorHAnsi"/>
          <w:color w:val="000000" w:themeColor="text1"/>
          <w:sz w:val="16"/>
          <w:szCs w:val="16"/>
        </w:rPr>
        <w:t>Tungurahua</w:t>
      </w:r>
      <w:r>
        <w:rPr>
          <w:rFonts w:asciiTheme="majorHAnsi" w:hAnsiTheme="majorHAnsi"/>
          <w:color w:val="000000" w:themeColor="text1"/>
          <w:sz w:val="16"/>
          <w:szCs w:val="16"/>
        </w:rPr>
        <w:t>, containing Police Report</w:t>
      </w:r>
      <w:r w:rsidRPr="005404B2">
        <w:rPr>
          <w:rFonts w:asciiTheme="majorHAnsi" w:hAnsiTheme="majorHAnsi"/>
          <w:color w:val="000000" w:themeColor="text1"/>
          <w:sz w:val="16"/>
          <w:szCs w:val="16"/>
        </w:rPr>
        <w:t xml:space="preserve"> no. 1123-PJT-CP9-2001, </w:t>
      </w:r>
      <w:r>
        <w:rPr>
          <w:rFonts w:asciiTheme="majorHAnsi" w:hAnsiTheme="majorHAnsi"/>
          <w:color w:val="000000" w:themeColor="text1"/>
          <w:sz w:val="16"/>
          <w:szCs w:val="16"/>
        </w:rPr>
        <w:t xml:space="preserve">August </w:t>
      </w:r>
      <w:r w:rsidRPr="005404B2">
        <w:rPr>
          <w:rFonts w:asciiTheme="majorHAnsi" w:hAnsiTheme="majorHAnsi"/>
          <w:color w:val="000000" w:themeColor="text1"/>
          <w:sz w:val="16"/>
          <w:szCs w:val="16"/>
        </w:rPr>
        <w:t>17</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2001. An</w:t>
      </w:r>
      <w:r>
        <w:rPr>
          <w:rFonts w:asciiTheme="majorHAnsi" w:hAnsiTheme="majorHAnsi"/>
          <w:color w:val="000000" w:themeColor="text1"/>
          <w:sz w:val="16"/>
          <w:szCs w:val="16"/>
        </w:rPr>
        <w:t>nex to petitioners’ observations of December 1, 2003</w:t>
      </w:r>
      <w:r w:rsidRPr="005404B2">
        <w:rPr>
          <w:rFonts w:asciiTheme="majorHAnsi" w:hAnsiTheme="majorHAnsi"/>
          <w:color w:val="000000" w:themeColor="text1"/>
          <w:sz w:val="16"/>
          <w:szCs w:val="16"/>
        </w:rPr>
        <w:t>.</w:t>
      </w:r>
    </w:p>
  </w:footnote>
  <w:footnote w:id="35">
    <w:p w14:paraId="798C8EC7"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An</w:t>
      </w:r>
      <w:r>
        <w:rPr>
          <w:rFonts w:asciiTheme="majorHAnsi" w:hAnsiTheme="majorHAnsi"/>
          <w:color w:val="000000" w:themeColor="text1"/>
          <w:sz w:val="16"/>
          <w:szCs w:val="16"/>
        </w:rPr>
        <w:t>nex 2</w:t>
      </w:r>
      <w:r w:rsidRPr="005404B2">
        <w:rPr>
          <w:rFonts w:asciiTheme="majorHAnsi" w:hAnsiTheme="majorHAnsi"/>
          <w:color w:val="000000" w:themeColor="text1"/>
          <w:sz w:val="16"/>
          <w:szCs w:val="16"/>
        </w:rPr>
        <w:t>. O</w:t>
      </w:r>
      <w:r>
        <w:rPr>
          <w:rFonts w:asciiTheme="majorHAnsi" w:hAnsiTheme="majorHAnsi"/>
          <w:color w:val="000000" w:themeColor="text1"/>
          <w:sz w:val="16"/>
          <w:szCs w:val="16"/>
        </w:rPr>
        <w:t xml:space="preserve">fficial Letter </w:t>
      </w:r>
      <w:r w:rsidRPr="005404B2">
        <w:rPr>
          <w:rFonts w:asciiTheme="majorHAnsi" w:hAnsiTheme="majorHAnsi"/>
          <w:color w:val="000000" w:themeColor="text1"/>
          <w:sz w:val="16"/>
          <w:szCs w:val="16"/>
        </w:rPr>
        <w:t xml:space="preserve">No. 2070–PJT-CP9-2001 </w:t>
      </w:r>
      <w:r>
        <w:rPr>
          <w:rFonts w:asciiTheme="majorHAnsi" w:hAnsiTheme="majorHAnsi"/>
          <w:color w:val="000000" w:themeColor="text1"/>
          <w:sz w:val="16"/>
          <w:szCs w:val="16"/>
        </w:rPr>
        <w:t xml:space="preserve">from the Judicial Police Chief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to the Prosecutor of </w:t>
      </w:r>
      <w:r w:rsidRPr="005404B2">
        <w:rPr>
          <w:rFonts w:asciiTheme="majorHAnsi" w:hAnsiTheme="majorHAnsi"/>
          <w:color w:val="000000" w:themeColor="text1"/>
          <w:sz w:val="16"/>
          <w:szCs w:val="16"/>
        </w:rPr>
        <w:t>Tungurahua</w:t>
      </w:r>
      <w:r>
        <w:rPr>
          <w:rFonts w:asciiTheme="majorHAnsi" w:hAnsiTheme="majorHAnsi"/>
          <w:color w:val="000000" w:themeColor="text1"/>
          <w:sz w:val="16"/>
          <w:szCs w:val="16"/>
        </w:rPr>
        <w:t>, containing Police Report</w:t>
      </w:r>
      <w:r w:rsidRPr="005404B2">
        <w:rPr>
          <w:rFonts w:asciiTheme="majorHAnsi" w:hAnsiTheme="majorHAnsi"/>
          <w:color w:val="000000" w:themeColor="text1"/>
          <w:sz w:val="16"/>
          <w:szCs w:val="16"/>
        </w:rPr>
        <w:t xml:space="preserve"> no. 1123-PJT-CP9-2001, </w:t>
      </w:r>
      <w:r>
        <w:rPr>
          <w:rFonts w:asciiTheme="majorHAnsi" w:hAnsiTheme="majorHAnsi"/>
          <w:color w:val="000000" w:themeColor="text1"/>
          <w:sz w:val="16"/>
          <w:szCs w:val="16"/>
        </w:rPr>
        <w:t xml:space="preserve">August </w:t>
      </w:r>
      <w:r w:rsidRPr="005404B2">
        <w:rPr>
          <w:rFonts w:asciiTheme="majorHAnsi" w:hAnsiTheme="majorHAnsi"/>
          <w:color w:val="000000" w:themeColor="text1"/>
          <w:sz w:val="16"/>
          <w:szCs w:val="16"/>
        </w:rPr>
        <w:t>17</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2001. An</w:t>
      </w:r>
      <w:r>
        <w:rPr>
          <w:rFonts w:asciiTheme="majorHAnsi" w:hAnsiTheme="majorHAnsi"/>
          <w:color w:val="000000" w:themeColor="text1"/>
          <w:sz w:val="16"/>
          <w:szCs w:val="16"/>
        </w:rPr>
        <w:t>nex 3 to petitioners’ observations of December 1, 2003</w:t>
      </w:r>
      <w:r w:rsidRPr="005404B2">
        <w:rPr>
          <w:rFonts w:asciiTheme="majorHAnsi" w:hAnsiTheme="majorHAnsi"/>
          <w:color w:val="000000" w:themeColor="text1"/>
          <w:sz w:val="16"/>
          <w:szCs w:val="16"/>
        </w:rPr>
        <w:t>.</w:t>
      </w:r>
      <w:r>
        <w:rPr>
          <w:rFonts w:asciiTheme="majorHAnsi" w:hAnsiTheme="majorHAnsi"/>
          <w:color w:val="000000" w:themeColor="text1"/>
          <w:sz w:val="16"/>
          <w:szCs w:val="16"/>
        </w:rPr>
        <w:t xml:space="preserve"> </w:t>
      </w:r>
    </w:p>
  </w:footnote>
  <w:footnote w:id="36">
    <w:p w14:paraId="204E5CA9"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An</w:t>
      </w:r>
      <w:r>
        <w:rPr>
          <w:rFonts w:asciiTheme="majorHAnsi" w:hAnsiTheme="majorHAnsi"/>
          <w:color w:val="000000" w:themeColor="text1"/>
          <w:sz w:val="16"/>
          <w:szCs w:val="16"/>
        </w:rPr>
        <w:t>nex 111</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Inspection of national police facilities of the Canton of Quero carried out by the District Prosecutor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April </w:t>
      </w:r>
      <w:r w:rsidRPr="005404B2">
        <w:rPr>
          <w:rFonts w:asciiTheme="majorHAnsi" w:hAnsiTheme="majorHAnsi"/>
          <w:color w:val="000000" w:themeColor="text1"/>
          <w:sz w:val="16"/>
          <w:szCs w:val="16"/>
        </w:rPr>
        <w:t>16</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2002. An</w:t>
      </w:r>
      <w:r>
        <w:rPr>
          <w:rFonts w:asciiTheme="majorHAnsi" w:hAnsiTheme="majorHAnsi"/>
          <w:color w:val="000000" w:themeColor="text1"/>
          <w:sz w:val="16"/>
          <w:szCs w:val="16"/>
        </w:rPr>
        <w:t>nex</w:t>
      </w:r>
      <w:r w:rsidRPr="005404B2">
        <w:rPr>
          <w:rFonts w:asciiTheme="majorHAnsi" w:hAnsiTheme="majorHAnsi"/>
          <w:color w:val="000000" w:themeColor="text1"/>
          <w:sz w:val="16"/>
          <w:szCs w:val="16"/>
        </w:rPr>
        <w:t xml:space="preserve"> 3 </w:t>
      </w:r>
      <w:r>
        <w:rPr>
          <w:rFonts w:asciiTheme="majorHAnsi" w:hAnsiTheme="majorHAnsi"/>
          <w:color w:val="000000" w:themeColor="text1"/>
          <w:sz w:val="16"/>
          <w:szCs w:val="16"/>
        </w:rPr>
        <w:t xml:space="preserve">to petitioners’ observations of December 1, 2003. </w:t>
      </w:r>
    </w:p>
  </w:footnote>
  <w:footnote w:id="37">
    <w:p w14:paraId="79457650"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An</w:t>
      </w:r>
      <w:r>
        <w:rPr>
          <w:rFonts w:asciiTheme="majorHAnsi" w:hAnsiTheme="majorHAnsi"/>
          <w:color w:val="000000" w:themeColor="text1"/>
          <w:sz w:val="16"/>
          <w:szCs w:val="16"/>
        </w:rPr>
        <w:t>nex 12</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Prosecutorial charging document No. 53-2002</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issued by the Prosecuting Attorney of the District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May </w:t>
      </w:r>
      <w:r w:rsidRPr="005404B2">
        <w:rPr>
          <w:rFonts w:asciiTheme="majorHAnsi" w:hAnsiTheme="majorHAnsi"/>
          <w:color w:val="000000" w:themeColor="text1"/>
          <w:sz w:val="16"/>
          <w:szCs w:val="16"/>
        </w:rPr>
        <w:t>8</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2002. An</w:t>
      </w:r>
      <w:r>
        <w:rPr>
          <w:rFonts w:asciiTheme="majorHAnsi" w:hAnsiTheme="majorHAnsi"/>
          <w:color w:val="000000" w:themeColor="text1"/>
          <w:sz w:val="16"/>
          <w:szCs w:val="16"/>
        </w:rPr>
        <w:t xml:space="preserve">nex to State’s observations of June 31, </w:t>
      </w:r>
      <w:r w:rsidRPr="005404B2">
        <w:rPr>
          <w:rFonts w:asciiTheme="majorHAnsi" w:hAnsiTheme="majorHAnsi"/>
          <w:color w:val="000000" w:themeColor="text1"/>
          <w:sz w:val="16"/>
          <w:szCs w:val="16"/>
        </w:rPr>
        <w:t>2005.</w:t>
      </w:r>
      <w:r>
        <w:rPr>
          <w:rFonts w:asciiTheme="majorHAnsi" w:hAnsiTheme="majorHAnsi"/>
          <w:color w:val="000000" w:themeColor="text1"/>
          <w:sz w:val="16"/>
          <w:szCs w:val="16"/>
        </w:rPr>
        <w:t xml:space="preserve"> </w:t>
      </w:r>
    </w:p>
  </w:footnote>
  <w:footnote w:id="38">
    <w:p w14:paraId="78D8E0BB" w14:textId="77777777" w:rsidR="007A5DF1" w:rsidRPr="005404B2" w:rsidRDefault="007A5DF1" w:rsidP="00041CFE">
      <w:pPr>
        <w:pStyle w:val="p1"/>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w:t>
      </w:r>
      <w:r>
        <w:rPr>
          <w:rFonts w:asciiTheme="majorHAnsi" w:hAnsiTheme="majorHAnsi"/>
          <w:color w:val="000000" w:themeColor="text1"/>
          <w:sz w:val="16"/>
          <w:szCs w:val="16"/>
        </w:rPr>
        <w:t>nnex 13</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Ruling of the Fourth Criminal Court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May </w:t>
      </w:r>
      <w:r w:rsidRPr="005404B2">
        <w:rPr>
          <w:rFonts w:asciiTheme="majorHAnsi" w:hAnsiTheme="majorHAnsi"/>
          <w:color w:val="000000" w:themeColor="text1"/>
          <w:sz w:val="16"/>
          <w:szCs w:val="16"/>
        </w:rPr>
        <w:t>10</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2002. An</w:t>
      </w:r>
      <w:r>
        <w:rPr>
          <w:rFonts w:asciiTheme="majorHAnsi" w:hAnsiTheme="majorHAnsi"/>
          <w:color w:val="000000" w:themeColor="text1"/>
          <w:sz w:val="16"/>
          <w:szCs w:val="16"/>
        </w:rPr>
        <w:t>nex</w:t>
      </w:r>
      <w:r w:rsidRPr="005404B2">
        <w:rPr>
          <w:rFonts w:asciiTheme="majorHAnsi" w:hAnsiTheme="majorHAnsi"/>
          <w:color w:val="000000" w:themeColor="text1"/>
          <w:sz w:val="16"/>
          <w:szCs w:val="16"/>
        </w:rPr>
        <w:t xml:space="preserve"> 3 </w:t>
      </w:r>
      <w:r>
        <w:rPr>
          <w:rFonts w:asciiTheme="majorHAnsi" w:hAnsiTheme="majorHAnsi"/>
          <w:color w:val="000000" w:themeColor="text1"/>
          <w:sz w:val="16"/>
          <w:szCs w:val="16"/>
        </w:rPr>
        <w:t xml:space="preserve">to petitioners’ observations of December 1, 2003. </w:t>
      </w:r>
    </w:p>
  </w:footnote>
  <w:footnote w:id="39">
    <w:p w14:paraId="333267EF"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An</w:t>
      </w:r>
      <w:r>
        <w:rPr>
          <w:rFonts w:asciiTheme="majorHAnsi" w:hAnsiTheme="majorHAnsi"/>
          <w:color w:val="000000" w:themeColor="text1"/>
          <w:sz w:val="16"/>
          <w:szCs w:val="16"/>
        </w:rPr>
        <w:t>nex 9</w:t>
      </w:r>
      <w:r w:rsidRPr="005404B2">
        <w:rPr>
          <w:rFonts w:asciiTheme="majorHAnsi" w:hAnsiTheme="majorHAnsi"/>
          <w:color w:val="000000" w:themeColor="text1"/>
          <w:sz w:val="16"/>
          <w:szCs w:val="16"/>
        </w:rPr>
        <w:t>. Of</w:t>
      </w:r>
      <w:r>
        <w:rPr>
          <w:rFonts w:asciiTheme="majorHAnsi" w:hAnsiTheme="majorHAnsi"/>
          <w:color w:val="000000" w:themeColor="text1"/>
          <w:sz w:val="16"/>
          <w:szCs w:val="16"/>
        </w:rPr>
        <w:t xml:space="preserve">ficial Letter from the Consortium of Rural Community Self-Defense Juntas </w:t>
      </w:r>
      <w:r w:rsidRPr="005404B2">
        <w:rPr>
          <w:rFonts w:asciiTheme="majorHAnsi" w:hAnsiTheme="majorHAnsi"/>
          <w:color w:val="000000" w:themeColor="text1"/>
          <w:sz w:val="16"/>
          <w:szCs w:val="16"/>
        </w:rPr>
        <w:t xml:space="preserve">No. 88CJDCQ-2002 </w:t>
      </w:r>
      <w:r>
        <w:rPr>
          <w:rFonts w:asciiTheme="majorHAnsi" w:hAnsiTheme="majorHAnsi"/>
          <w:color w:val="000000" w:themeColor="text1"/>
          <w:sz w:val="16"/>
          <w:szCs w:val="16"/>
        </w:rPr>
        <w:t xml:space="preserve">to the Prosecutor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June </w:t>
      </w:r>
      <w:r w:rsidRPr="005404B2">
        <w:rPr>
          <w:rFonts w:asciiTheme="majorHAnsi" w:hAnsiTheme="majorHAnsi"/>
          <w:color w:val="000000" w:themeColor="text1"/>
          <w:sz w:val="16"/>
          <w:szCs w:val="16"/>
        </w:rPr>
        <w:t>30</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2002. An</w:t>
      </w:r>
      <w:r>
        <w:rPr>
          <w:rFonts w:asciiTheme="majorHAnsi" w:hAnsiTheme="majorHAnsi"/>
          <w:color w:val="000000" w:themeColor="text1"/>
          <w:sz w:val="16"/>
          <w:szCs w:val="16"/>
        </w:rPr>
        <w:t xml:space="preserve">nex to petitioners observations of December </w:t>
      </w:r>
      <w:r w:rsidRPr="005404B2">
        <w:rPr>
          <w:rFonts w:asciiTheme="majorHAnsi" w:hAnsiTheme="majorHAnsi"/>
          <w:color w:val="000000" w:themeColor="text1"/>
          <w:sz w:val="16"/>
          <w:szCs w:val="16"/>
        </w:rPr>
        <w:t>01</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2003.</w:t>
      </w:r>
    </w:p>
  </w:footnote>
  <w:footnote w:id="40">
    <w:p w14:paraId="2FCA1B5C"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w:t>
      </w:r>
      <w:r>
        <w:rPr>
          <w:rFonts w:asciiTheme="majorHAnsi" w:hAnsiTheme="majorHAnsi"/>
          <w:color w:val="000000" w:themeColor="text1"/>
          <w:sz w:val="16"/>
          <w:szCs w:val="16"/>
        </w:rPr>
        <w:t xml:space="preserve">nnex 14. Motion for release via </w:t>
      </w:r>
      <w:r>
        <w:rPr>
          <w:rFonts w:asciiTheme="majorHAnsi" w:hAnsiTheme="majorHAnsi"/>
          <w:i/>
          <w:color w:val="000000" w:themeColor="text1"/>
          <w:sz w:val="16"/>
          <w:szCs w:val="16"/>
        </w:rPr>
        <w:t xml:space="preserve">amparo </w:t>
      </w:r>
      <w:r>
        <w:rPr>
          <w:rFonts w:asciiTheme="majorHAnsi" w:hAnsiTheme="majorHAnsi"/>
          <w:color w:val="000000" w:themeColor="text1"/>
          <w:sz w:val="16"/>
          <w:szCs w:val="16"/>
        </w:rPr>
        <w:t xml:space="preserve">against the Fourth Criminal Court of </w:t>
      </w:r>
      <w:r w:rsidRPr="005404B2">
        <w:rPr>
          <w:rFonts w:asciiTheme="majorHAnsi" w:hAnsiTheme="majorHAnsi"/>
          <w:color w:val="000000" w:themeColor="text1"/>
          <w:sz w:val="16"/>
          <w:szCs w:val="16"/>
        </w:rPr>
        <w:t>Tungurahua</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filed with the Superior Court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of July </w:t>
      </w:r>
      <w:r w:rsidRPr="005404B2">
        <w:rPr>
          <w:rFonts w:asciiTheme="majorHAnsi" w:hAnsiTheme="majorHAnsi"/>
          <w:color w:val="000000" w:themeColor="text1"/>
          <w:sz w:val="16"/>
          <w:szCs w:val="16"/>
        </w:rPr>
        <w:t>11</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2002. An</w:t>
      </w:r>
      <w:r>
        <w:rPr>
          <w:rFonts w:asciiTheme="majorHAnsi" w:hAnsiTheme="majorHAnsi"/>
          <w:color w:val="000000" w:themeColor="text1"/>
          <w:sz w:val="16"/>
          <w:szCs w:val="16"/>
        </w:rPr>
        <w:t>n</w:t>
      </w:r>
      <w:r w:rsidRPr="005404B2">
        <w:rPr>
          <w:rFonts w:asciiTheme="majorHAnsi" w:hAnsiTheme="majorHAnsi"/>
          <w:color w:val="000000" w:themeColor="text1"/>
          <w:sz w:val="16"/>
          <w:szCs w:val="16"/>
        </w:rPr>
        <w:t xml:space="preserve">ex 1 </w:t>
      </w:r>
      <w:r>
        <w:rPr>
          <w:rFonts w:asciiTheme="majorHAnsi" w:hAnsiTheme="majorHAnsi"/>
          <w:color w:val="000000" w:themeColor="text1"/>
          <w:sz w:val="16"/>
          <w:szCs w:val="16"/>
        </w:rPr>
        <w:t>to petitioners’ observations of December 01, 2003.</w:t>
      </w:r>
    </w:p>
  </w:footnote>
  <w:footnote w:id="41">
    <w:p w14:paraId="77886299"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An</w:t>
      </w:r>
      <w:r>
        <w:rPr>
          <w:rFonts w:asciiTheme="majorHAnsi" w:hAnsiTheme="majorHAnsi"/>
          <w:color w:val="000000" w:themeColor="text1"/>
          <w:sz w:val="16"/>
          <w:szCs w:val="16"/>
        </w:rPr>
        <w:t>nex 14</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Motion for release via </w:t>
      </w:r>
      <w:r>
        <w:rPr>
          <w:rFonts w:asciiTheme="majorHAnsi" w:hAnsiTheme="majorHAnsi"/>
          <w:i/>
          <w:color w:val="000000" w:themeColor="text1"/>
          <w:sz w:val="16"/>
          <w:szCs w:val="16"/>
        </w:rPr>
        <w:t xml:space="preserve">amparo </w:t>
      </w:r>
      <w:r>
        <w:rPr>
          <w:rFonts w:asciiTheme="majorHAnsi" w:hAnsiTheme="majorHAnsi"/>
          <w:color w:val="000000" w:themeColor="text1"/>
          <w:sz w:val="16"/>
          <w:szCs w:val="16"/>
        </w:rPr>
        <w:t xml:space="preserve">against the Fourth Criminal Court of </w:t>
      </w:r>
      <w:r w:rsidRPr="005404B2">
        <w:rPr>
          <w:rFonts w:asciiTheme="majorHAnsi" w:hAnsiTheme="majorHAnsi"/>
          <w:color w:val="000000" w:themeColor="text1"/>
          <w:sz w:val="16"/>
          <w:szCs w:val="16"/>
        </w:rPr>
        <w:t>Tungurahua</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filed with the Superior Court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of July </w:t>
      </w:r>
      <w:r w:rsidRPr="005404B2">
        <w:rPr>
          <w:rFonts w:asciiTheme="majorHAnsi" w:hAnsiTheme="majorHAnsi"/>
          <w:color w:val="000000" w:themeColor="text1"/>
          <w:sz w:val="16"/>
          <w:szCs w:val="16"/>
        </w:rPr>
        <w:t>11</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2002. An</w:t>
      </w:r>
      <w:r>
        <w:rPr>
          <w:rFonts w:asciiTheme="majorHAnsi" w:hAnsiTheme="majorHAnsi"/>
          <w:color w:val="000000" w:themeColor="text1"/>
          <w:sz w:val="16"/>
          <w:szCs w:val="16"/>
        </w:rPr>
        <w:t>n</w:t>
      </w:r>
      <w:r w:rsidRPr="005404B2">
        <w:rPr>
          <w:rFonts w:asciiTheme="majorHAnsi" w:hAnsiTheme="majorHAnsi"/>
          <w:color w:val="000000" w:themeColor="text1"/>
          <w:sz w:val="16"/>
          <w:szCs w:val="16"/>
        </w:rPr>
        <w:t xml:space="preserve">ex 1 </w:t>
      </w:r>
      <w:r>
        <w:rPr>
          <w:rFonts w:asciiTheme="majorHAnsi" w:hAnsiTheme="majorHAnsi"/>
          <w:color w:val="000000" w:themeColor="text1"/>
          <w:sz w:val="16"/>
          <w:szCs w:val="16"/>
        </w:rPr>
        <w:t xml:space="preserve">to petitioners’ observations of December 01, 2003. </w:t>
      </w:r>
    </w:p>
  </w:footnote>
  <w:footnote w:id="42">
    <w:p w14:paraId="463B810A"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An</w:t>
      </w:r>
      <w:r>
        <w:rPr>
          <w:rFonts w:asciiTheme="majorHAnsi" w:hAnsiTheme="majorHAnsi"/>
          <w:color w:val="000000" w:themeColor="text1"/>
          <w:sz w:val="16"/>
          <w:szCs w:val="16"/>
        </w:rPr>
        <w:t>nex 15</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Report of the Fourth Criminal Court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to the Superior Court of Justice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July </w:t>
      </w:r>
      <w:r w:rsidRPr="005404B2">
        <w:rPr>
          <w:rFonts w:asciiTheme="majorHAnsi" w:hAnsiTheme="majorHAnsi"/>
          <w:color w:val="000000" w:themeColor="text1"/>
          <w:sz w:val="16"/>
          <w:szCs w:val="16"/>
        </w:rPr>
        <w:t>17</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2002. A</w:t>
      </w:r>
      <w:r>
        <w:rPr>
          <w:rFonts w:asciiTheme="majorHAnsi" w:hAnsiTheme="majorHAnsi"/>
          <w:color w:val="000000" w:themeColor="text1"/>
          <w:sz w:val="16"/>
          <w:szCs w:val="16"/>
        </w:rPr>
        <w:t>nnex</w:t>
      </w:r>
      <w:r w:rsidRPr="005404B2">
        <w:rPr>
          <w:rFonts w:asciiTheme="majorHAnsi" w:hAnsiTheme="majorHAnsi"/>
          <w:color w:val="000000" w:themeColor="text1"/>
          <w:sz w:val="16"/>
          <w:szCs w:val="16"/>
        </w:rPr>
        <w:t xml:space="preserve"> 1 </w:t>
      </w:r>
      <w:r>
        <w:rPr>
          <w:rFonts w:asciiTheme="majorHAnsi" w:hAnsiTheme="majorHAnsi"/>
          <w:color w:val="000000" w:themeColor="text1"/>
          <w:sz w:val="16"/>
          <w:szCs w:val="16"/>
        </w:rPr>
        <w:t xml:space="preserve">to petitioners’ observations of December </w:t>
      </w:r>
      <w:r w:rsidRPr="005404B2">
        <w:rPr>
          <w:rFonts w:asciiTheme="majorHAnsi" w:hAnsiTheme="majorHAnsi"/>
          <w:color w:val="000000" w:themeColor="text1"/>
          <w:sz w:val="16"/>
          <w:szCs w:val="16"/>
        </w:rPr>
        <w:t>1</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2003.</w:t>
      </w:r>
    </w:p>
  </w:footnote>
  <w:footnote w:id="43">
    <w:p w14:paraId="73D24767"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An</w:t>
      </w:r>
      <w:r>
        <w:rPr>
          <w:rFonts w:asciiTheme="majorHAnsi" w:hAnsiTheme="majorHAnsi"/>
          <w:color w:val="000000" w:themeColor="text1"/>
          <w:sz w:val="16"/>
          <w:szCs w:val="16"/>
        </w:rPr>
        <w:t>nex 16. Decision to process the Motion for Constitutional Relief (</w:t>
      </w:r>
      <w:r w:rsidRPr="005404B2">
        <w:rPr>
          <w:rFonts w:asciiTheme="majorHAnsi" w:hAnsiTheme="majorHAnsi"/>
          <w:color w:val="000000" w:themeColor="text1"/>
          <w:sz w:val="16"/>
          <w:szCs w:val="16"/>
        </w:rPr>
        <w:t>Amparo Constitutional</w:t>
      </w:r>
      <w:r>
        <w:rPr>
          <w:rFonts w:asciiTheme="majorHAnsi" w:hAnsiTheme="majorHAnsi"/>
          <w:color w:val="000000" w:themeColor="text1"/>
          <w:sz w:val="16"/>
          <w:szCs w:val="16"/>
        </w:rPr>
        <w:t xml:space="preserve">) issued by the second chamber of the Superior Court of Justice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July </w:t>
      </w:r>
      <w:r w:rsidRPr="005404B2">
        <w:rPr>
          <w:rFonts w:asciiTheme="majorHAnsi" w:hAnsiTheme="majorHAnsi"/>
          <w:color w:val="000000" w:themeColor="text1"/>
          <w:sz w:val="16"/>
          <w:szCs w:val="16"/>
        </w:rPr>
        <w:t>31</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2002. A</w:t>
      </w:r>
      <w:r>
        <w:rPr>
          <w:rFonts w:asciiTheme="majorHAnsi" w:hAnsiTheme="majorHAnsi"/>
          <w:color w:val="000000" w:themeColor="text1"/>
          <w:sz w:val="16"/>
          <w:szCs w:val="16"/>
        </w:rPr>
        <w:t>nnex</w:t>
      </w:r>
      <w:r w:rsidRPr="005404B2">
        <w:rPr>
          <w:rFonts w:asciiTheme="majorHAnsi" w:hAnsiTheme="majorHAnsi"/>
          <w:color w:val="000000" w:themeColor="text1"/>
          <w:sz w:val="16"/>
          <w:szCs w:val="16"/>
        </w:rPr>
        <w:t xml:space="preserve"> 1 </w:t>
      </w:r>
      <w:r>
        <w:rPr>
          <w:rFonts w:asciiTheme="majorHAnsi" w:hAnsiTheme="majorHAnsi"/>
          <w:color w:val="000000" w:themeColor="text1"/>
          <w:sz w:val="16"/>
          <w:szCs w:val="16"/>
        </w:rPr>
        <w:t xml:space="preserve">to petitioners’ observations of December </w:t>
      </w:r>
      <w:r w:rsidRPr="005404B2">
        <w:rPr>
          <w:rFonts w:asciiTheme="majorHAnsi" w:hAnsiTheme="majorHAnsi"/>
          <w:color w:val="000000" w:themeColor="text1"/>
          <w:sz w:val="16"/>
          <w:szCs w:val="16"/>
        </w:rPr>
        <w:t>1</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2003.</w:t>
      </w:r>
    </w:p>
  </w:footnote>
  <w:footnote w:id="44">
    <w:p w14:paraId="650A3466"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An</w:t>
      </w:r>
      <w:r>
        <w:rPr>
          <w:rFonts w:asciiTheme="majorHAnsi" w:hAnsiTheme="majorHAnsi"/>
          <w:color w:val="000000" w:themeColor="text1"/>
          <w:sz w:val="16"/>
          <w:szCs w:val="16"/>
        </w:rPr>
        <w:t>nex 17</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Record of preliminary hearing of the Fourth Criminal Court of </w:t>
      </w:r>
      <w:r w:rsidRPr="005404B2">
        <w:rPr>
          <w:rFonts w:asciiTheme="majorHAnsi" w:hAnsiTheme="majorHAnsi"/>
          <w:color w:val="000000" w:themeColor="text1"/>
          <w:sz w:val="16"/>
          <w:szCs w:val="16"/>
        </w:rPr>
        <w:t>Tungurahua</w:t>
      </w:r>
      <w:r>
        <w:rPr>
          <w:rFonts w:asciiTheme="majorHAnsi" w:hAnsiTheme="majorHAnsi"/>
          <w:color w:val="000000" w:themeColor="text1"/>
          <w:sz w:val="16"/>
          <w:szCs w:val="16"/>
        </w:rPr>
        <w:t xml:space="preserve"> Alternate Judge</w:t>
      </w:r>
      <w:r w:rsidRPr="005404B2">
        <w:rPr>
          <w:rFonts w:asciiTheme="majorHAnsi" w:hAnsiTheme="majorHAnsi"/>
          <w:color w:val="000000" w:themeColor="text1"/>
          <w:sz w:val="16"/>
          <w:szCs w:val="16"/>
        </w:rPr>
        <w:t>,</w:t>
      </w:r>
      <w:r>
        <w:rPr>
          <w:rFonts w:asciiTheme="majorHAnsi" w:hAnsiTheme="majorHAnsi"/>
          <w:color w:val="000000" w:themeColor="text1"/>
          <w:sz w:val="16"/>
          <w:szCs w:val="16"/>
        </w:rPr>
        <w:t xml:space="preserve"> December </w:t>
      </w:r>
      <w:r w:rsidRPr="005404B2">
        <w:rPr>
          <w:rFonts w:asciiTheme="majorHAnsi" w:hAnsiTheme="majorHAnsi"/>
          <w:color w:val="000000" w:themeColor="text1"/>
          <w:sz w:val="16"/>
          <w:szCs w:val="16"/>
        </w:rPr>
        <w:t>10</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2002. An</w:t>
      </w:r>
      <w:r>
        <w:rPr>
          <w:rFonts w:asciiTheme="majorHAnsi" w:hAnsiTheme="majorHAnsi"/>
          <w:color w:val="000000" w:themeColor="text1"/>
          <w:sz w:val="16"/>
          <w:szCs w:val="16"/>
        </w:rPr>
        <w:t>nex</w:t>
      </w:r>
      <w:r w:rsidRPr="005404B2">
        <w:rPr>
          <w:rFonts w:asciiTheme="majorHAnsi" w:hAnsiTheme="majorHAnsi"/>
          <w:color w:val="000000" w:themeColor="text1"/>
          <w:sz w:val="16"/>
          <w:szCs w:val="16"/>
        </w:rPr>
        <w:t xml:space="preserve"> 4 </w:t>
      </w:r>
      <w:r>
        <w:rPr>
          <w:rFonts w:asciiTheme="majorHAnsi" w:hAnsiTheme="majorHAnsi"/>
          <w:color w:val="000000" w:themeColor="text1"/>
          <w:sz w:val="16"/>
          <w:szCs w:val="16"/>
        </w:rPr>
        <w:t xml:space="preserve">to petitioners’ observations of December </w:t>
      </w:r>
      <w:r w:rsidRPr="005404B2">
        <w:rPr>
          <w:rFonts w:asciiTheme="majorHAnsi" w:hAnsiTheme="majorHAnsi"/>
          <w:color w:val="000000" w:themeColor="text1"/>
          <w:sz w:val="16"/>
          <w:szCs w:val="16"/>
        </w:rPr>
        <w:t>1</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2003.</w:t>
      </w:r>
    </w:p>
  </w:footnote>
  <w:footnote w:id="45">
    <w:p w14:paraId="5389222B" w14:textId="77777777" w:rsidR="007A5DF1" w:rsidRPr="005404B2" w:rsidRDefault="007A5DF1" w:rsidP="00041CFE">
      <w:pPr>
        <w:pStyle w:val="p1"/>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w:t>
      </w:r>
      <w:r w:rsidRPr="005404B2">
        <w:rPr>
          <w:rFonts w:asciiTheme="majorHAnsi" w:hAnsiTheme="majorHAnsi"/>
          <w:bCs/>
          <w:color w:val="000000" w:themeColor="text1"/>
          <w:sz w:val="16"/>
          <w:szCs w:val="16"/>
        </w:rPr>
        <w:t>An</w:t>
      </w:r>
      <w:r>
        <w:rPr>
          <w:rFonts w:asciiTheme="majorHAnsi" w:hAnsiTheme="majorHAnsi"/>
          <w:bCs/>
          <w:color w:val="000000" w:themeColor="text1"/>
          <w:sz w:val="16"/>
          <w:szCs w:val="16"/>
        </w:rPr>
        <w:t>nex 18.</w:t>
      </w:r>
      <w:r w:rsidRPr="005404B2">
        <w:rPr>
          <w:rFonts w:asciiTheme="majorHAnsi" w:hAnsiTheme="majorHAnsi"/>
          <w:bCs/>
          <w:color w:val="000000" w:themeColor="text1"/>
          <w:sz w:val="16"/>
          <w:szCs w:val="16"/>
        </w:rPr>
        <w:t xml:space="preserve"> </w:t>
      </w:r>
      <w:r>
        <w:rPr>
          <w:rFonts w:asciiTheme="majorHAnsi" w:hAnsiTheme="majorHAnsi"/>
          <w:bCs/>
          <w:color w:val="000000" w:themeColor="text1"/>
          <w:sz w:val="16"/>
          <w:szCs w:val="16"/>
        </w:rPr>
        <w:t xml:space="preserve">Order to dismiss without prejudice [issued] by the Judge of the Fourth Criminal Court of </w:t>
      </w:r>
      <w:r w:rsidRPr="005404B2">
        <w:rPr>
          <w:rFonts w:asciiTheme="majorHAnsi" w:hAnsiTheme="majorHAnsi"/>
          <w:bCs/>
          <w:color w:val="000000" w:themeColor="text1"/>
          <w:sz w:val="16"/>
          <w:szCs w:val="16"/>
        </w:rPr>
        <w:t xml:space="preserve">Tungurahua, </w:t>
      </w:r>
      <w:r>
        <w:rPr>
          <w:rFonts w:asciiTheme="majorHAnsi" w:hAnsiTheme="majorHAnsi"/>
          <w:bCs/>
          <w:color w:val="000000" w:themeColor="text1"/>
          <w:sz w:val="16"/>
          <w:szCs w:val="16"/>
        </w:rPr>
        <w:t xml:space="preserve">December </w:t>
      </w:r>
      <w:r w:rsidRPr="005404B2">
        <w:rPr>
          <w:rFonts w:asciiTheme="majorHAnsi" w:hAnsiTheme="majorHAnsi"/>
          <w:bCs/>
          <w:color w:val="000000" w:themeColor="text1"/>
          <w:sz w:val="16"/>
          <w:szCs w:val="16"/>
        </w:rPr>
        <w:t>11</w:t>
      </w:r>
      <w:r>
        <w:rPr>
          <w:rFonts w:asciiTheme="majorHAnsi" w:hAnsiTheme="majorHAnsi"/>
          <w:bCs/>
          <w:color w:val="000000" w:themeColor="text1"/>
          <w:sz w:val="16"/>
          <w:szCs w:val="16"/>
        </w:rPr>
        <w:t>,</w:t>
      </w:r>
      <w:r w:rsidRPr="005404B2">
        <w:rPr>
          <w:rFonts w:asciiTheme="majorHAnsi" w:hAnsiTheme="majorHAnsi"/>
          <w:bCs/>
          <w:color w:val="000000" w:themeColor="text1"/>
          <w:sz w:val="16"/>
          <w:szCs w:val="16"/>
        </w:rPr>
        <w:t xml:space="preserve"> 2002. </w:t>
      </w:r>
      <w:r w:rsidRPr="005404B2">
        <w:rPr>
          <w:rFonts w:asciiTheme="majorHAnsi" w:hAnsiTheme="majorHAnsi"/>
          <w:color w:val="000000" w:themeColor="text1"/>
          <w:sz w:val="16"/>
          <w:szCs w:val="16"/>
        </w:rPr>
        <w:t>An</w:t>
      </w:r>
      <w:r>
        <w:rPr>
          <w:rFonts w:asciiTheme="majorHAnsi" w:hAnsiTheme="majorHAnsi"/>
          <w:color w:val="000000" w:themeColor="text1"/>
          <w:sz w:val="16"/>
          <w:szCs w:val="16"/>
        </w:rPr>
        <w:t>nex</w:t>
      </w:r>
      <w:r w:rsidRPr="005404B2">
        <w:rPr>
          <w:rFonts w:asciiTheme="majorHAnsi" w:hAnsiTheme="majorHAnsi"/>
          <w:color w:val="000000" w:themeColor="text1"/>
          <w:sz w:val="16"/>
          <w:szCs w:val="16"/>
        </w:rPr>
        <w:t xml:space="preserve"> 4 </w:t>
      </w:r>
      <w:r>
        <w:rPr>
          <w:rFonts w:asciiTheme="majorHAnsi" w:hAnsiTheme="majorHAnsi"/>
          <w:color w:val="000000" w:themeColor="text1"/>
          <w:sz w:val="16"/>
          <w:szCs w:val="16"/>
        </w:rPr>
        <w:t xml:space="preserve">to petitioners’ observations of December </w:t>
      </w:r>
      <w:r w:rsidRPr="005404B2">
        <w:rPr>
          <w:rFonts w:asciiTheme="majorHAnsi" w:hAnsiTheme="majorHAnsi"/>
          <w:color w:val="000000" w:themeColor="text1"/>
          <w:sz w:val="16"/>
          <w:szCs w:val="16"/>
        </w:rPr>
        <w:t>1</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2003.</w:t>
      </w:r>
    </w:p>
  </w:footnote>
  <w:footnote w:id="46">
    <w:p w14:paraId="4EF0A1CA"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An</w:t>
      </w:r>
      <w:r>
        <w:rPr>
          <w:rFonts w:asciiTheme="majorHAnsi" w:hAnsiTheme="majorHAnsi"/>
          <w:color w:val="000000" w:themeColor="text1"/>
          <w:sz w:val="16"/>
          <w:szCs w:val="16"/>
        </w:rPr>
        <w:t xml:space="preserve">nex 19. Official Letter </w:t>
      </w:r>
      <w:r w:rsidRPr="005404B2">
        <w:rPr>
          <w:rFonts w:asciiTheme="majorHAnsi" w:hAnsiTheme="majorHAnsi"/>
          <w:color w:val="000000" w:themeColor="text1"/>
          <w:sz w:val="16"/>
          <w:szCs w:val="16"/>
        </w:rPr>
        <w:t xml:space="preserve">No. 3585-CP9-2004 </w:t>
      </w:r>
      <w:r>
        <w:rPr>
          <w:rFonts w:asciiTheme="majorHAnsi" w:hAnsiTheme="majorHAnsi"/>
          <w:color w:val="000000" w:themeColor="text1"/>
          <w:sz w:val="16"/>
          <w:szCs w:val="16"/>
        </w:rPr>
        <w:t xml:space="preserve">from the Chief of the Judicial Police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October </w:t>
      </w:r>
      <w:r w:rsidRPr="005404B2">
        <w:rPr>
          <w:rFonts w:asciiTheme="majorHAnsi" w:hAnsiTheme="majorHAnsi"/>
          <w:color w:val="000000" w:themeColor="text1"/>
          <w:sz w:val="16"/>
          <w:szCs w:val="16"/>
        </w:rPr>
        <w:t>15</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2004. An</w:t>
      </w:r>
      <w:r>
        <w:rPr>
          <w:rFonts w:asciiTheme="majorHAnsi" w:hAnsiTheme="majorHAnsi"/>
          <w:color w:val="000000" w:themeColor="text1"/>
          <w:sz w:val="16"/>
          <w:szCs w:val="16"/>
        </w:rPr>
        <w:t xml:space="preserve">nex to petitioners’ submission of November </w:t>
      </w:r>
      <w:r w:rsidRPr="005404B2">
        <w:rPr>
          <w:rFonts w:asciiTheme="majorHAnsi" w:hAnsiTheme="majorHAnsi"/>
          <w:color w:val="000000" w:themeColor="text1"/>
          <w:sz w:val="16"/>
          <w:szCs w:val="16"/>
        </w:rPr>
        <w:t>3</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2004.</w:t>
      </w:r>
    </w:p>
  </w:footnote>
  <w:footnote w:id="47">
    <w:p w14:paraId="007B97E1"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An</w:t>
      </w:r>
      <w:r>
        <w:rPr>
          <w:rFonts w:asciiTheme="majorHAnsi" w:hAnsiTheme="majorHAnsi"/>
          <w:color w:val="000000" w:themeColor="text1"/>
          <w:sz w:val="16"/>
          <w:szCs w:val="16"/>
        </w:rPr>
        <w:t>nex 20</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Decision of the Fourth Criminal Court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Alternate Judge</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October </w:t>
      </w:r>
      <w:r w:rsidRPr="005404B2">
        <w:rPr>
          <w:rFonts w:asciiTheme="majorHAnsi" w:hAnsiTheme="majorHAnsi"/>
          <w:color w:val="000000" w:themeColor="text1"/>
          <w:sz w:val="16"/>
          <w:szCs w:val="16"/>
        </w:rPr>
        <w:t>18</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2004. A</w:t>
      </w:r>
      <w:r>
        <w:rPr>
          <w:rFonts w:asciiTheme="majorHAnsi" w:hAnsiTheme="majorHAnsi"/>
          <w:color w:val="000000" w:themeColor="text1"/>
          <w:sz w:val="16"/>
          <w:szCs w:val="16"/>
        </w:rPr>
        <w:t xml:space="preserve">nnex to petitioners’ submission of November </w:t>
      </w:r>
      <w:r w:rsidRPr="005404B2">
        <w:rPr>
          <w:rFonts w:asciiTheme="majorHAnsi" w:hAnsiTheme="majorHAnsi"/>
          <w:color w:val="000000" w:themeColor="text1"/>
          <w:sz w:val="16"/>
          <w:szCs w:val="16"/>
        </w:rPr>
        <w:t>3</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2004.</w:t>
      </w:r>
    </w:p>
  </w:footnote>
  <w:footnote w:id="48">
    <w:p w14:paraId="207E4FE2"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See for example, police investigation report</w:t>
      </w:r>
      <w:r w:rsidRPr="005404B2">
        <w:rPr>
          <w:rFonts w:asciiTheme="majorHAnsi" w:hAnsiTheme="majorHAnsi"/>
          <w:color w:val="000000" w:themeColor="text1"/>
          <w:sz w:val="16"/>
          <w:szCs w:val="16"/>
        </w:rPr>
        <w:t xml:space="preserve"> no. 1123-PJT-CP9-2001 </w:t>
      </w:r>
      <w:r>
        <w:rPr>
          <w:rFonts w:asciiTheme="majorHAnsi" w:hAnsiTheme="majorHAnsi"/>
          <w:color w:val="000000" w:themeColor="text1"/>
          <w:sz w:val="16"/>
          <w:szCs w:val="16"/>
        </w:rPr>
        <w:t xml:space="preserve">and addendum to police investigative report </w:t>
      </w:r>
      <w:r w:rsidRPr="005404B2">
        <w:rPr>
          <w:rFonts w:asciiTheme="majorHAnsi" w:hAnsiTheme="majorHAnsi"/>
          <w:color w:val="000000" w:themeColor="text1"/>
          <w:sz w:val="16"/>
          <w:szCs w:val="16"/>
        </w:rPr>
        <w:t xml:space="preserve">no. 1376-CP9-2001, </w:t>
      </w:r>
      <w:r>
        <w:rPr>
          <w:rFonts w:asciiTheme="majorHAnsi" w:hAnsiTheme="majorHAnsi"/>
          <w:color w:val="000000" w:themeColor="text1"/>
          <w:sz w:val="16"/>
          <w:szCs w:val="16"/>
        </w:rPr>
        <w:t xml:space="preserve">of August </w:t>
      </w:r>
      <w:r w:rsidRPr="005404B2">
        <w:rPr>
          <w:rFonts w:asciiTheme="majorHAnsi" w:hAnsiTheme="majorHAnsi"/>
          <w:color w:val="000000" w:themeColor="text1"/>
          <w:sz w:val="16"/>
          <w:szCs w:val="16"/>
        </w:rPr>
        <w:t>16</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2001 </w:t>
      </w:r>
      <w:r>
        <w:rPr>
          <w:rFonts w:asciiTheme="majorHAnsi" w:hAnsiTheme="majorHAnsi"/>
          <w:color w:val="000000" w:themeColor="text1"/>
          <w:sz w:val="16"/>
          <w:szCs w:val="16"/>
        </w:rPr>
        <w:t xml:space="preserve">and October </w:t>
      </w:r>
      <w:r w:rsidRPr="005404B2">
        <w:rPr>
          <w:rFonts w:asciiTheme="majorHAnsi" w:hAnsiTheme="majorHAnsi"/>
          <w:color w:val="000000" w:themeColor="text1"/>
          <w:sz w:val="16"/>
          <w:szCs w:val="16"/>
        </w:rPr>
        <w:t>18</w:t>
      </w:r>
      <w:r>
        <w:rPr>
          <w:rFonts w:asciiTheme="majorHAnsi" w:hAnsiTheme="majorHAnsi"/>
          <w:color w:val="000000" w:themeColor="text1"/>
          <w:sz w:val="16"/>
          <w:szCs w:val="16"/>
        </w:rPr>
        <w:t>, 2001 respectively</w:t>
      </w:r>
      <w:r w:rsidRPr="005404B2">
        <w:rPr>
          <w:rFonts w:asciiTheme="majorHAnsi" w:hAnsiTheme="majorHAnsi"/>
          <w:color w:val="000000" w:themeColor="text1"/>
          <w:sz w:val="16"/>
          <w:szCs w:val="16"/>
        </w:rPr>
        <w:t>. An</w:t>
      </w:r>
      <w:r>
        <w:rPr>
          <w:rFonts w:asciiTheme="majorHAnsi" w:hAnsiTheme="majorHAnsi"/>
          <w:color w:val="000000" w:themeColor="text1"/>
          <w:sz w:val="16"/>
          <w:szCs w:val="16"/>
        </w:rPr>
        <w:t>nex</w:t>
      </w:r>
      <w:r w:rsidRPr="005404B2">
        <w:rPr>
          <w:rFonts w:asciiTheme="majorHAnsi" w:hAnsiTheme="majorHAnsi"/>
          <w:color w:val="000000" w:themeColor="text1"/>
          <w:sz w:val="16"/>
          <w:szCs w:val="16"/>
        </w:rPr>
        <w:t xml:space="preserve"> 3 </w:t>
      </w:r>
      <w:r>
        <w:rPr>
          <w:rFonts w:asciiTheme="majorHAnsi" w:hAnsiTheme="majorHAnsi"/>
          <w:color w:val="000000" w:themeColor="text1"/>
          <w:sz w:val="16"/>
          <w:szCs w:val="16"/>
        </w:rPr>
        <w:t xml:space="preserve">to petitioners’ observations of December 1, 2003. </w:t>
      </w:r>
    </w:p>
  </w:footnote>
  <w:footnote w:id="49">
    <w:p w14:paraId="28CB4CF9"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w:t>
      </w:r>
      <w:r>
        <w:rPr>
          <w:rFonts w:asciiTheme="majorHAnsi" w:hAnsiTheme="majorHAnsi"/>
          <w:color w:val="000000" w:themeColor="text1"/>
          <w:sz w:val="16"/>
          <w:szCs w:val="16"/>
        </w:rPr>
        <w:t>nnex</w:t>
      </w:r>
      <w:r w:rsidR="00FF08DF">
        <w:rPr>
          <w:rFonts w:asciiTheme="majorHAnsi" w:hAnsiTheme="majorHAnsi"/>
          <w:color w:val="000000" w:themeColor="text1"/>
          <w:sz w:val="16"/>
          <w:szCs w:val="16"/>
        </w:rPr>
        <w:t xml:space="preserve"> 8</w:t>
      </w:r>
      <w:r w:rsidRPr="005404B2">
        <w:rPr>
          <w:rFonts w:asciiTheme="majorHAnsi" w:hAnsiTheme="majorHAnsi"/>
          <w:color w:val="000000" w:themeColor="text1"/>
          <w:sz w:val="16"/>
          <w:szCs w:val="16"/>
        </w:rPr>
        <w:t>. Of</w:t>
      </w:r>
      <w:r>
        <w:rPr>
          <w:rFonts w:asciiTheme="majorHAnsi" w:hAnsiTheme="majorHAnsi"/>
          <w:color w:val="000000" w:themeColor="text1"/>
          <w:sz w:val="16"/>
          <w:szCs w:val="16"/>
        </w:rPr>
        <w:t xml:space="preserve">ficial Letter </w:t>
      </w:r>
      <w:r w:rsidRPr="005404B2">
        <w:rPr>
          <w:rFonts w:asciiTheme="majorHAnsi" w:hAnsiTheme="majorHAnsi"/>
          <w:color w:val="000000" w:themeColor="text1"/>
          <w:sz w:val="16"/>
          <w:szCs w:val="16"/>
        </w:rPr>
        <w:t xml:space="preserve">No. 2780–PJT-CP9-2001 </w:t>
      </w:r>
      <w:r>
        <w:rPr>
          <w:rFonts w:asciiTheme="majorHAnsi" w:hAnsiTheme="majorHAnsi"/>
          <w:color w:val="000000" w:themeColor="text1"/>
          <w:sz w:val="16"/>
          <w:szCs w:val="16"/>
        </w:rPr>
        <w:t xml:space="preserve">from the Chief of the Judicial Police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to the Prosecutor of </w:t>
      </w:r>
      <w:r w:rsidRPr="005404B2">
        <w:rPr>
          <w:rFonts w:asciiTheme="majorHAnsi" w:hAnsiTheme="majorHAnsi"/>
          <w:color w:val="000000" w:themeColor="text1"/>
          <w:sz w:val="16"/>
          <w:szCs w:val="16"/>
        </w:rPr>
        <w:t>Tungurahua</w:t>
      </w:r>
      <w:r>
        <w:rPr>
          <w:rFonts w:asciiTheme="majorHAnsi" w:hAnsiTheme="majorHAnsi"/>
          <w:color w:val="000000" w:themeColor="text1"/>
          <w:sz w:val="16"/>
          <w:szCs w:val="16"/>
        </w:rPr>
        <w:t xml:space="preserve">, containing Police Report </w:t>
      </w:r>
      <w:r w:rsidRPr="005404B2">
        <w:rPr>
          <w:rFonts w:asciiTheme="majorHAnsi" w:hAnsiTheme="majorHAnsi"/>
          <w:color w:val="000000" w:themeColor="text1"/>
          <w:sz w:val="16"/>
          <w:szCs w:val="16"/>
        </w:rPr>
        <w:t xml:space="preserve">no. 1123-PJT-CP9-2001, </w:t>
      </w:r>
      <w:r>
        <w:rPr>
          <w:rFonts w:asciiTheme="majorHAnsi" w:hAnsiTheme="majorHAnsi"/>
          <w:color w:val="000000" w:themeColor="text1"/>
          <w:sz w:val="16"/>
          <w:szCs w:val="16"/>
        </w:rPr>
        <w:t xml:space="preserve">October </w:t>
      </w:r>
      <w:r w:rsidRPr="005404B2">
        <w:rPr>
          <w:rFonts w:asciiTheme="majorHAnsi" w:hAnsiTheme="majorHAnsi"/>
          <w:color w:val="000000" w:themeColor="text1"/>
          <w:sz w:val="16"/>
          <w:szCs w:val="16"/>
        </w:rPr>
        <w:t>19</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2001. An</w:t>
      </w:r>
      <w:r>
        <w:rPr>
          <w:rFonts w:asciiTheme="majorHAnsi" w:hAnsiTheme="majorHAnsi"/>
          <w:color w:val="000000" w:themeColor="text1"/>
          <w:sz w:val="16"/>
          <w:szCs w:val="16"/>
        </w:rPr>
        <w:t>nex to petitioners’ observations of December 1, 2003.</w:t>
      </w:r>
    </w:p>
  </w:footnote>
  <w:footnote w:id="50">
    <w:p w14:paraId="1A54B075"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A</w:t>
      </w:r>
      <w:r>
        <w:rPr>
          <w:rFonts w:asciiTheme="majorHAnsi" w:hAnsiTheme="majorHAnsi"/>
          <w:color w:val="000000" w:themeColor="text1"/>
          <w:sz w:val="16"/>
          <w:szCs w:val="16"/>
        </w:rPr>
        <w:t>nnex</w:t>
      </w:r>
      <w:r w:rsidR="00FF08DF">
        <w:rPr>
          <w:rFonts w:asciiTheme="majorHAnsi" w:hAnsiTheme="majorHAnsi"/>
          <w:color w:val="000000" w:themeColor="text1"/>
          <w:sz w:val="16"/>
          <w:szCs w:val="16"/>
        </w:rPr>
        <w:t xml:space="preserve"> 8</w:t>
      </w:r>
      <w:r w:rsidRPr="005404B2">
        <w:rPr>
          <w:rFonts w:asciiTheme="majorHAnsi" w:hAnsiTheme="majorHAnsi"/>
          <w:color w:val="000000" w:themeColor="text1"/>
          <w:sz w:val="16"/>
          <w:szCs w:val="16"/>
        </w:rPr>
        <w:t>. Of</w:t>
      </w:r>
      <w:r>
        <w:rPr>
          <w:rFonts w:asciiTheme="majorHAnsi" w:hAnsiTheme="majorHAnsi"/>
          <w:color w:val="000000" w:themeColor="text1"/>
          <w:sz w:val="16"/>
          <w:szCs w:val="16"/>
        </w:rPr>
        <w:t xml:space="preserve">ficial Letter </w:t>
      </w:r>
      <w:r w:rsidRPr="005404B2">
        <w:rPr>
          <w:rFonts w:asciiTheme="majorHAnsi" w:hAnsiTheme="majorHAnsi"/>
          <w:color w:val="000000" w:themeColor="text1"/>
          <w:sz w:val="16"/>
          <w:szCs w:val="16"/>
        </w:rPr>
        <w:t xml:space="preserve">No. 2780–PJT-CP9-2001 </w:t>
      </w:r>
      <w:r>
        <w:rPr>
          <w:rFonts w:asciiTheme="majorHAnsi" w:hAnsiTheme="majorHAnsi"/>
          <w:color w:val="000000" w:themeColor="text1"/>
          <w:sz w:val="16"/>
          <w:szCs w:val="16"/>
        </w:rPr>
        <w:t xml:space="preserve">from the Chief of the Judicial Police of </w:t>
      </w:r>
      <w:r w:rsidRPr="005404B2">
        <w:rPr>
          <w:rFonts w:asciiTheme="majorHAnsi" w:hAnsiTheme="majorHAnsi"/>
          <w:color w:val="000000" w:themeColor="text1"/>
          <w:sz w:val="16"/>
          <w:szCs w:val="16"/>
        </w:rPr>
        <w:t xml:space="preserve">Tungurahua </w:t>
      </w:r>
      <w:r>
        <w:rPr>
          <w:rFonts w:asciiTheme="majorHAnsi" w:hAnsiTheme="majorHAnsi"/>
          <w:color w:val="000000" w:themeColor="text1"/>
          <w:sz w:val="16"/>
          <w:szCs w:val="16"/>
        </w:rPr>
        <w:t xml:space="preserve">to the Prosecutor of </w:t>
      </w:r>
      <w:r w:rsidRPr="005404B2">
        <w:rPr>
          <w:rFonts w:asciiTheme="majorHAnsi" w:hAnsiTheme="majorHAnsi"/>
          <w:color w:val="000000" w:themeColor="text1"/>
          <w:sz w:val="16"/>
          <w:szCs w:val="16"/>
        </w:rPr>
        <w:t>Tungurahua</w:t>
      </w:r>
      <w:r>
        <w:rPr>
          <w:rFonts w:asciiTheme="majorHAnsi" w:hAnsiTheme="majorHAnsi"/>
          <w:color w:val="000000" w:themeColor="text1"/>
          <w:sz w:val="16"/>
          <w:szCs w:val="16"/>
        </w:rPr>
        <w:t xml:space="preserve">, containing Police Report </w:t>
      </w:r>
      <w:r w:rsidRPr="005404B2">
        <w:rPr>
          <w:rFonts w:asciiTheme="majorHAnsi" w:hAnsiTheme="majorHAnsi"/>
          <w:color w:val="000000" w:themeColor="text1"/>
          <w:sz w:val="16"/>
          <w:szCs w:val="16"/>
        </w:rPr>
        <w:t xml:space="preserve">no. 1123-PJT-CP9-2001, </w:t>
      </w:r>
      <w:r>
        <w:rPr>
          <w:rFonts w:asciiTheme="majorHAnsi" w:hAnsiTheme="majorHAnsi"/>
          <w:color w:val="000000" w:themeColor="text1"/>
          <w:sz w:val="16"/>
          <w:szCs w:val="16"/>
        </w:rPr>
        <w:t xml:space="preserve">October </w:t>
      </w:r>
      <w:r w:rsidRPr="005404B2">
        <w:rPr>
          <w:rFonts w:asciiTheme="majorHAnsi" w:hAnsiTheme="majorHAnsi"/>
          <w:color w:val="000000" w:themeColor="text1"/>
          <w:sz w:val="16"/>
          <w:szCs w:val="16"/>
        </w:rPr>
        <w:t>19</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2001. An</w:t>
      </w:r>
      <w:r>
        <w:rPr>
          <w:rFonts w:asciiTheme="majorHAnsi" w:hAnsiTheme="majorHAnsi"/>
          <w:color w:val="000000" w:themeColor="text1"/>
          <w:sz w:val="16"/>
          <w:szCs w:val="16"/>
        </w:rPr>
        <w:t xml:space="preserve">nex to petitioners’ observations of December 1, 2003. </w:t>
      </w:r>
    </w:p>
  </w:footnote>
  <w:footnote w:id="51">
    <w:p w14:paraId="3E0238FB" w14:textId="77777777" w:rsidR="007A5DF1" w:rsidRPr="005404B2" w:rsidRDefault="007A5DF1" w:rsidP="00041CFE">
      <w:pPr>
        <w:pStyle w:val="FootnoteText"/>
        <w:jc w:val="both"/>
        <w:rPr>
          <w:rFonts w:ascii="Cambria" w:hAnsi="Cambria"/>
          <w:sz w:val="16"/>
          <w:szCs w:val="16"/>
        </w:rPr>
      </w:pPr>
      <w:r w:rsidRPr="005404B2">
        <w:rPr>
          <w:rStyle w:val="FootnoteReference"/>
          <w:rFonts w:ascii="Cambria" w:hAnsi="Cambria"/>
          <w:sz w:val="16"/>
          <w:szCs w:val="16"/>
        </w:rPr>
        <w:footnoteRef/>
      </w:r>
      <w:r w:rsidRPr="005404B2">
        <w:rPr>
          <w:rFonts w:ascii="Cambria" w:hAnsi="Cambria"/>
          <w:sz w:val="16"/>
          <w:szCs w:val="16"/>
        </w:rPr>
        <w:t xml:space="preserve"> </w:t>
      </w:r>
      <w:r>
        <w:rPr>
          <w:rFonts w:ascii="Cambria" w:hAnsi="Cambria"/>
          <w:sz w:val="16"/>
          <w:szCs w:val="16"/>
        </w:rPr>
        <w:t xml:space="preserve">The Articles of the American Convention cited above in the title establish the following: </w:t>
      </w:r>
    </w:p>
    <w:p w14:paraId="7650C76A" w14:textId="77777777" w:rsidR="007A5DF1" w:rsidRPr="005404B2" w:rsidRDefault="007A5DF1" w:rsidP="00041CFE">
      <w:pPr>
        <w:tabs>
          <w:tab w:val="left" w:pos="1440"/>
        </w:tabs>
        <w:jc w:val="both"/>
        <w:rPr>
          <w:rFonts w:ascii="Cambria" w:eastAsia="Times New Roman" w:hAnsi="Cambria"/>
          <w:sz w:val="16"/>
          <w:szCs w:val="16"/>
        </w:rPr>
      </w:pPr>
      <w:r>
        <w:rPr>
          <w:rFonts w:ascii="Cambria" w:hAnsi="Cambria"/>
          <w:sz w:val="16"/>
          <w:szCs w:val="16"/>
        </w:rPr>
        <w:t>Article</w:t>
      </w:r>
      <w:r w:rsidRPr="005404B2">
        <w:rPr>
          <w:rFonts w:ascii="Cambria" w:hAnsi="Cambria"/>
          <w:sz w:val="16"/>
          <w:szCs w:val="16"/>
        </w:rPr>
        <w:t xml:space="preserve"> 3. </w:t>
      </w:r>
      <w:r>
        <w:rPr>
          <w:rFonts w:ascii="Cambria" w:hAnsi="Cambria"/>
          <w:sz w:val="16"/>
          <w:szCs w:val="16"/>
        </w:rPr>
        <w:t xml:space="preserve">Right to Recognition of Juridical Personality: Every person has the right to recognition as a person before the law. </w:t>
      </w:r>
    </w:p>
    <w:p w14:paraId="13FF27F2" w14:textId="77777777" w:rsidR="007A5DF1" w:rsidRPr="005404B2" w:rsidRDefault="007A5DF1" w:rsidP="00041C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16"/>
          <w:szCs w:val="16"/>
          <w:lang w:eastAsia="es-ES"/>
        </w:rPr>
      </w:pPr>
      <w:r>
        <w:rPr>
          <w:rFonts w:ascii="Cambria" w:eastAsia="Times New Roman" w:hAnsi="Cambria"/>
          <w:sz w:val="16"/>
          <w:szCs w:val="16"/>
          <w:lang w:eastAsia="es-ES"/>
        </w:rPr>
        <w:t>Article</w:t>
      </w:r>
      <w:r w:rsidRPr="005404B2">
        <w:rPr>
          <w:rFonts w:ascii="Cambria" w:eastAsia="Times New Roman" w:hAnsi="Cambria"/>
          <w:sz w:val="16"/>
          <w:szCs w:val="16"/>
          <w:lang w:eastAsia="es-ES"/>
        </w:rPr>
        <w:t xml:space="preserve"> 4. </w:t>
      </w:r>
      <w:r>
        <w:rPr>
          <w:rFonts w:ascii="Cambria" w:eastAsia="Times New Roman" w:hAnsi="Cambria"/>
          <w:sz w:val="16"/>
          <w:szCs w:val="16"/>
          <w:lang w:eastAsia="es-ES"/>
        </w:rPr>
        <w:t>Right to Life</w:t>
      </w:r>
      <w:r w:rsidRPr="005404B2">
        <w:rPr>
          <w:rFonts w:ascii="Cambria" w:eastAsia="Times New Roman" w:hAnsi="Cambria"/>
          <w:sz w:val="16"/>
          <w:szCs w:val="16"/>
          <w:lang w:eastAsia="es-ES"/>
        </w:rPr>
        <w:t xml:space="preserve">. 1. </w:t>
      </w:r>
      <w:r>
        <w:rPr>
          <w:rFonts w:ascii="Cambria" w:eastAsia="Times New Roman" w:hAnsi="Cambria"/>
          <w:sz w:val="16"/>
          <w:szCs w:val="16"/>
          <w:lang w:eastAsia="es-ES"/>
        </w:rPr>
        <w:t xml:space="preserve">Every person has the right to have his life respected. This right shall be protected by law and, in general, from the moment of conception. No one shall be arbitrarily deprived of his life. </w:t>
      </w:r>
      <w:r w:rsidRPr="005404B2">
        <w:rPr>
          <w:rFonts w:ascii="Cambria" w:eastAsia="Times New Roman" w:hAnsi="Cambria"/>
          <w:sz w:val="16"/>
          <w:szCs w:val="16"/>
          <w:lang w:eastAsia="es-ES"/>
        </w:rPr>
        <w:t xml:space="preserve"> </w:t>
      </w:r>
    </w:p>
    <w:p w14:paraId="3EAC1AE6" w14:textId="77777777" w:rsidR="007A5DF1" w:rsidRPr="005404B2" w:rsidRDefault="007A5DF1" w:rsidP="00041C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16"/>
          <w:szCs w:val="16"/>
          <w:lang w:eastAsia="es-ES"/>
        </w:rPr>
      </w:pPr>
      <w:r>
        <w:rPr>
          <w:rFonts w:ascii="Cambria" w:eastAsia="Times New Roman" w:hAnsi="Cambria"/>
          <w:sz w:val="16"/>
          <w:szCs w:val="16"/>
          <w:lang w:eastAsia="es-ES"/>
        </w:rPr>
        <w:t>Article</w:t>
      </w:r>
      <w:r w:rsidRPr="005404B2">
        <w:rPr>
          <w:rFonts w:ascii="Cambria" w:eastAsia="Times New Roman" w:hAnsi="Cambria"/>
          <w:sz w:val="16"/>
          <w:szCs w:val="16"/>
          <w:lang w:eastAsia="es-ES"/>
        </w:rPr>
        <w:t xml:space="preserve"> 5. </w:t>
      </w:r>
      <w:r>
        <w:rPr>
          <w:rFonts w:ascii="Cambria" w:eastAsia="Times New Roman" w:hAnsi="Cambria"/>
          <w:sz w:val="16"/>
          <w:szCs w:val="16"/>
          <w:lang w:eastAsia="es-ES"/>
        </w:rPr>
        <w:t>Right to Humane Treatment.</w:t>
      </w:r>
      <w:r w:rsidRPr="005404B2">
        <w:rPr>
          <w:rFonts w:ascii="Cambria" w:eastAsia="Times New Roman" w:hAnsi="Cambria"/>
          <w:sz w:val="16"/>
          <w:szCs w:val="16"/>
          <w:lang w:eastAsia="es-ES"/>
        </w:rPr>
        <w:t xml:space="preserve"> 1. </w:t>
      </w:r>
      <w:r>
        <w:rPr>
          <w:rFonts w:ascii="Cambria" w:eastAsia="Times New Roman" w:hAnsi="Cambria"/>
          <w:sz w:val="16"/>
          <w:szCs w:val="16"/>
          <w:lang w:eastAsia="es-ES"/>
        </w:rPr>
        <w:t xml:space="preserve">Every person has the right to have his physical, mental, and moral integrity respected. </w:t>
      </w:r>
      <w:r w:rsidRPr="005404B2">
        <w:rPr>
          <w:rFonts w:ascii="Cambria" w:eastAsia="Times New Roman" w:hAnsi="Cambria"/>
          <w:sz w:val="16"/>
          <w:szCs w:val="16"/>
          <w:lang w:eastAsia="es-ES"/>
        </w:rPr>
        <w:t xml:space="preserve">2. </w:t>
      </w:r>
      <w:r>
        <w:rPr>
          <w:rFonts w:ascii="Cambria" w:eastAsia="Times New Roman" w:hAnsi="Cambria"/>
          <w:sz w:val="16"/>
          <w:szCs w:val="16"/>
          <w:lang w:eastAsia="es-ES"/>
        </w:rPr>
        <w:t xml:space="preserve">No one shall be subjected to torture or to cruel, inhuman, or degrading punishment or treatment. All persons deprived of their liberty shall be treated with respect for the inherent dignity of the human person. </w:t>
      </w:r>
    </w:p>
    <w:p w14:paraId="6B90B4EE" w14:textId="77777777" w:rsidR="007A5DF1" w:rsidRPr="005404B2" w:rsidRDefault="007A5DF1" w:rsidP="00041CFE">
      <w:pPr>
        <w:jc w:val="both"/>
        <w:rPr>
          <w:rFonts w:ascii="Cambria" w:eastAsia="Times New Roman" w:hAnsi="Cambria"/>
          <w:sz w:val="16"/>
          <w:szCs w:val="16"/>
          <w:lang w:eastAsia="es-ES"/>
        </w:rPr>
      </w:pPr>
      <w:r>
        <w:rPr>
          <w:rFonts w:ascii="Cambria" w:eastAsia="Times New Roman" w:hAnsi="Cambria"/>
          <w:sz w:val="16"/>
          <w:szCs w:val="16"/>
          <w:lang w:eastAsia="es-ES"/>
        </w:rPr>
        <w:t>Article</w:t>
      </w:r>
      <w:r w:rsidRPr="005404B2">
        <w:rPr>
          <w:rFonts w:ascii="Cambria" w:eastAsia="Times New Roman" w:hAnsi="Cambria"/>
          <w:sz w:val="16"/>
          <w:szCs w:val="16"/>
          <w:lang w:eastAsia="es-ES"/>
        </w:rPr>
        <w:t xml:space="preserve"> 7. </w:t>
      </w:r>
      <w:r>
        <w:rPr>
          <w:rFonts w:ascii="Cambria" w:eastAsia="Times New Roman" w:hAnsi="Cambria"/>
          <w:sz w:val="16"/>
          <w:szCs w:val="16"/>
          <w:lang w:eastAsia="es-ES"/>
        </w:rPr>
        <w:t>Right to Personal Liberty:</w:t>
      </w:r>
      <w:r w:rsidRPr="005404B2">
        <w:rPr>
          <w:rFonts w:ascii="Cambria" w:eastAsia="Times New Roman" w:hAnsi="Cambria"/>
          <w:sz w:val="16"/>
          <w:szCs w:val="16"/>
          <w:lang w:eastAsia="es-ES"/>
        </w:rPr>
        <w:t xml:space="preserve"> 1.</w:t>
      </w:r>
      <w:r>
        <w:rPr>
          <w:rFonts w:ascii="Cambria" w:eastAsia="Times New Roman" w:hAnsi="Cambria"/>
          <w:sz w:val="16"/>
          <w:szCs w:val="16"/>
          <w:lang w:eastAsia="es-ES"/>
        </w:rPr>
        <w:t xml:space="preserve">Every person has the right to personal liberty and security. </w:t>
      </w:r>
    </w:p>
    <w:p w14:paraId="297A0453" w14:textId="77777777" w:rsidR="007A5DF1" w:rsidRPr="005404B2" w:rsidRDefault="007A5DF1" w:rsidP="00041CFE">
      <w:pPr>
        <w:jc w:val="both"/>
        <w:rPr>
          <w:rFonts w:ascii="Cambria" w:eastAsia="Times New Roman" w:hAnsi="Cambria"/>
          <w:sz w:val="16"/>
          <w:szCs w:val="16"/>
          <w:lang w:eastAsia="es-ES"/>
        </w:rPr>
      </w:pPr>
      <w:r>
        <w:rPr>
          <w:rFonts w:ascii="Cambria" w:hAnsi="Cambria"/>
          <w:sz w:val="16"/>
          <w:szCs w:val="16"/>
        </w:rPr>
        <w:t>Article</w:t>
      </w:r>
      <w:r w:rsidRPr="005404B2">
        <w:rPr>
          <w:rFonts w:ascii="Cambria" w:hAnsi="Cambria"/>
          <w:sz w:val="16"/>
          <w:szCs w:val="16"/>
        </w:rPr>
        <w:t xml:space="preserve"> 8. </w:t>
      </w:r>
      <w:r>
        <w:rPr>
          <w:rFonts w:ascii="Cambria" w:hAnsi="Cambria"/>
          <w:sz w:val="16"/>
          <w:szCs w:val="16"/>
        </w:rPr>
        <w:t>Right to a Fair Trial.</w:t>
      </w:r>
      <w:r w:rsidRPr="005404B2">
        <w:rPr>
          <w:rFonts w:ascii="Cambria" w:hAnsi="Cambria"/>
          <w:sz w:val="16"/>
          <w:szCs w:val="16"/>
        </w:rPr>
        <w:t xml:space="preserve"> 1. </w:t>
      </w:r>
      <w:r>
        <w:rPr>
          <w:rFonts w:ascii="Cambria" w:hAnsi="Cambria"/>
          <w:sz w:val="16"/>
          <w:szCs w:val="16"/>
        </w:rPr>
        <w:t xml:space="preserve">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 </w:t>
      </w:r>
    </w:p>
    <w:p w14:paraId="4904B35A" w14:textId="77777777" w:rsidR="007A5DF1" w:rsidRPr="005404B2" w:rsidRDefault="007A5DF1" w:rsidP="00041CFE">
      <w:pPr>
        <w:jc w:val="both"/>
        <w:rPr>
          <w:rFonts w:ascii="Cambria" w:eastAsia="Times New Roman" w:hAnsi="Cambria"/>
          <w:sz w:val="16"/>
          <w:szCs w:val="16"/>
        </w:rPr>
      </w:pPr>
      <w:r>
        <w:rPr>
          <w:rFonts w:ascii="Cambria" w:hAnsi="Cambria"/>
          <w:sz w:val="16"/>
          <w:szCs w:val="16"/>
        </w:rPr>
        <w:t>Article</w:t>
      </w:r>
      <w:r w:rsidRPr="005404B2">
        <w:rPr>
          <w:rFonts w:ascii="Cambria" w:hAnsi="Cambria"/>
          <w:sz w:val="16"/>
          <w:szCs w:val="16"/>
        </w:rPr>
        <w:t xml:space="preserve"> </w:t>
      </w:r>
      <w:r w:rsidRPr="005404B2">
        <w:rPr>
          <w:rFonts w:ascii="Cambria" w:hAnsi="Cambria"/>
          <w:spacing w:val="-2"/>
          <w:sz w:val="16"/>
          <w:szCs w:val="16"/>
        </w:rPr>
        <w:t>25</w:t>
      </w:r>
      <w:r w:rsidRPr="005404B2">
        <w:rPr>
          <w:rFonts w:ascii="Cambria" w:hAnsi="Cambria"/>
          <w:sz w:val="16"/>
          <w:szCs w:val="16"/>
        </w:rPr>
        <w:t xml:space="preserve">. </w:t>
      </w:r>
      <w:r>
        <w:rPr>
          <w:rFonts w:ascii="Cambria" w:hAnsi="Cambria"/>
          <w:sz w:val="16"/>
          <w:szCs w:val="16"/>
        </w:rPr>
        <w:t>Judicial Protection.</w:t>
      </w:r>
      <w:r w:rsidRPr="005404B2">
        <w:rPr>
          <w:rFonts w:ascii="Cambria" w:hAnsi="Cambria"/>
          <w:sz w:val="16"/>
          <w:szCs w:val="16"/>
        </w:rPr>
        <w:t xml:space="preserve"> 1. </w:t>
      </w:r>
      <w:r>
        <w:rPr>
          <w:rFonts w:ascii="Cambria" w:hAnsi="Cambria"/>
          <w:sz w:val="16"/>
          <w:szCs w:val="16"/>
        </w:rPr>
        <w:t xml:space="preserve">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 </w:t>
      </w:r>
    </w:p>
    <w:p w14:paraId="54615D4F" w14:textId="77777777" w:rsidR="007A5DF1" w:rsidRPr="005404B2" w:rsidRDefault="007A5DF1" w:rsidP="00041CFE">
      <w:pPr>
        <w:jc w:val="both"/>
        <w:rPr>
          <w:rFonts w:ascii="Cambria" w:hAnsi="Cambria"/>
          <w:sz w:val="16"/>
          <w:szCs w:val="16"/>
        </w:rPr>
      </w:pPr>
      <w:r>
        <w:rPr>
          <w:rFonts w:ascii="Cambria" w:eastAsia="Times New Roman" w:hAnsi="Cambria"/>
          <w:sz w:val="16"/>
          <w:szCs w:val="16"/>
          <w:lang w:eastAsia="es-ES"/>
        </w:rPr>
        <w:t>Article</w:t>
      </w:r>
      <w:r w:rsidRPr="005404B2">
        <w:rPr>
          <w:rFonts w:ascii="Cambria" w:eastAsia="Times New Roman" w:hAnsi="Cambria"/>
          <w:sz w:val="16"/>
          <w:szCs w:val="16"/>
          <w:lang w:eastAsia="es-ES"/>
        </w:rPr>
        <w:t xml:space="preserve"> 1.1. </w:t>
      </w:r>
      <w:r>
        <w:rPr>
          <w:rFonts w:ascii="Cambria" w:eastAsia="Times New Roman" w:hAnsi="Cambria"/>
          <w:sz w:val="16"/>
          <w:szCs w:val="16"/>
          <w:lang w:eastAsia="es-ES"/>
        </w:rPr>
        <w:t xml:space="preserve">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 </w:t>
      </w:r>
    </w:p>
  </w:footnote>
  <w:footnote w:id="52">
    <w:p w14:paraId="364582D5" w14:textId="77777777" w:rsidR="007A5DF1" w:rsidRPr="005404B2" w:rsidRDefault="007A5DF1" w:rsidP="00041CFE">
      <w:pPr>
        <w:pStyle w:val="FootnoteText"/>
        <w:jc w:val="both"/>
        <w:rPr>
          <w:rFonts w:ascii="Cambria" w:hAnsi="Cambria"/>
          <w:sz w:val="16"/>
          <w:szCs w:val="16"/>
        </w:rPr>
      </w:pPr>
      <w:r w:rsidRPr="005404B2">
        <w:rPr>
          <w:rStyle w:val="FootnoteReference"/>
          <w:rFonts w:ascii="Cambria" w:hAnsi="Cambria"/>
          <w:sz w:val="16"/>
          <w:szCs w:val="16"/>
        </w:rPr>
        <w:footnoteRef/>
      </w:r>
      <w:r w:rsidRPr="005404B2">
        <w:rPr>
          <w:rFonts w:ascii="Cambria" w:hAnsi="Cambria"/>
          <w:sz w:val="16"/>
          <w:szCs w:val="16"/>
        </w:rPr>
        <w:t xml:space="preserve"> </w:t>
      </w:r>
      <w:r>
        <w:rPr>
          <w:rFonts w:ascii="Cambria" w:hAnsi="Cambria"/>
          <w:sz w:val="16"/>
          <w:szCs w:val="16"/>
        </w:rPr>
        <w:t>Said articles establish the following:</w:t>
      </w:r>
      <w:r w:rsidRPr="005404B2">
        <w:rPr>
          <w:rFonts w:ascii="Cambria" w:hAnsi="Cambria"/>
          <w:sz w:val="16"/>
          <w:szCs w:val="16"/>
        </w:rPr>
        <w:t xml:space="preserve"> </w:t>
      </w:r>
    </w:p>
    <w:p w14:paraId="23B8E4C5" w14:textId="77777777" w:rsidR="007A5DF1" w:rsidRPr="005404B2" w:rsidRDefault="007A5DF1" w:rsidP="00041CFE">
      <w:pPr>
        <w:pStyle w:val="FootnoteText"/>
        <w:jc w:val="both"/>
        <w:rPr>
          <w:rFonts w:ascii="Cambria" w:eastAsia="Times New Roman" w:hAnsi="Cambria"/>
          <w:sz w:val="16"/>
          <w:szCs w:val="16"/>
        </w:rPr>
      </w:pPr>
      <w:r>
        <w:rPr>
          <w:rFonts w:ascii="Cambria" w:eastAsia="Times New Roman" w:hAnsi="Cambria"/>
          <w:sz w:val="16"/>
          <w:szCs w:val="16"/>
        </w:rPr>
        <w:t>Article</w:t>
      </w:r>
      <w:r w:rsidRPr="005404B2">
        <w:rPr>
          <w:rFonts w:ascii="Cambria" w:eastAsia="Times New Roman" w:hAnsi="Cambria"/>
          <w:sz w:val="16"/>
          <w:szCs w:val="16"/>
        </w:rPr>
        <w:t xml:space="preserve"> I. </w:t>
      </w:r>
      <w:r>
        <w:rPr>
          <w:rFonts w:ascii="Cambria" w:eastAsia="Times New Roman" w:hAnsi="Cambria"/>
          <w:sz w:val="16"/>
          <w:szCs w:val="16"/>
        </w:rPr>
        <w:t>The States Parties to this Convention undertake:</w:t>
      </w:r>
      <w:r w:rsidRPr="005404B2">
        <w:rPr>
          <w:rFonts w:ascii="Cambria" w:eastAsia="Times New Roman" w:hAnsi="Cambria"/>
          <w:sz w:val="16"/>
          <w:szCs w:val="16"/>
        </w:rPr>
        <w:t xml:space="preserve"> a) </w:t>
      </w:r>
      <w:r>
        <w:rPr>
          <w:rFonts w:ascii="Cambria" w:eastAsia="Times New Roman" w:hAnsi="Cambria"/>
          <w:sz w:val="16"/>
          <w:szCs w:val="16"/>
        </w:rPr>
        <w:t xml:space="preserve">Not to practice, permit, or tolerate the forced disappearance of persons, even in states of emergency or suspension of individual guarantees; </w:t>
      </w:r>
      <w:r w:rsidRPr="005404B2">
        <w:rPr>
          <w:rFonts w:ascii="Cambria" w:eastAsia="Times New Roman" w:hAnsi="Cambria"/>
          <w:sz w:val="16"/>
          <w:szCs w:val="16"/>
        </w:rPr>
        <w:t xml:space="preserve">b) </w:t>
      </w:r>
      <w:r>
        <w:rPr>
          <w:rFonts w:ascii="Cambria" w:eastAsia="Times New Roman" w:hAnsi="Cambria"/>
          <w:sz w:val="16"/>
          <w:szCs w:val="16"/>
        </w:rPr>
        <w:t xml:space="preserve">To punish within their jurisdictions, those persons who commit or attempt to commit the crime of forced disappearance of persons and their accomplices and accessories; </w:t>
      </w:r>
    </w:p>
  </w:footnote>
  <w:footnote w:id="53">
    <w:p w14:paraId="072D26AC" w14:textId="77777777" w:rsidR="007A5DF1" w:rsidRPr="005404B2" w:rsidRDefault="007A5DF1" w:rsidP="00041CFE">
      <w:pPr>
        <w:tabs>
          <w:tab w:val="left" w:pos="360"/>
        </w:tabs>
        <w:jc w:val="both"/>
        <w:rPr>
          <w:rFonts w:ascii="Cambria" w:hAnsi="Cambria"/>
          <w:sz w:val="16"/>
          <w:szCs w:val="16"/>
        </w:rPr>
      </w:pPr>
      <w:r w:rsidRPr="005404B2">
        <w:rPr>
          <w:rStyle w:val="FootnoteReference"/>
          <w:rFonts w:ascii="Cambria" w:hAnsi="Cambria"/>
          <w:sz w:val="16"/>
          <w:szCs w:val="16"/>
        </w:rPr>
        <w:footnoteRef/>
      </w:r>
      <w:r w:rsidRPr="005404B2">
        <w:rPr>
          <w:rFonts w:ascii="Cambria" w:hAnsi="Cambria"/>
          <w:sz w:val="16"/>
          <w:szCs w:val="16"/>
        </w:rPr>
        <w:t xml:space="preserve"> </w:t>
      </w:r>
      <w:r>
        <w:rPr>
          <w:rFonts w:ascii="Cambria" w:hAnsi="Cambria"/>
          <w:sz w:val="16"/>
          <w:szCs w:val="16"/>
        </w:rPr>
        <w:t>IACHR. Report 101/01. Case 10.247 et al</w:t>
      </w:r>
      <w:r w:rsidRPr="005404B2">
        <w:rPr>
          <w:rFonts w:ascii="Cambria" w:hAnsi="Cambria"/>
          <w:sz w:val="16"/>
          <w:szCs w:val="16"/>
        </w:rPr>
        <w:t xml:space="preserve">. </w:t>
      </w:r>
      <w:r>
        <w:rPr>
          <w:rFonts w:ascii="Cambria" w:hAnsi="Cambria"/>
          <w:sz w:val="16"/>
          <w:szCs w:val="16"/>
        </w:rPr>
        <w:t>Extrajudicial executions and forced disappearances of persons. Peru</w:t>
      </w:r>
      <w:r w:rsidRPr="005404B2">
        <w:rPr>
          <w:rFonts w:ascii="Cambria" w:hAnsi="Cambria"/>
          <w:sz w:val="16"/>
          <w:szCs w:val="16"/>
        </w:rPr>
        <w:t xml:space="preserve">. </w:t>
      </w:r>
      <w:r>
        <w:rPr>
          <w:rFonts w:ascii="Cambria" w:hAnsi="Cambria"/>
          <w:sz w:val="16"/>
          <w:szCs w:val="16"/>
        </w:rPr>
        <w:t xml:space="preserve">October </w:t>
      </w:r>
      <w:r w:rsidRPr="005404B2">
        <w:rPr>
          <w:rFonts w:ascii="Cambria" w:hAnsi="Cambria"/>
          <w:sz w:val="16"/>
          <w:szCs w:val="16"/>
        </w:rPr>
        <w:t>10</w:t>
      </w:r>
      <w:r>
        <w:rPr>
          <w:rFonts w:ascii="Cambria" w:hAnsi="Cambria"/>
          <w:sz w:val="16"/>
          <w:szCs w:val="16"/>
        </w:rPr>
        <w:t>, 2001. Pa</w:t>
      </w:r>
      <w:r w:rsidRPr="005404B2">
        <w:rPr>
          <w:rFonts w:ascii="Cambria" w:hAnsi="Cambria"/>
          <w:sz w:val="16"/>
          <w:szCs w:val="16"/>
        </w:rPr>
        <w:t xml:space="preserve">r. 178; </w:t>
      </w:r>
      <w:r>
        <w:rPr>
          <w:rFonts w:ascii="Cambria" w:hAnsi="Cambria"/>
          <w:sz w:val="16"/>
          <w:szCs w:val="16"/>
        </w:rPr>
        <w:t>IACHR. Application to the Inter-American Court, Case No. 11.324, Narciso González et al</w:t>
      </w:r>
      <w:r w:rsidRPr="005404B2">
        <w:rPr>
          <w:rFonts w:ascii="Cambria" w:hAnsi="Cambria"/>
          <w:sz w:val="16"/>
          <w:szCs w:val="16"/>
        </w:rPr>
        <w:t xml:space="preserve">, </w:t>
      </w:r>
      <w:r>
        <w:rPr>
          <w:rFonts w:ascii="Cambria" w:hAnsi="Cambria"/>
          <w:sz w:val="16"/>
          <w:szCs w:val="16"/>
        </w:rPr>
        <w:t>Dominican Republic</w:t>
      </w:r>
      <w:r w:rsidRPr="005404B2">
        <w:rPr>
          <w:rFonts w:ascii="Cambria" w:hAnsi="Cambria"/>
          <w:sz w:val="16"/>
          <w:szCs w:val="16"/>
        </w:rPr>
        <w:t xml:space="preserve">, </w:t>
      </w:r>
      <w:r>
        <w:rPr>
          <w:rFonts w:ascii="Cambria" w:hAnsi="Cambria"/>
          <w:sz w:val="16"/>
          <w:szCs w:val="16"/>
        </w:rPr>
        <w:t xml:space="preserve">May </w:t>
      </w:r>
      <w:r w:rsidRPr="005404B2">
        <w:rPr>
          <w:rFonts w:ascii="Cambria" w:hAnsi="Cambria"/>
          <w:sz w:val="16"/>
          <w:szCs w:val="16"/>
        </w:rPr>
        <w:t>2</w:t>
      </w:r>
      <w:r>
        <w:rPr>
          <w:rFonts w:ascii="Cambria" w:hAnsi="Cambria"/>
          <w:sz w:val="16"/>
          <w:szCs w:val="16"/>
        </w:rPr>
        <w:t>, 2010, pa</w:t>
      </w:r>
      <w:r w:rsidRPr="005404B2">
        <w:rPr>
          <w:rFonts w:ascii="Cambria" w:hAnsi="Cambria"/>
          <w:sz w:val="16"/>
          <w:szCs w:val="16"/>
        </w:rPr>
        <w:t xml:space="preserve">r. 103; </w:t>
      </w:r>
      <w:r>
        <w:rPr>
          <w:rFonts w:ascii="Cambria" w:hAnsi="Cambria"/>
          <w:sz w:val="16"/>
          <w:szCs w:val="16"/>
        </w:rPr>
        <w:t>IACHR. Application to the Inter-American Court, Case</w:t>
      </w:r>
      <w:r w:rsidRPr="005404B2">
        <w:rPr>
          <w:rFonts w:ascii="Cambria" w:hAnsi="Cambria"/>
          <w:sz w:val="16"/>
          <w:szCs w:val="16"/>
        </w:rPr>
        <w:t xml:space="preserve"> No. 12.51</w:t>
      </w:r>
      <w:r>
        <w:rPr>
          <w:rFonts w:ascii="Cambria" w:hAnsi="Cambria"/>
          <w:sz w:val="16"/>
          <w:szCs w:val="16"/>
        </w:rPr>
        <w:t>7, Gregoria Herminia Contreras et al</w:t>
      </w:r>
      <w:r w:rsidRPr="005404B2">
        <w:rPr>
          <w:rFonts w:ascii="Cambria" w:hAnsi="Cambria"/>
          <w:sz w:val="16"/>
          <w:szCs w:val="16"/>
        </w:rPr>
        <w:t xml:space="preserve">, El Salvador, </w:t>
      </w:r>
      <w:r>
        <w:rPr>
          <w:rFonts w:ascii="Cambria" w:hAnsi="Cambria"/>
          <w:sz w:val="16"/>
          <w:szCs w:val="16"/>
        </w:rPr>
        <w:t xml:space="preserve">June </w:t>
      </w:r>
      <w:r w:rsidRPr="005404B2">
        <w:rPr>
          <w:rFonts w:ascii="Cambria" w:hAnsi="Cambria"/>
          <w:sz w:val="16"/>
          <w:szCs w:val="16"/>
        </w:rPr>
        <w:t>28</w:t>
      </w:r>
      <w:r>
        <w:rPr>
          <w:rFonts w:ascii="Cambria" w:hAnsi="Cambria"/>
          <w:sz w:val="16"/>
          <w:szCs w:val="16"/>
        </w:rPr>
        <w:t>, 2010, pa</w:t>
      </w:r>
      <w:r w:rsidRPr="005404B2">
        <w:rPr>
          <w:rFonts w:ascii="Cambria" w:hAnsi="Cambria"/>
          <w:sz w:val="16"/>
          <w:szCs w:val="16"/>
        </w:rPr>
        <w:t xml:space="preserve">r. 131; </w:t>
      </w:r>
      <w:r>
        <w:rPr>
          <w:rFonts w:ascii="Cambria" w:hAnsi="Cambria"/>
          <w:sz w:val="16"/>
          <w:szCs w:val="16"/>
        </w:rPr>
        <w:t>IA Court of HR, Case of</w:t>
      </w:r>
      <w:r>
        <w:rPr>
          <w:rFonts w:ascii="Cambria" w:hAnsi="Cambria"/>
          <w:iCs/>
          <w:sz w:val="16"/>
          <w:szCs w:val="16"/>
        </w:rPr>
        <w:t xml:space="preserve"> Goiburú et al</w:t>
      </w:r>
      <w:r w:rsidRPr="005404B2">
        <w:rPr>
          <w:rFonts w:ascii="Cambria" w:hAnsi="Cambria"/>
          <w:sz w:val="16"/>
          <w:szCs w:val="16"/>
        </w:rPr>
        <w:t xml:space="preserve">. </w:t>
      </w:r>
      <w:r>
        <w:rPr>
          <w:rFonts w:ascii="Cambria" w:hAnsi="Cambria"/>
          <w:sz w:val="16"/>
          <w:szCs w:val="16"/>
        </w:rPr>
        <w:t xml:space="preserve">Judgment on Merits, Reparations and Costs. Judgment of September </w:t>
      </w:r>
      <w:r w:rsidRPr="005404B2">
        <w:rPr>
          <w:rFonts w:ascii="Cambria" w:hAnsi="Cambria"/>
          <w:sz w:val="16"/>
          <w:szCs w:val="16"/>
        </w:rPr>
        <w:t>22</w:t>
      </w:r>
      <w:r>
        <w:rPr>
          <w:rFonts w:ascii="Cambria" w:hAnsi="Cambria"/>
          <w:sz w:val="16"/>
          <w:szCs w:val="16"/>
        </w:rPr>
        <w:t>,</w:t>
      </w:r>
      <w:r w:rsidRPr="005404B2">
        <w:rPr>
          <w:rFonts w:ascii="Cambria" w:hAnsi="Cambria"/>
          <w:sz w:val="16"/>
          <w:szCs w:val="16"/>
        </w:rPr>
        <w:t xml:space="preserve"> 2006. Serie</w:t>
      </w:r>
      <w:r>
        <w:rPr>
          <w:rFonts w:ascii="Cambria" w:hAnsi="Cambria"/>
          <w:sz w:val="16"/>
          <w:szCs w:val="16"/>
        </w:rPr>
        <w:t>s C No. 153. Pa</w:t>
      </w:r>
      <w:r w:rsidRPr="005404B2">
        <w:rPr>
          <w:rFonts w:ascii="Cambria" w:hAnsi="Cambria"/>
          <w:sz w:val="16"/>
          <w:szCs w:val="16"/>
        </w:rPr>
        <w:t xml:space="preserve">r. 82; </w:t>
      </w:r>
      <w:r>
        <w:rPr>
          <w:rFonts w:ascii="Cambria" w:hAnsi="Cambria"/>
          <w:sz w:val="16"/>
          <w:szCs w:val="16"/>
        </w:rPr>
        <w:t xml:space="preserve">IA Court of HR, </w:t>
      </w:r>
      <w:r>
        <w:rPr>
          <w:rFonts w:ascii="Cambria" w:hAnsi="Cambria"/>
          <w:iCs/>
          <w:sz w:val="16"/>
          <w:szCs w:val="16"/>
        </w:rPr>
        <w:t>Case of</w:t>
      </w:r>
      <w:r w:rsidRPr="005404B2">
        <w:rPr>
          <w:rFonts w:ascii="Cambria" w:hAnsi="Cambria"/>
          <w:iCs/>
          <w:sz w:val="16"/>
          <w:szCs w:val="16"/>
        </w:rPr>
        <w:t xml:space="preserve"> Gómez Palomino</w:t>
      </w:r>
      <w:r w:rsidRPr="005404B2">
        <w:rPr>
          <w:rFonts w:ascii="Cambria" w:hAnsi="Cambria"/>
          <w:sz w:val="16"/>
          <w:szCs w:val="16"/>
        </w:rPr>
        <w:t xml:space="preserve">. </w:t>
      </w:r>
      <w:r>
        <w:rPr>
          <w:rFonts w:ascii="Cambria" w:hAnsi="Cambria"/>
          <w:sz w:val="16"/>
          <w:szCs w:val="16"/>
        </w:rPr>
        <w:t xml:space="preserve">Judgment of November </w:t>
      </w:r>
      <w:r w:rsidRPr="005404B2">
        <w:rPr>
          <w:rFonts w:ascii="Cambria" w:hAnsi="Cambria"/>
          <w:sz w:val="16"/>
          <w:szCs w:val="16"/>
        </w:rPr>
        <w:t>22</w:t>
      </w:r>
      <w:r>
        <w:rPr>
          <w:rFonts w:ascii="Cambria" w:hAnsi="Cambria"/>
          <w:sz w:val="16"/>
          <w:szCs w:val="16"/>
        </w:rPr>
        <w:t>,</w:t>
      </w:r>
      <w:r w:rsidRPr="005404B2">
        <w:rPr>
          <w:rFonts w:ascii="Cambria" w:hAnsi="Cambria"/>
          <w:sz w:val="16"/>
          <w:szCs w:val="16"/>
        </w:rPr>
        <w:t xml:space="preserve"> 2005. Serie</w:t>
      </w:r>
      <w:r>
        <w:rPr>
          <w:rFonts w:ascii="Cambria" w:hAnsi="Cambria"/>
          <w:sz w:val="16"/>
          <w:szCs w:val="16"/>
        </w:rPr>
        <w:t>s C No. 136. Pa</w:t>
      </w:r>
      <w:r w:rsidRPr="005404B2">
        <w:rPr>
          <w:rFonts w:ascii="Cambria" w:hAnsi="Cambria"/>
          <w:sz w:val="16"/>
          <w:szCs w:val="16"/>
        </w:rPr>
        <w:t xml:space="preserve">r. 92; </w:t>
      </w:r>
      <w:r>
        <w:rPr>
          <w:rFonts w:ascii="Cambria" w:hAnsi="Cambria"/>
          <w:sz w:val="16"/>
          <w:szCs w:val="16"/>
        </w:rPr>
        <w:t>IA Court of HR</w:t>
      </w:r>
      <w:r w:rsidRPr="005404B2">
        <w:rPr>
          <w:rFonts w:ascii="Cambria" w:hAnsi="Cambria"/>
          <w:sz w:val="16"/>
          <w:szCs w:val="16"/>
        </w:rPr>
        <w:t xml:space="preserve">, </w:t>
      </w:r>
      <w:r>
        <w:rPr>
          <w:rFonts w:ascii="Cambria" w:hAnsi="Cambria"/>
          <w:noProof/>
          <w:sz w:val="16"/>
          <w:szCs w:val="16"/>
        </w:rPr>
        <w:t xml:space="preserve">Case of the </w:t>
      </w:r>
      <w:r w:rsidRPr="005404B2">
        <w:rPr>
          <w:rFonts w:ascii="Cambria" w:hAnsi="Cambria"/>
          <w:noProof/>
          <w:sz w:val="16"/>
          <w:szCs w:val="16"/>
        </w:rPr>
        <w:t>Serrano Cruz</w:t>
      </w:r>
      <w:r>
        <w:rPr>
          <w:rFonts w:ascii="Cambria" w:hAnsi="Cambria"/>
          <w:noProof/>
          <w:sz w:val="16"/>
          <w:szCs w:val="16"/>
        </w:rPr>
        <w:t xml:space="preserve"> Sisters</w:t>
      </w:r>
      <w:r w:rsidRPr="005404B2">
        <w:rPr>
          <w:rFonts w:ascii="Cambria" w:hAnsi="Cambria"/>
          <w:noProof/>
          <w:sz w:val="16"/>
          <w:szCs w:val="16"/>
        </w:rPr>
        <w:t xml:space="preserve">. </w:t>
      </w:r>
      <w:r>
        <w:rPr>
          <w:rFonts w:ascii="Cambria" w:hAnsi="Cambria"/>
          <w:noProof/>
          <w:sz w:val="16"/>
          <w:szCs w:val="16"/>
        </w:rPr>
        <w:t>Preliminary Objections</w:t>
      </w:r>
      <w:r w:rsidRPr="005404B2">
        <w:rPr>
          <w:rFonts w:ascii="Cambria" w:hAnsi="Cambria"/>
          <w:noProof/>
          <w:sz w:val="16"/>
          <w:szCs w:val="16"/>
        </w:rPr>
        <w:t xml:space="preserve">. </w:t>
      </w:r>
      <w:r>
        <w:rPr>
          <w:rFonts w:ascii="Cambria" w:hAnsi="Cambria"/>
          <w:noProof/>
          <w:sz w:val="16"/>
          <w:szCs w:val="16"/>
        </w:rPr>
        <w:t xml:space="preserve">Judgment of November </w:t>
      </w:r>
      <w:r w:rsidRPr="005404B2">
        <w:rPr>
          <w:rFonts w:ascii="Cambria" w:hAnsi="Cambria"/>
          <w:sz w:val="16"/>
          <w:szCs w:val="16"/>
        </w:rPr>
        <w:t>23</w:t>
      </w:r>
      <w:r>
        <w:rPr>
          <w:rFonts w:ascii="Cambria" w:hAnsi="Cambria"/>
          <w:sz w:val="16"/>
          <w:szCs w:val="16"/>
        </w:rPr>
        <w:t>,</w:t>
      </w:r>
      <w:r w:rsidRPr="005404B2">
        <w:rPr>
          <w:rFonts w:ascii="Cambria" w:hAnsi="Cambria"/>
          <w:sz w:val="16"/>
          <w:szCs w:val="16"/>
        </w:rPr>
        <w:t xml:space="preserve"> 2004. Serie</w:t>
      </w:r>
      <w:r>
        <w:rPr>
          <w:rFonts w:ascii="Cambria" w:hAnsi="Cambria"/>
          <w:sz w:val="16"/>
          <w:szCs w:val="16"/>
        </w:rPr>
        <w:t>s</w:t>
      </w:r>
      <w:r w:rsidRPr="005404B2">
        <w:rPr>
          <w:rFonts w:ascii="Cambria" w:hAnsi="Cambria"/>
          <w:sz w:val="16"/>
          <w:szCs w:val="16"/>
        </w:rPr>
        <w:t xml:space="preserve"> C No. 118</w:t>
      </w:r>
      <w:r>
        <w:rPr>
          <w:rFonts w:ascii="Cambria" w:hAnsi="Cambria"/>
          <w:noProof/>
          <w:sz w:val="16"/>
          <w:szCs w:val="16"/>
        </w:rPr>
        <w:t>, Pars. 100 to</w:t>
      </w:r>
      <w:r w:rsidRPr="005404B2">
        <w:rPr>
          <w:rFonts w:ascii="Cambria" w:hAnsi="Cambria"/>
          <w:noProof/>
          <w:sz w:val="16"/>
          <w:szCs w:val="16"/>
        </w:rPr>
        <w:t xml:space="preserve"> 106; </w:t>
      </w:r>
      <w:r>
        <w:rPr>
          <w:rFonts w:ascii="Cambria" w:hAnsi="Cambria"/>
          <w:noProof/>
          <w:sz w:val="16"/>
          <w:szCs w:val="16"/>
        </w:rPr>
        <w:t xml:space="preserve">IA Court of HR, Case of </w:t>
      </w:r>
      <w:r w:rsidRPr="005404B2">
        <w:rPr>
          <w:rFonts w:ascii="Cambria" w:hAnsi="Cambria"/>
          <w:sz w:val="16"/>
          <w:szCs w:val="16"/>
        </w:rPr>
        <w:t xml:space="preserve">Molina Theissen. </w:t>
      </w:r>
      <w:r w:rsidRPr="005404B2">
        <w:rPr>
          <w:rFonts w:ascii="Cambria" w:hAnsi="Cambria"/>
          <w:noProof/>
          <w:sz w:val="16"/>
          <w:szCs w:val="16"/>
        </w:rPr>
        <w:t>Repara</w:t>
      </w:r>
      <w:r>
        <w:rPr>
          <w:rFonts w:ascii="Cambria" w:hAnsi="Cambria"/>
          <w:noProof/>
          <w:sz w:val="16"/>
          <w:szCs w:val="16"/>
        </w:rPr>
        <w:t>tions (Article</w:t>
      </w:r>
      <w:r w:rsidRPr="005404B2">
        <w:rPr>
          <w:rFonts w:ascii="Cambria" w:hAnsi="Cambria"/>
          <w:noProof/>
          <w:sz w:val="16"/>
          <w:szCs w:val="16"/>
        </w:rPr>
        <w:t xml:space="preserve"> 63.1 </w:t>
      </w:r>
      <w:r>
        <w:rPr>
          <w:rFonts w:ascii="Cambria" w:hAnsi="Cambria"/>
          <w:noProof/>
          <w:sz w:val="16"/>
          <w:szCs w:val="16"/>
        </w:rPr>
        <w:t>American Convention on Human Rights</w:t>
      </w:r>
      <w:r w:rsidRPr="005404B2">
        <w:rPr>
          <w:rFonts w:ascii="Cambria" w:hAnsi="Cambria"/>
          <w:noProof/>
          <w:sz w:val="16"/>
          <w:szCs w:val="16"/>
        </w:rPr>
        <w:t xml:space="preserve">). </w:t>
      </w:r>
      <w:r>
        <w:rPr>
          <w:rFonts w:ascii="Cambria" w:hAnsi="Cambria"/>
          <w:noProof/>
          <w:sz w:val="16"/>
          <w:szCs w:val="16"/>
        </w:rPr>
        <w:t xml:space="preserve">Judgment of July </w:t>
      </w:r>
      <w:r w:rsidRPr="005404B2">
        <w:rPr>
          <w:rFonts w:ascii="Cambria" w:hAnsi="Cambria"/>
          <w:sz w:val="16"/>
          <w:szCs w:val="16"/>
        </w:rPr>
        <w:t>3</w:t>
      </w:r>
      <w:r>
        <w:rPr>
          <w:rFonts w:ascii="Cambria" w:hAnsi="Cambria"/>
          <w:sz w:val="16"/>
          <w:szCs w:val="16"/>
        </w:rPr>
        <w:t>,</w:t>
      </w:r>
      <w:r w:rsidRPr="005404B2">
        <w:rPr>
          <w:rFonts w:ascii="Cambria" w:hAnsi="Cambria"/>
          <w:sz w:val="16"/>
          <w:szCs w:val="16"/>
        </w:rPr>
        <w:t xml:space="preserve"> 2004, Serie</w:t>
      </w:r>
      <w:r>
        <w:rPr>
          <w:rFonts w:ascii="Cambria" w:hAnsi="Cambria"/>
          <w:sz w:val="16"/>
          <w:szCs w:val="16"/>
        </w:rPr>
        <w:t>s C No. 108, Pa</w:t>
      </w:r>
      <w:r w:rsidRPr="005404B2">
        <w:rPr>
          <w:rFonts w:ascii="Cambria" w:hAnsi="Cambria"/>
          <w:sz w:val="16"/>
          <w:szCs w:val="16"/>
        </w:rPr>
        <w:t xml:space="preserve">r. 41. </w:t>
      </w:r>
    </w:p>
  </w:footnote>
  <w:footnote w:id="54">
    <w:p w14:paraId="6A314470" w14:textId="77777777" w:rsidR="007A5DF1" w:rsidRPr="005404B2" w:rsidRDefault="007A5DF1" w:rsidP="00041CFE">
      <w:pPr>
        <w:pStyle w:val="FootnoteText"/>
        <w:jc w:val="both"/>
        <w:rPr>
          <w:rFonts w:ascii="Cambria" w:hAnsi="Cambria"/>
          <w:sz w:val="16"/>
          <w:szCs w:val="16"/>
        </w:rPr>
      </w:pPr>
      <w:r w:rsidRPr="005404B2">
        <w:rPr>
          <w:rStyle w:val="FootnoteReference"/>
          <w:rFonts w:ascii="Cambria" w:hAnsi="Cambria"/>
          <w:sz w:val="16"/>
          <w:szCs w:val="16"/>
        </w:rPr>
        <w:footnoteRef/>
      </w:r>
      <w:r w:rsidRPr="005404B2">
        <w:rPr>
          <w:rFonts w:ascii="Cambria" w:hAnsi="Cambria"/>
          <w:sz w:val="16"/>
          <w:szCs w:val="16"/>
        </w:rPr>
        <w:t xml:space="preserve"> </w:t>
      </w:r>
      <w:r>
        <w:rPr>
          <w:rFonts w:ascii="Cambria" w:hAnsi="Cambria"/>
          <w:sz w:val="16"/>
          <w:szCs w:val="16"/>
        </w:rPr>
        <w:t>IACHR. Application to the Inter-American Court, Case</w:t>
      </w:r>
      <w:r w:rsidRPr="005404B2">
        <w:rPr>
          <w:rFonts w:ascii="Cambria" w:hAnsi="Cambria"/>
          <w:sz w:val="16"/>
          <w:szCs w:val="16"/>
        </w:rPr>
        <w:t xml:space="preserve"> No.</w:t>
      </w:r>
      <w:r>
        <w:rPr>
          <w:rFonts w:ascii="Cambria" w:hAnsi="Cambria"/>
          <w:sz w:val="16"/>
          <w:szCs w:val="16"/>
        </w:rPr>
        <w:t xml:space="preserve"> 12.529, Rainer Ibsen Cárdenas and</w:t>
      </w:r>
      <w:r w:rsidRPr="005404B2">
        <w:rPr>
          <w:rFonts w:ascii="Cambria" w:hAnsi="Cambria"/>
          <w:sz w:val="16"/>
          <w:szCs w:val="16"/>
        </w:rPr>
        <w:t xml:space="preserve"> Jos</w:t>
      </w:r>
      <w:r>
        <w:rPr>
          <w:rFonts w:ascii="Cambria" w:hAnsi="Cambria"/>
          <w:sz w:val="16"/>
          <w:szCs w:val="16"/>
        </w:rPr>
        <w:t>é Luis Ibsen Peña, Bolivia, May 12, 2009, pa</w:t>
      </w:r>
      <w:r w:rsidRPr="005404B2">
        <w:rPr>
          <w:rFonts w:ascii="Cambria" w:hAnsi="Cambria"/>
          <w:sz w:val="16"/>
          <w:szCs w:val="16"/>
        </w:rPr>
        <w:t>r. 106.</w:t>
      </w:r>
    </w:p>
  </w:footnote>
  <w:footnote w:id="55">
    <w:p w14:paraId="7F1B601D" w14:textId="77777777" w:rsidR="007A5DF1" w:rsidRPr="005404B2" w:rsidRDefault="007A5DF1" w:rsidP="00041CFE">
      <w:pPr>
        <w:pStyle w:val="FootnoteText"/>
        <w:tabs>
          <w:tab w:val="left" w:pos="450"/>
        </w:tabs>
        <w:contextualSpacing/>
        <w:jc w:val="both"/>
        <w:rPr>
          <w:rFonts w:ascii="Cambria" w:hAnsi="Cambria"/>
          <w:spacing w:val="-4"/>
          <w:sz w:val="16"/>
          <w:szCs w:val="16"/>
        </w:rPr>
      </w:pPr>
      <w:r w:rsidRPr="005404B2">
        <w:rPr>
          <w:rStyle w:val="FootnoteReference"/>
          <w:rFonts w:ascii="Cambria" w:hAnsi="Cambria"/>
          <w:sz w:val="16"/>
          <w:szCs w:val="16"/>
        </w:rPr>
        <w:footnoteRef/>
      </w:r>
      <w:r w:rsidRPr="00041CFE">
        <w:rPr>
          <w:rFonts w:ascii="Cambria" w:hAnsi="Cambria"/>
          <w:spacing w:val="-4"/>
          <w:sz w:val="16"/>
          <w:szCs w:val="16"/>
          <w:lang w:val="es-VE"/>
        </w:rPr>
        <w:t xml:space="preserve"> Case of Velásquez Rodríguez v. Honduras. </w:t>
      </w:r>
      <w:r>
        <w:rPr>
          <w:rFonts w:ascii="Cambria" w:hAnsi="Cambria"/>
          <w:spacing w:val="-4"/>
          <w:sz w:val="16"/>
          <w:szCs w:val="16"/>
        </w:rPr>
        <w:t>Merits, supra, pars.</w:t>
      </w:r>
      <w:r>
        <w:rPr>
          <w:rFonts w:ascii="Cambria" w:hAnsi="Cambria"/>
          <w:noProof/>
          <w:spacing w:val="-4"/>
          <w:sz w:val="16"/>
          <w:szCs w:val="16"/>
        </w:rPr>
        <w:t xml:space="preserve"> 155 to 157, and</w:t>
      </w:r>
      <w:r w:rsidRPr="005404B2">
        <w:rPr>
          <w:rFonts w:ascii="Cambria" w:hAnsi="Cambria"/>
          <w:noProof/>
          <w:spacing w:val="-4"/>
          <w:sz w:val="16"/>
          <w:szCs w:val="16"/>
        </w:rPr>
        <w:t xml:space="preserve"> </w:t>
      </w:r>
      <w:r>
        <w:rPr>
          <w:rFonts w:ascii="Cambria" w:hAnsi="Cambria"/>
          <w:spacing w:val="-4"/>
          <w:sz w:val="16"/>
          <w:szCs w:val="16"/>
        </w:rPr>
        <w:t>Case of Osorio Rivera and Family v. Peru, supra, pa</w:t>
      </w:r>
      <w:r w:rsidRPr="005404B2">
        <w:rPr>
          <w:rFonts w:ascii="Cambria" w:hAnsi="Cambria"/>
          <w:spacing w:val="-4"/>
          <w:sz w:val="16"/>
          <w:szCs w:val="16"/>
        </w:rPr>
        <w:t>r. 31.</w:t>
      </w:r>
    </w:p>
  </w:footnote>
  <w:footnote w:id="56">
    <w:p w14:paraId="58433A29" w14:textId="77777777" w:rsidR="007A5DF1" w:rsidRPr="005404B2" w:rsidRDefault="007A5DF1" w:rsidP="00041CFE">
      <w:pPr>
        <w:pStyle w:val="FootnoteText"/>
        <w:tabs>
          <w:tab w:val="left" w:pos="720"/>
        </w:tabs>
        <w:jc w:val="both"/>
        <w:rPr>
          <w:rFonts w:ascii="Cambria" w:hAnsi="Cambria"/>
          <w:sz w:val="16"/>
          <w:szCs w:val="16"/>
          <w:highlight w:val="red"/>
        </w:rPr>
      </w:pPr>
      <w:r w:rsidRPr="005404B2">
        <w:rPr>
          <w:rStyle w:val="FootnoteReference"/>
          <w:rFonts w:ascii="Cambria" w:hAnsi="Cambria"/>
          <w:sz w:val="16"/>
          <w:szCs w:val="16"/>
        </w:rPr>
        <w:footnoteRef/>
      </w:r>
      <w:r w:rsidRPr="005404B2">
        <w:rPr>
          <w:rFonts w:ascii="Cambria" w:hAnsi="Cambria"/>
          <w:sz w:val="16"/>
          <w:szCs w:val="16"/>
        </w:rPr>
        <w:t xml:space="preserve"> </w:t>
      </w:r>
      <w:r>
        <w:rPr>
          <w:rFonts w:ascii="Cambria" w:hAnsi="Cambria"/>
          <w:sz w:val="16"/>
          <w:szCs w:val="16"/>
        </w:rPr>
        <w:t>IA Court of HR. Case of Chaparro Álvarez and Lapo Iñiguez v</w:t>
      </w:r>
      <w:r w:rsidRPr="005404B2">
        <w:rPr>
          <w:rFonts w:ascii="Cambria" w:hAnsi="Cambria"/>
          <w:sz w:val="16"/>
          <w:szCs w:val="16"/>
        </w:rPr>
        <w:t xml:space="preserve">. Ecuador. </w:t>
      </w:r>
      <w:r>
        <w:rPr>
          <w:rFonts w:ascii="Cambria" w:hAnsi="Cambria"/>
          <w:sz w:val="16"/>
          <w:szCs w:val="16"/>
        </w:rPr>
        <w:t xml:space="preserve">Preliminary Objections, Merits, Reparations and Costs. Judgment of November </w:t>
      </w:r>
      <w:r w:rsidRPr="005404B2">
        <w:rPr>
          <w:rFonts w:ascii="Cambria" w:hAnsi="Cambria"/>
          <w:sz w:val="16"/>
          <w:szCs w:val="16"/>
        </w:rPr>
        <w:t>21</w:t>
      </w:r>
      <w:r>
        <w:rPr>
          <w:rFonts w:ascii="Cambria" w:hAnsi="Cambria"/>
          <w:sz w:val="16"/>
          <w:szCs w:val="16"/>
        </w:rPr>
        <w:t>,</w:t>
      </w:r>
      <w:r w:rsidRPr="005404B2">
        <w:rPr>
          <w:rFonts w:ascii="Cambria" w:hAnsi="Cambria"/>
          <w:sz w:val="16"/>
          <w:szCs w:val="16"/>
        </w:rPr>
        <w:t xml:space="preserve"> 2007. Serie</w:t>
      </w:r>
      <w:r>
        <w:rPr>
          <w:rFonts w:ascii="Cambria" w:hAnsi="Cambria"/>
          <w:sz w:val="16"/>
          <w:szCs w:val="16"/>
        </w:rPr>
        <w:t>s C No. 170, par. 171; and Case of Anzualdo Castro v. Peru</w:t>
      </w:r>
      <w:r w:rsidRPr="005404B2">
        <w:rPr>
          <w:rFonts w:ascii="Cambria" w:hAnsi="Cambria"/>
          <w:sz w:val="16"/>
          <w:szCs w:val="16"/>
        </w:rPr>
        <w:t xml:space="preserve">. </w:t>
      </w:r>
      <w:r>
        <w:rPr>
          <w:rFonts w:ascii="Cambria" w:hAnsi="Cambria"/>
          <w:sz w:val="16"/>
          <w:szCs w:val="16"/>
        </w:rPr>
        <w:t>Preliminary Objection</w:t>
      </w:r>
      <w:r w:rsidRPr="005404B2">
        <w:rPr>
          <w:rFonts w:ascii="Cambria" w:hAnsi="Cambria"/>
          <w:sz w:val="16"/>
          <w:szCs w:val="16"/>
        </w:rPr>
        <w:t xml:space="preserve">, </w:t>
      </w:r>
      <w:r>
        <w:rPr>
          <w:rFonts w:ascii="Cambria" w:hAnsi="Cambria"/>
          <w:sz w:val="16"/>
          <w:szCs w:val="16"/>
        </w:rPr>
        <w:t>Merits</w:t>
      </w:r>
      <w:r w:rsidRPr="005404B2">
        <w:rPr>
          <w:rFonts w:ascii="Cambria" w:hAnsi="Cambria"/>
          <w:sz w:val="16"/>
          <w:szCs w:val="16"/>
        </w:rPr>
        <w:t>,</w:t>
      </w:r>
      <w:r>
        <w:rPr>
          <w:rFonts w:ascii="Cambria" w:hAnsi="Cambria"/>
          <w:sz w:val="16"/>
          <w:szCs w:val="16"/>
        </w:rPr>
        <w:t xml:space="preserve"> Reparations and Costs. Judgment of September </w:t>
      </w:r>
      <w:r w:rsidRPr="005404B2">
        <w:rPr>
          <w:rFonts w:ascii="Cambria" w:hAnsi="Cambria"/>
          <w:sz w:val="16"/>
          <w:szCs w:val="16"/>
        </w:rPr>
        <w:t>22</w:t>
      </w:r>
      <w:r>
        <w:rPr>
          <w:rFonts w:ascii="Cambria" w:hAnsi="Cambria"/>
          <w:sz w:val="16"/>
          <w:szCs w:val="16"/>
        </w:rPr>
        <w:t>,</w:t>
      </w:r>
      <w:r w:rsidRPr="005404B2">
        <w:rPr>
          <w:rFonts w:ascii="Cambria" w:hAnsi="Cambria"/>
          <w:sz w:val="16"/>
          <w:szCs w:val="16"/>
        </w:rPr>
        <w:t xml:space="preserve"> 2009. Serie</w:t>
      </w:r>
      <w:r>
        <w:rPr>
          <w:rFonts w:ascii="Cambria" w:hAnsi="Cambria"/>
          <w:sz w:val="16"/>
          <w:szCs w:val="16"/>
        </w:rPr>
        <w:t>s C No. 202, pa</w:t>
      </w:r>
      <w:r w:rsidRPr="005404B2">
        <w:rPr>
          <w:rFonts w:ascii="Cambria" w:hAnsi="Cambria"/>
          <w:sz w:val="16"/>
          <w:szCs w:val="16"/>
        </w:rPr>
        <w:t xml:space="preserve">r. 85. </w:t>
      </w:r>
    </w:p>
  </w:footnote>
  <w:footnote w:id="57">
    <w:p w14:paraId="261B1A07" w14:textId="77777777" w:rsidR="007A5DF1" w:rsidRPr="005404B2" w:rsidRDefault="007A5DF1" w:rsidP="00041CFE">
      <w:pPr>
        <w:pStyle w:val="FootnoteText"/>
        <w:jc w:val="both"/>
        <w:rPr>
          <w:rFonts w:ascii="Cambria" w:hAnsi="Cambria"/>
          <w:sz w:val="16"/>
          <w:szCs w:val="16"/>
        </w:rPr>
      </w:pPr>
      <w:r w:rsidRPr="005404B2">
        <w:rPr>
          <w:rStyle w:val="FootnoteReference"/>
          <w:rFonts w:ascii="Cambria" w:hAnsi="Cambria"/>
          <w:sz w:val="16"/>
          <w:szCs w:val="16"/>
        </w:rPr>
        <w:footnoteRef/>
      </w:r>
      <w:r w:rsidRPr="005404B2">
        <w:rPr>
          <w:rFonts w:ascii="Cambria" w:hAnsi="Cambria"/>
          <w:sz w:val="16"/>
          <w:szCs w:val="16"/>
        </w:rPr>
        <w:t xml:space="preserve"> </w:t>
      </w:r>
      <w:r>
        <w:rPr>
          <w:rFonts w:ascii="Cambria" w:hAnsi="Cambria"/>
          <w:sz w:val="16"/>
          <w:szCs w:val="16"/>
        </w:rPr>
        <w:t>IA Court of HR. Case of</w:t>
      </w:r>
      <w:r>
        <w:rPr>
          <w:rFonts w:ascii="Cambria" w:hAnsi="Cambria"/>
          <w:noProof/>
          <w:sz w:val="16"/>
          <w:szCs w:val="16"/>
        </w:rPr>
        <w:t xml:space="preserve"> Ticona Estrada et al v.</w:t>
      </w:r>
      <w:r w:rsidRPr="005404B2">
        <w:rPr>
          <w:rFonts w:ascii="Cambria" w:hAnsi="Cambria"/>
          <w:noProof/>
          <w:sz w:val="16"/>
          <w:szCs w:val="16"/>
        </w:rPr>
        <w:t xml:space="preserve"> Bolivia. </w:t>
      </w:r>
      <w:r>
        <w:rPr>
          <w:rFonts w:ascii="Cambria" w:hAnsi="Cambria"/>
          <w:noProof/>
          <w:sz w:val="16"/>
          <w:szCs w:val="16"/>
        </w:rPr>
        <w:t xml:space="preserve">Merits, Reparations and Costs. Judgment of November </w:t>
      </w:r>
      <w:r w:rsidRPr="005404B2">
        <w:rPr>
          <w:rFonts w:ascii="Cambria" w:hAnsi="Cambria"/>
          <w:noProof/>
          <w:sz w:val="16"/>
          <w:szCs w:val="16"/>
        </w:rPr>
        <w:t>27</w:t>
      </w:r>
      <w:r>
        <w:rPr>
          <w:rFonts w:ascii="Cambria" w:hAnsi="Cambria"/>
          <w:noProof/>
          <w:sz w:val="16"/>
          <w:szCs w:val="16"/>
        </w:rPr>
        <w:t>,</w:t>
      </w:r>
      <w:r w:rsidRPr="005404B2">
        <w:rPr>
          <w:rFonts w:ascii="Cambria" w:hAnsi="Cambria"/>
          <w:noProof/>
          <w:sz w:val="16"/>
          <w:szCs w:val="16"/>
        </w:rPr>
        <w:t xml:space="preserve"> 2008. Serie</w:t>
      </w:r>
      <w:r>
        <w:rPr>
          <w:rFonts w:ascii="Cambria" w:hAnsi="Cambria"/>
          <w:noProof/>
          <w:sz w:val="16"/>
          <w:szCs w:val="16"/>
        </w:rPr>
        <w:t>s C No. 191, pa</w:t>
      </w:r>
      <w:r w:rsidRPr="005404B2">
        <w:rPr>
          <w:rFonts w:ascii="Cambria" w:hAnsi="Cambria"/>
          <w:noProof/>
          <w:sz w:val="16"/>
          <w:szCs w:val="16"/>
        </w:rPr>
        <w:t>r. 58</w:t>
      </w:r>
      <w:r>
        <w:rPr>
          <w:rFonts w:ascii="Cambria" w:hAnsi="Cambria"/>
          <w:noProof/>
          <w:color w:val="auto"/>
          <w:sz w:val="16"/>
          <w:szCs w:val="16"/>
        </w:rPr>
        <w:t>; and IACHR</w:t>
      </w:r>
      <w:r w:rsidRPr="005404B2">
        <w:rPr>
          <w:rFonts w:ascii="Cambria" w:hAnsi="Cambria"/>
          <w:color w:val="auto"/>
          <w:sz w:val="16"/>
          <w:szCs w:val="16"/>
        </w:rPr>
        <w:t xml:space="preserve">, </w:t>
      </w:r>
      <w:r>
        <w:rPr>
          <w:rFonts w:ascii="Cambria" w:hAnsi="Cambria"/>
          <w:color w:val="auto"/>
          <w:sz w:val="16"/>
          <w:szCs w:val="16"/>
        </w:rPr>
        <w:t>Report No. 5/16, Cases</w:t>
      </w:r>
      <w:r w:rsidRPr="005404B2">
        <w:rPr>
          <w:rFonts w:ascii="Cambria" w:hAnsi="Cambria"/>
          <w:color w:val="auto"/>
          <w:sz w:val="16"/>
          <w:szCs w:val="16"/>
        </w:rPr>
        <w:t xml:space="preserve"> 1</w:t>
      </w:r>
      <w:r>
        <w:rPr>
          <w:rFonts w:ascii="Cambria" w:hAnsi="Cambria"/>
          <w:color w:val="auto"/>
          <w:sz w:val="16"/>
          <w:szCs w:val="16"/>
        </w:rPr>
        <w:t>1.053, 11.054, 12.224, 12.225, and</w:t>
      </w:r>
      <w:r w:rsidRPr="005404B2">
        <w:rPr>
          <w:rFonts w:ascii="Cambria" w:hAnsi="Cambria"/>
          <w:color w:val="auto"/>
          <w:sz w:val="16"/>
          <w:szCs w:val="16"/>
        </w:rPr>
        <w:t xml:space="preserve"> 12.823. </w:t>
      </w:r>
      <w:r>
        <w:rPr>
          <w:rFonts w:ascii="Cambria" w:hAnsi="Cambria"/>
          <w:color w:val="auto"/>
          <w:sz w:val="16"/>
          <w:szCs w:val="16"/>
        </w:rPr>
        <w:t>Merits. Peru</w:t>
      </w:r>
      <w:r w:rsidRPr="005404B2">
        <w:rPr>
          <w:rFonts w:ascii="Cambria" w:hAnsi="Cambria"/>
          <w:color w:val="auto"/>
          <w:sz w:val="16"/>
          <w:szCs w:val="16"/>
        </w:rPr>
        <w:t xml:space="preserve">. </w:t>
      </w:r>
      <w:r>
        <w:rPr>
          <w:rFonts w:ascii="Cambria" w:hAnsi="Cambria"/>
          <w:color w:val="auto"/>
          <w:sz w:val="16"/>
          <w:szCs w:val="16"/>
        </w:rPr>
        <w:t xml:space="preserve">April </w:t>
      </w:r>
      <w:r w:rsidRPr="005404B2">
        <w:rPr>
          <w:rFonts w:ascii="Cambria" w:hAnsi="Cambria"/>
          <w:color w:val="auto"/>
          <w:sz w:val="16"/>
          <w:szCs w:val="16"/>
        </w:rPr>
        <w:t>13</w:t>
      </w:r>
      <w:r>
        <w:rPr>
          <w:rFonts w:ascii="Cambria" w:hAnsi="Cambria"/>
          <w:color w:val="auto"/>
          <w:sz w:val="16"/>
          <w:szCs w:val="16"/>
        </w:rPr>
        <w:t>, 2016, pa</w:t>
      </w:r>
      <w:r w:rsidRPr="005404B2">
        <w:rPr>
          <w:rFonts w:ascii="Cambria" w:hAnsi="Cambria"/>
          <w:color w:val="auto"/>
          <w:sz w:val="16"/>
          <w:szCs w:val="16"/>
        </w:rPr>
        <w:t xml:space="preserve">r. </w:t>
      </w:r>
      <w:r w:rsidRPr="005404B2">
        <w:rPr>
          <w:rFonts w:ascii="Cambria" w:hAnsi="Cambria"/>
          <w:noProof/>
          <w:color w:val="auto"/>
          <w:sz w:val="16"/>
          <w:szCs w:val="16"/>
        </w:rPr>
        <w:t xml:space="preserve">167. </w:t>
      </w:r>
    </w:p>
  </w:footnote>
  <w:footnote w:id="58">
    <w:p w14:paraId="78C23DEE" w14:textId="77777777" w:rsidR="007A5DF1" w:rsidRPr="005404B2" w:rsidRDefault="007A5DF1" w:rsidP="00041CFE">
      <w:pPr>
        <w:pStyle w:val="FootnoteText"/>
        <w:tabs>
          <w:tab w:val="left" w:pos="720"/>
        </w:tabs>
        <w:jc w:val="both"/>
        <w:rPr>
          <w:rFonts w:ascii="Cambria" w:hAnsi="Cambria"/>
          <w:sz w:val="16"/>
          <w:szCs w:val="16"/>
          <w:highlight w:val="red"/>
        </w:rPr>
      </w:pPr>
      <w:r w:rsidRPr="005404B2">
        <w:rPr>
          <w:rStyle w:val="FootnoteReference"/>
          <w:rFonts w:ascii="Cambria" w:hAnsi="Cambria"/>
          <w:sz w:val="16"/>
          <w:szCs w:val="16"/>
        </w:rPr>
        <w:footnoteRef/>
      </w:r>
      <w:r w:rsidRPr="005404B2">
        <w:rPr>
          <w:rFonts w:ascii="Cambria" w:hAnsi="Cambria"/>
          <w:sz w:val="16"/>
          <w:szCs w:val="16"/>
        </w:rPr>
        <w:t xml:space="preserve"> </w:t>
      </w:r>
      <w:r>
        <w:rPr>
          <w:rFonts w:ascii="Cambria" w:hAnsi="Cambria"/>
          <w:sz w:val="16"/>
          <w:szCs w:val="16"/>
        </w:rPr>
        <w:t>IA Court of HR. Case of Ticona Estrada v</w:t>
      </w:r>
      <w:r w:rsidRPr="005404B2">
        <w:rPr>
          <w:rFonts w:ascii="Cambria" w:hAnsi="Cambria"/>
          <w:sz w:val="16"/>
          <w:szCs w:val="16"/>
        </w:rPr>
        <w:t xml:space="preserve">. Bolivia. </w:t>
      </w:r>
      <w:r>
        <w:rPr>
          <w:rFonts w:ascii="Cambria" w:hAnsi="Cambria"/>
          <w:sz w:val="16"/>
          <w:szCs w:val="16"/>
        </w:rPr>
        <w:t>Merits, Reparations and Costs. Judgment of November</w:t>
      </w:r>
      <w:r w:rsidRPr="005404B2">
        <w:rPr>
          <w:rFonts w:ascii="Cambria" w:hAnsi="Cambria"/>
          <w:sz w:val="16"/>
          <w:szCs w:val="16"/>
        </w:rPr>
        <w:t xml:space="preserve"> 27</w:t>
      </w:r>
      <w:r>
        <w:rPr>
          <w:rFonts w:ascii="Cambria" w:hAnsi="Cambria"/>
          <w:sz w:val="16"/>
          <w:szCs w:val="16"/>
        </w:rPr>
        <w:t>,</w:t>
      </w:r>
      <w:r w:rsidRPr="005404B2">
        <w:rPr>
          <w:rFonts w:ascii="Cambria" w:hAnsi="Cambria"/>
          <w:sz w:val="16"/>
          <w:szCs w:val="16"/>
        </w:rPr>
        <w:t xml:space="preserve"> 2008. Serie</w:t>
      </w:r>
      <w:r>
        <w:rPr>
          <w:rFonts w:ascii="Cambria" w:hAnsi="Cambria"/>
          <w:sz w:val="16"/>
          <w:szCs w:val="16"/>
        </w:rPr>
        <w:t>s C No. 191, par. 59; Case of Anzualdo Castro v. Peru</w:t>
      </w:r>
      <w:r w:rsidRPr="005404B2">
        <w:rPr>
          <w:rFonts w:ascii="Cambria" w:hAnsi="Cambria"/>
          <w:sz w:val="16"/>
          <w:szCs w:val="16"/>
        </w:rPr>
        <w:t xml:space="preserve">. </w:t>
      </w:r>
      <w:r>
        <w:rPr>
          <w:rFonts w:ascii="Cambria" w:hAnsi="Cambria"/>
          <w:sz w:val="16"/>
          <w:szCs w:val="16"/>
        </w:rPr>
        <w:t>Preliminary Objection, Merits, Reparation and Costs. Judgment of September</w:t>
      </w:r>
      <w:r w:rsidRPr="005404B2">
        <w:rPr>
          <w:rFonts w:ascii="Cambria" w:hAnsi="Cambria"/>
          <w:sz w:val="16"/>
          <w:szCs w:val="16"/>
        </w:rPr>
        <w:t xml:space="preserve"> 22</w:t>
      </w:r>
      <w:r>
        <w:rPr>
          <w:rFonts w:ascii="Cambria" w:hAnsi="Cambria"/>
          <w:sz w:val="16"/>
          <w:szCs w:val="16"/>
        </w:rPr>
        <w:t>,</w:t>
      </w:r>
      <w:r w:rsidRPr="005404B2">
        <w:rPr>
          <w:rFonts w:ascii="Cambria" w:hAnsi="Cambria"/>
          <w:sz w:val="16"/>
          <w:szCs w:val="16"/>
        </w:rPr>
        <w:t xml:space="preserve"> 2009. Serie</w:t>
      </w:r>
      <w:r>
        <w:rPr>
          <w:rFonts w:ascii="Cambria" w:hAnsi="Cambria"/>
          <w:sz w:val="16"/>
          <w:szCs w:val="16"/>
        </w:rPr>
        <w:t>s C No. 202, par. 85; and Case of Radilla Pacheco v. Me</w:t>
      </w:r>
      <w:r w:rsidRPr="005404B2">
        <w:rPr>
          <w:rFonts w:ascii="Cambria" w:hAnsi="Cambria"/>
          <w:sz w:val="16"/>
          <w:szCs w:val="16"/>
        </w:rPr>
        <w:t xml:space="preserve">xico. </w:t>
      </w:r>
      <w:r>
        <w:rPr>
          <w:rFonts w:ascii="Cambria" w:hAnsi="Cambria"/>
          <w:sz w:val="16"/>
          <w:szCs w:val="16"/>
        </w:rPr>
        <w:t xml:space="preserve">Preliminary Objections, Merits, Reparations and Costs. Judgment of November </w:t>
      </w:r>
      <w:r w:rsidRPr="005404B2">
        <w:rPr>
          <w:rFonts w:ascii="Cambria" w:hAnsi="Cambria"/>
          <w:sz w:val="16"/>
          <w:szCs w:val="16"/>
        </w:rPr>
        <w:t>23</w:t>
      </w:r>
      <w:r>
        <w:rPr>
          <w:rFonts w:ascii="Cambria" w:hAnsi="Cambria"/>
          <w:sz w:val="16"/>
          <w:szCs w:val="16"/>
        </w:rPr>
        <w:t>,</w:t>
      </w:r>
      <w:r w:rsidRPr="005404B2">
        <w:rPr>
          <w:rFonts w:ascii="Cambria" w:hAnsi="Cambria"/>
          <w:sz w:val="16"/>
          <w:szCs w:val="16"/>
        </w:rPr>
        <w:t xml:space="preserve"> 2009. Serie</w:t>
      </w:r>
      <w:r>
        <w:rPr>
          <w:rFonts w:ascii="Cambria" w:hAnsi="Cambria"/>
          <w:sz w:val="16"/>
          <w:szCs w:val="16"/>
        </w:rPr>
        <w:t>s</w:t>
      </w:r>
      <w:r w:rsidRPr="005404B2">
        <w:rPr>
          <w:rFonts w:ascii="Cambria" w:hAnsi="Cambria"/>
          <w:sz w:val="16"/>
          <w:szCs w:val="16"/>
        </w:rPr>
        <w:t xml:space="preserve"> C No. 209, 154.</w:t>
      </w:r>
    </w:p>
  </w:footnote>
  <w:footnote w:id="59">
    <w:p w14:paraId="4ECEC6ED" w14:textId="77777777" w:rsidR="007A5DF1" w:rsidRPr="005404B2" w:rsidRDefault="007A5DF1" w:rsidP="00041CFE">
      <w:pPr>
        <w:tabs>
          <w:tab w:val="left" w:pos="360"/>
          <w:tab w:val="left" w:pos="1080"/>
        </w:tabs>
        <w:jc w:val="both"/>
        <w:rPr>
          <w:rFonts w:ascii="Cambria" w:hAnsi="Cambria"/>
          <w:sz w:val="16"/>
          <w:szCs w:val="16"/>
          <w:highlight w:val="red"/>
        </w:rPr>
      </w:pPr>
      <w:r w:rsidRPr="005404B2">
        <w:rPr>
          <w:rStyle w:val="FootnoteReference"/>
          <w:rFonts w:ascii="Cambria" w:hAnsi="Cambria"/>
          <w:sz w:val="16"/>
          <w:szCs w:val="16"/>
        </w:rPr>
        <w:footnoteRef/>
      </w:r>
      <w:r w:rsidRPr="005404B2">
        <w:rPr>
          <w:rFonts w:ascii="Cambria" w:hAnsi="Cambria"/>
          <w:sz w:val="16"/>
          <w:szCs w:val="16"/>
        </w:rPr>
        <w:t xml:space="preserve"> </w:t>
      </w:r>
      <w:r>
        <w:rPr>
          <w:rFonts w:ascii="Cambria" w:hAnsi="Cambria"/>
          <w:sz w:val="16"/>
          <w:szCs w:val="16"/>
        </w:rPr>
        <w:t xml:space="preserve">IA Court of HR. Case of </w:t>
      </w:r>
      <w:r w:rsidRPr="005404B2">
        <w:rPr>
          <w:rFonts w:ascii="Cambria" w:hAnsi="Cambria"/>
          <w:iCs/>
          <w:color w:val="000000"/>
          <w:sz w:val="16"/>
          <w:szCs w:val="16"/>
        </w:rPr>
        <w:t xml:space="preserve">19 </w:t>
      </w:r>
      <w:r>
        <w:rPr>
          <w:rFonts w:ascii="Cambria" w:hAnsi="Cambria"/>
          <w:iCs/>
          <w:color w:val="000000"/>
          <w:sz w:val="16"/>
          <w:szCs w:val="16"/>
        </w:rPr>
        <w:t xml:space="preserve">Merchants. Judgment of July </w:t>
      </w:r>
      <w:r w:rsidRPr="005404B2">
        <w:rPr>
          <w:rFonts w:ascii="Cambria" w:hAnsi="Cambria"/>
          <w:color w:val="000000"/>
          <w:sz w:val="16"/>
          <w:szCs w:val="16"/>
        </w:rPr>
        <w:t>5</w:t>
      </w:r>
      <w:r>
        <w:rPr>
          <w:rFonts w:ascii="Cambria" w:hAnsi="Cambria"/>
          <w:color w:val="000000"/>
          <w:sz w:val="16"/>
          <w:szCs w:val="16"/>
        </w:rPr>
        <w:t>,</w:t>
      </w:r>
      <w:r w:rsidRPr="005404B2">
        <w:rPr>
          <w:rFonts w:ascii="Cambria" w:hAnsi="Cambria"/>
          <w:color w:val="000000"/>
          <w:sz w:val="16"/>
          <w:szCs w:val="16"/>
        </w:rPr>
        <w:t xml:space="preserve"> 2004. Serie</w:t>
      </w:r>
      <w:r>
        <w:rPr>
          <w:rFonts w:ascii="Cambria" w:hAnsi="Cambria"/>
          <w:color w:val="000000"/>
          <w:sz w:val="16"/>
          <w:szCs w:val="16"/>
        </w:rPr>
        <w:t>s C No. 109, pa</w:t>
      </w:r>
      <w:r w:rsidRPr="005404B2">
        <w:rPr>
          <w:rFonts w:ascii="Cambria" w:hAnsi="Cambria"/>
          <w:color w:val="000000"/>
          <w:sz w:val="16"/>
          <w:szCs w:val="16"/>
        </w:rPr>
        <w:t>r.</w:t>
      </w:r>
      <w:r w:rsidRPr="005404B2">
        <w:rPr>
          <w:rFonts w:ascii="Cambria" w:hAnsi="Cambria"/>
          <w:sz w:val="16"/>
          <w:szCs w:val="16"/>
        </w:rPr>
        <w:t xml:space="preserve">154; </w:t>
      </w:r>
      <w:r>
        <w:rPr>
          <w:rFonts w:ascii="Cambria" w:hAnsi="Cambria"/>
          <w:sz w:val="16"/>
          <w:szCs w:val="16"/>
        </w:rPr>
        <w:t>IA Court of HR, Case of</w:t>
      </w:r>
      <w:r w:rsidRPr="005404B2">
        <w:rPr>
          <w:rFonts w:ascii="Cambria" w:hAnsi="Cambria"/>
          <w:iCs/>
          <w:sz w:val="16"/>
          <w:szCs w:val="16"/>
        </w:rPr>
        <w:t xml:space="preserve"> Bámaca Velásquez.</w:t>
      </w:r>
      <w:r w:rsidRPr="005404B2">
        <w:rPr>
          <w:rFonts w:ascii="Cambria" w:hAnsi="Cambria"/>
          <w:sz w:val="16"/>
          <w:szCs w:val="16"/>
        </w:rPr>
        <w:t xml:space="preserve"> </w:t>
      </w:r>
      <w:r>
        <w:rPr>
          <w:rFonts w:ascii="Cambria" w:hAnsi="Cambria"/>
          <w:sz w:val="16"/>
          <w:szCs w:val="16"/>
        </w:rPr>
        <w:t xml:space="preserve">Judgment of November </w:t>
      </w:r>
      <w:r w:rsidRPr="005404B2">
        <w:rPr>
          <w:rFonts w:ascii="Cambria" w:hAnsi="Cambria"/>
          <w:sz w:val="16"/>
          <w:szCs w:val="16"/>
        </w:rPr>
        <w:t>25</w:t>
      </w:r>
      <w:r>
        <w:rPr>
          <w:rFonts w:ascii="Cambria" w:hAnsi="Cambria"/>
          <w:sz w:val="16"/>
          <w:szCs w:val="16"/>
        </w:rPr>
        <w:t>,</w:t>
      </w:r>
      <w:r w:rsidRPr="005404B2">
        <w:rPr>
          <w:rFonts w:ascii="Cambria" w:hAnsi="Cambria"/>
          <w:sz w:val="16"/>
          <w:szCs w:val="16"/>
        </w:rPr>
        <w:t xml:space="preserve"> 2000. Serie</w:t>
      </w:r>
      <w:r>
        <w:rPr>
          <w:rFonts w:ascii="Cambria" w:hAnsi="Cambria"/>
          <w:sz w:val="16"/>
          <w:szCs w:val="16"/>
        </w:rPr>
        <w:t>s C No. 70, par.130; and IACHR</w:t>
      </w:r>
      <w:r w:rsidRPr="005404B2">
        <w:rPr>
          <w:rFonts w:ascii="Cambria" w:hAnsi="Cambria"/>
          <w:sz w:val="16"/>
          <w:szCs w:val="16"/>
        </w:rPr>
        <w:t>,</w:t>
      </w:r>
      <w:r>
        <w:rPr>
          <w:rFonts w:ascii="Cambria" w:hAnsi="Cambria"/>
          <w:sz w:val="16"/>
          <w:szCs w:val="16"/>
        </w:rPr>
        <w:t xml:space="preserve"> Report No. 44/00. Case</w:t>
      </w:r>
      <w:r w:rsidRPr="005404B2">
        <w:rPr>
          <w:rFonts w:ascii="Cambria" w:hAnsi="Cambria"/>
          <w:sz w:val="16"/>
          <w:szCs w:val="16"/>
        </w:rPr>
        <w:t xml:space="preserve"> 10.82</w:t>
      </w:r>
      <w:r>
        <w:rPr>
          <w:rFonts w:ascii="Cambria" w:hAnsi="Cambria"/>
          <w:sz w:val="16"/>
          <w:szCs w:val="16"/>
        </w:rPr>
        <w:t>0. Américo Zavala Martínez. Peru</w:t>
      </w:r>
      <w:r w:rsidRPr="005404B2">
        <w:rPr>
          <w:rFonts w:ascii="Cambria" w:hAnsi="Cambria"/>
          <w:sz w:val="16"/>
          <w:szCs w:val="16"/>
        </w:rPr>
        <w:t xml:space="preserve">. </w:t>
      </w:r>
      <w:r>
        <w:rPr>
          <w:rFonts w:ascii="Cambria" w:hAnsi="Cambria"/>
          <w:sz w:val="16"/>
          <w:szCs w:val="16"/>
        </w:rPr>
        <w:t xml:space="preserve">April </w:t>
      </w:r>
      <w:r w:rsidRPr="005404B2">
        <w:rPr>
          <w:rFonts w:ascii="Cambria" w:hAnsi="Cambria"/>
          <w:sz w:val="16"/>
          <w:szCs w:val="16"/>
        </w:rPr>
        <w:t>13</w:t>
      </w:r>
      <w:r>
        <w:rPr>
          <w:rFonts w:ascii="Cambria" w:hAnsi="Cambria"/>
          <w:sz w:val="16"/>
          <w:szCs w:val="16"/>
        </w:rPr>
        <w:t>, 2000, pa</w:t>
      </w:r>
      <w:r w:rsidRPr="005404B2">
        <w:rPr>
          <w:rFonts w:ascii="Cambria" w:hAnsi="Cambria"/>
          <w:sz w:val="16"/>
          <w:szCs w:val="16"/>
        </w:rPr>
        <w:t xml:space="preserve">r. 41. </w:t>
      </w:r>
    </w:p>
  </w:footnote>
  <w:footnote w:id="60">
    <w:p w14:paraId="6DB2487D" w14:textId="77777777" w:rsidR="007A5DF1" w:rsidRPr="005404B2" w:rsidRDefault="007A5DF1" w:rsidP="00041CFE">
      <w:pPr>
        <w:pStyle w:val="FootnoteText"/>
        <w:tabs>
          <w:tab w:val="left" w:pos="-720"/>
          <w:tab w:val="left" w:pos="360"/>
          <w:tab w:val="left" w:pos="1080"/>
        </w:tabs>
        <w:jc w:val="both"/>
        <w:rPr>
          <w:rFonts w:ascii="Cambria" w:hAnsi="Cambria"/>
          <w:sz w:val="16"/>
          <w:szCs w:val="16"/>
          <w:highlight w:val="red"/>
        </w:rPr>
      </w:pPr>
      <w:r w:rsidRPr="005404B2">
        <w:rPr>
          <w:rStyle w:val="FootnoteReference"/>
          <w:rFonts w:ascii="Cambria" w:hAnsi="Cambria"/>
          <w:spacing w:val="-2"/>
          <w:sz w:val="16"/>
          <w:szCs w:val="16"/>
        </w:rPr>
        <w:footnoteRef/>
      </w:r>
      <w:r w:rsidRPr="005404B2">
        <w:rPr>
          <w:rFonts w:ascii="Cambria" w:hAnsi="Cambria"/>
          <w:spacing w:val="-2"/>
          <w:sz w:val="16"/>
          <w:szCs w:val="16"/>
        </w:rPr>
        <w:t xml:space="preserve"> </w:t>
      </w:r>
      <w:r>
        <w:rPr>
          <w:rFonts w:ascii="Cambria" w:hAnsi="Cambria"/>
          <w:spacing w:val="-2"/>
          <w:sz w:val="16"/>
          <w:szCs w:val="16"/>
        </w:rPr>
        <w:t xml:space="preserve">IA Court of HR, </w:t>
      </w:r>
      <w:r>
        <w:rPr>
          <w:rFonts w:ascii="Cambria" w:hAnsi="Cambria"/>
          <w:spacing w:val="-4"/>
          <w:sz w:val="16"/>
          <w:szCs w:val="16"/>
        </w:rPr>
        <w:t>Case of Velásquez Rodríguez v.</w:t>
      </w:r>
      <w:r w:rsidRPr="005404B2">
        <w:rPr>
          <w:rFonts w:ascii="Cambria" w:hAnsi="Cambria"/>
          <w:spacing w:val="-4"/>
          <w:sz w:val="16"/>
          <w:szCs w:val="16"/>
        </w:rPr>
        <w:t xml:space="preserve"> Honduras</w:t>
      </w:r>
      <w:r w:rsidRPr="005404B2">
        <w:rPr>
          <w:rFonts w:ascii="Cambria" w:hAnsi="Cambria"/>
          <w:sz w:val="16"/>
          <w:szCs w:val="16"/>
        </w:rPr>
        <w:t>.</w:t>
      </w:r>
      <w:r>
        <w:rPr>
          <w:rFonts w:ascii="Cambria" w:hAnsi="Cambria"/>
          <w:sz w:val="16"/>
          <w:szCs w:val="16"/>
        </w:rPr>
        <w:t xml:space="preserve"> Judgment of July 29, 1988. Series</w:t>
      </w:r>
      <w:r w:rsidRPr="005404B2">
        <w:rPr>
          <w:rFonts w:ascii="Cambria" w:hAnsi="Cambria"/>
          <w:sz w:val="16"/>
          <w:szCs w:val="16"/>
        </w:rPr>
        <w:t xml:space="preserve"> C No. 4</w:t>
      </w:r>
      <w:r>
        <w:rPr>
          <w:rFonts w:ascii="Cambria" w:hAnsi="Cambria"/>
          <w:spacing w:val="-2"/>
          <w:sz w:val="16"/>
          <w:szCs w:val="16"/>
        </w:rPr>
        <w:t>, par. 188; and IACHR</w:t>
      </w:r>
      <w:r w:rsidRPr="005404B2">
        <w:rPr>
          <w:rFonts w:ascii="Cambria" w:hAnsi="Cambria"/>
          <w:spacing w:val="-2"/>
          <w:sz w:val="16"/>
          <w:szCs w:val="16"/>
        </w:rPr>
        <w:t xml:space="preserve">. </w:t>
      </w:r>
      <w:r>
        <w:rPr>
          <w:rFonts w:ascii="Cambria" w:hAnsi="Cambria"/>
          <w:spacing w:val="-2"/>
          <w:sz w:val="16"/>
          <w:szCs w:val="16"/>
        </w:rPr>
        <w:t xml:space="preserve">Application to the Inter-American Court in Case </w:t>
      </w:r>
      <w:r w:rsidRPr="005404B2">
        <w:rPr>
          <w:rFonts w:ascii="Cambria" w:hAnsi="Cambria"/>
          <w:spacing w:val="-2"/>
          <w:sz w:val="16"/>
          <w:szCs w:val="16"/>
        </w:rPr>
        <w:t xml:space="preserve">12.529. </w:t>
      </w:r>
      <w:r w:rsidRPr="00041CFE">
        <w:rPr>
          <w:rFonts w:ascii="Cambria" w:hAnsi="Cambria"/>
          <w:sz w:val="16"/>
          <w:szCs w:val="16"/>
          <w:lang w:val="es-VE"/>
        </w:rPr>
        <w:t xml:space="preserve">Rainer Ibsen Cárdenas and José Luís Ibsen Peña v. Bolivia. </w:t>
      </w:r>
      <w:r>
        <w:rPr>
          <w:rFonts w:ascii="Cambria" w:hAnsi="Cambria"/>
          <w:sz w:val="16"/>
          <w:szCs w:val="16"/>
        </w:rPr>
        <w:t xml:space="preserve">May </w:t>
      </w:r>
      <w:r w:rsidRPr="005404B2">
        <w:rPr>
          <w:rFonts w:ascii="Cambria" w:hAnsi="Cambria"/>
          <w:sz w:val="16"/>
          <w:szCs w:val="16"/>
        </w:rPr>
        <w:t>12</w:t>
      </w:r>
      <w:r>
        <w:rPr>
          <w:rFonts w:ascii="Cambria" w:hAnsi="Cambria"/>
          <w:sz w:val="16"/>
          <w:szCs w:val="16"/>
        </w:rPr>
        <w:t>, 2009, pa</w:t>
      </w:r>
      <w:r w:rsidRPr="005404B2">
        <w:rPr>
          <w:rFonts w:ascii="Cambria" w:hAnsi="Cambria"/>
          <w:sz w:val="16"/>
          <w:szCs w:val="16"/>
        </w:rPr>
        <w:t xml:space="preserve">r. </w:t>
      </w:r>
      <w:r w:rsidRPr="005404B2">
        <w:rPr>
          <w:rFonts w:ascii="Cambria" w:hAnsi="Cambria"/>
          <w:spacing w:val="-2"/>
          <w:sz w:val="16"/>
          <w:szCs w:val="16"/>
        </w:rPr>
        <w:t xml:space="preserve">248. </w:t>
      </w:r>
    </w:p>
  </w:footnote>
  <w:footnote w:id="61">
    <w:p w14:paraId="6B93CDCE" w14:textId="77777777" w:rsidR="007A5DF1" w:rsidRPr="005404B2" w:rsidRDefault="007A5DF1" w:rsidP="00041CFE">
      <w:pPr>
        <w:pStyle w:val="FootnoteText"/>
        <w:jc w:val="both"/>
        <w:rPr>
          <w:rFonts w:ascii="Cambria" w:hAnsi="Cambria"/>
          <w:sz w:val="16"/>
          <w:szCs w:val="16"/>
          <w:highlight w:val="red"/>
        </w:rPr>
      </w:pPr>
      <w:r w:rsidRPr="005404B2">
        <w:rPr>
          <w:rStyle w:val="FootnoteReference"/>
          <w:rFonts w:ascii="Cambria" w:hAnsi="Cambria"/>
          <w:sz w:val="16"/>
          <w:szCs w:val="16"/>
        </w:rPr>
        <w:footnoteRef/>
      </w:r>
      <w:r w:rsidRPr="005404B2">
        <w:rPr>
          <w:rFonts w:ascii="Cambria" w:hAnsi="Cambria"/>
          <w:sz w:val="16"/>
          <w:szCs w:val="16"/>
        </w:rPr>
        <w:t xml:space="preserve"> </w:t>
      </w:r>
      <w:r>
        <w:rPr>
          <w:rFonts w:ascii="Cambria" w:hAnsi="Cambria"/>
          <w:sz w:val="16"/>
          <w:szCs w:val="16"/>
        </w:rPr>
        <w:t>IACHR. Applications to the Inter-American Court in cases: Renato Ticona Estrada et al (12.527), par</w:t>
      </w:r>
      <w:r w:rsidRPr="005404B2">
        <w:rPr>
          <w:rFonts w:ascii="Cambria" w:hAnsi="Cambria"/>
          <w:sz w:val="16"/>
          <w:szCs w:val="16"/>
        </w:rPr>
        <w:t xml:space="preserve">s. </w:t>
      </w:r>
      <w:r w:rsidRPr="00041CFE">
        <w:rPr>
          <w:rFonts w:ascii="Cambria" w:hAnsi="Cambria"/>
          <w:sz w:val="16"/>
          <w:szCs w:val="16"/>
          <w:lang w:val="es-VE"/>
        </w:rPr>
        <w:t xml:space="preserve">153-165; Rosendo Radilla Pacheco (12.511), pars. 138-145; Kenneth Ney Anzualdo Castro (11.385), pars. 167-176; Julia Gómez Lund et al (11.552), pars. </w:t>
      </w:r>
      <w:r w:rsidRPr="005404B2">
        <w:rPr>
          <w:rFonts w:ascii="Cambria" w:hAnsi="Cambria"/>
          <w:sz w:val="16"/>
          <w:szCs w:val="16"/>
        </w:rPr>
        <w:t>208-220; Flor</w:t>
      </w:r>
      <w:r>
        <w:rPr>
          <w:rFonts w:ascii="Cambria" w:hAnsi="Cambria"/>
          <w:sz w:val="16"/>
          <w:szCs w:val="16"/>
        </w:rPr>
        <w:t>encio Chitay Nech (12.599), par</w:t>
      </w:r>
      <w:r w:rsidRPr="005404B2">
        <w:rPr>
          <w:rFonts w:ascii="Cambria" w:hAnsi="Cambria"/>
          <w:sz w:val="16"/>
          <w:szCs w:val="16"/>
        </w:rPr>
        <w:t xml:space="preserve">s. </w:t>
      </w:r>
      <w:r>
        <w:rPr>
          <w:rFonts w:ascii="Cambria" w:hAnsi="Cambria"/>
          <w:sz w:val="16"/>
          <w:szCs w:val="16"/>
        </w:rPr>
        <w:t>136-146; Rainer Ibsen Cárdenas and</w:t>
      </w:r>
      <w:r w:rsidRPr="005404B2">
        <w:rPr>
          <w:rFonts w:ascii="Cambria" w:hAnsi="Cambria"/>
          <w:sz w:val="16"/>
          <w:szCs w:val="16"/>
        </w:rPr>
        <w:t xml:space="preserve"> Jos</w:t>
      </w:r>
      <w:r>
        <w:rPr>
          <w:rFonts w:ascii="Cambria" w:hAnsi="Cambria"/>
          <w:sz w:val="16"/>
          <w:szCs w:val="16"/>
        </w:rPr>
        <w:t>é Luís Ibsen Peña (12.529), pars. 251-262; and Narciso González Medina et al (11.324), par</w:t>
      </w:r>
      <w:r w:rsidRPr="005404B2">
        <w:rPr>
          <w:rFonts w:ascii="Cambria" w:hAnsi="Cambria"/>
          <w:sz w:val="16"/>
          <w:szCs w:val="16"/>
        </w:rPr>
        <w:t xml:space="preserve">s. 138-149.   </w:t>
      </w:r>
    </w:p>
  </w:footnote>
  <w:footnote w:id="62">
    <w:p w14:paraId="204B5558" w14:textId="77777777" w:rsidR="007A5DF1" w:rsidRPr="005404B2" w:rsidRDefault="007A5DF1" w:rsidP="00041CFE">
      <w:pPr>
        <w:pStyle w:val="FootnoteText"/>
        <w:jc w:val="both"/>
        <w:rPr>
          <w:rFonts w:ascii="Cambria" w:hAnsi="Cambria"/>
          <w:sz w:val="16"/>
          <w:szCs w:val="16"/>
          <w:highlight w:val="red"/>
        </w:rPr>
      </w:pPr>
      <w:r w:rsidRPr="005404B2">
        <w:rPr>
          <w:rStyle w:val="FootnoteReference"/>
          <w:rFonts w:ascii="Cambria" w:hAnsi="Cambria"/>
          <w:sz w:val="16"/>
          <w:szCs w:val="16"/>
        </w:rPr>
        <w:footnoteRef/>
      </w:r>
      <w:r w:rsidRPr="005404B2">
        <w:rPr>
          <w:rFonts w:ascii="Cambria" w:hAnsi="Cambria"/>
          <w:sz w:val="16"/>
          <w:szCs w:val="16"/>
        </w:rPr>
        <w:t xml:space="preserve"> </w:t>
      </w:r>
      <w:r>
        <w:rPr>
          <w:rFonts w:ascii="Cambria" w:hAnsi="Cambria"/>
          <w:sz w:val="16"/>
          <w:szCs w:val="16"/>
        </w:rPr>
        <w:t>IA Court of HR. Case of Anzualdo Castro v. Peru</w:t>
      </w:r>
      <w:r w:rsidRPr="005404B2">
        <w:rPr>
          <w:rFonts w:ascii="Cambria" w:hAnsi="Cambria"/>
          <w:sz w:val="16"/>
          <w:szCs w:val="16"/>
        </w:rPr>
        <w:t xml:space="preserve">. </w:t>
      </w:r>
      <w:r>
        <w:rPr>
          <w:rFonts w:ascii="Cambria" w:hAnsi="Cambria"/>
          <w:sz w:val="16"/>
          <w:szCs w:val="16"/>
        </w:rPr>
        <w:t xml:space="preserve">Preliminary Objection, Merits, Reparations and Costs. Judgment of September </w:t>
      </w:r>
      <w:r w:rsidRPr="005404B2">
        <w:rPr>
          <w:rFonts w:ascii="Cambria" w:hAnsi="Cambria"/>
          <w:sz w:val="16"/>
          <w:szCs w:val="16"/>
        </w:rPr>
        <w:t>22</w:t>
      </w:r>
      <w:r>
        <w:rPr>
          <w:rFonts w:ascii="Cambria" w:hAnsi="Cambria"/>
          <w:sz w:val="16"/>
          <w:szCs w:val="16"/>
        </w:rPr>
        <w:t>,</w:t>
      </w:r>
      <w:r w:rsidRPr="005404B2">
        <w:rPr>
          <w:rFonts w:ascii="Cambria" w:hAnsi="Cambria"/>
          <w:sz w:val="16"/>
          <w:szCs w:val="16"/>
        </w:rPr>
        <w:t xml:space="preserve"> 2009. Serie</w:t>
      </w:r>
      <w:r>
        <w:rPr>
          <w:rFonts w:ascii="Cambria" w:hAnsi="Cambria"/>
          <w:sz w:val="16"/>
          <w:szCs w:val="16"/>
        </w:rPr>
        <w:t>s C No. 202, pars. 91-92; Case of Radilla Pacheco v. Me</w:t>
      </w:r>
      <w:r w:rsidRPr="005404B2">
        <w:rPr>
          <w:rFonts w:ascii="Cambria" w:hAnsi="Cambria"/>
          <w:sz w:val="16"/>
          <w:szCs w:val="16"/>
        </w:rPr>
        <w:t xml:space="preserve">xico. </w:t>
      </w:r>
      <w:r>
        <w:rPr>
          <w:rFonts w:ascii="Cambria" w:hAnsi="Cambria"/>
          <w:sz w:val="16"/>
          <w:szCs w:val="16"/>
        </w:rPr>
        <w:t>Preliminary Objections</w:t>
      </w:r>
      <w:r w:rsidRPr="005404B2">
        <w:rPr>
          <w:rFonts w:ascii="Cambria" w:hAnsi="Cambria"/>
          <w:sz w:val="16"/>
          <w:szCs w:val="16"/>
        </w:rPr>
        <w:t>,</w:t>
      </w:r>
      <w:r>
        <w:rPr>
          <w:rFonts w:ascii="Cambria" w:hAnsi="Cambria"/>
          <w:sz w:val="16"/>
          <w:szCs w:val="16"/>
        </w:rPr>
        <w:t xml:space="preserve"> Merits, Reparations and Costs. Judgment of November 23, </w:t>
      </w:r>
      <w:r w:rsidRPr="005404B2">
        <w:rPr>
          <w:rFonts w:ascii="Cambria" w:hAnsi="Cambria"/>
          <w:sz w:val="16"/>
          <w:szCs w:val="16"/>
        </w:rPr>
        <w:t>2009. Serie</w:t>
      </w:r>
      <w:r>
        <w:rPr>
          <w:rFonts w:ascii="Cambria" w:hAnsi="Cambria"/>
          <w:sz w:val="16"/>
          <w:szCs w:val="16"/>
        </w:rPr>
        <w:t>s C No. 209, pa</w:t>
      </w:r>
      <w:r w:rsidRPr="005404B2">
        <w:rPr>
          <w:rFonts w:ascii="Cambria" w:hAnsi="Cambria"/>
          <w:sz w:val="16"/>
          <w:szCs w:val="16"/>
        </w:rPr>
        <w:t xml:space="preserve">r. 157. </w:t>
      </w:r>
    </w:p>
  </w:footnote>
  <w:footnote w:id="63">
    <w:p w14:paraId="0515CE0A" w14:textId="77777777" w:rsidR="007A5DF1" w:rsidRPr="005404B2" w:rsidRDefault="007A5DF1" w:rsidP="00041CFE">
      <w:pPr>
        <w:pStyle w:val="FootnoteText"/>
        <w:tabs>
          <w:tab w:val="left" w:pos="720"/>
        </w:tabs>
        <w:jc w:val="both"/>
        <w:rPr>
          <w:rFonts w:ascii="Cambria" w:hAnsi="Cambria"/>
          <w:sz w:val="16"/>
          <w:szCs w:val="16"/>
          <w:highlight w:val="red"/>
        </w:rPr>
      </w:pPr>
      <w:r w:rsidRPr="005404B2">
        <w:rPr>
          <w:rStyle w:val="FootnoteReference"/>
          <w:rFonts w:ascii="Cambria" w:hAnsi="Cambria"/>
          <w:color w:val="auto"/>
          <w:sz w:val="16"/>
          <w:szCs w:val="16"/>
        </w:rPr>
        <w:footnoteRef/>
      </w:r>
      <w:r w:rsidRPr="005404B2">
        <w:rPr>
          <w:rFonts w:ascii="Cambria" w:hAnsi="Cambria"/>
          <w:color w:val="auto"/>
          <w:sz w:val="16"/>
          <w:szCs w:val="16"/>
        </w:rPr>
        <w:t xml:space="preserve"> </w:t>
      </w:r>
      <w:r>
        <w:rPr>
          <w:rFonts w:ascii="Cambria" w:hAnsi="Cambria"/>
          <w:color w:val="auto"/>
          <w:sz w:val="16"/>
          <w:szCs w:val="16"/>
        </w:rPr>
        <w:t>IA Court of HR. Case of Anzualdo Castro v. Peru</w:t>
      </w:r>
      <w:r w:rsidRPr="005404B2">
        <w:rPr>
          <w:rFonts w:ascii="Cambria" w:hAnsi="Cambria"/>
          <w:color w:val="auto"/>
          <w:sz w:val="16"/>
          <w:szCs w:val="16"/>
        </w:rPr>
        <w:t xml:space="preserve">. </w:t>
      </w:r>
      <w:r>
        <w:rPr>
          <w:rFonts w:ascii="Cambria" w:hAnsi="Cambria"/>
          <w:color w:val="auto"/>
          <w:sz w:val="16"/>
          <w:szCs w:val="16"/>
        </w:rPr>
        <w:t xml:space="preserve">Preliminary Objection, Merits, Reparations and Costs. Judgment of September </w:t>
      </w:r>
      <w:r w:rsidRPr="005404B2">
        <w:rPr>
          <w:rFonts w:ascii="Cambria" w:hAnsi="Cambria"/>
          <w:color w:val="auto"/>
          <w:sz w:val="16"/>
          <w:szCs w:val="16"/>
        </w:rPr>
        <w:t>22</w:t>
      </w:r>
      <w:r>
        <w:rPr>
          <w:rFonts w:ascii="Cambria" w:hAnsi="Cambria"/>
          <w:color w:val="auto"/>
          <w:sz w:val="16"/>
          <w:szCs w:val="16"/>
        </w:rPr>
        <w:t>,</w:t>
      </w:r>
      <w:r w:rsidRPr="005404B2">
        <w:rPr>
          <w:rFonts w:ascii="Cambria" w:hAnsi="Cambria"/>
          <w:color w:val="auto"/>
          <w:sz w:val="16"/>
          <w:szCs w:val="16"/>
        </w:rPr>
        <w:t xml:space="preserve"> 2009. Serie</w:t>
      </w:r>
      <w:r>
        <w:rPr>
          <w:rFonts w:ascii="Cambria" w:hAnsi="Cambria"/>
          <w:color w:val="auto"/>
          <w:sz w:val="16"/>
          <w:szCs w:val="16"/>
        </w:rPr>
        <w:t>s C No. 202, pa</w:t>
      </w:r>
      <w:r w:rsidRPr="005404B2">
        <w:rPr>
          <w:rFonts w:ascii="Cambria" w:hAnsi="Cambria"/>
          <w:color w:val="auto"/>
          <w:sz w:val="16"/>
          <w:szCs w:val="16"/>
        </w:rPr>
        <w:t xml:space="preserve">r. 90. </w:t>
      </w:r>
      <w:r>
        <w:rPr>
          <w:rFonts w:ascii="Cambria" w:hAnsi="Cambria"/>
          <w:color w:val="auto"/>
          <w:sz w:val="16"/>
          <w:szCs w:val="16"/>
        </w:rPr>
        <w:t>Also see</w:t>
      </w:r>
      <w:r w:rsidRPr="005404B2">
        <w:rPr>
          <w:rFonts w:ascii="Cambria" w:hAnsi="Cambria"/>
          <w:color w:val="auto"/>
          <w:sz w:val="16"/>
          <w:szCs w:val="16"/>
        </w:rPr>
        <w:t xml:space="preserve">: </w:t>
      </w:r>
      <w:r>
        <w:rPr>
          <w:rFonts w:ascii="Cambria" w:hAnsi="Cambria"/>
          <w:color w:val="auto"/>
          <w:sz w:val="16"/>
          <w:szCs w:val="16"/>
        </w:rPr>
        <w:t>IACHR, Report No. 5/16, Case</w:t>
      </w:r>
      <w:r w:rsidRPr="005404B2">
        <w:rPr>
          <w:rFonts w:ascii="Cambria" w:hAnsi="Cambria"/>
          <w:color w:val="auto"/>
          <w:sz w:val="16"/>
          <w:szCs w:val="16"/>
        </w:rPr>
        <w:t>s 1</w:t>
      </w:r>
      <w:r>
        <w:rPr>
          <w:rFonts w:ascii="Cambria" w:hAnsi="Cambria"/>
          <w:color w:val="auto"/>
          <w:sz w:val="16"/>
          <w:szCs w:val="16"/>
        </w:rPr>
        <w:t>1.053, 11.054, 12.224, 12.225, and</w:t>
      </w:r>
      <w:r w:rsidRPr="005404B2">
        <w:rPr>
          <w:rFonts w:ascii="Cambria" w:hAnsi="Cambria"/>
          <w:color w:val="auto"/>
          <w:sz w:val="16"/>
          <w:szCs w:val="16"/>
        </w:rPr>
        <w:t xml:space="preserve"> 12.823. </w:t>
      </w:r>
      <w:r>
        <w:rPr>
          <w:rFonts w:ascii="Cambria" w:hAnsi="Cambria"/>
          <w:color w:val="auto"/>
          <w:sz w:val="16"/>
          <w:szCs w:val="16"/>
        </w:rPr>
        <w:t>Merits. Peru</w:t>
      </w:r>
      <w:r w:rsidRPr="005404B2">
        <w:rPr>
          <w:rFonts w:ascii="Cambria" w:hAnsi="Cambria"/>
          <w:color w:val="auto"/>
          <w:sz w:val="16"/>
          <w:szCs w:val="16"/>
        </w:rPr>
        <w:t xml:space="preserve">. </w:t>
      </w:r>
      <w:r>
        <w:rPr>
          <w:rFonts w:ascii="Cambria" w:hAnsi="Cambria"/>
          <w:color w:val="auto"/>
          <w:sz w:val="16"/>
          <w:szCs w:val="16"/>
        </w:rPr>
        <w:t xml:space="preserve">April </w:t>
      </w:r>
      <w:r w:rsidRPr="005404B2">
        <w:rPr>
          <w:rFonts w:ascii="Cambria" w:hAnsi="Cambria"/>
          <w:color w:val="auto"/>
          <w:sz w:val="16"/>
          <w:szCs w:val="16"/>
        </w:rPr>
        <w:t>13</w:t>
      </w:r>
      <w:r>
        <w:rPr>
          <w:rFonts w:ascii="Cambria" w:hAnsi="Cambria"/>
          <w:color w:val="auto"/>
          <w:sz w:val="16"/>
          <w:szCs w:val="16"/>
        </w:rPr>
        <w:t>, 2016, pa</w:t>
      </w:r>
      <w:r w:rsidRPr="005404B2">
        <w:rPr>
          <w:rFonts w:ascii="Cambria" w:hAnsi="Cambria"/>
          <w:color w:val="auto"/>
          <w:sz w:val="16"/>
          <w:szCs w:val="16"/>
        </w:rPr>
        <w:t xml:space="preserve">r. 166. </w:t>
      </w:r>
    </w:p>
  </w:footnote>
  <w:footnote w:id="64">
    <w:p w14:paraId="308E0A89" w14:textId="77777777" w:rsidR="007A5DF1" w:rsidRPr="005404B2" w:rsidRDefault="007A5DF1" w:rsidP="00041CFE">
      <w:pPr>
        <w:pStyle w:val="FootnoteText"/>
        <w:tabs>
          <w:tab w:val="left" w:pos="720"/>
        </w:tabs>
        <w:jc w:val="both"/>
        <w:rPr>
          <w:rFonts w:ascii="Cambria" w:hAnsi="Cambria"/>
          <w:sz w:val="16"/>
          <w:szCs w:val="16"/>
        </w:rPr>
      </w:pPr>
      <w:r w:rsidRPr="005404B2">
        <w:rPr>
          <w:rStyle w:val="FootnoteReference"/>
          <w:rFonts w:ascii="Cambria" w:hAnsi="Cambria"/>
          <w:sz w:val="16"/>
          <w:szCs w:val="16"/>
        </w:rPr>
        <w:footnoteRef/>
      </w:r>
      <w:r w:rsidRPr="005404B2">
        <w:rPr>
          <w:rFonts w:ascii="Cambria" w:hAnsi="Cambria"/>
          <w:sz w:val="16"/>
          <w:szCs w:val="16"/>
        </w:rPr>
        <w:t xml:space="preserve"> </w:t>
      </w:r>
      <w:r>
        <w:rPr>
          <w:rFonts w:ascii="Cambria" w:hAnsi="Cambria"/>
          <w:sz w:val="16"/>
          <w:szCs w:val="16"/>
        </w:rPr>
        <w:t>IACHR. Report No. 111/09. Case</w:t>
      </w:r>
      <w:r w:rsidRPr="005404B2">
        <w:rPr>
          <w:rFonts w:ascii="Cambria" w:hAnsi="Cambria"/>
          <w:sz w:val="16"/>
          <w:szCs w:val="16"/>
        </w:rPr>
        <w:t xml:space="preserve"> 11.324. </w:t>
      </w:r>
      <w:r>
        <w:rPr>
          <w:rFonts w:ascii="Cambria" w:hAnsi="Cambria"/>
          <w:sz w:val="16"/>
          <w:szCs w:val="16"/>
        </w:rPr>
        <w:t>Merits.</w:t>
      </w:r>
      <w:r w:rsidRPr="005404B2">
        <w:rPr>
          <w:rFonts w:ascii="Cambria" w:hAnsi="Cambria"/>
          <w:sz w:val="16"/>
          <w:szCs w:val="16"/>
        </w:rPr>
        <w:t xml:space="preserve"> Narciso González Medina. </w:t>
      </w:r>
      <w:r>
        <w:rPr>
          <w:rFonts w:ascii="Cambria" w:hAnsi="Cambria"/>
          <w:sz w:val="16"/>
          <w:szCs w:val="16"/>
        </w:rPr>
        <w:t>Dominican Republic</w:t>
      </w:r>
      <w:r w:rsidRPr="005404B2">
        <w:rPr>
          <w:rFonts w:ascii="Cambria" w:hAnsi="Cambria"/>
          <w:sz w:val="16"/>
          <w:szCs w:val="16"/>
        </w:rPr>
        <w:t xml:space="preserve">. </w:t>
      </w:r>
      <w:r>
        <w:rPr>
          <w:rFonts w:ascii="Cambria" w:hAnsi="Cambria"/>
          <w:sz w:val="16"/>
          <w:szCs w:val="16"/>
        </w:rPr>
        <w:t xml:space="preserve">November </w:t>
      </w:r>
      <w:r w:rsidRPr="005404B2">
        <w:rPr>
          <w:rFonts w:ascii="Cambria" w:hAnsi="Cambria"/>
          <w:sz w:val="16"/>
          <w:szCs w:val="16"/>
        </w:rPr>
        <w:t>10</w:t>
      </w:r>
      <w:r>
        <w:rPr>
          <w:rFonts w:ascii="Cambria" w:hAnsi="Cambria"/>
          <w:sz w:val="16"/>
          <w:szCs w:val="16"/>
        </w:rPr>
        <w:t>, 2009. Par. 130; and IA Court of HR, Case of</w:t>
      </w:r>
      <w:r>
        <w:rPr>
          <w:rFonts w:ascii="Cambria" w:hAnsi="Cambria"/>
          <w:bCs/>
          <w:sz w:val="16"/>
          <w:szCs w:val="16"/>
        </w:rPr>
        <w:t xml:space="preserve"> Anzualdo Castro v. Peru</w:t>
      </w:r>
      <w:r w:rsidRPr="005404B2">
        <w:rPr>
          <w:rFonts w:ascii="Cambria" w:hAnsi="Cambria"/>
          <w:bCs/>
          <w:sz w:val="16"/>
          <w:szCs w:val="16"/>
        </w:rPr>
        <w:t xml:space="preserve">. </w:t>
      </w:r>
      <w:r>
        <w:rPr>
          <w:rFonts w:ascii="Cambria" w:hAnsi="Cambria"/>
          <w:bCs/>
          <w:sz w:val="16"/>
          <w:szCs w:val="16"/>
        </w:rPr>
        <w:t xml:space="preserve">Preliminary Objection, Merits, Reparations and Costs. </w:t>
      </w:r>
      <w:r>
        <w:rPr>
          <w:rFonts w:ascii="Cambria" w:hAnsi="Cambria"/>
          <w:sz w:val="16"/>
          <w:szCs w:val="16"/>
        </w:rPr>
        <w:t xml:space="preserve">Judgment of September </w:t>
      </w:r>
      <w:r w:rsidRPr="005404B2">
        <w:rPr>
          <w:rFonts w:ascii="Cambria" w:hAnsi="Cambria"/>
          <w:sz w:val="16"/>
          <w:szCs w:val="16"/>
        </w:rPr>
        <w:t>22</w:t>
      </w:r>
      <w:r>
        <w:rPr>
          <w:rFonts w:ascii="Cambria" w:hAnsi="Cambria"/>
          <w:sz w:val="16"/>
          <w:szCs w:val="16"/>
        </w:rPr>
        <w:t>,</w:t>
      </w:r>
      <w:r w:rsidRPr="005404B2">
        <w:rPr>
          <w:rFonts w:ascii="Cambria" w:hAnsi="Cambria"/>
          <w:sz w:val="16"/>
          <w:szCs w:val="16"/>
        </w:rPr>
        <w:t xml:space="preserve"> 2009. Serie</w:t>
      </w:r>
      <w:r>
        <w:rPr>
          <w:rFonts w:ascii="Cambria" w:hAnsi="Cambria"/>
          <w:sz w:val="16"/>
          <w:szCs w:val="16"/>
        </w:rPr>
        <w:t>s C No. 202, pa</w:t>
      </w:r>
      <w:r w:rsidRPr="005404B2">
        <w:rPr>
          <w:rFonts w:ascii="Cambria" w:hAnsi="Cambria"/>
          <w:sz w:val="16"/>
          <w:szCs w:val="16"/>
        </w:rPr>
        <w:t>r. 60.</w:t>
      </w:r>
    </w:p>
  </w:footnote>
  <w:footnote w:id="65">
    <w:p w14:paraId="5436E663"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Said Article establishes that the States Parties to this Convention undertake to “punish within their jurisdictions, those persons who commit or attempt to commit the crime of forced disappearance of persons and their accomplices and accessories.”</w:t>
      </w:r>
      <w:r w:rsidRPr="005404B2">
        <w:rPr>
          <w:rFonts w:asciiTheme="majorHAnsi" w:hAnsiTheme="majorHAnsi"/>
          <w:color w:val="000000" w:themeColor="text1"/>
          <w:sz w:val="16"/>
          <w:szCs w:val="16"/>
        </w:rPr>
        <w:t xml:space="preserve"> </w:t>
      </w:r>
    </w:p>
  </w:footnote>
  <w:footnote w:id="66">
    <w:p w14:paraId="59313BC8" w14:textId="77777777" w:rsidR="007A5DF1" w:rsidRPr="005404B2" w:rsidRDefault="007A5DF1" w:rsidP="00041CFE">
      <w:pPr>
        <w:tabs>
          <w:tab w:val="left" w:pos="900"/>
          <w:tab w:val="left" w:pos="1080"/>
        </w:tabs>
        <w:autoSpaceDE w:val="0"/>
        <w:autoSpaceDN w:val="0"/>
        <w:adjustRightInd w:val="0"/>
        <w:jc w:val="both"/>
        <w:rPr>
          <w:rFonts w:asciiTheme="majorHAnsi" w:hAnsiTheme="majorHAnsi"/>
          <w:color w:val="000000" w:themeColor="text1"/>
          <w:sz w:val="16"/>
          <w:szCs w:val="16"/>
        </w:rPr>
      </w:pPr>
      <w:r w:rsidRPr="005404B2">
        <w:rPr>
          <w:rFonts w:asciiTheme="majorHAnsi" w:hAnsiTheme="majorHAnsi"/>
          <w:color w:val="000000" w:themeColor="text1"/>
          <w:sz w:val="16"/>
          <w:szCs w:val="16"/>
        </w:rPr>
        <w:t xml:space="preserve"> </w:t>
      </w: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IACHR. Report No. 111/09. Case</w:t>
      </w:r>
      <w:r w:rsidRPr="005404B2">
        <w:rPr>
          <w:rFonts w:asciiTheme="majorHAnsi" w:hAnsiTheme="majorHAnsi"/>
          <w:color w:val="000000" w:themeColor="text1"/>
          <w:sz w:val="16"/>
          <w:szCs w:val="16"/>
        </w:rPr>
        <w:t xml:space="preserve"> 11.324. </w:t>
      </w:r>
      <w:r>
        <w:rPr>
          <w:rFonts w:asciiTheme="majorHAnsi" w:hAnsiTheme="majorHAnsi"/>
          <w:color w:val="000000" w:themeColor="text1"/>
          <w:sz w:val="16"/>
          <w:szCs w:val="16"/>
        </w:rPr>
        <w:t>Merits</w:t>
      </w:r>
      <w:r w:rsidRPr="005404B2">
        <w:rPr>
          <w:rFonts w:asciiTheme="majorHAnsi" w:hAnsiTheme="majorHAnsi"/>
          <w:color w:val="000000" w:themeColor="text1"/>
          <w:sz w:val="16"/>
          <w:szCs w:val="16"/>
        </w:rPr>
        <w:t xml:space="preserve">. </w:t>
      </w:r>
      <w:r w:rsidRPr="00041CFE">
        <w:rPr>
          <w:rFonts w:asciiTheme="majorHAnsi" w:hAnsiTheme="majorHAnsi"/>
          <w:color w:val="000000" w:themeColor="text1"/>
          <w:sz w:val="16"/>
          <w:szCs w:val="16"/>
          <w:lang w:val="es-VE"/>
        </w:rPr>
        <w:t xml:space="preserve">Narciso González Medina. Dominican Republic. </w:t>
      </w:r>
      <w:r>
        <w:rPr>
          <w:rFonts w:asciiTheme="majorHAnsi" w:hAnsiTheme="majorHAnsi"/>
          <w:color w:val="000000" w:themeColor="text1"/>
          <w:sz w:val="16"/>
          <w:szCs w:val="16"/>
        </w:rPr>
        <w:t xml:space="preserve">November </w:t>
      </w:r>
      <w:r w:rsidRPr="005404B2">
        <w:rPr>
          <w:rFonts w:asciiTheme="majorHAnsi" w:hAnsiTheme="majorHAnsi"/>
          <w:color w:val="000000" w:themeColor="text1"/>
          <w:sz w:val="16"/>
          <w:szCs w:val="16"/>
        </w:rPr>
        <w:t>10</w:t>
      </w:r>
      <w:r>
        <w:rPr>
          <w:rFonts w:asciiTheme="majorHAnsi" w:hAnsiTheme="majorHAnsi"/>
          <w:color w:val="000000" w:themeColor="text1"/>
          <w:sz w:val="16"/>
          <w:szCs w:val="16"/>
        </w:rPr>
        <w:t>, 2009. Pa</w:t>
      </w:r>
      <w:r w:rsidRPr="005404B2">
        <w:rPr>
          <w:rFonts w:asciiTheme="majorHAnsi" w:hAnsiTheme="majorHAnsi"/>
          <w:color w:val="000000" w:themeColor="text1"/>
          <w:sz w:val="16"/>
          <w:szCs w:val="16"/>
        </w:rPr>
        <w:t xml:space="preserve">r. 225; </w:t>
      </w:r>
      <w:r>
        <w:rPr>
          <w:rFonts w:asciiTheme="majorHAnsi" w:hAnsiTheme="majorHAnsi"/>
          <w:color w:val="000000" w:themeColor="text1"/>
          <w:sz w:val="16"/>
          <w:szCs w:val="16"/>
        </w:rPr>
        <w:t>IA Court of HR. Case of Anzualdo Castro v. Peru</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Preliminary Objection, Merits, Reparations and Costs. Judgment of September </w:t>
      </w:r>
      <w:r w:rsidRPr="005404B2">
        <w:rPr>
          <w:rFonts w:asciiTheme="majorHAnsi" w:hAnsiTheme="majorHAnsi"/>
          <w:color w:val="000000" w:themeColor="text1"/>
          <w:sz w:val="16"/>
          <w:szCs w:val="16"/>
        </w:rPr>
        <w:t>22</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2009. Serie</w:t>
      </w:r>
      <w:r>
        <w:rPr>
          <w:rFonts w:asciiTheme="majorHAnsi" w:hAnsiTheme="majorHAnsi"/>
          <w:color w:val="000000" w:themeColor="text1"/>
          <w:sz w:val="16"/>
          <w:szCs w:val="16"/>
        </w:rPr>
        <w:t>s C No. 202, pa</w:t>
      </w:r>
      <w:r w:rsidRPr="005404B2">
        <w:rPr>
          <w:rFonts w:asciiTheme="majorHAnsi" w:hAnsiTheme="majorHAnsi"/>
          <w:color w:val="000000" w:themeColor="text1"/>
          <w:sz w:val="16"/>
          <w:szCs w:val="16"/>
        </w:rPr>
        <w:t xml:space="preserve">r. 134; </w:t>
      </w:r>
      <w:r>
        <w:rPr>
          <w:rFonts w:asciiTheme="majorHAnsi" w:hAnsiTheme="majorHAnsi"/>
          <w:bCs/>
          <w:color w:val="000000" w:themeColor="text1"/>
          <w:sz w:val="16"/>
          <w:szCs w:val="16"/>
        </w:rPr>
        <w:t>Case of Radilla Pacheco v. Me</w:t>
      </w:r>
      <w:r w:rsidRPr="005404B2">
        <w:rPr>
          <w:rFonts w:asciiTheme="majorHAnsi" w:hAnsiTheme="majorHAnsi"/>
          <w:bCs/>
          <w:color w:val="000000" w:themeColor="text1"/>
          <w:sz w:val="16"/>
          <w:szCs w:val="16"/>
        </w:rPr>
        <w:t xml:space="preserve">xico. </w:t>
      </w:r>
      <w:r>
        <w:rPr>
          <w:rFonts w:asciiTheme="majorHAnsi" w:hAnsiTheme="majorHAnsi"/>
          <w:bCs/>
          <w:color w:val="000000" w:themeColor="text1"/>
          <w:sz w:val="16"/>
          <w:szCs w:val="16"/>
        </w:rPr>
        <w:t xml:space="preserve">Preliminary Objections, Merits, Reparations and Costs. </w:t>
      </w:r>
      <w:r>
        <w:rPr>
          <w:rFonts w:asciiTheme="majorHAnsi" w:hAnsiTheme="majorHAnsi"/>
          <w:color w:val="000000" w:themeColor="text1"/>
          <w:sz w:val="16"/>
          <w:szCs w:val="16"/>
        </w:rPr>
        <w:t xml:space="preserve">Judgment of November </w:t>
      </w:r>
      <w:r w:rsidRPr="005404B2">
        <w:rPr>
          <w:rFonts w:asciiTheme="majorHAnsi" w:hAnsiTheme="majorHAnsi"/>
          <w:color w:val="000000" w:themeColor="text1"/>
          <w:sz w:val="16"/>
          <w:szCs w:val="16"/>
        </w:rPr>
        <w:t>23</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2009. Serie</w:t>
      </w:r>
      <w:r>
        <w:rPr>
          <w:rFonts w:asciiTheme="majorHAnsi" w:hAnsiTheme="majorHAnsi"/>
          <w:color w:val="000000" w:themeColor="text1"/>
          <w:sz w:val="16"/>
          <w:szCs w:val="16"/>
        </w:rPr>
        <w:t>s C No. 209, pa</w:t>
      </w:r>
      <w:r w:rsidRPr="005404B2">
        <w:rPr>
          <w:rFonts w:asciiTheme="majorHAnsi" w:hAnsiTheme="majorHAnsi"/>
          <w:color w:val="000000" w:themeColor="text1"/>
          <w:sz w:val="16"/>
          <w:szCs w:val="16"/>
        </w:rPr>
        <w:t xml:space="preserve">r. 221, </w:t>
      </w:r>
      <w:r>
        <w:rPr>
          <w:rFonts w:asciiTheme="majorHAnsi" w:hAnsiTheme="majorHAnsi"/>
          <w:bCs/>
          <w:color w:val="000000" w:themeColor="text1"/>
          <w:sz w:val="16"/>
          <w:szCs w:val="16"/>
        </w:rPr>
        <w:t>Case of Ibsen Cárdenas and Ibsen Peña v</w:t>
      </w:r>
      <w:r w:rsidRPr="005404B2">
        <w:rPr>
          <w:rFonts w:asciiTheme="majorHAnsi" w:hAnsiTheme="majorHAnsi"/>
          <w:bCs/>
          <w:color w:val="000000" w:themeColor="text1"/>
          <w:sz w:val="16"/>
          <w:szCs w:val="16"/>
        </w:rPr>
        <w:t xml:space="preserve">. Bolivia. </w:t>
      </w:r>
      <w:r>
        <w:rPr>
          <w:rFonts w:asciiTheme="majorHAnsi" w:hAnsiTheme="majorHAnsi"/>
          <w:bCs/>
          <w:color w:val="000000" w:themeColor="text1"/>
          <w:sz w:val="16"/>
          <w:szCs w:val="16"/>
        </w:rPr>
        <w:t>Merits, Reparations and Costs.</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Judgment of September </w:t>
      </w:r>
      <w:r w:rsidRPr="005404B2">
        <w:rPr>
          <w:rFonts w:asciiTheme="majorHAnsi" w:hAnsiTheme="majorHAnsi"/>
          <w:color w:val="000000" w:themeColor="text1"/>
          <w:sz w:val="16"/>
          <w:szCs w:val="16"/>
        </w:rPr>
        <w:t>1</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2010. Serie</w:t>
      </w:r>
      <w:r>
        <w:rPr>
          <w:rFonts w:asciiTheme="majorHAnsi" w:hAnsiTheme="majorHAnsi"/>
          <w:color w:val="000000" w:themeColor="text1"/>
          <w:sz w:val="16"/>
          <w:szCs w:val="16"/>
        </w:rPr>
        <w:t>s C No. 217, pa</w:t>
      </w:r>
      <w:r w:rsidRPr="005404B2">
        <w:rPr>
          <w:rFonts w:asciiTheme="majorHAnsi" w:hAnsiTheme="majorHAnsi"/>
          <w:color w:val="000000" w:themeColor="text1"/>
          <w:sz w:val="16"/>
          <w:szCs w:val="16"/>
        </w:rPr>
        <w:t xml:space="preserve">r. 167. </w:t>
      </w:r>
      <w:r>
        <w:rPr>
          <w:rFonts w:asciiTheme="majorHAnsi" w:hAnsiTheme="majorHAnsi"/>
          <w:color w:val="000000" w:themeColor="text1"/>
          <w:sz w:val="16"/>
          <w:szCs w:val="16"/>
        </w:rPr>
        <w:t xml:space="preserve">Also see Matter of </w:t>
      </w:r>
      <w:r w:rsidRPr="005404B2">
        <w:rPr>
          <w:rFonts w:asciiTheme="majorHAnsi" w:hAnsiTheme="majorHAnsi"/>
          <w:color w:val="000000" w:themeColor="text1"/>
          <w:sz w:val="16"/>
          <w:szCs w:val="16"/>
        </w:rPr>
        <w:t xml:space="preserve">Natera Balboa. </w:t>
      </w:r>
      <w:r>
        <w:rPr>
          <w:rFonts w:asciiTheme="majorHAnsi" w:hAnsiTheme="majorHAnsi"/>
          <w:color w:val="000000" w:themeColor="text1"/>
          <w:sz w:val="16"/>
          <w:szCs w:val="16"/>
        </w:rPr>
        <w:t xml:space="preserve">Provisional Measure with respect to Venezuela. Resolution of the Court of February </w:t>
      </w:r>
      <w:r w:rsidRPr="005404B2">
        <w:rPr>
          <w:rFonts w:asciiTheme="majorHAnsi" w:hAnsiTheme="majorHAnsi"/>
          <w:color w:val="000000" w:themeColor="text1"/>
          <w:sz w:val="16"/>
          <w:szCs w:val="16"/>
        </w:rPr>
        <w:t>1</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2010, </w:t>
      </w:r>
      <w:r>
        <w:rPr>
          <w:rFonts w:asciiTheme="majorHAnsi" w:hAnsiTheme="majorHAnsi"/>
          <w:color w:val="000000" w:themeColor="text1"/>
          <w:sz w:val="16"/>
          <w:szCs w:val="16"/>
        </w:rPr>
        <w:t>Thirteenth whereas clause, and Matter of</w:t>
      </w:r>
      <w:r w:rsidRPr="005404B2">
        <w:rPr>
          <w:rFonts w:asciiTheme="majorHAnsi" w:hAnsiTheme="majorHAnsi"/>
          <w:color w:val="000000" w:themeColor="text1"/>
          <w:sz w:val="16"/>
          <w:szCs w:val="16"/>
        </w:rPr>
        <w:t xml:space="preserve"> Guerrero Larez. </w:t>
      </w:r>
      <w:r>
        <w:rPr>
          <w:rFonts w:asciiTheme="majorHAnsi" w:hAnsiTheme="majorHAnsi"/>
          <w:color w:val="000000" w:themeColor="text1"/>
          <w:sz w:val="16"/>
          <w:szCs w:val="16"/>
        </w:rPr>
        <w:t xml:space="preserve">Provisional Measures with respect to Venezuela. Resolution of the Court of August </w:t>
      </w:r>
      <w:r w:rsidRPr="005404B2">
        <w:rPr>
          <w:rFonts w:asciiTheme="majorHAnsi" w:hAnsiTheme="majorHAnsi"/>
          <w:color w:val="000000" w:themeColor="text1"/>
          <w:sz w:val="16"/>
          <w:szCs w:val="16"/>
        </w:rPr>
        <w:t>29</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2013. </w:t>
      </w:r>
      <w:r>
        <w:rPr>
          <w:rFonts w:asciiTheme="majorHAnsi" w:hAnsiTheme="majorHAnsi"/>
          <w:color w:val="000000" w:themeColor="text1"/>
          <w:sz w:val="16"/>
          <w:szCs w:val="16"/>
        </w:rPr>
        <w:t>Sixth whereas clause.</w:t>
      </w:r>
      <w:r w:rsidRPr="005404B2">
        <w:rPr>
          <w:rFonts w:asciiTheme="majorHAnsi" w:hAnsiTheme="majorHAnsi"/>
          <w:color w:val="000000" w:themeColor="text1"/>
          <w:sz w:val="16"/>
          <w:szCs w:val="16"/>
        </w:rPr>
        <w:t xml:space="preserve"> </w:t>
      </w:r>
    </w:p>
  </w:footnote>
  <w:footnote w:id="67">
    <w:p w14:paraId="50CF3D00"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IA Court of HR. Case of Velásquez Rodríguez v.</w:t>
      </w:r>
      <w:r w:rsidRPr="005404B2">
        <w:rPr>
          <w:rFonts w:asciiTheme="majorHAnsi" w:hAnsiTheme="majorHAnsi"/>
          <w:color w:val="000000" w:themeColor="text1"/>
          <w:sz w:val="16"/>
          <w:szCs w:val="16"/>
        </w:rPr>
        <w:t xml:space="preserve"> Honduras. </w:t>
      </w:r>
      <w:r>
        <w:rPr>
          <w:rFonts w:asciiTheme="majorHAnsi" w:hAnsiTheme="majorHAnsi"/>
          <w:color w:val="000000" w:themeColor="text1"/>
          <w:sz w:val="16"/>
          <w:szCs w:val="16"/>
        </w:rPr>
        <w:t>Preliminary Objections</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Judgment of June 26, 1987.</w:t>
      </w:r>
      <w:r w:rsidRPr="005404B2">
        <w:rPr>
          <w:rFonts w:asciiTheme="majorHAnsi" w:hAnsiTheme="majorHAnsi"/>
          <w:color w:val="000000" w:themeColor="text1"/>
          <w:sz w:val="16"/>
          <w:szCs w:val="16"/>
        </w:rPr>
        <w:t xml:space="preserve"> Serie</w:t>
      </w:r>
      <w:r>
        <w:rPr>
          <w:rFonts w:asciiTheme="majorHAnsi" w:hAnsiTheme="majorHAnsi"/>
          <w:color w:val="000000" w:themeColor="text1"/>
          <w:sz w:val="16"/>
          <w:szCs w:val="16"/>
        </w:rPr>
        <w:t>s C No. 1, par. 91; Case of</w:t>
      </w:r>
      <w:r w:rsidRPr="005404B2">
        <w:rPr>
          <w:rFonts w:asciiTheme="majorHAnsi" w:hAnsiTheme="majorHAnsi"/>
          <w:color w:val="000000" w:themeColor="text1"/>
          <w:sz w:val="16"/>
          <w:szCs w:val="16"/>
        </w:rPr>
        <w:t xml:space="preserve"> </w:t>
      </w:r>
      <w:r w:rsidRPr="00080347">
        <w:rPr>
          <w:rStyle w:val="Strong"/>
          <w:rFonts w:asciiTheme="majorHAnsi" w:hAnsiTheme="majorHAnsi"/>
          <w:b w:val="0"/>
          <w:color w:val="000000" w:themeColor="text1"/>
          <w:sz w:val="16"/>
          <w:szCs w:val="16"/>
        </w:rPr>
        <w:t>Gutiérrez and Family v. Argentina. Merits, Reparations and Costs. Judgment of November 25, 2013. Series C No. 271</w:t>
      </w:r>
      <w:r w:rsidRPr="005404B2">
        <w:rPr>
          <w:rStyle w:val="Strong"/>
          <w:rFonts w:asciiTheme="majorHAnsi" w:hAnsiTheme="majorHAnsi"/>
          <w:color w:val="000000" w:themeColor="text1"/>
          <w:sz w:val="16"/>
          <w:szCs w:val="16"/>
        </w:rPr>
        <w:t xml:space="preserve">, </w:t>
      </w:r>
      <w:r>
        <w:rPr>
          <w:rFonts w:asciiTheme="majorHAnsi" w:hAnsiTheme="majorHAnsi"/>
          <w:color w:val="000000" w:themeColor="text1"/>
          <w:sz w:val="16"/>
          <w:szCs w:val="16"/>
        </w:rPr>
        <w:t>pa</w:t>
      </w:r>
      <w:r w:rsidRPr="005404B2">
        <w:rPr>
          <w:rFonts w:asciiTheme="majorHAnsi" w:hAnsiTheme="majorHAnsi"/>
          <w:color w:val="000000" w:themeColor="text1"/>
          <w:sz w:val="16"/>
          <w:szCs w:val="16"/>
        </w:rPr>
        <w:t xml:space="preserve">r. 97; </w:t>
      </w:r>
      <w:r>
        <w:rPr>
          <w:rFonts w:asciiTheme="majorHAnsi" w:hAnsiTheme="majorHAnsi"/>
          <w:color w:val="000000" w:themeColor="text1"/>
          <w:sz w:val="16"/>
          <w:szCs w:val="16"/>
        </w:rPr>
        <w:t xml:space="preserve">and Case of </w:t>
      </w:r>
      <w:r w:rsidRPr="005404B2">
        <w:rPr>
          <w:rFonts w:asciiTheme="majorHAnsi" w:hAnsiTheme="majorHAnsi"/>
          <w:color w:val="000000" w:themeColor="text1"/>
          <w:sz w:val="16"/>
          <w:szCs w:val="16"/>
        </w:rPr>
        <w:t xml:space="preserve">Landaeta Mejías </w:t>
      </w:r>
      <w:r>
        <w:rPr>
          <w:rFonts w:asciiTheme="majorHAnsi" w:hAnsiTheme="majorHAnsi"/>
          <w:color w:val="000000" w:themeColor="text1"/>
          <w:sz w:val="16"/>
          <w:szCs w:val="16"/>
        </w:rPr>
        <w:t>Brothers et al v.</w:t>
      </w:r>
      <w:r w:rsidRPr="005404B2">
        <w:rPr>
          <w:rFonts w:asciiTheme="majorHAnsi" w:hAnsiTheme="majorHAnsi"/>
          <w:color w:val="000000" w:themeColor="text1"/>
          <w:sz w:val="16"/>
          <w:szCs w:val="16"/>
        </w:rPr>
        <w:t xml:space="preserve"> Venezuela. </w:t>
      </w:r>
      <w:r>
        <w:rPr>
          <w:rFonts w:asciiTheme="majorHAnsi" w:hAnsiTheme="majorHAnsi"/>
          <w:color w:val="000000" w:themeColor="text1"/>
          <w:sz w:val="16"/>
          <w:szCs w:val="16"/>
        </w:rPr>
        <w:t>Preliminary Objections, Merits, Reparations and Costs. Judgment of August 27, 2014</w:t>
      </w:r>
      <w:r w:rsidRPr="005404B2">
        <w:rPr>
          <w:rFonts w:asciiTheme="majorHAnsi" w:hAnsiTheme="majorHAnsi"/>
          <w:color w:val="000000" w:themeColor="text1"/>
          <w:sz w:val="16"/>
          <w:szCs w:val="16"/>
        </w:rPr>
        <w:t>. Serie</w:t>
      </w:r>
      <w:r>
        <w:rPr>
          <w:rFonts w:asciiTheme="majorHAnsi" w:hAnsiTheme="majorHAnsi"/>
          <w:color w:val="000000" w:themeColor="text1"/>
          <w:sz w:val="16"/>
          <w:szCs w:val="16"/>
        </w:rPr>
        <w:t>s C No. 281, pa</w:t>
      </w:r>
      <w:r w:rsidRPr="005404B2">
        <w:rPr>
          <w:rFonts w:asciiTheme="majorHAnsi" w:hAnsiTheme="majorHAnsi"/>
          <w:color w:val="000000" w:themeColor="text1"/>
          <w:sz w:val="16"/>
          <w:szCs w:val="16"/>
        </w:rPr>
        <w:t xml:space="preserve">r. 215. </w:t>
      </w:r>
    </w:p>
  </w:footnote>
  <w:footnote w:id="68">
    <w:p w14:paraId="3963FE92" w14:textId="77777777" w:rsidR="007A5DF1" w:rsidRPr="005404B2" w:rsidRDefault="007A5DF1" w:rsidP="00041CFE">
      <w:pPr>
        <w:widowControl w:val="0"/>
        <w:tabs>
          <w:tab w:val="left" w:pos="567"/>
        </w:tabs>
        <w:autoSpaceDE w:val="0"/>
        <w:autoSpaceDN w:val="0"/>
        <w:adjustRightInd w:val="0"/>
        <w:jc w:val="both"/>
        <w:rPr>
          <w:rFonts w:asciiTheme="majorHAnsi" w:hAnsiTheme="majorHAnsi" w:cs="Calibri"/>
          <w:color w:val="000000" w:themeColor="text1"/>
          <w:sz w:val="16"/>
          <w:szCs w:val="16"/>
          <w:lang w:eastAsia="es-ES"/>
        </w:rPr>
      </w:pPr>
      <w:r w:rsidRPr="005404B2">
        <w:rPr>
          <w:rStyle w:val="FootnoteReference"/>
          <w:rFonts w:asciiTheme="majorHAnsi" w:hAnsiTheme="majorHAnsi"/>
          <w:color w:val="000000" w:themeColor="text1"/>
          <w:spacing w:val="-6"/>
          <w:sz w:val="16"/>
          <w:szCs w:val="16"/>
        </w:rPr>
        <w:footnoteRef/>
      </w:r>
      <w:r w:rsidRPr="005404B2">
        <w:rPr>
          <w:rFonts w:asciiTheme="majorHAnsi" w:hAnsiTheme="majorHAnsi"/>
          <w:color w:val="000000" w:themeColor="text1"/>
          <w:spacing w:val="-6"/>
          <w:sz w:val="16"/>
          <w:szCs w:val="16"/>
        </w:rPr>
        <w:t xml:space="preserve"> </w:t>
      </w:r>
      <w:r>
        <w:rPr>
          <w:rFonts w:asciiTheme="majorHAnsi" w:hAnsiTheme="majorHAnsi"/>
          <w:color w:val="000000" w:themeColor="text1"/>
          <w:spacing w:val="-6"/>
          <w:sz w:val="16"/>
          <w:szCs w:val="16"/>
        </w:rPr>
        <w:t>IA Court of HR. Case of</w:t>
      </w:r>
      <w:r>
        <w:rPr>
          <w:rFonts w:asciiTheme="majorHAnsi" w:hAnsiTheme="majorHAnsi" w:cs="Calibri"/>
          <w:color w:val="000000" w:themeColor="text1"/>
          <w:sz w:val="16"/>
          <w:szCs w:val="16"/>
          <w:lang w:eastAsia="es-ES"/>
        </w:rPr>
        <w:t xml:space="preserve"> Velásquez Rodríguez. v</w:t>
      </w:r>
      <w:r w:rsidRPr="005404B2">
        <w:rPr>
          <w:rFonts w:asciiTheme="majorHAnsi" w:hAnsiTheme="majorHAnsi" w:cs="Calibri"/>
          <w:color w:val="000000" w:themeColor="text1"/>
          <w:sz w:val="16"/>
          <w:szCs w:val="16"/>
          <w:lang w:eastAsia="es-ES"/>
        </w:rPr>
        <w:t xml:space="preserve">. Honduras. </w:t>
      </w:r>
      <w:r>
        <w:rPr>
          <w:rFonts w:asciiTheme="majorHAnsi" w:hAnsiTheme="majorHAnsi" w:cs="Calibri"/>
          <w:color w:val="000000" w:themeColor="text1"/>
          <w:sz w:val="16"/>
          <w:szCs w:val="16"/>
          <w:lang w:eastAsia="es-ES"/>
        </w:rPr>
        <w:t>Merits</w:t>
      </w:r>
      <w:r w:rsidRPr="005404B2">
        <w:rPr>
          <w:rFonts w:asciiTheme="majorHAnsi" w:hAnsiTheme="majorHAnsi" w:cs="Calibri"/>
          <w:color w:val="000000" w:themeColor="text1"/>
          <w:sz w:val="16"/>
          <w:szCs w:val="16"/>
          <w:lang w:eastAsia="es-ES"/>
        </w:rPr>
        <w:t xml:space="preserve">. </w:t>
      </w:r>
      <w:r>
        <w:rPr>
          <w:rFonts w:asciiTheme="majorHAnsi" w:hAnsiTheme="majorHAnsi" w:cs="Calibri"/>
          <w:color w:val="000000" w:themeColor="text1"/>
          <w:sz w:val="16"/>
          <w:szCs w:val="16"/>
          <w:lang w:eastAsia="es-ES"/>
        </w:rPr>
        <w:t xml:space="preserve">Judgment of July 29, </w:t>
      </w:r>
      <w:r w:rsidRPr="005404B2">
        <w:rPr>
          <w:rFonts w:asciiTheme="majorHAnsi" w:hAnsiTheme="majorHAnsi" w:cs="Calibri"/>
          <w:color w:val="000000" w:themeColor="text1"/>
          <w:sz w:val="16"/>
          <w:szCs w:val="16"/>
          <w:lang w:eastAsia="es-ES"/>
        </w:rPr>
        <w:t>1988. Serie</w:t>
      </w:r>
      <w:r>
        <w:rPr>
          <w:rFonts w:asciiTheme="majorHAnsi" w:hAnsiTheme="majorHAnsi" w:cs="Calibri"/>
          <w:color w:val="000000" w:themeColor="text1"/>
          <w:sz w:val="16"/>
          <w:szCs w:val="16"/>
          <w:lang w:eastAsia="es-ES"/>
        </w:rPr>
        <w:t>s C No. 1, pa</w:t>
      </w:r>
      <w:r w:rsidRPr="005404B2">
        <w:rPr>
          <w:rFonts w:asciiTheme="majorHAnsi" w:hAnsiTheme="majorHAnsi" w:cs="Calibri"/>
          <w:color w:val="000000" w:themeColor="text1"/>
          <w:sz w:val="16"/>
          <w:szCs w:val="16"/>
          <w:lang w:eastAsia="es-ES"/>
        </w:rPr>
        <w:t>r. 177;</w:t>
      </w:r>
      <w:r>
        <w:rPr>
          <w:rFonts w:asciiTheme="majorHAnsi" w:hAnsiTheme="majorHAnsi" w:cs="Calibri"/>
          <w:color w:val="000000" w:themeColor="text1"/>
          <w:sz w:val="16"/>
          <w:szCs w:val="16"/>
          <w:lang w:eastAsia="es-ES"/>
        </w:rPr>
        <w:t xml:space="preserve"> and Case of Veliz Franco et al v.</w:t>
      </w:r>
      <w:r w:rsidRPr="005404B2">
        <w:rPr>
          <w:rFonts w:asciiTheme="majorHAnsi" w:hAnsiTheme="majorHAnsi" w:cs="Calibri"/>
          <w:color w:val="000000" w:themeColor="text1"/>
          <w:sz w:val="16"/>
          <w:szCs w:val="16"/>
          <w:lang w:eastAsia="es-ES"/>
        </w:rPr>
        <w:t xml:space="preserve"> Guatemala. </w:t>
      </w:r>
      <w:r>
        <w:rPr>
          <w:rFonts w:asciiTheme="majorHAnsi" w:hAnsiTheme="majorHAnsi" w:cs="Calibri"/>
          <w:color w:val="000000" w:themeColor="text1"/>
          <w:sz w:val="16"/>
          <w:szCs w:val="16"/>
          <w:lang w:eastAsia="es-ES"/>
        </w:rPr>
        <w:t>Preliminary Objections, Merits, Reparations and Costs. Judgment of May</w:t>
      </w:r>
      <w:r w:rsidRPr="005404B2">
        <w:rPr>
          <w:rFonts w:asciiTheme="majorHAnsi" w:hAnsiTheme="majorHAnsi" w:cs="Calibri"/>
          <w:color w:val="000000" w:themeColor="text1"/>
          <w:sz w:val="16"/>
          <w:szCs w:val="16"/>
          <w:lang w:eastAsia="es-ES"/>
        </w:rPr>
        <w:t xml:space="preserve"> 19</w:t>
      </w:r>
      <w:r>
        <w:rPr>
          <w:rFonts w:asciiTheme="majorHAnsi" w:hAnsiTheme="majorHAnsi" w:cs="Calibri"/>
          <w:color w:val="000000" w:themeColor="text1"/>
          <w:sz w:val="16"/>
          <w:szCs w:val="16"/>
          <w:lang w:eastAsia="es-ES"/>
        </w:rPr>
        <w:t>,</w:t>
      </w:r>
      <w:r w:rsidRPr="005404B2">
        <w:rPr>
          <w:rFonts w:asciiTheme="majorHAnsi" w:hAnsiTheme="majorHAnsi" w:cs="Calibri"/>
          <w:color w:val="000000" w:themeColor="text1"/>
          <w:sz w:val="16"/>
          <w:szCs w:val="16"/>
          <w:lang w:eastAsia="es-ES"/>
        </w:rPr>
        <w:t xml:space="preserve"> 2014. Serie</w:t>
      </w:r>
      <w:r>
        <w:rPr>
          <w:rFonts w:asciiTheme="majorHAnsi" w:hAnsiTheme="majorHAnsi" w:cs="Calibri"/>
          <w:color w:val="000000" w:themeColor="text1"/>
          <w:sz w:val="16"/>
          <w:szCs w:val="16"/>
          <w:lang w:eastAsia="es-ES"/>
        </w:rPr>
        <w:t>s C No. 277, pa</w:t>
      </w:r>
      <w:r w:rsidRPr="005404B2">
        <w:rPr>
          <w:rFonts w:asciiTheme="majorHAnsi" w:hAnsiTheme="majorHAnsi" w:cs="Calibri"/>
          <w:color w:val="000000" w:themeColor="text1"/>
          <w:sz w:val="16"/>
          <w:szCs w:val="16"/>
          <w:lang w:eastAsia="es-ES"/>
        </w:rPr>
        <w:t>r. 183.</w:t>
      </w:r>
    </w:p>
  </w:footnote>
  <w:footnote w:id="69">
    <w:p w14:paraId="4C29EB26"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IA Court of HR. Case of </w:t>
      </w:r>
      <w:r w:rsidRPr="005404B2">
        <w:rPr>
          <w:rFonts w:asciiTheme="majorHAnsi" w:hAnsiTheme="majorHAnsi"/>
          <w:color w:val="000000" w:themeColor="text1"/>
          <w:sz w:val="16"/>
          <w:szCs w:val="16"/>
        </w:rPr>
        <w:t>Myr</w:t>
      </w:r>
      <w:r>
        <w:rPr>
          <w:rFonts w:asciiTheme="majorHAnsi" w:hAnsiTheme="majorHAnsi"/>
          <w:color w:val="000000" w:themeColor="text1"/>
          <w:sz w:val="16"/>
          <w:szCs w:val="16"/>
        </w:rPr>
        <w:t>na Mack Chang v</w:t>
      </w:r>
      <w:r w:rsidRPr="005404B2">
        <w:rPr>
          <w:rFonts w:asciiTheme="majorHAnsi" w:hAnsiTheme="majorHAnsi"/>
          <w:color w:val="000000" w:themeColor="text1"/>
          <w:sz w:val="16"/>
          <w:szCs w:val="16"/>
        </w:rPr>
        <w:t xml:space="preserve">. Guatemala. </w:t>
      </w:r>
      <w:r>
        <w:rPr>
          <w:rFonts w:asciiTheme="majorHAnsi" w:hAnsiTheme="majorHAnsi"/>
          <w:color w:val="000000" w:themeColor="text1"/>
          <w:sz w:val="16"/>
          <w:szCs w:val="16"/>
        </w:rPr>
        <w:t xml:space="preserve">Merits, Reparations and Costs. Judgment of November </w:t>
      </w:r>
      <w:r w:rsidRPr="005404B2">
        <w:rPr>
          <w:rFonts w:asciiTheme="majorHAnsi" w:hAnsiTheme="majorHAnsi"/>
          <w:color w:val="000000" w:themeColor="text1"/>
          <w:sz w:val="16"/>
          <w:szCs w:val="16"/>
        </w:rPr>
        <w:t>25</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2003. Serie</w:t>
      </w:r>
      <w:r>
        <w:rPr>
          <w:rFonts w:asciiTheme="majorHAnsi" w:hAnsiTheme="majorHAnsi"/>
          <w:color w:val="000000" w:themeColor="text1"/>
          <w:sz w:val="16"/>
          <w:szCs w:val="16"/>
        </w:rPr>
        <w:t>s C No. 101, par. 156; and Case of Displaced Afro-descendant Communities of the Cacarica River Basin (Operation Genesis) v</w:t>
      </w:r>
      <w:r w:rsidRPr="005404B2">
        <w:rPr>
          <w:rFonts w:asciiTheme="majorHAnsi" w:hAnsiTheme="majorHAnsi"/>
          <w:color w:val="000000" w:themeColor="text1"/>
          <w:sz w:val="16"/>
          <w:szCs w:val="16"/>
        </w:rPr>
        <w:t xml:space="preserve">. Colombia. </w:t>
      </w:r>
      <w:r>
        <w:rPr>
          <w:rFonts w:asciiTheme="majorHAnsi" w:hAnsiTheme="majorHAnsi"/>
          <w:color w:val="000000" w:themeColor="text1"/>
          <w:sz w:val="16"/>
          <w:szCs w:val="16"/>
        </w:rPr>
        <w:t xml:space="preserve">Preliminary Objections, Merits, Reparations and Costs. Judgment of November </w:t>
      </w:r>
      <w:r w:rsidRPr="005404B2">
        <w:rPr>
          <w:rFonts w:asciiTheme="majorHAnsi" w:hAnsiTheme="majorHAnsi"/>
          <w:color w:val="000000" w:themeColor="text1"/>
          <w:sz w:val="16"/>
          <w:szCs w:val="16"/>
        </w:rPr>
        <w:t>20</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2013. Serie</w:t>
      </w:r>
      <w:r>
        <w:rPr>
          <w:rFonts w:asciiTheme="majorHAnsi" w:hAnsiTheme="majorHAnsi"/>
          <w:color w:val="000000" w:themeColor="text1"/>
          <w:sz w:val="16"/>
          <w:szCs w:val="16"/>
        </w:rPr>
        <w:t>s C No. 270, pa</w:t>
      </w:r>
      <w:r w:rsidRPr="005404B2">
        <w:rPr>
          <w:rFonts w:asciiTheme="majorHAnsi" w:hAnsiTheme="majorHAnsi"/>
          <w:color w:val="000000" w:themeColor="text1"/>
          <w:sz w:val="16"/>
          <w:szCs w:val="16"/>
        </w:rPr>
        <w:t>r. 371.</w:t>
      </w:r>
    </w:p>
  </w:footnote>
  <w:footnote w:id="70">
    <w:p w14:paraId="7F2EEEE9" w14:textId="77777777" w:rsidR="007A5DF1" w:rsidRPr="005404B2" w:rsidRDefault="007A5DF1" w:rsidP="00041CFE">
      <w:pPr>
        <w:tabs>
          <w:tab w:val="left" w:pos="567"/>
        </w:tabs>
        <w:jc w:val="both"/>
        <w:rPr>
          <w:rFonts w:asciiTheme="majorHAnsi" w:hAnsiTheme="majorHAnsi" w:cs="Calibri"/>
          <w:color w:val="000000" w:themeColor="text1"/>
          <w:sz w:val="16"/>
          <w:szCs w:val="16"/>
          <w:lang w:eastAsia="es-ES"/>
        </w:rPr>
      </w:pPr>
      <w:r w:rsidRPr="005404B2">
        <w:rPr>
          <w:rStyle w:val="FootnoteReference"/>
          <w:rFonts w:asciiTheme="majorHAnsi" w:hAnsiTheme="majorHAnsi"/>
          <w:color w:val="000000" w:themeColor="text1"/>
          <w:sz w:val="16"/>
          <w:szCs w:val="16"/>
        </w:rPr>
        <w:footnoteRef/>
      </w:r>
      <w:r w:rsidRPr="005404B2">
        <w:rPr>
          <w:rFonts w:asciiTheme="majorHAnsi" w:hAnsiTheme="majorHAnsi" w:cs="Calibri"/>
          <w:color w:val="000000" w:themeColor="text1"/>
          <w:sz w:val="16"/>
          <w:szCs w:val="16"/>
          <w:lang w:eastAsia="es-ES"/>
        </w:rPr>
        <w:t xml:space="preserve"> </w:t>
      </w:r>
      <w:r>
        <w:rPr>
          <w:rFonts w:asciiTheme="majorHAnsi" w:hAnsiTheme="majorHAnsi"/>
          <w:color w:val="000000" w:themeColor="text1"/>
          <w:spacing w:val="-6"/>
          <w:sz w:val="16"/>
          <w:szCs w:val="16"/>
        </w:rPr>
        <w:t>IA Court of HR. Case of</w:t>
      </w:r>
      <w:r>
        <w:rPr>
          <w:rFonts w:asciiTheme="majorHAnsi" w:hAnsiTheme="majorHAnsi" w:cs="Calibri"/>
          <w:color w:val="000000" w:themeColor="text1"/>
          <w:sz w:val="16"/>
          <w:szCs w:val="16"/>
          <w:lang w:eastAsia="es-ES"/>
        </w:rPr>
        <w:t xml:space="preserve"> Velásquez Rodríguez. v</w:t>
      </w:r>
      <w:r w:rsidRPr="005404B2">
        <w:rPr>
          <w:rFonts w:asciiTheme="majorHAnsi" w:hAnsiTheme="majorHAnsi" w:cs="Calibri"/>
          <w:color w:val="000000" w:themeColor="text1"/>
          <w:sz w:val="16"/>
          <w:szCs w:val="16"/>
          <w:lang w:eastAsia="es-ES"/>
        </w:rPr>
        <w:t xml:space="preserve">. Honduras. </w:t>
      </w:r>
      <w:r>
        <w:rPr>
          <w:rFonts w:asciiTheme="majorHAnsi" w:hAnsiTheme="majorHAnsi" w:cs="Calibri"/>
          <w:color w:val="000000" w:themeColor="text1"/>
          <w:sz w:val="16"/>
          <w:szCs w:val="16"/>
          <w:lang w:eastAsia="es-ES"/>
        </w:rPr>
        <w:t>Merits.</w:t>
      </w:r>
      <w:r w:rsidRPr="005404B2">
        <w:rPr>
          <w:rFonts w:asciiTheme="majorHAnsi" w:hAnsiTheme="majorHAnsi" w:cs="Calibri"/>
          <w:color w:val="000000" w:themeColor="text1"/>
          <w:sz w:val="16"/>
          <w:szCs w:val="16"/>
          <w:lang w:eastAsia="es-ES"/>
        </w:rPr>
        <w:t xml:space="preserve"> </w:t>
      </w:r>
      <w:r>
        <w:rPr>
          <w:rFonts w:asciiTheme="majorHAnsi" w:hAnsiTheme="majorHAnsi" w:cs="Calibri"/>
          <w:color w:val="000000" w:themeColor="text1"/>
          <w:sz w:val="16"/>
          <w:szCs w:val="16"/>
          <w:lang w:eastAsia="es-ES"/>
        </w:rPr>
        <w:t xml:space="preserve">Judgment of July 29, </w:t>
      </w:r>
      <w:r w:rsidRPr="005404B2">
        <w:rPr>
          <w:rFonts w:asciiTheme="majorHAnsi" w:hAnsiTheme="majorHAnsi" w:cs="Calibri"/>
          <w:color w:val="000000" w:themeColor="text1"/>
          <w:sz w:val="16"/>
          <w:szCs w:val="16"/>
          <w:lang w:eastAsia="es-ES"/>
        </w:rPr>
        <w:t>1988. Serie</w:t>
      </w:r>
      <w:r>
        <w:rPr>
          <w:rFonts w:asciiTheme="majorHAnsi" w:hAnsiTheme="majorHAnsi" w:cs="Calibri"/>
          <w:color w:val="000000" w:themeColor="text1"/>
          <w:sz w:val="16"/>
          <w:szCs w:val="16"/>
          <w:lang w:eastAsia="es-ES"/>
        </w:rPr>
        <w:t>s C No. 1, pa</w:t>
      </w:r>
      <w:r w:rsidRPr="005404B2">
        <w:rPr>
          <w:rFonts w:asciiTheme="majorHAnsi" w:hAnsiTheme="majorHAnsi" w:cs="Calibri"/>
          <w:color w:val="000000" w:themeColor="text1"/>
          <w:sz w:val="16"/>
          <w:szCs w:val="16"/>
          <w:lang w:eastAsia="es-ES"/>
        </w:rPr>
        <w:t>r. 177;</w:t>
      </w:r>
      <w:r>
        <w:rPr>
          <w:rFonts w:asciiTheme="majorHAnsi" w:hAnsiTheme="majorHAnsi" w:cs="Calibri"/>
          <w:color w:val="000000" w:themeColor="text1"/>
          <w:sz w:val="16"/>
          <w:szCs w:val="16"/>
          <w:lang w:eastAsia="es-ES"/>
        </w:rPr>
        <w:t xml:space="preserve"> and Case of Veliz Franco et al v.</w:t>
      </w:r>
      <w:r w:rsidRPr="005404B2">
        <w:rPr>
          <w:rFonts w:asciiTheme="majorHAnsi" w:hAnsiTheme="majorHAnsi" w:cs="Calibri"/>
          <w:color w:val="000000" w:themeColor="text1"/>
          <w:sz w:val="16"/>
          <w:szCs w:val="16"/>
          <w:lang w:eastAsia="es-ES"/>
        </w:rPr>
        <w:t xml:space="preserve"> Guatemala. </w:t>
      </w:r>
      <w:r>
        <w:rPr>
          <w:rFonts w:asciiTheme="majorHAnsi" w:hAnsiTheme="majorHAnsi" w:cs="Calibri"/>
          <w:color w:val="000000" w:themeColor="text1"/>
          <w:sz w:val="16"/>
          <w:szCs w:val="16"/>
          <w:lang w:eastAsia="es-ES"/>
        </w:rPr>
        <w:t>Preliminary Objections, Merits, Reparations and Costs. Judgment of May</w:t>
      </w:r>
      <w:r w:rsidRPr="005404B2">
        <w:rPr>
          <w:rFonts w:asciiTheme="majorHAnsi" w:hAnsiTheme="majorHAnsi" w:cs="Calibri"/>
          <w:color w:val="000000" w:themeColor="text1"/>
          <w:sz w:val="16"/>
          <w:szCs w:val="16"/>
          <w:lang w:eastAsia="es-ES"/>
        </w:rPr>
        <w:t xml:space="preserve"> 19</w:t>
      </w:r>
      <w:r>
        <w:rPr>
          <w:rFonts w:asciiTheme="majorHAnsi" w:hAnsiTheme="majorHAnsi" w:cs="Calibri"/>
          <w:color w:val="000000" w:themeColor="text1"/>
          <w:sz w:val="16"/>
          <w:szCs w:val="16"/>
          <w:lang w:eastAsia="es-ES"/>
        </w:rPr>
        <w:t>,</w:t>
      </w:r>
      <w:r w:rsidRPr="005404B2">
        <w:rPr>
          <w:rFonts w:asciiTheme="majorHAnsi" w:hAnsiTheme="majorHAnsi" w:cs="Calibri"/>
          <w:color w:val="000000" w:themeColor="text1"/>
          <w:sz w:val="16"/>
          <w:szCs w:val="16"/>
          <w:lang w:eastAsia="es-ES"/>
        </w:rPr>
        <w:t xml:space="preserve"> 2014. Serie</w:t>
      </w:r>
      <w:r>
        <w:rPr>
          <w:rFonts w:asciiTheme="majorHAnsi" w:hAnsiTheme="majorHAnsi" w:cs="Calibri"/>
          <w:color w:val="000000" w:themeColor="text1"/>
          <w:sz w:val="16"/>
          <w:szCs w:val="16"/>
          <w:lang w:eastAsia="es-ES"/>
        </w:rPr>
        <w:t>s C No. 277, pa</w:t>
      </w:r>
      <w:r w:rsidRPr="005404B2">
        <w:rPr>
          <w:rFonts w:asciiTheme="majorHAnsi" w:hAnsiTheme="majorHAnsi" w:cs="Calibri"/>
          <w:color w:val="000000" w:themeColor="text1"/>
          <w:sz w:val="16"/>
          <w:szCs w:val="16"/>
          <w:lang w:eastAsia="es-ES"/>
        </w:rPr>
        <w:t>r. 183.</w:t>
      </w:r>
      <w:r>
        <w:rPr>
          <w:rFonts w:asciiTheme="majorHAnsi" w:hAnsiTheme="majorHAnsi" w:cs="Calibri"/>
          <w:color w:val="000000" w:themeColor="text1"/>
          <w:sz w:val="16"/>
          <w:szCs w:val="16"/>
          <w:lang w:eastAsia="es-ES"/>
        </w:rPr>
        <w:t xml:space="preserve"> </w:t>
      </w:r>
    </w:p>
  </w:footnote>
  <w:footnote w:id="71">
    <w:p w14:paraId="4690663E" w14:textId="77777777" w:rsidR="007A5DF1" w:rsidRPr="005404B2" w:rsidRDefault="007A5DF1" w:rsidP="00041CFE">
      <w:pPr>
        <w:widowControl w:val="0"/>
        <w:tabs>
          <w:tab w:val="left" w:pos="567"/>
        </w:tabs>
        <w:autoSpaceDE w:val="0"/>
        <w:autoSpaceDN w:val="0"/>
        <w:adjustRightInd w:val="0"/>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IA Court of HR. Case of the Massacres of Ituango v</w:t>
      </w:r>
      <w:r w:rsidRPr="005404B2">
        <w:rPr>
          <w:rFonts w:asciiTheme="majorHAnsi" w:hAnsiTheme="majorHAnsi"/>
          <w:color w:val="000000" w:themeColor="text1"/>
          <w:sz w:val="16"/>
          <w:szCs w:val="16"/>
        </w:rPr>
        <w:t xml:space="preserve">. Colombia. </w:t>
      </w:r>
      <w:r>
        <w:rPr>
          <w:rFonts w:asciiTheme="majorHAnsi" w:hAnsiTheme="majorHAnsi"/>
          <w:color w:val="000000" w:themeColor="text1"/>
          <w:sz w:val="16"/>
          <w:szCs w:val="16"/>
        </w:rPr>
        <w:t xml:space="preserve">Judgment of July </w:t>
      </w:r>
      <w:r w:rsidRPr="005404B2">
        <w:rPr>
          <w:rFonts w:asciiTheme="majorHAnsi" w:hAnsiTheme="majorHAnsi"/>
          <w:color w:val="000000" w:themeColor="text1"/>
          <w:sz w:val="16"/>
          <w:szCs w:val="16"/>
        </w:rPr>
        <w:t>1</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2006, Serie</w:t>
      </w:r>
      <w:r>
        <w:rPr>
          <w:rFonts w:asciiTheme="majorHAnsi" w:hAnsiTheme="majorHAnsi"/>
          <w:color w:val="000000" w:themeColor="text1"/>
          <w:sz w:val="16"/>
          <w:szCs w:val="16"/>
        </w:rPr>
        <w:t>s C. No. 148, pa</w:t>
      </w:r>
      <w:r w:rsidRPr="005404B2">
        <w:rPr>
          <w:rFonts w:asciiTheme="majorHAnsi" w:hAnsiTheme="majorHAnsi"/>
          <w:color w:val="000000" w:themeColor="text1"/>
          <w:sz w:val="16"/>
          <w:szCs w:val="16"/>
        </w:rPr>
        <w:t>r. 319;</w:t>
      </w:r>
      <w:r>
        <w:rPr>
          <w:rFonts w:asciiTheme="majorHAnsi" w:hAnsiTheme="majorHAnsi"/>
          <w:color w:val="000000" w:themeColor="text1"/>
          <w:sz w:val="16"/>
          <w:szCs w:val="16"/>
        </w:rPr>
        <w:t xml:space="preserve"> Case of</w:t>
      </w:r>
      <w:r w:rsidRPr="005404B2">
        <w:rPr>
          <w:rFonts w:asciiTheme="majorHAnsi" w:hAnsiTheme="majorHAnsi"/>
          <w:color w:val="000000" w:themeColor="text1"/>
          <w:sz w:val="16"/>
          <w:szCs w:val="16"/>
        </w:rPr>
        <w:t xml:space="preserve"> Veliz Franco </w:t>
      </w:r>
      <w:r>
        <w:rPr>
          <w:rFonts w:asciiTheme="majorHAnsi" w:hAnsiTheme="majorHAnsi" w:cs="Verdana"/>
          <w:color w:val="000000" w:themeColor="text1"/>
          <w:sz w:val="16"/>
          <w:szCs w:val="16"/>
        </w:rPr>
        <w:t>et al v.</w:t>
      </w:r>
      <w:r w:rsidRPr="005404B2">
        <w:rPr>
          <w:rFonts w:asciiTheme="majorHAnsi" w:hAnsiTheme="majorHAnsi" w:cs="Verdana"/>
          <w:color w:val="000000" w:themeColor="text1"/>
          <w:sz w:val="16"/>
          <w:szCs w:val="16"/>
        </w:rPr>
        <w:t xml:space="preserve"> Guatemala. </w:t>
      </w:r>
      <w:r>
        <w:rPr>
          <w:rFonts w:asciiTheme="majorHAnsi" w:hAnsiTheme="majorHAnsi" w:cs="Verdana"/>
          <w:color w:val="000000" w:themeColor="text1"/>
          <w:sz w:val="16"/>
          <w:szCs w:val="16"/>
        </w:rPr>
        <w:t xml:space="preserve">Preliminary Objections, Merits, Reparations and Costs. Judgment of May </w:t>
      </w:r>
      <w:r w:rsidRPr="005404B2">
        <w:rPr>
          <w:rFonts w:asciiTheme="majorHAnsi" w:hAnsiTheme="majorHAnsi" w:cs="Verdana"/>
          <w:color w:val="000000" w:themeColor="text1"/>
          <w:sz w:val="16"/>
          <w:szCs w:val="16"/>
        </w:rPr>
        <w:t>19</w:t>
      </w:r>
      <w:r>
        <w:rPr>
          <w:rFonts w:asciiTheme="majorHAnsi" w:hAnsiTheme="majorHAnsi" w:cs="Verdana"/>
          <w:color w:val="000000" w:themeColor="text1"/>
          <w:sz w:val="16"/>
          <w:szCs w:val="16"/>
        </w:rPr>
        <w:t>,</w:t>
      </w:r>
      <w:r w:rsidRPr="005404B2">
        <w:rPr>
          <w:rFonts w:asciiTheme="majorHAnsi" w:hAnsiTheme="majorHAnsi" w:cs="Verdana"/>
          <w:color w:val="000000" w:themeColor="text1"/>
          <w:sz w:val="16"/>
          <w:szCs w:val="16"/>
        </w:rPr>
        <w:t xml:space="preserve"> 2014. Serie</w:t>
      </w:r>
      <w:r>
        <w:rPr>
          <w:rFonts w:asciiTheme="majorHAnsi" w:hAnsiTheme="majorHAnsi" w:cs="Verdana"/>
          <w:color w:val="000000" w:themeColor="text1"/>
          <w:sz w:val="16"/>
          <w:szCs w:val="16"/>
        </w:rPr>
        <w:t>s C No. 277, pa</w:t>
      </w:r>
      <w:r w:rsidRPr="005404B2">
        <w:rPr>
          <w:rFonts w:asciiTheme="majorHAnsi" w:hAnsiTheme="majorHAnsi" w:cs="Verdana"/>
          <w:color w:val="000000" w:themeColor="text1"/>
          <w:sz w:val="16"/>
          <w:szCs w:val="16"/>
        </w:rPr>
        <w:t xml:space="preserve">r. 183; </w:t>
      </w:r>
      <w:r>
        <w:rPr>
          <w:rFonts w:asciiTheme="majorHAnsi" w:hAnsiTheme="majorHAnsi" w:cs="Verdana"/>
          <w:color w:val="000000" w:themeColor="text1"/>
          <w:sz w:val="16"/>
          <w:szCs w:val="16"/>
        </w:rPr>
        <w:t xml:space="preserve">and Case of </w:t>
      </w:r>
      <w:r w:rsidRPr="005404B2">
        <w:rPr>
          <w:rFonts w:asciiTheme="majorHAnsi" w:hAnsiTheme="majorHAnsi"/>
          <w:color w:val="000000" w:themeColor="text1"/>
          <w:sz w:val="16"/>
          <w:szCs w:val="16"/>
        </w:rPr>
        <w:t xml:space="preserve">Landaeta Mejías </w:t>
      </w:r>
      <w:r>
        <w:rPr>
          <w:rFonts w:asciiTheme="majorHAnsi" w:hAnsiTheme="majorHAnsi"/>
          <w:color w:val="000000" w:themeColor="text1"/>
          <w:sz w:val="16"/>
          <w:szCs w:val="16"/>
        </w:rPr>
        <w:t>Brothers et al v.</w:t>
      </w:r>
      <w:r w:rsidRPr="005404B2">
        <w:rPr>
          <w:rFonts w:asciiTheme="majorHAnsi" w:hAnsiTheme="majorHAnsi"/>
          <w:color w:val="000000" w:themeColor="text1"/>
          <w:sz w:val="16"/>
          <w:szCs w:val="16"/>
        </w:rPr>
        <w:t xml:space="preserve"> Venezuela. </w:t>
      </w:r>
      <w:r>
        <w:rPr>
          <w:rFonts w:asciiTheme="majorHAnsi" w:hAnsiTheme="majorHAnsi"/>
          <w:color w:val="000000" w:themeColor="text1"/>
          <w:sz w:val="16"/>
          <w:szCs w:val="16"/>
        </w:rPr>
        <w:t xml:space="preserve">Preliminary Objections, Merits, Reparations and Costs. Judgment of August </w:t>
      </w:r>
      <w:r w:rsidRPr="005404B2">
        <w:rPr>
          <w:rFonts w:asciiTheme="majorHAnsi" w:hAnsiTheme="majorHAnsi"/>
          <w:color w:val="000000" w:themeColor="text1"/>
          <w:sz w:val="16"/>
          <w:szCs w:val="16"/>
        </w:rPr>
        <w:t>27</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2014. Serie</w:t>
      </w:r>
      <w:r>
        <w:rPr>
          <w:rFonts w:asciiTheme="majorHAnsi" w:hAnsiTheme="majorHAnsi"/>
          <w:color w:val="000000" w:themeColor="text1"/>
          <w:sz w:val="16"/>
          <w:szCs w:val="16"/>
        </w:rPr>
        <w:t>s C No. 281, par.</w:t>
      </w:r>
      <w:r w:rsidRPr="005404B2">
        <w:rPr>
          <w:rFonts w:asciiTheme="majorHAnsi" w:hAnsiTheme="majorHAnsi"/>
          <w:color w:val="000000" w:themeColor="text1"/>
          <w:sz w:val="16"/>
          <w:szCs w:val="16"/>
        </w:rPr>
        <w:t xml:space="preserve"> 216. </w:t>
      </w:r>
    </w:p>
  </w:footnote>
  <w:footnote w:id="72">
    <w:p w14:paraId="2CAF2D45"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IA Court of HR. Case of Cantoral Huamaní and García Santa Cruz v. Peru</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Preliminary Objection, Merits, Reparations and Costs. Judgment of July </w:t>
      </w:r>
      <w:r w:rsidRPr="005404B2">
        <w:rPr>
          <w:rFonts w:asciiTheme="majorHAnsi" w:hAnsiTheme="majorHAnsi"/>
          <w:color w:val="000000" w:themeColor="text1"/>
          <w:sz w:val="16"/>
          <w:szCs w:val="16"/>
        </w:rPr>
        <w:t>10</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2007. Serie</w:t>
      </w:r>
      <w:r>
        <w:rPr>
          <w:rFonts w:asciiTheme="majorHAnsi" w:hAnsiTheme="majorHAnsi"/>
          <w:color w:val="000000" w:themeColor="text1"/>
          <w:sz w:val="16"/>
          <w:szCs w:val="16"/>
        </w:rPr>
        <w:t>s C No. 167, pa</w:t>
      </w:r>
      <w:r w:rsidRPr="005404B2">
        <w:rPr>
          <w:rFonts w:asciiTheme="majorHAnsi" w:hAnsiTheme="majorHAnsi"/>
          <w:color w:val="000000" w:themeColor="text1"/>
          <w:sz w:val="16"/>
          <w:szCs w:val="16"/>
        </w:rPr>
        <w:t>r. 131.</w:t>
      </w:r>
    </w:p>
  </w:footnote>
  <w:footnote w:id="73">
    <w:p w14:paraId="57687440" w14:textId="77777777" w:rsidR="007A5DF1" w:rsidRPr="005404B2" w:rsidRDefault="007A5DF1" w:rsidP="00041CFE">
      <w:pPr>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IACHR. Report on Merits, N˚ 55/97, Juan Carlos Abella et al</w:t>
      </w:r>
      <w:r w:rsidRPr="005404B2">
        <w:rPr>
          <w:rFonts w:asciiTheme="majorHAnsi" w:hAnsiTheme="majorHAnsi"/>
          <w:color w:val="000000" w:themeColor="text1"/>
          <w:sz w:val="16"/>
          <w:szCs w:val="16"/>
        </w:rPr>
        <w:t xml:space="preserve"> (Argentina), </w:t>
      </w:r>
      <w:r>
        <w:rPr>
          <w:rFonts w:asciiTheme="majorHAnsi" w:hAnsiTheme="majorHAnsi"/>
          <w:color w:val="000000" w:themeColor="text1"/>
          <w:sz w:val="16"/>
          <w:szCs w:val="16"/>
        </w:rPr>
        <w:t xml:space="preserve">November </w:t>
      </w:r>
      <w:r w:rsidRPr="005404B2">
        <w:rPr>
          <w:rFonts w:asciiTheme="majorHAnsi" w:hAnsiTheme="majorHAnsi"/>
          <w:color w:val="000000" w:themeColor="text1"/>
          <w:sz w:val="16"/>
          <w:szCs w:val="16"/>
        </w:rPr>
        <w:t>18</w:t>
      </w:r>
      <w:r>
        <w:rPr>
          <w:rFonts w:asciiTheme="majorHAnsi" w:hAnsiTheme="majorHAnsi"/>
          <w:color w:val="000000" w:themeColor="text1"/>
          <w:sz w:val="16"/>
          <w:szCs w:val="16"/>
        </w:rPr>
        <w:t>, 1997, pa</w:t>
      </w:r>
      <w:r w:rsidRPr="005404B2">
        <w:rPr>
          <w:rFonts w:asciiTheme="majorHAnsi" w:hAnsiTheme="majorHAnsi"/>
          <w:color w:val="000000" w:themeColor="text1"/>
          <w:sz w:val="16"/>
          <w:szCs w:val="16"/>
        </w:rPr>
        <w:t>r. 412.</w:t>
      </w:r>
    </w:p>
  </w:footnote>
  <w:footnote w:id="74">
    <w:p w14:paraId="5D40A054"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IACHR. Report</w:t>
      </w:r>
      <w:r w:rsidRPr="005404B2">
        <w:rPr>
          <w:rFonts w:asciiTheme="majorHAnsi" w:hAnsiTheme="majorHAnsi"/>
          <w:color w:val="000000" w:themeColor="text1"/>
          <w:sz w:val="16"/>
          <w:szCs w:val="16"/>
        </w:rPr>
        <w:t xml:space="preserve"> No. 25/09 </w:t>
      </w:r>
      <w:r>
        <w:rPr>
          <w:rFonts w:asciiTheme="majorHAnsi" w:hAnsiTheme="majorHAnsi"/>
          <w:color w:val="000000" w:themeColor="text1"/>
          <w:sz w:val="16"/>
          <w:szCs w:val="16"/>
        </w:rPr>
        <w:t>Merits</w:t>
      </w:r>
      <w:r w:rsidRPr="005404B2">
        <w:rPr>
          <w:rFonts w:asciiTheme="majorHAnsi" w:hAnsiTheme="majorHAnsi"/>
          <w:color w:val="000000" w:themeColor="text1"/>
          <w:sz w:val="16"/>
          <w:szCs w:val="16"/>
        </w:rPr>
        <w:t xml:space="preserve"> (Sebastião Camargo </w:t>
      </w:r>
      <w:r>
        <w:rPr>
          <w:rFonts w:asciiTheme="majorHAnsi" w:hAnsiTheme="majorHAnsi"/>
          <w:color w:val="000000" w:themeColor="text1"/>
          <w:sz w:val="16"/>
          <w:szCs w:val="16"/>
        </w:rPr>
        <w:t>Junior</w:t>
      </w:r>
      <w:r w:rsidRPr="005404B2">
        <w:rPr>
          <w:rFonts w:asciiTheme="majorHAnsi" w:hAnsiTheme="majorHAnsi"/>
          <w:color w:val="000000" w:themeColor="text1"/>
          <w:sz w:val="16"/>
          <w:szCs w:val="16"/>
        </w:rPr>
        <w:t>) Bra</w:t>
      </w:r>
      <w:r>
        <w:rPr>
          <w:rFonts w:asciiTheme="majorHAnsi" w:hAnsiTheme="majorHAnsi"/>
          <w:color w:val="000000" w:themeColor="text1"/>
          <w:sz w:val="16"/>
          <w:szCs w:val="16"/>
        </w:rPr>
        <w:t>z</w:t>
      </w:r>
      <w:r w:rsidRPr="005404B2">
        <w:rPr>
          <w:rFonts w:asciiTheme="majorHAnsi" w:hAnsiTheme="majorHAnsi"/>
          <w:color w:val="000000" w:themeColor="text1"/>
          <w:sz w:val="16"/>
          <w:szCs w:val="16"/>
        </w:rPr>
        <w:t xml:space="preserve">il, </w:t>
      </w:r>
      <w:r>
        <w:rPr>
          <w:rFonts w:asciiTheme="majorHAnsi" w:hAnsiTheme="majorHAnsi"/>
          <w:color w:val="000000" w:themeColor="text1"/>
          <w:sz w:val="16"/>
          <w:szCs w:val="16"/>
        </w:rPr>
        <w:t xml:space="preserve">March </w:t>
      </w:r>
      <w:r w:rsidRPr="005404B2">
        <w:rPr>
          <w:rFonts w:asciiTheme="majorHAnsi" w:hAnsiTheme="majorHAnsi"/>
          <w:color w:val="000000" w:themeColor="text1"/>
          <w:sz w:val="16"/>
          <w:szCs w:val="16"/>
        </w:rPr>
        <w:t>19</w:t>
      </w:r>
      <w:r>
        <w:rPr>
          <w:rFonts w:asciiTheme="majorHAnsi" w:hAnsiTheme="majorHAnsi"/>
          <w:color w:val="000000" w:themeColor="text1"/>
          <w:sz w:val="16"/>
          <w:szCs w:val="16"/>
        </w:rPr>
        <w:t>, 2009, pa</w:t>
      </w:r>
      <w:r w:rsidRPr="005404B2">
        <w:rPr>
          <w:rFonts w:asciiTheme="majorHAnsi" w:hAnsiTheme="majorHAnsi"/>
          <w:color w:val="000000" w:themeColor="text1"/>
          <w:sz w:val="16"/>
          <w:szCs w:val="16"/>
        </w:rPr>
        <w:t xml:space="preserve">r. 109. </w:t>
      </w:r>
      <w:r>
        <w:rPr>
          <w:rFonts w:asciiTheme="majorHAnsi" w:hAnsiTheme="majorHAnsi"/>
          <w:color w:val="000000" w:themeColor="text1"/>
          <w:sz w:val="16"/>
          <w:szCs w:val="16"/>
        </w:rPr>
        <w:t xml:space="preserve">Also see, IACHR, Access to Justice for Women Victims of Violence in the Americas. </w:t>
      </w:r>
      <w:r w:rsidRPr="005404B2">
        <w:rPr>
          <w:rFonts w:asciiTheme="majorHAnsi" w:hAnsiTheme="majorHAnsi"/>
          <w:color w:val="000000" w:themeColor="text1"/>
          <w:sz w:val="16"/>
          <w:szCs w:val="16"/>
        </w:rPr>
        <w:t xml:space="preserve">OEA/Ser. L/V/II. doc.68, </w:t>
      </w:r>
      <w:r>
        <w:rPr>
          <w:rFonts w:asciiTheme="majorHAnsi" w:hAnsiTheme="majorHAnsi"/>
          <w:color w:val="000000" w:themeColor="text1"/>
          <w:sz w:val="16"/>
          <w:szCs w:val="16"/>
        </w:rPr>
        <w:t xml:space="preserve">January </w:t>
      </w:r>
      <w:r w:rsidRPr="005404B2">
        <w:rPr>
          <w:rFonts w:asciiTheme="majorHAnsi" w:hAnsiTheme="majorHAnsi"/>
          <w:color w:val="000000" w:themeColor="text1"/>
          <w:sz w:val="16"/>
          <w:szCs w:val="16"/>
        </w:rPr>
        <w:t>20</w:t>
      </w:r>
      <w:r>
        <w:rPr>
          <w:rFonts w:asciiTheme="majorHAnsi" w:hAnsiTheme="majorHAnsi"/>
          <w:color w:val="000000" w:themeColor="text1"/>
          <w:sz w:val="16"/>
          <w:szCs w:val="16"/>
        </w:rPr>
        <w:t>, 2007, pa</w:t>
      </w:r>
      <w:r w:rsidRPr="005404B2">
        <w:rPr>
          <w:rFonts w:asciiTheme="majorHAnsi" w:hAnsiTheme="majorHAnsi"/>
          <w:color w:val="000000" w:themeColor="text1"/>
          <w:sz w:val="16"/>
          <w:szCs w:val="16"/>
        </w:rPr>
        <w:t>r. 41.</w:t>
      </w:r>
    </w:p>
  </w:footnote>
  <w:footnote w:id="75">
    <w:p w14:paraId="135391A2"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IA Court of HR.</w:t>
      </w:r>
      <w:r w:rsidRPr="005404B2">
        <w:rPr>
          <w:rFonts w:asciiTheme="majorHAnsi" w:hAnsiTheme="majorHAnsi"/>
          <w:color w:val="000000" w:themeColor="text1"/>
          <w:sz w:val="16"/>
          <w:szCs w:val="16"/>
        </w:rPr>
        <w:t xml:space="preserve"> </w:t>
      </w:r>
      <w:r>
        <w:rPr>
          <w:rFonts w:asciiTheme="majorHAnsi" w:hAnsiTheme="majorHAnsi"/>
          <w:iCs/>
          <w:color w:val="000000" w:themeColor="text1"/>
          <w:sz w:val="16"/>
          <w:szCs w:val="16"/>
        </w:rPr>
        <w:t>Case of the “Street Children” (Villagrán Morales et al</w:t>
      </w:r>
      <w:r w:rsidRPr="005404B2">
        <w:rPr>
          <w:rFonts w:asciiTheme="majorHAnsi" w:hAnsiTheme="majorHAnsi"/>
          <w:iCs/>
          <w:color w:val="000000" w:themeColor="text1"/>
          <w:sz w:val="16"/>
          <w:szCs w:val="16"/>
        </w:rPr>
        <w:t>).</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Judgment of November </w:t>
      </w:r>
      <w:r w:rsidRPr="005404B2">
        <w:rPr>
          <w:rFonts w:asciiTheme="majorHAnsi" w:hAnsiTheme="majorHAnsi"/>
          <w:color w:val="000000" w:themeColor="text1"/>
          <w:sz w:val="16"/>
          <w:szCs w:val="16"/>
        </w:rPr>
        <w:t>19</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1999. Serie</w:t>
      </w:r>
      <w:r>
        <w:rPr>
          <w:rFonts w:asciiTheme="majorHAnsi" w:hAnsiTheme="majorHAnsi"/>
          <w:color w:val="000000" w:themeColor="text1"/>
          <w:sz w:val="16"/>
          <w:szCs w:val="16"/>
        </w:rPr>
        <w:t>s C No. 63, pa</w:t>
      </w:r>
      <w:r w:rsidRPr="005404B2">
        <w:rPr>
          <w:rFonts w:asciiTheme="majorHAnsi" w:hAnsiTheme="majorHAnsi"/>
          <w:color w:val="000000" w:themeColor="text1"/>
          <w:sz w:val="16"/>
          <w:szCs w:val="16"/>
        </w:rPr>
        <w:t xml:space="preserve">r. 230. </w:t>
      </w:r>
      <w:r>
        <w:rPr>
          <w:rFonts w:asciiTheme="majorHAnsi" w:hAnsiTheme="majorHAnsi"/>
          <w:color w:val="000000" w:themeColor="text1"/>
          <w:sz w:val="16"/>
          <w:szCs w:val="16"/>
        </w:rPr>
        <w:t xml:space="preserve">Also see, IACHR, Access to Justice for Women Victims of Violence in the Americas. </w:t>
      </w:r>
      <w:r w:rsidRPr="005404B2">
        <w:rPr>
          <w:rFonts w:asciiTheme="majorHAnsi" w:hAnsiTheme="majorHAnsi"/>
          <w:color w:val="000000" w:themeColor="text1"/>
          <w:sz w:val="16"/>
          <w:szCs w:val="16"/>
        </w:rPr>
        <w:t xml:space="preserve">OEA/Ser. L/V/II. doc.68, </w:t>
      </w:r>
      <w:r>
        <w:rPr>
          <w:rFonts w:asciiTheme="majorHAnsi" w:hAnsiTheme="majorHAnsi"/>
          <w:color w:val="000000" w:themeColor="text1"/>
          <w:sz w:val="16"/>
          <w:szCs w:val="16"/>
        </w:rPr>
        <w:t xml:space="preserve">January </w:t>
      </w:r>
      <w:r w:rsidRPr="005404B2">
        <w:rPr>
          <w:rFonts w:asciiTheme="majorHAnsi" w:hAnsiTheme="majorHAnsi"/>
          <w:color w:val="000000" w:themeColor="text1"/>
          <w:sz w:val="16"/>
          <w:szCs w:val="16"/>
        </w:rPr>
        <w:t>20</w:t>
      </w:r>
      <w:r>
        <w:rPr>
          <w:rFonts w:asciiTheme="majorHAnsi" w:hAnsiTheme="majorHAnsi"/>
          <w:color w:val="000000" w:themeColor="text1"/>
          <w:sz w:val="16"/>
          <w:szCs w:val="16"/>
        </w:rPr>
        <w:t>, 2007, pa</w:t>
      </w:r>
      <w:r w:rsidRPr="005404B2">
        <w:rPr>
          <w:rFonts w:asciiTheme="majorHAnsi" w:hAnsiTheme="majorHAnsi"/>
          <w:color w:val="000000" w:themeColor="text1"/>
          <w:sz w:val="16"/>
          <w:szCs w:val="16"/>
        </w:rPr>
        <w:t>r. 41.</w:t>
      </w:r>
      <w:r>
        <w:rPr>
          <w:rFonts w:asciiTheme="majorHAnsi" w:hAnsiTheme="majorHAnsi"/>
          <w:color w:val="000000" w:themeColor="text1"/>
          <w:sz w:val="16"/>
          <w:szCs w:val="16"/>
        </w:rPr>
        <w:t xml:space="preserve"> </w:t>
      </w:r>
    </w:p>
  </w:footnote>
  <w:footnote w:id="76">
    <w:p w14:paraId="0806A289"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s="Arial"/>
          <w:color w:val="000000" w:themeColor="text1"/>
          <w:sz w:val="16"/>
          <w:szCs w:val="16"/>
        </w:rPr>
        <w:t xml:space="preserve"> </w:t>
      </w:r>
      <w:r>
        <w:rPr>
          <w:rFonts w:asciiTheme="majorHAnsi" w:hAnsiTheme="majorHAnsi" w:cs="Arial"/>
          <w:color w:val="000000" w:themeColor="text1"/>
          <w:sz w:val="16"/>
          <w:szCs w:val="16"/>
        </w:rPr>
        <w:t>IACHR. Report No. 111/10, Case</w:t>
      </w:r>
      <w:r w:rsidRPr="005404B2">
        <w:rPr>
          <w:rFonts w:asciiTheme="majorHAnsi" w:hAnsiTheme="majorHAnsi" w:cs="Arial"/>
          <w:color w:val="000000" w:themeColor="text1"/>
          <w:sz w:val="16"/>
          <w:szCs w:val="16"/>
        </w:rPr>
        <w:t xml:space="preserve"> 12.539, </w:t>
      </w:r>
      <w:r>
        <w:rPr>
          <w:rFonts w:asciiTheme="majorHAnsi" w:hAnsiTheme="majorHAnsi" w:cs="Arial"/>
          <w:color w:val="000000" w:themeColor="text1"/>
          <w:sz w:val="16"/>
          <w:szCs w:val="16"/>
        </w:rPr>
        <w:t>Merits, Sebastián Claus Furlan and Family</w:t>
      </w:r>
      <w:r w:rsidRPr="005404B2">
        <w:rPr>
          <w:rFonts w:asciiTheme="majorHAnsi" w:hAnsiTheme="majorHAnsi" w:cs="Arial"/>
          <w:color w:val="000000" w:themeColor="text1"/>
          <w:sz w:val="16"/>
          <w:szCs w:val="16"/>
        </w:rPr>
        <w:t xml:space="preserve">, Argentina, </w:t>
      </w:r>
      <w:r>
        <w:rPr>
          <w:rFonts w:asciiTheme="majorHAnsi" w:hAnsiTheme="majorHAnsi" w:cs="Arial"/>
          <w:color w:val="000000" w:themeColor="text1"/>
          <w:sz w:val="16"/>
          <w:szCs w:val="16"/>
        </w:rPr>
        <w:t xml:space="preserve">October </w:t>
      </w:r>
      <w:r w:rsidRPr="005404B2">
        <w:rPr>
          <w:rFonts w:asciiTheme="majorHAnsi" w:hAnsiTheme="majorHAnsi" w:cs="Arial"/>
          <w:color w:val="000000" w:themeColor="text1"/>
          <w:sz w:val="16"/>
          <w:szCs w:val="16"/>
        </w:rPr>
        <w:t>21</w:t>
      </w:r>
      <w:r>
        <w:rPr>
          <w:rFonts w:asciiTheme="majorHAnsi" w:hAnsiTheme="majorHAnsi" w:cs="Arial"/>
          <w:color w:val="000000" w:themeColor="text1"/>
          <w:sz w:val="16"/>
          <w:szCs w:val="16"/>
        </w:rPr>
        <w:t>, 2010, pa</w:t>
      </w:r>
      <w:r w:rsidRPr="005404B2">
        <w:rPr>
          <w:rFonts w:asciiTheme="majorHAnsi" w:hAnsiTheme="majorHAnsi" w:cs="Arial"/>
          <w:color w:val="000000" w:themeColor="text1"/>
          <w:sz w:val="16"/>
          <w:szCs w:val="16"/>
        </w:rPr>
        <w:t xml:space="preserve">r. 100. </w:t>
      </w:r>
      <w:r>
        <w:rPr>
          <w:rFonts w:asciiTheme="majorHAnsi" w:hAnsiTheme="majorHAnsi" w:cs="Arial"/>
          <w:color w:val="000000" w:themeColor="text1"/>
          <w:sz w:val="16"/>
          <w:szCs w:val="16"/>
        </w:rPr>
        <w:t xml:space="preserve">IA Court of HR, Case of the Massacre of </w:t>
      </w:r>
      <w:r>
        <w:rPr>
          <w:rFonts w:asciiTheme="majorHAnsi" w:hAnsiTheme="majorHAnsi" w:cs="Arial"/>
          <w:color w:val="000000" w:themeColor="text1"/>
          <w:sz w:val="16"/>
          <w:szCs w:val="16"/>
          <w:shd w:val="clear" w:color="auto" w:fill="FFFFFF"/>
        </w:rPr>
        <w:t>Santo Domingo v</w:t>
      </w:r>
      <w:r w:rsidRPr="005404B2">
        <w:rPr>
          <w:rFonts w:asciiTheme="majorHAnsi" w:hAnsiTheme="majorHAnsi" w:cs="Arial"/>
          <w:color w:val="000000" w:themeColor="text1"/>
          <w:sz w:val="16"/>
          <w:szCs w:val="16"/>
          <w:shd w:val="clear" w:color="auto" w:fill="FFFFFF"/>
        </w:rPr>
        <w:t xml:space="preserve">. Colombia. </w:t>
      </w:r>
      <w:r>
        <w:rPr>
          <w:rFonts w:asciiTheme="majorHAnsi" w:hAnsiTheme="majorHAnsi" w:cs="Arial"/>
          <w:color w:val="000000" w:themeColor="text1"/>
          <w:sz w:val="16"/>
          <w:szCs w:val="16"/>
          <w:shd w:val="clear" w:color="auto" w:fill="FFFFFF"/>
        </w:rPr>
        <w:t xml:space="preserve">Preliminary Objections, Merits and Reparations. Judgment of November </w:t>
      </w:r>
      <w:r w:rsidRPr="005404B2">
        <w:rPr>
          <w:rFonts w:asciiTheme="majorHAnsi" w:hAnsiTheme="majorHAnsi" w:cs="Arial"/>
          <w:color w:val="000000" w:themeColor="text1"/>
          <w:sz w:val="16"/>
          <w:szCs w:val="16"/>
          <w:shd w:val="clear" w:color="auto" w:fill="FFFFFF"/>
        </w:rPr>
        <w:t>30</w:t>
      </w:r>
      <w:r>
        <w:rPr>
          <w:rFonts w:asciiTheme="majorHAnsi" w:hAnsiTheme="majorHAnsi" w:cs="Arial"/>
          <w:color w:val="000000" w:themeColor="text1"/>
          <w:sz w:val="16"/>
          <w:szCs w:val="16"/>
          <w:shd w:val="clear" w:color="auto" w:fill="FFFFFF"/>
        </w:rPr>
        <w:t>,</w:t>
      </w:r>
      <w:r w:rsidRPr="005404B2">
        <w:rPr>
          <w:rFonts w:asciiTheme="majorHAnsi" w:hAnsiTheme="majorHAnsi" w:cs="Arial"/>
          <w:color w:val="000000" w:themeColor="text1"/>
          <w:sz w:val="16"/>
          <w:szCs w:val="16"/>
          <w:shd w:val="clear" w:color="auto" w:fill="FFFFFF"/>
        </w:rPr>
        <w:t xml:space="preserve"> 2012. Serie</w:t>
      </w:r>
      <w:r>
        <w:rPr>
          <w:rFonts w:asciiTheme="majorHAnsi" w:hAnsiTheme="majorHAnsi" w:cs="Arial"/>
          <w:color w:val="000000" w:themeColor="text1"/>
          <w:sz w:val="16"/>
          <w:szCs w:val="16"/>
          <w:shd w:val="clear" w:color="auto" w:fill="FFFFFF"/>
        </w:rPr>
        <w:t>s</w:t>
      </w:r>
      <w:r w:rsidRPr="005404B2">
        <w:rPr>
          <w:rFonts w:asciiTheme="majorHAnsi" w:hAnsiTheme="majorHAnsi" w:cs="Arial"/>
          <w:color w:val="000000" w:themeColor="text1"/>
          <w:sz w:val="16"/>
          <w:szCs w:val="16"/>
          <w:shd w:val="clear" w:color="auto" w:fill="FFFFFF"/>
        </w:rPr>
        <w:t xml:space="preserve"> C No. 259,</w:t>
      </w:r>
      <w:r>
        <w:rPr>
          <w:rFonts w:asciiTheme="majorHAnsi" w:hAnsiTheme="majorHAnsi" w:cs="Arial"/>
          <w:color w:val="000000" w:themeColor="text1"/>
          <w:sz w:val="16"/>
          <w:szCs w:val="16"/>
        </w:rPr>
        <w:t xml:space="preserve"> pa</w:t>
      </w:r>
      <w:r w:rsidRPr="005404B2">
        <w:rPr>
          <w:rFonts w:asciiTheme="majorHAnsi" w:hAnsiTheme="majorHAnsi" w:cs="Arial"/>
          <w:color w:val="000000" w:themeColor="text1"/>
          <w:sz w:val="16"/>
          <w:szCs w:val="16"/>
        </w:rPr>
        <w:t>r. 164.</w:t>
      </w:r>
    </w:p>
  </w:footnote>
  <w:footnote w:id="77">
    <w:p w14:paraId="01961B78"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IA Court of HR.</w:t>
      </w:r>
      <w:r w:rsidRPr="005404B2">
        <w:rPr>
          <w:rFonts w:asciiTheme="majorHAnsi" w:hAnsiTheme="majorHAnsi"/>
          <w:color w:val="000000" w:themeColor="text1"/>
          <w:sz w:val="16"/>
          <w:szCs w:val="16"/>
        </w:rPr>
        <w:t xml:space="preserve"> </w:t>
      </w:r>
      <w:r>
        <w:rPr>
          <w:rFonts w:asciiTheme="majorHAnsi" w:hAnsiTheme="majorHAnsi"/>
          <w:iCs/>
          <w:color w:val="000000" w:themeColor="text1"/>
          <w:sz w:val="16"/>
          <w:szCs w:val="16"/>
        </w:rPr>
        <w:t>Case of García Asto and Ramírez Rojas v. Peru</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Judgment of November </w:t>
      </w:r>
      <w:r w:rsidRPr="005404B2">
        <w:rPr>
          <w:rFonts w:asciiTheme="majorHAnsi" w:hAnsiTheme="majorHAnsi"/>
          <w:color w:val="000000" w:themeColor="text1"/>
          <w:sz w:val="16"/>
          <w:szCs w:val="16"/>
        </w:rPr>
        <w:t>25</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2005. Serie</w:t>
      </w:r>
      <w:r>
        <w:rPr>
          <w:rFonts w:asciiTheme="majorHAnsi" w:hAnsiTheme="majorHAnsi"/>
          <w:color w:val="000000" w:themeColor="text1"/>
          <w:sz w:val="16"/>
          <w:szCs w:val="16"/>
        </w:rPr>
        <w:t>s C No. 137, pa</w:t>
      </w:r>
      <w:r w:rsidRPr="005404B2">
        <w:rPr>
          <w:rFonts w:asciiTheme="majorHAnsi" w:hAnsiTheme="majorHAnsi"/>
          <w:color w:val="000000" w:themeColor="text1"/>
          <w:sz w:val="16"/>
          <w:szCs w:val="16"/>
        </w:rPr>
        <w:t xml:space="preserve">r. 166; </w:t>
      </w:r>
      <w:r>
        <w:rPr>
          <w:rFonts w:asciiTheme="majorHAnsi" w:hAnsiTheme="majorHAnsi"/>
          <w:iCs/>
          <w:color w:val="000000" w:themeColor="text1"/>
          <w:sz w:val="16"/>
          <w:szCs w:val="16"/>
        </w:rPr>
        <w:t>Case of Gómez Palomino v. Peru</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Judgment of November </w:t>
      </w:r>
      <w:r w:rsidRPr="005404B2">
        <w:rPr>
          <w:rFonts w:asciiTheme="majorHAnsi" w:hAnsiTheme="majorHAnsi"/>
          <w:color w:val="000000" w:themeColor="text1"/>
          <w:sz w:val="16"/>
          <w:szCs w:val="16"/>
        </w:rPr>
        <w:t>22</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2005. Serie</w:t>
      </w:r>
      <w:r>
        <w:rPr>
          <w:rFonts w:asciiTheme="majorHAnsi" w:hAnsiTheme="majorHAnsi"/>
          <w:color w:val="000000" w:themeColor="text1"/>
          <w:sz w:val="16"/>
          <w:szCs w:val="16"/>
        </w:rPr>
        <w:t>s C No. 136, pa</w:t>
      </w:r>
      <w:r w:rsidRPr="005404B2">
        <w:rPr>
          <w:rFonts w:asciiTheme="majorHAnsi" w:hAnsiTheme="majorHAnsi"/>
          <w:color w:val="000000" w:themeColor="text1"/>
          <w:sz w:val="16"/>
          <w:szCs w:val="16"/>
        </w:rPr>
        <w:t xml:space="preserve">r. 85; </w:t>
      </w:r>
      <w:r>
        <w:rPr>
          <w:rFonts w:asciiTheme="majorHAnsi" w:hAnsiTheme="majorHAnsi"/>
          <w:iCs/>
          <w:color w:val="000000" w:themeColor="text1"/>
          <w:sz w:val="16"/>
          <w:szCs w:val="16"/>
        </w:rPr>
        <w:t xml:space="preserve">Case of the </w:t>
      </w:r>
      <w:r w:rsidRPr="005404B2">
        <w:rPr>
          <w:rFonts w:asciiTheme="majorHAnsi" w:hAnsiTheme="majorHAnsi"/>
          <w:iCs/>
          <w:color w:val="000000" w:themeColor="text1"/>
          <w:sz w:val="16"/>
          <w:szCs w:val="16"/>
        </w:rPr>
        <w:t>Moiwana</w:t>
      </w:r>
      <w:r>
        <w:rPr>
          <w:rFonts w:asciiTheme="majorHAnsi" w:hAnsiTheme="majorHAnsi"/>
          <w:iCs/>
          <w:color w:val="000000" w:themeColor="text1"/>
          <w:sz w:val="16"/>
          <w:szCs w:val="16"/>
        </w:rPr>
        <w:t xml:space="preserve"> Community v.</w:t>
      </w:r>
      <w:r w:rsidRPr="005404B2">
        <w:rPr>
          <w:rFonts w:asciiTheme="majorHAnsi" w:hAnsiTheme="majorHAnsi"/>
          <w:iCs/>
          <w:color w:val="000000" w:themeColor="text1"/>
          <w:sz w:val="16"/>
          <w:szCs w:val="16"/>
        </w:rPr>
        <w:t xml:space="preserve"> Surinam</w:t>
      </w:r>
      <w:r>
        <w:rPr>
          <w:rFonts w:asciiTheme="majorHAnsi" w:hAnsiTheme="majorHAnsi"/>
          <w:iCs/>
          <w:color w:val="000000" w:themeColor="text1"/>
          <w:sz w:val="16"/>
          <w:szCs w:val="16"/>
        </w:rPr>
        <w:t>e</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Judgment of June </w:t>
      </w:r>
      <w:r w:rsidRPr="005404B2">
        <w:rPr>
          <w:rFonts w:asciiTheme="majorHAnsi" w:hAnsiTheme="majorHAnsi"/>
          <w:color w:val="000000" w:themeColor="text1"/>
          <w:sz w:val="16"/>
          <w:szCs w:val="16"/>
        </w:rPr>
        <w:t>15</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2005. Serie</w:t>
      </w:r>
      <w:r>
        <w:rPr>
          <w:rFonts w:asciiTheme="majorHAnsi" w:hAnsiTheme="majorHAnsi"/>
          <w:color w:val="000000" w:themeColor="text1"/>
          <w:sz w:val="16"/>
          <w:szCs w:val="16"/>
        </w:rPr>
        <w:t>s C No. 124, pa</w:t>
      </w:r>
      <w:r w:rsidRPr="005404B2">
        <w:rPr>
          <w:rFonts w:asciiTheme="majorHAnsi" w:hAnsiTheme="majorHAnsi"/>
          <w:color w:val="000000" w:themeColor="text1"/>
          <w:sz w:val="16"/>
          <w:szCs w:val="16"/>
        </w:rPr>
        <w:t>r. 160.</w:t>
      </w:r>
    </w:p>
  </w:footnote>
  <w:footnote w:id="78">
    <w:p w14:paraId="76A878D2"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Pr>
          <w:rFonts w:asciiTheme="majorHAnsi" w:hAnsiTheme="majorHAnsi"/>
          <w:color w:val="000000" w:themeColor="text1"/>
          <w:sz w:val="16"/>
          <w:szCs w:val="16"/>
        </w:rPr>
        <w:t>IA Court of HR.</w:t>
      </w:r>
      <w:r w:rsidRPr="005404B2">
        <w:rPr>
          <w:rFonts w:asciiTheme="majorHAnsi" w:hAnsiTheme="majorHAnsi"/>
          <w:color w:val="000000" w:themeColor="text1"/>
          <w:sz w:val="16"/>
          <w:szCs w:val="16"/>
        </w:rPr>
        <w:t xml:space="preserve"> </w:t>
      </w:r>
      <w:r>
        <w:rPr>
          <w:rFonts w:asciiTheme="majorHAnsi" w:hAnsiTheme="majorHAnsi"/>
          <w:iCs/>
          <w:color w:val="000000" w:themeColor="text1"/>
          <w:sz w:val="16"/>
          <w:szCs w:val="16"/>
        </w:rPr>
        <w:t>Case of Ricardo Canese v</w:t>
      </w:r>
      <w:r w:rsidRPr="005404B2">
        <w:rPr>
          <w:rFonts w:asciiTheme="majorHAnsi" w:hAnsiTheme="majorHAnsi"/>
          <w:iCs/>
          <w:color w:val="000000" w:themeColor="text1"/>
          <w:sz w:val="16"/>
          <w:szCs w:val="16"/>
        </w:rPr>
        <w:t>. Paraguay</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Judgment of August </w:t>
      </w:r>
      <w:r w:rsidRPr="005404B2">
        <w:rPr>
          <w:rFonts w:asciiTheme="majorHAnsi" w:hAnsiTheme="majorHAnsi"/>
          <w:color w:val="000000" w:themeColor="text1"/>
          <w:sz w:val="16"/>
          <w:szCs w:val="16"/>
        </w:rPr>
        <w:t>31</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2004. Serie</w:t>
      </w:r>
      <w:r>
        <w:rPr>
          <w:rFonts w:asciiTheme="majorHAnsi" w:hAnsiTheme="majorHAnsi"/>
          <w:color w:val="000000" w:themeColor="text1"/>
          <w:sz w:val="16"/>
          <w:szCs w:val="16"/>
        </w:rPr>
        <w:t>s</w:t>
      </w:r>
      <w:r w:rsidRPr="005404B2">
        <w:rPr>
          <w:rFonts w:asciiTheme="majorHAnsi" w:hAnsiTheme="majorHAnsi"/>
          <w:color w:val="000000" w:themeColor="text1"/>
          <w:sz w:val="16"/>
          <w:szCs w:val="16"/>
        </w:rPr>
        <w:t xml:space="preserve"> C</w:t>
      </w:r>
      <w:r>
        <w:rPr>
          <w:rFonts w:asciiTheme="majorHAnsi" w:hAnsiTheme="majorHAnsi"/>
          <w:color w:val="000000" w:themeColor="text1"/>
          <w:sz w:val="16"/>
          <w:szCs w:val="16"/>
        </w:rPr>
        <w:t xml:space="preserve"> No. 111, </w:t>
      </w:r>
      <w:r>
        <w:rPr>
          <w:rFonts w:asciiTheme="majorHAnsi" w:hAnsiTheme="majorHAnsi"/>
          <w:color w:val="000000" w:themeColor="text1"/>
          <w:sz w:val="16"/>
          <w:szCs w:val="16"/>
        </w:rPr>
        <w:br/>
        <w:t>pa</w:t>
      </w:r>
      <w:r w:rsidRPr="005404B2">
        <w:rPr>
          <w:rFonts w:asciiTheme="majorHAnsi" w:hAnsiTheme="majorHAnsi"/>
          <w:color w:val="000000" w:themeColor="text1"/>
          <w:sz w:val="16"/>
          <w:szCs w:val="16"/>
        </w:rPr>
        <w:t>r. 142.</w:t>
      </w:r>
    </w:p>
    <w:p w14:paraId="38301344" w14:textId="77777777" w:rsidR="007A5DF1" w:rsidRPr="005404B2" w:rsidRDefault="007A5DF1" w:rsidP="00041CFE">
      <w:pPr>
        <w:pStyle w:val="FootnoteText"/>
        <w:jc w:val="both"/>
        <w:rPr>
          <w:rFonts w:asciiTheme="majorHAnsi" w:hAnsiTheme="majorHAnsi"/>
          <w:color w:val="000000" w:themeColor="text1"/>
          <w:sz w:val="16"/>
          <w:szCs w:val="16"/>
        </w:rPr>
      </w:pPr>
    </w:p>
    <w:p w14:paraId="275FEA33" w14:textId="77777777" w:rsidR="007A5DF1" w:rsidRPr="005404B2" w:rsidRDefault="007A5DF1" w:rsidP="00041CFE">
      <w:pPr>
        <w:pStyle w:val="FootnoteText"/>
        <w:jc w:val="both"/>
        <w:rPr>
          <w:rFonts w:asciiTheme="majorHAnsi" w:hAnsiTheme="majorHAnsi"/>
          <w:color w:val="000000" w:themeColor="text1"/>
          <w:sz w:val="16"/>
          <w:szCs w:val="16"/>
        </w:rPr>
      </w:pPr>
    </w:p>
  </w:footnote>
  <w:footnote w:id="79">
    <w:p w14:paraId="25A87FD8" w14:textId="77777777" w:rsidR="007A5DF1" w:rsidRPr="005404B2" w:rsidRDefault="007A5DF1" w:rsidP="00041CFE">
      <w:pPr>
        <w:tabs>
          <w:tab w:val="left" w:pos="900"/>
          <w:tab w:val="left" w:pos="1080"/>
        </w:tabs>
        <w:jc w:val="both"/>
        <w:rPr>
          <w:rFonts w:asciiTheme="majorHAnsi" w:hAnsiTheme="majorHAnsi"/>
          <w:color w:val="000000" w:themeColor="text1"/>
          <w:sz w:val="16"/>
          <w:szCs w:val="16"/>
        </w:rPr>
      </w:pPr>
      <w:r w:rsidRPr="005404B2">
        <w:rPr>
          <w:rStyle w:val="FootnoteReference"/>
          <w:rFonts w:asciiTheme="majorHAnsi" w:hAnsiTheme="majorHAnsi" w:cs="Arial"/>
          <w:color w:val="000000" w:themeColor="text1"/>
          <w:sz w:val="16"/>
          <w:szCs w:val="16"/>
        </w:rPr>
        <w:footnoteRef/>
      </w:r>
      <w:r w:rsidRPr="005404B2">
        <w:rPr>
          <w:rFonts w:asciiTheme="majorHAnsi" w:hAnsiTheme="majorHAnsi" w:cs="Arial"/>
          <w:color w:val="000000" w:themeColor="text1"/>
          <w:sz w:val="16"/>
          <w:szCs w:val="16"/>
        </w:rPr>
        <w:t xml:space="preserve"> </w:t>
      </w:r>
      <w:r>
        <w:rPr>
          <w:rFonts w:asciiTheme="majorHAnsi" w:hAnsiTheme="majorHAnsi" w:cs="Arial"/>
          <w:color w:val="000000" w:themeColor="text1"/>
          <w:sz w:val="16"/>
          <w:szCs w:val="16"/>
        </w:rPr>
        <w:t>IACHR. Report</w:t>
      </w:r>
      <w:r>
        <w:rPr>
          <w:rFonts w:asciiTheme="majorHAnsi" w:hAnsiTheme="majorHAnsi"/>
          <w:color w:val="000000" w:themeColor="text1"/>
          <w:sz w:val="16"/>
          <w:szCs w:val="16"/>
        </w:rPr>
        <w:t xml:space="preserve"> No. 11/10. Case</w:t>
      </w:r>
      <w:r w:rsidRPr="005404B2">
        <w:rPr>
          <w:rFonts w:asciiTheme="majorHAnsi" w:hAnsiTheme="majorHAnsi"/>
          <w:color w:val="000000" w:themeColor="text1"/>
          <w:sz w:val="16"/>
          <w:szCs w:val="16"/>
        </w:rPr>
        <w:t xml:space="preserve"> 12.488. </w:t>
      </w:r>
      <w:r>
        <w:rPr>
          <w:rFonts w:asciiTheme="majorHAnsi" w:hAnsiTheme="majorHAnsi"/>
          <w:color w:val="000000" w:themeColor="text1"/>
          <w:sz w:val="16"/>
          <w:szCs w:val="16"/>
        </w:rPr>
        <w:t>Merits</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Barrios Family Members</w:t>
      </w:r>
      <w:r w:rsidRPr="005404B2">
        <w:rPr>
          <w:rFonts w:asciiTheme="majorHAnsi" w:hAnsiTheme="majorHAnsi"/>
          <w:color w:val="000000" w:themeColor="text1"/>
          <w:sz w:val="16"/>
          <w:szCs w:val="16"/>
        </w:rPr>
        <w:t xml:space="preserve">. Venezuela. </w:t>
      </w:r>
      <w:r>
        <w:rPr>
          <w:rFonts w:asciiTheme="majorHAnsi" w:hAnsiTheme="majorHAnsi"/>
          <w:color w:val="000000" w:themeColor="text1"/>
          <w:sz w:val="16"/>
          <w:szCs w:val="16"/>
        </w:rPr>
        <w:t xml:space="preserve">March </w:t>
      </w:r>
      <w:r w:rsidRPr="005404B2">
        <w:rPr>
          <w:rFonts w:asciiTheme="majorHAnsi" w:hAnsiTheme="majorHAnsi"/>
          <w:color w:val="000000" w:themeColor="text1"/>
          <w:sz w:val="16"/>
          <w:szCs w:val="16"/>
        </w:rPr>
        <w:t>16</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2010. 91. </w:t>
      </w:r>
      <w:r>
        <w:rPr>
          <w:rFonts w:asciiTheme="majorHAnsi" w:hAnsiTheme="majorHAnsi"/>
          <w:color w:val="000000" w:themeColor="text1"/>
          <w:sz w:val="16"/>
          <w:szCs w:val="16"/>
        </w:rPr>
        <w:t>IACHR. Report on Terrorism and Human Rights. Pa</w:t>
      </w:r>
      <w:r w:rsidRPr="005404B2">
        <w:rPr>
          <w:rFonts w:asciiTheme="majorHAnsi" w:hAnsiTheme="majorHAnsi"/>
          <w:color w:val="000000" w:themeColor="text1"/>
          <w:sz w:val="16"/>
          <w:szCs w:val="16"/>
        </w:rPr>
        <w:t xml:space="preserve">r. 227; </w:t>
      </w:r>
      <w:r>
        <w:rPr>
          <w:rFonts w:asciiTheme="majorHAnsi" w:hAnsiTheme="majorHAnsi"/>
          <w:color w:val="000000" w:themeColor="text1"/>
          <w:sz w:val="16"/>
          <w:szCs w:val="16"/>
        </w:rPr>
        <w:t>IA Court of HR.</w:t>
      </w:r>
      <w:r w:rsidRPr="005404B2">
        <w:rPr>
          <w:rFonts w:asciiTheme="majorHAnsi" w:hAnsiTheme="majorHAnsi" w:cs="Arial"/>
          <w:color w:val="000000" w:themeColor="text1"/>
          <w:sz w:val="16"/>
          <w:szCs w:val="16"/>
        </w:rPr>
        <w:t xml:space="preserve"> </w:t>
      </w:r>
      <w:r>
        <w:rPr>
          <w:rFonts w:asciiTheme="majorHAnsi" w:hAnsiTheme="majorHAnsi" w:cs="Arial"/>
          <w:bCs/>
          <w:color w:val="000000" w:themeColor="text1"/>
          <w:sz w:val="16"/>
          <w:szCs w:val="16"/>
        </w:rPr>
        <w:t>Case of Cantoral Huamaní and García Santa Cruz v. Peru</w:t>
      </w:r>
      <w:r w:rsidRPr="005404B2">
        <w:rPr>
          <w:rFonts w:asciiTheme="majorHAnsi" w:hAnsiTheme="majorHAnsi" w:cs="Arial"/>
          <w:bCs/>
          <w:color w:val="000000" w:themeColor="text1"/>
          <w:sz w:val="16"/>
          <w:szCs w:val="16"/>
        </w:rPr>
        <w:t xml:space="preserve">. </w:t>
      </w:r>
      <w:r>
        <w:rPr>
          <w:rFonts w:asciiTheme="majorHAnsi" w:hAnsiTheme="majorHAnsi" w:cs="Arial"/>
          <w:bCs/>
          <w:color w:val="000000" w:themeColor="text1"/>
          <w:sz w:val="16"/>
          <w:szCs w:val="16"/>
        </w:rPr>
        <w:t>Preliminary Objection</w:t>
      </w:r>
      <w:r w:rsidRPr="005404B2">
        <w:rPr>
          <w:rFonts w:asciiTheme="majorHAnsi" w:hAnsiTheme="majorHAnsi" w:cs="Arial"/>
          <w:color w:val="000000" w:themeColor="text1"/>
          <w:sz w:val="16"/>
          <w:szCs w:val="16"/>
        </w:rPr>
        <w:t xml:space="preserve">, </w:t>
      </w:r>
      <w:r>
        <w:rPr>
          <w:rFonts w:asciiTheme="majorHAnsi" w:hAnsiTheme="majorHAnsi" w:cs="Arial"/>
          <w:color w:val="000000" w:themeColor="text1"/>
          <w:sz w:val="16"/>
          <w:szCs w:val="16"/>
        </w:rPr>
        <w:t xml:space="preserve">Merits, Reparations and Costs. Judgment of July </w:t>
      </w:r>
      <w:r w:rsidRPr="005404B2">
        <w:rPr>
          <w:rFonts w:asciiTheme="majorHAnsi" w:hAnsiTheme="majorHAnsi" w:cs="Arial"/>
          <w:color w:val="000000" w:themeColor="text1"/>
          <w:sz w:val="16"/>
          <w:szCs w:val="16"/>
        </w:rPr>
        <w:t>10</w:t>
      </w:r>
      <w:r>
        <w:rPr>
          <w:rFonts w:asciiTheme="majorHAnsi" w:hAnsiTheme="majorHAnsi" w:cs="Arial"/>
          <w:color w:val="000000" w:themeColor="text1"/>
          <w:sz w:val="16"/>
          <w:szCs w:val="16"/>
        </w:rPr>
        <w:t>,</w:t>
      </w:r>
      <w:r w:rsidRPr="005404B2">
        <w:rPr>
          <w:rFonts w:asciiTheme="majorHAnsi" w:hAnsiTheme="majorHAnsi" w:cs="Arial"/>
          <w:color w:val="000000" w:themeColor="text1"/>
          <w:sz w:val="16"/>
          <w:szCs w:val="16"/>
        </w:rPr>
        <w:t xml:space="preserve"> 2007. Serie</w:t>
      </w:r>
      <w:r>
        <w:rPr>
          <w:rFonts w:asciiTheme="majorHAnsi" w:hAnsiTheme="majorHAnsi" w:cs="Arial"/>
          <w:color w:val="000000" w:themeColor="text1"/>
          <w:sz w:val="16"/>
          <w:szCs w:val="16"/>
        </w:rPr>
        <w:t>s C No. 167. pa</w:t>
      </w:r>
      <w:r w:rsidRPr="005404B2">
        <w:rPr>
          <w:rFonts w:asciiTheme="majorHAnsi" w:hAnsiTheme="majorHAnsi" w:cs="Arial"/>
          <w:color w:val="000000" w:themeColor="text1"/>
          <w:sz w:val="16"/>
          <w:szCs w:val="16"/>
        </w:rPr>
        <w:t xml:space="preserve">r. 112; </w:t>
      </w:r>
      <w:r>
        <w:rPr>
          <w:rFonts w:asciiTheme="majorHAnsi" w:hAnsiTheme="majorHAnsi" w:cs="Arial"/>
          <w:color w:val="000000" w:themeColor="text1"/>
          <w:sz w:val="16"/>
          <w:szCs w:val="16"/>
        </w:rPr>
        <w:t>and Case of Bueno Alves v</w:t>
      </w:r>
      <w:r w:rsidRPr="005404B2">
        <w:rPr>
          <w:rFonts w:asciiTheme="majorHAnsi" w:hAnsiTheme="majorHAnsi" w:cs="Arial"/>
          <w:color w:val="000000" w:themeColor="text1"/>
          <w:sz w:val="16"/>
          <w:szCs w:val="16"/>
        </w:rPr>
        <w:t xml:space="preserve">. Argentina. </w:t>
      </w:r>
      <w:r>
        <w:rPr>
          <w:rFonts w:asciiTheme="majorHAnsi" w:hAnsiTheme="majorHAnsi" w:cs="Arial"/>
          <w:color w:val="000000" w:themeColor="text1"/>
          <w:sz w:val="16"/>
          <w:szCs w:val="16"/>
        </w:rPr>
        <w:t xml:space="preserve">Merits, Reparations and Costs. Judgment of May </w:t>
      </w:r>
      <w:r w:rsidRPr="005404B2">
        <w:rPr>
          <w:rFonts w:asciiTheme="majorHAnsi" w:hAnsiTheme="majorHAnsi" w:cs="Arial"/>
          <w:color w:val="000000" w:themeColor="text1"/>
          <w:sz w:val="16"/>
          <w:szCs w:val="16"/>
        </w:rPr>
        <w:t>11</w:t>
      </w:r>
      <w:r>
        <w:rPr>
          <w:rFonts w:asciiTheme="majorHAnsi" w:hAnsiTheme="majorHAnsi" w:cs="Arial"/>
          <w:color w:val="000000" w:themeColor="text1"/>
          <w:sz w:val="16"/>
          <w:szCs w:val="16"/>
        </w:rPr>
        <w:t>,</w:t>
      </w:r>
      <w:r w:rsidRPr="005404B2">
        <w:rPr>
          <w:rFonts w:asciiTheme="majorHAnsi" w:hAnsiTheme="majorHAnsi" w:cs="Arial"/>
          <w:color w:val="000000" w:themeColor="text1"/>
          <w:sz w:val="16"/>
          <w:szCs w:val="16"/>
        </w:rPr>
        <w:t xml:space="preserve"> 2007. Serie</w:t>
      </w:r>
      <w:r>
        <w:rPr>
          <w:rFonts w:asciiTheme="majorHAnsi" w:hAnsiTheme="majorHAnsi" w:cs="Arial"/>
          <w:color w:val="000000" w:themeColor="text1"/>
          <w:sz w:val="16"/>
          <w:szCs w:val="16"/>
        </w:rPr>
        <w:t>s C. No. 164. pa</w:t>
      </w:r>
      <w:r w:rsidRPr="005404B2">
        <w:rPr>
          <w:rFonts w:asciiTheme="majorHAnsi" w:hAnsiTheme="majorHAnsi" w:cs="Arial"/>
          <w:color w:val="000000" w:themeColor="text1"/>
          <w:sz w:val="16"/>
          <w:szCs w:val="16"/>
        </w:rPr>
        <w:t xml:space="preserve">r. 102. </w:t>
      </w:r>
    </w:p>
  </w:footnote>
  <w:footnote w:id="80">
    <w:p w14:paraId="4C3D48BA" w14:textId="77777777" w:rsidR="007A5DF1" w:rsidRPr="005404B2" w:rsidRDefault="007A5DF1" w:rsidP="00041CFE">
      <w:pPr>
        <w:tabs>
          <w:tab w:val="left" w:pos="1080"/>
        </w:tabs>
        <w:jc w:val="both"/>
        <w:rPr>
          <w:rFonts w:asciiTheme="majorHAnsi" w:hAnsiTheme="majorHAnsi"/>
          <w:color w:val="000000" w:themeColor="text1"/>
          <w:sz w:val="16"/>
          <w:szCs w:val="16"/>
        </w:rPr>
      </w:pPr>
      <w:r w:rsidRPr="005404B2">
        <w:rPr>
          <w:rStyle w:val="FootnoteReference"/>
          <w:rFonts w:asciiTheme="majorHAnsi" w:hAnsiTheme="majorHAnsi" w:cs="Arial"/>
          <w:color w:val="000000" w:themeColor="text1"/>
          <w:sz w:val="16"/>
          <w:szCs w:val="16"/>
        </w:rPr>
        <w:footnoteRef/>
      </w:r>
      <w:r w:rsidRPr="005404B2">
        <w:rPr>
          <w:rFonts w:asciiTheme="majorHAnsi" w:hAnsiTheme="majorHAnsi" w:cs="Arial"/>
          <w:color w:val="000000" w:themeColor="text1"/>
          <w:sz w:val="16"/>
          <w:szCs w:val="16"/>
        </w:rPr>
        <w:t xml:space="preserve"> </w:t>
      </w:r>
      <w:r>
        <w:rPr>
          <w:rFonts w:asciiTheme="majorHAnsi" w:hAnsiTheme="majorHAnsi" w:cs="Arial"/>
          <w:color w:val="000000" w:themeColor="text1"/>
          <w:sz w:val="16"/>
          <w:szCs w:val="16"/>
        </w:rPr>
        <w:t>IA Court of HR. Case of Vargas Areco v</w:t>
      </w:r>
      <w:r w:rsidRPr="005404B2">
        <w:rPr>
          <w:rFonts w:asciiTheme="majorHAnsi" w:hAnsiTheme="majorHAnsi" w:cs="Arial"/>
          <w:color w:val="000000" w:themeColor="text1"/>
          <w:sz w:val="16"/>
          <w:szCs w:val="16"/>
        </w:rPr>
        <w:t xml:space="preserve">. Paraguay. </w:t>
      </w:r>
      <w:r>
        <w:rPr>
          <w:rFonts w:asciiTheme="majorHAnsi" w:hAnsiTheme="majorHAnsi" w:cs="Arial"/>
          <w:color w:val="000000" w:themeColor="text1"/>
          <w:sz w:val="16"/>
          <w:szCs w:val="16"/>
        </w:rPr>
        <w:t xml:space="preserve">Judgment of September </w:t>
      </w:r>
      <w:r w:rsidRPr="005404B2">
        <w:rPr>
          <w:rFonts w:asciiTheme="majorHAnsi" w:hAnsiTheme="majorHAnsi" w:cs="Arial"/>
          <w:color w:val="000000" w:themeColor="text1"/>
          <w:sz w:val="16"/>
          <w:szCs w:val="16"/>
        </w:rPr>
        <w:t>26</w:t>
      </w:r>
      <w:r>
        <w:rPr>
          <w:rFonts w:asciiTheme="majorHAnsi" w:hAnsiTheme="majorHAnsi" w:cs="Arial"/>
          <w:color w:val="000000" w:themeColor="text1"/>
          <w:sz w:val="16"/>
          <w:szCs w:val="16"/>
        </w:rPr>
        <w:t>,</w:t>
      </w:r>
      <w:r w:rsidRPr="005404B2">
        <w:rPr>
          <w:rFonts w:asciiTheme="majorHAnsi" w:hAnsiTheme="majorHAnsi" w:cs="Arial"/>
          <w:color w:val="000000" w:themeColor="text1"/>
          <w:sz w:val="16"/>
          <w:szCs w:val="16"/>
        </w:rPr>
        <w:t xml:space="preserve"> 2006. Serie</w:t>
      </w:r>
      <w:r>
        <w:rPr>
          <w:rFonts w:asciiTheme="majorHAnsi" w:hAnsiTheme="majorHAnsi" w:cs="Arial"/>
          <w:color w:val="000000" w:themeColor="text1"/>
          <w:sz w:val="16"/>
          <w:szCs w:val="16"/>
        </w:rPr>
        <w:t>s C No. 155. pa</w:t>
      </w:r>
      <w:r w:rsidRPr="005404B2">
        <w:rPr>
          <w:rFonts w:asciiTheme="majorHAnsi" w:hAnsiTheme="majorHAnsi" w:cs="Arial"/>
          <w:color w:val="000000" w:themeColor="text1"/>
          <w:sz w:val="16"/>
          <w:szCs w:val="16"/>
        </w:rPr>
        <w:t>r. 96.</w:t>
      </w:r>
    </w:p>
  </w:footnote>
  <w:footnote w:id="81">
    <w:p w14:paraId="661BD771" w14:textId="77777777" w:rsidR="007A5DF1" w:rsidRPr="005404B2" w:rsidRDefault="007A5DF1" w:rsidP="00041CFE">
      <w:pPr>
        <w:pStyle w:val="FootnoteText"/>
        <w:jc w:val="both"/>
        <w:rPr>
          <w:rFonts w:asciiTheme="majorHAnsi" w:hAnsiTheme="majorHAnsi"/>
          <w:color w:val="000000" w:themeColor="text1"/>
          <w:sz w:val="16"/>
          <w:szCs w:val="16"/>
        </w:rPr>
      </w:pPr>
      <w:r w:rsidRPr="005404B2">
        <w:rPr>
          <w:rStyle w:val="FootnoteReference"/>
          <w:rFonts w:asciiTheme="majorHAnsi" w:hAnsiTheme="majorHAnsi"/>
          <w:color w:val="000000" w:themeColor="text1"/>
          <w:sz w:val="16"/>
          <w:szCs w:val="16"/>
        </w:rPr>
        <w:footnoteRef/>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IA Court of HR.</w:t>
      </w:r>
      <w:r w:rsidRPr="005404B2">
        <w:rPr>
          <w:rFonts w:asciiTheme="majorHAnsi" w:hAnsiTheme="majorHAnsi"/>
          <w:color w:val="000000" w:themeColor="text1"/>
          <w:sz w:val="16"/>
          <w:szCs w:val="16"/>
        </w:rPr>
        <w:t xml:space="preserve"> </w:t>
      </w:r>
      <w:r>
        <w:rPr>
          <w:rFonts w:asciiTheme="majorHAnsi" w:hAnsiTheme="majorHAnsi"/>
          <w:iCs/>
          <w:color w:val="000000" w:themeColor="text1"/>
          <w:sz w:val="16"/>
          <w:szCs w:val="16"/>
        </w:rPr>
        <w:t>Case of Blake v</w:t>
      </w:r>
      <w:r w:rsidRPr="005404B2">
        <w:rPr>
          <w:rFonts w:asciiTheme="majorHAnsi" w:hAnsiTheme="majorHAnsi"/>
          <w:iCs/>
          <w:color w:val="000000" w:themeColor="text1"/>
          <w:sz w:val="16"/>
          <w:szCs w:val="16"/>
        </w:rPr>
        <w:t>. Guatemala</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Merits. Judgment of January </w:t>
      </w:r>
      <w:r w:rsidRPr="005404B2">
        <w:rPr>
          <w:rFonts w:asciiTheme="majorHAnsi" w:hAnsiTheme="majorHAnsi"/>
          <w:color w:val="000000" w:themeColor="text1"/>
          <w:sz w:val="16"/>
          <w:szCs w:val="16"/>
        </w:rPr>
        <w:t>24</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1998. Serie</w:t>
      </w:r>
      <w:r>
        <w:rPr>
          <w:rFonts w:asciiTheme="majorHAnsi" w:hAnsiTheme="majorHAnsi"/>
          <w:color w:val="000000" w:themeColor="text1"/>
          <w:sz w:val="16"/>
          <w:szCs w:val="16"/>
        </w:rPr>
        <w:t>s C No. 36, pa</w:t>
      </w:r>
      <w:r w:rsidRPr="005404B2">
        <w:rPr>
          <w:rFonts w:asciiTheme="majorHAnsi" w:hAnsiTheme="majorHAnsi"/>
          <w:color w:val="000000" w:themeColor="text1"/>
          <w:sz w:val="16"/>
          <w:szCs w:val="16"/>
        </w:rPr>
        <w:t xml:space="preserve">r. 114; </w:t>
      </w:r>
      <w:r>
        <w:rPr>
          <w:rFonts w:asciiTheme="majorHAnsi" w:hAnsiTheme="majorHAnsi"/>
          <w:iCs/>
          <w:color w:val="000000" w:themeColor="text1"/>
          <w:sz w:val="16"/>
          <w:szCs w:val="16"/>
        </w:rPr>
        <w:t>Case of Ticona Estrada v</w:t>
      </w:r>
      <w:r w:rsidRPr="005404B2">
        <w:rPr>
          <w:rFonts w:asciiTheme="majorHAnsi" w:hAnsiTheme="majorHAnsi"/>
          <w:iCs/>
          <w:color w:val="000000" w:themeColor="text1"/>
          <w:sz w:val="16"/>
          <w:szCs w:val="16"/>
        </w:rPr>
        <w:t>. Bolivia</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Merits, Reparations and Costs. Judgment of November </w:t>
      </w:r>
      <w:r w:rsidRPr="005404B2">
        <w:rPr>
          <w:rFonts w:asciiTheme="majorHAnsi" w:hAnsiTheme="majorHAnsi"/>
          <w:color w:val="000000" w:themeColor="text1"/>
          <w:sz w:val="16"/>
          <w:szCs w:val="16"/>
        </w:rPr>
        <w:t>27</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2008. Serie</w:t>
      </w:r>
      <w:r>
        <w:rPr>
          <w:rFonts w:asciiTheme="majorHAnsi" w:hAnsiTheme="majorHAnsi"/>
          <w:color w:val="000000" w:themeColor="text1"/>
          <w:sz w:val="16"/>
          <w:szCs w:val="16"/>
        </w:rPr>
        <w:t>s C No. 191, pa</w:t>
      </w:r>
      <w:r w:rsidRPr="005404B2">
        <w:rPr>
          <w:rFonts w:asciiTheme="majorHAnsi" w:hAnsiTheme="majorHAnsi"/>
          <w:color w:val="000000" w:themeColor="text1"/>
          <w:sz w:val="16"/>
          <w:szCs w:val="16"/>
        </w:rPr>
        <w:t xml:space="preserve">r. 87; </w:t>
      </w:r>
      <w:r>
        <w:rPr>
          <w:rFonts w:asciiTheme="majorHAnsi" w:hAnsiTheme="majorHAnsi"/>
          <w:iCs/>
          <w:color w:val="000000" w:themeColor="text1"/>
          <w:sz w:val="16"/>
          <w:szCs w:val="16"/>
        </w:rPr>
        <w:t>Case of La Cantuta v. Peru</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Merits, Reparations and Costs. Judgment of </w:t>
      </w:r>
      <w:r w:rsidRPr="005404B2">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November </w:t>
      </w:r>
      <w:r w:rsidRPr="005404B2">
        <w:rPr>
          <w:rFonts w:asciiTheme="majorHAnsi" w:hAnsiTheme="majorHAnsi"/>
          <w:color w:val="000000" w:themeColor="text1"/>
          <w:sz w:val="16"/>
          <w:szCs w:val="16"/>
        </w:rPr>
        <w:t>29</w:t>
      </w:r>
      <w:r>
        <w:rPr>
          <w:rFonts w:asciiTheme="majorHAnsi" w:hAnsiTheme="majorHAnsi"/>
          <w:color w:val="000000" w:themeColor="text1"/>
          <w:sz w:val="16"/>
          <w:szCs w:val="16"/>
        </w:rPr>
        <w:t>, 2006</w:t>
      </w:r>
      <w:r w:rsidRPr="005404B2">
        <w:rPr>
          <w:rFonts w:asciiTheme="majorHAnsi" w:hAnsiTheme="majorHAnsi"/>
          <w:color w:val="000000" w:themeColor="text1"/>
          <w:sz w:val="16"/>
          <w:szCs w:val="16"/>
        </w:rPr>
        <w:t>. Serie</w:t>
      </w:r>
      <w:r>
        <w:rPr>
          <w:rFonts w:asciiTheme="majorHAnsi" w:hAnsiTheme="majorHAnsi"/>
          <w:color w:val="000000" w:themeColor="text1"/>
          <w:sz w:val="16"/>
          <w:szCs w:val="16"/>
        </w:rPr>
        <w:t>s C No. 162, par. 123 and Case of</w:t>
      </w:r>
      <w:r>
        <w:rPr>
          <w:rFonts w:asciiTheme="majorHAnsi" w:hAnsiTheme="majorHAnsi"/>
          <w:iCs/>
          <w:color w:val="000000" w:themeColor="text1"/>
          <w:sz w:val="16"/>
          <w:szCs w:val="16"/>
        </w:rPr>
        <w:t xml:space="preserve"> Anzualdo Castro v. Peru</w:t>
      </w:r>
      <w:r w:rsidRPr="005404B2">
        <w:rPr>
          <w:rFonts w:asciiTheme="majorHAnsi" w:hAnsiTheme="majorHAnsi"/>
          <w:color w:val="000000" w:themeColor="text1"/>
          <w:sz w:val="16"/>
          <w:szCs w:val="16"/>
        </w:rPr>
        <w:t>,</w:t>
      </w:r>
      <w:r>
        <w:rPr>
          <w:rFonts w:asciiTheme="majorHAnsi" w:hAnsiTheme="majorHAnsi"/>
          <w:color w:val="000000" w:themeColor="text1"/>
          <w:sz w:val="16"/>
          <w:szCs w:val="16"/>
        </w:rPr>
        <w:t xml:space="preserve"> Judgment of September</w:t>
      </w:r>
      <w:r w:rsidRPr="005404B2">
        <w:rPr>
          <w:rFonts w:asciiTheme="majorHAnsi" w:hAnsiTheme="majorHAnsi"/>
          <w:color w:val="000000" w:themeColor="text1"/>
          <w:sz w:val="16"/>
          <w:szCs w:val="16"/>
        </w:rPr>
        <w:t xml:space="preserve"> 22</w:t>
      </w:r>
      <w:r>
        <w:rPr>
          <w:rFonts w:asciiTheme="majorHAnsi" w:hAnsiTheme="majorHAnsi"/>
          <w:color w:val="000000" w:themeColor="text1"/>
          <w:sz w:val="16"/>
          <w:szCs w:val="16"/>
        </w:rPr>
        <w:t>,</w:t>
      </w:r>
      <w:r w:rsidRPr="005404B2">
        <w:rPr>
          <w:rFonts w:asciiTheme="majorHAnsi" w:hAnsiTheme="majorHAnsi"/>
          <w:color w:val="000000" w:themeColor="text1"/>
          <w:sz w:val="16"/>
          <w:szCs w:val="16"/>
        </w:rPr>
        <w:t xml:space="preserve"> 2009, Serie</w:t>
      </w:r>
      <w:r>
        <w:rPr>
          <w:rFonts w:asciiTheme="majorHAnsi" w:hAnsiTheme="majorHAnsi"/>
          <w:color w:val="000000" w:themeColor="text1"/>
          <w:sz w:val="16"/>
          <w:szCs w:val="16"/>
        </w:rPr>
        <w:t>s C No. 202, pa</w:t>
      </w:r>
      <w:r w:rsidRPr="005404B2">
        <w:rPr>
          <w:rFonts w:asciiTheme="majorHAnsi" w:hAnsiTheme="majorHAnsi"/>
          <w:color w:val="000000" w:themeColor="text1"/>
          <w:sz w:val="16"/>
          <w:szCs w:val="16"/>
        </w:rPr>
        <w:t>r. 105.</w:t>
      </w:r>
    </w:p>
  </w:footnote>
  <w:footnote w:id="82">
    <w:p w14:paraId="5524FC04" w14:textId="77777777" w:rsidR="007A5DF1" w:rsidRPr="005404B2" w:rsidRDefault="007A5DF1" w:rsidP="00041CFE">
      <w:pPr>
        <w:pStyle w:val="FootnoteText"/>
        <w:spacing w:after="120"/>
        <w:jc w:val="both"/>
        <w:rPr>
          <w:rFonts w:asciiTheme="majorHAnsi" w:hAnsiTheme="majorHAnsi"/>
          <w:sz w:val="16"/>
          <w:szCs w:val="16"/>
        </w:rPr>
      </w:pPr>
      <w:r w:rsidRPr="005404B2">
        <w:rPr>
          <w:rStyle w:val="FootnoteReference"/>
          <w:rFonts w:asciiTheme="majorHAnsi" w:hAnsiTheme="majorHAnsi"/>
          <w:sz w:val="16"/>
          <w:szCs w:val="16"/>
        </w:rPr>
        <w:footnoteRef/>
      </w:r>
      <w:r w:rsidRPr="005404B2">
        <w:rPr>
          <w:rFonts w:asciiTheme="majorHAnsi" w:hAnsiTheme="majorHAnsi"/>
          <w:sz w:val="16"/>
          <w:szCs w:val="16"/>
        </w:rPr>
        <w:t xml:space="preserve"> </w:t>
      </w:r>
      <w:r>
        <w:rPr>
          <w:rFonts w:asciiTheme="majorHAnsi" w:hAnsiTheme="majorHAnsi"/>
          <w:sz w:val="16"/>
          <w:szCs w:val="16"/>
        </w:rPr>
        <w:t xml:space="preserve">IA Court of HR, </w:t>
      </w:r>
      <w:r>
        <w:rPr>
          <w:rFonts w:asciiTheme="majorHAnsi" w:hAnsiTheme="majorHAnsi"/>
          <w:bCs/>
          <w:i/>
          <w:sz w:val="16"/>
          <w:szCs w:val="16"/>
        </w:rPr>
        <w:t>Case of</w:t>
      </w:r>
      <w:r w:rsidRPr="005404B2">
        <w:rPr>
          <w:rFonts w:asciiTheme="majorHAnsi" w:hAnsiTheme="majorHAnsi"/>
          <w:bCs/>
          <w:i/>
          <w:sz w:val="16"/>
          <w:szCs w:val="16"/>
        </w:rPr>
        <w:t xml:space="preserve"> Baldeón García</w:t>
      </w:r>
      <w:r w:rsidRPr="005404B2">
        <w:rPr>
          <w:rFonts w:asciiTheme="majorHAnsi" w:hAnsiTheme="majorHAnsi"/>
          <w:bCs/>
          <w:sz w:val="16"/>
          <w:szCs w:val="16"/>
        </w:rPr>
        <w:t>.</w:t>
      </w:r>
      <w:r w:rsidRPr="005404B2">
        <w:rPr>
          <w:rFonts w:asciiTheme="majorHAnsi" w:hAnsiTheme="majorHAnsi"/>
          <w:b/>
          <w:bCs/>
          <w:sz w:val="16"/>
          <w:szCs w:val="16"/>
        </w:rPr>
        <w:t xml:space="preserve"> </w:t>
      </w:r>
      <w:r>
        <w:rPr>
          <w:rFonts w:asciiTheme="majorHAnsi" w:hAnsiTheme="majorHAnsi"/>
          <w:bCs/>
          <w:sz w:val="16"/>
          <w:szCs w:val="16"/>
        </w:rPr>
        <w:t>Merits, Reparations and Costs. Judgment of April</w:t>
      </w:r>
      <w:r w:rsidRPr="005404B2">
        <w:rPr>
          <w:rFonts w:asciiTheme="majorHAnsi" w:hAnsiTheme="majorHAnsi"/>
          <w:sz w:val="16"/>
          <w:szCs w:val="16"/>
        </w:rPr>
        <w:t xml:space="preserve"> 6</w:t>
      </w:r>
      <w:r>
        <w:rPr>
          <w:rFonts w:asciiTheme="majorHAnsi" w:hAnsiTheme="majorHAnsi"/>
          <w:sz w:val="16"/>
          <w:szCs w:val="16"/>
        </w:rPr>
        <w:t>,</w:t>
      </w:r>
      <w:r w:rsidRPr="005404B2">
        <w:rPr>
          <w:rFonts w:asciiTheme="majorHAnsi" w:hAnsiTheme="majorHAnsi"/>
          <w:sz w:val="16"/>
          <w:szCs w:val="16"/>
        </w:rPr>
        <w:t xml:space="preserve"> 2006. Serie</w:t>
      </w:r>
      <w:r>
        <w:rPr>
          <w:rFonts w:asciiTheme="majorHAnsi" w:hAnsiTheme="majorHAnsi"/>
          <w:sz w:val="16"/>
          <w:szCs w:val="16"/>
        </w:rPr>
        <w:t>s C No. 147, pa</w:t>
      </w:r>
      <w:r w:rsidRPr="005404B2">
        <w:rPr>
          <w:rFonts w:asciiTheme="majorHAnsi" w:hAnsiTheme="majorHAnsi"/>
          <w:sz w:val="16"/>
          <w:szCs w:val="16"/>
        </w:rPr>
        <w:t xml:space="preserve">r. 156; </w:t>
      </w:r>
      <w:r>
        <w:rPr>
          <w:rFonts w:asciiTheme="majorHAnsi" w:hAnsiTheme="majorHAnsi"/>
          <w:bCs/>
          <w:i/>
          <w:sz w:val="16"/>
          <w:szCs w:val="16"/>
        </w:rPr>
        <w:t>Case of</w:t>
      </w:r>
      <w:r w:rsidRPr="005404B2">
        <w:rPr>
          <w:rFonts w:asciiTheme="majorHAnsi" w:hAnsiTheme="majorHAnsi"/>
          <w:bCs/>
          <w:i/>
          <w:sz w:val="16"/>
          <w:szCs w:val="16"/>
        </w:rPr>
        <w:t xml:space="preserve"> Gutiérrez Soler</w:t>
      </w:r>
      <w:r w:rsidRPr="005404B2">
        <w:rPr>
          <w:rFonts w:asciiTheme="majorHAnsi" w:hAnsiTheme="majorHAnsi"/>
          <w:bCs/>
          <w:sz w:val="16"/>
          <w:szCs w:val="16"/>
        </w:rPr>
        <w:t>.</w:t>
      </w:r>
      <w:r w:rsidRPr="005404B2">
        <w:rPr>
          <w:rFonts w:asciiTheme="majorHAnsi" w:hAnsiTheme="majorHAnsi"/>
          <w:b/>
          <w:bCs/>
          <w:sz w:val="16"/>
          <w:szCs w:val="16"/>
        </w:rPr>
        <w:t xml:space="preserve"> </w:t>
      </w:r>
      <w:r>
        <w:rPr>
          <w:rFonts w:asciiTheme="majorHAnsi" w:hAnsiTheme="majorHAnsi"/>
          <w:bCs/>
          <w:sz w:val="16"/>
          <w:szCs w:val="16"/>
        </w:rPr>
        <w:t xml:space="preserve">Merits, Reparations and Costs. Judgment of September </w:t>
      </w:r>
      <w:r w:rsidRPr="005404B2">
        <w:rPr>
          <w:rFonts w:asciiTheme="majorHAnsi" w:hAnsiTheme="majorHAnsi"/>
          <w:sz w:val="16"/>
          <w:szCs w:val="16"/>
        </w:rPr>
        <w:t>12</w:t>
      </w:r>
      <w:r>
        <w:rPr>
          <w:rFonts w:asciiTheme="majorHAnsi" w:hAnsiTheme="majorHAnsi"/>
          <w:sz w:val="16"/>
          <w:szCs w:val="16"/>
        </w:rPr>
        <w:t>,</w:t>
      </w:r>
      <w:r w:rsidRPr="005404B2">
        <w:rPr>
          <w:rFonts w:asciiTheme="majorHAnsi" w:hAnsiTheme="majorHAnsi"/>
          <w:sz w:val="16"/>
          <w:szCs w:val="16"/>
        </w:rPr>
        <w:t xml:space="preserve"> 2005. Serie</w:t>
      </w:r>
      <w:r>
        <w:rPr>
          <w:rFonts w:asciiTheme="majorHAnsi" w:hAnsiTheme="majorHAnsi"/>
          <w:sz w:val="16"/>
          <w:szCs w:val="16"/>
        </w:rPr>
        <w:t>s</w:t>
      </w:r>
      <w:r w:rsidRPr="005404B2">
        <w:rPr>
          <w:rFonts w:asciiTheme="majorHAnsi" w:hAnsiTheme="majorHAnsi"/>
          <w:sz w:val="16"/>
          <w:szCs w:val="16"/>
        </w:rPr>
        <w:t xml:space="preserve"> C No. 1</w:t>
      </w:r>
      <w:r>
        <w:rPr>
          <w:rFonts w:asciiTheme="majorHAnsi" w:hAnsiTheme="majorHAnsi"/>
          <w:sz w:val="16"/>
          <w:szCs w:val="16"/>
        </w:rPr>
        <w:t>32, pa</w:t>
      </w:r>
      <w:r w:rsidRPr="005404B2">
        <w:rPr>
          <w:rFonts w:asciiTheme="majorHAnsi" w:hAnsiTheme="majorHAnsi"/>
          <w:sz w:val="16"/>
          <w:szCs w:val="16"/>
        </w:rPr>
        <w:t xml:space="preserve">r. 54; </w:t>
      </w:r>
      <w:r>
        <w:rPr>
          <w:rFonts w:asciiTheme="majorHAnsi" w:hAnsiTheme="majorHAnsi"/>
          <w:i/>
          <w:sz w:val="16"/>
          <w:szCs w:val="16"/>
        </w:rPr>
        <w:t>Case of</w:t>
      </w:r>
      <w:r w:rsidRPr="005404B2">
        <w:rPr>
          <w:rFonts w:asciiTheme="majorHAnsi" w:hAnsiTheme="majorHAnsi"/>
          <w:i/>
          <w:sz w:val="16"/>
          <w:szCs w:val="16"/>
        </w:rPr>
        <w:t xml:space="preserve"> Tibi</w:t>
      </w:r>
      <w:r w:rsidRPr="005404B2">
        <w:rPr>
          <w:rFonts w:asciiTheme="majorHAnsi" w:hAnsiTheme="majorHAnsi"/>
          <w:sz w:val="16"/>
          <w:szCs w:val="16"/>
        </w:rPr>
        <w:t xml:space="preserve">. </w:t>
      </w:r>
      <w:r>
        <w:rPr>
          <w:rFonts w:asciiTheme="majorHAnsi" w:hAnsiTheme="majorHAnsi"/>
          <w:sz w:val="16"/>
          <w:szCs w:val="16"/>
        </w:rPr>
        <w:t xml:space="preserve">Judgment of September </w:t>
      </w:r>
      <w:r w:rsidRPr="005404B2">
        <w:rPr>
          <w:rFonts w:asciiTheme="majorHAnsi" w:hAnsiTheme="majorHAnsi"/>
          <w:sz w:val="16"/>
          <w:szCs w:val="16"/>
        </w:rPr>
        <w:t>7</w:t>
      </w:r>
      <w:r>
        <w:rPr>
          <w:rFonts w:asciiTheme="majorHAnsi" w:hAnsiTheme="majorHAnsi"/>
          <w:sz w:val="16"/>
          <w:szCs w:val="16"/>
        </w:rPr>
        <w:t>,</w:t>
      </w:r>
      <w:r w:rsidRPr="005404B2">
        <w:rPr>
          <w:rFonts w:asciiTheme="majorHAnsi" w:hAnsiTheme="majorHAnsi"/>
          <w:sz w:val="16"/>
          <w:szCs w:val="16"/>
        </w:rPr>
        <w:t xml:space="preserve"> 2004. Serie</w:t>
      </w:r>
      <w:r>
        <w:rPr>
          <w:rFonts w:asciiTheme="majorHAnsi" w:hAnsiTheme="majorHAnsi"/>
          <w:sz w:val="16"/>
          <w:szCs w:val="16"/>
        </w:rPr>
        <w:t>s C No. 114, par. 159 and</w:t>
      </w:r>
      <w:r w:rsidRPr="005404B2">
        <w:rPr>
          <w:rFonts w:asciiTheme="majorHAnsi" w:hAnsiTheme="majorHAnsi"/>
          <w:sz w:val="16"/>
          <w:szCs w:val="16"/>
        </w:rPr>
        <w:t xml:space="preserve"> </w:t>
      </w:r>
      <w:r>
        <w:rPr>
          <w:rFonts w:asciiTheme="majorHAnsi" w:hAnsiTheme="majorHAnsi"/>
          <w:bCs/>
          <w:sz w:val="16"/>
          <w:szCs w:val="16"/>
        </w:rPr>
        <w:t>Case of</w:t>
      </w:r>
      <w:r w:rsidRPr="005404B2">
        <w:rPr>
          <w:rFonts w:asciiTheme="majorHAnsi" w:hAnsiTheme="majorHAnsi"/>
          <w:bCs/>
          <w:sz w:val="16"/>
          <w:szCs w:val="16"/>
        </w:rPr>
        <w:t xml:space="preserve"> Ximenes Lopes.</w:t>
      </w:r>
      <w:r w:rsidRPr="005404B2">
        <w:rPr>
          <w:rFonts w:asciiTheme="majorHAnsi" w:hAnsiTheme="majorHAnsi"/>
          <w:b/>
          <w:bCs/>
          <w:sz w:val="16"/>
          <w:szCs w:val="16"/>
        </w:rPr>
        <w:t xml:space="preserve"> </w:t>
      </w:r>
      <w:r>
        <w:rPr>
          <w:rFonts w:asciiTheme="majorHAnsi" w:hAnsiTheme="majorHAnsi"/>
          <w:bCs/>
          <w:sz w:val="16"/>
          <w:szCs w:val="16"/>
        </w:rPr>
        <w:t>Merits, Reparations and Costs. Judgment of July</w:t>
      </w:r>
      <w:r w:rsidRPr="005404B2">
        <w:rPr>
          <w:rFonts w:asciiTheme="majorHAnsi" w:hAnsiTheme="majorHAnsi"/>
          <w:sz w:val="16"/>
          <w:szCs w:val="16"/>
        </w:rPr>
        <w:t xml:space="preserve"> 4</w:t>
      </w:r>
      <w:r>
        <w:rPr>
          <w:rFonts w:asciiTheme="majorHAnsi" w:hAnsiTheme="majorHAnsi"/>
          <w:sz w:val="16"/>
          <w:szCs w:val="16"/>
        </w:rPr>
        <w:t>,</w:t>
      </w:r>
      <w:r w:rsidRPr="005404B2">
        <w:rPr>
          <w:rFonts w:asciiTheme="majorHAnsi" w:hAnsiTheme="majorHAnsi"/>
          <w:sz w:val="16"/>
          <w:szCs w:val="16"/>
        </w:rPr>
        <w:t xml:space="preserve"> 2006. Serie</w:t>
      </w:r>
      <w:r>
        <w:rPr>
          <w:rFonts w:asciiTheme="majorHAnsi" w:hAnsiTheme="majorHAnsi"/>
          <w:sz w:val="16"/>
          <w:szCs w:val="16"/>
        </w:rPr>
        <w:t>s C No. 149, pa</w:t>
      </w:r>
      <w:r w:rsidRPr="005404B2">
        <w:rPr>
          <w:rFonts w:asciiTheme="majorHAnsi" w:hAnsiTheme="majorHAnsi"/>
          <w:sz w:val="16"/>
          <w:szCs w:val="16"/>
        </w:rPr>
        <w:t xml:space="preserve">r. 148. </w:t>
      </w:r>
      <w:r>
        <w:rPr>
          <w:rFonts w:asciiTheme="majorHAnsi" w:hAnsiTheme="majorHAnsi"/>
          <w:sz w:val="16"/>
          <w:szCs w:val="16"/>
        </w:rPr>
        <w:t xml:space="preserve">Also, </w:t>
      </w:r>
      <w:r w:rsidRPr="005404B2">
        <w:rPr>
          <w:rFonts w:asciiTheme="majorHAnsi" w:hAnsiTheme="majorHAnsi"/>
          <w:i/>
          <w:sz w:val="16"/>
          <w:szCs w:val="16"/>
        </w:rPr>
        <w:t>Eur.C.H.R.</w:t>
      </w:r>
      <w:r w:rsidRPr="005404B2">
        <w:rPr>
          <w:rFonts w:asciiTheme="majorHAnsi" w:hAnsiTheme="majorHAnsi"/>
          <w:sz w:val="16"/>
          <w:szCs w:val="16"/>
        </w:rPr>
        <w:t xml:space="preserve">, </w:t>
      </w:r>
      <w:r w:rsidRPr="005404B2">
        <w:rPr>
          <w:rFonts w:asciiTheme="majorHAnsi" w:hAnsiTheme="majorHAnsi"/>
          <w:i/>
          <w:sz w:val="16"/>
          <w:szCs w:val="16"/>
        </w:rPr>
        <w:t xml:space="preserve">Assenov and others v. Bulgaria, </w:t>
      </w:r>
      <w:r w:rsidRPr="005404B2">
        <w:rPr>
          <w:rFonts w:asciiTheme="majorHAnsi" w:hAnsiTheme="majorHAnsi"/>
          <w:sz w:val="16"/>
          <w:szCs w:val="16"/>
        </w:rPr>
        <w:t xml:space="preserve">no. 90/1997/874/1086, Judgment of 28 October 1998, par. 102 </w:t>
      </w:r>
      <w:r>
        <w:rPr>
          <w:rFonts w:asciiTheme="majorHAnsi" w:hAnsiTheme="majorHAnsi"/>
          <w:sz w:val="16"/>
          <w:szCs w:val="16"/>
        </w:rPr>
        <w:t>and</w:t>
      </w:r>
      <w:r w:rsidRPr="005404B2">
        <w:rPr>
          <w:rFonts w:asciiTheme="majorHAnsi" w:hAnsiTheme="majorHAnsi"/>
          <w:sz w:val="16"/>
          <w:szCs w:val="16"/>
        </w:rPr>
        <w:t xml:space="preserve"> </w:t>
      </w:r>
      <w:r w:rsidRPr="005404B2">
        <w:rPr>
          <w:rFonts w:asciiTheme="majorHAnsi" w:hAnsiTheme="majorHAnsi"/>
          <w:i/>
          <w:sz w:val="16"/>
          <w:szCs w:val="16"/>
        </w:rPr>
        <w:t>Eur.C.H.R.</w:t>
      </w:r>
      <w:r w:rsidRPr="005404B2">
        <w:rPr>
          <w:rFonts w:asciiTheme="majorHAnsi" w:hAnsiTheme="majorHAnsi"/>
          <w:sz w:val="16"/>
          <w:szCs w:val="16"/>
        </w:rPr>
        <w:t xml:space="preserve">, </w:t>
      </w:r>
      <w:r w:rsidRPr="005404B2">
        <w:rPr>
          <w:rFonts w:asciiTheme="majorHAnsi" w:hAnsiTheme="majorHAnsi"/>
          <w:i/>
          <w:sz w:val="16"/>
          <w:szCs w:val="16"/>
        </w:rPr>
        <w:t xml:space="preserve">Ilhan v. Turkey </w:t>
      </w:r>
      <w:r w:rsidRPr="005404B2">
        <w:rPr>
          <w:rFonts w:asciiTheme="majorHAnsi" w:hAnsiTheme="majorHAnsi"/>
          <w:sz w:val="16"/>
          <w:szCs w:val="16"/>
        </w:rPr>
        <w:t>[GC]</w:t>
      </w:r>
      <w:r w:rsidRPr="005404B2">
        <w:rPr>
          <w:rFonts w:asciiTheme="majorHAnsi" w:hAnsiTheme="majorHAnsi"/>
          <w:i/>
          <w:sz w:val="16"/>
          <w:szCs w:val="16"/>
        </w:rPr>
        <w:t xml:space="preserve">, </w:t>
      </w:r>
      <w:r w:rsidRPr="005404B2">
        <w:rPr>
          <w:rFonts w:asciiTheme="majorHAnsi" w:hAnsiTheme="majorHAnsi"/>
          <w:sz w:val="16"/>
          <w:szCs w:val="16"/>
        </w:rPr>
        <w:t>no. 22277/93</w:t>
      </w:r>
      <w:r>
        <w:rPr>
          <w:rFonts w:asciiTheme="majorHAnsi" w:hAnsiTheme="majorHAnsi"/>
          <w:sz w:val="16"/>
          <w:szCs w:val="16"/>
        </w:rPr>
        <w:t>, Judgment of 27 June 2000, par</w:t>
      </w:r>
      <w:r w:rsidRPr="005404B2">
        <w:rPr>
          <w:rFonts w:asciiTheme="majorHAnsi" w:hAnsiTheme="majorHAnsi"/>
          <w:sz w:val="16"/>
          <w:szCs w:val="16"/>
        </w:rPr>
        <w:t>s. 89-93.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0101D" w14:textId="77777777" w:rsidR="007A5DF1" w:rsidRDefault="007A5DF1" w:rsidP="00F91A8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02705D3" w14:textId="77777777" w:rsidR="007A5DF1" w:rsidRDefault="007A5D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5139" w14:textId="77777777" w:rsidR="007A5DF1" w:rsidRDefault="007A5DF1" w:rsidP="002C1641">
    <w:pPr>
      <w:pStyle w:val="Header"/>
      <w:tabs>
        <w:tab w:val="clear" w:pos="4320"/>
        <w:tab w:val="clear" w:pos="8640"/>
      </w:tabs>
      <w:jc w:val="center"/>
      <w:rPr>
        <w:sz w:val="22"/>
        <w:szCs w:val="22"/>
      </w:rPr>
    </w:pPr>
    <w:r>
      <w:rPr>
        <w:noProof/>
        <w:sz w:val="22"/>
        <w:szCs w:val="22"/>
      </w:rPr>
      <w:drawing>
        <wp:inline distT="0" distB="0" distL="0" distR="0" wp14:anchorId="60B9D222" wp14:editId="53BF536B">
          <wp:extent cx="2209800" cy="117396"/>
          <wp:effectExtent l="0" t="0" r="0" b="0"/>
          <wp:docPr id="30" name="Picture 30"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5DA1BF43" w14:textId="77777777" w:rsidR="007A5DF1" w:rsidRPr="00EC7D62" w:rsidRDefault="00631086" w:rsidP="002C1641">
    <w:pPr>
      <w:pStyle w:val="Header"/>
      <w:tabs>
        <w:tab w:val="clear" w:pos="4320"/>
        <w:tab w:val="clear" w:pos="8640"/>
      </w:tabs>
      <w:jc w:val="center"/>
      <w:rPr>
        <w:sz w:val="22"/>
        <w:szCs w:val="22"/>
      </w:rPr>
    </w:pPr>
    <w:r>
      <w:rPr>
        <w:sz w:val="22"/>
        <w:szCs w:val="22"/>
      </w:rPr>
      <w:pict w14:anchorId="6DF00D61">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7B488C"/>
    <w:multiLevelType w:val="hybridMultilevel"/>
    <w:tmpl w:val="72128EE2"/>
    <w:lvl w:ilvl="0" w:tplc="EA0C6668">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9789D"/>
    <w:multiLevelType w:val="hybridMultilevel"/>
    <w:tmpl w:val="EF285760"/>
    <w:lvl w:ilvl="0" w:tplc="79287BEC">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77063D1"/>
    <w:multiLevelType w:val="hybridMultilevel"/>
    <w:tmpl w:val="A732B664"/>
    <w:lvl w:ilvl="0" w:tplc="99DE726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2145B"/>
    <w:multiLevelType w:val="hybridMultilevel"/>
    <w:tmpl w:val="C46E6192"/>
    <w:lvl w:ilvl="0" w:tplc="A5BCB49E">
      <w:start w:val="1"/>
      <w:numFmt w:val="upperLetter"/>
      <w:lvlText w:val="%1."/>
      <w:lvlJc w:val="left"/>
      <w:pPr>
        <w:ind w:left="117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90" w:hanging="360"/>
      </w:pPr>
    </w:lvl>
    <w:lvl w:ilvl="2" w:tplc="F12E0CEC">
      <w:start w:val="1"/>
      <w:numFmt w:val="bullet"/>
      <w:lvlText w:val="-"/>
      <w:lvlJc w:val="left"/>
      <w:pPr>
        <w:ind w:left="2790" w:hanging="360"/>
      </w:pPr>
      <w:rPr>
        <w:rFonts w:ascii="Cambria" w:eastAsia="Arial Unicode MS" w:hAnsi="Cambria"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2B586E"/>
    <w:multiLevelType w:val="hybridMultilevel"/>
    <w:tmpl w:val="CBA2851E"/>
    <w:lvl w:ilvl="0" w:tplc="EFA8A028">
      <w:start w:val="1"/>
      <w:numFmt w:val="upp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0424"/>
    <w:multiLevelType w:val="hybridMultilevel"/>
    <w:tmpl w:val="28EC4CF0"/>
    <w:lvl w:ilvl="0" w:tplc="16B68ACC">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3DC61D90"/>
    <w:multiLevelType w:val="hybridMultilevel"/>
    <w:tmpl w:val="B37AC88C"/>
    <w:lvl w:ilvl="0" w:tplc="59FA683E">
      <w:start w:val="1"/>
      <w:numFmt w:val="decimal"/>
      <w:lvlText w:val="%1."/>
      <w:lvlJc w:val="left"/>
      <w:pPr>
        <w:tabs>
          <w:tab w:val="num" w:pos="1080"/>
        </w:tabs>
        <w:ind w:left="1080" w:hanging="360"/>
      </w:pPr>
      <w:rPr>
        <w:rFonts w:ascii="Cambria" w:hAnsi="Cambria" w:cs="Times New Roman" w:hint="default"/>
        <w:b w:val="0"/>
        <w:i w:val="0"/>
        <w:sz w:val="20"/>
        <w:szCs w:val="20"/>
        <w:lang w:val="es-VE"/>
      </w:rPr>
    </w:lvl>
    <w:lvl w:ilvl="1" w:tplc="41189D3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151612"/>
    <w:multiLevelType w:val="hybridMultilevel"/>
    <w:tmpl w:val="FA2063E4"/>
    <w:lvl w:ilvl="0" w:tplc="98849F0C">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D7D4B9D"/>
    <w:multiLevelType w:val="hybridMultilevel"/>
    <w:tmpl w:val="E01AD6A6"/>
    <w:lvl w:ilvl="0" w:tplc="0F7E9838">
      <w:start w:val="1"/>
      <w:numFmt w:val="decimal"/>
      <w:lvlText w:val="%1."/>
      <w:lvlJc w:val="left"/>
      <w:pPr>
        <w:ind w:left="1080" w:hanging="360"/>
      </w:pPr>
      <w:rPr>
        <w:rFonts w:asciiTheme="majorHAnsi" w:hAnsiTheme="majorHAnsi" w:hint="default"/>
        <w:b w:val="0"/>
        <w:sz w:val="20"/>
        <w:szCs w:val="20"/>
      </w:r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6A101BB"/>
    <w:multiLevelType w:val="hybridMultilevel"/>
    <w:tmpl w:val="000E7AB8"/>
    <w:lvl w:ilvl="0" w:tplc="60E8040C">
      <w:start w:val="1"/>
      <w:numFmt w:val="upperRoman"/>
      <w:lvlText w:val="%1."/>
      <w:lvlJc w:val="left"/>
      <w:pPr>
        <w:tabs>
          <w:tab w:val="num" w:pos="1440"/>
        </w:tabs>
        <w:ind w:left="1440" w:hanging="720"/>
      </w:pPr>
      <w:rPr>
        <w:rFonts w:cs="Times New Roman"/>
        <w:b/>
        <w:color w:val="auto"/>
        <w:sz w:val="20"/>
        <w:szCs w:val="20"/>
        <w:lang w:val="es-VE"/>
      </w:rPr>
    </w:lvl>
    <w:lvl w:ilvl="1" w:tplc="240A0019">
      <w:start w:val="1"/>
      <w:numFmt w:val="lowerLetter"/>
      <w:lvlText w:val="%2."/>
      <w:lvlJc w:val="left"/>
      <w:pPr>
        <w:tabs>
          <w:tab w:val="num" w:pos="1800"/>
        </w:tabs>
        <w:ind w:left="1800" w:hanging="360"/>
      </w:pPr>
      <w:rPr>
        <w:b/>
      </w:rPr>
    </w:lvl>
    <w:lvl w:ilvl="2" w:tplc="881EAA16">
      <w:start w:val="1"/>
      <w:numFmt w:val="lowerLetter"/>
      <w:lvlText w:val="%3)"/>
      <w:lvlJc w:val="left"/>
      <w:pPr>
        <w:tabs>
          <w:tab w:val="num" w:pos="2700"/>
        </w:tabs>
        <w:ind w:left="2700" w:hanging="360"/>
      </w:pPr>
      <w:rPr>
        <w:rFonts w:cs="Times New Roman"/>
      </w:rPr>
    </w:lvl>
    <w:lvl w:ilvl="3" w:tplc="B87E3F4A">
      <w:start w:val="2"/>
      <w:numFmt w:val="upperLetter"/>
      <w:lvlText w:val="%4."/>
      <w:lvlJc w:val="left"/>
      <w:pPr>
        <w:tabs>
          <w:tab w:val="num" w:pos="3240"/>
        </w:tabs>
        <w:ind w:left="3240" w:hanging="360"/>
      </w:pPr>
      <w:rPr>
        <w:rFonts w:cs="Times New Roman"/>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4" w15:restartNumberingAfterBreak="0">
    <w:nsid w:val="66BE5E6A"/>
    <w:multiLevelType w:val="hybridMultilevel"/>
    <w:tmpl w:val="C9D20C7E"/>
    <w:lvl w:ilvl="0" w:tplc="B47EC36A">
      <w:start w:val="1"/>
      <w:numFmt w:val="decimal"/>
      <w:lvlText w:val="%1."/>
      <w:lvlJc w:val="left"/>
      <w:pPr>
        <w:tabs>
          <w:tab w:val="num" w:pos="1440"/>
        </w:tabs>
        <w:ind w:left="720" w:firstLine="72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AE51601"/>
    <w:multiLevelType w:val="hybridMultilevel"/>
    <w:tmpl w:val="B39CF5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B2B27BE"/>
    <w:multiLevelType w:val="hybridMultilevel"/>
    <w:tmpl w:val="F7ECD692"/>
    <w:lvl w:ilvl="0" w:tplc="5D4CB81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BCF3E89"/>
    <w:multiLevelType w:val="hybridMultilevel"/>
    <w:tmpl w:val="3514B9F2"/>
    <w:lvl w:ilvl="0" w:tplc="1A92C91A">
      <w:start w:val="1"/>
      <w:numFmt w:val="upperLetter"/>
      <w:lvlText w:val="%1."/>
      <w:lvlJc w:val="left"/>
      <w:pPr>
        <w:ind w:left="1080" w:hanging="360"/>
      </w:pPr>
      <w:rPr>
        <w:rFonts w:hint="default"/>
        <w:lang w:val="es-V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734859782">
    <w:abstractNumId w:val="3"/>
  </w:num>
  <w:num w:numId="2" w16cid:durableId="735859146">
    <w:abstractNumId w:val="6"/>
  </w:num>
  <w:num w:numId="3" w16cid:durableId="1057584095">
    <w:abstractNumId w:val="63"/>
  </w:num>
  <w:num w:numId="4" w16cid:durableId="293104148">
    <w:abstractNumId w:val="24"/>
  </w:num>
  <w:num w:numId="5" w16cid:durableId="2144346781">
    <w:abstractNumId w:val="52"/>
  </w:num>
  <w:num w:numId="6" w16cid:durableId="1973558428">
    <w:abstractNumId w:val="29"/>
  </w:num>
  <w:num w:numId="7" w16cid:durableId="1705903295">
    <w:abstractNumId w:val="9"/>
  </w:num>
  <w:num w:numId="8" w16cid:durableId="2131046329">
    <w:abstractNumId w:val="20"/>
  </w:num>
  <w:num w:numId="9" w16cid:durableId="431825864">
    <w:abstractNumId w:val="46"/>
  </w:num>
  <w:num w:numId="10" w16cid:durableId="1284582624">
    <w:abstractNumId w:val="0"/>
  </w:num>
  <w:num w:numId="11" w16cid:durableId="1958675226">
    <w:abstractNumId w:val="41"/>
  </w:num>
  <w:num w:numId="12" w16cid:durableId="1967347619">
    <w:abstractNumId w:val="42"/>
  </w:num>
  <w:num w:numId="13" w16cid:durableId="2137723509">
    <w:abstractNumId w:val="47"/>
  </w:num>
  <w:num w:numId="14" w16cid:durableId="1225527936">
    <w:abstractNumId w:val="1"/>
  </w:num>
  <w:num w:numId="15" w16cid:durableId="1975406628">
    <w:abstractNumId w:val="2"/>
  </w:num>
  <w:num w:numId="16" w16cid:durableId="936668485">
    <w:abstractNumId w:val="10"/>
  </w:num>
  <w:num w:numId="17" w16cid:durableId="2090685449">
    <w:abstractNumId w:val="11"/>
  </w:num>
  <w:num w:numId="18" w16cid:durableId="2116822051">
    <w:abstractNumId w:val="12"/>
  </w:num>
  <w:num w:numId="19" w16cid:durableId="1795173132">
    <w:abstractNumId w:val="13"/>
  </w:num>
  <w:num w:numId="20" w16cid:durableId="866331537">
    <w:abstractNumId w:val="14"/>
  </w:num>
  <w:num w:numId="21" w16cid:durableId="28264764">
    <w:abstractNumId w:val="15"/>
  </w:num>
  <w:num w:numId="22" w16cid:durableId="2096900102">
    <w:abstractNumId w:val="16"/>
  </w:num>
  <w:num w:numId="23" w16cid:durableId="731201733">
    <w:abstractNumId w:val="17"/>
  </w:num>
  <w:num w:numId="24" w16cid:durableId="423722029">
    <w:abstractNumId w:val="19"/>
  </w:num>
  <w:num w:numId="25" w16cid:durableId="902909931">
    <w:abstractNumId w:val="21"/>
  </w:num>
  <w:num w:numId="26" w16cid:durableId="1346588537">
    <w:abstractNumId w:val="22"/>
  </w:num>
  <w:num w:numId="27" w16cid:durableId="1548488991">
    <w:abstractNumId w:val="25"/>
  </w:num>
  <w:num w:numId="28" w16cid:durableId="495800865">
    <w:abstractNumId w:val="26"/>
  </w:num>
  <w:num w:numId="29" w16cid:durableId="822086521">
    <w:abstractNumId w:val="27"/>
  </w:num>
  <w:num w:numId="30" w16cid:durableId="935140840">
    <w:abstractNumId w:val="28"/>
  </w:num>
  <w:num w:numId="31" w16cid:durableId="182866723">
    <w:abstractNumId w:val="30"/>
  </w:num>
  <w:num w:numId="32" w16cid:durableId="1323242347">
    <w:abstractNumId w:val="33"/>
  </w:num>
  <w:num w:numId="33" w16cid:durableId="474757443">
    <w:abstractNumId w:val="34"/>
  </w:num>
  <w:num w:numId="34" w16cid:durableId="1341588615">
    <w:abstractNumId w:val="35"/>
  </w:num>
  <w:num w:numId="35" w16cid:durableId="1480071469">
    <w:abstractNumId w:val="37"/>
  </w:num>
  <w:num w:numId="36" w16cid:durableId="988821497">
    <w:abstractNumId w:val="38"/>
  </w:num>
  <w:num w:numId="37" w16cid:durableId="1359505522">
    <w:abstractNumId w:val="39"/>
  </w:num>
  <w:num w:numId="38" w16cid:durableId="331951000">
    <w:abstractNumId w:val="40"/>
  </w:num>
  <w:num w:numId="39" w16cid:durableId="184829540">
    <w:abstractNumId w:val="43"/>
  </w:num>
  <w:num w:numId="40" w16cid:durableId="825244910">
    <w:abstractNumId w:val="44"/>
  </w:num>
  <w:num w:numId="41" w16cid:durableId="1659191256">
    <w:abstractNumId w:val="51"/>
  </w:num>
  <w:num w:numId="42" w16cid:durableId="1159425477">
    <w:abstractNumId w:val="55"/>
  </w:num>
  <w:num w:numId="43" w16cid:durableId="491798474">
    <w:abstractNumId w:val="59"/>
  </w:num>
  <w:num w:numId="44" w16cid:durableId="1704399078">
    <w:abstractNumId w:val="61"/>
  </w:num>
  <w:num w:numId="45" w16cid:durableId="1678920042">
    <w:abstractNumId w:val="62"/>
  </w:num>
  <w:num w:numId="46" w16cid:durableId="492530150">
    <w:abstractNumId w:val="64"/>
  </w:num>
  <w:num w:numId="47" w16cid:durableId="84543892">
    <w:abstractNumId w:val="65"/>
  </w:num>
  <w:num w:numId="48" w16cid:durableId="327173369">
    <w:abstractNumId w:val="66"/>
  </w:num>
  <w:num w:numId="49" w16cid:durableId="235214282">
    <w:abstractNumId w:val="67"/>
  </w:num>
  <w:num w:numId="50" w16cid:durableId="187910398">
    <w:abstractNumId w:val="68"/>
  </w:num>
  <w:num w:numId="51" w16cid:durableId="1130200925">
    <w:abstractNumId w:val="23"/>
  </w:num>
  <w:num w:numId="52" w16cid:durableId="1415273673">
    <w:abstractNumId w:val="45"/>
  </w:num>
  <w:num w:numId="53" w16cid:durableId="501239489">
    <w:abstractNumId w:val="60"/>
  </w:num>
  <w:num w:numId="54" w16cid:durableId="450129329">
    <w:abstractNumId w:val="48"/>
  </w:num>
  <w:num w:numId="55" w16cid:durableId="430399430">
    <w:abstractNumId w:val="53"/>
  </w:num>
  <w:num w:numId="56" w16cid:durableId="736442745">
    <w:abstractNumId w:val="32"/>
  </w:num>
  <w:num w:numId="57" w16cid:durableId="172036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13021684">
    <w:abstractNumId w:val="58"/>
  </w:num>
  <w:num w:numId="59" w16cid:durableId="2123069539">
    <w:abstractNumId w:val="56"/>
  </w:num>
  <w:num w:numId="60" w16cid:durableId="226033685">
    <w:abstractNumId w:val="36"/>
  </w:num>
  <w:num w:numId="61" w16cid:durableId="703749604">
    <w:abstractNumId w:val="50"/>
  </w:num>
  <w:num w:numId="62" w16cid:durableId="827478034">
    <w:abstractNumId w:val="49"/>
  </w:num>
  <w:num w:numId="63" w16cid:durableId="538588396">
    <w:abstractNumId w:val="18"/>
  </w:num>
  <w:num w:numId="64" w16cid:durableId="442388416">
    <w:abstractNumId w:val="4"/>
  </w:num>
  <w:num w:numId="65" w16cid:durableId="766777570">
    <w:abstractNumId w:val="5"/>
  </w:num>
  <w:num w:numId="66" w16cid:durableId="448201423">
    <w:abstractNumId w:val="8"/>
    <w:lvlOverride w:ilvl="0">
      <w:startOverride w:val="1"/>
    </w:lvlOverride>
  </w:num>
  <w:num w:numId="67" w16cid:durableId="2064017586">
    <w:abstractNumId w:val="54"/>
  </w:num>
  <w:num w:numId="68" w16cid:durableId="980382436">
    <w:abstractNumId w:val="7"/>
  </w:num>
  <w:num w:numId="69" w16cid:durableId="441652334">
    <w:abstractNumId w:val="57"/>
  </w:num>
  <w:num w:numId="70" w16cid:durableId="1973291424">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6146"/>
  </w:hdrShapeDefaults>
  <w:footnotePr>
    <w:footnote w:id="-1"/>
    <w:footnote w:id="0"/>
    <w:footnote w:id="1"/>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6B2D5C"/>
    <w:rsid w:val="0000036F"/>
    <w:rsid w:val="00000CDA"/>
    <w:rsid w:val="000070D7"/>
    <w:rsid w:val="000111A8"/>
    <w:rsid w:val="0001788C"/>
    <w:rsid w:val="00036A8A"/>
    <w:rsid w:val="00040C3A"/>
    <w:rsid w:val="00041CFE"/>
    <w:rsid w:val="000639C0"/>
    <w:rsid w:val="00070F3A"/>
    <w:rsid w:val="000716C5"/>
    <w:rsid w:val="00075E23"/>
    <w:rsid w:val="00080347"/>
    <w:rsid w:val="00092F32"/>
    <w:rsid w:val="0009344A"/>
    <w:rsid w:val="000A575F"/>
    <w:rsid w:val="000D10DB"/>
    <w:rsid w:val="000E6604"/>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736B9"/>
    <w:rsid w:val="00382C6A"/>
    <w:rsid w:val="00384CB8"/>
    <w:rsid w:val="00386CF0"/>
    <w:rsid w:val="003B6011"/>
    <w:rsid w:val="003C32BC"/>
    <w:rsid w:val="003F1BBF"/>
    <w:rsid w:val="004165C2"/>
    <w:rsid w:val="00450A4A"/>
    <w:rsid w:val="004666FB"/>
    <w:rsid w:val="00467B7E"/>
    <w:rsid w:val="00481B84"/>
    <w:rsid w:val="0049419D"/>
    <w:rsid w:val="004B2762"/>
    <w:rsid w:val="004B7EB6"/>
    <w:rsid w:val="004C4B62"/>
    <w:rsid w:val="004D6025"/>
    <w:rsid w:val="004D72BC"/>
    <w:rsid w:val="00501399"/>
    <w:rsid w:val="00507BC4"/>
    <w:rsid w:val="005128E4"/>
    <w:rsid w:val="00525560"/>
    <w:rsid w:val="005357A6"/>
    <w:rsid w:val="00544C49"/>
    <w:rsid w:val="0055229D"/>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086"/>
    <w:rsid w:val="006311DA"/>
    <w:rsid w:val="006311E9"/>
    <w:rsid w:val="00632354"/>
    <w:rsid w:val="00642810"/>
    <w:rsid w:val="00652333"/>
    <w:rsid w:val="0065718D"/>
    <w:rsid w:val="00664D62"/>
    <w:rsid w:val="0068009E"/>
    <w:rsid w:val="006A17D2"/>
    <w:rsid w:val="006A73E6"/>
    <w:rsid w:val="006B2D5C"/>
    <w:rsid w:val="006C4EB1"/>
    <w:rsid w:val="006E0166"/>
    <w:rsid w:val="006E7B34"/>
    <w:rsid w:val="006F0722"/>
    <w:rsid w:val="00701B24"/>
    <w:rsid w:val="00745899"/>
    <w:rsid w:val="007607C4"/>
    <w:rsid w:val="0076643F"/>
    <w:rsid w:val="007A2F70"/>
    <w:rsid w:val="007A5DF1"/>
    <w:rsid w:val="007C3334"/>
    <w:rsid w:val="007C52BB"/>
    <w:rsid w:val="007D2B98"/>
    <w:rsid w:val="00803F1C"/>
    <w:rsid w:val="0080600E"/>
    <w:rsid w:val="00817612"/>
    <w:rsid w:val="00837C45"/>
    <w:rsid w:val="00853419"/>
    <w:rsid w:val="00897E12"/>
    <w:rsid w:val="008D43BA"/>
    <w:rsid w:val="008E3759"/>
    <w:rsid w:val="009041DC"/>
    <w:rsid w:val="009104B4"/>
    <w:rsid w:val="00925FCD"/>
    <w:rsid w:val="0093441A"/>
    <w:rsid w:val="00954BF7"/>
    <w:rsid w:val="0096706E"/>
    <w:rsid w:val="00981FBA"/>
    <w:rsid w:val="009B381B"/>
    <w:rsid w:val="009D7611"/>
    <w:rsid w:val="009E53DE"/>
    <w:rsid w:val="00A27513"/>
    <w:rsid w:val="00A43458"/>
    <w:rsid w:val="00A528D1"/>
    <w:rsid w:val="00A66BE5"/>
    <w:rsid w:val="00A83F85"/>
    <w:rsid w:val="00AD37C1"/>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446CF"/>
    <w:rsid w:val="00C55560"/>
    <w:rsid w:val="00C61936"/>
    <w:rsid w:val="00C66B72"/>
    <w:rsid w:val="00C9567A"/>
    <w:rsid w:val="00CB2660"/>
    <w:rsid w:val="00CC5E90"/>
    <w:rsid w:val="00CD046C"/>
    <w:rsid w:val="00CE5199"/>
    <w:rsid w:val="00CE66D5"/>
    <w:rsid w:val="00D34786"/>
    <w:rsid w:val="00D40A1E"/>
    <w:rsid w:val="00D53D38"/>
    <w:rsid w:val="00D712D3"/>
    <w:rsid w:val="00D71422"/>
    <w:rsid w:val="00D7145E"/>
    <w:rsid w:val="00D7558D"/>
    <w:rsid w:val="00D81D92"/>
    <w:rsid w:val="00D93446"/>
    <w:rsid w:val="00DA7B5F"/>
    <w:rsid w:val="00E43157"/>
    <w:rsid w:val="00E533FF"/>
    <w:rsid w:val="00E709B3"/>
    <w:rsid w:val="00E8789F"/>
    <w:rsid w:val="00E97B71"/>
    <w:rsid w:val="00EA04B3"/>
    <w:rsid w:val="00EB454D"/>
    <w:rsid w:val="00EE3522"/>
    <w:rsid w:val="00EF619B"/>
    <w:rsid w:val="00F00B55"/>
    <w:rsid w:val="00F1380F"/>
    <w:rsid w:val="00F14F0E"/>
    <w:rsid w:val="00F24C29"/>
    <w:rsid w:val="00F253CC"/>
    <w:rsid w:val="00F56BA5"/>
    <w:rsid w:val="00F644E6"/>
    <w:rsid w:val="00F91A8D"/>
    <w:rsid w:val="00F9653B"/>
    <w:rsid w:val="00FB62CF"/>
    <w:rsid w:val="00FC3EB4"/>
    <w:rsid w:val="00FC6C58"/>
    <w:rsid w:val="00FE6B45"/>
    <w:rsid w:val="00FF08DF"/>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71D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1B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81B8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76" w:lineRule="auto"/>
      <w:outlineLvl w:val="2"/>
    </w:pPr>
    <w:rPr>
      <w:rFonts w:ascii="Cambria" w:eastAsia="Times New Roman" w:hAnsi="Cambria"/>
      <w:b/>
      <w:bCs/>
      <w:sz w:val="26"/>
      <w:szCs w:val="26"/>
      <w:bdr w:val="none" w:sz="0" w:space="0" w:color="auto"/>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Medium Grid 1 - Accent 21,Colorful List - Accent 12,Lista vistosa - Énfasis 11"/>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qFormat/>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link w:val="BVIfnrCar1CarCarCarC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481B84"/>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481B84"/>
    <w:rPr>
      <w:rFonts w:ascii="Cambria" w:eastAsia="Times New Roman" w:hAnsi="Cambria"/>
      <w:b/>
      <w:bCs/>
      <w:sz w:val="26"/>
      <w:szCs w:val="26"/>
      <w:bdr w:val="none" w:sz="0" w:space="0" w:color="auto"/>
      <w:lang w:val="es-CO" w:eastAsia="en-US"/>
    </w:rPr>
  </w:style>
  <w:style w:type="character" w:customStyle="1" w:styleId="FootnoteTextChar1">
    <w:name w:val="Footnote Text Char1"/>
    <w:uiPriority w:val="99"/>
    <w:semiHidden/>
    <w:rsid w:val="00481B84"/>
    <w:rPr>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481B84"/>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val="es-ES" w:eastAsia="es-ES"/>
    </w:rPr>
  </w:style>
  <w:style w:type="paragraph" w:customStyle="1" w:styleId="ColorfulList-Accent11">
    <w:name w:val="Colorful List - Accent 11"/>
    <w:aliases w:val="Párrafo de lista1,List Paragraph1,List Paragraph11,List Paragraph2"/>
    <w:basedOn w:val="Normal"/>
    <w:link w:val="ColorfulList-Accent1Char"/>
    <w:uiPriority w:val="99"/>
    <w:qFormat/>
    <w:rsid w:val="00481B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08"/>
    </w:pPr>
    <w:rPr>
      <w:rFonts w:ascii="Calibri" w:eastAsia="Calibri" w:hAnsi="Calibri"/>
      <w:sz w:val="22"/>
      <w:szCs w:val="22"/>
      <w:bdr w:val="none" w:sz="0" w:space="0" w:color="auto"/>
      <w:lang w:val="es-CO"/>
    </w:rPr>
  </w:style>
  <w:style w:type="character" w:styleId="CommentReference">
    <w:name w:val="annotation reference"/>
    <w:uiPriority w:val="99"/>
    <w:semiHidden/>
    <w:unhideWhenUsed/>
    <w:rsid w:val="00481B84"/>
    <w:rPr>
      <w:sz w:val="16"/>
      <w:szCs w:val="16"/>
    </w:rPr>
  </w:style>
  <w:style w:type="paragraph" w:styleId="CommentText">
    <w:name w:val="annotation text"/>
    <w:basedOn w:val="Normal"/>
    <w:link w:val="CommentTextChar"/>
    <w:uiPriority w:val="99"/>
    <w:semiHidden/>
    <w:unhideWhenUsed/>
    <w:rsid w:val="00481B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sz w:val="20"/>
      <w:szCs w:val="20"/>
      <w:bdr w:val="none" w:sz="0" w:space="0" w:color="auto"/>
      <w:lang w:val="es-CO"/>
    </w:rPr>
  </w:style>
  <w:style w:type="character" w:customStyle="1" w:styleId="CommentTextChar">
    <w:name w:val="Comment Text Char"/>
    <w:basedOn w:val="DefaultParagraphFont"/>
    <w:link w:val="CommentText"/>
    <w:uiPriority w:val="99"/>
    <w:semiHidden/>
    <w:rsid w:val="00481B84"/>
    <w:rPr>
      <w:rFonts w:ascii="Calibri" w:eastAsia="Calibri" w:hAnsi="Calibri"/>
      <w:bdr w:val="none" w:sz="0" w:space="0" w:color="auto"/>
      <w:lang w:val="es-CO" w:eastAsia="en-US"/>
    </w:rPr>
  </w:style>
  <w:style w:type="paragraph" w:styleId="CommentSubject">
    <w:name w:val="annotation subject"/>
    <w:basedOn w:val="CommentText"/>
    <w:next w:val="CommentText"/>
    <w:link w:val="CommentSubjectChar"/>
    <w:uiPriority w:val="99"/>
    <w:semiHidden/>
    <w:unhideWhenUsed/>
    <w:rsid w:val="00481B84"/>
    <w:rPr>
      <w:b/>
      <w:bCs/>
    </w:rPr>
  </w:style>
  <w:style w:type="character" w:customStyle="1" w:styleId="CommentSubjectChar">
    <w:name w:val="Comment Subject Char"/>
    <w:basedOn w:val="CommentTextChar"/>
    <w:link w:val="CommentSubject"/>
    <w:uiPriority w:val="99"/>
    <w:semiHidden/>
    <w:rsid w:val="00481B84"/>
    <w:rPr>
      <w:rFonts w:ascii="Calibri" w:eastAsia="Calibri" w:hAnsi="Calibri"/>
      <w:b/>
      <w:bCs/>
      <w:bdr w:val="none" w:sz="0" w:space="0" w:color="auto"/>
      <w:lang w:val="es-CO" w:eastAsia="en-US"/>
    </w:rPr>
  </w:style>
  <w:style w:type="paragraph" w:customStyle="1" w:styleId="1">
    <w:name w:val="1"/>
    <w:basedOn w:val="Normal"/>
    <w:rsid w:val="00481B8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sz w:val="20"/>
      <w:szCs w:val="20"/>
      <w:bdr w:val="none" w:sz="0" w:space="0" w:color="auto"/>
      <w:vertAlign w:val="superscript"/>
      <w:lang w:val="es-CO" w:eastAsia="es-CO"/>
    </w:rPr>
  </w:style>
  <w:style w:type="character" w:customStyle="1" w:styleId="ColorfulList-Accent1Char">
    <w:name w:val="Colorful List - Accent 1 Char"/>
    <w:aliases w:val="Párrafo de lista1 Char,List Paragraph1 Char,List Paragraph11 Char,Colorful List - Accent 11 Char,List Paragraph2 Char,List Paragraph Char,Medium Grid 1 - Accent 21 Char,Colorful List - Accent 12 Char"/>
    <w:link w:val="ColorfulList-Accent11"/>
    <w:uiPriority w:val="99"/>
    <w:locked/>
    <w:rsid w:val="00481B84"/>
    <w:rPr>
      <w:rFonts w:ascii="Calibri" w:eastAsia="Calibri" w:hAnsi="Calibri"/>
      <w:sz w:val="22"/>
      <w:szCs w:val="22"/>
      <w:bdr w:val="none" w:sz="0" w:space="0" w:color="auto"/>
      <w:lang w:val="es-CO" w:eastAsia="en-US"/>
    </w:rPr>
  </w:style>
  <w:style w:type="character" w:styleId="Strong">
    <w:name w:val="Strong"/>
    <w:uiPriority w:val="22"/>
    <w:qFormat/>
    <w:rsid w:val="00481B84"/>
    <w:rPr>
      <w:b/>
      <w:bC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481B8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sz w:val="20"/>
      <w:szCs w:val="20"/>
      <w:bdr w:val="none" w:sz="0" w:space="0" w:color="auto"/>
      <w:vertAlign w:val="superscript"/>
      <w:lang w:val="es-CO" w:eastAsia="es-CO"/>
    </w:rPr>
  </w:style>
  <w:style w:type="character" w:customStyle="1" w:styleId="BodyTextIndentChar">
    <w:name w:val="Body Text Indent Char"/>
    <w:link w:val="BodyTextIndent"/>
    <w:rsid w:val="00481B84"/>
    <w:rPr>
      <w:rFonts w:eastAsia="Times New Roman"/>
      <w:color w:val="000000"/>
      <w:sz w:val="24"/>
      <w:szCs w:val="24"/>
      <w:u w:color="000000"/>
      <w:lang w:val="es-ES_tradnl"/>
    </w:rPr>
  </w:style>
  <w:style w:type="paragraph" w:styleId="BodyText3">
    <w:name w:val="Body Text 3"/>
    <w:basedOn w:val="Normal"/>
    <w:link w:val="BodyText3Char"/>
    <w:uiPriority w:val="99"/>
    <w:unhideWhenUsed/>
    <w:rsid w:val="00481B84"/>
    <w:pPr>
      <w:spacing w:after="120"/>
    </w:pPr>
    <w:rPr>
      <w:rFonts w:ascii="Cambria" w:hAnsi="Cambria"/>
      <w:sz w:val="16"/>
      <w:szCs w:val="16"/>
      <w:lang w:val="es-ES" w:eastAsia="es-ES"/>
    </w:rPr>
  </w:style>
  <w:style w:type="character" w:customStyle="1" w:styleId="BodyText3Char">
    <w:name w:val="Body Text 3 Char"/>
    <w:basedOn w:val="DefaultParagraphFont"/>
    <w:link w:val="BodyText3"/>
    <w:uiPriority w:val="99"/>
    <w:rsid w:val="00481B84"/>
    <w:rPr>
      <w:rFonts w:ascii="Cambria" w:hAnsi="Cambria"/>
      <w:sz w:val="16"/>
      <w:szCs w:val="16"/>
    </w:rPr>
  </w:style>
  <w:style w:type="paragraph" w:styleId="EndnoteText">
    <w:name w:val="endnote text"/>
    <w:basedOn w:val="Normal"/>
    <w:link w:val="EndnoteTextChar"/>
    <w:unhideWhenUsed/>
    <w:rsid w:val="00481B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sz w:val="20"/>
      <w:szCs w:val="20"/>
      <w:bdr w:val="none" w:sz="0" w:space="0" w:color="auto"/>
      <w:lang w:val="es-CO"/>
    </w:rPr>
  </w:style>
  <w:style w:type="character" w:customStyle="1" w:styleId="EndnoteTextChar">
    <w:name w:val="Endnote Text Char"/>
    <w:basedOn w:val="DefaultParagraphFont"/>
    <w:link w:val="EndnoteText"/>
    <w:rsid w:val="00481B84"/>
    <w:rPr>
      <w:rFonts w:ascii="Calibri" w:eastAsia="Calibri" w:hAnsi="Calibri"/>
      <w:bdr w:val="none" w:sz="0" w:space="0" w:color="auto"/>
      <w:lang w:val="es-CO" w:eastAsia="en-US"/>
    </w:rPr>
  </w:style>
  <w:style w:type="character" w:styleId="EndnoteReference">
    <w:name w:val="endnote reference"/>
    <w:uiPriority w:val="99"/>
    <w:semiHidden/>
    <w:unhideWhenUsed/>
    <w:rsid w:val="00481B84"/>
    <w:rPr>
      <w:vertAlign w:val="superscript"/>
    </w:rPr>
  </w:style>
  <w:style w:type="paragraph" w:customStyle="1" w:styleId="Default">
    <w:name w:val="Default"/>
    <w:link w:val="DefaultChar"/>
    <w:rsid w:val="00481B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DefaultChar">
    <w:name w:val="Default Char"/>
    <w:link w:val="Default"/>
    <w:rsid w:val="00481B84"/>
    <w:rPr>
      <w:rFonts w:eastAsia="Times New Roman"/>
      <w:color w:val="000000"/>
      <w:sz w:val="24"/>
      <w:szCs w:val="24"/>
      <w:bdr w:val="none" w:sz="0" w:space="0" w:color="auto"/>
      <w:lang w:val="en-US" w:eastAsia="en-US"/>
    </w:rPr>
  </w:style>
  <w:style w:type="paragraph" w:styleId="TOCHeading">
    <w:name w:val="TOC Heading"/>
    <w:basedOn w:val="Heading1"/>
    <w:next w:val="Normal"/>
    <w:uiPriority w:val="39"/>
    <w:unhideWhenUsed/>
    <w:qFormat/>
    <w:rsid w:val="00F91A8D"/>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paragraph" w:styleId="BodyTextIndent2">
    <w:name w:val="Body Text Indent 2"/>
    <w:basedOn w:val="Normal"/>
    <w:link w:val="BodyTextIndent2Char"/>
    <w:uiPriority w:val="99"/>
    <w:semiHidden/>
    <w:unhideWhenUsed/>
    <w:rsid w:val="00041CFE"/>
    <w:pPr>
      <w:spacing w:after="120" w:line="480" w:lineRule="auto"/>
      <w:ind w:left="360"/>
    </w:pPr>
  </w:style>
  <w:style w:type="character" w:customStyle="1" w:styleId="BodyTextIndent2Char">
    <w:name w:val="Body Text Indent 2 Char"/>
    <w:basedOn w:val="DefaultParagraphFont"/>
    <w:link w:val="BodyTextIndent2"/>
    <w:uiPriority w:val="99"/>
    <w:semiHidden/>
    <w:rsid w:val="00041CFE"/>
    <w:rPr>
      <w:sz w:val="24"/>
      <w:szCs w:val="24"/>
      <w:lang w:val="en-US" w:eastAsia="en-US"/>
    </w:rPr>
  </w:style>
  <w:style w:type="paragraph" w:customStyle="1" w:styleId="p1">
    <w:name w:val="p1"/>
    <w:basedOn w:val="Normal"/>
    <w:rsid w:val="00041CFE"/>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hAnsi="Verdana"/>
      <w:sz w:val="15"/>
      <w:szCs w:val="15"/>
      <w:bdr w:val="none" w:sz="0" w:space="0" w:color="auto"/>
    </w:rPr>
  </w:style>
  <w:style w:type="character" w:customStyle="1" w:styleId="apple-converted-space">
    <w:name w:val="apple-converted-space"/>
    <w:basedOn w:val="DefaultParagraphFont"/>
    <w:rsid w:val="00041CFE"/>
  </w:style>
  <w:style w:type="character" w:customStyle="1" w:styleId="s1">
    <w:name w:val="s1"/>
    <w:basedOn w:val="DefaultParagraphFont"/>
    <w:rsid w:val="00041CFE"/>
    <w:rPr>
      <w:u w:val="single"/>
    </w:rPr>
  </w:style>
  <w:style w:type="paragraph" w:customStyle="1" w:styleId="p2">
    <w:name w:val="p2"/>
    <w:basedOn w:val="Normal"/>
    <w:rsid w:val="00041CFE"/>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Theme="minorHAnsi" w:hAnsi="Helvetica"/>
      <w:sz w:val="18"/>
      <w:szCs w:val="18"/>
      <w:bdr w:val="none" w:sz="0" w:space="0" w:color="auto"/>
    </w:rPr>
  </w:style>
  <w:style w:type="paragraph" w:customStyle="1" w:styleId="p3">
    <w:name w:val="p3"/>
    <w:basedOn w:val="Normal"/>
    <w:rsid w:val="00041CF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8FADB"/>
    </w:pPr>
    <w:rPr>
      <w:rFonts w:ascii="Times" w:hAnsi="Times"/>
      <w:sz w:val="17"/>
      <w:szCs w:val="17"/>
      <w:bdr w:val="none" w:sz="0" w:space="0" w:color="auto"/>
    </w:rPr>
  </w:style>
  <w:style w:type="paragraph" w:customStyle="1" w:styleId="p4">
    <w:name w:val="p4"/>
    <w:basedOn w:val="Normal"/>
    <w:rsid w:val="00041CFE"/>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hAnsi="Verdana"/>
      <w:sz w:val="15"/>
      <w:szCs w:val="15"/>
      <w:bdr w:val="none" w:sz="0" w:space="0" w:color="auto"/>
    </w:rPr>
  </w:style>
  <w:style w:type="paragraph" w:customStyle="1" w:styleId="p5">
    <w:name w:val="p5"/>
    <w:basedOn w:val="Normal"/>
    <w:rsid w:val="00041CFE"/>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hAnsi="Verdana"/>
      <w:sz w:val="15"/>
      <w:szCs w:val="15"/>
      <w:bdr w:val="none" w:sz="0" w:space="0" w:color="auto"/>
    </w:rPr>
  </w:style>
  <w:style w:type="paragraph" w:customStyle="1" w:styleId="p6">
    <w:name w:val="p6"/>
    <w:basedOn w:val="Normal"/>
    <w:rsid w:val="00041CF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2F7B7"/>
    </w:pPr>
    <w:rPr>
      <w:rFonts w:ascii="Times" w:hAnsi="Times"/>
      <w:sz w:val="17"/>
      <w:szCs w:val="17"/>
      <w:bdr w:val="none" w:sz="0" w:space="0" w:color="auto"/>
    </w:rPr>
  </w:style>
  <w:style w:type="character" w:customStyle="1" w:styleId="s2">
    <w:name w:val="s2"/>
    <w:basedOn w:val="DefaultParagraphFont"/>
    <w:rsid w:val="00041CFE"/>
    <w:rPr>
      <w:rFonts w:ascii="Times" w:hAnsi="Times" w:hint="default"/>
      <w:sz w:val="10"/>
      <w:szCs w:val="10"/>
      <w:u w:val="single"/>
    </w:rPr>
  </w:style>
  <w:style w:type="character" w:customStyle="1" w:styleId="s3">
    <w:name w:val="s3"/>
    <w:basedOn w:val="DefaultParagraphFont"/>
    <w:rsid w:val="00041CFE"/>
    <w:rPr>
      <w:shd w:val="clear" w:color="auto" w:fill="F8FADB"/>
    </w:rPr>
  </w:style>
  <w:style w:type="character" w:customStyle="1" w:styleId="s4">
    <w:name w:val="s4"/>
    <w:basedOn w:val="DefaultParagraphFont"/>
    <w:rsid w:val="00041CFE"/>
    <w:rPr>
      <w:shd w:val="clear" w:color="auto" w:fill="FEFCDD"/>
    </w:rPr>
  </w:style>
  <w:style w:type="character" w:customStyle="1" w:styleId="s5">
    <w:name w:val="s5"/>
    <w:basedOn w:val="DefaultParagraphFont"/>
    <w:rsid w:val="00041CFE"/>
    <w:rPr>
      <w:rFonts w:ascii="Times" w:hAnsi="Times" w:hint="default"/>
      <w:sz w:val="17"/>
      <w:szCs w:val="17"/>
    </w:rPr>
  </w:style>
  <w:style w:type="character" w:customStyle="1" w:styleId="s6">
    <w:name w:val="s6"/>
    <w:basedOn w:val="DefaultParagraphFont"/>
    <w:rsid w:val="00041CFE"/>
    <w:rPr>
      <w:shd w:val="clear" w:color="auto" w:fill="F2F7B7"/>
    </w:rPr>
  </w:style>
  <w:style w:type="paragraph" w:styleId="Revision">
    <w:name w:val="Revision"/>
    <w:hidden/>
    <w:uiPriority w:val="99"/>
    <w:semiHidden/>
    <w:rsid w:val="00041CF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rmar">
    <w:name w:val="nrmar"/>
    <w:basedOn w:val="DefaultParagraphFont"/>
    <w:rsid w:val="00041CFE"/>
  </w:style>
  <w:style w:type="character" w:customStyle="1" w:styleId="hit">
    <w:name w:val="hit"/>
    <w:basedOn w:val="DefaultParagraphFont"/>
    <w:rsid w:val="00041CFE"/>
  </w:style>
  <w:style w:type="paragraph" w:styleId="TOC5">
    <w:name w:val="toc 5"/>
    <w:basedOn w:val="Normal"/>
    <w:next w:val="Normal"/>
    <w:autoRedefine/>
    <w:uiPriority w:val="39"/>
    <w:unhideWhenUsed/>
    <w:rsid w:val="00041CFE"/>
    <w:pPr>
      <w:ind w:left="960"/>
    </w:pPr>
    <w:rPr>
      <w:rFonts w:asciiTheme="minorHAnsi" w:hAnsiTheme="minorHAnsi"/>
      <w:sz w:val="20"/>
      <w:szCs w:val="20"/>
    </w:rPr>
  </w:style>
  <w:style w:type="paragraph" w:styleId="TOC6">
    <w:name w:val="toc 6"/>
    <w:basedOn w:val="Normal"/>
    <w:next w:val="Normal"/>
    <w:autoRedefine/>
    <w:uiPriority w:val="39"/>
    <w:unhideWhenUsed/>
    <w:rsid w:val="00041CFE"/>
    <w:pPr>
      <w:ind w:left="1200"/>
    </w:pPr>
    <w:rPr>
      <w:rFonts w:asciiTheme="minorHAnsi" w:hAnsiTheme="minorHAnsi"/>
      <w:sz w:val="20"/>
      <w:szCs w:val="20"/>
    </w:rPr>
  </w:style>
  <w:style w:type="paragraph" w:styleId="TOC7">
    <w:name w:val="toc 7"/>
    <w:basedOn w:val="Normal"/>
    <w:next w:val="Normal"/>
    <w:autoRedefine/>
    <w:uiPriority w:val="39"/>
    <w:unhideWhenUsed/>
    <w:rsid w:val="00041CFE"/>
    <w:pPr>
      <w:ind w:left="1440"/>
    </w:pPr>
    <w:rPr>
      <w:rFonts w:asciiTheme="minorHAnsi" w:hAnsiTheme="minorHAnsi"/>
      <w:sz w:val="20"/>
      <w:szCs w:val="20"/>
    </w:rPr>
  </w:style>
  <w:style w:type="paragraph" w:styleId="TOC8">
    <w:name w:val="toc 8"/>
    <w:basedOn w:val="Normal"/>
    <w:next w:val="Normal"/>
    <w:autoRedefine/>
    <w:uiPriority w:val="39"/>
    <w:unhideWhenUsed/>
    <w:rsid w:val="00041CFE"/>
    <w:pPr>
      <w:ind w:left="1680"/>
    </w:pPr>
    <w:rPr>
      <w:rFonts w:asciiTheme="minorHAnsi" w:hAnsiTheme="minorHAnsi"/>
      <w:sz w:val="20"/>
      <w:szCs w:val="20"/>
    </w:rPr>
  </w:style>
  <w:style w:type="paragraph" w:styleId="TOC9">
    <w:name w:val="toc 9"/>
    <w:basedOn w:val="Normal"/>
    <w:next w:val="Normal"/>
    <w:autoRedefine/>
    <w:uiPriority w:val="39"/>
    <w:unhideWhenUsed/>
    <w:rsid w:val="00041CFE"/>
    <w:pPr>
      <w:ind w:left="1920"/>
    </w:pPr>
    <w:rPr>
      <w:rFonts w:asciiTheme="minorHAnsi" w:hAnsiTheme="minorHAnsi"/>
      <w:sz w:val="20"/>
      <w:szCs w:val="20"/>
    </w:rPr>
  </w:style>
  <w:style w:type="character" w:styleId="FollowedHyperlink">
    <w:name w:val="FollowedHyperlink"/>
    <w:basedOn w:val="DefaultParagraphFont"/>
    <w:uiPriority w:val="99"/>
    <w:semiHidden/>
    <w:unhideWhenUsed/>
    <w:rsid w:val="00041C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490D82-5582-4D62-95DF-081B6B5EE4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08BF1C-7B56-4E00-B8A7-775947BF6D45}">
  <ds:schemaRefs>
    <ds:schemaRef ds:uri="http://schemas.openxmlformats.org/officeDocument/2006/bibliography"/>
  </ds:schemaRefs>
</ds:datastoreItem>
</file>

<file path=customXml/itemProps3.xml><?xml version="1.0" encoding="utf-8"?>
<ds:datastoreItem xmlns:ds="http://schemas.openxmlformats.org/officeDocument/2006/customXml" ds:itemID="{00ABF5FB-B72E-45B8-89AC-EAEBC30AB253}">
  <ds:schemaRefs>
    <ds:schemaRef ds:uri="http://schemas.microsoft.com/sharepoint/v3/contenttype/forms"/>
  </ds:schemaRefs>
</ds:datastoreItem>
</file>

<file path=customXml/itemProps4.xml><?xml version="1.0" encoding="utf-8"?>
<ds:datastoreItem xmlns:ds="http://schemas.openxmlformats.org/officeDocument/2006/customXml" ds:itemID="{EE323F80-7CF6-47A9-89FB-EC1E5E17F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8117</Words>
  <Characters>46271</Characters>
  <Application>Microsoft Office Word</Application>
  <DocSecurity>0</DocSecurity>
  <Lines>385</Lines>
  <Paragraphs>108</Paragraphs>
  <ScaleCrop>false</ScaleCrop>
  <Company/>
  <LinksUpToDate>false</LinksUpToDate>
  <CharactersWithSpaces>54280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2022-04-18T13:03:00Z</dcterms:created>
  <dcterms:modified xsi:type="dcterms:W3CDTF">2022-04-18T13:03:00Z</dcterms:modified>
</cp:coreProperties>
</file>